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10FB0" w14:textId="6A056FAD" w:rsidR="009260DE" w:rsidRPr="00C84483" w:rsidRDefault="0021526C" w:rsidP="001A431A">
      <w:pPr>
        <w:rPr>
          <w:b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6B5D3FE9" wp14:editId="7369BFE8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14:paraId="43C37A5A" w14:textId="40FB658B"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770D6B">
        <w:rPr>
          <w:szCs w:val="24"/>
        </w:rPr>
        <w:t>11</w:t>
      </w:r>
      <w:r w:rsidR="00F57D36">
        <w:rPr>
          <w:szCs w:val="24"/>
        </w:rPr>
        <w:t xml:space="preserve">. </w:t>
      </w:r>
      <w:r w:rsidR="00770D6B">
        <w:rPr>
          <w:szCs w:val="24"/>
        </w:rPr>
        <w:t>juni</w:t>
      </w:r>
      <w:r w:rsidR="00F57D36">
        <w:rPr>
          <w:szCs w:val="24"/>
        </w:rPr>
        <w:t xml:space="preserve"> 202</w:t>
      </w:r>
      <w:r w:rsidR="00770D6B">
        <w:rPr>
          <w:szCs w:val="24"/>
        </w:rPr>
        <w:t>4</w:t>
      </w:r>
    </w:p>
    <w:p w14:paraId="3D399701" w14:textId="77777777" w:rsidR="009260DE" w:rsidRPr="00C8448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6562CD90" w14:textId="41799580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1A75031A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1604C49B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4FF71EB6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</w:p>
    <w:p w14:paraId="566212FE" w14:textId="77777777" w:rsidR="009260DE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14:paraId="0B7F832D" w14:textId="77777777" w:rsidR="000B058C" w:rsidRPr="00C84483" w:rsidRDefault="000B058C" w:rsidP="009260DE">
      <w:pPr>
        <w:jc w:val="center"/>
        <w:rPr>
          <w:b/>
          <w:sz w:val="24"/>
          <w:szCs w:val="24"/>
        </w:rPr>
      </w:pPr>
    </w:p>
    <w:p w14:paraId="35D81437" w14:textId="304154D7" w:rsidR="009260DE" w:rsidRPr="00C84483" w:rsidRDefault="006C5CCA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Finasterid</w:t>
      </w:r>
      <w:proofErr w:type="spellEnd"/>
      <w:r>
        <w:rPr>
          <w:b/>
          <w:sz w:val="24"/>
          <w:szCs w:val="24"/>
        </w:rPr>
        <w:t xml:space="preserve"> "</w:t>
      </w:r>
      <w:proofErr w:type="spellStart"/>
      <w:r>
        <w:rPr>
          <w:b/>
          <w:sz w:val="24"/>
          <w:szCs w:val="24"/>
        </w:rPr>
        <w:t>Amarox</w:t>
      </w:r>
      <w:proofErr w:type="spellEnd"/>
      <w:r>
        <w:rPr>
          <w:b/>
          <w:sz w:val="24"/>
          <w:szCs w:val="24"/>
        </w:rPr>
        <w:t>", filmovertrukne tabletter</w:t>
      </w:r>
    </w:p>
    <w:p w14:paraId="3D8C44AB" w14:textId="77777777" w:rsidR="009260DE" w:rsidRPr="00C84483" w:rsidRDefault="009260DE" w:rsidP="009260DE">
      <w:pPr>
        <w:jc w:val="both"/>
        <w:rPr>
          <w:sz w:val="24"/>
          <w:szCs w:val="24"/>
        </w:rPr>
      </w:pPr>
    </w:p>
    <w:p w14:paraId="493320EC" w14:textId="77777777" w:rsidR="009260DE" w:rsidRPr="001A431A" w:rsidRDefault="009260DE" w:rsidP="009260DE">
      <w:pPr>
        <w:jc w:val="both"/>
        <w:rPr>
          <w:sz w:val="24"/>
          <w:szCs w:val="24"/>
        </w:rPr>
      </w:pPr>
    </w:p>
    <w:p w14:paraId="4982DE8B" w14:textId="77777777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0.</w:t>
      </w:r>
      <w:r w:rsidRPr="001A431A">
        <w:rPr>
          <w:b/>
          <w:sz w:val="24"/>
          <w:szCs w:val="24"/>
        </w:rPr>
        <w:tab/>
        <w:t>D.SP.NR.</w:t>
      </w:r>
    </w:p>
    <w:p w14:paraId="3CA0480C" w14:textId="446C162F" w:rsidR="009260DE" w:rsidRPr="001A431A" w:rsidRDefault="0057718D" w:rsidP="009260DE">
      <w:pPr>
        <w:tabs>
          <w:tab w:val="left" w:pos="851"/>
        </w:tabs>
        <w:ind w:left="851"/>
        <w:rPr>
          <w:sz w:val="24"/>
          <w:szCs w:val="24"/>
        </w:rPr>
      </w:pPr>
      <w:r w:rsidRPr="001A431A">
        <w:rPr>
          <w:sz w:val="24"/>
          <w:szCs w:val="24"/>
        </w:rPr>
        <w:t>31293</w:t>
      </w:r>
    </w:p>
    <w:p w14:paraId="6BF8CE1F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3086C54" w14:textId="77777777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1.</w:t>
      </w:r>
      <w:r w:rsidRPr="001A431A">
        <w:rPr>
          <w:b/>
          <w:sz w:val="24"/>
          <w:szCs w:val="24"/>
        </w:rPr>
        <w:tab/>
        <w:t>LÆGEMIDLETS NAVN</w:t>
      </w:r>
    </w:p>
    <w:p w14:paraId="3530B01A" w14:textId="64C7719F" w:rsidR="009260DE" w:rsidRPr="001A431A" w:rsidRDefault="0057718D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"</w:t>
      </w:r>
      <w:proofErr w:type="spellStart"/>
      <w:r w:rsidRPr="001A431A">
        <w:rPr>
          <w:sz w:val="24"/>
          <w:szCs w:val="24"/>
        </w:rPr>
        <w:t>Amarox</w:t>
      </w:r>
      <w:proofErr w:type="spellEnd"/>
      <w:r w:rsidRPr="001A431A">
        <w:rPr>
          <w:sz w:val="24"/>
          <w:szCs w:val="24"/>
        </w:rPr>
        <w:t>"</w:t>
      </w:r>
    </w:p>
    <w:p w14:paraId="27E0AA44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F0BDDB" w14:textId="77777777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2.</w:t>
      </w:r>
      <w:r w:rsidRPr="001A431A">
        <w:rPr>
          <w:b/>
          <w:sz w:val="24"/>
          <w:szCs w:val="24"/>
        </w:rPr>
        <w:tab/>
        <w:t>KVALITATIV OG KVANTITATIV SAMMENSÆTNING</w:t>
      </w:r>
    </w:p>
    <w:p w14:paraId="492B857A" w14:textId="77777777" w:rsidR="00722F62" w:rsidRPr="001A431A" w:rsidRDefault="00722F62" w:rsidP="0000541F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Hver filmovertrukket tablet indeholder 5 mg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>.</w:t>
      </w:r>
    </w:p>
    <w:p w14:paraId="25AC6ED1" w14:textId="77777777" w:rsidR="00722F62" w:rsidRPr="001A431A" w:rsidRDefault="00722F62" w:rsidP="0000541F">
      <w:pPr>
        <w:ind w:left="851"/>
        <w:rPr>
          <w:sz w:val="24"/>
          <w:szCs w:val="24"/>
          <w:u w:val="single"/>
        </w:rPr>
      </w:pPr>
      <w:r w:rsidRPr="001A431A">
        <w:rPr>
          <w:sz w:val="24"/>
          <w:szCs w:val="24"/>
          <w:u w:val="single"/>
        </w:rPr>
        <w:t>Hjælpestof(fer), som behandleren skal være opmærksom på:</w:t>
      </w:r>
      <w:r w:rsidRPr="001A431A">
        <w:rPr>
          <w:sz w:val="24"/>
          <w:szCs w:val="24"/>
        </w:rPr>
        <w:t xml:space="preserve"> Hver filmovertrukket tablet indeholder 84 mg </w:t>
      </w:r>
      <w:proofErr w:type="spellStart"/>
      <w:r w:rsidRPr="001A431A">
        <w:rPr>
          <w:sz w:val="24"/>
          <w:szCs w:val="24"/>
        </w:rPr>
        <w:t>lactosemonohydrat</w:t>
      </w:r>
      <w:proofErr w:type="spellEnd"/>
      <w:r w:rsidRPr="001A431A">
        <w:rPr>
          <w:sz w:val="24"/>
          <w:szCs w:val="24"/>
        </w:rPr>
        <w:t xml:space="preserve"> og mindre end 1 mmol (23 mg) natrium.</w:t>
      </w:r>
    </w:p>
    <w:p w14:paraId="63240511" w14:textId="77777777" w:rsidR="00722F62" w:rsidRPr="001A431A" w:rsidRDefault="00722F62" w:rsidP="0000541F">
      <w:pPr>
        <w:ind w:left="851"/>
        <w:rPr>
          <w:sz w:val="24"/>
          <w:szCs w:val="24"/>
        </w:rPr>
      </w:pPr>
    </w:p>
    <w:p w14:paraId="77E33F67" w14:textId="77777777" w:rsidR="00722F62" w:rsidRPr="001A431A" w:rsidRDefault="00722F62" w:rsidP="0000541F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>Alle hjælpestoffer er anført under pkt. 6.1.</w:t>
      </w:r>
    </w:p>
    <w:p w14:paraId="2EB3B298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ED72A51" w14:textId="77777777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3.</w:t>
      </w:r>
      <w:r w:rsidRPr="001A431A">
        <w:rPr>
          <w:b/>
          <w:sz w:val="24"/>
          <w:szCs w:val="24"/>
        </w:rPr>
        <w:tab/>
        <w:t>LÆGEMIDDELFORM</w:t>
      </w:r>
    </w:p>
    <w:p w14:paraId="139E63C4" w14:textId="08E6B3D2" w:rsidR="00722F62" w:rsidRPr="001A431A" w:rsidRDefault="00722F62" w:rsidP="0000541F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>Filmovertrukne tabletter</w:t>
      </w:r>
    </w:p>
    <w:p w14:paraId="3E65FF7D" w14:textId="77777777" w:rsidR="00722F62" w:rsidRPr="001A431A" w:rsidRDefault="00722F62" w:rsidP="0000541F">
      <w:pPr>
        <w:ind w:left="851"/>
        <w:rPr>
          <w:sz w:val="24"/>
          <w:szCs w:val="24"/>
        </w:rPr>
      </w:pPr>
    </w:p>
    <w:p w14:paraId="6A073B78" w14:textId="300F5230" w:rsidR="00722F62" w:rsidRPr="001A431A" w:rsidRDefault="00722F62" w:rsidP="0000541F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Blå, runde, filmovertrukne tabletter med en diameter på 7 mm, præget med "H" på den ene side og </w:t>
      </w:r>
      <w:r w:rsidR="00436560">
        <w:rPr>
          <w:sz w:val="24"/>
          <w:szCs w:val="24"/>
        </w:rPr>
        <w:t>"</w:t>
      </w:r>
      <w:r w:rsidRPr="001A431A">
        <w:rPr>
          <w:sz w:val="24"/>
          <w:szCs w:val="24"/>
        </w:rPr>
        <w:t>37</w:t>
      </w:r>
      <w:r w:rsidR="00436560">
        <w:rPr>
          <w:sz w:val="24"/>
          <w:szCs w:val="24"/>
        </w:rPr>
        <w:t>"</w:t>
      </w:r>
      <w:r w:rsidRPr="001A431A">
        <w:rPr>
          <w:sz w:val="24"/>
          <w:szCs w:val="24"/>
        </w:rPr>
        <w:t xml:space="preserve"> på den anden side.</w:t>
      </w:r>
    </w:p>
    <w:p w14:paraId="2C46CC6F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31D8249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1BFAB2" w14:textId="77777777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4.</w:t>
      </w:r>
      <w:r w:rsidRPr="001A431A">
        <w:rPr>
          <w:b/>
          <w:sz w:val="24"/>
          <w:szCs w:val="24"/>
        </w:rPr>
        <w:tab/>
        <w:t>KLINISKE OPLYSNINGER</w:t>
      </w:r>
    </w:p>
    <w:p w14:paraId="626D3FC6" w14:textId="77777777" w:rsidR="009260DE" w:rsidRPr="001A431A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14348937" w14:textId="77777777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1A431A">
        <w:rPr>
          <w:b/>
          <w:sz w:val="24"/>
          <w:szCs w:val="24"/>
        </w:rPr>
        <w:t>4.1</w:t>
      </w:r>
      <w:r w:rsidRPr="001A431A">
        <w:rPr>
          <w:b/>
          <w:sz w:val="24"/>
          <w:szCs w:val="24"/>
        </w:rPr>
        <w:tab/>
        <w:t>Terapeutiske indikationer</w:t>
      </w:r>
    </w:p>
    <w:p w14:paraId="40E8BD35" w14:textId="7499C1F3" w:rsidR="00722F62" w:rsidRPr="001A431A" w:rsidRDefault="00722F62" w:rsidP="0000541F">
      <w:pPr>
        <w:ind w:left="851"/>
        <w:rPr>
          <w:sz w:val="24"/>
          <w:szCs w:val="24"/>
        </w:rPr>
      </w:pP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</w:t>
      </w:r>
      <w:r w:rsidR="00DB4CBA">
        <w:rPr>
          <w:sz w:val="24"/>
          <w:szCs w:val="24"/>
        </w:rPr>
        <w:t>"</w:t>
      </w:r>
      <w:proofErr w:type="spellStart"/>
      <w:r w:rsidR="00DB4CBA">
        <w:rPr>
          <w:sz w:val="24"/>
          <w:szCs w:val="24"/>
        </w:rPr>
        <w:t>Amarox</w:t>
      </w:r>
      <w:proofErr w:type="spellEnd"/>
      <w:r w:rsidR="00DB4CBA">
        <w:rPr>
          <w:sz w:val="24"/>
          <w:szCs w:val="24"/>
        </w:rPr>
        <w:t>"</w:t>
      </w:r>
      <w:r w:rsidRPr="001A431A">
        <w:rPr>
          <w:sz w:val="24"/>
          <w:szCs w:val="24"/>
        </w:rPr>
        <w:t xml:space="preserve"> er indiceret til behandling og kontrol af benign </w:t>
      </w:r>
      <w:proofErr w:type="spellStart"/>
      <w:r w:rsidRPr="001A431A">
        <w:rPr>
          <w:sz w:val="24"/>
          <w:szCs w:val="24"/>
        </w:rPr>
        <w:t>prostatahyperplasi</w:t>
      </w:r>
      <w:proofErr w:type="spellEnd"/>
      <w:r w:rsidRPr="001A431A">
        <w:rPr>
          <w:sz w:val="24"/>
          <w:szCs w:val="24"/>
        </w:rPr>
        <w:t xml:space="preserve"> (BPH) hos patienter med forstørret prostata med henblik på at: </w:t>
      </w:r>
    </w:p>
    <w:p w14:paraId="3BAF6136" w14:textId="77777777" w:rsidR="00722F62" w:rsidRPr="001A431A" w:rsidRDefault="00722F62" w:rsidP="0000541F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1A431A">
        <w:rPr>
          <w:sz w:val="24"/>
          <w:szCs w:val="24"/>
        </w:rPr>
        <w:t xml:space="preserve">opnå regression af den forstørrede prostata, forbedre </w:t>
      </w:r>
      <w:proofErr w:type="spellStart"/>
      <w:r w:rsidRPr="001A431A">
        <w:rPr>
          <w:sz w:val="24"/>
          <w:szCs w:val="24"/>
        </w:rPr>
        <w:t>urinflow</w:t>
      </w:r>
      <w:proofErr w:type="spellEnd"/>
      <w:r w:rsidRPr="001A431A">
        <w:rPr>
          <w:sz w:val="24"/>
          <w:szCs w:val="24"/>
        </w:rPr>
        <w:t xml:space="preserve"> og symptomer associeret med BPH.</w:t>
      </w:r>
    </w:p>
    <w:p w14:paraId="52312EFB" w14:textId="77777777" w:rsidR="00722F62" w:rsidRPr="001A431A" w:rsidRDefault="00722F62" w:rsidP="0000541F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1A431A">
        <w:rPr>
          <w:sz w:val="24"/>
          <w:szCs w:val="24"/>
        </w:rPr>
        <w:t xml:space="preserve">reducere risikoen for akut urinretention og behovet for operation, herunder </w:t>
      </w:r>
      <w:proofErr w:type="spellStart"/>
      <w:r w:rsidRPr="001A431A">
        <w:rPr>
          <w:sz w:val="24"/>
          <w:szCs w:val="24"/>
        </w:rPr>
        <w:t>transuretral</w:t>
      </w:r>
      <w:proofErr w:type="spellEnd"/>
      <w:r w:rsidRPr="001A431A">
        <w:rPr>
          <w:sz w:val="24"/>
          <w:szCs w:val="24"/>
        </w:rPr>
        <w:t xml:space="preserve"> </w:t>
      </w:r>
      <w:proofErr w:type="spellStart"/>
      <w:r w:rsidRPr="001A431A">
        <w:rPr>
          <w:sz w:val="24"/>
          <w:szCs w:val="24"/>
        </w:rPr>
        <w:t>prostataresektion</w:t>
      </w:r>
      <w:proofErr w:type="spellEnd"/>
      <w:r w:rsidRPr="001A431A">
        <w:rPr>
          <w:sz w:val="24"/>
          <w:szCs w:val="24"/>
        </w:rPr>
        <w:t xml:space="preserve"> (TURP) og </w:t>
      </w:r>
      <w:proofErr w:type="spellStart"/>
      <w:r w:rsidRPr="001A431A">
        <w:rPr>
          <w:sz w:val="24"/>
          <w:szCs w:val="24"/>
        </w:rPr>
        <w:t>prostatektomi</w:t>
      </w:r>
      <w:proofErr w:type="spellEnd"/>
      <w:r w:rsidRPr="001A431A">
        <w:rPr>
          <w:sz w:val="24"/>
          <w:szCs w:val="24"/>
        </w:rPr>
        <w:t>.</w:t>
      </w:r>
    </w:p>
    <w:p w14:paraId="43E42F45" w14:textId="77777777" w:rsidR="00722F62" w:rsidRPr="001A431A" w:rsidRDefault="00722F62" w:rsidP="0000541F">
      <w:pPr>
        <w:ind w:left="851"/>
        <w:rPr>
          <w:sz w:val="24"/>
          <w:szCs w:val="24"/>
        </w:rPr>
      </w:pPr>
    </w:p>
    <w:p w14:paraId="23F64CF9" w14:textId="5D1918A3" w:rsidR="00722F62" w:rsidRPr="001A431A" w:rsidRDefault="00722F62" w:rsidP="0000541F">
      <w:pPr>
        <w:tabs>
          <w:tab w:val="left" w:pos="1304"/>
        </w:tabs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</w:t>
      </w:r>
      <w:r w:rsidR="00DB4CBA">
        <w:rPr>
          <w:sz w:val="24"/>
          <w:szCs w:val="24"/>
        </w:rPr>
        <w:t>"</w:t>
      </w:r>
      <w:proofErr w:type="spellStart"/>
      <w:r w:rsidR="00DB4CBA">
        <w:rPr>
          <w:sz w:val="24"/>
          <w:szCs w:val="24"/>
        </w:rPr>
        <w:t>Amarox</w:t>
      </w:r>
      <w:proofErr w:type="spellEnd"/>
      <w:r w:rsidR="00DB4CBA">
        <w:rPr>
          <w:sz w:val="24"/>
          <w:szCs w:val="24"/>
        </w:rPr>
        <w:t>"</w:t>
      </w:r>
      <w:r w:rsidRPr="001A431A">
        <w:rPr>
          <w:sz w:val="24"/>
          <w:szCs w:val="24"/>
        </w:rPr>
        <w:t xml:space="preserve"> 5 mg tabletter bør kun administreres til patienter med forstørret prostata (prostatavolumen over ca. 40 ml).</w:t>
      </w:r>
    </w:p>
    <w:p w14:paraId="6D685B34" w14:textId="32FB1C6F" w:rsidR="00436560" w:rsidRDefault="0043656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7E9907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77FD73F" w14:textId="02722FCB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4.2</w:t>
      </w:r>
      <w:r w:rsidRPr="001A431A">
        <w:rPr>
          <w:b/>
          <w:sz w:val="24"/>
          <w:szCs w:val="24"/>
        </w:rPr>
        <w:tab/>
        <w:t xml:space="preserve">Dosering og </w:t>
      </w:r>
      <w:r w:rsidR="004779F0">
        <w:rPr>
          <w:b/>
          <w:sz w:val="24"/>
          <w:szCs w:val="24"/>
        </w:rPr>
        <w:t>administration</w:t>
      </w:r>
    </w:p>
    <w:p w14:paraId="1FDE6CA8" w14:textId="77777777" w:rsidR="00436560" w:rsidRDefault="00436560" w:rsidP="0000541F">
      <w:pPr>
        <w:ind w:left="851"/>
        <w:rPr>
          <w:sz w:val="24"/>
          <w:szCs w:val="24"/>
          <w:u w:val="single"/>
        </w:rPr>
      </w:pPr>
    </w:p>
    <w:p w14:paraId="39559013" w14:textId="56D0B5E1" w:rsidR="00722F62" w:rsidRPr="001A431A" w:rsidRDefault="00722F62" w:rsidP="0000541F">
      <w:pPr>
        <w:ind w:left="851"/>
        <w:rPr>
          <w:sz w:val="24"/>
          <w:szCs w:val="24"/>
          <w:u w:val="single"/>
        </w:rPr>
      </w:pPr>
      <w:r w:rsidRPr="001A431A">
        <w:rPr>
          <w:sz w:val="24"/>
          <w:szCs w:val="24"/>
          <w:u w:val="single"/>
        </w:rPr>
        <w:t>Dosering</w:t>
      </w:r>
    </w:p>
    <w:p w14:paraId="22850CA2" w14:textId="77777777" w:rsidR="00722F62" w:rsidRPr="001A431A" w:rsidRDefault="00722F62" w:rsidP="0000541F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Den anbefalede dosis er 5 mg daglig med eller uden mad. </w:t>
      </w:r>
    </w:p>
    <w:p w14:paraId="6542739F" w14:textId="77777777" w:rsidR="00722F62" w:rsidRPr="001A431A" w:rsidRDefault="00722F62" w:rsidP="0000541F">
      <w:pPr>
        <w:ind w:left="851"/>
        <w:rPr>
          <w:sz w:val="24"/>
          <w:szCs w:val="24"/>
        </w:rPr>
      </w:pPr>
    </w:p>
    <w:p w14:paraId="415A939F" w14:textId="0C667606" w:rsidR="00722F62" w:rsidRPr="001A431A" w:rsidRDefault="00722F62" w:rsidP="0000541F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</w:t>
      </w:r>
      <w:r w:rsidR="00DB4CBA">
        <w:rPr>
          <w:sz w:val="24"/>
          <w:szCs w:val="24"/>
        </w:rPr>
        <w:t>"</w:t>
      </w:r>
      <w:proofErr w:type="spellStart"/>
      <w:r w:rsidR="00DB4CBA">
        <w:rPr>
          <w:sz w:val="24"/>
          <w:szCs w:val="24"/>
        </w:rPr>
        <w:t>Amarox</w:t>
      </w:r>
      <w:proofErr w:type="spellEnd"/>
      <w:r w:rsidR="00DB4CBA">
        <w:rPr>
          <w:sz w:val="24"/>
          <w:szCs w:val="24"/>
        </w:rPr>
        <w:t>"</w:t>
      </w:r>
      <w:r w:rsidRPr="001A431A">
        <w:rPr>
          <w:sz w:val="24"/>
          <w:szCs w:val="24"/>
        </w:rPr>
        <w:t xml:space="preserve"> kan administreres alene eller i kombination med alfa-blokkeren </w:t>
      </w:r>
      <w:proofErr w:type="spellStart"/>
      <w:r w:rsidRPr="001A431A">
        <w:rPr>
          <w:sz w:val="24"/>
          <w:szCs w:val="24"/>
        </w:rPr>
        <w:t>doxazosin</w:t>
      </w:r>
      <w:proofErr w:type="spellEnd"/>
      <w:r w:rsidRPr="001A431A">
        <w:rPr>
          <w:sz w:val="24"/>
          <w:szCs w:val="24"/>
        </w:rPr>
        <w:t xml:space="preserve"> (se pkt. 5.1).</w:t>
      </w:r>
    </w:p>
    <w:p w14:paraId="4ADE1413" w14:textId="77777777" w:rsidR="00722F62" w:rsidRPr="001A431A" w:rsidRDefault="00722F62" w:rsidP="0000541F">
      <w:pPr>
        <w:ind w:left="851"/>
        <w:rPr>
          <w:sz w:val="24"/>
          <w:szCs w:val="24"/>
        </w:rPr>
      </w:pPr>
    </w:p>
    <w:p w14:paraId="44B50A86" w14:textId="77777777" w:rsidR="00722F62" w:rsidRPr="001A431A" w:rsidRDefault="00722F62" w:rsidP="0000541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A431A">
        <w:rPr>
          <w:sz w:val="24"/>
          <w:szCs w:val="24"/>
        </w:rPr>
        <w:t>Selvom der observeres bedring i løbet af kort tid, kan det være nødvendigt med mindst seks måneders behandling for at kunne give en objektiv vurdering af, hvorvidt der er opnået en tilfredsstillende effekt af behandlingen.</w:t>
      </w:r>
    </w:p>
    <w:p w14:paraId="7061868D" w14:textId="77777777" w:rsidR="00722F62" w:rsidRPr="001A431A" w:rsidRDefault="00722F62" w:rsidP="0000541F">
      <w:pPr>
        <w:ind w:left="851"/>
        <w:rPr>
          <w:sz w:val="24"/>
          <w:szCs w:val="24"/>
          <w:u w:val="single"/>
        </w:rPr>
      </w:pPr>
    </w:p>
    <w:p w14:paraId="6873C130" w14:textId="77777777" w:rsidR="00722F62" w:rsidRPr="001A431A" w:rsidRDefault="00722F62" w:rsidP="001A431A">
      <w:pPr>
        <w:ind w:left="851"/>
        <w:rPr>
          <w:i/>
          <w:sz w:val="24"/>
          <w:szCs w:val="24"/>
        </w:rPr>
      </w:pPr>
      <w:r w:rsidRPr="001A431A">
        <w:rPr>
          <w:i/>
          <w:sz w:val="24"/>
          <w:szCs w:val="24"/>
        </w:rPr>
        <w:t>Dosering til ældre</w:t>
      </w:r>
    </w:p>
    <w:p w14:paraId="3BC732EB" w14:textId="77777777" w:rsidR="00722F62" w:rsidRPr="001A431A" w:rsidRDefault="00722F62" w:rsidP="001A431A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Det er ikke nødvendigt at justere dosis, selvom </w:t>
      </w:r>
      <w:proofErr w:type="spellStart"/>
      <w:r w:rsidRPr="001A431A">
        <w:rPr>
          <w:sz w:val="24"/>
          <w:szCs w:val="24"/>
        </w:rPr>
        <w:t>farmakokinetiske</w:t>
      </w:r>
      <w:proofErr w:type="spellEnd"/>
      <w:r w:rsidRPr="001A431A">
        <w:rPr>
          <w:sz w:val="24"/>
          <w:szCs w:val="24"/>
        </w:rPr>
        <w:t xml:space="preserve"> undersøgelser har påvist, at eliminationshastigheden for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blev reduceret en anelse hos patienter over 70 år.</w:t>
      </w:r>
    </w:p>
    <w:p w14:paraId="63F92B19" w14:textId="77777777" w:rsidR="00722F62" w:rsidRPr="001A431A" w:rsidRDefault="00722F62" w:rsidP="001A431A">
      <w:pPr>
        <w:ind w:left="851"/>
        <w:rPr>
          <w:sz w:val="24"/>
          <w:szCs w:val="24"/>
        </w:rPr>
      </w:pPr>
    </w:p>
    <w:p w14:paraId="68F75418" w14:textId="77777777" w:rsidR="00722F62" w:rsidRPr="001A431A" w:rsidRDefault="00722F62" w:rsidP="0000541F">
      <w:pPr>
        <w:ind w:left="851"/>
        <w:rPr>
          <w:i/>
          <w:sz w:val="24"/>
          <w:szCs w:val="24"/>
        </w:rPr>
      </w:pPr>
      <w:r w:rsidRPr="001A431A">
        <w:rPr>
          <w:i/>
          <w:sz w:val="24"/>
          <w:szCs w:val="24"/>
        </w:rPr>
        <w:t>Dosering ved nedsat leverfunktion</w:t>
      </w:r>
    </w:p>
    <w:p w14:paraId="7361F9C7" w14:textId="77777777" w:rsidR="00722F62" w:rsidRPr="001A431A" w:rsidRDefault="00722F62" w:rsidP="0000541F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>Der foreligger ingen data fra behandling af patienter med nedsat leverfunktion (se pkt. 4.4).</w:t>
      </w:r>
    </w:p>
    <w:p w14:paraId="10B83810" w14:textId="77777777" w:rsidR="00722F62" w:rsidRPr="001A431A" w:rsidRDefault="00722F62" w:rsidP="0000541F">
      <w:pPr>
        <w:ind w:left="851"/>
        <w:rPr>
          <w:sz w:val="24"/>
          <w:szCs w:val="24"/>
        </w:rPr>
      </w:pPr>
    </w:p>
    <w:p w14:paraId="064B7F87" w14:textId="77777777" w:rsidR="00722F62" w:rsidRPr="001A431A" w:rsidRDefault="00722F62" w:rsidP="0000541F">
      <w:pPr>
        <w:ind w:left="851"/>
        <w:rPr>
          <w:i/>
          <w:sz w:val="24"/>
          <w:szCs w:val="24"/>
        </w:rPr>
      </w:pPr>
      <w:r w:rsidRPr="001A431A">
        <w:rPr>
          <w:i/>
          <w:sz w:val="24"/>
          <w:szCs w:val="24"/>
        </w:rPr>
        <w:t>Dosering ved nedsat nyrefunktion</w:t>
      </w:r>
    </w:p>
    <w:p w14:paraId="19681CFC" w14:textId="77777777" w:rsidR="00722F62" w:rsidRPr="001A431A" w:rsidRDefault="00722F62" w:rsidP="0000541F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Det er ikke nødvendigt at justere dosis hos patienter med forskellige grader af nedsat nyrefunktion (med en </w:t>
      </w:r>
      <w:proofErr w:type="spellStart"/>
      <w:r w:rsidRPr="001A431A">
        <w:rPr>
          <w:sz w:val="24"/>
          <w:szCs w:val="24"/>
        </w:rPr>
        <w:t>kreatininclearance</w:t>
      </w:r>
      <w:proofErr w:type="spellEnd"/>
      <w:r w:rsidRPr="001A431A">
        <w:rPr>
          <w:sz w:val="24"/>
          <w:szCs w:val="24"/>
        </w:rPr>
        <w:t xml:space="preserve"> ned til 9 ml/min.), da nyreinsufficiens i </w:t>
      </w:r>
      <w:proofErr w:type="spellStart"/>
      <w:r w:rsidRPr="001A431A">
        <w:rPr>
          <w:sz w:val="24"/>
          <w:szCs w:val="24"/>
        </w:rPr>
        <w:t>farmakokinetiske</w:t>
      </w:r>
      <w:proofErr w:type="spellEnd"/>
      <w:r w:rsidRPr="001A431A">
        <w:rPr>
          <w:sz w:val="24"/>
          <w:szCs w:val="24"/>
        </w:rPr>
        <w:t xml:space="preserve"> undersøgelser ikke så ud til at påvirke eliminationen af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.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er ikke blevet undersøgt hos patienter i hæmodialyse.</w:t>
      </w:r>
    </w:p>
    <w:p w14:paraId="4A2CB933" w14:textId="77777777" w:rsidR="00722F62" w:rsidRPr="001A431A" w:rsidRDefault="00722F62" w:rsidP="0000541F">
      <w:pPr>
        <w:ind w:left="851"/>
        <w:rPr>
          <w:sz w:val="24"/>
          <w:szCs w:val="24"/>
        </w:rPr>
      </w:pPr>
    </w:p>
    <w:p w14:paraId="30C9C893" w14:textId="77777777" w:rsidR="00722F62" w:rsidRPr="001A431A" w:rsidRDefault="00722F62" w:rsidP="0000541F">
      <w:pPr>
        <w:ind w:left="851"/>
        <w:rPr>
          <w:i/>
          <w:sz w:val="24"/>
          <w:szCs w:val="24"/>
        </w:rPr>
      </w:pPr>
      <w:r w:rsidRPr="001A431A">
        <w:rPr>
          <w:i/>
          <w:sz w:val="24"/>
          <w:szCs w:val="24"/>
        </w:rPr>
        <w:t>Pædiatrisk population</w:t>
      </w:r>
    </w:p>
    <w:p w14:paraId="48206A39" w14:textId="0FAF01A5" w:rsidR="00722F62" w:rsidRPr="001A431A" w:rsidRDefault="00722F62" w:rsidP="0000541F">
      <w:pPr>
        <w:ind w:left="851"/>
        <w:rPr>
          <w:sz w:val="24"/>
          <w:szCs w:val="24"/>
        </w:rPr>
      </w:pP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</w:t>
      </w:r>
      <w:r w:rsidR="00DB4CBA">
        <w:rPr>
          <w:sz w:val="24"/>
          <w:szCs w:val="24"/>
        </w:rPr>
        <w:t>"</w:t>
      </w:r>
      <w:proofErr w:type="spellStart"/>
      <w:r w:rsidR="00DB4CBA">
        <w:rPr>
          <w:sz w:val="24"/>
          <w:szCs w:val="24"/>
        </w:rPr>
        <w:t>Amarox</w:t>
      </w:r>
      <w:proofErr w:type="spellEnd"/>
      <w:r w:rsidR="00DB4CBA">
        <w:rPr>
          <w:sz w:val="24"/>
          <w:szCs w:val="24"/>
        </w:rPr>
        <w:t>"</w:t>
      </w:r>
      <w:r w:rsidRPr="001A431A">
        <w:rPr>
          <w:sz w:val="24"/>
          <w:szCs w:val="24"/>
        </w:rPr>
        <w:t xml:space="preserve"> er ikke indiceret til brug hos børn.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</w:t>
      </w:r>
      <w:r w:rsidR="00DB4CBA">
        <w:rPr>
          <w:sz w:val="24"/>
          <w:szCs w:val="24"/>
        </w:rPr>
        <w:t>"</w:t>
      </w:r>
      <w:proofErr w:type="spellStart"/>
      <w:r w:rsidR="00DB4CBA">
        <w:rPr>
          <w:sz w:val="24"/>
          <w:szCs w:val="24"/>
        </w:rPr>
        <w:t>Amarox</w:t>
      </w:r>
      <w:proofErr w:type="spellEnd"/>
      <w:r w:rsidR="00DB4CBA">
        <w:rPr>
          <w:sz w:val="24"/>
          <w:szCs w:val="24"/>
        </w:rPr>
        <w:t>"</w:t>
      </w:r>
      <w:r w:rsidRPr="001A431A">
        <w:rPr>
          <w:sz w:val="24"/>
          <w:szCs w:val="24"/>
        </w:rPr>
        <w:t>’ sikkerhed og virkning hos børn er endnu ikke klarlagt.</w:t>
      </w:r>
    </w:p>
    <w:p w14:paraId="1E97D6BD" w14:textId="77777777" w:rsidR="00722F62" w:rsidRPr="001A431A" w:rsidRDefault="00722F62" w:rsidP="0000541F">
      <w:pPr>
        <w:ind w:left="851"/>
        <w:rPr>
          <w:sz w:val="24"/>
          <w:szCs w:val="24"/>
        </w:rPr>
      </w:pPr>
    </w:p>
    <w:p w14:paraId="4215D5D2" w14:textId="77777777" w:rsidR="00722F62" w:rsidRPr="001A431A" w:rsidRDefault="00722F62" w:rsidP="0000541F">
      <w:pPr>
        <w:ind w:left="851"/>
        <w:rPr>
          <w:sz w:val="24"/>
          <w:szCs w:val="24"/>
          <w:u w:val="single"/>
        </w:rPr>
      </w:pPr>
      <w:r w:rsidRPr="001A431A">
        <w:rPr>
          <w:sz w:val="24"/>
          <w:szCs w:val="24"/>
          <w:u w:val="single"/>
        </w:rPr>
        <w:t>Administration</w:t>
      </w:r>
    </w:p>
    <w:p w14:paraId="5AB8A5DD" w14:textId="77777777" w:rsidR="00722F62" w:rsidRPr="001A431A" w:rsidRDefault="00722F62" w:rsidP="0000541F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>Kun til oral brug.</w:t>
      </w:r>
    </w:p>
    <w:p w14:paraId="78C0018C" w14:textId="0DCC51EE" w:rsidR="00722F62" w:rsidRPr="001A431A" w:rsidRDefault="00722F62" w:rsidP="0000541F">
      <w:pPr>
        <w:ind w:left="851"/>
        <w:rPr>
          <w:sz w:val="24"/>
          <w:szCs w:val="24"/>
          <w:u w:val="single"/>
        </w:rPr>
      </w:pPr>
      <w:r w:rsidRPr="001A431A">
        <w:rPr>
          <w:sz w:val="24"/>
          <w:szCs w:val="24"/>
        </w:rPr>
        <w:t>Tabletten skal synkes hel og må ikke deles eller knuses (se pkt. 6.6)</w:t>
      </w:r>
      <w:r w:rsidR="00DB09A6">
        <w:rPr>
          <w:sz w:val="24"/>
          <w:szCs w:val="24"/>
        </w:rPr>
        <w:t>.</w:t>
      </w:r>
    </w:p>
    <w:p w14:paraId="3EB1A9BE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0C9C041" w14:textId="77777777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4.3</w:t>
      </w:r>
      <w:r w:rsidRPr="001A431A">
        <w:rPr>
          <w:b/>
          <w:sz w:val="24"/>
          <w:szCs w:val="24"/>
        </w:rPr>
        <w:tab/>
        <w:t>Kontraindikationer</w:t>
      </w:r>
    </w:p>
    <w:p w14:paraId="0A2C9160" w14:textId="4A588D69" w:rsidR="00722F62" w:rsidRPr="001A431A" w:rsidRDefault="00722F62" w:rsidP="0000541F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proofErr w:type="spellStart"/>
      <w:r w:rsidRPr="001A431A">
        <w:rPr>
          <w:color w:val="000000"/>
          <w:sz w:val="24"/>
          <w:szCs w:val="24"/>
        </w:rPr>
        <w:t>Finasterid</w:t>
      </w:r>
      <w:proofErr w:type="spellEnd"/>
      <w:r w:rsidRPr="001A431A">
        <w:rPr>
          <w:color w:val="000000"/>
          <w:sz w:val="24"/>
          <w:szCs w:val="24"/>
        </w:rPr>
        <w:t xml:space="preserve"> </w:t>
      </w:r>
      <w:r w:rsidR="00DB4CBA">
        <w:rPr>
          <w:color w:val="000000"/>
          <w:sz w:val="24"/>
          <w:szCs w:val="24"/>
        </w:rPr>
        <w:t>"</w:t>
      </w:r>
      <w:proofErr w:type="spellStart"/>
      <w:r w:rsidR="00DB4CBA">
        <w:rPr>
          <w:color w:val="000000"/>
          <w:sz w:val="24"/>
          <w:szCs w:val="24"/>
        </w:rPr>
        <w:t>Amarox</w:t>
      </w:r>
      <w:proofErr w:type="spellEnd"/>
      <w:r w:rsidR="00DB4CBA">
        <w:rPr>
          <w:color w:val="000000"/>
          <w:sz w:val="24"/>
          <w:szCs w:val="24"/>
        </w:rPr>
        <w:t>"</w:t>
      </w:r>
      <w:r w:rsidRPr="001A431A">
        <w:rPr>
          <w:color w:val="000000"/>
          <w:sz w:val="24"/>
          <w:szCs w:val="24"/>
        </w:rPr>
        <w:t xml:space="preserve"> er ikke indiceret til hverken kvinder eller børn. </w:t>
      </w:r>
    </w:p>
    <w:p w14:paraId="6AD1CB37" w14:textId="77777777" w:rsidR="00722F62" w:rsidRPr="001A431A" w:rsidRDefault="00722F62" w:rsidP="0000541F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en-IN"/>
        </w:rPr>
      </w:pPr>
    </w:p>
    <w:p w14:paraId="0D6DF7CB" w14:textId="27BC6F6A" w:rsidR="00722F62" w:rsidRPr="001A431A" w:rsidRDefault="00722F62" w:rsidP="0000541F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proofErr w:type="spellStart"/>
      <w:r w:rsidRPr="001A431A">
        <w:rPr>
          <w:color w:val="000000"/>
          <w:sz w:val="24"/>
          <w:szCs w:val="24"/>
        </w:rPr>
        <w:t>Finasterid</w:t>
      </w:r>
      <w:proofErr w:type="spellEnd"/>
      <w:r w:rsidRPr="001A431A">
        <w:rPr>
          <w:color w:val="000000"/>
          <w:sz w:val="24"/>
          <w:szCs w:val="24"/>
        </w:rPr>
        <w:t xml:space="preserve"> </w:t>
      </w:r>
      <w:r w:rsidR="00DB4CBA">
        <w:rPr>
          <w:color w:val="000000"/>
          <w:sz w:val="24"/>
          <w:szCs w:val="24"/>
        </w:rPr>
        <w:t>"</w:t>
      </w:r>
      <w:proofErr w:type="spellStart"/>
      <w:r w:rsidR="00DB4CBA">
        <w:rPr>
          <w:color w:val="000000"/>
          <w:sz w:val="24"/>
          <w:szCs w:val="24"/>
        </w:rPr>
        <w:t>Amarox</w:t>
      </w:r>
      <w:proofErr w:type="spellEnd"/>
      <w:r w:rsidR="00DB4CBA">
        <w:rPr>
          <w:color w:val="000000"/>
          <w:sz w:val="24"/>
          <w:szCs w:val="24"/>
        </w:rPr>
        <w:t>"</w:t>
      </w:r>
      <w:r w:rsidRPr="001A431A">
        <w:rPr>
          <w:color w:val="000000"/>
          <w:sz w:val="24"/>
          <w:szCs w:val="24"/>
        </w:rPr>
        <w:t xml:space="preserve"> er kontraindiceret i følgende tilfælde: </w:t>
      </w:r>
    </w:p>
    <w:p w14:paraId="4EC7CF22" w14:textId="77777777" w:rsidR="00722F62" w:rsidRPr="001A431A" w:rsidRDefault="00722F62" w:rsidP="0000541F">
      <w:pPr>
        <w:numPr>
          <w:ilvl w:val="0"/>
          <w:numId w:val="7"/>
        </w:numPr>
        <w:autoSpaceDE w:val="0"/>
        <w:autoSpaceDN w:val="0"/>
        <w:adjustRightInd w:val="0"/>
        <w:ind w:left="1276" w:hanging="425"/>
        <w:rPr>
          <w:color w:val="000000"/>
          <w:sz w:val="24"/>
          <w:szCs w:val="24"/>
        </w:rPr>
      </w:pPr>
      <w:r w:rsidRPr="001A431A">
        <w:rPr>
          <w:color w:val="000000"/>
          <w:sz w:val="24"/>
          <w:szCs w:val="24"/>
        </w:rPr>
        <w:t xml:space="preserve">Overfølsomhed over for det aktive stof eller over for et eller flere af hjælpestofferne anført i pkt. 6.1. </w:t>
      </w:r>
    </w:p>
    <w:p w14:paraId="62622184" w14:textId="77777777" w:rsidR="00722F62" w:rsidRPr="001A431A" w:rsidRDefault="00722F62" w:rsidP="0000541F">
      <w:pPr>
        <w:numPr>
          <w:ilvl w:val="0"/>
          <w:numId w:val="7"/>
        </w:numPr>
        <w:autoSpaceDE w:val="0"/>
        <w:autoSpaceDN w:val="0"/>
        <w:adjustRightInd w:val="0"/>
        <w:ind w:left="1276" w:hanging="425"/>
        <w:rPr>
          <w:color w:val="000000"/>
          <w:sz w:val="24"/>
          <w:szCs w:val="24"/>
        </w:rPr>
      </w:pPr>
      <w:r w:rsidRPr="001A431A">
        <w:rPr>
          <w:color w:val="000000"/>
          <w:sz w:val="24"/>
          <w:szCs w:val="24"/>
        </w:rPr>
        <w:t xml:space="preserve">Graviditet - kontraindiceret til kvinder, som kan blive eller er gravide (se pkt. 4.6). </w:t>
      </w:r>
    </w:p>
    <w:p w14:paraId="5EA56625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A4C91A1" w14:textId="77777777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4.4</w:t>
      </w:r>
      <w:r w:rsidRPr="001A431A">
        <w:rPr>
          <w:b/>
          <w:sz w:val="24"/>
          <w:szCs w:val="24"/>
        </w:rPr>
        <w:tab/>
        <w:t>Særlige advarsler og forsigtighedsregler vedrørende brugen</w:t>
      </w:r>
    </w:p>
    <w:p w14:paraId="173409F0" w14:textId="77777777" w:rsidR="00436560" w:rsidRDefault="00436560" w:rsidP="0000541F">
      <w:pPr>
        <w:ind w:left="851"/>
        <w:rPr>
          <w:i/>
          <w:sz w:val="24"/>
          <w:szCs w:val="24"/>
        </w:rPr>
      </w:pPr>
    </w:p>
    <w:p w14:paraId="4DC1217A" w14:textId="21C17F0E" w:rsidR="00722F62" w:rsidRPr="001A431A" w:rsidRDefault="00722F62" w:rsidP="0000541F">
      <w:pPr>
        <w:ind w:left="851"/>
        <w:rPr>
          <w:i/>
          <w:sz w:val="24"/>
          <w:szCs w:val="24"/>
        </w:rPr>
      </w:pPr>
      <w:r w:rsidRPr="001A431A">
        <w:rPr>
          <w:i/>
          <w:sz w:val="24"/>
          <w:szCs w:val="24"/>
        </w:rPr>
        <w:t>Generelle oplysninger</w:t>
      </w:r>
    </w:p>
    <w:p w14:paraId="052E21B6" w14:textId="77777777" w:rsidR="00722F62" w:rsidRPr="001A431A" w:rsidRDefault="00722F62" w:rsidP="0000541F">
      <w:pPr>
        <w:numPr>
          <w:ilvl w:val="0"/>
          <w:numId w:val="8"/>
        </w:numPr>
        <w:ind w:left="1276" w:hanging="425"/>
        <w:rPr>
          <w:sz w:val="24"/>
          <w:szCs w:val="24"/>
        </w:rPr>
      </w:pPr>
      <w:r w:rsidRPr="001A431A">
        <w:rPr>
          <w:sz w:val="24"/>
          <w:szCs w:val="24"/>
        </w:rPr>
        <w:t xml:space="preserve">Patienter med stor </w:t>
      </w:r>
      <w:proofErr w:type="spellStart"/>
      <w:r w:rsidRPr="001A431A">
        <w:rPr>
          <w:sz w:val="24"/>
          <w:szCs w:val="24"/>
        </w:rPr>
        <w:t>resturin</w:t>
      </w:r>
      <w:proofErr w:type="spellEnd"/>
      <w:r w:rsidRPr="001A431A">
        <w:rPr>
          <w:sz w:val="24"/>
          <w:szCs w:val="24"/>
        </w:rPr>
        <w:t xml:space="preserve"> og/eller med stærkt nedsat </w:t>
      </w:r>
      <w:proofErr w:type="spellStart"/>
      <w:r w:rsidRPr="001A431A">
        <w:rPr>
          <w:sz w:val="24"/>
          <w:szCs w:val="24"/>
        </w:rPr>
        <w:t>urinflow</w:t>
      </w:r>
      <w:proofErr w:type="spellEnd"/>
      <w:r w:rsidRPr="001A431A">
        <w:rPr>
          <w:sz w:val="24"/>
          <w:szCs w:val="24"/>
        </w:rPr>
        <w:t xml:space="preserve"> skal observeres nøje for at undgå obstruktiv urinvejslidelse. Det skal være muligt at operere. </w:t>
      </w:r>
    </w:p>
    <w:p w14:paraId="55CFF52B" w14:textId="77777777" w:rsidR="00722F62" w:rsidRPr="001A431A" w:rsidRDefault="00722F62" w:rsidP="0000541F">
      <w:pPr>
        <w:numPr>
          <w:ilvl w:val="0"/>
          <w:numId w:val="8"/>
        </w:numPr>
        <w:ind w:left="1276" w:hanging="425"/>
        <w:rPr>
          <w:sz w:val="24"/>
          <w:szCs w:val="24"/>
        </w:rPr>
      </w:pPr>
      <w:r w:rsidRPr="001A431A">
        <w:rPr>
          <w:sz w:val="24"/>
          <w:szCs w:val="24"/>
        </w:rPr>
        <w:t xml:space="preserve">Konsultation hos en urolog bør overvejes til patienter, som behandles med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>.</w:t>
      </w:r>
    </w:p>
    <w:p w14:paraId="25FD595A" w14:textId="64FDEE62" w:rsidR="00722F62" w:rsidRPr="001A431A" w:rsidRDefault="00722F62" w:rsidP="0000541F">
      <w:pPr>
        <w:numPr>
          <w:ilvl w:val="0"/>
          <w:numId w:val="8"/>
        </w:numPr>
        <w:autoSpaceDE w:val="0"/>
        <w:autoSpaceDN w:val="0"/>
        <w:adjustRightInd w:val="0"/>
        <w:ind w:left="1276" w:hanging="425"/>
        <w:rPr>
          <w:sz w:val="24"/>
          <w:szCs w:val="24"/>
        </w:rPr>
      </w:pP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</w:t>
      </w:r>
      <w:r w:rsidR="00DB4CBA">
        <w:rPr>
          <w:sz w:val="24"/>
          <w:szCs w:val="24"/>
        </w:rPr>
        <w:t>"</w:t>
      </w:r>
      <w:proofErr w:type="spellStart"/>
      <w:r w:rsidR="00DB4CBA">
        <w:rPr>
          <w:sz w:val="24"/>
          <w:szCs w:val="24"/>
        </w:rPr>
        <w:t>Amarox</w:t>
      </w:r>
      <w:proofErr w:type="spellEnd"/>
      <w:r w:rsidR="00DB4CBA">
        <w:rPr>
          <w:sz w:val="24"/>
          <w:szCs w:val="24"/>
        </w:rPr>
        <w:t>"</w:t>
      </w:r>
      <w:r w:rsidRPr="001A431A">
        <w:rPr>
          <w:sz w:val="24"/>
          <w:szCs w:val="24"/>
        </w:rPr>
        <w:t xml:space="preserve"> indeholder </w:t>
      </w:r>
      <w:proofErr w:type="spellStart"/>
      <w:r w:rsidRPr="001A431A">
        <w:rPr>
          <w:sz w:val="24"/>
          <w:szCs w:val="24"/>
        </w:rPr>
        <w:t>lactosemonohydrat</w:t>
      </w:r>
      <w:proofErr w:type="spellEnd"/>
      <w:r w:rsidRPr="001A431A">
        <w:rPr>
          <w:sz w:val="24"/>
          <w:szCs w:val="24"/>
        </w:rPr>
        <w:t xml:space="preserve">. Bør ikke anvendes til patienter med arvelig </w:t>
      </w:r>
      <w:proofErr w:type="spellStart"/>
      <w:r w:rsidRPr="001A431A">
        <w:rPr>
          <w:sz w:val="24"/>
          <w:szCs w:val="24"/>
        </w:rPr>
        <w:t>galactoseintolerans</w:t>
      </w:r>
      <w:proofErr w:type="spellEnd"/>
      <w:r w:rsidRPr="001A431A">
        <w:rPr>
          <w:sz w:val="24"/>
          <w:szCs w:val="24"/>
        </w:rPr>
        <w:t xml:space="preserve">, total </w:t>
      </w:r>
      <w:proofErr w:type="spellStart"/>
      <w:r w:rsidRPr="001A431A">
        <w:rPr>
          <w:sz w:val="24"/>
          <w:szCs w:val="24"/>
        </w:rPr>
        <w:t>lactasemangel</w:t>
      </w:r>
      <w:proofErr w:type="spellEnd"/>
      <w:r w:rsidRPr="001A431A">
        <w:rPr>
          <w:sz w:val="24"/>
          <w:szCs w:val="24"/>
        </w:rPr>
        <w:t xml:space="preserve"> eller </w:t>
      </w:r>
      <w:proofErr w:type="spellStart"/>
      <w:r w:rsidRPr="001A431A">
        <w:rPr>
          <w:sz w:val="24"/>
          <w:szCs w:val="24"/>
        </w:rPr>
        <w:t>glucose</w:t>
      </w:r>
      <w:proofErr w:type="spellEnd"/>
      <w:r w:rsidRPr="001A431A">
        <w:rPr>
          <w:sz w:val="24"/>
          <w:szCs w:val="24"/>
        </w:rPr>
        <w:t>/</w:t>
      </w:r>
      <w:proofErr w:type="spellStart"/>
      <w:r w:rsidRPr="001A431A">
        <w:rPr>
          <w:sz w:val="24"/>
          <w:szCs w:val="24"/>
        </w:rPr>
        <w:t>galactose</w:t>
      </w:r>
      <w:r w:rsidR="00F57D36">
        <w:rPr>
          <w:sz w:val="24"/>
          <w:szCs w:val="24"/>
        </w:rPr>
        <w:softHyphen/>
      </w:r>
      <w:r w:rsidRPr="001A431A">
        <w:rPr>
          <w:sz w:val="24"/>
          <w:szCs w:val="24"/>
        </w:rPr>
        <w:t>malabsorption</w:t>
      </w:r>
      <w:proofErr w:type="spellEnd"/>
      <w:r w:rsidRPr="001A431A">
        <w:rPr>
          <w:sz w:val="24"/>
          <w:szCs w:val="24"/>
        </w:rPr>
        <w:t>.</w:t>
      </w:r>
    </w:p>
    <w:p w14:paraId="0359864D" w14:textId="7D34EA35" w:rsidR="00722F62" w:rsidRPr="001A431A" w:rsidRDefault="00722F62" w:rsidP="0000541F">
      <w:pPr>
        <w:numPr>
          <w:ilvl w:val="0"/>
          <w:numId w:val="8"/>
        </w:numPr>
        <w:autoSpaceDE w:val="0"/>
        <w:autoSpaceDN w:val="0"/>
        <w:adjustRightInd w:val="0"/>
        <w:ind w:left="1276" w:hanging="425"/>
        <w:rPr>
          <w:sz w:val="24"/>
          <w:szCs w:val="24"/>
        </w:rPr>
      </w:pPr>
      <w:proofErr w:type="spellStart"/>
      <w:r w:rsidRPr="001A431A">
        <w:rPr>
          <w:sz w:val="24"/>
          <w:szCs w:val="24"/>
        </w:rPr>
        <w:lastRenderedPageBreak/>
        <w:t>Finasterid</w:t>
      </w:r>
      <w:proofErr w:type="spellEnd"/>
      <w:r w:rsidRPr="001A431A">
        <w:rPr>
          <w:sz w:val="24"/>
          <w:szCs w:val="24"/>
        </w:rPr>
        <w:t xml:space="preserve"> </w:t>
      </w:r>
      <w:r w:rsidR="00DB4CBA">
        <w:rPr>
          <w:sz w:val="24"/>
          <w:szCs w:val="24"/>
        </w:rPr>
        <w:t>"</w:t>
      </w:r>
      <w:proofErr w:type="spellStart"/>
      <w:r w:rsidR="00DB4CBA">
        <w:rPr>
          <w:sz w:val="24"/>
          <w:szCs w:val="24"/>
        </w:rPr>
        <w:t>Amarox</w:t>
      </w:r>
      <w:proofErr w:type="spellEnd"/>
      <w:r w:rsidR="00DB4CBA">
        <w:rPr>
          <w:sz w:val="24"/>
          <w:szCs w:val="24"/>
        </w:rPr>
        <w:t>"</w:t>
      </w:r>
      <w:r w:rsidRPr="001A431A">
        <w:rPr>
          <w:sz w:val="24"/>
          <w:szCs w:val="24"/>
        </w:rPr>
        <w:t xml:space="preserve"> indeholder natrium. </w:t>
      </w:r>
      <w:bookmarkStart w:id="1" w:name="_Hlk19020912"/>
      <w:r w:rsidRPr="001A431A">
        <w:rPr>
          <w:sz w:val="24"/>
          <w:szCs w:val="24"/>
        </w:rPr>
        <w:t xml:space="preserve">Dette lægemiddel indeholder mindre end 1 mmol (23 mg) natrium pr. tablet, dvs. det er i det væsentlige </w:t>
      </w:r>
      <w:r w:rsidR="00F57D36">
        <w:rPr>
          <w:sz w:val="24"/>
          <w:szCs w:val="24"/>
        </w:rPr>
        <w:t>"</w:t>
      </w:r>
      <w:r w:rsidRPr="001A431A">
        <w:rPr>
          <w:sz w:val="24"/>
          <w:szCs w:val="24"/>
        </w:rPr>
        <w:t>natriumfrit</w:t>
      </w:r>
      <w:r w:rsidR="00F57D36">
        <w:rPr>
          <w:sz w:val="24"/>
          <w:szCs w:val="24"/>
        </w:rPr>
        <w:t>"</w:t>
      </w:r>
      <w:r w:rsidRPr="001A431A">
        <w:rPr>
          <w:sz w:val="24"/>
          <w:szCs w:val="24"/>
        </w:rPr>
        <w:t>.</w:t>
      </w:r>
      <w:bookmarkEnd w:id="1"/>
    </w:p>
    <w:p w14:paraId="1C81D8B8" w14:textId="77777777" w:rsidR="00722F62" w:rsidRPr="001A431A" w:rsidRDefault="00722F62" w:rsidP="0000541F">
      <w:pPr>
        <w:ind w:left="851"/>
        <w:rPr>
          <w:sz w:val="24"/>
          <w:szCs w:val="24"/>
        </w:rPr>
      </w:pPr>
    </w:p>
    <w:p w14:paraId="3C63CCC8" w14:textId="77777777" w:rsidR="00722F62" w:rsidRPr="001A431A" w:rsidRDefault="00722F62" w:rsidP="0000541F">
      <w:pPr>
        <w:ind w:left="851"/>
        <w:rPr>
          <w:i/>
          <w:sz w:val="24"/>
          <w:szCs w:val="24"/>
        </w:rPr>
      </w:pPr>
      <w:r w:rsidRPr="001A431A">
        <w:rPr>
          <w:i/>
          <w:sz w:val="24"/>
          <w:szCs w:val="24"/>
        </w:rPr>
        <w:t>Virkninger på prostataspecifikt antigen (PSA) og påvisning af prostatacancer</w:t>
      </w:r>
    </w:p>
    <w:p w14:paraId="5BB3E880" w14:textId="77777777" w:rsidR="00722F62" w:rsidRPr="001A431A" w:rsidRDefault="00722F62" w:rsidP="0000541F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Der er endnu ikke påvist kliniske fordele hos patienter med prostatacancer, der blev behandlet med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. Patienter med benign </w:t>
      </w:r>
      <w:proofErr w:type="spellStart"/>
      <w:r w:rsidRPr="001A431A">
        <w:rPr>
          <w:sz w:val="24"/>
          <w:szCs w:val="24"/>
        </w:rPr>
        <w:t>prostatahyperplasi</w:t>
      </w:r>
      <w:proofErr w:type="spellEnd"/>
      <w:r w:rsidRPr="001A431A">
        <w:rPr>
          <w:sz w:val="24"/>
          <w:szCs w:val="24"/>
        </w:rPr>
        <w:t xml:space="preserve"> (BPH) og forhøjet prostataspecifikt antigen (PSA) i serum blev monitoreret i kontrollerede, kliniske undersøgelser med gentagne PSA- og prostatabiopsier. I disse BPH-undersøgelser syntes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ikke at ændre frekvensen af påvisning af cancer, og den overordnede forekomst af prostatacancer var ikke signifikant forskellig for patienter behandlet med hhv.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og placebo. </w:t>
      </w:r>
    </w:p>
    <w:p w14:paraId="1FEB5A28" w14:textId="77777777" w:rsidR="00722F62" w:rsidRPr="001A431A" w:rsidRDefault="00722F62" w:rsidP="0000541F">
      <w:pPr>
        <w:ind w:left="851"/>
        <w:rPr>
          <w:sz w:val="24"/>
          <w:szCs w:val="24"/>
        </w:rPr>
      </w:pPr>
    </w:p>
    <w:p w14:paraId="22EE7A56" w14:textId="77777777" w:rsidR="00722F62" w:rsidRPr="001A431A" w:rsidRDefault="00722F62" w:rsidP="0000541F">
      <w:pPr>
        <w:tabs>
          <w:tab w:val="left" w:pos="1304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Digital </w:t>
      </w:r>
      <w:proofErr w:type="spellStart"/>
      <w:r w:rsidRPr="001A431A">
        <w:rPr>
          <w:sz w:val="24"/>
          <w:szCs w:val="24"/>
        </w:rPr>
        <w:t>rektalundersøgelse</w:t>
      </w:r>
      <w:proofErr w:type="spellEnd"/>
      <w:r w:rsidRPr="001A431A">
        <w:rPr>
          <w:sz w:val="24"/>
          <w:szCs w:val="24"/>
        </w:rPr>
        <w:t xml:space="preserve"> og, om nødvendigt, undersøgelse af </w:t>
      </w:r>
      <w:proofErr w:type="gramStart"/>
      <w:r w:rsidRPr="001A431A">
        <w:rPr>
          <w:sz w:val="24"/>
          <w:szCs w:val="24"/>
        </w:rPr>
        <w:t>prostataspecifik antigen</w:t>
      </w:r>
      <w:proofErr w:type="gramEnd"/>
      <w:r w:rsidRPr="001A431A">
        <w:rPr>
          <w:sz w:val="24"/>
          <w:szCs w:val="24"/>
        </w:rPr>
        <w:t xml:space="preserve"> (PSA) i serum, bør foretages før start af behandling med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og periodevis under behandlingen for at udelukke prostatacancer. Generelt udløser baseline PSA &gt;10 </w:t>
      </w:r>
      <w:proofErr w:type="spellStart"/>
      <w:r w:rsidRPr="001A431A">
        <w:rPr>
          <w:sz w:val="24"/>
          <w:szCs w:val="24"/>
        </w:rPr>
        <w:t>ng</w:t>
      </w:r>
      <w:proofErr w:type="spellEnd"/>
      <w:r w:rsidRPr="001A431A">
        <w:rPr>
          <w:sz w:val="24"/>
          <w:szCs w:val="24"/>
        </w:rPr>
        <w:t>/ml (</w:t>
      </w:r>
      <w:proofErr w:type="spellStart"/>
      <w:r w:rsidRPr="001A431A">
        <w:rPr>
          <w:sz w:val="24"/>
          <w:szCs w:val="24"/>
        </w:rPr>
        <w:t>Hybritech</w:t>
      </w:r>
      <w:proofErr w:type="spellEnd"/>
      <w:r w:rsidRPr="001A431A">
        <w:rPr>
          <w:sz w:val="24"/>
          <w:szCs w:val="24"/>
        </w:rPr>
        <w:t xml:space="preserve">) yderligere vurdering og overvejelse af at foretage biopsi. Ved PSA-niveauer på mellem 4 og 10 </w:t>
      </w:r>
      <w:proofErr w:type="spellStart"/>
      <w:r w:rsidRPr="001A431A">
        <w:rPr>
          <w:sz w:val="24"/>
          <w:szCs w:val="24"/>
        </w:rPr>
        <w:t>ng</w:t>
      </w:r>
      <w:proofErr w:type="spellEnd"/>
      <w:r w:rsidRPr="001A431A">
        <w:rPr>
          <w:sz w:val="24"/>
          <w:szCs w:val="24"/>
        </w:rPr>
        <w:t xml:space="preserve">/ml tilrådes yderligere vurdering. Der er betydeligt overlap af PSA-niveauer hos mænd med og uden prostatacancer. Hos mænd med BPH udelukker PSA-koncentration inden for normalområdet ikke prostatacancer, uanset om der behandles med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. En baseline PSA &lt;4 </w:t>
      </w:r>
      <w:proofErr w:type="spellStart"/>
      <w:r w:rsidRPr="001A431A">
        <w:rPr>
          <w:sz w:val="24"/>
          <w:szCs w:val="24"/>
        </w:rPr>
        <w:t>ng</w:t>
      </w:r>
      <w:proofErr w:type="spellEnd"/>
      <w:r w:rsidRPr="001A431A">
        <w:rPr>
          <w:sz w:val="24"/>
          <w:szCs w:val="24"/>
        </w:rPr>
        <w:t xml:space="preserve">/ml udelukker ikke prostatacancer. </w:t>
      </w:r>
    </w:p>
    <w:p w14:paraId="31D80BDC" w14:textId="77777777" w:rsidR="00722F62" w:rsidRPr="001A431A" w:rsidRDefault="00722F62" w:rsidP="0000541F">
      <w:pPr>
        <w:ind w:left="851"/>
        <w:rPr>
          <w:sz w:val="24"/>
          <w:szCs w:val="24"/>
        </w:rPr>
      </w:pPr>
    </w:p>
    <w:p w14:paraId="484BCFDD" w14:textId="77777777" w:rsidR="00722F62" w:rsidRPr="001A431A" w:rsidRDefault="00722F62" w:rsidP="0000541F">
      <w:pPr>
        <w:ind w:left="851"/>
        <w:rPr>
          <w:sz w:val="24"/>
          <w:szCs w:val="24"/>
        </w:rPr>
      </w:pP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5 mg forårsager et fald i serum PSA-koncentrationen på ca. 50 % hos patienter med benign </w:t>
      </w:r>
      <w:proofErr w:type="spellStart"/>
      <w:r w:rsidRPr="001A431A">
        <w:rPr>
          <w:sz w:val="24"/>
          <w:szCs w:val="24"/>
        </w:rPr>
        <w:t>prostatahyperplasi</w:t>
      </w:r>
      <w:proofErr w:type="spellEnd"/>
      <w:r w:rsidRPr="001A431A">
        <w:rPr>
          <w:sz w:val="24"/>
          <w:szCs w:val="24"/>
        </w:rPr>
        <w:t xml:space="preserve">, selv ved tilstedeværelsen af prostatacancer. Der skal tages højde for dette fald i serummets PSA-værdier hos patienter med benign </w:t>
      </w:r>
      <w:proofErr w:type="spellStart"/>
      <w:r w:rsidRPr="001A431A">
        <w:rPr>
          <w:sz w:val="24"/>
          <w:szCs w:val="24"/>
        </w:rPr>
        <w:t>prostatahyperplasi</w:t>
      </w:r>
      <w:proofErr w:type="spellEnd"/>
      <w:r w:rsidRPr="001A431A">
        <w:rPr>
          <w:sz w:val="24"/>
          <w:szCs w:val="24"/>
        </w:rPr>
        <w:t xml:space="preserve">, der behandles med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, når PSA-data evalueres, da faldet ikke udelukker samtidig prostatacancer. Faldet er forudsigeligt for samtlige PSA-værdier, selvom det kan være forskelligt fra patient til patient. En analyse af PSA-data fra mere end 3.000 patienter i et 4-årigt dobbeltblindt, placebokontrolleret forsøg med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(Long-Term </w:t>
      </w:r>
      <w:proofErr w:type="spellStart"/>
      <w:r w:rsidRPr="001A431A">
        <w:rPr>
          <w:sz w:val="24"/>
          <w:szCs w:val="24"/>
        </w:rPr>
        <w:t>Efficacy</w:t>
      </w:r>
      <w:proofErr w:type="spellEnd"/>
      <w:r w:rsidRPr="001A431A">
        <w:rPr>
          <w:sz w:val="24"/>
          <w:szCs w:val="24"/>
        </w:rPr>
        <w:t xml:space="preserve"> and Safety </w:t>
      </w:r>
      <w:proofErr w:type="spellStart"/>
      <w:r w:rsidRPr="001A431A">
        <w:rPr>
          <w:sz w:val="24"/>
          <w:szCs w:val="24"/>
        </w:rPr>
        <w:t>Study</w:t>
      </w:r>
      <w:proofErr w:type="spellEnd"/>
      <w:r w:rsidRPr="001A431A">
        <w:rPr>
          <w:sz w:val="24"/>
          <w:szCs w:val="24"/>
        </w:rPr>
        <w:t xml:space="preserve"> (PLESS)) bekræftede, at hos patienter, der blev behandlet med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5 mg i seks måneder eller mere, bør PSA-værdierne fordobles for at kunne sammenlignes med normalområderne hos mænd, der ikke er i behandling. Denne justering sikrer følsomheden og nøjagtigheden af PSA-bestemmelsen og bevarer egenskaben til at detektere prostatacancer. </w:t>
      </w:r>
    </w:p>
    <w:p w14:paraId="1F721C11" w14:textId="77777777" w:rsidR="00722F62" w:rsidRPr="001A431A" w:rsidRDefault="00722F62" w:rsidP="0000541F">
      <w:pPr>
        <w:ind w:left="851"/>
        <w:rPr>
          <w:sz w:val="24"/>
          <w:szCs w:val="24"/>
        </w:rPr>
      </w:pPr>
    </w:p>
    <w:p w14:paraId="77AB764A" w14:textId="77777777" w:rsidR="00722F62" w:rsidRPr="001A431A" w:rsidRDefault="00722F62" w:rsidP="0000541F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Enhver vedvarende stigning i PSA-niveauet hos patienter, der får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5 mg, skal evalueres nøje, og det bør overvejes, om det skyldes manglende compliance med behandlingen. </w:t>
      </w:r>
    </w:p>
    <w:p w14:paraId="07E5E4FB" w14:textId="77777777" w:rsidR="00722F62" w:rsidRPr="001A431A" w:rsidRDefault="00722F62" w:rsidP="0000541F">
      <w:pPr>
        <w:ind w:left="851"/>
        <w:rPr>
          <w:sz w:val="24"/>
          <w:szCs w:val="24"/>
        </w:rPr>
      </w:pPr>
    </w:p>
    <w:p w14:paraId="198E1A79" w14:textId="77777777" w:rsidR="00722F62" w:rsidRPr="001A431A" w:rsidRDefault="00722F62" w:rsidP="0000541F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Procentdelen af frit PSA (frit over totalt PSA-ratio) reduceres ikke signifikant af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5 mg. Forholdet mellem frit og totalt PSA forbliver konstant selv ved påvirkning af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5 mg. Når den procentvise andel af frit PSA bruges som en hjælp til detektion af prostatacancer, er der ikke grund til at foretage en justering. </w:t>
      </w:r>
    </w:p>
    <w:p w14:paraId="7B9A4AA7" w14:textId="77777777" w:rsidR="00722F62" w:rsidRPr="001A431A" w:rsidRDefault="00722F62" w:rsidP="0000541F">
      <w:pPr>
        <w:ind w:left="851"/>
        <w:rPr>
          <w:i/>
          <w:sz w:val="24"/>
          <w:szCs w:val="24"/>
        </w:rPr>
      </w:pPr>
    </w:p>
    <w:p w14:paraId="692ED96F" w14:textId="77777777" w:rsidR="00722F62" w:rsidRPr="001A431A" w:rsidRDefault="00722F62" w:rsidP="0000541F">
      <w:pPr>
        <w:ind w:left="851"/>
        <w:rPr>
          <w:i/>
          <w:sz w:val="24"/>
          <w:szCs w:val="24"/>
        </w:rPr>
      </w:pPr>
      <w:r w:rsidRPr="001A431A">
        <w:rPr>
          <w:i/>
          <w:sz w:val="24"/>
          <w:szCs w:val="24"/>
        </w:rPr>
        <w:t xml:space="preserve">Interaktioner mellem lægemiddel og laboratorietest </w:t>
      </w:r>
    </w:p>
    <w:p w14:paraId="45585F66" w14:textId="77777777" w:rsidR="00722F62" w:rsidRPr="001A431A" w:rsidRDefault="00722F62" w:rsidP="0000541F">
      <w:pPr>
        <w:ind w:left="851"/>
        <w:rPr>
          <w:sz w:val="24"/>
          <w:szCs w:val="24"/>
        </w:rPr>
      </w:pPr>
    </w:p>
    <w:p w14:paraId="6A50B15B" w14:textId="77777777" w:rsidR="00722F62" w:rsidRPr="001A431A" w:rsidRDefault="00722F62" w:rsidP="0000541F">
      <w:pPr>
        <w:ind w:left="851"/>
        <w:rPr>
          <w:i/>
          <w:sz w:val="24"/>
          <w:szCs w:val="24"/>
        </w:rPr>
      </w:pPr>
      <w:r w:rsidRPr="001A431A">
        <w:rPr>
          <w:i/>
          <w:sz w:val="24"/>
          <w:szCs w:val="24"/>
        </w:rPr>
        <w:t xml:space="preserve">Virkningen på PSA-koncentrationen </w:t>
      </w:r>
    </w:p>
    <w:p w14:paraId="34B0E014" w14:textId="22D42ED7" w:rsidR="00722F62" w:rsidRPr="001A431A" w:rsidRDefault="00722F62" w:rsidP="0000541F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Serummets PSA-koncentration er forbundet med patientalder og prostatavolumen, og prostatavolumen er forbundet med patientalder. Når PSA-laboratorieværdierne er blevet evalueret, skal der tages højde for, at PSA-værdierne normalt falder hos patienter, der behandles med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5 mg. Hos de fleste patienter observeres der et hurtigt fald i PSA i løbet af behandlingens første måneder, hvorefter PSA-værdierne stabiliseres på et nyt </w:t>
      </w:r>
      <w:r w:rsidRPr="001A431A">
        <w:rPr>
          <w:sz w:val="24"/>
          <w:szCs w:val="24"/>
        </w:rPr>
        <w:lastRenderedPageBreak/>
        <w:t xml:space="preserve">baselineniveau. Baselineniveauet efter behandling er næsten halveret i forhold til værdien før behandling. Hos typiske patienter, der behandles med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5 mg i seks måneder eller mere, skal PSA-værdierne derfor fordobles for at kunne sammenlignes med normalområderne for mænd, der ikke var i behandling. For at få en klinisk vurdering se </w:t>
      </w:r>
      <w:r w:rsidR="00F47611">
        <w:rPr>
          <w:sz w:val="24"/>
          <w:szCs w:val="24"/>
        </w:rPr>
        <w:t>"</w:t>
      </w:r>
      <w:r w:rsidRPr="001A431A">
        <w:rPr>
          <w:sz w:val="24"/>
          <w:szCs w:val="24"/>
        </w:rPr>
        <w:t>Virkninger på prostataspecifikt antigen (PSA) og detektion af prostatacancer</w:t>
      </w:r>
      <w:r w:rsidR="00F47611">
        <w:rPr>
          <w:sz w:val="24"/>
          <w:szCs w:val="24"/>
        </w:rPr>
        <w:t>"</w:t>
      </w:r>
      <w:r w:rsidRPr="001A431A">
        <w:rPr>
          <w:sz w:val="24"/>
          <w:szCs w:val="24"/>
        </w:rPr>
        <w:t xml:space="preserve"> i dette afsnit. Der blev ikke observeret nogen anden forskel hos patienter, der blev behandlet med placebo eller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i standardlaboratorieprøver. </w:t>
      </w:r>
    </w:p>
    <w:p w14:paraId="009127F3" w14:textId="77777777" w:rsidR="00722F62" w:rsidRPr="001A431A" w:rsidRDefault="00722F62" w:rsidP="0000541F">
      <w:pPr>
        <w:ind w:left="851"/>
        <w:rPr>
          <w:sz w:val="24"/>
          <w:szCs w:val="24"/>
        </w:rPr>
      </w:pPr>
    </w:p>
    <w:p w14:paraId="5BB65018" w14:textId="77777777" w:rsidR="00722F62" w:rsidRPr="001A431A" w:rsidRDefault="00722F62" w:rsidP="0000541F">
      <w:pPr>
        <w:ind w:left="851"/>
        <w:rPr>
          <w:i/>
          <w:sz w:val="24"/>
          <w:szCs w:val="24"/>
        </w:rPr>
      </w:pPr>
      <w:r w:rsidRPr="001A431A">
        <w:rPr>
          <w:i/>
          <w:sz w:val="24"/>
          <w:szCs w:val="24"/>
        </w:rPr>
        <w:t xml:space="preserve">Brystcancer hos mænd </w:t>
      </w:r>
    </w:p>
    <w:p w14:paraId="7C2B991C" w14:textId="77777777" w:rsidR="00722F62" w:rsidRPr="001A431A" w:rsidRDefault="00722F62" w:rsidP="0000541F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Der er indberettet brystcancer hos mænd, der tager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5 mg, i kliniske forsøg samt i perioden efter markedsføring. Læger bør instruere deres patienter i straks at indberette alle ændringer i brystvæv, såsom knuder, smerter, </w:t>
      </w:r>
      <w:proofErr w:type="spellStart"/>
      <w:r w:rsidRPr="001A431A">
        <w:rPr>
          <w:sz w:val="24"/>
          <w:szCs w:val="24"/>
        </w:rPr>
        <w:t>gynækomasti</w:t>
      </w:r>
      <w:proofErr w:type="spellEnd"/>
      <w:r w:rsidRPr="001A431A">
        <w:rPr>
          <w:sz w:val="24"/>
          <w:szCs w:val="24"/>
        </w:rPr>
        <w:t xml:space="preserve"> eller sekretion fra brystvorter. </w:t>
      </w:r>
    </w:p>
    <w:p w14:paraId="2F9DBE29" w14:textId="77777777" w:rsidR="00722F62" w:rsidRPr="001A431A" w:rsidRDefault="00722F62" w:rsidP="0000541F">
      <w:pPr>
        <w:ind w:left="851"/>
        <w:rPr>
          <w:sz w:val="24"/>
          <w:szCs w:val="24"/>
        </w:rPr>
      </w:pPr>
    </w:p>
    <w:p w14:paraId="5194EF74" w14:textId="77777777" w:rsidR="00722F62" w:rsidRPr="001A431A" w:rsidRDefault="00722F62" w:rsidP="0000541F">
      <w:pPr>
        <w:ind w:left="851"/>
        <w:rPr>
          <w:i/>
          <w:iCs/>
          <w:sz w:val="24"/>
          <w:szCs w:val="24"/>
        </w:rPr>
      </w:pPr>
      <w:r w:rsidRPr="001A431A">
        <w:rPr>
          <w:i/>
          <w:iCs/>
          <w:sz w:val="24"/>
          <w:szCs w:val="24"/>
        </w:rPr>
        <w:t xml:space="preserve">Pædiatrisk population </w:t>
      </w:r>
    </w:p>
    <w:p w14:paraId="59B316B2" w14:textId="77777777" w:rsidR="00722F62" w:rsidRPr="001A431A" w:rsidRDefault="00722F62" w:rsidP="0000541F">
      <w:pPr>
        <w:ind w:left="851"/>
        <w:rPr>
          <w:sz w:val="24"/>
          <w:szCs w:val="24"/>
        </w:rPr>
      </w:pP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5 mg er ikke indiceret til brug hos børn. </w:t>
      </w:r>
    </w:p>
    <w:p w14:paraId="467A9789" w14:textId="77777777" w:rsidR="00722F62" w:rsidRPr="001A431A" w:rsidRDefault="00722F62" w:rsidP="0000541F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Sikkerhed og virkning hos børn er blevet ikke fastlagt. </w:t>
      </w:r>
    </w:p>
    <w:p w14:paraId="681439AF" w14:textId="77777777" w:rsidR="00722F62" w:rsidRPr="001A431A" w:rsidRDefault="00722F62" w:rsidP="0000541F">
      <w:pPr>
        <w:ind w:left="851"/>
        <w:rPr>
          <w:sz w:val="24"/>
          <w:szCs w:val="24"/>
        </w:rPr>
      </w:pPr>
    </w:p>
    <w:p w14:paraId="6AF5E363" w14:textId="77777777" w:rsidR="00722F62" w:rsidRPr="001A431A" w:rsidRDefault="00722F62" w:rsidP="0000541F">
      <w:pPr>
        <w:ind w:left="851"/>
        <w:rPr>
          <w:i/>
          <w:sz w:val="24"/>
          <w:szCs w:val="24"/>
        </w:rPr>
      </w:pPr>
      <w:r w:rsidRPr="001A431A">
        <w:rPr>
          <w:i/>
          <w:sz w:val="24"/>
          <w:szCs w:val="24"/>
        </w:rPr>
        <w:t>Leverinsufficiens</w:t>
      </w:r>
    </w:p>
    <w:p w14:paraId="76212D9F" w14:textId="77777777" w:rsidR="00722F62" w:rsidRPr="001A431A" w:rsidRDefault="00722F62" w:rsidP="0000541F">
      <w:pPr>
        <w:tabs>
          <w:tab w:val="left" w:pos="1304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Virkningen af leverinsufficiens på </w:t>
      </w:r>
      <w:proofErr w:type="spellStart"/>
      <w:r w:rsidRPr="001A431A">
        <w:rPr>
          <w:sz w:val="24"/>
          <w:szCs w:val="24"/>
        </w:rPr>
        <w:t>finasterids</w:t>
      </w:r>
      <w:proofErr w:type="spellEnd"/>
      <w:r w:rsidRPr="001A431A">
        <w:rPr>
          <w:sz w:val="24"/>
          <w:szCs w:val="24"/>
        </w:rPr>
        <w:t xml:space="preserve"> farmakokinetik er ikke blevet undersøgt. </w:t>
      </w:r>
    </w:p>
    <w:p w14:paraId="71E012E3" w14:textId="77777777" w:rsidR="00722F62" w:rsidRPr="001A431A" w:rsidRDefault="00722F62" w:rsidP="0000541F">
      <w:pPr>
        <w:ind w:left="851"/>
        <w:rPr>
          <w:sz w:val="24"/>
          <w:szCs w:val="24"/>
        </w:rPr>
      </w:pPr>
    </w:p>
    <w:p w14:paraId="3C417E7C" w14:textId="77777777" w:rsidR="00722F62" w:rsidRPr="001A431A" w:rsidRDefault="00722F62" w:rsidP="0000541F">
      <w:pPr>
        <w:ind w:left="851"/>
        <w:rPr>
          <w:sz w:val="24"/>
          <w:szCs w:val="24"/>
        </w:rPr>
      </w:pPr>
      <w:r w:rsidRPr="001A431A">
        <w:rPr>
          <w:i/>
          <w:iCs/>
          <w:sz w:val="24"/>
          <w:szCs w:val="24"/>
        </w:rPr>
        <w:t>Humørændringer og depression</w:t>
      </w:r>
    </w:p>
    <w:p w14:paraId="379E23CE" w14:textId="77777777" w:rsidR="00722F62" w:rsidRPr="001A431A" w:rsidRDefault="00722F62" w:rsidP="0000541F">
      <w:pPr>
        <w:ind w:left="851"/>
        <w:rPr>
          <w:sz w:val="24"/>
          <w:szCs w:val="24"/>
        </w:rPr>
      </w:pPr>
      <w:r w:rsidRPr="001A431A">
        <w:rPr>
          <w:color w:val="000000"/>
          <w:sz w:val="24"/>
          <w:szCs w:val="24"/>
        </w:rPr>
        <w:t xml:space="preserve">Der er rapporteret humørsvingninger herunder forsænket stemningsleje, depression og, mindre hyppigt, selvmordstanker hos patienter, der er blevet behandlet med </w:t>
      </w:r>
      <w:proofErr w:type="spellStart"/>
      <w:r w:rsidRPr="001A431A">
        <w:rPr>
          <w:color w:val="000000"/>
          <w:sz w:val="24"/>
          <w:szCs w:val="24"/>
        </w:rPr>
        <w:t>finasterid</w:t>
      </w:r>
      <w:proofErr w:type="spellEnd"/>
      <w:r w:rsidRPr="001A431A">
        <w:rPr>
          <w:color w:val="000000"/>
          <w:sz w:val="24"/>
          <w:szCs w:val="24"/>
        </w:rPr>
        <w:t xml:space="preserve"> 5 mg. Patienterne skal monitoreres for psykiske symptomer, og hvis disse forekommer, skal patienten rådes til at søge lægehjælp.</w:t>
      </w:r>
    </w:p>
    <w:p w14:paraId="3D14BE20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FCE9E20" w14:textId="77777777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4.5</w:t>
      </w:r>
      <w:r w:rsidRPr="001A431A">
        <w:rPr>
          <w:b/>
          <w:sz w:val="24"/>
          <w:szCs w:val="24"/>
        </w:rPr>
        <w:tab/>
        <w:t>Interaktion med andre lægemidler og andre former for interaktion</w:t>
      </w:r>
    </w:p>
    <w:p w14:paraId="2EC68E90" w14:textId="36EF73F7" w:rsidR="00722F62" w:rsidRPr="001A431A" w:rsidRDefault="00722F62" w:rsidP="0000541F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Der er ikke identificeret lægemiddelinteraktioner af klinisk betydning.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</w:t>
      </w:r>
      <w:proofErr w:type="spellStart"/>
      <w:r w:rsidRPr="001A431A">
        <w:rPr>
          <w:sz w:val="24"/>
          <w:szCs w:val="24"/>
        </w:rPr>
        <w:t>metaboliseres</w:t>
      </w:r>
      <w:proofErr w:type="spellEnd"/>
      <w:r w:rsidRPr="001A431A">
        <w:rPr>
          <w:sz w:val="24"/>
          <w:szCs w:val="24"/>
        </w:rPr>
        <w:t xml:space="preserve"> primært via </w:t>
      </w:r>
      <w:proofErr w:type="spellStart"/>
      <w:r w:rsidRPr="001A431A">
        <w:rPr>
          <w:sz w:val="24"/>
          <w:szCs w:val="24"/>
        </w:rPr>
        <w:t>cytokrom</w:t>
      </w:r>
      <w:proofErr w:type="spellEnd"/>
      <w:r w:rsidRPr="001A431A">
        <w:rPr>
          <w:sz w:val="24"/>
          <w:szCs w:val="24"/>
        </w:rPr>
        <w:t xml:space="preserve"> P450 3A4-systemet uden at have nogen signifikant virkning på dette. Selvom risikoen for at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påvirker andre lægemidlers farmakokinetik anses for at være lille, påvirker </w:t>
      </w:r>
      <w:proofErr w:type="spellStart"/>
      <w:r w:rsidRPr="001A431A">
        <w:rPr>
          <w:sz w:val="24"/>
          <w:szCs w:val="24"/>
        </w:rPr>
        <w:t>cytokrom</w:t>
      </w:r>
      <w:proofErr w:type="spellEnd"/>
      <w:r w:rsidRPr="001A431A">
        <w:rPr>
          <w:sz w:val="24"/>
          <w:szCs w:val="24"/>
        </w:rPr>
        <w:t xml:space="preserve"> P450 3A4-hæmmere</w:t>
      </w:r>
      <w:r w:rsidR="00BF3436">
        <w:rPr>
          <w:sz w:val="24"/>
          <w:szCs w:val="24"/>
        </w:rPr>
        <w:t> </w:t>
      </w:r>
      <w:r w:rsidRPr="001A431A">
        <w:rPr>
          <w:sz w:val="24"/>
          <w:szCs w:val="24"/>
        </w:rPr>
        <w:t>og</w:t>
      </w:r>
      <w:r w:rsidR="00BF3436">
        <w:rPr>
          <w:sz w:val="24"/>
          <w:szCs w:val="24"/>
        </w:rPr>
        <w:t> </w:t>
      </w:r>
      <w:r w:rsidRPr="001A431A">
        <w:rPr>
          <w:sz w:val="24"/>
          <w:szCs w:val="24"/>
        </w:rPr>
        <w:t>-induk</w:t>
      </w:r>
      <w:r w:rsidR="00BF3436">
        <w:rPr>
          <w:sz w:val="24"/>
          <w:szCs w:val="24"/>
        </w:rPr>
        <w:softHyphen/>
      </w:r>
      <w:r w:rsidRPr="001A431A">
        <w:rPr>
          <w:sz w:val="24"/>
          <w:szCs w:val="24"/>
        </w:rPr>
        <w:t xml:space="preserve">torer muligvis plasmakoncentrationen af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>. Baseret på fastlagte sikkerheds</w:t>
      </w:r>
      <w:r w:rsidR="00BF3436">
        <w:rPr>
          <w:sz w:val="24"/>
          <w:szCs w:val="24"/>
        </w:rPr>
        <w:softHyphen/>
      </w:r>
      <w:r w:rsidRPr="001A431A">
        <w:rPr>
          <w:sz w:val="24"/>
          <w:szCs w:val="24"/>
        </w:rPr>
        <w:t xml:space="preserve">marginer er det imidlertid ikke sandsynligt at stigninger, grundet samtidig brug af sådanne </w:t>
      </w:r>
      <w:proofErr w:type="spellStart"/>
      <w:r w:rsidRPr="001A431A">
        <w:rPr>
          <w:sz w:val="24"/>
          <w:szCs w:val="24"/>
        </w:rPr>
        <w:t>hæmmere</w:t>
      </w:r>
      <w:proofErr w:type="spellEnd"/>
      <w:r w:rsidRPr="001A431A">
        <w:rPr>
          <w:sz w:val="24"/>
          <w:szCs w:val="24"/>
        </w:rPr>
        <w:t xml:space="preserve">, er klinisk signifikante. Følgende lægemidler er undersøgt hos mennesker og der er ikke påvist nogen signifikant interaktion af klinisk betydning: </w:t>
      </w:r>
      <w:proofErr w:type="spellStart"/>
      <w:r w:rsidRPr="001A431A">
        <w:rPr>
          <w:sz w:val="24"/>
          <w:szCs w:val="24"/>
        </w:rPr>
        <w:t>propranolol</w:t>
      </w:r>
      <w:proofErr w:type="spellEnd"/>
      <w:r w:rsidRPr="001A431A">
        <w:rPr>
          <w:sz w:val="24"/>
          <w:szCs w:val="24"/>
        </w:rPr>
        <w:t xml:space="preserve">, </w:t>
      </w:r>
      <w:proofErr w:type="spellStart"/>
      <w:r w:rsidRPr="001A431A">
        <w:rPr>
          <w:sz w:val="24"/>
          <w:szCs w:val="24"/>
        </w:rPr>
        <w:t>digoxin</w:t>
      </w:r>
      <w:proofErr w:type="spellEnd"/>
      <w:r w:rsidRPr="001A431A">
        <w:rPr>
          <w:sz w:val="24"/>
          <w:szCs w:val="24"/>
        </w:rPr>
        <w:t xml:space="preserve">, </w:t>
      </w:r>
      <w:proofErr w:type="spellStart"/>
      <w:r w:rsidRPr="001A431A">
        <w:rPr>
          <w:sz w:val="24"/>
          <w:szCs w:val="24"/>
        </w:rPr>
        <w:t>glibenclamid</w:t>
      </w:r>
      <w:proofErr w:type="spellEnd"/>
      <w:r w:rsidRPr="001A431A">
        <w:rPr>
          <w:sz w:val="24"/>
          <w:szCs w:val="24"/>
        </w:rPr>
        <w:t xml:space="preserve">, </w:t>
      </w:r>
      <w:proofErr w:type="spellStart"/>
      <w:r w:rsidRPr="001A431A">
        <w:rPr>
          <w:sz w:val="24"/>
          <w:szCs w:val="24"/>
        </w:rPr>
        <w:t>warfarin</w:t>
      </w:r>
      <w:proofErr w:type="spellEnd"/>
      <w:r w:rsidRPr="001A431A">
        <w:rPr>
          <w:sz w:val="24"/>
          <w:szCs w:val="24"/>
        </w:rPr>
        <w:t xml:space="preserve">, </w:t>
      </w:r>
      <w:proofErr w:type="spellStart"/>
      <w:r w:rsidRPr="001A431A">
        <w:rPr>
          <w:sz w:val="24"/>
          <w:szCs w:val="24"/>
        </w:rPr>
        <w:t>theophyllin</w:t>
      </w:r>
      <w:proofErr w:type="spellEnd"/>
      <w:r w:rsidRPr="001A431A">
        <w:rPr>
          <w:sz w:val="24"/>
          <w:szCs w:val="24"/>
        </w:rPr>
        <w:t xml:space="preserve"> og </w:t>
      </w:r>
      <w:proofErr w:type="spellStart"/>
      <w:r w:rsidRPr="001A431A">
        <w:rPr>
          <w:sz w:val="24"/>
          <w:szCs w:val="24"/>
        </w:rPr>
        <w:t>phenazon</w:t>
      </w:r>
      <w:proofErr w:type="spellEnd"/>
      <w:r w:rsidRPr="001A431A">
        <w:rPr>
          <w:sz w:val="24"/>
          <w:szCs w:val="24"/>
        </w:rPr>
        <w:t>.</w:t>
      </w:r>
    </w:p>
    <w:p w14:paraId="378367C5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730C8D5" w14:textId="171F3C9C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4.6</w:t>
      </w:r>
      <w:r w:rsidRPr="001A431A">
        <w:rPr>
          <w:b/>
          <w:sz w:val="24"/>
          <w:szCs w:val="24"/>
        </w:rPr>
        <w:tab/>
      </w:r>
      <w:r w:rsidR="004779F0">
        <w:rPr>
          <w:b/>
          <w:sz w:val="24"/>
          <w:szCs w:val="24"/>
        </w:rPr>
        <w:t>Fertilitet, g</w:t>
      </w:r>
      <w:r w:rsidRPr="001A431A">
        <w:rPr>
          <w:b/>
          <w:sz w:val="24"/>
          <w:szCs w:val="24"/>
        </w:rPr>
        <w:t>raviditet og amning</w:t>
      </w:r>
    </w:p>
    <w:p w14:paraId="76437E88" w14:textId="77777777" w:rsidR="00F47611" w:rsidRDefault="00F47611" w:rsidP="0000541F">
      <w:pPr>
        <w:ind w:left="851"/>
        <w:rPr>
          <w:sz w:val="24"/>
          <w:szCs w:val="24"/>
          <w:u w:val="single"/>
        </w:rPr>
      </w:pPr>
    </w:p>
    <w:p w14:paraId="0BB4D0A1" w14:textId="4115A40E" w:rsidR="00722F62" w:rsidRPr="001A431A" w:rsidRDefault="00722F62" w:rsidP="0000541F">
      <w:pPr>
        <w:ind w:left="851"/>
        <w:rPr>
          <w:noProof/>
          <w:sz w:val="24"/>
          <w:szCs w:val="24"/>
          <w:u w:val="single"/>
        </w:rPr>
      </w:pPr>
      <w:r w:rsidRPr="001A431A">
        <w:rPr>
          <w:sz w:val="24"/>
          <w:szCs w:val="24"/>
          <w:u w:val="single"/>
        </w:rPr>
        <w:t>Graviditet</w:t>
      </w:r>
    </w:p>
    <w:p w14:paraId="32B47A38" w14:textId="77777777" w:rsidR="00722F62" w:rsidRPr="001A431A" w:rsidRDefault="00722F62" w:rsidP="0000541F">
      <w:pPr>
        <w:ind w:left="851"/>
        <w:rPr>
          <w:noProof/>
          <w:sz w:val="24"/>
          <w:szCs w:val="24"/>
        </w:rPr>
      </w:pP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er kontraindiceret til kvinder, når de er eller muligvis kan være gravide (se pkt. 4.3).</w:t>
      </w:r>
    </w:p>
    <w:p w14:paraId="50C185FE" w14:textId="77777777" w:rsidR="00722F62" w:rsidRPr="001A431A" w:rsidRDefault="00722F62" w:rsidP="0000541F">
      <w:pPr>
        <w:ind w:left="851"/>
        <w:rPr>
          <w:noProof/>
          <w:sz w:val="24"/>
          <w:szCs w:val="24"/>
        </w:rPr>
      </w:pPr>
      <w:r w:rsidRPr="001A431A">
        <w:rPr>
          <w:sz w:val="24"/>
          <w:szCs w:val="24"/>
        </w:rPr>
        <w:t>På grund af type II 5-α-</w:t>
      </w:r>
      <w:proofErr w:type="spellStart"/>
      <w:r w:rsidRPr="001A431A">
        <w:rPr>
          <w:sz w:val="24"/>
          <w:szCs w:val="24"/>
        </w:rPr>
        <w:t>reduktasehæmmeres</w:t>
      </w:r>
      <w:proofErr w:type="spellEnd"/>
      <w:r w:rsidRPr="001A431A">
        <w:rPr>
          <w:sz w:val="24"/>
          <w:szCs w:val="24"/>
        </w:rPr>
        <w:t xml:space="preserve"> evne til at hæmme omdannelsen af testosteron til </w:t>
      </w:r>
      <w:proofErr w:type="spellStart"/>
      <w:r w:rsidRPr="001A431A">
        <w:rPr>
          <w:sz w:val="24"/>
          <w:szCs w:val="24"/>
        </w:rPr>
        <w:t>dihydrotestosteron</w:t>
      </w:r>
      <w:proofErr w:type="spellEnd"/>
      <w:r w:rsidRPr="001A431A">
        <w:rPr>
          <w:sz w:val="24"/>
          <w:szCs w:val="24"/>
        </w:rPr>
        <w:t xml:space="preserve">, kan sådanne lægemidler, herunder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>, forårsage abnormiteter i udviklingen af de ydre kønsorganer hos drengefostre, når lægemidlet gives til en gravid kvinde (se pkt. 5.3 og 6.6).</w:t>
      </w:r>
    </w:p>
    <w:p w14:paraId="2B3E3E56" w14:textId="77777777" w:rsidR="00722F62" w:rsidRPr="001A431A" w:rsidRDefault="00722F62" w:rsidP="0000541F">
      <w:pPr>
        <w:ind w:left="851"/>
        <w:rPr>
          <w:noProof/>
          <w:sz w:val="24"/>
          <w:szCs w:val="24"/>
        </w:rPr>
      </w:pPr>
    </w:p>
    <w:p w14:paraId="0DEA33A6" w14:textId="77777777" w:rsidR="00722F62" w:rsidRPr="001A431A" w:rsidRDefault="00722F62" w:rsidP="0000541F">
      <w:pPr>
        <w:ind w:left="851"/>
        <w:rPr>
          <w:noProof/>
          <w:sz w:val="24"/>
          <w:szCs w:val="24"/>
        </w:rPr>
      </w:pPr>
      <w:r w:rsidRPr="001A431A">
        <w:rPr>
          <w:i/>
          <w:iCs/>
          <w:sz w:val="24"/>
          <w:szCs w:val="24"/>
        </w:rPr>
        <w:t xml:space="preserve">Eksponering for </w:t>
      </w:r>
      <w:proofErr w:type="spellStart"/>
      <w:r w:rsidRPr="001A431A">
        <w:rPr>
          <w:i/>
          <w:iCs/>
          <w:sz w:val="24"/>
          <w:szCs w:val="24"/>
        </w:rPr>
        <w:t>finasterid</w:t>
      </w:r>
      <w:proofErr w:type="spellEnd"/>
      <w:r w:rsidRPr="001A431A">
        <w:rPr>
          <w:i/>
          <w:iCs/>
          <w:sz w:val="24"/>
          <w:szCs w:val="24"/>
        </w:rPr>
        <w:t xml:space="preserve"> - risiko for drengefostre</w:t>
      </w:r>
      <w:r w:rsidRPr="001A431A">
        <w:rPr>
          <w:sz w:val="24"/>
          <w:szCs w:val="24"/>
        </w:rPr>
        <w:t xml:space="preserve"> </w:t>
      </w:r>
    </w:p>
    <w:p w14:paraId="6CCC28F1" w14:textId="77777777" w:rsidR="00722F62" w:rsidRPr="001A431A" w:rsidRDefault="00722F62" w:rsidP="0000541F">
      <w:pPr>
        <w:ind w:left="851"/>
        <w:rPr>
          <w:noProof/>
          <w:sz w:val="24"/>
          <w:szCs w:val="24"/>
        </w:rPr>
      </w:pPr>
      <w:r w:rsidRPr="001A431A">
        <w:rPr>
          <w:sz w:val="24"/>
          <w:szCs w:val="24"/>
        </w:rPr>
        <w:t xml:space="preserve">Gravide kvinder og kvinder, som kan blive gravide, bør ikke håndtere knuste eller knækkede </w:t>
      </w:r>
      <w:proofErr w:type="spellStart"/>
      <w:r w:rsidRPr="001A431A">
        <w:rPr>
          <w:sz w:val="24"/>
          <w:szCs w:val="24"/>
        </w:rPr>
        <w:t>finasteridtabletter</w:t>
      </w:r>
      <w:proofErr w:type="spellEnd"/>
      <w:r w:rsidRPr="001A431A">
        <w:rPr>
          <w:sz w:val="24"/>
          <w:szCs w:val="24"/>
        </w:rPr>
        <w:t xml:space="preserve"> på grund af muligheden for absorption af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gennem huden, hvilket indebærer en potentiel risiko for drengefostre (se pkt. 4.6).</w:t>
      </w:r>
    </w:p>
    <w:p w14:paraId="6F4B83E2" w14:textId="1F2558D4" w:rsidR="00722F62" w:rsidRPr="001A431A" w:rsidRDefault="00722F62" w:rsidP="0000541F">
      <w:pPr>
        <w:ind w:left="851"/>
        <w:rPr>
          <w:noProof/>
          <w:sz w:val="24"/>
          <w:szCs w:val="24"/>
        </w:rPr>
      </w:pPr>
      <w:proofErr w:type="spellStart"/>
      <w:r w:rsidRPr="001A431A">
        <w:rPr>
          <w:sz w:val="24"/>
          <w:szCs w:val="24"/>
        </w:rPr>
        <w:lastRenderedPageBreak/>
        <w:t>Finasterid</w:t>
      </w:r>
      <w:proofErr w:type="spellEnd"/>
      <w:r w:rsidRPr="001A431A">
        <w:rPr>
          <w:sz w:val="24"/>
          <w:szCs w:val="24"/>
        </w:rPr>
        <w:t xml:space="preserve"> </w:t>
      </w:r>
      <w:r w:rsidR="00436560">
        <w:rPr>
          <w:sz w:val="24"/>
          <w:szCs w:val="24"/>
        </w:rPr>
        <w:t>"</w:t>
      </w:r>
      <w:proofErr w:type="spellStart"/>
      <w:r w:rsidR="00436560">
        <w:rPr>
          <w:sz w:val="24"/>
          <w:szCs w:val="24"/>
        </w:rPr>
        <w:t>Amarox</w:t>
      </w:r>
      <w:proofErr w:type="spellEnd"/>
      <w:r w:rsidR="00436560">
        <w:rPr>
          <w:sz w:val="24"/>
          <w:szCs w:val="24"/>
        </w:rPr>
        <w:t>"</w:t>
      </w:r>
      <w:r w:rsidRPr="001A431A">
        <w:rPr>
          <w:sz w:val="24"/>
          <w:szCs w:val="24"/>
        </w:rPr>
        <w:t>-tabletter er filmovertrukne, hvilket forhindrer kontakt med det aktive indholdsstof under sædvanlig håndtering, såfremt tabletterne ikke er blevet delt eller knust.</w:t>
      </w:r>
    </w:p>
    <w:p w14:paraId="3F0F6951" w14:textId="77777777" w:rsidR="00722F62" w:rsidRPr="001A431A" w:rsidRDefault="00722F62" w:rsidP="0000541F">
      <w:pPr>
        <w:ind w:left="851"/>
        <w:rPr>
          <w:sz w:val="24"/>
          <w:szCs w:val="24"/>
        </w:rPr>
      </w:pPr>
    </w:p>
    <w:p w14:paraId="4D4817C6" w14:textId="77777777" w:rsidR="00722F62" w:rsidRPr="001A431A" w:rsidRDefault="00722F62" w:rsidP="0000541F">
      <w:pPr>
        <w:ind w:left="851"/>
        <w:rPr>
          <w:noProof/>
          <w:sz w:val="24"/>
          <w:szCs w:val="24"/>
        </w:rPr>
      </w:pPr>
      <w:r w:rsidRPr="001A431A">
        <w:rPr>
          <w:sz w:val="24"/>
          <w:szCs w:val="24"/>
        </w:rPr>
        <w:t xml:space="preserve">Der er fundet små mængder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i sæd hos patienter, som får 5 mg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dagligt. Det vides ikke, om et drengefoster vil blive påvirket, hvis hans mor udsættes for sæd fra en patient, som er i behandling med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>. Når en patients seksualpartner er eller potentielt kan være gravid, anbefales det patienten at eksponere partneren for sæd i minimal grad.</w:t>
      </w:r>
    </w:p>
    <w:p w14:paraId="61C4EE7B" w14:textId="77777777" w:rsidR="00722F62" w:rsidRPr="001A431A" w:rsidRDefault="00722F62" w:rsidP="0000541F">
      <w:pPr>
        <w:ind w:left="851"/>
        <w:rPr>
          <w:noProof/>
          <w:sz w:val="24"/>
          <w:szCs w:val="24"/>
        </w:rPr>
      </w:pPr>
    </w:p>
    <w:p w14:paraId="5AFDBF92" w14:textId="77777777" w:rsidR="00722F62" w:rsidRPr="001A431A" w:rsidRDefault="00722F62" w:rsidP="0000541F">
      <w:pPr>
        <w:ind w:left="851"/>
        <w:rPr>
          <w:noProof/>
          <w:sz w:val="24"/>
          <w:szCs w:val="24"/>
          <w:u w:val="single"/>
        </w:rPr>
      </w:pPr>
      <w:r w:rsidRPr="001A431A">
        <w:rPr>
          <w:sz w:val="24"/>
          <w:szCs w:val="24"/>
          <w:u w:val="single"/>
        </w:rPr>
        <w:t>Amning</w:t>
      </w:r>
    </w:p>
    <w:p w14:paraId="53AB2A8A" w14:textId="77777777" w:rsidR="00722F62" w:rsidRPr="001A431A" w:rsidRDefault="00722F62" w:rsidP="0000541F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5 mg tabletter er ikke indiceret til kvinder</w:t>
      </w:r>
      <w:r w:rsidRPr="001A431A">
        <w:rPr>
          <w:b/>
          <w:bCs/>
          <w:sz w:val="24"/>
          <w:szCs w:val="24"/>
        </w:rPr>
        <w:t xml:space="preserve">. </w:t>
      </w:r>
      <w:r w:rsidRPr="001A431A">
        <w:rPr>
          <w:sz w:val="24"/>
          <w:szCs w:val="24"/>
        </w:rPr>
        <w:t xml:space="preserve">Det vides ikke, om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udskilles i human mælk.</w:t>
      </w:r>
    </w:p>
    <w:p w14:paraId="406390D4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6B7DB60" w14:textId="650A46F4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4.7</w:t>
      </w:r>
      <w:r w:rsidRPr="001A431A">
        <w:rPr>
          <w:b/>
          <w:sz w:val="24"/>
          <w:szCs w:val="24"/>
        </w:rPr>
        <w:tab/>
        <w:t xml:space="preserve">Virkning på evnen til at føre motorkøretøj </w:t>
      </w:r>
      <w:r w:rsidR="004779F0">
        <w:rPr>
          <w:b/>
          <w:sz w:val="24"/>
          <w:szCs w:val="24"/>
        </w:rPr>
        <w:t>og</w:t>
      </w:r>
      <w:r w:rsidRPr="001A431A">
        <w:rPr>
          <w:b/>
          <w:sz w:val="24"/>
          <w:szCs w:val="24"/>
        </w:rPr>
        <w:t xml:space="preserve"> betjene maskiner</w:t>
      </w:r>
    </w:p>
    <w:p w14:paraId="038F2772" w14:textId="77777777" w:rsidR="00722F62" w:rsidRPr="001A431A" w:rsidRDefault="00722F62" w:rsidP="0000541F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>Ikke mærkning.</w:t>
      </w:r>
    </w:p>
    <w:p w14:paraId="25E8F2C5" w14:textId="77777777" w:rsidR="00722F62" w:rsidRPr="001A431A" w:rsidRDefault="00722F62" w:rsidP="0000541F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Der foreligger ingen data, som indikerer, at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påvirker evnen til at føre motorkøretøj eller betjene maskiner.</w:t>
      </w:r>
    </w:p>
    <w:p w14:paraId="24783A41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35F8929" w14:textId="77777777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4.8</w:t>
      </w:r>
      <w:r w:rsidRPr="001A431A">
        <w:rPr>
          <w:b/>
          <w:sz w:val="24"/>
          <w:szCs w:val="24"/>
        </w:rPr>
        <w:tab/>
        <w:t>Bivirkninger</w:t>
      </w:r>
    </w:p>
    <w:p w14:paraId="34F52100" w14:textId="77777777" w:rsidR="00B413AC" w:rsidRPr="001A431A" w:rsidRDefault="00B413AC" w:rsidP="0000541F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>De hyppigst forekomne bivirkninger er impotens og nedsat libido. Disse bivirkninger ses specielt i starten af behandlingen og forsvinder hos størstedelen af patienterne ved fortsat behandling.</w:t>
      </w:r>
    </w:p>
    <w:p w14:paraId="3AFFD830" w14:textId="77777777" w:rsidR="00B413AC" w:rsidRPr="001A431A" w:rsidRDefault="00B413AC" w:rsidP="0000541F">
      <w:pPr>
        <w:ind w:left="851"/>
        <w:rPr>
          <w:sz w:val="24"/>
          <w:szCs w:val="24"/>
        </w:rPr>
      </w:pPr>
    </w:p>
    <w:p w14:paraId="04158574" w14:textId="77777777" w:rsidR="00B413AC" w:rsidRPr="001A431A" w:rsidRDefault="00B413AC" w:rsidP="0000541F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Bivirkninger set i kliniske forsøg og/eller efter markedsføring er anført i nedenstående tabel. </w:t>
      </w:r>
    </w:p>
    <w:p w14:paraId="48AD68B7" w14:textId="77777777" w:rsidR="00B413AC" w:rsidRPr="001A431A" w:rsidRDefault="00B413AC" w:rsidP="0000541F">
      <w:pPr>
        <w:ind w:left="851"/>
        <w:rPr>
          <w:sz w:val="24"/>
          <w:szCs w:val="24"/>
        </w:rPr>
      </w:pPr>
    </w:p>
    <w:p w14:paraId="3F970973" w14:textId="77777777" w:rsidR="00B413AC" w:rsidRPr="001A431A" w:rsidRDefault="00B413AC" w:rsidP="0000541F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Hyppigheden af bivirkninger er inddelt som følger: </w:t>
      </w:r>
    </w:p>
    <w:p w14:paraId="205259DF" w14:textId="77777777" w:rsidR="00B413AC" w:rsidRPr="001A431A" w:rsidRDefault="00B413AC" w:rsidP="0000541F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>Meget almindelig (≥1/10), almindelig (≥1/100 til &lt;1/10), ikke almindelig (≥1/1.000 til &lt;1/100), sjælden (≥1/10.000 til &lt;1/1.000), meget sjælden (&lt;1/10.000), ikke kendt (kan ikke estimeres ud fra forhåndenværende data). Hyppigheden af bivirkninger, der er indberettet efter markedsføring kan ikke bestemmes, da de er udledt af spontane indberetninger.</w:t>
      </w:r>
    </w:p>
    <w:p w14:paraId="124E725E" w14:textId="77777777" w:rsidR="00B413AC" w:rsidRPr="001A431A" w:rsidRDefault="00B413AC" w:rsidP="00B413AC">
      <w:pPr>
        <w:ind w:left="567" w:hanging="567"/>
        <w:rPr>
          <w:sz w:val="24"/>
          <w:szCs w:val="24"/>
        </w:rPr>
      </w:pPr>
    </w:p>
    <w:tbl>
      <w:tblPr>
        <w:tblW w:w="4567" w:type="pct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30"/>
        <w:gridCol w:w="6059"/>
      </w:tblGrid>
      <w:tr w:rsidR="00B413AC" w:rsidRPr="001A431A" w14:paraId="567D7200" w14:textId="77777777" w:rsidTr="0000541F"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63605" w14:textId="77777777" w:rsidR="00B413AC" w:rsidRPr="001A431A" w:rsidRDefault="00B413AC" w:rsidP="00F47611">
            <w:pPr>
              <w:ind w:left="36"/>
              <w:rPr>
                <w:sz w:val="24"/>
                <w:szCs w:val="24"/>
              </w:rPr>
            </w:pPr>
            <w:r w:rsidRPr="001A431A">
              <w:rPr>
                <w:b/>
                <w:bCs/>
                <w:sz w:val="24"/>
                <w:szCs w:val="24"/>
              </w:rPr>
              <w:t xml:space="preserve">Systemorganklasse </w:t>
            </w:r>
          </w:p>
        </w:tc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34EA9" w14:textId="77777777" w:rsidR="00B413AC" w:rsidRPr="001A431A" w:rsidRDefault="00B413AC" w:rsidP="00F47611">
            <w:pPr>
              <w:ind w:left="36"/>
              <w:rPr>
                <w:sz w:val="24"/>
                <w:szCs w:val="24"/>
              </w:rPr>
            </w:pPr>
            <w:r w:rsidRPr="001A431A">
              <w:rPr>
                <w:b/>
                <w:bCs/>
                <w:sz w:val="24"/>
                <w:szCs w:val="24"/>
              </w:rPr>
              <w:t xml:space="preserve">Bivirkningens hyppighed </w:t>
            </w:r>
          </w:p>
        </w:tc>
      </w:tr>
      <w:tr w:rsidR="00B413AC" w:rsidRPr="001A431A" w14:paraId="190B9D23" w14:textId="77777777" w:rsidTr="0000541F"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B4437" w14:textId="77777777" w:rsidR="00B413AC" w:rsidRPr="001A431A" w:rsidRDefault="00B413AC" w:rsidP="00F47611">
            <w:pPr>
              <w:ind w:left="36"/>
              <w:rPr>
                <w:sz w:val="24"/>
                <w:szCs w:val="24"/>
              </w:rPr>
            </w:pPr>
            <w:r w:rsidRPr="001A431A">
              <w:rPr>
                <w:sz w:val="24"/>
                <w:szCs w:val="24"/>
              </w:rPr>
              <w:t>Immunsystemet</w:t>
            </w:r>
          </w:p>
        </w:tc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4C021" w14:textId="77777777" w:rsidR="00B413AC" w:rsidRPr="001A431A" w:rsidRDefault="00B413AC" w:rsidP="00F47611">
            <w:pPr>
              <w:ind w:left="36"/>
              <w:rPr>
                <w:sz w:val="24"/>
                <w:szCs w:val="24"/>
              </w:rPr>
            </w:pPr>
            <w:r w:rsidRPr="001A431A">
              <w:rPr>
                <w:i/>
                <w:iCs/>
                <w:sz w:val="24"/>
                <w:szCs w:val="24"/>
              </w:rPr>
              <w:t xml:space="preserve">Ikke kendt: </w:t>
            </w:r>
            <w:r w:rsidRPr="001A431A">
              <w:rPr>
                <w:sz w:val="24"/>
                <w:szCs w:val="24"/>
              </w:rPr>
              <w:t xml:space="preserve">overfølsomhedsreaktioner inklusive </w:t>
            </w:r>
            <w:proofErr w:type="spellStart"/>
            <w:r w:rsidRPr="001A431A">
              <w:rPr>
                <w:sz w:val="24"/>
                <w:szCs w:val="24"/>
              </w:rPr>
              <w:t>angioødem</w:t>
            </w:r>
            <w:proofErr w:type="spellEnd"/>
            <w:r w:rsidRPr="001A431A">
              <w:rPr>
                <w:sz w:val="24"/>
                <w:szCs w:val="24"/>
              </w:rPr>
              <w:t xml:space="preserve"> (herunder hævede læber, tunge, svælg og ansigt)</w:t>
            </w:r>
            <w:r w:rsidRPr="001A431A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B413AC" w:rsidRPr="001A431A" w14:paraId="3A1D5788" w14:textId="77777777" w:rsidTr="0000541F"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817D0" w14:textId="77777777" w:rsidR="00B413AC" w:rsidRPr="001A431A" w:rsidRDefault="00B413AC" w:rsidP="00F47611">
            <w:pPr>
              <w:ind w:left="36"/>
              <w:rPr>
                <w:sz w:val="24"/>
                <w:szCs w:val="24"/>
              </w:rPr>
            </w:pPr>
            <w:r w:rsidRPr="001A431A">
              <w:rPr>
                <w:sz w:val="24"/>
                <w:szCs w:val="24"/>
              </w:rPr>
              <w:t>Psykiske forstyrrelser</w:t>
            </w:r>
          </w:p>
        </w:tc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66711" w14:textId="77777777" w:rsidR="00B413AC" w:rsidRPr="001A431A" w:rsidRDefault="00B413AC" w:rsidP="00F47611">
            <w:pPr>
              <w:ind w:left="36"/>
              <w:rPr>
                <w:i/>
                <w:iCs/>
                <w:sz w:val="24"/>
                <w:szCs w:val="24"/>
              </w:rPr>
            </w:pPr>
            <w:r w:rsidRPr="001A431A">
              <w:rPr>
                <w:i/>
                <w:iCs/>
                <w:sz w:val="24"/>
                <w:szCs w:val="24"/>
              </w:rPr>
              <w:t xml:space="preserve">Almindelig: </w:t>
            </w:r>
            <w:r w:rsidRPr="001A431A">
              <w:rPr>
                <w:sz w:val="24"/>
                <w:szCs w:val="24"/>
              </w:rPr>
              <w:t>nedsat libido</w:t>
            </w:r>
            <w:r w:rsidRPr="001A431A">
              <w:rPr>
                <w:i/>
                <w:iCs/>
                <w:sz w:val="24"/>
                <w:szCs w:val="24"/>
              </w:rPr>
              <w:t xml:space="preserve"> </w:t>
            </w:r>
          </w:p>
          <w:p w14:paraId="023CF595" w14:textId="77777777" w:rsidR="00B413AC" w:rsidRPr="001A431A" w:rsidRDefault="00B413AC" w:rsidP="00F47611">
            <w:pPr>
              <w:ind w:left="36"/>
              <w:rPr>
                <w:i/>
                <w:iCs/>
                <w:sz w:val="24"/>
                <w:szCs w:val="24"/>
              </w:rPr>
            </w:pPr>
          </w:p>
          <w:p w14:paraId="77A61916" w14:textId="77777777" w:rsidR="00B413AC" w:rsidRPr="001A431A" w:rsidRDefault="00B413AC" w:rsidP="00F47611">
            <w:pPr>
              <w:ind w:left="36"/>
              <w:rPr>
                <w:sz w:val="24"/>
                <w:szCs w:val="24"/>
              </w:rPr>
            </w:pPr>
            <w:r w:rsidRPr="001A431A">
              <w:rPr>
                <w:i/>
                <w:iCs/>
                <w:sz w:val="24"/>
                <w:szCs w:val="24"/>
              </w:rPr>
              <w:t>Ikke kendt:</w:t>
            </w:r>
            <w:r w:rsidRPr="001A431A">
              <w:rPr>
                <w:sz w:val="24"/>
                <w:szCs w:val="24"/>
              </w:rPr>
              <w:t xml:space="preserve"> depression, nedsat libido som fortsætter efter </w:t>
            </w:r>
            <w:proofErr w:type="spellStart"/>
            <w:r w:rsidRPr="001A431A">
              <w:rPr>
                <w:sz w:val="24"/>
                <w:szCs w:val="24"/>
              </w:rPr>
              <w:t>seponering</w:t>
            </w:r>
            <w:proofErr w:type="spellEnd"/>
            <w:r w:rsidRPr="001A431A">
              <w:rPr>
                <w:sz w:val="24"/>
                <w:szCs w:val="24"/>
              </w:rPr>
              <w:t xml:space="preserve"> af behandlingen, angst</w:t>
            </w:r>
          </w:p>
        </w:tc>
      </w:tr>
      <w:tr w:rsidR="00B413AC" w:rsidRPr="001A431A" w14:paraId="64282DBE" w14:textId="77777777" w:rsidTr="0000541F"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B3D49A" w14:textId="77777777" w:rsidR="00B413AC" w:rsidRPr="001A431A" w:rsidRDefault="00B413AC" w:rsidP="00F47611">
            <w:pPr>
              <w:ind w:left="36"/>
              <w:rPr>
                <w:sz w:val="24"/>
                <w:szCs w:val="24"/>
              </w:rPr>
            </w:pPr>
            <w:r w:rsidRPr="001A431A">
              <w:rPr>
                <w:sz w:val="24"/>
                <w:szCs w:val="24"/>
              </w:rPr>
              <w:t xml:space="preserve">Hjerte </w:t>
            </w:r>
          </w:p>
        </w:tc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FC368" w14:textId="77777777" w:rsidR="00B413AC" w:rsidRPr="001A431A" w:rsidRDefault="00B413AC" w:rsidP="00F47611">
            <w:pPr>
              <w:ind w:left="36"/>
              <w:rPr>
                <w:iCs/>
                <w:sz w:val="24"/>
                <w:szCs w:val="24"/>
              </w:rPr>
            </w:pPr>
            <w:r w:rsidRPr="001A431A">
              <w:rPr>
                <w:i/>
                <w:iCs/>
                <w:sz w:val="24"/>
                <w:szCs w:val="24"/>
              </w:rPr>
              <w:t>Ikke kendt</w:t>
            </w:r>
            <w:r w:rsidRPr="001A431A">
              <w:rPr>
                <w:sz w:val="24"/>
                <w:szCs w:val="24"/>
              </w:rPr>
              <w:t xml:space="preserve">: </w:t>
            </w:r>
            <w:proofErr w:type="spellStart"/>
            <w:r w:rsidRPr="001A431A">
              <w:rPr>
                <w:sz w:val="24"/>
                <w:szCs w:val="24"/>
              </w:rPr>
              <w:t>palpitation</w:t>
            </w:r>
            <w:proofErr w:type="spellEnd"/>
            <w:r w:rsidRPr="001A431A">
              <w:rPr>
                <w:sz w:val="24"/>
                <w:szCs w:val="24"/>
              </w:rPr>
              <w:t xml:space="preserve"> </w:t>
            </w:r>
          </w:p>
        </w:tc>
      </w:tr>
      <w:tr w:rsidR="00B413AC" w:rsidRPr="001A431A" w14:paraId="2437D177" w14:textId="77777777" w:rsidTr="0000541F"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FBE5E" w14:textId="77777777" w:rsidR="00B413AC" w:rsidRPr="001A431A" w:rsidRDefault="00B413AC" w:rsidP="00F47611">
            <w:pPr>
              <w:ind w:left="36"/>
              <w:rPr>
                <w:sz w:val="24"/>
                <w:szCs w:val="24"/>
              </w:rPr>
            </w:pPr>
            <w:r w:rsidRPr="001A431A">
              <w:rPr>
                <w:sz w:val="24"/>
                <w:szCs w:val="24"/>
              </w:rPr>
              <w:t>Lever og galdeveje</w:t>
            </w:r>
          </w:p>
        </w:tc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70F03" w14:textId="77777777" w:rsidR="00B413AC" w:rsidRPr="001A431A" w:rsidRDefault="00B413AC" w:rsidP="00F47611">
            <w:pPr>
              <w:ind w:left="36"/>
              <w:rPr>
                <w:sz w:val="24"/>
                <w:szCs w:val="24"/>
              </w:rPr>
            </w:pPr>
            <w:r w:rsidRPr="001A431A">
              <w:rPr>
                <w:i/>
                <w:iCs/>
                <w:sz w:val="24"/>
                <w:szCs w:val="24"/>
              </w:rPr>
              <w:t xml:space="preserve">Ikke kendt: </w:t>
            </w:r>
            <w:r w:rsidRPr="001A431A">
              <w:rPr>
                <w:sz w:val="24"/>
                <w:szCs w:val="24"/>
              </w:rPr>
              <w:t>forhøjede leverenzymtal</w:t>
            </w:r>
          </w:p>
        </w:tc>
      </w:tr>
      <w:tr w:rsidR="00B413AC" w:rsidRPr="001A431A" w14:paraId="6BC96BD0" w14:textId="77777777" w:rsidTr="0000541F"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B80F3" w14:textId="77777777" w:rsidR="00B413AC" w:rsidRPr="001A431A" w:rsidRDefault="00B413AC" w:rsidP="00F47611">
            <w:pPr>
              <w:ind w:left="36"/>
              <w:rPr>
                <w:sz w:val="24"/>
                <w:szCs w:val="24"/>
              </w:rPr>
            </w:pPr>
            <w:r w:rsidRPr="001A431A">
              <w:rPr>
                <w:sz w:val="24"/>
                <w:szCs w:val="24"/>
              </w:rPr>
              <w:t>Hud og subkutane væv</w:t>
            </w:r>
          </w:p>
        </w:tc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E9F08" w14:textId="77777777" w:rsidR="00B413AC" w:rsidRPr="001A431A" w:rsidRDefault="00B413AC" w:rsidP="00F47611">
            <w:pPr>
              <w:ind w:left="36"/>
              <w:rPr>
                <w:i/>
                <w:iCs/>
                <w:sz w:val="24"/>
                <w:szCs w:val="24"/>
              </w:rPr>
            </w:pPr>
            <w:r w:rsidRPr="001A431A">
              <w:rPr>
                <w:i/>
                <w:iCs/>
                <w:sz w:val="24"/>
                <w:szCs w:val="24"/>
              </w:rPr>
              <w:t>Ikke almindelig</w:t>
            </w:r>
            <w:r w:rsidRPr="001A431A">
              <w:rPr>
                <w:sz w:val="24"/>
                <w:szCs w:val="24"/>
              </w:rPr>
              <w:t>: udslæt</w:t>
            </w:r>
            <w:r w:rsidRPr="001A431A">
              <w:rPr>
                <w:i/>
                <w:iCs/>
                <w:sz w:val="24"/>
                <w:szCs w:val="24"/>
              </w:rPr>
              <w:t xml:space="preserve"> </w:t>
            </w:r>
          </w:p>
          <w:p w14:paraId="6467A496" w14:textId="77777777" w:rsidR="00B413AC" w:rsidRPr="001A431A" w:rsidRDefault="00B413AC" w:rsidP="00F47611">
            <w:pPr>
              <w:ind w:left="36"/>
              <w:rPr>
                <w:i/>
                <w:iCs/>
                <w:sz w:val="24"/>
                <w:szCs w:val="24"/>
              </w:rPr>
            </w:pPr>
          </w:p>
          <w:p w14:paraId="7721EE8C" w14:textId="77777777" w:rsidR="00B413AC" w:rsidRPr="001A431A" w:rsidRDefault="00B413AC" w:rsidP="00F47611">
            <w:pPr>
              <w:ind w:left="36"/>
              <w:rPr>
                <w:sz w:val="24"/>
                <w:szCs w:val="24"/>
              </w:rPr>
            </w:pPr>
            <w:r w:rsidRPr="001A431A">
              <w:rPr>
                <w:i/>
                <w:iCs/>
                <w:sz w:val="24"/>
                <w:szCs w:val="24"/>
              </w:rPr>
              <w:t>Ikke kendt</w:t>
            </w:r>
            <w:r w:rsidRPr="001A431A">
              <w:rPr>
                <w:sz w:val="24"/>
                <w:szCs w:val="24"/>
              </w:rPr>
              <w:t xml:space="preserve">: </w:t>
            </w:r>
            <w:proofErr w:type="spellStart"/>
            <w:r w:rsidRPr="001A431A">
              <w:rPr>
                <w:sz w:val="24"/>
                <w:szCs w:val="24"/>
              </w:rPr>
              <w:t>pruritus</w:t>
            </w:r>
            <w:proofErr w:type="spellEnd"/>
            <w:r w:rsidRPr="001A431A">
              <w:rPr>
                <w:sz w:val="24"/>
                <w:szCs w:val="24"/>
              </w:rPr>
              <w:t xml:space="preserve">, </w:t>
            </w:r>
            <w:proofErr w:type="spellStart"/>
            <w:r w:rsidRPr="001A431A">
              <w:rPr>
                <w:sz w:val="24"/>
                <w:szCs w:val="24"/>
              </w:rPr>
              <w:t>urticaria</w:t>
            </w:r>
            <w:proofErr w:type="spellEnd"/>
          </w:p>
        </w:tc>
      </w:tr>
      <w:tr w:rsidR="00B413AC" w:rsidRPr="001A431A" w14:paraId="3091DDE8" w14:textId="77777777" w:rsidTr="0000541F"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A0D9D" w14:textId="77777777" w:rsidR="00B413AC" w:rsidRPr="001A431A" w:rsidRDefault="00B413AC" w:rsidP="00F47611">
            <w:pPr>
              <w:ind w:left="36"/>
              <w:rPr>
                <w:sz w:val="24"/>
                <w:szCs w:val="24"/>
              </w:rPr>
            </w:pPr>
            <w:r w:rsidRPr="001A431A">
              <w:rPr>
                <w:sz w:val="24"/>
                <w:szCs w:val="24"/>
              </w:rPr>
              <w:t xml:space="preserve">Det reproduktive system og mammae </w:t>
            </w:r>
          </w:p>
        </w:tc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90E09" w14:textId="77777777" w:rsidR="00B413AC" w:rsidRPr="001A431A" w:rsidRDefault="00B413AC" w:rsidP="00F47611">
            <w:pPr>
              <w:ind w:left="36"/>
              <w:rPr>
                <w:i/>
                <w:iCs/>
                <w:sz w:val="24"/>
                <w:szCs w:val="24"/>
              </w:rPr>
            </w:pPr>
            <w:r w:rsidRPr="001A431A">
              <w:rPr>
                <w:i/>
                <w:iCs/>
                <w:sz w:val="24"/>
                <w:szCs w:val="24"/>
              </w:rPr>
              <w:t xml:space="preserve">Almindelig: </w:t>
            </w:r>
            <w:r w:rsidRPr="001A431A">
              <w:rPr>
                <w:sz w:val="24"/>
                <w:szCs w:val="24"/>
              </w:rPr>
              <w:t xml:space="preserve">impotens </w:t>
            </w:r>
          </w:p>
          <w:p w14:paraId="490C4C7B" w14:textId="77777777" w:rsidR="00B413AC" w:rsidRPr="001A431A" w:rsidRDefault="00B413AC" w:rsidP="00F47611">
            <w:pPr>
              <w:ind w:left="36"/>
              <w:rPr>
                <w:i/>
                <w:iCs/>
                <w:sz w:val="24"/>
                <w:szCs w:val="24"/>
              </w:rPr>
            </w:pPr>
          </w:p>
          <w:p w14:paraId="77DEE305" w14:textId="77777777" w:rsidR="00B413AC" w:rsidRPr="001A431A" w:rsidRDefault="00B413AC" w:rsidP="00F47611">
            <w:pPr>
              <w:ind w:left="36"/>
              <w:rPr>
                <w:iCs/>
                <w:sz w:val="24"/>
                <w:szCs w:val="24"/>
              </w:rPr>
            </w:pPr>
            <w:r w:rsidRPr="001A431A">
              <w:rPr>
                <w:i/>
                <w:iCs/>
                <w:sz w:val="24"/>
                <w:szCs w:val="24"/>
              </w:rPr>
              <w:t>Ikke</w:t>
            </w:r>
            <w:r w:rsidRPr="001A431A">
              <w:rPr>
                <w:sz w:val="24"/>
                <w:szCs w:val="24"/>
              </w:rPr>
              <w:t xml:space="preserve"> </w:t>
            </w:r>
            <w:r w:rsidRPr="001A431A">
              <w:rPr>
                <w:i/>
                <w:iCs/>
                <w:sz w:val="24"/>
                <w:szCs w:val="24"/>
              </w:rPr>
              <w:t xml:space="preserve">almindelig: </w:t>
            </w:r>
            <w:r w:rsidRPr="001A431A">
              <w:rPr>
                <w:sz w:val="24"/>
                <w:szCs w:val="24"/>
              </w:rPr>
              <w:t>ejakulations-forstyrrelser, brystømhed, brystforstørrelse</w:t>
            </w:r>
          </w:p>
          <w:p w14:paraId="3CB83CF0" w14:textId="77777777" w:rsidR="00B413AC" w:rsidRPr="001A431A" w:rsidRDefault="00B413AC" w:rsidP="00F47611">
            <w:pPr>
              <w:ind w:left="36"/>
              <w:rPr>
                <w:i/>
                <w:iCs/>
                <w:sz w:val="24"/>
                <w:szCs w:val="24"/>
              </w:rPr>
            </w:pPr>
          </w:p>
          <w:p w14:paraId="0306A26D" w14:textId="77777777" w:rsidR="00B413AC" w:rsidRPr="001A431A" w:rsidRDefault="00B413AC" w:rsidP="00F47611">
            <w:pPr>
              <w:ind w:left="36"/>
              <w:rPr>
                <w:sz w:val="24"/>
                <w:szCs w:val="24"/>
              </w:rPr>
            </w:pPr>
            <w:r w:rsidRPr="001A431A">
              <w:rPr>
                <w:i/>
                <w:iCs/>
                <w:sz w:val="24"/>
                <w:szCs w:val="24"/>
              </w:rPr>
              <w:lastRenderedPageBreak/>
              <w:t xml:space="preserve">Ikke kendt: </w:t>
            </w:r>
            <w:r w:rsidRPr="001A431A">
              <w:rPr>
                <w:sz w:val="24"/>
                <w:szCs w:val="24"/>
              </w:rPr>
              <w:t xml:space="preserve">testikelsmerte, </w:t>
            </w:r>
            <w:proofErr w:type="spellStart"/>
            <w:r w:rsidRPr="001A431A">
              <w:rPr>
                <w:sz w:val="24"/>
                <w:szCs w:val="24"/>
              </w:rPr>
              <w:t>hæmatospermi</w:t>
            </w:r>
            <w:proofErr w:type="spellEnd"/>
            <w:r w:rsidRPr="001A431A">
              <w:rPr>
                <w:sz w:val="24"/>
                <w:szCs w:val="24"/>
              </w:rPr>
              <w:t xml:space="preserve">, </w:t>
            </w:r>
            <w:proofErr w:type="spellStart"/>
            <w:r w:rsidRPr="001A431A">
              <w:rPr>
                <w:sz w:val="24"/>
                <w:szCs w:val="24"/>
              </w:rPr>
              <w:t>erektil</w:t>
            </w:r>
            <w:proofErr w:type="spellEnd"/>
            <w:r w:rsidRPr="001A431A">
              <w:rPr>
                <w:sz w:val="24"/>
                <w:szCs w:val="24"/>
              </w:rPr>
              <w:t xml:space="preserve"> dysfunktion som fortsætter efter behandlingen er stoppet; mandlig </w:t>
            </w:r>
            <w:proofErr w:type="spellStart"/>
            <w:r w:rsidRPr="001A431A">
              <w:rPr>
                <w:sz w:val="24"/>
                <w:szCs w:val="24"/>
              </w:rPr>
              <w:t>infertilitet</w:t>
            </w:r>
            <w:proofErr w:type="spellEnd"/>
            <w:r w:rsidRPr="001A431A">
              <w:rPr>
                <w:sz w:val="24"/>
                <w:szCs w:val="24"/>
              </w:rPr>
              <w:t xml:space="preserve"> og/eller dårlig sædkvalitet.</w:t>
            </w:r>
          </w:p>
        </w:tc>
      </w:tr>
      <w:tr w:rsidR="00B413AC" w:rsidRPr="001A431A" w14:paraId="6EF75D46" w14:textId="77777777" w:rsidTr="0000541F">
        <w:trPr>
          <w:trHeight w:val="338"/>
        </w:trPr>
        <w:tc>
          <w:tcPr>
            <w:tcW w:w="15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ACA7F" w14:textId="77777777" w:rsidR="00B413AC" w:rsidRPr="001A431A" w:rsidRDefault="00B413AC" w:rsidP="00F47611">
            <w:pPr>
              <w:ind w:left="36"/>
              <w:rPr>
                <w:sz w:val="24"/>
                <w:szCs w:val="24"/>
              </w:rPr>
            </w:pPr>
            <w:r w:rsidRPr="001A431A">
              <w:rPr>
                <w:sz w:val="24"/>
                <w:szCs w:val="24"/>
              </w:rPr>
              <w:lastRenderedPageBreak/>
              <w:t xml:space="preserve">Undersøgelser </w:t>
            </w:r>
          </w:p>
        </w:tc>
        <w:tc>
          <w:tcPr>
            <w:tcW w:w="3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76A57" w14:textId="77777777" w:rsidR="00B413AC" w:rsidRPr="001A431A" w:rsidRDefault="00B413AC" w:rsidP="00F47611">
            <w:pPr>
              <w:ind w:left="36"/>
              <w:rPr>
                <w:sz w:val="24"/>
                <w:szCs w:val="24"/>
              </w:rPr>
            </w:pPr>
            <w:r w:rsidRPr="001A431A">
              <w:rPr>
                <w:i/>
                <w:iCs/>
                <w:sz w:val="24"/>
                <w:szCs w:val="24"/>
              </w:rPr>
              <w:t>Almindelig</w:t>
            </w:r>
            <w:r w:rsidRPr="001A431A">
              <w:rPr>
                <w:sz w:val="24"/>
                <w:szCs w:val="24"/>
              </w:rPr>
              <w:t xml:space="preserve">: nedsat mængde </w:t>
            </w:r>
            <w:proofErr w:type="spellStart"/>
            <w:r w:rsidRPr="001A431A">
              <w:rPr>
                <w:sz w:val="24"/>
                <w:szCs w:val="24"/>
              </w:rPr>
              <w:t>ejakulat</w:t>
            </w:r>
            <w:proofErr w:type="spellEnd"/>
          </w:p>
        </w:tc>
      </w:tr>
    </w:tbl>
    <w:p w14:paraId="22C2462F" w14:textId="77777777" w:rsidR="00B413AC" w:rsidRPr="001A431A" w:rsidRDefault="00B413AC" w:rsidP="00B413AC">
      <w:pPr>
        <w:ind w:left="567" w:hanging="567"/>
        <w:rPr>
          <w:sz w:val="24"/>
          <w:szCs w:val="24"/>
          <w:lang w:val="en-US"/>
        </w:rPr>
      </w:pPr>
    </w:p>
    <w:p w14:paraId="120B4761" w14:textId="77777777" w:rsidR="00B413AC" w:rsidRPr="001A431A" w:rsidRDefault="00B413AC" w:rsidP="00205EB3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Derudover er følgende indberettet i kliniske forsøg og efter markedsføring: brystcancer hos mænd (se pkt. 4.4). </w:t>
      </w:r>
    </w:p>
    <w:p w14:paraId="55BE0098" w14:textId="77777777" w:rsidR="00B413AC" w:rsidRPr="001A431A" w:rsidRDefault="00B413AC" w:rsidP="00205EB3">
      <w:pPr>
        <w:ind w:left="851"/>
        <w:rPr>
          <w:sz w:val="24"/>
          <w:szCs w:val="24"/>
        </w:rPr>
      </w:pPr>
    </w:p>
    <w:p w14:paraId="7529B56F" w14:textId="77777777" w:rsidR="00B413AC" w:rsidRPr="001A431A" w:rsidRDefault="00B413AC" w:rsidP="00205EB3">
      <w:pPr>
        <w:ind w:left="851"/>
        <w:rPr>
          <w:bCs/>
          <w:i/>
          <w:sz w:val="24"/>
          <w:szCs w:val="24"/>
        </w:rPr>
      </w:pPr>
      <w:r w:rsidRPr="001A431A">
        <w:rPr>
          <w:bCs/>
          <w:i/>
          <w:sz w:val="24"/>
          <w:szCs w:val="24"/>
        </w:rPr>
        <w:t>Medicinsk behandling af prostatasymptomer (MTOPS)</w:t>
      </w:r>
    </w:p>
    <w:p w14:paraId="5C226AF1" w14:textId="77777777" w:rsidR="00B413AC" w:rsidRPr="001A431A" w:rsidRDefault="00B413AC" w:rsidP="00205EB3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MTOPS- undersøgelser sammenlignede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5 mg/dag (n= 768), </w:t>
      </w:r>
      <w:proofErr w:type="spellStart"/>
      <w:r w:rsidRPr="001A431A">
        <w:rPr>
          <w:sz w:val="24"/>
          <w:szCs w:val="24"/>
        </w:rPr>
        <w:t>doxazosin</w:t>
      </w:r>
      <w:proofErr w:type="spellEnd"/>
      <w:r w:rsidRPr="001A431A">
        <w:rPr>
          <w:sz w:val="24"/>
          <w:szCs w:val="24"/>
        </w:rPr>
        <w:t xml:space="preserve"> 4 eller 8 mg/dag (n= 756), kombinationsbehandling med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5 mg/dag og </w:t>
      </w:r>
      <w:proofErr w:type="spellStart"/>
      <w:r w:rsidRPr="001A431A">
        <w:rPr>
          <w:sz w:val="24"/>
          <w:szCs w:val="24"/>
        </w:rPr>
        <w:t>doxazosin</w:t>
      </w:r>
      <w:proofErr w:type="spellEnd"/>
      <w:r w:rsidRPr="001A431A">
        <w:rPr>
          <w:sz w:val="24"/>
          <w:szCs w:val="24"/>
        </w:rPr>
        <w:t xml:space="preserve"> 4 eller 8 mg/dag (n= 786), og placebo (n= 737). I denne undersøgelse var sikkerheds- og toleranceprofilen for den kombinerede behandling generelt den samme som profilen for de individuelle komponenter.  </w:t>
      </w:r>
    </w:p>
    <w:p w14:paraId="2F6D9710" w14:textId="77777777" w:rsidR="00B413AC" w:rsidRPr="001A431A" w:rsidRDefault="00B413AC" w:rsidP="00205EB3">
      <w:pPr>
        <w:ind w:left="851"/>
        <w:rPr>
          <w:i/>
          <w:iCs/>
          <w:sz w:val="24"/>
          <w:szCs w:val="24"/>
        </w:rPr>
      </w:pPr>
    </w:p>
    <w:p w14:paraId="1A490FCA" w14:textId="77777777" w:rsidR="00B413AC" w:rsidRPr="001A431A" w:rsidRDefault="00B413AC" w:rsidP="00205EB3">
      <w:pPr>
        <w:ind w:left="851"/>
        <w:rPr>
          <w:i/>
          <w:iCs/>
          <w:sz w:val="24"/>
          <w:szCs w:val="24"/>
        </w:rPr>
      </w:pPr>
      <w:r w:rsidRPr="001A431A">
        <w:rPr>
          <w:i/>
          <w:iCs/>
          <w:sz w:val="24"/>
          <w:szCs w:val="24"/>
        </w:rPr>
        <w:t xml:space="preserve">Kombinationsbehandling med </w:t>
      </w:r>
      <w:proofErr w:type="spellStart"/>
      <w:r w:rsidRPr="001A431A">
        <w:rPr>
          <w:i/>
          <w:iCs/>
          <w:sz w:val="24"/>
          <w:szCs w:val="24"/>
        </w:rPr>
        <w:t>doxazosin</w:t>
      </w:r>
      <w:proofErr w:type="spellEnd"/>
    </w:p>
    <w:p w14:paraId="7FEF7D17" w14:textId="77777777" w:rsidR="00B413AC" w:rsidRPr="001A431A" w:rsidRDefault="00B413AC" w:rsidP="00205EB3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Følgende bivirkninger blev observeret hyppigere, når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blev brugt samtidigt med alpha-receptor-antagonisten </w:t>
      </w:r>
      <w:proofErr w:type="spellStart"/>
      <w:r w:rsidRPr="001A431A">
        <w:rPr>
          <w:sz w:val="24"/>
          <w:szCs w:val="24"/>
        </w:rPr>
        <w:t>doxazosin</w:t>
      </w:r>
      <w:proofErr w:type="spellEnd"/>
      <w:r w:rsidRPr="001A431A">
        <w:rPr>
          <w:sz w:val="24"/>
          <w:szCs w:val="24"/>
        </w:rPr>
        <w:t xml:space="preserve">: Asteni (16,8 % (placebo 7,1 %), </w:t>
      </w:r>
      <w:proofErr w:type="spellStart"/>
      <w:r w:rsidRPr="001A431A">
        <w:rPr>
          <w:sz w:val="24"/>
          <w:szCs w:val="24"/>
        </w:rPr>
        <w:t>postural</w:t>
      </w:r>
      <w:proofErr w:type="spellEnd"/>
      <w:r w:rsidRPr="001A431A">
        <w:rPr>
          <w:sz w:val="24"/>
          <w:szCs w:val="24"/>
        </w:rPr>
        <w:t xml:space="preserve"> hypotension (17,8 % (placebo 8,0 %)) svimmelhed/</w:t>
      </w:r>
      <w:proofErr w:type="spellStart"/>
      <w:r w:rsidRPr="001A431A">
        <w:rPr>
          <w:sz w:val="24"/>
          <w:szCs w:val="24"/>
        </w:rPr>
        <w:t>vertigo</w:t>
      </w:r>
      <w:proofErr w:type="spellEnd"/>
      <w:r w:rsidRPr="001A431A">
        <w:rPr>
          <w:sz w:val="24"/>
          <w:szCs w:val="24"/>
        </w:rPr>
        <w:t xml:space="preserve"> 23,2 % (placebo 8,1 %) og ejakulationsforstyrrelser (14,1 % (placebo 2,3 %).</w:t>
      </w:r>
    </w:p>
    <w:p w14:paraId="219ECADA" w14:textId="77777777" w:rsidR="00B413AC" w:rsidRPr="001A431A" w:rsidRDefault="00B413AC" w:rsidP="00205EB3">
      <w:pPr>
        <w:ind w:left="851"/>
        <w:rPr>
          <w:sz w:val="24"/>
          <w:szCs w:val="24"/>
        </w:rPr>
      </w:pPr>
    </w:p>
    <w:p w14:paraId="63D8CB75" w14:textId="77777777" w:rsidR="00B413AC" w:rsidRPr="001A431A" w:rsidRDefault="00B413AC" w:rsidP="00205EB3">
      <w:pPr>
        <w:ind w:left="851"/>
        <w:rPr>
          <w:sz w:val="24"/>
          <w:szCs w:val="24"/>
        </w:rPr>
      </w:pPr>
      <w:r w:rsidRPr="001A431A">
        <w:rPr>
          <w:i/>
          <w:iCs/>
          <w:sz w:val="24"/>
          <w:szCs w:val="24"/>
        </w:rPr>
        <w:t xml:space="preserve">Laboratoriefund </w:t>
      </w:r>
      <w:r w:rsidRPr="001A431A">
        <w:rPr>
          <w:sz w:val="24"/>
          <w:szCs w:val="24"/>
        </w:rPr>
        <w:t xml:space="preserve"> </w:t>
      </w:r>
    </w:p>
    <w:p w14:paraId="0F024589" w14:textId="77777777" w:rsidR="00B413AC" w:rsidRPr="001A431A" w:rsidRDefault="00B413AC" w:rsidP="00205EB3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Når PSA-laboratoriebestemmelser bliver evalueret, bør det tages i betragtning, at PSA-niveauer generelt falder hos patienter, som behandles med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(se pkt. 4.4).</w:t>
      </w:r>
    </w:p>
    <w:p w14:paraId="6532602D" w14:textId="77777777" w:rsidR="00B413AC" w:rsidRPr="001A431A" w:rsidRDefault="00B413AC" w:rsidP="00205EB3">
      <w:pPr>
        <w:ind w:left="851"/>
        <w:rPr>
          <w:sz w:val="24"/>
          <w:szCs w:val="24"/>
        </w:rPr>
      </w:pPr>
    </w:p>
    <w:p w14:paraId="58A07C28" w14:textId="77777777" w:rsidR="00B413AC" w:rsidRPr="001A431A" w:rsidRDefault="00B413AC" w:rsidP="00205EB3">
      <w:pPr>
        <w:ind w:left="851"/>
        <w:rPr>
          <w:i/>
          <w:iCs/>
          <w:sz w:val="24"/>
          <w:szCs w:val="24"/>
        </w:rPr>
      </w:pPr>
      <w:r w:rsidRPr="001A431A">
        <w:rPr>
          <w:i/>
          <w:iCs/>
          <w:sz w:val="24"/>
          <w:szCs w:val="24"/>
        </w:rPr>
        <w:t xml:space="preserve">Andre langtidsdata </w:t>
      </w:r>
    </w:p>
    <w:p w14:paraId="1FC7F442" w14:textId="77777777" w:rsidR="00B413AC" w:rsidRPr="001A431A" w:rsidRDefault="00B413AC" w:rsidP="00205EB3">
      <w:pPr>
        <w:tabs>
          <w:tab w:val="left" w:pos="1304"/>
        </w:tabs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I en 7-årig placebokontrolleret undersøgelse, der omfattede 18.882 raske mænd, hvoraf 9.060 fik prostatanålebiopsi, og hvor data er tilgængelig for analyse, påvistes der prostatacancer hos 803 (18,4 %) mænd, som fik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og hos 1.147 (24,4 %) mænd, som fik placebo. I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-gruppen havde 280 (6,4 %) mænd prostatacancer med </w:t>
      </w:r>
      <w:proofErr w:type="spellStart"/>
      <w:r w:rsidRPr="001A431A">
        <w:rPr>
          <w:sz w:val="24"/>
          <w:szCs w:val="24"/>
        </w:rPr>
        <w:t>Gleason</w:t>
      </w:r>
      <w:proofErr w:type="spellEnd"/>
      <w:r w:rsidRPr="001A431A">
        <w:rPr>
          <w:sz w:val="24"/>
          <w:szCs w:val="24"/>
        </w:rPr>
        <w:t xml:space="preserve">-score på 7-10 påvist ved nålebiopsi mod 237 (5,1 %) mænd i </w:t>
      </w:r>
      <w:proofErr w:type="spellStart"/>
      <w:r w:rsidRPr="001A431A">
        <w:rPr>
          <w:sz w:val="24"/>
          <w:szCs w:val="24"/>
        </w:rPr>
        <w:t>placebo-gruppen</w:t>
      </w:r>
      <w:proofErr w:type="spellEnd"/>
      <w:r w:rsidRPr="001A431A">
        <w:rPr>
          <w:sz w:val="24"/>
          <w:szCs w:val="24"/>
        </w:rPr>
        <w:t xml:space="preserve">. Yderligere analyser tyder på, at stigningen i forekomsten af prostatacancer på højt stadie fundet i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-gruppen muligvis kan forklares ved en detektionsbias på grund af </w:t>
      </w:r>
      <w:proofErr w:type="spellStart"/>
      <w:r w:rsidRPr="001A431A">
        <w:rPr>
          <w:sz w:val="24"/>
          <w:szCs w:val="24"/>
        </w:rPr>
        <w:t>finasterids</w:t>
      </w:r>
      <w:proofErr w:type="spellEnd"/>
      <w:r w:rsidRPr="001A431A">
        <w:rPr>
          <w:sz w:val="24"/>
          <w:szCs w:val="24"/>
        </w:rPr>
        <w:t xml:space="preserve"> effekt på prostatavolumen. Ud af det totale antal tilfælde af prostatacancer, som blev diagnosticeret i denne undersøgelse, blev ca. 98 % klassificeret som </w:t>
      </w:r>
      <w:proofErr w:type="spellStart"/>
      <w:r w:rsidRPr="001A431A">
        <w:rPr>
          <w:sz w:val="24"/>
          <w:szCs w:val="24"/>
        </w:rPr>
        <w:t>intrakapsulære</w:t>
      </w:r>
      <w:proofErr w:type="spellEnd"/>
      <w:r w:rsidRPr="001A431A">
        <w:rPr>
          <w:sz w:val="24"/>
          <w:szCs w:val="24"/>
        </w:rPr>
        <w:t xml:space="preserve"> (klinisk stadie T1 eller T2). Den kliniske betydning af </w:t>
      </w:r>
      <w:proofErr w:type="spellStart"/>
      <w:r w:rsidRPr="001A431A">
        <w:rPr>
          <w:sz w:val="24"/>
          <w:szCs w:val="24"/>
        </w:rPr>
        <w:t>Gleason</w:t>
      </w:r>
      <w:proofErr w:type="spellEnd"/>
      <w:r w:rsidRPr="001A431A">
        <w:rPr>
          <w:sz w:val="24"/>
          <w:szCs w:val="24"/>
        </w:rPr>
        <w:t xml:space="preserve">-score på 7-10 kendes ikke. </w:t>
      </w:r>
    </w:p>
    <w:p w14:paraId="54F246C4" w14:textId="77777777" w:rsidR="00B413AC" w:rsidRPr="001A431A" w:rsidRDefault="00B413AC" w:rsidP="00205EB3">
      <w:pPr>
        <w:tabs>
          <w:tab w:val="left" w:pos="1304"/>
        </w:tabs>
        <w:ind w:left="851"/>
        <w:rPr>
          <w:sz w:val="24"/>
          <w:szCs w:val="24"/>
        </w:rPr>
      </w:pPr>
    </w:p>
    <w:p w14:paraId="5A7FD262" w14:textId="77777777" w:rsidR="001A431A" w:rsidRDefault="001A431A" w:rsidP="001A431A">
      <w:pPr>
        <w:autoSpaceDE w:val="0"/>
        <w:autoSpaceDN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Indberetning af formodede bivirkninger</w:t>
      </w:r>
    </w:p>
    <w:p w14:paraId="74B6E100" w14:textId="76E2C6B1" w:rsidR="001A431A" w:rsidRDefault="001A431A" w:rsidP="001A431A">
      <w:pPr>
        <w:ind w:left="851"/>
        <w:rPr>
          <w:sz w:val="24"/>
          <w:szCs w:val="24"/>
        </w:rPr>
      </w:pPr>
      <w:r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-forholdet for lægemidlet. </w:t>
      </w:r>
      <w:r w:rsidR="004779F0">
        <w:rPr>
          <w:sz w:val="24"/>
          <w:szCs w:val="24"/>
        </w:rPr>
        <w:t>S</w:t>
      </w:r>
      <w:r>
        <w:rPr>
          <w:sz w:val="24"/>
          <w:szCs w:val="24"/>
        </w:rPr>
        <w:t>undhedsperson</w:t>
      </w:r>
      <w:r w:rsidR="004779F0">
        <w:rPr>
          <w:sz w:val="24"/>
          <w:szCs w:val="24"/>
        </w:rPr>
        <w:t>er</w:t>
      </w:r>
      <w:r>
        <w:rPr>
          <w:sz w:val="24"/>
          <w:szCs w:val="24"/>
        </w:rPr>
        <w:t xml:space="preserve"> anmodes om at indberette alle formodede bivirkninger via:</w:t>
      </w:r>
    </w:p>
    <w:p w14:paraId="26E2B051" w14:textId="77777777" w:rsidR="001A431A" w:rsidRDefault="001A431A" w:rsidP="001A431A">
      <w:pPr>
        <w:tabs>
          <w:tab w:val="left" w:pos="2440"/>
        </w:tabs>
        <w:ind w:left="851"/>
        <w:rPr>
          <w:sz w:val="24"/>
          <w:szCs w:val="24"/>
        </w:rPr>
      </w:pPr>
    </w:p>
    <w:p w14:paraId="6192DBE1" w14:textId="77777777" w:rsidR="001A431A" w:rsidRDefault="001A431A" w:rsidP="001A431A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14:paraId="5A0A3961" w14:textId="77777777" w:rsidR="001A431A" w:rsidRDefault="001A431A" w:rsidP="001A431A">
      <w:pPr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14:paraId="554814A1" w14:textId="77777777" w:rsidR="001A431A" w:rsidRDefault="001A431A" w:rsidP="001A431A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14:paraId="494C4EE3" w14:textId="77777777" w:rsidR="001A431A" w:rsidRDefault="001A431A" w:rsidP="001A431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Websted: </w:t>
      </w:r>
      <w:hyperlink r:id="rId8" w:history="1">
        <w:r>
          <w:rPr>
            <w:rStyle w:val="Hyperlink"/>
            <w:sz w:val="24"/>
            <w:szCs w:val="24"/>
          </w:rPr>
          <w:t>www.meldenbivirkning.dk</w:t>
        </w:r>
      </w:hyperlink>
    </w:p>
    <w:p w14:paraId="550AF613" w14:textId="77777777" w:rsidR="009260DE" w:rsidRPr="001A431A" w:rsidRDefault="009260DE" w:rsidP="009260DE">
      <w:pPr>
        <w:pStyle w:val="Sidehoved"/>
        <w:tabs>
          <w:tab w:val="left" w:pos="851"/>
        </w:tabs>
        <w:ind w:left="851"/>
        <w:rPr>
          <w:szCs w:val="24"/>
        </w:rPr>
      </w:pPr>
    </w:p>
    <w:p w14:paraId="208F23A0" w14:textId="77777777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4.9</w:t>
      </w:r>
      <w:r w:rsidRPr="001A431A">
        <w:rPr>
          <w:b/>
          <w:sz w:val="24"/>
          <w:szCs w:val="24"/>
        </w:rPr>
        <w:tab/>
        <w:t>Overdosering</w:t>
      </w:r>
    </w:p>
    <w:p w14:paraId="3689DA10" w14:textId="77777777" w:rsidR="00B413AC" w:rsidRPr="001A431A" w:rsidRDefault="00B413AC" w:rsidP="00205EB3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Patienter har taget enkeltdoser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på op til 400 mg og gentagne doser på op til 80 mg/døgn i tre måneder uden at få i dosisrelaterede bivirkninger. Der findes ingen specifik behandling af overdosering med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>.</w:t>
      </w:r>
    </w:p>
    <w:p w14:paraId="46973480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1C5F269" w14:textId="77777777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4.10</w:t>
      </w:r>
      <w:r w:rsidRPr="001A431A">
        <w:rPr>
          <w:b/>
          <w:sz w:val="24"/>
          <w:szCs w:val="24"/>
        </w:rPr>
        <w:tab/>
        <w:t>Udlevering</w:t>
      </w:r>
    </w:p>
    <w:p w14:paraId="11F16CCE" w14:textId="6D13350F" w:rsidR="009260DE" w:rsidRPr="001A431A" w:rsidRDefault="00B413AC" w:rsidP="009260DE">
      <w:pPr>
        <w:tabs>
          <w:tab w:val="left" w:pos="851"/>
        </w:tabs>
        <w:ind w:left="851"/>
        <w:rPr>
          <w:sz w:val="24"/>
          <w:szCs w:val="24"/>
        </w:rPr>
      </w:pPr>
      <w:r w:rsidRPr="001A431A">
        <w:rPr>
          <w:sz w:val="24"/>
          <w:szCs w:val="24"/>
        </w:rPr>
        <w:t>B</w:t>
      </w:r>
    </w:p>
    <w:p w14:paraId="75E7D953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A8931B9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C4567B0" w14:textId="77777777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5.</w:t>
      </w:r>
      <w:r w:rsidRPr="001A431A">
        <w:rPr>
          <w:b/>
          <w:sz w:val="24"/>
          <w:szCs w:val="24"/>
        </w:rPr>
        <w:tab/>
        <w:t>FARMAKOLOGISKE EGENSKABER</w:t>
      </w:r>
    </w:p>
    <w:p w14:paraId="2A353C01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74BC276" w14:textId="77777777" w:rsidR="009260DE" w:rsidRPr="001A431A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5.1</w:t>
      </w:r>
      <w:r w:rsidRPr="001A431A">
        <w:rPr>
          <w:b/>
          <w:sz w:val="24"/>
          <w:szCs w:val="24"/>
        </w:rPr>
        <w:tab/>
      </w:r>
      <w:proofErr w:type="spellStart"/>
      <w:r w:rsidRPr="001A431A">
        <w:rPr>
          <w:b/>
          <w:sz w:val="24"/>
          <w:szCs w:val="24"/>
        </w:rPr>
        <w:t>Farmakodynamiske</w:t>
      </w:r>
      <w:proofErr w:type="spellEnd"/>
      <w:r w:rsidRPr="001A431A">
        <w:rPr>
          <w:b/>
          <w:sz w:val="24"/>
          <w:szCs w:val="24"/>
        </w:rPr>
        <w:t xml:space="preserve"> egenskaber</w:t>
      </w:r>
    </w:p>
    <w:p w14:paraId="76C1BC90" w14:textId="77777777" w:rsidR="004779F0" w:rsidRPr="001A431A" w:rsidRDefault="004779F0" w:rsidP="004779F0">
      <w:pPr>
        <w:ind w:left="851"/>
        <w:rPr>
          <w:sz w:val="24"/>
          <w:szCs w:val="24"/>
        </w:rPr>
      </w:pPr>
      <w:proofErr w:type="spellStart"/>
      <w:r w:rsidRPr="00C922B2">
        <w:rPr>
          <w:sz w:val="24"/>
          <w:szCs w:val="24"/>
        </w:rPr>
        <w:t>Farmakoterapeutisk</w:t>
      </w:r>
      <w:proofErr w:type="spellEnd"/>
      <w:r w:rsidRPr="00C922B2">
        <w:rPr>
          <w:sz w:val="24"/>
          <w:szCs w:val="24"/>
        </w:rPr>
        <w:t xml:space="preserve"> klassifikation:</w:t>
      </w:r>
      <w:r>
        <w:rPr>
          <w:sz w:val="24"/>
          <w:szCs w:val="24"/>
        </w:rPr>
        <w:t xml:space="preserve"> </w:t>
      </w:r>
      <w:r w:rsidRPr="001A431A">
        <w:rPr>
          <w:sz w:val="24"/>
          <w:szCs w:val="24"/>
        </w:rPr>
        <w:t>Testosteron-5-α-</w:t>
      </w:r>
      <w:proofErr w:type="spellStart"/>
      <w:r w:rsidRPr="001A431A">
        <w:rPr>
          <w:sz w:val="24"/>
          <w:szCs w:val="24"/>
        </w:rPr>
        <w:t>reduktasehæmmere</w:t>
      </w:r>
      <w:proofErr w:type="spellEnd"/>
      <w:r w:rsidRPr="001A431A">
        <w:rPr>
          <w:sz w:val="24"/>
          <w:szCs w:val="24"/>
        </w:rPr>
        <w:t>.</w:t>
      </w:r>
    </w:p>
    <w:p w14:paraId="08C363B2" w14:textId="7B433786" w:rsidR="005F1642" w:rsidRDefault="004779F0" w:rsidP="00205EB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A431A">
        <w:rPr>
          <w:sz w:val="24"/>
          <w:szCs w:val="24"/>
        </w:rPr>
        <w:t>ATC-kode: G</w:t>
      </w:r>
      <w:r>
        <w:rPr>
          <w:sz w:val="24"/>
          <w:szCs w:val="24"/>
        </w:rPr>
        <w:t xml:space="preserve"> </w:t>
      </w:r>
      <w:r w:rsidRPr="001A431A">
        <w:rPr>
          <w:sz w:val="24"/>
          <w:szCs w:val="24"/>
        </w:rPr>
        <w:t>04</w:t>
      </w:r>
      <w:r>
        <w:rPr>
          <w:sz w:val="24"/>
          <w:szCs w:val="24"/>
        </w:rPr>
        <w:t xml:space="preserve"> </w:t>
      </w:r>
      <w:r w:rsidRPr="001A431A">
        <w:rPr>
          <w:sz w:val="24"/>
          <w:szCs w:val="24"/>
        </w:rPr>
        <w:t>CB 01.</w:t>
      </w:r>
    </w:p>
    <w:p w14:paraId="5CB6123E" w14:textId="77777777" w:rsidR="004779F0" w:rsidRDefault="004779F0" w:rsidP="00205EB3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14:paraId="1133FA36" w14:textId="08C500FB" w:rsidR="00B413AC" w:rsidRPr="001A431A" w:rsidRDefault="00B413AC" w:rsidP="00205EB3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1A431A">
        <w:rPr>
          <w:sz w:val="24"/>
          <w:szCs w:val="24"/>
          <w:u w:val="single"/>
        </w:rPr>
        <w:t>Virkningsmekanisme</w:t>
      </w:r>
    </w:p>
    <w:p w14:paraId="1212AA95" w14:textId="77777777" w:rsidR="00B413AC" w:rsidRPr="001A431A" w:rsidRDefault="00B413AC" w:rsidP="00205EB3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er en syntetisk 4-azasteroid – en specifik </w:t>
      </w:r>
      <w:proofErr w:type="spellStart"/>
      <w:r w:rsidRPr="001A431A">
        <w:rPr>
          <w:sz w:val="24"/>
          <w:szCs w:val="24"/>
        </w:rPr>
        <w:t>kompetitiv</w:t>
      </w:r>
      <w:proofErr w:type="spellEnd"/>
      <w:r w:rsidRPr="001A431A">
        <w:rPr>
          <w:sz w:val="24"/>
          <w:szCs w:val="24"/>
        </w:rPr>
        <w:t xml:space="preserve"> hæmmer af det intracellulære enzym, type-II-5-α-</w:t>
      </w:r>
      <w:proofErr w:type="spellStart"/>
      <w:r w:rsidRPr="001A431A">
        <w:rPr>
          <w:sz w:val="24"/>
          <w:szCs w:val="24"/>
        </w:rPr>
        <w:t>reduktase</w:t>
      </w:r>
      <w:proofErr w:type="spellEnd"/>
      <w:r w:rsidRPr="001A431A">
        <w:rPr>
          <w:sz w:val="24"/>
          <w:szCs w:val="24"/>
        </w:rPr>
        <w:t xml:space="preserve">. Enzymet omdanner testosteron til det mere potente </w:t>
      </w:r>
      <w:proofErr w:type="spellStart"/>
      <w:r w:rsidRPr="001A431A">
        <w:rPr>
          <w:sz w:val="24"/>
          <w:szCs w:val="24"/>
        </w:rPr>
        <w:t>androgen</w:t>
      </w:r>
      <w:proofErr w:type="spellEnd"/>
      <w:r w:rsidRPr="001A431A">
        <w:rPr>
          <w:sz w:val="24"/>
          <w:szCs w:val="24"/>
        </w:rPr>
        <w:t xml:space="preserve"> </w:t>
      </w:r>
      <w:proofErr w:type="spellStart"/>
      <w:r w:rsidRPr="001A431A">
        <w:rPr>
          <w:sz w:val="24"/>
          <w:szCs w:val="24"/>
        </w:rPr>
        <w:t>dihydrotestosteron</w:t>
      </w:r>
      <w:proofErr w:type="spellEnd"/>
      <w:r w:rsidRPr="001A431A">
        <w:rPr>
          <w:sz w:val="24"/>
          <w:szCs w:val="24"/>
        </w:rPr>
        <w:t xml:space="preserve"> (DHT). Prostata og dermed også </w:t>
      </w:r>
      <w:proofErr w:type="spellStart"/>
      <w:r w:rsidRPr="001A431A">
        <w:rPr>
          <w:sz w:val="24"/>
          <w:szCs w:val="24"/>
        </w:rPr>
        <w:t>hyperplasisk</w:t>
      </w:r>
      <w:proofErr w:type="spellEnd"/>
      <w:r w:rsidRPr="001A431A">
        <w:rPr>
          <w:sz w:val="24"/>
          <w:szCs w:val="24"/>
        </w:rPr>
        <w:t xml:space="preserve"> prostatavæv er afhængige af omdannelsen af testosteron til DHT for normal funktion og vækst.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har ingen affinitet til </w:t>
      </w:r>
      <w:proofErr w:type="spellStart"/>
      <w:r w:rsidRPr="001A431A">
        <w:rPr>
          <w:sz w:val="24"/>
          <w:szCs w:val="24"/>
        </w:rPr>
        <w:t>androgenreceptoren</w:t>
      </w:r>
      <w:proofErr w:type="spellEnd"/>
      <w:r w:rsidRPr="001A431A">
        <w:rPr>
          <w:sz w:val="24"/>
          <w:szCs w:val="24"/>
        </w:rPr>
        <w:t>.</w:t>
      </w:r>
    </w:p>
    <w:p w14:paraId="7126DC1C" w14:textId="77777777" w:rsidR="00B413AC" w:rsidRPr="001A431A" w:rsidRDefault="00B413AC" w:rsidP="00205EB3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14:paraId="7AD71109" w14:textId="77777777" w:rsidR="00B413AC" w:rsidRPr="001A431A" w:rsidRDefault="00B413AC" w:rsidP="00205EB3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1A431A">
        <w:rPr>
          <w:sz w:val="24"/>
          <w:szCs w:val="24"/>
          <w:u w:val="single"/>
        </w:rPr>
        <w:t>Klinisk virkning og sikkerhed</w:t>
      </w:r>
    </w:p>
    <w:p w14:paraId="27B571A5" w14:textId="77777777" w:rsidR="00B413AC" w:rsidRPr="001A431A" w:rsidRDefault="00B413AC" w:rsidP="00205EB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Kliniske undersøgelser viser en hurtig reduktion af DHT-niveauerne i serum på 70 %, som fører til en reduktion af prostatavolumen. Efter 3 måneder ses en reduktion på ca. 20 % i prostatas volumen, og formindskelsen fortsætter og når ca. 27 % efter 3 år. Der sker en markant reduktion i det </w:t>
      </w:r>
      <w:proofErr w:type="spellStart"/>
      <w:r w:rsidRPr="001A431A">
        <w:rPr>
          <w:sz w:val="24"/>
          <w:szCs w:val="24"/>
        </w:rPr>
        <w:t>periurethrale</w:t>
      </w:r>
      <w:proofErr w:type="spellEnd"/>
      <w:r w:rsidRPr="001A431A">
        <w:rPr>
          <w:sz w:val="24"/>
          <w:szCs w:val="24"/>
        </w:rPr>
        <w:t xml:space="preserve"> område, der omslutter </w:t>
      </w:r>
      <w:proofErr w:type="spellStart"/>
      <w:r w:rsidRPr="001A431A">
        <w:rPr>
          <w:sz w:val="24"/>
          <w:szCs w:val="24"/>
        </w:rPr>
        <w:t>urethra</w:t>
      </w:r>
      <w:proofErr w:type="spellEnd"/>
      <w:r w:rsidRPr="001A431A">
        <w:rPr>
          <w:sz w:val="24"/>
          <w:szCs w:val="24"/>
        </w:rPr>
        <w:t xml:space="preserve">. Urodynamiske undersøgelser har også bekræftet en signifikant reduktion i </w:t>
      </w:r>
      <w:proofErr w:type="spellStart"/>
      <w:r w:rsidRPr="001A431A">
        <w:rPr>
          <w:sz w:val="24"/>
          <w:szCs w:val="24"/>
        </w:rPr>
        <w:t>detrusortryk</w:t>
      </w:r>
      <w:proofErr w:type="spellEnd"/>
      <w:r w:rsidRPr="001A431A">
        <w:rPr>
          <w:sz w:val="24"/>
          <w:szCs w:val="24"/>
        </w:rPr>
        <w:t xml:space="preserve"> som et resultat af den reducerede obstruktion.</w:t>
      </w:r>
    </w:p>
    <w:p w14:paraId="76D585A7" w14:textId="77777777" w:rsidR="00B413AC" w:rsidRPr="001A431A" w:rsidRDefault="00B413AC" w:rsidP="00205EB3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78755924" w14:textId="77777777" w:rsidR="00B413AC" w:rsidRPr="001A431A" w:rsidRDefault="00B413AC" w:rsidP="00205EB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A431A">
        <w:rPr>
          <w:sz w:val="24"/>
          <w:szCs w:val="24"/>
        </w:rPr>
        <w:t>Der opnås signifikante forbedringer i den maksimale urinflowhastighed og af symptomerne efter nogle få uger, sammenlignet med behandlingens start. Forskellene fra placebo er blevet dokumenteret ved henholdsvis 4 og 7 måneder.</w:t>
      </w:r>
    </w:p>
    <w:p w14:paraId="48E9B57C" w14:textId="77777777" w:rsidR="00B413AC" w:rsidRPr="001A431A" w:rsidRDefault="00B413AC" w:rsidP="00205EB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A431A">
        <w:rPr>
          <w:sz w:val="24"/>
          <w:szCs w:val="24"/>
        </w:rPr>
        <w:t>Alle virkningsparametre bevares over en 3-års opfølgningsperiode.</w:t>
      </w:r>
    </w:p>
    <w:p w14:paraId="48E4362E" w14:textId="77777777" w:rsidR="00B413AC" w:rsidRPr="001A431A" w:rsidRDefault="00B413AC" w:rsidP="00205EB3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75FF5E45" w14:textId="77777777" w:rsidR="00B413AC" w:rsidRPr="001A431A" w:rsidRDefault="00B413AC" w:rsidP="00205EB3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1A431A">
        <w:rPr>
          <w:sz w:val="24"/>
          <w:szCs w:val="24"/>
          <w:u w:val="single"/>
        </w:rPr>
        <w:t xml:space="preserve">Virkninger efter 4 års </w:t>
      </w:r>
      <w:proofErr w:type="spellStart"/>
      <w:r w:rsidRPr="001A431A">
        <w:rPr>
          <w:sz w:val="24"/>
          <w:szCs w:val="24"/>
          <w:u w:val="single"/>
        </w:rPr>
        <w:t>finasteridbehandling</w:t>
      </w:r>
      <w:proofErr w:type="spellEnd"/>
      <w:r w:rsidRPr="001A431A">
        <w:rPr>
          <w:sz w:val="24"/>
          <w:szCs w:val="24"/>
          <w:u w:val="single"/>
        </w:rPr>
        <w:t xml:space="preserve"> på hyppigheden af akut urinretention, behovet for kirurgisk indgreb, symptom-score og prostatavolumen</w:t>
      </w:r>
    </w:p>
    <w:p w14:paraId="60D07BEB" w14:textId="77777777" w:rsidR="00B413AC" w:rsidRPr="001A431A" w:rsidRDefault="00B413AC" w:rsidP="00205EB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I kliniske undersøgelser med patienter med moderate til svære symptomer på benign </w:t>
      </w:r>
      <w:proofErr w:type="spellStart"/>
      <w:r w:rsidRPr="001A431A">
        <w:rPr>
          <w:sz w:val="24"/>
          <w:szCs w:val="24"/>
        </w:rPr>
        <w:t>prostatahyperplasi</w:t>
      </w:r>
      <w:proofErr w:type="spellEnd"/>
      <w:r w:rsidRPr="001A431A">
        <w:rPr>
          <w:sz w:val="24"/>
          <w:szCs w:val="24"/>
        </w:rPr>
        <w:t xml:space="preserve">, forstørret prostata påvist ved digital </w:t>
      </w:r>
      <w:proofErr w:type="spellStart"/>
      <w:r w:rsidRPr="001A431A">
        <w:rPr>
          <w:sz w:val="24"/>
          <w:szCs w:val="24"/>
        </w:rPr>
        <w:t>rektal</w:t>
      </w:r>
      <w:proofErr w:type="spellEnd"/>
      <w:r w:rsidRPr="001A431A">
        <w:rPr>
          <w:sz w:val="24"/>
          <w:szCs w:val="24"/>
        </w:rPr>
        <w:t xml:space="preserve"> undersøgelse og lave residualurinvolumener, reducerede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forekomsten af akut urinretention fra 7/100 til 3/100 i løbet af 4 år og behovet for kirurgisk indgreb (TURP eller </w:t>
      </w:r>
      <w:proofErr w:type="spellStart"/>
      <w:r w:rsidRPr="001A431A">
        <w:rPr>
          <w:sz w:val="24"/>
          <w:szCs w:val="24"/>
        </w:rPr>
        <w:t>prostatektomi</w:t>
      </w:r>
      <w:proofErr w:type="spellEnd"/>
      <w:r w:rsidRPr="001A431A">
        <w:rPr>
          <w:sz w:val="24"/>
          <w:szCs w:val="24"/>
        </w:rPr>
        <w:t>) fra 10/100 til 5/100. Disse reduktioner blev forbundet med en forbedring på 2 point på QUASI-AUA-symptomscoren (interval 0-34), en varig regression af prostatavolumen på ca. 20 % og en varig stigning i urinflowhastigheden.</w:t>
      </w:r>
    </w:p>
    <w:p w14:paraId="392ED424" w14:textId="77777777" w:rsidR="00B413AC" w:rsidRPr="001A431A" w:rsidRDefault="00B413AC" w:rsidP="00205EB3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548D46E3" w14:textId="77777777" w:rsidR="00B413AC" w:rsidRPr="001A431A" w:rsidRDefault="00B413AC" w:rsidP="00205EB3">
      <w:pPr>
        <w:ind w:left="851"/>
        <w:rPr>
          <w:iCs/>
          <w:sz w:val="24"/>
          <w:szCs w:val="24"/>
          <w:u w:val="single"/>
        </w:rPr>
      </w:pPr>
      <w:r w:rsidRPr="001A431A">
        <w:rPr>
          <w:iCs/>
          <w:sz w:val="24"/>
          <w:szCs w:val="24"/>
          <w:u w:val="single"/>
        </w:rPr>
        <w:t>Medicinsk behandling af prostatasymptomer</w:t>
      </w:r>
    </w:p>
    <w:p w14:paraId="4AE55C30" w14:textId="4EAFB6CB" w:rsidR="00B413AC" w:rsidRPr="001A431A" w:rsidRDefault="00B413AC" w:rsidP="00205EB3">
      <w:pPr>
        <w:ind w:left="851"/>
        <w:rPr>
          <w:iCs/>
          <w:sz w:val="24"/>
          <w:szCs w:val="24"/>
        </w:rPr>
      </w:pPr>
      <w:r w:rsidRPr="001A431A">
        <w:rPr>
          <w:sz w:val="24"/>
          <w:szCs w:val="24"/>
        </w:rPr>
        <w:t xml:space="preserve">MTOPS-undersøgelsen var en 4-6 års undersøgelse hos 3047 mænd med symptomatisk BPH, som var randomiseret til at få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5 mg/dag, </w:t>
      </w:r>
      <w:proofErr w:type="spellStart"/>
      <w:r w:rsidRPr="001A431A">
        <w:rPr>
          <w:sz w:val="24"/>
          <w:szCs w:val="24"/>
        </w:rPr>
        <w:t>doxazosin</w:t>
      </w:r>
      <w:proofErr w:type="spellEnd"/>
      <w:r w:rsidRPr="001A431A">
        <w:rPr>
          <w:sz w:val="24"/>
          <w:szCs w:val="24"/>
        </w:rPr>
        <w:t xml:space="preserve"> 4 eller 8 mg/dag*, kombination af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5 mg/dag og </w:t>
      </w:r>
      <w:proofErr w:type="spellStart"/>
      <w:r w:rsidRPr="001A431A">
        <w:rPr>
          <w:sz w:val="24"/>
          <w:szCs w:val="24"/>
        </w:rPr>
        <w:t>doxazosin</w:t>
      </w:r>
      <w:proofErr w:type="spellEnd"/>
      <w:r w:rsidRPr="001A431A">
        <w:rPr>
          <w:sz w:val="24"/>
          <w:szCs w:val="24"/>
        </w:rPr>
        <w:t xml:space="preserve"> 4 eller 8 mg/dag*, eller placebo.  Det primære </w:t>
      </w:r>
      <w:proofErr w:type="spellStart"/>
      <w:r w:rsidRPr="001A431A">
        <w:rPr>
          <w:sz w:val="24"/>
          <w:szCs w:val="24"/>
        </w:rPr>
        <w:t>endpoint</w:t>
      </w:r>
      <w:proofErr w:type="spellEnd"/>
      <w:r w:rsidRPr="001A431A">
        <w:rPr>
          <w:sz w:val="24"/>
          <w:szCs w:val="24"/>
        </w:rPr>
        <w:t xml:space="preserve"> var tiden til klinisk progression af BPH, defineret som en ³4 point stigning fra baseline i symptomscore, akut urinretention, BPH-relateret nyreinsufficiens, gentagne urinvejsinfektioner eller urosepsis eller inkontinens. Sammenlignet med placebo resulterede behandling med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, </w:t>
      </w:r>
      <w:proofErr w:type="spellStart"/>
      <w:r w:rsidRPr="001A431A">
        <w:rPr>
          <w:sz w:val="24"/>
          <w:szCs w:val="24"/>
        </w:rPr>
        <w:t>doxazosin</w:t>
      </w:r>
      <w:proofErr w:type="spellEnd"/>
      <w:r w:rsidRPr="001A431A">
        <w:rPr>
          <w:sz w:val="24"/>
          <w:szCs w:val="24"/>
        </w:rPr>
        <w:t xml:space="preserve"> eller kombinationen i en signifikant reduktion af risikoen for klinisk progression af BPH med henholdsvis 34 (p=0,002), 39 (p&lt;0,001) og 67 % (p&lt;0,001).  Størstedelen af tilfældene (274 af 351), som omfattede </w:t>
      </w:r>
      <w:r w:rsidRPr="001A431A">
        <w:rPr>
          <w:sz w:val="24"/>
          <w:szCs w:val="24"/>
        </w:rPr>
        <w:lastRenderedPageBreak/>
        <w:t xml:space="preserve">BPH-progression, var bekræftede ³4 point stigning i symptomscore. Risikoen for symptom-score-progression var reduceret med 30 (95 % CI 6 til 48 %), 46 (95 % CI 25 til 60 %) og 64 % (95 % CI 48 til 75 %) i hhv.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, </w:t>
      </w:r>
      <w:proofErr w:type="spellStart"/>
      <w:r w:rsidRPr="001A431A">
        <w:rPr>
          <w:sz w:val="24"/>
          <w:szCs w:val="24"/>
        </w:rPr>
        <w:t>doxazosin</w:t>
      </w:r>
      <w:proofErr w:type="spellEnd"/>
      <w:r w:rsidRPr="001A431A">
        <w:rPr>
          <w:sz w:val="24"/>
          <w:szCs w:val="24"/>
        </w:rPr>
        <w:t xml:space="preserve"> og kombinationsgruppen, sammenlignet med placebo.  Akut urinretention sås i 41 af 351 tilfælde af </w:t>
      </w:r>
      <w:r w:rsidR="00132BA9" w:rsidRPr="001A431A">
        <w:rPr>
          <w:sz w:val="24"/>
          <w:szCs w:val="24"/>
        </w:rPr>
        <w:t>BPH-progression</w:t>
      </w:r>
      <w:r w:rsidRPr="001A431A">
        <w:rPr>
          <w:sz w:val="24"/>
          <w:szCs w:val="24"/>
        </w:rPr>
        <w:t xml:space="preserve">. Risikoen for at udvikle akut urinretention reduceredes med henholdsvis 67 (p=0,011), 31 (p=0,296) og 79 % (p=0,001) i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, </w:t>
      </w:r>
      <w:proofErr w:type="spellStart"/>
      <w:r w:rsidRPr="001A431A">
        <w:rPr>
          <w:sz w:val="24"/>
          <w:szCs w:val="24"/>
        </w:rPr>
        <w:t>doxazosin</w:t>
      </w:r>
      <w:proofErr w:type="spellEnd"/>
      <w:r w:rsidRPr="001A431A">
        <w:rPr>
          <w:sz w:val="24"/>
          <w:szCs w:val="24"/>
        </w:rPr>
        <w:t xml:space="preserve"> og kombinations</w:t>
      </w:r>
      <w:r w:rsidR="005F1642">
        <w:rPr>
          <w:sz w:val="24"/>
          <w:szCs w:val="24"/>
        </w:rPr>
        <w:softHyphen/>
      </w:r>
      <w:r w:rsidRPr="001A431A">
        <w:rPr>
          <w:sz w:val="24"/>
          <w:szCs w:val="24"/>
        </w:rPr>
        <w:t xml:space="preserve">gruppen sammenlignet med placebo. Kun grupperne med </w:t>
      </w:r>
      <w:proofErr w:type="spellStart"/>
      <w:r w:rsidRPr="001A431A">
        <w:rPr>
          <w:sz w:val="24"/>
          <w:szCs w:val="24"/>
        </w:rPr>
        <w:t>finasteridbehandling</w:t>
      </w:r>
      <w:proofErr w:type="spellEnd"/>
      <w:r w:rsidRPr="001A431A">
        <w:rPr>
          <w:sz w:val="24"/>
          <w:szCs w:val="24"/>
        </w:rPr>
        <w:t xml:space="preserve"> og kombinationsbehandling var signifikant forskellige fra placebo.</w:t>
      </w:r>
    </w:p>
    <w:p w14:paraId="5C0E8297" w14:textId="77777777" w:rsidR="00B413AC" w:rsidRPr="001A431A" w:rsidRDefault="00B413AC" w:rsidP="00205EB3">
      <w:pPr>
        <w:ind w:left="851"/>
        <w:rPr>
          <w:iCs/>
          <w:sz w:val="24"/>
          <w:szCs w:val="24"/>
        </w:rPr>
      </w:pPr>
    </w:p>
    <w:p w14:paraId="33B4BCF0" w14:textId="77777777" w:rsidR="00B413AC" w:rsidRPr="001A431A" w:rsidRDefault="00B413AC" w:rsidP="00205EB3">
      <w:pPr>
        <w:ind w:left="851"/>
        <w:rPr>
          <w:iCs/>
          <w:sz w:val="24"/>
          <w:szCs w:val="24"/>
        </w:rPr>
      </w:pPr>
      <w:r w:rsidRPr="001A431A">
        <w:rPr>
          <w:sz w:val="24"/>
          <w:szCs w:val="24"/>
        </w:rPr>
        <w:t>* Titreret fra 1 mg til 4 eller 8 mg som tolereret i en periode på 3 uger</w:t>
      </w:r>
    </w:p>
    <w:p w14:paraId="37C1141C" w14:textId="77777777" w:rsidR="00B413AC" w:rsidRPr="001A431A" w:rsidRDefault="00B413AC" w:rsidP="00205EB3">
      <w:pPr>
        <w:ind w:left="851"/>
        <w:rPr>
          <w:iCs/>
          <w:sz w:val="24"/>
          <w:szCs w:val="24"/>
        </w:rPr>
      </w:pPr>
    </w:p>
    <w:p w14:paraId="052D569C" w14:textId="46046A67" w:rsidR="00B413AC" w:rsidRPr="001A431A" w:rsidRDefault="00B413AC" w:rsidP="00205EB3">
      <w:pPr>
        <w:ind w:left="851"/>
        <w:rPr>
          <w:iCs/>
          <w:sz w:val="24"/>
          <w:szCs w:val="24"/>
        </w:rPr>
      </w:pPr>
      <w:r w:rsidRPr="001A431A">
        <w:rPr>
          <w:sz w:val="24"/>
          <w:szCs w:val="24"/>
        </w:rPr>
        <w:t xml:space="preserve">I denne undersøgelse var sikkerheds- og </w:t>
      </w:r>
      <w:proofErr w:type="spellStart"/>
      <w:r w:rsidRPr="001A431A">
        <w:rPr>
          <w:sz w:val="24"/>
          <w:szCs w:val="24"/>
        </w:rPr>
        <w:t>tolerabilitetsprofilen</w:t>
      </w:r>
      <w:proofErr w:type="spellEnd"/>
      <w:r w:rsidRPr="001A431A">
        <w:rPr>
          <w:sz w:val="24"/>
          <w:szCs w:val="24"/>
        </w:rPr>
        <w:t xml:space="preserve"> ved kombinations</w:t>
      </w:r>
      <w:r w:rsidR="005F1642">
        <w:rPr>
          <w:sz w:val="24"/>
          <w:szCs w:val="24"/>
        </w:rPr>
        <w:softHyphen/>
      </w:r>
      <w:r w:rsidRPr="001A431A">
        <w:rPr>
          <w:sz w:val="24"/>
          <w:szCs w:val="24"/>
        </w:rPr>
        <w:t>behandlingen stort set magen til profilen for hvert af lægemidlerne taget separat. Bivirkninger fra organklasserne for nervesystemet og det urogenitale system sås dog hyppigere, når de to lægemidler blev brugt i kombination (se pkt. 4.8).</w:t>
      </w:r>
    </w:p>
    <w:p w14:paraId="35247FEB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4C1E41" w14:textId="77777777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5.2</w:t>
      </w:r>
      <w:r w:rsidRPr="001A431A">
        <w:rPr>
          <w:b/>
          <w:sz w:val="24"/>
          <w:szCs w:val="24"/>
        </w:rPr>
        <w:tab/>
      </w:r>
      <w:proofErr w:type="spellStart"/>
      <w:r w:rsidRPr="001A431A">
        <w:rPr>
          <w:b/>
          <w:sz w:val="24"/>
          <w:szCs w:val="24"/>
        </w:rPr>
        <w:t>Farmakokinetiske</w:t>
      </w:r>
      <w:proofErr w:type="spellEnd"/>
      <w:r w:rsidRPr="001A431A">
        <w:rPr>
          <w:b/>
          <w:sz w:val="24"/>
          <w:szCs w:val="24"/>
        </w:rPr>
        <w:t xml:space="preserve"> egenskaber</w:t>
      </w:r>
    </w:p>
    <w:p w14:paraId="7ABE1FB2" w14:textId="77777777" w:rsidR="005F1642" w:rsidRDefault="005F1642" w:rsidP="00205EB3">
      <w:pPr>
        <w:ind w:left="851"/>
        <w:rPr>
          <w:sz w:val="24"/>
          <w:szCs w:val="24"/>
          <w:u w:val="single"/>
        </w:rPr>
      </w:pPr>
    </w:p>
    <w:p w14:paraId="53B9B195" w14:textId="3272D766" w:rsidR="00B413AC" w:rsidRPr="001A431A" w:rsidRDefault="00B413AC" w:rsidP="00205EB3">
      <w:pPr>
        <w:ind w:left="851"/>
        <w:rPr>
          <w:sz w:val="24"/>
          <w:szCs w:val="24"/>
          <w:u w:val="single"/>
        </w:rPr>
      </w:pPr>
      <w:r w:rsidRPr="001A431A">
        <w:rPr>
          <w:sz w:val="24"/>
          <w:szCs w:val="24"/>
          <w:u w:val="single"/>
        </w:rPr>
        <w:t>Absorption</w:t>
      </w:r>
    </w:p>
    <w:p w14:paraId="15DE8948" w14:textId="77777777" w:rsidR="00B413AC" w:rsidRPr="001A431A" w:rsidRDefault="00B413AC" w:rsidP="00205EB3">
      <w:pPr>
        <w:ind w:left="851"/>
        <w:rPr>
          <w:sz w:val="24"/>
          <w:szCs w:val="24"/>
        </w:rPr>
      </w:pPr>
      <w:proofErr w:type="spellStart"/>
      <w:r w:rsidRPr="001A431A">
        <w:rPr>
          <w:sz w:val="24"/>
          <w:szCs w:val="24"/>
        </w:rPr>
        <w:t>Finasterids</w:t>
      </w:r>
      <w:proofErr w:type="spellEnd"/>
      <w:r w:rsidRPr="001A431A">
        <w:rPr>
          <w:sz w:val="24"/>
          <w:szCs w:val="24"/>
        </w:rPr>
        <w:t xml:space="preserve"> orale biotilgængelighed er ca. 80 %. Peak-plasma-koncentration opnås ca. 2 timer efter administration, og absorptionen er fuldstændig efter 6-8 timer. Biotilgængeligheden påvirkes ikke af mad.</w:t>
      </w:r>
    </w:p>
    <w:p w14:paraId="15455511" w14:textId="77777777" w:rsidR="00B413AC" w:rsidRPr="001A431A" w:rsidRDefault="00B413AC" w:rsidP="00205EB3">
      <w:pPr>
        <w:ind w:left="851"/>
        <w:rPr>
          <w:sz w:val="24"/>
          <w:szCs w:val="24"/>
        </w:rPr>
      </w:pPr>
    </w:p>
    <w:p w14:paraId="1FDD32B6" w14:textId="77777777" w:rsidR="00B413AC" w:rsidRPr="001A431A" w:rsidRDefault="00B413AC" w:rsidP="00205EB3">
      <w:pPr>
        <w:ind w:left="851"/>
        <w:rPr>
          <w:sz w:val="24"/>
          <w:szCs w:val="24"/>
          <w:u w:val="single"/>
        </w:rPr>
      </w:pPr>
      <w:r w:rsidRPr="001A431A">
        <w:rPr>
          <w:sz w:val="24"/>
          <w:szCs w:val="24"/>
          <w:u w:val="single"/>
        </w:rPr>
        <w:t>Fordeling</w:t>
      </w:r>
    </w:p>
    <w:p w14:paraId="03EF392D" w14:textId="77777777" w:rsidR="00B413AC" w:rsidRPr="001A431A" w:rsidRDefault="00B413AC" w:rsidP="00205EB3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Bindingen til plasmaproteiner er ca. 93 %. </w:t>
      </w:r>
      <w:proofErr w:type="spellStart"/>
      <w:r w:rsidRPr="001A431A">
        <w:rPr>
          <w:sz w:val="24"/>
          <w:szCs w:val="24"/>
        </w:rPr>
        <w:t>Clearance</w:t>
      </w:r>
      <w:proofErr w:type="spellEnd"/>
      <w:r w:rsidRPr="001A431A">
        <w:rPr>
          <w:sz w:val="24"/>
          <w:szCs w:val="24"/>
        </w:rPr>
        <w:t xml:space="preserve"> og distributionsvolumen er henholdsvis ca. 165 ml/min (70-279 ml/min) og 76 l (44-96 l). Akkumulering af små mængder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er set ved gentagen administration. Efter en daglig dosis på 5 mg, er </w:t>
      </w:r>
      <w:proofErr w:type="spellStart"/>
      <w:r w:rsidRPr="001A431A">
        <w:rPr>
          <w:sz w:val="24"/>
          <w:szCs w:val="24"/>
        </w:rPr>
        <w:t>finasterids</w:t>
      </w:r>
      <w:proofErr w:type="spellEnd"/>
      <w:r w:rsidRPr="001A431A">
        <w:rPr>
          <w:sz w:val="24"/>
          <w:szCs w:val="24"/>
        </w:rPr>
        <w:t xml:space="preserve"> laveste </w:t>
      </w:r>
      <w:proofErr w:type="spellStart"/>
      <w:r w:rsidRPr="001A431A">
        <w:rPr>
          <w:sz w:val="24"/>
          <w:szCs w:val="24"/>
        </w:rPr>
        <w:t>steady-state</w:t>
      </w:r>
      <w:proofErr w:type="spellEnd"/>
      <w:r w:rsidRPr="001A431A">
        <w:rPr>
          <w:sz w:val="24"/>
          <w:szCs w:val="24"/>
        </w:rPr>
        <w:t xml:space="preserve"> plasmakoncentrationer beregnet til at være 8-10 </w:t>
      </w:r>
      <w:proofErr w:type="spellStart"/>
      <w:r w:rsidRPr="001A431A">
        <w:rPr>
          <w:sz w:val="24"/>
          <w:szCs w:val="24"/>
        </w:rPr>
        <w:t>ng</w:t>
      </w:r>
      <w:proofErr w:type="spellEnd"/>
      <w:r w:rsidRPr="001A431A">
        <w:rPr>
          <w:sz w:val="24"/>
          <w:szCs w:val="24"/>
        </w:rPr>
        <w:t xml:space="preserve">/ml, som forbliver stabile over tid. </w:t>
      </w:r>
    </w:p>
    <w:p w14:paraId="0B712AA6" w14:textId="77777777" w:rsidR="00B413AC" w:rsidRPr="001A431A" w:rsidRDefault="00B413AC" w:rsidP="00205EB3">
      <w:pPr>
        <w:ind w:left="851"/>
        <w:rPr>
          <w:sz w:val="24"/>
          <w:szCs w:val="24"/>
        </w:rPr>
      </w:pP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blev fundet i væsken hos mænd, der blev behandlet med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i 7-10 dage, men stoffet ser ikke ud til fortrinsvist at være koncentreret i væsken.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er også fundet i sæden hos mænd, der fik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5 mg pr. dag.</w:t>
      </w:r>
    </w:p>
    <w:p w14:paraId="0F7DD7BB" w14:textId="77777777" w:rsidR="00B413AC" w:rsidRPr="001A431A" w:rsidRDefault="00B413AC" w:rsidP="00205EB3">
      <w:pPr>
        <w:ind w:left="851"/>
        <w:rPr>
          <w:sz w:val="24"/>
          <w:szCs w:val="24"/>
        </w:rPr>
      </w:pPr>
    </w:p>
    <w:p w14:paraId="69C9E7F7" w14:textId="77777777" w:rsidR="00B413AC" w:rsidRPr="001A431A" w:rsidRDefault="00B413AC" w:rsidP="00205EB3">
      <w:pPr>
        <w:ind w:left="851"/>
        <w:rPr>
          <w:sz w:val="24"/>
          <w:szCs w:val="24"/>
          <w:u w:val="single"/>
        </w:rPr>
      </w:pPr>
      <w:r w:rsidRPr="001A431A">
        <w:rPr>
          <w:sz w:val="24"/>
          <w:szCs w:val="24"/>
          <w:u w:val="single"/>
        </w:rPr>
        <w:t>Biotransformation</w:t>
      </w:r>
    </w:p>
    <w:p w14:paraId="01D4D011" w14:textId="6AD2DFFB" w:rsidR="00B413AC" w:rsidRPr="001A431A" w:rsidRDefault="00B413AC" w:rsidP="00205EB3">
      <w:pPr>
        <w:tabs>
          <w:tab w:val="left" w:pos="1304"/>
        </w:tabs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</w:t>
      </w:r>
      <w:proofErr w:type="spellStart"/>
      <w:r w:rsidRPr="001A431A">
        <w:rPr>
          <w:sz w:val="24"/>
          <w:szCs w:val="24"/>
        </w:rPr>
        <w:t>metaboliseres</w:t>
      </w:r>
      <w:proofErr w:type="spellEnd"/>
      <w:r w:rsidRPr="001A431A">
        <w:rPr>
          <w:sz w:val="24"/>
          <w:szCs w:val="24"/>
        </w:rPr>
        <w:t xml:space="preserve"> </w:t>
      </w:r>
      <w:proofErr w:type="spellStart"/>
      <w:r w:rsidRPr="001A431A">
        <w:rPr>
          <w:sz w:val="24"/>
          <w:szCs w:val="24"/>
        </w:rPr>
        <w:t>oxidativt</w:t>
      </w:r>
      <w:proofErr w:type="spellEnd"/>
      <w:r w:rsidRPr="001A431A">
        <w:rPr>
          <w:sz w:val="24"/>
          <w:szCs w:val="24"/>
        </w:rPr>
        <w:t xml:space="preserve"> i leveren. Efter en oral dosis af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til mænd, blev der identificeret to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-metabolitter, der kun har en lille del </w:t>
      </w:r>
      <w:proofErr w:type="spellStart"/>
      <w:r w:rsidRPr="001A431A">
        <w:rPr>
          <w:sz w:val="24"/>
          <w:szCs w:val="24"/>
        </w:rPr>
        <w:t>finasterids</w:t>
      </w:r>
      <w:proofErr w:type="spellEnd"/>
      <w:r w:rsidRPr="001A431A">
        <w:rPr>
          <w:sz w:val="24"/>
          <w:szCs w:val="24"/>
        </w:rPr>
        <w:t xml:space="preserve"> 5-α-</w:t>
      </w:r>
      <w:proofErr w:type="spellStart"/>
      <w:r w:rsidRPr="001A431A">
        <w:rPr>
          <w:sz w:val="24"/>
          <w:szCs w:val="24"/>
        </w:rPr>
        <w:t>reduktase</w:t>
      </w:r>
      <w:r w:rsidR="005F1642">
        <w:rPr>
          <w:sz w:val="24"/>
          <w:szCs w:val="24"/>
        </w:rPr>
        <w:softHyphen/>
      </w:r>
      <w:r w:rsidRPr="001A431A">
        <w:rPr>
          <w:sz w:val="24"/>
          <w:szCs w:val="24"/>
        </w:rPr>
        <w:t>hæmmende</w:t>
      </w:r>
      <w:proofErr w:type="spellEnd"/>
      <w:r w:rsidRPr="001A431A">
        <w:rPr>
          <w:sz w:val="24"/>
          <w:szCs w:val="24"/>
        </w:rPr>
        <w:t xml:space="preserve"> aktivitet.</w:t>
      </w:r>
    </w:p>
    <w:p w14:paraId="5C3ECDC7" w14:textId="77777777" w:rsidR="00B413AC" w:rsidRPr="001A431A" w:rsidRDefault="00B413AC" w:rsidP="00205EB3">
      <w:pPr>
        <w:ind w:left="851"/>
        <w:rPr>
          <w:sz w:val="24"/>
          <w:szCs w:val="24"/>
        </w:rPr>
      </w:pPr>
    </w:p>
    <w:p w14:paraId="70692E93" w14:textId="77777777" w:rsidR="00B413AC" w:rsidRPr="001A431A" w:rsidRDefault="00B413AC" w:rsidP="00205EB3">
      <w:pPr>
        <w:ind w:left="851"/>
        <w:rPr>
          <w:sz w:val="24"/>
          <w:szCs w:val="24"/>
          <w:u w:val="single"/>
        </w:rPr>
      </w:pPr>
      <w:r w:rsidRPr="001A431A">
        <w:rPr>
          <w:sz w:val="24"/>
          <w:szCs w:val="24"/>
          <w:u w:val="single"/>
        </w:rPr>
        <w:t>Elimination</w:t>
      </w:r>
    </w:p>
    <w:p w14:paraId="0E2CA1BC" w14:textId="77777777" w:rsidR="00B413AC" w:rsidRPr="001A431A" w:rsidRDefault="00B413AC" w:rsidP="00205EB3">
      <w:pPr>
        <w:tabs>
          <w:tab w:val="left" w:pos="1304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Plasmahalveringstiden er gennemsnitligt 6 timer (4-12 timer). </w:t>
      </w:r>
      <w:proofErr w:type="spellStart"/>
      <w:r w:rsidRPr="001A431A">
        <w:rPr>
          <w:sz w:val="24"/>
          <w:szCs w:val="24"/>
        </w:rPr>
        <w:t>Plasmaclearance</w:t>
      </w:r>
      <w:proofErr w:type="spellEnd"/>
      <w:r w:rsidRPr="001A431A">
        <w:rPr>
          <w:sz w:val="24"/>
          <w:szCs w:val="24"/>
        </w:rPr>
        <w:t xml:space="preserve"> er ca. 165 ml/min. Efter oral administration af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til mænd blev 39 % af dosis udskilt i urinen i form af metabolitter, mens 57 % af den samlede dosis blev udskilt gennem fæces. Der blev stort set ikke udskilt uændret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i urinen.</w:t>
      </w:r>
    </w:p>
    <w:p w14:paraId="6145652A" w14:textId="77777777" w:rsidR="00B413AC" w:rsidRPr="001A431A" w:rsidRDefault="00B413AC" w:rsidP="00205EB3">
      <w:pPr>
        <w:tabs>
          <w:tab w:val="left" w:pos="1304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1A431A">
        <w:rPr>
          <w:sz w:val="24"/>
          <w:szCs w:val="24"/>
        </w:rPr>
        <w:t>Eliminationsgraden er lidt reduceret hos ældre. Halveringstiden stiger med stigende alder fra et gennemsnit på 6 timer for mænd i alderen 18-60 år til 8 timer for mænd over 70 år. Dette fund har ingen klinisk betydning, og dosisreduktion er derfor ikke nødvendig.</w:t>
      </w:r>
    </w:p>
    <w:p w14:paraId="3E46DB1E" w14:textId="77777777" w:rsidR="00B413AC" w:rsidRPr="001A431A" w:rsidRDefault="00B413AC" w:rsidP="00205EB3">
      <w:pPr>
        <w:tabs>
          <w:tab w:val="left" w:pos="1304"/>
        </w:tabs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3F50E617" w14:textId="77777777" w:rsidR="00B413AC" w:rsidRPr="001A431A" w:rsidRDefault="00B413AC" w:rsidP="00205EB3">
      <w:pPr>
        <w:tabs>
          <w:tab w:val="left" w:pos="1304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1A431A">
        <w:rPr>
          <w:sz w:val="24"/>
          <w:szCs w:val="24"/>
          <w:u w:val="single"/>
        </w:rPr>
        <w:t>Nedsat nyrefunktion</w:t>
      </w:r>
    </w:p>
    <w:p w14:paraId="1D97D22E" w14:textId="77777777" w:rsidR="00B413AC" w:rsidRPr="001A431A" w:rsidRDefault="00B413AC" w:rsidP="00205EB3">
      <w:pPr>
        <w:ind w:left="851"/>
        <w:rPr>
          <w:sz w:val="24"/>
          <w:szCs w:val="24"/>
        </w:rPr>
      </w:pPr>
      <w:r w:rsidRPr="001A431A">
        <w:rPr>
          <w:rStyle w:val="tlid-translation"/>
          <w:sz w:val="24"/>
          <w:szCs w:val="24"/>
        </w:rPr>
        <w:t>Det er ikke nødvendigt at justere dosis hos patienter med nedsat nyrefunktion. Hos patienter med kronisk nedsat nyrefunktion (</w:t>
      </w:r>
      <w:proofErr w:type="spellStart"/>
      <w:r w:rsidRPr="001A431A">
        <w:rPr>
          <w:rStyle w:val="tlid-translation"/>
          <w:sz w:val="24"/>
          <w:szCs w:val="24"/>
        </w:rPr>
        <w:t>kreatininclearance</w:t>
      </w:r>
      <w:proofErr w:type="spellEnd"/>
      <w:r w:rsidRPr="001A431A">
        <w:rPr>
          <w:rStyle w:val="tlid-translation"/>
          <w:sz w:val="24"/>
          <w:szCs w:val="24"/>
        </w:rPr>
        <w:t xml:space="preserve"> på 9-55 ml/min) var AUC, maksimale plasmakoncentrationer, halveringstid og proteinbinding af uændret </w:t>
      </w:r>
      <w:proofErr w:type="spellStart"/>
      <w:r w:rsidRPr="001A431A">
        <w:rPr>
          <w:rStyle w:val="tlid-translation"/>
          <w:sz w:val="24"/>
          <w:szCs w:val="24"/>
        </w:rPr>
        <w:t>finasterid</w:t>
      </w:r>
      <w:proofErr w:type="spellEnd"/>
      <w:r w:rsidRPr="001A431A">
        <w:rPr>
          <w:rStyle w:val="tlid-translation"/>
          <w:sz w:val="24"/>
          <w:szCs w:val="24"/>
        </w:rPr>
        <w:t xml:space="preserve"> </w:t>
      </w:r>
      <w:r w:rsidRPr="001A431A">
        <w:rPr>
          <w:rStyle w:val="tlid-translation"/>
          <w:sz w:val="24"/>
          <w:szCs w:val="24"/>
        </w:rPr>
        <w:lastRenderedPageBreak/>
        <w:t xml:space="preserve">efter enkeltdosis af </w:t>
      </w:r>
      <w:r w:rsidRPr="001A431A">
        <w:rPr>
          <w:rStyle w:val="tlid-translation"/>
          <w:sz w:val="24"/>
          <w:szCs w:val="24"/>
          <w:vertAlign w:val="superscript"/>
        </w:rPr>
        <w:t>14</w:t>
      </w:r>
      <w:r w:rsidRPr="001A431A">
        <w:rPr>
          <w:rStyle w:val="tlid-translation"/>
          <w:sz w:val="24"/>
          <w:szCs w:val="24"/>
        </w:rPr>
        <w:t xml:space="preserve">C-finasterid på linje med værdier målt hos raske forsøgspersoner. Patienter med nedsat nyrefunktion havde reduceret udskillelse af metabolitter via nyrerne. Denne reduktion blev ledsaget af en øget udskillelse af metabolitter i fæces. Plasmakoncentrationen af metabolitter var signifikant højere hos patienter med nedsat nyrefunktion (baseret på en 60 % stigning i den samlede AUC for radioaktivitet). </w:t>
      </w:r>
      <w:proofErr w:type="spellStart"/>
      <w:r w:rsidRPr="001A431A">
        <w:rPr>
          <w:rStyle w:val="tlid-translation"/>
          <w:sz w:val="24"/>
          <w:szCs w:val="24"/>
        </w:rPr>
        <w:t>Finasterid</w:t>
      </w:r>
      <w:proofErr w:type="spellEnd"/>
      <w:r w:rsidRPr="001A431A">
        <w:rPr>
          <w:rStyle w:val="tlid-translation"/>
          <w:sz w:val="24"/>
          <w:szCs w:val="24"/>
        </w:rPr>
        <w:t xml:space="preserve"> er dog veltolereret af BPH-patienter med normal nyrefunktion, der fik op til 80 mg/dag i 12 uger, idet eksponeringen for metabolitter hos disse patienter sandsynligvis vil være meget større. Hos patienter med nyreinsufficiens, som ikke er i dialyse, er det derfor ikke nødvendigt at justere doseringen, fordi </w:t>
      </w:r>
      <w:proofErr w:type="spellStart"/>
      <w:r w:rsidRPr="001A431A">
        <w:rPr>
          <w:rStyle w:val="tlid-translation"/>
          <w:sz w:val="24"/>
          <w:szCs w:val="24"/>
        </w:rPr>
        <w:t>finasterids</w:t>
      </w:r>
      <w:proofErr w:type="spellEnd"/>
      <w:r w:rsidRPr="001A431A">
        <w:rPr>
          <w:rStyle w:val="tlid-translation"/>
          <w:sz w:val="24"/>
          <w:szCs w:val="24"/>
        </w:rPr>
        <w:t xml:space="preserve"> terapeutiske bredde er tilstrækkelig, og fordi der ikke er påvist en sammenhæng mellem </w:t>
      </w:r>
      <w:proofErr w:type="spellStart"/>
      <w:r w:rsidRPr="001A431A">
        <w:rPr>
          <w:rStyle w:val="tlid-translation"/>
          <w:sz w:val="24"/>
          <w:szCs w:val="24"/>
        </w:rPr>
        <w:t>kreatininclearance</w:t>
      </w:r>
      <w:proofErr w:type="spellEnd"/>
      <w:r w:rsidRPr="001A431A">
        <w:rPr>
          <w:rStyle w:val="tlid-translation"/>
          <w:sz w:val="24"/>
          <w:szCs w:val="24"/>
        </w:rPr>
        <w:t xml:space="preserve"> og akkumulering.</w:t>
      </w:r>
    </w:p>
    <w:p w14:paraId="13E83750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E9EA53E" w14:textId="7BD32040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5.3</w:t>
      </w:r>
      <w:r w:rsidRPr="001A431A">
        <w:rPr>
          <w:b/>
          <w:sz w:val="24"/>
          <w:szCs w:val="24"/>
        </w:rPr>
        <w:tab/>
      </w:r>
      <w:r w:rsidR="004779F0">
        <w:rPr>
          <w:b/>
          <w:sz w:val="24"/>
          <w:szCs w:val="24"/>
        </w:rPr>
        <w:t>Non-</w:t>
      </w:r>
      <w:r w:rsidRPr="001A431A">
        <w:rPr>
          <w:b/>
          <w:sz w:val="24"/>
          <w:szCs w:val="24"/>
        </w:rPr>
        <w:t>kliniske sikkerhedsdata</w:t>
      </w:r>
    </w:p>
    <w:p w14:paraId="1F564761" w14:textId="77777777" w:rsidR="00B413AC" w:rsidRPr="001A431A" w:rsidRDefault="00B413AC" w:rsidP="00205EB3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Ikke-kliniske data baseret på konventionelle undersøgelser for toksicitet, genotoksicitet og </w:t>
      </w:r>
      <w:proofErr w:type="spellStart"/>
      <w:r w:rsidRPr="001A431A">
        <w:rPr>
          <w:sz w:val="24"/>
          <w:szCs w:val="24"/>
        </w:rPr>
        <w:t>carcinogenicitet</w:t>
      </w:r>
      <w:proofErr w:type="spellEnd"/>
      <w:r w:rsidRPr="001A431A">
        <w:rPr>
          <w:sz w:val="24"/>
          <w:szCs w:val="24"/>
        </w:rPr>
        <w:t xml:space="preserve"> ved gentagne doser, påviser ingen særlig risiko for mennesker.</w:t>
      </w:r>
    </w:p>
    <w:p w14:paraId="4BFD1367" w14:textId="77777777" w:rsidR="00B413AC" w:rsidRPr="001A431A" w:rsidRDefault="00B413AC" w:rsidP="00205EB3">
      <w:pPr>
        <w:ind w:left="851"/>
        <w:rPr>
          <w:sz w:val="24"/>
          <w:szCs w:val="24"/>
        </w:rPr>
      </w:pPr>
    </w:p>
    <w:p w14:paraId="46DE34FA" w14:textId="77777777" w:rsidR="00B413AC" w:rsidRPr="001A431A" w:rsidRDefault="00B413AC" w:rsidP="00205EB3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Undersøgelser med reproduktionstoksikologi hos hanrotter har vist reduceret vægt af prostata og </w:t>
      </w:r>
      <w:proofErr w:type="spellStart"/>
      <w:r w:rsidRPr="001A431A">
        <w:rPr>
          <w:sz w:val="24"/>
          <w:szCs w:val="24"/>
        </w:rPr>
        <w:t>vesicula</w:t>
      </w:r>
      <w:proofErr w:type="spellEnd"/>
      <w:r w:rsidRPr="001A431A">
        <w:rPr>
          <w:sz w:val="24"/>
          <w:szCs w:val="24"/>
        </w:rPr>
        <w:t xml:space="preserve"> seminalis, reduceret sekretion fra de accessoriske kønskirtler og reduceret fertilitetsindeks (som skyldes </w:t>
      </w:r>
      <w:proofErr w:type="spellStart"/>
      <w:r w:rsidRPr="001A431A">
        <w:rPr>
          <w:sz w:val="24"/>
          <w:szCs w:val="24"/>
        </w:rPr>
        <w:t>finasterids</w:t>
      </w:r>
      <w:proofErr w:type="spellEnd"/>
      <w:r w:rsidRPr="001A431A">
        <w:rPr>
          <w:sz w:val="24"/>
          <w:szCs w:val="24"/>
        </w:rPr>
        <w:t xml:space="preserve"> primære farmakologiske virkning). Den kliniske relevans af disse fund er uklar. </w:t>
      </w:r>
    </w:p>
    <w:p w14:paraId="55A33D80" w14:textId="77777777" w:rsidR="00B413AC" w:rsidRPr="001A431A" w:rsidRDefault="00B413AC" w:rsidP="00205EB3">
      <w:pPr>
        <w:ind w:left="851"/>
        <w:rPr>
          <w:sz w:val="24"/>
          <w:szCs w:val="24"/>
        </w:rPr>
      </w:pPr>
    </w:p>
    <w:p w14:paraId="727B39CE" w14:textId="3DA10F3E" w:rsidR="00B413AC" w:rsidRPr="001A431A" w:rsidRDefault="00B413AC" w:rsidP="00205EB3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>Som ved andre 5-α-</w:t>
      </w:r>
      <w:proofErr w:type="spellStart"/>
      <w:r w:rsidRPr="001A431A">
        <w:rPr>
          <w:sz w:val="24"/>
          <w:szCs w:val="24"/>
        </w:rPr>
        <w:t>reduktasehæmmere</w:t>
      </w:r>
      <w:proofErr w:type="spellEnd"/>
      <w:r w:rsidRPr="001A431A">
        <w:rPr>
          <w:sz w:val="24"/>
          <w:szCs w:val="24"/>
        </w:rPr>
        <w:t xml:space="preserve"> er der observeret </w:t>
      </w:r>
      <w:r w:rsidR="00EF3771" w:rsidRPr="001A431A">
        <w:rPr>
          <w:sz w:val="24"/>
          <w:szCs w:val="24"/>
        </w:rPr>
        <w:t>feminisering</w:t>
      </w:r>
      <w:r w:rsidRPr="001A431A">
        <w:rPr>
          <w:sz w:val="24"/>
          <w:szCs w:val="24"/>
        </w:rPr>
        <w:t xml:space="preserve"> af rottefostre af hankøn ved administrering af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i drægtighedsperioden. Intravenøs administrering af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til gravide rhesusaber i doser på op til 800 </w:t>
      </w:r>
      <w:proofErr w:type="spellStart"/>
      <w:r w:rsidRPr="001A431A">
        <w:rPr>
          <w:sz w:val="24"/>
          <w:szCs w:val="24"/>
        </w:rPr>
        <w:t>ng</w:t>
      </w:r>
      <w:proofErr w:type="spellEnd"/>
      <w:r w:rsidRPr="001A431A">
        <w:rPr>
          <w:sz w:val="24"/>
          <w:szCs w:val="24"/>
        </w:rPr>
        <w:t xml:space="preserve">/dag under hele den embryologiske periode og fosterudviklingsperioden, resulterede ikke i abnormiteter hos fostre af hankøn. Denne dosis er ca. 60-120 højere end den estimerede sædmængde fra en mand, der har taget 5 mg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, og som en kvinde kan udsættes for igennem sæd. For at bekræfte relevansen af </w:t>
      </w:r>
      <w:proofErr w:type="spellStart"/>
      <w:r w:rsidRPr="001A431A">
        <w:rPr>
          <w:sz w:val="24"/>
          <w:szCs w:val="24"/>
        </w:rPr>
        <w:t>rhesusmodellen</w:t>
      </w:r>
      <w:proofErr w:type="spellEnd"/>
      <w:r w:rsidRPr="001A431A">
        <w:rPr>
          <w:sz w:val="24"/>
          <w:szCs w:val="24"/>
        </w:rPr>
        <w:t xml:space="preserve"> over for human fosterudvikling, blev en oral dosis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2 mg/kg/dag (den systemiske eksponering (AUC) hos aber var lettere forhøjet (3 x) sammenlignet med mænd, som havde taget 5 mg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eller ca. 1-2 millioner gange den højest anslåede eksposition af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fra sæd) givet til gravide aber, hvilket resulterede i misdannelse af ydre genitalier hos fostre af hankøn. Der sås ingen andre misdannelser hos fostre af hankøn og ingen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>-relaterede abnormiteter hos fostre af hunkøn ved nogen dosering.</w:t>
      </w:r>
    </w:p>
    <w:p w14:paraId="33E95F69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AFE1444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05C355E" w14:textId="77777777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6.</w:t>
      </w:r>
      <w:r w:rsidRPr="001A431A">
        <w:rPr>
          <w:b/>
          <w:sz w:val="24"/>
          <w:szCs w:val="24"/>
        </w:rPr>
        <w:tab/>
        <w:t>FARMACEUTISKE OPLYSNINGER</w:t>
      </w:r>
    </w:p>
    <w:p w14:paraId="0C7827A0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894DBBF" w14:textId="77777777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6.1</w:t>
      </w:r>
      <w:r w:rsidRPr="001A431A">
        <w:rPr>
          <w:b/>
          <w:sz w:val="24"/>
          <w:szCs w:val="24"/>
        </w:rPr>
        <w:tab/>
        <w:t>Hjælpestoffer</w:t>
      </w:r>
    </w:p>
    <w:p w14:paraId="4F5110D2" w14:textId="77777777" w:rsidR="00132BA9" w:rsidRDefault="00132BA9" w:rsidP="00205EB3">
      <w:pPr>
        <w:ind w:left="851"/>
        <w:rPr>
          <w:i/>
          <w:sz w:val="24"/>
          <w:szCs w:val="24"/>
        </w:rPr>
      </w:pPr>
    </w:p>
    <w:p w14:paraId="787E96E8" w14:textId="492FF183" w:rsidR="00B413AC" w:rsidRPr="001A431A" w:rsidRDefault="00B413AC" w:rsidP="00205EB3">
      <w:pPr>
        <w:ind w:left="851"/>
        <w:rPr>
          <w:sz w:val="24"/>
          <w:szCs w:val="24"/>
        </w:rPr>
      </w:pPr>
      <w:r w:rsidRPr="001A431A">
        <w:rPr>
          <w:i/>
          <w:sz w:val="24"/>
          <w:szCs w:val="24"/>
        </w:rPr>
        <w:t>Tabletkerne:</w:t>
      </w:r>
      <w:r w:rsidRPr="001A431A">
        <w:rPr>
          <w:sz w:val="24"/>
          <w:szCs w:val="24"/>
        </w:rPr>
        <w:t xml:space="preserve"> </w:t>
      </w:r>
    </w:p>
    <w:p w14:paraId="2B7038D2" w14:textId="77777777" w:rsidR="00B413AC" w:rsidRPr="001A431A" w:rsidRDefault="00B413AC" w:rsidP="00205EB3">
      <w:pPr>
        <w:ind w:left="851"/>
        <w:rPr>
          <w:sz w:val="24"/>
          <w:szCs w:val="24"/>
        </w:rPr>
      </w:pPr>
      <w:proofErr w:type="spellStart"/>
      <w:r w:rsidRPr="001A431A">
        <w:rPr>
          <w:sz w:val="24"/>
          <w:szCs w:val="24"/>
        </w:rPr>
        <w:t>Lactosemonohydrat</w:t>
      </w:r>
      <w:proofErr w:type="spellEnd"/>
    </w:p>
    <w:p w14:paraId="0B40918E" w14:textId="77777777" w:rsidR="00B413AC" w:rsidRPr="001A431A" w:rsidRDefault="00B413AC" w:rsidP="00205EB3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Mikrokrystallinsk cellulose </w:t>
      </w:r>
    </w:p>
    <w:p w14:paraId="471CB014" w14:textId="7B03431D" w:rsidR="00B413AC" w:rsidRPr="001A431A" w:rsidRDefault="00B413AC" w:rsidP="00205EB3">
      <w:pPr>
        <w:ind w:left="851"/>
        <w:rPr>
          <w:sz w:val="24"/>
          <w:szCs w:val="24"/>
        </w:rPr>
      </w:pPr>
      <w:proofErr w:type="spellStart"/>
      <w:r w:rsidRPr="001A431A">
        <w:rPr>
          <w:sz w:val="24"/>
          <w:szCs w:val="24"/>
        </w:rPr>
        <w:t>Pr</w:t>
      </w:r>
      <w:r w:rsidR="00DB09A6">
        <w:rPr>
          <w:sz w:val="24"/>
          <w:szCs w:val="24"/>
        </w:rPr>
        <w:t>e</w:t>
      </w:r>
      <w:r w:rsidRPr="001A431A">
        <w:rPr>
          <w:sz w:val="24"/>
          <w:szCs w:val="24"/>
        </w:rPr>
        <w:t>gelatineret</w:t>
      </w:r>
      <w:proofErr w:type="spellEnd"/>
      <w:r w:rsidRPr="001A431A">
        <w:rPr>
          <w:sz w:val="24"/>
          <w:szCs w:val="24"/>
        </w:rPr>
        <w:t xml:space="preserve"> stivelse </w:t>
      </w:r>
    </w:p>
    <w:p w14:paraId="329BD1A6" w14:textId="77777777" w:rsidR="00B413AC" w:rsidRPr="001A431A" w:rsidRDefault="00B413AC" w:rsidP="00205EB3">
      <w:pPr>
        <w:ind w:left="851"/>
        <w:rPr>
          <w:sz w:val="24"/>
          <w:szCs w:val="24"/>
        </w:rPr>
      </w:pPr>
      <w:proofErr w:type="spellStart"/>
      <w:r w:rsidRPr="001A431A">
        <w:rPr>
          <w:sz w:val="24"/>
          <w:szCs w:val="24"/>
        </w:rPr>
        <w:t>Natriumstivelsesglycolat</w:t>
      </w:r>
      <w:proofErr w:type="spellEnd"/>
      <w:r w:rsidRPr="001A431A">
        <w:rPr>
          <w:sz w:val="24"/>
          <w:szCs w:val="24"/>
        </w:rPr>
        <w:t xml:space="preserve"> </w:t>
      </w:r>
    </w:p>
    <w:p w14:paraId="1EC693BD" w14:textId="77777777" w:rsidR="00B413AC" w:rsidRPr="001A431A" w:rsidRDefault="00B413AC" w:rsidP="00205EB3">
      <w:pPr>
        <w:ind w:left="851"/>
        <w:rPr>
          <w:sz w:val="24"/>
          <w:szCs w:val="24"/>
        </w:rPr>
      </w:pPr>
      <w:proofErr w:type="spellStart"/>
      <w:r w:rsidRPr="001A431A">
        <w:rPr>
          <w:sz w:val="24"/>
          <w:szCs w:val="24"/>
        </w:rPr>
        <w:t>Docusatnatrium</w:t>
      </w:r>
      <w:proofErr w:type="spellEnd"/>
    </w:p>
    <w:p w14:paraId="431E899C" w14:textId="77777777" w:rsidR="00B413AC" w:rsidRPr="001A431A" w:rsidRDefault="00B413AC" w:rsidP="00205EB3">
      <w:pPr>
        <w:ind w:left="851"/>
        <w:rPr>
          <w:sz w:val="24"/>
          <w:szCs w:val="24"/>
        </w:rPr>
      </w:pPr>
      <w:proofErr w:type="spellStart"/>
      <w:r w:rsidRPr="001A431A">
        <w:rPr>
          <w:sz w:val="24"/>
          <w:szCs w:val="24"/>
        </w:rPr>
        <w:t>Magnesiumstearat</w:t>
      </w:r>
      <w:proofErr w:type="spellEnd"/>
    </w:p>
    <w:p w14:paraId="0591F83F" w14:textId="77777777" w:rsidR="00B413AC" w:rsidRPr="001A431A" w:rsidRDefault="00B413AC" w:rsidP="00205EB3">
      <w:pPr>
        <w:ind w:left="851"/>
        <w:rPr>
          <w:sz w:val="24"/>
          <w:szCs w:val="24"/>
        </w:rPr>
      </w:pPr>
    </w:p>
    <w:p w14:paraId="4BED42CE" w14:textId="77777777" w:rsidR="00B413AC" w:rsidRPr="001A431A" w:rsidRDefault="00B413AC" w:rsidP="00205EB3">
      <w:pPr>
        <w:ind w:left="851"/>
        <w:rPr>
          <w:i/>
          <w:sz w:val="24"/>
          <w:szCs w:val="24"/>
        </w:rPr>
      </w:pPr>
      <w:r w:rsidRPr="001A431A">
        <w:rPr>
          <w:i/>
          <w:sz w:val="24"/>
          <w:szCs w:val="24"/>
        </w:rPr>
        <w:t>Filmovertræk:</w:t>
      </w:r>
    </w:p>
    <w:p w14:paraId="6828C255" w14:textId="77777777" w:rsidR="00B413AC" w:rsidRPr="00DB09A6" w:rsidRDefault="00B413AC" w:rsidP="00205EB3">
      <w:pPr>
        <w:ind w:left="851"/>
        <w:rPr>
          <w:sz w:val="24"/>
          <w:szCs w:val="24"/>
          <w:lang w:val="en-US"/>
        </w:rPr>
      </w:pPr>
      <w:r w:rsidRPr="00DB09A6">
        <w:rPr>
          <w:sz w:val="24"/>
          <w:szCs w:val="24"/>
          <w:lang w:val="en-US"/>
        </w:rPr>
        <w:t>Hypromellose (E464)</w:t>
      </w:r>
    </w:p>
    <w:p w14:paraId="7EB42D7D" w14:textId="77777777" w:rsidR="00B413AC" w:rsidRPr="00DB09A6" w:rsidRDefault="00B413AC" w:rsidP="00205EB3">
      <w:pPr>
        <w:ind w:left="851"/>
        <w:rPr>
          <w:sz w:val="24"/>
          <w:szCs w:val="24"/>
          <w:lang w:val="en-US"/>
        </w:rPr>
      </w:pPr>
      <w:proofErr w:type="spellStart"/>
      <w:r w:rsidRPr="00DB09A6">
        <w:rPr>
          <w:sz w:val="24"/>
          <w:szCs w:val="24"/>
          <w:lang w:val="en-US"/>
        </w:rPr>
        <w:t>Titandioxid</w:t>
      </w:r>
      <w:proofErr w:type="spellEnd"/>
      <w:r w:rsidRPr="00DB09A6">
        <w:rPr>
          <w:sz w:val="24"/>
          <w:szCs w:val="24"/>
          <w:lang w:val="en-US"/>
        </w:rPr>
        <w:t xml:space="preserve"> (E171)</w:t>
      </w:r>
    </w:p>
    <w:p w14:paraId="614202DA" w14:textId="77777777" w:rsidR="00B413AC" w:rsidRPr="00DB09A6" w:rsidRDefault="00B413AC" w:rsidP="00205EB3">
      <w:pPr>
        <w:ind w:left="851"/>
        <w:rPr>
          <w:sz w:val="24"/>
          <w:szCs w:val="24"/>
          <w:lang w:val="en-US"/>
        </w:rPr>
      </w:pPr>
      <w:proofErr w:type="spellStart"/>
      <w:r w:rsidRPr="00DB09A6">
        <w:rPr>
          <w:sz w:val="24"/>
          <w:szCs w:val="24"/>
          <w:lang w:val="en-US"/>
        </w:rPr>
        <w:t>Indigotin</w:t>
      </w:r>
      <w:proofErr w:type="spellEnd"/>
      <w:r w:rsidRPr="00DB09A6">
        <w:rPr>
          <w:sz w:val="24"/>
          <w:szCs w:val="24"/>
          <w:lang w:val="en-US"/>
        </w:rPr>
        <w:t xml:space="preserve"> (</w:t>
      </w:r>
      <w:proofErr w:type="spellStart"/>
      <w:r w:rsidRPr="00DB09A6">
        <w:rPr>
          <w:sz w:val="24"/>
          <w:szCs w:val="24"/>
          <w:lang w:val="en-US"/>
        </w:rPr>
        <w:t>indigocarmin</w:t>
      </w:r>
      <w:proofErr w:type="spellEnd"/>
      <w:r w:rsidRPr="00DB09A6">
        <w:rPr>
          <w:sz w:val="24"/>
          <w:szCs w:val="24"/>
          <w:lang w:val="en-US"/>
        </w:rPr>
        <w:t>) (E132)</w:t>
      </w:r>
    </w:p>
    <w:p w14:paraId="3C745B82" w14:textId="77777777" w:rsidR="00B413AC" w:rsidRPr="001A431A" w:rsidRDefault="00B413AC" w:rsidP="00205EB3">
      <w:pPr>
        <w:ind w:left="851"/>
        <w:rPr>
          <w:sz w:val="24"/>
          <w:szCs w:val="24"/>
        </w:rPr>
      </w:pPr>
      <w:proofErr w:type="spellStart"/>
      <w:r w:rsidRPr="001A431A">
        <w:rPr>
          <w:sz w:val="24"/>
          <w:szCs w:val="24"/>
        </w:rPr>
        <w:lastRenderedPageBreak/>
        <w:t>Talcum</w:t>
      </w:r>
      <w:proofErr w:type="spellEnd"/>
      <w:r w:rsidRPr="001A431A">
        <w:rPr>
          <w:sz w:val="24"/>
          <w:szCs w:val="24"/>
        </w:rPr>
        <w:t xml:space="preserve"> </w:t>
      </w:r>
    </w:p>
    <w:p w14:paraId="56E75CCC" w14:textId="77777777" w:rsidR="00B413AC" w:rsidRPr="001A431A" w:rsidRDefault="00B413AC" w:rsidP="00205EB3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>Gul jernoxid (E172)</w:t>
      </w:r>
    </w:p>
    <w:p w14:paraId="1B0FAF33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3C0EF20" w14:textId="77777777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6.2</w:t>
      </w:r>
      <w:r w:rsidRPr="001A431A">
        <w:rPr>
          <w:b/>
          <w:sz w:val="24"/>
          <w:szCs w:val="24"/>
        </w:rPr>
        <w:tab/>
        <w:t>Uforligeligheder</w:t>
      </w:r>
    </w:p>
    <w:p w14:paraId="335C1C43" w14:textId="77777777" w:rsidR="00B413AC" w:rsidRPr="001A431A" w:rsidRDefault="00B413AC" w:rsidP="00205EB3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>Ikke relevant.</w:t>
      </w:r>
    </w:p>
    <w:p w14:paraId="051F05F2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233D235" w14:textId="77777777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6.3</w:t>
      </w:r>
      <w:r w:rsidRPr="001A431A">
        <w:rPr>
          <w:b/>
          <w:sz w:val="24"/>
          <w:szCs w:val="24"/>
        </w:rPr>
        <w:tab/>
        <w:t>Opbevaringstid</w:t>
      </w:r>
    </w:p>
    <w:p w14:paraId="4BD1C3B5" w14:textId="66D29377" w:rsidR="00B413AC" w:rsidRPr="001A431A" w:rsidRDefault="00B413AC" w:rsidP="00205EB3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>3 år</w:t>
      </w:r>
    </w:p>
    <w:p w14:paraId="4012E711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037501E" w14:textId="77777777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6.4</w:t>
      </w:r>
      <w:r w:rsidRPr="001A431A">
        <w:rPr>
          <w:b/>
          <w:sz w:val="24"/>
          <w:szCs w:val="24"/>
        </w:rPr>
        <w:tab/>
        <w:t>Særlige opbevaringsforhold</w:t>
      </w:r>
    </w:p>
    <w:p w14:paraId="6F77EC08" w14:textId="77777777" w:rsidR="00B413AC" w:rsidRPr="001A431A" w:rsidRDefault="00B413AC" w:rsidP="00205EB3">
      <w:pPr>
        <w:ind w:left="851"/>
        <w:rPr>
          <w:iCs/>
          <w:sz w:val="24"/>
          <w:szCs w:val="24"/>
        </w:rPr>
      </w:pPr>
      <w:r w:rsidRPr="001A431A">
        <w:rPr>
          <w:sz w:val="24"/>
          <w:szCs w:val="24"/>
        </w:rPr>
        <w:t>Dette lægemiddel kræver ingen særlige forholdsregler vedrørende opbevaringen.</w:t>
      </w:r>
    </w:p>
    <w:p w14:paraId="62C22653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452E3F" w14:textId="6D893B92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6.5</w:t>
      </w:r>
      <w:r w:rsidRPr="001A431A">
        <w:rPr>
          <w:b/>
          <w:sz w:val="24"/>
          <w:szCs w:val="24"/>
        </w:rPr>
        <w:tab/>
        <w:t>Emballagetype og pakningsstørrelser</w:t>
      </w:r>
    </w:p>
    <w:p w14:paraId="17B9EA06" w14:textId="3770232F" w:rsidR="00B413AC" w:rsidRPr="001A431A" w:rsidRDefault="00B413AC" w:rsidP="00205EB3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>Blisterpakning: Aluminium-PVC/PE/PVDC</w:t>
      </w:r>
      <w:r w:rsidR="00EF3771">
        <w:rPr>
          <w:sz w:val="24"/>
          <w:szCs w:val="24"/>
        </w:rPr>
        <w:t>.</w:t>
      </w:r>
    </w:p>
    <w:p w14:paraId="52539822" w14:textId="77777777" w:rsidR="00B413AC" w:rsidRPr="001A431A" w:rsidRDefault="00B413AC" w:rsidP="00205EB3">
      <w:pPr>
        <w:numPr>
          <w:ilvl w:val="12"/>
          <w:numId w:val="0"/>
        </w:numPr>
        <w:tabs>
          <w:tab w:val="left" w:pos="1304"/>
        </w:tabs>
        <w:ind w:left="851" w:right="-2"/>
        <w:rPr>
          <w:sz w:val="24"/>
          <w:szCs w:val="24"/>
        </w:rPr>
      </w:pPr>
    </w:p>
    <w:p w14:paraId="6C0033C7" w14:textId="77777777" w:rsidR="00B413AC" w:rsidRPr="001A431A" w:rsidRDefault="00B413AC" w:rsidP="00205EB3">
      <w:pPr>
        <w:numPr>
          <w:ilvl w:val="12"/>
          <w:numId w:val="0"/>
        </w:numPr>
        <w:tabs>
          <w:tab w:val="left" w:pos="1304"/>
        </w:tabs>
        <w:ind w:left="851" w:right="-2"/>
        <w:rPr>
          <w:noProof/>
          <w:sz w:val="24"/>
          <w:szCs w:val="24"/>
        </w:rPr>
      </w:pPr>
      <w:r w:rsidRPr="001A431A">
        <w:rPr>
          <w:sz w:val="24"/>
          <w:szCs w:val="24"/>
        </w:rPr>
        <w:t>Pakningsstørrelser med 15, 28, 30, 50, 90, 98 eller 100 filmovertrukne tabletter.</w:t>
      </w:r>
    </w:p>
    <w:p w14:paraId="5ECF5AEB" w14:textId="77777777" w:rsidR="00B413AC" w:rsidRPr="001A431A" w:rsidRDefault="00B413AC" w:rsidP="00205EB3">
      <w:pPr>
        <w:ind w:left="851"/>
        <w:rPr>
          <w:sz w:val="24"/>
          <w:szCs w:val="24"/>
        </w:rPr>
      </w:pPr>
    </w:p>
    <w:p w14:paraId="53DFCC80" w14:textId="77777777" w:rsidR="00B413AC" w:rsidRPr="001A431A" w:rsidRDefault="00B413AC" w:rsidP="00205EB3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>Ikke alle pakningsstørrelser er nødvendigvis markedsført.</w:t>
      </w:r>
    </w:p>
    <w:p w14:paraId="4FFDC2D4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5282FEE" w14:textId="31CC0F4F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6.6</w:t>
      </w:r>
      <w:r w:rsidRPr="001A431A">
        <w:rPr>
          <w:b/>
          <w:sz w:val="24"/>
          <w:szCs w:val="24"/>
        </w:rPr>
        <w:tab/>
        <w:t xml:space="preserve">Regler for </w:t>
      </w:r>
      <w:r w:rsidR="004779F0">
        <w:rPr>
          <w:b/>
          <w:sz w:val="24"/>
          <w:szCs w:val="24"/>
        </w:rPr>
        <w:t>bortskaffelse</w:t>
      </w:r>
      <w:r w:rsidRPr="001A431A">
        <w:rPr>
          <w:b/>
          <w:sz w:val="24"/>
          <w:szCs w:val="24"/>
        </w:rPr>
        <w:t xml:space="preserve"> og anden håndtering</w:t>
      </w:r>
    </w:p>
    <w:p w14:paraId="0860E722" w14:textId="6A2E2FA5" w:rsidR="00B413AC" w:rsidRPr="001A431A" w:rsidRDefault="00B413AC" w:rsidP="00205EB3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Kvinder, som er eller kan være gravide, bør ikke håndtere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</w:t>
      </w:r>
      <w:r w:rsidR="00436560">
        <w:rPr>
          <w:sz w:val="24"/>
          <w:szCs w:val="24"/>
        </w:rPr>
        <w:t>"</w:t>
      </w:r>
      <w:proofErr w:type="spellStart"/>
      <w:r w:rsidR="00436560">
        <w:rPr>
          <w:sz w:val="24"/>
          <w:szCs w:val="24"/>
        </w:rPr>
        <w:t>Amarox</w:t>
      </w:r>
      <w:proofErr w:type="spellEnd"/>
      <w:r w:rsidR="00436560">
        <w:rPr>
          <w:sz w:val="24"/>
          <w:szCs w:val="24"/>
        </w:rPr>
        <w:t>"</w:t>
      </w:r>
      <w:r w:rsidRPr="001A431A">
        <w:rPr>
          <w:sz w:val="24"/>
          <w:szCs w:val="24"/>
        </w:rPr>
        <w:t xml:space="preserve">-tabletter, især hvis de er knuste eller knækkede, på grund af muligheden for absorption af </w:t>
      </w:r>
      <w:proofErr w:type="spellStart"/>
      <w:r w:rsidRPr="001A431A">
        <w:rPr>
          <w:sz w:val="24"/>
          <w:szCs w:val="24"/>
        </w:rPr>
        <w:t>Finasterid</w:t>
      </w:r>
      <w:proofErr w:type="spellEnd"/>
      <w:r w:rsidRPr="001A431A">
        <w:rPr>
          <w:sz w:val="24"/>
          <w:szCs w:val="24"/>
        </w:rPr>
        <w:t xml:space="preserve"> </w:t>
      </w:r>
      <w:r w:rsidR="00436560">
        <w:rPr>
          <w:sz w:val="24"/>
          <w:szCs w:val="24"/>
        </w:rPr>
        <w:t>"</w:t>
      </w:r>
      <w:proofErr w:type="spellStart"/>
      <w:r w:rsidR="00436560">
        <w:rPr>
          <w:sz w:val="24"/>
          <w:szCs w:val="24"/>
        </w:rPr>
        <w:t>Amarox</w:t>
      </w:r>
      <w:proofErr w:type="spellEnd"/>
      <w:r w:rsidR="00436560">
        <w:rPr>
          <w:sz w:val="24"/>
          <w:szCs w:val="24"/>
        </w:rPr>
        <w:t>"</w:t>
      </w:r>
      <w:r w:rsidRPr="001A431A">
        <w:rPr>
          <w:sz w:val="24"/>
          <w:szCs w:val="24"/>
        </w:rPr>
        <w:t xml:space="preserve"> og den efterfølgende potentielle risiko for et drengefoster (se pkt. 4.6).</w:t>
      </w:r>
    </w:p>
    <w:p w14:paraId="088FB3AF" w14:textId="77777777" w:rsidR="00B413AC" w:rsidRPr="001A431A" w:rsidRDefault="00B413AC" w:rsidP="00205EB3">
      <w:pPr>
        <w:ind w:left="851"/>
        <w:rPr>
          <w:sz w:val="24"/>
          <w:szCs w:val="24"/>
        </w:rPr>
      </w:pPr>
    </w:p>
    <w:p w14:paraId="0BECFA1F" w14:textId="77777777" w:rsidR="00B413AC" w:rsidRPr="001A431A" w:rsidRDefault="00B413AC" w:rsidP="00205EB3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>Ikke anvendt lægemiddel samt affald heraf skal bortskaffes i henhold til lokale retningslinjer.</w:t>
      </w:r>
    </w:p>
    <w:p w14:paraId="4BC62626" w14:textId="77777777" w:rsidR="009260DE" w:rsidRPr="001A431A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0BB24E56" w14:textId="77777777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7.</w:t>
      </w:r>
      <w:r w:rsidRPr="001A431A">
        <w:rPr>
          <w:b/>
          <w:sz w:val="24"/>
          <w:szCs w:val="24"/>
        </w:rPr>
        <w:tab/>
        <w:t>INDEHAVER AF MARKEDSFØRINGSTILLADELSEN</w:t>
      </w:r>
    </w:p>
    <w:p w14:paraId="0EF40FCC" w14:textId="1B79117D" w:rsidR="00B413AC" w:rsidRPr="00DB09A6" w:rsidRDefault="00B413AC" w:rsidP="00205EB3">
      <w:pPr>
        <w:ind w:left="851"/>
        <w:rPr>
          <w:sz w:val="24"/>
          <w:szCs w:val="24"/>
        </w:rPr>
      </w:pPr>
      <w:proofErr w:type="spellStart"/>
      <w:r w:rsidRPr="00DB09A6">
        <w:rPr>
          <w:sz w:val="24"/>
          <w:szCs w:val="24"/>
        </w:rPr>
        <w:t>Amarox</w:t>
      </w:r>
      <w:proofErr w:type="spellEnd"/>
      <w:r w:rsidRPr="00DB09A6">
        <w:rPr>
          <w:sz w:val="24"/>
          <w:szCs w:val="24"/>
        </w:rPr>
        <w:t xml:space="preserve"> Pharma B.V.</w:t>
      </w:r>
    </w:p>
    <w:p w14:paraId="440ECD6A" w14:textId="471270E4" w:rsidR="00B413AC" w:rsidRPr="00DB09A6" w:rsidRDefault="00B413AC" w:rsidP="00205EB3">
      <w:pPr>
        <w:ind w:left="851"/>
        <w:rPr>
          <w:sz w:val="24"/>
          <w:szCs w:val="24"/>
        </w:rPr>
      </w:pPr>
      <w:proofErr w:type="spellStart"/>
      <w:r w:rsidRPr="00DB09A6">
        <w:rPr>
          <w:sz w:val="24"/>
          <w:szCs w:val="24"/>
        </w:rPr>
        <w:t>Rouboslaan</w:t>
      </w:r>
      <w:proofErr w:type="spellEnd"/>
      <w:r w:rsidRPr="00DB09A6">
        <w:rPr>
          <w:sz w:val="24"/>
          <w:szCs w:val="24"/>
        </w:rPr>
        <w:t xml:space="preserve"> 32</w:t>
      </w:r>
    </w:p>
    <w:p w14:paraId="06EB4037" w14:textId="6DA130F3" w:rsidR="00B413AC" w:rsidRPr="001A431A" w:rsidRDefault="00B413AC" w:rsidP="00205EB3">
      <w:pPr>
        <w:ind w:left="851"/>
        <w:rPr>
          <w:sz w:val="24"/>
          <w:szCs w:val="24"/>
        </w:rPr>
      </w:pPr>
      <w:r w:rsidRPr="001A431A">
        <w:rPr>
          <w:sz w:val="24"/>
          <w:szCs w:val="24"/>
        </w:rPr>
        <w:t xml:space="preserve">2252 TR </w:t>
      </w:r>
      <w:proofErr w:type="spellStart"/>
      <w:r w:rsidRPr="001A431A">
        <w:rPr>
          <w:sz w:val="24"/>
          <w:szCs w:val="24"/>
        </w:rPr>
        <w:t>Voorschoten</w:t>
      </w:r>
      <w:proofErr w:type="spellEnd"/>
    </w:p>
    <w:p w14:paraId="0A0B3641" w14:textId="641827EE" w:rsidR="00B413AC" w:rsidRDefault="00132BA9" w:rsidP="00205EB3">
      <w:pPr>
        <w:ind w:left="851"/>
        <w:rPr>
          <w:sz w:val="24"/>
          <w:szCs w:val="24"/>
        </w:rPr>
      </w:pPr>
      <w:r>
        <w:rPr>
          <w:sz w:val="24"/>
          <w:szCs w:val="24"/>
        </w:rPr>
        <w:t>Holland</w:t>
      </w:r>
    </w:p>
    <w:p w14:paraId="0DC0B898" w14:textId="35765E9C" w:rsidR="00770D6B" w:rsidRDefault="00770D6B" w:rsidP="00205EB3">
      <w:pPr>
        <w:ind w:left="851"/>
        <w:rPr>
          <w:sz w:val="24"/>
          <w:szCs w:val="24"/>
        </w:rPr>
      </w:pPr>
    </w:p>
    <w:p w14:paraId="191853C7" w14:textId="171F0FD9" w:rsidR="00770D6B" w:rsidRDefault="00770D6B" w:rsidP="00205EB3">
      <w:pPr>
        <w:ind w:left="851"/>
        <w:rPr>
          <w:sz w:val="24"/>
          <w:szCs w:val="24"/>
        </w:rPr>
      </w:pPr>
      <w:r>
        <w:rPr>
          <w:b/>
          <w:sz w:val="24"/>
          <w:szCs w:val="24"/>
        </w:rPr>
        <w:t>Repræsentant</w:t>
      </w:r>
    </w:p>
    <w:p w14:paraId="5E483196" w14:textId="77777777" w:rsidR="00770D6B" w:rsidRPr="00770D6B" w:rsidRDefault="00770D6B" w:rsidP="00770D6B">
      <w:pPr>
        <w:ind w:left="851"/>
        <w:rPr>
          <w:sz w:val="24"/>
          <w:szCs w:val="24"/>
          <w:lang w:val="en-US"/>
        </w:rPr>
      </w:pPr>
      <w:r w:rsidRPr="00770D6B">
        <w:rPr>
          <w:sz w:val="24"/>
          <w:szCs w:val="24"/>
          <w:lang w:val="en-US"/>
        </w:rPr>
        <w:t>Newbury Pharmaceuticals AB</w:t>
      </w:r>
    </w:p>
    <w:p w14:paraId="12A3381D" w14:textId="77777777" w:rsidR="00770D6B" w:rsidRPr="00770D6B" w:rsidRDefault="00770D6B" w:rsidP="00770D6B">
      <w:pPr>
        <w:ind w:left="851"/>
        <w:rPr>
          <w:sz w:val="24"/>
          <w:szCs w:val="24"/>
          <w:lang w:val="en-US"/>
        </w:rPr>
      </w:pPr>
      <w:proofErr w:type="spellStart"/>
      <w:r w:rsidRPr="00770D6B">
        <w:rPr>
          <w:sz w:val="24"/>
          <w:szCs w:val="24"/>
          <w:lang w:val="en-US"/>
        </w:rPr>
        <w:t>Medicon</w:t>
      </w:r>
      <w:proofErr w:type="spellEnd"/>
      <w:r w:rsidRPr="00770D6B">
        <w:rPr>
          <w:sz w:val="24"/>
          <w:szCs w:val="24"/>
          <w:lang w:val="en-US"/>
        </w:rPr>
        <w:t xml:space="preserve"> Village</w:t>
      </w:r>
    </w:p>
    <w:p w14:paraId="1AAC643D" w14:textId="77777777" w:rsidR="00770D6B" w:rsidRPr="00770D6B" w:rsidRDefault="00770D6B" w:rsidP="00770D6B">
      <w:pPr>
        <w:ind w:left="851"/>
        <w:rPr>
          <w:sz w:val="24"/>
          <w:szCs w:val="24"/>
          <w:lang w:val="en-US"/>
        </w:rPr>
      </w:pPr>
      <w:proofErr w:type="spellStart"/>
      <w:r w:rsidRPr="00770D6B">
        <w:rPr>
          <w:sz w:val="24"/>
          <w:szCs w:val="24"/>
          <w:lang w:val="en-US"/>
        </w:rPr>
        <w:t>Scheeletorget</w:t>
      </w:r>
      <w:proofErr w:type="spellEnd"/>
      <w:r w:rsidRPr="00770D6B">
        <w:rPr>
          <w:sz w:val="24"/>
          <w:szCs w:val="24"/>
          <w:lang w:val="en-US"/>
        </w:rPr>
        <w:t xml:space="preserve"> 1</w:t>
      </w:r>
    </w:p>
    <w:p w14:paraId="628E385F" w14:textId="77777777" w:rsidR="00770D6B" w:rsidRPr="00770D6B" w:rsidRDefault="00770D6B" w:rsidP="00770D6B">
      <w:pPr>
        <w:ind w:left="851"/>
        <w:rPr>
          <w:sz w:val="24"/>
          <w:szCs w:val="24"/>
        </w:rPr>
      </w:pPr>
      <w:r w:rsidRPr="00770D6B">
        <w:rPr>
          <w:sz w:val="24"/>
          <w:szCs w:val="24"/>
        </w:rPr>
        <w:t>223 81 Lund</w:t>
      </w:r>
    </w:p>
    <w:p w14:paraId="1DAFAC36" w14:textId="2111B042" w:rsidR="00770D6B" w:rsidRPr="00770D6B" w:rsidRDefault="00770D6B" w:rsidP="00770D6B">
      <w:pPr>
        <w:ind w:left="851"/>
        <w:rPr>
          <w:sz w:val="24"/>
          <w:szCs w:val="24"/>
        </w:rPr>
      </w:pPr>
      <w:r w:rsidRPr="00770D6B">
        <w:rPr>
          <w:sz w:val="24"/>
          <w:szCs w:val="24"/>
        </w:rPr>
        <w:t>Sverige</w:t>
      </w:r>
    </w:p>
    <w:p w14:paraId="4410C33B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21E91A3" w14:textId="66026A92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8.</w:t>
      </w:r>
      <w:r w:rsidRPr="001A431A">
        <w:rPr>
          <w:b/>
          <w:sz w:val="24"/>
          <w:szCs w:val="24"/>
        </w:rPr>
        <w:tab/>
        <w:t>MARKEDSFØRINGSTILLADELSESNUMMER (</w:t>
      </w:r>
      <w:r w:rsidR="004779F0">
        <w:rPr>
          <w:b/>
          <w:sz w:val="24"/>
          <w:szCs w:val="24"/>
        </w:rPr>
        <w:t>-</w:t>
      </w:r>
      <w:r w:rsidRPr="001A431A">
        <w:rPr>
          <w:b/>
          <w:sz w:val="24"/>
          <w:szCs w:val="24"/>
        </w:rPr>
        <w:t>NUMRE)</w:t>
      </w:r>
    </w:p>
    <w:p w14:paraId="79C606EF" w14:textId="6914E2A4" w:rsidR="009260DE" w:rsidRPr="001A431A" w:rsidRDefault="00B53C67" w:rsidP="009260DE">
      <w:pPr>
        <w:tabs>
          <w:tab w:val="left" w:pos="851"/>
        </w:tabs>
        <w:ind w:left="851"/>
        <w:rPr>
          <w:sz w:val="24"/>
          <w:szCs w:val="24"/>
        </w:rPr>
      </w:pPr>
      <w:r w:rsidRPr="001A431A">
        <w:rPr>
          <w:sz w:val="24"/>
          <w:szCs w:val="24"/>
        </w:rPr>
        <w:t>61539</w:t>
      </w:r>
    </w:p>
    <w:p w14:paraId="3D04EE2B" w14:textId="77777777" w:rsidR="009260DE" w:rsidRPr="001A431A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0131BE78" w14:textId="77777777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9.</w:t>
      </w:r>
      <w:r w:rsidRPr="001A431A">
        <w:rPr>
          <w:b/>
          <w:sz w:val="24"/>
          <w:szCs w:val="24"/>
        </w:rPr>
        <w:tab/>
        <w:t>DATO FOR FØRSTE MARKEDSFØRINGSTILLADELSE</w:t>
      </w:r>
    </w:p>
    <w:p w14:paraId="6C64A2B6" w14:textId="6F9CBE2E" w:rsidR="009260DE" w:rsidRPr="001A431A" w:rsidRDefault="00F9027E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19. maj 2020</w:t>
      </w:r>
    </w:p>
    <w:p w14:paraId="6BC304E5" w14:textId="77777777" w:rsidR="009260DE" w:rsidRPr="001A431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39FB669" w14:textId="77777777" w:rsidR="009260DE" w:rsidRPr="001A431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431A">
        <w:rPr>
          <w:b/>
          <w:sz w:val="24"/>
          <w:szCs w:val="24"/>
        </w:rPr>
        <w:t>10.</w:t>
      </w:r>
      <w:r w:rsidRPr="001A431A">
        <w:rPr>
          <w:b/>
          <w:sz w:val="24"/>
          <w:szCs w:val="24"/>
        </w:rPr>
        <w:tab/>
        <w:t>DATO FOR ÆNDRING AF TEKSTEN</w:t>
      </w:r>
    </w:p>
    <w:p w14:paraId="11259F4E" w14:textId="7C4AFEA6" w:rsidR="009260DE" w:rsidRPr="001A431A" w:rsidRDefault="00770D6B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11. juni 2024</w:t>
      </w:r>
    </w:p>
    <w:sectPr w:rsidR="009260DE" w:rsidRPr="001A431A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B9D0C" w14:textId="77777777" w:rsidR="00B43659" w:rsidRDefault="00B43659">
      <w:r>
        <w:separator/>
      </w:r>
    </w:p>
  </w:endnote>
  <w:endnote w:type="continuationSeparator" w:id="0">
    <w:p w14:paraId="69A00120" w14:textId="77777777" w:rsidR="00B43659" w:rsidRDefault="00B4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9759A" w14:textId="77777777" w:rsidR="000259B9" w:rsidRDefault="000259B9">
    <w:pPr>
      <w:pStyle w:val="Sidefod"/>
      <w:pBdr>
        <w:bottom w:val="single" w:sz="6" w:space="1" w:color="auto"/>
      </w:pBdr>
    </w:pPr>
  </w:p>
  <w:p w14:paraId="61A1632B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07665ABE" w14:textId="4C5B0CF7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436560">
      <w:rPr>
        <w:i/>
        <w:noProof/>
        <w:sz w:val="18"/>
        <w:szCs w:val="18"/>
      </w:rPr>
      <w:t>Finasterid Amarox, filmovertrukne tabletter 5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122E2" w14:textId="77777777" w:rsidR="00B43659" w:rsidRDefault="00B43659">
      <w:r>
        <w:separator/>
      </w:r>
    </w:p>
  </w:footnote>
  <w:footnote w:type="continuationSeparator" w:id="0">
    <w:p w14:paraId="7F84C516" w14:textId="77777777" w:rsidR="00B43659" w:rsidRDefault="00B4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29E3954"/>
    <w:multiLevelType w:val="hybridMultilevel"/>
    <w:tmpl w:val="1AD60384"/>
    <w:lvl w:ilvl="0" w:tplc="5A5CF7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193F50"/>
    <w:multiLevelType w:val="hybridMultilevel"/>
    <w:tmpl w:val="7CFC3FF6"/>
    <w:lvl w:ilvl="0" w:tplc="5A5CF7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39AAC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0D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23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6D8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E29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83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E4B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C9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EB27A40"/>
    <w:multiLevelType w:val="hybridMultilevel"/>
    <w:tmpl w:val="FFCE26D0"/>
    <w:lvl w:ilvl="0" w:tplc="5A5CF7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9DD806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944E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87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04E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CD67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8D8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BA9D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35C9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26"/>
    <w:rsid w:val="0000541F"/>
    <w:rsid w:val="000259B9"/>
    <w:rsid w:val="00041491"/>
    <w:rsid w:val="00050D16"/>
    <w:rsid w:val="00074F2A"/>
    <w:rsid w:val="000A1CA8"/>
    <w:rsid w:val="000A466B"/>
    <w:rsid w:val="000B058C"/>
    <w:rsid w:val="000E4EE6"/>
    <w:rsid w:val="000F7426"/>
    <w:rsid w:val="00132BA9"/>
    <w:rsid w:val="001454E2"/>
    <w:rsid w:val="001A431A"/>
    <w:rsid w:val="00205EB3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36560"/>
    <w:rsid w:val="00453E66"/>
    <w:rsid w:val="0045746C"/>
    <w:rsid w:val="004779F0"/>
    <w:rsid w:val="0049104B"/>
    <w:rsid w:val="004E3B12"/>
    <w:rsid w:val="00532310"/>
    <w:rsid w:val="00565F0F"/>
    <w:rsid w:val="0057718D"/>
    <w:rsid w:val="00594A86"/>
    <w:rsid w:val="00596D86"/>
    <w:rsid w:val="005F1642"/>
    <w:rsid w:val="00637F5A"/>
    <w:rsid w:val="006560B1"/>
    <w:rsid w:val="0066060C"/>
    <w:rsid w:val="006756DD"/>
    <w:rsid w:val="006C5CCA"/>
    <w:rsid w:val="00722F62"/>
    <w:rsid w:val="00737275"/>
    <w:rsid w:val="00740EEC"/>
    <w:rsid w:val="00770D6B"/>
    <w:rsid w:val="0078011A"/>
    <w:rsid w:val="00782AF4"/>
    <w:rsid w:val="00790EE7"/>
    <w:rsid w:val="007B6649"/>
    <w:rsid w:val="0082576E"/>
    <w:rsid w:val="00887E71"/>
    <w:rsid w:val="008A2E42"/>
    <w:rsid w:val="00907F75"/>
    <w:rsid w:val="009260DE"/>
    <w:rsid w:val="0093258A"/>
    <w:rsid w:val="00996780"/>
    <w:rsid w:val="009C7BA3"/>
    <w:rsid w:val="009D1F5A"/>
    <w:rsid w:val="00A5675A"/>
    <w:rsid w:val="00B003BF"/>
    <w:rsid w:val="00B373D7"/>
    <w:rsid w:val="00B413AC"/>
    <w:rsid w:val="00B43659"/>
    <w:rsid w:val="00B53C67"/>
    <w:rsid w:val="00BF3436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64580"/>
    <w:rsid w:val="00DB09A6"/>
    <w:rsid w:val="00DB4CBA"/>
    <w:rsid w:val="00E108AA"/>
    <w:rsid w:val="00E3749A"/>
    <w:rsid w:val="00E7437F"/>
    <w:rsid w:val="00E865B8"/>
    <w:rsid w:val="00EC0B9B"/>
    <w:rsid w:val="00ED5E9F"/>
    <w:rsid w:val="00EF3771"/>
    <w:rsid w:val="00F47611"/>
    <w:rsid w:val="00F5748C"/>
    <w:rsid w:val="00F57D36"/>
    <w:rsid w:val="00F66D4F"/>
    <w:rsid w:val="00F9027E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17E75"/>
  <w15:chartTrackingRefBased/>
  <w15:docId w15:val="{94778CDB-57CA-453E-A287-70713DC5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722F62"/>
    <w:pPr>
      <w:spacing w:before="120" w:after="120"/>
      <w:jc w:val="both"/>
    </w:pPr>
    <w:rPr>
      <w:sz w:val="22"/>
    </w:rPr>
  </w:style>
  <w:style w:type="character" w:styleId="Hyperlink">
    <w:name w:val="Hyperlink"/>
    <w:uiPriority w:val="99"/>
    <w:semiHidden/>
    <w:unhideWhenUsed/>
    <w:rsid w:val="00B413AC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B413AC"/>
    <w:pPr>
      <w:autoSpaceDE w:val="0"/>
      <w:autoSpaceDN w:val="0"/>
      <w:adjustRightInd w:val="0"/>
    </w:pPr>
    <w:rPr>
      <w:lang w:eastAsia="en-US"/>
    </w:rPr>
  </w:style>
  <w:style w:type="character" w:customStyle="1" w:styleId="tlid-translation">
    <w:name w:val="tlid-translation"/>
    <w:rsid w:val="00B41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3368</Words>
  <Characters>21417</Characters>
  <Application>Microsoft Office Word</Application>
  <DocSecurity>0</DocSecurity>
  <Lines>178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Marianne Ott Jensen</dc:creator>
  <cp:keywords/>
  <dc:description>2024061154_x000d_
Tilføjelse af repræsentanten Newbury Pharmaceuticals AB</dc:description>
  <cp:lastModifiedBy>Marianne Ott Jensen</cp:lastModifiedBy>
  <cp:revision>3</cp:revision>
  <cp:lastPrinted>2012-08-22T08:53:00Z</cp:lastPrinted>
  <dcterms:created xsi:type="dcterms:W3CDTF">2024-06-11T04:49:00Z</dcterms:created>
  <dcterms:modified xsi:type="dcterms:W3CDTF">2024-06-11T04:50:00Z</dcterms:modified>
</cp:coreProperties>
</file>