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66DBD" w14:textId="77777777" w:rsidR="004A3BF4" w:rsidRPr="009907F8" w:rsidRDefault="00056601" w:rsidP="004A3BF4">
      <w:pPr>
        <w:rPr>
          <w:sz w:val="24"/>
          <w:szCs w:val="24"/>
          <w:lang w:val="en-GB"/>
        </w:rPr>
      </w:pPr>
      <w:bookmarkStart w:id="0" w:name="_GoBack"/>
      <w:bookmarkEnd w:id="0"/>
      <w:r w:rsidRPr="009907F8">
        <w:rPr>
          <w:noProof/>
          <w:sz w:val="24"/>
          <w:szCs w:val="24"/>
          <w:lang w:val="en-GB"/>
        </w:rPr>
        <w:drawing>
          <wp:inline distT="0" distB="0" distL="0" distR="0" wp14:anchorId="3CEDE61B" wp14:editId="0DA1793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01C995D" w14:textId="77777777" w:rsidR="006B3847" w:rsidRPr="009907F8" w:rsidRDefault="006B3847" w:rsidP="006B3847">
      <w:pPr>
        <w:rPr>
          <w:sz w:val="24"/>
          <w:szCs w:val="24"/>
          <w:lang w:val="en-GB"/>
        </w:rPr>
      </w:pPr>
    </w:p>
    <w:p w14:paraId="1C63B6D4" w14:textId="3FED8F7D" w:rsidR="00A74CF9" w:rsidRPr="009907F8" w:rsidRDefault="006B3847" w:rsidP="006B3847">
      <w:pPr>
        <w:tabs>
          <w:tab w:val="right" w:pos="9356"/>
        </w:tabs>
        <w:rPr>
          <w:b/>
          <w:sz w:val="24"/>
          <w:szCs w:val="24"/>
          <w:lang w:val="en-GB"/>
        </w:rPr>
      </w:pPr>
      <w:r w:rsidRPr="009907F8">
        <w:rPr>
          <w:b/>
          <w:sz w:val="24"/>
          <w:szCs w:val="24"/>
          <w:lang w:val="en-GB"/>
        </w:rPr>
        <w:tab/>
      </w:r>
      <w:r w:rsidR="00A74CF9">
        <w:rPr>
          <w:b/>
          <w:sz w:val="24"/>
          <w:szCs w:val="24"/>
          <w:lang w:val="en-GB"/>
        </w:rPr>
        <w:t>17 January 2025</w:t>
      </w:r>
    </w:p>
    <w:p w14:paraId="3CB97CD9" w14:textId="77777777" w:rsidR="006B3847" w:rsidRPr="009907F8" w:rsidRDefault="006B3847" w:rsidP="006B3847">
      <w:pPr>
        <w:rPr>
          <w:sz w:val="24"/>
          <w:szCs w:val="24"/>
          <w:lang w:val="en-GB"/>
        </w:rPr>
      </w:pPr>
    </w:p>
    <w:p w14:paraId="32F76F8B" w14:textId="77777777" w:rsidR="007C5D2A" w:rsidRPr="009907F8" w:rsidRDefault="007C5D2A" w:rsidP="007C5D2A">
      <w:pPr>
        <w:rPr>
          <w:sz w:val="24"/>
          <w:szCs w:val="24"/>
          <w:lang w:val="en-GB"/>
        </w:rPr>
      </w:pPr>
    </w:p>
    <w:p w14:paraId="597EF1C0" w14:textId="77777777" w:rsidR="007C5D2A" w:rsidRPr="009907F8" w:rsidRDefault="007C5D2A" w:rsidP="007C5D2A">
      <w:pPr>
        <w:rPr>
          <w:sz w:val="24"/>
          <w:szCs w:val="24"/>
          <w:lang w:val="en-GB"/>
        </w:rPr>
      </w:pPr>
    </w:p>
    <w:p w14:paraId="760D2CD0" w14:textId="77777777" w:rsidR="007C5D2A" w:rsidRPr="009907F8" w:rsidRDefault="007C5D2A" w:rsidP="007C5D2A">
      <w:pPr>
        <w:jc w:val="center"/>
        <w:rPr>
          <w:b/>
          <w:sz w:val="24"/>
          <w:szCs w:val="24"/>
          <w:lang w:val="en-GB"/>
        </w:rPr>
      </w:pPr>
      <w:bookmarkStart w:id="1" w:name="_Hlk49158549"/>
      <w:r w:rsidRPr="009907F8">
        <w:rPr>
          <w:b/>
          <w:sz w:val="24"/>
          <w:szCs w:val="24"/>
          <w:lang w:val="en-GB"/>
        </w:rPr>
        <w:t>SUMMARY OF PRODUCT CHARACTERISTICS</w:t>
      </w:r>
    </w:p>
    <w:bookmarkEnd w:id="1"/>
    <w:p w14:paraId="727D0E23" w14:textId="77777777" w:rsidR="007C5D2A" w:rsidRPr="009907F8" w:rsidRDefault="007C5D2A" w:rsidP="007C5D2A">
      <w:pPr>
        <w:jc w:val="center"/>
        <w:rPr>
          <w:sz w:val="24"/>
          <w:szCs w:val="24"/>
          <w:lang w:val="en-GB"/>
        </w:rPr>
      </w:pPr>
    </w:p>
    <w:p w14:paraId="4294482E" w14:textId="77777777" w:rsidR="007C5D2A" w:rsidRPr="009907F8" w:rsidRDefault="007C5D2A" w:rsidP="007C5D2A">
      <w:pPr>
        <w:jc w:val="center"/>
        <w:rPr>
          <w:b/>
          <w:sz w:val="24"/>
          <w:szCs w:val="24"/>
          <w:lang w:val="en-GB"/>
        </w:rPr>
      </w:pPr>
      <w:r w:rsidRPr="009907F8">
        <w:rPr>
          <w:b/>
          <w:sz w:val="24"/>
          <w:szCs w:val="24"/>
          <w:lang w:val="en-GB"/>
        </w:rPr>
        <w:t>for</w:t>
      </w:r>
    </w:p>
    <w:p w14:paraId="4DA1E31A" w14:textId="77777777" w:rsidR="007C5D2A" w:rsidRPr="009907F8" w:rsidRDefault="007C5D2A" w:rsidP="007C5D2A">
      <w:pPr>
        <w:jc w:val="center"/>
        <w:rPr>
          <w:sz w:val="24"/>
          <w:szCs w:val="24"/>
          <w:lang w:val="en-GB"/>
        </w:rPr>
      </w:pPr>
    </w:p>
    <w:p w14:paraId="569246D8" w14:textId="6C93C40F" w:rsidR="007C5D2A" w:rsidRPr="00A74CF9" w:rsidRDefault="00E43B26" w:rsidP="007C5D2A">
      <w:pPr>
        <w:jc w:val="center"/>
        <w:rPr>
          <w:b/>
          <w:sz w:val="24"/>
          <w:szCs w:val="24"/>
          <w:lang w:val="en-US"/>
        </w:rPr>
      </w:pPr>
      <w:r w:rsidRPr="00A74CF9">
        <w:rPr>
          <w:b/>
          <w:sz w:val="24"/>
          <w:szCs w:val="24"/>
          <w:lang w:val="en-US"/>
        </w:rPr>
        <w:t>Fingolimod "HCS", hard capsules</w:t>
      </w:r>
    </w:p>
    <w:p w14:paraId="44B4A39C" w14:textId="77777777" w:rsidR="007C5D2A" w:rsidRPr="00A74CF9" w:rsidRDefault="007C5D2A" w:rsidP="007C5D2A">
      <w:pPr>
        <w:jc w:val="both"/>
        <w:rPr>
          <w:sz w:val="24"/>
          <w:szCs w:val="24"/>
          <w:lang w:val="en-US"/>
        </w:rPr>
      </w:pPr>
    </w:p>
    <w:p w14:paraId="60F57B06" w14:textId="77777777" w:rsidR="0042292D" w:rsidRPr="00A74CF9" w:rsidRDefault="0042292D" w:rsidP="007C5D2A">
      <w:pPr>
        <w:jc w:val="both"/>
        <w:rPr>
          <w:sz w:val="24"/>
          <w:szCs w:val="24"/>
          <w:lang w:val="en-US"/>
        </w:rPr>
      </w:pPr>
    </w:p>
    <w:p w14:paraId="447D8FD6" w14:textId="77777777" w:rsidR="008F2F8C" w:rsidRPr="00A74CF9" w:rsidRDefault="008F2F8C" w:rsidP="008F2F8C">
      <w:pPr>
        <w:tabs>
          <w:tab w:val="left" w:pos="8222"/>
        </w:tabs>
        <w:ind w:left="851" w:hanging="851"/>
        <w:rPr>
          <w:b/>
          <w:sz w:val="24"/>
          <w:szCs w:val="24"/>
          <w:lang w:val="en-US"/>
        </w:rPr>
      </w:pPr>
      <w:r w:rsidRPr="00A74CF9">
        <w:rPr>
          <w:b/>
          <w:sz w:val="24"/>
          <w:szCs w:val="24"/>
          <w:lang w:val="en-US"/>
        </w:rPr>
        <w:t>0.</w:t>
      </w:r>
      <w:r w:rsidRPr="00A74CF9">
        <w:rPr>
          <w:b/>
          <w:sz w:val="24"/>
          <w:szCs w:val="24"/>
          <w:lang w:val="en-US"/>
        </w:rPr>
        <w:tab/>
      </w:r>
      <w:proofErr w:type="gramStart"/>
      <w:r w:rsidRPr="00A74CF9">
        <w:rPr>
          <w:b/>
          <w:sz w:val="24"/>
          <w:szCs w:val="24"/>
          <w:lang w:val="en-US"/>
        </w:rPr>
        <w:t>D.SP.NO</w:t>
      </w:r>
      <w:proofErr w:type="gramEnd"/>
      <w:r w:rsidRPr="00A74CF9">
        <w:rPr>
          <w:b/>
          <w:sz w:val="24"/>
          <w:szCs w:val="24"/>
          <w:lang w:val="en-US"/>
        </w:rPr>
        <w:t>.</w:t>
      </w:r>
    </w:p>
    <w:p w14:paraId="2003EBD9" w14:textId="545AE080" w:rsidR="008F2F8C" w:rsidRPr="009907F8" w:rsidRDefault="00E43B26" w:rsidP="008F2F8C">
      <w:pPr>
        <w:tabs>
          <w:tab w:val="left" w:pos="8222"/>
        </w:tabs>
        <w:ind w:left="851"/>
        <w:rPr>
          <w:sz w:val="24"/>
          <w:szCs w:val="24"/>
          <w:lang w:val="en-GB"/>
        </w:rPr>
      </w:pPr>
      <w:r w:rsidRPr="009907F8">
        <w:rPr>
          <w:sz w:val="24"/>
          <w:szCs w:val="24"/>
          <w:lang w:val="en-GB"/>
        </w:rPr>
        <w:t>33871</w:t>
      </w:r>
    </w:p>
    <w:p w14:paraId="517B94E9" w14:textId="77777777" w:rsidR="007C5D2A" w:rsidRPr="009907F8" w:rsidRDefault="007C5D2A" w:rsidP="007C5D2A">
      <w:pPr>
        <w:tabs>
          <w:tab w:val="left" w:pos="851"/>
        </w:tabs>
        <w:jc w:val="both"/>
        <w:rPr>
          <w:sz w:val="24"/>
          <w:szCs w:val="24"/>
          <w:lang w:val="en-GB"/>
        </w:rPr>
      </w:pPr>
    </w:p>
    <w:p w14:paraId="0D0C8783" w14:textId="77777777" w:rsidR="007C5D2A" w:rsidRPr="009907F8" w:rsidRDefault="009925C9" w:rsidP="007C5D2A">
      <w:pPr>
        <w:tabs>
          <w:tab w:val="left" w:pos="851"/>
        </w:tabs>
        <w:ind w:left="851" w:hanging="851"/>
        <w:rPr>
          <w:sz w:val="24"/>
          <w:szCs w:val="24"/>
          <w:lang w:val="en-GB"/>
        </w:rPr>
      </w:pPr>
      <w:r w:rsidRPr="009907F8">
        <w:rPr>
          <w:b/>
          <w:sz w:val="24"/>
          <w:szCs w:val="24"/>
          <w:lang w:val="en-GB"/>
        </w:rPr>
        <w:t>1.</w:t>
      </w:r>
      <w:r w:rsidR="007C5D2A" w:rsidRPr="009907F8">
        <w:rPr>
          <w:b/>
          <w:sz w:val="24"/>
          <w:szCs w:val="24"/>
          <w:lang w:val="en-GB"/>
        </w:rPr>
        <w:tab/>
        <w:t>NAME OF THE MEDICINAL PRODUCT</w:t>
      </w:r>
    </w:p>
    <w:p w14:paraId="34B77067" w14:textId="7E8253C0" w:rsidR="007C5D2A" w:rsidRPr="009907F8" w:rsidRDefault="00E43B26" w:rsidP="004A3BF4">
      <w:pPr>
        <w:tabs>
          <w:tab w:val="left" w:pos="851"/>
        </w:tabs>
        <w:ind w:left="851"/>
        <w:rPr>
          <w:sz w:val="24"/>
          <w:szCs w:val="24"/>
          <w:lang w:val="en-GB"/>
        </w:rPr>
      </w:pPr>
      <w:r w:rsidRPr="009907F8">
        <w:rPr>
          <w:sz w:val="24"/>
          <w:szCs w:val="24"/>
          <w:lang w:val="en-GB"/>
        </w:rPr>
        <w:t>Fingolimod "HCS"</w:t>
      </w:r>
    </w:p>
    <w:p w14:paraId="7C5FE1A7" w14:textId="77777777" w:rsidR="007C5D2A" w:rsidRPr="009907F8" w:rsidRDefault="007C5D2A" w:rsidP="004A3BF4">
      <w:pPr>
        <w:tabs>
          <w:tab w:val="left" w:pos="851"/>
        </w:tabs>
        <w:ind w:left="851"/>
        <w:rPr>
          <w:sz w:val="24"/>
          <w:szCs w:val="24"/>
          <w:lang w:val="en-GB"/>
        </w:rPr>
      </w:pPr>
    </w:p>
    <w:p w14:paraId="0560B364" w14:textId="77777777" w:rsidR="007C5D2A" w:rsidRPr="009907F8" w:rsidRDefault="009925C9" w:rsidP="007C5D2A">
      <w:pPr>
        <w:ind w:left="851" w:hanging="851"/>
        <w:rPr>
          <w:b/>
          <w:sz w:val="24"/>
          <w:szCs w:val="24"/>
          <w:lang w:val="en-GB"/>
        </w:rPr>
      </w:pPr>
      <w:r w:rsidRPr="009907F8">
        <w:rPr>
          <w:b/>
          <w:sz w:val="24"/>
          <w:szCs w:val="24"/>
          <w:lang w:val="en-GB"/>
        </w:rPr>
        <w:t>2.</w:t>
      </w:r>
      <w:r w:rsidR="007C5D2A" w:rsidRPr="009907F8">
        <w:rPr>
          <w:b/>
          <w:sz w:val="24"/>
          <w:szCs w:val="24"/>
          <w:lang w:val="en-GB"/>
        </w:rPr>
        <w:tab/>
        <w:t>QUALITATIVE AND QUANTITATIVE COMPOSITION</w:t>
      </w:r>
    </w:p>
    <w:p w14:paraId="465FE74A" w14:textId="77777777" w:rsidR="00862A88" w:rsidRPr="009907F8" w:rsidRDefault="00862A88" w:rsidP="003E2967">
      <w:pPr>
        <w:widowControl w:val="0"/>
        <w:autoSpaceDE w:val="0"/>
        <w:autoSpaceDN w:val="0"/>
        <w:adjustRightInd w:val="0"/>
        <w:ind w:left="851"/>
        <w:rPr>
          <w:sz w:val="24"/>
          <w:szCs w:val="24"/>
          <w:lang w:val="en-GB" w:eastAsia="en-US"/>
        </w:rPr>
      </w:pPr>
      <w:r w:rsidRPr="009907F8">
        <w:rPr>
          <w:sz w:val="24"/>
          <w:szCs w:val="24"/>
          <w:lang w:val="en-GB" w:eastAsia="en-US"/>
        </w:rPr>
        <w:t xml:space="preserve">Each </w:t>
      </w:r>
      <w:r w:rsidRPr="009907F8">
        <w:rPr>
          <w:noProof/>
          <w:sz w:val="24"/>
          <w:szCs w:val="24"/>
          <w:lang w:val="en-GB" w:eastAsia="en-US"/>
        </w:rPr>
        <w:t xml:space="preserve">hard capsule </w:t>
      </w:r>
      <w:r w:rsidRPr="009907F8">
        <w:rPr>
          <w:sz w:val="24"/>
          <w:szCs w:val="24"/>
          <w:lang w:val="en-GB" w:eastAsia="en-US"/>
        </w:rPr>
        <w:t>contains fingolimod hydrochloride</w:t>
      </w:r>
      <w:r w:rsidRPr="009907F8">
        <w:rPr>
          <w:noProof/>
          <w:sz w:val="24"/>
          <w:szCs w:val="24"/>
          <w:lang w:val="en-GB" w:eastAsia="en-US"/>
        </w:rPr>
        <w:t xml:space="preserve"> equivalent to 0.5</w:t>
      </w:r>
      <w:r w:rsidRPr="009907F8">
        <w:rPr>
          <w:spacing w:val="-3"/>
          <w:sz w:val="24"/>
          <w:szCs w:val="24"/>
          <w:lang w:val="en-GB"/>
        </w:rPr>
        <w:t> </w:t>
      </w:r>
      <w:r w:rsidRPr="009907F8">
        <w:rPr>
          <w:noProof/>
          <w:sz w:val="24"/>
          <w:szCs w:val="24"/>
          <w:lang w:val="en-GB" w:eastAsia="en-US"/>
        </w:rPr>
        <w:t>mg fingolimod</w:t>
      </w:r>
      <w:r w:rsidRPr="009907F8">
        <w:rPr>
          <w:sz w:val="24"/>
          <w:szCs w:val="24"/>
          <w:lang w:val="en-GB" w:eastAsia="en-US"/>
        </w:rPr>
        <w:t>.</w:t>
      </w:r>
    </w:p>
    <w:p w14:paraId="6838EC47" w14:textId="77777777" w:rsidR="00862A88" w:rsidRPr="009907F8" w:rsidRDefault="00862A88" w:rsidP="003E2967">
      <w:pPr>
        <w:widowControl w:val="0"/>
        <w:autoSpaceDE w:val="0"/>
        <w:autoSpaceDN w:val="0"/>
        <w:adjustRightInd w:val="0"/>
        <w:ind w:left="851"/>
        <w:rPr>
          <w:bCs/>
          <w:noProof/>
          <w:sz w:val="24"/>
          <w:szCs w:val="24"/>
          <w:lang w:val="en-GB" w:eastAsia="en-US"/>
        </w:rPr>
      </w:pPr>
    </w:p>
    <w:p w14:paraId="6ACD5D4C" w14:textId="77777777" w:rsidR="00862A88" w:rsidRPr="009907F8" w:rsidRDefault="00862A88" w:rsidP="003E2967">
      <w:pPr>
        <w:widowControl w:val="0"/>
        <w:autoSpaceDE w:val="0"/>
        <w:autoSpaceDN w:val="0"/>
        <w:adjustRightInd w:val="0"/>
        <w:ind w:left="851"/>
        <w:rPr>
          <w:bCs/>
          <w:noProof/>
          <w:sz w:val="24"/>
          <w:szCs w:val="24"/>
          <w:lang w:val="en-GB" w:eastAsia="en-US"/>
        </w:rPr>
      </w:pPr>
      <w:r w:rsidRPr="009907F8">
        <w:rPr>
          <w:bCs/>
          <w:noProof/>
          <w:sz w:val="24"/>
          <w:szCs w:val="24"/>
          <w:lang w:val="en-GB" w:eastAsia="en-US"/>
        </w:rPr>
        <w:t>For the full list of excipients, see section 6.1.</w:t>
      </w:r>
    </w:p>
    <w:p w14:paraId="394AD9E4" w14:textId="77777777" w:rsidR="007C5D2A" w:rsidRPr="009907F8" w:rsidRDefault="007C5D2A" w:rsidP="004A3BF4">
      <w:pPr>
        <w:tabs>
          <w:tab w:val="left" w:pos="851"/>
        </w:tabs>
        <w:ind w:left="851"/>
        <w:rPr>
          <w:sz w:val="24"/>
          <w:szCs w:val="24"/>
          <w:lang w:val="en-GB"/>
        </w:rPr>
      </w:pPr>
    </w:p>
    <w:p w14:paraId="0795C43E" w14:textId="77777777" w:rsidR="007C5D2A" w:rsidRPr="009907F8" w:rsidRDefault="007C5D2A" w:rsidP="007C5D2A">
      <w:pPr>
        <w:tabs>
          <w:tab w:val="left" w:pos="851"/>
        </w:tabs>
        <w:ind w:left="851" w:hanging="851"/>
        <w:rPr>
          <w:b/>
          <w:sz w:val="24"/>
          <w:szCs w:val="24"/>
          <w:lang w:val="en-GB"/>
        </w:rPr>
      </w:pPr>
      <w:r w:rsidRPr="009907F8">
        <w:rPr>
          <w:b/>
          <w:sz w:val="24"/>
          <w:szCs w:val="24"/>
          <w:lang w:val="en-GB"/>
        </w:rPr>
        <w:t>3.</w:t>
      </w:r>
      <w:r w:rsidRPr="009907F8">
        <w:rPr>
          <w:b/>
          <w:sz w:val="24"/>
          <w:szCs w:val="24"/>
          <w:lang w:val="en-GB"/>
        </w:rPr>
        <w:tab/>
        <w:t>PHARMACEUTICAL FORM</w:t>
      </w:r>
    </w:p>
    <w:p w14:paraId="5B4E41B5" w14:textId="42CEB572" w:rsidR="00862A88" w:rsidRPr="009907F8" w:rsidRDefault="00862A88" w:rsidP="003E2967">
      <w:pPr>
        <w:ind w:left="851"/>
        <w:rPr>
          <w:sz w:val="24"/>
          <w:szCs w:val="24"/>
          <w:lang w:val="en-GB" w:eastAsia="en-US"/>
        </w:rPr>
      </w:pPr>
      <w:r w:rsidRPr="009907F8">
        <w:rPr>
          <w:noProof/>
          <w:sz w:val="24"/>
          <w:szCs w:val="24"/>
          <w:lang w:val="en-GB" w:eastAsia="en-US"/>
        </w:rPr>
        <w:t>Hard capsule</w:t>
      </w:r>
      <w:r w:rsidR="009907F8">
        <w:rPr>
          <w:noProof/>
          <w:sz w:val="24"/>
          <w:szCs w:val="24"/>
          <w:lang w:val="en-GB" w:eastAsia="en-US"/>
        </w:rPr>
        <w:t>s</w:t>
      </w:r>
      <w:r w:rsidRPr="009907F8">
        <w:rPr>
          <w:noProof/>
          <w:sz w:val="24"/>
          <w:szCs w:val="24"/>
          <w:lang w:val="en-GB" w:eastAsia="en-US"/>
        </w:rPr>
        <w:t xml:space="preserve"> (capsule</w:t>
      </w:r>
      <w:r w:rsidR="009907F8">
        <w:rPr>
          <w:noProof/>
          <w:sz w:val="24"/>
          <w:szCs w:val="24"/>
          <w:lang w:val="en-GB" w:eastAsia="en-US"/>
        </w:rPr>
        <w:t>s</w:t>
      </w:r>
      <w:r w:rsidRPr="009907F8">
        <w:rPr>
          <w:noProof/>
          <w:sz w:val="24"/>
          <w:szCs w:val="24"/>
          <w:lang w:val="en-GB" w:eastAsia="en-US"/>
        </w:rPr>
        <w:t>)</w:t>
      </w:r>
    </w:p>
    <w:p w14:paraId="643B99E3" w14:textId="77777777" w:rsidR="00862A88" w:rsidRPr="009907F8" w:rsidRDefault="00862A88" w:rsidP="003E2967">
      <w:pPr>
        <w:ind w:left="851"/>
        <w:rPr>
          <w:sz w:val="24"/>
          <w:szCs w:val="24"/>
          <w:lang w:val="en-GB" w:eastAsia="en-US"/>
        </w:rPr>
      </w:pPr>
    </w:p>
    <w:p w14:paraId="515963B8" w14:textId="77777777" w:rsidR="005B772B" w:rsidRDefault="00862A88" w:rsidP="003E2967">
      <w:pPr>
        <w:ind w:left="851"/>
        <w:rPr>
          <w:sz w:val="24"/>
          <w:szCs w:val="24"/>
          <w:lang w:val="en-GB" w:eastAsia="en-US"/>
        </w:rPr>
      </w:pPr>
      <w:r w:rsidRPr="009907F8">
        <w:rPr>
          <w:sz w:val="24"/>
          <w:szCs w:val="24"/>
          <w:lang w:val="en-GB" w:eastAsia="en-US"/>
        </w:rPr>
        <w:t xml:space="preserve">Capsule cap is brown-yellow with black mark F 0.5 mg and with black company logo. Capsule body is white. Capsule content is white or almost white powder. </w:t>
      </w:r>
    </w:p>
    <w:p w14:paraId="5D8B9133" w14:textId="6F48A7C7" w:rsidR="00862A88" w:rsidRPr="009907F8" w:rsidRDefault="00862A88" w:rsidP="003E2967">
      <w:pPr>
        <w:ind w:left="851"/>
        <w:rPr>
          <w:sz w:val="24"/>
          <w:szCs w:val="24"/>
          <w:lang w:val="en-GB" w:eastAsia="en-US"/>
        </w:rPr>
      </w:pPr>
      <w:r w:rsidRPr="009907F8">
        <w:rPr>
          <w:sz w:val="24"/>
          <w:szCs w:val="24"/>
          <w:lang w:val="en-GB" w:eastAsia="en-US"/>
        </w:rPr>
        <w:t>Capsule length: 15 – 17 mm.</w:t>
      </w:r>
    </w:p>
    <w:p w14:paraId="771A6667" w14:textId="77777777" w:rsidR="007C5D2A" w:rsidRPr="009907F8" w:rsidRDefault="007C5D2A" w:rsidP="004A3BF4">
      <w:pPr>
        <w:tabs>
          <w:tab w:val="left" w:pos="851"/>
        </w:tabs>
        <w:ind w:left="851"/>
        <w:rPr>
          <w:sz w:val="24"/>
          <w:szCs w:val="24"/>
          <w:lang w:val="en-GB"/>
        </w:rPr>
      </w:pPr>
    </w:p>
    <w:p w14:paraId="4AD779F3" w14:textId="77777777" w:rsidR="007C5D2A" w:rsidRPr="009907F8" w:rsidRDefault="007C5D2A" w:rsidP="004A3BF4">
      <w:pPr>
        <w:tabs>
          <w:tab w:val="left" w:pos="851"/>
        </w:tabs>
        <w:ind w:left="851"/>
        <w:rPr>
          <w:sz w:val="24"/>
          <w:szCs w:val="24"/>
          <w:lang w:val="en-GB"/>
        </w:rPr>
      </w:pPr>
    </w:p>
    <w:p w14:paraId="476E34EC" w14:textId="77777777" w:rsidR="007C5D2A" w:rsidRPr="009907F8" w:rsidRDefault="007C5D2A" w:rsidP="007C5D2A">
      <w:pPr>
        <w:ind w:left="851" w:hanging="851"/>
        <w:rPr>
          <w:b/>
          <w:sz w:val="24"/>
          <w:szCs w:val="24"/>
          <w:lang w:val="en-GB"/>
        </w:rPr>
      </w:pPr>
      <w:r w:rsidRPr="009907F8">
        <w:rPr>
          <w:b/>
          <w:sz w:val="24"/>
          <w:szCs w:val="24"/>
          <w:lang w:val="en-GB"/>
        </w:rPr>
        <w:t>4.</w:t>
      </w:r>
      <w:r w:rsidRPr="009907F8">
        <w:rPr>
          <w:b/>
          <w:sz w:val="24"/>
          <w:szCs w:val="24"/>
          <w:lang w:val="en-GB"/>
        </w:rPr>
        <w:tab/>
        <w:t>CLINICAL PARTICULARS</w:t>
      </w:r>
    </w:p>
    <w:p w14:paraId="69F10CCF" w14:textId="77777777" w:rsidR="007C5D2A" w:rsidRPr="009907F8" w:rsidRDefault="007C5D2A" w:rsidP="004A3BF4">
      <w:pPr>
        <w:tabs>
          <w:tab w:val="left" w:pos="851"/>
        </w:tabs>
        <w:ind w:left="851"/>
        <w:rPr>
          <w:sz w:val="24"/>
          <w:szCs w:val="24"/>
          <w:lang w:val="en-GB"/>
        </w:rPr>
      </w:pPr>
    </w:p>
    <w:p w14:paraId="5F85618D" w14:textId="77777777" w:rsidR="007C5D2A" w:rsidRPr="009907F8" w:rsidRDefault="007C5D2A" w:rsidP="007C5D2A">
      <w:pPr>
        <w:ind w:left="851" w:hanging="851"/>
        <w:rPr>
          <w:b/>
          <w:sz w:val="24"/>
          <w:szCs w:val="24"/>
          <w:u w:val="single"/>
          <w:lang w:val="en-GB"/>
        </w:rPr>
      </w:pPr>
      <w:r w:rsidRPr="009907F8">
        <w:rPr>
          <w:b/>
          <w:sz w:val="24"/>
          <w:szCs w:val="24"/>
          <w:lang w:val="en-GB"/>
        </w:rPr>
        <w:t>4.1</w:t>
      </w:r>
      <w:r w:rsidRPr="009907F8">
        <w:rPr>
          <w:b/>
          <w:sz w:val="24"/>
          <w:szCs w:val="24"/>
          <w:lang w:val="en-GB"/>
        </w:rPr>
        <w:tab/>
        <w:t>Therapeutic indications</w:t>
      </w:r>
    </w:p>
    <w:p w14:paraId="69256E39" w14:textId="666FE3CC" w:rsidR="00862A88" w:rsidRPr="009907F8" w:rsidRDefault="009907F8" w:rsidP="003E2967">
      <w:pPr>
        <w:ind w:left="851"/>
        <w:rPr>
          <w:sz w:val="24"/>
          <w:szCs w:val="24"/>
          <w:lang w:val="en-GB" w:eastAsia="en-US"/>
        </w:rPr>
      </w:pPr>
      <w:r>
        <w:rPr>
          <w:sz w:val="24"/>
          <w:szCs w:val="24"/>
          <w:lang w:val="en-GB" w:eastAsia="en-US"/>
        </w:rPr>
        <w:t>Fingolimod "HCS"</w:t>
      </w:r>
      <w:r w:rsidR="00862A88" w:rsidRPr="009907F8">
        <w:rPr>
          <w:sz w:val="24"/>
          <w:szCs w:val="24"/>
          <w:lang w:val="en-GB" w:eastAsia="en-US"/>
        </w:rPr>
        <w:t xml:space="preserve"> is indicated as single disease modifying therapy in highly active relapsing remitting multiple sclerosis for the following groups of adult patients and paediatric patients aged 10 years and older:</w:t>
      </w:r>
    </w:p>
    <w:p w14:paraId="5C028089" w14:textId="77777777" w:rsidR="00862A88" w:rsidRPr="009907F8" w:rsidRDefault="00862A88" w:rsidP="003E2967">
      <w:pPr>
        <w:ind w:left="851"/>
        <w:rPr>
          <w:sz w:val="24"/>
          <w:szCs w:val="24"/>
          <w:lang w:val="en-GB" w:eastAsia="en-US"/>
        </w:rPr>
      </w:pPr>
    </w:p>
    <w:p w14:paraId="6709DCF6" w14:textId="77777777" w:rsidR="00862A88" w:rsidRPr="009907F8" w:rsidRDefault="00862A88" w:rsidP="009907F8">
      <w:pPr>
        <w:pStyle w:val="Listeafsnit"/>
        <w:numPr>
          <w:ilvl w:val="0"/>
          <w:numId w:val="15"/>
        </w:numPr>
        <w:ind w:left="1276" w:hanging="425"/>
        <w:rPr>
          <w:sz w:val="24"/>
          <w:szCs w:val="24"/>
          <w:lang w:val="en-GB" w:eastAsia="en-US"/>
        </w:rPr>
      </w:pPr>
      <w:r w:rsidRPr="009907F8">
        <w:rPr>
          <w:sz w:val="24"/>
          <w:szCs w:val="24"/>
          <w:lang w:val="en-GB" w:eastAsia="en-US"/>
        </w:rPr>
        <w:t>Patients with highly active disease despite a full and adequate course of treatment with at least one disease modifying therapy (for exceptions and information about washout periods see sections 4.4 and 5.1).</w:t>
      </w:r>
    </w:p>
    <w:p w14:paraId="006EB75E" w14:textId="77777777" w:rsidR="00862A88" w:rsidRPr="009907F8" w:rsidRDefault="00862A88" w:rsidP="009907F8">
      <w:pPr>
        <w:ind w:left="851"/>
        <w:rPr>
          <w:sz w:val="24"/>
          <w:szCs w:val="24"/>
          <w:lang w:val="en-GB" w:eastAsia="en-US"/>
        </w:rPr>
      </w:pPr>
      <w:r w:rsidRPr="009907F8">
        <w:rPr>
          <w:sz w:val="24"/>
          <w:szCs w:val="24"/>
          <w:lang w:val="en-GB" w:eastAsia="en-US"/>
        </w:rPr>
        <w:t>or</w:t>
      </w:r>
    </w:p>
    <w:p w14:paraId="327D3723" w14:textId="77777777" w:rsidR="00862A88" w:rsidRPr="009907F8" w:rsidRDefault="00862A88" w:rsidP="009907F8">
      <w:pPr>
        <w:pStyle w:val="Listeafsnit"/>
        <w:numPr>
          <w:ilvl w:val="0"/>
          <w:numId w:val="15"/>
        </w:numPr>
        <w:ind w:left="1276" w:hanging="425"/>
        <w:rPr>
          <w:sz w:val="24"/>
          <w:szCs w:val="24"/>
          <w:lang w:val="en-GB" w:eastAsia="en-US"/>
        </w:rPr>
      </w:pPr>
      <w:r w:rsidRPr="009907F8">
        <w:rPr>
          <w:sz w:val="24"/>
          <w:szCs w:val="24"/>
          <w:lang w:val="en-GB" w:eastAsia="en-US"/>
        </w:rPr>
        <w:t>Patients with rapidly evolving severe relapsing remitting multiple sclerosis defined by 2 or more disabling relapses in one year, and with 1 or more Gadolinium enhancing lesions on brain MRI or a significant increase in T2 lesion load as compared to a previous recent MRI.</w:t>
      </w:r>
    </w:p>
    <w:p w14:paraId="59DCE586" w14:textId="77777777" w:rsidR="007C5D2A" w:rsidRPr="009907F8" w:rsidRDefault="007C5D2A" w:rsidP="003E2967">
      <w:pPr>
        <w:ind w:left="851"/>
        <w:rPr>
          <w:sz w:val="24"/>
          <w:szCs w:val="24"/>
          <w:lang w:val="en-GB"/>
        </w:rPr>
      </w:pPr>
    </w:p>
    <w:p w14:paraId="0A5E3B05" w14:textId="77777777" w:rsidR="007C5D2A" w:rsidRPr="009907F8" w:rsidRDefault="009925C9" w:rsidP="007C5D2A">
      <w:pPr>
        <w:tabs>
          <w:tab w:val="left" w:pos="851"/>
        </w:tabs>
        <w:ind w:left="851" w:hanging="851"/>
        <w:rPr>
          <w:sz w:val="24"/>
          <w:szCs w:val="24"/>
          <w:lang w:val="en-GB"/>
        </w:rPr>
      </w:pPr>
      <w:r w:rsidRPr="009907F8">
        <w:rPr>
          <w:b/>
          <w:sz w:val="24"/>
          <w:szCs w:val="24"/>
          <w:lang w:val="en-GB"/>
        </w:rPr>
        <w:lastRenderedPageBreak/>
        <w:t>4.2</w:t>
      </w:r>
      <w:r w:rsidR="007C5D2A" w:rsidRPr="009907F8">
        <w:rPr>
          <w:b/>
          <w:sz w:val="24"/>
          <w:szCs w:val="24"/>
          <w:lang w:val="en-GB"/>
        </w:rPr>
        <w:tab/>
        <w:t>Posology and method of administration</w:t>
      </w:r>
    </w:p>
    <w:p w14:paraId="07B62658" w14:textId="77777777" w:rsidR="00862A88" w:rsidRPr="009907F8" w:rsidRDefault="00862A88" w:rsidP="003E2967">
      <w:pPr>
        <w:ind w:left="851"/>
        <w:rPr>
          <w:sz w:val="24"/>
          <w:szCs w:val="24"/>
          <w:lang w:val="en-GB" w:eastAsia="en-US"/>
        </w:rPr>
      </w:pPr>
      <w:r w:rsidRPr="009907F8">
        <w:rPr>
          <w:sz w:val="24"/>
          <w:szCs w:val="24"/>
          <w:lang w:val="en-GB" w:eastAsia="en-US"/>
        </w:rPr>
        <w:t>The treatment should be initiated and supervised by a physician experienced in multiple sclerosis.</w:t>
      </w:r>
    </w:p>
    <w:p w14:paraId="71E9B497" w14:textId="77777777" w:rsidR="00862A88" w:rsidRPr="009907F8" w:rsidRDefault="00862A88" w:rsidP="003E2967">
      <w:pPr>
        <w:ind w:left="851"/>
        <w:rPr>
          <w:sz w:val="24"/>
          <w:szCs w:val="24"/>
          <w:u w:val="single"/>
          <w:lang w:val="en-GB" w:eastAsia="en-US"/>
        </w:rPr>
      </w:pPr>
    </w:p>
    <w:p w14:paraId="2DC1EEA8"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Posology</w:t>
      </w:r>
    </w:p>
    <w:p w14:paraId="03ED68CB" w14:textId="77777777" w:rsidR="00862A88" w:rsidRPr="009907F8" w:rsidRDefault="00862A88" w:rsidP="003E2967">
      <w:pPr>
        <w:ind w:left="851"/>
        <w:rPr>
          <w:i/>
          <w:iCs/>
          <w:sz w:val="24"/>
          <w:szCs w:val="24"/>
          <w:lang w:val="en-GB" w:eastAsia="en-US"/>
        </w:rPr>
      </w:pPr>
    </w:p>
    <w:p w14:paraId="45D9EB58" w14:textId="77777777" w:rsidR="00862A88" w:rsidRPr="009907F8" w:rsidRDefault="00862A88" w:rsidP="003E2967">
      <w:pPr>
        <w:ind w:left="851"/>
        <w:rPr>
          <w:iCs/>
          <w:sz w:val="24"/>
          <w:szCs w:val="24"/>
          <w:lang w:val="en-GB" w:eastAsia="en-US"/>
        </w:rPr>
      </w:pPr>
      <w:r w:rsidRPr="009907F8">
        <w:rPr>
          <w:iCs/>
          <w:sz w:val="24"/>
          <w:szCs w:val="24"/>
          <w:lang w:val="en-GB" w:eastAsia="en-US"/>
        </w:rPr>
        <w:t>In adults, the recommended dose of fingolimod is one 0.5 mg capsule taken orally once daily.</w:t>
      </w:r>
    </w:p>
    <w:p w14:paraId="54266044" w14:textId="77777777" w:rsidR="00862A88" w:rsidRPr="009907F8" w:rsidRDefault="00862A88" w:rsidP="003E2967">
      <w:pPr>
        <w:ind w:left="851"/>
        <w:rPr>
          <w:iCs/>
          <w:sz w:val="24"/>
          <w:szCs w:val="24"/>
          <w:lang w:val="en-GB" w:eastAsia="en-US"/>
        </w:rPr>
      </w:pPr>
    </w:p>
    <w:p w14:paraId="5F47ED9D" w14:textId="77777777" w:rsidR="00862A88" w:rsidRPr="009907F8" w:rsidRDefault="00862A88" w:rsidP="003E2967">
      <w:pPr>
        <w:ind w:left="851"/>
        <w:rPr>
          <w:iCs/>
          <w:sz w:val="24"/>
          <w:szCs w:val="24"/>
          <w:lang w:val="en-GB" w:eastAsia="en-US"/>
        </w:rPr>
      </w:pPr>
      <w:r w:rsidRPr="009907F8">
        <w:rPr>
          <w:iCs/>
          <w:sz w:val="24"/>
          <w:szCs w:val="24"/>
          <w:lang w:val="en-GB" w:eastAsia="en-US"/>
        </w:rPr>
        <w:t>In paediatric patients (10 years of age and above), the recommended dose is dependent on body weight:</w:t>
      </w:r>
    </w:p>
    <w:p w14:paraId="657382DD" w14:textId="77777777" w:rsidR="00862A88" w:rsidRPr="009907F8" w:rsidRDefault="00862A88" w:rsidP="009907F8">
      <w:pPr>
        <w:pStyle w:val="Listeafsnit"/>
        <w:numPr>
          <w:ilvl w:val="0"/>
          <w:numId w:val="15"/>
        </w:numPr>
        <w:ind w:left="1276" w:hanging="425"/>
        <w:rPr>
          <w:iCs/>
          <w:sz w:val="24"/>
          <w:szCs w:val="24"/>
          <w:lang w:val="en-GB" w:eastAsia="en-US"/>
        </w:rPr>
      </w:pPr>
      <w:r w:rsidRPr="009907F8">
        <w:rPr>
          <w:iCs/>
          <w:sz w:val="24"/>
          <w:szCs w:val="24"/>
          <w:lang w:val="en-GB" w:eastAsia="en-US"/>
        </w:rPr>
        <w:t>Paediatric patients with body weight ≤40 kg: one 0.25 mg capsule taken orally once daily.</w:t>
      </w:r>
    </w:p>
    <w:p w14:paraId="1B704888" w14:textId="77777777" w:rsidR="00862A88" w:rsidRPr="009907F8" w:rsidRDefault="00862A88" w:rsidP="009907F8">
      <w:pPr>
        <w:pStyle w:val="Listeafsnit"/>
        <w:numPr>
          <w:ilvl w:val="0"/>
          <w:numId w:val="15"/>
        </w:numPr>
        <w:ind w:left="1276" w:hanging="425"/>
        <w:rPr>
          <w:iCs/>
          <w:sz w:val="24"/>
          <w:szCs w:val="24"/>
          <w:lang w:val="en-GB" w:eastAsia="en-US"/>
        </w:rPr>
      </w:pPr>
      <w:r w:rsidRPr="009907F8">
        <w:rPr>
          <w:iCs/>
          <w:sz w:val="24"/>
          <w:szCs w:val="24"/>
          <w:lang w:val="en-GB" w:eastAsia="en-US"/>
        </w:rPr>
        <w:t>Paediatric patients with body weight &gt;40 kg: one 0.5 mg capsule taken orally once daily.</w:t>
      </w:r>
    </w:p>
    <w:p w14:paraId="3D9B40A1" w14:textId="77777777" w:rsidR="00862A88" w:rsidRPr="009907F8" w:rsidRDefault="00862A88" w:rsidP="003E2967">
      <w:pPr>
        <w:ind w:left="851"/>
        <w:rPr>
          <w:iCs/>
          <w:sz w:val="24"/>
          <w:szCs w:val="24"/>
          <w:lang w:val="en-GB" w:eastAsia="en-US"/>
        </w:rPr>
      </w:pPr>
    </w:p>
    <w:p w14:paraId="080B3550" w14:textId="77777777" w:rsidR="00862A88" w:rsidRPr="009907F8" w:rsidRDefault="00862A88" w:rsidP="003E2967">
      <w:pPr>
        <w:ind w:left="851"/>
        <w:rPr>
          <w:iCs/>
          <w:sz w:val="24"/>
          <w:szCs w:val="24"/>
          <w:lang w:val="en-GB" w:eastAsia="en-US"/>
        </w:rPr>
      </w:pPr>
      <w:r w:rsidRPr="009907F8">
        <w:rPr>
          <w:iCs/>
          <w:sz w:val="24"/>
          <w:szCs w:val="24"/>
          <w:lang w:val="en-GB" w:eastAsia="en-US"/>
        </w:rPr>
        <w:t>Paediatric patients who start on 0.25 mg capsules and subsequently reach a stable body weight above 40 kg should be switched to 0.5 mg capsules.</w:t>
      </w:r>
    </w:p>
    <w:p w14:paraId="3108E2DB" w14:textId="77777777" w:rsidR="00862A88" w:rsidRPr="009907F8" w:rsidRDefault="00862A88" w:rsidP="003E2967">
      <w:pPr>
        <w:ind w:left="851"/>
        <w:rPr>
          <w:iCs/>
          <w:sz w:val="24"/>
          <w:szCs w:val="24"/>
          <w:lang w:val="en-GB" w:eastAsia="en-US"/>
        </w:rPr>
      </w:pPr>
    </w:p>
    <w:p w14:paraId="3CF3A627" w14:textId="77777777" w:rsidR="00862A88" w:rsidRPr="009907F8" w:rsidRDefault="00862A88" w:rsidP="003E2967">
      <w:pPr>
        <w:ind w:left="851"/>
        <w:rPr>
          <w:iCs/>
          <w:sz w:val="24"/>
          <w:szCs w:val="24"/>
          <w:lang w:val="en-GB" w:eastAsia="en-US"/>
        </w:rPr>
      </w:pPr>
      <w:r w:rsidRPr="009907F8">
        <w:rPr>
          <w:iCs/>
          <w:sz w:val="24"/>
          <w:szCs w:val="24"/>
          <w:lang w:val="en-GB" w:eastAsia="en-US"/>
        </w:rPr>
        <w:t>When switching from a 0.25 mg to a 0.5 mg daily dose, it is recommended to repeat the same first dose monitoring as for treatment initiation.</w:t>
      </w:r>
    </w:p>
    <w:p w14:paraId="6A3A01A7" w14:textId="77777777" w:rsidR="00862A88" w:rsidRPr="009907F8" w:rsidRDefault="00862A88" w:rsidP="003E2967">
      <w:pPr>
        <w:ind w:left="851"/>
        <w:rPr>
          <w:iCs/>
          <w:sz w:val="24"/>
          <w:szCs w:val="24"/>
          <w:lang w:val="en-GB" w:eastAsia="en-US"/>
        </w:rPr>
      </w:pPr>
    </w:p>
    <w:p w14:paraId="4E5E5B8D" w14:textId="51BC50C7" w:rsidR="00862A88" w:rsidRPr="009907F8" w:rsidRDefault="009907F8" w:rsidP="003E2967">
      <w:pPr>
        <w:ind w:left="851"/>
        <w:rPr>
          <w:iCs/>
          <w:sz w:val="24"/>
          <w:szCs w:val="24"/>
          <w:lang w:val="en-GB" w:eastAsia="en-US"/>
        </w:rPr>
      </w:pPr>
      <w:r>
        <w:rPr>
          <w:iCs/>
          <w:sz w:val="24"/>
          <w:szCs w:val="24"/>
          <w:lang w:val="en-GB" w:eastAsia="en-US"/>
        </w:rPr>
        <w:t>Fingolimod "HCS"</w:t>
      </w:r>
      <w:r w:rsidR="00862A88" w:rsidRPr="009907F8">
        <w:rPr>
          <w:iCs/>
          <w:sz w:val="24"/>
          <w:szCs w:val="24"/>
          <w:lang w:val="en-GB" w:eastAsia="en-US"/>
        </w:rPr>
        <w:t xml:space="preserve"> is not available in 0.25 mg strength. For this dosage other medicinal products that contain fingolimod available on the market should be used. </w:t>
      </w:r>
    </w:p>
    <w:p w14:paraId="14EB220B" w14:textId="77777777" w:rsidR="00862A88" w:rsidRPr="009907F8" w:rsidRDefault="00862A88" w:rsidP="003E2967">
      <w:pPr>
        <w:ind w:left="851"/>
        <w:rPr>
          <w:iCs/>
          <w:sz w:val="24"/>
          <w:szCs w:val="24"/>
          <w:lang w:val="en-GB" w:eastAsia="en-US"/>
        </w:rPr>
      </w:pPr>
    </w:p>
    <w:p w14:paraId="1B85B01A" w14:textId="77777777" w:rsidR="00862A88" w:rsidRPr="009907F8" w:rsidRDefault="00862A88" w:rsidP="003E2967">
      <w:pPr>
        <w:ind w:left="851"/>
        <w:rPr>
          <w:iCs/>
          <w:sz w:val="24"/>
          <w:szCs w:val="24"/>
          <w:lang w:val="en-GB" w:eastAsia="en-US"/>
        </w:rPr>
      </w:pPr>
      <w:r w:rsidRPr="009907F8">
        <w:rPr>
          <w:iCs/>
          <w:sz w:val="24"/>
          <w:szCs w:val="24"/>
          <w:lang w:val="en-GB" w:eastAsia="en-US"/>
        </w:rPr>
        <w:t>The same first dose monitoring as for treatment initiation is recommended when treatment is interrupted for:</w:t>
      </w:r>
    </w:p>
    <w:p w14:paraId="72C1A072" w14:textId="77777777" w:rsidR="00862A88" w:rsidRPr="009907F8" w:rsidRDefault="00862A88" w:rsidP="009907F8">
      <w:pPr>
        <w:pStyle w:val="Listeafsnit"/>
        <w:numPr>
          <w:ilvl w:val="0"/>
          <w:numId w:val="16"/>
        </w:numPr>
        <w:ind w:left="1276" w:hanging="425"/>
        <w:rPr>
          <w:iCs/>
          <w:sz w:val="24"/>
          <w:szCs w:val="24"/>
          <w:lang w:val="en-GB" w:eastAsia="en-US"/>
        </w:rPr>
      </w:pPr>
      <w:r w:rsidRPr="009907F8">
        <w:rPr>
          <w:iCs/>
          <w:sz w:val="24"/>
          <w:szCs w:val="24"/>
          <w:lang w:val="en-GB" w:eastAsia="en-US"/>
        </w:rPr>
        <w:t>1 day or more during the first 2 weeks of treatment.</w:t>
      </w:r>
    </w:p>
    <w:p w14:paraId="09352ECD" w14:textId="77777777" w:rsidR="00862A88" w:rsidRPr="009907F8" w:rsidRDefault="00862A88" w:rsidP="009907F8">
      <w:pPr>
        <w:pStyle w:val="Listeafsnit"/>
        <w:numPr>
          <w:ilvl w:val="0"/>
          <w:numId w:val="16"/>
        </w:numPr>
        <w:ind w:left="1276" w:hanging="425"/>
        <w:rPr>
          <w:iCs/>
          <w:sz w:val="24"/>
          <w:szCs w:val="24"/>
          <w:lang w:val="en-GB" w:eastAsia="en-US"/>
        </w:rPr>
      </w:pPr>
      <w:r w:rsidRPr="009907F8">
        <w:rPr>
          <w:iCs/>
          <w:sz w:val="24"/>
          <w:szCs w:val="24"/>
          <w:lang w:val="en-GB" w:eastAsia="en-US"/>
        </w:rPr>
        <w:t>more than 7 days during weeks 3 and 4 of treatment.</w:t>
      </w:r>
    </w:p>
    <w:p w14:paraId="58512BD6" w14:textId="77777777" w:rsidR="00862A88" w:rsidRPr="009907F8" w:rsidRDefault="00862A88" w:rsidP="009907F8">
      <w:pPr>
        <w:pStyle w:val="Listeafsnit"/>
        <w:numPr>
          <w:ilvl w:val="0"/>
          <w:numId w:val="16"/>
        </w:numPr>
        <w:ind w:left="1276" w:hanging="425"/>
        <w:rPr>
          <w:iCs/>
          <w:sz w:val="24"/>
          <w:szCs w:val="24"/>
          <w:lang w:val="en-GB" w:eastAsia="en-US"/>
        </w:rPr>
      </w:pPr>
      <w:r w:rsidRPr="009907F8">
        <w:rPr>
          <w:iCs/>
          <w:sz w:val="24"/>
          <w:szCs w:val="24"/>
          <w:lang w:val="en-GB" w:eastAsia="en-US"/>
        </w:rPr>
        <w:t>more than 2 weeks after one month of treatment.</w:t>
      </w:r>
    </w:p>
    <w:p w14:paraId="3D0BA7E1" w14:textId="77777777" w:rsidR="00862A88" w:rsidRPr="009907F8" w:rsidRDefault="00862A88" w:rsidP="003E2967">
      <w:pPr>
        <w:ind w:left="851"/>
        <w:rPr>
          <w:iCs/>
          <w:sz w:val="24"/>
          <w:szCs w:val="24"/>
          <w:lang w:val="en-GB" w:eastAsia="en-US"/>
        </w:rPr>
      </w:pPr>
      <w:r w:rsidRPr="009907F8">
        <w:rPr>
          <w:iCs/>
          <w:sz w:val="24"/>
          <w:szCs w:val="24"/>
          <w:lang w:val="en-GB" w:eastAsia="en-US"/>
        </w:rPr>
        <w:t>If the treatment interruption is of shorter duration than the above, the treatment should be continued with the next dose as planned (see section 4.4).</w:t>
      </w:r>
    </w:p>
    <w:p w14:paraId="0334353D" w14:textId="77777777" w:rsidR="00862A88" w:rsidRPr="009907F8" w:rsidRDefault="00862A88" w:rsidP="003E2967">
      <w:pPr>
        <w:ind w:left="851"/>
        <w:rPr>
          <w:iCs/>
          <w:sz w:val="24"/>
          <w:szCs w:val="24"/>
          <w:lang w:val="en-GB" w:eastAsia="en-US"/>
        </w:rPr>
      </w:pPr>
    </w:p>
    <w:p w14:paraId="04EB181E" w14:textId="77777777" w:rsidR="00862A88" w:rsidRPr="009907F8" w:rsidRDefault="00862A88" w:rsidP="003E2967">
      <w:pPr>
        <w:ind w:left="851"/>
        <w:rPr>
          <w:iCs/>
          <w:sz w:val="24"/>
          <w:szCs w:val="24"/>
          <w:u w:val="single"/>
          <w:lang w:val="en-GB" w:eastAsia="en-US"/>
        </w:rPr>
      </w:pPr>
      <w:r w:rsidRPr="009907F8">
        <w:rPr>
          <w:iCs/>
          <w:sz w:val="24"/>
          <w:szCs w:val="24"/>
          <w:u w:val="single"/>
          <w:lang w:val="en-GB" w:eastAsia="en-US"/>
        </w:rPr>
        <w:t>Special populations</w:t>
      </w:r>
    </w:p>
    <w:p w14:paraId="4A08D7CB" w14:textId="77777777" w:rsidR="00862A88" w:rsidRPr="009907F8" w:rsidRDefault="00862A88" w:rsidP="003E2967">
      <w:pPr>
        <w:ind w:left="851"/>
        <w:rPr>
          <w:iCs/>
          <w:sz w:val="24"/>
          <w:szCs w:val="24"/>
          <w:lang w:val="en-GB" w:eastAsia="en-US"/>
        </w:rPr>
      </w:pPr>
    </w:p>
    <w:p w14:paraId="504B6D9D" w14:textId="77777777" w:rsidR="00862A88" w:rsidRPr="009907F8" w:rsidRDefault="00862A88" w:rsidP="003E2967">
      <w:pPr>
        <w:ind w:left="851"/>
        <w:rPr>
          <w:i/>
          <w:iCs/>
          <w:sz w:val="24"/>
          <w:szCs w:val="24"/>
          <w:lang w:val="en-GB" w:eastAsia="en-US"/>
        </w:rPr>
      </w:pPr>
      <w:r w:rsidRPr="009907F8">
        <w:rPr>
          <w:i/>
          <w:iCs/>
          <w:sz w:val="24"/>
          <w:szCs w:val="24"/>
          <w:lang w:val="en-GB" w:eastAsia="en-US"/>
        </w:rPr>
        <w:t>Elderly population</w:t>
      </w:r>
    </w:p>
    <w:p w14:paraId="78B8F9A5" w14:textId="77777777" w:rsidR="00862A88" w:rsidRPr="009907F8" w:rsidRDefault="00862A88" w:rsidP="003E2967">
      <w:pPr>
        <w:ind w:left="851"/>
        <w:rPr>
          <w:iCs/>
          <w:sz w:val="24"/>
          <w:szCs w:val="24"/>
          <w:lang w:val="en-GB" w:eastAsia="en-US"/>
        </w:rPr>
      </w:pPr>
      <w:r w:rsidRPr="009907F8">
        <w:rPr>
          <w:iCs/>
          <w:sz w:val="24"/>
          <w:szCs w:val="24"/>
          <w:lang w:val="en-GB" w:eastAsia="en-US"/>
        </w:rPr>
        <w:t>Fingolimod should be used with caution in patients aged 65 years and over due to insufficient data on safety and efficacy (see section 5.2).</w:t>
      </w:r>
    </w:p>
    <w:p w14:paraId="6B4E386F" w14:textId="77777777" w:rsidR="00862A88" w:rsidRPr="009907F8" w:rsidRDefault="00862A88" w:rsidP="003E2967">
      <w:pPr>
        <w:ind w:left="851"/>
        <w:rPr>
          <w:iCs/>
          <w:sz w:val="24"/>
          <w:szCs w:val="24"/>
          <w:lang w:val="en-GB" w:eastAsia="en-US"/>
        </w:rPr>
      </w:pPr>
    </w:p>
    <w:p w14:paraId="32D7E027" w14:textId="77777777" w:rsidR="00862A88" w:rsidRPr="009907F8" w:rsidRDefault="00862A88" w:rsidP="003E2967">
      <w:pPr>
        <w:ind w:left="851"/>
        <w:rPr>
          <w:i/>
          <w:iCs/>
          <w:sz w:val="24"/>
          <w:szCs w:val="24"/>
          <w:lang w:val="en-GB" w:eastAsia="en-US"/>
        </w:rPr>
      </w:pPr>
      <w:r w:rsidRPr="009907F8">
        <w:rPr>
          <w:i/>
          <w:iCs/>
          <w:sz w:val="24"/>
          <w:szCs w:val="24"/>
          <w:lang w:val="en-GB" w:eastAsia="en-US"/>
        </w:rPr>
        <w:t>Renal impairment</w:t>
      </w:r>
    </w:p>
    <w:p w14:paraId="1EBF0C51" w14:textId="77777777" w:rsidR="00862A88" w:rsidRPr="009907F8" w:rsidRDefault="00862A88" w:rsidP="003E2967">
      <w:pPr>
        <w:ind w:left="851"/>
        <w:rPr>
          <w:iCs/>
          <w:sz w:val="24"/>
          <w:szCs w:val="24"/>
          <w:lang w:val="en-GB" w:eastAsia="en-US"/>
        </w:rPr>
      </w:pPr>
      <w:r w:rsidRPr="009907F8">
        <w:rPr>
          <w:iCs/>
          <w:sz w:val="24"/>
          <w:szCs w:val="24"/>
          <w:lang w:val="en-GB" w:eastAsia="en-US"/>
        </w:rPr>
        <w:t>Fingolimod was not studied in patients with renal impairment in the multiple sclerosis pivotal studies. Based on clinical pharmacology studies, no dose adjustments are needed in patients with mild to severe renal impairment.</w:t>
      </w:r>
    </w:p>
    <w:p w14:paraId="2248323B" w14:textId="77777777" w:rsidR="00862A88" w:rsidRPr="009907F8" w:rsidRDefault="00862A88" w:rsidP="003E2967">
      <w:pPr>
        <w:ind w:left="851"/>
        <w:rPr>
          <w:iCs/>
          <w:sz w:val="24"/>
          <w:szCs w:val="24"/>
          <w:lang w:val="en-GB" w:eastAsia="en-US"/>
        </w:rPr>
      </w:pPr>
    </w:p>
    <w:p w14:paraId="46BBBAC1" w14:textId="77777777" w:rsidR="00862A88" w:rsidRPr="009907F8" w:rsidRDefault="00862A88" w:rsidP="003E2967">
      <w:pPr>
        <w:ind w:left="851"/>
        <w:rPr>
          <w:i/>
          <w:iCs/>
          <w:sz w:val="24"/>
          <w:szCs w:val="24"/>
          <w:lang w:val="en-GB" w:eastAsia="en-US"/>
        </w:rPr>
      </w:pPr>
      <w:r w:rsidRPr="009907F8">
        <w:rPr>
          <w:i/>
          <w:iCs/>
          <w:sz w:val="24"/>
          <w:szCs w:val="24"/>
          <w:lang w:val="en-GB" w:eastAsia="en-US"/>
        </w:rPr>
        <w:t>Hepatic impairment</w:t>
      </w:r>
    </w:p>
    <w:p w14:paraId="2AF8563B" w14:textId="77777777" w:rsidR="00862A88" w:rsidRPr="009907F8" w:rsidRDefault="00862A88" w:rsidP="003E2967">
      <w:pPr>
        <w:ind w:left="851"/>
        <w:rPr>
          <w:iCs/>
          <w:sz w:val="24"/>
          <w:szCs w:val="24"/>
          <w:lang w:val="en-GB" w:eastAsia="en-US"/>
        </w:rPr>
      </w:pPr>
      <w:r w:rsidRPr="009907F8">
        <w:rPr>
          <w:iCs/>
          <w:sz w:val="24"/>
          <w:szCs w:val="24"/>
          <w:lang w:val="en-GB" w:eastAsia="en-US"/>
        </w:rPr>
        <w:t>Fingolimod must not be used in patients with severe hepatic impairment (Child-Pugh class C) (see section 4.3). Although no dose adjustments are needed in patients with mild or moderate hepatic impairment, caution should be exercised when initiating treatment in these patients (see sections 4.4 and 5.2).</w:t>
      </w:r>
    </w:p>
    <w:p w14:paraId="1410E04A" w14:textId="6D536F5F" w:rsidR="005B772B" w:rsidRDefault="005B772B">
      <w:pPr>
        <w:rPr>
          <w:iCs/>
          <w:sz w:val="24"/>
          <w:szCs w:val="24"/>
          <w:lang w:val="en-GB" w:eastAsia="en-US"/>
        </w:rPr>
      </w:pPr>
      <w:r>
        <w:rPr>
          <w:iCs/>
          <w:sz w:val="24"/>
          <w:szCs w:val="24"/>
          <w:lang w:val="en-GB" w:eastAsia="en-US"/>
        </w:rPr>
        <w:br w:type="page"/>
      </w:r>
    </w:p>
    <w:p w14:paraId="34E46E12" w14:textId="77777777" w:rsidR="00862A88" w:rsidRPr="009907F8" w:rsidRDefault="00862A88" w:rsidP="003E2967">
      <w:pPr>
        <w:ind w:left="851"/>
        <w:rPr>
          <w:iCs/>
          <w:sz w:val="24"/>
          <w:szCs w:val="24"/>
          <w:lang w:val="en-GB" w:eastAsia="en-US"/>
        </w:rPr>
      </w:pPr>
    </w:p>
    <w:p w14:paraId="66793BF7" w14:textId="77777777" w:rsidR="00862A88" w:rsidRPr="009907F8" w:rsidRDefault="00862A88" w:rsidP="003E2967">
      <w:pPr>
        <w:ind w:left="851"/>
        <w:rPr>
          <w:i/>
          <w:iCs/>
          <w:sz w:val="24"/>
          <w:szCs w:val="24"/>
          <w:lang w:val="en-GB" w:eastAsia="en-US"/>
        </w:rPr>
      </w:pPr>
      <w:r w:rsidRPr="009907F8">
        <w:rPr>
          <w:i/>
          <w:iCs/>
          <w:sz w:val="24"/>
          <w:szCs w:val="24"/>
          <w:lang w:val="en-GB" w:eastAsia="en-US"/>
        </w:rPr>
        <w:t>Paediatric population</w:t>
      </w:r>
    </w:p>
    <w:p w14:paraId="53FE5EB4" w14:textId="77777777" w:rsidR="00862A88" w:rsidRPr="009907F8" w:rsidRDefault="00862A88" w:rsidP="003E2967">
      <w:pPr>
        <w:ind w:left="851"/>
        <w:rPr>
          <w:iCs/>
          <w:sz w:val="24"/>
          <w:szCs w:val="24"/>
          <w:lang w:val="en-GB" w:eastAsia="en-US"/>
        </w:rPr>
      </w:pPr>
      <w:r w:rsidRPr="009907F8">
        <w:rPr>
          <w:iCs/>
          <w:sz w:val="24"/>
          <w:szCs w:val="24"/>
          <w:lang w:val="en-GB" w:eastAsia="en-US"/>
        </w:rPr>
        <w:t>The safety and efficacy of Fingolimod in children aged below 10 years have not yet been established. No data are available.</w:t>
      </w:r>
    </w:p>
    <w:p w14:paraId="6083EF6A" w14:textId="77777777" w:rsidR="00862A88" w:rsidRPr="009907F8" w:rsidRDefault="00862A88" w:rsidP="003E2967">
      <w:pPr>
        <w:ind w:left="851"/>
        <w:rPr>
          <w:iCs/>
          <w:sz w:val="24"/>
          <w:szCs w:val="24"/>
          <w:lang w:val="en-GB" w:eastAsia="en-US"/>
        </w:rPr>
      </w:pPr>
    </w:p>
    <w:p w14:paraId="40848F0C" w14:textId="77777777" w:rsidR="00862A88" w:rsidRPr="009907F8" w:rsidRDefault="00862A88" w:rsidP="003E2967">
      <w:pPr>
        <w:ind w:left="851"/>
        <w:rPr>
          <w:iCs/>
          <w:sz w:val="24"/>
          <w:szCs w:val="24"/>
          <w:lang w:val="en-GB" w:eastAsia="en-US"/>
        </w:rPr>
      </w:pPr>
      <w:r w:rsidRPr="009907F8">
        <w:rPr>
          <w:iCs/>
          <w:sz w:val="24"/>
          <w:szCs w:val="24"/>
          <w:lang w:val="en-GB" w:eastAsia="en-US"/>
        </w:rPr>
        <w:t>There are very limited data available in children between 10–12 years old (see sections 4.4, 4.8 and 5.1).</w:t>
      </w:r>
    </w:p>
    <w:p w14:paraId="38709B86" w14:textId="77777777" w:rsidR="00862A88" w:rsidRPr="009907F8" w:rsidRDefault="00862A88" w:rsidP="003E2967">
      <w:pPr>
        <w:ind w:left="851"/>
        <w:rPr>
          <w:iCs/>
          <w:sz w:val="24"/>
          <w:szCs w:val="24"/>
          <w:lang w:val="en-GB" w:eastAsia="en-US"/>
        </w:rPr>
      </w:pPr>
    </w:p>
    <w:p w14:paraId="530B2730" w14:textId="77777777" w:rsidR="00862A88" w:rsidRPr="009907F8" w:rsidRDefault="00862A88" w:rsidP="003E2967">
      <w:pPr>
        <w:ind w:left="851"/>
        <w:rPr>
          <w:iCs/>
          <w:sz w:val="24"/>
          <w:szCs w:val="24"/>
          <w:u w:val="single"/>
          <w:lang w:val="en-GB" w:eastAsia="en-US"/>
        </w:rPr>
      </w:pPr>
      <w:r w:rsidRPr="009907F8">
        <w:rPr>
          <w:iCs/>
          <w:sz w:val="24"/>
          <w:szCs w:val="24"/>
          <w:u w:val="single"/>
          <w:lang w:val="en-GB" w:eastAsia="en-US"/>
        </w:rPr>
        <w:t>Method of administration</w:t>
      </w:r>
    </w:p>
    <w:p w14:paraId="6DEB4F86" w14:textId="77777777" w:rsidR="00862A88" w:rsidRPr="009907F8" w:rsidRDefault="00862A88" w:rsidP="003E2967">
      <w:pPr>
        <w:ind w:left="851"/>
        <w:rPr>
          <w:iCs/>
          <w:sz w:val="24"/>
          <w:szCs w:val="24"/>
          <w:lang w:val="en-GB" w:eastAsia="en-US"/>
        </w:rPr>
      </w:pPr>
    </w:p>
    <w:p w14:paraId="7756C7E1" w14:textId="77777777" w:rsidR="00862A88" w:rsidRPr="009907F8" w:rsidRDefault="00862A88" w:rsidP="003E2967">
      <w:pPr>
        <w:ind w:left="851"/>
        <w:rPr>
          <w:iCs/>
          <w:sz w:val="24"/>
          <w:szCs w:val="24"/>
          <w:lang w:val="en-GB" w:eastAsia="en-US"/>
        </w:rPr>
      </w:pPr>
      <w:r w:rsidRPr="009907F8">
        <w:rPr>
          <w:iCs/>
          <w:sz w:val="24"/>
          <w:szCs w:val="24"/>
          <w:lang w:val="en-GB" w:eastAsia="en-US"/>
        </w:rPr>
        <w:t>This medicinal product is for oral use.</w:t>
      </w:r>
    </w:p>
    <w:p w14:paraId="573EFAD9" w14:textId="3144CA33" w:rsidR="00862A88" w:rsidRPr="009907F8" w:rsidRDefault="009907F8" w:rsidP="003E2967">
      <w:pPr>
        <w:ind w:left="851"/>
        <w:rPr>
          <w:iCs/>
          <w:sz w:val="24"/>
          <w:szCs w:val="24"/>
          <w:lang w:val="en-GB" w:eastAsia="en-US"/>
        </w:rPr>
      </w:pPr>
      <w:r>
        <w:rPr>
          <w:iCs/>
          <w:sz w:val="24"/>
          <w:szCs w:val="24"/>
          <w:lang w:val="en-GB" w:eastAsia="en-US"/>
        </w:rPr>
        <w:t>Fingolimod "HCS"</w:t>
      </w:r>
      <w:r w:rsidR="00862A88" w:rsidRPr="009907F8">
        <w:rPr>
          <w:iCs/>
          <w:sz w:val="24"/>
          <w:szCs w:val="24"/>
          <w:lang w:val="en-GB" w:eastAsia="en-US"/>
        </w:rPr>
        <w:t xml:space="preserve"> can be taken with or without food (see section 5.2).</w:t>
      </w:r>
    </w:p>
    <w:p w14:paraId="262A3744" w14:textId="77777777" w:rsidR="00862A88" w:rsidRPr="009907F8" w:rsidRDefault="00862A88" w:rsidP="003E2967">
      <w:pPr>
        <w:ind w:left="851"/>
        <w:rPr>
          <w:iCs/>
          <w:sz w:val="24"/>
          <w:szCs w:val="24"/>
          <w:lang w:val="en-GB" w:eastAsia="en-US"/>
        </w:rPr>
      </w:pPr>
      <w:r w:rsidRPr="009907F8">
        <w:rPr>
          <w:iCs/>
          <w:sz w:val="24"/>
          <w:szCs w:val="24"/>
          <w:lang w:val="en-GB" w:eastAsia="en-US"/>
        </w:rPr>
        <w:t>The capsules should always be swallowed intact, without opening them.</w:t>
      </w:r>
    </w:p>
    <w:p w14:paraId="2B2D4B2D" w14:textId="77777777" w:rsidR="007C5D2A" w:rsidRPr="009907F8" w:rsidRDefault="007C5D2A" w:rsidP="00A85D26">
      <w:pPr>
        <w:tabs>
          <w:tab w:val="left" w:pos="851"/>
        </w:tabs>
        <w:ind w:left="851"/>
        <w:rPr>
          <w:sz w:val="24"/>
          <w:szCs w:val="24"/>
          <w:lang w:val="en-GB"/>
        </w:rPr>
      </w:pPr>
    </w:p>
    <w:p w14:paraId="03A9BB9E" w14:textId="77777777" w:rsidR="007C5D2A" w:rsidRPr="009907F8" w:rsidRDefault="007C5D2A" w:rsidP="007C5D2A">
      <w:pPr>
        <w:tabs>
          <w:tab w:val="left" w:pos="851"/>
        </w:tabs>
        <w:ind w:left="851" w:hanging="851"/>
        <w:rPr>
          <w:b/>
          <w:sz w:val="24"/>
          <w:szCs w:val="24"/>
          <w:lang w:val="en-GB"/>
        </w:rPr>
      </w:pPr>
      <w:r w:rsidRPr="009907F8">
        <w:rPr>
          <w:b/>
          <w:sz w:val="24"/>
          <w:szCs w:val="24"/>
          <w:lang w:val="en-GB"/>
        </w:rPr>
        <w:t>4.3</w:t>
      </w:r>
      <w:r w:rsidRPr="009907F8">
        <w:rPr>
          <w:b/>
          <w:sz w:val="24"/>
          <w:szCs w:val="24"/>
          <w:lang w:val="en-GB"/>
        </w:rPr>
        <w:tab/>
        <w:t>Contraindications</w:t>
      </w:r>
    </w:p>
    <w:p w14:paraId="6D8A6756" w14:textId="77777777" w:rsidR="00862A88" w:rsidRPr="009907F8" w:rsidRDefault="00862A88" w:rsidP="003E2967">
      <w:pPr>
        <w:pStyle w:val="Listeafsnit"/>
        <w:numPr>
          <w:ilvl w:val="0"/>
          <w:numId w:val="14"/>
        </w:numPr>
        <w:ind w:left="1276" w:hanging="425"/>
        <w:rPr>
          <w:sz w:val="24"/>
          <w:szCs w:val="24"/>
          <w:lang w:val="en-GB" w:eastAsia="en-US"/>
        </w:rPr>
      </w:pPr>
      <w:r w:rsidRPr="009907F8">
        <w:rPr>
          <w:sz w:val="24"/>
          <w:szCs w:val="24"/>
          <w:lang w:val="en-GB" w:eastAsia="en-US"/>
        </w:rPr>
        <w:t>Immunodeficiency syndrome.</w:t>
      </w:r>
    </w:p>
    <w:p w14:paraId="71AB34D1" w14:textId="0ABF56E5" w:rsidR="00862A88" w:rsidRPr="009907F8" w:rsidRDefault="00862A88" w:rsidP="003E2967">
      <w:pPr>
        <w:pStyle w:val="Listeafsnit"/>
        <w:numPr>
          <w:ilvl w:val="0"/>
          <w:numId w:val="14"/>
        </w:numPr>
        <w:ind w:left="1276" w:hanging="425"/>
        <w:rPr>
          <w:sz w:val="24"/>
          <w:szCs w:val="24"/>
          <w:lang w:val="en-GB" w:eastAsia="en-US"/>
        </w:rPr>
      </w:pPr>
      <w:r w:rsidRPr="009907F8">
        <w:rPr>
          <w:sz w:val="24"/>
          <w:szCs w:val="24"/>
          <w:lang w:val="en-GB" w:eastAsia="en-US"/>
        </w:rPr>
        <w:t xml:space="preserve">Patients with increased risk for opportunistic infections, including </w:t>
      </w:r>
      <w:proofErr w:type="spellStart"/>
      <w:r w:rsidR="009907F8">
        <w:rPr>
          <w:sz w:val="24"/>
          <w:szCs w:val="24"/>
          <w:lang w:val="en-GB" w:eastAsia="en-US"/>
        </w:rPr>
        <w:t>immune</w:t>
      </w:r>
      <w:r w:rsidR="009907F8">
        <w:rPr>
          <w:sz w:val="24"/>
          <w:szCs w:val="24"/>
          <w:lang w:val="en-GB" w:eastAsia="en-US"/>
        </w:rPr>
        <w:softHyphen/>
      </w:r>
      <w:r w:rsidRPr="009907F8">
        <w:rPr>
          <w:sz w:val="24"/>
          <w:szCs w:val="24"/>
          <w:lang w:val="en-GB" w:eastAsia="en-US"/>
        </w:rPr>
        <w:t>compromised</w:t>
      </w:r>
      <w:proofErr w:type="spellEnd"/>
      <w:r w:rsidRPr="009907F8">
        <w:rPr>
          <w:sz w:val="24"/>
          <w:szCs w:val="24"/>
          <w:lang w:val="en-GB" w:eastAsia="en-US"/>
        </w:rPr>
        <w:t xml:space="preserve"> patients (including those currently receiving immunosuppressive therapies or those immunocompromised by prior therapies).</w:t>
      </w:r>
    </w:p>
    <w:p w14:paraId="50162964" w14:textId="77777777" w:rsidR="00862A88" w:rsidRPr="009907F8" w:rsidRDefault="00862A88" w:rsidP="003E2967">
      <w:pPr>
        <w:pStyle w:val="Listeafsnit"/>
        <w:numPr>
          <w:ilvl w:val="0"/>
          <w:numId w:val="14"/>
        </w:numPr>
        <w:ind w:left="1276" w:hanging="425"/>
        <w:rPr>
          <w:sz w:val="24"/>
          <w:szCs w:val="24"/>
          <w:lang w:val="en-GB" w:eastAsia="en-US"/>
        </w:rPr>
      </w:pPr>
      <w:r w:rsidRPr="009907F8">
        <w:rPr>
          <w:sz w:val="24"/>
          <w:szCs w:val="24"/>
          <w:lang w:val="en-GB" w:eastAsia="en-US"/>
        </w:rPr>
        <w:t>Severe active infections, active chronic infections (hepatitis, tuberculosis).</w:t>
      </w:r>
    </w:p>
    <w:p w14:paraId="7D3EB7B8" w14:textId="77777777" w:rsidR="00862A88" w:rsidRPr="009907F8" w:rsidRDefault="00862A88" w:rsidP="003E2967">
      <w:pPr>
        <w:pStyle w:val="Listeafsnit"/>
        <w:numPr>
          <w:ilvl w:val="0"/>
          <w:numId w:val="14"/>
        </w:numPr>
        <w:ind w:left="1276" w:hanging="425"/>
        <w:rPr>
          <w:sz w:val="24"/>
          <w:szCs w:val="24"/>
          <w:lang w:val="en-GB" w:eastAsia="en-US"/>
        </w:rPr>
      </w:pPr>
      <w:r w:rsidRPr="009907F8">
        <w:rPr>
          <w:sz w:val="24"/>
          <w:szCs w:val="24"/>
          <w:lang w:val="en-GB" w:eastAsia="en-US"/>
        </w:rPr>
        <w:t>Active malignancies.</w:t>
      </w:r>
    </w:p>
    <w:p w14:paraId="6A1AF83D" w14:textId="77777777" w:rsidR="00862A88" w:rsidRPr="009907F8" w:rsidRDefault="00862A88" w:rsidP="003E2967">
      <w:pPr>
        <w:pStyle w:val="Listeafsnit"/>
        <w:numPr>
          <w:ilvl w:val="0"/>
          <w:numId w:val="14"/>
        </w:numPr>
        <w:ind w:left="1276" w:hanging="425"/>
        <w:rPr>
          <w:sz w:val="24"/>
          <w:szCs w:val="24"/>
          <w:lang w:val="en-GB" w:eastAsia="en-US"/>
        </w:rPr>
      </w:pPr>
      <w:r w:rsidRPr="009907F8">
        <w:rPr>
          <w:sz w:val="24"/>
          <w:szCs w:val="24"/>
          <w:lang w:val="en-GB" w:eastAsia="en-US"/>
        </w:rPr>
        <w:t>Severe liver impairment (Child-Pugh class C).</w:t>
      </w:r>
    </w:p>
    <w:p w14:paraId="27B239AB" w14:textId="77777777" w:rsidR="00862A88" w:rsidRPr="009907F8" w:rsidRDefault="00862A88" w:rsidP="003E2967">
      <w:pPr>
        <w:pStyle w:val="Listeafsnit"/>
        <w:numPr>
          <w:ilvl w:val="0"/>
          <w:numId w:val="14"/>
        </w:numPr>
        <w:ind w:left="1276" w:hanging="425"/>
        <w:rPr>
          <w:sz w:val="24"/>
          <w:szCs w:val="24"/>
          <w:lang w:val="en-GB" w:eastAsia="en-US"/>
        </w:rPr>
      </w:pPr>
      <w:r w:rsidRPr="009907F8">
        <w:rPr>
          <w:sz w:val="24"/>
          <w:szCs w:val="24"/>
          <w:lang w:val="en-GB" w:eastAsia="en-US"/>
        </w:rPr>
        <w:t>Patients who in the previous 6 months had myocardial infarction (MI), unstable angina pectoris, stroke/transient ischaemic attack (TIA), decompensated heart failure (requiring inpatient treatment), or New York Heart Association (NYHA) class III/IV heart failure (see section 4.4).</w:t>
      </w:r>
    </w:p>
    <w:p w14:paraId="7B5B121C" w14:textId="77777777" w:rsidR="00862A88" w:rsidRPr="009907F8" w:rsidRDefault="00862A88" w:rsidP="003E2967">
      <w:pPr>
        <w:pStyle w:val="Listeafsnit"/>
        <w:numPr>
          <w:ilvl w:val="0"/>
          <w:numId w:val="14"/>
        </w:numPr>
        <w:ind w:left="1276" w:hanging="425"/>
        <w:rPr>
          <w:sz w:val="24"/>
          <w:szCs w:val="24"/>
          <w:lang w:val="en-GB" w:eastAsia="en-US"/>
        </w:rPr>
      </w:pPr>
      <w:r w:rsidRPr="009907F8">
        <w:rPr>
          <w:sz w:val="24"/>
          <w:szCs w:val="24"/>
          <w:lang w:val="en-GB" w:eastAsia="en-US"/>
        </w:rPr>
        <w:t xml:space="preserve">Patients with severe cardiac arrhythmias requiring anti-arrhythmic treatment with class </w:t>
      </w:r>
      <w:proofErr w:type="spellStart"/>
      <w:r w:rsidRPr="009907F8">
        <w:rPr>
          <w:sz w:val="24"/>
          <w:szCs w:val="24"/>
          <w:lang w:val="en-GB" w:eastAsia="en-US"/>
        </w:rPr>
        <w:t>Ia</w:t>
      </w:r>
      <w:proofErr w:type="spellEnd"/>
      <w:r w:rsidRPr="009907F8">
        <w:rPr>
          <w:sz w:val="24"/>
          <w:szCs w:val="24"/>
          <w:lang w:val="en-GB" w:eastAsia="en-US"/>
        </w:rPr>
        <w:t xml:space="preserve"> or class III anti-arrhythmic medicinal products (see section 4.4).</w:t>
      </w:r>
    </w:p>
    <w:p w14:paraId="6FD2B6D4" w14:textId="77777777" w:rsidR="00862A88" w:rsidRPr="009907F8" w:rsidRDefault="00862A88" w:rsidP="003E2967">
      <w:pPr>
        <w:pStyle w:val="Listeafsnit"/>
        <w:numPr>
          <w:ilvl w:val="0"/>
          <w:numId w:val="14"/>
        </w:numPr>
        <w:ind w:left="1276" w:hanging="425"/>
        <w:rPr>
          <w:sz w:val="24"/>
          <w:szCs w:val="24"/>
          <w:lang w:val="en-GB" w:eastAsia="en-US"/>
        </w:rPr>
      </w:pPr>
      <w:r w:rsidRPr="009907F8">
        <w:rPr>
          <w:sz w:val="24"/>
          <w:szCs w:val="24"/>
          <w:lang w:val="en-GB" w:eastAsia="en-US"/>
        </w:rPr>
        <w:t>Patients with second-degree Mobitz type II atrioventricular (AV) block or third-degree AV block, or sick-sinus syndrome, if they do not wear a pacemaker (see section 4.4).</w:t>
      </w:r>
    </w:p>
    <w:p w14:paraId="01BCCA32" w14:textId="77777777" w:rsidR="00862A88" w:rsidRPr="009907F8" w:rsidRDefault="00862A88" w:rsidP="003E2967">
      <w:pPr>
        <w:pStyle w:val="Listeafsnit"/>
        <w:numPr>
          <w:ilvl w:val="0"/>
          <w:numId w:val="14"/>
        </w:numPr>
        <w:ind w:left="1276" w:hanging="425"/>
        <w:rPr>
          <w:sz w:val="24"/>
          <w:szCs w:val="24"/>
          <w:lang w:val="en-GB" w:eastAsia="en-US"/>
        </w:rPr>
      </w:pPr>
      <w:r w:rsidRPr="009907F8">
        <w:rPr>
          <w:sz w:val="24"/>
          <w:szCs w:val="24"/>
          <w:lang w:val="en-GB" w:eastAsia="en-US"/>
        </w:rPr>
        <w:t>Patients with a baseline QTc interval ≥ 500 </w:t>
      </w:r>
      <w:proofErr w:type="spellStart"/>
      <w:r w:rsidRPr="009907F8">
        <w:rPr>
          <w:sz w:val="24"/>
          <w:szCs w:val="24"/>
          <w:lang w:val="en-GB" w:eastAsia="en-US"/>
        </w:rPr>
        <w:t>msec</w:t>
      </w:r>
      <w:proofErr w:type="spellEnd"/>
      <w:r w:rsidRPr="009907F8">
        <w:rPr>
          <w:sz w:val="24"/>
          <w:szCs w:val="24"/>
          <w:lang w:val="en-GB" w:eastAsia="en-US"/>
        </w:rPr>
        <w:t xml:space="preserve"> (see section 4.4).</w:t>
      </w:r>
    </w:p>
    <w:p w14:paraId="42A59849" w14:textId="77777777" w:rsidR="00862A88" w:rsidRPr="009907F8" w:rsidRDefault="00862A88" w:rsidP="003E2967">
      <w:pPr>
        <w:pStyle w:val="Listeafsnit"/>
        <w:numPr>
          <w:ilvl w:val="0"/>
          <w:numId w:val="14"/>
        </w:numPr>
        <w:ind w:left="1276" w:hanging="425"/>
        <w:rPr>
          <w:sz w:val="24"/>
          <w:szCs w:val="24"/>
          <w:lang w:val="en-GB" w:eastAsia="en-US"/>
        </w:rPr>
      </w:pPr>
      <w:r w:rsidRPr="009907F8">
        <w:rPr>
          <w:sz w:val="24"/>
          <w:szCs w:val="24"/>
          <w:lang w:val="en-GB" w:eastAsia="en-US"/>
        </w:rPr>
        <w:t>During pregnancy and in women of childbearing potential not using effective contraception (see sections 4.4 and 4.6).</w:t>
      </w:r>
    </w:p>
    <w:p w14:paraId="65D0043B" w14:textId="77777777" w:rsidR="00862A88" w:rsidRPr="009907F8" w:rsidRDefault="00862A88" w:rsidP="003E2967">
      <w:pPr>
        <w:pStyle w:val="Listeafsnit"/>
        <w:numPr>
          <w:ilvl w:val="0"/>
          <w:numId w:val="14"/>
        </w:numPr>
        <w:ind w:left="1276" w:hanging="425"/>
        <w:rPr>
          <w:sz w:val="24"/>
          <w:szCs w:val="24"/>
          <w:lang w:val="en-GB" w:eastAsia="en-US"/>
        </w:rPr>
      </w:pPr>
      <w:r w:rsidRPr="009907F8">
        <w:rPr>
          <w:sz w:val="24"/>
          <w:szCs w:val="24"/>
          <w:lang w:val="en-GB" w:eastAsia="en-US"/>
        </w:rPr>
        <w:t>Hypersensitivity to the active substance or to any of the excipients listed in section 6.1.</w:t>
      </w:r>
    </w:p>
    <w:p w14:paraId="11A4B9CD" w14:textId="77777777" w:rsidR="007C5D2A" w:rsidRPr="009907F8" w:rsidRDefault="007C5D2A" w:rsidP="003E0341">
      <w:pPr>
        <w:tabs>
          <w:tab w:val="left" w:pos="851"/>
        </w:tabs>
        <w:ind w:left="851"/>
        <w:rPr>
          <w:sz w:val="24"/>
          <w:szCs w:val="24"/>
          <w:lang w:val="en-GB"/>
        </w:rPr>
      </w:pPr>
    </w:p>
    <w:p w14:paraId="7778A4EB" w14:textId="77777777" w:rsidR="007C5D2A" w:rsidRPr="009907F8" w:rsidRDefault="007C5D2A" w:rsidP="007C5D2A">
      <w:pPr>
        <w:tabs>
          <w:tab w:val="left" w:pos="851"/>
        </w:tabs>
        <w:rPr>
          <w:b/>
          <w:sz w:val="24"/>
          <w:szCs w:val="24"/>
          <w:lang w:val="en-GB"/>
        </w:rPr>
      </w:pPr>
      <w:r w:rsidRPr="009907F8">
        <w:rPr>
          <w:b/>
          <w:sz w:val="24"/>
          <w:szCs w:val="24"/>
          <w:lang w:val="en-GB"/>
        </w:rPr>
        <w:t>4.4</w:t>
      </w:r>
      <w:r w:rsidRPr="009907F8">
        <w:rPr>
          <w:b/>
          <w:sz w:val="24"/>
          <w:szCs w:val="24"/>
          <w:lang w:val="en-GB"/>
        </w:rPr>
        <w:tab/>
        <w:t>Special warnings and precautions for use</w:t>
      </w:r>
    </w:p>
    <w:p w14:paraId="5500EF78" w14:textId="77777777" w:rsidR="009907F8" w:rsidRDefault="009907F8" w:rsidP="003E2967">
      <w:pPr>
        <w:ind w:left="851"/>
        <w:rPr>
          <w:sz w:val="24"/>
          <w:szCs w:val="24"/>
          <w:lang w:val="en-GB" w:eastAsia="en-US"/>
        </w:rPr>
      </w:pPr>
    </w:p>
    <w:p w14:paraId="055113AE" w14:textId="69755313" w:rsidR="00862A88" w:rsidRPr="009907F8" w:rsidRDefault="00862A88" w:rsidP="003E2967">
      <w:pPr>
        <w:ind w:left="851"/>
        <w:rPr>
          <w:sz w:val="24"/>
          <w:szCs w:val="24"/>
          <w:u w:val="single"/>
          <w:lang w:val="en-GB" w:eastAsia="en-US"/>
        </w:rPr>
      </w:pPr>
      <w:r w:rsidRPr="009907F8">
        <w:rPr>
          <w:sz w:val="24"/>
          <w:szCs w:val="24"/>
          <w:u w:val="single"/>
          <w:lang w:val="en-GB" w:eastAsia="en-US"/>
        </w:rPr>
        <w:t>Bradyarrhythmia</w:t>
      </w:r>
    </w:p>
    <w:p w14:paraId="126CAA18" w14:textId="77777777" w:rsidR="00862A88" w:rsidRPr="009907F8" w:rsidRDefault="00862A88" w:rsidP="003E2967">
      <w:pPr>
        <w:ind w:left="851"/>
        <w:rPr>
          <w:sz w:val="24"/>
          <w:szCs w:val="24"/>
          <w:lang w:val="en-GB" w:eastAsia="en-US"/>
        </w:rPr>
      </w:pPr>
      <w:r w:rsidRPr="009907F8">
        <w:rPr>
          <w:sz w:val="24"/>
          <w:szCs w:val="24"/>
          <w:lang w:val="en-GB" w:eastAsia="en-US"/>
        </w:rPr>
        <w:t>Initiation of treatment results in a transient decrease in heart rate and may also be associated with atrioventricular conduction delays, including the occurrence of isolated reports of transient, spontaneously resolving complete AV block (see sections 4.8 and 5.1).</w:t>
      </w:r>
    </w:p>
    <w:p w14:paraId="6DC610D1" w14:textId="77777777" w:rsidR="00862A88" w:rsidRPr="009907F8" w:rsidRDefault="00862A88" w:rsidP="003E2967">
      <w:pPr>
        <w:ind w:left="851"/>
        <w:rPr>
          <w:sz w:val="24"/>
          <w:szCs w:val="24"/>
          <w:lang w:val="en-GB" w:eastAsia="en-US"/>
        </w:rPr>
      </w:pPr>
    </w:p>
    <w:p w14:paraId="6280014F" w14:textId="77777777" w:rsidR="00862A88" w:rsidRPr="009907F8" w:rsidRDefault="00862A88" w:rsidP="003E2967">
      <w:pPr>
        <w:ind w:left="851"/>
        <w:rPr>
          <w:sz w:val="24"/>
          <w:szCs w:val="24"/>
          <w:lang w:val="en-GB" w:eastAsia="en-US"/>
        </w:rPr>
      </w:pPr>
      <w:r w:rsidRPr="009907F8">
        <w:rPr>
          <w:sz w:val="24"/>
          <w:szCs w:val="24"/>
          <w:lang w:val="en-GB" w:eastAsia="en-US"/>
        </w:rPr>
        <w:t>After the first dose, the decline in heart rate starts within one hour, and is maximal within 6 hours. This post-dose effect persists over the following days, although usually to a milder extent, and usually abates over the next weeks. With continued administration, the average heart rate returns towards baseline within one month. However individual patients may not return to baseline heart rate by the end of the first month. Conduction abnormalities were typically transient and asymptomatic. They usually did not require treatment and resolved within the first 24 hours on treatment. If necessary, the decrease in heart rate induced by fingolimod can be reversed by parenteral doses of atropine or isoprenaline.</w:t>
      </w:r>
    </w:p>
    <w:p w14:paraId="63BF1661" w14:textId="77777777" w:rsidR="00862A88" w:rsidRPr="009907F8" w:rsidRDefault="00862A88" w:rsidP="003E2967">
      <w:pPr>
        <w:ind w:left="851"/>
        <w:rPr>
          <w:sz w:val="24"/>
          <w:szCs w:val="24"/>
          <w:lang w:val="en-GB" w:eastAsia="en-US"/>
        </w:rPr>
      </w:pPr>
    </w:p>
    <w:p w14:paraId="34CA698C" w14:textId="77777777" w:rsidR="00862A88" w:rsidRPr="009907F8" w:rsidRDefault="00862A88" w:rsidP="003E2967">
      <w:pPr>
        <w:ind w:left="851"/>
        <w:rPr>
          <w:sz w:val="24"/>
          <w:szCs w:val="24"/>
          <w:lang w:val="en-GB" w:eastAsia="en-US"/>
        </w:rPr>
      </w:pPr>
      <w:r w:rsidRPr="009907F8">
        <w:rPr>
          <w:sz w:val="24"/>
          <w:szCs w:val="24"/>
          <w:lang w:val="en-GB" w:eastAsia="en-US"/>
        </w:rPr>
        <w:lastRenderedPageBreak/>
        <w:t xml:space="preserve">All patients should have an ECG and blood pressure measurement performed prior to and 6 hours after the first dose of fingolimod. All patients should be monitored for a period of 6 hours for signs and symptoms of bradycardia with hourly heart rate and blood pressure measurement. Continuous (real time) ECG monitoring during this </w:t>
      </w:r>
      <w:proofErr w:type="gramStart"/>
      <w:r w:rsidRPr="009907F8">
        <w:rPr>
          <w:sz w:val="24"/>
          <w:szCs w:val="24"/>
          <w:lang w:val="en-GB" w:eastAsia="en-US"/>
        </w:rPr>
        <w:t>6 hour</w:t>
      </w:r>
      <w:proofErr w:type="gramEnd"/>
      <w:r w:rsidRPr="009907F8">
        <w:rPr>
          <w:sz w:val="24"/>
          <w:szCs w:val="24"/>
          <w:lang w:val="en-GB" w:eastAsia="en-US"/>
        </w:rPr>
        <w:t xml:space="preserve"> period is recommended.</w:t>
      </w:r>
    </w:p>
    <w:p w14:paraId="543FDF53" w14:textId="77777777" w:rsidR="00862A88" w:rsidRPr="009907F8" w:rsidRDefault="00862A88" w:rsidP="003E2967">
      <w:pPr>
        <w:ind w:left="851"/>
        <w:rPr>
          <w:sz w:val="24"/>
          <w:szCs w:val="24"/>
          <w:lang w:val="en-GB" w:eastAsia="en-US"/>
        </w:rPr>
      </w:pPr>
    </w:p>
    <w:p w14:paraId="622427E7" w14:textId="7E728563" w:rsidR="00862A88" w:rsidRPr="009907F8" w:rsidRDefault="00862A88" w:rsidP="003E2967">
      <w:pPr>
        <w:ind w:left="851"/>
        <w:rPr>
          <w:sz w:val="24"/>
          <w:szCs w:val="24"/>
          <w:lang w:val="en-GB" w:eastAsia="en-US"/>
        </w:rPr>
      </w:pPr>
      <w:r w:rsidRPr="009907F8">
        <w:rPr>
          <w:sz w:val="24"/>
          <w:szCs w:val="24"/>
          <w:lang w:val="en-GB" w:eastAsia="en-US"/>
        </w:rPr>
        <w:t>The same precautions as for the first dose are recommended when patients are switched from the</w:t>
      </w:r>
      <w:r w:rsidR="005B772B">
        <w:rPr>
          <w:sz w:val="24"/>
          <w:szCs w:val="24"/>
          <w:lang w:val="en-GB" w:eastAsia="en-US"/>
        </w:rPr>
        <w:t xml:space="preserve"> </w:t>
      </w:r>
      <w:r w:rsidRPr="009907F8">
        <w:rPr>
          <w:sz w:val="24"/>
          <w:szCs w:val="24"/>
          <w:lang w:val="en-GB" w:eastAsia="en-US"/>
        </w:rPr>
        <w:t>0.25 mg to the 0.5 mg daily dose.</w:t>
      </w:r>
    </w:p>
    <w:p w14:paraId="201BACBA" w14:textId="77777777" w:rsidR="00862A88" w:rsidRPr="009907F8" w:rsidRDefault="00862A88" w:rsidP="003E2967">
      <w:pPr>
        <w:ind w:left="851"/>
        <w:rPr>
          <w:sz w:val="24"/>
          <w:szCs w:val="24"/>
          <w:lang w:val="en-GB" w:eastAsia="en-US"/>
        </w:rPr>
      </w:pPr>
    </w:p>
    <w:p w14:paraId="60BE0CF2" w14:textId="77777777" w:rsidR="00862A88" w:rsidRPr="009907F8" w:rsidRDefault="00862A88" w:rsidP="003E2967">
      <w:pPr>
        <w:ind w:left="851"/>
        <w:rPr>
          <w:sz w:val="24"/>
          <w:szCs w:val="24"/>
          <w:lang w:val="en-GB" w:eastAsia="en-US"/>
        </w:rPr>
      </w:pPr>
      <w:r w:rsidRPr="009907F8">
        <w:rPr>
          <w:sz w:val="24"/>
          <w:szCs w:val="24"/>
          <w:lang w:val="en-GB" w:eastAsia="en-US"/>
        </w:rPr>
        <w:t>Should post-dose bradyarrhythmia-related symptoms occur, appropriate clinical management should be initiated and monitoring should be continued until the symptoms have resolved. Should a patient require pharmacological intervention during the first-dose monitoring, overnight monitoring in a medical facility should be instituted and the first-dose monitoring should be repeated after the second dose of fingolimod.</w:t>
      </w:r>
    </w:p>
    <w:p w14:paraId="760394A6" w14:textId="77777777" w:rsidR="00862A88" w:rsidRPr="009907F8" w:rsidRDefault="00862A88" w:rsidP="003E2967">
      <w:pPr>
        <w:ind w:left="851"/>
        <w:rPr>
          <w:sz w:val="24"/>
          <w:szCs w:val="24"/>
          <w:lang w:val="en-GB" w:eastAsia="en-US"/>
        </w:rPr>
      </w:pPr>
      <w:r w:rsidRPr="009907F8">
        <w:rPr>
          <w:sz w:val="24"/>
          <w:szCs w:val="24"/>
          <w:lang w:val="en-GB" w:eastAsia="en-US"/>
        </w:rPr>
        <w:t xml:space="preserve"> </w:t>
      </w:r>
    </w:p>
    <w:p w14:paraId="026AA45C" w14:textId="77777777" w:rsidR="00862A88" w:rsidRPr="009907F8" w:rsidRDefault="00862A88" w:rsidP="003E2967">
      <w:pPr>
        <w:ind w:left="851"/>
        <w:rPr>
          <w:sz w:val="24"/>
          <w:szCs w:val="24"/>
          <w:lang w:val="en-GB" w:eastAsia="en-US"/>
        </w:rPr>
      </w:pPr>
      <w:r w:rsidRPr="009907F8">
        <w:rPr>
          <w:sz w:val="24"/>
          <w:szCs w:val="24"/>
          <w:lang w:val="en-GB" w:eastAsia="en-US"/>
        </w:rPr>
        <w:t xml:space="preserve">If the heart rate at 6 hours is the lowest since the first dose was administered (suggesting that the maximum pharmacodynamic effect on the heart may not yet be manifest), monitoring should be extended by at least 2 hours and until heart rate increases again. Additionally, if after 6 hours, the heart rate is &lt;45 bpm in adults, &lt;55 bpm in paediatric patients aged 12 years and above, or &lt;60 bpm in paediatric patients aged 10 to below 12 years, or the ECG shows new onset second degree or </w:t>
      </w:r>
      <w:proofErr w:type="gramStart"/>
      <w:r w:rsidRPr="009907F8">
        <w:rPr>
          <w:sz w:val="24"/>
          <w:szCs w:val="24"/>
          <w:lang w:val="en-GB" w:eastAsia="en-US"/>
        </w:rPr>
        <w:t>higher grade</w:t>
      </w:r>
      <w:proofErr w:type="gramEnd"/>
      <w:r w:rsidRPr="009907F8">
        <w:rPr>
          <w:sz w:val="24"/>
          <w:szCs w:val="24"/>
          <w:lang w:val="en-GB" w:eastAsia="en-US"/>
        </w:rPr>
        <w:t xml:space="preserve"> AV block or a QTc interval ≥500 </w:t>
      </w:r>
      <w:proofErr w:type="spellStart"/>
      <w:r w:rsidRPr="009907F8">
        <w:rPr>
          <w:sz w:val="24"/>
          <w:szCs w:val="24"/>
          <w:lang w:val="en-GB" w:eastAsia="en-US"/>
        </w:rPr>
        <w:t>msec</w:t>
      </w:r>
      <w:proofErr w:type="spellEnd"/>
      <w:r w:rsidRPr="009907F8">
        <w:rPr>
          <w:sz w:val="24"/>
          <w:szCs w:val="24"/>
          <w:lang w:val="en-GB" w:eastAsia="en-US"/>
        </w:rPr>
        <w:t xml:space="preserve">, extended monitoring (at least overnight monitoring), should be performed, and until the findings have resolved. The occurrence at any time of </w:t>
      </w:r>
      <w:proofErr w:type="gramStart"/>
      <w:r w:rsidRPr="009907F8">
        <w:rPr>
          <w:sz w:val="24"/>
          <w:szCs w:val="24"/>
          <w:lang w:val="en-GB" w:eastAsia="en-US"/>
        </w:rPr>
        <w:t>third degree</w:t>
      </w:r>
      <w:proofErr w:type="gramEnd"/>
      <w:r w:rsidRPr="009907F8">
        <w:rPr>
          <w:sz w:val="24"/>
          <w:szCs w:val="24"/>
          <w:lang w:val="en-GB" w:eastAsia="en-US"/>
        </w:rPr>
        <w:t xml:space="preserve"> AV block should also lead to extended monitoring (at least overnight monitoring).</w:t>
      </w:r>
    </w:p>
    <w:p w14:paraId="5030213B" w14:textId="77777777" w:rsidR="00862A88" w:rsidRPr="009907F8" w:rsidRDefault="00862A88" w:rsidP="003E2967">
      <w:pPr>
        <w:ind w:left="851"/>
        <w:rPr>
          <w:sz w:val="24"/>
          <w:szCs w:val="24"/>
          <w:lang w:val="en-GB" w:eastAsia="en-US"/>
        </w:rPr>
      </w:pPr>
    </w:p>
    <w:p w14:paraId="6177BD09" w14:textId="77777777" w:rsidR="00862A88" w:rsidRPr="009907F8" w:rsidRDefault="00862A88" w:rsidP="003E2967">
      <w:pPr>
        <w:ind w:left="851"/>
        <w:rPr>
          <w:sz w:val="24"/>
          <w:szCs w:val="24"/>
          <w:lang w:val="en-GB" w:eastAsia="en-US"/>
        </w:rPr>
      </w:pPr>
      <w:r w:rsidRPr="009907F8">
        <w:rPr>
          <w:sz w:val="24"/>
          <w:szCs w:val="24"/>
          <w:lang w:val="en-GB" w:eastAsia="en-US"/>
        </w:rPr>
        <w:t>The effects on heart rate and atrioventricular conduction may recur on re-introduction of fingolimod treatment depending on duration of the interruption and time since start of treatment. The same first dose monitoring as for treatment initiation is recommended when treatment is interrupted (see section 4.2).</w:t>
      </w:r>
    </w:p>
    <w:p w14:paraId="499BE2A1" w14:textId="77777777" w:rsidR="00862A88" w:rsidRPr="009907F8" w:rsidRDefault="00862A88" w:rsidP="003E2967">
      <w:pPr>
        <w:ind w:left="851"/>
        <w:rPr>
          <w:sz w:val="24"/>
          <w:szCs w:val="24"/>
          <w:lang w:val="en-GB" w:eastAsia="en-US"/>
        </w:rPr>
      </w:pPr>
    </w:p>
    <w:p w14:paraId="7C520497" w14:textId="77777777" w:rsidR="00862A88" w:rsidRPr="009907F8" w:rsidRDefault="00862A88" w:rsidP="003E2967">
      <w:pPr>
        <w:ind w:left="851"/>
        <w:rPr>
          <w:sz w:val="24"/>
          <w:szCs w:val="24"/>
          <w:lang w:val="en-GB" w:eastAsia="en-US"/>
        </w:rPr>
      </w:pPr>
      <w:r w:rsidRPr="009907F8">
        <w:rPr>
          <w:sz w:val="24"/>
          <w:szCs w:val="24"/>
          <w:lang w:val="en-GB" w:eastAsia="en-US"/>
        </w:rPr>
        <w:t>Very rare cases of T-wave inversion have been reported in adult patients treated with fingolimod. In case of T-wave inversion, the prescriber should ensure that there are no associated myocardial ischaemia signs or symptoms. If myocardial ischaemia is suspected, it is recommended to seek advice from a cardiologist.</w:t>
      </w:r>
    </w:p>
    <w:p w14:paraId="71870758" w14:textId="77777777" w:rsidR="00862A88" w:rsidRPr="009907F8" w:rsidRDefault="00862A88" w:rsidP="003E2967">
      <w:pPr>
        <w:ind w:left="851"/>
        <w:rPr>
          <w:sz w:val="24"/>
          <w:szCs w:val="24"/>
          <w:lang w:val="en-GB" w:eastAsia="en-US"/>
        </w:rPr>
      </w:pPr>
    </w:p>
    <w:p w14:paraId="604B76BC" w14:textId="4AC6BD58" w:rsidR="00862A88" w:rsidRPr="009907F8" w:rsidRDefault="00862A88" w:rsidP="003E2967">
      <w:pPr>
        <w:ind w:left="851"/>
        <w:rPr>
          <w:sz w:val="24"/>
          <w:szCs w:val="24"/>
          <w:lang w:val="en-GB" w:eastAsia="en-US"/>
        </w:rPr>
      </w:pPr>
      <w:r w:rsidRPr="009907F8">
        <w:rPr>
          <w:sz w:val="24"/>
          <w:szCs w:val="24"/>
          <w:lang w:val="en-GB" w:eastAsia="en-US"/>
        </w:rPr>
        <w:t xml:space="preserve">Due to the risk of serious rhythm disturbances or significant bradycardia, fingolimod should not be used in patients with </w:t>
      </w:r>
      <w:proofErr w:type="spellStart"/>
      <w:r w:rsidRPr="009907F8">
        <w:rPr>
          <w:sz w:val="24"/>
          <w:szCs w:val="24"/>
          <w:lang w:val="en-GB" w:eastAsia="en-US"/>
        </w:rPr>
        <w:t>sino</w:t>
      </w:r>
      <w:proofErr w:type="spellEnd"/>
      <w:r w:rsidRPr="009907F8">
        <w:rPr>
          <w:sz w:val="24"/>
          <w:szCs w:val="24"/>
          <w:lang w:val="en-GB" w:eastAsia="en-US"/>
        </w:rPr>
        <w:t>-atrial heart block, a history of symptomatic bradycardia, recurrent syncope or cardiac arrest, or in patients with significant QT prolongation (QTc&gt;470 </w:t>
      </w:r>
      <w:proofErr w:type="spellStart"/>
      <w:r w:rsidRPr="009907F8">
        <w:rPr>
          <w:sz w:val="24"/>
          <w:szCs w:val="24"/>
          <w:lang w:val="en-GB" w:eastAsia="en-US"/>
        </w:rPr>
        <w:t>msec</w:t>
      </w:r>
      <w:proofErr w:type="spellEnd"/>
      <w:r w:rsidRPr="009907F8">
        <w:rPr>
          <w:sz w:val="24"/>
          <w:szCs w:val="24"/>
          <w:lang w:val="en-GB" w:eastAsia="en-US"/>
        </w:rPr>
        <w:t xml:space="preserve"> [adult female], QTc</w:t>
      </w:r>
      <w:r w:rsidR="009907F8">
        <w:rPr>
          <w:sz w:val="24"/>
          <w:szCs w:val="24"/>
          <w:lang w:val="en-GB" w:eastAsia="en-US"/>
        </w:rPr>
        <w:t xml:space="preserve"> </w:t>
      </w:r>
      <w:r w:rsidRPr="009907F8">
        <w:rPr>
          <w:sz w:val="24"/>
          <w:szCs w:val="24"/>
          <w:lang w:val="en-GB" w:eastAsia="en-US"/>
        </w:rPr>
        <w:t>&gt;460 </w:t>
      </w:r>
      <w:proofErr w:type="spellStart"/>
      <w:r w:rsidRPr="009907F8">
        <w:rPr>
          <w:sz w:val="24"/>
          <w:szCs w:val="24"/>
          <w:lang w:val="en-GB" w:eastAsia="en-US"/>
        </w:rPr>
        <w:t>msec</w:t>
      </w:r>
      <w:proofErr w:type="spellEnd"/>
      <w:r w:rsidRPr="009907F8">
        <w:rPr>
          <w:sz w:val="24"/>
          <w:szCs w:val="24"/>
          <w:lang w:val="en-GB" w:eastAsia="en-US"/>
        </w:rPr>
        <w:t xml:space="preserve"> [paediatric female] or &gt;450 </w:t>
      </w:r>
      <w:proofErr w:type="spellStart"/>
      <w:r w:rsidRPr="009907F8">
        <w:rPr>
          <w:sz w:val="24"/>
          <w:szCs w:val="24"/>
          <w:lang w:val="en-GB" w:eastAsia="en-US"/>
        </w:rPr>
        <w:t>msec</w:t>
      </w:r>
      <w:proofErr w:type="spellEnd"/>
      <w:r w:rsidRPr="009907F8">
        <w:rPr>
          <w:sz w:val="24"/>
          <w:szCs w:val="24"/>
          <w:lang w:val="en-GB" w:eastAsia="en-US"/>
        </w:rPr>
        <w:t xml:space="preserve"> [adult and paediatric male]), uncontrolled hypertension or severe sleep apnoea (see also section 4.3). In such patients, treatment with fingolimod should be considered only if the anticipated benefits outweigh the potential risks, and advice from a cardiologist sought prior to initiation of treatment in order to determine the most appropriate monitoring. At least overnight extended monitoring is recommended for treatment initiation (see also section 4.5).</w:t>
      </w:r>
    </w:p>
    <w:p w14:paraId="4A16E7A8" w14:textId="77777777" w:rsidR="00862A88" w:rsidRPr="009907F8" w:rsidRDefault="00862A88" w:rsidP="003E2967">
      <w:pPr>
        <w:ind w:left="851"/>
        <w:rPr>
          <w:sz w:val="24"/>
          <w:szCs w:val="24"/>
          <w:lang w:val="en-GB" w:eastAsia="en-US"/>
        </w:rPr>
      </w:pPr>
    </w:p>
    <w:p w14:paraId="6BC1FE4E" w14:textId="77777777" w:rsidR="00862A88" w:rsidRPr="009907F8" w:rsidRDefault="00862A88" w:rsidP="003E2967">
      <w:pPr>
        <w:ind w:left="851"/>
        <w:rPr>
          <w:sz w:val="24"/>
          <w:szCs w:val="24"/>
          <w:lang w:val="en-GB" w:eastAsia="en-US"/>
        </w:rPr>
      </w:pPr>
      <w:r w:rsidRPr="009907F8">
        <w:rPr>
          <w:sz w:val="24"/>
          <w:szCs w:val="24"/>
          <w:lang w:val="en-GB" w:eastAsia="en-US"/>
        </w:rPr>
        <w:t xml:space="preserve">Fingolimod has not been studied in patients with arrhythmias requiring treatment with class </w:t>
      </w:r>
      <w:proofErr w:type="spellStart"/>
      <w:r w:rsidRPr="009907F8">
        <w:rPr>
          <w:sz w:val="24"/>
          <w:szCs w:val="24"/>
          <w:lang w:val="en-GB" w:eastAsia="en-US"/>
        </w:rPr>
        <w:t>Ia</w:t>
      </w:r>
      <w:proofErr w:type="spellEnd"/>
      <w:r w:rsidRPr="009907F8">
        <w:rPr>
          <w:sz w:val="24"/>
          <w:szCs w:val="24"/>
          <w:lang w:val="en-GB" w:eastAsia="en-US"/>
        </w:rPr>
        <w:t xml:space="preserve"> (e.g. quinidine, disopyramide) or class III (e.g. amiodarone, sotalol) antiarrhythmic medicinal products. Class </w:t>
      </w:r>
      <w:proofErr w:type="spellStart"/>
      <w:r w:rsidRPr="009907F8">
        <w:rPr>
          <w:sz w:val="24"/>
          <w:szCs w:val="24"/>
          <w:lang w:val="en-GB" w:eastAsia="en-US"/>
        </w:rPr>
        <w:t>Ia</w:t>
      </w:r>
      <w:proofErr w:type="spellEnd"/>
      <w:r w:rsidRPr="009907F8">
        <w:rPr>
          <w:sz w:val="24"/>
          <w:szCs w:val="24"/>
          <w:lang w:val="en-GB" w:eastAsia="en-US"/>
        </w:rPr>
        <w:t xml:space="preserve"> and class III antiarrhythmic medicinal products have been associated with cases of </w:t>
      </w:r>
      <w:proofErr w:type="spellStart"/>
      <w:r w:rsidRPr="009907F8">
        <w:rPr>
          <w:sz w:val="24"/>
          <w:szCs w:val="24"/>
          <w:lang w:val="en-GB" w:eastAsia="en-US"/>
        </w:rPr>
        <w:t>torsades</w:t>
      </w:r>
      <w:proofErr w:type="spellEnd"/>
      <w:r w:rsidRPr="009907F8">
        <w:rPr>
          <w:sz w:val="24"/>
          <w:szCs w:val="24"/>
          <w:lang w:val="en-GB" w:eastAsia="en-US"/>
        </w:rPr>
        <w:t xml:space="preserve"> de pointes in patients with bradycardia (see section 4.3).</w:t>
      </w:r>
    </w:p>
    <w:p w14:paraId="0C45F438" w14:textId="77777777" w:rsidR="00862A88" w:rsidRPr="009907F8" w:rsidRDefault="00862A88" w:rsidP="003E2967">
      <w:pPr>
        <w:ind w:left="851"/>
        <w:rPr>
          <w:sz w:val="24"/>
          <w:szCs w:val="24"/>
          <w:lang w:val="en-GB" w:eastAsia="en-US"/>
        </w:rPr>
      </w:pPr>
    </w:p>
    <w:p w14:paraId="72B6C1D0" w14:textId="77777777" w:rsidR="00862A88" w:rsidRPr="009907F8" w:rsidRDefault="00862A88" w:rsidP="003E2967">
      <w:pPr>
        <w:ind w:left="851"/>
        <w:rPr>
          <w:sz w:val="24"/>
          <w:szCs w:val="24"/>
          <w:lang w:val="en-GB" w:eastAsia="en-US"/>
        </w:rPr>
      </w:pPr>
      <w:r w:rsidRPr="009907F8">
        <w:rPr>
          <w:sz w:val="24"/>
          <w:szCs w:val="24"/>
          <w:lang w:val="en-GB" w:eastAsia="en-US"/>
        </w:rPr>
        <w:lastRenderedPageBreak/>
        <w:t xml:space="preserve">Experience with fingolimod is limited in patients receiving concurrent therapy with beta blockers, heart- rate-lowering calcium channel blockers (such as verapamil or diltiazem), or other substances which may decrease heart rate (e.g. ivabradine, digoxin, </w:t>
      </w:r>
      <w:proofErr w:type="spellStart"/>
      <w:r w:rsidRPr="009907F8">
        <w:rPr>
          <w:sz w:val="24"/>
          <w:szCs w:val="24"/>
          <w:lang w:val="en-GB" w:eastAsia="en-US"/>
        </w:rPr>
        <w:t>anticholinesteratic</w:t>
      </w:r>
      <w:proofErr w:type="spellEnd"/>
      <w:r w:rsidRPr="009907F8">
        <w:rPr>
          <w:sz w:val="24"/>
          <w:szCs w:val="24"/>
          <w:lang w:val="en-GB" w:eastAsia="en-US"/>
        </w:rPr>
        <w:t xml:space="preserve"> agents or pilocarpine). Since the initiation of fingolimod treatment is also associated with slowing of the heart rate (see also section 4.8, Bradyarrhythmia), concomitant use of these substances during treatment initiation may be associated with severe bradycardia and heart block. Because of the potential additive effect on heart rate treatment with fingolimod should not be initiated in patients who are concurrently treated with these substances (see also section 4.5). In such patients, treatment with fingolimod should be considered only if the anticipated benefits outweigh the potential risks. If treatment with fingolimod is considered, advice from a cardiologist should be sought regarding the switch to </w:t>
      </w:r>
      <w:proofErr w:type="spellStart"/>
      <w:proofErr w:type="gramStart"/>
      <w:r w:rsidRPr="009907F8">
        <w:rPr>
          <w:sz w:val="24"/>
          <w:szCs w:val="24"/>
          <w:lang w:val="en-GB" w:eastAsia="en-US"/>
        </w:rPr>
        <w:t>non heart</w:t>
      </w:r>
      <w:proofErr w:type="spellEnd"/>
      <w:proofErr w:type="gramEnd"/>
      <w:r w:rsidRPr="009907F8">
        <w:rPr>
          <w:sz w:val="24"/>
          <w:szCs w:val="24"/>
          <w:lang w:val="en-GB" w:eastAsia="en-US"/>
        </w:rPr>
        <w:t>-rate lowering medicinal products prior to initiation of treatment. If the heart-rate-lowering treatment cannot be stopped, cardiologist’s advice should be sought to determine appropriate first dose monitoring, at least overnight extended monitoring is recommended (see also section 4.5).</w:t>
      </w:r>
    </w:p>
    <w:p w14:paraId="68362E9D" w14:textId="77777777" w:rsidR="00862A88" w:rsidRPr="009907F8" w:rsidRDefault="00862A88" w:rsidP="003E2967">
      <w:pPr>
        <w:ind w:left="851"/>
        <w:rPr>
          <w:sz w:val="24"/>
          <w:szCs w:val="24"/>
          <w:lang w:val="en-GB" w:eastAsia="en-US"/>
        </w:rPr>
      </w:pPr>
      <w:r w:rsidRPr="009907F8">
        <w:rPr>
          <w:sz w:val="24"/>
          <w:szCs w:val="24"/>
          <w:lang w:val="en-GB" w:eastAsia="en-US"/>
        </w:rPr>
        <w:t xml:space="preserve"> </w:t>
      </w:r>
    </w:p>
    <w:p w14:paraId="01A7262A"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QT interval</w:t>
      </w:r>
    </w:p>
    <w:p w14:paraId="046FC6AB" w14:textId="77777777" w:rsidR="00862A88" w:rsidRPr="009907F8" w:rsidRDefault="00862A88" w:rsidP="003E2967">
      <w:pPr>
        <w:ind w:left="851"/>
        <w:rPr>
          <w:sz w:val="24"/>
          <w:szCs w:val="24"/>
          <w:lang w:val="en-GB" w:eastAsia="en-US"/>
        </w:rPr>
      </w:pPr>
      <w:r w:rsidRPr="009907F8">
        <w:rPr>
          <w:sz w:val="24"/>
          <w:szCs w:val="24"/>
          <w:lang w:val="en-GB" w:eastAsia="en-US"/>
        </w:rPr>
        <w:t xml:space="preserve">In a thorough QT interval study of doses of 1.25 or 2.5 mg fingolimod at steady-state, when a negative chronotropic effect of fingolimod was still present, fingolimod treatment resulted in a prolongation of </w:t>
      </w:r>
      <w:proofErr w:type="spellStart"/>
      <w:r w:rsidRPr="009907F8">
        <w:rPr>
          <w:sz w:val="24"/>
          <w:szCs w:val="24"/>
          <w:lang w:val="en-GB" w:eastAsia="en-US"/>
        </w:rPr>
        <w:t>QTcI</w:t>
      </w:r>
      <w:proofErr w:type="spellEnd"/>
      <w:r w:rsidRPr="009907F8">
        <w:rPr>
          <w:sz w:val="24"/>
          <w:szCs w:val="24"/>
          <w:lang w:val="en-GB" w:eastAsia="en-US"/>
        </w:rPr>
        <w:t>, with the upper limit of the 90% CI ≤13.0 </w:t>
      </w:r>
      <w:proofErr w:type="spellStart"/>
      <w:r w:rsidRPr="009907F8">
        <w:rPr>
          <w:sz w:val="24"/>
          <w:szCs w:val="24"/>
          <w:lang w:val="en-GB" w:eastAsia="en-US"/>
        </w:rPr>
        <w:t>ms</w:t>
      </w:r>
      <w:proofErr w:type="spellEnd"/>
      <w:r w:rsidRPr="009907F8">
        <w:rPr>
          <w:sz w:val="24"/>
          <w:szCs w:val="24"/>
          <w:lang w:val="en-GB" w:eastAsia="en-US"/>
        </w:rPr>
        <w:t xml:space="preserve">. There is no dose- or exposure-response relationship of fingolimod and </w:t>
      </w:r>
      <w:proofErr w:type="spellStart"/>
      <w:r w:rsidRPr="009907F8">
        <w:rPr>
          <w:sz w:val="24"/>
          <w:szCs w:val="24"/>
          <w:lang w:val="en-GB" w:eastAsia="en-US"/>
        </w:rPr>
        <w:t>QTcI</w:t>
      </w:r>
      <w:proofErr w:type="spellEnd"/>
      <w:r w:rsidRPr="009907F8">
        <w:rPr>
          <w:sz w:val="24"/>
          <w:szCs w:val="24"/>
          <w:lang w:val="en-GB" w:eastAsia="en-US"/>
        </w:rPr>
        <w:t xml:space="preserve"> prolongation. There is no consistent signal of increased incidence of </w:t>
      </w:r>
      <w:proofErr w:type="spellStart"/>
      <w:r w:rsidRPr="009907F8">
        <w:rPr>
          <w:sz w:val="24"/>
          <w:szCs w:val="24"/>
          <w:lang w:val="en-GB" w:eastAsia="en-US"/>
        </w:rPr>
        <w:t>QTcI</w:t>
      </w:r>
      <w:proofErr w:type="spellEnd"/>
      <w:r w:rsidRPr="009907F8">
        <w:rPr>
          <w:sz w:val="24"/>
          <w:szCs w:val="24"/>
          <w:lang w:val="en-GB" w:eastAsia="en-US"/>
        </w:rPr>
        <w:t xml:space="preserve"> outliers, either absolute or change from baseline, associated with fingolimod treatment.</w:t>
      </w:r>
    </w:p>
    <w:p w14:paraId="4F254472" w14:textId="77777777" w:rsidR="00862A88" w:rsidRPr="009907F8" w:rsidRDefault="00862A88" w:rsidP="003E2967">
      <w:pPr>
        <w:ind w:left="851"/>
        <w:rPr>
          <w:sz w:val="24"/>
          <w:szCs w:val="24"/>
          <w:lang w:val="en-GB" w:eastAsia="en-US"/>
        </w:rPr>
      </w:pPr>
    </w:p>
    <w:p w14:paraId="63BFA2D6" w14:textId="77777777" w:rsidR="00862A88" w:rsidRPr="009907F8" w:rsidRDefault="00862A88" w:rsidP="003E2967">
      <w:pPr>
        <w:ind w:left="851"/>
        <w:rPr>
          <w:sz w:val="24"/>
          <w:szCs w:val="24"/>
          <w:lang w:val="en-GB" w:eastAsia="en-US"/>
        </w:rPr>
      </w:pPr>
      <w:r w:rsidRPr="009907F8">
        <w:rPr>
          <w:sz w:val="24"/>
          <w:szCs w:val="24"/>
          <w:lang w:val="en-GB" w:eastAsia="en-US"/>
        </w:rPr>
        <w:t>The clinical relevance of this finding is unknown. In the multiple sclerosis studies, clinically relevant effects on prolongation of the QTc-interval have not been observed but patients at risk for QT prolongation were not included in clinical studies.</w:t>
      </w:r>
    </w:p>
    <w:p w14:paraId="49D6C907" w14:textId="77777777" w:rsidR="00862A88" w:rsidRPr="009907F8" w:rsidRDefault="00862A88" w:rsidP="003E2967">
      <w:pPr>
        <w:ind w:left="851"/>
        <w:rPr>
          <w:sz w:val="24"/>
          <w:szCs w:val="24"/>
          <w:lang w:val="en-GB" w:eastAsia="en-US"/>
        </w:rPr>
      </w:pPr>
    </w:p>
    <w:p w14:paraId="4FEAF0DA" w14:textId="77777777" w:rsidR="00862A88" w:rsidRPr="009907F8" w:rsidRDefault="00862A88" w:rsidP="003E2967">
      <w:pPr>
        <w:ind w:left="851"/>
        <w:rPr>
          <w:sz w:val="24"/>
          <w:szCs w:val="24"/>
          <w:lang w:val="en-GB" w:eastAsia="en-US"/>
        </w:rPr>
      </w:pPr>
      <w:r w:rsidRPr="009907F8">
        <w:rPr>
          <w:sz w:val="24"/>
          <w:szCs w:val="24"/>
          <w:lang w:val="en-GB" w:eastAsia="en-US"/>
        </w:rPr>
        <w:t>Medicinal products that may prolong QTc interval are best avoided in patients with relevant risk factors, for example, hypokalaemia or congenital QT prolongation.</w:t>
      </w:r>
    </w:p>
    <w:p w14:paraId="0326B6D6" w14:textId="77777777" w:rsidR="00862A88" w:rsidRPr="009907F8" w:rsidRDefault="00862A88" w:rsidP="003E2967">
      <w:pPr>
        <w:ind w:left="851"/>
        <w:rPr>
          <w:sz w:val="24"/>
          <w:szCs w:val="24"/>
          <w:lang w:val="en-GB" w:eastAsia="en-US"/>
        </w:rPr>
      </w:pPr>
    </w:p>
    <w:p w14:paraId="7F40E8D6"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Immunosuppressive effects</w:t>
      </w:r>
    </w:p>
    <w:p w14:paraId="78314351" w14:textId="77777777" w:rsidR="00862A88" w:rsidRPr="009907F8" w:rsidRDefault="00862A88" w:rsidP="003E2967">
      <w:pPr>
        <w:ind w:left="851"/>
        <w:rPr>
          <w:sz w:val="24"/>
          <w:szCs w:val="24"/>
          <w:lang w:val="en-GB" w:eastAsia="en-US"/>
        </w:rPr>
      </w:pPr>
      <w:r w:rsidRPr="009907F8">
        <w:rPr>
          <w:sz w:val="24"/>
          <w:szCs w:val="24"/>
          <w:lang w:val="en-GB" w:eastAsia="en-US"/>
        </w:rPr>
        <w:t>Fingolimod has an immunosuppressive effect that predisposes patients to an infection risk, including opportunistic infections that can be fatal, and increases the risk of developing lymphomas and other malignancies, particularly those of the skin. Physicians should carefully monitor patients, especially those with concurrent conditions or known factors, such as previous immunosuppressive therapy. If this risk is suspected, discontinuation of treatment should be considered by the physician on a case-by- case basis (see also section 4.4 “Infections” and “Cutaneous neoplasms” and section 4.8 “Lymphomas”).</w:t>
      </w:r>
    </w:p>
    <w:p w14:paraId="14F068A6" w14:textId="77777777" w:rsidR="00862A88" w:rsidRPr="009907F8" w:rsidRDefault="00862A88" w:rsidP="003E2967">
      <w:pPr>
        <w:ind w:left="851"/>
        <w:rPr>
          <w:sz w:val="24"/>
          <w:szCs w:val="24"/>
          <w:lang w:val="en-GB" w:eastAsia="en-US"/>
        </w:rPr>
      </w:pPr>
    </w:p>
    <w:p w14:paraId="65EB6345"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Infections</w:t>
      </w:r>
    </w:p>
    <w:p w14:paraId="124C4C66" w14:textId="77777777" w:rsidR="00862A88" w:rsidRPr="009907F8" w:rsidRDefault="00862A88" w:rsidP="003E2967">
      <w:pPr>
        <w:ind w:left="851"/>
        <w:rPr>
          <w:sz w:val="24"/>
          <w:szCs w:val="24"/>
          <w:lang w:val="en-GB" w:eastAsia="en-US"/>
        </w:rPr>
      </w:pPr>
      <w:r w:rsidRPr="009907F8">
        <w:rPr>
          <w:sz w:val="24"/>
          <w:szCs w:val="24"/>
          <w:lang w:val="en-GB" w:eastAsia="en-US"/>
        </w:rPr>
        <w:t>A core pharmacodynamic effect of fingolimod is a dose-dependent reduction of the peripheral lymphocyte count to 20-30% of baseline values. This is due to the reversible sequestration of lymphocytes in lymphoid tissues (see section 5.1).</w:t>
      </w:r>
    </w:p>
    <w:p w14:paraId="141BA1F9" w14:textId="77777777" w:rsidR="00862A88" w:rsidRPr="009907F8" w:rsidRDefault="00862A88" w:rsidP="003E2967">
      <w:pPr>
        <w:ind w:left="851"/>
        <w:rPr>
          <w:sz w:val="24"/>
          <w:szCs w:val="24"/>
          <w:lang w:val="en-GB" w:eastAsia="en-US"/>
        </w:rPr>
      </w:pPr>
    </w:p>
    <w:p w14:paraId="03219AC9" w14:textId="77777777" w:rsidR="00862A88" w:rsidRPr="009907F8" w:rsidRDefault="00862A88" w:rsidP="003E2967">
      <w:pPr>
        <w:ind w:left="851"/>
        <w:rPr>
          <w:sz w:val="24"/>
          <w:szCs w:val="24"/>
          <w:lang w:val="en-GB" w:eastAsia="en-US"/>
        </w:rPr>
      </w:pPr>
      <w:r w:rsidRPr="009907F8">
        <w:rPr>
          <w:sz w:val="24"/>
          <w:szCs w:val="24"/>
          <w:lang w:val="en-GB" w:eastAsia="en-US"/>
        </w:rPr>
        <w:t>Before initiating treatment with fingolimod, a recent complete blood count (CBC) (i.e. within 6 months or after discontinuation of prior therapy) should be available. Assessments of CBC are also recommended periodically during treatment, at month 3 and at least yearly thereafter, and in case of signs of infection. Absolute lymphocyte count &lt;0.2x10</w:t>
      </w:r>
      <w:r w:rsidRPr="009907F8">
        <w:rPr>
          <w:sz w:val="24"/>
          <w:szCs w:val="24"/>
          <w:vertAlign w:val="superscript"/>
          <w:lang w:val="en-GB" w:eastAsia="en-US"/>
        </w:rPr>
        <w:t>9</w:t>
      </w:r>
      <w:r w:rsidRPr="009907F8">
        <w:rPr>
          <w:sz w:val="24"/>
          <w:szCs w:val="24"/>
          <w:lang w:val="en-GB" w:eastAsia="en-US"/>
        </w:rPr>
        <w:t xml:space="preserve">/l, if confirmed, should lead to treatment interruption until recovery, because in clinical studies, </w:t>
      </w:r>
      <w:r w:rsidRPr="009907F8">
        <w:rPr>
          <w:sz w:val="24"/>
          <w:szCs w:val="24"/>
          <w:lang w:val="en-GB" w:eastAsia="en-US"/>
        </w:rPr>
        <w:lastRenderedPageBreak/>
        <w:t>fingolimod treatment was interrupted in patients with absolute lymphocyte count &lt;0.2x10</w:t>
      </w:r>
      <w:r w:rsidRPr="009907F8">
        <w:rPr>
          <w:sz w:val="24"/>
          <w:szCs w:val="24"/>
          <w:vertAlign w:val="superscript"/>
          <w:lang w:val="en-GB" w:eastAsia="en-US"/>
        </w:rPr>
        <w:t>9</w:t>
      </w:r>
      <w:r w:rsidRPr="009907F8">
        <w:rPr>
          <w:sz w:val="24"/>
          <w:szCs w:val="24"/>
          <w:lang w:val="en-GB" w:eastAsia="en-US"/>
        </w:rPr>
        <w:t>/l.</w:t>
      </w:r>
    </w:p>
    <w:p w14:paraId="3B3BD5E1" w14:textId="77777777" w:rsidR="00862A88" w:rsidRPr="009907F8" w:rsidRDefault="00862A88" w:rsidP="003E2967">
      <w:pPr>
        <w:ind w:left="851"/>
        <w:rPr>
          <w:sz w:val="24"/>
          <w:szCs w:val="24"/>
          <w:lang w:val="en-GB" w:eastAsia="en-US"/>
        </w:rPr>
      </w:pPr>
    </w:p>
    <w:p w14:paraId="0188EFD0" w14:textId="77777777" w:rsidR="00862A88" w:rsidRPr="009907F8" w:rsidRDefault="00862A88" w:rsidP="003E2967">
      <w:pPr>
        <w:ind w:left="851"/>
        <w:rPr>
          <w:sz w:val="24"/>
          <w:szCs w:val="24"/>
          <w:lang w:val="en-GB" w:eastAsia="en-US"/>
        </w:rPr>
      </w:pPr>
      <w:r w:rsidRPr="009907F8">
        <w:rPr>
          <w:sz w:val="24"/>
          <w:szCs w:val="24"/>
          <w:lang w:val="en-GB" w:eastAsia="en-US"/>
        </w:rPr>
        <w:t>Initiation of treatment with fingolimod should be delayed in patients with severe active infection until resolution.</w:t>
      </w:r>
    </w:p>
    <w:p w14:paraId="7D64A539" w14:textId="77777777" w:rsidR="00862A88" w:rsidRPr="009907F8" w:rsidRDefault="00862A88" w:rsidP="003E2967">
      <w:pPr>
        <w:ind w:left="851"/>
        <w:rPr>
          <w:sz w:val="24"/>
          <w:szCs w:val="24"/>
          <w:lang w:val="en-GB" w:eastAsia="en-US"/>
        </w:rPr>
      </w:pPr>
    </w:p>
    <w:p w14:paraId="1923716C" w14:textId="77777777" w:rsidR="00862A88" w:rsidRPr="009907F8" w:rsidRDefault="00862A88" w:rsidP="003E2967">
      <w:pPr>
        <w:ind w:left="851"/>
        <w:rPr>
          <w:sz w:val="24"/>
          <w:szCs w:val="24"/>
          <w:lang w:val="en-GB" w:eastAsia="en-US"/>
        </w:rPr>
      </w:pPr>
      <w:r w:rsidRPr="009907F8">
        <w:rPr>
          <w:sz w:val="24"/>
          <w:szCs w:val="24"/>
          <w:lang w:val="en-GB" w:eastAsia="en-US"/>
        </w:rPr>
        <w:t>The immune system effects of fingolimod may increase the risk of infections, including opportunistic infections (see section 4.8). Effective diagnostic and therapeutic strategies should be employed in patients with symptoms of infection while on therapy. When evaluating a patient with a suspected infection that could be serious, referral to a physician experienced in treating infections should be considered. During treatment, patients should be instructed to report promptly symptoms of infection to their physician.</w:t>
      </w:r>
    </w:p>
    <w:p w14:paraId="7FC30908" w14:textId="77777777" w:rsidR="00862A88" w:rsidRPr="009907F8" w:rsidRDefault="00862A88" w:rsidP="003E2967">
      <w:pPr>
        <w:ind w:left="851"/>
        <w:rPr>
          <w:sz w:val="24"/>
          <w:szCs w:val="24"/>
          <w:lang w:val="en-GB" w:eastAsia="en-US"/>
        </w:rPr>
      </w:pPr>
      <w:r w:rsidRPr="009907F8">
        <w:rPr>
          <w:sz w:val="24"/>
          <w:szCs w:val="24"/>
          <w:lang w:val="en-GB" w:eastAsia="en-US"/>
        </w:rPr>
        <w:t xml:space="preserve"> </w:t>
      </w:r>
    </w:p>
    <w:p w14:paraId="783E7F13" w14:textId="77777777" w:rsidR="00862A88" w:rsidRPr="009907F8" w:rsidRDefault="00862A88" w:rsidP="003E2967">
      <w:pPr>
        <w:ind w:left="851"/>
        <w:rPr>
          <w:sz w:val="24"/>
          <w:szCs w:val="24"/>
          <w:lang w:val="en-GB" w:eastAsia="en-US"/>
        </w:rPr>
      </w:pPr>
      <w:r w:rsidRPr="009907F8">
        <w:rPr>
          <w:sz w:val="24"/>
          <w:szCs w:val="24"/>
          <w:lang w:val="en-GB" w:eastAsia="en-US"/>
        </w:rPr>
        <w:t>Suspension of fingolimod should be considered if a patient develops a serious infection and consideration of benefit-risk should be undertaken prior to re-initiation of therapy.</w:t>
      </w:r>
    </w:p>
    <w:p w14:paraId="109DEFD2" w14:textId="77777777" w:rsidR="00862A88" w:rsidRPr="009907F8" w:rsidRDefault="00862A88" w:rsidP="003E2967">
      <w:pPr>
        <w:ind w:left="851"/>
        <w:rPr>
          <w:sz w:val="24"/>
          <w:szCs w:val="24"/>
          <w:lang w:val="en-GB" w:eastAsia="en-US"/>
        </w:rPr>
      </w:pPr>
    </w:p>
    <w:p w14:paraId="1605FEC5" w14:textId="77777777" w:rsidR="00862A88" w:rsidRPr="009907F8" w:rsidRDefault="00862A88" w:rsidP="003E2967">
      <w:pPr>
        <w:ind w:left="851"/>
        <w:rPr>
          <w:sz w:val="24"/>
          <w:szCs w:val="24"/>
          <w:lang w:val="en-GB" w:eastAsia="en-US"/>
        </w:rPr>
      </w:pPr>
      <w:r w:rsidRPr="009907F8">
        <w:rPr>
          <w:sz w:val="24"/>
          <w:szCs w:val="24"/>
          <w:lang w:val="en-GB" w:eastAsia="en-US"/>
        </w:rPr>
        <w:t>Elimination of fingolimod following discontinuation of therapy may take up to two months and vigilance for infection should therefore be continued throughout this period. Patients should be instructed to report symptoms of infection up to 2 months after discontinuation of fingolimod.</w:t>
      </w:r>
    </w:p>
    <w:p w14:paraId="7F0B76DF" w14:textId="77777777" w:rsidR="00862A88" w:rsidRPr="009907F8" w:rsidRDefault="00862A88" w:rsidP="003E2967">
      <w:pPr>
        <w:ind w:left="851"/>
        <w:rPr>
          <w:sz w:val="24"/>
          <w:szCs w:val="24"/>
          <w:lang w:val="en-GB" w:eastAsia="en-US"/>
        </w:rPr>
      </w:pPr>
    </w:p>
    <w:p w14:paraId="75DC48C3" w14:textId="77777777" w:rsidR="00862A88" w:rsidRPr="009907F8" w:rsidRDefault="00862A88" w:rsidP="003E2967">
      <w:pPr>
        <w:ind w:left="851"/>
        <w:rPr>
          <w:i/>
          <w:sz w:val="24"/>
          <w:szCs w:val="24"/>
          <w:lang w:val="en-GB" w:eastAsia="en-US"/>
        </w:rPr>
      </w:pPr>
      <w:r w:rsidRPr="009907F8">
        <w:rPr>
          <w:i/>
          <w:sz w:val="24"/>
          <w:szCs w:val="24"/>
          <w:lang w:val="en-GB" w:eastAsia="en-US"/>
        </w:rPr>
        <w:t>Herpes viral infection</w:t>
      </w:r>
    </w:p>
    <w:p w14:paraId="1EE05581" w14:textId="77777777" w:rsidR="00862A88" w:rsidRPr="009907F8" w:rsidRDefault="00862A88" w:rsidP="003E2967">
      <w:pPr>
        <w:ind w:left="851"/>
        <w:rPr>
          <w:sz w:val="24"/>
          <w:szCs w:val="24"/>
          <w:lang w:val="en-GB" w:eastAsia="en-US"/>
        </w:rPr>
      </w:pPr>
      <w:r w:rsidRPr="009907F8">
        <w:rPr>
          <w:sz w:val="24"/>
          <w:szCs w:val="24"/>
          <w:lang w:val="en-GB" w:eastAsia="en-US"/>
        </w:rPr>
        <w:t>Serious, life-threatening, and sometimes fatal cases of encephalitis, meningitis or meningoencephalitis caused by herpes simplex and varicella zoster viruses have occurred with fingolimod at any time during treatment. If herpes encephalitis, meningitis or meningoencephalitis occur, fingolimod should be discontinued and appropriate treatment for the respective infection should be administered.</w:t>
      </w:r>
    </w:p>
    <w:p w14:paraId="1F3D08A9" w14:textId="77777777" w:rsidR="00862A88" w:rsidRPr="009907F8" w:rsidRDefault="00862A88" w:rsidP="003E2967">
      <w:pPr>
        <w:ind w:left="851"/>
        <w:rPr>
          <w:sz w:val="24"/>
          <w:szCs w:val="24"/>
          <w:lang w:val="en-GB" w:eastAsia="en-US"/>
        </w:rPr>
      </w:pPr>
      <w:r w:rsidRPr="009907F8">
        <w:rPr>
          <w:sz w:val="24"/>
          <w:szCs w:val="24"/>
          <w:lang w:val="en-GB" w:eastAsia="en-US"/>
        </w:rPr>
        <w:t>Patients need to be assessed for their immunity to varicella (chickenpox) prior to fingolimod treatment. It is recommended that patients without a health care professional confirmed history of chickenpox or documentation of a full course of vaccination with varicella vaccine undergo antibody testing to varicella zoster virus (VZV) before initiating fingolimod therapy. A full course of vaccination for antibody-negative patients with varicella vaccine is recommended prior to commencing treatment with fingolimod (see section 4.8). Initiation of treatment with fingolimod should be postponed for 1 month to allow full effect of vaccination to occur.</w:t>
      </w:r>
    </w:p>
    <w:p w14:paraId="03820A39" w14:textId="77777777" w:rsidR="00862A88" w:rsidRPr="009907F8" w:rsidRDefault="00862A88" w:rsidP="003E2967">
      <w:pPr>
        <w:ind w:left="851"/>
        <w:rPr>
          <w:sz w:val="24"/>
          <w:szCs w:val="24"/>
          <w:lang w:val="en-GB" w:eastAsia="en-US"/>
        </w:rPr>
      </w:pPr>
    </w:p>
    <w:p w14:paraId="2ECEE37B" w14:textId="77777777" w:rsidR="00862A88" w:rsidRPr="009907F8" w:rsidRDefault="00862A88" w:rsidP="003E2967">
      <w:pPr>
        <w:ind w:left="851"/>
        <w:rPr>
          <w:i/>
          <w:sz w:val="24"/>
          <w:szCs w:val="24"/>
          <w:lang w:val="en-GB" w:eastAsia="en-US"/>
        </w:rPr>
      </w:pPr>
      <w:r w:rsidRPr="009907F8">
        <w:rPr>
          <w:i/>
          <w:sz w:val="24"/>
          <w:szCs w:val="24"/>
          <w:lang w:val="en-GB" w:eastAsia="en-US"/>
        </w:rPr>
        <w:t xml:space="preserve">Cryptococcal meningitis </w:t>
      </w:r>
    </w:p>
    <w:p w14:paraId="51F9B70E" w14:textId="77777777" w:rsidR="00862A88" w:rsidRPr="009907F8" w:rsidRDefault="00862A88" w:rsidP="003E2967">
      <w:pPr>
        <w:ind w:left="851"/>
        <w:rPr>
          <w:sz w:val="24"/>
          <w:szCs w:val="24"/>
          <w:lang w:val="en-GB" w:eastAsia="en-US"/>
        </w:rPr>
      </w:pPr>
      <w:r w:rsidRPr="009907F8">
        <w:rPr>
          <w:sz w:val="24"/>
          <w:szCs w:val="24"/>
          <w:lang w:val="en-GB" w:eastAsia="en-US"/>
        </w:rPr>
        <w:t>Cases of cryptococcal meningitis (a fungal infection), sometimes fatal, have been reported in the post- marketing setting after approximately 2-3 years of treatment, although an exact relationship with the duration of treatment is unknown (see section 4.8). Patients with symptoms and signs consistent with cryptococcal meningitis (e.g. headache accompanied by mental changes such as confusion, hallucinations, and/or personality changes) should undergo prompt diagnostic evaluation. If cryptococcal meningitis is diagnosed, fingolimod should be suspended and appropriate treatment should be initiated. A multidisciplinary consultation (i.e. infectious disease specialist) should be undertaken if re-initiation of fingolimod is warranted.</w:t>
      </w:r>
    </w:p>
    <w:p w14:paraId="73F077F6" w14:textId="77777777" w:rsidR="00862A88" w:rsidRPr="009907F8" w:rsidRDefault="00862A88" w:rsidP="003E2967">
      <w:pPr>
        <w:ind w:left="851"/>
        <w:rPr>
          <w:sz w:val="24"/>
          <w:szCs w:val="24"/>
          <w:lang w:val="en-GB" w:eastAsia="en-US"/>
        </w:rPr>
      </w:pPr>
    </w:p>
    <w:p w14:paraId="6B371D70" w14:textId="77777777" w:rsidR="00862A88" w:rsidRPr="009907F8" w:rsidRDefault="00862A88" w:rsidP="003E2967">
      <w:pPr>
        <w:ind w:left="851"/>
        <w:rPr>
          <w:i/>
          <w:sz w:val="24"/>
          <w:szCs w:val="24"/>
          <w:lang w:val="en-GB" w:eastAsia="en-US"/>
        </w:rPr>
      </w:pPr>
      <w:r w:rsidRPr="009907F8">
        <w:rPr>
          <w:i/>
          <w:sz w:val="24"/>
          <w:szCs w:val="24"/>
          <w:lang w:val="en-GB" w:eastAsia="en-US"/>
        </w:rPr>
        <w:t xml:space="preserve">Progressive multifocal leukoencephalopathy </w:t>
      </w:r>
    </w:p>
    <w:p w14:paraId="3C71424E" w14:textId="77777777" w:rsidR="00862A88" w:rsidRPr="009907F8" w:rsidRDefault="00862A88" w:rsidP="003E2967">
      <w:pPr>
        <w:ind w:left="851"/>
        <w:rPr>
          <w:sz w:val="24"/>
          <w:szCs w:val="24"/>
          <w:lang w:val="en-GB" w:eastAsia="en-US"/>
        </w:rPr>
      </w:pPr>
      <w:r w:rsidRPr="009907F8">
        <w:rPr>
          <w:sz w:val="24"/>
          <w:szCs w:val="24"/>
          <w:lang w:val="en-GB" w:eastAsia="en-US"/>
        </w:rPr>
        <w:t xml:space="preserve">Progressive multifocal leukoencephalopathy (PML) has been reported under fingolimod treatment since marketing authorisation (see section 4.8). PML is an opportunistic infection caused by John Cunningham virus (JCV), which may be fatal or result in severe </w:t>
      </w:r>
      <w:r w:rsidRPr="009907F8">
        <w:rPr>
          <w:sz w:val="24"/>
          <w:szCs w:val="24"/>
          <w:lang w:val="en-GB" w:eastAsia="en-US"/>
        </w:rPr>
        <w:lastRenderedPageBreak/>
        <w:t xml:space="preserve">disability. Cases of PML have occurred after approximately 2-3 years of monotherapy treatment without previous exposure to natalizumab. </w:t>
      </w:r>
      <w:r w:rsidRPr="009907F8">
        <w:rPr>
          <w:sz w:val="24"/>
          <w:szCs w:val="24"/>
          <w:lang w:val="en-GB" w:eastAsia="en-US" w:bidi="en-US"/>
        </w:rPr>
        <w:t xml:space="preserve">Although the estimated risk appears to increase with cumulative exposure over time, </w:t>
      </w:r>
      <w:r w:rsidRPr="009907F8">
        <w:rPr>
          <w:sz w:val="24"/>
          <w:szCs w:val="24"/>
          <w:lang w:val="en-GB" w:eastAsia="en-US"/>
        </w:rPr>
        <w:t xml:space="preserve">an exact relationship with the duration of treatment is unknown. Additional PML cases have occurred in patients who had been treated previously with natalizumab, which has a known association with PML. PML can only occur in the presence of a JCV infection. If JCV testing is undertaken, it should be considered that the influence of lymphopenia on the accuracy of anti-JCV antibody testing has not been studied in fingolimod-treated patients. It should also be noted that a negative anti-JCV antibody test does not preclude the possibility of subsequent JCV infection. Before initiating treatment with fingolimod, a baseline MRI should be available (usually within 3 months) as a reference. </w:t>
      </w:r>
      <w:r w:rsidRPr="009907F8">
        <w:rPr>
          <w:sz w:val="24"/>
          <w:szCs w:val="24"/>
          <w:lang w:val="en-GB" w:eastAsia="en-US" w:bidi="en-US"/>
        </w:rPr>
        <w:t xml:space="preserve">MRI findings may be apparent before clinical signs or symptoms. </w:t>
      </w:r>
      <w:r w:rsidRPr="009907F8">
        <w:rPr>
          <w:sz w:val="24"/>
          <w:szCs w:val="24"/>
          <w:lang w:val="en-GB" w:eastAsia="en-US"/>
        </w:rPr>
        <w:t xml:space="preserve">During routine MRI (in accordance with national and local recommendations), physicians should pay attention to PML suggestive lesions. MRI may be considered as part of increased vigilance in patients considered at increased risk of PML. </w:t>
      </w:r>
      <w:r w:rsidRPr="009907F8">
        <w:rPr>
          <w:sz w:val="24"/>
          <w:szCs w:val="24"/>
          <w:lang w:val="en-GB" w:eastAsia="en-US" w:bidi="en-US"/>
        </w:rPr>
        <w:t xml:space="preserve">Cases of asymptomatic PML based on MRI findings and positive JCV DNA in the cerebrospinal fluid have been reported in patients treated with fingolimod. </w:t>
      </w:r>
      <w:r w:rsidRPr="009907F8">
        <w:rPr>
          <w:sz w:val="24"/>
          <w:szCs w:val="24"/>
          <w:lang w:val="en-GB" w:eastAsia="en-US"/>
        </w:rPr>
        <w:t>If PML is suspected, MRI should be performed immediately for diagnostic purposes and treatment with fingolimod should be suspended until PML has been excluded.</w:t>
      </w:r>
    </w:p>
    <w:p w14:paraId="60098479" w14:textId="77777777" w:rsidR="00862A88" w:rsidRPr="009907F8" w:rsidRDefault="00862A88" w:rsidP="003E2967">
      <w:pPr>
        <w:ind w:left="851"/>
        <w:rPr>
          <w:sz w:val="24"/>
          <w:szCs w:val="24"/>
          <w:lang w:val="en-GB" w:eastAsia="en-US"/>
        </w:rPr>
      </w:pPr>
    </w:p>
    <w:p w14:paraId="682C0380" w14:textId="77777777" w:rsidR="00862A88" w:rsidRPr="009907F8" w:rsidRDefault="00862A88" w:rsidP="003E2967">
      <w:pPr>
        <w:ind w:left="851"/>
        <w:rPr>
          <w:i/>
          <w:sz w:val="24"/>
          <w:szCs w:val="24"/>
          <w:lang w:val="en-GB" w:eastAsia="en-US"/>
        </w:rPr>
      </w:pPr>
      <w:r w:rsidRPr="009907F8">
        <w:rPr>
          <w:i/>
          <w:sz w:val="24"/>
          <w:szCs w:val="24"/>
          <w:lang w:val="en-GB" w:eastAsia="en-US"/>
        </w:rPr>
        <w:t xml:space="preserve">Human papilloma virus infection </w:t>
      </w:r>
    </w:p>
    <w:p w14:paraId="7B8F34C4" w14:textId="455AC71D" w:rsidR="00862A88" w:rsidRPr="009907F8" w:rsidRDefault="00862A88" w:rsidP="003E2967">
      <w:pPr>
        <w:ind w:left="851"/>
        <w:rPr>
          <w:sz w:val="24"/>
          <w:szCs w:val="24"/>
          <w:lang w:val="en-GB" w:eastAsia="en-US"/>
        </w:rPr>
      </w:pPr>
      <w:r w:rsidRPr="009907F8">
        <w:rPr>
          <w:sz w:val="24"/>
          <w:szCs w:val="24"/>
          <w:lang w:val="en-GB" w:eastAsia="en-US"/>
        </w:rPr>
        <w:t>Human papilloma virus (HPV) infection, including papilloma, dysplasia, warts and HPV-related cancer, has been reported under treatment with fingolimod in the post-marketing setting</w:t>
      </w:r>
      <w:r w:rsidR="009907F8">
        <w:rPr>
          <w:sz w:val="24"/>
          <w:szCs w:val="24"/>
          <w:lang w:val="en-GB" w:eastAsia="en-US"/>
        </w:rPr>
        <w:t xml:space="preserve"> </w:t>
      </w:r>
      <w:r w:rsidRPr="009907F8">
        <w:rPr>
          <w:sz w:val="24"/>
          <w:szCs w:val="24"/>
          <w:lang w:val="en-GB" w:eastAsia="en-US"/>
        </w:rPr>
        <w:t xml:space="preserve">(see section 4.8). Due to the immunosuppressive properties of fingolimod, vaccination against HPV should be considered prior to treatment initiation with fingolimod </w:t>
      </w:r>
      <w:proofErr w:type="gramStart"/>
      <w:r w:rsidRPr="009907F8">
        <w:rPr>
          <w:sz w:val="24"/>
          <w:szCs w:val="24"/>
          <w:lang w:val="en-GB" w:eastAsia="en-US"/>
        </w:rPr>
        <w:t>taking into account</w:t>
      </w:r>
      <w:proofErr w:type="gramEnd"/>
      <w:r w:rsidRPr="009907F8">
        <w:rPr>
          <w:sz w:val="24"/>
          <w:szCs w:val="24"/>
          <w:lang w:val="en-GB" w:eastAsia="en-US"/>
        </w:rPr>
        <w:t xml:space="preserve"> vaccination recommendations. Cancer screening, including Pap test, is recommended as per standard of care.</w:t>
      </w:r>
    </w:p>
    <w:p w14:paraId="3FE8394A" w14:textId="77777777" w:rsidR="00862A88" w:rsidRPr="009907F8" w:rsidRDefault="00862A88" w:rsidP="003E2967">
      <w:pPr>
        <w:ind w:left="851"/>
        <w:rPr>
          <w:sz w:val="24"/>
          <w:szCs w:val="24"/>
          <w:lang w:val="en-GB" w:eastAsia="en-US"/>
        </w:rPr>
      </w:pPr>
    </w:p>
    <w:p w14:paraId="4AEAAFE9"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Macular oedema</w:t>
      </w:r>
    </w:p>
    <w:p w14:paraId="286B6A4B" w14:textId="77777777" w:rsidR="00862A88" w:rsidRPr="009907F8" w:rsidRDefault="00862A88" w:rsidP="003E2967">
      <w:pPr>
        <w:ind w:left="851"/>
        <w:rPr>
          <w:sz w:val="24"/>
          <w:szCs w:val="24"/>
          <w:lang w:val="en-GB" w:eastAsia="en-US"/>
        </w:rPr>
      </w:pPr>
      <w:r w:rsidRPr="009907F8">
        <w:rPr>
          <w:sz w:val="24"/>
          <w:szCs w:val="24"/>
          <w:lang w:val="en-GB" w:eastAsia="en-US"/>
        </w:rPr>
        <w:t>Macular oedema with or without visual symptoms has been reported in 0.5% of patients treated with fingolimod 0.5 mg, occurring predominantly in the first 3-4 months of therapy (see section 4.8). An ophthalmological evaluation is therefore recommended at 3-4 months after treatment initiation. If patients report visual disturbances at any time while on therapy, evaluation of the fundus, including the macula, should be carried out.</w:t>
      </w:r>
    </w:p>
    <w:p w14:paraId="3BD98142" w14:textId="77777777" w:rsidR="00862A88" w:rsidRPr="009907F8" w:rsidRDefault="00862A88" w:rsidP="003E2967">
      <w:pPr>
        <w:ind w:left="851"/>
        <w:rPr>
          <w:sz w:val="24"/>
          <w:szCs w:val="24"/>
          <w:lang w:val="en-GB" w:eastAsia="en-US"/>
        </w:rPr>
      </w:pPr>
    </w:p>
    <w:p w14:paraId="22409BCB" w14:textId="77777777" w:rsidR="00862A88" w:rsidRPr="009907F8" w:rsidRDefault="00862A88" w:rsidP="003E2967">
      <w:pPr>
        <w:ind w:left="851"/>
        <w:rPr>
          <w:sz w:val="24"/>
          <w:szCs w:val="24"/>
          <w:lang w:val="en-GB" w:eastAsia="en-US"/>
        </w:rPr>
      </w:pPr>
      <w:r w:rsidRPr="009907F8">
        <w:rPr>
          <w:sz w:val="24"/>
          <w:szCs w:val="24"/>
          <w:lang w:val="en-GB" w:eastAsia="en-US"/>
        </w:rPr>
        <w:t>Patients with history of uveitis and patients with diabetes mellitus are at increased risk of macular oedema (see section 4.8). Fingolimod has not been studied in multiple sclerosis patients with concomitant diabetes mellitus. It is recommended that multiple sclerosis patients with diabetes mellitus or a history of uveitis undergo an ophthalmological evaluation prior to initiating therapy and have follow-up evaluations while receiving therapy.</w:t>
      </w:r>
    </w:p>
    <w:p w14:paraId="23A573EB" w14:textId="77777777" w:rsidR="00862A88" w:rsidRPr="009907F8" w:rsidRDefault="00862A88" w:rsidP="003E2967">
      <w:pPr>
        <w:ind w:left="851"/>
        <w:rPr>
          <w:sz w:val="24"/>
          <w:szCs w:val="24"/>
          <w:lang w:val="en-GB" w:eastAsia="en-US"/>
        </w:rPr>
      </w:pPr>
      <w:r w:rsidRPr="009907F8">
        <w:rPr>
          <w:sz w:val="24"/>
          <w:szCs w:val="24"/>
          <w:lang w:val="en-GB" w:eastAsia="en-US"/>
        </w:rPr>
        <w:t xml:space="preserve"> </w:t>
      </w:r>
    </w:p>
    <w:p w14:paraId="1D5CC88D" w14:textId="77777777" w:rsidR="00862A88" w:rsidRPr="009907F8" w:rsidRDefault="00862A88" w:rsidP="003E2967">
      <w:pPr>
        <w:ind w:left="851"/>
        <w:rPr>
          <w:sz w:val="24"/>
          <w:szCs w:val="24"/>
          <w:lang w:val="en-GB" w:eastAsia="en-US"/>
        </w:rPr>
      </w:pPr>
      <w:r w:rsidRPr="009907F8">
        <w:rPr>
          <w:sz w:val="24"/>
          <w:szCs w:val="24"/>
          <w:lang w:val="en-GB" w:eastAsia="en-US"/>
        </w:rPr>
        <w:t xml:space="preserve">Continuation of treatment in patients with macular oedema has not been evaluated. It is recommended that fingolimod be discontinued if a patient develops macular oedema. A decision on whether or not therapy should be re-initiated after resolution of macular oedema needs to </w:t>
      </w:r>
      <w:proofErr w:type="gramStart"/>
      <w:r w:rsidRPr="009907F8">
        <w:rPr>
          <w:sz w:val="24"/>
          <w:szCs w:val="24"/>
          <w:lang w:val="en-GB" w:eastAsia="en-US"/>
        </w:rPr>
        <w:t>take into account</w:t>
      </w:r>
      <w:proofErr w:type="gramEnd"/>
      <w:r w:rsidRPr="009907F8">
        <w:rPr>
          <w:sz w:val="24"/>
          <w:szCs w:val="24"/>
          <w:lang w:val="en-GB" w:eastAsia="en-US"/>
        </w:rPr>
        <w:t xml:space="preserve"> the potential benefits and risks for the individual patient.</w:t>
      </w:r>
    </w:p>
    <w:p w14:paraId="0B869C52" w14:textId="77777777" w:rsidR="00862A88" w:rsidRPr="009907F8" w:rsidRDefault="00862A88" w:rsidP="003E2967">
      <w:pPr>
        <w:ind w:left="851"/>
        <w:rPr>
          <w:sz w:val="24"/>
          <w:szCs w:val="24"/>
          <w:lang w:val="en-GB" w:eastAsia="en-US"/>
        </w:rPr>
      </w:pPr>
    </w:p>
    <w:p w14:paraId="4627BA20"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Liver injury</w:t>
      </w:r>
    </w:p>
    <w:p w14:paraId="7D1C2A46" w14:textId="77777777" w:rsidR="00862A88" w:rsidRPr="009907F8" w:rsidRDefault="00862A88" w:rsidP="003E2967">
      <w:pPr>
        <w:ind w:left="851"/>
        <w:rPr>
          <w:sz w:val="24"/>
          <w:szCs w:val="24"/>
          <w:lang w:val="en-GB" w:eastAsia="en-US"/>
        </w:rPr>
      </w:pPr>
      <w:r w:rsidRPr="009907F8">
        <w:rPr>
          <w:sz w:val="24"/>
          <w:szCs w:val="24"/>
          <w:lang w:val="en-GB" w:eastAsia="en-US"/>
        </w:rPr>
        <w:t xml:space="preserve">Increased hepatic enzymes, in particular alanine aminotransaminase (ALT) but also gamma </w:t>
      </w:r>
      <w:proofErr w:type="spellStart"/>
      <w:r w:rsidRPr="009907F8">
        <w:rPr>
          <w:sz w:val="24"/>
          <w:szCs w:val="24"/>
          <w:lang w:val="en-GB" w:eastAsia="en-US"/>
        </w:rPr>
        <w:t>glutamyltransferase</w:t>
      </w:r>
      <w:proofErr w:type="spellEnd"/>
      <w:r w:rsidRPr="009907F8">
        <w:rPr>
          <w:sz w:val="24"/>
          <w:szCs w:val="24"/>
          <w:lang w:val="en-GB" w:eastAsia="en-US"/>
        </w:rPr>
        <w:t xml:space="preserve"> (GGT) and aspartate transaminase (AST) have been reported in multiple sclerosis patients treated with fingolimod. Some cases of acute liver failure </w:t>
      </w:r>
      <w:r w:rsidRPr="009907F8">
        <w:rPr>
          <w:sz w:val="24"/>
          <w:szCs w:val="24"/>
          <w:lang w:val="en-GB" w:eastAsia="en-US"/>
        </w:rPr>
        <w:lastRenderedPageBreak/>
        <w:t xml:space="preserve">requiring liver transplant and clinically significant liver injury have also been reported. Signs of liver injury, including markedly elevated serum hepatic enzymes and elevated total bilirubin, have occurred as early as ten days after the first dose and have also been reported after prolonged use. In clinical trials, elevations 3-fold the upper limit of normal (ULN) or greater in ALT occurred in 8.0% of adult patients treated with fingolimod 0.5 mg compared to 1.9% of placebo patients. Elevations 5-fold the ULN occurred in 1.8% of patients on fingolimod and 0.9% of patients on placebo. In clinical trials, fingolimod was discontinued if the elevation exceeded 5 times the ULN. Recurrence of liver transaminase elevations occurred with </w:t>
      </w:r>
      <w:proofErr w:type="spellStart"/>
      <w:r w:rsidRPr="009907F8">
        <w:rPr>
          <w:sz w:val="24"/>
          <w:szCs w:val="24"/>
          <w:lang w:val="en-GB" w:eastAsia="en-US"/>
        </w:rPr>
        <w:t>rechallenge</w:t>
      </w:r>
      <w:proofErr w:type="spellEnd"/>
      <w:r w:rsidRPr="009907F8">
        <w:rPr>
          <w:sz w:val="24"/>
          <w:szCs w:val="24"/>
          <w:lang w:val="en-GB" w:eastAsia="en-US"/>
        </w:rPr>
        <w:t xml:space="preserve"> in some patients, supporting a relationship to fingolimod. In clinical studies, transaminase elevations occurred at any time during treatment although the majority occurred within the first 12 months. Serum transaminase levels returned to normal within approximately 2 months after discontinuation of fingolimod.</w:t>
      </w:r>
    </w:p>
    <w:p w14:paraId="3C8EB8AA" w14:textId="77777777" w:rsidR="00862A88" w:rsidRPr="009907F8" w:rsidRDefault="00862A88" w:rsidP="003E2967">
      <w:pPr>
        <w:ind w:left="851"/>
        <w:rPr>
          <w:sz w:val="24"/>
          <w:szCs w:val="24"/>
          <w:lang w:val="en-GB" w:eastAsia="en-US"/>
        </w:rPr>
      </w:pPr>
    </w:p>
    <w:p w14:paraId="4A4F27B3" w14:textId="77777777" w:rsidR="00862A88" w:rsidRPr="009907F8" w:rsidRDefault="00862A88" w:rsidP="003E2967">
      <w:pPr>
        <w:ind w:left="851"/>
        <w:rPr>
          <w:sz w:val="24"/>
          <w:szCs w:val="24"/>
          <w:lang w:val="en-GB" w:eastAsia="en-US"/>
        </w:rPr>
      </w:pPr>
      <w:r w:rsidRPr="009907F8">
        <w:rPr>
          <w:sz w:val="24"/>
          <w:szCs w:val="24"/>
          <w:lang w:val="en-GB" w:eastAsia="en-US"/>
        </w:rPr>
        <w:t>Fingolimod has not been studied in patients with severe pre-existing hepatic injury (Child-Pugh class C) and should not be used in these patients (see section 4.3).</w:t>
      </w:r>
    </w:p>
    <w:p w14:paraId="59B2E4FA" w14:textId="77777777" w:rsidR="00862A88" w:rsidRPr="009907F8" w:rsidRDefault="00862A88" w:rsidP="003E2967">
      <w:pPr>
        <w:ind w:left="851"/>
        <w:rPr>
          <w:sz w:val="24"/>
          <w:szCs w:val="24"/>
          <w:lang w:val="en-GB" w:eastAsia="en-US"/>
        </w:rPr>
      </w:pPr>
    </w:p>
    <w:p w14:paraId="3F073AB0" w14:textId="77777777" w:rsidR="00862A88" w:rsidRPr="009907F8" w:rsidRDefault="00862A88" w:rsidP="003E2967">
      <w:pPr>
        <w:ind w:left="851"/>
        <w:rPr>
          <w:sz w:val="24"/>
          <w:szCs w:val="24"/>
          <w:lang w:val="en-GB" w:eastAsia="en-US"/>
        </w:rPr>
      </w:pPr>
      <w:r w:rsidRPr="009907F8">
        <w:rPr>
          <w:sz w:val="24"/>
          <w:szCs w:val="24"/>
          <w:lang w:val="en-GB" w:eastAsia="en-US"/>
        </w:rPr>
        <w:t>Due to the immunosuppressive properties of fingolimod, initiation of treatment should be delayed in patients with active viral hepatitis until resolution.</w:t>
      </w:r>
    </w:p>
    <w:p w14:paraId="1363530C" w14:textId="77777777" w:rsidR="00862A88" w:rsidRPr="009907F8" w:rsidRDefault="00862A88" w:rsidP="003E2967">
      <w:pPr>
        <w:ind w:left="851"/>
        <w:rPr>
          <w:sz w:val="24"/>
          <w:szCs w:val="24"/>
          <w:lang w:val="en-GB" w:eastAsia="en-US"/>
        </w:rPr>
      </w:pPr>
    </w:p>
    <w:p w14:paraId="6475B66B" w14:textId="46957DD3" w:rsidR="00862A88" w:rsidRPr="009907F8" w:rsidRDefault="00862A88" w:rsidP="003E2967">
      <w:pPr>
        <w:ind w:left="851"/>
        <w:rPr>
          <w:sz w:val="24"/>
          <w:szCs w:val="24"/>
          <w:lang w:val="en-GB" w:eastAsia="en-US"/>
        </w:rPr>
      </w:pPr>
      <w:r w:rsidRPr="009907F8">
        <w:rPr>
          <w:sz w:val="24"/>
          <w:szCs w:val="24"/>
          <w:lang w:val="en-GB" w:eastAsia="en-US"/>
        </w:rPr>
        <w:t>Recent (i.e. within last 6 months) transaminase and bilirubin levels should be available before initiation of treatment. In the absence of clinical symptoms, liver transaminases and serum bilirubin should be monitored at months 1, 3, 6, 9 and 12 on therapy and periodically thereafter until 2 months after fingolimod discontinuation. In the absence of clinical symptoms, if liver transaminases are greater than 3 but less than 5 times the ULN without increase in serum bilirubin, more frequent monitoring including serum bilirubin and alkaline phosphatase (ALP) measurement should be instituted to determine if further increases occur and in order to discern if an alternative aetiology of hepatic dysfunction is present. If liver transaminases are at least 5 times the ULN or at least 3 times the ULN associated with any increase in serum bilirubin, fingolimod should be discontinued. Hepatic monitoring should be continued. If serum levels return to normal (including if an alternative cause of the hepatic dysfunction is discovered), fingolimod may be restarted based on a careful benefit-risk assessment of the patient.</w:t>
      </w:r>
    </w:p>
    <w:p w14:paraId="12E41684" w14:textId="77777777" w:rsidR="00862A88" w:rsidRPr="009907F8" w:rsidRDefault="00862A88" w:rsidP="003E2967">
      <w:pPr>
        <w:ind w:left="851"/>
        <w:rPr>
          <w:sz w:val="24"/>
          <w:szCs w:val="24"/>
          <w:lang w:val="en-GB" w:eastAsia="en-US"/>
        </w:rPr>
      </w:pPr>
      <w:r w:rsidRPr="009907F8">
        <w:rPr>
          <w:sz w:val="24"/>
          <w:szCs w:val="24"/>
          <w:lang w:val="en-GB" w:eastAsia="en-US"/>
        </w:rPr>
        <w:t xml:space="preserve">Patients who develop symptoms suggestive of hepatic dysfunction, such as unexplained nausea, vomiting, abdominal pain, fatigue, anorexia, or jaundice and/or dark urine, should have liver enzymes and bilirubin checked promptly and treatment should be discontinued if significant liver injury is confirmed. Treatment should not be resumed unless a plausible alternative aetiology for the signs and symptoms of liver injury can be established. </w:t>
      </w:r>
    </w:p>
    <w:p w14:paraId="53409228" w14:textId="77777777" w:rsidR="00862A88" w:rsidRPr="009907F8" w:rsidRDefault="00862A88" w:rsidP="003E2967">
      <w:pPr>
        <w:ind w:left="851"/>
        <w:rPr>
          <w:sz w:val="24"/>
          <w:szCs w:val="24"/>
          <w:lang w:val="en-GB" w:eastAsia="en-US"/>
        </w:rPr>
      </w:pPr>
      <w:r w:rsidRPr="009907F8">
        <w:rPr>
          <w:sz w:val="24"/>
          <w:szCs w:val="24"/>
          <w:lang w:val="en-GB" w:eastAsia="en-US"/>
        </w:rPr>
        <w:t>Although there are no data to establish that patients with pre-existing liver disease are at increased risk of developing elevated liver function tests when taking fingolimod, caution in the use of fingolimod should be exercised in patients with a history of significant liver disease.</w:t>
      </w:r>
    </w:p>
    <w:p w14:paraId="6F33D7F4" w14:textId="77777777" w:rsidR="00862A88" w:rsidRPr="009907F8" w:rsidRDefault="00862A88" w:rsidP="003E2967">
      <w:pPr>
        <w:ind w:left="851"/>
        <w:rPr>
          <w:sz w:val="24"/>
          <w:szCs w:val="24"/>
          <w:lang w:val="en-GB" w:eastAsia="en-US"/>
        </w:rPr>
      </w:pPr>
    </w:p>
    <w:p w14:paraId="32F09A29"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Blood pressure effects</w:t>
      </w:r>
    </w:p>
    <w:p w14:paraId="5356EDBC" w14:textId="77777777" w:rsidR="00862A88" w:rsidRPr="009907F8" w:rsidRDefault="00862A88" w:rsidP="003E2967">
      <w:pPr>
        <w:ind w:left="851"/>
        <w:rPr>
          <w:sz w:val="24"/>
          <w:szCs w:val="24"/>
          <w:lang w:val="en-GB" w:eastAsia="en-US"/>
        </w:rPr>
      </w:pPr>
      <w:r w:rsidRPr="009907F8">
        <w:rPr>
          <w:sz w:val="24"/>
          <w:szCs w:val="24"/>
          <w:lang w:val="en-GB" w:eastAsia="en-US"/>
        </w:rPr>
        <w:t>Patients with hypertension uncontrolled by medication were excluded from participation in premarketing clinical trials and special care is indicated if patients with uncontrolled hypertension are treated with fingolimod.</w:t>
      </w:r>
    </w:p>
    <w:p w14:paraId="48EB3324" w14:textId="77777777" w:rsidR="00862A88" w:rsidRPr="009907F8" w:rsidRDefault="00862A88" w:rsidP="003E2967">
      <w:pPr>
        <w:ind w:left="851"/>
        <w:rPr>
          <w:sz w:val="24"/>
          <w:szCs w:val="24"/>
          <w:lang w:val="en-GB" w:eastAsia="en-US"/>
        </w:rPr>
      </w:pPr>
    </w:p>
    <w:p w14:paraId="0215D0DC" w14:textId="77777777" w:rsidR="00862A88" w:rsidRPr="009907F8" w:rsidRDefault="00862A88" w:rsidP="003E2967">
      <w:pPr>
        <w:ind w:left="851"/>
        <w:rPr>
          <w:sz w:val="24"/>
          <w:szCs w:val="24"/>
          <w:lang w:val="en-GB" w:eastAsia="en-US"/>
        </w:rPr>
      </w:pPr>
      <w:r w:rsidRPr="009907F8">
        <w:rPr>
          <w:sz w:val="24"/>
          <w:szCs w:val="24"/>
          <w:lang w:val="en-GB" w:eastAsia="en-US"/>
        </w:rPr>
        <w:t xml:space="preserve">In MS clinical trials, patients treated with fingolimod 0.5 mg had an average increase of approximately 3 mmHg in systolic pressure, and approximately 1 mmHg in diastolic pressure, first detected approximately 1 month after treatment initiation, and persisting </w:t>
      </w:r>
      <w:r w:rsidRPr="009907F8">
        <w:rPr>
          <w:sz w:val="24"/>
          <w:szCs w:val="24"/>
          <w:lang w:val="en-GB" w:eastAsia="en-US"/>
        </w:rPr>
        <w:lastRenderedPageBreak/>
        <w:t>with continued treatment. In the two- year placebo-controlled study, hypertension was reported as an adverse event in 6.5% of patients on fingolimod 0.5 mg and in 3.3% of patients on placebo. Therefore, blood pressure should be regularly monitored during treatment.</w:t>
      </w:r>
    </w:p>
    <w:p w14:paraId="19FA472A" w14:textId="77777777" w:rsidR="00862A88" w:rsidRPr="009907F8" w:rsidRDefault="00862A88" w:rsidP="003E2967">
      <w:pPr>
        <w:ind w:left="851"/>
        <w:rPr>
          <w:sz w:val="24"/>
          <w:szCs w:val="24"/>
          <w:lang w:val="en-GB" w:eastAsia="en-US"/>
        </w:rPr>
      </w:pPr>
    </w:p>
    <w:p w14:paraId="3188D56D"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Respiratory effects</w:t>
      </w:r>
    </w:p>
    <w:p w14:paraId="697085CB" w14:textId="77777777" w:rsidR="00862A88" w:rsidRPr="009907F8" w:rsidRDefault="00862A88" w:rsidP="003E2967">
      <w:pPr>
        <w:ind w:left="851"/>
        <w:rPr>
          <w:sz w:val="24"/>
          <w:szCs w:val="24"/>
          <w:lang w:val="en-GB" w:eastAsia="en-US"/>
        </w:rPr>
      </w:pPr>
      <w:r w:rsidRPr="009907F8">
        <w:rPr>
          <w:sz w:val="24"/>
          <w:szCs w:val="24"/>
          <w:lang w:val="en-GB" w:eastAsia="en-US"/>
        </w:rPr>
        <w:t>Minor dose-dependent reductions in values for forced expiratory volume (FEV</w:t>
      </w:r>
      <w:r w:rsidRPr="009907F8">
        <w:rPr>
          <w:sz w:val="24"/>
          <w:szCs w:val="24"/>
          <w:vertAlign w:val="subscript"/>
          <w:lang w:val="en-GB" w:eastAsia="en-US"/>
        </w:rPr>
        <w:t>1</w:t>
      </w:r>
      <w:r w:rsidRPr="009907F8">
        <w:rPr>
          <w:sz w:val="24"/>
          <w:szCs w:val="24"/>
          <w:lang w:val="en-GB" w:eastAsia="en-US"/>
        </w:rPr>
        <w:t>) and diffusion capacity for carbon monoxide (DLCO) were observed with fingolimod treatment starting at month 1 and remaining stable thereafter. Fingolimod should be used with caution in patients with severe respiratory disease, pulmonary fibrosis and chronic obstructive pulmonary disease (see section 4.8).</w:t>
      </w:r>
    </w:p>
    <w:p w14:paraId="1CC9BCBA" w14:textId="77777777" w:rsidR="00862A88" w:rsidRPr="009907F8" w:rsidRDefault="00862A88" w:rsidP="003E2967">
      <w:pPr>
        <w:ind w:left="851"/>
        <w:rPr>
          <w:sz w:val="24"/>
          <w:szCs w:val="24"/>
          <w:lang w:val="en-GB" w:eastAsia="en-US"/>
        </w:rPr>
      </w:pPr>
    </w:p>
    <w:p w14:paraId="0259E857"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Posterior reversible encephalopathy syndrome</w:t>
      </w:r>
    </w:p>
    <w:p w14:paraId="4E3310FF" w14:textId="77777777" w:rsidR="00862A88" w:rsidRPr="009907F8" w:rsidRDefault="00862A88" w:rsidP="003E2967">
      <w:pPr>
        <w:ind w:left="851"/>
        <w:rPr>
          <w:sz w:val="24"/>
          <w:szCs w:val="24"/>
          <w:lang w:val="en-GB" w:eastAsia="en-US"/>
        </w:rPr>
      </w:pPr>
      <w:r w:rsidRPr="009907F8">
        <w:rPr>
          <w:sz w:val="24"/>
          <w:szCs w:val="24"/>
          <w:lang w:val="en-GB" w:eastAsia="en-US"/>
        </w:rPr>
        <w:t>Rare cases of posterior reversible encephalopathy syndrome (PRES) have been reported at the 0.5 mg dose in clinical trials and in the post-marketing setting (see section 4.8). Symptoms reported included sudden onset of severe headache, nausea, vomiting, altered mental status, visual disturbances and seizure. Symptoms of PRES are usually reversible but may evolve into ischaemic stroke or cerebral haemorrhage. Delay in diagnosis and treatment may lead to permanent neurological sequelae. If PRES is suspected, fingolimod should be discontinued.</w:t>
      </w:r>
    </w:p>
    <w:p w14:paraId="181FD3BE" w14:textId="77777777" w:rsidR="00862A88" w:rsidRPr="009907F8" w:rsidRDefault="00862A88" w:rsidP="003E2967">
      <w:pPr>
        <w:ind w:left="851"/>
        <w:rPr>
          <w:sz w:val="24"/>
          <w:szCs w:val="24"/>
          <w:lang w:val="en-GB" w:eastAsia="en-US"/>
        </w:rPr>
      </w:pPr>
    </w:p>
    <w:p w14:paraId="180AE6FC"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Prior treatment with immunosuppressive or immunomodulatory therapies</w:t>
      </w:r>
    </w:p>
    <w:p w14:paraId="754C058B" w14:textId="77777777" w:rsidR="00862A88" w:rsidRPr="009907F8" w:rsidRDefault="00862A88" w:rsidP="003E2967">
      <w:pPr>
        <w:ind w:left="851"/>
        <w:rPr>
          <w:sz w:val="24"/>
          <w:szCs w:val="24"/>
          <w:lang w:val="en-GB" w:eastAsia="en-US"/>
        </w:rPr>
      </w:pPr>
      <w:r w:rsidRPr="009907F8">
        <w:rPr>
          <w:sz w:val="24"/>
          <w:szCs w:val="24"/>
          <w:lang w:val="en-GB" w:eastAsia="en-US"/>
        </w:rPr>
        <w:t>There have been no studies performed to evaluate the efficacy and safety of fingolimod when switching patients from teriflunomide, dimethyl fumarate or alemtuzumab treatment to fingolimod. When switching patients from another disease modifying therapy to fingolimod, the elimination half-life and mode of action of the other therapy must be considered in order to avoid an additive immune effect whilst at the same time minimising the risk of disease reactivation. A CBC is recommended prior to initiating fingolimod to ensure that immune effects of the previous therapy (i.e. cytopenia) have resolved.</w:t>
      </w:r>
    </w:p>
    <w:p w14:paraId="007DA7F3" w14:textId="77777777" w:rsidR="00862A88" w:rsidRPr="009907F8" w:rsidRDefault="00862A88" w:rsidP="003E2967">
      <w:pPr>
        <w:ind w:left="851"/>
        <w:rPr>
          <w:sz w:val="24"/>
          <w:szCs w:val="24"/>
          <w:lang w:val="en-GB" w:eastAsia="en-US"/>
        </w:rPr>
      </w:pPr>
    </w:p>
    <w:p w14:paraId="6FA0D1E4" w14:textId="77777777" w:rsidR="00862A88" w:rsidRPr="009907F8" w:rsidRDefault="00862A88" w:rsidP="003E2967">
      <w:pPr>
        <w:ind w:left="851"/>
        <w:rPr>
          <w:sz w:val="24"/>
          <w:szCs w:val="24"/>
          <w:lang w:val="en-GB" w:eastAsia="en-US"/>
        </w:rPr>
      </w:pPr>
      <w:r w:rsidRPr="009907F8">
        <w:rPr>
          <w:sz w:val="24"/>
          <w:szCs w:val="24"/>
          <w:lang w:val="en-GB" w:eastAsia="en-US"/>
        </w:rPr>
        <w:t>Fingolimod can generally be started immediately after discontinuation of interferon or glatiramer acetate.</w:t>
      </w:r>
    </w:p>
    <w:p w14:paraId="07A11603" w14:textId="77777777" w:rsidR="00862A88" w:rsidRPr="009907F8" w:rsidRDefault="00862A88" w:rsidP="003E2967">
      <w:pPr>
        <w:ind w:left="851"/>
        <w:rPr>
          <w:sz w:val="24"/>
          <w:szCs w:val="24"/>
          <w:lang w:val="en-GB" w:eastAsia="en-US"/>
        </w:rPr>
      </w:pPr>
    </w:p>
    <w:p w14:paraId="49D62B9C" w14:textId="77777777" w:rsidR="00862A88" w:rsidRPr="009907F8" w:rsidRDefault="00862A88" w:rsidP="003E2967">
      <w:pPr>
        <w:ind w:left="851"/>
        <w:rPr>
          <w:sz w:val="24"/>
          <w:szCs w:val="24"/>
          <w:lang w:val="en-GB" w:eastAsia="en-US"/>
        </w:rPr>
      </w:pPr>
      <w:r w:rsidRPr="009907F8">
        <w:rPr>
          <w:sz w:val="24"/>
          <w:szCs w:val="24"/>
          <w:lang w:val="en-GB" w:eastAsia="en-US"/>
        </w:rPr>
        <w:t>For dimethyl fumarate, the washout period should be sufficient for CBC to recover before treatment with fingolimod is started.</w:t>
      </w:r>
    </w:p>
    <w:p w14:paraId="3853D431" w14:textId="77777777" w:rsidR="00862A88" w:rsidRPr="009907F8" w:rsidRDefault="00862A88" w:rsidP="003E2967">
      <w:pPr>
        <w:ind w:left="851"/>
        <w:rPr>
          <w:sz w:val="24"/>
          <w:szCs w:val="24"/>
          <w:lang w:val="en-GB" w:eastAsia="en-US"/>
        </w:rPr>
      </w:pPr>
    </w:p>
    <w:p w14:paraId="03003173" w14:textId="77777777" w:rsidR="00862A88" w:rsidRPr="009907F8" w:rsidRDefault="00862A88" w:rsidP="003E2967">
      <w:pPr>
        <w:ind w:left="851"/>
        <w:rPr>
          <w:sz w:val="24"/>
          <w:szCs w:val="24"/>
          <w:lang w:val="en-GB" w:eastAsia="en-US"/>
        </w:rPr>
      </w:pPr>
      <w:r w:rsidRPr="009907F8">
        <w:rPr>
          <w:sz w:val="24"/>
          <w:szCs w:val="24"/>
          <w:lang w:val="en-GB" w:eastAsia="en-US"/>
        </w:rPr>
        <w:t>Due to the long elimination half-life of natalizumab, elimination usually takes up to 2-3 months following discontinuation. Teriflunomide is also eliminated slowly from the plasma. Without an accelerated elimination procedure, clearance of teriflunomide from plasma can take from several months up to 2 years. An accelerated elimination procedure as defined in the teriflunomide summary of product characteristics is recommended or alternatively washout period should not be shorter than 3.5 months. Caution regarding potential concomitant immune effects is required when switching patients from natalizumab or teriflunomide to fingolimod.</w:t>
      </w:r>
    </w:p>
    <w:p w14:paraId="3975AD7E" w14:textId="77777777" w:rsidR="00862A88" w:rsidRPr="009907F8" w:rsidRDefault="00862A88" w:rsidP="003E2967">
      <w:pPr>
        <w:ind w:left="851"/>
        <w:rPr>
          <w:sz w:val="24"/>
          <w:szCs w:val="24"/>
          <w:lang w:val="en-GB" w:eastAsia="en-US"/>
        </w:rPr>
      </w:pPr>
    </w:p>
    <w:p w14:paraId="728D94C3" w14:textId="77777777" w:rsidR="00862A88" w:rsidRPr="009907F8" w:rsidRDefault="00862A88" w:rsidP="003E2967">
      <w:pPr>
        <w:ind w:left="851"/>
        <w:rPr>
          <w:sz w:val="24"/>
          <w:szCs w:val="24"/>
          <w:lang w:val="en-GB" w:eastAsia="en-US"/>
        </w:rPr>
      </w:pPr>
      <w:r w:rsidRPr="009907F8">
        <w:rPr>
          <w:sz w:val="24"/>
          <w:szCs w:val="24"/>
          <w:lang w:val="en-GB" w:eastAsia="en-US"/>
        </w:rPr>
        <w:t>Alemtuzumab has profound and prolonged immunosuppressive effects. As the actual duration of these effects is unknown, initiating treatment with fingolimod after alemtuzumab is not recommended unless the benefits of such treatment clearly outweigh the risks for the individual patient.</w:t>
      </w:r>
    </w:p>
    <w:p w14:paraId="3C90F374" w14:textId="77777777" w:rsidR="00862A88" w:rsidRPr="009907F8" w:rsidRDefault="00862A88" w:rsidP="003E2967">
      <w:pPr>
        <w:ind w:left="851"/>
        <w:rPr>
          <w:sz w:val="24"/>
          <w:szCs w:val="24"/>
          <w:lang w:val="en-GB" w:eastAsia="en-US"/>
        </w:rPr>
      </w:pPr>
    </w:p>
    <w:p w14:paraId="1FD8714D" w14:textId="77777777" w:rsidR="00862A88" w:rsidRPr="009907F8" w:rsidRDefault="00862A88" w:rsidP="003E2967">
      <w:pPr>
        <w:ind w:left="851"/>
        <w:rPr>
          <w:sz w:val="24"/>
          <w:szCs w:val="24"/>
          <w:lang w:val="en-GB" w:eastAsia="en-US"/>
        </w:rPr>
      </w:pPr>
      <w:r w:rsidRPr="009907F8">
        <w:rPr>
          <w:sz w:val="24"/>
          <w:szCs w:val="24"/>
          <w:lang w:val="en-GB" w:eastAsia="en-US"/>
        </w:rPr>
        <w:lastRenderedPageBreak/>
        <w:t>A decision to use prolonged concomitant treatment with corticosteroids should be taken after careful consideration.</w:t>
      </w:r>
    </w:p>
    <w:p w14:paraId="4D7F4760" w14:textId="77777777" w:rsidR="00862A88" w:rsidRPr="009907F8" w:rsidRDefault="00862A88" w:rsidP="003E2967">
      <w:pPr>
        <w:ind w:left="851"/>
        <w:rPr>
          <w:sz w:val="24"/>
          <w:szCs w:val="24"/>
          <w:lang w:val="en-GB" w:eastAsia="en-US"/>
        </w:rPr>
      </w:pPr>
      <w:r w:rsidRPr="009907F8">
        <w:rPr>
          <w:sz w:val="24"/>
          <w:szCs w:val="24"/>
          <w:lang w:val="en-GB" w:eastAsia="en-US"/>
        </w:rPr>
        <w:t xml:space="preserve"> </w:t>
      </w:r>
    </w:p>
    <w:p w14:paraId="26E214C1"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Co-administration with potent CYP450 inducers</w:t>
      </w:r>
    </w:p>
    <w:p w14:paraId="4A42F2A6" w14:textId="77777777" w:rsidR="00862A88" w:rsidRPr="009907F8" w:rsidRDefault="00862A88" w:rsidP="003E2967">
      <w:pPr>
        <w:ind w:left="851"/>
        <w:rPr>
          <w:sz w:val="24"/>
          <w:szCs w:val="24"/>
          <w:lang w:val="en-GB" w:eastAsia="en-US"/>
        </w:rPr>
      </w:pPr>
      <w:r w:rsidRPr="009907F8">
        <w:rPr>
          <w:sz w:val="24"/>
          <w:szCs w:val="24"/>
          <w:lang w:val="en-GB" w:eastAsia="en-US"/>
        </w:rPr>
        <w:t>The combination of fingolimod with potent CYP450 inducers should be used with caution.</w:t>
      </w:r>
    </w:p>
    <w:p w14:paraId="0563AF89" w14:textId="77777777" w:rsidR="00862A88" w:rsidRPr="009907F8" w:rsidRDefault="00862A88" w:rsidP="003E2967">
      <w:pPr>
        <w:ind w:left="851"/>
        <w:rPr>
          <w:sz w:val="24"/>
          <w:szCs w:val="24"/>
          <w:lang w:val="en-GB" w:eastAsia="en-US"/>
        </w:rPr>
      </w:pPr>
      <w:r w:rsidRPr="009907F8">
        <w:rPr>
          <w:sz w:val="24"/>
          <w:szCs w:val="24"/>
          <w:lang w:val="en-GB" w:eastAsia="en-US"/>
        </w:rPr>
        <w:t xml:space="preserve">Concomitant administration with St John’s Wort is not recommended (see section 4.5). </w:t>
      </w:r>
    </w:p>
    <w:p w14:paraId="5C51DD74" w14:textId="77777777" w:rsidR="00862A88" w:rsidRPr="009907F8" w:rsidRDefault="00862A88" w:rsidP="003E2967">
      <w:pPr>
        <w:ind w:left="851"/>
        <w:rPr>
          <w:sz w:val="24"/>
          <w:szCs w:val="24"/>
          <w:lang w:val="en-GB" w:eastAsia="en-US"/>
        </w:rPr>
      </w:pPr>
    </w:p>
    <w:p w14:paraId="4BA99E4E" w14:textId="77777777" w:rsidR="00862A88" w:rsidRPr="009907F8" w:rsidRDefault="00862A88" w:rsidP="003E2967">
      <w:pPr>
        <w:ind w:left="851"/>
        <w:rPr>
          <w:sz w:val="24"/>
          <w:szCs w:val="24"/>
          <w:u w:val="single"/>
          <w:lang w:val="en-GB" w:eastAsia="en-US"/>
        </w:rPr>
      </w:pPr>
      <w:r w:rsidRPr="009907F8">
        <w:rPr>
          <w:sz w:val="24"/>
          <w:szCs w:val="24"/>
          <w:u w:val="single"/>
          <w:lang w:val="en-GB" w:eastAsia="en-US"/>
        </w:rPr>
        <w:t>Malignancies</w:t>
      </w:r>
    </w:p>
    <w:p w14:paraId="452AF725" w14:textId="77777777" w:rsidR="00862A88" w:rsidRPr="009907F8" w:rsidRDefault="00862A88" w:rsidP="003E2967">
      <w:pPr>
        <w:ind w:left="851"/>
        <w:rPr>
          <w:sz w:val="24"/>
          <w:szCs w:val="24"/>
          <w:lang w:val="en-GB" w:eastAsia="en-US"/>
        </w:rPr>
      </w:pPr>
    </w:p>
    <w:p w14:paraId="1C5813FF" w14:textId="77777777" w:rsidR="00862A88" w:rsidRPr="009907F8" w:rsidRDefault="00862A88" w:rsidP="003E2967">
      <w:pPr>
        <w:ind w:left="851"/>
        <w:rPr>
          <w:i/>
          <w:sz w:val="24"/>
          <w:szCs w:val="24"/>
          <w:u w:val="single"/>
          <w:lang w:val="en-GB" w:eastAsia="en-US"/>
        </w:rPr>
      </w:pPr>
      <w:r w:rsidRPr="009907F8">
        <w:rPr>
          <w:i/>
          <w:sz w:val="24"/>
          <w:szCs w:val="24"/>
          <w:u w:val="single"/>
          <w:lang w:val="en-GB" w:eastAsia="en-US"/>
        </w:rPr>
        <w:t>Cutaneous malignancies</w:t>
      </w:r>
    </w:p>
    <w:p w14:paraId="7A03D109" w14:textId="77777777" w:rsidR="00862A88" w:rsidRPr="009907F8" w:rsidRDefault="00862A88" w:rsidP="003E2967">
      <w:pPr>
        <w:ind w:left="851"/>
        <w:rPr>
          <w:sz w:val="24"/>
          <w:szCs w:val="24"/>
          <w:lang w:val="en-GB" w:eastAsia="en-US"/>
        </w:rPr>
      </w:pPr>
      <w:r w:rsidRPr="009907F8">
        <w:rPr>
          <w:sz w:val="24"/>
          <w:szCs w:val="24"/>
          <w:lang w:val="en-GB" w:eastAsia="en-US"/>
        </w:rPr>
        <w:t>Basal cell carcinoma (BCC) and other cutaneous neoplasms, including malignant melanoma, squamous cell carcinoma, Kaposi’s sarcoma and Merkel cell carcinoma, have been reported in patients receiving fingolimod (see section 4.8). Vigilance for skin lesions is warranted and a medical evaluation of the skin is recommended at initiation, and then every 6 to 12 months taking into consideration clinical judgement. The patient should be referred to a dermatologist in case suspicious lesions are detected.</w:t>
      </w:r>
    </w:p>
    <w:p w14:paraId="7F773755" w14:textId="77777777" w:rsidR="00862A88" w:rsidRPr="009907F8" w:rsidRDefault="00862A88" w:rsidP="003E2967">
      <w:pPr>
        <w:ind w:left="851"/>
        <w:rPr>
          <w:sz w:val="24"/>
          <w:szCs w:val="24"/>
          <w:lang w:val="en-GB" w:eastAsia="en-US"/>
        </w:rPr>
      </w:pPr>
    </w:p>
    <w:p w14:paraId="1B92BBD5" w14:textId="77777777" w:rsidR="00862A88" w:rsidRPr="009907F8" w:rsidRDefault="00862A88" w:rsidP="003E2967">
      <w:pPr>
        <w:ind w:left="851"/>
        <w:rPr>
          <w:sz w:val="24"/>
          <w:szCs w:val="24"/>
          <w:lang w:val="en-GB" w:eastAsia="en-US"/>
        </w:rPr>
      </w:pPr>
      <w:r w:rsidRPr="009907F8">
        <w:rPr>
          <w:sz w:val="24"/>
          <w:szCs w:val="24"/>
          <w:lang w:val="en-GB" w:eastAsia="en-US"/>
        </w:rPr>
        <w:t>Since there is a potential risk of malignant skin growths, patients treated with fingolimod should be cautioned against exposure to sunlight without protection. These patients should not receive concomitant phototherapy with UV-B-radiation or PUVA-photochemotherapy.</w:t>
      </w:r>
    </w:p>
    <w:p w14:paraId="673C88E8" w14:textId="77777777" w:rsidR="00862A88" w:rsidRPr="009907F8" w:rsidRDefault="00862A88" w:rsidP="003E2967">
      <w:pPr>
        <w:ind w:left="851"/>
        <w:rPr>
          <w:sz w:val="24"/>
          <w:szCs w:val="24"/>
          <w:lang w:val="en-GB" w:eastAsia="en-US"/>
        </w:rPr>
      </w:pPr>
    </w:p>
    <w:p w14:paraId="185D24C5" w14:textId="77777777" w:rsidR="00862A88" w:rsidRPr="009907F8" w:rsidRDefault="00862A88" w:rsidP="003E2967">
      <w:pPr>
        <w:ind w:left="851"/>
        <w:rPr>
          <w:i/>
          <w:sz w:val="24"/>
          <w:szCs w:val="24"/>
          <w:u w:val="single"/>
          <w:lang w:val="en-GB" w:eastAsia="en-US"/>
        </w:rPr>
      </w:pPr>
      <w:r w:rsidRPr="009907F8">
        <w:rPr>
          <w:i/>
          <w:sz w:val="24"/>
          <w:szCs w:val="24"/>
          <w:u w:val="single"/>
          <w:lang w:val="en-GB" w:eastAsia="en-US"/>
        </w:rPr>
        <w:t>Lymphomas</w:t>
      </w:r>
    </w:p>
    <w:p w14:paraId="7F036B7E" w14:textId="1F0A5898" w:rsidR="00862A88" w:rsidRPr="009907F8" w:rsidRDefault="00862A88" w:rsidP="003E2967">
      <w:pPr>
        <w:ind w:left="851"/>
        <w:rPr>
          <w:sz w:val="24"/>
          <w:szCs w:val="24"/>
          <w:lang w:val="en-GB" w:eastAsia="en-US"/>
        </w:rPr>
      </w:pPr>
      <w:r w:rsidRPr="009907F8">
        <w:rPr>
          <w:sz w:val="24"/>
          <w:szCs w:val="24"/>
          <w:lang w:val="en-GB" w:eastAsia="en-US"/>
        </w:rPr>
        <w:t>There have been cases of lymphoma in clinical studies and the post-marketing setting (see section 4.8). The cases reported were heterogeneous in nature, mainly non-Hodgkin’s lymphoma,</w:t>
      </w:r>
      <w:r w:rsidR="009907F8">
        <w:rPr>
          <w:sz w:val="24"/>
          <w:szCs w:val="24"/>
          <w:lang w:val="en-GB" w:eastAsia="en-US"/>
        </w:rPr>
        <w:t xml:space="preserve"> </w:t>
      </w:r>
      <w:r w:rsidRPr="009907F8">
        <w:rPr>
          <w:sz w:val="24"/>
          <w:szCs w:val="24"/>
          <w:lang w:val="en-GB" w:eastAsia="en-US"/>
        </w:rPr>
        <w:t>including B-cell and T-cell lymphomas. Cases of cutaneous T-cell lymphoma (mycosis fungoides) have been observed. A fatal case of Epstein-Barr virus (EBV) positive B-cell lymphoma has also been observed. If lymphoma is suspected, treatment should be discontinued.</w:t>
      </w:r>
    </w:p>
    <w:p w14:paraId="413FB523" w14:textId="77777777" w:rsidR="00862A88" w:rsidRPr="009907F8" w:rsidRDefault="00862A88" w:rsidP="003E2967">
      <w:pPr>
        <w:ind w:left="851"/>
        <w:rPr>
          <w:sz w:val="24"/>
          <w:szCs w:val="24"/>
          <w:lang w:val="en-GB" w:eastAsia="en-US"/>
        </w:rPr>
      </w:pPr>
    </w:p>
    <w:p w14:paraId="4414DD00" w14:textId="77777777" w:rsidR="00862A88" w:rsidRPr="00122FFB" w:rsidRDefault="00862A88" w:rsidP="003E2967">
      <w:pPr>
        <w:ind w:left="851"/>
        <w:rPr>
          <w:sz w:val="24"/>
          <w:szCs w:val="24"/>
          <w:u w:val="single"/>
          <w:lang w:val="en-GB" w:eastAsia="en-US"/>
        </w:rPr>
      </w:pPr>
      <w:r w:rsidRPr="00122FFB">
        <w:rPr>
          <w:sz w:val="24"/>
          <w:szCs w:val="24"/>
          <w:u w:val="single"/>
          <w:lang w:val="en-GB" w:eastAsia="en-US"/>
        </w:rPr>
        <w:t>Women of childbearing potential</w:t>
      </w:r>
    </w:p>
    <w:p w14:paraId="6F6F284E" w14:textId="77777777" w:rsidR="00862A88" w:rsidRPr="009907F8" w:rsidRDefault="00862A88" w:rsidP="003E2967">
      <w:pPr>
        <w:ind w:left="851"/>
        <w:rPr>
          <w:sz w:val="24"/>
          <w:szCs w:val="24"/>
          <w:lang w:val="en-GB" w:eastAsia="en-US"/>
        </w:rPr>
      </w:pPr>
      <w:r w:rsidRPr="009907F8">
        <w:rPr>
          <w:sz w:val="24"/>
          <w:szCs w:val="24"/>
          <w:lang w:val="en-GB" w:eastAsia="en-US"/>
        </w:rPr>
        <w:t>Due to risk to the foetus, fingolimod is contraindicated during pregnancy and in women of childbearing potential not using effective contraception. Before initiation of treatment, women of childbearing potential must be informed of this risk to the foetus, must have a negative pregnancy test and must use effective contraception during treatment and for 2 months after treatment discontinuation (see sections 4.3 and 4.6 and the information contained in the Physician Information Pack).</w:t>
      </w:r>
    </w:p>
    <w:p w14:paraId="166A3A57" w14:textId="77777777" w:rsidR="00862A88" w:rsidRPr="009907F8" w:rsidRDefault="00862A88" w:rsidP="003E2967">
      <w:pPr>
        <w:ind w:left="851"/>
        <w:rPr>
          <w:sz w:val="24"/>
          <w:szCs w:val="24"/>
          <w:lang w:val="en-GB" w:eastAsia="en-US"/>
        </w:rPr>
      </w:pPr>
    </w:p>
    <w:p w14:paraId="044CD4C8" w14:textId="77777777" w:rsidR="00862A88" w:rsidRPr="00122FFB" w:rsidRDefault="00862A88" w:rsidP="003E2967">
      <w:pPr>
        <w:ind w:left="851"/>
        <w:rPr>
          <w:sz w:val="24"/>
          <w:szCs w:val="24"/>
          <w:u w:val="single"/>
          <w:lang w:val="en-GB" w:eastAsia="en-US"/>
        </w:rPr>
      </w:pPr>
      <w:proofErr w:type="spellStart"/>
      <w:r w:rsidRPr="00122FFB">
        <w:rPr>
          <w:sz w:val="24"/>
          <w:szCs w:val="24"/>
          <w:u w:val="single"/>
          <w:lang w:val="en-GB" w:eastAsia="en-US"/>
        </w:rPr>
        <w:t>Tumefactive</w:t>
      </w:r>
      <w:proofErr w:type="spellEnd"/>
      <w:r w:rsidRPr="00122FFB">
        <w:rPr>
          <w:sz w:val="24"/>
          <w:szCs w:val="24"/>
          <w:u w:val="single"/>
          <w:lang w:val="en-GB" w:eastAsia="en-US"/>
        </w:rPr>
        <w:t xml:space="preserve"> lesions</w:t>
      </w:r>
    </w:p>
    <w:p w14:paraId="128BA07A" w14:textId="77777777" w:rsidR="00862A88" w:rsidRPr="009907F8" w:rsidRDefault="00862A88" w:rsidP="003E2967">
      <w:pPr>
        <w:ind w:left="851"/>
        <w:rPr>
          <w:sz w:val="24"/>
          <w:szCs w:val="24"/>
          <w:lang w:val="en-GB" w:eastAsia="en-US"/>
        </w:rPr>
      </w:pPr>
      <w:r w:rsidRPr="009907F8">
        <w:rPr>
          <w:sz w:val="24"/>
          <w:szCs w:val="24"/>
          <w:lang w:val="en-GB" w:eastAsia="en-US"/>
        </w:rPr>
        <w:t xml:space="preserve">Rare cases of </w:t>
      </w:r>
      <w:proofErr w:type="spellStart"/>
      <w:r w:rsidRPr="009907F8">
        <w:rPr>
          <w:sz w:val="24"/>
          <w:szCs w:val="24"/>
          <w:lang w:val="en-GB" w:eastAsia="en-US"/>
        </w:rPr>
        <w:t>tumefactive</w:t>
      </w:r>
      <w:proofErr w:type="spellEnd"/>
      <w:r w:rsidRPr="009907F8">
        <w:rPr>
          <w:sz w:val="24"/>
          <w:szCs w:val="24"/>
          <w:lang w:val="en-GB" w:eastAsia="en-US"/>
        </w:rPr>
        <w:t xml:space="preserve"> lesions associated with MS relapse were reported in the post-marketing setting. In case of severe relapses, MRI should be performed to exclude </w:t>
      </w:r>
      <w:proofErr w:type="spellStart"/>
      <w:r w:rsidRPr="009907F8">
        <w:rPr>
          <w:sz w:val="24"/>
          <w:szCs w:val="24"/>
          <w:lang w:val="en-GB" w:eastAsia="en-US"/>
        </w:rPr>
        <w:t>tumefactive</w:t>
      </w:r>
      <w:proofErr w:type="spellEnd"/>
      <w:r w:rsidRPr="009907F8">
        <w:rPr>
          <w:sz w:val="24"/>
          <w:szCs w:val="24"/>
          <w:lang w:val="en-GB" w:eastAsia="en-US"/>
        </w:rPr>
        <w:t xml:space="preserve"> lesions.</w:t>
      </w:r>
    </w:p>
    <w:p w14:paraId="1198150E" w14:textId="77777777" w:rsidR="00862A88" w:rsidRPr="009907F8" w:rsidRDefault="00862A88" w:rsidP="003E2967">
      <w:pPr>
        <w:ind w:left="851"/>
        <w:rPr>
          <w:sz w:val="24"/>
          <w:szCs w:val="24"/>
          <w:lang w:val="en-GB" w:eastAsia="en-US"/>
        </w:rPr>
      </w:pPr>
      <w:r w:rsidRPr="009907F8">
        <w:rPr>
          <w:sz w:val="24"/>
          <w:szCs w:val="24"/>
          <w:lang w:val="en-GB" w:eastAsia="en-US"/>
        </w:rPr>
        <w:t xml:space="preserve">Discontinuation of treatment should be considered by the physician on a case-by-case basis </w:t>
      </w:r>
      <w:proofErr w:type="gramStart"/>
      <w:r w:rsidRPr="009907F8">
        <w:rPr>
          <w:sz w:val="24"/>
          <w:szCs w:val="24"/>
          <w:lang w:val="en-GB" w:eastAsia="en-US"/>
        </w:rPr>
        <w:t>taking into account</w:t>
      </w:r>
      <w:proofErr w:type="gramEnd"/>
      <w:r w:rsidRPr="009907F8">
        <w:rPr>
          <w:sz w:val="24"/>
          <w:szCs w:val="24"/>
          <w:lang w:val="en-GB" w:eastAsia="en-US"/>
        </w:rPr>
        <w:t xml:space="preserve"> individual benefits and risks.</w:t>
      </w:r>
    </w:p>
    <w:p w14:paraId="126C7E6C" w14:textId="77777777" w:rsidR="00862A88" w:rsidRPr="009907F8" w:rsidRDefault="00862A88" w:rsidP="003E2967">
      <w:pPr>
        <w:ind w:left="851"/>
        <w:rPr>
          <w:sz w:val="24"/>
          <w:szCs w:val="24"/>
          <w:lang w:val="en-GB" w:eastAsia="en-US"/>
        </w:rPr>
      </w:pPr>
    </w:p>
    <w:p w14:paraId="673AC1E2" w14:textId="77777777" w:rsidR="00862A88" w:rsidRPr="00122FFB" w:rsidRDefault="00862A88" w:rsidP="003E2967">
      <w:pPr>
        <w:ind w:left="851"/>
        <w:rPr>
          <w:sz w:val="24"/>
          <w:szCs w:val="24"/>
          <w:u w:val="single"/>
          <w:lang w:val="en-GB" w:eastAsia="en-US"/>
        </w:rPr>
      </w:pPr>
      <w:r w:rsidRPr="00122FFB">
        <w:rPr>
          <w:sz w:val="24"/>
          <w:szCs w:val="24"/>
          <w:u w:val="single"/>
          <w:lang w:val="en-GB" w:eastAsia="en-US"/>
        </w:rPr>
        <w:t>Return of disease activity (rebound) after fingolimod discontinuation</w:t>
      </w:r>
    </w:p>
    <w:p w14:paraId="542CF456" w14:textId="77777777" w:rsidR="00862A88" w:rsidRPr="009907F8" w:rsidRDefault="00862A88" w:rsidP="003E2967">
      <w:pPr>
        <w:ind w:left="851"/>
        <w:rPr>
          <w:sz w:val="24"/>
          <w:szCs w:val="24"/>
          <w:lang w:val="en-GB" w:eastAsia="en-US"/>
        </w:rPr>
      </w:pPr>
      <w:r w:rsidRPr="009907F8">
        <w:rPr>
          <w:sz w:val="24"/>
          <w:szCs w:val="24"/>
          <w:lang w:val="en-GB" w:eastAsia="en-US"/>
        </w:rPr>
        <w:t xml:space="preserve">In the post-marketing setting, severe exacerbation of disease has been observed rarely in some patients stopping fingolimod. This has generally been observed within 12 weeks after stopping fingolimod, but has also been reported up to 24 weeks after fingolimod discontinuation. Caution is therefore indicated when stopping fingolimod therapy. If discontinuation of fingolimod is deemed necessary, the possibility of recurrence of exceptionally high disease activity should be considered and patients should be monitored </w:t>
      </w:r>
      <w:r w:rsidRPr="009907F8">
        <w:rPr>
          <w:sz w:val="24"/>
          <w:szCs w:val="24"/>
          <w:lang w:val="en-GB" w:eastAsia="en-US"/>
        </w:rPr>
        <w:lastRenderedPageBreak/>
        <w:t>for relevant signs and symptoms and appropriate treatment initiated as required (see “Stopping therapy” below).</w:t>
      </w:r>
    </w:p>
    <w:p w14:paraId="5BA65D09" w14:textId="77777777" w:rsidR="00862A88" w:rsidRPr="009907F8" w:rsidRDefault="00862A88" w:rsidP="003E2967">
      <w:pPr>
        <w:ind w:left="851"/>
        <w:rPr>
          <w:sz w:val="24"/>
          <w:szCs w:val="24"/>
          <w:lang w:val="en-GB" w:eastAsia="en-US"/>
        </w:rPr>
      </w:pPr>
    </w:p>
    <w:p w14:paraId="184BFB49" w14:textId="77777777" w:rsidR="00862A88" w:rsidRPr="00122FFB" w:rsidRDefault="00862A88" w:rsidP="003E2967">
      <w:pPr>
        <w:ind w:left="851"/>
        <w:rPr>
          <w:sz w:val="24"/>
          <w:szCs w:val="24"/>
          <w:u w:val="single"/>
          <w:lang w:val="en-GB" w:eastAsia="en-US"/>
        </w:rPr>
      </w:pPr>
      <w:r w:rsidRPr="00122FFB">
        <w:rPr>
          <w:sz w:val="24"/>
          <w:szCs w:val="24"/>
          <w:u w:val="single"/>
          <w:lang w:val="en-GB" w:eastAsia="en-US"/>
        </w:rPr>
        <w:t>Stopping therapy</w:t>
      </w:r>
    </w:p>
    <w:p w14:paraId="35F3F144" w14:textId="77777777" w:rsidR="00862A88" w:rsidRPr="009907F8" w:rsidRDefault="00862A88" w:rsidP="003E2967">
      <w:pPr>
        <w:ind w:left="851"/>
        <w:rPr>
          <w:sz w:val="24"/>
          <w:szCs w:val="24"/>
          <w:lang w:val="en-GB" w:eastAsia="en-US"/>
        </w:rPr>
      </w:pPr>
      <w:r w:rsidRPr="009907F8">
        <w:rPr>
          <w:sz w:val="24"/>
          <w:szCs w:val="24"/>
          <w:lang w:val="en-GB" w:eastAsia="en-US"/>
        </w:rPr>
        <w:t xml:space="preserve">If a decision is made to stop treatment with fingolimod a </w:t>
      </w:r>
      <w:proofErr w:type="gramStart"/>
      <w:r w:rsidRPr="009907F8">
        <w:rPr>
          <w:sz w:val="24"/>
          <w:szCs w:val="24"/>
          <w:lang w:val="en-GB" w:eastAsia="en-US"/>
        </w:rPr>
        <w:t>6 week</w:t>
      </w:r>
      <w:proofErr w:type="gramEnd"/>
      <w:r w:rsidRPr="009907F8">
        <w:rPr>
          <w:sz w:val="24"/>
          <w:szCs w:val="24"/>
          <w:lang w:val="en-GB" w:eastAsia="en-US"/>
        </w:rPr>
        <w:t xml:space="preserve"> interval without therapy is needed, based on half-life, to clear fingolimod from the circulation (see section 5.2). Lymphocyte counts progressively return to normal range within 1-2 months of stopping therapy in most patients (see section 5.1) although full recovery can take significantly longer in some patients. Starting other therapies during this interval will result in concomitant exposure to fingolimod. Use of immunosuppressants soon after the discontinuation of fingolimod may lead to an additive effect on the immune system and caution is therefore indicated.</w:t>
      </w:r>
    </w:p>
    <w:p w14:paraId="6A7B9E0F" w14:textId="77777777" w:rsidR="00862A88" w:rsidRPr="009907F8" w:rsidRDefault="00862A88" w:rsidP="003E2967">
      <w:pPr>
        <w:ind w:left="851"/>
        <w:rPr>
          <w:sz w:val="24"/>
          <w:szCs w:val="24"/>
          <w:lang w:val="en-GB" w:eastAsia="en-US"/>
        </w:rPr>
      </w:pPr>
      <w:r w:rsidRPr="009907F8">
        <w:rPr>
          <w:sz w:val="24"/>
          <w:szCs w:val="24"/>
          <w:lang w:val="en-GB" w:eastAsia="en-US"/>
        </w:rPr>
        <w:t xml:space="preserve"> </w:t>
      </w:r>
    </w:p>
    <w:p w14:paraId="236B95EB" w14:textId="77777777" w:rsidR="00862A88" w:rsidRPr="009907F8" w:rsidRDefault="00862A88" w:rsidP="003E2967">
      <w:pPr>
        <w:ind w:left="851"/>
        <w:rPr>
          <w:sz w:val="24"/>
          <w:szCs w:val="24"/>
          <w:lang w:val="en-GB" w:eastAsia="en-US"/>
        </w:rPr>
      </w:pPr>
      <w:r w:rsidRPr="009907F8">
        <w:rPr>
          <w:sz w:val="24"/>
          <w:szCs w:val="24"/>
          <w:lang w:val="en-GB" w:eastAsia="en-US"/>
        </w:rPr>
        <w:t>Caution is also indicated when stopping fingolimod therapy due to the risk of a rebound (see “Return of disease activity (rebound) after fingolimod discontinuation” above). If discontinuation of fingolimod is deemed necessary, patients should be monitored during this time for relevant signs of a possible rebound.</w:t>
      </w:r>
    </w:p>
    <w:p w14:paraId="7163247F" w14:textId="77777777" w:rsidR="00862A88" w:rsidRPr="009907F8" w:rsidRDefault="00862A88" w:rsidP="003E2967">
      <w:pPr>
        <w:ind w:left="851"/>
        <w:rPr>
          <w:sz w:val="24"/>
          <w:szCs w:val="24"/>
          <w:lang w:val="en-GB" w:eastAsia="en-US"/>
        </w:rPr>
      </w:pPr>
    </w:p>
    <w:p w14:paraId="037C0AF6" w14:textId="77777777" w:rsidR="00862A88" w:rsidRPr="00122FFB" w:rsidRDefault="00862A88" w:rsidP="003E2967">
      <w:pPr>
        <w:ind w:left="851"/>
        <w:rPr>
          <w:sz w:val="24"/>
          <w:szCs w:val="24"/>
          <w:u w:val="single"/>
          <w:lang w:val="en-GB" w:eastAsia="en-US"/>
        </w:rPr>
      </w:pPr>
      <w:r w:rsidRPr="00122FFB">
        <w:rPr>
          <w:sz w:val="24"/>
          <w:szCs w:val="24"/>
          <w:u w:val="single"/>
          <w:lang w:val="en-GB" w:eastAsia="en-US"/>
        </w:rPr>
        <w:t>Interference with serological testing</w:t>
      </w:r>
    </w:p>
    <w:p w14:paraId="48BD255B" w14:textId="77777777" w:rsidR="00862A88" w:rsidRPr="009907F8" w:rsidRDefault="00862A88" w:rsidP="003E2967">
      <w:pPr>
        <w:ind w:left="851"/>
        <w:rPr>
          <w:sz w:val="24"/>
          <w:szCs w:val="24"/>
          <w:lang w:val="en-GB" w:eastAsia="en-US"/>
        </w:rPr>
      </w:pPr>
      <w:r w:rsidRPr="009907F8">
        <w:rPr>
          <w:sz w:val="24"/>
          <w:szCs w:val="24"/>
          <w:lang w:val="en-GB" w:eastAsia="en-US"/>
        </w:rPr>
        <w:t>Since fingolimod reduces blood lymphocyte counts via re-distribution in secondary lymphoid organs, peripheral blood lymphocyte counts cannot be utilised to evaluate the lymphocyte subset status of a patient treated with fingolimod. Laboratory tests involving the use of circulating mononuclear cells require larger blood volumes due to reduction in the number of circulating lymphocytes.</w:t>
      </w:r>
    </w:p>
    <w:p w14:paraId="1B4EF16C" w14:textId="77777777" w:rsidR="00862A88" w:rsidRPr="009907F8" w:rsidRDefault="00862A88" w:rsidP="003E2967">
      <w:pPr>
        <w:ind w:left="851"/>
        <w:rPr>
          <w:sz w:val="24"/>
          <w:szCs w:val="24"/>
          <w:lang w:val="en-GB" w:eastAsia="en-US"/>
        </w:rPr>
      </w:pPr>
    </w:p>
    <w:p w14:paraId="3E907C26" w14:textId="77777777" w:rsidR="00862A88" w:rsidRPr="00122FFB" w:rsidRDefault="00862A88" w:rsidP="003E2967">
      <w:pPr>
        <w:ind w:left="851"/>
        <w:rPr>
          <w:sz w:val="24"/>
          <w:szCs w:val="24"/>
          <w:u w:val="single"/>
          <w:lang w:val="en-GB" w:eastAsia="en-US"/>
        </w:rPr>
      </w:pPr>
      <w:r w:rsidRPr="00122FFB">
        <w:rPr>
          <w:sz w:val="24"/>
          <w:szCs w:val="24"/>
          <w:u w:val="single"/>
          <w:lang w:val="en-GB" w:eastAsia="en-US"/>
        </w:rPr>
        <w:t>Paediatric population</w:t>
      </w:r>
    </w:p>
    <w:p w14:paraId="47F79552" w14:textId="77777777" w:rsidR="00862A88" w:rsidRPr="009907F8" w:rsidRDefault="00862A88" w:rsidP="003E2967">
      <w:pPr>
        <w:ind w:left="851"/>
        <w:rPr>
          <w:sz w:val="24"/>
          <w:szCs w:val="24"/>
          <w:lang w:val="en-GB" w:eastAsia="en-US"/>
        </w:rPr>
      </w:pPr>
      <w:r w:rsidRPr="009907F8">
        <w:rPr>
          <w:sz w:val="24"/>
          <w:szCs w:val="24"/>
          <w:lang w:val="en-GB" w:eastAsia="en-US"/>
        </w:rPr>
        <w:t>The safety profile in paediatric patients is similar to that in adults and the warnings and precautions for adults therefore also apply to paediatric patients.</w:t>
      </w:r>
    </w:p>
    <w:p w14:paraId="00284AA0" w14:textId="77777777" w:rsidR="00862A88" w:rsidRPr="009907F8" w:rsidRDefault="00862A88" w:rsidP="003E2967">
      <w:pPr>
        <w:ind w:left="851"/>
        <w:rPr>
          <w:sz w:val="24"/>
          <w:szCs w:val="24"/>
          <w:lang w:val="en-GB" w:eastAsia="en-US"/>
        </w:rPr>
      </w:pPr>
    </w:p>
    <w:p w14:paraId="24C39BD1" w14:textId="77777777" w:rsidR="00862A88" w:rsidRPr="009907F8" w:rsidRDefault="00862A88" w:rsidP="003E2967">
      <w:pPr>
        <w:ind w:left="851"/>
        <w:rPr>
          <w:sz w:val="24"/>
          <w:szCs w:val="24"/>
          <w:lang w:val="en-GB" w:eastAsia="en-US"/>
        </w:rPr>
      </w:pPr>
      <w:r w:rsidRPr="009907F8">
        <w:rPr>
          <w:sz w:val="24"/>
          <w:szCs w:val="24"/>
          <w:lang w:val="en-GB" w:eastAsia="en-US"/>
        </w:rPr>
        <w:t>In particular, the following should be noted when prescribing fingolimod to paediatric patients:</w:t>
      </w:r>
    </w:p>
    <w:p w14:paraId="7F3D6389" w14:textId="77777777" w:rsidR="00862A88" w:rsidRPr="00122FFB" w:rsidRDefault="00862A88" w:rsidP="00122FFB">
      <w:pPr>
        <w:pStyle w:val="Listeafsnit"/>
        <w:numPr>
          <w:ilvl w:val="0"/>
          <w:numId w:val="17"/>
        </w:numPr>
        <w:ind w:left="1276" w:hanging="425"/>
        <w:rPr>
          <w:sz w:val="24"/>
          <w:szCs w:val="24"/>
          <w:lang w:val="en-GB" w:eastAsia="en-US"/>
        </w:rPr>
      </w:pPr>
      <w:r w:rsidRPr="00122FFB">
        <w:rPr>
          <w:sz w:val="24"/>
          <w:szCs w:val="24"/>
          <w:lang w:val="en-GB" w:eastAsia="en-US"/>
        </w:rPr>
        <w:t>Precautions should be followed at the time of the first dose (see “Bradyarrhythmia” above). The same precautions as for the first dose are recommended when patients are switched from the 0.25 mg to the 0.5 mg daily dose.</w:t>
      </w:r>
    </w:p>
    <w:p w14:paraId="71207959" w14:textId="77777777" w:rsidR="00862A88" w:rsidRPr="00122FFB" w:rsidRDefault="00862A88" w:rsidP="00122FFB">
      <w:pPr>
        <w:pStyle w:val="Listeafsnit"/>
        <w:numPr>
          <w:ilvl w:val="0"/>
          <w:numId w:val="17"/>
        </w:numPr>
        <w:ind w:left="1276" w:hanging="425"/>
        <w:rPr>
          <w:sz w:val="24"/>
          <w:szCs w:val="24"/>
          <w:lang w:val="en-GB" w:eastAsia="en-US"/>
        </w:rPr>
      </w:pPr>
      <w:r w:rsidRPr="00122FFB">
        <w:rPr>
          <w:sz w:val="24"/>
          <w:szCs w:val="24"/>
          <w:lang w:val="en-GB" w:eastAsia="en-US"/>
        </w:rPr>
        <w:t>In the controlled paediatric trial D2311, cases of seizures, anxiety, depressed mood and depression have been reported with a higher incidence in patients treated with fingolimod compared to patients treated with interferon beta-1a. Caution is required in this subgroup population (see “Paediatric population” in section 4.8).</w:t>
      </w:r>
    </w:p>
    <w:p w14:paraId="05DC51D5" w14:textId="77777777" w:rsidR="00862A88" w:rsidRPr="00122FFB" w:rsidRDefault="00862A88" w:rsidP="00122FFB">
      <w:pPr>
        <w:pStyle w:val="Listeafsnit"/>
        <w:numPr>
          <w:ilvl w:val="0"/>
          <w:numId w:val="17"/>
        </w:numPr>
        <w:ind w:left="1276" w:hanging="425"/>
        <w:rPr>
          <w:sz w:val="24"/>
          <w:szCs w:val="24"/>
          <w:lang w:val="en-GB" w:eastAsia="en-US"/>
        </w:rPr>
      </w:pPr>
      <w:r w:rsidRPr="00122FFB">
        <w:rPr>
          <w:sz w:val="24"/>
          <w:szCs w:val="24"/>
          <w:lang w:val="en-GB" w:eastAsia="en-US"/>
        </w:rPr>
        <w:t>Mild isolated bilirubin increases have been noted in paediatric patients on fingolimod.</w:t>
      </w:r>
    </w:p>
    <w:p w14:paraId="703C0DA6" w14:textId="77777777" w:rsidR="00862A88" w:rsidRPr="00122FFB" w:rsidRDefault="00862A88" w:rsidP="00122FFB">
      <w:pPr>
        <w:pStyle w:val="Listeafsnit"/>
        <w:numPr>
          <w:ilvl w:val="0"/>
          <w:numId w:val="17"/>
        </w:numPr>
        <w:ind w:left="1276" w:hanging="425"/>
        <w:rPr>
          <w:sz w:val="24"/>
          <w:szCs w:val="24"/>
          <w:lang w:val="en-GB" w:eastAsia="en-US"/>
        </w:rPr>
      </w:pPr>
      <w:r w:rsidRPr="00122FFB">
        <w:rPr>
          <w:sz w:val="24"/>
          <w:szCs w:val="24"/>
          <w:lang w:val="en-GB" w:eastAsia="en-US"/>
        </w:rPr>
        <w:t xml:space="preserve">It is recommended that paediatric patients complete all immunisations in accordance with current immunisation guidelines before starting </w:t>
      </w:r>
      <w:proofErr w:type="spellStart"/>
      <w:r w:rsidRPr="00122FFB">
        <w:rPr>
          <w:sz w:val="24"/>
          <w:szCs w:val="24"/>
          <w:lang w:val="en-GB" w:eastAsia="en-US"/>
        </w:rPr>
        <w:t>fingolmiod</w:t>
      </w:r>
      <w:proofErr w:type="spellEnd"/>
      <w:r w:rsidRPr="00122FFB">
        <w:rPr>
          <w:sz w:val="24"/>
          <w:szCs w:val="24"/>
          <w:lang w:val="en-GB" w:eastAsia="en-US"/>
        </w:rPr>
        <w:t xml:space="preserve"> therapy (see “Infections” above).</w:t>
      </w:r>
    </w:p>
    <w:p w14:paraId="4AE49F20" w14:textId="77777777" w:rsidR="00862A88" w:rsidRPr="00122FFB" w:rsidRDefault="00862A88" w:rsidP="00122FFB">
      <w:pPr>
        <w:pStyle w:val="Listeafsnit"/>
        <w:numPr>
          <w:ilvl w:val="0"/>
          <w:numId w:val="17"/>
        </w:numPr>
        <w:ind w:left="1276" w:hanging="425"/>
        <w:rPr>
          <w:sz w:val="24"/>
          <w:szCs w:val="24"/>
          <w:lang w:val="en-GB" w:eastAsia="en-US"/>
        </w:rPr>
      </w:pPr>
      <w:r w:rsidRPr="00122FFB">
        <w:rPr>
          <w:sz w:val="24"/>
          <w:szCs w:val="24"/>
          <w:lang w:val="en-GB" w:eastAsia="en-US"/>
        </w:rPr>
        <w:t>There are very limited data available in children between 10–12 years old, less than 40 kg or at Tanner stage &lt;2 (see sections 4.8 and 5.1). Caution is required in these subgroups due to very limited knowledge available from the clinical study.</w:t>
      </w:r>
    </w:p>
    <w:p w14:paraId="3FB97859" w14:textId="77777777" w:rsidR="00862A88" w:rsidRPr="00122FFB" w:rsidRDefault="00862A88" w:rsidP="00122FFB">
      <w:pPr>
        <w:pStyle w:val="Listeafsnit"/>
        <w:numPr>
          <w:ilvl w:val="0"/>
          <w:numId w:val="17"/>
        </w:numPr>
        <w:ind w:left="1276" w:hanging="425"/>
        <w:rPr>
          <w:sz w:val="24"/>
          <w:szCs w:val="24"/>
          <w:lang w:val="en-GB" w:eastAsia="en-US"/>
        </w:rPr>
      </w:pPr>
      <w:r w:rsidRPr="00122FFB">
        <w:rPr>
          <w:sz w:val="24"/>
          <w:szCs w:val="24"/>
          <w:lang w:val="en-GB" w:eastAsia="en-US"/>
        </w:rPr>
        <w:t>Long-term safety data in the paediatric population are not available.</w:t>
      </w:r>
    </w:p>
    <w:p w14:paraId="5B3F3EF2" w14:textId="4EAF00FE" w:rsidR="00812980" w:rsidRDefault="00812980">
      <w:pPr>
        <w:rPr>
          <w:sz w:val="24"/>
          <w:szCs w:val="24"/>
          <w:lang w:val="en-GB"/>
        </w:rPr>
      </w:pPr>
      <w:r>
        <w:rPr>
          <w:sz w:val="24"/>
          <w:szCs w:val="24"/>
          <w:lang w:val="en-GB"/>
        </w:rPr>
        <w:br w:type="page"/>
      </w:r>
    </w:p>
    <w:p w14:paraId="2AC5F19B" w14:textId="77777777" w:rsidR="007C5D2A" w:rsidRPr="009907F8" w:rsidRDefault="007C5D2A" w:rsidP="003E0341">
      <w:pPr>
        <w:tabs>
          <w:tab w:val="left" w:pos="851"/>
        </w:tabs>
        <w:ind w:left="851"/>
        <w:rPr>
          <w:sz w:val="24"/>
          <w:szCs w:val="24"/>
          <w:lang w:val="en-GB"/>
        </w:rPr>
      </w:pPr>
    </w:p>
    <w:p w14:paraId="245EB2F7" w14:textId="77777777" w:rsidR="007C5D2A" w:rsidRPr="009907F8" w:rsidRDefault="007C5D2A" w:rsidP="007C5D2A">
      <w:pPr>
        <w:ind w:left="851" w:hanging="851"/>
        <w:rPr>
          <w:b/>
          <w:sz w:val="24"/>
          <w:szCs w:val="24"/>
          <w:lang w:val="en-GB"/>
        </w:rPr>
      </w:pPr>
      <w:r w:rsidRPr="009907F8">
        <w:rPr>
          <w:b/>
          <w:sz w:val="24"/>
          <w:szCs w:val="24"/>
          <w:lang w:val="en-GB"/>
        </w:rPr>
        <w:t>4.5</w:t>
      </w:r>
      <w:r w:rsidRPr="009907F8">
        <w:rPr>
          <w:b/>
          <w:sz w:val="24"/>
          <w:szCs w:val="24"/>
          <w:lang w:val="en-GB"/>
        </w:rPr>
        <w:tab/>
        <w:t>Interaction with other medicinal products and other forms of interaction</w:t>
      </w:r>
    </w:p>
    <w:p w14:paraId="2D23A96F" w14:textId="77777777" w:rsidR="00122FFB" w:rsidRDefault="00122FFB" w:rsidP="003E2967">
      <w:pPr>
        <w:ind w:left="851"/>
        <w:rPr>
          <w:sz w:val="24"/>
          <w:szCs w:val="24"/>
          <w:lang w:val="en-GB" w:eastAsia="en-US"/>
        </w:rPr>
      </w:pPr>
    </w:p>
    <w:p w14:paraId="7AB722C6" w14:textId="1C02A93F" w:rsidR="00862A88" w:rsidRPr="00122FFB" w:rsidRDefault="00862A88" w:rsidP="003E2967">
      <w:pPr>
        <w:ind w:left="851"/>
        <w:rPr>
          <w:sz w:val="24"/>
          <w:szCs w:val="24"/>
          <w:u w:val="single"/>
          <w:lang w:val="en-GB" w:eastAsia="en-US"/>
        </w:rPr>
      </w:pPr>
      <w:r w:rsidRPr="00122FFB">
        <w:rPr>
          <w:sz w:val="24"/>
          <w:szCs w:val="24"/>
          <w:u w:val="single"/>
          <w:lang w:val="en-GB" w:eastAsia="en-US"/>
        </w:rPr>
        <w:t>Anti-neoplastic, immunomodulatory or immunosuppressive therapies</w:t>
      </w:r>
    </w:p>
    <w:p w14:paraId="5EBDF4BF" w14:textId="77777777" w:rsidR="00862A88" w:rsidRPr="009907F8" w:rsidRDefault="00862A88" w:rsidP="003E2967">
      <w:pPr>
        <w:ind w:left="851"/>
        <w:rPr>
          <w:sz w:val="24"/>
          <w:szCs w:val="24"/>
          <w:lang w:val="en-GB" w:eastAsia="en-US"/>
        </w:rPr>
      </w:pPr>
      <w:r w:rsidRPr="009907F8">
        <w:rPr>
          <w:sz w:val="24"/>
          <w:szCs w:val="24"/>
          <w:lang w:val="en-GB" w:eastAsia="en-US"/>
        </w:rPr>
        <w:t>Anti-neoplastic, immunomodulatory or immunosuppressive therapies should not be co-administered due to the risk of additive immune system effects (see sections 4.3 and 4.4).</w:t>
      </w:r>
    </w:p>
    <w:p w14:paraId="3863361A" w14:textId="77777777" w:rsidR="00862A88" w:rsidRPr="009907F8" w:rsidRDefault="00862A88" w:rsidP="003E2967">
      <w:pPr>
        <w:ind w:left="851"/>
        <w:rPr>
          <w:sz w:val="24"/>
          <w:szCs w:val="24"/>
          <w:lang w:val="en-GB" w:eastAsia="en-US"/>
        </w:rPr>
      </w:pPr>
    </w:p>
    <w:p w14:paraId="511F60CE" w14:textId="77777777" w:rsidR="00862A88" w:rsidRPr="009907F8" w:rsidRDefault="00862A88" w:rsidP="003E2967">
      <w:pPr>
        <w:ind w:left="851"/>
        <w:rPr>
          <w:sz w:val="24"/>
          <w:szCs w:val="24"/>
          <w:lang w:val="en-GB" w:eastAsia="en-US"/>
        </w:rPr>
      </w:pPr>
      <w:r w:rsidRPr="009907F8">
        <w:rPr>
          <w:sz w:val="24"/>
          <w:szCs w:val="24"/>
          <w:lang w:val="en-GB" w:eastAsia="en-US"/>
        </w:rPr>
        <w:t xml:space="preserve">Caution should also be exercised when switching patients from long-acting therapies with immune effects such as natalizumab, teriflunomide or mitoxantrone (see section 4.4). In multiple sclerosis clinical </w:t>
      </w:r>
      <w:proofErr w:type="gramStart"/>
      <w:r w:rsidRPr="009907F8">
        <w:rPr>
          <w:sz w:val="24"/>
          <w:szCs w:val="24"/>
          <w:lang w:val="en-GB" w:eastAsia="en-US"/>
        </w:rPr>
        <w:t>studies</w:t>
      </w:r>
      <w:proofErr w:type="gramEnd"/>
      <w:r w:rsidRPr="009907F8">
        <w:rPr>
          <w:sz w:val="24"/>
          <w:szCs w:val="24"/>
          <w:lang w:val="en-GB" w:eastAsia="en-US"/>
        </w:rPr>
        <w:t xml:space="preserve"> the concomitant treatment of relapses with a short course of corticosteroids was not associated with an increased rate of infection.</w:t>
      </w:r>
    </w:p>
    <w:p w14:paraId="3BD1A51D" w14:textId="77777777" w:rsidR="00862A88" w:rsidRPr="009907F8" w:rsidRDefault="00862A88" w:rsidP="003E2967">
      <w:pPr>
        <w:ind w:left="851"/>
        <w:rPr>
          <w:sz w:val="24"/>
          <w:szCs w:val="24"/>
          <w:lang w:val="en-GB" w:eastAsia="en-US"/>
        </w:rPr>
      </w:pPr>
    </w:p>
    <w:p w14:paraId="74B8210C" w14:textId="77777777" w:rsidR="00862A88" w:rsidRPr="00122FFB" w:rsidRDefault="00862A88" w:rsidP="003E2967">
      <w:pPr>
        <w:ind w:left="851"/>
        <w:rPr>
          <w:sz w:val="24"/>
          <w:szCs w:val="24"/>
          <w:u w:val="single"/>
          <w:lang w:val="en-GB" w:eastAsia="en-US"/>
        </w:rPr>
      </w:pPr>
      <w:r w:rsidRPr="00122FFB">
        <w:rPr>
          <w:sz w:val="24"/>
          <w:szCs w:val="24"/>
          <w:u w:val="single"/>
          <w:lang w:val="en-GB" w:eastAsia="en-US"/>
        </w:rPr>
        <w:t>Vaccination</w:t>
      </w:r>
    </w:p>
    <w:p w14:paraId="56D8CF8E" w14:textId="77777777" w:rsidR="00862A88" w:rsidRPr="009907F8" w:rsidRDefault="00862A88" w:rsidP="003E2967">
      <w:pPr>
        <w:ind w:left="851"/>
        <w:rPr>
          <w:sz w:val="24"/>
          <w:szCs w:val="24"/>
          <w:lang w:val="en-GB" w:eastAsia="en-US"/>
        </w:rPr>
      </w:pPr>
      <w:r w:rsidRPr="009907F8">
        <w:rPr>
          <w:sz w:val="24"/>
          <w:szCs w:val="24"/>
          <w:lang w:val="en-GB" w:eastAsia="en-US"/>
        </w:rPr>
        <w:t>During and for up to two months after treatment with fingolimod vaccination may be less effective. The use of live attenuated vaccines may carry a risk of infections and should therefore be avoided (see sections 4.4 and 4.8).</w:t>
      </w:r>
    </w:p>
    <w:p w14:paraId="569F60B6" w14:textId="77777777" w:rsidR="00862A88" w:rsidRPr="009907F8" w:rsidRDefault="00862A88" w:rsidP="003E2967">
      <w:pPr>
        <w:ind w:left="851"/>
        <w:rPr>
          <w:sz w:val="24"/>
          <w:szCs w:val="24"/>
          <w:lang w:val="en-GB" w:eastAsia="en-US"/>
        </w:rPr>
      </w:pPr>
    </w:p>
    <w:p w14:paraId="3B4E1610" w14:textId="77777777" w:rsidR="00862A88" w:rsidRPr="00122FFB" w:rsidRDefault="00862A88" w:rsidP="003E2967">
      <w:pPr>
        <w:ind w:left="851"/>
        <w:rPr>
          <w:sz w:val="24"/>
          <w:szCs w:val="24"/>
          <w:u w:val="single"/>
          <w:lang w:val="en-GB" w:eastAsia="en-US"/>
        </w:rPr>
      </w:pPr>
      <w:r w:rsidRPr="00122FFB">
        <w:rPr>
          <w:sz w:val="24"/>
          <w:szCs w:val="24"/>
          <w:u w:val="single"/>
          <w:lang w:val="en-GB" w:eastAsia="en-US"/>
        </w:rPr>
        <w:t>Bradycardia-inducing substances</w:t>
      </w:r>
    </w:p>
    <w:p w14:paraId="3DB12586" w14:textId="77777777" w:rsidR="00862A88" w:rsidRPr="009907F8" w:rsidRDefault="00862A88" w:rsidP="003E2967">
      <w:pPr>
        <w:ind w:left="851"/>
        <w:rPr>
          <w:sz w:val="24"/>
          <w:szCs w:val="24"/>
          <w:lang w:val="en-GB" w:eastAsia="en-US"/>
        </w:rPr>
      </w:pPr>
      <w:r w:rsidRPr="009907F8">
        <w:rPr>
          <w:sz w:val="24"/>
          <w:szCs w:val="24"/>
          <w:lang w:val="en-GB" w:eastAsia="en-US"/>
        </w:rPr>
        <w:t xml:space="preserve">Fingolimod has been studied in combination with atenolol and diltiazem. When fingolimod was used with atenolol in an interaction study in healthy volunteers, there was an additional 15% reduction of heart rate at fingolimod treatment initiation, an effect not seen with diltiazem. Treatment with fingolimod should not be initiated in patients receiving beta blockers, or other substances which may decrease heart rate, such as class </w:t>
      </w:r>
      <w:proofErr w:type="spellStart"/>
      <w:r w:rsidRPr="009907F8">
        <w:rPr>
          <w:sz w:val="24"/>
          <w:szCs w:val="24"/>
          <w:lang w:val="en-GB" w:eastAsia="en-US"/>
        </w:rPr>
        <w:t>Ia</w:t>
      </w:r>
      <w:proofErr w:type="spellEnd"/>
      <w:r w:rsidRPr="009907F8">
        <w:rPr>
          <w:sz w:val="24"/>
          <w:szCs w:val="24"/>
          <w:lang w:val="en-GB" w:eastAsia="en-US"/>
        </w:rPr>
        <w:t xml:space="preserve"> and III antiarrhythmics, calcium channel blockers (such as verapamil or diltiazem), ivabradine, digoxin, </w:t>
      </w:r>
      <w:proofErr w:type="spellStart"/>
      <w:r w:rsidRPr="009907F8">
        <w:rPr>
          <w:sz w:val="24"/>
          <w:szCs w:val="24"/>
          <w:lang w:val="en-GB" w:eastAsia="en-US"/>
        </w:rPr>
        <w:t>anticholinesteratic</w:t>
      </w:r>
      <w:proofErr w:type="spellEnd"/>
      <w:r w:rsidRPr="009907F8">
        <w:rPr>
          <w:sz w:val="24"/>
          <w:szCs w:val="24"/>
          <w:lang w:val="en-GB" w:eastAsia="en-US"/>
        </w:rPr>
        <w:t xml:space="preserve"> agents or pilocarpine because of the potential additive effects on heart rate (see sections 4.4 and 4.8). If treatment with fingolimod is considered in such patients, advice from a cardiologist should be sought regarding the switch to </w:t>
      </w:r>
      <w:proofErr w:type="spellStart"/>
      <w:proofErr w:type="gramStart"/>
      <w:r w:rsidRPr="009907F8">
        <w:rPr>
          <w:sz w:val="24"/>
          <w:szCs w:val="24"/>
          <w:lang w:val="en-GB" w:eastAsia="en-US"/>
        </w:rPr>
        <w:t>non heart</w:t>
      </w:r>
      <w:proofErr w:type="spellEnd"/>
      <w:proofErr w:type="gramEnd"/>
      <w:r w:rsidRPr="009907F8">
        <w:rPr>
          <w:sz w:val="24"/>
          <w:szCs w:val="24"/>
          <w:lang w:val="en-GB" w:eastAsia="en-US"/>
        </w:rPr>
        <w:t>-rate lowering medicinal products or appropriate monitoring for treatment initiation, at least overnight monitoring is recommended, if the heart-rate-lowering medication cannot be stopped.</w:t>
      </w:r>
    </w:p>
    <w:p w14:paraId="4FF96AFB" w14:textId="77777777" w:rsidR="00862A88" w:rsidRPr="009907F8" w:rsidRDefault="00862A88" w:rsidP="003E2967">
      <w:pPr>
        <w:ind w:left="851"/>
        <w:rPr>
          <w:sz w:val="24"/>
          <w:szCs w:val="24"/>
          <w:lang w:val="en-GB" w:eastAsia="en-US"/>
        </w:rPr>
      </w:pPr>
      <w:r w:rsidRPr="009907F8">
        <w:rPr>
          <w:sz w:val="24"/>
          <w:szCs w:val="24"/>
          <w:lang w:val="en-GB" w:eastAsia="en-US"/>
        </w:rPr>
        <w:t xml:space="preserve"> </w:t>
      </w:r>
    </w:p>
    <w:p w14:paraId="2E8A0F34" w14:textId="77777777" w:rsidR="00862A88" w:rsidRPr="00122FFB" w:rsidRDefault="00862A88" w:rsidP="003E2967">
      <w:pPr>
        <w:ind w:left="851"/>
        <w:rPr>
          <w:sz w:val="24"/>
          <w:szCs w:val="24"/>
          <w:u w:val="single"/>
          <w:lang w:val="en-GB" w:eastAsia="en-US"/>
        </w:rPr>
      </w:pPr>
      <w:r w:rsidRPr="00122FFB">
        <w:rPr>
          <w:sz w:val="24"/>
          <w:szCs w:val="24"/>
          <w:u w:val="single"/>
          <w:lang w:val="en-GB" w:eastAsia="en-US"/>
        </w:rPr>
        <w:t>Pharmacokinetic interactions of other substances on fingolimod</w:t>
      </w:r>
    </w:p>
    <w:p w14:paraId="01760693" w14:textId="77777777" w:rsidR="00862A88" w:rsidRPr="009907F8" w:rsidRDefault="00862A88" w:rsidP="003E2967">
      <w:pPr>
        <w:ind w:left="851"/>
        <w:rPr>
          <w:sz w:val="24"/>
          <w:szCs w:val="24"/>
          <w:lang w:val="en-GB" w:eastAsia="en-US"/>
        </w:rPr>
      </w:pPr>
    </w:p>
    <w:p w14:paraId="27E6F039" w14:textId="77777777" w:rsidR="00862A88" w:rsidRPr="009907F8" w:rsidRDefault="00862A88" w:rsidP="003E2967">
      <w:pPr>
        <w:ind w:left="851"/>
        <w:rPr>
          <w:sz w:val="24"/>
          <w:szCs w:val="24"/>
          <w:lang w:val="en-GB" w:eastAsia="en-US"/>
        </w:rPr>
      </w:pPr>
      <w:r w:rsidRPr="009907F8">
        <w:rPr>
          <w:sz w:val="24"/>
          <w:szCs w:val="24"/>
          <w:lang w:val="en-GB" w:eastAsia="en-US"/>
        </w:rPr>
        <w:t>Fingolimod is metabolised mainly by CYP4F2. Other enzymes like CYP3A4 may also contribute to its metabolism, notably in the case of strong induction of CYP3A4. Potent inhibitors of transporter proteins are not expected to influence fingolimod disposition. Co-administration of fingolimod with ketoconazole resulted in a 1.7-fold increase in fingolimod and fingolimod phosphate exposure (AUC) by inhibition of CYP4F2. Caution should be exercised with substances that may inhibit CYP3A4 (protease inhibitors, azole antifungals, some macrolides such as clarithromycin or telithromycin).</w:t>
      </w:r>
    </w:p>
    <w:p w14:paraId="619A84BC" w14:textId="77777777" w:rsidR="00862A88" w:rsidRPr="009907F8" w:rsidRDefault="00862A88" w:rsidP="003E2967">
      <w:pPr>
        <w:ind w:left="851"/>
        <w:rPr>
          <w:sz w:val="24"/>
          <w:szCs w:val="24"/>
          <w:lang w:val="en-GB" w:eastAsia="en-US"/>
        </w:rPr>
      </w:pPr>
    </w:p>
    <w:p w14:paraId="7FE31751" w14:textId="77777777" w:rsidR="00862A88" w:rsidRPr="009907F8" w:rsidRDefault="00862A88" w:rsidP="003E2967">
      <w:pPr>
        <w:ind w:left="851"/>
        <w:rPr>
          <w:sz w:val="24"/>
          <w:szCs w:val="24"/>
          <w:lang w:val="en-GB" w:eastAsia="en-US"/>
        </w:rPr>
      </w:pPr>
      <w:r w:rsidRPr="009907F8">
        <w:rPr>
          <w:sz w:val="24"/>
          <w:szCs w:val="24"/>
          <w:lang w:val="en-GB" w:eastAsia="en-US"/>
        </w:rPr>
        <w:t>Co-administration of carbamazepine 600 mg twice daily at steady-state and a single dose of fingolimod 2 mg reduced the AUC of fingolimod and its metabolite by approximately 40%. Other strong CYP3A4 enzyme inducers, for example rifampicin, phenobarbital, phenytoin, efavirenz and St. John’s Wort, may reduce the AUC of fingolimod and its metabolite at least to this extent. As this could potentially impair the efficacy, their co-administration should be used with caution.</w:t>
      </w:r>
    </w:p>
    <w:p w14:paraId="4602800D" w14:textId="77777777" w:rsidR="00862A88" w:rsidRPr="009907F8" w:rsidRDefault="00862A88" w:rsidP="003E2967">
      <w:pPr>
        <w:ind w:left="851"/>
        <w:rPr>
          <w:sz w:val="24"/>
          <w:szCs w:val="24"/>
          <w:lang w:val="en-GB" w:eastAsia="en-US"/>
        </w:rPr>
      </w:pPr>
      <w:r w:rsidRPr="009907F8">
        <w:rPr>
          <w:sz w:val="24"/>
          <w:szCs w:val="24"/>
          <w:lang w:val="en-GB" w:eastAsia="en-US"/>
        </w:rPr>
        <w:t xml:space="preserve">Concomitant administration with St. John’s Wort is however not recommended (see section 4.4). </w:t>
      </w:r>
    </w:p>
    <w:p w14:paraId="68F755DA" w14:textId="06D29F47" w:rsidR="00812980" w:rsidRDefault="00812980">
      <w:pPr>
        <w:rPr>
          <w:sz w:val="24"/>
          <w:szCs w:val="24"/>
          <w:lang w:val="en-GB" w:eastAsia="en-US"/>
        </w:rPr>
      </w:pPr>
      <w:r>
        <w:rPr>
          <w:sz w:val="24"/>
          <w:szCs w:val="24"/>
          <w:lang w:val="en-GB" w:eastAsia="en-US"/>
        </w:rPr>
        <w:br w:type="page"/>
      </w:r>
    </w:p>
    <w:p w14:paraId="593523B5" w14:textId="77777777" w:rsidR="00862A88" w:rsidRPr="009907F8" w:rsidRDefault="00862A88" w:rsidP="003E2967">
      <w:pPr>
        <w:ind w:left="851"/>
        <w:rPr>
          <w:sz w:val="24"/>
          <w:szCs w:val="24"/>
          <w:lang w:val="en-GB" w:eastAsia="en-US"/>
        </w:rPr>
      </w:pPr>
    </w:p>
    <w:p w14:paraId="73A571F2" w14:textId="77777777" w:rsidR="00862A88" w:rsidRPr="00122FFB" w:rsidRDefault="00862A88" w:rsidP="003E2967">
      <w:pPr>
        <w:ind w:left="851"/>
        <w:rPr>
          <w:sz w:val="24"/>
          <w:szCs w:val="24"/>
          <w:u w:val="single"/>
          <w:lang w:val="en-GB" w:eastAsia="en-US"/>
        </w:rPr>
      </w:pPr>
      <w:r w:rsidRPr="00122FFB">
        <w:rPr>
          <w:sz w:val="24"/>
          <w:szCs w:val="24"/>
          <w:u w:val="single"/>
          <w:lang w:val="en-GB" w:eastAsia="en-US"/>
        </w:rPr>
        <w:t>Pharmacokinetic interactions of fingolimod on other substances</w:t>
      </w:r>
    </w:p>
    <w:p w14:paraId="2D114461" w14:textId="77777777" w:rsidR="00862A88" w:rsidRPr="009907F8" w:rsidRDefault="00862A88" w:rsidP="003E2967">
      <w:pPr>
        <w:ind w:left="851"/>
        <w:rPr>
          <w:sz w:val="24"/>
          <w:szCs w:val="24"/>
          <w:lang w:val="en-GB" w:eastAsia="en-US"/>
        </w:rPr>
      </w:pPr>
      <w:r w:rsidRPr="009907F8">
        <w:rPr>
          <w:sz w:val="24"/>
          <w:szCs w:val="24"/>
          <w:lang w:val="en-GB" w:eastAsia="en-US"/>
        </w:rPr>
        <w:t>Fingolimod is unlikely to interact with substances mainly cleared by the CYP450 enzymes or by substrates of the main transporter proteins.</w:t>
      </w:r>
    </w:p>
    <w:p w14:paraId="0A7913A2" w14:textId="77777777" w:rsidR="00862A88" w:rsidRPr="009907F8" w:rsidRDefault="00862A88" w:rsidP="003E2967">
      <w:pPr>
        <w:ind w:left="851"/>
        <w:rPr>
          <w:sz w:val="24"/>
          <w:szCs w:val="24"/>
          <w:lang w:val="en-GB" w:eastAsia="en-US"/>
        </w:rPr>
      </w:pPr>
    </w:p>
    <w:p w14:paraId="61F2F1E2" w14:textId="77777777" w:rsidR="00862A88" w:rsidRPr="009907F8" w:rsidRDefault="00862A88" w:rsidP="003E2967">
      <w:pPr>
        <w:ind w:left="851"/>
        <w:rPr>
          <w:sz w:val="24"/>
          <w:szCs w:val="24"/>
          <w:lang w:val="en-GB" w:eastAsia="en-US"/>
        </w:rPr>
      </w:pPr>
      <w:r w:rsidRPr="009907F8">
        <w:rPr>
          <w:sz w:val="24"/>
          <w:szCs w:val="24"/>
          <w:lang w:val="en-GB" w:eastAsia="en-US"/>
        </w:rPr>
        <w:t>Co-administration of fingolimod with ciclosporin did not elicit any change in the ciclosporin or fingolimod exposure. Therefore, fingolimod is not expected to alter the pharmacokinetics of medicinal products that are CYP3A4 substrates.</w:t>
      </w:r>
    </w:p>
    <w:p w14:paraId="4036689B" w14:textId="77777777" w:rsidR="00862A88" w:rsidRPr="009907F8" w:rsidRDefault="00862A88" w:rsidP="003E2967">
      <w:pPr>
        <w:ind w:left="851"/>
        <w:rPr>
          <w:sz w:val="24"/>
          <w:szCs w:val="24"/>
          <w:lang w:val="en-GB" w:eastAsia="en-US"/>
        </w:rPr>
      </w:pPr>
    </w:p>
    <w:p w14:paraId="0257E5AB" w14:textId="77777777" w:rsidR="00862A88" w:rsidRPr="009907F8" w:rsidRDefault="00862A88" w:rsidP="003E2967">
      <w:pPr>
        <w:ind w:left="851"/>
        <w:rPr>
          <w:sz w:val="24"/>
          <w:szCs w:val="24"/>
          <w:lang w:val="en-GB" w:eastAsia="en-US"/>
        </w:rPr>
      </w:pPr>
      <w:r w:rsidRPr="009907F8">
        <w:rPr>
          <w:sz w:val="24"/>
          <w:szCs w:val="24"/>
          <w:lang w:val="en-GB" w:eastAsia="en-US"/>
        </w:rPr>
        <w:t>Co-administration of fingolimod with oral contraceptives (</w:t>
      </w:r>
      <w:proofErr w:type="spellStart"/>
      <w:r w:rsidRPr="009907F8">
        <w:rPr>
          <w:sz w:val="24"/>
          <w:szCs w:val="24"/>
          <w:lang w:val="en-GB" w:eastAsia="en-US"/>
        </w:rPr>
        <w:t>ethinylestradiol</w:t>
      </w:r>
      <w:proofErr w:type="spellEnd"/>
      <w:r w:rsidRPr="009907F8">
        <w:rPr>
          <w:sz w:val="24"/>
          <w:szCs w:val="24"/>
          <w:lang w:val="en-GB" w:eastAsia="en-US"/>
        </w:rPr>
        <w:t xml:space="preserve"> and levonorgestrel) did not elicit any change in oral contraceptive exposure. No interaction studies have been performed with oral contraceptives containing other </w:t>
      </w:r>
      <w:proofErr w:type="spellStart"/>
      <w:r w:rsidRPr="009907F8">
        <w:rPr>
          <w:sz w:val="24"/>
          <w:szCs w:val="24"/>
          <w:lang w:val="en-GB" w:eastAsia="en-US"/>
        </w:rPr>
        <w:t>progestagens</w:t>
      </w:r>
      <w:proofErr w:type="spellEnd"/>
      <w:r w:rsidRPr="009907F8">
        <w:rPr>
          <w:sz w:val="24"/>
          <w:szCs w:val="24"/>
          <w:lang w:val="en-GB" w:eastAsia="en-US"/>
        </w:rPr>
        <w:t>, however an effect of fingolimod on their exposure is not expected.</w:t>
      </w:r>
    </w:p>
    <w:p w14:paraId="26DD9437" w14:textId="77777777" w:rsidR="007C5D2A" w:rsidRPr="009907F8" w:rsidRDefault="007C5D2A" w:rsidP="003E0341">
      <w:pPr>
        <w:tabs>
          <w:tab w:val="left" w:pos="851"/>
        </w:tabs>
        <w:ind w:left="851"/>
        <w:rPr>
          <w:sz w:val="24"/>
          <w:szCs w:val="24"/>
          <w:lang w:val="en-GB"/>
        </w:rPr>
      </w:pPr>
    </w:p>
    <w:p w14:paraId="1D8BCF89" w14:textId="77777777" w:rsidR="007C5D2A" w:rsidRPr="009907F8" w:rsidRDefault="007C5D2A" w:rsidP="007C5D2A">
      <w:pPr>
        <w:tabs>
          <w:tab w:val="left" w:pos="851"/>
        </w:tabs>
        <w:ind w:left="851" w:hanging="851"/>
        <w:rPr>
          <w:b/>
          <w:sz w:val="24"/>
          <w:szCs w:val="24"/>
          <w:lang w:val="en-GB"/>
        </w:rPr>
      </w:pPr>
      <w:r w:rsidRPr="009907F8">
        <w:rPr>
          <w:b/>
          <w:sz w:val="24"/>
          <w:szCs w:val="24"/>
          <w:lang w:val="en-GB"/>
        </w:rPr>
        <w:t>4.6</w:t>
      </w:r>
      <w:r w:rsidRPr="009907F8">
        <w:rPr>
          <w:b/>
          <w:sz w:val="24"/>
          <w:szCs w:val="24"/>
          <w:lang w:val="en-GB"/>
        </w:rPr>
        <w:tab/>
      </w:r>
      <w:r w:rsidR="004860D3" w:rsidRPr="009907F8">
        <w:rPr>
          <w:b/>
          <w:sz w:val="24"/>
          <w:szCs w:val="24"/>
          <w:lang w:val="en-GB"/>
        </w:rPr>
        <w:t>Fertility, p</w:t>
      </w:r>
      <w:r w:rsidRPr="009907F8">
        <w:rPr>
          <w:b/>
          <w:sz w:val="24"/>
          <w:szCs w:val="24"/>
          <w:lang w:val="en-GB"/>
        </w:rPr>
        <w:t>regnancy and lactation</w:t>
      </w:r>
    </w:p>
    <w:p w14:paraId="2E411919" w14:textId="77777777" w:rsidR="00122FFB" w:rsidRDefault="00122FFB" w:rsidP="003E2967">
      <w:pPr>
        <w:ind w:left="851"/>
        <w:rPr>
          <w:sz w:val="24"/>
          <w:szCs w:val="24"/>
          <w:lang w:val="en-GB"/>
        </w:rPr>
      </w:pPr>
    </w:p>
    <w:p w14:paraId="1AFB3E98" w14:textId="4C27CF1B" w:rsidR="00862A88" w:rsidRPr="00122FFB" w:rsidRDefault="00862A88" w:rsidP="003E2967">
      <w:pPr>
        <w:ind w:left="851"/>
        <w:rPr>
          <w:sz w:val="24"/>
          <w:szCs w:val="24"/>
          <w:u w:val="single"/>
          <w:lang w:val="en-GB"/>
        </w:rPr>
      </w:pPr>
      <w:r w:rsidRPr="00122FFB">
        <w:rPr>
          <w:sz w:val="24"/>
          <w:szCs w:val="24"/>
          <w:u w:val="single"/>
          <w:lang w:val="en-GB"/>
        </w:rPr>
        <w:t>Women of childbearing potential / Contraception in females</w:t>
      </w:r>
    </w:p>
    <w:p w14:paraId="339CFA8D" w14:textId="77777777" w:rsidR="00862A88" w:rsidRPr="009907F8" w:rsidRDefault="00862A88" w:rsidP="003E2967">
      <w:pPr>
        <w:ind w:left="851"/>
        <w:rPr>
          <w:sz w:val="24"/>
          <w:szCs w:val="24"/>
          <w:lang w:val="en-GB"/>
        </w:rPr>
      </w:pPr>
      <w:r w:rsidRPr="009907F8">
        <w:rPr>
          <w:sz w:val="24"/>
          <w:szCs w:val="24"/>
          <w:lang w:val="en-GB"/>
        </w:rPr>
        <w:t>Fingolimod is contraindicated in women of childbearing potential not using effective contraception (see section 4.3). Therefore, before initiation of treatment in women of childbearing potential, a negative pregnancy test result must be available and counselling should be provided regarding the serious risk to the foetus. Women of childbearing potential must use effective contraception during treatment and for 2 months after discontinuation of fingolimod, since fingolimod takes approximately 2 months to eliminate from the body after treatment discontinuation (see section 4.4).</w:t>
      </w:r>
    </w:p>
    <w:p w14:paraId="2844C8F1" w14:textId="77777777" w:rsidR="00862A88" w:rsidRPr="009907F8" w:rsidRDefault="00862A88" w:rsidP="003E2967">
      <w:pPr>
        <w:ind w:left="851"/>
        <w:rPr>
          <w:sz w:val="24"/>
          <w:szCs w:val="24"/>
          <w:lang w:val="en-GB"/>
        </w:rPr>
      </w:pPr>
    </w:p>
    <w:p w14:paraId="71DD9798" w14:textId="77777777" w:rsidR="00862A88" w:rsidRPr="009907F8" w:rsidRDefault="00862A88" w:rsidP="003E2967">
      <w:pPr>
        <w:ind w:left="851"/>
        <w:rPr>
          <w:sz w:val="24"/>
          <w:szCs w:val="24"/>
          <w:lang w:val="en-GB"/>
        </w:rPr>
      </w:pPr>
      <w:r w:rsidRPr="009907F8">
        <w:rPr>
          <w:sz w:val="24"/>
          <w:szCs w:val="24"/>
          <w:lang w:val="en-GB"/>
        </w:rPr>
        <w:t>Specific measures are also included in the Physician Information Pack. These measures must be implemented before fingolimod is prescribed to female patients and during treatment.</w:t>
      </w:r>
    </w:p>
    <w:p w14:paraId="5D0D9E73" w14:textId="77777777" w:rsidR="00862A88" w:rsidRPr="009907F8" w:rsidRDefault="00862A88" w:rsidP="003E2967">
      <w:pPr>
        <w:ind w:left="851"/>
        <w:rPr>
          <w:sz w:val="24"/>
          <w:szCs w:val="24"/>
          <w:lang w:val="en-GB"/>
        </w:rPr>
      </w:pPr>
    </w:p>
    <w:p w14:paraId="6E8481E8" w14:textId="77777777" w:rsidR="00862A88" w:rsidRPr="009907F8" w:rsidRDefault="00862A88" w:rsidP="003E2967">
      <w:pPr>
        <w:ind w:left="851"/>
        <w:rPr>
          <w:sz w:val="24"/>
          <w:szCs w:val="24"/>
          <w:lang w:val="en-GB"/>
        </w:rPr>
      </w:pPr>
      <w:r w:rsidRPr="009907F8">
        <w:rPr>
          <w:sz w:val="24"/>
          <w:szCs w:val="24"/>
          <w:lang w:val="en-GB"/>
        </w:rPr>
        <w:t>When stopping fingolimod therapy for planning a pregnancy the possible return of disease activity should be considered (see section 4.4).</w:t>
      </w:r>
    </w:p>
    <w:p w14:paraId="6C78A334" w14:textId="77777777" w:rsidR="00862A88" w:rsidRPr="009907F8" w:rsidRDefault="00862A88" w:rsidP="003E2967">
      <w:pPr>
        <w:ind w:left="851"/>
        <w:rPr>
          <w:sz w:val="24"/>
          <w:szCs w:val="24"/>
          <w:lang w:val="en-GB"/>
        </w:rPr>
      </w:pPr>
      <w:r w:rsidRPr="009907F8">
        <w:rPr>
          <w:sz w:val="24"/>
          <w:szCs w:val="24"/>
          <w:lang w:val="en-GB"/>
        </w:rPr>
        <w:t xml:space="preserve"> </w:t>
      </w:r>
    </w:p>
    <w:p w14:paraId="6B1A00E4" w14:textId="77777777" w:rsidR="00862A88" w:rsidRPr="00122FFB" w:rsidRDefault="00862A88" w:rsidP="003E2967">
      <w:pPr>
        <w:ind w:left="851"/>
        <w:rPr>
          <w:sz w:val="24"/>
          <w:szCs w:val="24"/>
          <w:u w:val="single"/>
          <w:lang w:val="en-GB"/>
        </w:rPr>
      </w:pPr>
      <w:r w:rsidRPr="00122FFB">
        <w:rPr>
          <w:sz w:val="24"/>
          <w:szCs w:val="24"/>
          <w:u w:val="single"/>
          <w:lang w:val="en-GB"/>
        </w:rPr>
        <w:t>Pregnancy</w:t>
      </w:r>
    </w:p>
    <w:p w14:paraId="5FA12688" w14:textId="77777777" w:rsidR="00862A88" w:rsidRPr="009907F8" w:rsidRDefault="00862A88" w:rsidP="003E2967">
      <w:pPr>
        <w:ind w:left="851"/>
        <w:rPr>
          <w:sz w:val="24"/>
          <w:szCs w:val="24"/>
          <w:lang w:val="en-GB"/>
        </w:rPr>
      </w:pPr>
      <w:r w:rsidRPr="009907F8">
        <w:rPr>
          <w:sz w:val="24"/>
          <w:szCs w:val="24"/>
          <w:lang w:val="en-GB"/>
        </w:rPr>
        <w:t>Based on human experience, post-marketing data suggest that use of fingolimod is associated with a 2-fold increased risk of major congenital malformations when administered during pregnancy compared with the rate observed in the general population (2-3%; EUROCAT).</w:t>
      </w:r>
    </w:p>
    <w:p w14:paraId="44502B6A" w14:textId="77777777" w:rsidR="00862A88" w:rsidRPr="009907F8" w:rsidRDefault="00862A88" w:rsidP="003E2967">
      <w:pPr>
        <w:ind w:left="851"/>
        <w:rPr>
          <w:sz w:val="24"/>
          <w:szCs w:val="24"/>
          <w:lang w:val="en-GB"/>
        </w:rPr>
      </w:pPr>
    </w:p>
    <w:p w14:paraId="529E4C96" w14:textId="77777777" w:rsidR="00862A88" w:rsidRPr="009907F8" w:rsidRDefault="00862A88" w:rsidP="003E2967">
      <w:pPr>
        <w:ind w:left="851"/>
        <w:rPr>
          <w:sz w:val="24"/>
          <w:szCs w:val="24"/>
          <w:lang w:val="en-GB"/>
        </w:rPr>
      </w:pPr>
      <w:r w:rsidRPr="009907F8">
        <w:rPr>
          <w:sz w:val="24"/>
          <w:szCs w:val="24"/>
          <w:lang w:val="en-GB"/>
        </w:rPr>
        <w:t>The following major malformations were most frequently reported:</w:t>
      </w:r>
    </w:p>
    <w:p w14:paraId="1DECF07C" w14:textId="77777777" w:rsidR="00862A88" w:rsidRPr="00122FFB" w:rsidRDefault="00862A88" w:rsidP="00122FFB">
      <w:pPr>
        <w:pStyle w:val="Listeafsnit"/>
        <w:numPr>
          <w:ilvl w:val="0"/>
          <w:numId w:val="18"/>
        </w:numPr>
        <w:ind w:left="1276" w:hanging="425"/>
        <w:rPr>
          <w:sz w:val="24"/>
          <w:szCs w:val="24"/>
          <w:lang w:val="en-GB"/>
        </w:rPr>
      </w:pPr>
      <w:r w:rsidRPr="00122FFB">
        <w:rPr>
          <w:sz w:val="24"/>
          <w:szCs w:val="24"/>
          <w:lang w:val="en-GB"/>
        </w:rPr>
        <w:t>Congenital heart disease such as atrial and ventricular septal defects, tetralogy of Fallot</w:t>
      </w:r>
    </w:p>
    <w:p w14:paraId="25D27E4B" w14:textId="77777777" w:rsidR="00862A88" w:rsidRPr="00122FFB" w:rsidRDefault="00862A88" w:rsidP="00122FFB">
      <w:pPr>
        <w:pStyle w:val="Listeafsnit"/>
        <w:numPr>
          <w:ilvl w:val="0"/>
          <w:numId w:val="18"/>
        </w:numPr>
        <w:ind w:left="1276" w:hanging="425"/>
        <w:rPr>
          <w:sz w:val="24"/>
          <w:szCs w:val="24"/>
          <w:lang w:val="en-GB"/>
        </w:rPr>
      </w:pPr>
      <w:r w:rsidRPr="00122FFB">
        <w:rPr>
          <w:sz w:val="24"/>
          <w:szCs w:val="24"/>
          <w:lang w:val="en-GB"/>
        </w:rPr>
        <w:t>Renal abnormalities</w:t>
      </w:r>
    </w:p>
    <w:p w14:paraId="1743D465" w14:textId="77777777" w:rsidR="00862A88" w:rsidRPr="00122FFB" w:rsidRDefault="00862A88" w:rsidP="00122FFB">
      <w:pPr>
        <w:pStyle w:val="Listeafsnit"/>
        <w:numPr>
          <w:ilvl w:val="0"/>
          <w:numId w:val="18"/>
        </w:numPr>
        <w:ind w:left="1276" w:hanging="425"/>
        <w:rPr>
          <w:sz w:val="24"/>
          <w:szCs w:val="24"/>
          <w:lang w:val="en-GB"/>
        </w:rPr>
      </w:pPr>
      <w:r w:rsidRPr="00122FFB">
        <w:rPr>
          <w:sz w:val="24"/>
          <w:szCs w:val="24"/>
          <w:lang w:val="en-GB"/>
        </w:rPr>
        <w:t>Musculoskeletal abnormalities</w:t>
      </w:r>
    </w:p>
    <w:p w14:paraId="2037F5AB" w14:textId="77777777" w:rsidR="00862A88" w:rsidRPr="009907F8" w:rsidRDefault="00862A88" w:rsidP="003E2967">
      <w:pPr>
        <w:ind w:left="851"/>
        <w:rPr>
          <w:sz w:val="24"/>
          <w:szCs w:val="24"/>
          <w:lang w:val="en-GB"/>
        </w:rPr>
      </w:pPr>
    </w:p>
    <w:p w14:paraId="1DD865D5" w14:textId="77777777" w:rsidR="00862A88" w:rsidRPr="009907F8" w:rsidRDefault="00862A88" w:rsidP="003E2967">
      <w:pPr>
        <w:ind w:left="851"/>
        <w:rPr>
          <w:sz w:val="24"/>
          <w:szCs w:val="24"/>
          <w:lang w:val="en-GB"/>
        </w:rPr>
      </w:pPr>
      <w:r w:rsidRPr="009907F8">
        <w:rPr>
          <w:sz w:val="24"/>
          <w:szCs w:val="24"/>
          <w:lang w:val="en-GB"/>
        </w:rPr>
        <w:t>There are no data on the effects of fingolimod on labour and delivery.</w:t>
      </w:r>
    </w:p>
    <w:p w14:paraId="11C76583" w14:textId="77777777" w:rsidR="00862A88" w:rsidRPr="009907F8" w:rsidRDefault="00862A88" w:rsidP="003E2967">
      <w:pPr>
        <w:ind w:left="851"/>
        <w:rPr>
          <w:sz w:val="24"/>
          <w:szCs w:val="24"/>
          <w:lang w:val="en-GB"/>
        </w:rPr>
      </w:pPr>
    </w:p>
    <w:p w14:paraId="298E10DB" w14:textId="77777777" w:rsidR="00862A88" w:rsidRPr="009907F8" w:rsidRDefault="00862A88" w:rsidP="003E2967">
      <w:pPr>
        <w:ind w:left="851"/>
        <w:rPr>
          <w:sz w:val="24"/>
          <w:szCs w:val="24"/>
          <w:lang w:val="en-GB"/>
        </w:rPr>
      </w:pPr>
      <w:r w:rsidRPr="009907F8">
        <w:rPr>
          <w:sz w:val="24"/>
          <w:szCs w:val="24"/>
          <w:lang w:val="en-GB"/>
        </w:rPr>
        <w:t>Animal studies have shown reproductive toxicity including foetal loss and organ defects, notably persistent truncus arteriosus and ventricular septal defect (see section 5.3). Furthermore, the receptor affected by fingolimod (sphingosine 1-phosphate receptor) is known to be involved in vascular formation during embryogenesis.</w:t>
      </w:r>
    </w:p>
    <w:p w14:paraId="4A297939" w14:textId="77777777" w:rsidR="00862A88" w:rsidRPr="009907F8" w:rsidRDefault="00862A88" w:rsidP="003E2967">
      <w:pPr>
        <w:ind w:left="851"/>
        <w:rPr>
          <w:sz w:val="24"/>
          <w:szCs w:val="24"/>
          <w:lang w:val="en-GB"/>
        </w:rPr>
      </w:pPr>
    </w:p>
    <w:p w14:paraId="341C6D7A" w14:textId="77777777" w:rsidR="00862A88" w:rsidRPr="009907F8" w:rsidRDefault="00862A88" w:rsidP="003E2967">
      <w:pPr>
        <w:ind w:left="851"/>
        <w:rPr>
          <w:sz w:val="24"/>
          <w:szCs w:val="24"/>
          <w:lang w:val="en-GB"/>
        </w:rPr>
      </w:pPr>
      <w:r w:rsidRPr="009907F8">
        <w:rPr>
          <w:sz w:val="24"/>
          <w:szCs w:val="24"/>
          <w:lang w:val="en-GB"/>
        </w:rPr>
        <w:lastRenderedPageBreak/>
        <w:t>Consequently, fingolimod is contraindicated during pregnancy (see section 4.3). Fingolimod should be stopped 2 months before planning a pregnancy (see section 4.4). If a woman becomes pregnant during treatment, fingolimod must be discontinued. Medical advice should be given regarding the risk of harmful effects to the foetus associated with treatment and ultrasonography examinations should be performed.</w:t>
      </w:r>
    </w:p>
    <w:p w14:paraId="41A0BF21" w14:textId="77777777" w:rsidR="00862A88" w:rsidRPr="009907F8" w:rsidRDefault="00862A88" w:rsidP="003E2967">
      <w:pPr>
        <w:ind w:left="851"/>
        <w:rPr>
          <w:sz w:val="24"/>
          <w:szCs w:val="24"/>
          <w:lang w:val="en-GB"/>
        </w:rPr>
      </w:pPr>
    </w:p>
    <w:p w14:paraId="4ED13EB6" w14:textId="77777777" w:rsidR="00862A88" w:rsidRPr="00122FFB" w:rsidRDefault="00862A88" w:rsidP="003E2967">
      <w:pPr>
        <w:ind w:left="851"/>
        <w:rPr>
          <w:sz w:val="24"/>
          <w:szCs w:val="24"/>
          <w:u w:val="single"/>
          <w:lang w:val="en-GB"/>
        </w:rPr>
      </w:pPr>
      <w:r w:rsidRPr="00122FFB">
        <w:rPr>
          <w:sz w:val="24"/>
          <w:szCs w:val="24"/>
          <w:u w:val="single"/>
          <w:lang w:val="en-GB"/>
        </w:rPr>
        <w:t>Breast-feeding</w:t>
      </w:r>
    </w:p>
    <w:p w14:paraId="0E208627" w14:textId="77777777" w:rsidR="00862A88" w:rsidRPr="009907F8" w:rsidRDefault="00862A88" w:rsidP="003E2967">
      <w:pPr>
        <w:ind w:left="851"/>
        <w:rPr>
          <w:sz w:val="24"/>
          <w:szCs w:val="24"/>
          <w:lang w:val="en-GB"/>
        </w:rPr>
      </w:pPr>
      <w:r w:rsidRPr="009907F8">
        <w:rPr>
          <w:sz w:val="24"/>
          <w:szCs w:val="24"/>
          <w:lang w:val="en-GB"/>
        </w:rPr>
        <w:t>Fingolimod is excreted in milk of treated animals during lactation (see section 5.3). Due to the potential for serious adverse reactions to fingolimod in nursing infants, women receiving fingolimod should not breastfeed.</w:t>
      </w:r>
    </w:p>
    <w:p w14:paraId="10C730BB" w14:textId="77777777" w:rsidR="00862A88" w:rsidRPr="009907F8" w:rsidRDefault="00862A88" w:rsidP="003E2967">
      <w:pPr>
        <w:ind w:left="851"/>
        <w:rPr>
          <w:sz w:val="24"/>
          <w:szCs w:val="24"/>
          <w:lang w:val="en-GB"/>
        </w:rPr>
      </w:pPr>
    </w:p>
    <w:p w14:paraId="44A53001" w14:textId="77777777" w:rsidR="00862A88" w:rsidRPr="00122FFB" w:rsidRDefault="00862A88" w:rsidP="003E2967">
      <w:pPr>
        <w:ind w:left="851"/>
        <w:rPr>
          <w:sz w:val="24"/>
          <w:szCs w:val="24"/>
          <w:u w:val="single"/>
          <w:lang w:val="en-GB"/>
        </w:rPr>
      </w:pPr>
      <w:r w:rsidRPr="00122FFB">
        <w:rPr>
          <w:sz w:val="24"/>
          <w:szCs w:val="24"/>
          <w:u w:val="single"/>
          <w:lang w:val="en-GB"/>
        </w:rPr>
        <w:t>Fertility</w:t>
      </w:r>
    </w:p>
    <w:p w14:paraId="102F6770" w14:textId="77777777" w:rsidR="00862A88" w:rsidRPr="009907F8" w:rsidRDefault="00862A88" w:rsidP="003E2967">
      <w:pPr>
        <w:ind w:left="851"/>
        <w:rPr>
          <w:sz w:val="24"/>
          <w:szCs w:val="24"/>
          <w:lang w:val="en-GB"/>
        </w:rPr>
      </w:pPr>
      <w:r w:rsidRPr="009907F8">
        <w:rPr>
          <w:sz w:val="24"/>
          <w:szCs w:val="24"/>
          <w:lang w:val="en-GB"/>
        </w:rPr>
        <w:t>Data from preclinical studies do not suggest that fingolimod would be associated with an increased risk of reduced fertility (see section 5.3).</w:t>
      </w:r>
    </w:p>
    <w:p w14:paraId="408058B0" w14:textId="77777777" w:rsidR="007C5D2A" w:rsidRPr="009907F8" w:rsidRDefault="007C5D2A" w:rsidP="003E0341">
      <w:pPr>
        <w:tabs>
          <w:tab w:val="left" w:pos="851"/>
        </w:tabs>
        <w:ind w:left="851"/>
        <w:rPr>
          <w:sz w:val="24"/>
          <w:szCs w:val="24"/>
          <w:lang w:val="en-GB"/>
        </w:rPr>
      </w:pPr>
    </w:p>
    <w:p w14:paraId="16D73573" w14:textId="77777777" w:rsidR="007C5D2A" w:rsidRPr="009907F8" w:rsidRDefault="007C5D2A" w:rsidP="007C5D2A">
      <w:pPr>
        <w:tabs>
          <w:tab w:val="left" w:pos="851"/>
        </w:tabs>
        <w:ind w:left="851" w:hanging="851"/>
        <w:rPr>
          <w:b/>
          <w:sz w:val="24"/>
          <w:szCs w:val="24"/>
          <w:lang w:val="en-GB"/>
        </w:rPr>
      </w:pPr>
      <w:r w:rsidRPr="009907F8">
        <w:rPr>
          <w:b/>
          <w:sz w:val="24"/>
          <w:szCs w:val="24"/>
          <w:lang w:val="en-GB"/>
        </w:rPr>
        <w:t>4.7</w:t>
      </w:r>
      <w:r w:rsidRPr="009907F8">
        <w:rPr>
          <w:b/>
          <w:sz w:val="24"/>
          <w:szCs w:val="24"/>
          <w:lang w:val="en-GB"/>
        </w:rPr>
        <w:tab/>
        <w:t>Effects on ability to drive and use machines</w:t>
      </w:r>
    </w:p>
    <w:p w14:paraId="0C181088" w14:textId="1A6E9AB6" w:rsidR="00862A88" w:rsidRPr="009907F8" w:rsidRDefault="003E2967" w:rsidP="006F268E">
      <w:pPr>
        <w:ind w:left="851"/>
        <w:rPr>
          <w:sz w:val="24"/>
          <w:szCs w:val="24"/>
          <w:lang w:val="en-GB" w:eastAsia="en-US"/>
        </w:rPr>
      </w:pPr>
      <w:r w:rsidRPr="009907F8">
        <w:rPr>
          <w:sz w:val="24"/>
          <w:szCs w:val="24"/>
          <w:lang w:val="en-GB" w:eastAsia="en-US"/>
        </w:rPr>
        <w:t>No traffic warning.</w:t>
      </w:r>
    </w:p>
    <w:p w14:paraId="11B465B7" w14:textId="77777777" w:rsidR="00862A88" w:rsidRPr="009907F8" w:rsidRDefault="00862A88" w:rsidP="006F268E">
      <w:pPr>
        <w:ind w:left="851"/>
        <w:rPr>
          <w:sz w:val="24"/>
          <w:szCs w:val="24"/>
          <w:lang w:val="en-GB" w:eastAsia="en-US"/>
        </w:rPr>
      </w:pPr>
      <w:r w:rsidRPr="009907F8">
        <w:rPr>
          <w:sz w:val="24"/>
          <w:szCs w:val="24"/>
          <w:lang w:val="en-GB"/>
        </w:rPr>
        <w:t xml:space="preserve">Fingolimod </w:t>
      </w:r>
      <w:r w:rsidRPr="009907F8">
        <w:rPr>
          <w:sz w:val="24"/>
          <w:szCs w:val="24"/>
          <w:lang w:val="en-GB" w:eastAsia="en-US"/>
        </w:rPr>
        <w:t>has no or negligible influence on the ability to drive and use machines.</w:t>
      </w:r>
    </w:p>
    <w:p w14:paraId="50AEE7F5" w14:textId="77777777" w:rsidR="00862A88" w:rsidRPr="009907F8" w:rsidRDefault="00862A88" w:rsidP="006F268E">
      <w:pPr>
        <w:ind w:left="851"/>
        <w:rPr>
          <w:sz w:val="24"/>
          <w:szCs w:val="24"/>
          <w:lang w:val="en-GB" w:eastAsia="en-US"/>
        </w:rPr>
      </w:pPr>
    </w:p>
    <w:p w14:paraId="610590F9" w14:textId="77777777" w:rsidR="00862A88" w:rsidRPr="009907F8" w:rsidRDefault="00862A88" w:rsidP="006F268E">
      <w:pPr>
        <w:ind w:left="851"/>
        <w:rPr>
          <w:sz w:val="24"/>
          <w:szCs w:val="24"/>
          <w:lang w:val="en-GB" w:eastAsia="en-US"/>
        </w:rPr>
      </w:pPr>
      <w:r w:rsidRPr="009907F8">
        <w:rPr>
          <w:sz w:val="24"/>
          <w:szCs w:val="24"/>
          <w:lang w:val="en-GB" w:eastAsia="en-US"/>
        </w:rPr>
        <w:t>However, dizziness or drowsiness may occasionally occur when initiating treatment. On initiation of fingolimod it is recommended that patients be observed for a period of 6 hours (see section 4.4, Bradyarrhythmia).</w:t>
      </w:r>
    </w:p>
    <w:p w14:paraId="467DD1C3" w14:textId="77777777" w:rsidR="007C5D2A" w:rsidRPr="009907F8" w:rsidRDefault="007C5D2A" w:rsidP="003E0341">
      <w:pPr>
        <w:tabs>
          <w:tab w:val="left" w:pos="851"/>
        </w:tabs>
        <w:ind w:left="851"/>
        <w:rPr>
          <w:sz w:val="24"/>
          <w:szCs w:val="24"/>
          <w:lang w:val="en-GB"/>
        </w:rPr>
      </w:pPr>
    </w:p>
    <w:p w14:paraId="63E5066C" w14:textId="77777777" w:rsidR="007C5D2A" w:rsidRPr="009907F8" w:rsidRDefault="007C5D2A" w:rsidP="007C5D2A">
      <w:pPr>
        <w:tabs>
          <w:tab w:val="left" w:pos="851"/>
        </w:tabs>
        <w:ind w:left="851" w:hanging="851"/>
        <w:rPr>
          <w:b/>
          <w:sz w:val="24"/>
          <w:szCs w:val="24"/>
          <w:lang w:val="en-GB"/>
        </w:rPr>
      </w:pPr>
      <w:r w:rsidRPr="009907F8">
        <w:rPr>
          <w:b/>
          <w:sz w:val="24"/>
          <w:szCs w:val="24"/>
          <w:lang w:val="en-GB"/>
        </w:rPr>
        <w:t>4.8</w:t>
      </w:r>
      <w:r w:rsidRPr="009907F8">
        <w:rPr>
          <w:b/>
          <w:sz w:val="24"/>
          <w:szCs w:val="24"/>
          <w:lang w:val="en-GB"/>
        </w:rPr>
        <w:tab/>
        <w:t>Undesirable effects</w:t>
      </w:r>
    </w:p>
    <w:p w14:paraId="103F46A7" w14:textId="77777777" w:rsidR="00122FFB" w:rsidRDefault="00122FFB" w:rsidP="006F268E">
      <w:pPr>
        <w:ind w:left="851"/>
        <w:rPr>
          <w:sz w:val="24"/>
          <w:szCs w:val="24"/>
          <w:lang w:val="en-GB" w:eastAsia="en-US"/>
        </w:rPr>
      </w:pPr>
    </w:p>
    <w:p w14:paraId="57007EE7" w14:textId="73EAC2C7" w:rsidR="00862A88" w:rsidRPr="00122FFB" w:rsidRDefault="00862A88" w:rsidP="006F268E">
      <w:pPr>
        <w:ind w:left="851"/>
        <w:rPr>
          <w:sz w:val="24"/>
          <w:szCs w:val="24"/>
          <w:u w:val="single"/>
          <w:lang w:val="en-GB" w:eastAsia="en-US"/>
        </w:rPr>
      </w:pPr>
      <w:r w:rsidRPr="00122FFB">
        <w:rPr>
          <w:sz w:val="24"/>
          <w:szCs w:val="24"/>
          <w:u w:val="single"/>
          <w:lang w:val="en-GB" w:eastAsia="en-US"/>
        </w:rPr>
        <w:t>Summary of the safety profile</w:t>
      </w:r>
    </w:p>
    <w:p w14:paraId="36F67C14" w14:textId="4750FBFD" w:rsidR="00862A88" w:rsidRPr="009907F8" w:rsidRDefault="00862A88" w:rsidP="006F268E">
      <w:pPr>
        <w:ind w:left="851"/>
        <w:rPr>
          <w:sz w:val="24"/>
          <w:szCs w:val="24"/>
          <w:lang w:val="en-GB" w:eastAsia="en-US" w:bidi="en-US"/>
        </w:rPr>
      </w:pPr>
      <w:r w:rsidRPr="009907F8">
        <w:rPr>
          <w:sz w:val="24"/>
          <w:szCs w:val="24"/>
          <w:lang w:val="en-GB" w:eastAsia="en-US" w:bidi="en-US"/>
        </w:rPr>
        <w:t>The most frequent adverse reactions (incidence ≥10%) at the 0.5 mg dose were headache (24.5%), hepatic enzyme increased (15.2%), diarrhoea (12.6%), cough (12.3%), influenza (11.4%), sinusitis</w:t>
      </w:r>
      <w:r w:rsidR="00122FFB">
        <w:rPr>
          <w:sz w:val="24"/>
          <w:szCs w:val="24"/>
          <w:lang w:val="en-GB" w:eastAsia="en-US" w:bidi="en-US"/>
        </w:rPr>
        <w:t xml:space="preserve"> </w:t>
      </w:r>
      <w:r w:rsidRPr="009907F8">
        <w:rPr>
          <w:sz w:val="24"/>
          <w:szCs w:val="24"/>
          <w:lang w:val="en-GB" w:eastAsia="en-US" w:bidi="en-US"/>
        </w:rPr>
        <w:t>(10.9%) and back pain (10.0%).</w:t>
      </w:r>
    </w:p>
    <w:p w14:paraId="2902DDC3" w14:textId="77777777" w:rsidR="00862A88" w:rsidRPr="009907F8" w:rsidRDefault="00862A88" w:rsidP="006F268E">
      <w:pPr>
        <w:ind w:left="851"/>
        <w:rPr>
          <w:iCs/>
          <w:sz w:val="24"/>
          <w:szCs w:val="24"/>
          <w:lang w:val="en-GB" w:eastAsia="en-US"/>
        </w:rPr>
      </w:pPr>
    </w:p>
    <w:p w14:paraId="6E025B27" w14:textId="77777777" w:rsidR="00862A88" w:rsidRPr="00122FFB" w:rsidRDefault="00862A88" w:rsidP="006F268E">
      <w:pPr>
        <w:ind w:left="851"/>
        <w:rPr>
          <w:iCs/>
          <w:sz w:val="24"/>
          <w:szCs w:val="24"/>
          <w:u w:val="single"/>
          <w:lang w:val="en-GB" w:eastAsia="en-US"/>
        </w:rPr>
      </w:pPr>
      <w:r w:rsidRPr="00122FFB">
        <w:rPr>
          <w:iCs/>
          <w:sz w:val="24"/>
          <w:szCs w:val="24"/>
          <w:u w:val="single"/>
          <w:lang w:val="en-GB" w:eastAsia="en-US"/>
        </w:rPr>
        <w:t>Tabulated list of adverse reactions</w:t>
      </w:r>
    </w:p>
    <w:p w14:paraId="6B6FD4C9" w14:textId="11738CCE" w:rsidR="00862A88" w:rsidRDefault="00862A88" w:rsidP="006F268E">
      <w:pPr>
        <w:ind w:left="851"/>
        <w:rPr>
          <w:sz w:val="24"/>
          <w:szCs w:val="24"/>
          <w:lang w:val="en-GB" w:eastAsia="en-US"/>
        </w:rPr>
      </w:pPr>
      <w:r w:rsidRPr="009907F8">
        <w:rPr>
          <w:sz w:val="24"/>
          <w:szCs w:val="24"/>
          <w:lang w:val="en-GB" w:eastAsia="en-US"/>
        </w:rPr>
        <w:t>Adverse reactions reported in clinical trials and derived from post-marketing experience via spontaneous case reports or literature cases are shown below. Frequencies were defined using the following convention: very common (≥1/10); common (≥1/100 to &lt;1/10); uncommon (≥1/1,000 to &lt;1/100); rare (≥1/10,000 to &lt;1/1,000); very rare (&lt;1/10,000); not known (cannot be estimated from the available data).</w:t>
      </w:r>
      <w:r w:rsidRPr="009907F8">
        <w:rPr>
          <w:sz w:val="24"/>
          <w:szCs w:val="24"/>
          <w:lang w:val="en-GB"/>
        </w:rPr>
        <w:t xml:space="preserve"> </w:t>
      </w:r>
      <w:r w:rsidRPr="009907F8">
        <w:rPr>
          <w:sz w:val="24"/>
          <w:szCs w:val="24"/>
          <w:lang w:val="en-GB" w:eastAsia="en-US"/>
        </w:rPr>
        <w:t>Within each frequency grouping, adverse reactions are presented in the order of decreasing seriousness.</w:t>
      </w:r>
    </w:p>
    <w:p w14:paraId="18ED7F40" w14:textId="77777777" w:rsidR="00122FFB" w:rsidRPr="009907F8" w:rsidRDefault="00122FFB" w:rsidP="006F268E">
      <w:pPr>
        <w:ind w:left="851"/>
        <w:rPr>
          <w:sz w:val="24"/>
          <w:szCs w:val="24"/>
          <w:lang w:val="en-GB" w:eastAsia="en-US"/>
        </w:rPr>
      </w:pPr>
    </w:p>
    <w:tbl>
      <w:tblPr>
        <w:tblW w:w="4564" w:type="pct"/>
        <w:tblInd w:w="846" w:type="dxa"/>
        <w:tblCellMar>
          <w:left w:w="0" w:type="dxa"/>
          <w:right w:w="0" w:type="dxa"/>
        </w:tblCellMar>
        <w:tblLook w:val="04A0" w:firstRow="1" w:lastRow="0" w:firstColumn="1" w:lastColumn="0" w:noHBand="0" w:noVBand="1"/>
      </w:tblPr>
      <w:tblGrid>
        <w:gridCol w:w="2677"/>
        <w:gridCol w:w="6111"/>
      </w:tblGrid>
      <w:tr w:rsidR="00862A88" w:rsidRPr="009907F8" w14:paraId="65E982FD" w14:textId="77777777" w:rsidTr="006F268E">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3FC78FEE" w14:textId="77777777" w:rsidR="00862A88" w:rsidRPr="009907F8" w:rsidRDefault="00862A88">
            <w:pPr>
              <w:widowControl w:val="0"/>
              <w:tabs>
                <w:tab w:val="left" w:pos="567"/>
              </w:tabs>
              <w:spacing w:line="256" w:lineRule="auto"/>
              <w:ind w:left="140"/>
              <w:rPr>
                <w:b/>
                <w:bCs/>
                <w:iCs/>
                <w:sz w:val="24"/>
                <w:szCs w:val="24"/>
                <w:lang w:val="sl-SI" w:eastAsia="en-US"/>
              </w:rPr>
            </w:pPr>
            <w:proofErr w:type="spellStart"/>
            <w:r w:rsidRPr="009907F8">
              <w:rPr>
                <w:b/>
                <w:bCs/>
                <w:iCs/>
                <w:sz w:val="24"/>
                <w:szCs w:val="24"/>
                <w:lang w:eastAsia="en-US"/>
              </w:rPr>
              <w:t>Infections</w:t>
            </w:r>
            <w:proofErr w:type="spellEnd"/>
            <w:r w:rsidRPr="009907F8">
              <w:rPr>
                <w:b/>
                <w:bCs/>
                <w:iCs/>
                <w:sz w:val="24"/>
                <w:szCs w:val="24"/>
                <w:lang w:eastAsia="en-US"/>
              </w:rPr>
              <w:t xml:space="preserve"> and </w:t>
            </w:r>
            <w:proofErr w:type="spellStart"/>
            <w:r w:rsidRPr="009907F8">
              <w:rPr>
                <w:b/>
                <w:bCs/>
                <w:iCs/>
                <w:sz w:val="24"/>
                <w:szCs w:val="24"/>
                <w:lang w:eastAsia="en-US"/>
              </w:rPr>
              <w:t>infestations</w:t>
            </w:r>
            <w:proofErr w:type="spellEnd"/>
          </w:p>
        </w:tc>
      </w:tr>
      <w:tr w:rsidR="00862A88" w:rsidRPr="009907F8" w14:paraId="1511ED21" w14:textId="77777777" w:rsidTr="006F268E">
        <w:trPr>
          <w:trHeight w:val="505"/>
        </w:trPr>
        <w:tc>
          <w:tcPr>
            <w:tcW w:w="1523" w:type="pct"/>
            <w:tcBorders>
              <w:top w:val="single" w:sz="4" w:space="0" w:color="000000"/>
              <w:left w:val="single" w:sz="4" w:space="0" w:color="000000"/>
              <w:bottom w:val="single" w:sz="4" w:space="0" w:color="000000"/>
              <w:right w:val="single" w:sz="4" w:space="0" w:color="000000"/>
            </w:tcBorders>
            <w:hideMark/>
          </w:tcPr>
          <w:p w14:paraId="4A530278"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Very</w:t>
            </w:r>
            <w:proofErr w:type="spellEnd"/>
            <w:r w:rsidRPr="009907F8">
              <w:rPr>
                <w:iCs/>
                <w:sz w:val="24"/>
                <w:szCs w:val="24"/>
                <w:lang w:eastAsia="en-US"/>
              </w:rPr>
              <w:t xml:space="preserve"> common:</w:t>
            </w:r>
          </w:p>
        </w:tc>
        <w:tc>
          <w:tcPr>
            <w:tcW w:w="3477" w:type="pct"/>
            <w:tcBorders>
              <w:top w:val="single" w:sz="4" w:space="0" w:color="000000"/>
              <w:left w:val="single" w:sz="4" w:space="0" w:color="000000"/>
              <w:bottom w:val="single" w:sz="4" w:space="0" w:color="000000"/>
              <w:right w:val="single" w:sz="4" w:space="0" w:color="000000"/>
            </w:tcBorders>
            <w:hideMark/>
          </w:tcPr>
          <w:p w14:paraId="6D929846"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Influenza</w:t>
            </w:r>
          </w:p>
          <w:p w14:paraId="2BE897BD"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Sinusitis</w:t>
            </w:r>
            <w:proofErr w:type="spellEnd"/>
          </w:p>
        </w:tc>
      </w:tr>
      <w:tr w:rsidR="00862A88" w:rsidRPr="00A74CF9" w14:paraId="17395155" w14:textId="77777777" w:rsidTr="006F268E">
        <w:trPr>
          <w:trHeight w:val="758"/>
        </w:trPr>
        <w:tc>
          <w:tcPr>
            <w:tcW w:w="1523" w:type="pct"/>
            <w:tcBorders>
              <w:top w:val="single" w:sz="4" w:space="0" w:color="000000"/>
              <w:left w:val="single" w:sz="4" w:space="0" w:color="000000"/>
              <w:bottom w:val="single" w:sz="4" w:space="0" w:color="000000"/>
              <w:right w:val="single" w:sz="4" w:space="0" w:color="000000"/>
            </w:tcBorders>
            <w:hideMark/>
          </w:tcPr>
          <w:p w14:paraId="6BC2B8B1"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283456DD" w14:textId="77777777" w:rsidR="00862A88" w:rsidRPr="009907F8" w:rsidRDefault="00862A88">
            <w:pPr>
              <w:widowControl w:val="0"/>
              <w:tabs>
                <w:tab w:val="left" w:pos="567"/>
              </w:tabs>
              <w:spacing w:line="256" w:lineRule="auto"/>
              <w:ind w:left="140"/>
              <w:rPr>
                <w:iCs/>
                <w:sz w:val="24"/>
                <w:szCs w:val="24"/>
                <w:lang w:val="en-US" w:eastAsia="en-US"/>
              </w:rPr>
            </w:pPr>
            <w:r w:rsidRPr="009907F8">
              <w:rPr>
                <w:iCs/>
                <w:sz w:val="24"/>
                <w:szCs w:val="24"/>
                <w:lang w:val="en-US" w:eastAsia="en-US"/>
              </w:rPr>
              <w:t xml:space="preserve">Herpes viral infections </w:t>
            </w:r>
          </w:p>
          <w:p w14:paraId="7AF519CC" w14:textId="77777777" w:rsidR="00862A88" w:rsidRPr="009907F8" w:rsidRDefault="00862A88">
            <w:pPr>
              <w:widowControl w:val="0"/>
              <w:tabs>
                <w:tab w:val="left" w:pos="567"/>
              </w:tabs>
              <w:spacing w:line="256" w:lineRule="auto"/>
              <w:ind w:left="140"/>
              <w:rPr>
                <w:iCs/>
                <w:sz w:val="24"/>
                <w:szCs w:val="24"/>
                <w:lang w:val="en-US" w:eastAsia="en-US"/>
              </w:rPr>
            </w:pPr>
            <w:r w:rsidRPr="009907F8">
              <w:rPr>
                <w:iCs/>
                <w:sz w:val="24"/>
                <w:szCs w:val="24"/>
                <w:lang w:val="en-US" w:eastAsia="en-US"/>
              </w:rPr>
              <w:t>Bronchitis</w:t>
            </w:r>
          </w:p>
          <w:p w14:paraId="27EBAC2F" w14:textId="77777777" w:rsidR="00862A88" w:rsidRPr="009907F8" w:rsidRDefault="00862A88">
            <w:pPr>
              <w:widowControl w:val="0"/>
              <w:tabs>
                <w:tab w:val="left" w:pos="567"/>
              </w:tabs>
              <w:spacing w:line="256" w:lineRule="auto"/>
              <w:ind w:left="140"/>
              <w:rPr>
                <w:iCs/>
                <w:sz w:val="24"/>
                <w:szCs w:val="24"/>
                <w:lang w:val="en-US" w:eastAsia="en-US"/>
              </w:rPr>
            </w:pPr>
            <w:r w:rsidRPr="009907F8">
              <w:rPr>
                <w:iCs/>
                <w:sz w:val="24"/>
                <w:szCs w:val="24"/>
                <w:lang w:val="en-US" w:eastAsia="en-US"/>
              </w:rPr>
              <w:t>Tinea versicolor</w:t>
            </w:r>
          </w:p>
        </w:tc>
      </w:tr>
      <w:tr w:rsidR="00862A88" w:rsidRPr="009907F8" w14:paraId="48DFC5FF" w14:textId="77777777" w:rsidTr="006F268E">
        <w:trPr>
          <w:trHeight w:val="253"/>
        </w:trPr>
        <w:tc>
          <w:tcPr>
            <w:tcW w:w="1523" w:type="pct"/>
            <w:tcBorders>
              <w:top w:val="single" w:sz="4" w:space="0" w:color="000000"/>
              <w:left w:val="single" w:sz="4" w:space="0" w:color="000000"/>
              <w:bottom w:val="single" w:sz="4" w:space="0" w:color="000000"/>
              <w:right w:val="single" w:sz="4" w:space="0" w:color="000000"/>
            </w:tcBorders>
            <w:hideMark/>
          </w:tcPr>
          <w:p w14:paraId="0CF1DD95"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Uncommon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35CE5D58"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Pneumonia</w:t>
            </w:r>
            <w:proofErr w:type="spellEnd"/>
          </w:p>
        </w:tc>
      </w:tr>
      <w:tr w:rsidR="00862A88" w:rsidRPr="00A74CF9" w14:paraId="68D0D6AB" w14:textId="77777777" w:rsidTr="006F268E">
        <w:trPr>
          <w:trHeight w:val="506"/>
        </w:trPr>
        <w:tc>
          <w:tcPr>
            <w:tcW w:w="1523" w:type="pct"/>
            <w:tcBorders>
              <w:top w:val="single" w:sz="4" w:space="0" w:color="000000"/>
              <w:left w:val="single" w:sz="4" w:space="0" w:color="000000"/>
              <w:bottom w:val="single" w:sz="4" w:space="0" w:color="000000"/>
              <w:right w:val="single" w:sz="4" w:space="0" w:color="000000"/>
            </w:tcBorders>
            <w:hideMark/>
          </w:tcPr>
          <w:p w14:paraId="4BBB96FC"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Not </w:t>
            </w:r>
            <w:proofErr w:type="spellStart"/>
            <w:r w:rsidRPr="009907F8">
              <w:rPr>
                <w:iCs/>
                <w:sz w:val="24"/>
                <w:szCs w:val="24"/>
                <w:lang w:eastAsia="en-US"/>
              </w:rPr>
              <w:t>known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769C2918" w14:textId="77777777" w:rsidR="00862A88" w:rsidRPr="009907F8" w:rsidRDefault="00862A88">
            <w:pPr>
              <w:widowControl w:val="0"/>
              <w:tabs>
                <w:tab w:val="left" w:pos="567"/>
              </w:tabs>
              <w:spacing w:line="256" w:lineRule="auto"/>
              <w:ind w:left="140"/>
              <w:rPr>
                <w:iCs/>
                <w:sz w:val="24"/>
                <w:szCs w:val="24"/>
                <w:lang w:val="en-US" w:eastAsia="en-US"/>
              </w:rPr>
            </w:pPr>
            <w:r w:rsidRPr="009907F8">
              <w:rPr>
                <w:iCs/>
                <w:sz w:val="24"/>
                <w:szCs w:val="24"/>
                <w:lang w:val="en-US" w:eastAsia="en-US"/>
              </w:rPr>
              <w:t>Progressive multifocal leukoencephalopathy (PML)**</w:t>
            </w:r>
          </w:p>
          <w:p w14:paraId="5FE17EF8" w14:textId="77777777" w:rsidR="00862A88" w:rsidRPr="009907F8" w:rsidRDefault="00862A88">
            <w:pPr>
              <w:widowControl w:val="0"/>
              <w:tabs>
                <w:tab w:val="left" w:pos="567"/>
              </w:tabs>
              <w:spacing w:line="256" w:lineRule="auto"/>
              <w:ind w:left="140"/>
              <w:rPr>
                <w:iCs/>
                <w:sz w:val="24"/>
                <w:szCs w:val="24"/>
                <w:lang w:val="en-US" w:eastAsia="en-US"/>
              </w:rPr>
            </w:pPr>
            <w:r w:rsidRPr="009907F8">
              <w:rPr>
                <w:iCs/>
                <w:sz w:val="24"/>
                <w:szCs w:val="24"/>
                <w:lang w:val="en-US" w:eastAsia="en-US"/>
              </w:rPr>
              <w:t>Cryptococcal infections**</w:t>
            </w:r>
          </w:p>
        </w:tc>
      </w:tr>
      <w:tr w:rsidR="00862A88" w:rsidRPr="00A74CF9" w14:paraId="55EBDDF0" w14:textId="77777777" w:rsidTr="006F268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2EC85183" w14:textId="77777777" w:rsidR="00862A88" w:rsidRPr="009907F8" w:rsidRDefault="00862A88">
            <w:pPr>
              <w:widowControl w:val="0"/>
              <w:tabs>
                <w:tab w:val="left" w:pos="567"/>
              </w:tabs>
              <w:spacing w:line="256" w:lineRule="auto"/>
              <w:ind w:left="140"/>
              <w:rPr>
                <w:b/>
                <w:bCs/>
                <w:iCs/>
                <w:sz w:val="24"/>
                <w:szCs w:val="24"/>
                <w:lang w:val="en-US" w:eastAsia="en-US"/>
              </w:rPr>
            </w:pPr>
            <w:r w:rsidRPr="009907F8">
              <w:rPr>
                <w:b/>
                <w:bCs/>
                <w:iCs/>
                <w:sz w:val="24"/>
                <w:szCs w:val="24"/>
                <w:lang w:val="en-US" w:eastAsia="en-US"/>
              </w:rPr>
              <w:t>Neoplasms benign, malignant and unspecified (incl cysts and polyps)</w:t>
            </w:r>
          </w:p>
        </w:tc>
      </w:tr>
      <w:tr w:rsidR="00862A88" w:rsidRPr="009907F8" w14:paraId="3E4CD95D" w14:textId="77777777" w:rsidTr="006F268E">
        <w:trPr>
          <w:trHeight w:val="254"/>
        </w:trPr>
        <w:tc>
          <w:tcPr>
            <w:tcW w:w="1523" w:type="pct"/>
            <w:tcBorders>
              <w:top w:val="single" w:sz="4" w:space="0" w:color="000000"/>
              <w:left w:val="single" w:sz="4" w:space="0" w:color="000000"/>
              <w:bottom w:val="single" w:sz="4" w:space="0" w:color="000000"/>
              <w:right w:val="single" w:sz="4" w:space="0" w:color="000000"/>
            </w:tcBorders>
            <w:hideMark/>
          </w:tcPr>
          <w:p w14:paraId="54AE27BD"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3837588D"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Basal </w:t>
            </w:r>
            <w:proofErr w:type="spellStart"/>
            <w:r w:rsidRPr="009907F8">
              <w:rPr>
                <w:iCs/>
                <w:sz w:val="24"/>
                <w:szCs w:val="24"/>
                <w:lang w:eastAsia="en-US"/>
              </w:rPr>
              <w:t>cell</w:t>
            </w:r>
            <w:proofErr w:type="spellEnd"/>
            <w:r w:rsidRPr="009907F8">
              <w:rPr>
                <w:iCs/>
                <w:sz w:val="24"/>
                <w:szCs w:val="24"/>
                <w:lang w:eastAsia="en-US"/>
              </w:rPr>
              <w:t xml:space="preserve"> </w:t>
            </w:r>
            <w:proofErr w:type="spellStart"/>
            <w:r w:rsidRPr="009907F8">
              <w:rPr>
                <w:iCs/>
                <w:sz w:val="24"/>
                <w:szCs w:val="24"/>
                <w:lang w:eastAsia="en-US"/>
              </w:rPr>
              <w:t>carcinoma</w:t>
            </w:r>
            <w:proofErr w:type="spellEnd"/>
          </w:p>
        </w:tc>
      </w:tr>
      <w:tr w:rsidR="00862A88" w:rsidRPr="009907F8" w14:paraId="5683055D" w14:textId="77777777" w:rsidTr="006F268E">
        <w:trPr>
          <w:trHeight w:val="253"/>
        </w:trPr>
        <w:tc>
          <w:tcPr>
            <w:tcW w:w="1523" w:type="pct"/>
            <w:tcBorders>
              <w:top w:val="single" w:sz="4" w:space="0" w:color="000000"/>
              <w:left w:val="single" w:sz="4" w:space="0" w:color="000000"/>
              <w:bottom w:val="single" w:sz="4" w:space="0" w:color="000000"/>
              <w:right w:val="single" w:sz="4" w:space="0" w:color="000000"/>
            </w:tcBorders>
            <w:hideMark/>
          </w:tcPr>
          <w:p w14:paraId="253B8AD8"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Uncommon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784A53F0"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Malignant</w:t>
            </w:r>
            <w:proofErr w:type="spellEnd"/>
            <w:r w:rsidRPr="009907F8">
              <w:rPr>
                <w:iCs/>
                <w:sz w:val="24"/>
                <w:szCs w:val="24"/>
                <w:lang w:eastAsia="en-US"/>
              </w:rPr>
              <w:t xml:space="preserve"> </w:t>
            </w:r>
            <w:proofErr w:type="spellStart"/>
            <w:r w:rsidRPr="009907F8">
              <w:rPr>
                <w:iCs/>
                <w:sz w:val="24"/>
                <w:szCs w:val="24"/>
                <w:lang w:eastAsia="en-US"/>
              </w:rPr>
              <w:t>melanoma</w:t>
            </w:r>
            <w:proofErr w:type="spellEnd"/>
            <w:r w:rsidRPr="009907F8">
              <w:rPr>
                <w:iCs/>
                <w:sz w:val="24"/>
                <w:szCs w:val="24"/>
                <w:lang w:eastAsia="en-US"/>
              </w:rPr>
              <w:t>****</w:t>
            </w:r>
          </w:p>
        </w:tc>
      </w:tr>
      <w:tr w:rsidR="00862A88" w:rsidRPr="009907F8" w14:paraId="3E8DAD4C" w14:textId="77777777" w:rsidTr="006F268E">
        <w:trPr>
          <w:trHeight w:val="528"/>
        </w:trPr>
        <w:tc>
          <w:tcPr>
            <w:tcW w:w="1523" w:type="pct"/>
            <w:tcBorders>
              <w:top w:val="single" w:sz="4" w:space="0" w:color="000000"/>
              <w:left w:val="single" w:sz="4" w:space="0" w:color="000000"/>
              <w:bottom w:val="single" w:sz="4" w:space="0" w:color="000000"/>
              <w:right w:val="single" w:sz="4" w:space="0" w:color="000000"/>
            </w:tcBorders>
            <w:hideMark/>
          </w:tcPr>
          <w:p w14:paraId="7B719F44"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lastRenderedPageBreak/>
              <w:t>Rare:</w:t>
            </w:r>
          </w:p>
        </w:tc>
        <w:tc>
          <w:tcPr>
            <w:tcW w:w="3477" w:type="pct"/>
            <w:tcBorders>
              <w:top w:val="single" w:sz="4" w:space="0" w:color="000000"/>
              <w:left w:val="single" w:sz="4" w:space="0" w:color="000000"/>
              <w:bottom w:val="single" w:sz="4" w:space="0" w:color="000000"/>
              <w:right w:val="single" w:sz="4" w:space="0" w:color="000000"/>
            </w:tcBorders>
            <w:hideMark/>
          </w:tcPr>
          <w:p w14:paraId="50F7F5C7"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Lymphoma</w:t>
            </w:r>
            <w:proofErr w:type="spellEnd"/>
            <w:r w:rsidRPr="009907F8">
              <w:rPr>
                <w:iCs/>
                <w:sz w:val="24"/>
                <w:szCs w:val="24"/>
                <w:lang w:eastAsia="en-US"/>
              </w:rPr>
              <w:t>***</w:t>
            </w:r>
          </w:p>
          <w:p w14:paraId="539CB9B8"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Squamous</w:t>
            </w:r>
            <w:proofErr w:type="spellEnd"/>
            <w:r w:rsidRPr="009907F8">
              <w:rPr>
                <w:iCs/>
                <w:sz w:val="24"/>
                <w:szCs w:val="24"/>
                <w:lang w:eastAsia="en-US"/>
              </w:rPr>
              <w:t xml:space="preserve"> </w:t>
            </w:r>
            <w:proofErr w:type="spellStart"/>
            <w:r w:rsidRPr="009907F8">
              <w:rPr>
                <w:iCs/>
                <w:sz w:val="24"/>
                <w:szCs w:val="24"/>
                <w:lang w:eastAsia="en-US"/>
              </w:rPr>
              <w:t>cell</w:t>
            </w:r>
            <w:proofErr w:type="spellEnd"/>
            <w:r w:rsidRPr="009907F8">
              <w:rPr>
                <w:iCs/>
                <w:sz w:val="24"/>
                <w:szCs w:val="24"/>
                <w:lang w:eastAsia="en-US"/>
              </w:rPr>
              <w:t xml:space="preserve"> </w:t>
            </w:r>
            <w:proofErr w:type="spellStart"/>
            <w:r w:rsidRPr="009907F8">
              <w:rPr>
                <w:iCs/>
                <w:sz w:val="24"/>
                <w:szCs w:val="24"/>
                <w:lang w:eastAsia="en-US"/>
              </w:rPr>
              <w:t>carcinoma</w:t>
            </w:r>
            <w:proofErr w:type="spellEnd"/>
            <w:r w:rsidRPr="009907F8">
              <w:rPr>
                <w:iCs/>
                <w:sz w:val="24"/>
                <w:szCs w:val="24"/>
                <w:lang w:eastAsia="en-US"/>
              </w:rPr>
              <w:t>****</w:t>
            </w:r>
          </w:p>
        </w:tc>
      </w:tr>
      <w:tr w:rsidR="00862A88" w:rsidRPr="009907F8" w14:paraId="2BB3AB73" w14:textId="77777777" w:rsidTr="006F268E">
        <w:trPr>
          <w:trHeight w:val="251"/>
        </w:trPr>
        <w:tc>
          <w:tcPr>
            <w:tcW w:w="1523" w:type="pct"/>
            <w:tcBorders>
              <w:top w:val="single" w:sz="4" w:space="0" w:color="000000"/>
              <w:left w:val="single" w:sz="4" w:space="0" w:color="000000"/>
              <w:bottom w:val="single" w:sz="4" w:space="0" w:color="000000"/>
              <w:right w:val="single" w:sz="4" w:space="0" w:color="000000"/>
            </w:tcBorders>
            <w:hideMark/>
          </w:tcPr>
          <w:p w14:paraId="5C3E1433"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Very</w:t>
            </w:r>
            <w:proofErr w:type="spellEnd"/>
            <w:r w:rsidRPr="009907F8">
              <w:rPr>
                <w:iCs/>
                <w:sz w:val="24"/>
                <w:szCs w:val="24"/>
                <w:lang w:eastAsia="en-US"/>
              </w:rPr>
              <w:t xml:space="preserve"> rare:</w:t>
            </w:r>
          </w:p>
        </w:tc>
        <w:tc>
          <w:tcPr>
            <w:tcW w:w="3477" w:type="pct"/>
            <w:tcBorders>
              <w:top w:val="single" w:sz="4" w:space="0" w:color="000000"/>
              <w:left w:val="single" w:sz="4" w:space="0" w:color="000000"/>
              <w:bottom w:val="single" w:sz="4" w:space="0" w:color="000000"/>
              <w:right w:val="single" w:sz="4" w:space="0" w:color="000000"/>
            </w:tcBorders>
            <w:hideMark/>
          </w:tcPr>
          <w:p w14:paraId="5499CF54"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Kaposi’s</w:t>
            </w:r>
            <w:proofErr w:type="spellEnd"/>
            <w:r w:rsidRPr="009907F8">
              <w:rPr>
                <w:iCs/>
                <w:sz w:val="24"/>
                <w:szCs w:val="24"/>
                <w:lang w:eastAsia="en-US"/>
              </w:rPr>
              <w:t xml:space="preserve"> </w:t>
            </w:r>
            <w:proofErr w:type="spellStart"/>
            <w:r w:rsidRPr="009907F8">
              <w:rPr>
                <w:iCs/>
                <w:sz w:val="24"/>
                <w:szCs w:val="24"/>
                <w:lang w:eastAsia="en-US"/>
              </w:rPr>
              <w:t>sarcoma</w:t>
            </w:r>
            <w:proofErr w:type="spellEnd"/>
            <w:r w:rsidRPr="009907F8">
              <w:rPr>
                <w:iCs/>
                <w:sz w:val="24"/>
                <w:szCs w:val="24"/>
                <w:lang w:eastAsia="en-US"/>
              </w:rPr>
              <w:t>****</w:t>
            </w:r>
          </w:p>
        </w:tc>
      </w:tr>
      <w:tr w:rsidR="00862A88" w:rsidRPr="009907F8" w14:paraId="54815A46" w14:textId="77777777" w:rsidTr="006F268E">
        <w:trPr>
          <w:trHeight w:val="254"/>
        </w:trPr>
        <w:tc>
          <w:tcPr>
            <w:tcW w:w="1523" w:type="pct"/>
            <w:tcBorders>
              <w:top w:val="single" w:sz="4" w:space="0" w:color="000000"/>
              <w:left w:val="single" w:sz="4" w:space="0" w:color="000000"/>
              <w:bottom w:val="single" w:sz="4" w:space="0" w:color="000000"/>
              <w:right w:val="single" w:sz="4" w:space="0" w:color="000000"/>
            </w:tcBorders>
            <w:hideMark/>
          </w:tcPr>
          <w:p w14:paraId="26C51DC4"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Not </w:t>
            </w:r>
            <w:proofErr w:type="spellStart"/>
            <w:r w:rsidRPr="009907F8">
              <w:rPr>
                <w:iCs/>
                <w:sz w:val="24"/>
                <w:szCs w:val="24"/>
                <w:lang w:eastAsia="en-US"/>
              </w:rPr>
              <w:t>known</w:t>
            </w:r>
            <w:proofErr w:type="spellEnd"/>
          </w:p>
        </w:tc>
        <w:tc>
          <w:tcPr>
            <w:tcW w:w="3477" w:type="pct"/>
            <w:tcBorders>
              <w:top w:val="single" w:sz="4" w:space="0" w:color="000000"/>
              <w:left w:val="single" w:sz="4" w:space="0" w:color="000000"/>
              <w:bottom w:val="single" w:sz="4" w:space="0" w:color="000000"/>
              <w:right w:val="single" w:sz="4" w:space="0" w:color="000000"/>
            </w:tcBorders>
            <w:hideMark/>
          </w:tcPr>
          <w:p w14:paraId="7313AA83"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Merkel </w:t>
            </w:r>
            <w:proofErr w:type="spellStart"/>
            <w:r w:rsidRPr="009907F8">
              <w:rPr>
                <w:iCs/>
                <w:sz w:val="24"/>
                <w:szCs w:val="24"/>
                <w:lang w:eastAsia="en-US"/>
              </w:rPr>
              <w:t>cell</w:t>
            </w:r>
            <w:proofErr w:type="spellEnd"/>
            <w:r w:rsidRPr="009907F8">
              <w:rPr>
                <w:iCs/>
                <w:sz w:val="24"/>
                <w:szCs w:val="24"/>
                <w:lang w:eastAsia="en-US"/>
              </w:rPr>
              <w:t xml:space="preserve"> </w:t>
            </w:r>
            <w:proofErr w:type="spellStart"/>
            <w:r w:rsidRPr="009907F8">
              <w:rPr>
                <w:iCs/>
                <w:sz w:val="24"/>
                <w:szCs w:val="24"/>
                <w:lang w:eastAsia="en-US"/>
              </w:rPr>
              <w:t>carcinoma</w:t>
            </w:r>
            <w:proofErr w:type="spellEnd"/>
            <w:r w:rsidRPr="009907F8">
              <w:rPr>
                <w:iCs/>
                <w:sz w:val="24"/>
                <w:szCs w:val="24"/>
                <w:lang w:eastAsia="en-US"/>
              </w:rPr>
              <w:t>***</w:t>
            </w:r>
          </w:p>
        </w:tc>
      </w:tr>
      <w:tr w:rsidR="00862A88" w:rsidRPr="00A74CF9" w14:paraId="6C9F3E25" w14:textId="77777777" w:rsidTr="006F268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017124D9" w14:textId="77777777" w:rsidR="00862A88" w:rsidRPr="009907F8" w:rsidRDefault="00862A88">
            <w:pPr>
              <w:widowControl w:val="0"/>
              <w:tabs>
                <w:tab w:val="left" w:pos="567"/>
              </w:tabs>
              <w:spacing w:line="256" w:lineRule="auto"/>
              <w:ind w:left="140"/>
              <w:rPr>
                <w:b/>
                <w:bCs/>
                <w:iCs/>
                <w:sz w:val="24"/>
                <w:szCs w:val="24"/>
                <w:lang w:val="en-US" w:eastAsia="en-US"/>
              </w:rPr>
            </w:pPr>
            <w:r w:rsidRPr="009907F8">
              <w:rPr>
                <w:b/>
                <w:bCs/>
                <w:iCs/>
                <w:sz w:val="24"/>
                <w:szCs w:val="24"/>
                <w:lang w:val="en-US" w:eastAsia="en-US"/>
              </w:rPr>
              <w:t>Blood and lymphatic system disorders</w:t>
            </w:r>
          </w:p>
        </w:tc>
      </w:tr>
      <w:tr w:rsidR="00862A88" w:rsidRPr="009907F8" w14:paraId="5F588081" w14:textId="77777777" w:rsidTr="006F268E">
        <w:trPr>
          <w:trHeight w:val="505"/>
        </w:trPr>
        <w:tc>
          <w:tcPr>
            <w:tcW w:w="1523" w:type="pct"/>
            <w:tcBorders>
              <w:top w:val="single" w:sz="4" w:space="0" w:color="000000"/>
              <w:left w:val="single" w:sz="4" w:space="0" w:color="000000"/>
              <w:bottom w:val="single" w:sz="4" w:space="0" w:color="000000"/>
              <w:right w:val="single" w:sz="4" w:space="0" w:color="000000"/>
            </w:tcBorders>
            <w:hideMark/>
          </w:tcPr>
          <w:p w14:paraId="341FFCD1"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4A32A82E"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Lymphopenia</w:t>
            </w:r>
            <w:proofErr w:type="spellEnd"/>
            <w:r w:rsidRPr="009907F8">
              <w:rPr>
                <w:iCs/>
                <w:sz w:val="24"/>
                <w:szCs w:val="24"/>
                <w:lang w:eastAsia="en-US"/>
              </w:rPr>
              <w:t xml:space="preserve"> </w:t>
            </w:r>
          </w:p>
          <w:p w14:paraId="146AC6C7"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Leucopenia</w:t>
            </w:r>
            <w:proofErr w:type="spellEnd"/>
          </w:p>
        </w:tc>
      </w:tr>
      <w:tr w:rsidR="00862A88" w:rsidRPr="009907F8" w14:paraId="2565A8EC" w14:textId="77777777" w:rsidTr="006F268E">
        <w:trPr>
          <w:trHeight w:val="253"/>
        </w:trPr>
        <w:tc>
          <w:tcPr>
            <w:tcW w:w="1523" w:type="pct"/>
            <w:tcBorders>
              <w:top w:val="single" w:sz="4" w:space="0" w:color="000000"/>
              <w:left w:val="single" w:sz="4" w:space="0" w:color="000000"/>
              <w:bottom w:val="single" w:sz="4" w:space="0" w:color="000000"/>
              <w:right w:val="single" w:sz="4" w:space="0" w:color="000000"/>
            </w:tcBorders>
            <w:hideMark/>
          </w:tcPr>
          <w:p w14:paraId="6146C840"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Uncommon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737D34F6"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Thrombocytopenia</w:t>
            </w:r>
            <w:proofErr w:type="spellEnd"/>
          </w:p>
        </w:tc>
      </w:tr>
      <w:tr w:rsidR="00862A88" w:rsidRPr="009907F8" w14:paraId="466CECE6" w14:textId="77777777" w:rsidTr="006F268E">
        <w:trPr>
          <w:trHeight w:val="253"/>
        </w:trPr>
        <w:tc>
          <w:tcPr>
            <w:tcW w:w="1523" w:type="pct"/>
            <w:tcBorders>
              <w:top w:val="single" w:sz="4" w:space="0" w:color="000000"/>
              <w:left w:val="single" w:sz="4" w:space="0" w:color="000000"/>
              <w:bottom w:val="single" w:sz="4" w:space="0" w:color="000000"/>
              <w:right w:val="single" w:sz="4" w:space="0" w:color="000000"/>
            </w:tcBorders>
            <w:hideMark/>
          </w:tcPr>
          <w:p w14:paraId="480E1A69"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Not </w:t>
            </w:r>
            <w:proofErr w:type="spellStart"/>
            <w:r w:rsidRPr="009907F8">
              <w:rPr>
                <w:iCs/>
                <w:sz w:val="24"/>
                <w:szCs w:val="24"/>
                <w:lang w:eastAsia="en-US"/>
              </w:rPr>
              <w:t>known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6017FC38"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Autoimmune </w:t>
            </w:r>
            <w:proofErr w:type="spellStart"/>
            <w:r w:rsidRPr="009907F8">
              <w:rPr>
                <w:iCs/>
                <w:sz w:val="24"/>
                <w:szCs w:val="24"/>
                <w:lang w:eastAsia="en-US"/>
              </w:rPr>
              <w:t>haemolytic</w:t>
            </w:r>
            <w:proofErr w:type="spellEnd"/>
            <w:r w:rsidRPr="009907F8">
              <w:rPr>
                <w:iCs/>
                <w:sz w:val="24"/>
                <w:szCs w:val="24"/>
                <w:lang w:eastAsia="en-US"/>
              </w:rPr>
              <w:t xml:space="preserve"> </w:t>
            </w:r>
            <w:proofErr w:type="spellStart"/>
            <w:r w:rsidRPr="009907F8">
              <w:rPr>
                <w:iCs/>
                <w:sz w:val="24"/>
                <w:szCs w:val="24"/>
                <w:lang w:eastAsia="en-US"/>
              </w:rPr>
              <w:t>anaemia</w:t>
            </w:r>
            <w:proofErr w:type="spellEnd"/>
            <w:r w:rsidRPr="009907F8">
              <w:rPr>
                <w:iCs/>
                <w:sz w:val="24"/>
                <w:szCs w:val="24"/>
                <w:lang w:eastAsia="en-US"/>
              </w:rPr>
              <w:t>***</w:t>
            </w:r>
          </w:p>
          <w:p w14:paraId="1333D487"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Peripheral</w:t>
            </w:r>
            <w:proofErr w:type="spellEnd"/>
            <w:r w:rsidRPr="009907F8">
              <w:rPr>
                <w:iCs/>
                <w:sz w:val="24"/>
                <w:szCs w:val="24"/>
                <w:lang w:eastAsia="en-US"/>
              </w:rPr>
              <w:t xml:space="preserve"> </w:t>
            </w:r>
            <w:proofErr w:type="spellStart"/>
            <w:r w:rsidRPr="009907F8">
              <w:rPr>
                <w:iCs/>
                <w:sz w:val="24"/>
                <w:szCs w:val="24"/>
                <w:lang w:eastAsia="en-US"/>
              </w:rPr>
              <w:t>oedema</w:t>
            </w:r>
            <w:proofErr w:type="spellEnd"/>
            <w:r w:rsidRPr="009907F8">
              <w:rPr>
                <w:iCs/>
                <w:sz w:val="24"/>
                <w:szCs w:val="24"/>
                <w:lang w:eastAsia="en-US"/>
              </w:rPr>
              <w:t>***</w:t>
            </w:r>
          </w:p>
        </w:tc>
      </w:tr>
      <w:tr w:rsidR="00862A88" w:rsidRPr="009907F8" w14:paraId="4C052280" w14:textId="77777777" w:rsidTr="006F268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5BC913B0" w14:textId="77777777" w:rsidR="00862A88" w:rsidRPr="009907F8" w:rsidRDefault="00862A88">
            <w:pPr>
              <w:widowControl w:val="0"/>
              <w:tabs>
                <w:tab w:val="left" w:pos="567"/>
              </w:tabs>
              <w:spacing w:line="256" w:lineRule="auto"/>
              <w:ind w:left="140"/>
              <w:rPr>
                <w:b/>
                <w:bCs/>
                <w:iCs/>
                <w:sz w:val="24"/>
                <w:szCs w:val="24"/>
                <w:lang w:eastAsia="en-US"/>
              </w:rPr>
            </w:pPr>
            <w:r w:rsidRPr="009907F8">
              <w:rPr>
                <w:b/>
                <w:bCs/>
                <w:iCs/>
                <w:sz w:val="24"/>
                <w:szCs w:val="24"/>
                <w:lang w:eastAsia="en-US"/>
              </w:rPr>
              <w:t xml:space="preserve">Immune system </w:t>
            </w:r>
            <w:proofErr w:type="spellStart"/>
            <w:r w:rsidRPr="009907F8">
              <w:rPr>
                <w:b/>
                <w:bCs/>
                <w:iCs/>
                <w:sz w:val="24"/>
                <w:szCs w:val="24"/>
                <w:lang w:eastAsia="en-US"/>
              </w:rPr>
              <w:t>disorders</w:t>
            </w:r>
            <w:proofErr w:type="spellEnd"/>
          </w:p>
        </w:tc>
      </w:tr>
      <w:tr w:rsidR="00862A88" w:rsidRPr="009907F8" w14:paraId="7D877BA5" w14:textId="77777777" w:rsidTr="006F268E">
        <w:trPr>
          <w:trHeight w:val="505"/>
        </w:trPr>
        <w:tc>
          <w:tcPr>
            <w:tcW w:w="1523" w:type="pct"/>
            <w:tcBorders>
              <w:top w:val="single" w:sz="4" w:space="0" w:color="000000"/>
              <w:left w:val="single" w:sz="4" w:space="0" w:color="000000"/>
              <w:bottom w:val="single" w:sz="4" w:space="0" w:color="000000"/>
              <w:right w:val="single" w:sz="4" w:space="0" w:color="000000"/>
            </w:tcBorders>
            <w:hideMark/>
          </w:tcPr>
          <w:p w14:paraId="7C0960FD"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Not </w:t>
            </w:r>
            <w:proofErr w:type="spellStart"/>
            <w:r w:rsidRPr="009907F8">
              <w:rPr>
                <w:iCs/>
                <w:sz w:val="24"/>
                <w:szCs w:val="24"/>
                <w:lang w:eastAsia="en-US"/>
              </w:rPr>
              <w:t>known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0EDAB79C" w14:textId="77777777" w:rsidR="00862A88" w:rsidRPr="009907F8" w:rsidRDefault="00862A88">
            <w:pPr>
              <w:widowControl w:val="0"/>
              <w:tabs>
                <w:tab w:val="left" w:pos="567"/>
              </w:tabs>
              <w:spacing w:line="256" w:lineRule="auto"/>
              <w:ind w:left="140"/>
              <w:rPr>
                <w:iCs/>
                <w:sz w:val="24"/>
                <w:szCs w:val="24"/>
                <w:lang w:val="en-US" w:eastAsia="en-US"/>
              </w:rPr>
            </w:pPr>
            <w:r w:rsidRPr="009907F8">
              <w:rPr>
                <w:iCs/>
                <w:sz w:val="24"/>
                <w:szCs w:val="24"/>
                <w:lang w:val="en-US" w:eastAsia="en-US"/>
              </w:rPr>
              <w:t>Hypersensitivity reactions, including rash, urticaria and angioedema</w:t>
            </w:r>
          </w:p>
          <w:p w14:paraId="77C28C26"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upon </w:t>
            </w:r>
            <w:proofErr w:type="spellStart"/>
            <w:r w:rsidRPr="009907F8">
              <w:rPr>
                <w:iCs/>
                <w:sz w:val="24"/>
                <w:szCs w:val="24"/>
                <w:lang w:eastAsia="en-US"/>
              </w:rPr>
              <w:t>treatment</w:t>
            </w:r>
            <w:proofErr w:type="spellEnd"/>
            <w:r w:rsidRPr="009907F8">
              <w:rPr>
                <w:iCs/>
                <w:sz w:val="24"/>
                <w:szCs w:val="24"/>
                <w:lang w:eastAsia="en-US"/>
              </w:rPr>
              <w:t xml:space="preserve"> initiation***</w:t>
            </w:r>
          </w:p>
        </w:tc>
      </w:tr>
      <w:tr w:rsidR="00862A88" w:rsidRPr="009907F8" w14:paraId="6D3AEF0C" w14:textId="77777777" w:rsidTr="006F268E">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519F743B" w14:textId="77777777" w:rsidR="00862A88" w:rsidRPr="009907F8" w:rsidRDefault="00862A88">
            <w:pPr>
              <w:widowControl w:val="0"/>
              <w:tabs>
                <w:tab w:val="left" w:pos="567"/>
              </w:tabs>
              <w:spacing w:line="256" w:lineRule="auto"/>
              <w:ind w:left="140"/>
              <w:rPr>
                <w:b/>
                <w:bCs/>
                <w:iCs/>
                <w:sz w:val="24"/>
                <w:szCs w:val="24"/>
                <w:lang w:eastAsia="en-US"/>
              </w:rPr>
            </w:pPr>
            <w:proofErr w:type="spellStart"/>
            <w:r w:rsidRPr="009907F8">
              <w:rPr>
                <w:b/>
                <w:bCs/>
                <w:iCs/>
                <w:sz w:val="24"/>
                <w:szCs w:val="24"/>
                <w:lang w:eastAsia="en-US"/>
              </w:rPr>
              <w:t>Psychiatric</w:t>
            </w:r>
            <w:proofErr w:type="spellEnd"/>
            <w:r w:rsidRPr="009907F8">
              <w:rPr>
                <w:b/>
                <w:bCs/>
                <w:iCs/>
                <w:sz w:val="24"/>
                <w:szCs w:val="24"/>
                <w:lang w:eastAsia="en-US"/>
              </w:rPr>
              <w:t xml:space="preserve"> </w:t>
            </w:r>
            <w:proofErr w:type="spellStart"/>
            <w:r w:rsidRPr="009907F8">
              <w:rPr>
                <w:b/>
                <w:bCs/>
                <w:iCs/>
                <w:sz w:val="24"/>
                <w:szCs w:val="24"/>
                <w:lang w:eastAsia="en-US"/>
              </w:rPr>
              <w:t>disorders</w:t>
            </w:r>
            <w:proofErr w:type="spellEnd"/>
          </w:p>
        </w:tc>
      </w:tr>
      <w:tr w:rsidR="00862A88" w:rsidRPr="009907F8" w14:paraId="6E359B75" w14:textId="77777777" w:rsidTr="006F268E">
        <w:trPr>
          <w:trHeight w:val="251"/>
        </w:trPr>
        <w:tc>
          <w:tcPr>
            <w:tcW w:w="1523" w:type="pct"/>
            <w:tcBorders>
              <w:top w:val="single" w:sz="4" w:space="0" w:color="000000"/>
              <w:left w:val="single" w:sz="4" w:space="0" w:color="000000"/>
              <w:bottom w:val="single" w:sz="4" w:space="0" w:color="000000"/>
              <w:right w:val="single" w:sz="4" w:space="0" w:color="000000"/>
            </w:tcBorders>
            <w:hideMark/>
          </w:tcPr>
          <w:p w14:paraId="08F1839E"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3452F960"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Depression</w:t>
            </w:r>
          </w:p>
        </w:tc>
      </w:tr>
      <w:tr w:rsidR="00862A88" w:rsidRPr="009907F8" w14:paraId="2A5F7FD3" w14:textId="77777777" w:rsidTr="006F268E">
        <w:trPr>
          <w:trHeight w:val="253"/>
        </w:trPr>
        <w:tc>
          <w:tcPr>
            <w:tcW w:w="1523" w:type="pct"/>
            <w:tcBorders>
              <w:top w:val="single" w:sz="4" w:space="0" w:color="000000"/>
              <w:left w:val="single" w:sz="4" w:space="0" w:color="000000"/>
              <w:bottom w:val="single" w:sz="4" w:space="0" w:color="000000"/>
              <w:right w:val="single" w:sz="4" w:space="0" w:color="000000"/>
            </w:tcBorders>
            <w:hideMark/>
          </w:tcPr>
          <w:p w14:paraId="1999D191"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Uncommon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3D09571B"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Depressed</w:t>
            </w:r>
            <w:proofErr w:type="spellEnd"/>
            <w:r w:rsidRPr="009907F8">
              <w:rPr>
                <w:iCs/>
                <w:sz w:val="24"/>
                <w:szCs w:val="24"/>
                <w:lang w:eastAsia="en-US"/>
              </w:rPr>
              <w:t xml:space="preserve"> </w:t>
            </w:r>
            <w:proofErr w:type="spellStart"/>
            <w:r w:rsidRPr="009907F8">
              <w:rPr>
                <w:iCs/>
                <w:sz w:val="24"/>
                <w:szCs w:val="24"/>
                <w:lang w:eastAsia="en-US"/>
              </w:rPr>
              <w:t>mood</w:t>
            </w:r>
            <w:proofErr w:type="spellEnd"/>
          </w:p>
        </w:tc>
      </w:tr>
      <w:tr w:rsidR="00862A88" w:rsidRPr="009907F8" w14:paraId="199E906A" w14:textId="77777777" w:rsidTr="006F268E">
        <w:trPr>
          <w:trHeight w:val="252"/>
        </w:trPr>
        <w:tc>
          <w:tcPr>
            <w:tcW w:w="5000" w:type="pct"/>
            <w:gridSpan w:val="2"/>
            <w:tcBorders>
              <w:top w:val="single" w:sz="4" w:space="0" w:color="000000"/>
              <w:left w:val="single" w:sz="4" w:space="0" w:color="000000"/>
              <w:bottom w:val="single" w:sz="4" w:space="0" w:color="000000"/>
              <w:right w:val="single" w:sz="4" w:space="0" w:color="000000"/>
            </w:tcBorders>
            <w:hideMark/>
          </w:tcPr>
          <w:p w14:paraId="2CB79367" w14:textId="77777777" w:rsidR="00862A88" w:rsidRPr="009907F8" w:rsidRDefault="00862A88">
            <w:pPr>
              <w:widowControl w:val="0"/>
              <w:tabs>
                <w:tab w:val="left" w:pos="567"/>
              </w:tabs>
              <w:spacing w:line="256" w:lineRule="auto"/>
              <w:ind w:left="140"/>
              <w:rPr>
                <w:b/>
                <w:bCs/>
                <w:iCs/>
                <w:sz w:val="24"/>
                <w:szCs w:val="24"/>
                <w:lang w:eastAsia="en-US"/>
              </w:rPr>
            </w:pPr>
            <w:proofErr w:type="spellStart"/>
            <w:r w:rsidRPr="009907F8">
              <w:rPr>
                <w:b/>
                <w:bCs/>
                <w:iCs/>
                <w:sz w:val="24"/>
                <w:szCs w:val="24"/>
                <w:lang w:eastAsia="en-US"/>
              </w:rPr>
              <w:t>Nervous</w:t>
            </w:r>
            <w:proofErr w:type="spellEnd"/>
            <w:r w:rsidRPr="009907F8">
              <w:rPr>
                <w:b/>
                <w:bCs/>
                <w:iCs/>
                <w:sz w:val="24"/>
                <w:szCs w:val="24"/>
                <w:lang w:eastAsia="en-US"/>
              </w:rPr>
              <w:t xml:space="preserve"> system </w:t>
            </w:r>
            <w:proofErr w:type="spellStart"/>
            <w:r w:rsidRPr="009907F8">
              <w:rPr>
                <w:b/>
                <w:bCs/>
                <w:iCs/>
                <w:sz w:val="24"/>
                <w:szCs w:val="24"/>
                <w:lang w:eastAsia="en-US"/>
              </w:rPr>
              <w:t>disorders</w:t>
            </w:r>
            <w:proofErr w:type="spellEnd"/>
          </w:p>
        </w:tc>
      </w:tr>
      <w:tr w:rsidR="00862A88" w:rsidRPr="009907F8" w14:paraId="34AF16B7" w14:textId="77777777" w:rsidTr="006F268E">
        <w:trPr>
          <w:trHeight w:val="253"/>
        </w:trPr>
        <w:tc>
          <w:tcPr>
            <w:tcW w:w="1523" w:type="pct"/>
            <w:tcBorders>
              <w:top w:val="single" w:sz="4" w:space="0" w:color="000000"/>
              <w:left w:val="single" w:sz="4" w:space="0" w:color="000000"/>
              <w:bottom w:val="single" w:sz="4" w:space="0" w:color="000000"/>
              <w:right w:val="single" w:sz="4" w:space="0" w:color="000000"/>
            </w:tcBorders>
            <w:hideMark/>
          </w:tcPr>
          <w:p w14:paraId="7316FC9C"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Very</w:t>
            </w:r>
            <w:proofErr w:type="spellEnd"/>
            <w:r w:rsidRPr="009907F8">
              <w:rPr>
                <w:iCs/>
                <w:sz w:val="24"/>
                <w:szCs w:val="24"/>
                <w:lang w:eastAsia="en-US"/>
              </w:rPr>
              <w:t xml:space="preserve"> common:</w:t>
            </w:r>
          </w:p>
        </w:tc>
        <w:tc>
          <w:tcPr>
            <w:tcW w:w="3477" w:type="pct"/>
            <w:tcBorders>
              <w:top w:val="single" w:sz="4" w:space="0" w:color="000000"/>
              <w:left w:val="single" w:sz="4" w:space="0" w:color="000000"/>
              <w:bottom w:val="single" w:sz="4" w:space="0" w:color="000000"/>
              <w:right w:val="single" w:sz="4" w:space="0" w:color="000000"/>
            </w:tcBorders>
            <w:hideMark/>
          </w:tcPr>
          <w:p w14:paraId="53E5DF29"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Headache</w:t>
            </w:r>
            <w:proofErr w:type="spellEnd"/>
          </w:p>
        </w:tc>
      </w:tr>
      <w:tr w:rsidR="00862A88" w:rsidRPr="009907F8" w14:paraId="0252EC81" w14:textId="77777777" w:rsidTr="006F268E">
        <w:trPr>
          <w:trHeight w:val="506"/>
        </w:trPr>
        <w:tc>
          <w:tcPr>
            <w:tcW w:w="1523" w:type="pct"/>
            <w:tcBorders>
              <w:top w:val="single" w:sz="4" w:space="0" w:color="000000"/>
              <w:left w:val="single" w:sz="4" w:space="0" w:color="000000"/>
              <w:bottom w:val="single" w:sz="4" w:space="0" w:color="000000"/>
              <w:right w:val="single" w:sz="4" w:space="0" w:color="000000"/>
            </w:tcBorders>
            <w:hideMark/>
          </w:tcPr>
          <w:p w14:paraId="3C0736C2"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7BCC86DE"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Dizziness</w:t>
            </w:r>
            <w:proofErr w:type="spellEnd"/>
          </w:p>
          <w:p w14:paraId="705EDD0B"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Migraine</w:t>
            </w:r>
            <w:proofErr w:type="spellEnd"/>
          </w:p>
        </w:tc>
      </w:tr>
      <w:tr w:rsidR="00862A88" w:rsidRPr="009907F8" w14:paraId="2F3FF931" w14:textId="77777777" w:rsidTr="006F268E">
        <w:trPr>
          <w:trHeight w:val="253"/>
        </w:trPr>
        <w:tc>
          <w:tcPr>
            <w:tcW w:w="1523" w:type="pct"/>
            <w:tcBorders>
              <w:top w:val="single" w:sz="4" w:space="0" w:color="000000"/>
              <w:left w:val="single" w:sz="4" w:space="0" w:color="000000"/>
              <w:bottom w:val="single" w:sz="4" w:space="0" w:color="000000"/>
              <w:right w:val="single" w:sz="4" w:space="0" w:color="000000"/>
            </w:tcBorders>
            <w:hideMark/>
          </w:tcPr>
          <w:p w14:paraId="4247CDEE"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Uncommon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57B3FEBA"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Seizure</w:t>
            </w:r>
            <w:proofErr w:type="spellEnd"/>
          </w:p>
        </w:tc>
      </w:tr>
      <w:tr w:rsidR="00862A88" w:rsidRPr="00A74CF9" w14:paraId="1FC43FD3" w14:textId="77777777" w:rsidTr="006F268E">
        <w:trPr>
          <w:trHeight w:val="251"/>
        </w:trPr>
        <w:tc>
          <w:tcPr>
            <w:tcW w:w="1523" w:type="pct"/>
            <w:tcBorders>
              <w:top w:val="single" w:sz="4" w:space="0" w:color="000000"/>
              <w:left w:val="single" w:sz="4" w:space="0" w:color="000000"/>
              <w:bottom w:val="single" w:sz="4" w:space="0" w:color="000000"/>
              <w:right w:val="single" w:sz="4" w:space="0" w:color="000000"/>
            </w:tcBorders>
            <w:hideMark/>
          </w:tcPr>
          <w:p w14:paraId="44479B8D"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Rare:</w:t>
            </w:r>
          </w:p>
        </w:tc>
        <w:tc>
          <w:tcPr>
            <w:tcW w:w="3477" w:type="pct"/>
            <w:tcBorders>
              <w:top w:val="single" w:sz="4" w:space="0" w:color="000000"/>
              <w:left w:val="single" w:sz="4" w:space="0" w:color="000000"/>
              <w:bottom w:val="single" w:sz="4" w:space="0" w:color="000000"/>
              <w:right w:val="single" w:sz="4" w:space="0" w:color="000000"/>
            </w:tcBorders>
            <w:hideMark/>
          </w:tcPr>
          <w:p w14:paraId="0A274665" w14:textId="77777777" w:rsidR="00862A88" w:rsidRPr="009907F8" w:rsidRDefault="00862A88">
            <w:pPr>
              <w:widowControl w:val="0"/>
              <w:tabs>
                <w:tab w:val="left" w:pos="567"/>
              </w:tabs>
              <w:spacing w:line="256" w:lineRule="auto"/>
              <w:ind w:left="140"/>
              <w:rPr>
                <w:iCs/>
                <w:sz w:val="24"/>
                <w:szCs w:val="24"/>
                <w:lang w:val="en-US" w:eastAsia="en-US"/>
              </w:rPr>
            </w:pPr>
            <w:r w:rsidRPr="009907F8">
              <w:rPr>
                <w:iCs/>
                <w:sz w:val="24"/>
                <w:szCs w:val="24"/>
                <w:lang w:val="en-US" w:eastAsia="en-US"/>
              </w:rPr>
              <w:t>Posterior reversible encephalopathy syndrome (PRES)*</w:t>
            </w:r>
          </w:p>
        </w:tc>
      </w:tr>
      <w:tr w:rsidR="00862A88" w:rsidRPr="00A74CF9" w14:paraId="3E6AFCAE" w14:textId="77777777" w:rsidTr="006F268E">
        <w:trPr>
          <w:trHeight w:val="253"/>
        </w:trPr>
        <w:tc>
          <w:tcPr>
            <w:tcW w:w="1523" w:type="pct"/>
            <w:tcBorders>
              <w:top w:val="single" w:sz="4" w:space="0" w:color="000000"/>
              <w:left w:val="single" w:sz="4" w:space="0" w:color="000000"/>
              <w:bottom w:val="single" w:sz="4" w:space="0" w:color="000000"/>
              <w:right w:val="single" w:sz="4" w:space="0" w:color="000000"/>
            </w:tcBorders>
            <w:hideMark/>
          </w:tcPr>
          <w:p w14:paraId="46D13ECB"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Not </w:t>
            </w:r>
            <w:proofErr w:type="spellStart"/>
            <w:r w:rsidRPr="009907F8">
              <w:rPr>
                <w:iCs/>
                <w:sz w:val="24"/>
                <w:szCs w:val="24"/>
                <w:lang w:eastAsia="en-US"/>
              </w:rPr>
              <w:t>known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6462D3FA" w14:textId="77777777" w:rsidR="00862A88" w:rsidRPr="009907F8" w:rsidRDefault="00862A88">
            <w:pPr>
              <w:widowControl w:val="0"/>
              <w:tabs>
                <w:tab w:val="left" w:pos="567"/>
              </w:tabs>
              <w:spacing w:line="256" w:lineRule="auto"/>
              <w:ind w:left="140"/>
              <w:rPr>
                <w:iCs/>
                <w:sz w:val="24"/>
                <w:szCs w:val="24"/>
                <w:lang w:val="en-US" w:eastAsia="en-US"/>
              </w:rPr>
            </w:pPr>
            <w:r w:rsidRPr="009907F8">
              <w:rPr>
                <w:iCs/>
                <w:sz w:val="24"/>
                <w:szCs w:val="24"/>
                <w:lang w:val="en-US" w:eastAsia="en-US"/>
              </w:rPr>
              <w:t>Severe exacerbation of disease after fingolimod discontinuation***</w:t>
            </w:r>
          </w:p>
        </w:tc>
      </w:tr>
      <w:tr w:rsidR="00862A88" w:rsidRPr="009907F8" w14:paraId="412D7C3D" w14:textId="77777777" w:rsidTr="006F268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296C7767" w14:textId="77777777" w:rsidR="00862A88" w:rsidRPr="009907F8" w:rsidRDefault="00862A88">
            <w:pPr>
              <w:widowControl w:val="0"/>
              <w:tabs>
                <w:tab w:val="left" w:pos="567"/>
              </w:tabs>
              <w:spacing w:line="256" w:lineRule="auto"/>
              <w:ind w:left="140"/>
              <w:rPr>
                <w:b/>
                <w:bCs/>
                <w:iCs/>
                <w:sz w:val="24"/>
                <w:szCs w:val="24"/>
                <w:lang w:eastAsia="en-US"/>
              </w:rPr>
            </w:pPr>
            <w:r w:rsidRPr="009907F8">
              <w:rPr>
                <w:b/>
                <w:bCs/>
                <w:iCs/>
                <w:sz w:val="24"/>
                <w:szCs w:val="24"/>
                <w:lang w:eastAsia="en-US"/>
              </w:rPr>
              <w:t xml:space="preserve">Eye </w:t>
            </w:r>
            <w:proofErr w:type="spellStart"/>
            <w:r w:rsidRPr="009907F8">
              <w:rPr>
                <w:b/>
                <w:bCs/>
                <w:iCs/>
                <w:sz w:val="24"/>
                <w:szCs w:val="24"/>
                <w:lang w:eastAsia="en-US"/>
              </w:rPr>
              <w:t>disorders</w:t>
            </w:r>
            <w:proofErr w:type="spellEnd"/>
          </w:p>
        </w:tc>
      </w:tr>
      <w:tr w:rsidR="00862A88" w:rsidRPr="009907F8" w14:paraId="64E4DB31" w14:textId="77777777" w:rsidTr="006F268E">
        <w:trPr>
          <w:trHeight w:val="253"/>
        </w:trPr>
        <w:tc>
          <w:tcPr>
            <w:tcW w:w="1523" w:type="pct"/>
            <w:tcBorders>
              <w:top w:val="single" w:sz="4" w:space="0" w:color="000000"/>
              <w:left w:val="single" w:sz="4" w:space="0" w:color="000000"/>
              <w:bottom w:val="single" w:sz="4" w:space="0" w:color="000000"/>
              <w:right w:val="single" w:sz="4" w:space="0" w:color="000000"/>
            </w:tcBorders>
            <w:hideMark/>
          </w:tcPr>
          <w:p w14:paraId="0904177D"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7D05DC64"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Vision </w:t>
            </w:r>
            <w:proofErr w:type="spellStart"/>
            <w:r w:rsidRPr="009907F8">
              <w:rPr>
                <w:iCs/>
                <w:sz w:val="24"/>
                <w:szCs w:val="24"/>
                <w:lang w:eastAsia="en-US"/>
              </w:rPr>
              <w:t>blurred</w:t>
            </w:r>
            <w:proofErr w:type="spellEnd"/>
          </w:p>
        </w:tc>
      </w:tr>
      <w:tr w:rsidR="00862A88" w:rsidRPr="009907F8" w14:paraId="4F9EAC0E" w14:textId="77777777" w:rsidTr="006F268E">
        <w:trPr>
          <w:trHeight w:val="251"/>
        </w:trPr>
        <w:tc>
          <w:tcPr>
            <w:tcW w:w="1523" w:type="pct"/>
            <w:tcBorders>
              <w:top w:val="single" w:sz="4" w:space="0" w:color="000000"/>
              <w:left w:val="single" w:sz="4" w:space="0" w:color="000000"/>
              <w:bottom w:val="single" w:sz="4" w:space="0" w:color="000000"/>
              <w:right w:val="single" w:sz="4" w:space="0" w:color="000000"/>
            </w:tcBorders>
            <w:hideMark/>
          </w:tcPr>
          <w:p w14:paraId="3AB9D22C"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Uncommon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05C0C6FE"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Macular</w:t>
            </w:r>
            <w:proofErr w:type="spellEnd"/>
            <w:r w:rsidRPr="009907F8">
              <w:rPr>
                <w:iCs/>
                <w:sz w:val="24"/>
                <w:szCs w:val="24"/>
                <w:lang w:eastAsia="en-US"/>
              </w:rPr>
              <w:t xml:space="preserve"> </w:t>
            </w:r>
            <w:proofErr w:type="spellStart"/>
            <w:r w:rsidRPr="009907F8">
              <w:rPr>
                <w:iCs/>
                <w:sz w:val="24"/>
                <w:szCs w:val="24"/>
                <w:lang w:eastAsia="en-US"/>
              </w:rPr>
              <w:t>oedema</w:t>
            </w:r>
            <w:proofErr w:type="spellEnd"/>
          </w:p>
        </w:tc>
      </w:tr>
      <w:tr w:rsidR="00862A88" w:rsidRPr="009907F8" w14:paraId="24016CEF" w14:textId="77777777" w:rsidTr="006F268E">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153B6E41" w14:textId="77777777" w:rsidR="00862A88" w:rsidRPr="009907F8" w:rsidRDefault="00862A88">
            <w:pPr>
              <w:widowControl w:val="0"/>
              <w:tabs>
                <w:tab w:val="left" w:pos="567"/>
              </w:tabs>
              <w:spacing w:line="256" w:lineRule="auto"/>
              <w:ind w:left="140"/>
              <w:rPr>
                <w:b/>
                <w:bCs/>
                <w:iCs/>
                <w:sz w:val="24"/>
                <w:szCs w:val="24"/>
                <w:lang w:eastAsia="en-US"/>
              </w:rPr>
            </w:pPr>
            <w:proofErr w:type="spellStart"/>
            <w:r w:rsidRPr="009907F8">
              <w:rPr>
                <w:b/>
                <w:bCs/>
                <w:iCs/>
                <w:sz w:val="24"/>
                <w:szCs w:val="24"/>
                <w:lang w:eastAsia="en-US"/>
              </w:rPr>
              <w:t>Cardiac</w:t>
            </w:r>
            <w:proofErr w:type="spellEnd"/>
            <w:r w:rsidRPr="009907F8">
              <w:rPr>
                <w:b/>
                <w:bCs/>
                <w:iCs/>
                <w:sz w:val="24"/>
                <w:szCs w:val="24"/>
                <w:lang w:eastAsia="en-US"/>
              </w:rPr>
              <w:t xml:space="preserve"> </w:t>
            </w:r>
            <w:proofErr w:type="spellStart"/>
            <w:r w:rsidRPr="009907F8">
              <w:rPr>
                <w:b/>
                <w:bCs/>
                <w:iCs/>
                <w:sz w:val="24"/>
                <w:szCs w:val="24"/>
                <w:lang w:eastAsia="en-US"/>
              </w:rPr>
              <w:t>disorders</w:t>
            </w:r>
            <w:proofErr w:type="spellEnd"/>
          </w:p>
        </w:tc>
      </w:tr>
      <w:tr w:rsidR="00862A88" w:rsidRPr="009907F8" w14:paraId="31555842" w14:textId="77777777" w:rsidTr="006F268E">
        <w:trPr>
          <w:trHeight w:val="506"/>
        </w:trPr>
        <w:tc>
          <w:tcPr>
            <w:tcW w:w="1523" w:type="pct"/>
            <w:tcBorders>
              <w:top w:val="single" w:sz="4" w:space="0" w:color="000000"/>
              <w:left w:val="single" w:sz="4" w:space="0" w:color="000000"/>
              <w:bottom w:val="single" w:sz="4" w:space="0" w:color="000000"/>
              <w:right w:val="single" w:sz="4" w:space="0" w:color="000000"/>
            </w:tcBorders>
            <w:hideMark/>
          </w:tcPr>
          <w:p w14:paraId="65BCE4F0"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1AA7BC68"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Bradycardia</w:t>
            </w:r>
            <w:proofErr w:type="spellEnd"/>
          </w:p>
          <w:p w14:paraId="2FF3A6DE"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Atrioventricular</w:t>
            </w:r>
            <w:proofErr w:type="spellEnd"/>
            <w:r w:rsidRPr="009907F8">
              <w:rPr>
                <w:iCs/>
                <w:sz w:val="24"/>
                <w:szCs w:val="24"/>
                <w:lang w:eastAsia="en-US"/>
              </w:rPr>
              <w:t xml:space="preserve"> </w:t>
            </w:r>
            <w:proofErr w:type="spellStart"/>
            <w:r w:rsidRPr="009907F8">
              <w:rPr>
                <w:iCs/>
                <w:sz w:val="24"/>
                <w:szCs w:val="24"/>
                <w:lang w:eastAsia="en-US"/>
              </w:rPr>
              <w:t>block</w:t>
            </w:r>
            <w:proofErr w:type="spellEnd"/>
          </w:p>
        </w:tc>
      </w:tr>
      <w:tr w:rsidR="00862A88" w:rsidRPr="009907F8" w14:paraId="56246B4B" w14:textId="77777777" w:rsidTr="006F268E">
        <w:trPr>
          <w:trHeight w:val="254"/>
        </w:trPr>
        <w:tc>
          <w:tcPr>
            <w:tcW w:w="1523" w:type="pct"/>
            <w:tcBorders>
              <w:top w:val="single" w:sz="4" w:space="0" w:color="000000"/>
              <w:left w:val="single" w:sz="4" w:space="0" w:color="000000"/>
              <w:bottom w:val="single" w:sz="4" w:space="0" w:color="000000"/>
              <w:right w:val="single" w:sz="4" w:space="0" w:color="000000"/>
            </w:tcBorders>
            <w:hideMark/>
          </w:tcPr>
          <w:p w14:paraId="3227AC00"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Very</w:t>
            </w:r>
            <w:proofErr w:type="spellEnd"/>
            <w:r w:rsidRPr="009907F8">
              <w:rPr>
                <w:iCs/>
                <w:sz w:val="24"/>
                <w:szCs w:val="24"/>
                <w:lang w:eastAsia="en-US"/>
              </w:rPr>
              <w:t xml:space="preserve"> rare:</w:t>
            </w:r>
          </w:p>
        </w:tc>
        <w:tc>
          <w:tcPr>
            <w:tcW w:w="3477" w:type="pct"/>
            <w:tcBorders>
              <w:top w:val="single" w:sz="4" w:space="0" w:color="000000"/>
              <w:left w:val="single" w:sz="4" w:space="0" w:color="000000"/>
              <w:bottom w:val="single" w:sz="4" w:space="0" w:color="000000"/>
              <w:right w:val="single" w:sz="4" w:space="0" w:color="000000"/>
            </w:tcBorders>
            <w:hideMark/>
          </w:tcPr>
          <w:p w14:paraId="36FE558A"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T-</w:t>
            </w:r>
            <w:proofErr w:type="spellStart"/>
            <w:r w:rsidRPr="009907F8">
              <w:rPr>
                <w:iCs/>
                <w:sz w:val="24"/>
                <w:szCs w:val="24"/>
                <w:lang w:eastAsia="en-US"/>
              </w:rPr>
              <w:t>wave</w:t>
            </w:r>
            <w:proofErr w:type="spellEnd"/>
            <w:r w:rsidRPr="009907F8">
              <w:rPr>
                <w:iCs/>
                <w:sz w:val="24"/>
                <w:szCs w:val="24"/>
                <w:lang w:eastAsia="en-US"/>
              </w:rPr>
              <w:t xml:space="preserve"> inversion***</w:t>
            </w:r>
          </w:p>
        </w:tc>
      </w:tr>
      <w:tr w:rsidR="00862A88" w:rsidRPr="009907F8" w14:paraId="63389FFD" w14:textId="77777777" w:rsidTr="006F268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4E35061F" w14:textId="77777777" w:rsidR="00862A88" w:rsidRPr="009907F8" w:rsidRDefault="00862A88">
            <w:pPr>
              <w:widowControl w:val="0"/>
              <w:tabs>
                <w:tab w:val="left" w:pos="567"/>
              </w:tabs>
              <w:spacing w:line="256" w:lineRule="auto"/>
              <w:ind w:left="140"/>
              <w:rPr>
                <w:b/>
                <w:bCs/>
                <w:iCs/>
                <w:sz w:val="24"/>
                <w:szCs w:val="24"/>
                <w:lang w:eastAsia="en-US"/>
              </w:rPr>
            </w:pPr>
            <w:proofErr w:type="spellStart"/>
            <w:r w:rsidRPr="009907F8">
              <w:rPr>
                <w:b/>
                <w:bCs/>
                <w:iCs/>
                <w:sz w:val="24"/>
                <w:szCs w:val="24"/>
                <w:lang w:eastAsia="en-US"/>
              </w:rPr>
              <w:t>Vascular</w:t>
            </w:r>
            <w:proofErr w:type="spellEnd"/>
            <w:r w:rsidRPr="009907F8">
              <w:rPr>
                <w:b/>
                <w:bCs/>
                <w:iCs/>
                <w:sz w:val="24"/>
                <w:szCs w:val="24"/>
                <w:lang w:eastAsia="en-US"/>
              </w:rPr>
              <w:t xml:space="preserve"> </w:t>
            </w:r>
            <w:proofErr w:type="spellStart"/>
            <w:r w:rsidRPr="009907F8">
              <w:rPr>
                <w:b/>
                <w:bCs/>
                <w:iCs/>
                <w:sz w:val="24"/>
                <w:szCs w:val="24"/>
                <w:lang w:eastAsia="en-US"/>
              </w:rPr>
              <w:t>disorders</w:t>
            </w:r>
            <w:proofErr w:type="spellEnd"/>
          </w:p>
        </w:tc>
      </w:tr>
      <w:tr w:rsidR="00862A88" w:rsidRPr="009907F8" w14:paraId="30C819A0" w14:textId="77777777" w:rsidTr="006F268E">
        <w:trPr>
          <w:trHeight w:val="254"/>
        </w:trPr>
        <w:tc>
          <w:tcPr>
            <w:tcW w:w="1523" w:type="pct"/>
            <w:tcBorders>
              <w:top w:val="single" w:sz="4" w:space="0" w:color="000000"/>
              <w:left w:val="single" w:sz="4" w:space="0" w:color="000000"/>
              <w:bottom w:val="single" w:sz="4" w:space="0" w:color="000000"/>
              <w:right w:val="single" w:sz="4" w:space="0" w:color="000000"/>
            </w:tcBorders>
            <w:hideMark/>
          </w:tcPr>
          <w:p w14:paraId="0E5E86C1"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5B64456C"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Hypertension</w:t>
            </w:r>
          </w:p>
        </w:tc>
      </w:tr>
      <w:tr w:rsidR="00862A88" w:rsidRPr="00A74CF9" w14:paraId="1BB79173" w14:textId="77777777" w:rsidTr="006F268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078BDD5B" w14:textId="77777777" w:rsidR="00862A88" w:rsidRPr="009907F8" w:rsidRDefault="00862A88">
            <w:pPr>
              <w:widowControl w:val="0"/>
              <w:tabs>
                <w:tab w:val="left" w:pos="567"/>
              </w:tabs>
              <w:spacing w:line="256" w:lineRule="auto"/>
              <w:ind w:left="140"/>
              <w:rPr>
                <w:b/>
                <w:bCs/>
                <w:iCs/>
                <w:sz w:val="24"/>
                <w:szCs w:val="24"/>
                <w:lang w:val="en-US" w:eastAsia="en-US"/>
              </w:rPr>
            </w:pPr>
            <w:r w:rsidRPr="009907F8">
              <w:rPr>
                <w:b/>
                <w:bCs/>
                <w:iCs/>
                <w:sz w:val="24"/>
                <w:szCs w:val="24"/>
                <w:lang w:val="en-US" w:eastAsia="en-US"/>
              </w:rPr>
              <w:t>Respiratory, thoracic and mediastinal disorders</w:t>
            </w:r>
          </w:p>
        </w:tc>
      </w:tr>
      <w:tr w:rsidR="00862A88" w:rsidRPr="009907F8" w14:paraId="53467B3B" w14:textId="77777777" w:rsidTr="006F268E">
        <w:trPr>
          <w:trHeight w:val="253"/>
        </w:trPr>
        <w:tc>
          <w:tcPr>
            <w:tcW w:w="1523" w:type="pct"/>
            <w:tcBorders>
              <w:top w:val="single" w:sz="4" w:space="0" w:color="000000"/>
              <w:left w:val="single" w:sz="4" w:space="0" w:color="000000"/>
              <w:bottom w:val="single" w:sz="4" w:space="0" w:color="000000"/>
              <w:right w:val="single" w:sz="4" w:space="0" w:color="000000"/>
            </w:tcBorders>
            <w:hideMark/>
          </w:tcPr>
          <w:p w14:paraId="6C53B4C1"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Very</w:t>
            </w:r>
            <w:proofErr w:type="spellEnd"/>
            <w:r w:rsidRPr="009907F8">
              <w:rPr>
                <w:iCs/>
                <w:sz w:val="24"/>
                <w:szCs w:val="24"/>
                <w:lang w:eastAsia="en-US"/>
              </w:rPr>
              <w:t xml:space="preserve"> common:</w:t>
            </w:r>
          </w:p>
        </w:tc>
        <w:tc>
          <w:tcPr>
            <w:tcW w:w="3477" w:type="pct"/>
            <w:tcBorders>
              <w:top w:val="single" w:sz="4" w:space="0" w:color="000000"/>
              <w:left w:val="single" w:sz="4" w:space="0" w:color="000000"/>
              <w:bottom w:val="single" w:sz="4" w:space="0" w:color="000000"/>
              <w:right w:val="single" w:sz="4" w:space="0" w:color="000000"/>
            </w:tcBorders>
            <w:hideMark/>
          </w:tcPr>
          <w:p w14:paraId="624A30FE"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Cough</w:t>
            </w:r>
            <w:proofErr w:type="spellEnd"/>
          </w:p>
        </w:tc>
      </w:tr>
      <w:tr w:rsidR="00862A88" w:rsidRPr="009907F8" w14:paraId="409D1FCA" w14:textId="77777777" w:rsidTr="006F268E">
        <w:trPr>
          <w:trHeight w:val="251"/>
        </w:trPr>
        <w:tc>
          <w:tcPr>
            <w:tcW w:w="1523" w:type="pct"/>
            <w:tcBorders>
              <w:top w:val="single" w:sz="4" w:space="0" w:color="000000"/>
              <w:left w:val="single" w:sz="4" w:space="0" w:color="000000"/>
              <w:bottom w:val="single" w:sz="4" w:space="0" w:color="000000"/>
              <w:right w:val="single" w:sz="4" w:space="0" w:color="000000"/>
            </w:tcBorders>
            <w:hideMark/>
          </w:tcPr>
          <w:p w14:paraId="51F2630B"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5ACE8A51"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Dyspnoea</w:t>
            </w:r>
            <w:proofErr w:type="spellEnd"/>
          </w:p>
        </w:tc>
      </w:tr>
      <w:tr w:rsidR="00862A88" w:rsidRPr="009907F8" w14:paraId="3CF03280" w14:textId="77777777" w:rsidTr="006F268E">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66D96478" w14:textId="77777777" w:rsidR="00862A88" w:rsidRPr="009907F8" w:rsidRDefault="00862A88">
            <w:pPr>
              <w:widowControl w:val="0"/>
              <w:tabs>
                <w:tab w:val="left" w:pos="567"/>
              </w:tabs>
              <w:spacing w:line="256" w:lineRule="auto"/>
              <w:ind w:left="140"/>
              <w:rPr>
                <w:b/>
                <w:bCs/>
                <w:iCs/>
                <w:sz w:val="24"/>
                <w:szCs w:val="24"/>
                <w:lang w:eastAsia="en-US"/>
              </w:rPr>
            </w:pPr>
            <w:proofErr w:type="spellStart"/>
            <w:r w:rsidRPr="009907F8">
              <w:rPr>
                <w:b/>
                <w:bCs/>
                <w:iCs/>
                <w:sz w:val="24"/>
                <w:szCs w:val="24"/>
                <w:lang w:eastAsia="en-US"/>
              </w:rPr>
              <w:t>Gastrointestinal</w:t>
            </w:r>
            <w:proofErr w:type="spellEnd"/>
            <w:r w:rsidRPr="009907F8">
              <w:rPr>
                <w:b/>
                <w:bCs/>
                <w:iCs/>
                <w:sz w:val="24"/>
                <w:szCs w:val="24"/>
                <w:lang w:eastAsia="en-US"/>
              </w:rPr>
              <w:t xml:space="preserve"> </w:t>
            </w:r>
            <w:proofErr w:type="spellStart"/>
            <w:r w:rsidRPr="009907F8">
              <w:rPr>
                <w:b/>
                <w:bCs/>
                <w:iCs/>
                <w:sz w:val="24"/>
                <w:szCs w:val="24"/>
                <w:lang w:eastAsia="en-US"/>
              </w:rPr>
              <w:t>disorders</w:t>
            </w:r>
            <w:proofErr w:type="spellEnd"/>
          </w:p>
        </w:tc>
      </w:tr>
      <w:tr w:rsidR="00862A88" w:rsidRPr="009907F8" w14:paraId="10CBAB4E" w14:textId="77777777" w:rsidTr="006F268E">
        <w:trPr>
          <w:trHeight w:val="254"/>
        </w:trPr>
        <w:tc>
          <w:tcPr>
            <w:tcW w:w="1523" w:type="pct"/>
            <w:tcBorders>
              <w:top w:val="single" w:sz="4" w:space="0" w:color="000000"/>
              <w:left w:val="single" w:sz="4" w:space="0" w:color="000000"/>
              <w:bottom w:val="single" w:sz="4" w:space="0" w:color="000000"/>
              <w:right w:val="single" w:sz="4" w:space="0" w:color="000000"/>
            </w:tcBorders>
            <w:hideMark/>
          </w:tcPr>
          <w:p w14:paraId="65CE2958"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Very</w:t>
            </w:r>
            <w:proofErr w:type="spellEnd"/>
            <w:r w:rsidRPr="009907F8">
              <w:rPr>
                <w:iCs/>
                <w:sz w:val="24"/>
                <w:szCs w:val="24"/>
                <w:lang w:eastAsia="en-US"/>
              </w:rPr>
              <w:t xml:space="preserve"> common:</w:t>
            </w:r>
          </w:p>
        </w:tc>
        <w:tc>
          <w:tcPr>
            <w:tcW w:w="3477" w:type="pct"/>
            <w:tcBorders>
              <w:top w:val="single" w:sz="4" w:space="0" w:color="000000"/>
              <w:left w:val="single" w:sz="4" w:space="0" w:color="000000"/>
              <w:bottom w:val="single" w:sz="4" w:space="0" w:color="000000"/>
              <w:right w:val="single" w:sz="4" w:space="0" w:color="000000"/>
            </w:tcBorders>
            <w:hideMark/>
          </w:tcPr>
          <w:p w14:paraId="311514CC"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Diarrhoea</w:t>
            </w:r>
            <w:proofErr w:type="spellEnd"/>
          </w:p>
        </w:tc>
      </w:tr>
      <w:tr w:rsidR="00862A88" w:rsidRPr="009907F8" w14:paraId="686B16D9" w14:textId="77777777" w:rsidTr="006F268E">
        <w:trPr>
          <w:trHeight w:val="251"/>
        </w:trPr>
        <w:tc>
          <w:tcPr>
            <w:tcW w:w="1523" w:type="pct"/>
            <w:tcBorders>
              <w:top w:val="single" w:sz="4" w:space="0" w:color="000000"/>
              <w:left w:val="single" w:sz="4" w:space="0" w:color="000000"/>
              <w:bottom w:val="single" w:sz="4" w:space="0" w:color="000000"/>
              <w:right w:val="single" w:sz="4" w:space="0" w:color="000000"/>
            </w:tcBorders>
            <w:hideMark/>
          </w:tcPr>
          <w:p w14:paraId="707796F7"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Uncommon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36E77472"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Nausea</w:t>
            </w:r>
            <w:proofErr w:type="spellEnd"/>
            <w:r w:rsidRPr="009907F8">
              <w:rPr>
                <w:iCs/>
                <w:sz w:val="24"/>
                <w:szCs w:val="24"/>
                <w:lang w:eastAsia="en-US"/>
              </w:rPr>
              <w:t>***</w:t>
            </w:r>
          </w:p>
        </w:tc>
      </w:tr>
      <w:tr w:rsidR="00862A88" w:rsidRPr="009907F8" w14:paraId="2ED082AA" w14:textId="77777777" w:rsidTr="006F268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6F587013" w14:textId="77777777" w:rsidR="00862A88" w:rsidRPr="009907F8" w:rsidRDefault="00862A88">
            <w:pPr>
              <w:widowControl w:val="0"/>
              <w:tabs>
                <w:tab w:val="left" w:pos="567"/>
              </w:tabs>
              <w:spacing w:line="256" w:lineRule="auto"/>
              <w:ind w:left="140"/>
              <w:rPr>
                <w:b/>
                <w:iCs/>
                <w:sz w:val="24"/>
                <w:szCs w:val="24"/>
                <w:lang w:eastAsia="en-US"/>
              </w:rPr>
            </w:pPr>
            <w:proofErr w:type="spellStart"/>
            <w:r w:rsidRPr="009907F8">
              <w:rPr>
                <w:b/>
                <w:iCs/>
                <w:sz w:val="24"/>
                <w:szCs w:val="24"/>
                <w:lang w:eastAsia="en-US"/>
              </w:rPr>
              <w:t>Hepatobiliary</w:t>
            </w:r>
            <w:proofErr w:type="spellEnd"/>
            <w:r w:rsidRPr="009907F8">
              <w:rPr>
                <w:b/>
                <w:iCs/>
                <w:sz w:val="24"/>
                <w:szCs w:val="24"/>
                <w:lang w:eastAsia="en-US"/>
              </w:rPr>
              <w:t xml:space="preserve"> </w:t>
            </w:r>
            <w:proofErr w:type="spellStart"/>
            <w:r w:rsidRPr="009907F8">
              <w:rPr>
                <w:b/>
                <w:iCs/>
                <w:sz w:val="24"/>
                <w:szCs w:val="24"/>
                <w:lang w:eastAsia="en-US"/>
              </w:rPr>
              <w:t>disorders</w:t>
            </w:r>
            <w:proofErr w:type="spellEnd"/>
          </w:p>
        </w:tc>
      </w:tr>
      <w:tr w:rsidR="00862A88" w:rsidRPr="009907F8" w14:paraId="43417995" w14:textId="77777777" w:rsidTr="006F268E">
        <w:trPr>
          <w:trHeight w:val="251"/>
        </w:trPr>
        <w:tc>
          <w:tcPr>
            <w:tcW w:w="1523" w:type="pct"/>
            <w:tcBorders>
              <w:top w:val="single" w:sz="4" w:space="0" w:color="000000"/>
              <w:left w:val="single" w:sz="4" w:space="0" w:color="000000"/>
              <w:bottom w:val="single" w:sz="4" w:space="0" w:color="000000"/>
              <w:right w:val="single" w:sz="4" w:space="0" w:color="000000"/>
            </w:tcBorders>
            <w:hideMark/>
          </w:tcPr>
          <w:p w14:paraId="10316DAE"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Not </w:t>
            </w:r>
            <w:proofErr w:type="spellStart"/>
            <w:r w:rsidRPr="009907F8">
              <w:rPr>
                <w:iCs/>
                <w:sz w:val="24"/>
                <w:szCs w:val="24"/>
                <w:lang w:eastAsia="en-US"/>
              </w:rPr>
              <w:t>known</w:t>
            </w:r>
            <w:proofErr w:type="spellEnd"/>
          </w:p>
        </w:tc>
        <w:tc>
          <w:tcPr>
            <w:tcW w:w="3477" w:type="pct"/>
            <w:tcBorders>
              <w:top w:val="single" w:sz="4" w:space="0" w:color="000000"/>
              <w:left w:val="single" w:sz="4" w:space="0" w:color="000000"/>
              <w:bottom w:val="single" w:sz="4" w:space="0" w:color="000000"/>
              <w:right w:val="single" w:sz="4" w:space="0" w:color="000000"/>
            </w:tcBorders>
            <w:hideMark/>
          </w:tcPr>
          <w:p w14:paraId="53496F59"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Acute</w:t>
            </w:r>
            <w:proofErr w:type="spellEnd"/>
            <w:r w:rsidRPr="009907F8">
              <w:rPr>
                <w:iCs/>
                <w:sz w:val="24"/>
                <w:szCs w:val="24"/>
                <w:lang w:eastAsia="en-US"/>
              </w:rPr>
              <w:t xml:space="preserve"> </w:t>
            </w:r>
            <w:proofErr w:type="spellStart"/>
            <w:r w:rsidRPr="009907F8">
              <w:rPr>
                <w:iCs/>
                <w:sz w:val="24"/>
                <w:szCs w:val="24"/>
                <w:lang w:eastAsia="en-US"/>
              </w:rPr>
              <w:t>hepatic</w:t>
            </w:r>
            <w:proofErr w:type="spellEnd"/>
            <w:r w:rsidRPr="009907F8">
              <w:rPr>
                <w:iCs/>
                <w:sz w:val="24"/>
                <w:szCs w:val="24"/>
                <w:lang w:eastAsia="en-US"/>
              </w:rPr>
              <w:t xml:space="preserve"> </w:t>
            </w:r>
            <w:proofErr w:type="spellStart"/>
            <w:r w:rsidRPr="009907F8">
              <w:rPr>
                <w:iCs/>
                <w:sz w:val="24"/>
                <w:szCs w:val="24"/>
                <w:lang w:eastAsia="en-US"/>
              </w:rPr>
              <w:t>failure</w:t>
            </w:r>
            <w:proofErr w:type="spellEnd"/>
            <w:r w:rsidRPr="009907F8">
              <w:rPr>
                <w:iCs/>
                <w:sz w:val="24"/>
                <w:szCs w:val="24"/>
                <w:lang w:eastAsia="en-US"/>
              </w:rPr>
              <w:t>***</w:t>
            </w:r>
          </w:p>
        </w:tc>
      </w:tr>
      <w:tr w:rsidR="00862A88" w:rsidRPr="00A74CF9" w14:paraId="18BB146B" w14:textId="77777777" w:rsidTr="006F268E">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41E21136" w14:textId="77777777" w:rsidR="00862A88" w:rsidRPr="009907F8" w:rsidRDefault="00862A88">
            <w:pPr>
              <w:widowControl w:val="0"/>
              <w:tabs>
                <w:tab w:val="left" w:pos="567"/>
              </w:tabs>
              <w:spacing w:line="256" w:lineRule="auto"/>
              <w:ind w:left="140"/>
              <w:rPr>
                <w:b/>
                <w:bCs/>
                <w:iCs/>
                <w:sz w:val="24"/>
                <w:szCs w:val="24"/>
                <w:lang w:val="en-US" w:eastAsia="en-US"/>
              </w:rPr>
            </w:pPr>
            <w:r w:rsidRPr="009907F8">
              <w:rPr>
                <w:b/>
                <w:bCs/>
                <w:iCs/>
                <w:sz w:val="24"/>
                <w:szCs w:val="24"/>
                <w:lang w:val="en-US" w:eastAsia="en-US"/>
              </w:rPr>
              <w:t>Skin and subcutaneous tissue disorders</w:t>
            </w:r>
          </w:p>
        </w:tc>
      </w:tr>
      <w:tr w:rsidR="00862A88" w:rsidRPr="009907F8" w14:paraId="2FF40DDC" w14:textId="77777777" w:rsidTr="006F268E">
        <w:trPr>
          <w:trHeight w:val="757"/>
        </w:trPr>
        <w:tc>
          <w:tcPr>
            <w:tcW w:w="1523" w:type="pct"/>
            <w:tcBorders>
              <w:top w:val="single" w:sz="4" w:space="0" w:color="000000"/>
              <w:left w:val="single" w:sz="4" w:space="0" w:color="000000"/>
              <w:bottom w:val="single" w:sz="4" w:space="0" w:color="auto"/>
              <w:right w:val="single" w:sz="4" w:space="0" w:color="000000"/>
            </w:tcBorders>
            <w:hideMark/>
          </w:tcPr>
          <w:p w14:paraId="5C0B1181"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auto"/>
              <w:right w:val="single" w:sz="4" w:space="0" w:color="000000"/>
            </w:tcBorders>
            <w:hideMark/>
          </w:tcPr>
          <w:p w14:paraId="2FAB6A64"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Eczema</w:t>
            </w:r>
            <w:proofErr w:type="spellEnd"/>
            <w:r w:rsidRPr="009907F8">
              <w:rPr>
                <w:iCs/>
                <w:sz w:val="24"/>
                <w:szCs w:val="24"/>
                <w:lang w:eastAsia="en-US"/>
              </w:rPr>
              <w:t xml:space="preserve"> </w:t>
            </w:r>
          </w:p>
          <w:p w14:paraId="5E1D40B7"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Alopecia</w:t>
            </w:r>
            <w:proofErr w:type="spellEnd"/>
          </w:p>
          <w:p w14:paraId="234883C6"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Pruritus</w:t>
            </w:r>
            <w:proofErr w:type="spellEnd"/>
          </w:p>
        </w:tc>
      </w:tr>
      <w:tr w:rsidR="00862A88" w:rsidRPr="00A74CF9" w14:paraId="4CFB444F" w14:textId="77777777" w:rsidTr="006F268E">
        <w:trPr>
          <w:trHeight w:val="277"/>
        </w:trPr>
        <w:tc>
          <w:tcPr>
            <w:tcW w:w="5000" w:type="pct"/>
            <w:gridSpan w:val="2"/>
            <w:tcBorders>
              <w:top w:val="single" w:sz="4" w:space="0" w:color="auto"/>
              <w:left w:val="single" w:sz="4" w:space="0" w:color="auto"/>
              <w:bottom w:val="single" w:sz="4" w:space="0" w:color="auto"/>
              <w:right w:val="single" w:sz="4" w:space="0" w:color="auto"/>
            </w:tcBorders>
            <w:hideMark/>
          </w:tcPr>
          <w:p w14:paraId="40C47CF9" w14:textId="77777777" w:rsidR="00862A88" w:rsidRPr="009907F8" w:rsidRDefault="00862A88">
            <w:pPr>
              <w:widowControl w:val="0"/>
              <w:tabs>
                <w:tab w:val="left" w:pos="567"/>
              </w:tabs>
              <w:spacing w:line="256" w:lineRule="auto"/>
              <w:ind w:left="140"/>
              <w:rPr>
                <w:b/>
                <w:iCs/>
                <w:sz w:val="24"/>
                <w:szCs w:val="24"/>
                <w:lang w:val="en-US" w:eastAsia="en-US"/>
              </w:rPr>
            </w:pPr>
            <w:r w:rsidRPr="009907F8">
              <w:rPr>
                <w:b/>
                <w:iCs/>
                <w:sz w:val="24"/>
                <w:szCs w:val="24"/>
                <w:lang w:val="en-US" w:eastAsia="en-US"/>
              </w:rPr>
              <w:lastRenderedPageBreak/>
              <w:t>Musculoskeletal and connective tissue disorders</w:t>
            </w:r>
          </w:p>
        </w:tc>
      </w:tr>
      <w:tr w:rsidR="00862A88" w:rsidRPr="009907F8" w14:paraId="52E34100" w14:textId="77777777" w:rsidTr="006F268E">
        <w:trPr>
          <w:trHeight w:val="282"/>
        </w:trPr>
        <w:tc>
          <w:tcPr>
            <w:tcW w:w="1523" w:type="pct"/>
            <w:tcBorders>
              <w:top w:val="single" w:sz="4" w:space="0" w:color="auto"/>
              <w:left w:val="single" w:sz="4" w:space="0" w:color="000000"/>
              <w:bottom w:val="single" w:sz="4" w:space="0" w:color="000000"/>
              <w:right w:val="single" w:sz="4" w:space="0" w:color="000000"/>
            </w:tcBorders>
            <w:hideMark/>
          </w:tcPr>
          <w:p w14:paraId="5E785B19"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Very</w:t>
            </w:r>
            <w:proofErr w:type="spellEnd"/>
            <w:r w:rsidRPr="009907F8">
              <w:rPr>
                <w:iCs/>
                <w:sz w:val="24"/>
                <w:szCs w:val="24"/>
                <w:lang w:eastAsia="en-US"/>
              </w:rPr>
              <w:t xml:space="preserve"> common:</w:t>
            </w:r>
          </w:p>
        </w:tc>
        <w:tc>
          <w:tcPr>
            <w:tcW w:w="3477" w:type="pct"/>
            <w:tcBorders>
              <w:top w:val="single" w:sz="4" w:space="0" w:color="auto"/>
              <w:left w:val="single" w:sz="4" w:space="0" w:color="000000"/>
              <w:bottom w:val="single" w:sz="4" w:space="0" w:color="000000"/>
              <w:right w:val="single" w:sz="4" w:space="0" w:color="000000"/>
            </w:tcBorders>
            <w:hideMark/>
          </w:tcPr>
          <w:p w14:paraId="4A4BA419"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 xml:space="preserve">Back </w:t>
            </w:r>
            <w:proofErr w:type="spellStart"/>
            <w:r w:rsidRPr="009907F8">
              <w:rPr>
                <w:iCs/>
                <w:sz w:val="24"/>
                <w:szCs w:val="24"/>
                <w:lang w:eastAsia="en-US"/>
              </w:rPr>
              <w:t>pain</w:t>
            </w:r>
            <w:proofErr w:type="spellEnd"/>
          </w:p>
        </w:tc>
      </w:tr>
      <w:tr w:rsidR="00862A88" w:rsidRPr="009907F8" w14:paraId="56C34621" w14:textId="77777777" w:rsidTr="006F268E">
        <w:trPr>
          <w:trHeight w:val="413"/>
        </w:trPr>
        <w:tc>
          <w:tcPr>
            <w:tcW w:w="1523" w:type="pct"/>
            <w:tcBorders>
              <w:top w:val="single" w:sz="4" w:space="0" w:color="000000"/>
              <w:left w:val="single" w:sz="4" w:space="0" w:color="000000"/>
              <w:bottom w:val="single" w:sz="4" w:space="0" w:color="000000"/>
              <w:right w:val="single" w:sz="4" w:space="0" w:color="000000"/>
            </w:tcBorders>
            <w:hideMark/>
          </w:tcPr>
          <w:p w14:paraId="734188BE"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3427E8DF"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Myalgia</w:t>
            </w:r>
            <w:proofErr w:type="spellEnd"/>
          </w:p>
          <w:p w14:paraId="7A1D729F"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Arthralgia</w:t>
            </w:r>
            <w:proofErr w:type="spellEnd"/>
          </w:p>
        </w:tc>
      </w:tr>
      <w:tr w:rsidR="00862A88" w:rsidRPr="00A74CF9" w14:paraId="1C23A4E4" w14:textId="77777777" w:rsidTr="006F268E">
        <w:trPr>
          <w:trHeight w:val="321"/>
        </w:trPr>
        <w:tc>
          <w:tcPr>
            <w:tcW w:w="5000" w:type="pct"/>
            <w:gridSpan w:val="2"/>
            <w:tcBorders>
              <w:top w:val="single" w:sz="4" w:space="0" w:color="000000"/>
              <w:left w:val="single" w:sz="4" w:space="0" w:color="000000"/>
              <w:bottom w:val="single" w:sz="4" w:space="0" w:color="000000"/>
              <w:right w:val="single" w:sz="4" w:space="0" w:color="000000"/>
            </w:tcBorders>
            <w:hideMark/>
          </w:tcPr>
          <w:p w14:paraId="1C66504F" w14:textId="77777777" w:rsidR="00862A88" w:rsidRPr="009907F8" w:rsidRDefault="00862A88">
            <w:pPr>
              <w:widowControl w:val="0"/>
              <w:tabs>
                <w:tab w:val="left" w:pos="567"/>
              </w:tabs>
              <w:spacing w:line="256" w:lineRule="auto"/>
              <w:ind w:left="140"/>
              <w:rPr>
                <w:b/>
                <w:iCs/>
                <w:sz w:val="24"/>
                <w:szCs w:val="24"/>
                <w:lang w:val="en-US" w:eastAsia="en-US"/>
              </w:rPr>
            </w:pPr>
            <w:r w:rsidRPr="009907F8">
              <w:rPr>
                <w:b/>
                <w:iCs/>
                <w:sz w:val="24"/>
                <w:szCs w:val="24"/>
                <w:lang w:val="en-US" w:eastAsia="en-US"/>
              </w:rPr>
              <w:t>General disorders and administration site conditions</w:t>
            </w:r>
          </w:p>
        </w:tc>
      </w:tr>
      <w:tr w:rsidR="00862A88" w:rsidRPr="009907F8" w14:paraId="3A0A337A" w14:textId="77777777" w:rsidTr="006F268E">
        <w:trPr>
          <w:trHeight w:val="284"/>
        </w:trPr>
        <w:tc>
          <w:tcPr>
            <w:tcW w:w="1523" w:type="pct"/>
            <w:tcBorders>
              <w:top w:val="single" w:sz="4" w:space="0" w:color="000000"/>
              <w:left w:val="single" w:sz="4" w:space="0" w:color="000000"/>
              <w:bottom w:val="single" w:sz="4" w:space="0" w:color="000000"/>
              <w:right w:val="single" w:sz="4" w:space="0" w:color="000000"/>
            </w:tcBorders>
            <w:hideMark/>
          </w:tcPr>
          <w:p w14:paraId="1E798F87"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3883F992"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Asthenia</w:t>
            </w:r>
            <w:proofErr w:type="spellEnd"/>
          </w:p>
        </w:tc>
      </w:tr>
      <w:tr w:rsidR="00862A88" w:rsidRPr="009907F8" w14:paraId="38401C49" w14:textId="77777777" w:rsidTr="006F268E">
        <w:trPr>
          <w:trHeight w:val="259"/>
        </w:trPr>
        <w:tc>
          <w:tcPr>
            <w:tcW w:w="5000" w:type="pct"/>
            <w:gridSpan w:val="2"/>
            <w:tcBorders>
              <w:top w:val="single" w:sz="4" w:space="0" w:color="000000"/>
              <w:left w:val="single" w:sz="4" w:space="0" w:color="000000"/>
              <w:bottom w:val="single" w:sz="4" w:space="0" w:color="000000"/>
              <w:right w:val="single" w:sz="4" w:space="0" w:color="000000"/>
            </w:tcBorders>
            <w:hideMark/>
          </w:tcPr>
          <w:p w14:paraId="34659634" w14:textId="77777777" w:rsidR="00862A88" w:rsidRPr="009907F8" w:rsidRDefault="00862A88">
            <w:pPr>
              <w:widowControl w:val="0"/>
              <w:tabs>
                <w:tab w:val="left" w:pos="567"/>
              </w:tabs>
              <w:spacing w:line="256" w:lineRule="auto"/>
              <w:ind w:left="140"/>
              <w:rPr>
                <w:b/>
                <w:iCs/>
                <w:sz w:val="24"/>
                <w:szCs w:val="24"/>
                <w:lang w:eastAsia="en-US"/>
              </w:rPr>
            </w:pPr>
            <w:proofErr w:type="spellStart"/>
            <w:r w:rsidRPr="009907F8">
              <w:rPr>
                <w:b/>
                <w:iCs/>
                <w:sz w:val="24"/>
                <w:szCs w:val="24"/>
                <w:lang w:eastAsia="en-US"/>
              </w:rPr>
              <w:t>Investigations</w:t>
            </w:r>
            <w:proofErr w:type="spellEnd"/>
          </w:p>
        </w:tc>
      </w:tr>
      <w:tr w:rsidR="00862A88" w:rsidRPr="009907F8" w14:paraId="5D818CA1" w14:textId="77777777" w:rsidTr="006F268E">
        <w:trPr>
          <w:trHeight w:val="419"/>
        </w:trPr>
        <w:tc>
          <w:tcPr>
            <w:tcW w:w="1523" w:type="pct"/>
            <w:tcBorders>
              <w:top w:val="single" w:sz="4" w:space="0" w:color="000000"/>
              <w:left w:val="single" w:sz="4" w:space="0" w:color="000000"/>
              <w:bottom w:val="single" w:sz="4" w:space="0" w:color="000000"/>
              <w:right w:val="single" w:sz="4" w:space="0" w:color="000000"/>
            </w:tcBorders>
            <w:hideMark/>
          </w:tcPr>
          <w:p w14:paraId="0E89FCBB"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Very</w:t>
            </w:r>
            <w:proofErr w:type="spellEnd"/>
            <w:r w:rsidRPr="009907F8">
              <w:rPr>
                <w:iCs/>
                <w:sz w:val="24"/>
                <w:szCs w:val="24"/>
                <w:lang w:eastAsia="en-US"/>
              </w:rPr>
              <w:t xml:space="preserve"> common:</w:t>
            </w:r>
          </w:p>
        </w:tc>
        <w:tc>
          <w:tcPr>
            <w:tcW w:w="3477" w:type="pct"/>
            <w:tcBorders>
              <w:top w:val="single" w:sz="4" w:space="0" w:color="000000"/>
              <w:left w:val="single" w:sz="4" w:space="0" w:color="000000"/>
              <w:bottom w:val="single" w:sz="4" w:space="0" w:color="000000"/>
              <w:right w:val="single" w:sz="4" w:space="0" w:color="000000"/>
            </w:tcBorders>
            <w:hideMark/>
          </w:tcPr>
          <w:p w14:paraId="5EB14E19" w14:textId="77777777" w:rsidR="00862A88" w:rsidRPr="009907F8" w:rsidRDefault="00862A88">
            <w:pPr>
              <w:widowControl w:val="0"/>
              <w:tabs>
                <w:tab w:val="left" w:pos="567"/>
              </w:tabs>
              <w:spacing w:line="256" w:lineRule="auto"/>
              <w:ind w:left="140"/>
              <w:rPr>
                <w:iCs/>
                <w:sz w:val="24"/>
                <w:szCs w:val="24"/>
                <w:lang w:val="en-US" w:eastAsia="en-US"/>
              </w:rPr>
            </w:pPr>
            <w:r w:rsidRPr="009907F8">
              <w:rPr>
                <w:iCs/>
                <w:sz w:val="24"/>
                <w:szCs w:val="24"/>
                <w:lang w:val="en-US" w:eastAsia="en-US"/>
              </w:rPr>
              <w:t>Hepatic enzyme increased (increased alanine transaminase, gamma</w:t>
            </w:r>
          </w:p>
          <w:p w14:paraId="530E0FD0"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glutamyltransferase</w:t>
            </w:r>
            <w:proofErr w:type="spellEnd"/>
            <w:r w:rsidRPr="009907F8">
              <w:rPr>
                <w:iCs/>
                <w:sz w:val="24"/>
                <w:szCs w:val="24"/>
                <w:lang w:eastAsia="en-US"/>
              </w:rPr>
              <w:t xml:space="preserve">, </w:t>
            </w:r>
            <w:proofErr w:type="spellStart"/>
            <w:r w:rsidRPr="009907F8">
              <w:rPr>
                <w:iCs/>
                <w:sz w:val="24"/>
                <w:szCs w:val="24"/>
                <w:lang w:eastAsia="en-US"/>
              </w:rPr>
              <w:t>aspartate</w:t>
            </w:r>
            <w:proofErr w:type="spellEnd"/>
            <w:r w:rsidRPr="009907F8">
              <w:rPr>
                <w:iCs/>
                <w:sz w:val="24"/>
                <w:szCs w:val="24"/>
                <w:lang w:eastAsia="en-US"/>
              </w:rPr>
              <w:t xml:space="preserve"> </w:t>
            </w:r>
            <w:proofErr w:type="spellStart"/>
            <w:r w:rsidRPr="009907F8">
              <w:rPr>
                <w:iCs/>
                <w:sz w:val="24"/>
                <w:szCs w:val="24"/>
                <w:lang w:eastAsia="en-US"/>
              </w:rPr>
              <w:t>transaminase</w:t>
            </w:r>
            <w:proofErr w:type="spellEnd"/>
            <w:r w:rsidRPr="009907F8">
              <w:rPr>
                <w:iCs/>
                <w:sz w:val="24"/>
                <w:szCs w:val="24"/>
                <w:lang w:eastAsia="en-US"/>
              </w:rPr>
              <w:t>)</w:t>
            </w:r>
          </w:p>
        </w:tc>
      </w:tr>
      <w:tr w:rsidR="00862A88" w:rsidRPr="00A74CF9" w14:paraId="747C3190" w14:textId="77777777" w:rsidTr="006F268E">
        <w:trPr>
          <w:trHeight w:val="186"/>
        </w:trPr>
        <w:tc>
          <w:tcPr>
            <w:tcW w:w="1523" w:type="pct"/>
            <w:tcBorders>
              <w:top w:val="single" w:sz="4" w:space="0" w:color="000000"/>
              <w:left w:val="single" w:sz="4" w:space="0" w:color="000000"/>
              <w:bottom w:val="single" w:sz="4" w:space="0" w:color="000000"/>
              <w:right w:val="single" w:sz="4" w:space="0" w:color="000000"/>
            </w:tcBorders>
            <w:hideMark/>
          </w:tcPr>
          <w:p w14:paraId="4DFCF62C" w14:textId="77777777" w:rsidR="00862A88" w:rsidRPr="009907F8" w:rsidRDefault="00862A88">
            <w:pPr>
              <w:widowControl w:val="0"/>
              <w:tabs>
                <w:tab w:val="left" w:pos="567"/>
              </w:tabs>
              <w:spacing w:line="256" w:lineRule="auto"/>
              <w:ind w:left="140"/>
              <w:rPr>
                <w:iCs/>
                <w:sz w:val="24"/>
                <w:szCs w:val="24"/>
                <w:lang w:eastAsia="en-US"/>
              </w:rPr>
            </w:pPr>
            <w:r w:rsidRPr="009907F8">
              <w:rPr>
                <w:iCs/>
                <w:sz w:val="24"/>
                <w:szCs w:val="24"/>
                <w:lang w:eastAsia="en-US"/>
              </w:rPr>
              <w:t>Common:</w:t>
            </w:r>
          </w:p>
        </w:tc>
        <w:tc>
          <w:tcPr>
            <w:tcW w:w="3477" w:type="pct"/>
            <w:tcBorders>
              <w:top w:val="single" w:sz="4" w:space="0" w:color="000000"/>
              <w:left w:val="single" w:sz="4" w:space="0" w:color="000000"/>
              <w:bottom w:val="single" w:sz="4" w:space="0" w:color="000000"/>
              <w:right w:val="single" w:sz="4" w:space="0" w:color="000000"/>
            </w:tcBorders>
            <w:hideMark/>
          </w:tcPr>
          <w:p w14:paraId="7C7CCF38" w14:textId="77777777" w:rsidR="00862A88" w:rsidRPr="009907F8" w:rsidRDefault="00862A88">
            <w:pPr>
              <w:widowControl w:val="0"/>
              <w:tabs>
                <w:tab w:val="left" w:pos="567"/>
              </w:tabs>
              <w:spacing w:line="256" w:lineRule="auto"/>
              <w:ind w:left="140"/>
              <w:rPr>
                <w:iCs/>
                <w:sz w:val="24"/>
                <w:szCs w:val="24"/>
                <w:lang w:val="en-US" w:eastAsia="en-US"/>
              </w:rPr>
            </w:pPr>
            <w:r w:rsidRPr="009907F8">
              <w:rPr>
                <w:iCs/>
                <w:sz w:val="24"/>
                <w:szCs w:val="24"/>
                <w:lang w:val="en-US" w:eastAsia="en-US"/>
              </w:rPr>
              <w:t>Weight decreased***</w:t>
            </w:r>
          </w:p>
          <w:p w14:paraId="5B26A45C" w14:textId="77777777" w:rsidR="00862A88" w:rsidRPr="009907F8" w:rsidRDefault="00862A88">
            <w:pPr>
              <w:widowControl w:val="0"/>
              <w:tabs>
                <w:tab w:val="left" w:pos="567"/>
              </w:tabs>
              <w:spacing w:line="256" w:lineRule="auto"/>
              <w:ind w:left="140"/>
              <w:rPr>
                <w:iCs/>
                <w:sz w:val="24"/>
                <w:szCs w:val="24"/>
                <w:lang w:val="en-US" w:eastAsia="en-US"/>
              </w:rPr>
            </w:pPr>
            <w:r w:rsidRPr="009907F8">
              <w:rPr>
                <w:iCs/>
                <w:sz w:val="24"/>
                <w:szCs w:val="24"/>
                <w:lang w:val="en-US" w:eastAsia="en-US"/>
              </w:rPr>
              <w:t>Blood triglycerides increased</w:t>
            </w:r>
          </w:p>
        </w:tc>
      </w:tr>
      <w:tr w:rsidR="00862A88" w:rsidRPr="009907F8" w14:paraId="5D5D983D" w14:textId="77777777" w:rsidTr="006F268E">
        <w:trPr>
          <w:trHeight w:val="217"/>
        </w:trPr>
        <w:tc>
          <w:tcPr>
            <w:tcW w:w="1523" w:type="pct"/>
            <w:tcBorders>
              <w:top w:val="single" w:sz="4" w:space="0" w:color="000000"/>
              <w:left w:val="single" w:sz="4" w:space="0" w:color="000000"/>
              <w:bottom w:val="single" w:sz="4" w:space="0" w:color="000000"/>
              <w:right w:val="single" w:sz="4" w:space="0" w:color="000000"/>
            </w:tcBorders>
            <w:hideMark/>
          </w:tcPr>
          <w:p w14:paraId="5B8660D7"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Uncommon</w:t>
            </w:r>
            <w:proofErr w:type="spellEnd"/>
            <w:r w:rsidRPr="009907F8">
              <w:rPr>
                <w:iCs/>
                <w:sz w:val="24"/>
                <w:szCs w:val="24"/>
                <w:lang w:eastAsia="en-US"/>
              </w:rPr>
              <w:t>:</w:t>
            </w:r>
          </w:p>
        </w:tc>
        <w:tc>
          <w:tcPr>
            <w:tcW w:w="3477" w:type="pct"/>
            <w:tcBorders>
              <w:top w:val="single" w:sz="4" w:space="0" w:color="000000"/>
              <w:left w:val="single" w:sz="4" w:space="0" w:color="000000"/>
              <w:bottom w:val="single" w:sz="4" w:space="0" w:color="000000"/>
              <w:right w:val="single" w:sz="4" w:space="0" w:color="000000"/>
            </w:tcBorders>
            <w:hideMark/>
          </w:tcPr>
          <w:p w14:paraId="4D3DF7F0" w14:textId="77777777" w:rsidR="00862A88" w:rsidRPr="009907F8" w:rsidRDefault="00862A88">
            <w:pPr>
              <w:widowControl w:val="0"/>
              <w:tabs>
                <w:tab w:val="left" w:pos="567"/>
              </w:tabs>
              <w:spacing w:line="256" w:lineRule="auto"/>
              <w:ind w:left="140"/>
              <w:rPr>
                <w:iCs/>
                <w:sz w:val="24"/>
                <w:szCs w:val="24"/>
                <w:lang w:eastAsia="en-US"/>
              </w:rPr>
            </w:pPr>
            <w:proofErr w:type="spellStart"/>
            <w:r w:rsidRPr="009907F8">
              <w:rPr>
                <w:iCs/>
                <w:sz w:val="24"/>
                <w:szCs w:val="24"/>
                <w:lang w:eastAsia="en-US"/>
              </w:rPr>
              <w:t>Neutrophil</w:t>
            </w:r>
            <w:proofErr w:type="spellEnd"/>
            <w:r w:rsidRPr="009907F8">
              <w:rPr>
                <w:iCs/>
                <w:sz w:val="24"/>
                <w:szCs w:val="24"/>
                <w:lang w:eastAsia="en-US"/>
              </w:rPr>
              <w:t xml:space="preserve"> </w:t>
            </w:r>
            <w:proofErr w:type="spellStart"/>
            <w:r w:rsidRPr="009907F8">
              <w:rPr>
                <w:iCs/>
                <w:sz w:val="24"/>
                <w:szCs w:val="24"/>
                <w:lang w:eastAsia="en-US"/>
              </w:rPr>
              <w:t>count</w:t>
            </w:r>
            <w:proofErr w:type="spellEnd"/>
            <w:r w:rsidRPr="009907F8">
              <w:rPr>
                <w:iCs/>
                <w:sz w:val="24"/>
                <w:szCs w:val="24"/>
                <w:lang w:eastAsia="en-US"/>
              </w:rPr>
              <w:t xml:space="preserve"> </w:t>
            </w:r>
            <w:proofErr w:type="spellStart"/>
            <w:r w:rsidRPr="009907F8">
              <w:rPr>
                <w:iCs/>
                <w:sz w:val="24"/>
                <w:szCs w:val="24"/>
                <w:lang w:eastAsia="en-US"/>
              </w:rPr>
              <w:t>decreased</w:t>
            </w:r>
            <w:proofErr w:type="spellEnd"/>
          </w:p>
        </w:tc>
      </w:tr>
      <w:tr w:rsidR="00862A88" w:rsidRPr="00A74CF9" w14:paraId="0CAA553D" w14:textId="77777777" w:rsidTr="006F268E">
        <w:trPr>
          <w:trHeight w:val="757"/>
        </w:trPr>
        <w:tc>
          <w:tcPr>
            <w:tcW w:w="5000" w:type="pct"/>
            <w:gridSpan w:val="2"/>
            <w:tcBorders>
              <w:top w:val="single" w:sz="4" w:space="0" w:color="000000"/>
              <w:left w:val="single" w:sz="4" w:space="0" w:color="000000"/>
              <w:bottom w:val="single" w:sz="4" w:space="0" w:color="000000"/>
              <w:right w:val="single" w:sz="4" w:space="0" w:color="000000"/>
            </w:tcBorders>
            <w:hideMark/>
          </w:tcPr>
          <w:p w14:paraId="6AA64522" w14:textId="77777777" w:rsidR="00862A88" w:rsidRPr="009907F8" w:rsidRDefault="00862A88" w:rsidP="00122FFB">
            <w:pPr>
              <w:widowControl w:val="0"/>
              <w:spacing w:line="256" w:lineRule="auto"/>
              <w:ind w:left="710" w:hanging="567"/>
              <w:rPr>
                <w:iCs/>
                <w:sz w:val="24"/>
                <w:szCs w:val="24"/>
                <w:lang w:val="en-US" w:eastAsia="en-US"/>
              </w:rPr>
            </w:pPr>
            <w:r w:rsidRPr="009907F8">
              <w:rPr>
                <w:iCs/>
                <w:sz w:val="24"/>
                <w:szCs w:val="24"/>
                <w:lang w:val="en-US" w:eastAsia="en-US"/>
              </w:rPr>
              <w:t>*</w:t>
            </w:r>
            <w:r w:rsidRPr="009907F8">
              <w:rPr>
                <w:iCs/>
                <w:sz w:val="24"/>
                <w:szCs w:val="24"/>
                <w:lang w:val="en-US" w:eastAsia="en-US"/>
              </w:rPr>
              <w:tab/>
              <w:t>The frequency category was based on an estimated exposure of approximately 10,000 patients to fingolimod in all clinical trials.</w:t>
            </w:r>
          </w:p>
          <w:p w14:paraId="07B7158D" w14:textId="77777777" w:rsidR="00862A88" w:rsidRPr="009907F8" w:rsidRDefault="00862A88" w:rsidP="00122FFB">
            <w:pPr>
              <w:widowControl w:val="0"/>
              <w:spacing w:line="256" w:lineRule="auto"/>
              <w:ind w:left="710" w:hanging="567"/>
              <w:rPr>
                <w:iCs/>
                <w:sz w:val="24"/>
                <w:szCs w:val="24"/>
                <w:lang w:val="en-US" w:eastAsia="en-US"/>
              </w:rPr>
            </w:pPr>
            <w:r w:rsidRPr="009907F8">
              <w:rPr>
                <w:iCs/>
                <w:sz w:val="24"/>
                <w:szCs w:val="24"/>
                <w:lang w:val="en-US" w:eastAsia="en-US"/>
              </w:rPr>
              <w:t>**</w:t>
            </w:r>
            <w:r w:rsidRPr="009907F8">
              <w:rPr>
                <w:iCs/>
                <w:sz w:val="24"/>
                <w:szCs w:val="24"/>
                <w:lang w:val="en-US" w:eastAsia="en-US"/>
              </w:rPr>
              <w:tab/>
              <w:t>PML and cryptococcal infections (including cases of cryptococcal meningitis) have been reported in the post-marketing setting (see section 4.4).</w:t>
            </w:r>
          </w:p>
          <w:p w14:paraId="15C280CA" w14:textId="77777777" w:rsidR="00862A88" w:rsidRPr="009907F8" w:rsidRDefault="00862A88" w:rsidP="00122FFB">
            <w:pPr>
              <w:widowControl w:val="0"/>
              <w:spacing w:line="256" w:lineRule="auto"/>
              <w:ind w:left="710" w:hanging="567"/>
              <w:rPr>
                <w:iCs/>
                <w:sz w:val="24"/>
                <w:szCs w:val="24"/>
                <w:lang w:val="en-US" w:eastAsia="en-US"/>
              </w:rPr>
            </w:pPr>
            <w:r w:rsidRPr="009907F8">
              <w:rPr>
                <w:iCs/>
                <w:sz w:val="24"/>
                <w:szCs w:val="24"/>
                <w:lang w:val="en-US" w:eastAsia="en-US"/>
              </w:rPr>
              <w:t>***</w:t>
            </w:r>
            <w:r w:rsidRPr="009907F8">
              <w:rPr>
                <w:iCs/>
                <w:sz w:val="24"/>
                <w:szCs w:val="24"/>
                <w:lang w:val="en-US" w:eastAsia="en-US"/>
              </w:rPr>
              <w:tab/>
              <w:t>Adverse reactions from spontaneous reports and literature</w:t>
            </w:r>
          </w:p>
          <w:p w14:paraId="61D3928F" w14:textId="02D4E5ED" w:rsidR="00862A88" w:rsidRPr="009907F8" w:rsidRDefault="00862A88" w:rsidP="00122FFB">
            <w:pPr>
              <w:widowControl w:val="0"/>
              <w:spacing w:line="256" w:lineRule="auto"/>
              <w:ind w:left="710" w:hanging="567"/>
              <w:rPr>
                <w:iCs/>
                <w:sz w:val="24"/>
                <w:szCs w:val="24"/>
                <w:lang w:val="en-US" w:eastAsia="en-US"/>
              </w:rPr>
            </w:pPr>
            <w:r w:rsidRPr="009907F8">
              <w:rPr>
                <w:iCs/>
                <w:sz w:val="24"/>
                <w:szCs w:val="24"/>
                <w:lang w:val="en-US" w:eastAsia="en-US"/>
              </w:rPr>
              <w:t>****</w:t>
            </w:r>
            <w:r w:rsidR="00122FFB">
              <w:rPr>
                <w:iCs/>
                <w:sz w:val="24"/>
                <w:szCs w:val="24"/>
                <w:lang w:val="en-US" w:eastAsia="en-US"/>
              </w:rPr>
              <w:tab/>
            </w:r>
            <w:r w:rsidRPr="009907F8">
              <w:rPr>
                <w:iCs/>
                <w:sz w:val="24"/>
                <w:szCs w:val="24"/>
                <w:lang w:val="en-US" w:eastAsia="en-US"/>
              </w:rPr>
              <w:t>The frequency category and risk assessment were based on an estimated exposure of more than 24,000 patients to fingolimod 0.5 mg in all clinical trials.</w:t>
            </w:r>
          </w:p>
        </w:tc>
      </w:tr>
    </w:tbl>
    <w:p w14:paraId="7D94BE1A" w14:textId="77777777" w:rsidR="00862A88" w:rsidRPr="009907F8" w:rsidRDefault="00862A88" w:rsidP="006F268E">
      <w:pPr>
        <w:ind w:left="851"/>
        <w:rPr>
          <w:sz w:val="24"/>
          <w:szCs w:val="24"/>
          <w:highlight w:val="yellow"/>
          <w:lang w:val="en-GB" w:eastAsia="en-US"/>
        </w:rPr>
      </w:pPr>
    </w:p>
    <w:p w14:paraId="4E4DED72" w14:textId="77777777" w:rsidR="00862A88" w:rsidRPr="00424879" w:rsidRDefault="00862A88" w:rsidP="006F268E">
      <w:pPr>
        <w:ind w:left="851"/>
        <w:rPr>
          <w:sz w:val="24"/>
          <w:szCs w:val="24"/>
          <w:u w:val="single"/>
          <w:lang w:val="en-GB" w:eastAsia="en-US"/>
        </w:rPr>
      </w:pPr>
      <w:r w:rsidRPr="00424879">
        <w:rPr>
          <w:sz w:val="24"/>
          <w:szCs w:val="24"/>
          <w:u w:val="single"/>
          <w:lang w:val="en-GB" w:eastAsia="en-US"/>
        </w:rPr>
        <w:t>Description of selected adverse reactions</w:t>
      </w:r>
    </w:p>
    <w:p w14:paraId="1E9B0DF3" w14:textId="77777777" w:rsidR="00862A88" w:rsidRPr="009907F8" w:rsidRDefault="00862A88" w:rsidP="006F268E">
      <w:pPr>
        <w:ind w:left="851"/>
        <w:rPr>
          <w:sz w:val="24"/>
          <w:szCs w:val="24"/>
          <w:lang w:val="en-GB" w:eastAsia="en-US"/>
        </w:rPr>
      </w:pPr>
    </w:p>
    <w:p w14:paraId="3D72ED75" w14:textId="77777777" w:rsidR="00862A88" w:rsidRPr="009907F8" w:rsidRDefault="00862A88" w:rsidP="006F268E">
      <w:pPr>
        <w:ind w:left="851"/>
        <w:rPr>
          <w:i/>
          <w:sz w:val="24"/>
          <w:szCs w:val="24"/>
          <w:lang w:val="en-GB" w:eastAsia="en-US"/>
        </w:rPr>
      </w:pPr>
      <w:r w:rsidRPr="009907F8">
        <w:rPr>
          <w:i/>
          <w:sz w:val="24"/>
          <w:szCs w:val="24"/>
          <w:lang w:val="en-GB" w:eastAsia="en-US"/>
        </w:rPr>
        <w:t>Infections</w:t>
      </w:r>
    </w:p>
    <w:p w14:paraId="7D0C7499" w14:textId="77777777" w:rsidR="00862A88" w:rsidRPr="009907F8" w:rsidRDefault="00862A88" w:rsidP="006F268E">
      <w:pPr>
        <w:ind w:left="851"/>
        <w:rPr>
          <w:sz w:val="24"/>
          <w:szCs w:val="24"/>
          <w:lang w:val="en-GB" w:eastAsia="en-US"/>
        </w:rPr>
      </w:pPr>
      <w:r w:rsidRPr="009907F8">
        <w:rPr>
          <w:sz w:val="24"/>
          <w:szCs w:val="24"/>
          <w:lang w:val="en-GB" w:eastAsia="en-US"/>
        </w:rPr>
        <w:t xml:space="preserve">In multiple sclerosis clinical </w:t>
      </w:r>
      <w:proofErr w:type="gramStart"/>
      <w:r w:rsidRPr="009907F8">
        <w:rPr>
          <w:sz w:val="24"/>
          <w:szCs w:val="24"/>
          <w:lang w:val="en-GB" w:eastAsia="en-US"/>
        </w:rPr>
        <w:t>studies</w:t>
      </w:r>
      <w:proofErr w:type="gramEnd"/>
      <w:r w:rsidRPr="009907F8">
        <w:rPr>
          <w:sz w:val="24"/>
          <w:szCs w:val="24"/>
          <w:lang w:val="en-GB" w:eastAsia="en-US"/>
        </w:rPr>
        <w:t xml:space="preserve"> the overall rate of infections (65.1%) at the 0.5 mg dose was similar to placebo. However, lower respiratory tract infections, primarily bronchitis and to a lesser extent herpes infection and pneumonia were more common in fingolimod-treated patients. Some cases of disseminated herpes infection, including fatal cases, have been reported even at the</w:t>
      </w:r>
    </w:p>
    <w:p w14:paraId="61E1FC47" w14:textId="77777777" w:rsidR="00862A88" w:rsidRPr="009907F8" w:rsidRDefault="00862A88" w:rsidP="006F268E">
      <w:pPr>
        <w:ind w:left="851"/>
        <w:rPr>
          <w:sz w:val="24"/>
          <w:szCs w:val="24"/>
          <w:lang w:val="en-GB" w:eastAsia="en-US"/>
        </w:rPr>
      </w:pPr>
      <w:r w:rsidRPr="009907F8">
        <w:rPr>
          <w:sz w:val="24"/>
          <w:szCs w:val="24"/>
          <w:lang w:val="en-GB" w:eastAsia="en-US"/>
        </w:rPr>
        <w:t>0.5 mg dose.</w:t>
      </w:r>
    </w:p>
    <w:p w14:paraId="359822CF" w14:textId="77777777" w:rsidR="00862A88" w:rsidRPr="009907F8" w:rsidRDefault="00862A88" w:rsidP="006F268E">
      <w:pPr>
        <w:ind w:left="851"/>
        <w:rPr>
          <w:sz w:val="24"/>
          <w:szCs w:val="24"/>
          <w:lang w:val="en-GB" w:eastAsia="en-US"/>
        </w:rPr>
      </w:pPr>
    </w:p>
    <w:p w14:paraId="287C3212" w14:textId="77777777" w:rsidR="00862A88" w:rsidRPr="009907F8" w:rsidRDefault="00862A88" w:rsidP="006F268E">
      <w:pPr>
        <w:ind w:left="851"/>
        <w:rPr>
          <w:sz w:val="24"/>
          <w:szCs w:val="24"/>
          <w:lang w:val="en-GB" w:eastAsia="en-US"/>
        </w:rPr>
      </w:pPr>
      <w:r w:rsidRPr="009907F8">
        <w:rPr>
          <w:sz w:val="24"/>
          <w:szCs w:val="24"/>
          <w:lang w:val="en-GB" w:eastAsia="en-US"/>
        </w:rPr>
        <w:t>In the post-marketing setting, cases of infections with opportunistic pathogens, such as viral (e.g. varicella zoster virus [VZV], John Cunningham virus [JCV] causing Progressive Multifocal Leukoencephalopathy, herpes simplex virus [HSV]), fungal (e.g. cryptococci including cryptococcal meningitis) or bacterial (e.g. atypical mycobacterium), have been reported, some of which have been fatal (see section 4.4).</w:t>
      </w:r>
    </w:p>
    <w:p w14:paraId="3F99B255" w14:textId="77777777" w:rsidR="00862A88" w:rsidRPr="009907F8" w:rsidRDefault="00862A88" w:rsidP="006F268E">
      <w:pPr>
        <w:ind w:left="851"/>
        <w:rPr>
          <w:sz w:val="24"/>
          <w:szCs w:val="24"/>
          <w:lang w:val="en-GB" w:eastAsia="en-US"/>
        </w:rPr>
      </w:pPr>
    </w:p>
    <w:p w14:paraId="065B3FE6" w14:textId="77777777" w:rsidR="00862A88" w:rsidRPr="009907F8" w:rsidRDefault="00862A88" w:rsidP="006F268E">
      <w:pPr>
        <w:ind w:left="851"/>
        <w:rPr>
          <w:sz w:val="24"/>
          <w:szCs w:val="24"/>
          <w:lang w:val="en-GB" w:eastAsia="en-US"/>
        </w:rPr>
      </w:pPr>
      <w:r w:rsidRPr="009907F8">
        <w:rPr>
          <w:sz w:val="24"/>
          <w:szCs w:val="24"/>
          <w:lang w:val="en-GB" w:eastAsia="en-US"/>
        </w:rPr>
        <w:t xml:space="preserve">Human papilloma virus (HPV) infection, including papilloma, dysplasia, warts and HPV-related cancer, has been reported under treatment with fingolimod in the post-marketing setting (see section 4.4). Due to the immunosuppressive properties of fingolimod, vaccination against HPV should be considered prior to treatment initiation with fingolimod </w:t>
      </w:r>
      <w:proofErr w:type="gramStart"/>
      <w:r w:rsidRPr="009907F8">
        <w:rPr>
          <w:sz w:val="24"/>
          <w:szCs w:val="24"/>
          <w:lang w:val="en-GB" w:eastAsia="en-US"/>
        </w:rPr>
        <w:t>taking into account</w:t>
      </w:r>
      <w:proofErr w:type="gramEnd"/>
      <w:r w:rsidRPr="009907F8">
        <w:rPr>
          <w:sz w:val="24"/>
          <w:szCs w:val="24"/>
          <w:lang w:val="en-GB" w:eastAsia="en-US"/>
        </w:rPr>
        <w:t xml:space="preserve"> vaccination recommendations. Cancer screening, including Pap test, is recommended as per standard of care.</w:t>
      </w:r>
    </w:p>
    <w:p w14:paraId="75AF05EF" w14:textId="77777777" w:rsidR="00862A88" w:rsidRPr="009907F8" w:rsidRDefault="00862A88" w:rsidP="006F268E">
      <w:pPr>
        <w:ind w:left="851"/>
        <w:rPr>
          <w:sz w:val="24"/>
          <w:szCs w:val="24"/>
          <w:lang w:val="en-GB" w:eastAsia="en-US"/>
        </w:rPr>
      </w:pPr>
    </w:p>
    <w:p w14:paraId="5683A88B" w14:textId="77777777" w:rsidR="00862A88" w:rsidRPr="009907F8" w:rsidRDefault="00862A88" w:rsidP="006F268E">
      <w:pPr>
        <w:ind w:left="851"/>
        <w:rPr>
          <w:i/>
          <w:sz w:val="24"/>
          <w:szCs w:val="24"/>
          <w:lang w:val="en-GB" w:eastAsia="en-US"/>
        </w:rPr>
      </w:pPr>
      <w:r w:rsidRPr="009907F8">
        <w:rPr>
          <w:i/>
          <w:sz w:val="24"/>
          <w:szCs w:val="24"/>
          <w:lang w:val="en-GB" w:eastAsia="en-US"/>
        </w:rPr>
        <w:t>Macular oedema</w:t>
      </w:r>
    </w:p>
    <w:p w14:paraId="13E5CD1E" w14:textId="77777777" w:rsidR="00862A88" w:rsidRPr="009907F8" w:rsidRDefault="00862A88" w:rsidP="006F268E">
      <w:pPr>
        <w:ind w:left="851"/>
        <w:rPr>
          <w:sz w:val="24"/>
          <w:szCs w:val="24"/>
          <w:lang w:val="en-GB" w:eastAsia="en-US"/>
        </w:rPr>
      </w:pPr>
      <w:r w:rsidRPr="009907F8">
        <w:rPr>
          <w:sz w:val="24"/>
          <w:szCs w:val="24"/>
          <w:lang w:val="en-GB" w:eastAsia="en-US"/>
        </w:rPr>
        <w:t xml:space="preserve">In multiple sclerosis clinical studies macular oedema occurred in 0.5% of patients treated with the recommended dose of 0.5 mg and 1.1% of patients treated with the higher dose of 1.25 mg. The majority of cases occurred within the first 3-4 months of therapy. Some patients presented with blurred vision or decreased visual acuity, but others were </w:t>
      </w:r>
      <w:r w:rsidRPr="009907F8">
        <w:rPr>
          <w:sz w:val="24"/>
          <w:szCs w:val="24"/>
          <w:lang w:val="en-GB" w:eastAsia="en-US"/>
        </w:rPr>
        <w:lastRenderedPageBreak/>
        <w:t>asymptomatic and diagnosed on routine ophthalmological examination. The macular oedema generally improved or resolved spontaneously after discontinuation of treatment. The risk of recurrence after re-challenge has not been evaluated.</w:t>
      </w:r>
    </w:p>
    <w:p w14:paraId="71FAAB99" w14:textId="77777777" w:rsidR="00862A88" w:rsidRPr="009907F8" w:rsidRDefault="00862A88" w:rsidP="006F268E">
      <w:pPr>
        <w:ind w:left="851"/>
        <w:rPr>
          <w:sz w:val="24"/>
          <w:szCs w:val="24"/>
          <w:lang w:val="en-GB" w:eastAsia="en-US"/>
        </w:rPr>
      </w:pPr>
    </w:p>
    <w:p w14:paraId="3895F329" w14:textId="7F01098B" w:rsidR="00862A88" w:rsidRPr="009907F8" w:rsidRDefault="00862A88" w:rsidP="006F268E">
      <w:pPr>
        <w:ind w:left="851"/>
        <w:rPr>
          <w:sz w:val="24"/>
          <w:szCs w:val="24"/>
          <w:lang w:val="en-GB" w:eastAsia="en-US"/>
        </w:rPr>
      </w:pPr>
      <w:r w:rsidRPr="009907F8">
        <w:rPr>
          <w:sz w:val="24"/>
          <w:szCs w:val="24"/>
          <w:lang w:val="en-GB" w:eastAsia="en-US"/>
        </w:rPr>
        <w:t>Macular oedema incidence is increased in multiple sclerosis patients with a history of uveitis (17% with a history of uveitis vs. 0.6% without a history of uveitis). Fingolimod has not been studied in multiple sclerosis patients with diabetes mellitus, a disease which is associated with an increased risk for macular oedema (see section 4.4). In renal transplant clinical studies in which patients with diabetes mellitus were included, therapy with fingolimod 2.5 mg and 5 mg resulted in a 2-fold increase in the incidence of macular oedema.</w:t>
      </w:r>
    </w:p>
    <w:p w14:paraId="6B9E38FE" w14:textId="77777777" w:rsidR="00862A88" w:rsidRPr="009907F8" w:rsidRDefault="00862A88" w:rsidP="006F268E">
      <w:pPr>
        <w:ind w:left="851"/>
        <w:rPr>
          <w:sz w:val="24"/>
          <w:szCs w:val="24"/>
          <w:lang w:val="en-GB" w:eastAsia="en-US"/>
        </w:rPr>
      </w:pPr>
      <w:r w:rsidRPr="009907F8">
        <w:rPr>
          <w:sz w:val="24"/>
          <w:szCs w:val="24"/>
          <w:lang w:val="en-GB" w:eastAsia="en-US"/>
        </w:rPr>
        <w:t xml:space="preserve"> </w:t>
      </w:r>
    </w:p>
    <w:p w14:paraId="2FFD64F5" w14:textId="77777777" w:rsidR="00862A88" w:rsidRPr="009907F8" w:rsidRDefault="00862A88" w:rsidP="006F268E">
      <w:pPr>
        <w:ind w:left="851"/>
        <w:rPr>
          <w:i/>
          <w:sz w:val="24"/>
          <w:szCs w:val="24"/>
          <w:lang w:val="en-GB" w:eastAsia="en-US"/>
        </w:rPr>
      </w:pPr>
      <w:r w:rsidRPr="009907F8">
        <w:rPr>
          <w:i/>
          <w:sz w:val="24"/>
          <w:szCs w:val="24"/>
          <w:lang w:val="en-GB" w:eastAsia="en-US"/>
        </w:rPr>
        <w:t>Bradyarrhythmia</w:t>
      </w:r>
    </w:p>
    <w:p w14:paraId="2716C813" w14:textId="77777777" w:rsidR="00862A88" w:rsidRPr="009907F8" w:rsidRDefault="00862A88" w:rsidP="006F268E">
      <w:pPr>
        <w:ind w:left="851"/>
        <w:rPr>
          <w:sz w:val="24"/>
          <w:szCs w:val="24"/>
          <w:lang w:val="en-GB" w:eastAsia="en-US"/>
        </w:rPr>
      </w:pPr>
      <w:r w:rsidRPr="009907F8">
        <w:rPr>
          <w:sz w:val="24"/>
          <w:szCs w:val="24"/>
          <w:lang w:val="en-GB" w:eastAsia="en-US"/>
        </w:rPr>
        <w:t xml:space="preserve">Initiation of treatment results in a transient decrease in heart rate and may also be associated with atrioventricular conduction delays. In multiple sclerosis clinical </w:t>
      </w:r>
      <w:proofErr w:type="gramStart"/>
      <w:r w:rsidRPr="009907F8">
        <w:rPr>
          <w:sz w:val="24"/>
          <w:szCs w:val="24"/>
          <w:lang w:val="en-GB" w:eastAsia="en-US"/>
        </w:rPr>
        <w:t>studies</w:t>
      </w:r>
      <w:proofErr w:type="gramEnd"/>
      <w:r w:rsidRPr="009907F8">
        <w:rPr>
          <w:sz w:val="24"/>
          <w:szCs w:val="24"/>
          <w:lang w:val="en-GB" w:eastAsia="en-US"/>
        </w:rPr>
        <w:t xml:space="preserve"> the maximal decline in heart rate was seen within 6 hours after treatment initiation, with declines in mean heart rate of 12-13 beats per minute for fingolimod 0.5 mg. Heart rate below 40 beats per minute in adults, and below 50 beats per minute in paediatric patients, was rarely observed in patients on fingolimod 0.5 mg. The average heart rate returned towards baseline within 1 month of chronic treatment. Bradycardia was generally asymptomatic but some patients experienced mild to moderate symptoms, including hypotension, dizziness, fatigue and/or palpitations, which resolved within the first 24 hours after treatment initiation (see also sections 4.4 and 5.1).</w:t>
      </w:r>
    </w:p>
    <w:p w14:paraId="300635CE" w14:textId="77777777" w:rsidR="00862A88" w:rsidRPr="009907F8" w:rsidRDefault="00862A88" w:rsidP="006F268E">
      <w:pPr>
        <w:ind w:left="851"/>
        <w:rPr>
          <w:sz w:val="24"/>
          <w:szCs w:val="24"/>
          <w:lang w:val="en-GB" w:eastAsia="en-US"/>
        </w:rPr>
      </w:pPr>
    </w:p>
    <w:p w14:paraId="794ADC73" w14:textId="77777777" w:rsidR="00862A88" w:rsidRPr="009907F8" w:rsidRDefault="00862A88" w:rsidP="006F268E">
      <w:pPr>
        <w:ind w:left="851"/>
        <w:rPr>
          <w:sz w:val="24"/>
          <w:szCs w:val="24"/>
          <w:lang w:val="en-GB" w:eastAsia="en-US"/>
        </w:rPr>
      </w:pPr>
      <w:r w:rsidRPr="009907F8">
        <w:rPr>
          <w:sz w:val="24"/>
          <w:szCs w:val="24"/>
          <w:lang w:val="en-GB" w:eastAsia="en-US"/>
        </w:rPr>
        <w:t xml:space="preserve">In multiple sclerosis clinical studies first-degree atrioventricular block (prolonged PR interval on ECG) was detected after treatment initiation in adult and paediatric patients. In adult clinical trials it occurred in 4.7% of patients on fingolimod 0.5 mg, in 2.8% of patients on intramuscular interferon beta-1a, and in 1.6% of patients on placebo. Second-degree atrioventricular block was detected in less than 0.2% adult patients on fingolimod 0.5 mg. In the post-marketing setting, isolated reports of transient, spontaneously resolving complete AV block have been observed during the </w:t>
      </w:r>
      <w:proofErr w:type="gramStart"/>
      <w:r w:rsidRPr="009907F8">
        <w:rPr>
          <w:sz w:val="24"/>
          <w:szCs w:val="24"/>
          <w:lang w:val="en-GB" w:eastAsia="en-US"/>
        </w:rPr>
        <w:t>six hour</w:t>
      </w:r>
      <w:proofErr w:type="gramEnd"/>
      <w:r w:rsidRPr="009907F8">
        <w:rPr>
          <w:sz w:val="24"/>
          <w:szCs w:val="24"/>
          <w:lang w:val="en-GB" w:eastAsia="en-US"/>
        </w:rPr>
        <w:t xml:space="preserve"> monitoring period following the first dose of fingolimod. The patients recovered spontaneously. The conduction abnormalities observed both in clinical trials and post-marketing were typically transient, asymptomatic and resolved within the first 24 hours after treatment initiation. Although most patients did not require medical intervention, one patient on fingolimod 0.5 mg received isoprenaline for asymptomatic second-degree Mobitz I atrioventricular block.</w:t>
      </w:r>
    </w:p>
    <w:p w14:paraId="47F825F5" w14:textId="77777777" w:rsidR="00862A88" w:rsidRPr="009907F8" w:rsidRDefault="00862A88" w:rsidP="006F268E">
      <w:pPr>
        <w:ind w:left="851"/>
        <w:rPr>
          <w:sz w:val="24"/>
          <w:szCs w:val="24"/>
          <w:lang w:val="en-GB" w:eastAsia="en-US"/>
        </w:rPr>
      </w:pPr>
    </w:p>
    <w:p w14:paraId="15D4FD5A" w14:textId="77777777" w:rsidR="00862A88" w:rsidRPr="009907F8" w:rsidRDefault="00862A88" w:rsidP="006F268E">
      <w:pPr>
        <w:ind w:left="851"/>
        <w:rPr>
          <w:sz w:val="24"/>
          <w:szCs w:val="24"/>
          <w:lang w:val="en-GB" w:eastAsia="en-US"/>
        </w:rPr>
      </w:pPr>
      <w:r w:rsidRPr="009907F8">
        <w:rPr>
          <w:sz w:val="24"/>
          <w:szCs w:val="24"/>
          <w:lang w:val="en-GB" w:eastAsia="en-US"/>
        </w:rPr>
        <w:t>In the post-marketing setting, isolated delayed onset events, including transient asystole and unexplained death, have occurred within 24 hours of the first dose. These cases have been confounded by concomitant medicinal products and/or pre-existing disease. The relationship of such events to fingolimod is uncertain.</w:t>
      </w:r>
    </w:p>
    <w:p w14:paraId="270814E7" w14:textId="77777777" w:rsidR="00862A88" w:rsidRPr="009907F8" w:rsidRDefault="00862A88" w:rsidP="006F268E">
      <w:pPr>
        <w:ind w:left="851"/>
        <w:rPr>
          <w:sz w:val="24"/>
          <w:szCs w:val="24"/>
          <w:lang w:val="en-GB" w:eastAsia="en-US"/>
        </w:rPr>
      </w:pPr>
    </w:p>
    <w:p w14:paraId="7C16A606" w14:textId="77777777" w:rsidR="00862A88" w:rsidRPr="009907F8" w:rsidRDefault="00862A88" w:rsidP="006F268E">
      <w:pPr>
        <w:ind w:left="851"/>
        <w:rPr>
          <w:i/>
          <w:sz w:val="24"/>
          <w:szCs w:val="24"/>
          <w:lang w:val="en-GB" w:eastAsia="en-US"/>
        </w:rPr>
      </w:pPr>
      <w:r w:rsidRPr="009907F8">
        <w:rPr>
          <w:i/>
          <w:sz w:val="24"/>
          <w:szCs w:val="24"/>
          <w:lang w:val="en-GB" w:eastAsia="en-US"/>
        </w:rPr>
        <w:t>Blood pressure</w:t>
      </w:r>
    </w:p>
    <w:p w14:paraId="0BEC38A8" w14:textId="77777777" w:rsidR="00862A88" w:rsidRPr="009907F8" w:rsidRDefault="00862A88" w:rsidP="006F268E">
      <w:pPr>
        <w:ind w:left="851"/>
        <w:rPr>
          <w:sz w:val="24"/>
          <w:szCs w:val="24"/>
          <w:lang w:val="en-GB" w:eastAsia="en-US"/>
        </w:rPr>
      </w:pPr>
      <w:r w:rsidRPr="009907F8">
        <w:rPr>
          <w:sz w:val="24"/>
          <w:szCs w:val="24"/>
          <w:lang w:val="en-GB" w:eastAsia="en-US"/>
        </w:rPr>
        <w:t>In multiple sclerosis clinical studies fingolimod 0.5 mg was associated with an average increase of approximately 3 mmHg in systolic pressure and approximately 1 mmHg in diastolic pressure, manifesting approximately 1 month after treatment initiation. This increase persisted with continued treatment. Hypertension was reported in 6.5% of patients on fingolimod 0.5 mg and in 3.3% of patients on placebo. In the post-marketing setting, cases of hypertension have been reported within the first month of treatment initiation and on the first day of treatment that may require treatment with antihypertensive agents or discontinuation of fingolimod (see also section 4.4, Blood pressure effects).</w:t>
      </w:r>
    </w:p>
    <w:p w14:paraId="00463DE8" w14:textId="77777777" w:rsidR="00862A88" w:rsidRPr="009907F8" w:rsidRDefault="00862A88" w:rsidP="006F268E">
      <w:pPr>
        <w:ind w:left="851"/>
        <w:rPr>
          <w:sz w:val="24"/>
          <w:szCs w:val="24"/>
          <w:lang w:val="en-GB" w:eastAsia="en-US"/>
        </w:rPr>
      </w:pPr>
    </w:p>
    <w:p w14:paraId="21C19B97" w14:textId="77777777" w:rsidR="00862A88" w:rsidRPr="009907F8" w:rsidRDefault="00862A88" w:rsidP="006F268E">
      <w:pPr>
        <w:ind w:left="851"/>
        <w:rPr>
          <w:i/>
          <w:sz w:val="24"/>
          <w:szCs w:val="24"/>
          <w:lang w:val="en-GB" w:eastAsia="en-US"/>
        </w:rPr>
      </w:pPr>
      <w:r w:rsidRPr="009907F8">
        <w:rPr>
          <w:i/>
          <w:sz w:val="24"/>
          <w:szCs w:val="24"/>
          <w:lang w:val="en-GB" w:eastAsia="en-US"/>
        </w:rPr>
        <w:t>Liver function</w:t>
      </w:r>
    </w:p>
    <w:p w14:paraId="1B7AAD13" w14:textId="77777777" w:rsidR="00862A88" w:rsidRPr="009907F8" w:rsidRDefault="00862A88" w:rsidP="006F268E">
      <w:pPr>
        <w:ind w:left="851"/>
        <w:rPr>
          <w:sz w:val="24"/>
          <w:szCs w:val="24"/>
          <w:lang w:val="en-GB" w:eastAsia="en-US"/>
        </w:rPr>
      </w:pPr>
      <w:r w:rsidRPr="009907F8">
        <w:rPr>
          <w:sz w:val="24"/>
          <w:szCs w:val="24"/>
          <w:lang w:val="en-GB" w:eastAsia="en-US"/>
        </w:rPr>
        <w:t>Increased hepatic enzymes have been reported in adult and paediatric multiple sclerosis patients treated with fingolimod. In clinical studies 8.0% and 1.8% of adult patients treated with fingolimod 0.5 mg experienced an asymptomatic elevation in serum levels of ALT of ≥3x ULN (upper limit of normal) and ≥5x ULN, respectively. Recurrence of liver transaminase elevations has occurred upon re- challenge in some patients, supporting a relationship to the medicinal product. In clinical studies, transaminase elevations occurred at any time during treatment although the majority occurred within the first 12 months. ALT levels returned to normal within approximately 2 months after discontinuation of treatment. In a small number of patients (N=10 on 1.25 mg, N=2 on 0.5 mg) who experienced ALT elevations ≥5x ULN and who continued on fingolimod therapy, the ALT levels returned to normal within approximately 5 months (see also section 4.4, Liver function).</w:t>
      </w:r>
    </w:p>
    <w:p w14:paraId="4C4E8320" w14:textId="77777777" w:rsidR="00862A88" w:rsidRPr="009907F8" w:rsidRDefault="00862A88" w:rsidP="006F268E">
      <w:pPr>
        <w:ind w:left="851"/>
        <w:rPr>
          <w:sz w:val="24"/>
          <w:szCs w:val="24"/>
          <w:lang w:val="en-GB" w:eastAsia="en-US"/>
        </w:rPr>
      </w:pPr>
      <w:r w:rsidRPr="009907F8">
        <w:rPr>
          <w:sz w:val="24"/>
          <w:szCs w:val="24"/>
          <w:lang w:val="en-GB" w:eastAsia="en-US"/>
        </w:rPr>
        <w:t xml:space="preserve"> </w:t>
      </w:r>
    </w:p>
    <w:p w14:paraId="7B093891" w14:textId="77777777" w:rsidR="00862A88" w:rsidRPr="009907F8" w:rsidRDefault="00862A88" w:rsidP="006F268E">
      <w:pPr>
        <w:ind w:left="851"/>
        <w:rPr>
          <w:i/>
          <w:sz w:val="24"/>
          <w:szCs w:val="24"/>
          <w:lang w:val="en-GB" w:eastAsia="en-US"/>
        </w:rPr>
      </w:pPr>
      <w:r w:rsidRPr="009907F8">
        <w:rPr>
          <w:i/>
          <w:sz w:val="24"/>
          <w:szCs w:val="24"/>
          <w:lang w:val="en-GB" w:eastAsia="en-US"/>
        </w:rPr>
        <w:t>Nervous system disorders</w:t>
      </w:r>
    </w:p>
    <w:p w14:paraId="2BCBF9A1" w14:textId="77777777" w:rsidR="00862A88" w:rsidRPr="009907F8" w:rsidRDefault="00862A88" w:rsidP="006F268E">
      <w:pPr>
        <w:ind w:left="851"/>
        <w:rPr>
          <w:sz w:val="24"/>
          <w:szCs w:val="24"/>
          <w:lang w:val="en-GB" w:eastAsia="en-US"/>
        </w:rPr>
      </w:pPr>
      <w:r w:rsidRPr="009907F8">
        <w:rPr>
          <w:sz w:val="24"/>
          <w:szCs w:val="24"/>
          <w:lang w:val="en-GB" w:eastAsia="en-US"/>
        </w:rPr>
        <w:t>In clinical studies, rare events involving the nervous system occurred in patients treated with fingolimod at higher doses (1.25 or 5.0 mg) including ischaemic and haemorrhagic strokes and neurological atypical disorders, such as acute disseminated encephalomyelitis (ADEM)-like events.</w:t>
      </w:r>
    </w:p>
    <w:p w14:paraId="4B345F24" w14:textId="77777777" w:rsidR="00862A88" w:rsidRPr="009907F8" w:rsidRDefault="00862A88" w:rsidP="006F268E">
      <w:pPr>
        <w:ind w:left="851"/>
        <w:rPr>
          <w:sz w:val="24"/>
          <w:szCs w:val="24"/>
          <w:lang w:val="en-GB" w:eastAsia="en-US"/>
        </w:rPr>
      </w:pPr>
    </w:p>
    <w:p w14:paraId="3332D71F" w14:textId="77777777" w:rsidR="00862A88" w:rsidRPr="009907F8" w:rsidRDefault="00862A88" w:rsidP="006F268E">
      <w:pPr>
        <w:ind w:left="851"/>
        <w:rPr>
          <w:sz w:val="24"/>
          <w:szCs w:val="24"/>
          <w:lang w:val="en-GB" w:eastAsia="en-US"/>
        </w:rPr>
      </w:pPr>
      <w:r w:rsidRPr="009907F8">
        <w:rPr>
          <w:sz w:val="24"/>
          <w:szCs w:val="24"/>
          <w:lang w:val="en-GB" w:eastAsia="en-US"/>
        </w:rPr>
        <w:t>Cases of seizures, including status epilepticus, have been reported with the use of fingolimod in clinical studies and in the post-marketing setting.</w:t>
      </w:r>
    </w:p>
    <w:p w14:paraId="4073A172" w14:textId="77777777" w:rsidR="00862A88" w:rsidRPr="009907F8" w:rsidRDefault="00862A88" w:rsidP="006F268E">
      <w:pPr>
        <w:ind w:left="851"/>
        <w:rPr>
          <w:sz w:val="24"/>
          <w:szCs w:val="24"/>
          <w:lang w:val="en-GB" w:eastAsia="en-US"/>
        </w:rPr>
      </w:pPr>
    </w:p>
    <w:p w14:paraId="2F055C72" w14:textId="77777777" w:rsidR="00862A88" w:rsidRPr="009907F8" w:rsidRDefault="00862A88" w:rsidP="006F268E">
      <w:pPr>
        <w:ind w:left="851"/>
        <w:rPr>
          <w:i/>
          <w:sz w:val="24"/>
          <w:szCs w:val="24"/>
          <w:lang w:val="en-GB" w:eastAsia="en-US"/>
        </w:rPr>
      </w:pPr>
      <w:r w:rsidRPr="009907F8">
        <w:rPr>
          <w:i/>
          <w:sz w:val="24"/>
          <w:szCs w:val="24"/>
          <w:lang w:val="en-GB" w:eastAsia="en-US"/>
        </w:rPr>
        <w:t>Vascular disorders</w:t>
      </w:r>
    </w:p>
    <w:p w14:paraId="7BB84692" w14:textId="77777777" w:rsidR="00862A88" w:rsidRPr="009907F8" w:rsidRDefault="00862A88" w:rsidP="006F268E">
      <w:pPr>
        <w:ind w:left="851"/>
        <w:rPr>
          <w:sz w:val="24"/>
          <w:szCs w:val="24"/>
          <w:lang w:val="en-GB" w:eastAsia="en-US"/>
        </w:rPr>
      </w:pPr>
      <w:r w:rsidRPr="009907F8">
        <w:rPr>
          <w:sz w:val="24"/>
          <w:szCs w:val="24"/>
          <w:lang w:val="en-GB" w:eastAsia="en-US"/>
        </w:rPr>
        <w:t>Rare cases of peripheral arterial occlusive disease occurred in patients treated with fingolimod at higher doses (1.25 mg).</w:t>
      </w:r>
    </w:p>
    <w:p w14:paraId="677841FA" w14:textId="77777777" w:rsidR="00862A88" w:rsidRPr="009907F8" w:rsidRDefault="00862A88" w:rsidP="006F268E">
      <w:pPr>
        <w:ind w:left="851"/>
        <w:rPr>
          <w:sz w:val="24"/>
          <w:szCs w:val="24"/>
          <w:lang w:val="en-GB" w:eastAsia="en-US"/>
        </w:rPr>
      </w:pPr>
    </w:p>
    <w:p w14:paraId="0B88063D" w14:textId="77777777" w:rsidR="00862A88" w:rsidRPr="009907F8" w:rsidRDefault="00862A88" w:rsidP="006F268E">
      <w:pPr>
        <w:ind w:left="851"/>
        <w:rPr>
          <w:i/>
          <w:sz w:val="24"/>
          <w:szCs w:val="24"/>
          <w:lang w:val="en-GB" w:eastAsia="en-US"/>
        </w:rPr>
      </w:pPr>
      <w:r w:rsidRPr="009907F8">
        <w:rPr>
          <w:i/>
          <w:sz w:val="24"/>
          <w:szCs w:val="24"/>
          <w:lang w:val="en-GB" w:eastAsia="en-US"/>
        </w:rPr>
        <w:t>Respiratory system</w:t>
      </w:r>
    </w:p>
    <w:p w14:paraId="7C6413A5" w14:textId="77777777" w:rsidR="00862A88" w:rsidRPr="009907F8" w:rsidRDefault="00862A88" w:rsidP="006F268E">
      <w:pPr>
        <w:ind w:left="851"/>
        <w:rPr>
          <w:sz w:val="24"/>
          <w:szCs w:val="24"/>
          <w:lang w:val="en-GB" w:eastAsia="en-US"/>
        </w:rPr>
      </w:pPr>
      <w:r w:rsidRPr="009907F8">
        <w:rPr>
          <w:sz w:val="24"/>
          <w:szCs w:val="24"/>
          <w:lang w:val="en-GB" w:eastAsia="en-US"/>
        </w:rPr>
        <w:t>Minor dose-dependent reductions in values for forced expiratory volume (FEV1) and diffusion capacity for carbon monoxide (DLCO) were observed with fingolimod treatment starting at month 1 and remaining stable thereafter. At month 24, the reduction from baseline values in percentage of predicted FEV1 was 2.7% for fingolimod 0.5 mg and 1.2% for placebo, a difference that resolved after treatment discontinuation. For DLCO the reductions at month 24 were 3.3% for fingolimod 0.5 mg and 2.7% for placebo (see also section 4.4, Respiratory effects).</w:t>
      </w:r>
    </w:p>
    <w:p w14:paraId="265297B4" w14:textId="77777777" w:rsidR="00862A88" w:rsidRPr="009907F8" w:rsidRDefault="00862A88" w:rsidP="006F268E">
      <w:pPr>
        <w:ind w:left="851"/>
        <w:rPr>
          <w:sz w:val="24"/>
          <w:szCs w:val="24"/>
          <w:lang w:val="en-GB" w:eastAsia="en-US"/>
        </w:rPr>
      </w:pPr>
    </w:p>
    <w:p w14:paraId="4992AA7C" w14:textId="77777777" w:rsidR="00862A88" w:rsidRPr="009907F8" w:rsidRDefault="00862A88" w:rsidP="006F268E">
      <w:pPr>
        <w:ind w:left="851"/>
        <w:rPr>
          <w:i/>
          <w:sz w:val="24"/>
          <w:szCs w:val="24"/>
          <w:lang w:val="en-GB" w:eastAsia="en-US"/>
        </w:rPr>
      </w:pPr>
      <w:r w:rsidRPr="009907F8">
        <w:rPr>
          <w:i/>
          <w:sz w:val="24"/>
          <w:szCs w:val="24"/>
          <w:lang w:val="en-GB" w:eastAsia="en-US"/>
        </w:rPr>
        <w:t>Lymphomas</w:t>
      </w:r>
    </w:p>
    <w:p w14:paraId="1AA32593" w14:textId="66A7CA71" w:rsidR="00862A88" w:rsidRPr="009907F8" w:rsidRDefault="00862A88" w:rsidP="006F268E">
      <w:pPr>
        <w:ind w:left="851"/>
        <w:rPr>
          <w:sz w:val="24"/>
          <w:szCs w:val="24"/>
          <w:lang w:val="en-GB" w:eastAsia="en-US"/>
        </w:rPr>
      </w:pPr>
      <w:r w:rsidRPr="009907F8">
        <w:rPr>
          <w:sz w:val="24"/>
          <w:szCs w:val="24"/>
          <w:lang w:val="en-GB" w:eastAsia="en-US"/>
        </w:rPr>
        <w:t>There have been cases of lymphoma of different varieties, in both clinical studies and the post-marketing setting, including a fatal case of Epstein-Barr virus (EBV) positive B-cell lymphoma. The incidence of non-Hodgkin’s lymphoma (B-cell and T-cell) cases was higher in clinical trials than expected in the general population. Some T-cell lymphoma cases were also reported in the post-marketing setting, including cases of cutaneous T-cell lymphoma (mycosis fungoides)</w:t>
      </w:r>
      <w:r w:rsidRPr="009907F8">
        <w:rPr>
          <w:sz w:val="24"/>
          <w:szCs w:val="24"/>
          <w:lang w:val="en-US" w:eastAsia="en-US" w:bidi="en-US"/>
        </w:rPr>
        <w:t xml:space="preserve"> </w:t>
      </w:r>
      <w:r w:rsidRPr="009907F8">
        <w:rPr>
          <w:sz w:val="24"/>
          <w:szCs w:val="24"/>
          <w:lang w:val="en-GB" w:eastAsia="en-US" w:bidi="en-US"/>
        </w:rPr>
        <w:t>(see also section 4.4, Malignancies)</w:t>
      </w:r>
      <w:r w:rsidRPr="009907F8">
        <w:rPr>
          <w:sz w:val="24"/>
          <w:szCs w:val="24"/>
          <w:lang w:val="en-GB" w:eastAsia="en-US"/>
        </w:rPr>
        <w:t>.</w:t>
      </w:r>
    </w:p>
    <w:p w14:paraId="7FE539A9" w14:textId="77777777" w:rsidR="00862A88" w:rsidRPr="009907F8" w:rsidRDefault="00862A88" w:rsidP="006F268E">
      <w:pPr>
        <w:ind w:left="851"/>
        <w:rPr>
          <w:sz w:val="24"/>
          <w:szCs w:val="24"/>
          <w:lang w:val="en-GB" w:eastAsia="en-US"/>
        </w:rPr>
      </w:pPr>
    </w:p>
    <w:p w14:paraId="17E2109E" w14:textId="77777777" w:rsidR="00862A88" w:rsidRPr="009907F8" w:rsidRDefault="00862A88" w:rsidP="006F268E">
      <w:pPr>
        <w:ind w:left="851"/>
        <w:rPr>
          <w:i/>
          <w:sz w:val="24"/>
          <w:szCs w:val="24"/>
          <w:lang w:val="en-GB" w:eastAsia="en-US"/>
        </w:rPr>
      </w:pPr>
      <w:proofErr w:type="spellStart"/>
      <w:r w:rsidRPr="009907F8">
        <w:rPr>
          <w:i/>
          <w:sz w:val="24"/>
          <w:szCs w:val="24"/>
          <w:lang w:val="en-GB" w:eastAsia="en-US"/>
        </w:rPr>
        <w:t>Haemophagocytic</w:t>
      </w:r>
      <w:proofErr w:type="spellEnd"/>
      <w:r w:rsidRPr="009907F8">
        <w:rPr>
          <w:i/>
          <w:sz w:val="24"/>
          <w:szCs w:val="24"/>
          <w:lang w:val="en-GB" w:eastAsia="en-US"/>
        </w:rPr>
        <w:t xml:space="preserve"> syndrome</w:t>
      </w:r>
    </w:p>
    <w:p w14:paraId="56A43991" w14:textId="77777777" w:rsidR="00862A88" w:rsidRPr="009907F8" w:rsidRDefault="00862A88" w:rsidP="006F268E">
      <w:pPr>
        <w:ind w:left="851"/>
        <w:rPr>
          <w:sz w:val="24"/>
          <w:szCs w:val="24"/>
          <w:lang w:val="en-GB" w:eastAsia="en-US"/>
        </w:rPr>
      </w:pPr>
      <w:r w:rsidRPr="009907F8">
        <w:rPr>
          <w:sz w:val="24"/>
          <w:szCs w:val="24"/>
          <w:lang w:val="en-GB" w:eastAsia="en-US"/>
        </w:rPr>
        <w:t xml:space="preserve">Very rare cases of </w:t>
      </w:r>
      <w:proofErr w:type="spellStart"/>
      <w:r w:rsidRPr="009907F8">
        <w:rPr>
          <w:sz w:val="24"/>
          <w:szCs w:val="24"/>
          <w:lang w:val="en-GB" w:eastAsia="en-US"/>
        </w:rPr>
        <w:t>haemophagocytic</w:t>
      </w:r>
      <w:proofErr w:type="spellEnd"/>
      <w:r w:rsidRPr="009907F8">
        <w:rPr>
          <w:sz w:val="24"/>
          <w:szCs w:val="24"/>
          <w:lang w:val="en-GB" w:eastAsia="en-US"/>
        </w:rPr>
        <w:t xml:space="preserve"> syndrome (HPS) with fatal outcome have been reported in patients treated with fingolimod in the context of an infection. HPS is a rare condition that has been described in association with infections, immunosuppression and a variety of autoimmune diseases.</w:t>
      </w:r>
    </w:p>
    <w:p w14:paraId="7541440B" w14:textId="77777777" w:rsidR="00862A88" w:rsidRPr="009907F8" w:rsidRDefault="00862A88" w:rsidP="006F268E">
      <w:pPr>
        <w:ind w:left="851"/>
        <w:rPr>
          <w:sz w:val="24"/>
          <w:szCs w:val="24"/>
          <w:lang w:val="en-GB" w:eastAsia="en-US"/>
        </w:rPr>
      </w:pPr>
    </w:p>
    <w:p w14:paraId="63DC4810" w14:textId="77777777" w:rsidR="00862A88" w:rsidRPr="00424879" w:rsidRDefault="00862A88" w:rsidP="006F268E">
      <w:pPr>
        <w:ind w:left="851"/>
        <w:rPr>
          <w:sz w:val="24"/>
          <w:szCs w:val="24"/>
          <w:u w:val="single"/>
          <w:lang w:val="en-GB" w:eastAsia="en-US"/>
        </w:rPr>
      </w:pPr>
      <w:r w:rsidRPr="00424879">
        <w:rPr>
          <w:sz w:val="24"/>
          <w:szCs w:val="24"/>
          <w:u w:val="single"/>
          <w:lang w:val="en-GB" w:eastAsia="en-US"/>
        </w:rPr>
        <w:lastRenderedPageBreak/>
        <w:t>Paediatric population</w:t>
      </w:r>
    </w:p>
    <w:p w14:paraId="14C58793" w14:textId="77777777" w:rsidR="00862A88" w:rsidRPr="009907F8" w:rsidRDefault="00862A88" w:rsidP="006F268E">
      <w:pPr>
        <w:ind w:left="851"/>
        <w:rPr>
          <w:sz w:val="24"/>
          <w:szCs w:val="24"/>
          <w:lang w:val="en-GB" w:eastAsia="en-US"/>
        </w:rPr>
      </w:pPr>
      <w:r w:rsidRPr="009907F8">
        <w:rPr>
          <w:sz w:val="24"/>
          <w:szCs w:val="24"/>
          <w:lang w:val="en-GB" w:eastAsia="en-US"/>
        </w:rPr>
        <w:t>In the controlled paediatric trial D2311 (see section 5.1), the safety profile in paediatric patients (10 to below 18 years of age) receiving fingolimod 0.25 mg or 0.5 mg daily was overall similar to that seen in adult patients. There were, nevertheless, more neurological and psychiatric disorders observed in the study. Caution is needed in this subgroup due to very limited knowledge available from the clinical study.</w:t>
      </w:r>
    </w:p>
    <w:p w14:paraId="78EECC3E" w14:textId="77777777" w:rsidR="00862A88" w:rsidRPr="009907F8" w:rsidRDefault="00862A88" w:rsidP="006F268E">
      <w:pPr>
        <w:ind w:left="851"/>
        <w:rPr>
          <w:sz w:val="24"/>
          <w:szCs w:val="24"/>
          <w:lang w:val="en-GB" w:eastAsia="en-US"/>
        </w:rPr>
      </w:pPr>
    </w:p>
    <w:p w14:paraId="7C1E6F6A" w14:textId="77777777" w:rsidR="00862A88" w:rsidRPr="009907F8" w:rsidRDefault="00862A88" w:rsidP="006F268E">
      <w:pPr>
        <w:ind w:left="851"/>
        <w:rPr>
          <w:sz w:val="24"/>
          <w:szCs w:val="24"/>
          <w:lang w:val="en-GB" w:eastAsia="en-US"/>
        </w:rPr>
      </w:pPr>
      <w:r w:rsidRPr="009907F8">
        <w:rPr>
          <w:sz w:val="24"/>
          <w:szCs w:val="24"/>
          <w:lang w:val="en-GB" w:eastAsia="en-US"/>
        </w:rPr>
        <w:t>In the paediatric study, cases of seizures were reported in 5.6% of fingolimod-treated patients and 0.9% of interferon beta-1a-treated patients.</w:t>
      </w:r>
    </w:p>
    <w:p w14:paraId="36A53051" w14:textId="77777777" w:rsidR="00862A88" w:rsidRPr="009907F8" w:rsidRDefault="00862A88" w:rsidP="006F268E">
      <w:pPr>
        <w:ind w:left="851"/>
        <w:rPr>
          <w:sz w:val="24"/>
          <w:szCs w:val="24"/>
          <w:lang w:val="en-GB" w:eastAsia="en-US"/>
        </w:rPr>
      </w:pPr>
    </w:p>
    <w:p w14:paraId="7A3B622C" w14:textId="77777777" w:rsidR="00862A88" w:rsidRPr="009907F8" w:rsidRDefault="00862A88" w:rsidP="006F268E">
      <w:pPr>
        <w:ind w:left="851"/>
        <w:rPr>
          <w:sz w:val="24"/>
          <w:szCs w:val="24"/>
          <w:lang w:val="en-GB" w:eastAsia="en-US"/>
        </w:rPr>
      </w:pPr>
      <w:r w:rsidRPr="009907F8">
        <w:rPr>
          <w:sz w:val="24"/>
          <w:szCs w:val="24"/>
          <w:lang w:val="en-GB" w:eastAsia="en-US"/>
        </w:rPr>
        <w:t>Depression and anxiety are known to occur with increased frequency in the multiple sclerosis population. Depression and anxiety have also been reported in paediatric patients treated with fingolimod.</w:t>
      </w:r>
    </w:p>
    <w:p w14:paraId="53322E84" w14:textId="77777777" w:rsidR="00862A88" w:rsidRPr="009907F8" w:rsidRDefault="00862A88" w:rsidP="006F268E">
      <w:pPr>
        <w:ind w:left="851"/>
        <w:rPr>
          <w:sz w:val="24"/>
          <w:szCs w:val="24"/>
          <w:lang w:val="en-GB" w:eastAsia="en-US"/>
        </w:rPr>
      </w:pPr>
    </w:p>
    <w:p w14:paraId="472F5399" w14:textId="77777777" w:rsidR="00862A88" w:rsidRPr="009907F8" w:rsidRDefault="00862A88" w:rsidP="006F268E">
      <w:pPr>
        <w:ind w:left="851"/>
        <w:rPr>
          <w:sz w:val="24"/>
          <w:szCs w:val="24"/>
          <w:lang w:val="en-GB" w:eastAsia="en-US"/>
        </w:rPr>
      </w:pPr>
      <w:r w:rsidRPr="009907F8">
        <w:rPr>
          <w:sz w:val="24"/>
          <w:szCs w:val="24"/>
          <w:lang w:val="en-GB" w:eastAsia="en-US"/>
        </w:rPr>
        <w:t>Mild isolated bilirubin increases have been noted in paediatric patients on fingolimod.</w:t>
      </w:r>
    </w:p>
    <w:p w14:paraId="7DA6DFA8" w14:textId="77777777" w:rsidR="00862A88" w:rsidRPr="009907F8" w:rsidRDefault="00862A88" w:rsidP="006F268E">
      <w:pPr>
        <w:ind w:left="851"/>
        <w:rPr>
          <w:sz w:val="24"/>
          <w:szCs w:val="24"/>
          <w:lang w:val="en-GB" w:eastAsia="en-US"/>
        </w:rPr>
      </w:pPr>
    </w:p>
    <w:p w14:paraId="01C4BB65" w14:textId="77777777" w:rsidR="006F268E" w:rsidRPr="009907F8" w:rsidRDefault="006F268E" w:rsidP="006F268E">
      <w:pPr>
        <w:ind w:left="851"/>
        <w:rPr>
          <w:sz w:val="24"/>
          <w:szCs w:val="24"/>
          <w:u w:val="single"/>
          <w:lang w:val="en-GB"/>
        </w:rPr>
      </w:pPr>
      <w:r w:rsidRPr="009907F8">
        <w:rPr>
          <w:sz w:val="24"/>
          <w:szCs w:val="24"/>
          <w:u w:val="single"/>
          <w:lang w:val="en-GB"/>
        </w:rPr>
        <w:t>Reporting of suspected adverse reactions</w:t>
      </w:r>
    </w:p>
    <w:p w14:paraId="7355B7FA" w14:textId="77777777" w:rsidR="006F268E" w:rsidRPr="009907F8" w:rsidRDefault="006F268E" w:rsidP="006F268E">
      <w:pPr>
        <w:ind w:left="851"/>
        <w:rPr>
          <w:sz w:val="24"/>
          <w:szCs w:val="24"/>
          <w:lang w:val="en-GB"/>
        </w:rPr>
      </w:pPr>
      <w:r w:rsidRPr="009907F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A7FEB0F" w14:textId="77777777" w:rsidR="006F268E" w:rsidRPr="009907F8" w:rsidRDefault="006F268E" w:rsidP="006F268E">
      <w:pPr>
        <w:ind w:left="851"/>
        <w:rPr>
          <w:sz w:val="24"/>
          <w:szCs w:val="24"/>
          <w:lang w:val="en-GB"/>
        </w:rPr>
      </w:pPr>
    </w:p>
    <w:p w14:paraId="586964F5" w14:textId="77777777" w:rsidR="006F268E" w:rsidRPr="009907F8" w:rsidRDefault="006F268E" w:rsidP="006F268E">
      <w:pPr>
        <w:ind w:left="851"/>
        <w:rPr>
          <w:sz w:val="24"/>
          <w:szCs w:val="24"/>
        </w:rPr>
      </w:pPr>
      <w:r w:rsidRPr="009907F8">
        <w:rPr>
          <w:sz w:val="24"/>
          <w:szCs w:val="24"/>
        </w:rPr>
        <w:t>Lægemiddelstyrelsen</w:t>
      </w:r>
    </w:p>
    <w:p w14:paraId="5E52E1EB" w14:textId="77777777" w:rsidR="006F268E" w:rsidRPr="009907F8" w:rsidRDefault="006F268E" w:rsidP="006F268E">
      <w:pPr>
        <w:ind w:left="851"/>
        <w:rPr>
          <w:sz w:val="24"/>
          <w:szCs w:val="24"/>
        </w:rPr>
      </w:pPr>
      <w:r w:rsidRPr="009907F8">
        <w:rPr>
          <w:sz w:val="24"/>
          <w:szCs w:val="24"/>
        </w:rPr>
        <w:t>Axel Heides Gade 1</w:t>
      </w:r>
    </w:p>
    <w:p w14:paraId="2CB1E930" w14:textId="77777777" w:rsidR="006F268E" w:rsidRPr="009907F8" w:rsidRDefault="006F268E" w:rsidP="006F268E">
      <w:pPr>
        <w:ind w:left="851"/>
        <w:rPr>
          <w:sz w:val="24"/>
          <w:szCs w:val="24"/>
        </w:rPr>
      </w:pPr>
      <w:r w:rsidRPr="009907F8">
        <w:rPr>
          <w:sz w:val="24"/>
          <w:szCs w:val="24"/>
        </w:rPr>
        <w:t>DK-2300 København S</w:t>
      </w:r>
    </w:p>
    <w:p w14:paraId="404B90BB" w14:textId="77777777" w:rsidR="006F268E" w:rsidRPr="00A74CF9" w:rsidRDefault="006F268E" w:rsidP="006F268E">
      <w:pPr>
        <w:ind w:left="851"/>
        <w:rPr>
          <w:sz w:val="24"/>
          <w:szCs w:val="24"/>
          <w:lang w:val="en-US"/>
        </w:rPr>
      </w:pPr>
      <w:r w:rsidRPr="00A74CF9">
        <w:rPr>
          <w:sz w:val="24"/>
          <w:szCs w:val="24"/>
          <w:lang w:val="en-US"/>
        </w:rPr>
        <w:t>Website: www.meldenbivirkning.dk</w:t>
      </w:r>
    </w:p>
    <w:p w14:paraId="42F7FCA7" w14:textId="77777777" w:rsidR="007C5D2A" w:rsidRPr="009907F8" w:rsidRDefault="007C5D2A" w:rsidP="007A4CC6">
      <w:pPr>
        <w:tabs>
          <w:tab w:val="left" w:pos="851"/>
        </w:tabs>
        <w:ind w:left="851"/>
        <w:rPr>
          <w:sz w:val="24"/>
          <w:szCs w:val="24"/>
          <w:lang w:val="en-GB"/>
        </w:rPr>
      </w:pPr>
    </w:p>
    <w:p w14:paraId="3EA45C3F" w14:textId="77777777" w:rsidR="007C5D2A" w:rsidRPr="009907F8" w:rsidRDefault="007C5D2A" w:rsidP="007C5D2A">
      <w:pPr>
        <w:tabs>
          <w:tab w:val="left" w:pos="851"/>
        </w:tabs>
        <w:ind w:left="851" w:hanging="851"/>
        <w:rPr>
          <w:b/>
          <w:sz w:val="24"/>
          <w:szCs w:val="24"/>
          <w:lang w:val="en-GB"/>
        </w:rPr>
      </w:pPr>
      <w:r w:rsidRPr="009907F8">
        <w:rPr>
          <w:b/>
          <w:sz w:val="24"/>
          <w:szCs w:val="24"/>
          <w:lang w:val="en-GB"/>
        </w:rPr>
        <w:t>4.9</w:t>
      </w:r>
      <w:r w:rsidRPr="009907F8">
        <w:rPr>
          <w:b/>
          <w:sz w:val="24"/>
          <w:szCs w:val="24"/>
          <w:lang w:val="en-GB"/>
        </w:rPr>
        <w:tab/>
        <w:t>Overdose</w:t>
      </w:r>
    </w:p>
    <w:p w14:paraId="1AE83613" w14:textId="77777777" w:rsidR="00862A88" w:rsidRPr="009907F8" w:rsidRDefault="00862A88" w:rsidP="006F268E">
      <w:pPr>
        <w:ind w:left="851"/>
        <w:rPr>
          <w:sz w:val="24"/>
          <w:szCs w:val="24"/>
          <w:lang w:val="en-GB" w:eastAsia="en-US"/>
        </w:rPr>
      </w:pPr>
      <w:r w:rsidRPr="009907F8">
        <w:rPr>
          <w:sz w:val="24"/>
          <w:szCs w:val="24"/>
          <w:lang w:val="en-GB" w:eastAsia="en-US"/>
        </w:rPr>
        <w:t>Single doses up to 80 times the recommended dose (0.5 mg) were well tolerated in healthy adult volunteers. At 40 mg, 5 of 6 subjects reported mild chest tightness or discomfort which was clinically consistent with small airway reactivity.</w:t>
      </w:r>
    </w:p>
    <w:p w14:paraId="596F27E7" w14:textId="77777777" w:rsidR="00862A88" w:rsidRPr="009907F8" w:rsidRDefault="00862A88" w:rsidP="006F268E">
      <w:pPr>
        <w:ind w:left="851"/>
        <w:rPr>
          <w:sz w:val="24"/>
          <w:szCs w:val="24"/>
          <w:lang w:val="en-GB" w:eastAsia="en-US"/>
        </w:rPr>
      </w:pPr>
    </w:p>
    <w:p w14:paraId="185AC12E" w14:textId="77777777" w:rsidR="00862A88" w:rsidRPr="009907F8" w:rsidRDefault="00862A88" w:rsidP="006F268E">
      <w:pPr>
        <w:ind w:left="851"/>
        <w:rPr>
          <w:sz w:val="24"/>
          <w:szCs w:val="24"/>
          <w:lang w:val="en-GB" w:eastAsia="en-US"/>
        </w:rPr>
      </w:pPr>
      <w:r w:rsidRPr="009907F8">
        <w:rPr>
          <w:sz w:val="24"/>
          <w:szCs w:val="24"/>
          <w:lang w:val="en-GB" w:eastAsia="en-US"/>
        </w:rPr>
        <w:t>Fingolimod can induce bradycardia upon treatment initiation. The decline in heart rate usually starts within one hour of the first dose, and is steepest within 6 hours. The negative chronotropic effect of fingolimod persists beyond 6 hours and progressively attenuates over subsequent days of treatment (see section 4.4 for details). There have been reports of slow atrioventricular conduction, with isolated reports of transient, spontaneously resolving complete AV block (see sections 4.4 and 4.8).</w:t>
      </w:r>
    </w:p>
    <w:p w14:paraId="6CB1C9A4" w14:textId="77777777" w:rsidR="00862A88" w:rsidRPr="009907F8" w:rsidRDefault="00862A88" w:rsidP="006F268E">
      <w:pPr>
        <w:ind w:left="851"/>
        <w:rPr>
          <w:sz w:val="24"/>
          <w:szCs w:val="24"/>
          <w:lang w:val="en-GB" w:eastAsia="en-US"/>
        </w:rPr>
      </w:pPr>
    </w:p>
    <w:p w14:paraId="7B9180CD" w14:textId="77777777" w:rsidR="00862A88" w:rsidRPr="009907F8" w:rsidRDefault="00862A88" w:rsidP="006F268E">
      <w:pPr>
        <w:ind w:left="851"/>
        <w:rPr>
          <w:sz w:val="24"/>
          <w:szCs w:val="24"/>
          <w:lang w:val="en-GB" w:eastAsia="en-US"/>
        </w:rPr>
      </w:pPr>
      <w:r w:rsidRPr="009907F8">
        <w:rPr>
          <w:sz w:val="24"/>
          <w:szCs w:val="24"/>
          <w:lang w:val="en-GB" w:eastAsia="en-US"/>
        </w:rPr>
        <w:t>If the overdose constitutes first exposure to fingolimod, it is important to monitor patients with a continuous (real time) ECG and hourly measurement of heart rate and blood pressure, at least during the first 6 hours (see section 4.4).</w:t>
      </w:r>
    </w:p>
    <w:p w14:paraId="18072BCA" w14:textId="77777777" w:rsidR="00862A88" w:rsidRPr="009907F8" w:rsidRDefault="00862A88" w:rsidP="006F268E">
      <w:pPr>
        <w:ind w:left="851"/>
        <w:rPr>
          <w:sz w:val="24"/>
          <w:szCs w:val="24"/>
          <w:lang w:val="en-GB" w:eastAsia="en-US"/>
        </w:rPr>
      </w:pPr>
    </w:p>
    <w:p w14:paraId="1B1E8063" w14:textId="132B2080" w:rsidR="00862A88" w:rsidRPr="009907F8" w:rsidRDefault="00862A88" w:rsidP="006F268E">
      <w:pPr>
        <w:ind w:left="851"/>
        <w:rPr>
          <w:sz w:val="24"/>
          <w:szCs w:val="24"/>
          <w:lang w:val="en-GB" w:eastAsia="en-US"/>
        </w:rPr>
      </w:pPr>
      <w:r w:rsidRPr="009907F8">
        <w:rPr>
          <w:sz w:val="24"/>
          <w:szCs w:val="24"/>
          <w:lang w:val="en-GB" w:eastAsia="en-US"/>
        </w:rPr>
        <w:t>Additionally, if after 6 hours the heart rate is &lt;45 bpm in adults, &lt;55 bpm in paediatric patients aged 12 years and above, or &lt;60 bpm in paediatric patients aged 10 years to below 12 years, or if the ECG at 6 hours after the first dose shows second degree or higher AV block, or if it shows a QTc interval</w:t>
      </w:r>
      <w:r w:rsidR="00812980">
        <w:rPr>
          <w:sz w:val="24"/>
          <w:szCs w:val="24"/>
          <w:lang w:val="en-GB" w:eastAsia="en-US"/>
        </w:rPr>
        <w:t xml:space="preserve"> </w:t>
      </w:r>
      <w:r w:rsidRPr="009907F8">
        <w:rPr>
          <w:sz w:val="24"/>
          <w:szCs w:val="24"/>
          <w:lang w:val="en-GB" w:eastAsia="en-US"/>
        </w:rPr>
        <w:t>≥500 </w:t>
      </w:r>
      <w:proofErr w:type="spellStart"/>
      <w:r w:rsidRPr="009907F8">
        <w:rPr>
          <w:sz w:val="24"/>
          <w:szCs w:val="24"/>
          <w:lang w:val="en-GB" w:eastAsia="en-US"/>
        </w:rPr>
        <w:t>msec</w:t>
      </w:r>
      <w:proofErr w:type="spellEnd"/>
      <w:r w:rsidRPr="009907F8">
        <w:rPr>
          <w:sz w:val="24"/>
          <w:szCs w:val="24"/>
          <w:lang w:val="en-GB" w:eastAsia="en-US"/>
        </w:rPr>
        <w:t xml:space="preserve">, monitoring should be extended at least for overnight and until the findings have resolved. The occurrence at any time of </w:t>
      </w:r>
      <w:proofErr w:type="gramStart"/>
      <w:r w:rsidRPr="009907F8">
        <w:rPr>
          <w:sz w:val="24"/>
          <w:szCs w:val="24"/>
          <w:lang w:val="en-GB" w:eastAsia="en-US"/>
        </w:rPr>
        <w:t>third degree</w:t>
      </w:r>
      <w:proofErr w:type="gramEnd"/>
      <w:r w:rsidRPr="009907F8">
        <w:rPr>
          <w:sz w:val="24"/>
          <w:szCs w:val="24"/>
          <w:lang w:val="en-GB" w:eastAsia="en-US"/>
        </w:rPr>
        <w:t xml:space="preserve"> AV block should also lead to extended monitoring including overnight monitoring.</w:t>
      </w:r>
    </w:p>
    <w:p w14:paraId="7C3005FE" w14:textId="77777777" w:rsidR="00862A88" w:rsidRPr="009907F8" w:rsidRDefault="00862A88" w:rsidP="006F268E">
      <w:pPr>
        <w:ind w:left="851"/>
        <w:rPr>
          <w:sz w:val="24"/>
          <w:szCs w:val="24"/>
          <w:lang w:val="en-GB" w:eastAsia="en-US"/>
        </w:rPr>
      </w:pPr>
    </w:p>
    <w:p w14:paraId="5962CBAC" w14:textId="77777777" w:rsidR="00862A88" w:rsidRPr="009907F8" w:rsidRDefault="00862A88" w:rsidP="006F268E">
      <w:pPr>
        <w:ind w:left="851"/>
        <w:rPr>
          <w:sz w:val="24"/>
          <w:szCs w:val="24"/>
          <w:lang w:val="en-GB" w:eastAsia="en-US"/>
        </w:rPr>
      </w:pPr>
      <w:r w:rsidRPr="009907F8">
        <w:rPr>
          <w:sz w:val="24"/>
          <w:szCs w:val="24"/>
          <w:lang w:val="en-GB" w:eastAsia="en-US"/>
        </w:rPr>
        <w:t>Neither dialysis nor plasma exchange results in removal of fingolimod from the body.</w:t>
      </w:r>
    </w:p>
    <w:p w14:paraId="6E57F6AB" w14:textId="77777777" w:rsidR="007C5D2A" w:rsidRPr="009907F8" w:rsidRDefault="007C5D2A" w:rsidP="003E0341">
      <w:pPr>
        <w:tabs>
          <w:tab w:val="left" w:pos="851"/>
        </w:tabs>
        <w:ind w:left="851"/>
        <w:rPr>
          <w:sz w:val="24"/>
          <w:szCs w:val="24"/>
          <w:lang w:val="en-GB"/>
        </w:rPr>
      </w:pPr>
    </w:p>
    <w:p w14:paraId="3F9EEE24" w14:textId="77777777" w:rsidR="008F2F8C" w:rsidRPr="00A74CF9" w:rsidRDefault="0042292D" w:rsidP="0042292D">
      <w:pPr>
        <w:tabs>
          <w:tab w:val="left" w:pos="851"/>
        </w:tabs>
        <w:rPr>
          <w:b/>
          <w:sz w:val="24"/>
          <w:szCs w:val="24"/>
          <w:lang w:val="en-US"/>
        </w:rPr>
      </w:pPr>
      <w:r w:rsidRPr="00A74CF9">
        <w:rPr>
          <w:b/>
          <w:sz w:val="24"/>
          <w:szCs w:val="24"/>
          <w:lang w:val="en-US"/>
        </w:rPr>
        <w:lastRenderedPageBreak/>
        <w:t>4.10</w:t>
      </w:r>
      <w:r w:rsidRPr="00A74CF9">
        <w:rPr>
          <w:b/>
          <w:sz w:val="24"/>
          <w:szCs w:val="24"/>
          <w:lang w:val="en-US"/>
        </w:rPr>
        <w:tab/>
        <w:t>Legal status</w:t>
      </w:r>
    </w:p>
    <w:p w14:paraId="4F22A3D5" w14:textId="1FBA9346" w:rsidR="00AD2E36" w:rsidRPr="00A74CF9" w:rsidRDefault="00862A88" w:rsidP="006F268E">
      <w:pPr>
        <w:ind w:left="851"/>
        <w:rPr>
          <w:sz w:val="24"/>
          <w:szCs w:val="24"/>
          <w:lang w:val="en-US"/>
        </w:rPr>
      </w:pPr>
      <w:r w:rsidRPr="00A74CF9">
        <w:rPr>
          <w:sz w:val="24"/>
          <w:szCs w:val="24"/>
          <w:lang w:val="en-US" w:eastAsia="en-US"/>
        </w:rPr>
        <w:t xml:space="preserve">BEGR </w:t>
      </w:r>
      <w:r w:rsidR="006F268E" w:rsidRPr="00A74CF9">
        <w:rPr>
          <w:sz w:val="24"/>
          <w:szCs w:val="24"/>
          <w:lang w:val="en-US" w:eastAsia="en-US"/>
        </w:rPr>
        <w:t>(only for hospitals)</w:t>
      </w:r>
    </w:p>
    <w:p w14:paraId="7EF40A87" w14:textId="77777777" w:rsidR="007C5D2A" w:rsidRPr="00A74CF9" w:rsidRDefault="007C5D2A" w:rsidP="003E0341">
      <w:pPr>
        <w:tabs>
          <w:tab w:val="left" w:pos="851"/>
        </w:tabs>
        <w:ind w:left="851"/>
        <w:rPr>
          <w:sz w:val="24"/>
          <w:szCs w:val="24"/>
          <w:lang w:val="en-US"/>
        </w:rPr>
      </w:pPr>
    </w:p>
    <w:p w14:paraId="7344C950" w14:textId="77777777" w:rsidR="00AD2E36" w:rsidRPr="00A74CF9" w:rsidRDefault="00AD2E36" w:rsidP="003E0341">
      <w:pPr>
        <w:tabs>
          <w:tab w:val="left" w:pos="851"/>
        </w:tabs>
        <w:ind w:left="851"/>
        <w:rPr>
          <w:sz w:val="24"/>
          <w:szCs w:val="24"/>
          <w:lang w:val="en-US"/>
        </w:rPr>
      </w:pPr>
    </w:p>
    <w:p w14:paraId="30EBEE09" w14:textId="77777777" w:rsidR="007C5D2A" w:rsidRPr="009907F8" w:rsidRDefault="007C5D2A" w:rsidP="007C5D2A">
      <w:pPr>
        <w:tabs>
          <w:tab w:val="left" w:pos="851"/>
        </w:tabs>
        <w:rPr>
          <w:b/>
          <w:sz w:val="24"/>
          <w:szCs w:val="24"/>
          <w:lang w:val="en-GB"/>
        </w:rPr>
      </w:pPr>
      <w:r w:rsidRPr="009907F8">
        <w:rPr>
          <w:b/>
          <w:sz w:val="24"/>
          <w:szCs w:val="24"/>
          <w:lang w:val="en-GB"/>
        </w:rPr>
        <w:t>5.</w:t>
      </w:r>
      <w:r w:rsidRPr="009907F8">
        <w:rPr>
          <w:b/>
          <w:sz w:val="24"/>
          <w:szCs w:val="24"/>
          <w:lang w:val="en-GB"/>
        </w:rPr>
        <w:tab/>
        <w:t>PHARMACOLOGICAL PROPERTIES</w:t>
      </w:r>
    </w:p>
    <w:p w14:paraId="66179F5E" w14:textId="77777777" w:rsidR="007C5D2A" w:rsidRPr="009907F8" w:rsidRDefault="007C5D2A" w:rsidP="003E0341">
      <w:pPr>
        <w:tabs>
          <w:tab w:val="left" w:pos="851"/>
        </w:tabs>
        <w:ind w:left="851"/>
        <w:rPr>
          <w:sz w:val="24"/>
          <w:szCs w:val="24"/>
          <w:lang w:val="en-GB"/>
        </w:rPr>
      </w:pPr>
    </w:p>
    <w:p w14:paraId="3349B9A8" w14:textId="77777777" w:rsidR="007C5D2A" w:rsidRPr="009907F8" w:rsidRDefault="007C5D2A" w:rsidP="007C5D2A">
      <w:pPr>
        <w:tabs>
          <w:tab w:val="left" w:pos="851"/>
        </w:tabs>
        <w:ind w:left="851" w:hanging="851"/>
        <w:rPr>
          <w:b/>
          <w:sz w:val="24"/>
          <w:szCs w:val="24"/>
          <w:lang w:val="en-GB"/>
        </w:rPr>
      </w:pPr>
      <w:r w:rsidRPr="009907F8">
        <w:rPr>
          <w:b/>
          <w:sz w:val="24"/>
          <w:szCs w:val="24"/>
          <w:lang w:val="en-GB"/>
        </w:rPr>
        <w:t>5.1</w:t>
      </w:r>
      <w:r w:rsidRPr="009907F8">
        <w:rPr>
          <w:b/>
          <w:sz w:val="24"/>
          <w:szCs w:val="24"/>
          <w:lang w:val="en-GB"/>
        </w:rPr>
        <w:tab/>
        <w:t>Pharmacodynamic properties</w:t>
      </w:r>
      <w:r w:rsidRPr="009907F8">
        <w:rPr>
          <w:b/>
          <w:sz w:val="24"/>
          <w:szCs w:val="24"/>
          <w:lang w:val="en-GB"/>
        </w:rPr>
        <w:tab/>
      </w:r>
    </w:p>
    <w:p w14:paraId="15C81A83" w14:textId="2BD8073D" w:rsidR="00862A88" w:rsidRPr="00424879" w:rsidRDefault="00862A88" w:rsidP="00424879">
      <w:pPr>
        <w:ind w:left="851"/>
        <w:rPr>
          <w:sz w:val="24"/>
          <w:szCs w:val="24"/>
          <w:lang w:val="en-US"/>
        </w:rPr>
      </w:pPr>
      <w:r w:rsidRPr="00424879">
        <w:rPr>
          <w:sz w:val="24"/>
          <w:szCs w:val="24"/>
          <w:lang w:val="en-US"/>
        </w:rPr>
        <w:t>Pharmacotherapeutic group: Immunosuppressants, Sphingosine-1-phosphate (S1P) receptor modulators, ATC code: L04AE01</w:t>
      </w:r>
    </w:p>
    <w:p w14:paraId="38ADCA10" w14:textId="77777777" w:rsidR="00862A88" w:rsidRPr="009907F8" w:rsidRDefault="00862A88" w:rsidP="006F268E">
      <w:pPr>
        <w:ind w:left="851"/>
        <w:rPr>
          <w:noProof/>
          <w:sz w:val="24"/>
          <w:szCs w:val="24"/>
          <w:lang w:val="en-GB" w:eastAsia="en-US"/>
        </w:rPr>
      </w:pPr>
    </w:p>
    <w:p w14:paraId="7E2DA3AC" w14:textId="77777777" w:rsidR="00862A88" w:rsidRPr="009907F8" w:rsidRDefault="00862A88" w:rsidP="006F268E">
      <w:pPr>
        <w:ind w:left="851"/>
        <w:rPr>
          <w:color w:val="000000"/>
          <w:sz w:val="24"/>
          <w:szCs w:val="24"/>
          <w:u w:val="single"/>
          <w:lang w:val="en-GB" w:eastAsia="sl-SI"/>
        </w:rPr>
      </w:pPr>
      <w:r w:rsidRPr="009907F8">
        <w:rPr>
          <w:color w:val="000000"/>
          <w:sz w:val="24"/>
          <w:szCs w:val="24"/>
          <w:u w:val="single"/>
          <w:lang w:val="en-GB"/>
        </w:rPr>
        <w:t>Mechanism of action</w:t>
      </w:r>
    </w:p>
    <w:p w14:paraId="37ECF1D9" w14:textId="77777777" w:rsidR="00862A88" w:rsidRPr="009907F8" w:rsidRDefault="00862A88" w:rsidP="006F268E">
      <w:pPr>
        <w:ind w:left="851"/>
        <w:rPr>
          <w:color w:val="000000"/>
          <w:sz w:val="24"/>
          <w:szCs w:val="24"/>
          <w:lang w:val="en-GB"/>
        </w:rPr>
      </w:pPr>
      <w:r w:rsidRPr="009907F8">
        <w:rPr>
          <w:color w:val="000000"/>
          <w:sz w:val="24"/>
          <w:szCs w:val="24"/>
          <w:lang w:val="en-GB"/>
        </w:rPr>
        <w:t>Fingolimod is a sphingosine 1-phosphate receptor modulator. Fingolimod is metabolised by sphingosine kinase to the active metabolite fingolimod phosphate. Fingolimod phosphate binds at low nanomolar concentrations to sphingosine 1-phosphate (S1P) receptor 1 located on lymphocytes, and readily crosses the blood-brain barrier to bind to S1P receptor 1 located on neural cells in the central nervous system (CNS). By acting as a functional antagonist of S1P receptors on lymphocytes, fingolimod phosphate blocks the capacity of lymphocytes to egress from lymph nodes, causing a redistribution, rather than depletion, of lymphocytes. Animal studies have shown that this redistribution reduces the infiltration of pathogenic lymphocytes, including pro-inflammatory Th17 cells, into the CNS, where they would be involved in nerve inflammation and nervous tissue damage. Animal studies and in vitro experiments indicate that fingolimod may also act via interaction with S1P receptors on neural cells.</w:t>
      </w:r>
    </w:p>
    <w:p w14:paraId="1806EF1F" w14:textId="77777777" w:rsidR="00862A88" w:rsidRPr="009907F8" w:rsidRDefault="00862A88" w:rsidP="006F268E">
      <w:pPr>
        <w:ind w:left="851"/>
        <w:rPr>
          <w:color w:val="000000"/>
          <w:sz w:val="24"/>
          <w:szCs w:val="24"/>
          <w:highlight w:val="yellow"/>
          <w:lang w:val="en-GB"/>
        </w:rPr>
      </w:pPr>
    </w:p>
    <w:p w14:paraId="5D103135" w14:textId="77777777" w:rsidR="00862A88" w:rsidRPr="009907F8" w:rsidRDefault="00862A88" w:rsidP="006F268E">
      <w:pPr>
        <w:ind w:left="851"/>
        <w:rPr>
          <w:color w:val="000000"/>
          <w:sz w:val="24"/>
          <w:szCs w:val="24"/>
          <w:u w:val="single"/>
          <w:lang w:val="en-GB"/>
        </w:rPr>
      </w:pPr>
      <w:r w:rsidRPr="009907F8">
        <w:rPr>
          <w:color w:val="000000"/>
          <w:sz w:val="24"/>
          <w:szCs w:val="24"/>
          <w:u w:val="single"/>
          <w:lang w:val="en-GB"/>
        </w:rPr>
        <w:t>Pharmacodynamic effects</w:t>
      </w:r>
    </w:p>
    <w:p w14:paraId="1CE89F4A" w14:textId="57E59DEA" w:rsidR="00862A88" w:rsidRPr="009907F8" w:rsidRDefault="00862A88" w:rsidP="006F268E">
      <w:pPr>
        <w:ind w:left="851"/>
        <w:rPr>
          <w:color w:val="000000"/>
          <w:sz w:val="24"/>
          <w:szCs w:val="24"/>
          <w:lang w:val="en-GB"/>
        </w:rPr>
      </w:pPr>
      <w:r w:rsidRPr="009907F8">
        <w:rPr>
          <w:color w:val="000000"/>
          <w:sz w:val="24"/>
          <w:szCs w:val="24"/>
          <w:lang w:val="en-GB"/>
        </w:rPr>
        <w:t>Within 4-6 hours after the first dose of fingolimod 0.5 mg, the lymphocyte count decreases to approximately 75% of baseline in peripheral blood. With continued daily dosing, the lymphocyte count continues to decrease over a two-week period, reaching a minimal count of approximately</w:t>
      </w:r>
      <w:r w:rsidR="00424879">
        <w:rPr>
          <w:color w:val="000000"/>
          <w:sz w:val="24"/>
          <w:szCs w:val="24"/>
          <w:lang w:val="en-GB"/>
        </w:rPr>
        <w:t xml:space="preserve"> </w:t>
      </w:r>
      <w:r w:rsidRPr="009907F8">
        <w:rPr>
          <w:color w:val="000000"/>
          <w:sz w:val="24"/>
          <w:szCs w:val="24"/>
          <w:lang w:val="en-GB"/>
        </w:rPr>
        <w:t xml:space="preserve">500 cells/microlitre or approximately 30% of baseline. Eighteen percent of patients reached a minimal count below 200 cells/microlitre on at least one occasion. Low lymphocyte counts are maintained with chronic daily dosing. The majority of T and B lymphocytes regularly traffic through lymphoid organs and these are the cells mainly affected by fingolimod. Approximately 15-20% of T lymphocytes have an </w:t>
      </w:r>
      <w:proofErr w:type="spellStart"/>
      <w:r w:rsidRPr="009907F8">
        <w:rPr>
          <w:color w:val="000000"/>
          <w:sz w:val="24"/>
          <w:szCs w:val="24"/>
          <w:lang w:val="en-GB"/>
        </w:rPr>
        <w:t>effector</w:t>
      </w:r>
      <w:proofErr w:type="spellEnd"/>
      <w:r w:rsidRPr="009907F8">
        <w:rPr>
          <w:color w:val="000000"/>
          <w:sz w:val="24"/>
          <w:szCs w:val="24"/>
          <w:lang w:val="en-GB"/>
        </w:rPr>
        <w:t xml:space="preserve"> memory phenotype, cells that are important for peripheral immune surveillance. Since this lymphocyte subset typically does not traffic to lymphoid organs it is not affected by fingolimod.</w:t>
      </w:r>
    </w:p>
    <w:p w14:paraId="23339D18" w14:textId="77777777" w:rsidR="00862A88" w:rsidRPr="009907F8" w:rsidRDefault="00862A88" w:rsidP="006F268E">
      <w:pPr>
        <w:ind w:left="851"/>
        <w:rPr>
          <w:color w:val="000000"/>
          <w:sz w:val="24"/>
          <w:szCs w:val="24"/>
          <w:lang w:val="en-GB"/>
        </w:rPr>
      </w:pPr>
      <w:r w:rsidRPr="009907F8">
        <w:rPr>
          <w:color w:val="000000"/>
          <w:sz w:val="24"/>
          <w:szCs w:val="24"/>
          <w:lang w:val="en-GB"/>
        </w:rPr>
        <w:t>Peripheral lymphocyte count increases are evident within days of stopping fingolimod treatment and typically normal counts are reached within one to two months. Chronic fingolimod dosing leads to a mild decrease in the neutrophil count to approximately 80% of baseline. Monocytes are unaffected by fingolimod.</w:t>
      </w:r>
    </w:p>
    <w:p w14:paraId="0E1E78F0" w14:textId="77777777" w:rsidR="00862A88" w:rsidRPr="009907F8" w:rsidRDefault="00862A88" w:rsidP="006F268E">
      <w:pPr>
        <w:ind w:left="851"/>
        <w:rPr>
          <w:color w:val="000000"/>
          <w:sz w:val="24"/>
          <w:szCs w:val="24"/>
          <w:lang w:val="en-GB"/>
        </w:rPr>
      </w:pPr>
    </w:p>
    <w:p w14:paraId="42125326" w14:textId="77777777" w:rsidR="00862A88" w:rsidRPr="009907F8" w:rsidRDefault="00862A88" w:rsidP="006F268E">
      <w:pPr>
        <w:ind w:left="851"/>
        <w:rPr>
          <w:color w:val="000000"/>
          <w:sz w:val="24"/>
          <w:szCs w:val="24"/>
          <w:lang w:val="en-GB"/>
        </w:rPr>
      </w:pPr>
      <w:r w:rsidRPr="009907F8">
        <w:rPr>
          <w:color w:val="000000"/>
          <w:sz w:val="24"/>
          <w:szCs w:val="24"/>
          <w:lang w:val="en-GB"/>
        </w:rPr>
        <w:t xml:space="preserve">Fingolimod causes a transient reduction in heart rate and decrease in atrioventricular conduction at treatment initiation (see sections 4.4 and 4.8). The maximal decline in heart rate is seen within 6 hours post dose, with 70% of the negative chronotropic effect achieved on the first day. With continued administration heart rate returns to baseline within one month. The decrease in heart rate induced by fingolimod can be reversed by parenteral doses of atropine or isoprenaline. Inhaled salmeterol has also been shown to have a modest positive chronotropic effect. With initiation of fingolimod treatment there is an increase in atrial premature contractions, but there is no increased rate of atrial fibrillation/flutter or ventricular arrhythmias or ectopy. Fingolimod treatment is not associated with a decrease in cardiac output. Autonomic responses of the heart, including </w:t>
      </w:r>
      <w:r w:rsidRPr="009907F8">
        <w:rPr>
          <w:color w:val="000000"/>
          <w:sz w:val="24"/>
          <w:szCs w:val="24"/>
          <w:lang w:val="en-GB"/>
        </w:rPr>
        <w:lastRenderedPageBreak/>
        <w:t>diurnal variation of heart rate and response to exercise are not affected by fingolimod treatment.</w:t>
      </w:r>
    </w:p>
    <w:p w14:paraId="540CA8FA" w14:textId="77777777" w:rsidR="00862A88" w:rsidRPr="009907F8" w:rsidRDefault="00862A88" w:rsidP="006F268E">
      <w:pPr>
        <w:ind w:left="851"/>
        <w:rPr>
          <w:color w:val="000000"/>
          <w:sz w:val="24"/>
          <w:szCs w:val="24"/>
          <w:lang w:val="en-GB"/>
        </w:rPr>
      </w:pPr>
    </w:p>
    <w:p w14:paraId="04BB664D" w14:textId="77777777" w:rsidR="00862A88" w:rsidRPr="009907F8" w:rsidRDefault="00862A88" w:rsidP="006F268E">
      <w:pPr>
        <w:ind w:left="851"/>
        <w:rPr>
          <w:color w:val="000000"/>
          <w:sz w:val="24"/>
          <w:szCs w:val="24"/>
          <w:lang w:val="en-GB"/>
        </w:rPr>
      </w:pPr>
      <w:r w:rsidRPr="009907F8">
        <w:rPr>
          <w:color w:val="000000"/>
          <w:sz w:val="24"/>
          <w:szCs w:val="24"/>
          <w:lang w:val="en-GB"/>
        </w:rPr>
        <w:t xml:space="preserve">S1P4 could partially contribute to the effect but was not the main receptor responsible for the lymphoid depletion. The mechanism of action of bradycardia and vasoconstriction were also studied </w:t>
      </w:r>
      <w:r w:rsidRPr="009907F8">
        <w:rPr>
          <w:i/>
          <w:color w:val="000000"/>
          <w:sz w:val="24"/>
          <w:szCs w:val="24"/>
          <w:lang w:val="en-GB"/>
        </w:rPr>
        <w:t>in vitro</w:t>
      </w:r>
      <w:r w:rsidRPr="009907F8">
        <w:rPr>
          <w:color w:val="000000"/>
          <w:sz w:val="24"/>
          <w:szCs w:val="24"/>
          <w:lang w:val="en-GB"/>
        </w:rPr>
        <w:t xml:space="preserve"> in guinea pigs and isolated rabbit aorta and coronary artery. It was concluded that bradycardia could be mediated primarily by activation of inward-rectifying potassium channel or G-protein activated inwardly rectifying K+ channel (</w:t>
      </w:r>
      <w:proofErr w:type="spellStart"/>
      <w:r w:rsidRPr="009907F8">
        <w:rPr>
          <w:color w:val="000000"/>
          <w:sz w:val="24"/>
          <w:szCs w:val="24"/>
          <w:lang w:val="en-GB"/>
        </w:rPr>
        <w:t>IKACh</w:t>
      </w:r>
      <w:proofErr w:type="spellEnd"/>
      <w:r w:rsidRPr="009907F8">
        <w:rPr>
          <w:color w:val="000000"/>
          <w:sz w:val="24"/>
          <w:szCs w:val="24"/>
          <w:lang w:val="en-GB"/>
        </w:rPr>
        <w:t>/GIRK) and that vasoconstriction seems to be mediated by a Rho kinase and calcium dependent mechanism.</w:t>
      </w:r>
    </w:p>
    <w:p w14:paraId="24504588" w14:textId="77777777" w:rsidR="00862A88" w:rsidRPr="009907F8" w:rsidRDefault="00862A88" w:rsidP="006F268E">
      <w:pPr>
        <w:ind w:left="851"/>
        <w:rPr>
          <w:color w:val="000000"/>
          <w:sz w:val="24"/>
          <w:szCs w:val="24"/>
          <w:lang w:val="en-GB"/>
        </w:rPr>
      </w:pPr>
    </w:p>
    <w:p w14:paraId="368836AB" w14:textId="77777777" w:rsidR="00862A88" w:rsidRPr="009907F8" w:rsidRDefault="00862A88" w:rsidP="006F268E">
      <w:pPr>
        <w:ind w:left="851"/>
        <w:rPr>
          <w:color w:val="000000"/>
          <w:sz w:val="24"/>
          <w:szCs w:val="24"/>
          <w:lang w:val="en-GB"/>
        </w:rPr>
      </w:pPr>
      <w:r w:rsidRPr="009907F8">
        <w:rPr>
          <w:color w:val="000000"/>
          <w:sz w:val="24"/>
          <w:szCs w:val="24"/>
          <w:lang w:val="en-GB"/>
        </w:rPr>
        <w:t>Fingolimod treatment with single or multiple doses of 0.5 and 1.25 mg for two weeks is not associated with a detectable increase in airway resistance as measured by FEV</w:t>
      </w:r>
      <w:r w:rsidRPr="009907F8">
        <w:rPr>
          <w:color w:val="000000"/>
          <w:sz w:val="24"/>
          <w:szCs w:val="24"/>
          <w:vertAlign w:val="subscript"/>
          <w:lang w:val="en-GB"/>
        </w:rPr>
        <w:t>1</w:t>
      </w:r>
      <w:r w:rsidRPr="009907F8">
        <w:rPr>
          <w:color w:val="000000"/>
          <w:sz w:val="24"/>
          <w:szCs w:val="24"/>
          <w:lang w:val="en-GB"/>
        </w:rPr>
        <w:t xml:space="preserve"> and forced expiratory flow rate (FEF) 25-75. However, single fingolimod doses ≥5 mg (10-fold the recommended dose) are associated with a dose-dependent increase in airway resistance. Fingolimod treatment with multiple doses of 0.5, 1.25, or 5 mg is not associated with impaired oxygenation or oxygen desaturation with exercise or an increase in airway responsiveness to methacholine. Subjects on fingolimod treatment have a normal bronchodilator response to inhaled beta-agonists.</w:t>
      </w:r>
    </w:p>
    <w:p w14:paraId="22A603CE" w14:textId="77777777" w:rsidR="00862A88" w:rsidRPr="009907F8" w:rsidRDefault="00862A88" w:rsidP="006F268E">
      <w:pPr>
        <w:ind w:left="851"/>
        <w:rPr>
          <w:color w:val="000000"/>
          <w:sz w:val="24"/>
          <w:szCs w:val="24"/>
          <w:highlight w:val="yellow"/>
          <w:lang w:val="en-GB"/>
        </w:rPr>
      </w:pPr>
    </w:p>
    <w:p w14:paraId="55ECCCD4" w14:textId="77777777" w:rsidR="00862A88" w:rsidRPr="009907F8" w:rsidRDefault="00862A88" w:rsidP="006F268E">
      <w:pPr>
        <w:ind w:left="851"/>
        <w:rPr>
          <w:color w:val="000000"/>
          <w:sz w:val="24"/>
          <w:szCs w:val="24"/>
          <w:u w:val="single"/>
          <w:lang w:val="en-GB"/>
        </w:rPr>
      </w:pPr>
      <w:r w:rsidRPr="009907F8">
        <w:rPr>
          <w:color w:val="000000"/>
          <w:sz w:val="24"/>
          <w:szCs w:val="24"/>
          <w:u w:val="single"/>
          <w:lang w:val="en-GB"/>
        </w:rPr>
        <w:t>Clinical efficacy and safety</w:t>
      </w:r>
    </w:p>
    <w:p w14:paraId="787AB66E" w14:textId="77777777" w:rsidR="00862A88" w:rsidRPr="009907F8" w:rsidRDefault="00862A88" w:rsidP="006F268E">
      <w:pPr>
        <w:ind w:left="851"/>
        <w:rPr>
          <w:color w:val="000000"/>
          <w:sz w:val="24"/>
          <w:szCs w:val="24"/>
          <w:lang w:val="en-GB"/>
        </w:rPr>
      </w:pPr>
      <w:r w:rsidRPr="009907F8">
        <w:rPr>
          <w:color w:val="000000"/>
          <w:sz w:val="24"/>
          <w:szCs w:val="24"/>
          <w:lang w:val="en-GB"/>
        </w:rPr>
        <w:t>The efficacy of fingolimod has been demonstrated in two studies which evaluated once-daily doses of fingolimod 0.5 mg and 1.25 mg in adult patients with relapsing-remitting multiple sclerosis (RRMS). Both studies included adult patients who had experienced ≥2 relapses in the prior 2 years or ≥1 relapse during the prior year. Expanded Disability Status Score (EDSS) was between 0 and 5.5. A third study targeting the same adult patient population was completed after registration of fingolimod.</w:t>
      </w:r>
    </w:p>
    <w:p w14:paraId="16B59CDD" w14:textId="77777777" w:rsidR="00862A88" w:rsidRPr="009907F8" w:rsidRDefault="00862A88" w:rsidP="006F268E">
      <w:pPr>
        <w:ind w:left="851"/>
        <w:rPr>
          <w:color w:val="000000"/>
          <w:sz w:val="24"/>
          <w:szCs w:val="24"/>
          <w:lang w:val="en-GB"/>
        </w:rPr>
      </w:pPr>
    </w:p>
    <w:p w14:paraId="167B5DCA" w14:textId="750AE118" w:rsidR="00862A88" w:rsidRPr="009907F8" w:rsidRDefault="00862A88" w:rsidP="006F268E">
      <w:pPr>
        <w:ind w:left="851"/>
        <w:rPr>
          <w:color w:val="000000"/>
          <w:sz w:val="24"/>
          <w:szCs w:val="24"/>
          <w:lang w:val="en-GB"/>
        </w:rPr>
      </w:pPr>
      <w:r w:rsidRPr="009907F8">
        <w:rPr>
          <w:color w:val="000000"/>
          <w:sz w:val="24"/>
          <w:szCs w:val="24"/>
          <w:lang w:val="en-GB"/>
        </w:rPr>
        <w:t>Study D2301 (FREEDOMS) was a 2-year randomised, double-blind, placebo-controlled Phase III study of 1,272 patients (n=425 on 0.5 mg, 429 on 1.25 mg, 418 on placebo). Median values for baseline characteristics were: age 37 years, disease duration 6.7 years, and EDSS score 2.0. Outcome results are shown in Table 1. There were no significant differences between the 0.5 mg and the</w:t>
      </w:r>
      <w:r w:rsidR="00812980">
        <w:rPr>
          <w:color w:val="000000"/>
          <w:sz w:val="24"/>
          <w:szCs w:val="24"/>
          <w:lang w:val="en-GB"/>
        </w:rPr>
        <w:t xml:space="preserve"> </w:t>
      </w:r>
      <w:r w:rsidRPr="009907F8">
        <w:rPr>
          <w:color w:val="000000"/>
          <w:sz w:val="24"/>
          <w:szCs w:val="24"/>
          <w:lang w:val="en-GB"/>
        </w:rPr>
        <w:t>1.25 mg doses as regards either endpoint.</w:t>
      </w:r>
    </w:p>
    <w:p w14:paraId="15C9BF9D" w14:textId="77777777" w:rsidR="00862A88" w:rsidRPr="009907F8" w:rsidRDefault="00862A88" w:rsidP="006F268E">
      <w:pPr>
        <w:ind w:left="851"/>
        <w:rPr>
          <w:color w:val="000000"/>
          <w:sz w:val="24"/>
          <w:szCs w:val="24"/>
          <w:lang w:val="en-GB"/>
        </w:rPr>
      </w:pPr>
      <w:r w:rsidRPr="009907F8">
        <w:rPr>
          <w:color w:val="000000"/>
          <w:sz w:val="24"/>
          <w:szCs w:val="24"/>
          <w:lang w:val="en-GB"/>
        </w:rPr>
        <w:t xml:space="preserve"> </w:t>
      </w:r>
    </w:p>
    <w:p w14:paraId="77C8AA78" w14:textId="0A4981BA" w:rsidR="00862A88" w:rsidRPr="009907F8" w:rsidRDefault="00862A88" w:rsidP="006F268E">
      <w:pPr>
        <w:widowControl w:val="0"/>
        <w:autoSpaceDE w:val="0"/>
        <w:autoSpaceDN w:val="0"/>
        <w:adjustRightInd w:val="0"/>
        <w:ind w:left="851"/>
        <w:rPr>
          <w:i/>
          <w:color w:val="000000"/>
          <w:sz w:val="24"/>
          <w:szCs w:val="24"/>
          <w:lang w:val="en-GB"/>
        </w:rPr>
      </w:pPr>
      <w:r w:rsidRPr="009907F8">
        <w:rPr>
          <w:i/>
          <w:color w:val="000000"/>
          <w:sz w:val="24"/>
          <w:szCs w:val="24"/>
          <w:lang w:val="en-GB"/>
        </w:rPr>
        <w:t>Table 1</w:t>
      </w:r>
      <w:r w:rsidR="006F268E" w:rsidRPr="009907F8">
        <w:rPr>
          <w:i/>
          <w:color w:val="000000"/>
          <w:sz w:val="24"/>
          <w:szCs w:val="24"/>
          <w:lang w:val="en-GB"/>
        </w:rPr>
        <w:t xml:space="preserve">. </w:t>
      </w:r>
      <w:r w:rsidRPr="009907F8">
        <w:rPr>
          <w:i/>
          <w:color w:val="000000"/>
          <w:sz w:val="24"/>
          <w:szCs w:val="24"/>
          <w:lang w:val="en-GB"/>
        </w:rPr>
        <w:t>Study D2301 (FREEDOMS): main results</w:t>
      </w:r>
    </w:p>
    <w:tbl>
      <w:tblPr>
        <w:tblW w:w="0" w:type="auto"/>
        <w:tblInd w:w="846" w:type="dxa"/>
        <w:tblLayout w:type="fixed"/>
        <w:tblCellMar>
          <w:left w:w="0" w:type="dxa"/>
          <w:right w:w="0" w:type="dxa"/>
        </w:tblCellMar>
        <w:tblLook w:val="04A0" w:firstRow="1" w:lastRow="0" w:firstColumn="1" w:lastColumn="0" w:noHBand="0" w:noVBand="1"/>
      </w:tblPr>
      <w:tblGrid>
        <w:gridCol w:w="4645"/>
        <w:gridCol w:w="1844"/>
        <w:gridCol w:w="1843"/>
      </w:tblGrid>
      <w:tr w:rsidR="00862A88" w:rsidRPr="00424879" w14:paraId="5833824C" w14:textId="77777777" w:rsidTr="006F268E">
        <w:trPr>
          <w:trHeight w:val="520"/>
        </w:trPr>
        <w:tc>
          <w:tcPr>
            <w:tcW w:w="4645" w:type="dxa"/>
            <w:tcBorders>
              <w:top w:val="single" w:sz="4" w:space="0" w:color="000000"/>
              <w:left w:val="single" w:sz="4" w:space="0" w:color="000000"/>
              <w:bottom w:val="single" w:sz="4" w:space="0" w:color="000000"/>
              <w:right w:val="single" w:sz="4" w:space="0" w:color="000000"/>
            </w:tcBorders>
          </w:tcPr>
          <w:p w14:paraId="6840C5E3" w14:textId="77777777" w:rsidR="00862A88" w:rsidRPr="00424879" w:rsidRDefault="00862A88">
            <w:pPr>
              <w:widowControl w:val="0"/>
              <w:autoSpaceDE w:val="0"/>
              <w:autoSpaceDN w:val="0"/>
              <w:adjustRightInd w:val="0"/>
              <w:spacing w:line="256" w:lineRule="auto"/>
              <w:ind w:left="142"/>
              <w:rPr>
                <w:color w:val="000000"/>
                <w:sz w:val="22"/>
                <w:szCs w:val="22"/>
                <w:lang w:val="sl-SI"/>
              </w:rPr>
            </w:pPr>
          </w:p>
        </w:tc>
        <w:tc>
          <w:tcPr>
            <w:tcW w:w="1844" w:type="dxa"/>
            <w:tcBorders>
              <w:top w:val="single" w:sz="4" w:space="0" w:color="000000"/>
              <w:left w:val="single" w:sz="4" w:space="0" w:color="000000"/>
              <w:bottom w:val="single" w:sz="4" w:space="0" w:color="000000"/>
              <w:right w:val="single" w:sz="4" w:space="0" w:color="000000"/>
            </w:tcBorders>
            <w:hideMark/>
          </w:tcPr>
          <w:p w14:paraId="17F47EE4" w14:textId="77777777" w:rsidR="00862A88" w:rsidRPr="00424879" w:rsidRDefault="00862A88">
            <w:pPr>
              <w:widowControl w:val="0"/>
              <w:autoSpaceDE w:val="0"/>
              <w:autoSpaceDN w:val="0"/>
              <w:adjustRightInd w:val="0"/>
              <w:spacing w:line="256" w:lineRule="auto"/>
              <w:ind w:left="176"/>
              <w:rPr>
                <w:b/>
                <w:bCs/>
                <w:color w:val="000000"/>
                <w:sz w:val="22"/>
                <w:szCs w:val="22"/>
              </w:rPr>
            </w:pPr>
            <w:proofErr w:type="spellStart"/>
            <w:r w:rsidRPr="00424879">
              <w:rPr>
                <w:b/>
                <w:bCs/>
                <w:color w:val="000000"/>
                <w:sz w:val="22"/>
                <w:szCs w:val="22"/>
              </w:rPr>
              <w:t>Fingolimod</w:t>
            </w:r>
            <w:proofErr w:type="spellEnd"/>
          </w:p>
          <w:p w14:paraId="19B4BA1C" w14:textId="77777777" w:rsidR="00862A88" w:rsidRPr="00424879" w:rsidRDefault="00862A88">
            <w:pPr>
              <w:widowControl w:val="0"/>
              <w:autoSpaceDE w:val="0"/>
              <w:autoSpaceDN w:val="0"/>
              <w:adjustRightInd w:val="0"/>
              <w:spacing w:line="256" w:lineRule="auto"/>
              <w:ind w:left="176"/>
              <w:rPr>
                <w:b/>
                <w:bCs/>
                <w:color w:val="000000"/>
                <w:sz w:val="22"/>
                <w:szCs w:val="22"/>
              </w:rPr>
            </w:pPr>
            <w:r w:rsidRPr="00424879">
              <w:rPr>
                <w:b/>
                <w:bCs/>
                <w:color w:val="000000"/>
                <w:sz w:val="22"/>
                <w:szCs w:val="22"/>
              </w:rPr>
              <w:t>0.5 mg</w:t>
            </w:r>
          </w:p>
        </w:tc>
        <w:tc>
          <w:tcPr>
            <w:tcW w:w="1843" w:type="dxa"/>
            <w:tcBorders>
              <w:top w:val="single" w:sz="4" w:space="0" w:color="000000"/>
              <w:left w:val="single" w:sz="4" w:space="0" w:color="000000"/>
              <w:bottom w:val="single" w:sz="4" w:space="0" w:color="000000"/>
              <w:right w:val="single" w:sz="4" w:space="0" w:color="000000"/>
            </w:tcBorders>
            <w:hideMark/>
          </w:tcPr>
          <w:p w14:paraId="45549060" w14:textId="77777777" w:rsidR="00862A88" w:rsidRPr="00424879" w:rsidRDefault="00862A88">
            <w:pPr>
              <w:widowControl w:val="0"/>
              <w:autoSpaceDE w:val="0"/>
              <w:autoSpaceDN w:val="0"/>
              <w:adjustRightInd w:val="0"/>
              <w:spacing w:line="256" w:lineRule="auto"/>
              <w:ind w:left="312"/>
              <w:rPr>
                <w:b/>
                <w:bCs/>
                <w:color w:val="000000"/>
                <w:sz w:val="22"/>
                <w:szCs w:val="22"/>
              </w:rPr>
            </w:pPr>
            <w:r w:rsidRPr="00424879">
              <w:rPr>
                <w:b/>
                <w:bCs/>
                <w:color w:val="000000"/>
                <w:sz w:val="22"/>
                <w:szCs w:val="22"/>
              </w:rPr>
              <w:t>Placebo</w:t>
            </w:r>
          </w:p>
        </w:tc>
      </w:tr>
      <w:tr w:rsidR="00862A88" w:rsidRPr="00424879" w14:paraId="547EA4C1" w14:textId="77777777" w:rsidTr="006F268E">
        <w:trPr>
          <w:trHeight w:val="258"/>
        </w:trPr>
        <w:tc>
          <w:tcPr>
            <w:tcW w:w="8332" w:type="dxa"/>
            <w:gridSpan w:val="3"/>
            <w:tcBorders>
              <w:top w:val="single" w:sz="4" w:space="0" w:color="000000"/>
              <w:left w:val="single" w:sz="4" w:space="0" w:color="000000"/>
              <w:bottom w:val="single" w:sz="4" w:space="0" w:color="000000"/>
              <w:right w:val="single" w:sz="4" w:space="0" w:color="000000"/>
            </w:tcBorders>
            <w:hideMark/>
          </w:tcPr>
          <w:p w14:paraId="4B1A8C21" w14:textId="77777777" w:rsidR="00862A88" w:rsidRPr="00424879" w:rsidRDefault="00862A88">
            <w:pPr>
              <w:widowControl w:val="0"/>
              <w:autoSpaceDE w:val="0"/>
              <w:autoSpaceDN w:val="0"/>
              <w:adjustRightInd w:val="0"/>
              <w:spacing w:line="256" w:lineRule="auto"/>
              <w:ind w:left="312"/>
              <w:rPr>
                <w:color w:val="000000"/>
                <w:sz w:val="22"/>
                <w:szCs w:val="22"/>
              </w:rPr>
            </w:pPr>
            <w:proofErr w:type="spellStart"/>
            <w:r w:rsidRPr="00424879">
              <w:rPr>
                <w:b/>
                <w:bCs/>
                <w:color w:val="000000"/>
                <w:sz w:val="22"/>
                <w:szCs w:val="22"/>
              </w:rPr>
              <w:t>Clinical</w:t>
            </w:r>
            <w:proofErr w:type="spellEnd"/>
            <w:r w:rsidRPr="00424879">
              <w:rPr>
                <w:b/>
                <w:bCs/>
                <w:color w:val="000000"/>
                <w:sz w:val="22"/>
                <w:szCs w:val="22"/>
              </w:rPr>
              <w:t xml:space="preserve"> </w:t>
            </w:r>
            <w:proofErr w:type="spellStart"/>
            <w:r w:rsidRPr="00424879">
              <w:rPr>
                <w:b/>
                <w:bCs/>
                <w:color w:val="000000"/>
                <w:sz w:val="22"/>
                <w:szCs w:val="22"/>
              </w:rPr>
              <w:t>endpoints</w:t>
            </w:r>
            <w:proofErr w:type="spellEnd"/>
          </w:p>
        </w:tc>
      </w:tr>
      <w:tr w:rsidR="00862A88" w:rsidRPr="00424879" w14:paraId="45FF20A6" w14:textId="77777777" w:rsidTr="006F268E">
        <w:trPr>
          <w:trHeight w:val="261"/>
        </w:trPr>
        <w:tc>
          <w:tcPr>
            <w:tcW w:w="4645" w:type="dxa"/>
            <w:tcBorders>
              <w:top w:val="single" w:sz="4" w:space="0" w:color="000000"/>
              <w:left w:val="single" w:sz="4" w:space="0" w:color="000000"/>
              <w:bottom w:val="single" w:sz="4" w:space="0" w:color="000000"/>
              <w:right w:val="single" w:sz="4" w:space="0" w:color="000000"/>
            </w:tcBorders>
            <w:hideMark/>
          </w:tcPr>
          <w:p w14:paraId="198366FE" w14:textId="77777777" w:rsidR="00862A88" w:rsidRPr="00424879" w:rsidRDefault="00862A88">
            <w:pPr>
              <w:widowControl w:val="0"/>
              <w:autoSpaceDE w:val="0"/>
              <w:autoSpaceDN w:val="0"/>
              <w:adjustRightInd w:val="0"/>
              <w:spacing w:line="256" w:lineRule="auto"/>
              <w:ind w:left="142"/>
              <w:rPr>
                <w:color w:val="000000"/>
                <w:sz w:val="22"/>
                <w:szCs w:val="22"/>
                <w:lang w:val="en-US"/>
              </w:rPr>
            </w:pPr>
            <w:proofErr w:type="spellStart"/>
            <w:r w:rsidRPr="00424879">
              <w:rPr>
                <w:color w:val="000000"/>
                <w:sz w:val="22"/>
                <w:szCs w:val="22"/>
                <w:lang w:val="en-US"/>
              </w:rPr>
              <w:t>Annualised</w:t>
            </w:r>
            <w:proofErr w:type="spellEnd"/>
            <w:r w:rsidRPr="00424879">
              <w:rPr>
                <w:color w:val="000000"/>
                <w:sz w:val="22"/>
                <w:szCs w:val="22"/>
                <w:lang w:val="en-US"/>
              </w:rPr>
              <w:t xml:space="preserve"> relapse rate (primary endpoint)</w:t>
            </w:r>
          </w:p>
        </w:tc>
        <w:tc>
          <w:tcPr>
            <w:tcW w:w="1844" w:type="dxa"/>
            <w:tcBorders>
              <w:top w:val="single" w:sz="4" w:space="0" w:color="000000"/>
              <w:left w:val="single" w:sz="4" w:space="0" w:color="000000"/>
              <w:bottom w:val="single" w:sz="4" w:space="0" w:color="000000"/>
              <w:right w:val="single" w:sz="4" w:space="0" w:color="000000"/>
            </w:tcBorders>
            <w:hideMark/>
          </w:tcPr>
          <w:p w14:paraId="6112E0CF" w14:textId="77777777" w:rsidR="00862A88" w:rsidRPr="00424879" w:rsidRDefault="00862A88">
            <w:pPr>
              <w:widowControl w:val="0"/>
              <w:autoSpaceDE w:val="0"/>
              <w:autoSpaceDN w:val="0"/>
              <w:adjustRightInd w:val="0"/>
              <w:spacing w:line="256" w:lineRule="auto"/>
              <w:ind w:left="176"/>
              <w:rPr>
                <w:color w:val="000000"/>
                <w:sz w:val="22"/>
                <w:szCs w:val="22"/>
              </w:rPr>
            </w:pPr>
            <w:r w:rsidRPr="00424879">
              <w:rPr>
                <w:color w:val="000000"/>
                <w:sz w:val="22"/>
                <w:szCs w:val="22"/>
              </w:rPr>
              <w:t>0.18**</w:t>
            </w:r>
          </w:p>
        </w:tc>
        <w:tc>
          <w:tcPr>
            <w:tcW w:w="1843" w:type="dxa"/>
            <w:tcBorders>
              <w:top w:val="single" w:sz="4" w:space="0" w:color="000000"/>
              <w:left w:val="single" w:sz="4" w:space="0" w:color="000000"/>
              <w:bottom w:val="single" w:sz="4" w:space="0" w:color="000000"/>
              <w:right w:val="single" w:sz="4" w:space="0" w:color="000000"/>
            </w:tcBorders>
            <w:hideMark/>
          </w:tcPr>
          <w:p w14:paraId="2C474A6E" w14:textId="77777777" w:rsidR="00862A88" w:rsidRPr="00424879" w:rsidRDefault="00862A88">
            <w:pPr>
              <w:widowControl w:val="0"/>
              <w:autoSpaceDE w:val="0"/>
              <w:autoSpaceDN w:val="0"/>
              <w:adjustRightInd w:val="0"/>
              <w:spacing w:line="256" w:lineRule="auto"/>
              <w:ind w:left="312"/>
              <w:rPr>
                <w:color w:val="000000"/>
                <w:sz w:val="22"/>
                <w:szCs w:val="22"/>
              </w:rPr>
            </w:pPr>
            <w:r w:rsidRPr="00424879">
              <w:rPr>
                <w:color w:val="000000"/>
                <w:sz w:val="22"/>
                <w:szCs w:val="22"/>
              </w:rPr>
              <w:t>0.40</w:t>
            </w:r>
          </w:p>
        </w:tc>
      </w:tr>
      <w:tr w:rsidR="00862A88" w:rsidRPr="00424879" w14:paraId="0D20630B" w14:textId="77777777" w:rsidTr="006F268E">
        <w:trPr>
          <w:trHeight w:val="520"/>
        </w:trPr>
        <w:tc>
          <w:tcPr>
            <w:tcW w:w="4645" w:type="dxa"/>
            <w:tcBorders>
              <w:top w:val="single" w:sz="4" w:space="0" w:color="000000"/>
              <w:left w:val="single" w:sz="4" w:space="0" w:color="000000"/>
              <w:bottom w:val="single" w:sz="4" w:space="0" w:color="000000"/>
              <w:right w:val="single" w:sz="4" w:space="0" w:color="000000"/>
            </w:tcBorders>
            <w:hideMark/>
          </w:tcPr>
          <w:p w14:paraId="67944D1B" w14:textId="77777777" w:rsidR="00862A88" w:rsidRPr="00424879" w:rsidRDefault="00862A88">
            <w:pPr>
              <w:widowControl w:val="0"/>
              <w:autoSpaceDE w:val="0"/>
              <w:autoSpaceDN w:val="0"/>
              <w:adjustRightInd w:val="0"/>
              <w:spacing w:line="256" w:lineRule="auto"/>
              <w:ind w:left="142"/>
              <w:rPr>
                <w:color w:val="000000"/>
                <w:sz w:val="22"/>
                <w:szCs w:val="22"/>
                <w:lang w:val="en-US"/>
              </w:rPr>
            </w:pPr>
            <w:r w:rsidRPr="00424879">
              <w:rPr>
                <w:color w:val="000000"/>
                <w:sz w:val="22"/>
                <w:szCs w:val="22"/>
                <w:lang w:val="en-US"/>
              </w:rPr>
              <w:t>Percentage of patients remaining relapse-free at 24 months</w:t>
            </w:r>
          </w:p>
        </w:tc>
        <w:tc>
          <w:tcPr>
            <w:tcW w:w="1844" w:type="dxa"/>
            <w:tcBorders>
              <w:top w:val="single" w:sz="4" w:space="0" w:color="000000"/>
              <w:left w:val="single" w:sz="4" w:space="0" w:color="000000"/>
              <w:bottom w:val="single" w:sz="4" w:space="0" w:color="000000"/>
              <w:right w:val="single" w:sz="4" w:space="0" w:color="000000"/>
            </w:tcBorders>
            <w:hideMark/>
          </w:tcPr>
          <w:p w14:paraId="3F5EE59E" w14:textId="77777777" w:rsidR="00862A88" w:rsidRPr="00424879" w:rsidRDefault="00862A88">
            <w:pPr>
              <w:widowControl w:val="0"/>
              <w:autoSpaceDE w:val="0"/>
              <w:autoSpaceDN w:val="0"/>
              <w:adjustRightInd w:val="0"/>
              <w:spacing w:line="256" w:lineRule="auto"/>
              <w:ind w:left="176"/>
              <w:rPr>
                <w:color w:val="000000"/>
                <w:sz w:val="22"/>
                <w:szCs w:val="22"/>
              </w:rPr>
            </w:pPr>
            <w:r w:rsidRPr="00424879">
              <w:rPr>
                <w:color w:val="000000"/>
                <w:sz w:val="22"/>
                <w:szCs w:val="22"/>
              </w:rPr>
              <w:t>70%**</w:t>
            </w:r>
          </w:p>
        </w:tc>
        <w:tc>
          <w:tcPr>
            <w:tcW w:w="1843" w:type="dxa"/>
            <w:tcBorders>
              <w:top w:val="single" w:sz="4" w:space="0" w:color="000000"/>
              <w:left w:val="single" w:sz="4" w:space="0" w:color="000000"/>
              <w:bottom w:val="single" w:sz="4" w:space="0" w:color="000000"/>
              <w:right w:val="single" w:sz="4" w:space="0" w:color="000000"/>
            </w:tcBorders>
            <w:hideMark/>
          </w:tcPr>
          <w:p w14:paraId="369BABF3" w14:textId="77777777" w:rsidR="00862A88" w:rsidRPr="00424879" w:rsidRDefault="00862A88">
            <w:pPr>
              <w:widowControl w:val="0"/>
              <w:autoSpaceDE w:val="0"/>
              <w:autoSpaceDN w:val="0"/>
              <w:adjustRightInd w:val="0"/>
              <w:spacing w:line="256" w:lineRule="auto"/>
              <w:ind w:left="312"/>
              <w:rPr>
                <w:color w:val="000000"/>
                <w:sz w:val="22"/>
                <w:szCs w:val="22"/>
              </w:rPr>
            </w:pPr>
            <w:r w:rsidRPr="00424879">
              <w:rPr>
                <w:color w:val="000000"/>
                <w:sz w:val="22"/>
                <w:szCs w:val="22"/>
              </w:rPr>
              <w:t>46%</w:t>
            </w:r>
          </w:p>
        </w:tc>
      </w:tr>
      <w:tr w:rsidR="00862A88" w:rsidRPr="00424879" w14:paraId="011F7D07" w14:textId="77777777" w:rsidTr="006F268E">
        <w:trPr>
          <w:trHeight w:val="519"/>
        </w:trPr>
        <w:tc>
          <w:tcPr>
            <w:tcW w:w="4645" w:type="dxa"/>
            <w:tcBorders>
              <w:top w:val="single" w:sz="4" w:space="0" w:color="000000"/>
              <w:left w:val="single" w:sz="4" w:space="0" w:color="000000"/>
              <w:bottom w:val="nil"/>
              <w:right w:val="single" w:sz="4" w:space="0" w:color="000000"/>
            </w:tcBorders>
            <w:hideMark/>
          </w:tcPr>
          <w:p w14:paraId="2E8467B3" w14:textId="77777777" w:rsidR="00862A88" w:rsidRPr="00424879" w:rsidRDefault="00862A88">
            <w:pPr>
              <w:widowControl w:val="0"/>
              <w:autoSpaceDE w:val="0"/>
              <w:autoSpaceDN w:val="0"/>
              <w:adjustRightInd w:val="0"/>
              <w:spacing w:line="256" w:lineRule="auto"/>
              <w:ind w:left="142"/>
              <w:rPr>
                <w:color w:val="000000"/>
                <w:sz w:val="22"/>
                <w:szCs w:val="22"/>
                <w:lang w:val="en-US"/>
              </w:rPr>
            </w:pPr>
            <w:r w:rsidRPr="00424879">
              <w:rPr>
                <w:color w:val="000000"/>
                <w:sz w:val="22"/>
                <w:szCs w:val="22"/>
                <w:lang w:val="en-US"/>
              </w:rPr>
              <w:t>Proportion with 3-month Confirmed Disability</w:t>
            </w:r>
          </w:p>
          <w:p w14:paraId="288B1B8A" w14:textId="77777777" w:rsidR="00862A88" w:rsidRPr="00424879" w:rsidRDefault="00862A88">
            <w:pPr>
              <w:widowControl w:val="0"/>
              <w:autoSpaceDE w:val="0"/>
              <w:autoSpaceDN w:val="0"/>
              <w:adjustRightInd w:val="0"/>
              <w:spacing w:line="256" w:lineRule="auto"/>
              <w:ind w:left="142"/>
              <w:rPr>
                <w:color w:val="000000"/>
                <w:sz w:val="22"/>
                <w:szCs w:val="22"/>
                <w:lang w:val="en-US"/>
              </w:rPr>
            </w:pPr>
            <w:r w:rsidRPr="00424879">
              <w:rPr>
                <w:color w:val="000000"/>
                <w:sz w:val="22"/>
                <w:szCs w:val="22"/>
                <w:lang w:val="en-US"/>
              </w:rPr>
              <w:t>Progression†</w:t>
            </w:r>
          </w:p>
        </w:tc>
        <w:tc>
          <w:tcPr>
            <w:tcW w:w="1844" w:type="dxa"/>
            <w:tcBorders>
              <w:top w:val="single" w:sz="4" w:space="0" w:color="000000"/>
              <w:left w:val="single" w:sz="4" w:space="0" w:color="000000"/>
              <w:bottom w:val="nil"/>
              <w:right w:val="single" w:sz="4" w:space="0" w:color="000000"/>
            </w:tcBorders>
            <w:hideMark/>
          </w:tcPr>
          <w:p w14:paraId="7BAC4AFB" w14:textId="77777777" w:rsidR="00862A88" w:rsidRPr="00424879" w:rsidRDefault="00862A88">
            <w:pPr>
              <w:widowControl w:val="0"/>
              <w:autoSpaceDE w:val="0"/>
              <w:autoSpaceDN w:val="0"/>
              <w:adjustRightInd w:val="0"/>
              <w:spacing w:line="256" w:lineRule="auto"/>
              <w:ind w:left="176"/>
              <w:rPr>
                <w:color w:val="000000"/>
                <w:sz w:val="22"/>
                <w:szCs w:val="22"/>
              </w:rPr>
            </w:pPr>
            <w:r w:rsidRPr="00424879">
              <w:rPr>
                <w:color w:val="000000"/>
                <w:sz w:val="22"/>
                <w:szCs w:val="22"/>
              </w:rPr>
              <w:t>17%</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1BC574D3" w14:textId="77777777" w:rsidR="00862A88" w:rsidRPr="00424879" w:rsidRDefault="00862A88">
            <w:pPr>
              <w:widowControl w:val="0"/>
              <w:autoSpaceDE w:val="0"/>
              <w:autoSpaceDN w:val="0"/>
              <w:adjustRightInd w:val="0"/>
              <w:spacing w:line="256" w:lineRule="auto"/>
              <w:ind w:left="312"/>
              <w:rPr>
                <w:color w:val="000000"/>
                <w:sz w:val="22"/>
                <w:szCs w:val="22"/>
              </w:rPr>
            </w:pPr>
            <w:r w:rsidRPr="00424879">
              <w:rPr>
                <w:color w:val="000000"/>
                <w:sz w:val="22"/>
                <w:szCs w:val="22"/>
              </w:rPr>
              <w:t>24%</w:t>
            </w:r>
          </w:p>
        </w:tc>
      </w:tr>
      <w:tr w:rsidR="00862A88" w:rsidRPr="00424879" w14:paraId="03B1A8B4" w14:textId="77777777" w:rsidTr="006F268E">
        <w:trPr>
          <w:trHeight w:val="250"/>
        </w:trPr>
        <w:tc>
          <w:tcPr>
            <w:tcW w:w="4645" w:type="dxa"/>
            <w:tcBorders>
              <w:top w:val="nil"/>
              <w:left w:val="single" w:sz="4" w:space="0" w:color="000000"/>
              <w:bottom w:val="single" w:sz="4" w:space="0" w:color="000000"/>
              <w:right w:val="single" w:sz="4" w:space="0" w:color="000000"/>
            </w:tcBorders>
            <w:hideMark/>
          </w:tcPr>
          <w:p w14:paraId="300C15C3" w14:textId="77777777" w:rsidR="00862A88" w:rsidRPr="00424879" w:rsidRDefault="00862A88">
            <w:pPr>
              <w:widowControl w:val="0"/>
              <w:autoSpaceDE w:val="0"/>
              <w:autoSpaceDN w:val="0"/>
              <w:adjustRightInd w:val="0"/>
              <w:spacing w:line="256" w:lineRule="auto"/>
              <w:ind w:left="142"/>
              <w:rPr>
                <w:color w:val="000000"/>
                <w:sz w:val="22"/>
                <w:szCs w:val="22"/>
              </w:rPr>
            </w:pPr>
            <w:proofErr w:type="spellStart"/>
            <w:r w:rsidRPr="00424879">
              <w:rPr>
                <w:color w:val="000000"/>
                <w:sz w:val="22"/>
                <w:szCs w:val="22"/>
              </w:rPr>
              <w:t>Hazard</w:t>
            </w:r>
            <w:proofErr w:type="spellEnd"/>
            <w:r w:rsidRPr="00424879">
              <w:rPr>
                <w:color w:val="000000"/>
                <w:sz w:val="22"/>
                <w:szCs w:val="22"/>
              </w:rPr>
              <w:t xml:space="preserve"> ratio (95% CI)</w:t>
            </w:r>
          </w:p>
        </w:tc>
        <w:tc>
          <w:tcPr>
            <w:tcW w:w="1844" w:type="dxa"/>
            <w:tcBorders>
              <w:top w:val="nil"/>
              <w:left w:val="single" w:sz="4" w:space="0" w:color="000000"/>
              <w:bottom w:val="single" w:sz="4" w:space="0" w:color="000000"/>
              <w:right w:val="single" w:sz="4" w:space="0" w:color="000000"/>
            </w:tcBorders>
            <w:hideMark/>
          </w:tcPr>
          <w:p w14:paraId="5AABB7BA" w14:textId="77777777" w:rsidR="00862A88" w:rsidRPr="00424879" w:rsidRDefault="00862A88">
            <w:pPr>
              <w:widowControl w:val="0"/>
              <w:autoSpaceDE w:val="0"/>
              <w:autoSpaceDN w:val="0"/>
              <w:adjustRightInd w:val="0"/>
              <w:spacing w:line="256" w:lineRule="auto"/>
              <w:ind w:left="176"/>
              <w:rPr>
                <w:color w:val="000000"/>
                <w:sz w:val="22"/>
                <w:szCs w:val="22"/>
              </w:rPr>
            </w:pPr>
            <w:r w:rsidRPr="00424879">
              <w:rPr>
                <w:color w:val="000000"/>
                <w:sz w:val="22"/>
                <w:szCs w:val="22"/>
              </w:rPr>
              <w:t xml:space="preserve">0.70 (0.52, </w:t>
            </w:r>
            <w:proofErr w:type="gramStart"/>
            <w:r w:rsidRPr="00424879">
              <w:rPr>
                <w:color w:val="000000"/>
                <w:sz w:val="22"/>
                <w:szCs w:val="22"/>
              </w:rPr>
              <w:t>0.96)*</w:t>
            </w:r>
            <w:proofErr w:type="gramEnd"/>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08B43068" w14:textId="77777777" w:rsidR="00862A88" w:rsidRPr="00424879" w:rsidRDefault="00862A88">
            <w:pPr>
              <w:spacing w:line="256" w:lineRule="auto"/>
              <w:rPr>
                <w:color w:val="000000"/>
                <w:sz w:val="22"/>
                <w:szCs w:val="22"/>
                <w:lang w:val="sl-SI" w:eastAsia="sl-SI"/>
              </w:rPr>
            </w:pPr>
          </w:p>
        </w:tc>
      </w:tr>
      <w:tr w:rsidR="00862A88" w:rsidRPr="00424879" w14:paraId="419951DC" w14:textId="77777777" w:rsidTr="006F268E">
        <w:trPr>
          <w:trHeight w:val="258"/>
        </w:trPr>
        <w:tc>
          <w:tcPr>
            <w:tcW w:w="8332" w:type="dxa"/>
            <w:gridSpan w:val="3"/>
            <w:tcBorders>
              <w:top w:val="single" w:sz="4" w:space="0" w:color="000000"/>
              <w:left w:val="single" w:sz="4" w:space="0" w:color="000000"/>
              <w:bottom w:val="single" w:sz="4" w:space="0" w:color="000000"/>
              <w:right w:val="single" w:sz="4" w:space="0" w:color="000000"/>
            </w:tcBorders>
            <w:hideMark/>
          </w:tcPr>
          <w:p w14:paraId="51A1A73B" w14:textId="77777777" w:rsidR="00862A88" w:rsidRPr="00424879" w:rsidRDefault="00862A88">
            <w:pPr>
              <w:widowControl w:val="0"/>
              <w:autoSpaceDE w:val="0"/>
              <w:autoSpaceDN w:val="0"/>
              <w:adjustRightInd w:val="0"/>
              <w:spacing w:line="256" w:lineRule="auto"/>
              <w:ind w:left="312"/>
              <w:rPr>
                <w:color w:val="000000"/>
                <w:sz w:val="22"/>
                <w:szCs w:val="22"/>
              </w:rPr>
            </w:pPr>
            <w:r w:rsidRPr="00424879">
              <w:rPr>
                <w:b/>
                <w:bCs/>
                <w:color w:val="000000"/>
                <w:sz w:val="22"/>
                <w:szCs w:val="22"/>
              </w:rPr>
              <w:t xml:space="preserve">MRI </w:t>
            </w:r>
            <w:proofErr w:type="spellStart"/>
            <w:r w:rsidRPr="00424879">
              <w:rPr>
                <w:b/>
                <w:bCs/>
                <w:color w:val="000000"/>
                <w:sz w:val="22"/>
                <w:szCs w:val="22"/>
              </w:rPr>
              <w:t>endpoints</w:t>
            </w:r>
            <w:proofErr w:type="spellEnd"/>
          </w:p>
        </w:tc>
      </w:tr>
      <w:tr w:rsidR="00862A88" w:rsidRPr="00424879" w14:paraId="0513DD8F" w14:textId="77777777" w:rsidTr="006F268E">
        <w:trPr>
          <w:trHeight w:val="520"/>
        </w:trPr>
        <w:tc>
          <w:tcPr>
            <w:tcW w:w="4645" w:type="dxa"/>
            <w:tcBorders>
              <w:top w:val="single" w:sz="4" w:space="0" w:color="000000"/>
              <w:left w:val="single" w:sz="4" w:space="0" w:color="000000"/>
              <w:bottom w:val="single" w:sz="4" w:space="0" w:color="000000"/>
              <w:right w:val="single" w:sz="4" w:space="0" w:color="000000"/>
            </w:tcBorders>
            <w:hideMark/>
          </w:tcPr>
          <w:p w14:paraId="31E62D14" w14:textId="77777777" w:rsidR="00862A88" w:rsidRPr="00424879" w:rsidRDefault="00862A88">
            <w:pPr>
              <w:widowControl w:val="0"/>
              <w:autoSpaceDE w:val="0"/>
              <w:autoSpaceDN w:val="0"/>
              <w:adjustRightInd w:val="0"/>
              <w:spacing w:line="256" w:lineRule="auto"/>
              <w:ind w:left="142"/>
              <w:rPr>
                <w:color w:val="000000"/>
                <w:sz w:val="22"/>
                <w:szCs w:val="22"/>
                <w:lang w:val="en-US"/>
              </w:rPr>
            </w:pPr>
            <w:r w:rsidRPr="00424879">
              <w:rPr>
                <w:color w:val="000000"/>
                <w:sz w:val="22"/>
                <w:szCs w:val="22"/>
                <w:lang w:val="en-US"/>
              </w:rPr>
              <w:t>Median (mean) number of new or enlarging T2 lesions over 24 months</w:t>
            </w:r>
          </w:p>
        </w:tc>
        <w:tc>
          <w:tcPr>
            <w:tcW w:w="1844" w:type="dxa"/>
            <w:tcBorders>
              <w:top w:val="single" w:sz="4" w:space="0" w:color="000000"/>
              <w:left w:val="single" w:sz="4" w:space="0" w:color="000000"/>
              <w:bottom w:val="single" w:sz="4" w:space="0" w:color="000000"/>
              <w:right w:val="single" w:sz="4" w:space="0" w:color="000000"/>
            </w:tcBorders>
            <w:hideMark/>
          </w:tcPr>
          <w:p w14:paraId="665C2F08" w14:textId="77777777" w:rsidR="00862A88" w:rsidRPr="00424879" w:rsidRDefault="00862A88">
            <w:pPr>
              <w:widowControl w:val="0"/>
              <w:autoSpaceDE w:val="0"/>
              <w:autoSpaceDN w:val="0"/>
              <w:adjustRightInd w:val="0"/>
              <w:spacing w:line="256" w:lineRule="auto"/>
              <w:ind w:left="176"/>
              <w:rPr>
                <w:color w:val="000000"/>
                <w:sz w:val="22"/>
                <w:szCs w:val="22"/>
              </w:rPr>
            </w:pPr>
            <w:r w:rsidRPr="00424879">
              <w:rPr>
                <w:color w:val="000000"/>
                <w:sz w:val="22"/>
                <w:szCs w:val="22"/>
              </w:rPr>
              <w:t>0.0 (</w:t>
            </w:r>
            <w:proofErr w:type="gramStart"/>
            <w:r w:rsidRPr="00424879">
              <w:rPr>
                <w:color w:val="000000"/>
                <w:sz w:val="22"/>
                <w:szCs w:val="22"/>
              </w:rPr>
              <w:t>2.5)*</w:t>
            </w:r>
            <w:proofErr w:type="gramEnd"/>
            <w:r w:rsidRPr="00424879">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hideMark/>
          </w:tcPr>
          <w:p w14:paraId="79852CC8" w14:textId="77777777" w:rsidR="00862A88" w:rsidRPr="00424879" w:rsidRDefault="00862A88">
            <w:pPr>
              <w:widowControl w:val="0"/>
              <w:autoSpaceDE w:val="0"/>
              <w:autoSpaceDN w:val="0"/>
              <w:adjustRightInd w:val="0"/>
              <w:spacing w:line="256" w:lineRule="auto"/>
              <w:ind w:left="312"/>
              <w:rPr>
                <w:color w:val="000000"/>
                <w:sz w:val="22"/>
                <w:szCs w:val="22"/>
              </w:rPr>
            </w:pPr>
            <w:r w:rsidRPr="00424879">
              <w:rPr>
                <w:color w:val="000000"/>
                <w:sz w:val="22"/>
                <w:szCs w:val="22"/>
              </w:rPr>
              <w:t>5.0 (9.8)</w:t>
            </w:r>
          </w:p>
        </w:tc>
      </w:tr>
      <w:tr w:rsidR="00862A88" w:rsidRPr="00424879" w14:paraId="0DF3ECC7" w14:textId="77777777" w:rsidTr="006F268E">
        <w:trPr>
          <w:trHeight w:val="517"/>
        </w:trPr>
        <w:tc>
          <w:tcPr>
            <w:tcW w:w="4645" w:type="dxa"/>
            <w:tcBorders>
              <w:top w:val="single" w:sz="4" w:space="0" w:color="000000"/>
              <w:left w:val="single" w:sz="4" w:space="0" w:color="000000"/>
              <w:bottom w:val="single" w:sz="4" w:space="0" w:color="000000"/>
              <w:right w:val="single" w:sz="4" w:space="0" w:color="000000"/>
            </w:tcBorders>
            <w:hideMark/>
          </w:tcPr>
          <w:p w14:paraId="662775D0" w14:textId="77777777" w:rsidR="00862A88" w:rsidRPr="00424879" w:rsidRDefault="00862A88">
            <w:pPr>
              <w:widowControl w:val="0"/>
              <w:autoSpaceDE w:val="0"/>
              <w:autoSpaceDN w:val="0"/>
              <w:adjustRightInd w:val="0"/>
              <w:spacing w:line="256" w:lineRule="auto"/>
              <w:ind w:left="142"/>
              <w:rPr>
                <w:color w:val="000000"/>
                <w:sz w:val="22"/>
                <w:szCs w:val="22"/>
                <w:lang w:val="en-US"/>
              </w:rPr>
            </w:pPr>
            <w:r w:rsidRPr="00424879">
              <w:rPr>
                <w:color w:val="000000"/>
                <w:sz w:val="22"/>
                <w:szCs w:val="22"/>
                <w:lang w:val="en-US"/>
              </w:rPr>
              <w:t xml:space="preserve">Median (mean) number of </w:t>
            </w:r>
            <w:proofErr w:type="spellStart"/>
            <w:r w:rsidRPr="00424879">
              <w:rPr>
                <w:color w:val="000000"/>
                <w:sz w:val="22"/>
                <w:szCs w:val="22"/>
                <w:lang w:val="en-US"/>
              </w:rPr>
              <w:t>Gd</w:t>
            </w:r>
            <w:proofErr w:type="spellEnd"/>
            <w:r w:rsidRPr="00424879">
              <w:rPr>
                <w:color w:val="000000"/>
                <w:sz w:val="22"/>
                <w:szCs w:val="22"/>
                <w:lang w:val="en-US"/>
              </w:rPr>
              <w:t>-enhancing lesions</w:t>
            </w:r>
          </w:p>
          <w:p w14:paraId="12DF959D" w14:textId="77777777" w:rsidR="00862A88" w:rsidRPr="00424879" w:rsidRDefault="00862A88">
            <w:pPr>
              <w:widowControl w:val="0"/>
              <w:autoSpaceDE w:val="0"/>
              <w:autoSpaceDN w:val="0"/>
              <w:adjustRightInd w:val="0"/>
              <w:spacing w:line="256" w:lineRule="auto"/>
              <w:ind w:left="142"/>
              <w:rPr>
                <w:color w:val="000000"/>
                <w:sz w:val="22"/>
                <w:szCs w:val="22"/>
              </w:rPr>
            </w:pPr>
            <w:r w:rsidRPr="00424879">
              <w:rPr>
                <w:color w:val="000000"/>
                <w:sz w:val="22"/>
                <w:szCs w:val="22"/>
              </w:rPr>
              <w:t xml:space="preserve">at </w:t>
            </w:r>
            <w:proofErr w:type="spellStart"/>
            <w:r w:rsidRPr="00424879">
              <w:rPr>
                <w:color w:val="000000"/>
                <w:sz w:val="22"/>
                <w:szCs w:val="22"/>
              </w:rPr>
              <w:t>month</w:t>
            </w:r>
            <w:proofErr w:type="spellEnd"/>
            <w:r w:rsidRPr="00424879">
              <w:rPr>
                <w:color w:val="000000"/>
                <w:sz w:val="22"/>
                <w:szCs w:val="22"/>
              </w:rPr>
              <w:t xml:space="preserve"> 24</w:t>
            </w:r>
          </w:p>
        </w:tc>
        <w:tc>
          <w:tcPr>
            <w:tcW w:w="1844" w:type="dxa"/>
            <w:tcBorders>
              <w:top w:val="single" w:sz="4" w:space="0" w:color="000000"/>
              <w:left w:val="single" w:sz="4" w:space="0" w:color="000000"/>
              <w:bottom w:val="single" w:sz="4" w:space="0" w:color="000000"/>
              <w:right w:val="single" w:sz="4" w:space="0" w:color="000000"/>
            </w:tcBorders>
            <w:hideMark/>
          </w:tcPr>
          <w:p w14:paraId="267B74D7" w14:textId="77777777" w:rsidR="00862A88" w:rsidRPr="00424879" w:rsidRDefault="00862A88">
            <w:pPr>
              <w:widowControl w:val="0"/>
              <w:autoSpaceDE w:val="0"/>
              <w:autoSpaceDN w:val="0"/>
              <w:adjustRightInd w:val="0"/>
              <w:spacing w:line="256" w:lineRule="auto"/>
              <w:ind w:left="176"/>
              <w:rPr>
                <w:color w:val="000000"/>
                <w:sz w:val="22"/>
                <w:szCs w:val="22"/>
              </w:rPr>
            </w:pPr>
            <w:r w:rsidRPr="00424879">
              <w:rPr>
                <w:color w:val="000000"/>
                <w:sz w:val="22"/>
                <w:szCs w:val="22"/>
              </w:rPr>
              <w:t>0.0 (</w:t>
            </w:r>
            <w:proofErr w:type="gramStart"/>
            <w:r w:rsidRPr="00424879">
              <w:rPr>
                <w:color w:val="000000"/>
                <w:sz w:val="22"/>
                <w:szCs w:val="22"/>
              </w:rPr>
              <w:t>0.2)*</w:t>
            </w:r>
            <w:proofErr w:type="gramEnd"/>
            <w:r w:rsidRPr="00424879">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hideMark/>
          </w:tcPr>
          <w:p w14:paraId="693E168C" w14:textId="77777777" w:rsidR="00862A88" w:rsidRPr="00424879" w:rsidRDefault="00862A88">
            <w:pPr>
              <w:widowControl w:val="0"/>
              <w:autoSpaceDE w:val="0"/>
              <w:autoSpaceDN w:val="0"/>
              <w:adjustRightInd w:val="0"/>
              <w:spacing w:line="256" w:lineRule="auto"/>
              <w:ind w:left="312"/>
              <w:rPr>
                <w:color w:val="000000"/>
                <w:sz w:val="22"/>
                <w:szCs w:val="22"/>
              </w:rPr>
            </w:pPr>
            <w:r w:rsidRPr="00424879">
              <w:rPr>
                <w:color w:val="000000"/>
                <w:sz w:val="22"/>
                <w:szCs w:val="22"/>
              </w:rPr>
              <w:t>0.0 (1.1)</w:t>
            </w:r>
          </w:p>
        </w:tc>
      </w:tr>
      <w:tr w:rsidR="00862A88" w:rsidRPr="00424879" w14:paraId="6A7E6C29" w14:textId="77777777" w:rsidTr="006F268E">
        <w:trPr>
          <w:trHeight w:val="520"/>
        </w:trPr>
        <w:tc>
          <w:tcPr>
            <w:tcW w:w="4645" w:type="dxa"/>
            <w:tcBorders>
              <w:top w:val="single" w:sz="4" w:space="0" w:color="000000"/>
              <w:left w:val="single" w:sz="4" w:space="0" w:color="000000"/>
              <w:bottom w:val="single" w:sz="4" w:space="0" w:color="000000"/>
              <w:right w:val="single" w:sz="4" w:space="0" w:color="000000"/>
            </w:tcBorders>
            <w:hideMark/>
          </w:tcPr>
          <w:p w14:paraId="61CF41B1" w14:textId="77777777" w:rsidR="00862A88" w:rsidRPr="00424879" w:rsidRDefault="00862A88">
            <w:pPr>
              <w:widowControl w:val="0"/>
              <w:autoSpaceDE w:val="0"/>
              <w:autoSpaceDN w:val="0"/>
              <w:adjustRightInd w:val="0"/>
              <w:spacing w:line="256" w:lineRule="auto"/>
              <w:ind w:left="142"/>
              <w:rPr>
                <w:color w:val="000000"/>
                <w:sz w:val="22"/>
                <w:szCs w:val="22"/>
                <w:lang w:val="en-US"/>
              </w:rPr>
            </w:pPr>
            <w:r w:rsidRPr="00424879">
              <w:rPr>
                <w:color w:val="000000"/>
                <w:sz w:val="22"/>
                <w:szCs w:val="22"/>
                <w:lang w:val="en-US"/>
              </w:rPr>
              <w:t>Median (mean) % change in brain volume over</w:t>
            </w:r>
          </w:p>
          <w:p w14:paraId="6718145E" w14:textId="77777777" w:rsidR="00862A88" w:rsidRPr="00424879" w:rsidRDefault="00862A88">
            <w:pPr>
              <w:widowControl w:val="0"/>
              <w:autoSpaceDE w:val="0"/>
              <w:autoSpaceDN w:val="0"/>
              <w:adjustRightInd w:val="0"/>
              <w:spacing w:line="256" w:lineRule="auto"/>
              <w:ind w:left="142"/>
              <w:rPr>
                <w:color w:val="000000"/>
                <w:sz w:val="22"/>
                <w:szCs w:val="22"/>
              </w:rPr>
            </w:pPr>
            <w:r w:rsidRPr="00424879">
              <w:rPr>
                <w:color w:val="000000"/>
                <w:sz w:val="22"/>
                <w:szCs w:val="22"/>
              </w:rPr>
              <w:t xml:space="preserve">24 </w:t>
            </w:r>
            <w:proofErr w:type="spellStart"/>
            <w:r w:rsidRPr="00424879">
              <w:rPr>
                <w:color w:val="000000"/>
                <w:sz w:val="22"/>
                <w:szCs w:val="22"/>
              </w:rPr>
              <w:t>months</w:t>
            </w:r>
            <w:proofErr w:type="spellEnd"/>
          </w:p>
        </w:tc>
        <w:tc>
          <w:tcPr>
            <w:tcW w:w="1844" w:type="dxa"/>
            <w:tcBorders>
              <w:top w:val="single" w:sz="4" w:space="0" w:color="000000"/>
              <w:left w:val="single" w:sz="4" w:space="0" w:color="000000"/>
              <w:bottom w:val="single" w:sz="4" w:space="0" w:color="000000"/>
              <w:right w:val="single" w:sz="4" w:space="0" w:color="000000"/>
            </w:tcBorders>
            <w:hideMark/>
          </w:tcPr>
          <w:p w14:paraId="21D237A9" w14:textId="77777777" w:rsidR="00862A88" w:rsidRPr="00424879" w:rsidRDefault="00862A88">
            <w:pPr>
              <w:widowControl w:val="0"/>
              <w:autoSpaceDE w:val="0"/>
              <w:autoSpaceDN w:val="0"/>
              <w:adjustRightInd w:val="0"/>
              <w:spacing w:line="256" w:lineRule="auto"/>
              <w:ind w:left="176"/>
              <w:rPr>
                <w:color w:val="000000"/>
                <w:sz w:val="22"/>
                <w:szCs w:val="22"/>
              </w:rPr>
            </w:pPr>
            <w:r w:rsidRPr="00424879">
              <w:rPr>
                <w:color w:val="000000"/>
                <w:sz w:val="22"/>
                <w:szCs w:val="22"/>
              </w:rPr>
              <w:t>-0.7 (-0.</w:t>
            </w:r>
            <w:proofErr w:type="gramStart"/>
            <w:r w:rsidRPr="00424879">
              <w:rPr>
                <w:color w:val="000000"/>
                <w:sz w:val="22"/>
                <w:szCs w:val="22"/>
              </w:rPr>
              <w:t>8)*</w:t>
            </w:r>
            <w:proofErr w:type="gramEnd"/>
            <w:r w:rsidRPr="00424879">
              <w:rPr>
                <w:color w:val="000000"/>
                <w:sz w:val="22"/>
                <w:szCs w:val="22"/>
              </w:rPr>
              <w:t>*</w:t>
            </w:r>
          </w:p>
        </w:tc>
        <w:tc>
          <w:tcPr>
            <w:tcW w:w="1843" w:type="dxa"/>
            <w:tcBorders>
              <w:top w:val="single" w:sz="4" w:space="0" w:color="000000"/>
              <w:left w:val="single" w:sz="4" w:space="0" w:color="000000"/>
              <w:bottom w:val="single" w:sz="4" w:space="0" w:color="000000"/>
              <w:right w:val="single" w:sz="4" w:space="0" w:color="000000"/>
            </w:tcBorders>
            <w:hideMark/>
          </w:tcPr>
          <w:p w14:paraId="18AE1C3F" w14:textId="77777777" w:rsidR="00862A88" w:rsidRPr="00424879" w:rsidRDefault="00862A88">
            <w:pPr>
              <w:widowControl w:val="0"/>
              <w:autoSpaceDE w:val="0"/>
              <w:autoSpaceDN w:val="0"/>
              <w:adjustRightInd w:val="0"/>
              <w:spacing w:line="256" w:lineRule="auto"/>
              <w:ind w:left="312"/>
              <w:rPr>
                <w:color w:val="000000"/>
                <w:sz w:val="22"/>
                <w:szCs w:val="22"/>
              </w:rPr>
            </w:pPr>
            <w:r w:rsidRPr="00424879">
              <w:rPr>
                <w:color w:val="000000"/>
                <w:sz w:val="22"/>
                <w:szCs w:val="22"/>
              </w:rPr>
              <w:t>-1.0 (-1.3)</w:t>
            </w:r>
          </w:p>
        </w:tc>
      </w:tr>
      <w:tr w:rsidR="00862A88" w:rsidRPr="00A74CF9" w14:paraId="71017385" w14:textId="77777777" w:rsidTr="006F268E">
        <w:trPr>
          <w:trHeight w:val="779"/>
        </w:trPr>
        <w:tc>
          <w:tcPr>
            <w:tcW w:w="8332" w:type="dxa"/>
            <w:gridSpan w:val="3"/>
            <w:tcBorders>
              <w:top w:val="single" w:sz="4" w:space="0" w:color="000000"/>
              <w:left w:val="single" w:sz="4" w:space="0" w:color="000000"/>
              <w:bottom w:val="single" w:sz="4" w:space="0" w:color="000000"/>
              <w:right w:val="single" w:sz="4" w:space="0" w:color="000000"/>
            </w:tcBorders>
            <w:hideMark/>
          </w:tcPr>
          <w:p w14:paraId="0F08417B" w14:textId="77777777" w:rsidR="00862A88" w:rsidRPr="00424879" w:rsidRDefault="00862A88" w:rsidP="00424879">
            <w:pPr>
              <w:widowControl w:val="0"/>
              <w:autoSpaceDE w:val="0"/>
              <w:autoSpaceDN w:val="0"/>
              <w:adjustRightInd w:val="0"/>
              <w:spacing w:line="256" w:lineRule="auto"/>
              <w:ind w:left="568" w:hanging="425"/>
              <w:rPr>
                <w:color w:val="000000"/>
                <w:sz w:val="22"/>
                <w:szCs w:val="22"/>
                <w:lang w:val="en-US"/>
              </w:rPr>
            </w:pPr>
            <w:r w:rsidRPr="00424879">
              <w:rPr>
                <w:color w:val="000000"/>
                <w:sz w:val="22"/>
                <w:szCs w:val="22"/>
                <w:lang w:val="en-US"/>
              </w:rPr>
              <w:t>†</w:t>
            </w:r>
            <w:r w:rsidRPr="00424879">
              <w:rPr>
                <w:color w:val="000000"/>
                <w:sz w:val="22"/>
                <w:szCs w:val="22"/>
                <w:lang w:val="en-US"/>
              </w:rPr>
              <w:tab/>
              <w:t>Disability progression defined as 1-point increase in EDSS confirmed 3 months later</w:t>
            </w:r>
          </w:p>
          <w:p w14:paraId="4AC4C454" w14:textId="77777777" w:rsidR="00862A88" w:rsidRPr="00424879" w:rsidRDefault="00862A88" w:rsidP="00424879">
            <w:pPr>
              <w:widowControl w:val="0"/>
              <w:autoSpaceDE w:val="0"/>
              <w:autoSpaceDN w:val="0"/>
              <w:adjustRightInd w:val="0"/>
              <w:spacing w:line="256" w:lineRule="auto"/>
              <w:ind w:left="568" w:hanging="425"/>
              <w:rPr>
                <w:color w:val="000000"/>
                <w:sz w:val="22"/>
                <w:szCs w:val="22"/>
                <w:lang w:val="en-US"/>
              </w:rPr>
            </w:pPr>
            <w:r w:rsidRPr="00424879">
              <w:rPr>
                <w:color w:val="000000"/>
                <w:sz w:val="22"/>
                <w:szCs w:val="22"/>
                <w:lang w:val="en-US"/>
              </w:rPr>
              <w:t>**</w:t>
            </w:r>
            <w:r w:rsidRPr="00424879">
              <w:rPr>
                <w:color w:val="000000"/>
                <w:sz w:val="22"/>
                <w:szCs w:val="22"/>
                <w:lang w:val="en-US"/>
              </w:rPr>
              <w:tab/>
              <w:t>p&lt;0.001, *p&lt;0.05 compared to placebo</w:t>
            </w:r>
          </w:p>
          <w:p w14:paraId="79ACB0A4" w14:textId="77777777" w:rsidR="00862A88" w:rsidRPr="00424879" w:rsidRDefault="00862A88" w:rsidP="00424879">
            <w:pPr>
              <w:widowControl w:val="0"/>
              <w:autoSpaceDE w:val="0"/>
              <w:autoSpaceDN w:val="0"/>
              <w:adjustRightInd w:val="0"/>
              <w:spacing w:line="256" w:lineRule="auto"/>
              <w:ind w:left="568" w:hanging="425"/>
              <w:rPr>
                <w:color w:val="000000"/>
                <w:sz w:val="22"/>
                <w:szCs w:val="22"/>
                <w:lang w:val="en-US"/>
              </w:rPr>
            </w:pPr>
            <w:r w:rsidRPr="00424879">
              <w:rPr>
                <w:color w:val="000000"/>
                <w:sz w:val="22"/>
                <w:szCs w:val="22"/>
                <w:lang w:val="en-US"/>
              </w:rPr>
              <w:t>All analyses of clinical endpoints were intent-to-</w:t>
            </w:r>
            <w:proofErr w:type="gramStart"/>
            <w:r w:rsidRPr="00424879">
              <w:rPr>
                <w:color w:val="000000"/>
                <w:sz w:val="22"/>
                <w:szCs w:val="22"/>
                <w:lang w:val="en-US"/>
              </w:rPr>
              <w:t>treat</w:t>
            </w:r>
            <w:proofErr w:type="gramEnd"/>
            <w:r w:rsidRPr="00424879">
              <w:rPr>
                <w:color w:val="000000"/>
                <w:sz w:val="22"/>
                <w:szCs w:val="22"/>
                <w:lang w:val="en-US"/>
              </w:rPr>
              <w:t>. MRI analyses used evaluable dataset.</w:t>
            </w:r>
          </w:p>
        </w:tc>
      </w:tr>
    </w:tbl>
    <w:p w14:paraId="5FB99D8A" w14:textId="77777777" w:rsidR="00862A88" w:rsidRPr="009907F8" w:rsidRDefault="00862A88" w:rsidP="006F268E">
      <w:pPr>
        <w:widowControl w:val="0"/>
        <w:autoSpaceDE w:val="0"/>
        <w:autoSpaceDN w:val="0"/>
        <w:adjustRightInd w:val="0"/>
        <w:ind w:left="851"/>
        <w:rPr>
          <w:color w:val="000000"/>
          <w:sz w:val="24"/>
          <w:szCs w:val="24"/>
          <w:highlight w:val="yellow"/>
          <w:u w:val="single"/>
          <w:lang w:val="en-GB" w:eastAsia="sl-SI"/>
        </w:rPr>
      </w:pPr>
    </w:p>
    <w:p w14:paraId="48E0C628" w14:textId="3738B05C" w:rsidR="00862A88" w:rsidRPr="009907F8" w:rsidRDefault="00862A88" w:rsidP="006F268E">
      <w:pPr>
        <w:widowControl w:val="0"/>
        <w:autoSpaceDE w:val="0"/>
        <w:autoSpaceDN w:val="0"/>
        <w:adjustRightInd w:val="0"/>
        <w:ind w:left="851"/>
        <w:rPr>
          <w:color w:val="000000"/>
          <w:sz w:val="24"/>
          <w:szCs w:val="24"/>
          <w:lang w:val="en-US"/>
        </w:rPr>
      </w:pPr>
      <w:r w:rsidRPr="009907F8">
        <w:rPr>
          <w:color w:val="000000"/>
          <w:sz w:val="24"/>
          <w:szCs w:val="24"/>
          <w:lang w:val="en-US"/>
        </w:rPr>
        <w:t>Patients who completed the 24-month core FREEDOMS study could enter a dose-blinded extension study (D2301E1) and receive fingolimod. In total, 920 patients entered (n=331 continued on 0.5 mg, 289 continued on 1.25 mg, 155 switched from placebo to 0.5 mg and 145 switched from placebo to</w:t>
      </w:r>
      <w:r w:rsidR="00424879">
        <w:rPr>
          <w:color w:val="000000"/>
          <w:sz w:val="24"/>
          <w:szCs w:val="24"/>
          <w:lang w:val="en-US"/>
        </w:rPr>
        <w:t xml:space="preserve"> </w:t>
      </w:r>
      <w:r w:rsidRPr="009907F8">
        <w:rPr>
          <w:color w:val="000000"/>
          <w:sz w:val="24"/>
          <w:szCs w:val="24"/>
          <w:lang w:val="en-US"/>
        </w:rPr>
        <w:t xml:space="preserve">1.25 mg). After 12 months (month 36), 856 patients (93%) were still enrolled. Between months 24 and 36, the </w:t>
      </w:r>
      <w:proofErr w:type="spellStart"/>
      <w:r w:rsidRPr="009907F8">
        <w:rPr>
          <w:color w:val="000000"/>
          <w:sz w:val="24"/>
          <w:szCs w:val="24"/>
          <w:lang w:val="en-US"/>
        </w:rPr>
        <w:t>annualised</w:t>
      </w:r>
      <w:proofErr w:type="spellEnd"/>
      <w:r w:rsidRPr="009907F8">
        <w:rPr>
          <w:color w:val="000000"/>
          <w:sz w:val="24"/>
          <w:szCs w:val="24"/>
          <w:lang w:val="en-US"/>
        </w:rPr>
        <w:t xml:space="preserve"> relapse rate (ARR) for patients on fingolimod 0.5 mg in the core study who remained on 0.5 mg was 0.17 (0.21 in the core study). The ARR for patients who switched from placebo to fingolimod 0.5 mg was 0.22 (0.42 in the core study).</w:t>
      </w:r>
    </w:p>
    <w:p w14:paraId="721ED85A" w14:textId="77777777" w:rsidR="00862A88" w:rsidRPr="009907F8" w:rsidRDefault="00862A88" w:rsidP="006F268E">
      <w:pPr>
        <w:widowControl w:val="0"/>
        <w:autoSpaceDE w:val="0"/>
        <w:autoSpaceDN w:val="0"/>
        <w:adjustRightInd w:val="0"/>
        <w:ind w:left="851"/>
        <w:rPr>
          <w:color w:val="000000"/>
          <w:sz w:val="24"/>
          <w:szCs w:val="24"/>
          <w:lang w:val="en-US"/>
        </w:rPr>
      </w:pPr>
    </w:p>
    <w:p w14:paraId="245EDD26" w14:textId="77777777" w:rsidR="00862A88" w:rsidRPr="009907F8" w:rsidRDefault="00862A88" w:rsidP="006F268E">
      <w:pPr>
        <w:widowControl w:val="0"/>
        <w:autoSpaceDE w:val="0"/>
        <w:autoSpaceDN w:val="0"/>
        <w:adjustRightInd w:val="0"/>
        <w:ind w:left="851"/>
        <w:rPr>
          <w:color w:val="000000"/>
          <w:sz w:val="24"/>
          <w:szCs w:val="24"/>
          <w:lang w:val="en-US"/>
        </w:rPr>
      </w:pPr>
      <w:r w:rsidRPr="009907F8">
        <w:rPr>
          <w:color w:val="000000"/>
          <w:sz w:val="24"/>
          <w:szCs w:val="24"/>
          <w:lang w:val="en-US"/>
        </w:rPr>
        <w:t xml:space="preserve">Comparable results were shown in a replicate 2-year </w:t>
      </w:r>
      <w:proofErr w:type="spellStart"/>
      <w:r w:rsidRPr="009907F8">
        <w:rPr>
          <w:color w:val="000000"/>
          <w:sz w:val="24"/>
          <w:szCs w:val="24"/>
          <w:lang w:val="en-US"/>
        </w:rPr>
        <w:t>randomised</w:t>
      </w:r>
      <w:proofErr w:type="spellEnd"/>
      <w:r w:rsidRPr="009907F8">
        <w:rPr>
          <w:color w:val="000000"/>
          <w:sz w:val="24"/>
          <w:szCs w:val="24"/>
          <w:lang w:val="en-US"/>
        </w:rPr>
        <w:t>, double-blind, placebo-controlled Phase III study on fingolimod in 1,083 patients (n=358 on 0.5 mg, 370 on 1.25 mg, 355 on placebo) with RRMS (D2309; FREEDOMS 2). Median values for baseline characteristics were: age 41 years, disease duration 8.9 years, EDSS score 2.5.</w:t>
      </w:r>
    </w:p>
    <w:p w14:paraId="6656B65F" w14:textId="77777777" w:rsidR="00862A88" w:rsidRPr="009907F8" w:rsidRDefault="00862A88" w:rsidP="006F268E">
      <w:pPr>
        <w:widowControl w:val="0"/>
        <w:autoSpaceDE w:val="0"/>
        <w:autoSpaceDN w:val="0"/>
        <w:adjustRightInd w:val="0"/>
        <w:ind w:left="851"/>
        <w:rPr>
          <w:color w:val="000000"/>
          <w:sz w:val="24"/>
          <w:szCs w:val="24"/>
          <w:u w:val="single"/>
          <w:lang w:val="en-GB"/>
        </w:rPr>
      </w:pPr>
    </w:p>
    <w:p w14:paraId="279F43DD" w14:textId="6C5713C9" w:rsidR="00862A88" w:rsidRPr="009907F8" w:rsidRDefault="00862A88" w:rsidP="006F268E">
      <w:pPr>
        <w:widowControl w:val="0"/>
        <w:autoSpaceDE w:val="0"/>
        <w:autoSpaceDN w:val="0"/>
        <w:adjustRightInd w:val="0"/>
        <w:ind w:left="851"/>
        <w:rPr>
          <w:i/>
          <w:color w:val="000000"/>
          <w:sz w:val="24"/>
          <w:szCs w:val="24"/>
          <w:lang w:val="en-GB"/>
        </w:rPr>
      </w:pPr>
      <w:r w:rsidRPr="009907F8">
        <w:rPr>
          <w:i/>
          <w:color w:val="000000"/>
          <w:sz w:val="24"/>
          <w:szCs w:val="24"/>
          <w:lang w:val="en-GB"/>
        </w:rPr>
        <w:t>Table 2</w:t>
      </w:r>
      <w:r w:rsidR="006F268E" w:rsidRPr="009907F8">
        <w:rPr>
          <w:i/>
          <w:color w:val="000000"/>
          <w:sz w:val="24"/>
          <w:szCs w:val="24"/>
          <w:lang w:val="en-GB"/>
        </w:rPr>
        <w:t xml:space="preserve">. </w:t>
      </w:r>
      <w:r w:rsidRPr="009907F8">
        <w:rPr>
          <w:i/>
          <w:color w:val="000000"/>
          <w:sz w:val="24"/>
          <w:szCs w:val="24"/>
          <w:lang w:val="en-GB"/>
        </w:rPr>
        <w:t>Study D2309 (FREEDOMS 2): main results</w:t>
      </w:r>
    </w:p>
    <w:tbl>
      <w:tblPr>
        <w:tblW w:w="0" w:type="auto"/>
        <w:tblInd w:w="846" w:type="dxa"/>
        <w:tblLayout w:type="fixed"/>
        <w:tblCellMar>
          <w:left w:w="0" w:type="dxa"/>
          <w:right w:w="0" w:type="dxa"/>
        </w:tblCellMar>
        <w:tblLook w:val="04A0" w:firstRow="1" w:lastRow="0" w:firstColumn="1" w:lastColumn="0" w:noHBand="0" w:noVBand="1"/>
      </w:tblPr>
      <w:tblGrid>
        <w:gridCol w:w="4501"/>
        <w:gridCol w:w="1892"/>
        <w:gridCol w:w="1937"/>
      </w:tblGrid>
      <w:tr w:rsidR="00862A88" w:rsidRPr="00424879" w14:paraId="70107DD4" w14:textId="77777777" w:rsidTr="006F268E">
        <w:trPr>
          <w:trHeight w:val="520"/>
        </w:trPr>
        <w:tc>
          <w:tcPr>
            <w:tcW w:w="4501" w:type="dxa"/>
            <w:tcBorders>
              <w:top w:val="single" w:sz="4" w:space="0" w:color="000000"/>
              <w:left w:val="single" w:sz="4" w:space="0" w:color="000000"/>
              <w:bottom w:val="single" w:sz="4" w:space="0" w:color="000000"/>
              <w:right w:val="single" w:sz="4" w:space="0" w:color="000000"/>
            </w:tcBorders>
          </w:tcPr>
          <w:p w14:paraId="23FB3799" w14:textId="77777777" w:rsidR="00862A88" w:rsidRPr="00424879" w:rsidRDefault="00862A88">
            <w:pPr>
              <w:widowControl w:val="0"/>
              <w:numPr>
                <w:ilvl w:val="12"/>
                <w:numId w:val="0"/>
              </w:numPr>
              <w:tabs>
                <w:tab w:val="left" w:pos="567"/>
              </w:tabs>
              <w:spacing w:line="260" w:lineRule="exact"/>
              <w:ind w:left="142" w:right="-2"/>
              <w:rPr>
                <w:sz w:val="22"/>
                <w:szCs w:val="22"/>
                <w:u w:val="single"/>
                <w:lang w:val="sl-SI" w:eastAsia="en-US"/>
              </w:rPr>
            </w:pPr>
          </w:p>
        </w:tc>
        <w:tc>
          <w:tcPr>
            <w:tcW w:w="1892" w:type="dxa"/>
            <w:tcBorders>
              <w:top w:val="single" w:sz="4" w:space="0" w:color="000000"/>
              <w:left w:val="single" w:sz="4" w:space="0" w:color="000000"/>
              <w:bottom w:val="single" w:sz="4" w:space="0" w:color="000000"/>
              <w:right w:val="single" w:sz="4" w:space="0" w:color="000000"/>
            </w:tcBorders>
            <w:hideMark/>
          </w:tcPr>
          <w:p w14:paraId="7790B8E7" w14:textId="77777777" w:rsidR="00862A88" w:rsidRPr="00424879" w:rsidRDefault="00862A88">
            <w:pPr>
              <w:widowControl w:val="0"/>
              <w:numPr>
                <w:ilvl w:val="12"/>
                <w:numId w:val="0"/>
              </w:numPr>
              <w:tabs>
                <w:tab w:val="left" w:pos="567"/>
              </w:tabs>
              <w:spacing w:line="260" w:lineRule="exact"/>
              <w:ind w:left="178" w:right="-2"/>
              <w:rPr>
                <w:b/>
                <w:bCs/>
                <w:sz w:val="22"/>
                <w:szCs w:val="22"/>
                <w:lang w:eastAsia="en-US"/>
              </w:rPr>
            </w:pPr>
            <w:proofErr w:type="spellStart"/>
            <w:r w:rsidRPr="00424879">
              <w:rPr>
                <w:b/>
                <w:bCs/>
                <w:sz w:val="22"/>
                <w:szCs w:val="22"/>
                <w:lang w:eastAsia="en-US"/>
              </w:rPr>
              <w:t>Fingolimod</w:t>
            </w:r>
            <w:proofErr w:type="spellEnd"/>
          </w:p>
          <w:p w14:paraId="06126B56" w14:textId="77777777" w:rsidR="00862A88" w:rsidRPr="00424879" w:rsidRDefault="00862A88">
            <w:pPr>
              <w:widowControl w:val="0"/>
              <w:numPr>
                <w:ilvl w:val="12"/>
                <w:numId w:val="0"/>
              </w:numPr>
              <w:tabs>
                <w:tab w:val="left" w:pos="567"/>
              </w:tabs>
              <w:spacing w:line="260" w:lineRule="exact"/>
              <w:ind w:left="178" w:right="-2"/>
              <w:rPr>
                <w:b/>
                <w:bCs/>
                <w:sz w:val="22"/>
                <w:szCs w:val="22"/>
                <w:u w:val="single"/>
                <w:lang w:eastAsia="en-US"/>
              </w:rPr>
            </w:pPr>
            <w:r w:rsidRPr="00424879">
              <w:rPr>
                <w:b/>
                <w:bCs/>
                <w:sz w:val="22"/>
                <w:szCs w:val="22"/>
                <w:lang w:eastAsia="en-US"/>
              </w:rPr>
              <w:t>0.5 mg</w:t>
            </w:r>
          </w:p>
        </w:tc>
        <w:tc>
          <w:tcPr>
            <w:tcW w:w="1937" w:type="dxa"/>
            <w:tcBorders>
              <w:top w:val="single" w:sz="4" w:space="0" w:color="000000"/>
              <w:left w:val="single" w:sz="4" w:space="0" w:color="000000"/>
              <w:bottom w:val="single" w:sz="4" w:space="0" w:color="000000"/>
              <w:right w:val="single" w:sz="4" w:space="0" w:color="000000"/>
            </w:tcBorders>
            <w:hideMark/>
          </w:tcPr>
          <w:p w14:paraId="0BAC67A3" w14:textId="77777777" w:rsidR="00862A88" w:rsidRPr="00424879" w:rsidRDefault="00862A88">
            <w:pPr>
              <w:widowControl w:val="0"/>
              <w:numPr>
                <w:ilvl w:val="12"/>
                <w:numId w:val="0"/>
              </w:numPr>
              <w:tabs>
                <w:tab w:val="left" w:pos="567"/>
              </w:tabs>
              <w:spacing w:line="260" w:lineRule="exact"/>
              <w:ind w:left="125" w:right="-2"/>
              <w:rPr>
                <w:b/>
                <w:bCs/>
                <w:sz w:val="22"/>
                <w:szCs w:val="22"/>
                <w:lang w:eastAsia="en-US"/>
              </w:rPr>
            </w:pPr>
            <w:r w:rsidRPr="00424879">
              <w:rPr>
                <w:b/>
                <w:bCs/>
                <w:sz w:val="22"/>
                <w:szCs w:val="22"/>
                <w:lang w:eastAsia="en-US"/>
              </w:rPr>
              <w:t>Placebo</w:t>
            </w:r>
          </w:p>
        </w:tc>
      </w:tr>
      <w:tr w:rsidR="00862A88" w:rsidRPr="00424879" w14:paraId="07206227" w14:textId="77777777" w:rsidTr="006F268E">
        <w:trPr>
          <w:trHeight w:val="258"/>
        </w:trPr>
        <w:tc>
          <w:tcPr>
            <w:tcW w:w="8330" w:type="dxa"/>
            <w:gridSpan w:val="3"/>
            <w:tcBorders>
              <w:top w:val="single" w:sz="4" w:space="0" w:color="000000"/>
              <w:left w:val="single" w:sz="4" w:space="0" w:color="000000"/>
              <w:bottom w:val="single" w:sz="4" w:space="0" w:color="000000"/>
              <w:right w:val="single" w:sz="4" w:space="0" w:color="000000"/>
            </w:tcBorders>
            <w:hideMark/>
          </w:tcPr>
          <w:p w14:paraId="43B80EE6" w14:textId="77777777" w:rsidR="00862A88" w:rsidRPr="00424879" w:rsidRDefault="00862A88">
            <w:pPr>
              <w:widowControl w:val="0"/>
              <w:numPr>
                <w:ilvl w:val="12"/>
                <w:numId w:val="0"/>
              </w:numPr>
              <w:tabs>
                <w:tab w:val="left" w:pos="567"/>
              </w:tabs>
              <w:spacing w:line="260" w:lineRule="exact"/>
              <w:ind w:left="125" w:right="-2"/>
              <w:rPr>
                <w:sz w:val="22"/>
                <w:szCs w:val="22"/>
                <w:lang w:eastAsia="en-US"/>
              </w:rPr>
            </w:pPr>
            <w:proofErr w:type="spellStart"/>
            <w:r w:rsidRPr="00424879">
              <w:rPr>
                <w:b/>
                <w:bCs/>
                <w:sz w:val="22"/>
                <w:szCs w:val="22"/>
                <w:lang w:eastAsia="en-US"/>
              </w:rPr>
              <w:t>Clinical</w:t>
            </w:r>
            <w:proofErr w:type="spellEnd"/>
            <w:r w:rsidRPr="00424879">
              <w:rPr>
                <w:b/>
                <w:bCs/>
                <w:sz w:val="22"/>
                <w:szCs w:val="22"/>
                <w:lang w:eastAsia="en-US"/>
              </w:rPr>
              <w:t xml:space="preserve"> </w:t>
            </w:r>
            <w:proofErr w:type="spellStart"/>
            <w:r w:rsidRPr="00424879">
              <w:rPr>
                <w:b/>
                <w:bCs/>
                <w:sz w:val="22"/>
                <w:szCs w:val="22"/>
                <w:lang w:eastAsia="en-US"/>
              </w:rPr>
              <w:t>endpoints</w:t>
            </w:r>
            <w:proofErr w:type="spellEnd"/>
          </w:p>
        </w:tc>
      </w:tr>
      <w:tr w:rsidR="00862A88" w:rsidRPr="00424879" w14:paraId="428785B6" w14:textId="77777777" w:rsidTr="006F268E">
        <w:trPr>
          <w:trHeight w:val="261"/>
        </w:trPr>
        <w:tc>
          <w:tcPr>
            <w:tcW w:w="4501" w:type="dxa"/>
            <w:tcBorders>
              <w:top w:val="single" w:sz="4" w:space="0" w:color="000000"/>
              <w:left w:val="single" w:sz="4" w:space="0" w:color="000000"/>
              <w:bottom w:val="single" w:sz="4" w:space="0" w:color="000000"/>
              <w:right w:val="single" w:sz="4" w:space="0" w:color="000000"/>
            </w:tcBorders>
            <w:hideMark/>
          </w:tcPr>
          <w:p w14:paraId="0062286C"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proofErr w:type="spellStart"/>
            <w:r w:rsidRPr="00424879">
              <w:rPr>
                <w:sz w:val="22"/>
                <w:szCs w:val="22"/>
                <w:lang w:val="en-US" w:eastAsia="en-US"/>
              </w:rPr>
              <w:t>Annualised</w:t>
            </w:r>
            <w:proofErr w:type="spellEnd"/>
            <w:r w:rsidRPr="00424879">
              <w:rPr>
                <w:sz w:val="22"/>
                <w:szCs w:val="22"/>
                <w:lang w:val="en-US" w:eastAsia="en-US"/>
              </w:rPr>
              <w:t xml:space="preserve"> relapse rate (primary endpoint)</w:t>
            </w:r>
          </w:p>
        </w:tc>
        <w:tc>
          <w:tcPr>
            <w:tcW w:w="1892" w:type="dxa"/>
            <w:tcBorders>
              <w:top w:val="single" w:sz="4" w:space="0" w:color="000000"/>
              <w:left w:val="single" w:sz="4" w:space="0" w:color="000000"/>
              <w:bottom w:val="single" w:sz="4" w:space="0" w:color="000000"/>
              <w:right w:val="single" w:sz="4" w:space="0" w:color="000000"/>
            </w:tcBorders>
            <w:hideMark/>
          </w:tcPr>
          <w:p w14:paraId="50B557D4" w14:textId="77777777" w:rsidR="00862A88" w:rsidRPr="00424879" w:rsidRDefault="00862A88">
            <w:pPr>
              <w:widowControl w:val="0"/>
              <w:numPr>
                <w:ilvl w:val="12"/>
                <w:numId w:val="0"/>
              </w:numPr>
              <w:tabs>
                <w:tab w:val="left" w:pos="567"/>
              </w:tabs>
              <w:spacing w:line="260" w:lineRule="exact"/>
              <w:ind w:left="178" w:right="-2"/>
              <w:rPr>
                <w:sz w:val="22"/>
                <w:szCs w:val="22"/>
                <w:u w:val="single"/>
                <w:lang w:eastAsia="en-US"/>
              </w:rPr>
            </w:pPr>
            <w:r w:rsidRPr="00424879">
              <w:rPr>
                <w:sz w:val="22"/>
                <w:szCs w:val="22"/>
                <w:u w:val="single"/>
                <w:lang w:eastAsia="en-US"/>
              </w:rPr>
              <w:t>0.21**</w:t>
            </w:r>
          </w:p>
        </w:tc>
        <w:tc>
          <w:tcPr>
            <w:tcW w:w="1937" w:type="dxa"/>
            <w:tcBorders>
              <w:top w:val="single" w:sz="4" w:space="0" w:color="000000"/>
              <w:left w:val="single" w:sz="4" w:space="0" w:color="000000"/>
              <w:bottom w:val="single" w:sz="4" w:space="0" w:color="000000"/>
              <w:right w:val="single" w:sz="4" w:space="0" w:color="000000"/>
            </w:tcBorders>
            <w:hideMark/>
          </w:tcPr>
          <w:p w14:paraId="57F73A61" w14:textId="77777777" w:rsidR="00862A88" w:rsidRPr="00424879" w:rsidRDefault="00862A88">
            <w:pPr>
              <w:widowControl w:val="0"/>
              <w:numPr>
                <w:ilvl w:val="12"/>
                <w:numId w:val="0"/>
              </w:numPr>
              <w:tabs>
                <w:tab w:val="left" w:pos="567"/>
              </w:tabs>
              <w:spacing w:line="260" w:lineRule="exact"/>
              <w:ind w:left="125" w:right="-2"/>
              <w:rPr>
                <w:sz w:val="22"/>
                <w:szCs w:val="22"/>
                <w:u w:val="single"/>
                <w:lang w:eastAsia="en-US"/>
              </w:rPr>
            </w:pPr>
            <w:r w:rsidRPr="00424879">
              <w:rPr>
                <w:sz w:val="22"/>
                <w:szCs w:val="22"/>
                <w:u w:val="single"/>
                <w:lang w:eastAsia="en-US"/>
              </w:rPr>
              <w:t>0.40</w:t>
            </w:r>
          </w:p>
        </w:tc>
      </w:tr>
      <w:tr w:rsidR="00862A88" w:rsidRPr="00424879" w14:paraId="3D00B418" w14:textId="77777777" w:rsidTr="006F268E">
        <w:trPr>
          <w:trHeight w:val="520"/>
        </w:trPr>
        <w:tc>
          <w:tcPr>
            <w:tcW w:w="4501" w:type="dxa"/>
            <w:tcBorders>
              <w:top w:val="single" w:sz="4" w:space="0" w:color="000000"/>
              <w:left w:val="single" w:sz="4" w:space="0" w:color="000000"/>
              <w:bottom w:val="single" w:sz="4" w:space="0" w:color="000000"/>
              <w:right w:val="single" w:sz="4" w:space="0" w:color="000000"/>
            </w:tcBorders>
            <w:hideMark/>
          </w:tcPr>
          <w:p w14:paraId="6421753A"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Percentage of patients remaining relapse-free at 24 months</w:t>
            </w:r>
          </w:p>
        </w:tc>
        <w:tc>
          <w:tcPr>
            <w:tcW w:w="1892" w:type="dxa"/>
            <w:tcBorders>
              <w:top w:val="single" w:sz="4" w:space="0" w:color="000000"/>
              <w:left w:val="single" w:sz="4" w:space="0" w:color="000000"/>
              <w:bottom w:val="single" w:sz="4" w:space="0" w:color="000000"/>
              <w:right w:val="single" w:sz="4" w:space="0" w:color="000000"/>
            </w:tcBorders>
            <w:hideMark/>
          </w:tcPr>
          <w:p w14:paraId="729B114D" w14:textId="77777777" w:rsidR="00862A88" w:rsidRPr="00424879" w:rsidRDefault="00862A88">
            <w:pPr>
              <w:widowControl w:val="0"/>
              <w:numPr>
                <w:ilvl w:val="12"/>
                <w:numId w:val="0"/>
              </w:numPr>
              <w:tabs>
                <w:tab w:val="left" w:pos="567"/>
              </w:tabs>
              <w:spacing w:line="260" w:lineRule="exact"/>
              <w:ind w:left="178" w:right="-2"/>
              <w:rPr>
                <w:sz w:val="22"/>
                <w:szCs w:val="22"/>
                <w:u w:val="single"/>
                <w:lang w:eastAsia="en-US"/>
              </w:rPr>
            </w:pPr>
            <w:r w:rsidRPr="00424879">
              <w:rPr>
                <w:sz w:val="22"/>
                <w:szCs w:val="22"/>
                <w:u w:val="single"/>
                <w:lang w:eastAsia="en-US"/>
              </w:rPr>
              <w:t>71.5%**</w:t>
            </w:r>
          </w:p>
        </w:tc>
        <w:tc>
          <w:tcPr>
            <w:tcW w:w="1937" w:type="dxa"/>
            <w:tcBorders>
              <w:top w:val="single" w:sz="4" w:space="0" w:color="000000"/>
              <w:left w:val="single" w:sz="4" w:space="0" w:color="000000"/>
              <w:bottom w:val="single" w:sz="4" w:space="0" w:color="000000"/>
              <w:right w:val="single" w:sz="4" w:space="0" w:color="000000"/>
            </w:tcBorders>
            <w:hideMark/>
          </w:tcPr>
          <w:p w14:paraId="41F3B201" w14:textId="77777777" w:rsidR="00862A88" w:rsidRPr="00424879" w:rsidRDefault="00862A88">
            <w:pPr>
              <w:widowControl w:val="0"/>
              <w:numPr>
                <w:ilvl w:val="12"/>
                <w:numId w:val="0"/>
              </w:numPr>
              <w:tabs>
                <w:tab w:val="left" w:pos="567"/>
              </w:tabs>
              <w:spacing w:line="260" w:lineRule="exact"/>
              <w:ind w:left="125" w:right="-2"/>
              <w:rPr>
                <w:sz w:val="22"/>
                <w:szCs w:val="22"/>
                <w:u w:val="single"/>
                <w:lang w:eastAsia="en-US"/>
              </w:rPr>
            </w:pPr>
            <w:r w:rsidRPr="00424879">
              <w:rPr>
                <w:sz w:val="22"/>
                <w:szCs w:val="22"/>
                <w:u w:val="single"/>
                <w:lang w:eastAsia="en-US"/>
              </w:rPr>
              <w:t>52.7%</w:t>
            </w:r>
          </w:p>
        </w:tc>
      </w:tr>
      <w:tr w:rsidR="00862A88" w:rsidRPr="00424879" w14:paraId="0C0A36E0" w14:textId="77777777" w:rsidTr="006F268E">
        <w:trPr>
          <w:trHeight w:val="519"/>
        </w:trPr>
        <w:tc>
          <w:tcPr>
            <w:tcW w:w="4501" w:type="dxa"/>
            <w:tcBorders>
              <w:top w:val="single" w:sz="4" w:space="0" w:color="000000"/>
              <w:left w:val="single" w:sz="4" w:space="0" w:color="000000"/>
              <w:bottom w:val="nil"/>
              <w:right w:val="single" w:sz="4" w:space="0" w:color="000000"/>
            </w:tcBorders>
            <w:hideMark/>
          </w:tcPr>
          <w:p w14:paraId="5F09CD7D"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Proportion with 3-month Confirmed Disability</w:t>
            </w:r>
          </w:p>
          <w:p w14:paraId="161D2D46"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Progression†</w:t>
            </w:r>
          </w:p>
        </w:tc>
        <w:tc>
          <w:tcPr>
            <w:tcW w:w="1892" w:type="dxa"/>
            <w:tcBorders>
              <w:top w:val="single" w:sz="4" w:space="0" w:color="000000"/>
              <w:left w:val="single" w:sz="4" w:space="0" w:color="000000"/>
              <w:bottom w:val="nil"/>
              <w:right w:val="single" w:sz="4" w:space="0" w:color="000000"/>
            </w:tcBorders>
            <w:hideMark/>
          </w:tcPr>
          <w:p w14:paraId="785E8961" w14:textId="77777777" w:rsidR="00862A88" w:rsidRPr="00424879" w:rsidRDefault="00862A88">
            <w:pPr>
              <w:widowControl w:val="0"/>
              <w:numPr>
                <w:ilvl w:val="12"/>
                <w:numId w:val="0"/>
              </w:numPr>
              <w:tabs>
                <w:tab w:val="left" w:pos="567"/>
              </w:tabs>
              <w:spacing w:line="260" w:lineRule="exact"/>
              <w:ind w:left="178" w:right="-2"/>
              <w:rPr>
                <w:sz w:val="22"/>
                <w:szCs w:val="22"/>
                <w:u w:val="single"/>
                <w:lang w:eastAsia="en-US"/>
              </w:rPr>
            </w:pPr>
            <w:r w:rsidRPr="00424879">
              <w:rPr>
                <w:sz w:val="22"/>
                <w:szCs w:val="22"/>
                <w:u w:val="single"/>
                <w:lang w:eastAsia="en-US"/>
              </w:rPr>
              <w:t>25%</w:t>
            </w:r>
          </w:p>
        </w:tc>
        <w:tc>
          <w:tcPr>
            <w:tcW w:w="1937" w:type="dxa"/>
            <w:vMerge w:val="restart"/>
            <w:tcBorders>
              <w:top w:val="single" w:sz="4" w:space="0" w:color="000000"/>
              <w:left w:val="single" w:sz="4" w:space="0" w:color="000000"/>
              <w:bottom w:val="single" w:sz="4" w:space="0" w:color="000000"/>
              <w:right w:val="single" w:sz="4" w:space="0" w:color="000000"/>
            </w:tcBorders>
            <w:hideMark/>
          </w:tcPr>
          <w:p w14:paraId="5DC93BDB" w14:textId="77777777" w:rsidR="00862A88" w:rsidRPr="00424879" w:rsidRDefault="00862A88">
            <w:pPr>
              <w:widowControl w:val="0"/>
              <w:numPr>
                <w:ilvl w:val="12"/>
                <w:numId w:val="0"/>
              </w:numPr>
              <w:tabs>
                <w:tab w:val="left" w:pos="567"/>
              </w:tabs>
              <w:spacing w:line="260" w:lineRule="exact"/>
              <w:ind w:left="125" w:right="-2"/>
              <w:rPr>
                <w:sz w:val="22"/>
                <w:szCs w:val="22"/>
                <w:u w:val="single"/>
                <w:lang w:eastAsia="en-US"/>
              </w:rPr>
            </w:pPr>
            <w:r w:rsidRPr="00424879">
              <w:rPr>
                <w:sz w:val="22"/>
                <w:szCs w:val="22"/>
                <w:u w:val="single"/>
                <w:lang w:eastAsia="en-US"/>
              </w:rPr>
              <w:t>29%</w:t>
            </w:r>
          </w:p>
        </w:tc>
      </w:tr>
      <w:tr w:rsidR="00862A88" w:rsidRPr="00424879" w14:paraId="6BB5760F" w14:textId="77777777" w:rsidTr="006F268E">
        <w:trPr>
          <w:trHeight w:val="250"/>
        </w:trPr>
        <w:tc>
          <w:tcPr>
            <w:tcW w:w="4501" w:type="dxa"/>
            <w:tcBorders>
              <w:top w:val="nil"/>
              <w:left w:val="single" w:sz="4" w:space="0" w:color="000000"/>
              <w:bottom w:val="single" w:sz="4" w:space="0" w:color="000000"/>
              <w:right w:val="single" w:sz="4" w:space="0" w:color="000000"/>
            </w:tcBorders>
            <w:hideMark/>
          </w:tcPr>
          <w:p w14:paraId="7EE7DB94" w14:textId="77777777" w:rsidR="00862A88" w:rsidRPr="00424879" w:rsidRDefault="00862A88">
            <w:pPr>
              <w:widowControl w:val="0"/>
              <w:numPr>
                <w:ilvl w:val="12"/>
                <w:numId w:val="0"/>
              </w:numPr>
              <w:tabs>
                <w:tab w:val="left" w:pos="567"/>
              </w:tabs>
              <w:spacing w:line="260" w:lineRule="exact"/>
              <w:ind w:left="142" w:right="-2"/>
              <w:rPr>
                <w:sz w:val="22"/>
                <w:szCs w:val="22"/>
                <w:lang w:eastAsia="en-US"/>
              </w:rPr>
            </w:pPr>
            <w:proofErr w:type="spellStart"/>
            <w:r w:rsidRPr="00424879">
              <w:rPr>
                <w:sz w:val="22"/>
                <w:szCs w:val="22"/>
                <w:lang w:eastAsia="en-US"/>
              </w:rPr>
              <w:t>Hazard</w:t>
            </w:r>
            <w:proofErr w:type="spellEnd"/>
            <w:r w:rsidRPr="00424879">
              <w:rPr>
                <w:sz w:val="22"/>
                <w:szCs w:val="22"/>
                <w:lang w:eastAsia="en-US"/>
              </w:rPr>
              <w:t xml:space="preserve"> ratio (95% CI)</w:t>
            </w:r>
          </w:p>
        </w:tc>
        <w:tc>
          <w:tcPr>
            <w:tcW w:w="1892" w:type="dxa"/>
            <w:tcBorders>
              <w:top w:val="nil"/>
              <w:left w:val="single" w:sz="4" w:space="0" w:color="000000"/>
              <w:bottom w:val="single" w:sz="4" w:space="0" w:color="000000"/>
              <w:right w:val="single" w:sz="4" w:space="0" w:color="000000"/>
            </w:tcBorders>
            <w:hideMark/>
          </w:tcPr>
          <w:p w14:paraId="1FDFC36A" w14:textId="77777777" w:rsidR="00862A88" w:rsidRPr="00424879" w:rsidRDefault="00862A88">
            <w:pPr>
              <w:widowControl w:val="0"/>
              <w:numPr>
                <w:ilvl w:val="12"/>
                <w:numId w:val="0"/>
              </w:numPr>
              <w:tabs>
                <w:tab w:val="left" w:pos="567"/>
              </w:tabs>
              <w:spacing w:line="260" w:lineRule="exact"/>
              <w:ind w:left="178" w:right="-2"/>
              <w:rPr>
                <w:sz w:val="22"/>
                <w:szCs w:val="22"/>
                <w:u w:val="single"/>
                <w:lang w:eastAsia="en-US"/>
              </w:rPr>
            </w:pPr>
            <w:r w:rsidRPr="00424879">
              <w:rPr>
                <w:sz w:val="22"/>
                <w:szCs w:val="22"/>
                <w:u w:val="single"/>
                <w:lang w:eastAsia="en-US"/>
              </w:rPr>
              <w:t>0.83 (0.61, 1.12)</w:t>
            </w:r>
          </w:p>
        </w:tc>
        <w:tc>
          <w:tcPr>
            <w:tcW w:w="1937" w:type="dxa"/>
            <w:vMerge/>
            <w:tcBorders>
              <w:top w:val="single" w:sz="4" w:space="0" w:color="000000"/>
              <w:left w:val="single" w:sz="4" w:space="0" w:color="000000"/>
              <w:bottom w:val="single" w:sz="4" w:space="0" w:color="000000"/>
              <w:right w:val="single" w:sz="4" w:space="0" w:color="000000"/>
            </w:tcBorders>
            <w:vAlign w:val="center"/>
            <w:hideMark/>
          </w:tcPr>
          <w:p w14:paraId="66587CB7" w14:textId="77777777" w:rsidR="00862A88" w:rsidRPr="00424879" w:rsidRDefault="00862A88">
            <w:pPr>
              <w:spacing w:line="256" w:lineRule="auto"/>
              <w:rPr>
                <w:sz w:val="22"/>
                <w:szCs w:val="22"/>
                <w:u w:val="single"/>
                <w:lang w:val="sl-SI" w:eastAsia="en-US"/>
              </w:rPr>
            </w:pPr>
          </w:p>
        </w:tc>
      </w:tr>
      <w:tr w:rsidR="00862A88" w:rsidRPr="00424879" w14:paraId="435A072E" w14:textId="77777777" w:rsidTr="006F268E">
        <w:trPr>
          <w:trHeight w:val="258"/>
        </w:trPr>
        <w:tc>
          <w:tcPr>
            <w:tcW w:w="8330" w:type="dxa"/>
            <w:gridSpan w:val="3"/>
            <w:tcBorders>
              <w:top w:val="single" w:sz="4" w:space="0" w:color="000000"/>
              <w:left w:val="single" w:sz="4" w:space="0" w:color="000000"/>
              <w:bottom w:val="single" w:sz="4" w:space="0" w:color="000000"/>
              <w:right w:val="single" w:sz="4" w:space="0" w:color="000000"/>
            </w:tcBorders>
            <w:hideMark/>
          </w:tcPr>
          <w:p w14:paraId="2B7F07C6" w14:textId="77777777" w:rsidR="00862A88" w:rsidRPr="00424879" w:rsidRDefault="00862A88">
            <w:pPr>
              <w:widowControl w:val="0"/>
              <w:numPr>
                <w:ilvl w:val="12"/>
                <w:numId w:val="0"/>
              </w:numPr>
              <w:tabs>
                <w:tab w:val="left" w:pos="567"/>
              </w:tabs>
              <w:spacing w:line="260" w:lineRule="exact"/>
              <w:ind w:left="125" w:right="-2"/>
              <w:rPr>
                <w:sz w:val="22"/>
                <w:szCs w:val="22"/>
                <w:lang w:eastAsia="en-US"/>
              </w:rPr>
            </w:pPr>
            <w:r w:rsidRPr="00424879">
              <w:rPr>
                <w:b/>
                <w:bCs/>
                <w:sz w:val="22"/>
                <w:szCs w:val="22"/>
                <w:lang w:eastAsia="en-US"/>
              </w:rPr>
              <w:t xml:space="preserve">MRI </w:t>
            </w:r>
            <w:proofErr w:type="spellStart"/>
            <w:r w:rsidRPr="00424879">
              <w:rPr>
                <w:b/>
                <w:bCs/>
                <w:sz w:val="22"/>
                <w:szCs w:val="22"/>
                <w:lang w:eastAsia="en-US"/>
              </w:rPr>
              <w:t>endpoints</w:t>
            </w:r>
            <w:proofErr w:type="spellEnd"/>
          </w:p>
        </w:tc>
      </w:tr>
      <w:tr w:rsidR="00862A88" w:rsidRPr="00424879" w14:paraId="7C52733E" w14:textId="77777777" w:rsidTr="006F268E">
        <w:trPr>
          <w:trHeight w:val="520"/>
        </w:trPr>
        <w:tc>
          <w:tcPr>
            <w:tcW w:w="4501" w:type="dxa"/>
            <w:tcBorders>
              <w:top w:val="single" w:sz="4" w:space="0" w:color="000000"/>
              <w:left w:val="single" w:sz="4" w:space="0" w:color="000000"/>
              <w:bottom w:val="single" w:sz="4" w:space="0" w:color="000000"/>
              <w:right w:val="single" w:sz="4" w:space="0" w:color="000000"/>
            </w:tcBorders>
            <w:hideMark/>
          </w:tcPr>
          <w:p w14:paraId="6FD237CA"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Median (mean) number of new or enlarging T2 lesions over 24 months</w:t>
            </w:r>
          </w:p>
        </w:tc>
        <w:tc>
          <w:tcPr>
            <w:tcW w:w="1892" w:type="dxa"/>
            <w:tcBorders>
              <w:top w:val="single" w:sz="4" w:space="0" w:color="000000"/>
              <w:left w:val="single" w:sz="4" w:space="0" w:color="000000"/>
              <w:bottom w:val="single" w:sz="4" w:space="0" w:color="000000"/>
              <w:right w:val="single" w:sz="4" w:space="0" w:color="000000"/>
            </w:tcBorders>
            <w:hideMark/>
          </w:tcPr>
          <w:p w14:paraId="6EB3368B" w14:textId="77777777" w:rsidR="00862A88" w:rsidRPr="00424879" w:rsidRDefault="00862A88">
            <w:pPr>
              <w:widowControl w:val="0"/>
              <w:numPr>
                <w:ilvl w:val="12"/>
                <w:numId w:val="0"/>
              </w:numPr>
              <w:tabs>
                <w:tab w:val="left" w:pos="567"/>
              </w:tabs>
              <w:spacing w:line="260" w:lineRule="exact"/>
              <w:ind w:left="178" w:right="-2"/>
              <w:rPr>
                <w:sz w:val="22"/>
                <w:szCs w:val="22"/>
                <w:u w:val="single"/>
                <w:lang w:eastAsia="en-US"/>
              </w:rPr>
            </w:pPr>
            <w:r w:rsidRPr="00424879">
              <w:rPr>
                <w:sz w:val="22"/>
                <w:szCs w:val="22"/>
                <w:u w:val="single"/>
                <w:lang w:eastAsia="en-US"/>
              </w:rPr>
              <w:t>0.0 (</w:t>
            </w:r>
            <w:proofErr w:type="gramStart"/>
            <w:r w:rsidRPr="00424879">
              <w:rPr>
                <w:sz w:val="22"/>
                <w:szCs w:val="22"/>
                <w:u w:val="single"/>
                <w:lang w:eastAsia="en-US"/>
              </w:rPr>
              <w:t>2.3)*</w:t>
            </w:r>
            <w:proofErr w:type="gramEnd"/>
            <w:r w:rsidRPr="00424879">
              <w:rPr>
                <w:sz w:val="22"/>
                <w:szCs w:val="22"/>
                <w:u w:val="single"/>
                <w:lang w:eastAsia="en-US"/>
              </w:rPr>
              <w:t>*</w:t>
            </w:r>
          </w:p>
        </w:tc>
        <w:tc>
          <w:tcPr>
            <w:tcW w:w="1937" w:type="dxa"/>
            <w:tcBorders>
              <w:top w:val="single" w:sz="4" w:space="0" w:color="000000"/>
              <w:left w:val="single" w:sz="4" w:space="0" w:color="000000"/>
              <w:bottom w:val="single" w:sz="4" w:space="0" w:color="000000"/>
              <w:right w:val="single" w:sz="4" w:space="0" w:color="000000"/>
            </w:tcBorders>
            <w:hideMark/>
          </w:tcPr>
          <w:p w14:paraId="6C405D91" w14:textId="77777777" w:rsidR="00862A88" w:rsidRPr="00424879" w:rsidRDefault="00862A88">
            <w:pPr>
              <w:widowControl w:val="0"/>
              <w:numPr>
                <w:ilvl w:val="12"/>
                <w:numId w:val="0"/>
              </w:numPr>
              <w:tabs>
                <w:tab w:val="left" w:pos="567"/>
              </w:tabs>
              <w:spacing w:line="260" w:lineRule="exact"/>
              <w:ind w:left="125" w:right="-2"/>
              <w:rPr>
                <w:sz w:val="22"/>
                <w:szCs w:val="22"/>
                <w:u w:val="single"/>
                <w:lang w:eastAsia="en-US"/>
              </w:rPr>
            </w:pPr>
            <w:r w:rsidRPr="00424879">
              <w:rPr>
                <w:sz w:val="22"/>
                <w:szCs w:val="22"/>
                <w:u w:val="single"/>
                <w:lang w:eastAsia="en-US"/>
              </w:rPr>
              <w:t>4.0 (8.9)</w:t>
            </w:r>
          </w:p>
        </w:tc>
      </w:tr>
      <w:tr w:rsidR="00862A88" w:rsidRPr="00424879" w14:paraId="173886F7" w14:textId="77777777" w:rsidTr="006F268E">
        <w:trPr>
          <w:trHeight w:val="517"/>
        </w:trPr>
        <w:tc>
          <w:tcPr>
            <w:tcW w:w="4501" w:type="dxa"/>
            <w:tcBorders>
              <w:top w:val="single" w:sz="4" w:space="0" w:color="000000"/>
              <w:left w:val="single" w:sz="4" w:space="0" w:color="000000"/>
              <w:bottom w:val="single" w:sz="4" w:space="0" w:color="000000"/>
              <w:right w:val="single" w:sz="4" w:space="0" w:color="000000"/>
            </w:tcBorders>
            <w:hideMark/>
          </w:tcPr>
          <w:p w14:paraId="021BFD33"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 xml:space="preserve">Median (mean) number of </w:t>
            </w:r>
            <w:proofErr w:type="spellStart"/>
            <w:r w:rsidRPr="00424879">
              <w:rPr>
                <w:sz w:val="22"/>
                <w:szCs w:val="22"/>
                <w:lang w:val="en-US" w:eastAsia="en-US"/>
              </w:rPr>
              <w:t>Gd</w:t>
            </w:r>
            <w:proofErr w:type="spellEnd"/>
            <w:r w:rsidRPr="00424879">
              <w:rPr>
                <w:sz w:val="22"/>
                <w:szCs w:val="22"/>
                <w:lang w:val="en-US" w:eastAsia="en-US"/>
              </w:rPr>
              <w:t>-enhancing lesions</w:t>
            </w:r>
          </w:p>
          <w:p w14:paraId="06CD41C2" w14:textId="77777777" w:rsidR="00862A88" w:rsidRPr="00424879" w:rsidRDefault="00862A88">
            <w:pPr>
              <w:widowControl w:val="0"/>
              <w:numPr>
                <w:ilvl w:val="12"/>
                <w:numId w:val="0"/>
              </w:numPr>
              <w:tabs>
                <w:tab w:val="left" w:pos="567"/>
              </w:tabs>
              <w:spacing w:line="260" w:lineRule="exact"/>
              <w:ind w:left="142" w:right="-2"/>
              <w:rPr>
                <w:sz w:val="22"/>
                <w:szCs w:val="22"/>
                <w:lang w:eastAsia="en-US"/>
              </w:rPr>
            </w:pPr>
            <w:r w:rsidRPr="00424879">
              <w:rPr>
                <w:sz w:val="22"/>
                <w:szCs w:val="22"/>
                <w:lang w:eastAsia="en-US"/>
              </w:rPr>
              <w:t xml:space="preserve">at </w:t>
            </w:r>
            <w:proofErr w:type="spellStart"/>
            <w:r w:rsidRPr="00424879">
              <w:rPr>
                <w:sz w:val="22"/>
                <w:szCs w:val="22"/>
                <w:lang w:eastAsia="en-US"/>
              </w:rPr>
              <w:t>month</w:t>
            </w:r>
            <w:proofErr w:type="spellEnd"/>
            <w:r w:rsidRPr="00424879">
              <w:rPr>
                <w:sz w:val="22"/>
                <w:szCs w:val="22"/>
                <w:lang w:eastAsia="en-US"/>
              </w:rPr>
              <w:t xml:space="preserve"> 24</w:t>
            </w:r>
          </w:p>
        </w:tc>
        <w:tc>
          <w:tcPr>
            <w:tcW w:w="1892" w:type="dxa"/>
            <w:tcBorders>
              <w:top w:val="single" w:sz="4" w:space="0" w:color="000000"/>
              <w:left w:val="single" w:sz="4" w:space="0" w:color="000000"/>
              <w:bottom w:val="single" w:sz="4" w:space="0" w:color="000000"/>
              <w:right w:val="single" w:sz="4" w:space="0" w:color="000000"/>
            </w:tcBorders>
            <w:hideMark/>
          </w:tcPr>
          <w:p w14:paraId="0B6053BF" w14:textId="77777777" w:rsidR="00862A88" w:rsidRPr="00424879" w:rsidRDefault="00862A88">
            <w:pPr>
              <w:widowControl w:val="0"/>
              <w:numPr>
                <w:ilvl w:val="12"/>
                <w:numId w:val="0"/>
              </w:numPr>
              <w:tabs>
                <w:tab w:val="left" w:pos="567"/>
              </w:tabs>
              <w:spacing w:line="260" w:lineRule="exact"/>
              <w:ind w:left="178" w:right="-2"/>
              <w:rPr>
                <w:sz w:val="22"/>
                <w:szCs w:val="22"/>
                <w:u w:val="single"/>
                <w:lang w:eastAsia="en-US"/>
              </w:rPr>
            </w:pPr>
            <w:r w:rsidRPr="00424879">
              <w:rPr>
                <w:sz w:val="22"/>
                <w:szCs w:val="22"/>
                <w:u w:val="single"/>
                <w:lang w:eastAsia="en-US"/>
              </w:rPr>
              <w:t>0.0 (</w:t>
            </w:r>
            <w:proofErr w:type="gramStart"/>
            <w:r w:rsidRPr="00424879">
              <w:rPr>
                <w:sz w:val="22"/>
                <w:szCs w:val="22"/>
                <w:u w:val="single"/>
                <w:lang w:eastAsia="en-US"/>
              </w:rPr>
              <w:t>0.4)*</w:t>
            </w:r>
            <w:proofErr w:type="gramEnd"/>
            <w:r w:rsidRPr="00424879">
              <w:rPr>
                <w:sz w:val="22"/>
                <w:szCs w:val="22"/>
                <w:u w:val="single"/>
                <w:lang w:eastAsia="en-US"/>
              </w:rPr>
              <w:t>*</w:t>
            </w:r>
          </w:p>
        </w:tc>
        <w:tc>
          <w:tcPr>
            <w:tcW w:w="1937" w:type="dxa"/>
            <w:tcBorders>
              <w:top w:val="single" w:sz="4" w:space="0" w:color="000000"/>
              <w:left w:val="single" w:sz="4" w:space="0" w:color="000000"/>
              <w:bottom w:val="single" w:sz="4" w:space="0" w:color="000000"/>
              <w:right w:val="single" w:sz="4" w:space="0" w:color="000000"/>
            </w:tcBorders>
            <w:hideMark/>
          </w:tcPr>
          <w:p w14:paraId="09798D90" w14:textId="77777777" w:rsidR="00862A88" w:rsidRPr="00424879" w:rsidRDefault="00862A88">
            <w:pPr>
              <w:widowControl w:val="0"/>
              <w:numPr>
                <w:ilvl w:val="12"/>
                <w:numId w:val="0"/>
              </w:numPr>
              <w:tabs>
                <w:tab w:val="left" w:pos="567"/>
              </w:tabs>
              <w:spacing w:line="260" w:lineRule="exact"/>
              <w:ind w:left="125" w:right="-2"/>
              <w:rPr>
                <w:sz w:val="22"/>
                <w:szCs w:val="22"/>
                <w:u w:val="single"/>
                <w:lang w:eastAsia="en-US"/>
              </w:rPr>
            </w:pPr>
            <w:r w:rsidRPr="00424879">
              <w:rPr>
                <w:sz w:val="22"/>
                <w:szCs w:val="22"/>
                <w:u w:val="single"/>
                <w:lang w:eastAsia="en-US"/>
              </w:rPr>
              <w:t>0.0 (1.2)</w:t>
            </w:r>
          </w:p>
        </w:tc>
      </w:tr>
      <w:tr w:rsidR="00862A88" w:rsidRPr="00424879" w14:paraId="5046784B" w14:textId="77777777" w:rsidTr="006F268E">
        <w:trPr>
          <w:trHeight w:val="520"/>
        </w:trPr>
        <w:tc>
          <w:tcPr>
            <w:tcW w:w="4501" w:type="dxa"/>
            <w:tcBorders>
              <w:top w:val="single" w:sz="4" w:space="0" w:color="000000"/>
              <w:left w:val="single" w:sz="4" w:space="0" w:color="000000"/>
              <w:bottom w:val="single" w:sz="4" w:space="0" w:color="000000"/>
              <w:right w:val="single" w:sz="4" w:space="0" w:color="000000"/>
            </w:tcBorders>
            <w:hideMark/>
          </w:tcPr>
          <w:p w14:paraId="6E9E6066"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Median (mean) % change in brain volume over</w:t>
            </w:r>
          </w:p>
          <w:p w14:paraId="4CE5203A" w14:textId="77777777" w:rsidR="00862A88" w:rsidRPr="00424879" w:rsidRDefault="00862A88">
            <w:pPr>
              <w:widowControl w:val="0"/>
              <w:numPr>
                <w:ilvl w:val="12"/>
                <w:numId w:val="0"/>
              </w:numPr>
              <w:tabs>
                <w:tab w:val="left" w:pos="567"/>
              </w:tabs>
              <w:spacing w:line="260" w:lineRule="exact"/>
              <w:ind w:left="142" w:right="-2"/>
              <w:rPr>
                <w:sz w:val="22"/>
                <w:szCs w:val="22"/>
                <w:lang w:eastAsia="en-US"/>
              </w:rPr>
            </w:pPr>
            <w:r w:rsidRPr="00424879">
              <w:rPr>
                <w:sz w:val="22"/>
                <w:szCs w:val="22"/>
                <w:lang w:eastAsia="en-US"/>
              </w:rPr>
              <w:t xml:space="preserve">24 </w:t>
            </w:r>
            <w:proofErr w:type="spellStart"/>
            <w:r w:rsidRPr="00424879">
              <w:rPr>
                <w:sz w:val="22"/>
                <w:szCs w:val="22"/>
                <w:lang w:eastAsia="en-US"/>
              </w:rPr>
              <w:t>months</w:t>
            </w:r>
            <w:proofErr w:type="spellEnd"/>
          </w:p>
        </w:tc>
        <w:tc>
          <w:tcPr>
            <w:tcW w:w="1892" w:type="dxa"/>
            <w:tcBorders>
              <w:top w:val="single" w:sz="4" w:space="0" w:color="000000"/>
              <w:left w:val="single" w:sz="4" w:space="0" w:color="000000"/>
              <w:bottom w:val="single" w:sz="4" w:space="0" w:color="000000"/>
              <w:right w:val="single" w:sz="4" w:space="0" w:color="000000"/>
            </w:tcBorders>
            <w:hideMark/>
          </w:tcPr>
          <w:p w14:paraId="0D123A59" w14:textId="77777777" w:rsidR="00862A88" w:rsidRPr="00424879" w:rsidRDefault="00862A88">
            <w:pPr>
              <w:widowControl w:val="0"/>
              <w:numPr>
                <w:ilvl w:val="12"/>
                <w:numId w:val="0"/>
              </w:numPr>
              <w:tabs>
                <w:tab w:val="left" w:pos="567"/>
              </w:tabs>
              <w:spacing w:line="260" w:lineRule="exact"/>
              <w:ind w:left="178" w:right="-2"/>
              <w:rPr>
                <w:sz w:val="22"/>
                <w:szCs w:val="22"/>
                <w:u w:val="single"/>
                <w:lang w:eastAsia="en-US"/>
              </w:rPr>
            </w:pPr>
            <w:r w:rsidRPr="00424879">
              <w:rPr>
                <w:sz w:val="22"/>
                <w:szCs w:val="22"/>
                <w:u w:val="single"/>
                <w:lang w:eastAsia="en-US"/>
              </w:rPr>
              <w:t>-0.71 (-0.</w:t>
            </w:r>
            <w:proofErr w:type="gramStart"/>
            <w:r w:rsidRPr="00424879">
              <w:rPr>
                <w:sz w:val="22"/>
                <w:szCs w:val="22"/>
                <w:u w:val="single"/>
                <w:lang w:eastAsia="en-US"/>
              </w:rPr>
              <w:t>86)*</w:t>
            </w:r>
            <w:proofErr w:type="gramEnd"/>
            <w:r w:rsidRPr="00424879">
              <w:rPr>
                <w:sz w:val="22"/>
                <w:szCs w:val="22"/>
                <w:u w:val="single"/>
                <w:lang w:eastAsia="en-US"/>
              </w:rPr>
              <w:t>*</w:t>
            </w:r>
          </w:p>
        </w:tc>
        <w:tc>
          <w:tcPr>
            <w:tcW w:w="1937" w:type="dxa"/>
            <w:tcBorders>
              <w:top w:val="single" w:sz="4" w:space="0" w:color="000000"/>
              <w:left w:val="single" w:sz="4" w:space="0" w:color="000000"/>
              <w:bottom w:val="single" w:sz="4" w:space="0" w:color="000000"/>
              <w:right w:val="single" w:sz="4" w:space="0" w:color="000000"/>
            </w:tcBorders>
            <w:hideMark/>
          </w:tcPr>
          <w:p w14:paraId="0F5523AE" w14:textId="77777777" w:rsidR="00862A88" w:rsidRPr="00424879" w:rsidRDefault="00862A88">
            <w:pPr>
              <w:widowControl w:val="0"/>
              <w:numPr>
                <w:ilvl w:val="12"/>
                <w:numId w:val="0"/>
              </w:numPr>
              <w:tabs>
                <w:tab w:val="left" w:pos="567"/>
              </w:tabs>
              <w:spacing w:line="260" w:lineRule="exact"/>
              <w:ind w:left="125" w:right="-2"/>
              <w:rPr>
                <w:sz w:val="22"/>
                <w:szCs w:val="22"/>
                <w:u w:val="single"/>
                <w:lang w:eastAsia="en-US"/>
              </w:rPr>
            </w:pPr>
            <w:r w:rsidRPr="00424879">
              <w:rPr>
                <w:sz w:val="22"/>
                <w:szCs w:val="22"/>
                <w:u w:val="single"/>
                <w:lang w:eastAsia="en-US"/>
              </w:rPr>
              <w:t>-1.02 (-1.28)</w:t>
            </w:r>
          </w:p>
        </w:tc>
      </w:tr>
      <w:tr w:rsidR="00862A88" w:rsidRPr="00A74CF9" w14:paraId="373628D2" w14:textId="77777777" w:rsidTr="006F268E">
        <w:trPr>
          <w:trHeight w:val="779"/>
        </w:trPr>
        <w:tc>
          <w:tcPr>
            <w:tcW w:w="8330" w:type="dxa"/>
            <w:gridSpan w:val="3"/>
            <w:tcBorders>
              <w:top w:val="single" w:sz="4" w:space="0" w:color="000000"/>
              <w:left w:val="single" w:sz="4" w:space="0" w:color="000000"/>
              <w:bottom w:val="single" w:sz="4" w:space="0" w:color="000000"/>
              <w:right w:val="single" w:sz="4" w:space="0" w:color="000000"/>
            </w:tcBorders>
            <w:hideMark/>
          </w:tcPr>
          <w:p w14:paraId="3A81A3EC" w14:textId="77777777" w:rsidR="00862A88" w:rsidRPr="00424879" w:rsidRDefault="00862A88">
            <w:pPr>
              <w:widowControl w:val="0"/>
              <w:numPr>
                <w:ilvl w:val="12"/>
                <w:numId w:val="0"/>
              </w:numPr>
              <w:tabs>
                <w:tab w:val="left" w:pos="567"/>
              </w:tabs>
              <w:spacing w:line="260" w:lineRule="exact"/>
              <w:ind w:right="-2"/>
              <w:rPr>
                <w:sz w:val="22"/>
                <w:szCs w:val="22"/>
                <w:lang w:val="en-US" w:eastAsia="en-US"/>
              </w:rPr>
            </w:pPr>
            <w:r w:rsidRPr="00424879">
              <w:rPr>
                <w:sz w:val="22"/>
                <w:szCs w:val="22"/>
                <w:lang w:val="en-US" w:eastAsia="en-US"/>
              </w:rPr>
              <w:t>†</w:t>
            </w:r>
            <w:r w:rsidRPr="00424879">
              <w:rPr>
                <w:sz w:val="22"/>
                <w:szCs w:val="22"/>
                <w:lang w:val="en-US" w:eastAsia="en-US"/>
              </w:rPr>
              <w:tab/>
              <w:t>Disability progression defined as 1-point increase in EDSS confirmed 3 months later</w:t>
            </w:r>
          </w:p>
          <w:p w14:paraId="1A7A63F0" w14:textId="77777777" w:rsidR="00862A88" w:rsidRPr="00424879" w:rsidRDefault="00862A88">
            <w:pPr>
              <w:widowControl w:val="0"/>
              <w:numPr>
                <w:ilvl w:val="12"/>
                <w:numId w:val="0"/>
              </w:numPr>
              <w:tabs>
                <w:tab w:val="left" w:pos="567"/>
              </w:tabs>
              <w:spacing w:line="260" w:lineRule="exact"/>
              <w:ind w:right="-2"/>
              <w:rPr>
                <w:sz w:val="22"/>
                <w:szCs w:val="22"/>
                <w:lang w:val="en-US" w:eastAsia="en-US"/>
              </w:rPr>
            </w:pPr>
            <w:r w:rsidRPr="00424879">
              <w:rPr>
                <w:sz w:val="22"/>
                <w:szCs w:val="22"/>
                <w:lang w:val="en-US" w:eastAsia="en-US"/>
              </w:rPr>
              <w:t>**</w:t>
            </w:r>
            <w:r w:rsidRPr="00424879">
              <w:rPr>
                <w:sz w:val="22"/>
                <w:szCs w:val="22"/>
                <w:lang w:val="en-US" w:eastAsia="en-US"/>
              </w:rPr>
              <w:tab/>
              <w:t>p&lt;0.001 compared to placebo</w:t>
            </w:r>
          </w:p>
          <w:p w14:paraId="6458A170" w14:textId="77777777" w:rsidR="00862A88" w:rsidRPr="00424879" w:rsidRDefault="00862A88">
            <w:pPr>
              <w:widowControl w:val="0"/>
              <w:numPr>
                <w:ilvl w:val="12"/>
                <w:numId w:val="0"/>
              </w:numPr>
              <w:tabs>
                <w:tab w:val="left" w:pos="567"/>
              </w:tabs>
              <w:spacing w:line="260" w:lineRule="exact"/>
              <w:ind w:right="-2"/>
              <w:rPr>
                <w:sz w:val="22"/>
                <w:szCs w:val="22"/>
                <w:lang w:val="en-US" w:eastAsia="en-US"/>
              </w:rPr>
            </w:pPr>
            <w:r w:rsidRPr="00424879">
              <w:rPr>
                <w:sz w:val="22"/>
                <w:szCs w:val="22"/>
                <w:lang w:val="en-US" w:eastAsia="en-US"/>
              </w:rPr>
              <w:t>All analyses of clinical endpoints were intent-to-</w:t>
            </w:r>
            <w:proofErr w:type="gramStart"/>
            <w:r w:rsidRPr="00424879">
              <w:rPr>
                <w:sz w:val="22"/>
                <w:szCs w:val="22"/>
                <w:lang w:val="en-US" w:eastAsia="en-US"/>
              </w:rPr>
              <w:t>treat</w:t>
            </w:r>
            <w:proofErr w:type="gramEnd"/>
            <w:r w:rsidRPr="00424879">
              <w:rPr>
                <w:sz w:val="22"/>
                <w:szCs w:val="22"/>
                <w:lang w:val="en-US" w:eastAsia="en-US"/>
              </w:rPr>
              <w:t>. MRI analyses used evaluable dataset.</w:t>
            </w:r>
          </w:p>
        </w:tc>
      </w:tr>
    </w:tbl>
    <w:p w14:paraId="33C8BFAE" w14:textId="77777777" w:rsidR="00862A88" w:rsidRPr="009907F8" w:rsidRDefault="00862A88" w:rsidP="006F268E">
      <w:pPr>
        <w:widowControl w:val="0"/>
        <w:numPr>
          <w:ilvl w:val="12"/>
          <w:numId w:val="0"/>
        </w:numPr>
        <w:spacing w:line="260" w:lineRule="exact"/>
        <w:ind w:left="851" w:right="-2"/>
        <w:rPr>
          <w:sz w:val="24"/>
          <w:szCs w:val="24"/>
          <w:u w:val="single"/>
          <w:lang w:val="sl-SI" w:eastAsia="en-US"/>
        </w:rPr>
      </w:pPr>
    </w:p>
    <w:p w14:paraId="376E4350" w14:textId="77777777" w:rsidR="00862A88" w:rsidRPr="009907F8" w:rsidRDefault="00862A88" w:rsidP="006F268E">
      <w:pPr>
        <w:widowControl w:val="0"/>
        <w:numPr>
          <w:ilvl w:val="12"/>
          <w:numId w:val="0"/>
        </w:numPr>
        <w:spacing w:line="260" w:lineRule="exact"/>
        <w:ind w:left="851" w:right="-2"/>
        <w:rPr>
          <w:sz w:val="24"/>
          <w:szCs w:val="24"/>
          <w:lang w:val="en-US" w:eastAsia="en-US"/>
        </w:rPr>
      </w:pPr>
      <w:r w:rsidRPr="009907F8">
        <w:rPr>
          <w:sz w:val="24"/>
          <w:szCs w:val="24"/>
          <w:lang w:val="en-US" w:eastAsia="en-US"/>
        </w:rPr>
        <w:t xml:space="preserve">Study D2302 (TRANSFORMS) was a 1-year </w:t>
      </w:r>
      <w:proofErr w:type="spellStart"/>
      <w:r w:rsidRPr="009907F8">
        <w:rPr>
          <w:sz w:val="24"/>
          <w:szCs w:val="24"/>
          <w:lang w:val="en-US" w:eastAsia="en-US"/>
        </w:rPr>
        <w:t>randomised</w:t>
      </w:r>
      <w:proofErr w:type="spellEnd"/>
      <w:r w:rsidRPr="009907F8">
        <w:rPr>
          <w:sz w:val="24"/>
          <w:szCs w:val="24"/>
          <w:lang w:val="en-US" w:eastAsia="en-US"/>
        </w:rPr>
        <w:t>, double-blind, double-dummy, active (interferon beta-1a)-controlled Phase III study of 1,280 patients (n=429 on 0.5 mg, 420 on 1.25 mg, 431 on interferon beta-1a, 30 µg by intramuscular injection once weekly). Median values for baseline characteristics were: age 36 years, disease duration 5.9 years, and EDSS score 2.0. Outcome results are shown in Table 3. There were no significant differences between the 0.5 mg and the 1.25 mg doses as regards study endpoints.</w:t>
      </w:r>
    </w:p>
    <w:p w14:paraId="1C192A62" w14:textId="3D6A3C72" w:rsidR="00812980" w:rsidRDefault="00812980">
      <w:pPr>
        <w:rPr>
          <w:sz w:val="24"/>
          <w:szCs w:val="24"/>
          <w:u w:val="single"/>
          <w:lang w:val="en-US" w:eastAsia="en-US"/>
        </w:rPr>
      </w:pPr>
      <w:r>
        <w:rPr>
          <w:sz w:val="24"/>
          <w:szCs w:val="24"/>
          <w:u w:val="single"/>
          <w:lang w:val="en-US" w:eastAsia="en-US"/>
        </w:rPr>
        <w:br w:type="page"/>
      </w:r>
    </w:p>
    <w:p w14:paraId="2F9DBC74" w14:textId="77777777" w:rsidR="00862A88" w:rsidRPr="009907F8" w:rsidRDefault="00862A88" w:rsidP="006F268E">
      <w:pPr>
        <w:widowControl w:val="0"/>
        <w:numPr>
          <w:ilvl w:val="12"/>
          <w:numId w:val="0"/>
        </w:numPr>
        <w:spacing w:line="260" w:lineRule="exact"/>
        <w:ind w:left="851" w:right="-2"/>
        <w:rPr>
          <w:sz w:val="24"/>
          <w:szCs w:val="24"/>
          <w:u w:val="single"/>
          <w:lang w:val="en-US" w:eastAsia="en-US"/>
        </w:rPr>
      </w:pPr>
    </w:p>
    <w:p w14:paraId="0C7BAEAC" w14:textId="32A0B310" w:rsidR="00862A88" w:rsidRPr="009907F8" w:rsidRDefault="00862A88" w:rsidP="006F268E">
      <w:pPr>
        <w:widowControl w:val="0"/>
        <w:numPr>
          <w:ilvl w:val="12"/>
          <w:numId w:val="0"/>
        </w:numPr>
        <w:spacing w:line="260" w:lineRule="exact"/>
        <w:ind w:left="851" w:right="-2"/>
        <w:rPr>
          <w:bCs/>
          <w:i/>
          <w:sz w:val="24"/>
          <w:szCs w:val="24"/>
          <w:lang w:val="en-US" w:eastAsia="en-US"/>
        </w:rPr>
      </w:pPr>
      <w:r w:rsidRPr="009907F8">
        <w:rPr>
          <w:bCs/>
          <w:i/>
          <w:sz w:val="24"/>
          <w:szCs w:val="24"/>
          <w:lang w:val="en-US" w:eastAsia="en-US"/>
        </w:rPr>
        <w:t>Table 3</w:t>
      </w:r>
      <w:r w:rsidR="006F268E" w:rsidRPr="009907F8">
        <w:rPr>
          <w:bCs/>
          <w:i/>
          <w:sz w:val="24"/>
          <w:szCs w:val="24"/>
          <w:lang w:val="en-US" w:eastAsia="en-US"/>
        </w:rPr>
        <w:t>. S</w:t>
      </w:r>
      <w:r w:rsidRPr="009907F8">
        <w:rPr>
          <w:bCs/>
          <w:i/>
          <w:sz w:val="24"/>
          <w:szCs w:val="24"/>
          <w:lang w:val="en-US" w:eastAsia="en-US"/>
        </w:rPr>
        <w:t>tudy D2302 (TRANSFORMS): main results</w:t>
      </w:r>
    </w:p>
    <w:tbl>
      <w:tblPr>
        <w:tblW w:w="0" w:type="auto"/>
        <w:tblInd w:w="846" w:type="dxa"/>
        <w:tblLayout w:type="fixed"/>
        <w:tblCellMar>
          <w:left w:w="0" w:type="dxa"/>
          <w:right w:w="0" w:type="dxa"/>
        </w:tblCellMar>
        <w:tblLook w:val="04A0" w:firstRow="1" w:lastRow="0" w:firstColumn="1" w:lastColumn="0" w:noHBand="0" w:noVBand="1"/>
      </w:tblPr>
      <w:tblGrid>
        <w:gridCol w:w="4645"/>
        <w:gridCol w:w="1844"/>
        <w:gridCol w:w="2016"/>
      </w:tblGrid>
      <w:tr w:rsidR="00862A88" w:rsidRPr="00424879" w14:paraId="220E5670" w14:textId="77777777" w:rsidTr="006F268E">
        <w:trPr>
          <w:trHeight w:val="517"/>
        </w:trPr>
        <w:tc>
          <w:tcPr>
            <w:tcW w:w="4645" w:type="dxa"/>
            <w:tcBorders>
              <w:top w:val="single" w:sz="4" w:space="0" w:color="000000"/>
              <w:left w:val="single" w:sz="4" w:space="0" w:color="000000"/>
              <w:bottom w:val="single" w:sz="4" w:space="0" w:color="000000"/>
              <w:right w:val="single" w:sz="4" w:space="0" w:color="000000"/>
            </w:tcBorders>
          </w:tcPr>
          <w:p w14:paraId="7FE8B161" w14:textId="77777777" w:rsidR="00862A88" w:rsidRPr="00424879" w:rsidRDefault="00862A88">
            <w:pPr>
              <w:widowControl w:val="0"/>
              <w:numPr>
                <w:ilvl w:val="12"/>
                <w:numId w:val="0"/>
              </w:numPr>
              <w:tabs>
                <w:tab w:val="left" w:pos="567"/>
              </w:tabs>
              <w:spacing w:line="260" w:lineRule="exact"/>
              <w:ind w:left="142" w:right="-2"/>
              <w:rPr>
                <w:sz w:val="22"/>
                <w:szCs w:val="22"/>
                <w:u w:val="single"/>
                <w:lang w:val="en-US" w:eastAsia="en-US"/>
              </w:rPr>
            </w:pPr>
          </w:p>
        </w:tc>
        <w:tc>
          <w:tcPr>
            <w:tcW w:w="1844" w:type="dxa"/>
            <w:tcBorders>
              <w:top w:val="single" w:sz="4" w:space="0" w:color="000000"/>
              <w:left w:val="single" w:sz="4" w:space="0" w:color="000000"/>
              <w:bottom w:val="single" w:sz="4" w:space="0" w:color="000000"/>
              <w:right w:val="single" w:sz="4" w:space="0" w:color="000000"/>
            </w:tcBorders>
            <w:hideMark/>
          </w:tcPr>
          <w:p w14:paraId="1CE9DF96" w14:textId="77777777" w:rsidR="00862A88" w:rsidRPr="00424879" w:rsidRDefault="00862A88">
            <w:pPr>
              <w:widowControl w:val="0"/>
              <w:numPr>
                <w:ilvl w:val="12"/>
                <w:numId w:val="0"/>
              </w:numPr>
              <w:tabs>
                <w:tab w:val="left" w:pos="567"/>
              </w:tabs>
              <w:spacing w:line="260" w:lineRule="exact"/>
              <w:ind w:left="176" w:right="-2"/>
              <w:rPr>
                <w:b/>
                <w:bCs/>
                <w:sz w:val="22"/>
                <w:szCs w:val="22"/>
                <w:lang w:eastAsia="en-US"/>
              </w:rPr>
            </w:pPr>
            <w:proofErr w:type="spellStart"/>
            <w:r w:rsidRPr="00424879">
              <w:rPr>
                <w:b/>
                <w:bCs/>
                <w:sz w:val="22"/>
                <w:szCs w:val="22"/>
                <w:lang w:eastAsia="en-US"/>
              </w:rPr>
              <w:t>Fingolimod</w:t>
            </w:r>
            <w:proofErr w:type="spellEnd"/>
          </w:p>
          <w:p w14:paraId="53332F05" w14:textId="77777777" w:rsidR="00862A88" w:rsidRPr="00424879" w:rsidRDefault="00862A88">
            <w:pPr>
              <w:widowControl w:val="0"/>
              <w:numPr>
                <w:ilvl w:val="12"/>
                <w:numId w:val="0"/>
              </w:numPr>
              <w:tabs>
                <w:tab w:val="left" w:pos="567"/>
              </w:tabs>
              <w:spacing w:line="260" w:lineRule="exact"/>
              <w:ind w:left="176" w:right="-2"/>
              <w:rPr>
                <w:b/>
                <w:bCs/>
                <w:sz w:val="22"/>
                <w:szCs w:val="22"/>
                <w:u w:val="single"/>
                <w:lang w:eastAsia="en-US"/>
              </w:rPr>
            </w:pPr>
            <w:r w:rsidRPr="00424879">
              <w:rPr>
                <w:b/>
                <w:bCs/>
                <w:sz w:val="22"/>
                <w:szCs w:val="22"/>
                <w:lang w:eastAsia="en-US"/>
              </w:rPr>
              <w:t>0.5 mg</w:t>
            </w:r>
          </w:p>
        </w:tc>
        <w:tc>
          <w:tcPr>
            <w:tcW w:w="2016" w:type="dxa"/>
            <w:tcBorders>
              <w:top w:val="single" w:sz="4" w:space="0" w:color="000000"/>
              <w:left w:val="single" w:sz="4" w:space="0" w:color="000000"/>
              <w:bottom w:val="single" w:sz="4" w:space="0" w:color="000000"/>
              <w:right w:val="single" w:sz="4" w:space="0" w:color="000000"/>
            </w:tcBorders>
            <w:hideMark/>
          </w:tcPr>
          <w:p w14:paraId="6D9FAF20" w14:textId="77777777" w:rsidR="00862A88" w:rsidRPr="00424879" w:rsidRDefault="00862A88">
            <w:pPr>
              <w:widowControl w:val="0"/>
              <w:numPr>
                <w:ilvl w:val="12"/>
                <w:numId w:val="0"/>
              </w:numPr>
              <w:tabs>
                <w:tab w:val="left" w:pos="567"/>
              </w:tabs>
              <w:spacing w:line="260" w:lineRule="exact"/>
              <w:ind w:left="171" w:right="-2"/>
              <w:rPr>
                <w:b/>
                <w:bCs/>
                <w:sz w:val="22"/>
                <w:szCs w:val="22"/>
                <w:lang w:eastAsia="en-US"/>
              </w:rPr>
            </w:pPr>
            <w:r w:rsidRPr="00424879">
              <w:rPr>
                <w:b/>
                <w:bCs/>
                <w:sz w:val="22"/>
                <w:szCs w:val="22"/>
                <w:lang w:eastAsia="en-US"/>
              </w:rPr>
              <w:t>Interferon beta- 1a, 30 </w:t>
            </w:r>
            <w:proofErr w:type="spellStart"/>
            <w:r w:rsidRPr="00424879">
              <w:rPr>
                <w:b/>
                <w:bCs/>
                <w:sz w:val="22"/>
                <w:szCs w:val="22"/>
                <w:lang w:eastAsia="en-US"/>
              </w:rPr>
              <w:t>μg</w:t>
            </w:r>
            <w:proofErr w:type="spellEnd"/>
          </w:p>
        </w:tc>
      </w:tr>
      <w:tr w:rsidR="00862A88" w:rsidRPr="00424879" w14:paraId="54801171" w14:textId="77777777" w:rsidTr="006F268E">
        <w:trPr>
          <w:trHeight w:val="259"/>
        </w:trPr>
        <w:tc>
          <w:tcPr>
            <w:tcW w:w="8505" w:type="dxa"/>
            <w:gridSpan w:val="3"/>
            <w:tcBorders>
              <w:top w:val="single" w:sz="4" w:space="0" w:color="000000"/>
              <w:left w:val="single" w:sz="4" w:space="0" w:color="000000"/>
              <w:bottom w:val="single" w:sz="4" w:space="0" w:color="000000"/>
              <w:right w:val="single" w:sz="4" w:space="0" w:color="000000"/>
            </w:tcBorders>
            <w:hideMark/>
          </w:tcPr>
          <w:p w14:paraId="1B16CB40" w14:textId="77777777" w:rsidR="00862A88" w:rsidRPr="00424879" w:rsidRDefault="00862A88">
            <w:pPr>
              <w:widowControl w:val="0"/>
              <w:numPr>
                <w:ilvl w:val="12"/>
                <w:numId w:val="0"/>
              </w:numPr>
              <w:tabs>
                <w:tab w:val="left" w:pos="567"/>
              </w:tabs>
              <w:spacing w:line="260" w:lineRule="exact"/>
              <w:ind w:left="171" w:right="-2"/>
              <w:rPr>
                <w:sz w:val="22"/>
                <w:szCs w:val="22"/>
                <w:lang w:eastAsia="en-US"/>
              </w:rPr>
            </w:pPr>
            <w:proofErr w:type="spellStart"/>
            <w:r w:rsidRPr="00424879">
              <w:rPr>
                <w:b/>
                <w:bCs/>
                <w:sz w:val="22"/>
                <w:szCs w:val="22"/>
                <w:lang w:eastAsia="en-US"/>
              </w:rPr>
              <w:t>Clinical</w:t>
            </w:r>
            <w:proofErr w:type="spellEnd"/>
            <w:r w:rsidRPr="00424879">
              <w:rPr>
                <w:b/>
                <w:bCs/>
                <w:sz w:val="22"/>
                <w:szCs w:val="22"/>
                <w:lang w:eastAsia="en-US"/>
              </w:rPr>
              <w:t xml:space="preserve"> </w:t>
            </w:r>
            <w:proofErr w:type="spellStart"/>
            <w:r w:rsidRPr="00424879">
              <w:rPr>
                <w:b/>
                <w:bCs/>
                <w:sz w:val="22"/>
                <w:szCs w:val="22"/>
                <w:lang w:eastAsia="en-US"/>
              </w:rPr>
              <w:t>endpoints</w:t>
            </w:r>
            <w:proofErr w:type="spellEnd"/>
          </w:p>
        </w:tc>
      </w:tr>
      <w:tr w:rsidR="00862A88" w:rsidRPr="00424879" w14:paraId="4FBCBCA1" w14:textId="77777777" w:rsidTr="006F268E">
        <w:trPr>
          <w:trHeight w:val="258"/>
        </w:trPr>
        <w:tc>
          <w:tcPr>
            <w:tcW w:w="4645" w:type="dxa"/>
            <w:tcBorders>
              <w:top w:val="single" w:sz="4" w:space="0" w:color="000000"/>
              <w:left w:val="single" w:sz="4" w:space="0" w:color="000000"/>
              <w:bottom w:val="single" w:sz="4" w:space="0" w:color="000000"/>
              <w:right w:val="single" w:sz="4" w:space="0" w:color="000000"/>
            </w:tcBorders>
            <w:hideMark/>
          </w:tcPr>
          <w:p w14:paraId="502A08EC"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proofErr w:type="spellStart"/>
            <w:r w:rsidRPr="00424879">
              <w:rPr>
                <w:sz w:val="22"/>
                <w:szCs w:val="22"/>
                <w:lang w:val="en-US" w:eastAsia="en-US"/>
              </w:rPr>
              <w:t>Annualised</w:t>
            </w:r>
            <w:proofErr w:type="spellEnd"/>
            <w:r w:rsidRPr="00424879">
              <w:rPr>
                <w:sz w:val="22"/>
                <w:szCs w:val="22"/>
                <w:lang w:val="en-US" w:eastAsia="en-US"/>
              </w:rPr>
              <w:t xml:space="preserve"> relapse rate (primary endpoint)</w:t>
            </w:r>
          </w:p>
        </w:tc>
        <w:tc>
          <w:tcPr>
            <w:tcW w:w="1844" w:type="dxa"/>
            <w:tcBorders>
              <w:top w:val="single" w:sz="4" w:space="0" w:color="000000"/>
              <w:left w:val="single" w:sz="4" w:space="0" w:color="000000"/>
              <w:bottom w:val="single" w:sz="4" w:space="0" w:color="000000"/>
              <w:right w:val="single" w:sz="4" w:space="0" w:color="000000"/>
            </w:tcBorders>
            <w:hideMark/>
          </w:tcPr>
          <w:p w14:paraId="77A51CA6" w14:textId="77777777" w:rsidR="00862A88" w:rsidRPr="00424879" w:rsidRDefault="00862A88">
            <w:pPr>
              <w:widowControl w:val="0"/>
              <w:numPr>
                <w:ilvl w:val="12"/>
                <w:numId w:val="0"/>
              </w:numPr>
              <w:tabs>
                <w:tab w:val="left" w:pos="567"/>
              </w:tabs>
              <w:spacing w:line="260" w:lineRule="exact"/>
              <w:ind w:left="176" w:right="-2"/>
              <w:rPr>
                <w:sz w:val="22"/>
                <w:szCs w:val="22"/>
                <w:lang w:eastAsia="en-US"/>
              </w:rPr>
            </w:pPr>
            <w:r w:rsidRPr="00424879">
              <w:rPr>
                <w:sz w:val="22"/>
                <w:szCs w:val="22"/>
                <w:lang w:eastAsia="en-US"/>
              </w:rPr>
              <w:t>0.16**</w:t>
            </w:r>
          </w:p>
        </w:tc>
        <w:tc>
          <w:tcPr>
            <w:tcW w:w="2016" w:type="dxa"/>
            <w:tcBorders>
              <w:top w:val="single" w:sz="4" w:space="0" w:color="000000"/>
              <w:left w:val="single" w:sz="4" w:space="0" w:color="000000"/>
              <w:bottom w:val="single" w:sz="4" w:space="0" w:color="000000"/>
              <w:right w:val="single" w:sz="4" w:space="0" w:color="000000"/>
            </w:tcBorders>
            <w:hideMark/>
          </w:tcPr>
          <w:p w14:paraId="1449011F" w14:textId="77777777" w:rsidR="00862A88" w:rsidRPr="00424879" w:rsidRDefault="00862A88">
            <w:pPr>
              <w:widowControl w:val="0"/>
              <w:numPr>
                <w:ilvl w:val="12"/>
                <w:numId w:val="0"/>
              </w:numPr>
              <w:tabs>
                <w:tab w:val="left" w:pos="567"/>
              </w:tabs>
              <w:spacing w:line="260" w:lineRule="exact"/>
              <w:ind w:left="171" w:right="-2"/>
              <w:rPr>
                <w:sz w:val="22"/>
                <w:szCs w:val="22"/>
                <w:lang w:eastAsia="en-US"/>
              </w:rPr>
            </w:pPr>
            <w:r w:rsidRPr="00424879">
              <w:rPr>
                <w:sz w:val="22"/>
                <w:szCs w:val="22"/>
                <w:lang w:eastAsia="en-US"/>
              </w:rPr>
              <w:t>0.33</w:t>
            </w:r>
          </w:p>
        </w:tc>
      </w:tr>
      <w:tr w:rsidR="00862A88" w:rsidRPr="00424879" w14:paraId="56711EF2" w14:textId="77777777" w:rsidTr="006F268E">
        <w:trPr>
          <w:trHeight w:val="520"/>
        </w:trPr>
        <w:tc>
          <w:tcPr>
            <w:tcW w:w="4645" w:type="dxa"/>
            <w:tcBorders>
              <w:top w:val="single" w:sz="4" w:space="0" w:color="000000"/>
              <w:left w:val="single" w:sz="4" w:space="0" w:color="000000"/>
              <w:bottom w:val="single" w:sz="4" w:space="0" w:color="000000"/>
              <w:right w:val="single" w:sz="4" w:space="0" w:color="000000"/>
            </w:tcBorders>
            <w:hideMark/>
          </w:tcPr>
          <w:p w14:paraId="169D5970"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Percentage of patients remaining relapse-free at 12 months</w:t>
            </w:r>
          </w:p>
        </w:tc>
        <w:tc>
          <w:tcPr>
            <w:tcW w:w="1844" w:type="dxa"/>
            <w:tcBorders>
              <w:top w:val="single" w:sz="4" w:space="0" w:color="000000"/>
              <w:left w:val="single" w:sz="4" w:space="0" w:color="000000"/>
              <w:bottom w:val="single" w:sz="4" w:space="0" w:color="000000"/>
              <w:right w:val="single" w:sz="4" w:space="0" w:color="000000"/>
            </w:tcBorders>
            <w:hideMark/>
          </w:tcPr>
          <w:p w14:paraId="2D7CD536" w14:textId="77777777" w:rsidR="00862A88" w:rsidRPr="00424879" w:rsidRDefault="00862A88">
            <w:pPr>
              <w:widowControl w:val="0"/>
              <w:numPr>
                <w:ilvl w:val="12"/>
                <w:numId w:val="0"/>
              </w:numPr>
              <w:tabs>
                <w:tab w:val="left" w:pos="567"/>
              </w:tabs>
              <w:spacing w:line="260" w:lineRule="exact"/>
              <w:ind w:left="176" w:right="-2"/>
              <w:rPr>
                <w:sz w:val="22"/>
                <w:szCs w:val="22"/>
                <w:lang w:eastAsia="en-US"/>
              </w:rPr>
            </w:pPr>
            <w:r w:rsidRPr="00424879">
              <w:rPr>
                <w:sz w:val="22"/>
                <w:szCs w:val="22"/>
                <w:lang w:eastAsia="en-US"/>
              </w:rPr>
              <w:t>83%**</w:t>
            </w:r>
          </w:p>
        </w:tc>
        <w:tc>
          <w:tcPr>
            <w:tcW w:w="2016" w:type="dxa"/>
            <w:tcBorders>
              <w:top w:val="single" w:sz="4" w:space="0" w:color="000000"/>
              <w:left w:val="single" w:sz="4" w:space="0" w:color="000000"/>
              <w:bottom w:val="single" w:sz="4" w:space="0" w:color="000000"/>
              <w:right w:val="single" w:sz="4" w:space="0" w:color="000000"/>
            </w:tcBorders>
            <w:hideMark/>
          </w:tcPr>
          <w:p w14:paraId="290C42F3" w14:textId="77777777" w:rsidR="00862A88" w:rsidRPr="00424879" w:rsidRDefault="00862A88">
            <w:pPr>
              <w:widowControl w:val="0"/>
              <w:numPr>
                <w:ilvl w:val="12"/>
                <w:numId w:val="0"/>
              </w:numPr>
              <w:tabs>
                <w:tab w:val="left" w:pos="567"/>
              </w:tabs>
              <w:spacing w:line="260" w:lineRule="exact"/>
              <w:ind w:left="171" w:right="-2"/>
              <w:rPr>
                <w:sz w:val="22"/>
                <w:szCs w:val="22"/>
                <w:lang w:eastAsia="en-US"/>
              </w:rPr>
            </w:pPr>
            <w:r w:rsidRPr="00424879">
              <w:rPr>
                <w:sz w:val="22"/>
                <w:szCs w:val="22"/>
                <w:lang w:eastAsia="en-US"/>
              </w:rPr>
              <w:t>71%</w:t>
            </w:r>
          </w:p>
        </w:tc>
      </w:tr>
      <w:tr w:rsidR="00862A88" w:rsidRPr="00424879" w14:paraId="3E07C5B3" w14:textId="77777777" w:rsidTr="006F268E">
        <w:trPr>
          <w:trHeight w:val="517"/>
        </w:trPr>
        <w:tc>
          <w:tcPr>
            <w:tcW w:w="4645" w:type="dxa"/>
            <w:tcBorders>
              <w:top w:val="single" w:sz="4" w:space="0" w:color="000000"/>
              <w:left w:val="single" w:sz="4" w:space="0" w:color="000000"/>
              <w:bottom w:val="nil"/>
              <w:right w:val="single" w:sz="4" w:space="0" w:color="000000"/>
            </w:tcBorders>
            <w:hideMark/>
          </w:tcPr>
          <w:p w14:paraId="4CBD0C5F"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Proportion with 3-month Confirmed Disability</w:t>
            </w:r>
          </w:p>
          <w:p w14:paraId="0B9065EB"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Progression†</w:t>
            </w:r>
          </w:p>
        </w:tc>
        <w:tc>
          <w:tcPr>
            <w:tcW w:w="1844" w:type="dxa"/>
            <w:tcBorders>
              <w:top w:val="single" w:sz="4" w:space="0" w:color="000000"/>
              <w:left w:val="single" w:sz="4" w:space="0" w:color="000000"/>
              <w:bottom w:val="nil"/>
              <w:right w:val="single" w:sz="4" w:space="0" w:color="000000"/>
            </w:tcBorders>
            <w:hideMark/>
          </w:tcPr>
          <w:p w14:paraId="3DA28DD6" w14:textId="77777777" w:rsidR="00862A88" w:rsidRPr="00424879" w:rsidRDefault="00862A88">
            <w:pPr>
              <w:widowControl w:val="0"/>
              <w:numPr>
                <w:ilvl w:val="12"/>
                <w:numId w:val="0"/>
              </w:numPr>
              <w:tabs>
                <w:tab w:val="left" w:pos="567"/>
              </w:tabs>
              <w:spacing w:line="260" w:lineRule="exact"/>
              <w:ind w:left="176" w:right="-2"/>
              <w:rPr>
                <w:sz w:val="22"/>
                <w:szCs w:val="22"/>
                <w:lang w:eastAsia="en-US"/>
              </w:rPr>
            </w:pPr>
            <w:r w:rsidRPr="00424879">
              <w:rPr>
                <w:sz w:val="22"/>
                <w:szCs w:val="22"/>
                <w:lang w:eastAsia="en-US"/>
              </w:rPr>
              <w:t>6%</w:t>
            </w:r>
          </w:p>
        </w:tc>
        <w:tc>
          <w:tcPr>
            <w:tcW w:w="2016" w:type="dxa"/>
            <w:vMerge w:val="restart"/>
            <w:tcBorders>
              <w:top w:val="single" w:sz="4" w:space="0" w:color="000000"/>
              <w:left w:val="single" w:sz="4" w:space="0" w:color="000000"/>
              <w:bottom w:val="single" w:sz="4" w:space="0" w:color="000000"/>
              <w:right w:val="single" w:sz="4" w:space="0" w:color="000000"/>
            </w:tcBorders>
            <w:hideMark/>
          </w:tcPr>
          <w:p w14:paraId="20281DB1" w14:textId="77777777" w:rsidR="00862A88" w:rsidRPr="00424879" w:rsidRDefault="00862A88">
            <w:pPr>
              <w:widowControl w:val="0"/>
              <w:numPr>
                <w:ilvl w:val="12"/>
                <w:numId w:val="0"/>
              </w:numPr>
              <w:tabs>
                <w:tab w:val="left" w:pos="567"/>
              </w:tabs>
              <w:spacing w:line="260" w:lineRule="exact"/>
              <w:ind w:left="171" w:right="-2"/>
              <w:rPr>
                <w:sz w:val="22"/>
                <w:szCs w:val="22"/>
                <w:lang w:eastAsia="en-US"/>
              </w:rPr>
            </w:pPr>
            <w:r w:rsidRPr="00424879">
              <w:rPr>
                <w:sz w:val="22"/>
                <w:szCs w:val="22"/>
                <w:lang w:eastAsia="en-US"/>
              </w:rPr>
              <w:t>8%</w:t>
            </w:r>
          </w:p>
        </w:tc>
      </w:tr>
      <w:tr w:rsidR="00862A88" w:rsidRPr="00424879" w14:paraId="4AE9338E" w14:textId="77777777" w:rsidTr="006F268E">
        <w:trPr>
          <w:trHeight w:val="249"/>
        </w:trPr>
        <w:tc>
          <w:tcPr>
            <w:tcW w:w="4645" w:type="dxa"/>
            <w:tcBorders>
              <w:top w:val="nil"/>
              <w:left w:val="single" w:sz="4" w:space="0" w:color="000000"/>
              <w:bottom w:val="single" w:sz="4" w:space="0" w:color="000000"/>
              <w:right w:val="single" w:sz="4" w:space="0" w:color="000000"/>
            </w:tcBorders>
            <w:hideMark/>
          </w:tcPr>
          <w:p w14:paraId="4B3838EC" w14:textId="77777777" w:rsidR="00862A88" w:rsidRPr="00424879" w:rsidRDefault="00862A88">
            <w:pPr>
              <w:widowControl w:val="0"/>
              <w:numPr>
                <w:ilvl w:val="12"/>
                <w:numId w:val="0"/>
              </w:numPr>
              <w:tabs>
                <w:tab w:val="left" w:pos="567"/>
              </w:tabs>
              <w:spacing w:line="260" w:lineRule="exact"/>
              <w:ind w:left="142" w:right="-2"/>
              <w:rPr>
                <w:sz w:val="22"/>
                <w:szCs w:val="22"/>
                <w:lang w:eastAsia="en-US"/>
              </w:rPr>
            </w:pPr>
            <w:proofErr w:type="spellStart"/>
            <w:r w:rsidRPr="00424879">
              <w:rPr>
                <w:sz w:val="22"/>
                <w:szCs w:val="22"/>
                <w:lang w:eastAsia="en-US"/>
              </w:rPr>
              <w:t>Hazard</w:t>
            </w:r>
            <w:proofErr w:type="spellEnd"/>
            <w:r w:rsidRPr="00424879">
              <w:rPr>
                <w:sz w:val="22"/>
                <w:szCs w:val="22"/>
                <w:lang w:eastAsia="en-US"/>
              </w:rPr>
              <w:t xml:space="preserve"> ratio (95% CI)</w:t>
            </w:r>
          </w:p>
        </w:tc>
        <w:tc>
          <w:tcPr>
            <w:tcW w:w="1844" w:type="dxa"/>
            <w:tcBorders>
              <w:top w:val="nil"/>
              <w:left w:val="single" w:sz="4" w:space="0" w:color="000000"/>
              <w:bottom w:val="single" w:sz="4" w:space="0" w:color="000000"/>
              <w:right w:val="single" w:sz="4" w:space="0" w:color="000000"/>
            </w:tcBorders>
            <w:hideMark/>
          </w:tcPr>
          <w:p w14:paraId="46EC87DB" w14:textId="77777777" w:rsidR="00862A88" w:rsidRPr="00424879" w:rsidRDefault="00862A88">
            <w:pPr>
              <w:widowControl w:val="0"/>
              <w:numPr>
                <w:ilvl w:val="12"/>
                <w:numId w:val="0"/>
              </w:numPr>
              <w:tabs>
                <w:tab w:val="left" w:pos="567"/>
              </w:tabs>
              <w:spacing w:line="260" w:lineRule="exact"/>
              <w:ind w:left="176" w:right="-2"/>
              <w:rPr>
                <w:sz w:val="22"/>
                <w:szCs w:val="22"/>
                <w:lang w:eastAsia="en-US"/>
              </w:rPr>
            </w:pPr>
            <w:r w:rsidRPr="00424879">
              <w:rPr>
                <w:sz w:val="22"/>
                <w:szCs w:val="22"/>
                <w:lang w:eastAsia="en-US"/>
              </w:rPr>
              <w:t>0.71 (0.42, 1.21)</w:t>
            </w:r>
          </w:p>
        </w:tc>
        <w:tc>
          <w:tcPr>
            <w:tcW w:w="2016" w:type="dxa"/>
            <w:vMerge/>
            <w:tcBorders>
              <w:top w:val="nil"/>
              <w:left w:val="single" w:sz="4" w:space="0" w:color="000000"/>
              <w:bottom w:val="single" w:sz="4" w:space="0" w:color="000000"/>
              <w:right w:val="single" w:sz="4" w:space="0" w:color="000000"/>
            </w:tcBorders>
            <w:vAlign w:val="center"/>
            <w:hideMark/>
          </w:tcPr>
          <w:p w14:paraId="7B24B964" w14:textId="77777777" w:rsidR="00862A88" w:rsidRPr="00424879" w:rsidRDefault="00862A88">
            <w:pPr>
              <w:spacing w:line="256" w:lineRule="auto"/>
              <w:rPr>
                <w:sz w:val="22"/>
                <w:szCs w:val="22"/>
                <w:lang w:val="sl-SI" w:eastAsia="en-US"/>
              </w:rPr>
            </w:pPr>
          </w:p>
        </w:tc>
      </w:tr>
      <w:tr w:rsidR="00862A88" w:rsidRPr="00424879" w14:paraId="0E68C373" w14:textId="77777777" w:rsidTr="006F268E">
        <w:trPr>
          <w:trHeight w:val="261"/>
        </w:trPr>
        <w:tc>
          <w:tcPr>
            <w:tcW w:w="8505" w:type="dxa"/>
            <w:gridSpan w:val="3"/>
            <w:tcBorders>
              <w:top w:val="single" w:sz="4" w:space="0" w:color="000000"/>
              <w:left w:val="single" w:sz="4" w:space="0" w:color="000000"/>
              <w:bottom w:val="single" w:sz="4" w:space="0" w:color="000000"/>
              <w:right w:val="single" w:sz="4" w:space="0" w:color="000000"/>
            </w:tcBorders>
            <w:hideMark/>
          </w:tcPr>
          <w:p w14:paraId="6F6B9CBC" w14:textId="77777777" w:rsidR="00862A88" w:rsidRPr="00424879" w:rsidRDefault="00862A88">
            <w:pPr>
              <w:widowControl w:val="0"/>
              <w:numPr>
                <w:ilvl w:val="12"/>
                <w:numId w:val="0"/>
              </w:numPr>
              <w:tabs>
                <w:tab w:val="left" w:pos="567"/>
              </w:tabs>
              <w:spacing w:line="260" w:lineRule="exact"/>
              <w:ind w:left="171" w:right="-2"/>
              <w:rPr>
                <w:sz w:val="22"/>
                <w:szCs w:val="22"/>
                <w:lang w:eastAsia="en-US"/>
              </w:rPr>
            </w:pPr>
            <w:r w:rsidRPr="00424879">
              <w:rPr>
                <w:b/>
                <w:bCs/>
                <w:sz w:val="22"/>
                <w:szCs w:val="22"/>
                <w:lang w:eastAsia="en-US"/>
              </w:rPr>
              <w:t xml:space="preserve">MRI </w:t>
            </w:r>
            <w:proofErr w:type="spellStart"/>
            <w:r w:rsidRPr="00424879">
              <w:rPr>
                <w:b/>
                <w:bCs/>
                <w:sz w:val="22"/>
                <w:szCs w:val="22"/>
                <w:lang w:eastAsia="en-US"/>
              </w:rPr>
              <w:t>endpoints</w:t>
            </w:r>
            <w:proofErr w:type="spellEnd"/>
          </w:p>
        </w:tc>
      </w:tr>
      <w:tr w:rsidR="00862A88" w:rsidRPr="00424879" w14:paraId="2314C8EB" w14:textId="77777777" w:rsidTr="006F268E">
        <w:trPr>
          <w:trHeight w:val="520"/>
        </w:trPr>
        <w:tc>
          <w:tcPr>
            <w:tcW w:w="4645" w:type="dxa"/>
            <w:tcBorders>
              <w:top w:val="single" w:sz="4" w:space="0" w:color="000000"/>
              <w:left w:val="single" w:sz="4" w:space="0" w:color="000000"/>
              <w:bottom w:val="single" w:sz="4" w:space="0" w:color="000000"/>
              <w:right w:val="single" w:sz="4" w:space="0" w:color="000000"/>
            </w:tcBorders>
            <w:hideMark/>
          </w:tcPr>
          <w:p w14:paraId="641EBCA9"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Median (mean) number of new or enlarging T2 lesions over 12 months</w:t>
            </w:r>
          </w:p>
        </w:tc>
        <w:tc>
          <w:tcPr>
            <w:tcW w:w="1844" w:type="dxa"/>
            <w:tcBorders>
              <w:top w:val="single" w:sz="4" w:space="0" w:color="000000"/>
              <w:left w:val="single" w:sz="4" w:space="0" w:color="000000"/>
              <w:bottom w:val="single" w:sz="4" w:space="0" w:color="000000"/>
              <w:right w:val="single" w:sz="4" w:space="0" w:color="000000"/>
            </w:tcBorders>
            <w:hideMark/>
          </w:tcPr>
          <w:p w14:paraId="0A388DD8" w14:textId="77777777" w:rsidR="00862A88" w:rsidRPr="00424879" w:rsidRDefault="00862A88">
            <w:pPr>
              <w:widowControl w:val="0"/>
              <w:numPr>
                <w:ilvl w:val="12"/>
                <w:numId w:val="0"/>
              </w:numPr>
              <w:tabs>
                <w:tab w:val="left" w:pos="567"/>
              </w:tabs>
              <w:spacing w:line="260" w:lineRule="exact"/>
              <w:ind w:left="176" w:right="-2"/>
              <w:rPr>
                <w:sz w:val="22"/>
                <w:szCs w:val="22"/>
                <w:lang w:eastAsia="en-US"/>
              </w:rPr>
            </w:pPr>
            <w:r w:rsidRPr="00424879">
              <w:rPr>
                <w:sz w:val="22"/>
                <w:szCs w:val="22"/>
                <w:lang w:eastAsia="en-US"/>
              </w:rPr>
              <w:t>0.0 (</w:t>
            </w:r>
            <w:proofErr w:type="gramStart"/>
            <w:r w:rsidRPr="00424879">
              <w:rPr>
                <w:sz w:val="22"/>
                <w:szCs w:val="22"/>
                <w:lang w:eastAsia="en-US"/>
              </w:rPr>
              <w:t>1.7)*</w:t>
            </w:r>
            <w:proofErr w:type="gramEnd"/>
          </w:p>
        </w:tc>
        <w:tc>
          <w:tcPr>
            <w:tcW w:w="2016" w:type="dxa"/>
            <w:tcBorders>
              <w:top w:val="single" w:sz="4" w:space="0" w:color="000000"/>
              <w:left w:val="single" w:sz="4" w:space="0" w:color="000000"/>
              <w:bottom w:val="single" w:sz="4" w:space="0" w:color="000000"/>
              <w:right w:val="single" w:sz="4" w:space="0" w:color="000000"/>
            </w:tcBorders>
            <w:hideMark/>
          </w:tcPr>
          <w:p w14:paraId="36A640E8" w14:textId="77777777" w:rsidR="00862A88" w:rsidRPr="00424879" w:rsidRDefault="00862A88">
            <w:pPr>
              <w:widowControl w:val="0"/>
              <w:numPr>
                <w:ilvl w:val="12"/>
                <w:numId w:val="0"/>
              </w:numPr>
              <w:tabs>
                <w:tab w:val="left" w:pos="567"/>
              </w:tabs>
              <w:spacing w:line="260" w:lineRule="exact"/>
              <w:ind w:left="171" w:right="-2"/>
              <w:rPr>
                <w:sz w:val="22"/>
                <w:szCs w:val="22"/>
                <w:lang w:eastAsia="en-US"/>
              </w:rPr>
            </w:pPr>
            <w:r w:rsidRPr="00424879">
              <w:rPr>
                <w:sz w:val="22"/>
                <w:szCs w:val="22"/>
                <w:lang w:eastAsia="en-US"/>
              </w:rPr>
              <w:t>1.0 (2.6)</w:t>
            </w:r>
          </w:p>
        </w:tc>
      </w:tr>
      <w:tr w:rsidR="00862A88" w:rsidRPr="00424879" w14:paraId="1153C953" w14:textId="77777777" w:rsidTr="006F268E">
        <w:trPr>
          <w:trHeight w:val="520"/>
        </w:trPr>
        <w:tc>
          <w:tcPr>
            <w:tcW w:w="4645" w:type="dxa"/>
            <w:tcBorders>
              <w:top w:val="single" w:sz="4" w:space="0" w:color="000000"/>
              <w:left w:val="single" w:sz="4" w:space="0" w:color="000000"/>
              <w:bottom w:val="single" w:sz="4" w:space="0" w:color="000000"/>
              <w:right w:val="single" w:sz="4" w:space="0" w:color="000000"/>
            </w:tcBorders>
            <w:hideMark/>
          </w:tcPr>
          <w:p w14:paraId="6F6CA188"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 xml:space="preserve">Median (mean) number of </w:t>
            </w:r>
            <w:proofErr w:type="spellStart"/>
            <w:r w:rsidRPr="00424879">
              <w:rPr>
                <w:sz w:val="22"/>
                <w:szCs w:val="22"/>
                <w:lang w:val="en-US" w:eastAsia="en-US"/>
              </w:rPr>
              <w:t>Gd</w:t>
            </w:r>
            <w:proofErr w:type="spellEnd"/>
            <w:r w:rsidRPr="00424879">
              <w:rPr>
                <w:sz w:val="22"/>
                <w:szCs w:val="22"/>
                <w:lang w:val="en-US" w:eastAsia="en-US"/>
              </w:rPr>
              <w:t>-enhancing lesions at 12 months</w:t>
            </w:r>
          </w:p>
        </w:tc>
        <w:tc>
          <w:tcPr>
            <w:tcW w:w="1844" w:type="dxa"/>
            <w:tcBorders>
              <w:top w:val="single" w:sz="4" w:space="0" w:color="000000"/>
              <w:left w:val="single" w:sz="4" w:space="0" w:color="000000"/>
              <w:bottom w:val="single" w:sz="4" w:space="0" w:color="000000"/>
              <w:right w:val="single" w:sz="4" w:space="0" w:color="000000"/>
            </w:tcBorders>
            <w:hideMark/>
          </w:tcPr>
          <w:p w14:paraId="357DC728" w14:textId="77777777" w:rsidR="00862A88" w:rsidRPr="00424879" w:rsidRDefault="00862A88">
            <w:pPr>
              <w:widowControl w:val="0"/>
              <w:numPr>
                <w:ilvl w:val="12"/>
                <w:numId w:val="0"/>
              </w:numPr>
              <w:tabs>
                <w:tab w:val="left" w:pos="567"/>
              </w:tabs>
              <w:spacing w:line="260" w:lineRule="exact"/>
              <w:ind w:left="176" w:right="-2"/>
              <w:rPr>
                <w:sz w:val="22"/>
                <w:szCs w:val="22"/>
                <w:lang w:eastAsia="en-US"/>
              </w:rPr>
            </w:pPr>
            <w:r w:rsidRPr="00424879">
              <w:rPr>
                <w:sz w:val="22"/>
                <w:szCs w:val="22"/>
                <w:lang w:eastAsia="en-US"/>
              </w:rPr>
              <w:t>0.0 (</w:t>
            </w:r>
            <w:proofErr w:type="gramStart"/>
            <w:r w:rsidRPr="00424879">
              <w:rPr>
                <w:sz w:val="22"/>
                <w:szCs w:val="22"/>
                <w:lang w:eastAsia="en-US"/>
              </w:rPr>
              <w:t>0.2)*</w:t>
            </w:r>
            <w:proofErr w:type="gramEnd"/>
            <w:r w:rsidRPr="00424879">
              <w:rPr>
                <w:sz w:val="22"/>
                <w:szCs w:val="22"/>
                <w:lang w:eastAsia="en-US"/>
              </w:rPr>
              <w:t>*</w:t>
            </w:r>
          </w:p>
        </w:tc>
        <w:tc>
          <w:tcPr>
            <w:tcW w:w="2016" w:type="dxa"/>
            <w:tcBorders>
              <w:top w:val="single" w:sz="4" w:space="0" w:color="000000"/>
              <w:left w:val="single" w:sz="4" w:space="0" w:color="000000"/>
              <w:bottom w:val="single" w:sz="4" w:space="0" w:color="000000"/>
              <w:right w:val="single" w:sz="4" w:space="0" w:color="000000"/>
            </w:tcBorders>
            <w:hideMark/>
          </w:tcPr>
          <w:p w14:paraId="354E20F9" w14:textId="77777777" w:rsidR="00862A88" w:rsidRPr="00424879" w:rsidRDefault="00862A88">
            <w:pPr>
              <w:widowControl w:val="0"/>
              <w:numPr>
                <w:ilvl w:val="12"/>
                <w:numId w:val="0"/>
              </w:numPr>
              <w:tabs>
                <w:tab w:val="left" w:pos="567"/>
              </w:tabs>
              <w:spacing w:line="260" w:lineRule="exact"/>
              <w:ind w:left="171" w:right="-2"/>
              <w:rPr>
                <w:sz w:val="22"/>
                <w:szCs w:val="22"/>
                <w:lang w:eastAsia="en-US"/>
              </w:rPr>
            </w:pPr>
            <w:r w:rsidRPr="00424879">
              <w:rPr>
                <w:sz w:val="22"/>
                <w:szCs w:val="22"/>
                <w:lang w:eastAsia="en-US"/>
              </w:rPr>
              <w:t>0.0 (0.5)</w:t>
            </w:r>
          </w:p>
        </w:tc>
      </w:tr>
      <w:tr w:rsidR="00862A88" w:rsidRPr="00424879" w14:paraId="35761AF3" w14:textId="77777777" w:rsidTr="006F268E">
        <w:trPr>
          <w:trHeight w:val="517"/>
        </w:trPr>
        <w:tc>
          <w:tcPr>
            <w:tcW w:w="4645" w:type="dxa"/>
            <w:tcBorders>
              <w:top w:val="single" w:sz="4" w:space="0" w:color="000000"/>
              <w:left w:val="single" w:sz="4" w:space="0" w:color="000000"/>
              <w:bottom w:val="single" w:sz="4" w:space="0" w:color="000000"/>
              <w:right w:val="single" w:sz="4" w:space="0" w:color="000000"/>
            </w:tcBorders>
            <w:hideMark/>
          </w:tcPr>
          <w:p w14:paraId="565F38F6"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Median (mean) % change in brain volume over 12 months</w:t>
            </w:r>
          </w:p>
        </w:tc>
        <w:tc>
          <w:tcPr>
            <w:tcW w:w="1844" w:type="dxa"/>
            <w:tcBorders>
              <w:top w:val="single" w:sz="4" w:space="0" w:color="000000"/>
              <w:left w:val="single" w:sz="4" w:space="0" w:color="000000"/>
              <w:bottom w:val="single" w:sz="4" w:space="0" w:color="000000"/>
              <w:right w:val="single" w:sz="4" w:space="0" w:color="000000"/>
            </w:tcBorders>
            <w:hideMark/>
          </w:tcPr>
          <w:p w14:paraId="1E191DF8" w14:textId="77777777" w:rsidR="00862A88" w:rsidRPr="00424879" w:rsidRDefault="00862A88">
            <w:pPr>
              <w:widowControl w:val="0"/>
              <w:numPr>
                <w:ilvl w:val="12"/>
                <w:numId w:val="0"/>
              </w:numPr>
              <w:tabs>
                <w:tab w:val="left" w:pos="567"/>
              </w:tabs>
              <w:spacing w:line="260" w:lineRule="exact"/>
              <w:ind w:left="176" w:right="-2"/>
              <w:rPr>
                <w:sz w:val="22"/>
                <w:szCs w:val="22"/>
                <w:lang w:eastAsia="en-US"/>
              </w:rPr>
            </w:pPr>
            <w:r w:rsidRPr="00424879">
              <w:rPr>
                <w:sz w:val="22"/>
                <w:szCs w:val="22"/>
                <w:lang w:eastAsia="en-US"/>
              </w:rPr>
              <w:t>-0.2 (-0.</w:t>
            </w:r>
            <w:proofErr w:type="gramStart"/>
            <w:r w:rsidRPr="00424879">
              <w:rPr>
                <w:sz w:val="22"/>
                <w:szCs w:val="22"/>
                <w:lang w:eastAsia="en-US"/>
              </w:rPr>
              <w:t>3)*</w:t>
            </w:r>
            <w:proofErr w:type="gramEnd"/>
            <w:r w:rsidRPr="00424879">
              <w:rPr>
                <w:sz w:val="22"/>
                <w:szCs w:val="22"/>
                <w:lang w:eastAsia="en-US"/>
              </w:rPr>
              <w:t>*</w:t>
            </w:r>
          </w:p>
        </w:tc>
        <w:tc>
          <w:tcPr>
            <w:tcW w:w="2016" w:type="dxa"/>
            <w:tcBorders>
              <w:top w:val="single" w:sz="4" w:space="0" w:color="000000"/>
              <w:left w:val="single" w:sz="4" w:space="0" w:color="000000"/>
              <w:bottom w:val="single" w:sz="4" w:space="0" w:color="000000"/>
              <w:right w:val="single" w:sz="4" w:space="0" w:color="000000"/>
            </w:tcBorders>
            <w:hideMark/>
          </w:tcPr>
          <w:p w14:paraId="449F7C73" w14:textId="77777777" w:rsidR="00862A88" w:rsidRPr="00424879" w:rsidRDefault="00862A88">
            <w:pPr>
              <w:widowControl w:val="0"/>
              <w:numPr>
                <w:ilvl w:val="12"/>
                <w:numId w:val="0"/>
              </w:numPr>
              <w:tabs>
                <w:tab w:val="left" w:pos="567"/>
              </w:tabs>
              <w:spacing w:line="260" w:lineRule="exact"/>
              <w:ind w:left="171" w:right="-2"/>
              <w:rPr>
                <w:sz w:val="22"/>
                <w:szCs w:val="22"/>
                <w:lang w:eastAsia="en-US"/>
              </w:rPr>
            </w:pPr>
            <w:r w:rsidRPr="00424879">
              <w:rPr>
                <w:sz w:val="22"/>
                <w:szCs w:val="22"/>
                <w:lang w:eastAsia="en-US"/>
              </w:rPr>
              <w:t>-0.4 (-0.5)</w:t>
            </w:r>
          </w:p>
        </w:tc>
      </w:tr>
      <w:tr w:rsidR="00862A88" w:rsidRPr="00A74CF9" w14:paraId="522172D9" w14:textId="77777777" w:rsidTr="00424879">
        <w:trPr>
          <w:trHeight w:val="779"/>
        </w:trPr>
        <w:tc>
          <w:tcPr>
            <w:tcW w:w="8505" w:type="dxa"/>
            <w:gridSpan w:val="3"/>
            <w:tcBorders>
              <w:top w:val="single" w:sz="4" w:space="0" w:color="000000"/>
              <w:left w:val="single" w:sz="4" w:space="0" w:color="000000"/>
              <w:bottom w:val="single" w:sz="4" w:space="0" w:color="000000"/>
              <w:right w:val="single" w:sz="4" w:space="0" w:color="000000"/>
            </w:tcBorders>
            <w:hideMark/>
          </w:tcPr>
          <w:p w14:paraId="0EF4A795" w14:textId="77777777" w:rsidR="00862A88" w:rsidRPr="00424879" w:rsidRDefault="00862A88">
            <w:pPr>
              <w:widowControl w:val="0"/>
              <w:numPr>
                <w:ilvl w:val="12"/>
                <w:numId w:val="0"/>
              </w:numPr>
              <w:tabs>
                <w:tab w:val="left" w:pos="567"/>
              </w:tabs>
              <w:spacing w:line="260" w:lineRule="exact"/>
              <w:ind w:right="-2"/>
              <w:rPr>
                <w:sz w:val="22"/>
                <w:szCs w:val="22"/>
                <w:lang w:val="en-US" w:eastAsia="en-US"/>
              </w:rPr>
            </w:pPr>
            <w:r w:rsidRPr="00424879">
              <w:rPr>
                <w:sz w:val="22"/>
                <w:szCs w:val="22"/>
                <w:lang w:val="en-US" w:eastAsia="en-US"/>
              </w:rPr>
              <w:t>†</w:t>
            </w:r>
            <w:r w:rsidRPr="00424879">
              <w:rPr>
                <w:sz w:val="22"/>
                <w:szCs w:val="22"/>
                <w:lang w:val="en-US" w:eastAsia="en-US"/>
              </w:rPr>
              <w:tab/>
              <w:t>Disability progression defined as 1-point increase in EDSS confirmed 3 months later.</w:t>
            </w:r>
          </w:p>
          <w:p w14:paraId="5ACDC7A8" w14:textId="77777777" w:rsidR="00862A88" w:rsidRPr="00424879" w:rsidRDefault="00862A88">
            <w:pPr>
              <w:widowControl w:val="0"/>
              <w:numPr>
                <w:ilvl w:val="12"/>
                <w:numId w:val="0"/>
              </w:numPr>
              <w:tabs>
                <w:tab w:val="left" w:pos="567"/>
              </w:tabs>
              <w:spacing w:line="260" w:lineRule="exact"/>
              <w:ind w:right="-2"/>
              <w:rPr>
                <w:sz w:val="22"/>
                <w:szCs w:val="22"/>
                <w:lang w:val="en-US" w:eastAsia="en-US"/>
              </w:rPr>
            </w:pPr>
            <w:r w:rsidRPr="00424879">
              <w:rPr>
                <w:sz w:val="22"/>
                <w:szCs w:val="22"/>
                <w:lang w:val="en-US" w:eastAsia="en-US"/>
              </w:rPr>
              <w:t>*</w:t>
            </w:r>
            <w:r w:rsidRPr="00424879">
              <w:rPr>
                <w:sz w:val="22"/>
                <w:szCs w:val="22"/>
                <w:lang w:val="en-US" w:eastAsia="en-US"/>
              </w:rPr>
              <w:tab/>
              <w:t>p&lt;</w:t>
            </w:r>
            <w:proofErr w:type="gramStart"/>
            <w:r w:rsidRPr="00424879">
              <w:rPr>
                <w:sz w:val="22"/>
                <w:szCs w:val="22"/>
                <w:lang w:val="en-US" w:eastAsia="en-US"/>
              </w:rPr>
              <w:t>0.01,*</w:t>
            </w:r>
            <w:proofErr w:type="gramEnd"/>
            <w:r w:rsidRPr="00424879">
              <w:rPr>
                <w:sz w:val="22"/>
                <w:szCs w:val="22"/>
                <w:lang w:val="en-US" w:eastAsia="en-US"/>
              </w:rPr>
              <w:t>* p&lt;0.001, compared to interferon beta-1a</w:t>
            </w:r>
          </w:p>
          <w:p w14:paraId="237171A4" w14:textId="77777777" w:rsidR="00862A88" w:rsidRPr="00424879" w:rsidRDefault="00862A88">
            <w:pPr>
              <w:widowControl w:val="0"/>
              <w:numPr>
                <w:ilvl w:val="12"/>
                <w:numId w:val="0"/>
              </w:numPr>
              <w:tabs>
                <w:tab w:val="left" w:pos="567"/>
              </w:tabs>
              <w:spacing w:line="260" w:lineRule="exact"/>
              <w:ind w:right="-2"/>
              <w:rPr>
                <w:sz w:val="22"/>
                <w:szCs w:val="22"/>
                <w:u w:val="single"/>
                <w:lang w:val="en-US" w:eastAsia="en-US"/>
              </w:rPr>
            </w:pPr>
            <w:r w:rsidRPr="00424879">
              <w:rPr>
                <w:sz w:val="22"/>
                <w:szCs w:val="22"/>
                <w:lang w:val="en-US" w:eastAsia="en-US"/>
              </w:rPr>
              <w:t>All analyses of clinical endpoints were intent-to-</w:t>
            </w:r>
            <w:proofErr w:type="gramStart"/>
            <w:r w:rsidRPr="00424879">
              <w:rPr>
                <w:sz w:val="22"/>
                <w:szCs w:val="22"/>
                <w:lang w:val="en-US" w:eastAsia="en-US"/>
              </w:rPr>
              <w:t>treat</w:t>
            </w:r>
            <w:proofErr w:type="gramEnd"/>
            <w:r w:rsidRPr="00424879">
              <w:rPr>
                <w:sz w:val="22"/>
                <w:szCs w:val="22"/>
                <w:lang w:val="en-US" w:eastAsia="en-US"/>
              </w:rPr>
              <w:t>. MRI analyses used evaluable dataset.</w:t>
            </w:r>
          </w:p>
        </w:tc>
      </w:tr>
    </w:tbl>
    <w:p w14:paraId="683FD99A" w14:textId="77777777" w:rsidR="00862A88" w:rsidRPr="009907F8" w:rsidRDefault="00862A88" w:rsidP="006F268E">
      <w:pPr>
        <w:ind w:left="851"/>
        <w:rPr>
          <w:sz w:val="24"/>
          <w:szCs w:val="24"/>
          <w:lang w:val="sl-SI" w:eastAsia="en-US"/>
        </w:rPr>
      </w:pPr>
    </w:p>
    <w:p w14:paraId="358D9336" w14:textId="2EAE38BA" w:rsidR="00862A88" w:rsidRPr="009907F8" w:rsidRDefault="00862A88" w:rsidP="006F268E">
      <w:pPr>
        <w:ind w:left="851"/>
        <w:rPr>
          <w:sz w:val="24"/>
          <w:szCs w:val="24"/>
          <w:lang w:val="en-US" w:eastAsia="en-US"/>
        </w:rPr>
      </w:pPr>
      <w:r w:rsidRPr="009907F8">
        <w:rPr>
          <w:sz w:val="24"/>
          <w:szCs w:val="24"/>
          <w:lang w:val="en-US" w:eastAsia="en-US"/>
        </w:rPr>
        <w:t>Patients who completed the 12-month core TRANSFORMS study could enter a dose-blinded extension (D2302E1) and receive fingolimod. In total, 1,030 patients entered, however, 3 of these patients did not receive treatment (n=356 continued on 0.5 mg, 330 continued on 1.25 mg, 167 switched from interferon beta-1a to 0.5 mg and 174 from interferon beta-1a to 1.25 mg). After</w:t>
      </w:r>
      <w:r w:rsidR="00424879">
        <w:rPr>
          <w:sz w:val="24"/>
          <w:szCs w:val="24"/>
          <w:lang w:val="en-US" w:eastAsia="en-US"/>
        </w:rPr>
        <w:t xml:space="preserve"> </w:t>
      </w:r>
      <w:r w:rsidRPr="009907F8">
        <w:rPr>
          <w:sz w:val="24"/>
          <w:szCs w:val="24"/>
          <w:lang w:val="en-US" w:eastAsia="en-US"/>
        </w:rPr>
        <w:t>12 months (month 24), 882 patients (86%) were still enrolled. Between months 12 and 24, the ARR for patients on fingolimod 0.5 mg in the core study who remained on 0.5 mg was 0.20 (0.19 in the core study). The ARR for patients who switched from interferon beta-1a to fingolimod 0.5 mg was 0.33 (0.48 in the core study).</w:t>
      </w:r>
    </w:p>
    <w:p w14:paraId="135554DD" w14:textId="77777777" w:rsidR="00862A88" w:rsidRPr="009907F8" w:rsidRDefault="00862A88" w:rsidP="006F268E">
      <w:pPr>
        <w:ind w:left="851"/>
        <w:rPr>
          <w:sz w:val="24"/>
          <w:szCs w:val="24"/>
          <w:lang w:val="en-US" w:eastAsia="en-US"/>
        </w:rPr>
      </w:pPr>
    </w:p>
    <w:p w14:paraId="4BA55862" w14:textId="77777777" w:rsidR="00862A88" w:rsidRPr="009907F8" w:rsidRDefault="00862A88" w:rsidP="006F268E">
      <w:pPr>
        <w:ind w:left="851"/>
        <w:rPr>
          <w:sz w:val="24"/>
          <w:szCs w:val="24"/>
          <w:lang w:val="en-US" w:eastAsia="en-US"/>
        </w:rPr>
      </w:pPr>
      <w:r w:rsidRPr="009907F8">
        <w:rPr>
          <w:sz w:val="24"/>
          <w:szCs w:val="24"/>
          <w:lang w:val="en-US" w:eastAsia="en-US"/>
        </w:rPr>
        <w:t xml:space="preserve">Pooled results of Studies D2301 and D2302 showed a consistent and statistically significant reduction in </w:t>
      </w:r>
      <w:proofErr w:type="spellStart"/>
      <w:r w:rsidRPr="009907F8">
        <w:rPr>
          <w:sz w:val="24"/>
          <w:szCs w:val="24"/>
          <w:lang w:val="en-US" w:eastAsia="en-US"/>
        </w:rPr>
        <w:t>annualised</w:t>
      </w:r>
      <w:proofErr w:type="spellEnd"/>
      <w:r w:rsidRPr="009907F8">
        <w:rPr>
          <w:sz w:val="24"/>
          <w:szCs w:val="24"/>
          <w:lang w:val="en-US" w:eastAsia="en-US"/>
        </w:rPr>
        <w:t xml:space="preserve"> relapse rate compared to comparator in subgroups defined by gender, age, prior multiple sclerosis therapy, disease activity or disability levels at baseline.</w:t>
      </w:r>
    </w:p>
    <w:p w14:paraId="213C86FD" w14:textId="77777777" w:rsidR="00862A88" w:rsidRPr="009907F8" w:rsidRDefault="00862A88" w:rsidP="006F268E">
      <w:pPr>
        <w:ind w:left="851"/>
        <w:rPr>
          <w:sz w:val="24"/>
          <w:szCs w:val="24"/>
          <w:lang w:val="en-US" w:eastAsia="en-US"/>
        </w:rPr>
      </w:pPr>
    </w:p>
    <w:p w14:paraId="2A135427" w14:textId="77777777" w:rsidR="00862A88" w:rsidRPr="009907F8" w:rsidRDefault="00862A88" w:rsidP="006F268E">
      <w:pPr>
        <w:ind w:left="851"/>
        <w:rPr>
          <w:sz w:val="24"/>
          <w:szCs w:val="24"/>
          <w:lang w:val="en-US" w:eastAsia="en-US"/>
        </w:rPr>
      </w:pPr>
      <w:r w:rsidRPr="009907F8">
        <w:rPr>
          <w:sz w:val="24"/>
          <w:szCs w:val="24"/>
          <w:lang w:val="en-US" w:eastAsia="en-US"/>
        </w:rPr>
        <w:t>Further analyses of clinical trial data demonstrate consistent treatment effects in highly active subgroups of relapsing remitting multiple sclerosis patients.</w:t>
      </w:r>
    </w:p>
    <w:p w14:paraId="42903781" w14:textId="77777777" w:rsidR="00862A88" w:rsidRPr="009907F8" w:rsidRDefault="00862A88" w:rsidP="006F268E">
      <w:pPr>
        <w:ind w:left="851"/>
        <w:rPr>
          <w:sz w:val="24"/>
          <w:szCs w:val="24"/>
          <w:lang w:val="en-US" w:eastAsia="en-US"/>
        </w:rPr>
      </w:pPr>
    </w:p>
    <w:p w14:paraId="31AE39D0" w14:textId="77777777" w:rsidR="00862A88" w:rsidRPr="00424879" w:rsidRDefault="00862A88" w:rsidP="006F268E">
      <w:pPr>
        <w:ind w:left="851"/>
        <w:rPr>
          <w:sz w:val="24"/>
          <w:szCs w:val="24"/>
          <w:u w:val="single"/>
          <w:lang w:val="en-US" w:eastAsia="en-US"/>
        </w:rPr>
      </w:pPr>
      <w:r w:rsidRPr="00424879">
        <w:rPr>
          <w:sz w:val="24"/>
          <w:szCs w:val="24"/>
          <w:u w:val="single"/>
          <w:lang w:val="en-US" w:eastAsia="en-US"/>
        </w:rPr>
        <w:t>Paediatric population</w:t>
      </w:r>
    </w:p>
    <w:p w14:paraId="2ACC1DB2" w14:textId="14C89984" w:rsidR="00862A88" w:rsidRPr="009907F8" w:rsidRDefault="00862A88" w:rsidP="006F268E">
      <w:pPr>
        <w:ind w:left="851"/>
        <w:rPr>
          <w:sz w:val="24"/>
          <w:szCs w:val="24"/>
          <w:lang w:val="en-US" w:eastAsia="en-US"/>
        </w:rPr>
      </w:pPr>
      <w:r w:rsidRPr="009907F8">
        <w:rPr>
          <w:sz w:val="24"/>
          <w:szCs w:val="24"/>
          <w:lang w:val="en-US" w:eastAsia="en-US"/>
        </w:rPr>
        <w:t>The efficacy and safety of once-daily doses of fingolimod 0.25 mg or 0.5 mg (dose selected based on body weight and exposure measurements) have been established in paediatric patients aged 10 to</w:t>
      </w:r>
      <w:r w:rsidR="00424879">
        <w:rPr>
          <w:sz w:val="24"/>
          <w:szCs w:val="24"/>
          <w:lang w:val="en-US" w:eastAsia="en-US"/>
        </w:rPr>
        <w:t xml:space="preserve"> </w:t>
      </w:r>
      <w:r w:rsidRPr="009907F8">
        <w:rPr>
          <w:sz w:val="24"/>
          <w:szCs w:val="24"/>
          <w:lang w:val="en-US" w:eastAsia="en-US"/>
        </w:rPr>
        <w:t>&lt;18 years with relapsing-remitting multiple sclerosis.</w:t>
      </w:r>
    </w:p>
    <w:p w14:paraId="739C07B5" w14:textId="77777777" w:rsidR="00862A88" w:rsidRPr="009907F8" w:rsidRDefault="00862A88" w:rsidP="006F268E">
      <w:pPr>
        <w:ind w:left="851"/>
        <w:rPr>
          <w:sz w:val="24"/>
          <w:szCs w:val="24"/>
          <w:lang w:val="en-US" w:eastAsia="en-US"/>
        </w:rPr>
      </w:pPr>
    </w:p>
    <w:p w14:paraId="43E0A6FC" w14:textId="77777777" w:rsidR="00862A88" w:rsidRPr="009907F8" w:rsidRDefault="00862A88" w:rsidP="006F268E">
      <w:pPr>
        <w:ind w:left="851"/>
        <w:rPr>
          <w:sz w:val="24"/>
          <w:szCs w:val="24"/>
          <w:lang w:val="en-US" w:eastAsia="en-US"/>
        </w:rPr>
      </w:pPr>
      <w:r w:rsidRPr="009907F8">
        <w:rPr>
          <w:sz w:val="24"/>
          <w:szCs w:val="24"/>
          <w:lang w:val="en-US" w:eastAsia="en-US"/>
        </w:rPr>
        <w:t>Study D2311 (PARADIGMS) was a double-blind, double-dummy, active-controlled study with flexible duration up to 24 months, with 215 patients 10 to &lt;18 years old (n=107 on fingolimod, 108 on interferon beta-1a 30 µg by intramuscular injection once weekly).</w:t>
      </w:r>
    </w:p>
    <w:p w14:paraId="1C72F1AF" w14:textId="77777777" w:rsidR="00862A88" w:rsidRPr="009907F8" w:rsidRDefault="00862A88" w:rsidP="006F268E">
      <w:pPr>
        <w:ind w:left="851"/>
        <w:rPr>
          <w:sz w:val="24"/>
          <w:szCs w:val="24"/>
          <w:lang w:val="en-US" w:eastAsia="en-US"/>
        </w:rPr>
      </w:pPr>
    </w:p>
    <w:p w14:paraId="00AE7BC7" w14:textId="77777777" w:rsidR="00862A88" w:rsidRPr="009907F8" w:rsidRDefault="00862A88" w:rsidP="006F268E">
      <w:pPr>
        <w:ind w:left="851"/>
        <w:rPr>
          <w:sz w:val="24"/>
          <w:szCs w:val="24"/>
          <w:lang w:val="en-US" w:eastAsia="en-US"/>
        </w:rPr>
      </w:pPr>
      <w:r w:rsidRPr="009907F8">
        <w:rPr>
          <w:sz w:val="24"/>
          <w:szCs w:val="24"/>
          <w:lang w:val="en-US" w:eastAsia="en-US"/>
        </w:rPr>
        <w:t>Median values for baseline characteristics were: age 16 years, median disease duration 1.5 years and EDSS score 1.5. The majority of patients were Tanner stage 2 or higher (94.4%) and were &gt;40 kg (95.3%). Overall, 180 (84%) of patients completed the core phase on study drug (n=99 [92.5%] on fingolimod, 81 [75%] on interferon beta-1a). Outcome results are shown in Table 4.</w:t>
      </w:r>
    </w:p>
    <w:p w14:paraId="40CF336C" w14:textId="77777777" w:rsidR="00862A88" w:rsidRPr="009907F8" w:rsidRDefault="00862A88" w:rsidP="006F268E">
      <w:pPr>
        <w:ind w:left="851"/>
        <w:rPr>
          <w:sz w:val="24"/>
          <w:szCs w:val="24"/>
          <w:lang w:val="en-US" w:eastAsia="en-US"/>
        </w:rPr>
      </w:pPr>
    </w:p>
    <w:p w14:paraId="67F47D91" w14:textId="723F640B" w:rsidR="00862A88" w:rsidRPr="009907F8" w:rsidRDefault="00862A88" w:rsidP="006F268E">
      <w:pPr>
        <w:ind w:left="851"/>
        <w:rPr>
          <w:bCs/>
          <w:i/>
          <w:sz w:val="24"/>
          <w:szCs w:val="24"/>
          <w:lang w:val="en-US" w:eastAsia="en-US"/>
        </w:rPr>
      </w:pPr>
      <w:r w:rsidRPr="009907F8">
        <w:rPr>
          <w:bCs/>
          <w:i/>
          <w:sz w:val="24"/>
          <w:szCs w:val="24"/>
          <w:lang w:val="en-US" w:eastAsia="en-US"/>
        </w:rPr>
        <w:t>Table 4</w:t>
      </w:r>
      <w:r w:rsidR="006F268E" w:rsidRPr="009907F8">
        <w:rPr>
          <w:bCs/>
          <w:i/>
          <w:sz w:val="24"/>
          <w:szCs w:val="24"/>
          <w:lang w:val="en-US" w:eastAsia="en-US"/>
        </w:rPr>
        <w:t xml:space="preserve">. </w:t>
      </w:r>
      <w:r w:rsidRPr="009907F8">
        <w:rPr>
          <w:bCs/>
          <w:i/>
          <w:sz w:val="24"/>
          <w:szCs w:val="24"/>
          <w:lang w:val="en-US" w:eastAsia="en-US"/>
        </w:rPr>
        <w:t>Study D2311 (PARADIGMS): main results</w:t>
      </w:r>
    </w:p>
    <w:tbl>
      <w:tblPr>
        <w:tblW w:w="8788" w:type="dxa"/>
        <w:tblInd w:w="846" w:type="dxa"/>
        <w:tblLayout w:type="fixed"/>
        <w:tblCellMar>
          <w:left w:w="0" w:type="dxa"/>
          <w:right w:w="0" w:type="dxa"/>
        </w:tblCellMar>
        <w:tblLook w:val="04A0" w:firstRow="1" w:lastRow="0" w:firstColumn="1" w:lastColumn="0" w:noHBand="0" w:noVBand="1"/>
      </w:tblPr>
      <w:tblGrid>
        <w:gridCol w:w="5069"/>
        <w:gridCol w:w="2107"/>
        <w:gridCol w:w="1612"/>
      </w:tblGrid>
      <w:tr w:rsidR="00862A88" w:rsidRPr="00424879" w14:paraId="0FF933E8" w14:textId="77777777" w:rsidTr="006F268E">
        <w:trPr>
          <w:trHeight w:val="506"/>
        </w:trPr>
        <w:tc>
          <w:tcPr>
            <w:tcW w:w="5069" w:type="dxa"/>
            <w:tcBorders>
              <w:top w:val="single" w:sz="4" w:space="0" w:color="000000"/>
              <w:left w:val="single" w:sz="4" w:space="0" w:color="000000"/>
              <w:bottom w:val="single" w:sz="4" w:space="0" w:color="000000"/>
              <w:right w:val="single" w:sz="4" w:space="0" w:color="000000"/>
            </w:tcBorders>
          </w:tcPr>
          <w:p w14:paraId="298205FC"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p>
        </w:tc>
        <w:tc>
          <w:tcPr>
            <w:tcW w:w="2107" w:type="dxa"/>
            <w:tcBorders>
              <w:top w:val="single" w:sz="4" w:space="0" w:color="000000"/>
              <w:left w:val="single" w:sz="4" w:space="0" w:color="000000"/>
              <w:bottom w:val="single" w:sz="4" w:space="0" w:color="000000"/>
              <w:right w:val="single" w:sz="4" w:space="0" w:color="000000"/>
            </w:tcBorders>
            <w:hideMark/>
          </w:tcPr>
          <w:p w14:paraId="7C2C5402" w14:textId="77777777" w:rsidR="00862A88" w:rsidRPr="00424879" w:rsidRDefault="00862A88">
            <w:pPr>
              <w:widowControl w:val="0"/>
              <w:numPr>
                <w:ilvl w:val="12"/>
                <w:numId w:val="0"/>
              </w:numPr>
              <w:tabs>
                <w:tab w:val="left" w:pos="567"/>
              </w:tabs>
              <w:spacing w:line="260" w:lineRule="exact"/>
              <w:ind w:left="169" w:right="-2"/>
              <w:rPr>
                <w:b/>
                <w:bCs/>
                <w:sz w:val="22"/>
                <w:szCs w:val="22"/>
                <w:lang w:eastAsia="en-US"/>
              </w:rPr>
            </w:pPr>
            <w:proofErr w:type="spellStart"/>
            <w:r w:rsidRPr="00424879">
              <w:rPr>
                <w:b/>
                <w:bCs/>
                <w:sz w:val="22"/>
                <w:szCs w:val="22"/>
                <w:lang w:eastAsia="en-US"/>
              </w:rPr>
              <w:t>Fingolimod</w:t>
            </w:r>
            <w:proofErr w:type="spellEnd"/>
          </w:p>
          <w:p w14:paraId="4B9FCB29" w14:textId="77777777" w:rsidR="00862A88" w:rsidRPr="00424879" w:rsidRDefault="00862A88">
            <w:pPr>
              <w:widowControl w:val="0"/>
              <w:numPr>
                <w:ilvl w:val="12"/>
                <w:numId w:val="0"/>
              </w:numPr>
              <w:tabs>
                <w:tab w:val="left" w:pos="567"/>
              </w:tabs>
              <w:spacing w:line="260" w:lineRule="exact"/>
              <w:ind w:left="169" w:right="-2"/>
              <w:rPr>
                <w:b/>
                <w:bCs/>
                <w:sz w:val="22"/>
                <w:szCs w:val="22"/>
                <w:lang w:eastAsia="en-US"/>
              </w:rPr>
            </w:pPr>
            <w:r w:rsidRPr="00424879">
              <w:rPr>
                <w:b/>
                <w:bCs/>
                <w:sz w:val="22"/>
                <w:szCs w:val="22"/>
                <w:lang w:eastAsia="en-US"/>
              </w:rPr>
              <w:t>0.25 mg or 0.5 mg</w:t>
            </w:r>
          </w:p>
        </w:tc>
        <w:tc>
          <w:tcPr>
            <w:tcW w:w="1612" w:type="dxa"/>
            <w:tcBorders>
              <w:top w:val="single" w:sz="4" w:space="0" w:color="000000"/>
              <w:left w:val="single" w:sz="4" w:space="0" w:color="000000"/>
              <w:bottom w:val="single" w:sz="4" w:space="0" w:color="000000"/>
              <w:right w:val="single" w:sz="4" w:space="0" w:color="000000"/>
            </w:tcBorders>
            <w:hideMark/>
          </w:tcPr>
          <w:p w14:paraId="4C41B63E" w14:textId="77777777" w:rsidR="00862A88" w:rsidRPr="00424879" w:rsidRDefault="00862A88">
            <w:pPr>
              <w:widowControl w:val="0"/>
              <w:numPr>
                <w:ilvl w:val="12"/>
                <w:numId w:val="0"/>
              </w:numPr>
              <w:tabs>
                <w:tab w:val="left" w:pos="567"/>
              </w:tabs>
              <w:spacing w:line="260" w:lineRule="exact"/>
              <w:ind w:left="195" w:right="-2"/>
              <w:rPr>
                <w:b/>
                <w:bCs/>
                <w:sz w:val="22"/>
                <w:szCs w:val="22"/>
                <w:lang w:eastAsia="en-US"/>
              </w:rPr>
            </w:pPr>
            <w:r w:rsidRPr="00424879">
              <w:rPr>
                <w:b/>
                <w:bCs/>
                <w:sz w:val="22"/>
                <w:szCs w:val="22"/>
                <w:lang w:eastAsia="en-US"/>
              </w:rPr>
              <w:t>Interferon beta-1a 30 µg</w:t>
            </w:r>
          </w:p>
        </w:tc>
      </w:tr>
      <w:tr w:rsidR="00862A88" w:rsidRPr="00424879" w14:paraId="27648969" w14:textId="77777777" w:rsidTr="006F268E">
        <w:trPr>
          <w:trHeight w:val="251"/>
        </w:trPr>
        <w:tc>
          <w:tcPr>
            <w:tcW w:w="5069" w:type="dxa"/>
            <w:tcBorders>
              <w:top w:val="single" w:sz="4" w:space="0" w:color="000000"/>
              <w:left w:val="single" w:sz="4" w:space="0" w:color="000000"/>
              <w:bottom w:val="single" w:sz="4" w:space="0" w:color="000000"/>
              <w:right w:val="single" w:sz="4" w:space="0" w:color="000000"/>
            </w:tcBorders>
            <w:hideMark/>
          </w:tcPr>
          <w:p w14:paraId="6648F46A" w14:textId="77777777" w:rsidR="00862A88" w:rsidRPr="00424879" w:rsidRDefault="00862A88">
            <w:pPr>
              <w:widowControl w:val="0"/>
              <w:numPr>
                <w:ilvl w:val="12"/>
                <w:numId w:val="0"/>
              </w:numPr>
              <w:tabs>
                <w:tab w:val="left" w:pos="567"/>
              </w:tabs>
              <w:spacing w:line="260" w:lineRule="exact"/>
              <w:ind w:left="142" w:right="-2"/>
              <w:rPr>
                <w:b/>
                <w:bCs/>
                <w:sz w:val="22"/>
                <w:szCs w:val="22"/>
                <w:lang w:eastAsia="en-US"/>
              </w:rPr>
            </w:pPr>
            <w:proofErr w:type="spellStart"/>
            <w:r w:rsidRPr="00424879">
              <w:rPr>
                <w:b/>
                <w:bCs/>
                <w:sz w:val="22"/>
                <w:szCs w:val="22"/>
                <w:lang w:eastAsia="en-US"/>
              </w:rPr>
              <w:t>Clinical</w:t>
            </w:r>
            <w:proofErr w:type="spellEnd"/>
            <w:r w:rsidRPr="00424879">
              <w:rPr>
                <w:b/>
                <w:bCs/>
                <w:sz w:val="22"/>
                <w:szCs w:val="22"/>
                <w:lang w:eastAsia="en-US"/>
              </w:rPr>
              <w:t xml:space="preserve"> </w:t>
            </w:r>
            <w:proofErr w:type="spellStart"/>
            <w:r w:rsidRPr="00424879">
              <w:rPr>
                <w:b/>
                <w:bCs/>
                <w:sz w:val="22"/>
                <w:szCs w:val="22"/>
                <w:lang w:eastAsia="en-US"/>
              </w:rPr>
              <w:t>endpoints</w:t>
            </w:r>
            <w:proofErr w:type="spellEnd"/>
          </w:p>
        </w:tc>
        <w:tc>
          <w:tcPr>
            <w:tcW w:w="2107" w:type="dxa"/>
            <w:tcBorders>
              <w:top w:val="single" w:sz="4" w:space="0" w:color="000000"/>
              <w:left w:val="single" w:sz="4" w:space="0" w:color="000000"/>
              <w:bottom w:val="single" w:sz="4" w:space="0" w:color="000000"/>
              <w:right w:val="single" w:sz="4" w:space="0" w:color="000000"/>
            </w:tcBorders>
            <w:hideMark/>
          </w:tcPr>
          <w:p w14:paraId="17D57C00" w14:textId="77777777" w:rsidR="00862A88" w:rsidRPr="00424879" w:rsidRDefault="00862A88">
            <w:pPr>
              <w:widowControl w:val="0"/>
              <w:numPr>
                <w:ilvl w:val="12"/>
                <w:numId w:val="0"/>
              </w:numPr>
              <w:tabs>
                <w:tab w:val="left" w:pos="567"/>
              </w:tabs>
              <w:spacing w:line="260" w:lineRule="exact"/>
              <w:ind w:left="169" w:right="-2"/>
              <w:rPr>
                <w:sz w:val="22"/>
                <w:szCs w:val="22"/>
                <w:lang w:eastAsia="en-US"/>
              </w:rPr>
            </w:pPr>
            <w:r w:rsidRPr="00424879">
              <w:rPr>
                <w:sz w:val="22"/>
                <w:szCs w:val="22"/>
                <w:lang w:eastAsia="en-US"/>
              </w:rPr>
              <w:t>N=107</w:t>
            </w:r>
          </w:p>
        </w:tc>
        <w:tc>
          <w:tcPr>
            <w:tcW w:w="1612" w:type="dxa"/>
            <w:tcBorders>
              <w:top w:val="single" w:sz="4" w:space="0" w:color="000000"/>
              <w:left w:val="single" w:sz="4" w:space="0" w:color="000000"/>
              <w:bottom w:val="single" w:sz="4" w:space="0" w:color="000000"/>
              <w:right w:val="single" w:sz="4" w:space="0" w:color="000000"/>
            </w:tcBorders>
            <w:hideMark/>
          </w:tcPr>
          <w:p w14:paraId="7402B848" w14:textId="77777777" w:rsidR="00862A88" w:rsidRPr="00424879" w:rsidRDefault="00862A88">
            <w:pPr>
              <w:widowControl w:val="0"/>
              <w:numPr>
                <w:ilvl w:val="12"/>
                <w:numId w:val="0"/>
              </w:numPr>
              <w:tabs>
                <w:tab w:val="left" w:pos="567"/>
              </w:tabs>
              <w:spacing w:line="260" w:lineRule="exact"/>
              <w:ind w:left="195" w:right="-2"/>
              <w:rPr>
                <w:sz w:val="22"/>
                <w:szCs w:val="22"/>
                <w:lang w:eastAsia="en-US"/>
              </w:rPr>
            </w:pPr>
            <w:r w:rsidRPr="00424879">
              <w:rPr>
                <w:sz w:val="22"/>
                <w:szCs w:val="22"/>
                <w:lang w:eastAsia="en-US"/>
              </w:rPr>
              <w:t>N=107</w:t>
            </w:r>
            <w:r w:rsidRPr="00424879">
              <w:rPr>
                <w:sz w:val="22"/>
                <w:szCs w:val="22"/>
                <w:vertAlign w:val="superscript"/>
                <w:lang w:eastAsia="en-US"/>
              </w:rPr>
              <w:t>#</w:t>
            </w:r>
          </w:p>
        </w:tc>
      </w:tr>
      <w:tr w:rsidR="00862A88" w:rsidRPr="00424879" w14:paraId="47B05A56" w14:textId="77777777" w:rsidTr="006F268E">
        <w:trPr>
          <w:trHeight w:val="254"/>
        </w:trPr>
        <w:tc>
          <w:tcPr>
            <w:tcW w:w="5069" w:type="dxa"/>
            <w:tcBorders>
              <w:top w:val="single" w:sz="4" w:space="0" w:color="000000"/>
              <w:left w:val="single" w:sz="4" w:space="0" w:color="000000"/>
              <w:bottom w:val="single" w:sz="4" w:space="0" w:color="000000"/>
              <w:right w:val="single" w:sz="4" w:space="0" w:color="000000"/>
            </w:tcBorders>
            <w:hideMark/>
          </w:tcPr>
          <w:p w14:paraId="56F8404F"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proofErr w:type="spellStart"/>
            <w:r w:rsidRPr="00424879">
              <w:rPr>
                <w:sz w:val="22"/>
                <w:szCs w:val="22"/>
                <w:lang w:val="en-US" w:eastAsia="en-US"/>
              </w:rPr>
              <w:t>Annualised</w:t>
            </w:r>
            <w:proofErr w:type="spellEnd"/>
            <w:r w:rsidRPr="00424879">
              <w:rPr>
                <w:sz w:val="22"/>
                <w:szCs w:val="22"/>
                <w:lang w:val="en-US" w:eastAsia="en-US"/>
              </w:rPr>
              <w:t xml:space="preserve"> relapse rate (primary endpoint)</w:t>
            </w:r>
          </w:p>
        </w:tc>
        <w:tc>
          <w:tcPr>
            <w:tcW w:w="2107" w:type="dxa"/>
            <w:tcBorders>
              <w:top w:val="single" w:sz="4" w:space="0" w:color="000000"/>
              <w:left w:val="single" w:sz="4" w:space="0" w:color="000000"/>
              <w:bottom w:val="single" w:sz="4" w:space="0" w:color="000000"/>
              <w:right w:val="single" w:sz="4" w:space="0" w:color="000000"/>
            </w:tcBorders>
            <w:hideMark/>
          </w:tcPr>
          <w:p w14:paraId="0CC7F543" w14:textId="77777777" w:rsidR="00862A88" w:rsidRPr="00424879" w:rsidRDefault="00862A88">
            <w:pPr>
              <w:widowControl w:val="0"/>
              <w:numPr>
                <w:ilvl w:val="12"/>
                <w:numId w:val="0"/>
              </w:numPr>
              <w:tabs>
                <w:tab w:val="left" w:pos="567"/>
              </w:tabs>
              <w:spacing w:line="260" w:lineRule="exact"/>
              <w:ind w:left="169" w:right="-2"/>
              <w:rPr>
                <w:sz w:val="22"/>
                <w:szCs w:val="22"/>
                <w:lang w:eastAsia="en-US"/>
              </w:rPr>
            </w:pPr>
            <w:r w:rsidRPr="00424879">
              <w:rPr>
                <w:sz w:val="22"/>
                <w:szCs w:val="22"/>
                <w:lang w:eastAsia="en-US"/>
              </w:rPr>
              <w:t>0.122**</w:t>
            </w:r>
          </w:p>
        </w:tc>
        <w:tc>
          <w:tcPr>
            <w:tcW w:w="1612" w:type="dxa"/>
            <w:tcBorders>
              <w:top w:val="single" w:sz="4" w:space="0" w:color="000000"/>
              <w:left w:val="single" w:sz="4" w:space="0" w:color="000000"/>
              <w:bottom w:val="single" w:sz="4" w:space="0" w:color="000000"/>
              <w:right w:val="single" w:sz="4" w:space="0" w:color="000000"/>
            </w:tcBorders>
            <w:hideMark/>
          </w:tcPr>
          <w:p w14:paraId="6E18C7A8" w14:textId="77777777" w:rsidR="00862A88" w:rsidRPr="00424879" w:rsidRDefault="00862A88">
            <w:pPr>
              <w:widowControl w:val="0"/>
              <w:numPr>
                <w:ilvl w:val="12"/>
                <w:numId w:val="0"/>
              </w:numPr>
              <w:tabs>
                <w:tab w:val="left" w:pos="567"/>
              </w:tabs>
              <w:spacing w:line="260" w:lineRule="exact"/>
              <w:ind w:left="195" w:right="-2"/>
              <w:rPr>
                <w:sz w:val="22"/>
                <w:szCs w:val="22"/>
                <w:lang w:eastAsia="en-US"/>
              </w:rPr>
            </w:pPr>
            <w:r w:rsidRPr="00424879">
              <w:rPr>
                <w:sz w:val="22"/>
                <w:szCs w:val="22"/>
                <w:lang w:eastAsia="en-US"/>
              </w:rPr>
              <w:t>0.675</w:t>
            </w:r>
          </w:p>
        </w:tc>
      </w:tr>
      <w:tr w:rsidR="00862A88" w:rsidRPr="00424879" w14:paraId="716D0CE1" w14:textId="77777777" w:rsidTr="006F268E">
        <w:trPr>
          <w:trHeight w:val="505"/>
        </w:trPr>
        <w:tc>
          <w:tcPr>
            <w:tcW w:w="5069" w:type="dxa"/>
            <w:tcBorders>
              <w:top w:val="single" w:sz="4" w:space="0" w:color="000000"/>
              <w:left w:val="single" w:sz="4" w:space="0" w:color="000000"/>
              <w:bottom w:val="single" w:sz="4" w:space="0" w:color="000000"/>
              <w:right w:val="single" w:sz="4" w:space="0" w:color="000000"/>
            </w:tcBorders>
            <w:hideMark/>
          </w:tcPr>
          <w:p w14:paraId="53867B12"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Percentage of patients remaining relapse-free at</w:t>
            </w:r>
          </w:p>
          <w:p w14:paraId="692C359B" w14:textId="77777777" w:rsidR="00862A88" w:rsidRPr="00424879" w:rsidRDefault="00862A88">
            <w:pPr>
              <w:widowControl w:val="0"/>
              <w:numPr>
                <w:ilvl w:val="12"/>
                <w:numId w:val="0"/>
              </w:numPr>
              <w:tabs>
                <w:tab w:val="left" w:pos="567"/>
              </w:tabs>
              <w:spacing w:line="260" w:lineRule="exact"/>
              <w:ind w:left="142" w:right="-2"/>
              <w:rPr>
                <w:sz w:val="22"/>
                <w:szCs w:val="22"/>
                <w:lang w:eastAsia="en-US"/>
              </w:rPr>
            </w:pPr>
            <w:r w:rsidRPr="00424879">
              <w:rPr>
                <w:sz w:val="22"/>
                <w:szCs w:val="22"/>
                <w:lang w:eastAsia="en-US"/>
              </w:rPr>
              <w:t xml:space="preserve">24 </w:t>
            </w:r>
            <w:proofErr w:type="spellStart"/>
            <w:r w:rsidRPr="00424879">
              <w:rPr>
                <w:sz w:val="22"/>
                <w:szCs w:val="22"/>
                <w:lang w:eastAsia="en-US"/>
              </w:rPr>
              <w:t>months</w:t>
            </w:r>
            <w:proofErr w:type="spellEnd"/>
          </w:p>
        </w:tc>
        <w:tc>
          <w:tcPr>
            <w:tcW w:w="2107" w:type="dxa"/>
            <w:tcBorders>
              <w:top w:val="single" w:sz="4" w:space="0" w:color="000000"/>
              <w:left w:val="single" w:sz="4" w:space="0" w:color="000000"/>
              <w:bottom w:val="single" w:sz="4" w:space="0" w:color="000000"/>
              <w:right w:val="single" w:sz="4" w:space="0" w:color="000000"/>
            </w:tcBorders>
            <w:hideMark/>
          </w:tcPr>
          <w:p w14:paraId="601173DE" w14:textId="77777777" w:rsidR="00862A88" w:rsidRPr="00424879" w:rsidRDefault="00862A88">
            <w:pPr>
              <w:widowControl w:val="0"/>
              <w:numPr>
                <w:ilvl w:val="12"/>
                <w:numId w:val="0"/>
              </w:numPr>
              <w:tabs>
                <w:tab w:val="left" w:pos="567"/>
              </w:tabs>
              <w:spacing w:line="260" w:lineRule="exact"/>
              <w:ind w:left="169" w:right="-2"/>
              <w:rPr>
                <w:sz w:val="22"/>
                <w:szCs w:val="22"/>
                <w:lang w:eastAsia="en-US"/>
              </w:rPr>
            </w:pPr>
            <w:r w:rsidRPr="00424879">
              <w:rPr>
                <w:sz w:val="22"/>
                <w:szCs w:val="22"/>
                <w:lang w:eastAsia="en-US"/>
              </w:rPr>
              <w:t>85.7**</w:t>
            </w:r>
          </w:p>
        </w:tc>
        <w:tc>
          <w:tcPr>
            <w:tcW w:w="1612" w:type="dxa"/>
            <w:tcBorders>
              <w:top w:val="single" w:sz="4" w:space="0" w:color="000000"/>
              <w:left w:val="single" w:sz="4" w:space="0" w:color="000000"/>
              <w:bottom w:val="single" w:sz="4" w:space="0" w:color="000000"/>
              <w:right w:val="single" w:sz="4" w:space="0" w:color="000000"/>
            </w:tcBorders>
            <w:hideMark/>
          </w:tcPr>
          <w:p w14:paraId="1896EF75" w14:textId="77777777" w:rsidR="00862A88" w:rsidRPr="00424879" w:rsidRDefault="00862A88">
            <w:pPr>
              <w:widowControl w:val="0"/>
              <w:numPr>
                <w:ilvl w:val="12"/>
                <w:numId w:val="0"/>
              </w:numPr>
              <w:tabs>
                <w:tab w:val="left" w:pos="567"/>
              </w:tabs>
              <w:spacing w:line="260" w:lineRule="exact"/>
              <w:ind w:left="195" w:right="-2"/>
              <w:rPr>
                <w:sz w:val="22"/>
                <w:szCs w:val="22"/>
                <w:lang w:eastAsia="en-US"/>
              </w:rPr>
            </w:pPr>
            <w:r w:rsidRPr="00424879">
              <w:rPr>
                <w:sz w:val="22"/>
                <w:szCs w:val="22"/>
                <w:lang w:eastAsia="en-US"/>
              </w:rPr>
              <w:t>38.8</w:t>
            </w:r>
          </w:p>
        </w:tc>
      </w:tr>
      <w:tr w:rsidR="00862A88" w:rsidRPr="00424879" w14:paraId="233CAC03" w14:textId="77777777" w:rsidTr="006F268E">
        <w:trPr>
          <w:trHeight w:val="251"/>
        </w:trPr>
        <w:tc>
          <w:tcPr>
            <w:tcW w:w="5069" w:type="dxa"/>
            <w:tcBorders>
              <w:top w:val="single" w:sz="4" w:space="0" w:color="000000"/>
              <w:left w:val="single" w:sz="4" w:space="0" w:color="000000"/>
              <w:bottom w:val="single" w:sz="4" w:space="0" w:color="000000"/>
              <w:right w:val="single" w:sz="4" w:space="0" w:color="000000"/>
            </w:tcBorders>
            <w:hideMark/>
          </w:tcPr>
          <w:p w14:paraId="7F940879" w14:textId="77777777" w:rsidR="00862A88" w:rsidRPr="00424879" w:rsidRDefault="00862A88">
            <w:pPr>
              <w:widowControl w:val="0"/>
              <w:numPr>
                <w:ilvl w:val="12"/>
                <w:numId w:val="0"/>
              </w:numPr>
              <w:tabs>
                <w:tab w:val="left" w:pos="567"/>
              </w:tabs>
              <w:spacing w:line="260" w:lineRule="exact"/>
              <w:ind w:left="142" w:right="-2"/>
              <w:rPr>
                <w:b/>
                <w:bCs/>
                <w:sz w:val="22"/>
                <w:szCs w:val="22"/>
                <w:lang w:eastAsia="en-US"/>
              </w:rPr>
            </w:pPr>
            <w:r w:rsidRPr="00424879">
              <w:rPr>
                <w:b/>
                <w:bCs/>
                <w:sz w:val="22"/>
                <w:szCs w:val="22"/>
                <w:lang w:eastAsia="en-US"/>
              </w:rPr>
              <w:t xml:space="preserve">MRI </w:t>
            </w:r>
            <w:proofErr w:type="spellStart"/>
            <w:r w:rsidRPr="00424879">
              <w:rPr>
                <w:b/>
                <w:bCs/>
                <w:sz w:val="22"/>
                <w:szCs w:val="22"/>
                <w:lang w:eastAsia="en-US"/>
              </w:rPr>
              <w:t>endpoints</w:t>
            </w:r>
            <w:proofErr w:type="spellEnd"/>
          </w:p>
        </w:tc>
        <w:tc>
          <w:tcPr>
            <w:tcW w:w="2107" w:type="dxa"/>
            <w:tcBorders>
              <w:top w:val="single" w:sz="4" w:space="0" w:color="000000"/>
              <w:left w:val="single" w:sz="4" w:space="0" w:color="000000"/>
              <w:bottom w:val="single" w:sz="4" w:space="0" w:color="000000"/>
              <w:right w:val="single" w:sz="4" w:space="0" w:color="000000"/>
            </w:tcBorders>
          </w:tcPr>
          <w:p w14:paraId="6D160A28" w14:textId="77777777" w:rsidR="00862A88" w:rsidRPr="00424879" w:rsidRDefault="00862A88">
            <w:pPr>
              <w:widowControl w:val="0"/>
              <w:numPr>
                <w:ilvl w:val="12"/>
                <w:numId w:val="0"/>
              </w:numPr>
              <w:tabs>
                <w:tab w:val="left" w:pos="567"/>
              </w:tabs>
              <w:spacing w:line="260" w:lineRule="exact"/>
              <w:ind w:left="169" w:right="-2"/>
              <w:rPr>
                <w:sz w:val="22"/>
                <w:szCs w:val="22"/>
                <w:lang w:eastAsia="en-US"/>
              </w:rPr>
            </w:pPr>
          </w:p>
        </w:tc>
        <w:tc>
          <w:tcPr>
            <w:tcW w:w="1612" w:type="dxa"/>
            <w:tcBorders>
              <w:top w:val="single" w:sz="4" w:space="0" w:color="000000"/>
              <w:left w:val="single" w:sz="4" w:space="0" w:color="000000"/>
              <w:bottom w:val="single" w:sz="4" w:space="0" w:color="000000"/>
              <w:right w:val="single" w:sz="4" w:space="0" w:color="000000"/>
            </w:tcBorders>
          </w:tcPr>
          <w:p w14:paraId="019098A5" w14:textId="77777777" w:rsidR="00862A88" w:rsidRPr="00424879" w:rsidRDefault="00862A88">
            <w:pPr>
              <w:widowControl w:val="0"/>
              <w:numPr>
                <w:ilvl w:val="12"/>
                <w:numId w:val="0"/>
              </w:numPr>
              <w:tabs>
                <w:tab w:val="left" w:pos="567"/>
              </w:tabs>
              <w:spacing w:line="260" w:lineRule="exact"/>
              <w:ind w:left="195" w:right="-2"/>
              <w:rPr>
                <w:sz w:val="22"/>
                <w:szCs w:val="22"/>
                <w:lang w:eastAsia="en-US"/>
              </w:rPr>
            </w:pPr>
          </w:p>
        </w:tc>
      </w:tr>
      <w:tr w:rsidR="00862A88" w:rsidRPr="00424879" w14:paraId="7441F8E6" w14:textId="77777777" w:rsidTr="006F268E">
        <w:trPr>
          <w:trHeight w:val="506"/>
        </w:trPr>
        <w:tc>
          <w:tcPr>
            <w:tcW w:w="5069" w:type="dxa"/>
            <w:tcBorders>
              <w:top w:val="single" w:sz="4" w:space="0" w:color="000000"/>
              <w:left w:val="single" w:sz="4" w:space="0" w:color="000000"/>
              <w:bottom w:val="single" w:sz="4" w:space="0" w:color="000000"/>
              <w:right w:val="single" w:sz="4" w:space="0" w:color="000000"/>
            </w:tcBorders>
            <w:hideMark/>
          </w:tcPr>
          <w:p w14:paraId="699FC029"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proofErr w:type="spellStart"/>
            <w:r w:rsidRPr="00424879">
              <w:rPr>
                <w:sz w:val="22"/>
                <w:szCs w:val="22"/>
                <w:lang w:val="en-US" w:eastAsia="en-US"/>
              </w:rPr>
              <w:t>Annualised</w:t>
            </w:r>
            <w:proofErr w:type="spellEnd"/>
            <w:r w:rsidRPr="00424879">
              <w:rPr>
                <w:sz w:val="22"/>
                <w:szCs w:val="22"/>
                <w:lang w:val="en-US" w:eastAsia="en-US"/>
              </w:rPr>
              <w:t xml:space="preserve"> rate of the number of new or newly</w:t>
            </w:r>
          </w:p>
          <w:p w14:paraId="309BDEC4" w14:textId="77777777" w:rsidR="00862A88" w:rsidRPr="00424879" w:rsidRDefault="00862A88">
            <w:pPr>
              <w:widowControl w:val="0"/>
              <w:numPr>
                <w:ilvl w:val="12"/>
                <w:numId w:val="0"/>
              </w:numPr>
              <w:tabs>
                <w:tab w:val="left" w:pos="567"/>
              </w:tabs>
              <w:spacing w:line="260" w:lineRule="exact"/>
              <w:ind w:left="142" w:right="-2"/>
              <w:rPr>
                <w:sz w:val="22"/>
                <w:szCs w:val="22"/>
                <w:lang w:eastAsia="en-US"/>
              </w:rPr>
            </w:pPr>
            <w:proofErr w:type="spellStart"/>
            <w:r w:rsidRPr="00424879">
              <w:rPr>
                <w:sz w:val="22"/>
                <w:szCs w:val="22"/>
                <w:lang w:eastAsia="en-US"/>
              </w:rPr>
              <w:t>enlarging</w:t>
            </w:r>
            <w:proofErr w:type="spellEnd"/>
            <w:r w:rsidRPr="00424879">
              <w:rPr>
                <w:sz w:val="22"/>
                <w:szCs w:val="22"/>
                <w:lang w:eastAsia="en-US"/>
              </w:rPr>
              <w:t xml:space="preserve"> T2 </w:t>
            </w:r>
            <w:proofErr w:type="spellStart"/>
            <w:r w:rsidRPr="00424879">
              <w:rPr>
                <w:sz w:val="22"/>
                <w:szCs w:val="22"/>
                <w:lang w:eastAsia="en-US"/>
              </w:rPr>
              <w:t>lesions</w:t>
            </w:r>
            <w:proofErr w:type="spellEnd"/>
          </w:p>
        </w:tc>
        <w:tc>
          <w:tcPr>
            <w:tcW w:w="2107" w:type="dxa"/>
            <w:tcBorders>
              <w:top w:val="single" w:sz="4" w:space="0" w:color="000000"/>
              <w:left w:val="single" w:sz="4" w:space="0" w:color="000000"/>
              <w:bottom w:val="single" w:sz="4" w:space="0" w:color="000000"/>
              <w:right w:val="single" w:sz="4" w:space="0" w:color="000000"/>
            </w:tcBorders>
            <w:hideMark/>
          </w:tcPr>
          <w:p w14:paraId="66BDDCB8" w14:textId="77777777" w:rsidR="00862A88" w:rsidRPr="00424879" w:rsidRDefault="00862A88">
            <w:pPr>
              <w:widowControl w:val="0"/>
              <w:numPr>
                <w:ilvl w:val="12"/>
                <w:numId w:val="0"/>
              </w:numPr>
              <w:tabs>
                <w:tab w:val="left" w:pos="567"/>
              </w:tabs>
              <w:spacing w:line="260" w:lineRule="exact"/>
              <w:ind w:left="169" w:right="-2"/>
              <w:rPr>
                <w:sz w:val="22"/>
                <w:szCs w:val="22"/>
                <w:lang w:eastAsia="en-US"/>
              </w:rPr>
            </w:pPr>
            <w:r w:rsidRPr="00424879">
              <w:rPr>
                <w:sz w:val="22"/>
                <w:szCs w:val="22"/>
                <w:lang w:eastAsia="en-US"/>
              </w:rPr>
              <w:t>n=106</w:t>
            </w:r>
          </w:p>
        </w:tc>
        <w:tc>
          <w:tcPr>
            <w:tcW w:w="1612" w:type="dxa"/>
            <w:tcBorders>
              <w:top w:val="single" w:sz="4" w:space="0" w:color="000000"/>
              <w:left w:val="single" w:sz="4" w:space="0" w:color="000000"/>
              <w:bottom w:val="single" w:sz="4" w:space="0" w:color="000000"/>
              <w:right w:val="single" w:sz="4" w:space="0" w:color="000000"/>
            </w:tcBorders>
            <w:hideMark/>
          </w:tcPr>
          <w:p w14:paraId="1CC95EAE" w14:textId="77777777" w:rsidR="00862A88" w:rsidRPr="00424879" w:rsidRDefault="00862A88">
            <w:pPr>
              <w:widowControl w:val="0"/>
              <w:numPr>
                <w:ilvl w:val="12"/>
                <w:numId w:val="0"/>
              </w:numPr>
              <w:tabs>
                <w:tab w:val="left" w:pos="567"/>
              </w:tabs>
              <w:spacing w:line="260" w:lineRule="exact"/>
              <w:ind w:left="195" w:right="-2"/>
              <w:rPr>
                <w:sz w:val="22"/>
                <w:szCs w:val="22"/>
                <w:lang w:eastAsia="en-US"/>
              </w:rPr>
            </w:pPr>
            <w:r w:rsidRPr="00424879">
              <w:rPr>
                <w:sz w:val="22"/>
                <w:szCs w:val="22"/>
                <w:lang w:eastAsia="en-US"/>
              </w:rPr>
              <w:t>n=102</w:t>
            </w:r>
          </w:p>
        </w:tc>
      </w:tr>
      <w:tr w:rsidR="00862A88" w:rsidRPr="00424879" w14:paraId="2510E56D" w14:textId="77777777" w:rsidTr="006F268E">
        <w:trPr>
          <w:trHeight w:val="253"/>
        </w:trPr>
        <w:tc>
          <w:tcPr>
            <w:tcW w:w="5069" w:type="dxa"/>
            <w:tcBorders>
              <w:top w:val="single" w:sz="4" w:space="0" w:color="000000"/>
              <w:left w:val="single" w:sz="4" w:space="0" w:color="000000"/>
              <w:bottom w:val="single" w:sz="4" w:space="0" w:color="000000"/>
              <w:right w:val="single" w:sz="4" w:space="0" w:color="000000"/>
            </w:tcBorders>
            <w:hideMark/>
          </w:tcPr>
          <w:p w14:paraId="21F67888" w14:textId="77777777" w:rsidR="00862A88" w:rsidRPr="00424879" w:rsidRDefault="00862A88">
            <w:pPr>
              <w:widowControl w:val="0"/>
              <w:numPr>
                <w:ilvl w:val="12"/>
                <w:numId w:val="0"/>
              </w:numPr>
              <w:tabs>
                <w:tab w:val="left" w:pos="567"/>
              </w:tabs>
              <w:spacing w:line="260" w:lineRule="exact"/>
              <w:ind w:left="142" w:right="-2"/>
              <w:rPr>
                <w:sz w:val="22"/>
                <w:szCs w:val="22"/>
                <w:lang w:eastAsia="en-US"/>
              </w:rPr>
            </w:pPr>
            <w:proofErr w:type="spellStart"/>
            <w:r w:rsidRPr="00424879">
              <w:rPr>
                <w:sz w:val="22"/>
                <w:szCs w:val="22"/>
                <w:lang w:eastAsia="en-US"/>
              </w:rPr>
              <w:t>Adjusted</w:t>
            </w:r>
            <w:proofErr w:type="spellEnd"/>
            <w:r w:rsidRPr="00424879">
              <w:rPr>
                <w:sz w:val="22"/>
                <w:szCs w:val="22"/>
                <w:lang w:eastAsia="en-US"/>
              </w:rPr>
              <w:t xml:space="preserve"> </w:t>
            </w:r>
            <w:proofErr w:type="spellStart"/>
            <w:r w:rsidRPr="00424879">
              <w:rPr>
                <w:sz w:val="22"/>
                <w:szCs w:val="22"/>
                <w:lang w:eastAsia="en-US"/>
              </w:rPr>
              <w:t>mean</w:t>
            </w:r>
            <w:proofErr w:type="spellEnd"/>
          </w:p>
        </w:tc>
        <w:tc>
          <w:tcPr>
            <w:tcW w:w="2107" w:type="dxa"/>
            <w:tcBorders>
              <w:top w:val="single" w:sz="4" w:space="0" w:color="000000"/>
              <w:left w:val="single" w:sz="4" w:space="0" w:color="000000"/>
              <w:bottom w:val="single" w:sz="4" w:space="0" w:color="000000"/>
              <w:right w:val="single" w:sz="4" w:space="0" w:color="000000"/>
            </w:tcBorders>
            <w:hideMark/>
          </w:tcPr>
          <w:p w14:paraId="077ABF51" w14:textId="77777777" w:rsidR="00862A88" w:rsidRPr="00424879" w:rsidRDefault="00862A88">
            <w:pPr>
              <w:widowControl w:val="0"/>
              <w:numPr>
                <w:ilvl w:val="12"/>
                <w:numId w:val="0"/>
              </w:numPr>
              <w:tabs>
                <w:tab w:val="left" w:pos="567"/>
              </w:tabs>
              <w:spacing w:line="260" w:lineRule="exact"/>
              <w:ind w:left="169" w:right="-2"/>
              <w:rPr>
                <w:sz w:val="22"/>
                <w:szCs w:val="22"/>
                <w:lang w:eastAsia="en-US"/>
              </w:rPr>
            </w:pPr>
            <w:r w:rsidRPr="00424879">
              <w:rPr>
                <w:sz w:val="22"/>
                <w:szCs w:val="22"/>
                <w:lang w:eastAsia="en-US"/>
              </w:rPr>
              <w:t>4.393**</w:t>
            </w:r>
          </w:p>
        </w:tc>
        <w:tc>
          <w:tcPr>
            <w:tcW w:w="1612" w:type="dxa"/>
            <w:tcBorders>
              <w:top w:val="single" w:sz="4" w:space="0" w:color="000000"/>
              <w:left w:val="single" w:sz="4" w:space="0" w:color="000000"/>
              <w:bottom w:val="single" w:sz="4" w:space="0" w:color="000000"/>
              <w:right w:val="single" w:sz="4" w:space="0" w:color="000000"/>
            </w:tcBorders>
            <w:hideMark/>
          </w:tcPr>
          <w:p w14:paraId="0B0A4BF6" w14:textId="77777777" w:rsidR="00862A88" w:rsidRPr="00424879" w:rsidRDefault="00862A88">
            <w:pPr>
              <w:widowControl w:val="0"/>
              <w:numPr>
                <w:ilvl w:val="12"/>
                <w:numId w:val="0"/>
              </w:numPr>
              <w:tabs>
                <w:tab w:val="left" w:pos="567"/>
              </w:tabs>
              <w:spacing w:line="260" w:lineRule="exact"/>
              <w:ind w:left="195" w:right="-2"/>
              <w:rPr>
                <w:sz w:val="22"/>
                <w:szCs w:val="22"/>
                <w:lang w:eastAsia="en-US"/>
              </w:rPr>
            </w:pPr>
            <w:r w:rsidRPr="00424879">
              <w:rPr>
                <w:sz w:val="22"/>
                <w:szCs w:val="22"/>
                <w:lang w:eastAsia="en-US"/>
              </w:rPr>
              <w:t>9.269</w:t>
            </w:r>
          </w:p>
        </w:tc>
      </w:tr>
      <w:tr w:rsidR="00862A88" w:rsidRPr="00424879" w14:paraId="166A4508" w14:textId="77777777" w:rsidTr="006F268E">
        <w:trPr>
          <w:trHeight w:val="506"/>
        </w:trPr>
        <w:tc>
          <w:tcPr>
            <w:tcW w:w="5069" w:type="dxa"/>
            <w:tcBorders>
              <w:top w:val="single" w:sz="4" w:space="0" w:color="000000"/>
              <w:left w:val="single" w:sz="4" w:space="0" w:color="000000"/>
              <w:bottom w:val="single" w:sz="4" w:space="0" w:color="000000"/>
              <w:right w:val="single" w:sz="4" w:space="0" w:color="000000"/>
            </w:tcBorders>
            <w:hideMark/>
          </w:tcPr>
          <w:p w14:paraId="143E3DE6"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r w:rsidRPr="00424879">
              <w:rPr>
                <w:sz w:val="22"/>
                <w:szCs w:val="22"/>
                <w:lang w:val="en-US" w:eastAsia="en-US"/>
              </w:rPr>
              <w:t xml:space="preserve">Number of </w:t>
            </w:r>
            <w:proofErr w:type="spellStart"/>
            <w:r w:rsidRPr="00424879">
              <w:rPr>
                <w:sz w:val="22"/>
                <w:szCs w:val="22"/>
                <w:lang w:val="en-US" w:eastAsia="en-US"/>
              </w:rPr>
              <w:t>Gd</w:t>
            </w:r>
            <w:proofErr w:type="spellEnd"/>
            <w:r w:rsidRPr="00424879">
              <w:rPr>
                <w:sz w:val="22"/>
                <w:szCs w:val="22"/>
                <w:lang w:val="en-US" w:eastAsia="en-US"/>
              </w:rPr>
              <w:t>-enhancing T1 lesions per scan up to</w:t>
            </w:r>
          </w:p>
          <w:p w14:paraId="32D955FB" w14:textId="77777777" w:rsidR="00862A88" w:rsidRPr="00424879" w:rsidRDefault="00862A88">
            <w:pPr>
              <w:widowControl w:val="0"/>
              <w:numPr>
                <w:ilvl w:val="12"/>
                <w:numId w:val="0"/>
              </w:numPr>
              <w:tabs>
                <w:tab w:val="left" w:pos="567"/>
              </w:tabs>
              <w:spacing w:line="260" w:lineRule="exact"/>
              <w:ind w:left="142" w:right="-2"/>
              <w:rPr>
                <w:sz w:val="22"/>
                <w:szCs w:val="22"/>
                <w:lang w:eastAsia="en-US"/>
              </w:rPr>
            </w:pPr>
            <w:proofErr w:type="spellStart"/>
            <w:r w:rsidRPr="00424879">
              <w:rPr>
                <w:sz w:val="22"/>
                <w:szCs w:val="22"/>
                <w:lang w:eastAsia="en-US"/>
              </w:rPr>
              <w:t>month</w:t>
            </w:r>
            <w:proofErr w:type="spellEnd"/>
            <w:r w:rsidRPr="00424879">
              <w:rPr>
                <w:sz w:val="22"/>
                <w:szCs w:val="22"/>
                <w:lang w:eastAsia="en-US"/>
              </w:rPr>
              <w:t xml:space="preserve"> 24</w:t>
            </w:r>
          </w:p>
        </w:tc>
        <w:tc>
          <w:tcPr>
            <w:tcW w:w="2107" w:type="dxa"/>
            <w:tcBorders>
              <w:top w:val="single" w:sz="4" w:space="0" w:color="000000"/>
              <w:left w:val="single" w:sz="4" w:space="0" w:color="000000"/>
              <w:bottom w:val="single" w:sz="4" w:space="0" w:color="000000"/>
              <w:right w:val="single" w:sz="4" w:space="0" w:color="000000"/>
            </w:tcBorders>
            <w:hideMark/>
          </w:tcPr>
          <w:p w14:paraId="56C44537" w14:textId="77777777" w:rsidR="00862A88" w:rsidRPr="00424879" w:rsidRDefault="00862A88">
            <w:pPr>
              <w:widowControl w:val="0"/>
              <w:numPr>
                <w:ilvl w:val="12"/>
                <w:numId w:val="0"/>
              </w:numPr>
              <w:tabs>
                <w:tab w:val="left" w:pos="567"/>
              </w:tabs>
              <w:spacing w:line="260" w:lineRule="exact"/>
              <w:ind w:left="169" w:right="-2"/>
              <w:rPr>
                <w:sz w:val="22"/>
                <w:szCs w:val="22"/>
                <w:lang w:eastAsia="en-US"/>
              </w:rPr>
            </w:pPr>
            <w:r w:rsidRPr="00424879">
              <w:rPr>
                <w:sz w:val="22"/>
                <w:szCs w:val="22"/>
                <w:lang w:eastAsia="en-US"/>
              </w:rPr>
              <w:t>n=106</w:t>
            </w:r>
          </w:p>
        </w:tc>
        <w:tc>
          <w:tcPr>
            <w:tcW w:w="1612" w:type="dxa"/>
            <w:tcBorders>
              <w:top w:val="single" w:sz="4" w:space="0" w:color="000000"/>
              <w:left w:val="single" w:sz="4" w:space="0" w:color="000000"/>
              <w:bottom w:val="single" w:sz="4" w:space="0" w:color="000000"/>
              <w:right w:val="single" w:sz="4" w:space="0" w:color="000000"/>
            </w:tcBorders>
            <w:hideMark/>
          </w:tcPr>
          <w:p w14:paraId="42A03050" w14:textId="77777777" w:rsidR="00862A88" w:rsidRPr="00424879" w:rsidRDefault="00862A88">
            <w:pPr>
              <w:widowControl w:val="0"/>
              <w:numPr>
                <w:ilvl w:val="12"/>
                <w:numId w:val="0"/>
              </w:numPr>
              <w:tabs>
                <w:tab w:val="left" w:pos="567"/>
              </w:tabs>
              <w:spacing w:line="260" w:lineRule="exact"/>
              <w:ind w:left="195" w:right="-2"/>
              <w:rPr>
                <w:sz w:val="22"/>
                <w:szCs w:val="22"/>
                <w:lang w:eastAsia="en-US"/>
              </w:rPr>
            </w:pPr>
            <w:r w:rsidRPr="00424879">
              <w:rPr>
                <w:sz w:val="22"/>
                <w:szCs w:val="22"/>
                <w:lang w:eastAsia="en-US"/>
              </w:rPr>
              <w:t>n=101</w:t>
            </w:r>
          </w:p>
        </w:tc>
      </w:tr>
      <w:tr w:rsidR="00862A88" w:rsidRPr="00424879" w14:paraId="024A1A11" w14:textId="77777777" w:rsidTr="006F268E">
        <w:trPr>
          <w:trHeight w:val="253"/>
        </w:trPr>
        <w:tc>
          <w:tcPr>
            <w:tcW w:w="5069" w:type="dxa"/>
            <w:tcBorders>
              <w:top w:val="single" w:sz="4" w:space="0" w:color="000000"/>
              <w:left w:val="single" w:sz="4" w:space="0" w:color="000000"/>
              <w:bottom w:val="single" w:sz="4" w:space="0" w:color="000000"/>
              <w:right w:val="single" w:sz="4" w:space="0" w:color="000000"/>
            </w:tcBorders>
            <w:hideMark/>
          </w:tcPr>
          <w:p w14:paraId="05E700D4" w14:textId="77777777" w:rsidR="00862A88" w:rsidRPr="00424879" w:rsidRDefault="00862A88">
            <w:pPr>
              <w:widowControl w:val="0"/>
              <w:numPr>
                <w:ilvl w:val="12"/>
                <w:numId w:val="0"/>
              </w:numPr>
              <w:tabs>
                <w:tab w:val="left" w:pos="567"/>
              </w:tabs>
              <w:spacing w:line="260" w:lineRule="exact"/>
              <w:ind w:left="142" w:right="-2"/>
              <w:rPr>
                <w:sz w:val="22"/>
                <w:szCs w:val="22"/>
                <w:lang w:eastAsia="en-US"/>
              </w:rPr>
            </w:pPr>
            <w:proofErr w:type="spellStart"/>
            <w:r w:rsidRPr="00424879">
              <w:rPr>
                <w:sz w:val="22"/>
                <w:szCs w:val="22"/>
                <w:lang w:eastAsia="en-US"/>
              </w:rPr>
              <w:t>Adjusted</w:t>
            </w:r>
            <w:proofErr w:type="spellEnd"/>
            <w:r w:rsidRPr="00424879">
              <w:rPr>
                <w:sz w:val="22"/>
                <w:szCs w:val="22"/>
                <w:lang w:eastAsia="en-US"/>
              </w:rPr>
              <w:t xml:space="preserve"> </w:t>
            </w:r>
            <w:proofErr w:type="spellStart"/>
            <w:r w:rsidRPr="00424879">
              <w:rPr>
                <w:sz w:val="22"/>
                <w:szCs w:val="22"/>
                <w:lang w:eastAsia="en-US"/>
              </w:rPr>
              <w:t>mean</w:t>
            </w:r>
            <w:proofErr w:type="spellEnd"/>
          </w:p>
        </w:tc>
        <w:tc>
          <w:tcPr>
            <w:tcW w:w="2107" w:type="dxa"/>
            <w:tcBorders>
              <w:top w:val="single" w:sz="4" w:space="0" w:color="000000"/>
              <w:left w:val="single" w:sz="4" w:space="0" w:color="000000"/>
              <w:bottom w:val="single" w:sz="4" w:space="0" w:color="000000"/>
              <w:right w:val="single" w:sz="4" w:space="0" w:color="000000"/>
            </w:tcBorders>
            <w:hideMark/>
          </w:tcPr>
          <w:p w14:paraId="0A176BFB" w14:textId="77777777" w:rsidR="00862A88" w:rsidRPr="00424879" w:rsidRDefault="00862A88">
            <w:pPr>
              <w:widowControl w:val="0"/>
              <w:numPr>
                <w:ilvl w:val="12"/>
                <w:numId w:val="0"/>
              </w:numPr>
              <w:tabs>
                <w:tab w:val="left" w:pos="567"/>
              </w:tabs>
              <w:spacing w:line="260" w:lineRule="exact"/>
              <w:ind w:left="169" w:right="-2"/>
              <w:rPr>
                <w:sz w:val="22"/>
                <w:szCs w:val="22"/>
                <w:lang w:eastAsia="en-US"/>
              </w:rPr>
            </w:pPr>
            <w:r w:rsidRPr="00424879">
              <w:rPr>
                <w:sz w:val="22"/>
                <w:szCs w:val="22"/>
                <w:lang w:eastAsia="en-US"/>
              </w:rPr>
              <w:t>0.436**</w:t>
            </w:r>
          </w:p>
        </w:tc>
        <w:tc>
          <w:tcPr>
            <w:tcW w:w="1612" w:type="dxa"/>
            <w:tcBorders>
              <w:top w:val="single" w:sz="4" w:space="0" w:color="000000"/>
              <w:left w:val="single" w:sz="4" w:space="0" w:color="000000"/>
              <w:bottom w:val="single" w:sz="4" w:space="0" w:color="000000"/>
              <w:right w:val="single" w:sz="4" w:space="0" w:color="000000"/>
            </w:tcBorders>
            <w:hideMark/>
          </w:tcPr>
          <w:p w14:paraId="3F96410B" w14:textId="77777777" w:rsidR="00862A88" w:rsidRPr="00424879" w:rsidRDefault="00862A88">
            <w:pPr>
              <w:widowControl w:val="0"/>
              <w:numPr>
                <w:ilvl w:val="12"/>
                <w:numId w:val="0"/>
              </w:numPr>
              <w:tabs>
                <w:tab w:val="left" w:pos="567"/>
              </w:tabs>
              <w:spacing w:line="260" w:lineRule="exact"/>
              <w:ind w:left="195" w:right="-2"/>
              <w:rPr>
                <w:sz w:val="22"/>
                <w:szCs w:val="22"/>
                <w:lang w:eastAsia="en-US"/>
              </w:rPr>
            </w:pPr>
            <w:r w:rsidRPr="00424879">
              <w:rPr>
                <w:sz w:val="22"/>
                <w:szCs w:val="22"/>
                <w:lang w:eastAsia="en-US"/>
              </w:rPr>
              <w:t>1.282</w:t>
            </w:r>
          </w:p>
        </w:tc>
      </w:tr>
      <w:tr w:rsidR="00862A88" w:rsidRPr="00424879" w14:paraId="0E8989E9" w14:textId="77777777" w:rsidTr="006F268E">
        <w:trPr>
          <w:trHeight w:val="506"/>
        </w:trPr>
        <w:tc>
          <w:tcPr>
            <w:tcW w:w="5069" w:type="dxa"/>
            <w:tcBorders>
              <w:top w:val="single" w:sz="4" w:space="0" w:color="000000"/>
              <w:left w:val="single" w:sz="4" w:space="0" w:color="000000"/>
              <w:bottom w:val="single" w:sz="4" w:space="0" w:color="000000"/>
              <w:right w:val="single" w:sz="4" w:space="0" w:color="000000"/>
            </w:tcBorders>
            <w:hideMark/>
          </w:tcPr>
          <w:p w14:paraId="6FD6B432" w14:textId="77777777" w:rsidR="00862A88" w:rsidRPr="00424879" w:rsidRDefault="00862A88">
            <w:pPr>
              <w:widowControl w:val="0"/>
              <w:numPr>
                <w:ilvl w:val="12"/>
                <w:numId w:val="0"/>
              </w:numPr>
              <w:tabs>
                <w:tab w:val="left" w:pos="567"/>
              </w:tabs>
              <w:spacing w:line="260" w:lineRule="exact"/>
              <w:ind w:left="142" w:right="-2"/>
              <w:rPr>
                <w:sz w:val="22"/>
                <w:szCs w:val="22"/>
                <w:lang w:val="en-US" w:eastAsia="en-US"/>
              </w:rPr>
            </w:pPr>
            <w:proofErr w:type="spellStart"/>
            <w:r w:rsidRPr="00424879">
              <w:rPr>
                <w:sz w:val="22"/>
                <w:szCs w:val="22"/>
                <w:lang w:val="en-US" w:eastAsia="en-US"/>
              </w:rPr>
              <w:t>Annualised</w:t>
            </w:r>
            <w:proofErr w:type="spellEnd"/>
            <w:r w:rsidRPr="00424879">
              <w:rPr>
                <w:sz w:val="22"/>
                <w:szCs w:val="22"/>
                <w:lang w:val="en-US" w:eastAsia="en-US"/>
              </w:rPr>
              <w:t xml:space="preserve"> rate of brain atrophy from baseline up to</w:t>
            </w:r>
          </w:p>
          <w:p w14:paraId="1ACBE0F3" w14:textId="77777777" w:rsidR="00862A88" w:rsidRPr="00424879" w:rsidRDefault="00862A88">
            <w:pPr>
              <w:widowControl w:val="0"/>
              <w:numPr>
                <w:ilvl w:val="12"/>
                <w:numId w:val="0"/>
              </w:numPr>
              <w:tabs>
                <w:tab w:val="left" w:pos="567"/>
              </w:tabs>
              <w:spacing w:line="260" w:lineRule="exact"/>
              <w:ind w:left="142" w:right="-2"/>
              <w:rPr>
                <w:sz w:val="22"/>
                <w:szCs w:val="22"/>
                <w:lang w:eastAsia="en-US"/>
              </w:rPr>
            </w:pPr>
            <w:proofErr w:type="spellStart"/>
            <w:r w:rsidRPr="00424879">
              <w:rPr>
                <w:sz w:val="22"/>
                <w:szCs w:val="22"/>
                <w:lang w:eastAsia="en-US"/>
              </w:rPr>
              <w:t>month</w:t>
            </w:r>
            <w:proofErr w:type="spellEnd"/>
            <w:r w:rsidRPr="00424879">
              <w:rPr>
                <w:sz w:val="22"/>
                <w:szCs w:val="22"/>
                <w:lang w:eastAsia="en-US"/>
              </w:rPr>
              <w:t xml:space="preserve"> 24</w:t>
            </w:r>
          </w:p>
        </w:tc>
        <w:tc>
          <w:tcPr>
            <w:tcW w:w="2107" w:type="dxa"/>
            <w:tcBorders>
              <w:top w:val="single" w:sz="4" w:space="0" w:color="000000"/>
              <w:left w:val="single" w:sz="4" w:space="0" w:color="000000"/>
              <w:bottom w:val="single" w:sz="4" w:space="0" w:color="000000"/>
              <w:right w:val="single" w:sz="4" w:space="0" w:color="000000"/>
            </w:tcBorders>
            <w:hideMark/>
          </w:tcPr>
          <w:p w14:paraId="1A817B5C" w14:textId="77777777" w:rsidR="00862A88" w:rsidRPr="00424879" w:rsidRDefault="00862A88">
            <w:pPr>
              <w:widowControl w:val="0"/>
              <w:numPr>
                <w:ilvl w:val="12"/>
                <w:numId w:val="0"/>
              </w:numPr>
              <w:tabs>
                <w:tab w:val="left" w:pos="567"/>
              </w:tabs>
              <w:spacing w:line="260" w:lineRule="exact"/>
              <w:ind w:left="169" w:right="-2"/>
              <w:rPr>
                <w:sz w:val="22"/>
                <w:szCs w:val="22"/>
                <w:lang w:eastAsia="en-US"/>
              </w:rPr>
            </w:pPr>
            <w:r w:rsidRPr="00424879">
              <w:rPr>
                <w:sz w:val="22"/>
                <w:szCs w:val="22"/>
                <w:lang w:eastAsia="en-US"/>
              </w:rPr>
              <w:t>n=96</w:t>
            </w:r>
          </w:p>
        </w:tc>
        <w:tc>
          <w:tcPr>
            <w:tcW w:w="1612" w:type="dxa"/>
            <w:tcBorders>
              <w:top w:val="single" w:sz="4" w:space="0" w:color="000000"/>
              <w:left w:val="single" w:sz="4" w:space="0" w:color="000000"/>
              <w:bottom w:val="single" w:sz="4" w:space="0" w:color="000000"/>
              <w:right w:val="single" w:sz="4" w:space="0" w:color="000000"/>
            </w:tcBorders>
            <w:hideMark/>
          </w:tcPr>
          <w:p w14:paraId="74662AEC" w14:textId="77777777" w:rsidR="00862A88" w:rsidRPr="00424879" w:rsidRDefault="00862A88">
            <w:pPr>
              <w:widowControl w:val="0"/>
              <w:numPr>
                <w:ilvl w:val="12"/>
                <w:numId w:val="0"/>
              </w:numPr>
              <w:tabs>
                <w:tab w:val="left" w:pos="567"/>
              </w:tabs>
              <w:spacing w:line="260" w:lineRule="exact"/>
              <w:ind w:left="195" w:right="-2"/>
              <w:rPr>
                <w:sz w:val="22"/>
                <w:szCs w:val="22"/>
                <w:lang w:eastAsia="en-US"/>
              </w:rPr>
            </w:pPr>
            <w:r w:rsidRPr="00424879">
              <w:rPr>
                <w:sz w:val="22"/>
                <w:szCs w:val="22"/>
                <w:lang w:eastAsia="en-US"/>
              </w:rPr>
              <w:t>n=89</w:t>
            </w:r>
          </w:p>
        </w:tc>
      </w:tr>
      <w:tr w:rsidR="00862A88" w:rsidRPr="00424879" w14:paraId="3A9E6B5B" w14:textId="77777777" w:rsidTr="006F268E">
        <w:trPr>
          <w:trHeight w:val="251"/>
        </w:trPr>
        <w:tc>
          <w:tcPr>
            <w:tcW w:w="5069" w:type="dxa"/>
            <w:tcBorders>
              <w:top w:val="single" w:sz="4" w:space="0" w:color="000000"/>
              <w:left w:val="single" w:sz="4" w:space="0" w:color="000000"/>
              <w:bottom w:val="single" w:sz="4" w:space="0" w:color="000000"/>
              <w:right w:val="single" w:sz="4" w:space="0" w:color="000000"/>
            </w:tcBorders>
            <w:hideMark/>
          </w:tcPr>
          <w:p w14:paraId="4D7C71F5" w14:textId="77777777" w:rsidR="00862A88" w:rsidRPr="00424879" w:rsidRDefault="00862A88">
            <w:pPr>
              <w:widowControl w:val="0"/>
              <w:numPr>
                <w:ilvl w:val="12"/>
                <w:numId w:val="0"/>
              </w:numPr>
              <w:tabs>
                <w:tab w:val="left" w:pos="567"/>
              </w:tabs>
              <w:spacing w:line="260" w:lineRule="exact"/>
              <w:ind w:left="142" w:right="-2"/>
              <w:rPr>
                <w:sz w:val="22"/>
                <w:szCs w:val="22"/>
                <w:lang w:eastAsia="en-US"/>
              </w:rPr>
            </w:pPr>
            <w:proofErr w:type="spellStart"/>
            <w:r w:rsidRPr="00424879">
              <w:rPr>
                <w:sz w:val="22"/>
                <w:szCs w:val="22"/>
                <w:lang w:eastAsia="en-US"/>
              </w:rPr>
              <w:t>Least</w:t>
            </w:r>
            <w:proofErr w:type="spellEnd"/>
            <w:r w:rsidRPr="00424879">
              <w:rPr>
                <w:sz w:val="22"/>
                <w:szCs w:val="22"/>
                <w:lang w:eastAsia="en-US"/>
              </w:rPr>
              <w:t xml:space="preserve"> Square Mean</w:t>
            </w:r>
          </w:p>
        </w:tc>
        <w:tc>
          <w:tcPr>
            <w:tcW w:w="2107" w:type="dxa"/>
            <w:tcBorders>
              <w:top w:val="single" w:sz="4" w:space="0" w:color="000000"/>
              <w:left w:val="single" w:sz="4" w:space="0" w:color="000000"/>
              <w:bottom w:val="single" w:sz="4" w:space="0" w:color="000000"/>
              <w:right w:val="single" w:sz="4" w:space="0" w:color="000000"/>
            </w:tcBorders>
            <w:hideMark/>
          </w:tcPr>
          <w:p w14:paraId="3A2C9454" w14:textId="77777777" w:rsidR="00862A88" w:rsidRPr="00424879" w:rsidRDefault="00862A88">
            <w:pPr>
              <w:widowControl w:val="0"/>
              <w:numPr>
                <w:ilvl w:val="12"/>
                <w:numId w:val="0"/>
              </w:numPr>
              <w:tabs>
                <w:tab w:val="left" w:pos="567"/>
              </w:tabs>
              <w:spacing w:line="260" w:lineRule="exact"/>
              <w:ind w:left="169" w:right="-2"/>
              <w:rPr>
                <w:sz w:val="22"/>
                <w:szCs w:val="22"/>
                <w:lang w:eastAsia="en-US"/>
              </w:rPr>
            </w:pPr>
            <w:r w:rsidRPr="00424879">
              <w:rPr>
                <w:sz w:val="22"/>
                <w:szCs w:val="22"/>
                <w:lang w:eastAsia="en-US"/>
              </w:rPr>
              <w:t>-0.48*</w:t>
            </w:r>
          </w:p>
        </w:tc>
        <w:tc>
          <w:tcPr>
            <w:tcW w:w="1612" w:type="dxa"/>
            <w:tcBorders>
              <w:top w:val="single" w:sz="4" w:space="0" w:color="000000"/>
              <w:left w:val="single" w:sz="4" w:space="0" w:color="000000"/>
              <w:bottom w:val="single" w:sz="4" w:space="0" w:color="000000"/>
              <w:right w:val="single" w:sz="4" w:space="0" w:color="000000"/>
            </w:tcBorders>
            <w:hideMark/>
          </w:tcPr>
          <w:p w14:paraId="5B432990" w14:textId="77777777" w:rsidR="00862A88" w:rsidRPr="00424879" w:rsidRDefault="00862A88">
            <w:pPr>
              <w:widowControl w:val="0"/>
              <w:numPr>
                <w:ilvl w:val="12"/>
                <w:numId w:val="0"/>
              </w:numPr>
              <w:tabs>
                <w:tab w:val="left" w:pos="567"/>
              </w:tabs>
              <w:spacing w:line="260" w:lineRule="exact"/>
              <w:ind w:left="195" w:right="-2"/>
              <w:rPr>
                <w:sz w:val="22"/>
                <w:szCs w:val="22"/>
                <w:lang w:eastAsia="en-US"/>
              </w:rPr>
            </w:pPr>
            <w:r w:rsidRPr="00424879">
              <w:rPr>
                <w:sz w:val="22"/>
                <w:szCs w:val="22"/>
                <w:lang w:eastAsia="en-US"/>
              </w:rPr>
              <w:t>-0.80</w:t>
            </w:r>
          </w:p>
        </w:tc>
      </w:tr>
      <w:tr w:rsidR="00862A88" w:rsidRPr="00A74CF9" w14:paraId="2C5A9EBA" w14:textId="77777777" w:rsidTr="006F268E">
        <w:trPr>
          <w:trHeight w:val="794"/>
        </w:trPr>
        <w:tc>
          <w:tcPr>
            <w:tcW w:w="8788" w:type="dxa"/>
            <w:gridSpan w:val="3"/>
            <w:tcBorders>
              <w:top w:val="single" w:sz="4" w:space="0" w:color="000000"/>
              <w:left w:val="single" w:sz="4" w:space="0" w:color="000000"/>
              <w:bottom w:val="single" w:sz="4" w:space="0" w:color="000000"/>
              <w:right w:val="single" w:sz="4" w:space="0" w:color="000000"/>
            </w:tcBorders>
            <w:hideMark/>
          </w:tcPr>
          <w:p w14:paraId="6A894711" w14:textId="77777777" w:rsidR="00862A88" w:rsidRPr="00424879" w:rsidRDefault="00862A88">
            <w:pPr>
              <w:widowControl w:val="0"/>
              <w:numPr>
                <w:ilvl w:val="12"/>
                <w:numId w:val="0"/>
              </w:numPr>
              <w:tabs>
                <w:tab w:val="left" w:pos="567"/>
              </w:tabs>
              <w:spacing w:line="260" w:lineRule="exact"/>
              <w:ind w:left="284" w:right="-2" w:hanging="284"/>
              <w:rPr>
                <w:sz w:val="22"/>
                <w:szCs w:val="22"/>
                <w:lang w:val="en-US" w:eastAsia="en-US"/>
              </w:rPr>
            </w:pPr>
            <w:r w:rsidRPr="00424879">
              <w:rPr>
                <w:sz w:val="22"/>
                <w:szCs w:val="22"/>
                <w:lang w:val="en-US" w:eastAsia="en-US"/>
              </w:rPr>
              <w:t>#</w:t>
            </w:r>
            <w:r w:rsidRPr="00424879">
              <w:rPr>
                <w:sz w:val="22"/>
                <w:szCs w:val="22"/>
                <w:lang w:val="en-US" w:eastAsia="en-US"/>
              </w:rPr>
              <w:tab/>
              <w:t xml:space="preserve">One patient </w:t>
            </w:r>
            <w:proofErr w:type="spellStart"/>
            <w:r w:rsidRPr="00424879">
              <w:rPr>
                <w:sz w:val="22"/>
                <w:szCs w:val="22"/>
                <w:lang w:val="en-US" w:eastAsia="en-US"/>
              </w:rPr>
              <w:t>randomised</w:t>
            </w:r>
            <w:proofErr w:type="spellEnd"/>
            <w:r w:rsidRPr="00424879">
              <w:rPr>
                <w:sz w:val="22"/>
                <w:szCs w:val="22"/>
                <w:lang w:val="en-US" w:eastAsia="en-US"/>
              </w:rPr>
              <w:t xml:space="preserve"> to receive interferon beta-1a by intramuscular injection was unable to swallow the double-dummy medication and discontinued from study. The patient was excluded from the full analysis and safety set.</w:t>
            </w:r>
          </w:p>
          <w:p w14:paraId="2F783C2E" w14:textId="77777777" w:rsidR="00862A88" w:rsidRPr="00424879" w:rsidRDefault="00862A88">
            <w:pPr>
              <w:widowControl w:val="0"/>
              <w:numPr>
                <w:ilvl w:val="12"/>
                <w:numId w:val="0"/>
              </w:numPr>
              <w:tabs>
                <w:tab w:val="left" w:pos="284"/>
              </w:tabs>
              <w:spacing w:line="260" w:lineRule="exact"/>
              <w:ind w:right="-2"/>
              <w:rPr>
                <w:sz w:val="22"/>
                <w:szCs w:val="22"/>
                <w:lang w:val="en-US" w:eastAsia="en-US"/>
              </w:rPr>
            </w:pPr>
            <w:r w:rsidRPr="00424879">
              <w:rPr>
                <w:sz w:val="22"/>
                <w:szCs w:val="22"/>
                <w:lang w:val="en-US" w:eastAsia="en-US"/>
              </w:rPr>
              <w:t>*</w:t>
            </w:r>
            <w:r w:rsidRPr="00424879">
              <w:rPr>
                <w:sz w:val="22"/>
                <w:szCs w:val="22"/>
                <w:lang w:val="en-US" w:eastAsia="en-US"/>
              </w:rPr>
              <w:tab/>
              <w:t xml:space="preserve">p&lt;0.05, ** p&lt;0.001, compared to interferon beta-1a. </w:t>
            </w:r>
          </w:p>
          <w:p w14:paraId="32A984DB" w14:textId="77777777" w:rsidR="00862A88" w:rsidRPr="00424879" w:rsidRDefault="00862A88">
            <w:pPr>
              <w:widowControl w:val="0"/>
              <w:numPr>
                <w:ilvl w:val="12"/>
                <w:numId w:val="0"/>
              </w:numPr>
              <w:tabs>
                <w:tab w:val="left" w:pos="284"/>
              </w:tabs>
              <w:spacing w:line="260" w:lineRule="exact"/>
              <w:ind w:right="-2"/>
              <w:rPr>
                <w:sz w:val="22"/>
                <w:szCs w:val="22"/>
                <w:u w:val="single"/>
                <w:lang w:val="en-US" w:eastAsia="en-US"/>
              </w:rPr>
            </w:pPr>
            <w:r w:rsidRPr="00424879">
              <w:rPr>
                <w:sz w:val="22"/>
                <w:szCs w:val="22"/>
                <w:lang w:val="en-US" w:eastAsia="en-US"/>
              </w:rPr>
              <w:t>All analyses of clinical endpoints were on the full analysis set.</w:t>
            </w:r>
          </w:p>
        </w:tc>
      </w:tr>
    </w:tbl>
    <w:p w14:paraId="5614AEC9" w14:textId="77777777" w:rsidR="007C5D2A" w:rsidRPr="009907F8" w:rsidRDefault="007C5D2A" w:rsidP="003E0341">
      <w:pPr>
        <w:tabs>
          <w:tab w:val="left" w:pos="851"/>
        </w:tabs>
        <w:ind w:left="851"/>
        <w:rPr>
          <w:sz w:val="24"/>
          <w:szCs w:val="24"/>
          <w:lang w:val="en-GB"/>
        </w:rPr>
      </w:pPr>
    </w:p>
    <w:p w14:paraId="72824496" w14:textId="10F9CD6F" w:rsidR="007C5D2A" w:rsidRPr="009907F8" w:rsidRDefault="007C5D2A" w:rsidP="007C5D2A">
      <w:pPr>
        <w:tabs>
          <w:tab w:val="left" w:pos="851"/>
        </w:tabs>
        <w:ind w:left="851" w:hanging="851"/>
        <w:rPr>
          <w:b/>
          <w:sz w:val="24"/>
          <w:szCs w:val="24"/>
          <w:lang w:val="en-GB"/>
        </w:rPr>
      </w:pPr>
      <w:r w:rsidRPr="009907F8">
        <w:rPr>
          <w:b/>
          <w:sz w:val="24"/>
          <w:szCs w:val="24"/>
          <w:lang w:val="en-GB"/>
        </w:rPr>
        <w:t>5.2</w:t>
      </w:r>
      <w:r w:rsidRPr="009907F8">
        <w:rPr>
          <w:b/>
          <w:sz w:val="24"/>
          <w:szCs w:val="24"/>
          <w:lang w:val="en-GB"/>
        </w:rPr>
        <w:tab/>
        <w:t>Pharmacokinetic properties</w:t>
      </w:r>
    </w:p>
    <w:p w14:paraId="624786B7" w14:textId="77777777" w:rsidR="00862A88" w:rsidRPr="009907F8" w:rsidRDefault="00862A88" w:rsidP="006F268E">
      <w:pPr>
        <w:ind w:left="851"/>
        <w:rPr>
          <w:sz w:val="24"/>
          <w:szCs w:val="24"/>
          <w:lang w:val="en-GB" w:eastAsia="en-US"/>
        </w:rPr>
      </w:pPr>
      <w:r w:rsidRPr="009907F8">
        <w:rPr>
          <w:sz w:val="24"/>
          <w:szCs w:val="24"/>
          <w:lang w:val="en-GB" w:eastAsia="en-US"/>
        </w:rPr>
        <w:t>Pharmacokinetic data were obtained in healthy adult volunteers, in renal transplant adult patients and in multiple sclerosis adult patients.</w:t>
      </w:r>
    </w:p>
    <w:p w14:paraId="6D0815E3" w14:textId="77777777" w:rsidR="00862A88" w:rsidRPr="009907F8" w:rsidRDefault="00862A88" w:rsidP="006F268E">
      <w:pPr>
        <w:ind w:left="851"/>
        <w:rPr>
          <w:sz w:val="24"/>
          <w:szCs w:val="24"/>
          <w:lang w:val="en-GB" w:eastAsia="en-US"/>
        </w:rPr>
      </w:pPr>
    </w:p>
    <w:p w14:paraId="6A3C8585" w14:textId="77777777" w:rsidR="00862A88" w:rsidRPr="009907F8" w:rsidRDefault="00862A88" w:rsidP="006F268E">
      <w:pPr>
        <w:ind w:left="851"/>
        <w:rPr>
          <w:sz w:val="24"/>
          <w:szCs w:val="24"/>
          <w:lang w:val="en-GB" w:eastAsia="en-US"/>
        </w:rPr>
      </w:pPr>
      <w:r w:rsidRPr="009907F8">
        <w:rPr>
          <w:sz w:val="24"/>
          <w:szCs w:val="24"/>
          <w:lang w:val="en-GB" w:eastAsia="en-US"/>
        </w:rPr>
        <w:t xml:space="preserve">The pharmacologically active metabolite responsible for efficacy is fingolimod phosphate. </w:t>
      </w:r>
    </w:p>
    <w:p w14:paraId="2EDB3A6D" w14:textId="77777777" w:rsidR="00862A88" w:rsidRPr="009907F8" w:rsidRDefault="00862A88" w:rsidP="006F268E">
      <w:pPr>
        <w:ind w:left="851"/>
        <w:rPr>
          <w:sz w:val="24"/>
          <w:szCs w:val="24"/>
          <w:lang w:val="en-GB" w:eastAsia="en-US"/>
        </w:rPr>
      </w:pPr>
    </w:p>
    <w:p w14:paraId="2B5D2BC9" w14:textId="77777777" w:rsidR="00862A88" w:rsidRPr="009907F8" w:rsidRDefault="00862A88" w:rsidP="006F268E">
      <w:pPr>
        <w:ind w:left="851"/>
        <w:rPr>
          <w:sz w:val="24"/>
          <w:szCs w:val="24"/>
          <w:u w:val="single"/>
          <w:lang w:val="en-GB" w:eastAsia="en-US"/>
        </w:rPr>
      </w:pPr>
      <w:r w:rsidRPr="009907F8">
        <w:rPr>
          <w:sz w:val="24"/>
          <w:szCs w:val="24"/>
          <w:u w:val="single"/>
          <w:lang w:val="en-GB" w:eastAsia="en-US"/>
        </w:rPr>
        <w:t>Absorption</w:t>
      </w:r>
    </w:p>
    <w:p w14:paraId="30657CBC" w14:textId="77777777" w:rsidR="00862A88" w:rsidRPr="009907F8" w:rsidRDefault="00862A88" w:rsidP="006F268E">
      <w:pPr>
        <w:ind w:left="851"/>
        <w:rPr>
          <w:sz w:val="24"/>
          <w:szCs w:val="24"/>
          <w:lang w:val="en-GB" w:eastAsia="en-US"/>
        </w:rPr>
      </w:pPr>
      <w:r w:rsidRPr="009907F8">
        <w:rPr>
          <w:sz w:val="24"/>
          <w:szCs w:val="24"/>
          <w:lang w:val="en-GB" w:eastAsia="en-US"/>
        </w:rPr>
        <w:t>Fingolimod absorption is slow (</w:t>
      </w:r>
      <w:proofErr w:type="spellStart"/>
      <w:r w:rsidRPr="009907F8">
        <w:rPr>
          <w:sz w:val="24"/>
          <w:szCs w:val="24"/>
          <w:lang w:val="en-GB" w:eastAsia="en-US"/>
        </w:rPr>
        <w:t>t</w:t>
      </w:r>
      <w:r w:rsidRPr="009907F8">
        <w:rPr>
          <w:sz w:val="24"/>
          <w:szCs w:val="24"/>
          <w:vertAlign w:val="subscript"/>
          <w:lang w:val="en-GB" w:eastAsia="en-US"/>
        </w:rPr>
        <w:t>max</w:t>
      </w:r>
      <w:proofErr w:type="spellEnd"/>
      <w:r w:rsidRPr="009907F8">
        <w:rPr>
          <w:sz w:val="24"/>
          <w:szCs w:val="24"/>
          <w:lang w:val="en-GB" w:eastAsia="en-US"/>
        </w:rPr>
        <w:t xml:space="preserve"> of 12-16 hours) and extensive (≥85%). The apparent absolute oral bioavailability is 93% (95% confidence interval: 79-111%). Steady-state-blood concentrations are reached within 1 to 2 months following once-daily administration and steady-state levels are approximately 10-fold greater than with the initial dose.</w:t>
      </w:r>
    </w:p>
    <w:p w14:paraId="406F1369" w14:textId="77777777" w:rsidR="00862A88" w:rsidRPr="009907F8" w:rsidRDefault="00862A88" w:rsidP="006F268E">
      <w:pPr>
        <w:ind w:left="851"/>
        <w:rPr>
          <w:sz w:val="24"/>
          <w:szCs w:val="24"/>
          <w:lang w:val="en-GB" w:eastAsia="en-US"/>
        </w:rPr>
      </w:pPr>
    </w:p>
    <w:p w14:paraId="00487831" w14:textId="77777777" w:rsidR="00862A88" w:rsidRPr="009907F8" w:rsidRDefault="00862A88" w:rsidP="006F268E">
      <w:pPr>
        <w:ind w:left="851"/>
        <w:rPr>
          <w:sz w:val="24"/>
          <w:szCs w:val="24"/>
          <w:lang w:val="en-GB" w:eastAsia="en-US"/>
        </w:rPr>
      </w:pPr>
      <w:r w:rsidRPr="009907F8">
        <w:rPr>
          <w:sz w:val="24"/>
          <w:szCs w:val="24"/>
          <w:lang w:val="en-GB" w:eastAsia="en-US"/>
        </w:rPr>
        <w:t xml:space="preserve">Food intake does not alter </w:t>
      </w:r>
      <w:proofErr w:type="spellStart"/>
      <w:r w:rsidRPr="009907F8">
        <w:rPr>
          <w:sz w:val="24"/>
          <w:szCs w:val="24"/>
          <w:lang w:val="en-GB" w:eastAsia="en-US"/>
        </w:rPr>
        <w:t>C</w:t>
      </w:r>
      <w:r w:rsidRPr="009907F8">
        <w:rPr>
          <w:sz w:val="24"/>
          <w:szCs w:val="24"/>
          <w:vertAlign w:val="subscript"/>
          <w:lang w:val="en-GB" w:eastAsia="en-US"/>
        </w:rPr>
        <w:t>max</w:t>
      </w:r>
      <w:proofErr w:type="spellEnd"/>
      <w:r w:rsidRPr="009907F8">
        <w:rPr>
          <w:sz w:val="24"/>
          <w:szCs w:val="24"/>
          <w:lang w:val="en-GB" w:eastAsia="en-US"/>
        </w:rPr>
        <w:t xml:space="preserve"> or exposure (AUC) of fingolimod. Fingolimod phosphate </w:t>
      </w:r>
      <w:proofErr w:type="spellStart"/>
      <w:r w:rsidRPr="009907F8">
        <w:rPr>
          <w:sz w:val="24"/>
          <w:szCs w:val="24"/>
          <w:lang w:val="en-GB" w:eastAsia="en-US"/>
        </w:rPr>
        <w:t>C</w:t>
      </w:r>
      <w:r w:rsidRPr="009907F8">
        <w:rPr>
          <w:sz w:val="24"/>
          <w:szCs w:val="24"/>
          <w:vertAlign w:val="subscript"/>
          <w:lang w:val="en-GB" w:eastAsia="en-US"/>
        </w:rPr>
        <w:t>max</w:t>
      </w:r>
      <w:proofErr w:type="spellEnd"/>
      <w:r w:rsidRPr="009907F8">
        <w:rPr>
          <w:sz w:val="24"/>
          <w:szCs w:val="24"/>
          <w:lang w:val="en-GB" w:eastAsia="en-US"/>
        </w:rPr>
        <w:t xml:space="preserve"> was slightly decreased by 34% but AUC was unchanged. Therefore, fingolimod may be taken without regard to meals (see section 4.2).</w:t>
      </w:r>
    </w:p>
    <w:p w14:paraId="7737A97E" w14:textId="77777777" w:rsidR="00862A88" w:rsidRPr="009907F8" w:rsidRDefault="00862A88" w:rsidP="006F268E">
      <w:pPr>
        <w:ind w:left="851"/>
        <w:rPr>
          <w:sz w:val="24"/>
          <w:szCs w:val="24"/>
          <w:lang w:val="en-GB" w:eastAsia="en-US"/>
        </w:rPr>
      </w:pPr>
    </w:p>
    <w:p w14:paraId="2D6E41BC" w14:textId="77777777" w:rsidR="00862A88" w:rsidRPr="009907F8" w:rsidRDefault="00862A88" w:rsidP="006F268E">
      <w:pPr>
        <w:ind w:left="851"/>
        <w:rPr>
          <w:sz w:val="24"/>
          <w:szCs w:val="24"/>
          <w:u w:val="single"/>
          <w:lang w:val="en-GB" w:eastAsia="en-US"/>
        </w:rPr>
      </w:pPr>
      <w:r w:rsidRPr="009907F8">
        <w:rPr>
          <w:sz w:val="24"/>
          <w:szCs w:val="24"/>
          <w:u w:val="single"/>
          <w:lang w:val="en-GB" w:eastAsia="en-US"/>
        </w:rPr>
        <w:t>Distribution</w:t>
      </w:r>
    </w:p>
    <w:p w14:paraId="79DC8E01" w14:textId="77777777" w:rsidR="00862A88" w:rsidRPr="009907F8" w:rsidRDefault="00862A88" w:rsidP="006F268E">
      <w:pPr>
        <w:ind w:left="851"/>
        <w:rPr>
          <w:sz w:val="24"/>
          <w:szCs w:val="24"/>
          <w:lang w:val="en-GB" w:eastAsia="en-US"/>
        </w:rPr>
      </w:pPr>
      <w:r w:rsidRPr="009907F8">
        <w:rPr>
          <w:sz w:val="24"/>
          <w:szCs w:val="24"/>
          <w:lang w:val="en-GB" w:eastAsia="en-US"/>
        </w:rPr>
        <w:t>Fingolimod highly distributes in red blood cells, with the fraction in blood cells of 86%. Fingolimod phosphate has a smaller uptake in blood cells of &lt;17%. Fingolimod and fingolimod phosphate are highly protein bound (&gt;99%).</w:t>
      </w:r>
    </w:p>
    <w:p w14:paraId="1D40ABDC" w14:textId="77777777" w:rsidR="00862A88" w:rsidRPr="009907F8" w:rsidRDefault="00862A88" w:rsidP="006F268E">
      <w:pPr>
        <w:ind w:left="851"/>
        <w:rPr>
          <w:sz w:val="24"/>
          <w:szCs w:val="24"/>
          <w:lang w:val="en-GB" w:eastAsia="en-US"/>
        </w:rPr>
      </w:pPr>
    </w:p>
    <w:p w14:paraId="550DD530" w14:textId="77777777" w:rsidR="00862A88" w:rsidRPr="009907F8" w:rsidRDefault="00862A88" w:rsidP="006F268E">
      <w:pPr>
        <w:ind w:left="851"/>
        <w:rPr>
          <w:sz w:val="24"/>
          <w:szCs w:val="24"/>
          <w:lang w:val="en-GB" w:eastAsia="en-US"/>
        </w:rPr>
      </w:pPr>
      <w:r w:rsidRPr="009907F8">
        <w:rPr>
          <w:sz w:val="24"/>
          <w:szCs w:val="24"/>
          <w:lang w:val="en-GB" w:eastAsia="en-US"/>
        </w:rPr>
        <w:t xml:space="preserve">Fingolimod is extensively distributed to body tissues with a volume of distribution of about 1,200±260 litres. A study in four healthy subjects who received a single intravenous dose of a </w:t>
      </w:r>
      <w:proofErr w:type="spellStart"/>
      <w:r w:rsidRPr="009907F8">
        <w:rPr>
          <w:sz w:val="24"/>
          <w:szCs w:val="24"/>
          <w:lang w:val="en-GB" w:eastAsia="en-US"/>
        </w:rPr>
        <w:t>radioiodolabelled</w:t>
      </w:r>
      <w:proofErr w:type="spellEnd"/>
      <w:r w:rsidRPr="009907F8">
        <w:rPr>
          <w:sz w:val="24"/>
          <w:szCs w:val="24"/>
          <w:lang w:val="en-GB" w:eastAsia="en-US"/>
        </w:rPr>
        <w:t xml:space="preserve"> analogue of fingolimod demonstrated that fingolimod penetrates into the brain. In a study in 13 male multiple sclerosis patients who received fingolimod 0.5 mg/day, the mean amount of fingolimod (and fingolimod phosphate) in seminal ejaculate, at steady-state, was approximately 10,000 times lower than the oral dose administered (0.5 mg).</w:t>
      </w:r>
    </w:p>
    <w:p w14:paraId="0EB86A1B" w14:textId="77777777" w:rsidR="00862A88" w:rsidRPr="009907F8" w:rsidRDefault="00862A88" w:rsidP="006F268E">
      <w:pPr>
        <w:ind w:left="851"/>
        <w:rPr>
          <w:sz w:val="24"/>
          <w:szCs w:val="24"/>
          <w:lang w:val="en-GB" w:eastAsia="en-US"/>
        </w:rPr>
      </w:pPr>
    </w:p>
    <w:p w14:paraId="53CB5537" w14:textId="77777777" w:rsidR="00862A88" w:rsidRPr="009907F8" w:rsidRDefault="00862A88" w:rsidP="006F268E">
      <w:pPr>
        <w:ind w:left="851"/>
        <w:rPr>
          <w:sz w:val="24"/>
          <w:szCs w:val="24"/>
          <w:u w:val="single"/>
          <w:lang w:val="en-GB" w:eastAsia="en-US"/>
        </w:rPr>
      </w:pPr>
      <w:r w:rsidRPr="009907F8">
        <w:rPr>
          <w:sz w:val="24"/>
          <w:szCs w:val="24"/>
          <w:u w:val="single"/>
          <w:lang w:val="en-GB" w:eastAsia="en-US"/>
        </w:rPr>
        <w:t>Biotransformation</w:t>
      </w:r>
    </w:p>
    <w:p w14:paraId="3A90FCCB" w14:textId="77777777" w:rsidR="00862A88" w:rsidRPr="009907F8" w:rsidRDefault="00862A88" w:rsidP="006F268E">
      <w:pPr>
        <w:ind w:left="851"/>
        <w:rPr>
          <w:sz w:val="24"/>
          <w:szCs w:val="24"/>
          <w:lang w:val="en-GB" w:eastAsia="en-US"/>
        </w:rPr>
      </w:pPr>
      <w:r w:rsidRPr="009907F8">
        <w:rPr>
          <w:sz w:val="24"/>
          <w:szCs w:val="24"/>
          <w:lang w:val="en-GB" w:eastAsia="en-US"/>
        </w:rPr>
        <w:t>Fingolimod is transformed in humans by reversible stereoselective phosphorylation to the pharmacologically active (S)-enantiomer of fingolimod phosphate. Fingolimod is eliminated by oxidative biotransformation catalysed mainly via CYP4F2 and possibly other isoenzymes and subsequent fatty acid-like degradation to inactive metabolites. Formation of pharmacologically inactive non-polar ceramide analogues of fingolimod was also observed. The main enzyme involved in the metabolism of fingolimod is partially identified and may be either CYP4F2 or CYP3A4.</w:t>
      </w:r>
    </w:p>
    <w:p w14:paraId="673EBB1B" w14:textId="77777777" w:rsidR="00862A88" w:rsidRPr="009907F8" w:rsidRDefault="00862A88" w:rsidP="006F268E">
      <w:pPr>
        <w:ind w:left="851"/>
        <w:rPr>
          <w:sz w:val="24"/>
          <w:szCs w:val="24"/>
          <w:lang w:val="en-GB" w:eastAsia="en-US"/>
        </w:rPr>
      </w:pPr>
    </w:p>
    <w:p w14:paraId="6C9CDFF6" w14:textId="77777777" w:rsidR="00862A88" w:rsidRPr="009907F8" w:rsidRDefault="00862A88" w:rsidP="006F268E">
      <w:pPr>
        <w:ind w:left="851"/>
        <w:rPr>
          <w:sz w:val="24"/>
          <w:szCs w:val="24"/>
          <w:lang w:val="en-GB" w:eastAsia="en-US"/>
        </w:rPr>
      </w:pPr>
      <w:r w:rsidRPr="009907F8">
        <w:rPr>
          <w:sz w:val="24"/>
          <w:szCs w:val="24"/>
          <w:lang w:val="en-GB" w:eastAsia="en-US"/>
        </w:rPr>
        <w:t>Following single oral administration of [</w:t>
      </w:r>
      <w:r w:rsidRPr="009907F8">
        <w:rPr>
          <w:sz w:val="24"/>
          <w:szCs w:val="24"/>
          <w:vertAlign w:val="superscript"/>
          <w:lang w:val="en-GB" w:eastAsia="en-US"/>
        </w:rPr>
        <w:t>14</w:t>
      </w:r>
      <w:r w:rsidRPr="009907F8">
        <w:rPr>
          <w:sz w:val="24"/>
          <w:szCs w:val="24"/>
          <w:lang w:val="en-GB" w:eastAsia="en-US"/>
        </w:rPr>
        <w:t>C] fingolimod, the major fingolimod-related components in blood, as judged from their contribution to the AUC up to 34 days post dose of total radiolabelled components, are fingolimod itself (23%), fingolimod phosphate (10%), and inactive metabolites (M3 carboxylic acid metabolite (8%), M29 ceramide metabolite (9%) and M30 ceramide metabolite (7%)).</w:t>
      </w:r>
    </w:p>
    <w:p w14:paraId="5948C272" w14:textId="77777777" w:rsidR="00862A88" w:rsidRPr="009907F8" w:rsidRDefault="00862A88" w:rsidP="006F268E">
      <w:pPr>
        <w:ind w:left="851"/>
        <w:rPr>
          <w:sz w:val="24"/>
          <w:szCs w:val="24"/>
          <w:lang w:val="en-GB" w:eastAsia="en-US"/>
        </w:rPr>
      </w:pPr>
    </w:p>
    <w:p w14:paraId="575886C6" w14:textId="77777777" w:rsidR="00862A88" w:rsidRPr="009907F8" w:rsidRDefault="00862A88" w:rsidP="006F268E">
      <w:pPr>
        <w:ind w:left="851"/>
        <w:rPr>
          <w:sz w:val="24"/>
          <w:szCs w:val="24"/>
          <w:u w:val="single"/>
          <w:lang w:val="en-GB" w:eastAsia="en-US"/>
        </w:rPr>
      </w:pPr>
      <w:r w:rsidRPr="009907F8">
        <w:rPr>
          <w:sz w:val="24"/>
          <w:szCs w:val="24"/>
          <w:u w:val="single"/>
          <w:lang w:val="en-GB" w:eastAsia="en-US"/>
        </w:rPr>
        <w:t>Elimination</w:t>
      </w:r>
    </w:p>
    <w:p w14:paraId="7A374154" w14:textId="77777777" w:rsidR="00862A88" w:rsidRPr="009907F8" w:rsidRDefault="00862A88" w:rsidP="006F268E">
      <w:pPr>
        <w:ind w:left="851"/>
        <w:rPr>
          <w:sz w:val="24"/>
          <w:szCs w:val="24"/>
          <w:lang w:val="en-GB" w:eastAsia="en-US"/>
        </w:rPr>
      </w:pPr>
      <w:r w:rsidRPr="009907F8">
        <w:rPr>
          <w:sz w:val="24"/>
          <w:szCs w:val="24"/>
          <w:lang w:val="en-GB" w:eastAsia="en-US"/>
        </w:rPr>
        <w:t>Fingolimod blood clearance is 6.3±2.3 l/h, and the average apparent terminal elimination half-life (t</w:t>
      </w:r>
      <w:r w:rsidRPr="009907F8">
        <w:rPr>
          <w:sz w:val="24"/>
          <w:szCs w:val="24"/>
          <w:vertAlign w:val="subscript"/>
          <w:lang w:val="en-GB" w:eastAsia="en-US"/>
        </w:rPr>
        <w:t>1/2</w:t>
      </w:r>
      <w:r w:rsidRPr="009907F8">
        <w:rPr>
          <w:sz w:val="24"/>
          <w:szCs w:val="24"/>
          <w:lang w:val="en-GB" w:eastAsia="en-US"/>
        </w:rPr>
        <w:t>) is 6-9 days. Blood levels of fingolimod and fingolimod phosphate decline in parallel in the terminal phase, leading to similar half-lives for both.</w:t>
      </w:r>
    </w:p>
    <w:p w14:paraId="34D226D5" w14:textId="77777777" w:rsidR="00862A88" w:rsidRPr="009907F8" w:rsidRDefault="00862A88" w:rsidP="006F268E">
      <w:pPr>
        <w:ind w:left="851"/>
        <w:rPr>
          <w:sz w:val="24"/>
          <w:szCs w:val="24"/>
          <w:lang w:val="en-GB" w:eastAsia="en-US"/>
        </w:rPr>
      </w:pPr>
    </w:p>
    <w:p w14:paraId="7D2881D5" w14:textId="77777777" w:rsidR="00862A88" w:rsidRPr="009907F8" w:rsidRDefault="00862A88" w:rsidP="006F268E">
      <w:pPr>
        <w:ind w:left="851"/>
        <w:rPr>
          <w:sz w:val="24"/>
          <w:szCs w:val="24"/>
          <w:lang w:val="en-GB" w:eastAsia="en-US"/>
        </w:rPr>
      </w:pPr>
      <w:r w:rsidRPr="009907F8">
        <w:rPr>
          <w:sz w:val="24"/>
          <w:szCs w:val="24"/>
          <w:lang w:val="en-GB" w:eastAsia="en-US"/>
        </w:rPr>
        <w:t>After oral administration, about 81% of the dose is slowly excreted in the urine as inactive metabolites. Fingolimod and fingolimod phosphate are not excreted intact in urine but are the major components in the faeces, with amounts representing less than 2.5% of the dose each. After 34 days, the recovery of the administered dose is 89%.</w:t>
      </w:r>
    </w:p>
    <w:p w14:paraId="1609BB06" w14:textId="77777777" w:rsidR="00862A88" w:rsidRPr="009907F8" w:rsidRDefault="00862A88" w:rsidP="006F268E">
      <w:pPr>
        <w:ind w:left="851"/>
        <w:rPr>
          <w:sz w:val="24"/>
          <w:szCs w:val="24"/>
          <w:lang w:val="en-GB" w:eastAsia="en-US"/>
        </w:rPr>
      </w:pPr>
      <w:r w:rsidRPr="009907F8">
        <w:rPr>
          <w:sz w:val="24"/>
          <w:szCs w:val="24"/>
          <w:lang w:val="en-GB" w:eastAsia="en-US"/>
        </w:rPr>
        <w:t xml:space="preserve"> </w:t>
      </w:r>
    </w:p>
    <w:p w14:paraId="0E58855D" w14:textId="77777777" w:rsidR="00862A88" w:rsidRPr="009907F8" w:rsidRDefault="00862A88" w:rsidP="006F268E">
      <w:pPr>
        <w:ind w:left="851"/>
        <w:rPr>
          <w:sz w:val="24"/>
          <w:szCs w:val="24"/>
          <w:u w:val="single"/>
          <w:lang w:val="en-GB" w:eastAsia="en-US"/>
        </w:rPr>
      </w:pPr>
      <w:r w:rsidRPr="009907F8">
        <w:rPr>
          <w:sz w:val="24"/>
          <w:szCs w:val="24"/>
          <w:u w:val="single"/>
          <w:lang w:val="en-GB" w:eastAsia="en-US"/>
        </w:rPr>
        <w:t>Linearity</w:t>
      </w:r>
    </w:p>
    <w:p w14:paraId="7500EC64" w14:textId="77777777" w:rsidR="00862A88" w:rsidRPr="009907F8" w:rsidRDefault="00862A88" w:rsidP="006F268E">
      <w:pPr>
        <w:ind w:left="851"/>
        <w:rPr>
          <w:sz w:val="24"/>
          <w:szCs w:val="24"/>
          <w:lang w:val="en-GB" w:eastAsia="en-US"/>
        </w:rPr>
      </w:pPr>
      <w:r w:rsidRPr="009907F8">
        <w:rPr>
          <w:sz w:val="24"/>
          <w:szCs w:val="24"/>
          <w:lang w:val="en-GB" w:eastAsia="en-US"/>
        </w:rPr>
        <w:t>Fingolimod and fingolimod phosphate concentrations increase in an apparently dose proportional manner after multiple once-daily doses of 0.5 mg or 1.25 mg.</w:t>
      </w:r>
    </w:p>
    <w:p w14:paraId="3F79AD97" w14:textId="77777777" w:rsidR="00862A88" w:rsidRPr="009907F8" w:rsidRDefault="00862A88" w:rsidP="006F268E">
      <w:pPr>
        <w:ind w:left="851"/>
        <w:rPr>
          <w:sz w:val="24"/>
          <w:szCs w:val="24"/>
          <w:lang w:val="en-GB" w:eastAsia="en-US"/>
        </w:rPr>
      </w:pPr>
    </w:p>
    <w:p w14:paraId="3A055E09" w14:textId="77777777" w:rsidR="00862A88" w:rsidRPr="009907F8" w:rsidRDefault="00862A88" w:rsidP="006F268E">
      <w:pPr>
        <w:ind w:left="851"/>
        <w:rPr>
          <w:sz w:val="24"/>
          <w:szCs w:val="24"/>
          <w:u w:val="single"/>
          <w:lang w:val="en-GB" w:eastAsia="en-US"/>
        </w:rPr>
      </w:pPr>
      <w:r w:rsidRPr="009907F8">
        <w:rPr>
          <w:sz w:val="24"/>
          <w:szCs w:val="24"/>
          <w:u w:val="single"/>
          <w:lang w:val="en-GB" w:eastAsia="en-US"/>
        </w:rPr>
        <w:t>Characteristics in specific groups of patients</w:t>
      </w:r>
    </w:p>
    <w:p w14:paraId="7AF5537C" w14:textId="77777777" w:rsidR="00862A88" w:rsidRPr="009907F8" w:rsidRDefault="00862A88" w:rsidP="006F268E">
      <w:pPr>
        <w:ind w:left="851"/>
        <w:rPr>
          <w:i/>
          <w:sz w:val="24"/>
          <w:szCs w:val="24"/>
          <w:lang w:val="en-GB" w:eastAsia="en-US" w:bidi="en-US"/>
        </w:rPr>
      </w:pPr>
    </w:p>
    <w:p w14:paraId="3090C28B" w14:textId="77777777" w:rsidR="00862A88" w:rsidRPr="009907F8" w:rsidRDefault="00862A88" w:rsidP="006F268E">
      <w:pPr>
        <w:ind w:left="851"/>
        <w:rPr>
          <w:sz w:val="24"/>
          <w:szCs w:val="24"/>
          <w:lang w:val="en-GB" w:eastAsia="en-US"/>
        </w:rPr>
      </w:pPr>
      <w:r w:rsidRPr="009907F8">
        <w:rPr>
          <w:i/>
          <w:sz w:val="24"/>
          <w:szCs w:val="24"/>
          <w:lang w:val="en-GB" w:eastAsia="en-US" w:bidi="en-US"/>
        </w:rPr>
        <w:t>Gender, ethnicity and renal impairment</w:t>
      </w:r>
      <w:r w:rsidRPr="009907F8">
        <w:rPr>
          <w:sz w:val="24"/>
          <w:szCs w:val="24"/>
          <w:lang w:val="en-GB" w:eastAsia="en-US"/>
        </w:rPr>
        <w:t xml:space="preserve"> </w:t>
      </w:r>
    </w:p>
    <w:p w14:paraId="3C842A22" w14:textId="77777777" w:rsidR="00862A88" w:rsidRPr="009907F8" w:rsidRDefault="00862A88" w:rsidP="006F268E">
      <w:pPr>
        <w:ind w:left="851"/>
        <w:rPr>
          <w:sz w:val="24"/>
          <w:szCs w:val="24"/>
          <w:lang w:val="en-GB" w:eastAsia="en-US"/>
        </w:rPr>
      </w:pPr>
      <w:r w:rsidRPr="009907F8">
        <w:rPr>
          <w:sz w:val="24"/>
          <w:szCs w:val="24"/>
          <w:lang w:val="en-GB" w:eastAsia="en-US"/>
        </w:rPr>
        <w:t>The pharmacokinetics of fingolimod and fingolimod phosphate do not differ in males and females, in patients of different ethnic origin, or in patients with mild to severe renal impairment.</w:t>
      </w:r>
    </w:p>
    <w:p w14:paraId="355139D0" w14:textId="77777777" w:rsidR="00862A88" w:rsidRPr="009907F8" w:rsidRDefault="00862A88" w:rsidP="006F268E">
      <w:pPr>
        <w:ind w:left="851"/>
        <w:rPr>
          <w:sz w:val="24"/>
          <w:szCs w:val="24"/>
          <w:lang w:val="en-GB" w:eastAsia="en-US"/>
        </w:rPr>
      </w:pPr>
    </w:p>
    <w:p w14:paraId="0823A3C7" w14:textId="77777777" w:rsidR="00862A88" w:rsidRPr="009907F8" w:rsidRDefault="00862A88" w:rsidP="006F268E">
      <w:pPr>
        <w:ind w:left="851"/>
        <w:rPr>
          <w:i/>
          <w:sz w:val="24"/>
          <w:szCs w:val="24"/>
          <w:lang w:val="en-GB" w:eastAsia="en-US"/>
        </w:rPr>
      </w:pPr>
      <w:r w:rsidRPr="009907F8">
        <w:rPr>
          <w:i/>
          <w:sz w:val="24"/>
          <w:szCs w:val="24"/>
          <w:lang w:val="en-GB" w:eastAsia="en-US"/>
        </w:rPr>
        <w:t xml:space="preserve">Hepatic impairment </w:t>
      </w:r>
    </w:p>
    <w:p w14:paraId="5A4EBA25" w14:textId="77777777" w:rsidR="00862A88" w:rsidRPr="009907F8" w:rsidRDefault="00862A88" w:rsidP="006F268E">
      <w:pPr>
        <w:ind w:left="851"/>
        <w:rPr>
          <w:sz w:val="24"/>
          <w:szCs w:val="24"/>
          <w:lang w:val="en-GB" w:eastAsia="en-US"/>
        </w:rPr>
      </w:pPr>
      <w:r w:rsidRPr="009907F8">
        <w:rPr>
          <w:sz w:val="24"/>
          <w:szCs w:val="24"/>
          <w:lang w:val="en-GB" w:eastAsia="en-US"/>
        </w:rPr>
        <w:t xml:space="preserve">In subjects with mild, moderate, or severe hepatic impairment (Child-Pugh class A, B, and C), no change in fingolimod </w:t>
      </w:r>
      <w:proofErr w:type="spellStart"/>
      <w:r w:rsidRPr="009907F8">
        <w:rPr>
          <w:sz w:val="24"/>
          <w:szCs w:val="24"/>
          <w:lang w:val="en-GB" w:eastAsia="en-US"/>
        </w:rPr>
        <w:t>C</w:t>
      </w:r>
      <w:r w:rsidRPr="009907F8">
        <w:rPr>
          <w:sz w:val="24"/>
          <w:szCs w:val="24"/>
          <w:vertAlign w:val="subscript"/>
          <w:lang w:val="en-GB" w:eastAsia="en-US"/>
        </w:rPr>
        <w:t>max</w:t>
      </w:r>
      <w:proofErr w:type="spellEnd"/>
      <w:r w:rsidRPr="009907F8">
        <w:rPr>
          <w:sz w:val="24"/>
          <w:szCs w:val="24"/>
          <w:lang w:val="en-GB" w:eastAsia="en-US"/>
        </w:rPr>
        <w:t xml:space="preserve"> was observed, but fingolimod AUC was increased respectively by 12%, 44%, and 103%. In patients with severe hepatic impairment (Child-Pugh class C), fingolimod- phosphate </w:t>
      </w:r>
      <w:proofErr w:type="spellStart"/>
      <w:r w:rsidRPr="009907F8">
        <w:rPr>
          <w:sz w:val="24"/>
          <w:szCs w:val="24"/>
          <w:lang w:val="en-GB" w:eastAsia="en-US"/>
        </w:rPr>
        <w:t>C</w:t>
      </w:r>
      <w:r w:rsidRPr="009907F8">
        <w:rPr>
          <w:sz w:val="24"/>
          <w:szCs w:val="24"/>
          <w:vertAlign w:val="subscript"/>
          <w:lang w:val="en-GB" w:eastAsia="en-US"/>
        </w:rPr>
        <w:t>max</w:t>
      </w:r>
      <w:proofErr w:type="spellEnd"/>
      <w:r w:rsidRPr="009907F8">
        <w:rPr>
          <w:sz w:val="24"/>
          <w:szCs w:val="24"/>
          <w:lang w:val="en-GB" w:eastAsia="en-US"/>
        </w:rPr>
        <w:t xml:space="preserve"> was decreased by 22% and AUC was not substantially changed. The pharmacokinetics of fingolimod-phosphate were not evaluated in patients with mild or moderate hepatic impairment.</w:t>
      </w:r>
    </w:p>
    <w:p w14:paraId="194807C4" w14:textId="77777777" w:rsidR="00862A88" w:rsidRPr="009907F8" w:rsidRDefault="00862A88" w:rsidP="006F268E">
      <w:pPr>
        <w:ind w:left="851"/>
        <w:rPr>
          <w:sz w:val="24"/>
          <w:szCs w:val="24"/>
          <w:lang w:val="en-GB" w:eastAsia="en-US"/>
        </w:rPr>
      </w:pPr>
      <w:r w:rsidRPr="009907F8">
        <w:rPr>
          <w:sz w:val="24"/>
          <w:szCs w:val="24"/>
          <w:lang w:val="en-GB" w:eastAsia="en-US"/>
        </w:rPr>
        <w:t>The apparent elimination half-life of fingolimod is unchanged in subjects with mild hepatic impairment, but is prolonged by about 50% in patients with moderate or severe hepatic impairment.</w:t>
      </w:r>
    </w:p>
    <w:p w14:paraId="7B5EBA60" w14:textId="77777777" w:rsidR="00862A88" w:rsidRPr="009907F8" w:rsidRDefault="00862A88" w:rsidP="006F268E">
      <w:pPr>
        <w:ind w:left="851"/>
        <w:rPr>
          <w:sz w:val="24"/>
          <w:szCs w:val="24"/>
          <w:lang w:val="en-GB" w:eastAsia="en-US"/>
        </w:rPr>
      </w:pPr>
    </w:p>
    <w:p w14:paraId="7C20DC59" w14:textId="77777777" w:rsidR="00862A88" w:rsidRPr="009907F8" w:rsidRDefault="00862A88" w:rsidP="006F268E">
      <w:pPr>
        <w:ind w:left="851"/>
        <w:rPr>
          <w:sz w:val="24"/>
          <w:szCs w:val="24"/>
          <w:lang w:val="en-GB" w:eastAsia="en-US"/>
        </w:rPr>
      </w:pPr>
      <w:r w:rsidRPr="009907F8">
        <w:rPr>
          <w:sz w:val="24"/>
          <w:szCs w:val="24"/>
          <w:lang w:val="en-GB" w:eastAsia="en-US"/>
        </w:rPr>
        <w:t>Fingolimod should not be used in patients with severe hepatic impairment (Child-Pugh class C) (see section 4.3). Fingolimod should be introduced cautiously in mild and moderate hepatic impaired patients (see section 4.2).</w:t>
      </w:r>
    </w:p>
    <w:p w14:paraId="13B23CB1" w14:textId="77777777" w:rsidR="00862A88" w:rsidRPr="009907F8" w:rsidRDefault="00862A88" w:rsidP="006F268E">
      <w:pPr>
        <w:ind w:left="851"/>
        <w:rPr>
          <w:sz w:val="24"/>
          <w:szCs w:val="24"/>
          <w:lang w:val="en-GB" w:eastAsia="en-US"/>
        </w:rPr>
      </w:pPr>
    </w:p>
    <w:p w14:paraId="37CF1D9B" w14:textId="77777777" w:rsidR="00862A88" w:rsidRPr="009907F8" w:rsidRDefault="00862A88" w:rsidP="006F268E">
      <w:pPr>
        <w:ind w:left="851"/>
        <w:rPr>
          <w:i/>
          <w:sz w:val="24"/>
          <w:szCs w:val="24"/>
          <w:lang w:val="en-GB" w:eastAsia="en-US" w:bidi="en-US"/>
        </w:rPr>
      </w:pPr>
      <w:r w:rsidRPr="009907F8">
        <w:rPr>
          <w:i/>
          <w:sz w:val="24"/>
          <w:szCs w:val="24"/>
          <w:lang w:val="en-GB" w:eastAsia="en-US" w:bidi="en-US"/>
        </w:rPr>
        <w:t>Elderly population</w:t>
      </w:r>
    </w:p>
    <w:p w14:paraId="1FAF8BD7" w14:textId="77777777" w:rsidR="00862A88" w:rsidRPr="009907F8" w:rsidRDefault="00862A88" w:rsidP="006F268E">
      <w:pPr>
        <w:ind w:left="851"/>
        <w:rPr>
          <w:sz w:val="24"/>
          <w:szCs w:val="24"/>
          <w:lang w:val="en-GB" w:eastAsia="en-US"/>
        </w:rPr>
      </w:pPr>
      <w:r w:rsidRPr="009907F8">
        <w:rPr>
          <w:sz w:val="24"/>
          <w:szCs w:val="24"/>
          <w:lang w:val="en-GB" w:eastAsia="en-US"/>
        </w:rPr>
        <w:t>Clinical experience and pharmacokinetic information in patients aged above 65 years are limited. fingolimod should be used with caution in patients aged 65 years and over (see section 4.2).</w:t>
      </w:r>
    </w:p>
    <w:p w14:paraId="2C948A5A" w14:textId="77777777" w:rsidR="00862A88" w:rsidRPr="009907F8" w:rsidRDefault="00862A88" w:rsidP="006F268E">
      <w:pPr>
        <w:ind w:left="851"/>
        <w:rPr>
          <w:sz w:val="24"/>
          <w:szCs w:val="24"/>
          <w:lang w:val="en-GB" w:eastAsia="en-US"/>
        </w:rPr>
      </w:pPr>
    </w:p>
    <w:p w14:paraId="598C70F7" w14:textId="77777777" w:rsidR="00862A88" w:rsidRPr="009907F8" w:rsidRDefault="00862A88" w:rsidP="006F268E">
      <w:pPr>
        <w:ind w:left="851"/>
        <w:rPr>
          <w:sz w:val="24"/>
          <w:szCs w:val="24"/>
          <w:u w:val="single"/>
          <w:lang w:val="en-GB" w:eastAsia="en-US"/>
        </w:rPr>
      </w:pPr>
      <w:r w:rsidRPr="009907F8">
        <w:rPr>
          <w:sz w:val="24"/>
          <w:szCs w:val="24"/>
          <w:u w:val="single"/>
          <w:lang w:val="en-GB" w:eastAsia="en-US"/>
        </w:rPr>
        <w:t>Paediatric population</w:t>
      </w:r>
    </w:p>
    <w:p w14:paraId="7BD69E80" w14:textId="77777777" w:rsidR="00862A88" w:rsidRPr="009907F8" w:rsidRDefault="00862A88" w:rsidP="006F268E">
      <w:pPr>
        <w:ind w:left="851"/>
        <w:rPr>
          <w:sz w:val="24"/>
          <w:szCs w:val="24"/>
          <w:lang w:val="en-GB" w:eastAsia="en-US"/>
        </w:rPr>
      </w:pPr>
      <w:r w:rsidRPr="009907F8">
        <w:rPr>
          <w:sz w:val="24"/>
          <w:szCs w:val="24"/>
          <w:lang w:val="en-GB" w:eastAsia="en-US"/>
        </w:rPr>
        <w:t>In paediatric patients (10 years of age and above), fingolimod-phosphate concentrations increase in an apparent dose proportional manner between 0.25 mg and 0.5 mg.</w:t>
      </w:r>
    </w:p>
    <w:p w14:paraId="738B8E7B" w14:textId="77777777" w:rsidR="00862A88" w:rsidRPr="009907F8" w:rsidRDefault="00862A88" w:rsidP="006F268E">
      <w:pPr>
        <w:ind w:left="851"/>
        <w:rPr>
          <w:sz w:val="24"/>
          <w:szCs w:val="24"/>
          <w:lang w:val="en-GB" w:eastAsia="en-US"/>
        </w:rPr>
      </w:pPr>
    </w:p>
    <w:p w14:paraId="4BE5F9CC" w14:textId="77777777" w:rsidR="00862A88" w:rsidRPr="009907F8" w:rsidRDefault="00862A88" w:rsidP="006F268E">
      <w:pPr>
        <w:ind w:left="851"/>
        <w:rPr>
          <w:sz w:val="24"/>
          <w:szCs w:val="24"/>
          <w:lang w:val="en-GB" w:eastAsia="en-US"/>
        </w:rPr>
      </w:pPr>
      <w:r w:rsidRPr="009907F8">
        <w:rPr>
          <w:sz w:val="24"/>
          <w:szCs w:val="24"/>
          <w:lang w:val="en-GB" w:eastAsia="en-US"/>
        </w:rPr>
        <w:t>Fingolimod-phosphate concentration at steady state is approximately 25% lower in paediatric patients (10 years of age and above) following daily administration of 0.25 mg or 0.5 mg fingolimod compared to the concentration in adult patients treated with fingolimod 0.5 mg once daily.</w:t>
      </w:r>
    </w:p>
    <w:p w14:paraId="50ACDD5A" w14:textId="77777777" w:rsidR="00862A88" w:rsidRPr="009907F8" w:rsidRDefault="00862A88" w:rsidP="006F268E">
      <w:pPr>
        <w:ind w:left="851"/>
        <w:rPr>
          <w:sz w:val="24"/>
          <w:szCs w:val="24"/>
          <w:lang w:val="en-GB" w:eastAsia="en-US"/>
        </w:rPr>
      </w:pPr>
    </w:p>
    <w:p w14:paraId="12B4A229" w14:textId="77777777" w:rsidR="00862A88" w:rsidRPr="009907F8" w:rsidRDefault="00862A88" w:rsidP="006F268E">
      <w:pPr>
        <w:ind w:left="851"/>
        <w:rPr>
          <w:sz w:val="24"/>
          <w:szCs w:val="24"/>
          <w:lang w:val="en-GB" w:eastAsia="en-US"/>
        </w:rPr>
      </w:pPr>
      <w:r w:rsidRPr="009907F8">
        <w:rPr>
          <w:sz w:val="24"/>
          <w:szCs w:val="24"/>
          <w:lang w:val="en-GB" w:eastAsia="en-US"/>
        </w:rPr>
        <w:t>There are no data available for paediatric patients below 10 years old.</w:t>
      </w:r>
    </w:p>
    <w:p w14:paraId="088BB7E7" w14:textId="77777777" w:rsidR="007C5D2A" w:rsidRPr="009907F8" w:rsidRDefault="007C5D2A" w:rsidP="003E0341">
      <w:pPr>
        <w:tabs>
          <w:tab w:val="left" w:pos="851"/>
        </w:tabs>
        <w:ind w:left="851"/>
        <w:rPr>
          <w:sz w:val="24"/>
          <w:szCs w:val="24"/>
          <w:lang w:val="en-GB"/>
        </w:rPr>
      </w:pPr>
    </w:p>
    <w:p w14:paraId="731AE0B2" w14:textId="77777777" w:rsidR="007C5D2A" w:rsidRPr="009907F8" w:rsidRDefault="00180A12" w:rsidP="007C5D2A">
      <w:pPr>
        <w:tabs>
          <w:tab w:val="left" w:pos="851"/>
        </w:tabs>
        <w:ind w:left="851" w:hanging="851"/>
        <w:rPr>
          <w:b/>
          <w:sz w:val="24"/>
          <w:szCs w:val="24"/>
          <w:lang w:val="en-GB"/>
        </w:rPr>
      </w:pPr>
      <w:r w:rsidRPr="009907F8">
        <w:rPr>
          <w:b/>
          <w:sz w:val="24"/>
          <w:szCs w:val="24"/>
          <w:lang w:val="en-GB"/>
        </w:rPr>
        <w:t>5.3</w:t>
      </w:r>
      <w:r w:rsidRPr="009907F8">
        <w:rPr>
          <w:b/>
          <w:sz w:val="24"/>
          <w:szCs w:val="24"/>
          <w:lang w:val="en-GB"/>
        </w:rPr>
        <w:tab/>
        <w:t>Preclinical safety data</w:t>
      </w:r>
    </w:p>
    <w:p w14:paraId="5CA309D5" w14:textId="77777777" w:rsidR="00862A88" w:rsidRPr="009907F8" w:rsidRDefault="00862A88" w:rsidP="006F268E">
      <w:pPr>
        <w:ind w:left="851"/>
        <w:rPr>
          <w:sz w:val="24"/>
          <w:szCs w:val="24"/>
          <w:lang w:val="en-GB" w:eastAsia="en-US"/>
        </w:rPr>
      </w:pPr>
      <w:r w:rsidRPr="009907F8">
        <w:rPr>
          <w:sz w:val="24"/>
          <w:szCs w:val="24"/>
          <w:lang w:val="en-GB" w:eastAsia="en-US"/>
        </w:rPr>
        <w:t xml:space="preserve">The preclinical safety profile of fingolimod was assessed in mice, rats, dogs and monkeys. The major target organs were the lymphoid system (lymphopenia and lymphoid atrophy), lungs (increased weight, smooth muscle hypertrophy at the </w:t>
      </w:r>
      <w:proofErr w:type="spellStart"/>
      <w:r w:rsidRPr="009907F8">
        <w:rPr>
          <w:sz w:val="24"/>
          <w:szCs w:val="24"/>
          <w:lang w:val="en-GB" w:eastAsia="en-US"/>
        </w:rPr>
        <w:t>bronchio</w:t>
      </w:r>
      <w:proofErr w:type="spellEnd"/>
      <w:r w:rsidRPr="009907F8">
        <w:rPr>
          <w:sz w:val="24"/>
          <w:szCs w:val="24"/>
          <w:lang w:val="en-GB" w:eastAsia="en-US"/>
        </w:rPr>
        <w:t>-alveolar junction), and heart (negative chronotropic effect, increase in blood pressure, perivascular changes and myocardial degeneration) in several species; blood vessels (vasculopathy) in rats only at doses of 0.15 mg/kg and higher in a 2-year study, representing an approximate 4-fold margin based on the human systemic exposure (AUC) at a daily dose of 0.5 mg.</w:t>
      </w:r>
    </w:p>
    <w:p w14:paraId="75BD148E" w14:textId="77777777" w:rsidR="00862A88" w:rsidRPr="009907F8" w:rsidRDefault="00862A88" w:rsidP="006F268E">
      <w:pPr>
        <w:ind w:left="851"/>
        <w:rPr>
          <w:sz w:val="24"/>
          <w:szCs w:val="24"/>
          <w:lang w:val="en-GB" w:eastAsia="en-US"/>
        </w:rPr>
      </w:pPr>
    </w:p>
    <w:p w14:paraId="71CA862A" w14:textId="77777777" w:rsidR="00862A88" w:rsidRPr="009907F8" w:rsidRDefault="00862A88" w:rsidP="006F268E">
      <w:pPr>
        <w:ind w:left="851"/>
        <w:rPr>
          <w:sz w:val="24"/>
          <w:szCs w:val="24"/>
          <w:lang w:val="en-GB" w:eastAsia="en-US"/>
        </w:rPr>
      </w:pPr>
      <w:r w:rsidRPr="009907F8">
        <w:rPr>
          <w:sz w:val="24"/>
          <w:szCs w:val="24"/>
          <w:lang w:val="en-GB" w:eastAsia="en-US"/>
        </w:rPr>
        <w:t>No evidence of carcinogenicity was observed in a 2-year bioassay in rats at oral doses of fingolimod up to the maximally tolerated dose of 2.5 mg/kg, representing an approximate 50-fold margin based on human systemic exposure (AUC) at the 0.5 mg dose. However, in a 2-year mouse study, an increased incidence of malignant lymphoma was seen at doses of 0.25 mg/kg and higher, representing an approximate 6-fold margin based on the human systemic exposure (AUC) at a daily dose of 0.5 mg.</w:t>
      </w:r>
    </w:p>
    <w:p w14:paraId="0189FFC2" w14:textId="77777777" w:rsidR="00862A88" w:rsidRPr="009907F8" w:rsidRDefault="00862A88" w:rsidP="006F268E">
      <w:pPr>
        <w:ind w:left="851"/>
        <w:rPr>
          <w:sz w:val="24"/>
          <w:szCs w:val="24"/>
          <w:lang w:val="en-GB" w:eastAsia="en-US"/>
        </w:rPr>
      </w:pPr>
    </w:p>
    <w:p w14:paraId="26256AC1" w14:textId="77777777" w:rsidR="00862A88" w:rsidRPr="009907F8" w:rsidRDefault="00862A88" w:rsidP="006F268E">
      <w:pPr>
        <w:ind w:left="851"/>
        <w:rPr>
          <w:sz w:val="24"/>
          <w:szCs w:val="24"/>
          <w:lang w:val="en-GB" w:eastAsia="en-US"/>
        </w:rPr>
      </w:pPr>
      <w:r w:rsidRPr="009907F8">
        <w:rPr>
          <w:sz w:val="24"/>
          <w:szCs w:val="24"/>
          <w:lang w:val="en-GB" w:eastAsia="en-US"/>
        </w:rPr>
        <w:t>Fingolimod was neither mutagenic nor clastogenic in animal studies.</w:t>
      </w:r>
    </w:p>
    <w:p w14:paraId="047D2737" w14:textId="77777777" w:rsidR="00862A88" w:rsidRPr="009907F8" w:rsidRDefault="00862A88" w:rsidP="006F268E">
      <w:pPr>
        <w:ind w:left="851"/>
        <w:rPr>
          <w:sz w:val="24"/>
          <w:szCs w:val="24"/>
          <w:lang w:val="en-GB" w:eastAsia="en-US"/>
        </w:rPr>
      </w:pPr>
    </w:p>
    <w:p w14:paraId="50561154" w14:textId="77777777" w:rsidR="00862A88" w:rsidRPr="009907F8" w:rsidRDefault="00862A88" w:rsidP="006F268E">
      <w:pPr>
        <w:ind w:left="851"/>
        <w:rPr>
          <w:sz w:val="24"/>
          <w:szCs w:val="24"/>
          <w:lang w:val="en-GB" w:eastAsia="en-US"/>
        </w:rPr>
      </w:pPr>
      <w:r w:rsidRPr="009907F8">
        <w:rPr>
          <w:sz w:val="24"/>
          <w:szCs w:val="24"/>
          <w:lang w:val="en-GB" w:eastAsia="en-US"/>
        </w:rPr>
        <w:t>Fingolimod had no effect on sperm count/motility or on fertility in male and female rats up to the highest dose tested (10 mg/kg), representing an approximate 150-fold margin based on human systemic exposure (AUC) at a daily dose of 0.5 mg.</w:t>
      </w:r>
    </w:p>
    <w:p w14:paraId="10E3A962" w14:textId="77777777" w:rsidR="00862A88" w:rsidRPr="009907F8" w:rsidRDefault="00862A88" w:rsidP="006F268E">
      <w:pPr>
        <w:ind w:left="851"/>
        <w:rPr>
          <w:sz w:val="24"/>
          <w:szCs w:val="24"/>
          <w:lang w:val="en-GB" w:eastAsia="en-US"/>
        </w:rPr>
      </w:pPr>
      <w:r w:rsidRPr="009907F8">
        <w:rPr>
          <w:sz w:val="24"/>
          <w:szCs w:val="24"/>
          <w:lang w:val="en-GB" w:eastAsia="en-US"/>
        </w:rPr>
        <w:t xml:space="preserve"> </w:t>
      </w:r>
    </w:p>
    <w:p w14:paraId="08E5D8F1" w14:textId="77777777" w:rsidR="00862A88" w:rsidRPr="009907F8" w:rsidRDefault="00862A88" w:rsidP="006F268E">
      <w:pPr>
        <w:ind w:left="851"/>
        <w:rPr>
          <w:sz w:val="24"/>
          <w:szCs w:val="24"/>
          <w:lang w:val="en-GB" w:eastAsia="en-US"/>
        </w:rPr>
      </w:pPr>
      <w:r w:rsidRPr="009907F8">
        <w:rPr>
          <w:sz w:val="24"/>
          <w:szCs w:val="24"/>
          <w:lang w:val="en-GB" w:eastAsia="en-US"/>
        </w:rPr>
        <w:t>Fingolimod was teratogenic in the rat when given at doses of 0.1 mg/kg or higher. Drug exposure in rats at this dose was similar to that in patients at the therapeutic dose (0.5 mg). The most common foetal visceral malformations included persistent truncus arteriosus and ventricular septum defect. The teratogenic potential in rabbits could not be fully assessed, however an increased embryo-foetal mortality was seen at doses of 1.5 mg/kg and higher, and a decrease in viable foetuses as well as foetal growth retardation was seen at 5 mg/kg. Drug exposure in rabbits at these doses was similar to that in patients.</w:t>
      </w:r>
    </w:p>
    <w:p w14:paraId="74C03BD6" w14:textId="77777777" w:rsidR="00862A88" w:rsidRPr="009907F8" w:rsidRDefault="00862A88" w:rsidP="006F268E">
      <w:pPr>
        <w:ind w:left="851"/>
        <w:rPr>
          <w:sz w:val="24"/>
          <w:szCs w:val="24"/>
          <w:lang w:val="en-GB" w:eastAsia="en-US"/>
        </w:rPr>
      </w:pPr>
    </w:p>
    <w:p w14:paraId="0DC479FB" w14:textId="77777777" w:rsidR="00862A88" w:rsidRPr="009907F8" w:rsidRDefault="00862A88" w:rsidP="006F268E">
      <w:pPr>
        <w:ind w:left="851"/>
        <w:rPr>
          <w:sz w:val="24"/>
          <w:szCs w:val="24"/>
          <w:lang w:val="en-GB" w:eastAsia="en-US"/>
        </w:rPr>
      </w:pPr>
      <w:r w:rsidRPr="009907F8">
        <w:rPr>
          <w:sz w:val="24"/>
          <w:szCs w:val="24"/>
          <w:lang w:val="en-GB" w:eastAsia="en-US"/>
        </w:rPr>
        <w:t>In rats, F1 generation pup survival was decreased in the early postpartum period at doses that did not cause maternal toxicity. However, F1 body weights, development, behaviour, and fertility were not affected by treatment with fingolimod.</w:t>
      </w:r>
    </w:p>
    <w:p w14:paraId="458841C3" w14:textId="77777777" w:rsidR="00862A88" w:rsidRPr="009907F8" w:rsidRDefault="00862A88" w:rsidP="006F268E">
      <w:pPr>
        <w:ind w:left="851"/>
        <w:rPr>
          <w:sz w:val="24"/>
          <w:szCs w:val="24"/>
          <w:lang w:val="en-GB" w:eastAsia="en-US"/>
        </w:rPr>
      </w:pPr>
    </w:p>
    <w:p w14:paraId="174FBCCB" w14:textId="77777777" w:rsidR="00862A88" w:rsidRPr="009907F8" w:rsidRDefault="00862A88" w:rsidP="006F268E">
      <w:pPr>
        <w:ind w:left="851"/>
        <w:rPr>
          <w:sz w:val="24"/>
          <w:szCs w:val="24"/>
          <w:lang w:val="en-GB" w:eastAsia="en-US"/>
        </w:rPr>
      </w:pPr>
      <w:r w:rsidRPr="009907F8">
        <w:rPr>
          <w:sz w:val="24"/>
          <w:szCs w:val="24"/>
          <w:lang w:val="en-GB" w:eastAsia="en-US"/>
        </w:rPr>
        <w:t>Fingolimod was excreted in milk of treated animals during lactation at concentrations 2-fold to 3-fold higher than that found in maternal plasma. Fingolimod and its metabolites crossed the placental barrier in pregnant rabbits.</w:t>
      </w:r>
    </w:p>
    <w:p w14:paraId="690A8140" w14:textId="77777777" w:rsidR="00862A88" w:rsidRPr="009907F8" w:rsidRDefault="00862A88" w:rsidP="006F268E">
      <w:pPr>
        <w:ind w:left="851"/>
        <w:rPr>
          <w:sz w:val="24"/>
          <w:szCs w:val="24"/>
          <w:lang w:val="en-GB" w:eastAsia="en-US"/>
        </w:rPr>
      </w:pPr>
    </w:p>
    <w:p w14:paraId="530D555B" w14:textId="77777777" w:rsidR="00862A88" w:rsidRPr="009907F8" w:rsidRDefault="00862A88" w:rsidP="006F268E">
      <w:pPr>
        <w:ind w:left="851"/>
        <w:rPr>
          <w:sz w:val="24"/>
          <w:szCs w:val="24"/>
          <w:u w:val="single"/>
          <w:lang w:val="en-GB" w:eastAsia="en-US"/>
        </w:rPr>
      </w:pPr>
      <w:r w:rsidRPr="009907F8">
        <w:rPr>
          <w:sz w:val="24"/>
          <w:szCs w:val="24"/>
          <w:u w:val="single"/>
          <w:lang w:val="en-GB" w:eastAsia="en-US"/>
        </w:rPr>
        <w:t>Juvenile animal studies</w:t>
      </w:r>
    </w:p>
    <w:p w14:paraId="41906D7C" w14:textId="77777777" w:rsidR="00862A88" w:rsidRPr="009907F8" w:rsidRDefault="00862A88" w:rsidP="006F268E">
      <w:pPr>
        <w:ind w:left="851"/>
        <w:rPr>
          <w:sz w:val="24"/>
          <w:szCs w:val="24"/>
          <w:lang w:val="en-GB" w:eastAsia="en-US"/>
        </w:rPr>
      </w:pPr>
    </w:p>
    <w:p w14:paraId="5CC4F753" w14:textId="77777777" w:rsidR="00862A88" w:rsidRPr="009907F8" w:rsidRDefault="00862A88" w:rsidP="006F268E">
      <w:pPr>
        <w:ind w:left="851"/>
        <w:rPr>
          <w:sz w:val="24"/>
          <w:szCs w:val="24"/>
          <w:lang w:val="en-GB" w:eastAsia="en-US"/>
        </w:rPr>
      </w:pPr>
      <w:r w:rsidRPr="009907F8">
        <w:rPr>
          <w:sz w:val="24"/>
          <w:szCs w:val="24"/>
          <w:lang w:val="en-GB" w:eastAsia="en-US"/>
        </w:rPr>
        <w:t xml:space="preserve">Results from two toxicity studies in juvenile rats showed slight effects on </w:t>
      </w:r>
      <w:proofErr w:type="spellStart"/>
      <w:r w:rsidRPr="009907F8">
        <w:rPr>
          <w:sz w:val="24"/>
          <w:szCs w:val="24"/>
          <w:lang w:val="en-GB" w:eastAsia="en-US"/>
        </w:rPr>
        <w:t>neurobehavioural</w:t>
      </w:r>
      <w:proofErr w:type="spellEnd"/>
      <w:r w:rsidRPr="009907F8">
        <w:rPr>
          <w:sz w:val="24"/>
          <w:szCs w:val="24"/>
          <w:lang w:val="en-GB" w:eastAsia="en-US"/>
        </w:rPr>
        <w:t xml:space="preserve"> response, delayed sexual maturation and a decreased immune response to repeated stimulations with keyhole limpet </w:t>
      </w:r>
      <w:proofErr w:type="spellStart"/>
      <w:r w:rsidRPr="009907F8">
        <w:rPr>
          <w:sz w:val="24"/>
          <w:szCs w:val="24"/>
          <w:lang w:val="en-GB" w:eastAsia="en-US"/>
        </w:rPr>
        <w:t>haemocyanin</w:t>
      </w:r>
      <w:proofErr w:type="spellEnd"/>
      <w:r w:rsidRPr="009907F8">
        <w:rPr>
          <w:sz w:val="24"/>
          <w:szCs w:val="24"/>
          <w:lang w:val="en-GB" w:eastAsia="en-US"/>
        </w:rPr>
        <w:t xml:space="preserve"> (KLH), which were not considered adverse. Overall, the treatment-related effects of fingolimod in juvenile animals were comparable to those seen in adult rats at similar dose levels, with the exception of changes in bone mineral density and </w:t>
      </w:r>
      <w:proofErr w:type="spellStart"/>
      <w:r w:rsidRPr="009907F8">
        <w:rPr>
          <w:sz w:val="24"/>
          <w:szCs w:val="24"/>
          <w:lang w:val="en-GB" w:eastAsia="en-US"/>
        </w:rPr>
        <w:t>neurobehavioural</w:t>
      </w:r>
      <w:proofErr w:type="spellEnd"/>
      <w:r w:rsidRPr="009907F8">
        <w:rPr>
          <w:sz w:val="24"/>
          <w:szCs w:val="24"/>
          <w:lang w:val="en-GB" w:eastAsia="en-US"/>
        </w:rPr>
        <w:t xml:space="preserve"> impairment (reduced auditory startle response) observed at doses of 1.5 mg/kg and higher in juvenile animals and the absence of smooth muscle hypertrophy in the lungs of the juvenile rats.</w:t>
      </w:r>
    </w:p>
    <w:p w14:paraId="33AAB19F" w14:textId="77777777" w:rsidR="007C5D2A" w:rsidRPr="009907F8" w:rsidRDefault="007C5D2A" w:rsidP="003E0341">
      <w:pPr>
        <w:tabs>
          <w:tab w:val="left" w:pos="851"/>
        </w:tabs>
        <w:ind w:left="851"/>
        <w:rPr>
          <w:sz w:val="24"/>
          <w:szCs w:val="24"/>
          <w:lang w:val="en-GB"/>
        </w:rPr>
      </w:pPr>
    </w:p>
    <w:p w14:paraId="366CE865" w14:textId="77777777" w:rsidR="007C5D2A" w:rsidRPr="009907F8" w:rsidRDefault="007C5D2A" w:rsidP="003E0341">
      <w:pPr>
        <w:tabs>
          <w:tab w:val="left" w:pos="851"/>
        </w:tabs>
        <w:ind w:left="851"/>
        <w:rPr>
          <w:sz w:val="24"/>
          <w:szCs w:val="24"/>
          <w:lang w:val="en-GB"/>
        </w:rPr>
      </w:pPr>
    </w:p>
    <w:p w14:paraId="0B1C370C" w14:textId="77777777" w:rsidR="007C5D2A" w:rsidRPr="009907F8" w:rsidRDefault="009925C9" w:rsidP="007C5D2A">
      <w:pPr>
        <w:ind w:left="851" w:hanging="851"/>
        <w:rPr>
          <w:b/>
          <w:sz w:val="24"/>
          <w:szCs w:val="24"/>
          <w:lang w:val="en-GB"/>
        </w:rPr>
      </w:pPr>
      <w:r w:rsidRPr="009907F8">
        <w:rPr>
          <w:b/>
          <w:sz w:val="24"/>
          <w:szCs w:val="24"/>
          <w:lang w:val="en-GB"/>
        </w:rPr>
        <w:t>6.</w:t>
      </w:r>
      <w:r w:rsidR="007C5D2A" w:rsidRPr="009907F8">
        <w:rPr>
          <w:b/>
          <w:sz w:val="24"/>
          <w:szCs w:val="24"/>
          <w:lang w:val="en-GB"/>
        </w:rPr>
        <w:tab/>
        <w:t>PHARMACEUTICAL PARTICULARS</w:t>
      </w:r>
    </w:p>
    <w:p w14:paraId="54787E5B" w14:textId="77777777" w:rsidR="007C5D2A" w:rsidRPr="009907F8" w:rsidRDefault="007C5D2A" w:rsidP="003E0341">
      <w:pPr>
        <w:tabs>
          <w:tab w:val="left" w:pos="851"/>
        </w:tabs>
        <w:ind w:left="851"/>
        <w:rPr>
          <w:sz w:val="24"/>
          <w:szCs w:val="24"/>
          <w:lang w:val="en-GB"/>
        </w:rPr>
      </w:pPr>
    </w:p>
    <w:p w14:paraId="2D944F56" w14:textId="77777777" w:rsidR="007C5D2A" w:rsidRPr="009907F8" w:rsidRDefault="007C5D2A" w:rsidP="007C5D2A">
      <w:pPr>
        <w:ind w:left="851" w:hanging="851"/>
        <w:rPr>
          <w:b/>
          <w:sz w:val="24"/>
          <w:szCs w:val="24"/>
          <w:lang w:val="en-GB"/>
        </w:rPr>
      </w:pPr>
      <w:r w:rsidRPr="009907F8">
        <w:rPr>
          <w:b/>
          <w:sz w:val="24"/>
          <w:szCs w:val="24"/>
          <w:lang w:val="en-GB"/>
        </w:rPr>
        <w:t>6.1</w:t>
      </w:r>
      <w:r w:rsidRPr="009907F8">
        <w:rPr>
          <w:b/>
          <w:sz w:val="24"/>
          <w:szCs w:val="24"/>
          <w:lang w:val="en-GB"/>
        </w:rPr>
        <w:tab/>
        <w:t>List of excipients</w:t>
      </w:r>
    </w:p>
    <w:p w14:paraId="5492F7E9" w14:textId="77777777" w:rsidR="00424879" w:rsidRDefault="00424879" w:rsidP="006F268E">
      <w:pPr>
        <w:ind w:left="851"/>
        <w:rPr>
          <w:noProof/>
          <w:sz w:val="24"/>
          <w:szCs w:val="24"/>
          <w:lang w:val="en-GB" w:eastAsia="en-US"/>
        </w:rPr>
      </w:pPr>
    </w:p>
    <w:p w14:paraId="55A10260" w14:textId="5F18C6E4" w:rsidR="00862A88" w:rsidRPr="00424879" w:rsidRDefault="00862A88" w:rsidP="006F268E">
      <w:pPr>
        <w:ind w:left="851"/>
        <w:rPr>
          <w:noProof/>
          <w:sz w:val="24"/>
          <w:szCs w:val="24"/>
          <w:u w:val="single"/>
          <w:lang w:val="en-GB" w:eastAsia="en-US"/>
        </w:rPr>
      </w:pPr>
      <w:r w:rsidRPr="00424879">
        <w:rPr>
          <w:noProof/>
          <w:sz w:val="24"/>
          <w:szCs w:val="24"/>
          <w:u w:val="single"/>
          <w:lang w:val="en-GB" w:eastAsia="en-US"/>
        </w:rPr>
        <w:t>Capsule contents</w:t>
      </w:r>
    </w:p>
    <w:p w14:paraId="1CE4EEA0" w14:textId="77777777" w:rsidR="00862A88" w:rsidRPr="009907F8" w:rsidRDefault="00862A88" w:rsidP="006F268E">
      <w:pPr>
        <w:ind w:left="851"/>
        <w:rPr>
          <w:noProof/>
          <w:sz w:val="24"/>
          <w:szCs w:val="24"/>
          <w:lang w:val="en-GB" w:eastAsia="en-US"/>
        </w:rPr>
      </w:pPr>
      <w:r w:rsidRPr="009907F8">
        <w:rPr>
          <w:noProof/>
          <w:sz w:val="24"/>
          <w:szCs w:val="24"/>
          <w:lang w:val="en-GB" w:eastAsia="en-US"/>
        </w:rPr>
        <w:t>Microcrystalline cellulose (E460)</w:t>
      </w:r>
    </w:p>
    <w:p w14:paraId="15A32A1F" w14:textId="77777777" w:rsidR="00862A88" w:rsidRPr="009907F8" w:rsidRDefault="00862A88" w:rsidP="006F268E">
      <w:pPr>
        <w:ind w:left="851"/>
        <w:rPr>
          <w:noProof/>
          <w:sz w:val="24"/>
          <w:szCs w:val="24"/>
          <w:lang w:val="en-GB" w:eastAsia="en-US"/>
        </w:rPr>
      </w:pPr>
      <w:r w:rsidRPr="009907F8">
        <w:rPr>
          <w:noProof/>
          <w:sz w:val="24"/>
          <w:szCs w:val="24"/>
          <w:lang w:val="en-GB" w:eastAsia="en-US"/>
        </w:rPr>
        <w:t>Povidone</w:t>
      </w:r>
    </w:p>
    <w:p w14:paraId="2F93B15E" w14:textId="77777777" w:rsidR="00862A88" w:rsidRPr="009907F8" w:rsidRDefault="00862A88" w:rsidP="006F268E">
      <w:pPr>
        <w:ind w:left="851"/>
        <w:rPr>
          <w:noProof/>
          <w:sz w:val="24"/>
          <w:szCs w:val="24"/>
          <w:lang w:val="en-GB" w:eastAsia="en-US"/>
        </w:rPr>
      </w:pPr>
      <w:r w:rsidRPr="009907F8">
        <w:rPr>
          <w:noProof/>
          <w:sz w:val="24"/>
          <w:szCs w:val="24"/>
          <w:lang w:val="en-GB" w:eastAsia="en-US"/>
        </w:rPr>
        <w:t>Magnesium stearate (E470b)</w:t>
      </w:r>
    </w:p>
    <w:p w14:paraId="50082F46" w14:textId="77777777" w:rsidR="00862A88" w:rsidRPr="009907F8" w:rsidRDefault="00862A88" w:rsidP="006F268E">
      <w:pPr>
        <w:ind w:left="851"/>
        <w:rPr>
          <w:noProof/>
          <w:sz w:val="24"/>
          <w:szCs w:val="24"/>
          <w:highlight w:val="yellow"/>
          <w:lang w:val="en-GB" w:eastAsia="en-US"/>
        </w:rPr>
      </w:pPr>
    </w:p>
    <w:p w14:paraId="650A7F3F" w14:textId="77777777" w:rsidR="00862A88" w:rsidRPr="00424879" w:rsidRDefault="00862A88" w:rsidP="006F268E">
      <w:pPr>
        <w:ind w:left="851"/>
        <w:rPr>
          <w:noProof/>
          <w:sz w:val="24"/>
          <w:szCs w:val="24"/>
          <w:u w:val="single"/>
          <w:lang w:val="en-GB" w:eastAsia="en-US"/>
        </w:rPr>
      </w:pPr>
      <w:r w:rsidRPr="00424879">
        <w:rPr>
          <w:noProof/>
          <w:sz w:val="24"/>
          <w:szCs w:val="24"/>
          <w:u w:val="single"/>
          <w:lang w:val="en-GB" w:eastAsia="en-US"/>
        </w:rPr>
        <w:t>Capsule shell</w:t>
      </w:r>
    </w:p>
    <w:p w14:paraId="5EC08687" w14:textId="77777777" w:rsidR="00862A88" w:rsidRPr="009907F8" w:rsidRDefault="00862A88" w:rsidP="006F268E">
      <w:pPr>
        <w:ind w:left="851"/>
        <w:rPr>
          <w:noProof/>
          <w:sz w:val="24"/>
          <w:szCs w:val="24"/>
          <w:lang w:val="en-GB" w:eastAsia="en-US"/>
        </w:rPr>
      </w:pPr>
      <w:r w:rsidRPr="009907F8">
        <w:rPr>
          <w:noProof/>
          <w:sz w:val="24"/>
          <w:szCs w:val="24"/>
          <w:lang w:val="en-GB" w:eastAsia="en-US"/>
        </w:rPr>
        <w:t>Titanium dioxide (E171)</w:t>
      </w:r>
    </w:p>
    <w:p w14:paraId="1AF5BF70" w14:textId="77777777" w:rsidR="00862A88" w:rsidRPr="009907F8" w:rsidRDefault="00862A88" w:rsidP="006F268E">
      <w:pPr>
        <w:ind w:left="851"/>
        <w:rPr>
          <w:noProof/>
          <w:sz w:val="24"/>
          <w:szCs w:val="24"/>
          <w:lang w:val="en-GB" w:eastAsia="en-US"/>
        </w:rPr>
      </w:pPr>
      <w:r w:rsidRPr="009907F8">
        <w:rPr>
          <w:noProof/>
          <w:sz w:val="24"/>
          <w:szCs w:val="24"/>
          <w:lang w:val="en-GB" w:eastAsia="en-US"/>
        </w:rPr>
        <w:t>Carrageenan</w:t>
      </w:r>
    </w:p>
    <w:p w14:paraId="60BDEFB9" w14:textId="77777777" w:rsidR="00862A88" w:rsidRPr="009907F8" w:rsidRDefault="00862A88" w:rsidP="006F268E">
      <w:pPr>
        <w:ind w:left="851"/>
        <w:rPr>
          <w:noProof/>
          <w:sz w:val="24"/>
          <w:szCs w:val="24"/>
          <w:lang w:val="en-GB" w:eastAsia="en-US"/>
        </w:rPr>
      </w:pPr>
      <w:r w:rsidRPr="009907F8">
        <w:rPr>
          <w:noProof/>
          <w:sz w:val="24"/>
          <w:szCs w:val="24"/>
          <w:lang w:val="en-GB" w:eastAsia="en-US"/>
        </w:rPr>
        <w:t>Potassium chloride</w:t>
      </w:r>
    </w:p>
    <w:p w14:paraId="71A26359" w14:textId="77777777" w:rsidR="00862A88" w:rsidRPr="009907F8" w:rsidRDefault="00862A88" w:rsidP="006F268E">
      <w:pPr>
        <w:ind w:left="851"/>
        <w:rPr>
          <w:noProof/>
          <w:sz w:val="24"/>
          <w:szCs w:val="24"/>
          <w:lang w:val="en-GB" w:eastAsia="en-US"/>
        </w:rPr>
      </w:pPr>
      <w:r w:rsidRPr="009907F8">
        <w:rPr>
          <w:noProof/>
          <w:sz w:val="24"/>
          <w:szCs w:val="24"/>
          <w:lang w:val="en-GB" w:eastAsia="en-US"/>
        </w:rPr>
        <w:t>Hypromellose</w:t>
      </w:r>
    </w:p>
    <w:p w14:paraId="7DCA30AF" w14:textId="77777777" w:rsidR="00862A88" w:rsidRPr="009907F8" w:rsidRDefault="00862A88" w:rsidP="006F268E">
      <w:pPr>
        <w:ind w:left="851"/>
        <w:rPr>
          <w:noProof/>
          <w:sz w:val="24"/>
          <w:szCs w:val="24"/>
          <w:lang w:val="en-GB" w:eastAsia="en-US"/>
        </w:rPr>
      </w:pPr>
      <w:r w:rsidRPr="009907F8">
        <w:rPr>
          <w:noProof/>
          <w:sz w:val="24"/>
          <w:szCs w:val="24"/>
          <w:lang w:val="en-GB" w:eastAsia="en-US"/>
        </w:rPr>
        <w:t>Yellow iron oxide (E172)</w:t>
      </w:r>
    </w:p>
    <w:p w14:paraId="50BAA462" w14:textId="77777777" w:rsidR="00862A88" w:rsidRPr="009907F8" w:rsidRDefault="00862A88" w:rsidP="006F268E">
      <w:pPr>
        <w:ind w:left="851"/>
        <w:rPr>
          <w:noProof/>
          <w:sz w:val="24"/>
          <w:szCs w:val="24"/>
          <w:lang w:val="en-GB" w:eastAsia="en-US"/>
        </w:rPr>
      </w:pPr>
      <w:r w:rsidRPr="009907F8">
        <w:rPr>
          <w:noProof/>
          <w:sz w:val="24"/>
          <w:szCs w:val="24"/>
          <w:lang w:val="en-GB" w:eastAsia="en-US"/>
        </w:rPr>
        <w:t>Imprinting ink (shellac (E904), black iron oxide (E172))</w:t>
      </w:r>
    </w:p>
    <w:p w14:paraId="7DE38B4E" w14:textId="77777777" w:rsidR="007C5D2A" w:rsidRPr="009907F8" w:rsidRDefault="007C5D2A" w:rsidP="003D727E">
      <w:pPr>
        <w:tabs>
          <w:tab w:val="left" w:pos="851"/>
        </w:tabs>
        <w:ind w:left="851"/>
        <w:rPr>
          <w:sz w:val="24"/>
          <w:szCs w:val="24"/>
          <w:lang w:val="en-GB"/>
        </w:rPr>
      </w:pPr>
    </w:p>
    <w:p w14:paraId="1D643BC1" w14:textId="77777777" w:rsidR="007C5D2A" w:rsidRPr="009907F8" w:rsidRDefault="007C5D2A" w:rsidP="007C5D2A">
      <w:pPr>
        <w:ind w:left="851" w:hanging="851"/>
        <w:rPr>
          <w:b/>
          <w:sz w:val="24"/>
          <w:szCs w:val="24"/>
          <w:lang w:val="en-GB"/>
        </w:rPr>
      </w:pPr>
      <w:r w:rsidRPr="009907F8">
        <w:rPr>
          <w:b/>
          <w:sz w:val="24"/>
          <w:szCs w:val="24"/>
          <w:lang w:val="en-GB"/>
        </w:rPr>
        <w:t>6.2</w:t>
      </w:r>
      <w:r w:rsidRPr="009907F8">
        <w:rPr>
          <w:b/>
          <w:sz w:val="24"/>
          <w:szCs w:val="24"/>
          <w:lang w:val="en-GB"/>
        </w:rPr>
        <w:tab/>
        <w:t>Incompatibilities</w:t>
      </w:r>
    </w:p>
    <w:p w14:paraId="384319B8" w14:textId="77777777" w:rsidR="00862A88" w:rsidRPr="009907F8" w:rsidRDefault="00862A88" w:rsidP="006F268E">
      <w:pPr>
        <w:ind w:left="851"/>
        <w:rPr>
          <w:sz w:val="24"/>
          <w:szCs w:val="24"/>
          <w:lang w:val="en-GB" w:eastAsia="en-US"/>
        </w:rPr>
      </w:pPr>
      <w:r w:rsidRPr="009907F8">
        <w:rPr>
          <w:sz w:val="24"/>
          <w:szCs w:val="24"/>
          <w:lang w:val="en-GB" w:eastAsia="en-US"/>
        </w:rPr>
        <w:t>Not applicable.</w:t>
      </w:r>
    </w:p>
    <w:p w14:paraId="4167EE25" w14:textId="77777777" w:rsidR="007C5D2A" w:rsidRPr="009907F8" w:rsidRDefault="007C5D2A" w:rsidP="003E0341">
      <w:pPr>
        <w:tabs>
          <w:tab w:val="left" w:pos="851"/>
        </w:tabs>
        <w:ind w:left="851"/>
        <w:rPr>
          <w:sz w:val="24"/>
          <w:szCs w:val="24"/>
          <w:lang w:val="en-GB"/>
        </w:rPr>
      </w:pPr>
    </w:p>
    <w:p w14:paraId="4B27DE21" w14:textId="77777777" w:rsidR="007C5D2A" w:rsidRPr="009907F8" w:rsidRDefault="007C5D2A" w:rsidP="007C5D2A">
      <w:pPr>
        <w:ind w:left="851" w:hanging="851"/>
        <w:rPr>
          <w:b/>
          <w:sz w:val="24"/>
          <w:szCs w:val="24"/>
          <w:lang w:val="en-GB"/>
        </w:rPr>
      </w:pPr>
      <w:r w:rsidRPr="009907F8">
        <w:rPr>
          <w:b/>
          <w:sz w:val="24"/>
          <w:szCs w:val="24"/>
          <w:lang w:val="en-GB"/>
        </w:rPr>
        <w:t>6.3</w:t>
      </w:r>
      <w:r w:rsidRPr="009907F8">
        <w:rPr>
          <w:b/>
          <w:sz w:val="24"/>
          <w:szCs w:val="24"/>
          <w:lang w:val="en-GB"/>
        </w:rPr>
        <w:tab/>
        <w:t>Shelf</w:t>
      </w:r>
      <w:r w:rsidR="00B45DC5" w:rsidRPr="009907F8">
        <w:rPr>
          <w:b/>
          <w:sz w:val="24"/>
          <w:szCs w:val="24"/>
          <w:lang w:val="en-GB"/>
        </w:rPr>
        <w:t xml:space="preserve"> </w:t>
      </w:r>
      <w:r w:rsidRPr="009907F8">
        <w:rPr>
          <w:b/>
          <w:sz w:val="24"/>
          <w:szCs w:val="24"/>
          <w:lang w:val="en-GB"/>
        </w:rPr>
        <w:t>life</w:t>
      </w:r>
    </w:p>
    <w:p w14:paraId="390AC288" w14:textId="77777777" w:rsidR="00862A88" w:rsidRPr="009907F8" w:rsidRDefault="00862A88" w:rsidP="006F268E">
      <w:pPr>
        <w:ind w:left="851"/>
        <w:rPr>
          <w:sz w:val="24"/>
          <w:szCs w:val="24"/>
          <w:lang w:val="en-GB" w:eastAsia="en-US"/>
        </w:rPr>
      </w:pPr>
      <w:r w:rsidRPr="009907F8">
        <w:rPr>
          <w:sz w:val="24"/>
          <w:szCs w:val="24"/>
          <w:lang w:val="en-GB" w:eastAsia="en-US"/>
        </w:rPr>
        <w:t>3 years</w:t>
      </w:r>
    </w:p>
    <w:p w14:paraId="262F9841" w14:textId="77777777" w:rsidR="007C5D2A" w:rsidRPr="009907F8" w:rsidRDefault="007C5D2A" w:rsidP="003E0341">
      <w:pPr>
        <w:tabs>
          <w:tab w:val="left" w:pos="851"/>
        </w:tabs>
        <w:ind w:left="851"/>
        <w:rPr>
          <w:sz w:val="24"/>
          <w:szCs w:val="24"/>
          <w:lang w:val="en-GB"/>
        </w:rPr>
      </w:pPr>
    </w:p>
    <w:p w14:paraId="0AF0ABB7" w14:textId="77777777" w:rsidR="007C5D2A" w:rsidRPr="009907F8" w:rsidRDefault="007C5D2A" w:rsidP="007C5D2A">
      <w:pPr>
        <w:ind w:left="851" w:hanging="851"/>
        <w:rPr>
          <w:b/>
          <w:sz w:val="24"/>
          <w:szCs w:val="24"/>
          <w:lang w:val="en-GB"/>
        </w:rPr>
      </w:pPr>
      <w:r w:rsidRPr="009907F8">
        <w:rPr>
          <w:b/>
          <w:sz w:val="24"/>
          <w:szCs w:val="24"/>
          <w:lang w:val="en-GB"/>
        </w:rPr>
        <w:t>6.4</w:t>
      </w:r>
      <w:r w:rsidRPr="009907F8">
        <w:rPr>
          <w:b/>
          <w:sz w:val="24"/>
          <w:szCs w:val="24"/>
          <w:lang w:val="en-GB"/>
        </w:rPr>
        <w:tab/>
        <w:t>Special precautions for storage</w:t>
      </w:r>
    </w:p>
    <w:p w14:paraId="4633487B" w14:textId="77777777" w:rsidR="00424879" w:rsidRDefault="00424879" w:rsidP="006F268E">
      <w:pPr>
        <w:ind w:left="851"/>
        <w:rPr>
          <w:sz w:val="24"/>
          <w:szCs w:val="24"/>
          <w:lang w:val="en-GB" w:eastAsia="en-US"/>
        </w:rPr>
      </w:pPr>
    </w:p>
    <w:p w14:paraId="3B6CF4C1" w14:textId="253D92BE" w:rsidR="00862A88" w:rsidRPr="00424879" w:rsidRDefault="00862A88" w:rsidP="006F268E">
      <w:pPr>
        <w:ind w:left="851"/>
        <w:rPr>
          <w:i/>
          <w:sz w:val="24"/>
          <w:szCs w:val="24"/>
          <w:lang w:val="en-GB" w:eastAsia="en-US"/>
        </w:rPr>
      </w:pPr>
      <w:r w:rsidRPr="00424879">
        <w:rPr>
          <w:i/>
          <w:sz w:val="24"/>
          <w:szCs w:val="24"/>
          <w:lang w:val="en-GB" w:eastAsia="en-US"/>
        </w:rPr>
        <w:t>Blisters:</w:t>
      </w:r>
    </w:p>
    <w:p w14:paraId="5DF66FF2" w14:textId="51537C37" w:rsidR="00862A88" w:rsidRPr="009907F8" w:rsidRDefault="00862A88" w:rsidP="006F268E">
      <w:pPr>
        <w:ind w:left="851"/>
        <w:rPr>
          <w:sz w:val="24"/>
          <w:szCs w:val="24"/>
          <w:lang w:val="en-GB" w:eastAsia="en-US"/>
        </w:rPr>
      </w:pPr>
      <w:r w:rsidRPr="009907F8">
        <w:rPr>
          <w:sz w:val="24"/>
          <w:szCs w:val="24"/>
          <w:lang w:val="en-GB" w:eastAsia="en-US"/>
        </w:rPr>
        <w:t>Do not store above 30</w:t>
      </w:r>
      <w:r w:rsidR="00812980">
        <w:rPr>
          <w:sz w:val="24"/>
          <w:szCs w:val="24"/>
          <w:lang w:val="en-GB" w:eastAsia="en-US"/>
        </w:rPr>
        <w:t xml:space="preserve"> </w:t>
      </w:r>
      <w:r w:rsidRPr="009907F8">
        <w:rPr>
          <w:sz w:val="24"/>
          <w:szCs w:val="24"/>
          <w:lang w:val="en-GB" w:eastAsia="en-US"/>
        </w:rPr>
        <w:sym w:font="Symbol" w:char="F0B0"/>
      </w:r>
      <w:r w:rsidRPr="009907F8">
        <w:rPr>
          <w:sz w:val="24"/>
          <w:szCs w:val="24"/>
          <w:lang w:val="en-GB" w:eastAsia="en-US"/>
        </w:rPr>
        <w:t>C.</w:t>
      </w:r>
    </w:p>
    <w:p w14:paraId="52317CF7" w14:textId="77777777" w:rsidR="00862A88" w:rsidRPr="009907F8" w:rsidRDefault="00862A88" w:rsidP="006F268E">
      <w:pPr>
        <w:ind w:left="851"/>
        <w:rPr>
          <w:sz w:val="24"/>
          <w:szCs w:val="24"/>
          <w:lang w:val="en-GB" w:eastAsia="en-US"/>
        </w:rPr>
      </w:pPr>
      <w:r w:rsidRPr="009907F8">
        <w:rPr>
          <w:sz w:val="24"/>
          <w:szCs w:val="24"/>
          <w:lang w:val="en-GB" w:eastAsia="en-US"/>
        </w:rPr>
        <w:t>Store in the original package in order to protect from moisture.</w:t>
      </w:r>
    </w:p>
    <w:p w14:paraId="4F93F8B4" w14:textId="77777777" w:rsidR="00862A88" w:rsidRPr="009907F8" w:rsidRDefault="00862A88" w:rsidP="006F268E">
      <w:pPr>
        <w:ind w:left="851"/>
        <w:rPr>
          <w:sz w:val="24"/>
          <w:szCs w:val="24"/>
          <w:lang w:val="en-GB" w:eastAsia="en-US"/>
        </w:rPr>
      </w:pPr>
    </w:p>
    <w:p w14:paraId="7AB8FD95" w14:textId="77777777" w:rsidR="00862A88" w:rsidRPr="00424879" w:rsidRDefault="00862A88" w:rsidP="006F268E">
      <w:pPr>
        <w:ind w:left="851"/>
        <w:rPr>
          <w:i/>
          <w:sz w:val="24"/>
          <w:szCs w:val="24"/>
          <w:lang w:val="en-GB" w:eastAsia="en-US"/>
        </w:rPr>
      </w:pPr>
      <w:r w:rsidRPr="00424879">
        <w:rPr>
          <w:i/>
          <w:sz w:val="24"/>
          <w:szCs w:val="24"/>
          <w:lang w:val="en-GB" w:eastAsia="en-US"/>
        </w:rPr>
        <w:t>Containers:</w:t>
      </w:r>
    </w:p>
    <w:p w14:paraId="25E5486C" w14:textId="0AD12E2A" w:rsidR="00862A88" w:rsidRPr="009907F8" w:rsidRDefault="00862A88" w:rsidP="006F268E">
      <w:pPr>
        <w:ind w:left="851"/>
        <w:rPr>
          <w:sz w:val="24"/>
          <w:szCs w:val="24"/>
          <w:lang w:val="en-GB" w:eastAsia="en-US"/>
        </w:rPr>
      </w:pPr>
      <w:r w:rsidRPr="009907F8">
        <w:rPr>
          <w:sz w:val="24"/>
          <w:szCs w:val="24"/>
          <w:lang w:val="en-GB" w:eastAsia="en-US"/>
        </w:rPr>
        <w:t>Do not store above 30</w:t>
      </w:r>
      <w:r w:rsidR="00812980">
        <w:rPr>
          <w:sz w:val="24"/>
          <w:szCs w:val="24"/>
          <w:lang w:val="en-GB" w:eastAsia="en-US"/>
        </w:rPr>
        <w:t xml:space="preserve"> </w:t>
      </w:r>
      <w:r w:rsidRPr="009907F8">
        <w:rPr>
          <w:sz w:val="24"/>
          <w:szCs w:val="24"/>
          <w:lang w:val="en-GB" w:eastAsia="en-US"/>
        </w:rPr>
        <w:sym w:font="Symbol" w:char="F0B0"/>
      </w:r>
      <w:r w:rsidRPr="009907F8">
        <w:rPr>
          <w:sz w:val="24"/>
          <w:szCs w:val="24"/>
          <w:lang w:val="en-GB" w:eastAsia="en-US"/>
        </w:rPr>
        <w:t>C.</w:t>
      </w:r>
    </w:p>
    <w:p w14:paraId="6818247C" w14:textId="77777777" w:rsidR="00862A88" w:rsidRPr="009907F8" w:rsidRDefault="00862A88" w:rsidP="006F268E">
      <w:pPr>
        <w:ind w:left="851"/>
        <w:rPr>
          <w:sz w:val="24"/>
          <w:szCs w:val="24"/>
          <w:lang w:val="en-GB" w:eastAsia="en-US"/>
        </w:rPr>
      </w:pPr>
      <w:r w:rsidRPr="009907F8">
        <w:rPr>
          <w:sz w:val="24"/>
          <w:szCs w:val="24"/>
          <w:lang w:val="en-GB" w:eastAsia="en-US"/>
        </w:rPr>
        <w:t>Keep the container tightly closed in order to protect from moisture.</w:t>
      </w:r>
    </w:p>
    <w:p w14:paraId="4868C51B" w14:textId="77777777" w:rsidR="007C5D2A" w:rsidRPr="009907F8" w:rsidRDefault="007C5D2A" w:rsidP="003E0341">
      <w:pPr>
        <w:tabs>
          <w:tab w:val="left" w:pos="851"/>
        </w:tabs>
        <w:ind w:left="851"/>
        <w:rPr>
          <w:sz w:val="24"/>
          <w:szCs w:val="24"/>
          <w:lang w:val="en-GB"/>
        </w:rPr>
      </w:pPr>
    </w:p>
    <w:p w14:paraId="765E7825" w14:textId="77777777" w:rsidR="007C5D2A" w:rsidRPr="009907F8" w:rsidRDefault="007C5D2A" w:rsidP="007C5D2A">
      <w:pPr>
        <w:ind w:left="851" w:hanging="851"/>
        <w:rPr>
          <w:b/>
          <w:sz w:val="24"/>
          <w:szCs w:val="24"/>
          <w:lang w:val="en-GB"/>
        </w:rPr>
      </w:pPr>
      <w:r w:rsidRPr="009907F8">
        <w:rPr>
          <w:b/>
          <w:sz w:val="24"/>
          <w:szCs w:val="24"/>
          <w:lang w:val="en-GB"/>
        </w:rPr>
        <w:t>6.5</w:t>
      </w:r>
      <w:r w:rsidRPr="009907F8">
        <w:rPr>
          <w:b/>
          <w:sz w:val="24"/>
          <w:szCs w:val="24"/>
          <w:lang w:val="en-GB"/>
        </w:rPr>
        <w:tab/>
        <w:t>Nature and contents of container</w:t>
      </w:r>
    </w:p>
    <w:p w14:paraId="2A10692A" w14:textId="77777777" w:rsidR="00812980" w:rsidRDefault="00862A88" w:rsidP="006F268E">
      <w:pPr>
        <w:ind w:left="851"/>
        <w:rPr>
          <w:sz w:val="24"/>
          <w:szCs w:val="24"/>
          <w:lang w:val="en-GB" w:eastAsia="en-US"/>
        </w:rPr>
      </w:pPr>
      <w:r w:rsidRPr="009907F8">
        <w:rPr>
          <w:sz w:val="24"/>
          <w:szCs w:val="24"/>
          <w:lang w:val="en-GB" w:eastAsia="en-US"/>
        </w:rPr>
        <w:t xml:space="preserve">Blister (OPA/Alu/PVC//Alu): </w:t>
      </w:r>
    </w:p>
    <w:p w14:paraId="1E645431" w14:textId="595196BB" w:rsidR="00862A88" w:rsidRPr="009907F8" w:rsidRDefault="00862A88" w:rsidP="006F268E">
      <w:pPr>
        <w:ind w:left="851"/>
        <w:rPr>
          <w:sz w:val="24"/>
          <w:szCs w:val="24"/>
          <w:lang w:val="en-GB" w:eastAsia="en-US"/>
        </w:rPr>
      </w:pPr>
      <w:r w:rsidRPr="009907F8">
        <w:rPr>
          <w:sz w:val="24"/>
          <w:szCs w:val="24"/>
          <w:lang w:val="en-GB" w:eastAsia="en-US"/>
        </w:rPr>
        <w:t>7, 14, 28, 30, 56, 60, 90, 98 and 100 hard capsules, in a box.</w:t>
      </w:r>
    </w:p>
    <w:p w14:paraId="011ECBAC" w14:textId="77777777" w:rsidR="00812980" w:rsidRDefault="00812980" w:rsidP="006F268E">
      <w:pPr>
        <w:ind w:left="851"/>
        <w:rPr>
          <w:sz w:val="24"/>
          <w:szCs w:val="24"/>
          <w:lang w:val="en-GB" w:eastAsia="en-US"/>
        </w:rPr>
      </w:pPr>
    </w:p>
    <w:p w14:paraId="40723AB7" w14:textId="77777777" w:rsidR="00812980" w:rsidRDefault="00862A88" w:rsidP="006F268E">
      <w:pPr>
        <w:ind w:left="851"/>
        <w:rPr>
          <w:sz w:val="24"/>
          <w:szCs w:val="24"/>
          <w:lang w:val="en-GB" w:eastAsia="en-US"/>
        </w:rPr>
      </w:pPr>
      <w:r w:rsidRPr="009907F8">
        <w:rPr>
          <w:sz w:val="24"/>
          <w:szCs w:val="24"/>
          <w:lang w:val="en-GB" w:eastAsia="en-US"/>
        </w:rPr>
        <w:t xml:space="preserve">Blister (OPA/Alu/PVC//Alu), calendar pack: </w:t>
      </w:r>
    </w:p>
    <w:p w14:paraId="09FE9B1E" w14:textId="529F32F1" w:rsidR="00862A88" w:rsidRPr="009907F8" w:rsidRDefault="00862A88" w:rsidP="006F268E">
      <w:pPr>
        <w:ind w:left="851"/>
        <w:rPr>
          <w:sz w:val="24"/>
          <w:szCs w:val="24"/>
          <w:lang w:val="en-GB" w:eastAsia="en-US"/>
        </w:rPr>
      </w:pPr>
      <w:r w:rsidRPr="009907F8">
        <w:rPr>
          <w:sz w:val="24"/>
          <w:szCs w:val="24"/>
          <w:lang w:val="en-GB" w:eastAsia="en-US"/>
        </w:rPr>
        <w:t>7, 14, 28 and 98 hard capsules, in a box.</w:t>
      </w:r>
    </w:p>
    <w:p w14:paraId="40702411" w14:textId="77777777" w:rsidR="00812980" w:rsidRDefault="00812980" w:rsidP="006F268E">
      <w:pPr>
        <w:ind w:left="851"/>
        <w:rPr>
          <w:sz w:val="24"/>
          <w:szCs w:val="24"/>
          <w:lang w:val="en-GB" w:eastAsia="en-US"/>
        </w:rPr>
      </w:pPr>
    </w:p>
    <w:p w14:paraId="28AB676F" w14:textId="77777777" w:rsidR="00812980" w:rsidRDefault="00862A88" w:rsidP="006F268E">
      <w:pPr>
        <w:ind w:left="851"/>
        <w:rPr>
          <w:sz w:val="24"/>
          <w:szCs w:val="24"/>
          <w:lang w:val="en-GB" w:eastAsia="en-US"/>
        </w:rPr>
      </w:pPr>
      <w:r w:rsidRPr="009907F8">
        <w:rPr>
          <w:sz w:val="24"/>
          <w:szCs w:val="24"/>
          <w:lang w:val="en-GB" w:eastAsia="en-US"/>
        </w:rPr>
        <w:t xml:space="preserve">Perforated unit dose blister (OPA/Alu/PVC//Alu): </w:t>
      </w:r>
    </w:p>
    <w:p w14:paraId="07919409" w14:textId="79435F49" w:rsidR="00862A88" w:rsidRPr="009907F8" w:rsidRDefault="00862A88" w:rsidP="006F268E">
      <w:pPr>
        <w:ind w:left="851"/>
        <w:rPr>
          <w:sz w:val="24"/>
          <w:szCs w:val="24"/>
          <w:lang w:val="en-GB" w:eastAsia="en-US"/>
        </w:rPr>
      </w:pPr>
      <w:r w:rsidRPr="009907F8">
        <w:rPr>
          <w:sz w:val="24"/>
          <w:szCs w:val="24"/>
          <w:lang w:val="en-GB" w:eastAsia="en-US"/>
        </w:rPr>
        <w:t xml:space="preserve">30 </w:t>
      </w:r>
      <w:r w:rsidR="00424879">
        <w:rPr>
          <w:sz w:val="24"/>
          <w:szCs w:val="24"/>
          <w:lang w:val="en-GB" w:eastAsia="en-US"/>
        </w:rPr>
        <w:t>×</w:t>
      </w:r>
      <w:r w:rsidRPr="009907F8">
        <w:rPr>
          <w:sz w:val="24"/>
          <w:szCs w:val="24"/>
          <w:lang w:val="en-GB" w:eastAsia="en-US"/>
        </w:rPr>
        <w:t xml:space="preserve"> 1, 60 </w:t>
      </w:r>
      <w:r w:rsidR="00424879">
        <w:rPr>
          <w:sz w:val="24"/>
          <w:szCs w:val="24"/>
          <w:lang w:val="en-GB" w:eastAsia="en-US"/>
        </w:rPr>
        <w:t>×</w:t>
      </w:r>
      <w:r w:rsidRPr="009907F8">
        <w:rPr>
          <w:sz w:val="24"/>
          <w:szCs w:val="24"/>
          <w:lang w:val="en-GB" w:eastAsia="en-US"/>
        </w:rPr>
        <w:t xml:space="preserve"> 1, 90 </w:t>
      </w:r>
      <w:r w:rsidR="00424879">
        <w:rPr>
          <w:sz w:val="24"/>
          <w:szCs w:val="24"/>
          <w:lang w:val="en-GB" w:eastAsia="en-US"/>
        </w:rPr>
        <w:t>×</w:t>
      </w:r>
      <w:r w:rsidRPr="009907F8">
        <w:rPr>
          <w:sz w:val="24"/>
          <w:szCs w:val="24"/>
          <w:lang w:val="en-GB" w:eastAsia="en-US"/>
        </w:rPr>
        <w:t xml:space="preserve"> 1 and 100 </w:t>
      </w:r>
      <w:r w:rsidR="00424879">
        <w:rPr>
          <w:sz w:val="24"/>
          <w:szCs w:val="24"/>
          <w:lang w:val="en-GB" w:eastAsia="en-US"/>
        </w:rPr>
        <w:t>×</w:t>
      </w:r>
      <w:r w:rsidRPr="009907F8">
        <w:rPr>
          <w:sz w:val="24"/>
          <w:szCs w:val="24"/>
          <w:lang w:val="en-GB" w:eastAsia="en-US"/>
        </w:rPr>
        <w:t xml:space="preserve"> 1 hard capsule, in a box.</w:t>
      </w:r>
    </w:p>
    <w:p w14:paraId="765CF92D" w14:textId="77777777" w:rsidR="00812980" w:rsidRDefault="00812980" w:rsidP="006F268E">
      <w:pPr>
        <w:ind w:left="851"/>
        <w:rPr>
          <w:sz w:val="24"/>
          <w:szCs w:val="24"/>
          <w:lang w:val="en-GB" w:eastAsia="en-US"/>
        </w:rPr>
      </w:pPr>
    </w:p>
    <w:p w14:paraId="27D007EE" w14:textId="77777777" w:rsidR="00812980" w:rsidRDefault="00862A88" w:rsidP="006F268E">
      <w:pPr>
        <w:ind w:left="851"/>
        <w:rPr>
          <w:sz w:val="24"/>
          <w:szCs w:val="24"/>
          <w:lang w:val="en-GB" w:eastAsia="en-US"/>
        </w:rPr>
      </w:pPr>
      <w:r w:rsidRPr="009907F8">
        <w:rPr>
          <w:sz w:val="24"/>
          <w:szCs w:val="24"/>
          <w:lang w:val="en-GB" w:eastAsia="en-US"/>
        </w:rPr>
        <w:t xml:space="preserve">Perforated unit dose blister (OPA/Alu/PVC//Alu), calendar pack: </w:t>
      </w:r>
    </w:p>
    <w:p w14:paraId="76E8D157" w14:textId="52ABE72A" w:rsidR="00862A88" w:rsidRPr="009907F8" w:rsidRDefault="00862A88" w:rsidP="006F268E">
      <w:pPr>
        <w:ind w:left="851"/>
        <w:rPr>
          <w:sz w:val="24"/>
          <w:szCs w:val="24"/>
          <w:lang w:val="sl-SI" w:eastAsia="en-US"/>
        </w:rPr>
      </w:pPr>
      <w:r w:rsidRPr="009907F8">
        <w:rPr>
          <w:sz w:val="24"/>
          <w:szCs w:val="24"/>
          <w:lang w:val="en-GB" w:eastAsia="en-US"/>
        </w:rPr>
        <w:t xml:space="preserve">7 </w:t>
      </w:r>
      <w:r w:rsidR="00424879">
        <w:rPr>
          <w:sz w:val="24"/>
          <w:szCs w:val="24"/>
          <w:lang w:val="en-GB" w:eastAsia="en-US"/>
        </w:rPr>
        <w:t>×</w:t>
      </w:r>
      <w:r w:rsidRPr="009907F8">
        <w:rPr>
          <w:sz w:val="24"/>
          <w:szCs w:val="24"/>
          <w:lang w:val="en-GB" w:eastAsia="en-US"/>
        </w:rPr>
        <w:t xml:space="preserve"> 1, 14 </w:t>
      </w:r>
      <w:r w:rsidR="00424879">
        <w:rPr>
          <w:sz w:val="24"/>
          <w:szCs w:val="24"/>
          <w:lang w:val="en-GB" w:eastAsia="en-US"/>
        </w:rPr>
        <w:t>×</w:t>
      </w:r>
      <w:r w:rsidRPr="009907F8">
        <w:rPr>
          <w:sz w:val="24"/>
          <w:szCs w:val="24"/>
          <w:lang w:val="en-GB" w:eastAsia="en-US"/>
        </w:rPr>
        <w:t xml:space="preserve"> 1, 28 </w:t>
      </w:r>
      <w:r w:rsidR="00424879">
        <w:rPr>
          <w:sz w:val="24"/>
          <w:szCs w:val="24"/>
          <w:lang w:val="en-GB" w:eastAsia="en-US"/>
        </w:rPr>
        <w:t>×</w:t>
      </w:r>
      <w:r w:rsidRPr="009907F8">
        <w:rPr>
          <w:sz w:val="24"/>
          <w:szCs w:val="24"/>
          <w:lang w:val="en-GB" w:eastAsia="en-US"/>
        </w:rPr>
        <w:t xml:space="preserve"> 1, 56 </w:t>
      </w:r>
      <w:r w:rsidR="00424879">
        <w:rPr>
          <w:sz w:val="24"/>
          <w:szCs w:val="24"/>
          <w:lang w:val="en-GB" w:eastAsia="en-US"/>
        </w:rPr>
        <w:t>×</w:t>
      </w:r>
      <w:r w:rsidRPr="009907F8">
        <w:rPr>
          <w:sz w:val="24"/>
          <w:szCs w:val="24"/>
          <w:lang w:val="en-GB" w:eastAsia="en-US"/>
        </w:rPr>
        <w:t xml:space="preserve"> 1 and 98 </w:t>
      </w:r>
      <w:r w:rsidR="00424879">
        <w:rPr>
          <w:sz w:val="24"/>
          <w:szCs w:val="24"/>
          <w:lang w:val="en-GB" w:eastAsia="en-US"/>
        </w:rPr>
        <w:t>×</w:t>
      </w:r>
      <w:r w:rsidRPr="009907F8">
        <w:rPr>
          <w:sz w:val="24"/>
          <w:szCs w:val="24"/>
          <w:lang w:val="en-GB" w:eastAsia="en-US"/>
        </w:rPr>
        <w:t xml:space="preserve"> 1 hard capsule, in a box.</w:t>
      </w:r>
    </w:p>
    <w:p w14:paraId="39003DDA" w14:textId="77777777" w:rsidR="00812980" w:rsidRDefault="00812980" w:rsidP="006F268E">
      <w:pPr>
        <w:ind w:left="851"/>
        <w:rPr>
          <w:sz w:val="24"/>
          <w:szCs w:val="24"/>
          <w:lang w:val="en-GB" w:eastAsia="en-US"/>
        </w:rPr>
      </w:pPr>
    </w:p>
    <w:p w14:paraId="3FBF8F6C" w14:textId="77777777" w:rsidR="00812980" w:rsidRDefault="00862A88" w:rsidP="006F268E">
      <w:pPr>
        <w:ind w:left="851"/>
        <w:rPr>
          <w:sz w:val="24"/>
          <w:szCs w:val="24"/>
          <w:lang w:val="en-GB" w:eastAsia="en-US"/>
        </w:rPr>
      </w:pPr>
      <w:r w:rsidRPr="009907F8">
        <w:rPr>
          <w:sz w:val="24"/>
          <w:szCs w:val="24"/>
          <w:lang w:val="en-GB" w:eastAsia="en-US"/>
        </w:rPr>
        <w:t xml:space="preserve">HDPE tablet container with child-resistant tamper evident PP with desiccant closure: </w:t>
      </w:r>
    </w:p>
    <w:p w14:paraId="5CB40006" w14:textId="72CD0ED9" w:rsidR="00862A88" w:rsidRPr="009907F8" w:rsidRDefault="00862A88" w:rsidP="006F268E">
      <w:pPr>
        <w:ind w:left="851"/>
        <w:rPr>
          <w:sz w:val="24"/>
          <w:szCs w:val="24"/>
          <w:lang w:val="en-GB" w:eastAsia="en-US"/>
        </w:rPr>
      </w:pPr>
      <w:r w:rsidRPr="009907F8">
        <w:rPr>
          <w:sz w:val="24"/>
          <w:szCs w:val="24"/>
          <w:lang w:val="en-GB" w:eastAsia="en-US"/>
        </w:rPr>
        <w:t>30 hard capsules, in a box.</w:t>
      </w:r>
    </w:p>
    <w:p w14:paraId="0071C51E" w14:textId="77777777" w:rsidR="00862A88" w:rsidRPr="009907F8" w:rsidRDefault="00862A88" w:rsidP="006F268E">
      <w:pPr>
        <w:ind w:left="851"/>
        <w:rPr>
          <w:sz w:val="24"/>
          <w:szCs w:val="24"/>
          <w:lang w:val="en-GB" w:eastAsia="en-US"/>
        </w:rPr>
      </w:pPr>
    </w:p>
    <w:p w14:paraId="27A3C8B2" w14:textId="77777777" w:rsidR="00862A88" w:rsidRPr="009907F8" w:rsidRDefault="00862A88" w:rsidP="006F268E">
      <w:pPr>
        <w:ind w:left="851"/>
        <w:rPr>
          <w:sz w:val="24"/>
          <w:szCs w:val="24"/>
          <w:lang w:val="en-GB" w:eastAsia="sl-SI"/>
        </w:rPr>
      </w:pPr>
      <w:r w:rsidRPr="009907F8">
        <w:rPr>
          <w:sz w:val="24"/>
          <w:szCs w:val="24"/>
          <w:lang w:val="en-GB"/>
        </w:rPr>
        <w:t>Not all pack sizes may be marketed.</w:t>
      </w:r>
    </w:p>
    <w:p w14:paraId="64F2892C" w14:textId="77777777" w:rsidR="007C5D2A" w:rsidRPr="009907F8" w:rsidRDefault="007C5D2A" w:rsidP="003E0341">
      <w:pPr>
        <w:tabs>
          <w:tab w:val="left" w:pos="851"/>
        </w:tabs>
        <w:ind w:left="851"/>
        <w:rPr>
          <w:sz w:val="24"/>
          <w:szCs w:val="24"/>
          <w:lang w:val="en-GB"/>
        </w:rPr>
      </w:pPr>
    </w:p>
    <w:p w14:paraId="478540A4" w14:textId="77777777" w:rsidR="007C5D2A" w:rsidRPr="009907F8" w:rsidRDefault="007C5D2A" w:rsidP="007C5D2A">
      <w:pPr>
        <w:ind w:left="851" w:hanging="851"/>
        <w:rPr>
          <w:b/>
          <w:sz w:val="24"/>
          <w:szCs w:val="24"/>
          <w:lang w:val="en-GB"/>
        </w:rPr>
      </w:pPr>
      <w:r w:rsidRPr="009907F8">
        <w:rPr>
          <w:b/>
          <w:sz w:val="24"/>
          <w:szCs w:val="24"/>
          <w:lang w:val="en-GB"/>
        </w:rPr>
        <w:t>6.6</w:t>
      </w:r>
      <w:r w:rsidRPr="009907F8">
        <w:rPr>
          <w:b/>
          <w:sz w:val="24"/>
          <w:szCs w:val="24"/>
          <w:lang w:val="en-GB"/>
        </w:rPr>
        <w:tab/>
        <w:t>Special precautions for disposal and other handling</w:t>
      </w:r>
    </w:p>
    <w:p w14:paraId="6CBE285B" w14:textId="77777777" w:rsidR="00862A88" w:rsidRPr="009907F8" w:rsidRDefault="00862A88" w:rsidP="006F268E">
      <w:pPr>
        <w:ind w:left="851"/>
        <w:rPr>
          <w:sz w:val="24"/>
          <w:szCs w:val="24"/>
          <w:lang w:val="en-GB" w:eastAsia="en-US"/>
        </w:rPr>
      </w:pPr>
      <w:r w:rsidRPr="009907F8">
        <w:rPr>
          <w:sz w:val="24"/>
          <w:szCs w:val="24"/>
          <w:lang w:val="en-GB" w:eastAsia="en-US"/>
        </w:rPr>
        <w:t>Any unused medicinal product or waste material should be disposed of in accordance with local requirements.</w:t>
      </w:r>
    </w:p>
    <w:p w14:paraId="4B5B8F38" w14:textId="77777777" w:rsidR="007C5D2A" w:rsidRPr="009907F8" w:rsidRDefault="007C5D2A" w:rsidP="00AB4376">
      <w:pPr>
        <w:tabs>
          <w:tab w:val="left" w:pos="851"/>
        </w:tabs>
        <w:ind w:left="851"/>
        <w:rPr>
          <w:sz w:val="24"/>
          <w:szCs w:val="24"/>
          <w:lang w:val="en-GB"/>
        </w:rPr>
      </w:pPr>
    </w:p>
    <w:p w14:paraId="12923049" w14:textId="77777777" w:rsidR="007C5D2A" w:rsidRPr="005B772B" w:rsidRDefault="007C5D2A" w:rsidP="007C5D2A">
      <w:pPr>
        <w:tabs>
          <w:tab w:val="left" w:pos="851"/>
        </w:tabs>
        <w:ind w:left="851" w:hanging="851"/>
        <w:jc w:val="both"/>
        <w:rPr>
          <w:b/>
          <w:sz w:val="24"/>
          <w:szCs w:val="24"/>
        </w:rPr>
      </w:pPr>
      <w:r w:rsidRPr="005B772B">
        <w:rPr>
          <w:b/>
          <w:sz w:val="24"/>
          <w:szCs w:val="24"/>
        </w:rPr>
        <w:t>7.</w:t>
      </w:r>
      <w:r w:rsidRPr="005B772B">
        <w:rPr>
          <w:b/>
          <w:sz w:val="24"/>
          <w:szCs w:val="24"/>
        </w:rPr>
        <w:tab/>
        <w:t>MARKETING AUTHORISATION HOLDER</w:t>
      </w:r>
    </w:p>
    <w:p w14:paraId="0D532B4D" w14:textId="2F8ACF50" w:rsidR="007C5D2A" w:rsidRPr="005B772B" w:rsidRDefault="00862A88" w:rsidP="00A85D26">
      <w:pPr>
        <w:tabs>
          <w:tab w:val="left" w:pos="851"/>
        </w:tabs>
        <w:ind w:left="851"/>
        <w:jc w:val="both"/>
        <w:rPr>
          <w:sz w:val="24"/>
          <w:szCs w:val="24"/>
        </w:rPr>
      </w:pPr>
      <w:r w:rsidRPr="005B772B">
        <w:rPr>
          <w:sz w:val="24"/>
          <w:szCs w:val="24"/>
        </w:rPr>
        <w:t>HCS BV</w:t>
      </w:r>
    </w:p>
    <w:p w14:paraId="7B3FF9CA" w14:textId="1E5905D7" w:rsidR="00862A88" w:rsidRPr="005B772B" w:rsidRDefault="00862A88" w:rsidP="00A85D26">
      <w:pPr>
        <w:tabs>
          <w:tab w:val="left" w:pos="851"/>
        </w:tabs>
        <w:ind w:left="851"/>
        <w:jc w:val="both"/>
        <w:rPr>
          <w:sz w:val="24"/>
          <w:szCs w:val="24"/>
        </w:rPr>
      </w:pPr>
      <w:r w:rsidRPr="005B772B">
        <w:rPr>
          <w:sz w:val="24"/>
          <w:szCs w:val="24"/>
        </w:rPr>
        <w:t xml:space="preserve">Hendrik </w:t>
      </w:r>
      <w:proofErr w:type="spellStart"/>
      <w:r w:rsidRPr="005B772B">
        <w:rPr>
          <w:sz w:val="24"/>
          <w:szCs w:val="24"/>
        </w:rPr>
        <w:t>Kennisstraat</w:t>
      </w:r>
      <w:proofErr w:type="spellEnd"/>
      <w:r w:rsidRPr="005B772B">
        <w:rPr>
          <w:sz w:val="24"/>
          <w:szCs w:val="24"/>
        </w:rPr>
        <w:t xml:space="preserve"> 53</w:t>
      </w:r>
    </w:p>
    <w:p w14:paraId="5841B8AF" w14:textId="56D4ABA0" w:rsidR="00862A88" w:rsidRPr="00A74CF9" w:rsidRDefault="00862A88" w:rsidP="00A85D26">
      <w:pPr>
        <w:tabs>
          <w:tab w:val="left" w:pos="851"/>
        </w:tabs>
        <w:ind w:left="851"/>
        <w:jc w:val="both"/>
        <w:rPr>
          <w:sz w:val="24"/>
          <w:szCs w:val="24"/>
        </w:rPr>
      </w:pPr>
      <w:r w:rsidRPr="00A74CF9">
        <w:rPr>
          <w:sz w:val="24"/>
          <w:szCs w:val="24"/>
        </w:rPr>
        <w:t xml:space="preserve">2650 </w:t>
      </w:r>
      <w:proofErr w:type="spellStart"/>
      <w:r w:rsidRPr="00A74CF9">
        <w:rPr>
          <w:sz w:val="24"/>
          <w:szCs w:val="24"/>
        </w:rPr>
        <w:t>Edegem</w:t>
      </w:r>
      <w:proofErr w:type="spellEnd"/>
    </w:p>
    <w:p w14:paraId="37C8F8BC" w14:textId="3E74120A" w:rsidR="00862A88" w:rsidRPr="00A74CF9" w:rsidRDefault="00862A88" w:rsidP="00A85D26">
      <w:pPr>
        <w:tabs>
          <w:tab w:val="left" w:pos="851"/>
        </w:tabs>
        <w:ind w:left="851"/>
        <w:jc w:val="both"/>
        <w:rPr>
          <w:sz w:val="24"/>
          <w:szCs w:val="24"/>
        </w:rPr>
      </w:pPr>
      <w:proofErr w:type="spellStart"/>
      <w:r w:rsidRPr="00A74CF9">
        <w:rPr>
          <w:sz w:val="24"/>
          <w:szCs w:val="24"/>
        </w:rPr>
        <w:t>Belgium</w:t>
      </w:r>
      <w:proofErr w:type="spellEnd"/>
    </w:p>
    <w:p w14:paraId="4AB0E716" w14:textId="77777777" w:rsidR="007C5D2A" w:rsidRPr="00A74CF9" w:rsidRDefault="007C5D2A" w:rsidP="003E0341">
      <w:pPr>
        <w:tabs>
          <w:tab w:val="left" w:pos="851"/>
        </w:tabs>
        <w:ind w:left="851"/>
        <w:jc w:val="both"/>
        <w:rPr>
          <w:sz w:val="24"/>
          <w:szCs w:val="24"/>
        </w:rPr>
      </w:pPr>
    </w:p>
    <w:p w14:paraId="7F9E2715" w14:textId="77777777" w:rsidR="008A24F6" w:rsidRPr="00A74CF9" w:rsidRDefault="005A498B" w:rsidP="003E0341">
      <w:pPr>
        <w:tabs>
          <w:tab w:val="left" w:pos="851"/>
        </w:tabs>
        <w:ind w:left="851"/>
        <w:jc w:val="both"/>
        <w:rPr>
          <w:b/>
          <w:sz w:val="24"/>
          <w:szCs w:val="24"/>
        </w:rPr>
      </w:pPr>
      <w:proofErr w:type="spellStart"/>
      <w:r w:rsidRPr="00A74CF9">
        <w:rPr>
          <w:b/>
          <w:sz w:val="24"/>
          <w:szCs w:val="24"/>
        </w:rPr>
        <w:t>Representative</w:t>
      </w:r>
      <w:proofErr w:type="spellEnd"/>
    </w:p>
    <w:p w14:paraId="714E46A3" w14:textId="453C1846" w:rsidR="005A498B" w:rsidRPr="00A74CF9" w:rsidRDefault="00862A88" w:rsidP="005A498B">
      <w:pPr>
        <w:tabs>
          <w:tab w:val="left" w:pos="851"/>
        </w:tabs>
        <w:ind w:left="851"/>
        <w:jc w:val="both"/>
        <w:rPr>
          <w:sz w:val="24"/>
          <w:szCs w:val="24"/>
        </w:rPr>
      </w:pPr>
      <w:proofErr w:type="spellStart"/>
      <w:r w:rsidRPr="00A74CF9">
        <w:rPr>
          <w:sz w:val="24"/>
          <w:szCs w:val="24"/>
        </w:rPr>
        <w:t>Krka</w:t>
      </w:r>
      <w:proofErr w:type="spellEnd"/>
      <w:r w:rsidRPr="00A74CF9">
        <w:rPr>
          <w:sz w:val="24"/>
          <w:szCs w:val="24"/>
        </w:rPr>
        <w:t xml:space="preserve"> Sverige AB</w:t>
      </w:r>
    </w:p>
    <w:p w14:paraId="2D7BFFC3" w14:textId="53D363A6" w:rsidR="00862A88" w:rsidRPr="009907F8" w:rsidRDefault="00862A88" w:rsidP="005A498B">
      <w:pPr>
        <w:tabs>
          <w:tab w:val="left" w:pos="851"/>
        </w:tabs>
        <w:ind w:left="851"/>
        <w:jc w:val="both"/>
        <w:rPr>
          <w:sz w:val="24"/>
          <w:szCs w:val="24"/>
          <w:lang w:val="en-GB"/>
        </w:rPr>
      </w:pPr>
      <w:proofErr w:type="spellStart"/>
      <w:r w:rsidRPr="009907F8">
        <w:rPr>
          <w:sz w:val="24"/>
          <w:szCs w:val="24"/>
          <w:lang w:val="en-GB"/>
        </w:rPr>
        <w:t>Gota</w:t>
      </w:r>
      <w:proofErr w:type="spellEnd"/>
      <w:r w:rsidRPr="009907F8">
        <w:rPr>
          <w:sz w:val="24"/>
          <w:szCs w:val="24"/>
          <w:lang w:val="en-GB"/>
        </w:rPr>
        <w:t xml:space="preserve"> Ark 175</w:t>
      </w:r>
    </w:p>
    <w:p w14:paraId="6FA2AA3F" w14:textId="634C3EBD" w:rsidR="00862A88" w:rsidRPr="009907F8" w:rsidRDefault="00862A88" w:rsidP="005A498B">
      <w:pPr>
        <w:tabs>
          <w:tab w:val="left" w:pos="851"/>
        </w:tabs>
        <w:ind w:left="851"/>
        <w:jc w:val="both"/>
        <w:rPr>
          <w:sz w:val="24"/>
          <w:szCs w:val="24"/>
          <w:lang w:val="en-GB"/>
        </w:rPr>
      </w:pPr>
      <w:proofErr w:type="spellStart"/>
      <w:r w:rsidRPr="009907F8">
        <w:rPr>
          <w:sz w:val="24"/>
          <w:szCs w:val="24"/>
          <w:lang w:val="en-GB"/>
        </w:rPr>
        <w:t>Medborgarplatsen</w:t>
      </w:r>
      <w:proofErr w:type="spellEnd"/>
      <w:r w:rsidRPr="009907F8">
        <w:rPr>
          <w:sz w:val="24"/>
          <w:szCs w:val="24"/>
          <w:lang w:val="en-GB"/>
        </w:rPr>
        <w:t xml:space="preserve"> 25</w:t>
      </w:r>
    </w:p>
    <w:p w14:paraId="7F0FB545" w14:textId="2487FD9A" w:rsidR="00862A88" w:rsidRPr="009907F8" w:rsidRDefault="00862A88" w:rsidP="005A498B">
      <w:pPr>
        <w:tabs>
          <w:tab w:val="left" w:pos="851"/>
        </w:tabs>
        <w:ind w:left="851"/>
        <w:jc w:val="both"/>
        <w:rPr>
          <w:sz w:val="24"/>
          <w:szCs w:val="24"/>
          <w:lang w:val="en-GB"/>
        </w:rPr>
      </w:pPr>
      <w:r w:rsidRPr="009907F8">
        <w:rPr>
          <w:sz w:val="24"/>
          <w:szCs w:val="24"/>
          <w:lang w:val="en-GB"/>
        </w:rPr>
        <w:t>118 72 Stockholm</w:t>
      </w:r>
    </w:p>
    <w:p w14:paraId="1018B7C4" w14:textId="23A191EE" w:rsidR="00862A88" w:rsidRPr="009907F8" w:rsidRDefault="00862A88" w:rsidP="005A498B">
      <w:pPr>
        <w:tabs>
          <w:tab w:val="left" w:pos="851"/>
        </w:tabs>
        <w:ind w:left="851"/>
        <w:jc w:val="both"/>
        <w:rPr>
          <w:sz w:val="24"/>
          <w:szCs w:val="24"/>
          <w:lang w:val="en-GB"/>
        </w:rPr>
      </w:pPr>
      <w:r w:rsidRPr="009907F8">
        <w:rPr>
          <w:sz w:val="24"/>
          <w:szCs w:val="24"/>
          <w:lang w:val="en-GB"/>
        </w:rPr>
        <w:t>Sweden</w:t>
      </w:r>
    </w:p>
    <w:p w14:paraId="62F8DEB6" w14:textId="77777777" w:rsidR="008A24F6" w:rsidRPr="009907F8" w:rsidRDefault="008A24F6" w:rsidP="003E0341">
      <w:pPr>
        <w:tabs>
          <w:tab w:val="left" w:pos="851"/>
        </w:tabs>
        <w:ind w:left="851"/>
        <w:jc w:val="both"/>
        <w:rPr>
          <w:sz w:val="24"/>
          <w:szCs w:val="24"/>
          <w:lang w:val="en-GB"/>
        </w:rPr>
      </w:pPr>
    </w:p>
    <w:p w14:paraId="0084E3EF" w14:textId="77777777" w:rsidR="007C5D2A" w:rsidRPr="009907F8" w:rsidRDefault="007C5D2A" w:rsidP="007C5D2A">
      <w:pPr>
        <w:ind w:left="851" w:hanging="851"/>
        <w:jc w:val="both"/>
        <w:rPr>
          <w:b/>
          <w:sz w:val="24"/>
          <w:szCs w:val="24"/>
          <w:lang w:val="en-GB"/>
        </w:rPr>
      </w:pPr>
      <w:r w:rsidRPr="009907F8">
        <w:rPr>
          <w:b/>
          <w:sz w:val="24"/>
          <w:szCs w:val="24"/>
          <w:lang w:val="en-GB"/>
        </w:rPr>
        <w:t>8.</w:t>
      </w:r>
      <w:r w:rsidRPr="009907F8">
        <w:rPr>
          <w:b/>
          <w:sz w:val="24"/>
          <w:szCs w:val="24"/>
          <w:lang w:val="en-GB"/>
        </w:rPr>
        <w:tab/>
        <w:t>MARKETING AUTHORISATION NUMBER(S)</w:t>
      </w:r>
    </w:p>
    <w:p w14:paraId="0528E5F3" w14:textId="416476E7" w:rsidR="007C5D2A" w:rsidRPr="009907F8" w:rsidRDefault="00862A88" w:rsidP="00A85D26">
      <w:pPr>
        <w:tabs>
          <w:tab w:val="left" w:pos="851"/>
        </w:tabs>
        <w:ind w:left="851"/>
        <w:jc w:val="both"/>
        <w:rPr>
          <w:sz w:val="24"/>
          <w:szCs w:val="24"/>
          <w:lang w:val="en-GB"/>
        </w:rPr>
      </w:pPr>
      <w:r w:rsidRPr="009907F8">
        <w:rPr>
          <w:sz w:val="24"/>
          <w:szCs w:val="24"/>
          <w:lang w:val="en-GB"/>
        </w:rPr>
        <w:t>71313</w:t>
      </w:r>
    </w:p>
    <w:p w14:paraId="0D0A4F82" w14:textId="77777777" w:rsidR="007C5D2A" w:rsidRPr="009907F8" w:rsidRDefault="007C5D2A" w:rsidP="00180A12">
      <w:pPr>
        <w:tabs>
          <w:tab w:val="left" w:pos="851"/>
        </w:tabs>
        <w:ind w:left="851"/>
        <w:jc w:val="both"/>
        <w:rPr>
          <w:sz w:val="24"/>
          <w:szCs w:val="24"/>
          <w:lang w:val="en-GB"/>
        </w:rPr>
      </w:pPr>
    </w:p>
    <w:p w14:paraId="5F98DDFD" w14:textId="77777777" w:rsidR="007C5D2A" w:rsidRPr="009907F8" w:rsidRDefault="007C5D2A" w:rsidP="007C5D2A">
      <w:pPr>
        <w:tabs>
          <w:tab w:val="left" w:pos="851"/>
        </w:tabs>
        <w:jc w:val="both"/>
        <w:rPr>
          <w:sz w:val="24"/>
          <w:szCs w:val="24"/>
          <w:lang w:val="en-GB"/>
        </w:rPr>
      </w:pPr>
      <w:r w:rsidRPr="009907F8">
        <w:rPr>
          <w:b/>
          <w:sz w:val="24"/>
          <w:szCs w:val="24"/>
          <w:lang w:val="en-GB"/>
        </w:rPr>
        <w:t>9.</w:t>
      </w:r>
      <w:r w:rsidRPr="009907F8">
        <w:rPr>
          <w:b/>
          <w:sz w:val="24"/>
          <w:szCs w:val="24"/>
          <w:lang w:val="en-GB"/>
        </w:rPr>
        <w:tab/>
        <w:t>DATE OF FIRST AUTHORISATION</w:t>
      </w:r>
    </w:p>
    <w:p w14:paraId="0689107B" w14:textId="61B1D5EA" w:rsidR="007C5D2A" w:rsidRPr="009907F8" w:rsidRDefault="00A74CF9" w:rsidP="00A85D26">
      <w:pPr>
        <w:ind w:left="851"/>
        <w:jc w:val="both"/>
        <w:rPr>
          <w:sz w:val="24"/>
          <w:szCs w:val="24"/>
          <w:lang w:val="en-GB"/>
        </w:rPr>
      </w:pPr>
      <w:r>
        <w:rPr>
          <w:sz w:val="24"/>
          <w:szCs w:val="24"/>
          <w:lang w:val="en-GB"/>
        </w:rPr>
        <w:t>17 January 2025</w:t>
      </w:r>
    </w:p>
    <w:p w14:paraId="5349F501" w14:textId="77777777" w:rsidR="007C5D2A" w:rsidRPr="009907F8" w:rsidRDefault="007C5D2A" w:rsidP="003E0341">
      <w:pPr>
        <w:tabs>
          <w:tab w:val="left" w:pos="851"/>
        </w:tabs>
        <w:ind w:left="851"/>
        <w:jc w:val="both"/>
        <w:rPr>
          <w:sz w:val="24"/>
          <w:szCs w:val="24"/>
          <w:lang w:val="en-GB"/>
        </w:rPr>
      </w:pPr>
    </w:p>
    <w:p w14:paraId="57491BA7" w14:textId="77777777" w:rsidR="007C5D2A" w:rsidRPr="009907F8" w:rsidRDefault="007C5D2A" w:rsidP="007C5D2A">
      <w:pPr>
        <w:tabs>
          <w:tab w:val="left" w:pos="851"/>
        </w:tabs>
        <w:jc w:val="both"/>
        <w:rPr>
          <w:sz w:val="24"/>
          <w:szCs w:val="24"/>
          <w:lang w:val="en-GB"/>
        </w:rPr>
      </w:pPr>
      <w:r w:rsidRPr="009907F8">
        <w:rPr>
          <w:b/>
          <w:sz w:val="24"/>
          <w:szCs w:val="24"/>
          <w:lang w:val="en-GB"/>
        </w:rPr>
        <w:t>10.</w:t>
      </w:r>
      <w:r w:rsidRPr="009907F8">
        <w:rPr>
          <w:b/>
          <w:sz w:val="24"/>
          <w:szCs w:val="24"/>
          <w:lang w:val="en-GB"/>
        </w:rPr>
        <w:tab/>
        <w:t>DATE OF REVISION OF THE TEXT</w:t>
      </w:r>
    </w:p>
    <w:p w14:paraId="2AB6ABE9" w14:textId="56DABE0D" w:rsidR="007C5D2A" w:rsidRPr="009907F8" w:rsidRDefault="00862A88" w:rsidP="003E0341">
      <w:pPr>
        <w:tabs>
          <w:tab w:val="left" w:pos="851"/>
        </w:tabs>
        <w:ind w:left="851"/>
        <w:jc w:val="both"/>
        <w:rPr>
          <w:sz w:val="24"/>
          <w:szCs w:val="24"/>
          <w:lang w:val="en-GB"/>
        </w:rPr>
      </w:pPr>
      <w:r w:rsidRPr="009907F8">
        <w:rPr>
          <w:sz w:val="24"/>
          <w:szCs w:val="24"/>
          <w:lang w:val="en-GB"/>
        </w:rPr>
        <w:t>-</w:t>
      </w:r>
    </w:p>
    <w:sectPr w:rsidR="007C5D2A" w:rsidRPr="009907F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37DD2" w14:textId="77777777" w:rsidR="003E2967" w:rsidRDefault="003E2967">
      <w:r>
        <w:separator/>
      </w:r>
    </w:p>
  </w:endnote>
  <w:endnote w:type="continuationSeparator" w:id="0">
    <w:p w14:paraId="0E98EBAE" w14:textId="77777777" w:rsidR="003E2967" w:rsidRDefault="003E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999DB" w14:textId="77777777" w:rsidR="003E2967" w:rsidRDefault="003E296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44D5" w14:textId="77777777" w:rsidR="003E2967" w:rsidRDefault="003E2967">
    <w:pPr>
      <w:pStyle w:val="Sidefod"/>
      <w:pBdr>
        <w:bottom w:val="single" w:sz="6" w:space="1" w:color="auto"/>
      </w:pBdr>
    </w:pPr>
  </w:p>
  <w:p w14:paraId="4CB1679C" w14:textId="77777777" w:rsidR="003E2967" w:rsidRDefault="003E2967">
    <w:pPr>
      <w:pStyle w:val="Sidefod"/>
      <w:tabs>
        <w:tab w:val="clear" w:pos="4819"/>
        <w:tab w:val="left" w:pos="8647"/>
      </w:tabs>
      <w:rPr>
        <w:i/>
        <w:snapToGrid w:val="0"/>
        <w:sz w:val="18"/>
      </w:rPr>
    </w:pPr>
  </w:p>
  <w:p w14:paraId="4CE0A968" w14:textId="6A10B911" w:rsidR="003E2967" w:rsidRDefault="003E296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74CF9">
      <w:rPr>
        <w:i/>
        <w:noProof/>
        <w:snapToGrid w:val="0"/>
        <w:sz w:val="18"/>
      </w:rPr>
      <w:t>Fingolimod HCS, hårde kapsler 0,5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EE2D5" w14:textId="77777777" w:rsidR="003E2967" w:rsidRDefault="003E2967">
    <w:pPr>
      <w:pStyle w:val="Sidefod"/>
      <w:pBdr>
        <w:bottom w:val="single" w:sz="6" w:space="1" w:color="auto"/>
      </w:pBdr>
      <w:tabs>
        <w:tab w:val="clear" w:pos="4819"/>
        <w:tab w:val="left" w:pos="8789"/>
      </w:tabs>
      <w:rPr>
        <w:i/>
        <w:snapToGrid w:val="0"/>
        <w:sz w:val="18"/>
      </w:rPr>
    </w:pPr>
  </w:p>
  <w:p w14:paraId="79B0FA6A" w14:textId="77777777" w:rsidR="003E2967" w:rsidRDefault="003E2967">
    <w:pPr>
      <w:pStyle w:val="Sidefod"/>
      <w:tabs>
        <w:tab w:val="clear" w:pos="4819"/>
        <w:tab w:val="left" w:pos="8789"/>
      </w:tabs>
      <w:rPr>
        <w:i/>
        <w:snapToGrid w:val="0"/>
        <w:sz w:val="18"/>
      </w:rPr>
    </w:pPr>
  </w:p>
  <w:p w14:paraId="1583AA13" w14:textId="63D82813" w:rsidR="003E2967" w:rsidRDefault="003E296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74CF9">
      <w:rPr>
        <w:i/>
        <w:noProof/>
        <w:snapToGrid w:val="0"/>
        <w:sz w:val="18"/>
      </w:rPr>
      <w:t>Fingolimod HCS, hårde kapsler 0,5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E055" w14:textId="77777777" w:rsidR="003E2967" w:rsidRDefault="003E2967">
      <w:r>
        <w:separator/>
      </w:r>
    </w:p>
  </w:footnote>
  <w:footnote w:type="continuationSeparator" w:id="0">
    <w:p w14:paraId="3AC977E9" w14:textId="77777777" w:rsidR="003E2967" w:rsidRDefault="003E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9631" w14:textId="77777777" w:rsidR="003E2967" w:rsidRDefault="003E296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B8B94" w14:textId="77777777" w:rsidR="003E2967" w:rsidRDefault="003E296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2BA0A" w14:textId="77777777" w:rsidR="003E2967" w:rsidRDefault="003E296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6F4454"/>
    <w:multiLevelType w:val="hybridMultilevel"/>
    <w:tmpl w:val="F3DAB178"/>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081474C"/>
    <w:multiLevelType w:val="hybridMultilevel"/>
    <w:tmpl w:val="A08CB8A4"/>
    <w:lvl w:ilvl="0" w:tplc="61D6DA82">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1952B67"/>
    <w:multiLevelType w:val="hybridMultilevel"/>
    <w:tmpl w:val="023C3028"/>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26C6DA3"/>
    <w:multiLevelType w:val="hybridMultilevel"/>
    <w:tmpl w:val="8A9E67D0"/>
    <w:lvl w:ilvl="0" w:tplc="61D6DA82">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B45207F"/>
    <w:multiLevelType w:val="hybridMultilevel"/>
    <w:tmpl w:val="A8A8E5B8"/>
    <w:lvl w:ilvl="0" w:tplc="61D6DA82">
      <w:start w:val="1"/>
      <w:numFmt w:val="bullet"/>
      <w:lvlText w:val="-"/>
      <w:lvlJc w:val="left"/>
      <w:pPr>
        <w:ind w:left="1287" w:hanging="360"/>
      </w:pPr>
      <w:rPr>
        <w:rFonts w:ascii="Times New Roman" w:eastAsia="Times New Roman" w:hAnsi="Times New Roman" w:cs="Times New Roman" w:hint="default"/>
      </w:rPr>
    </w:lvl>
    <w:lvl w:ilvl="1" w:tplc="04240003">
      <w:start w:val="1"/>
      <w:numFmt w:val="bullet"/>
      <w:lvlText w:val="o"/>
      <w:lvlJc w:val="left"/>
      <w:pPr>
        <w:ind w:left="2007" w:hanging="360"/>
      </w:pPr>
      <w:rPr>
        <w:rFonts w:ascii="Courier New" w:hAnsi="Courier New" w:cs="Courier New" w:hint="default"/>
      </w:rPr>
    </w:lvl>
    <w:lvl w:ilvl="2" w:tplc="04240005">
      <w:start w:val="1"/>
      <w:numFmt w:val="bullet"/>
      <w:lvlText w:val=""/>
      <w:lvlJc w:val="left"/>
      <w:pPr>
        <w:ind w:left="2727" w:hanging="360"/>
      </w:pPr>
      <w:rPr>
        <w:rFonts w:ascii="Wingdings" w:hAnsi="Wingdings" w:hint="default"/>
      </w:rPr>
    </w:lvl>
    <w:lvl w:ilvl="3" w:tplc="04240001">
      <w:start w:val="1"/>
      <w:numFmt w:val="bullet"/>
      <w:lvlText w:val=""/>
      <w:lvlJc w:val="left"/>
      <w:pPr>
        <w:ind w:left="3447" w:hanging="360"/>
      </w:pPr>
      <w:rPr>
        <w:rFonts w:ascii="Symbol" w:hAnsi="Symbol" w:hint="default"/>
      </w:rPr>
    </w:lvl>
    <w:lvl w:ilvl="4" w:tplc="04240003">
      <w:start w:val="1"/>
      <w:numFmt w:val="bullet"/>
      <w:lvlText w:val="o"/>
      <w:lvlJc w:val="left"/>
      <w:pPr>
        <w:ind w:left="4167" w:hanging="360"/>
      </w:pPr>
      <w:rPr>
        <w:rFonts w:ascii="Courier New" w:hAnsi="Courier New" w:cs="Courier New" w:hint="default"/>
      </w:rPr>
    </w:lvl>
    <w:lvl w:ilvl="5" w:tplc="04240005">
      <w:start w:val="1"/>
      <w:numFmt w:val="bullet"/>
      <w:lvlText w:val=""/>
      <w:lvlJc w:val="left"/>
      <w:pPr>
        <w:ind w:left="4887" w:hanging="360"/>
      </w:pPr>
      <w:rPr>
        <w:rFonts w:ascii="Wingdings" w:hAnsi="Wingdings" w:hint="default"/>
      </w:rPr>
    </w:lvl>
    <w:lvl w:ilvl="6" w:tplc="04240001">
      <w:start w:val="1"/>
      <w:numFmt w:val="bullet"/>
      <w:lvlText w:val=""/>
      <w:lvlJc w:val="left"/>
      <w:pPr>
        <w:ind w:left="5607" w:hanging="360"/>
      </w:pPr>
      <w:rPr>
        <w:rFonts w:ascii="Symbol" w:hAnsi="Symbol" w:hint="default"/>
      </w:rPr>
    </w:lvl>
    <w:lvl w:ilvl="7" w:tplc="04240003">
      <w:start w:val="1"/>
      <w:numFmt w:val="bullet"/>
      <w:lvlText w:val="o"/>
      <w:lvlJc w:val="left"/>
      <w:pPr>
        <w:ind w:left="6327" w:hanging="360"/>
      </w:pPr>
      <w:rPr>
        <w:rFonts w:ascii="Courier New" w:hAnsi="Courier New" w:cs="Courier New" w:hint="default"/>
      </w:rPr>
    </w:lvl>
    <w:lvl w:ilvl="8" w:tplc="04240005">
      <w:start w:val="1"/>
      <w:numFmt w:val="bullet"/>
      <w:lvlText w:val=""/>
      <w:lvlJc w:val="left"/>
      <w:pPr>
        <w:ind w:left="7047" w:hanging="360"/>
      </w:pPr>
      <w:rPr>
        <w:rFonts w:ascii="Wingdings" w:hAnsi="Wingdings" w:hint="default"/>
      </w:rPr>
    </w:lvl>
  </w:abstractNum>
  <w:abstractNum w:abstractNumId="8" w15:restartNumberingAfterBreak="0">
    <w:nsid w:val="2E0235A0"/>
    <w:multiLevelType w:val="hybridMultilevel"/>
    <w:tmpl w:val="F7BEC75E"/>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41867B76"/>
    <w:multiLevelType w:val="hybridMultilevel"/>
    <w:tmpl w:val="55C8389C"/>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556544C2"/>
    <w:multiLevelType w:val="hybridMultilevel"/>
    <w:tmpl w:val="EF10CDC2"/>
    <w:lvl w:ilvl="0" w:tplc="61D6DA82">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E0A6A42"/>
    <w:multiLevelType w:val="hybridMultilevel"/>
    <w:tmpl w:val="5DF28840"/>
    <w:lvl w:ilvl="0" w:tplc="61D6DA82">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3" w15:restartNumberingAfterBreak="0">
    <w:nsid w:val="6AA160FF"/>
    <w:multiLevelType w:val="hybridMultilevel"/>
    <w:tmpl w:val="C674DE6C"/>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FC7691B"/>
    <w:multiLevelType w:val="hybridMultilevel"/>
    <w:tmpl w:val="F06AB0B0"/>
    <w:lvl w:ilvl="0" w:tplc="61D6DA82">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0151F99"/>
    <w:multiLevelType w:val="hybridMultilevel"/>
    <w:tmpl w:val="C78A703E"/>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7EE32891"/>
    <w:multiLevelType w:val="hybridMultilevel"/>
    <w:tmpl w:val="09E87060"/>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2"/>
  </w:num>
  <w:num w:numId="4">
    <w:abstractNumId w:val="1"/>
  </w:num>
  <w:num w:numId="5">
    <w:abstractNumId w:val="7"/>
  </w:num>
  <w:num w:numId="6">
    <w:abstractNumId w:val="9"/>
  </w:num>
  <w:num w:numId="7">
    <w:abstractNumId w:val="16"/>
  </w:num>
  <w:num w:numId="8">
    <w:abstractNumId w:val="8"/>
  </w:num>
  <w:num w:numId="9">
    <w:abstractNumId w:val="13"/>
  </w:num>
  <w:num w:numId="10">
    <w:abstractNumId w:val="4"/>
  </w:num>
  <w:num w:numId="11">
    <w:abstractNumId w:val="2"/>
  </w:num>
  <w:num w:numId="12">
    <w:abstractNumId w:val="15"/>
  </w:num>
  <w:num w:numId="13">
    <w:abstractNumId w:val="7"/>
  </w:num>
  <w:num w:numId="14">
    <w:abstractNumId w:val="11"/>
  </w:num>
  <w:num w:numId="15">
    <w:abstractNumId w:val="3"/>
  </w:num>
  <w:num w:numId="16">
    <w:abstractNumId w:val="14"/>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FA"/>
    <w:rsid w:val="00056601"/>
    <w:rsid w:val="000C3846"/>
    <w:rsid w:val="000C6218"/>
    <w:rsid w:val="000D3C9D"/>
    <w:rsid w:val="000F0D47"/>
    <w:rsid w:val="00101AFA"/>
    <w:rsid w:val="00122FFB"/>
    <w:rsid w:val="001242DE"/>
    <w:rsid w:val="00180A12"/>
    <w:rsid w:val="00214331"/>
    <w:rsid w:val="00214CF4"/>
    <w:rsid w:val="00281F03"/>
    <w:rsid w:val="0029458A"/>
    <w:rsid w:val="002A1587"/>
    <w:rsid w:val="002B27C5"/>
    <w:rsid w:val="002F6D9C"/>
    <w:rsid w:val="00303008"/>
    <w:rsid w:val="00373B55"/>
    <w:rsid w:val="003D727E"/>
    <w:rsid w:val="003E0341"/>
    <w:rsid w:val="003E2967"/>
    <w:rsid w:val="003E3402"/>
    <w:rsid w:val="003F4736"/>
    <w:rsid w:val="003F7D5F"/>
    <w:rsid w:val="00401B49"/>
    <w:rsid w:val="0042292D"/>
    <w:rsid w:val="00424879"/>
    <w:rsid w:val="00437D5B"/>
    <w:rsid w:val="00440254"/>
    <w:rsid w:val="004860D3"/>
    <w:rsid w:val="004A3BF4"/>
    <w:rsid w:val="004A5DB3"/>
    <w:rsid w:val="005152D9"/>
    <w:rsid w:val="00533AD4"/>
    <w:rsid w:val="00534849"/>
    <w:rsid w:val="00560102"/>
    <w:rsid w:val="00562EA1"/>
    <w:rsid w:val="005A498B"/>
    <w:rsid w:val="005B772B"/>
    <w:rsid w:val="00617BB8"/>
    <w:rsid w:val="006207FF"/>
    <w:rsid w:val="00680052"/>
    <w:rsid w:val="00683267"/>
    <w:rsid w:val="006844E9"/>
    <w:rsid w:val="006B3847"/>
    <w:rsid w:val="006F268E"/>
    <w:rsid w:val="0075453D"/>
    <w:rsid w:val="007A4CC6"/>
    <w:rsid w:val="007C3623"/>
    <w:rsid w:val="007C5D2A"/>
    <w:rsid w:val="007F1E00"/>
    <w:rsid w:val="00812980"/>
    <w:rsid w:val="00827444"/>
    <w:rsid w:val="008400E3"/>
    <w:rsid w:val="00862A88"/>
    <w:rsid w:val="00864538"/>
    <w:rsid w:val="00873B4F"/>
    <w:rsid w:val="008A24F6"/>
    <w:rsid w:val="008E51AE"/>
    <w:rsid w:val="008F2F8C"/>
    <w:rsid w:val="009907F8"/>
    <w:rsid w:val="009925C9"/>
    <w:rsid w:val="00A179D0"/>
    <w:rsid w:val="00A358A3"/>
    <w:rsid w:val="00A46747"/>
    <w:rsid w:val="00A74CF9"/>
    <w:rsid w:val="00A80446"/>
    <w:rsid w:val="00A85D26"/>
    <w:rsid w:val="00A9153A"/>
    <w:rsid w:val="00AB4376"/>
    <w:rsid w:val="00AC033C"/>
    <w:rsid w:val="00AD2E36"/>
    <w:rsid w:val="00B45DC5"/>
    <w:rsid w:val="00BD3490"/>
    <w:rsid w:val="00C0231A"/>
    <w:rsid w:val="00C26226"/>
    <w:rsid w:val="00C3571D"/>
    <w:rsid w:val="00C43CF8"/>
    <w:rsid w:val="00C54F0B"/>
    <w:rsid w:val="00C82621"/>
    <w:rsid w:val="00CB1423"/>
    <w:rsid w:val="00D02508"/>
    <w:rsid w:val="00D778CC"/>
    <w:rsid w:val="00D82FE9"/>
    <w:rsid w:val="00D97B77"/>
    <w:rsid w:val="00DB6A85"/>
    <w:rsid w:val="00E06B32"/>
    <w:rsid w:val="00E1290F"/>
    <w:rsid w:val="00E27BA7"/>
    <w:rsid w:val="00E36A80"/>
    <w:rsid w:val="00E43B26"/>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4EB18"/>
  <w15:chartTrackingRefBased/>
  <w15:docId w15:val="{ABAD6705-1120-4118-ABEF-AFFA1F68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862A88"/>
    <w:rPr>
      <w:color w:val="0563C1" w:themeColor="hyperlink"/>
      <w:u w:val="single"/>
    </w:rPr>
  </w:style>
  <w:style w:type="paragraph" w:styleId="Listeafsnit">
    <w:name w:val="List Paragraph"/>
    <w:basedOn w:val="Normal"/>
    <w:uiPriority w:val="34"/>
    <w:qFormat/>
    <w:rsid w:val="003E2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07">
      <w:bodyDiv w:val="1"/>
      <w:marLeft w:val="0"/>
      <w:marRight w:val="0"/>
      <w:marTop w:val="0"/>
      <w:marBottom w:val="0"/>
      <w:divBdr>
        <w:top w:val="none" w:sz="0" w:space="0" w:color="auto"/>
        <w:left w:val="none" w:sz="0" w:space="0" w:color="auto"/>
        <w:bottom w:val="none" w:sz="0" w:space="0" w:color="auto"/>
        <w:right w:val="none" w:sz="0" w:space="0" w:color="auto"/>
      </w:divBdr>
    </w:div>
    <w:div w:id="17199733">
      <w:bodyDiv w:val="1"/>
      <w:marLeft w:val="0"/>
      <w:marRight w:val="0"/>
      <w:marTop w:val="0"/>
      <w:marBottom w:val="0"/>
      <w:divBdr>
        <w:top w:val="none" w:sz="0" w:space="0" w:color="auto"/>
        <w:left w:val="none" w:sz="0" w:space="0" w:color="auto"/>
        <w:bottom w:val="none" w:sz="0" w:space="0" w:color="auto"/>
        <w:right w:val="none" w:sz="0" w:space="0" w:color="auto"/>
      </w:divBdr>
    </w:div>
    <w:div w:id="38407544">
      <w:bodyDiv w:val="1"/>
      <w:marLeft w:val="0"/>
      <w:marRight w:val="0"/>
      <w:marTop w:val="0"/>
      <w:marBottom w:val="0"/>
      <w:divBdr>
        <w:top w:val="none" w:sz="0" w:space="0" w:color="auto"/>
        <w:left w:val="none" w:sz="0" w:space="0" w:color="auto"/>
        <w:bottom w:val="none" w:sz="0" w:space="0" w:color="auto"/>
        <w:right w:val="none" w:sz="0" w:space="0" w:color="auto"/>
      </w:divBdr>
    </w:div>
    <w:div w:id="81337928">
      <w:bodyDiv w:val="1"/>
      <w:marLeft w:val="0"/>
      <w:marRight w:val="0"/>
      <w:marTop w:val="0"/>
      <w:marBottom w:val="0"/>
      <w:divBdr>
        <w:top w:val="none" w:sz="0" w:space="0" w:color="auto"/>
        <w:left w:val="none" w:sz="0" w:space="0" w:color="auto"/>
        <w:bottom w:val="none" w:sz="0" w:space="0" w:color="auto"/>
        <w:right w:val="none" w:sz="0" w:space="0" w:color="auto"/>
      </w:divBdr>
    </w:div>
    <w:div w:id="127431125">
      <w:bodyDiv w:val="1"/>
      <w:marLeft w:val="0"/>
      <w:marRight w:val="0"/>
      <w:marTop w:val="0"/>
      <w:marBottom w:val="0"/>
      <w:divBdr>
        <w:top w:val="none" w:sz="0" w:space="0" w:color="auto"/>
        <w:left w:val="none" w:sz="0" w:space="0" w:color="auto"/>
        <w:bottom w:val="none" w:sz="0" w:space="0" w:color="auto"/>
        <w:right w:val="none" w:sz="0" w:space="0" w:color="auto"/>
      </w:divBdr>
    </w:div>
    <w:div w:id="198974971">
      <w:bodyDiv w:val="1"/>
      <w:marLeft w:val="0"/>
      <w:marRight w:val="0"/>
      <w:marTop w:val="0"/>
      <w:marBottom w:val="0"/>
      <w:divBdr>
        <w:top w:val="none" w:sz="0" w:space="0" w:color="auto"/>
        <w:left w:val="none" w:sz="0" w:space="0" w:color="auto"/>
        <w:bottom w:val="none" w:sz="0" w:space="0" w:color="auto"/>
        <w:right w:val="none" w:sz="0" w:space="0" w:color="auto"/>
      </w:divBdr>
    </w:div>
    <w:div w:id="532571697">
      <w:bodyDiv w:val="1"/>
      <w:marLeft w:val="0"/>
      <w:marRight w:val="0"/>
      <w:marTop w:val="0"/>
      <w:marBottom w:val="0"/>
      <w:divBdr>
        <w:top w:val="none" w:sz="0" w:space="0" w:color="auto"/>
        <w:left w:val="none" w:sz="0" w:space="0" w:color="auto"/>
        <w:bottom w:val="none" w:sz="0" w:space="0" w:color="auto"/>
        <w:right w:val="none" w:sz="0" w:space="0" w:color="auto"/>
      </w:divBdr>
    </w:div>
    <w:div w:id="621884978">
      <w:bodyDiv w:val="1"/>
      <w:marLeft w:val="0"/>
      <w:marRight w:val="0"/>
      <w:marTop w:val="0"/>
      <w:marBottom w:val="0"/>
      <w:divBdr>
        <w:top w:val="none" w:sz="0" w:space="0" w:color="auto"/>
        <w:left w:val="none" w:sz="0" w:space="0" w:color="auto"/>
        <w:bottom w:val="none" w:sz="0" w:space="0" w:color="auto"/>
        <w:right w:val="none" w:sz="0" w:space="0" w:color="auto"/>
      </w:divBdr>
    </w:div>
    <w:div w:id="793522507">
      <w:bodyDiv w:val="1"/>
      <w:marLeft w:val="0"/>
      <w:marRight w:val="0"/>
      <w:marTop w:val="0"/>
      <w:marBottom w:val="0"/>
      <w:divBdr>
        <w:top w:val="none" w:sz="0" w:space="0" w:color="auto"/>
        <w:left w:val="none" w:sz="0" w:space="0" w:color="auto"/>
        <w:bottom w:val="none" w:sz="0" w:space="0" w:color="auto"/>
        <w:right w:val="none" w:sz="0" w:space="0" w:color="auto"/>
      </w:divBdr>
    </w:div>
    <w:div w:id="1082797068">
      <w:bodyDiv w:val="1"/>
      <w:marLeft w:val="0"/>
      <w:marRight w:val="0"/>
      <w:marTop w:val="0"/>
      <w:marBottom w:val="0"/>
      <w:divBdr>
        <w:top w:val="none" w:sz="0" w:space="0" w:color="auto"/>
        <w:left w:val="none" w:sz="0" w:space="0" w:color="auto"/>
        <w:bottom w:val="none" w:sz="0" w:space="0" w:color="auto"/>
        <w:right w:val="none" w:sz="0" w:space="0" w:color="auto"/>
      </w:divBdr>
    </w:div>
    <w:div w:id="1204751446">
      <w:bodyDiv w:val="1"/>
      <w:marLeft w:val="0"/>
      <w:marRight w:val="0"/>
      <w:marTop w:val="0"/>
      <w:marBottom w:val="0"/>
      <w:divBdr>
        <w:top w:val="none" w:sz="0" w:space="0" w:color="auto"/>
        <w:left w:val="none" w:sz="0" w:space="0" w:color="auto"/>
        <w:bottom w:val="none" w:sz="0" w:space="0" w:color="auto"/>
        <w:right w:val="none" w:sz="0" w:space="0" w:color="auto"/>
      </w:divBdr>
    </w:div>
    <w:div w:id="1348630116">
      <w:bodyDiv w:val="1"/>
      <w:marLeft w:val="0"/>
      <w:marRight w:val="0"/>
      <w:marTop w:val="0"/>
      <w:marBottom w:val="0"/>
      <w:divBdr>
        <w:top w:val="none" w:sz="0" w:space="0" w:color="auto"/>
        <w:left w:val="none" w:sz="0" w:space="0" w:color="auto"/>
        <w:bottom w:val="none" w:sz="0" w:space="0" w:color="auto"/>
        <w:right w:val="none" w:sz="0" w:space="0" w:color="auto"/>
      </w:divBdr>
    </w:div>
    <w:div w:id="1352414091">
      <w:bodyDiv w:val="1"/>
      <w:marLeft w:val="0"/>
      <w:marRight w:val="0"/>
      <w:marTop w:val="0"/>
      <w:marBottom w:val="0"/>
      <w:divBdr>
        <w:top w:val="none" w:sz="0" w:space="0" w:color="auto"/>
        <w:left w:val="none" w:sz="0" w:space="0" w:color="auto"/>
        <w:bottom w:val="none" w:sz="0" w:space="0" w:color="auto"/>
        <w:right w:val="none" w:sz="0" w:space="0" w:color="auto"/>
      </w:divBdr>
    </w:div>
    <w:div w:id="1370228950">
      <w:bodyDiv w:val="1"/>
      <w:marLeft w:val="0"/>
      <w:marRight w:val="0"/>
      <w:marTop w:val="0"/>
      <w:marBottom w:val="0"/>
      <w:divBdr>
        <w:top w:val="none" w:sz="0" w:space="0" w:color="auto"/>
        <w:left w:val="none" w:sz="0" w:space="0" w:color="auto"/>
        <w:bottom w:val="none" w:sz="0" w:space="0" w:color="auto"/>
        <w:right w:val="none" w:sz="0" w:space="0" w:color="auto"/>
      </w:divBdr>
    </w:div>
    <w:div w:id="1484005592">
      <w:bodyDiv w:val="1"/>
      <w:marLeft w:val="0"/>
      <w:marRight w:val="0"/>
      <w:marTop w:val="0"/>
      <w:marBottom w:val="0"/>
      <w:divBdr>
        <w:top w:val="none" w:sz="0" w:space="0" w:color="auto"/>
        <w:left w:val="none" w:sz="0" w:space="0" w:color="auto"/>
        <w:bottom w:val="none" w:sz="0" w:space="0" w:color="auto"/>
        <w:right w:val="none" w:sz="0" w:space="0" w:color="auto"/>
      </w:divBdr>
    </w:div>
    <w:div w:id="1584609580">
      <w:bodyDiv w:val="1"/>
      <w:marLeft w:val="0"/>
      <w:marRight w:val="0"/>
      <w:marTop w:val="0"/>
      <w:marBottom w:val="0"/>
      <w:divBdr>
        <w:top w:val="none" w:sz="0" w:space="0" w:color="auto"/>
        <w:left w:val="none" w:sz="0" w:space="0" w:color="auto"/>
        <w:bottom w:val="none" w:sz="0" w:space="0" w:color="auto"/>
        <w:right w:val="none" w:sz="0" w:space="0" w:color="auto"/>
      </w:divBdr>
    </w:div>
    <w:div w:id="1600528482">
      <w:bodyDiv w:val="1"/>
      <w:marLeft w:val="0"/>
      <w:marRight w:val="0"/>
      <w:marTop w:val="0"/>
      <w:marBottom w:val="0"/>
      <w:divBdr>
        <w:top w:val="none" w:sz="0" w:space="0" w:color="auto"/>
        <w:left w:val="none" w:sz="0" w:space="0" w:color="auto"/>
        <w:bottom w:val="none" w:sz="0" w:space="0" w:color="auto"/>
        <w:right w:val="none" w:sz="0" w:space="0" w:color="auto"/>
      </w:divBdr>
    </w:div>
    <w:div w:id="1757750775">
      <w:bodyDiv w:val="1"/>
      <w:marLeft w:val="0"/>
      <w:marRight w:val="0"/>
      <w:marTop w:val="0"/>
      <w:marBottom w:val="0"/>
      <w:divBdr>
        <w:top w:val="none" w:sz="0" w:space="0" w:color="auto"/>
        <w:left w:val="none" w:sz="0" w:space="0" w:color="auto"/>
        <w:bottom w:val="none" w:sz="0" w:space="0" w:color="auto"/>
        <w:right w:val="none" w:sz="0" w:space="0" w:color="auto"/>
      </w:divBdr>
    </w:div>
    <w:div w:id="1814365615">
      <w:bodyDiv w:val="1"/>
      <w:marLeft w:val="0"/>
      <w:marRight w:val="0"/>
      <w:marTop w:val="0"/>
      <w:marBottom w:val="0"/>
      <w:divBdr>
        <w:top w:val="none" w:sz="0" w:space="0" w:color="auto"/>
        <w:left w:val="none" w:sz="0" w:space="0" w:color="auto"/>
        <w:bottom w:val="none" w:sz="0" w:space="0" w:color="auto"/>
        <w:right w:val="none" w:sz="0" w:space="0" w:color="auto"/>
      </w:divBdr>
    </w:div>
    <w:div w:id="1914973267">
      <w:bodyDiv w:val="1"/>
      <w:marLeft w:val="0"/>
      <w:marRight w:val="0"/>
      <w:marTop w:val="0"/>
      <w:marBottom w:val="0"/>
      <w:divBdr>
        <w:top w:val="none" w:sz="0" w:space="0" w:color="auto"/>
        <w:left w:val="none" w:sz="0" w:space="0" w:color="auto"/>
        <w:bottom w:val="none" w:sz="0" w:space="0" w:color="auto"/>
        <w:right w:val="none" w:sz="0" w:space="0" w:color="auto"/>
      </w:divBdr>
    </w:div>
    <w:div w:id="2032299772">
      <w:bodyDiv w:val="1"/>
      <w:marLeft w:val="0"/>
      <w:marRight w:val="0"/>
      <w:marTop w:val="0"/>
      <w:marBottom w:val="0"/>
      <w:divBdr>
        <w:top w:val="none" w:sz="0" w:space="0" w:color="auto"/>
        <w:left w:val="none" w:sz="0" w:space="0" w:color="auto"/>
        <w:bottom w:val="none" w:sz="0" w:space="0" w:color="auto"/>
        <w:right w:val="none" w:sz="0" w:space="0" w:color="auto"/>
      </w:divBdr>
    </w:div>
    <w:div w:id="207442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47</TotalTime>
  <Pages>28</Pages>
  <Words>11227</Words>
  <Characters>66240</Characters>
  <Application>Microsoft Office Word</Application>
  <DocSecurity>0</DocSecurity>
  <Lines>552</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2024030315, MT</dc:description>
  <cp:lastModifiedBy>Gitte Jørgensen</cp:lastModifiedBy>
  <cp:revision>12</cp:revision>
  <cp:lastPrinted>2006-02-24T09:31:00Z</cp:lastPrinted>
  <dcterms:created xsi:type="dcterms:W3CDTF">2025-01-17T12:45:00Z</dcterms:created>
  <dcterms:modified xsi:type="dcterms:W3CDTF">2025-01-17T13:56:00Z</dcterms:modified>
</cp:coreProperties>
</file>