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0847D4" w14:textId="77777777" w:rsidR="009260DE" w:rsidRPr="00E02C47" w:rsidRDefault="0021526C" w:rsidP="009260DE">
      <w:pPr>
        <w:rPr>
          <w:sz w:val="24"/>
          <w:szCs w:val="24"/>
        </w:rPr>
      </w:pPr>
      <w:r w:rsidRPr="00E02C47">
        <w:rPr>
          <w:noProof/>
          <w:sz w:val="24"/>
          <w:szCs w:val="24"/>
          <w:lang w:eastAsia="da-DK"/>
        </w:rPr>
        <w:drawing>
          <wp:anchor distT="0" distB="0" distL="114300" distR="114300" simplePos="0" relativeHeight="251658240" behindDoc="0" locked="0" layoutInCell="1" allowOverlap="1" wp14:anchorId="7E4A9D4E" wp14:editId="0F81AC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02C47">
        <w:rPr>
          <w:sz w:val="24"/>
          <w:szCs w:val="24"/>
        </w:rPr>
        <w:br w:type="textWrapping" w:clear="all"/>
      </w:r>
    </w:p>
    <w:p w14:paraId="0450D3CE" w14:textId="35338B6B" w:rsidR="009260DE" w:rsidRPr="00E02C47" w:rsidRDefault="009260DE" w:rsidP="009260DE">
      <w:pPr>
        <w:pStyle w:val="Titel"/>
        <w:tabs>
          <w:tab w:val="right" w:pos="9356"/>
        </w:tabs>
        <w:jc w:val="left"/>
        <w:rPr>
          <w:b w:val="0"/>
          <w:szCs w:val="24"/>
          <w:lang w:eastAsia="en-US"/>
        </w:rPr>
      </w:pPr>
      <w:r w:rsidRPr="00E02C47">
        <w:rPr>
          <w:b w:val="0"/>
          <w:szCs w:val="24"/>
          <w:lang w:eastAsia="en-US"/>
        </w:rPr>
        <w:tab/>
      </w:r>
      <w:r w:rsidR="00D57A7D">
        <w:rPr>
          <w:szCs w:val="24"/>
        </w:rPr>
        <w:t>26. juni 2024</w:t>
      </w:r>
    </w:p>
    <w:p w14:paraId="2BDA284E" w14:textId="77777777" w:rsidR="009260DE" w:rsidRPr="00E02C47" w:rsidRDefault="009260DE" w:rsidP="009260DE">
      <w:pPr>
        <w:pStyle w:val="Titel"/>
        <w:tabs>
          <w:tab w:val="left" w:pos="8222"/>
        </w:tabs>
        <w:jc w:val="left"/>
        <w:rPr>
          <w:b w:val="0"/>
          <w:szCs w:val="24"/>
        </w:rPr>
      </w:pPr>
    </w:p>
    <w:p w14:paraId="6B490117" w14:textId="77777777" w:rsidR="009260DE" w:rsidRPr="00E02C47" w:rsidRDefault="009260DE" w:rsidP="009260DE">
      <w:pPr>
        <w:pStyle w:val="Titel"/>
        <w:jc w:val="left"/>
        <w:rPr>
          <w:b w:val="0"/>
          <w:szCs w:val="24"/>
        </w:rPr>
      </w:pPr>
    </w:p>
    <w:p w14:paraId="6ABBB781" w14:textId="77777777" w:rsidR="009260DE" w:rsidRPr="00E02C47" w:rsidRDefault="009260DE" w:rsidP="009260DE">
      <w:pPr>
        <w:pStyle w:val="Titel"/>
        <w:jc w:val="left"/>
        <w:rPr>
          <w:b w:val="0"/>
          <w:szCs w:val="24"/>
        </w:rPr>
      </w:pPr>
    </w:p>
    <w:p w14:paraId="3E7BBC49" w14:textId="77777777" w:rsidR="009260DE" w:rsidRPr="00E02C47" w:rsidRDefault="009260DE" w:rsidP="009260DE">
      <w:pPr>
        <w:jc w:val="center"/>
        <w:rPr>
          <w:b/>
          <w:sz w:val="24"/>
          <w:szCs w:val="24"/>
        </w:rPr>
      </w:pPr>
      <w:r w:rsidRPr="00E02C47">
        <w:rPr>
          <w:b/>
          <w:sz w:val="24"/>
          <w:szCs w:val="24"/>
        </w:rPr>
        <w:t>PRODUKTRESUMÉ</w:t>
      </w:r>
    </w:p>
    <w:p w14:paraId="2BF30FFE" w14:textId="77777777" w:rsidR="009260DE" w:rsidRPr="00E02C47" w:rsidRDefault="009260DE" w:rsidP="009260DE">
      <w:pPr>
        <w:jc w:val="center"/>
        <w:rPr>
          <w:b/>
          <w:sz w:val="24"/>
          <w:szCs w:val="24"/>
        </w:rPr>
      </w:pPr>
    </w:p>
    <w:p w14:paraId="26B94417" w14:textId="77777777" w:rsidR="009260DE" w:rsidRPr="00E02C47" w:rsidRDefault="009260DE" w:rsidP="009260DE">
      <w:pPr>
        <w:jc w:val="center"/>
        <w:rPr>
          <w:b/>
          <w:sz w:val="24"/>
          <w:szCs w:val="24"/>
        </w:rPr>
      </w:pPr>
      <w:r w:rsidRPr="00E02C47">
        <w:rPr>
          <w:b/>
          <w:sz w:val="24"/>
          <w:szCs w:val="24"/>
        </w:rPr>
        <w:t>for</w:t>
      </w:r>
    </w:p>
    <w:p w14:paraId="2C75DE67" w14:textId="77777777" w:rsidR="000B058C" w:rsidRPr="00E02C47" w:rsidRDefault="000B058C" w:rsidP="009260DE">
      <w:pPr>
        <w:jc w:val="center"/>
        <w:rPr>
          <w:b/>
          <w:sz w:val="24"/>
          <w:szCs w:val="24"/>
        </w:rPr>
      </w:pPr>
    </w:p>
    <w:p w14:paraId="40E1EA2A" w14:textId="58B25AE0" w:rsidR="009260DE" w:rsidRPr="00E02C47" w:rsidRDefault="00C7388D" w:rsidP="009260DE">
      <w:pPr>
        <w:jc w:val="center"/>
        <w:rPr>
          <w:b/>
          <w:sz w:val="24"/>
          <w:szCs w:val="24"/>
        </w:rPr>
      </w:pPr>
      <w:r w:rsidRPr="00E02C47">
        <w:rPr>
          <w:b/>
          <w:sz w:val="24"/>
          <w:szCs w:val="24"/>
        </w:rPr>
        <w:t>Fingolimod "Pharmaselect", hårde kapsler</w:t>
      </w:r>
    </w:p>
    <w:p w14:paraId="35E11172" w14:textId="77777777" w:rsidR="009260DE" w:rsidRPr="00E02C47" w:rsidRDefault="009260DE" w:rsidP="009260DE">
      <w:pPr>
        <w:jc w:val="both"/>
        <w:rPr>
          <w:sz w:val="24"/>
          <w:szCs w:val="24"/>
        </w:rPr>
      </w:pPr>
    </w:p>
    <w:p w14:paraId="16670122" w14:textId="77777777" w:rsidR="009260DE" w:rsidRPr="00E02C47" w:rsidRDefault="009260DE" w:rsidP="009260DE">
      <w:pPr>
        <w:jc w:val="both"/>
        <w:rPr>
          <w:sz w:val="24"/>
          <w:szCs w:val="24"/>
        </w:rPr>
      </w:pPr>
    </w:p>
    <w:p w14:paraId="08A32A1B" w14:textId="77777777" w:rsidR="009260DE" w:rsidRPr="00E02C47" w:rsidRDefault="009260DE" w:rsidP="009260DE">
      <w:pPr>
        <w:tabs>
          <w:tab w:val="left" w:pos="851"/>
        </w:tabs>
        <w:ind w:left="851" w:hanging="851"/>
        <w:rPr>
          <w:b/>
          <w:sz w:val="24"/>
          <w:szCs w:val="24"/>
        </w:rPr>
      </w:pPr>
      <w:r w:rsidRPr="00E02C47">
        <w:rPr>
          <w:b/>
          <w:sz w:val="24"/>
          <w:szCs w:val="24"/>
        </w:rPr>
        <w:t>0.</w:t>
      </w:r>
      <w:r w:rsidRPr="00E02C47">
        <w:rPr>
          <w:b/>
          <w:sz w:val="24"/>
          <w:szCs w:val="24"/>
        </w:rPr>
        <w:tab/>
        <w:t>D.SP.NR.</w:t>
      </w:r>
    </w:p>
    <w:p w14:paraId="7692FC7C" w14:textId="2148ED1F" w:rsidR="009260DE" w:rsidRPr="00E02C47" w:rsidRDefault="00C7388D" w:rsidP="009260DE">
      <w:pPr>
        <w:tabs>
          <w:tab w:val="left" w:pos="851"/>
        </w:tabs>
        <w:ind w:left="851"/>
        <w:rPr>
          <w:sz w:val="24"/>
          <w:szCs w:val="24"/>
        </w:rPr>
      </w:pPr>
      <w:r w:rsidRPr="00E02C47">
        <w:rPr>
          <w:sz w:val="24"/>
          <w:szCs w:val="24"/>
        </w:rPr>
        <w:t>32699</w:t>
      </w:r>
    </w:p>
    <w:p w14:paraId="7FED2777" w14:textId="77777777" w:rsidR="009260DE" w:rsidRPr="00E02C47" w:rsidRDefault="009260DE" w:rsidP="009260DE">
      <w:pPr>
        <w:tabs>
          <w:tab w:val="left" w:pos="851"/>
        </w:tabs>
        <w:ind w:left="851"/>
        <w:rPr>
          <w:sz w:val="24"/>
          <w:szCs w:val="24"/>
        </w:rPr>
      </w:pPr>
    </w:p>
    <w:p w14:paraId="480FFB56" w14:textId="77777777" w:rsidR="009260DE" w:rsidRPr="00E02C47" w:rsidRDefault="009260DE" w:rsidP="009260DE">
      <w:pPr>
        <w:tabs>
          <w:tab w:val="left" w:pos="851"/>
        </w:tabs>
        <w:ind w:left="851" w:hanging="851"/>
        <w:rPr>
          <w:b/>
          <w:sz w:val="24"/>
          <w:szCs w:val="24"/>
        </w:rPr>
      </w:pPr>
      <w:r w:rsidRPr="00E02C47">
        <w:rPr>
          <w:b/>
          <w:sz w:val="24"/>
          <w:szCs w:val="24"/>
        </w:rPr>
        <w:t>1.</w:t>
      </w:r>
      <w:r w:rsidRPr="00E02C47">
        <w:rPr>
          <w:b/>
          <w:sz w:val="24"/>
          <w:szCs w:val="24"/>
        </w:rPr>
        <w:tab/>
        <w:t>LÆGEMIDLETS NAVN</w:t>
      </w:r>
    </w:p>
    <w:p w14:paraId="2829FCDE" w14:textId="32464594" w:rsidR="009260DE" w:rsidRPr="00E02C47" w:rsidRDefault="00C7388D" w:rsidP="009260DE">
      <w:pPr>
        <w:tabs>
          <w:tab w:val="left" w:pos="851"/>
        </w:tabs>
        <w:ind w:left="851"/>
        <w:rPr>
          <w:sz w:val="24"/>
          <w:szCs w:val="24"/>
        </w:rPr>
      </w:pPr>
      <w:r w:rsidRPr="00E02C47">
        <w:rPr>
          <w:sz w:val="24"/>
          <w:szCs w:val="24"/>
        </w:rPr>
        <w:t>Fingolimod "Pharmaselect"</w:t>
      </w:r>
    </w:p>
    <w:p w14:paraId="6DD69654" w14:textId="77777777" w:rsidR="009260DE" w:rsidRPr="00E02C47" w:rsidRDefault="009260DE" w:rsidP="009260DE">
      <w:pPr>
        <w:tabs>
          <w:tab w:val="left" w:pos="851"/>
        </w:tabs>
        <w:ind w:left="851"/>
        <w:rPr>
          <w:sz w:val="24"/>
          <w:szCs w:val="24"/>
        </w:rPr>
      </w:pPr>
    </w:p>
    <w:p w14:paraId="5C5211DF" w14:textId="77777777" w:rsidR="009260DE" w:rsidRPr="00E02C47" w:rsidRDefault="009260DE" w:rsidP="009260DE">
      <w:pPr>
        <w:tabs>
          <w:tab w:val="left" w:pos="851"/>
        </w:tabs>
        <w:ind w:left="851" w:hanging="851"/>
        <w:rPr>
          <w:b/>
          <w:sz w:val="24"/>
          <w:szCs w:val="24"/>
        </w:rPr>
      </w:pPr>
      <w:r w:rsidRPr="00E02C47">
        <w:rPr>
          <w:b/>
          <w:sz w:val="24"/>
          <w:szCs w:val="24"/>
        </w:rPr>
        <w:t>2.</w:t>
      </w:r>
      <w:r w:rsidRPr="00E02C47">
        <w:rPr>
          <w:b/>
          <w:sz w:val="24"/>
          <w:szCs w:val="24"/>
        </w:rPr>
        <w:tab/>
        <w:t>KVALITATIV OG KVANTITATIV SAMMENSÆTNING</w:t>
      </w:r>
    </w:p>
    <w:p w14:paraId="2A42D85C" w14:textId="77777777" w:rsidR="00C52491" w:rsidRPr="00E02C47" w:rsidRDefault="00C52491" w:rsidP="003807FC">
      <w:pPr>
        <w:ind w:left="851"/>
        <w:rPr>
          <w:sz w:val="24"/>
          <w:szCs w:val="24"/>
        </w:rPr>
      </w:pPr>
      <w:r w:rsidRPr="00E02C47">
        <w:rPr>
          <w:sz w:val="24"/>
          <w:szCs w:val="24"/>
          <w:lang w:bidi="da-DK"/>
        </w:rPr>
        <w:t>Hver kapsel indeholder fingolimodhydrochlorid svarende til 0,5 mg fingolimod.</w:t>
      </w:r>
    </w:p>
    <w:p w14:paraId="61730EAC" w14:textId="77777777" w:rsidR="00C52491" w:rsidRPr="00E02C47" w:rsidRDefault="00C52491" w:rsidP="003807FC">
      <w:pPr>
        <w:ind w:left="851"/>
        <w:rPr>
          <w:sz w:val="24"/>
          <w:szCs w:val="24"/>
          <w:u w:val="single"/>
        </w:rPr>
      </w:pPr>
    </w:p>
    <w:p w14:paraId="1606C0BE" w14:textId="055CBD77" w:rsidR="00C52491" w:rsidRPr="00E02C47" w:rsidRDefault="00C52491" w:rsidP="003807FC">
      <w:pPr>
        <w:ind w:left="851"/>
        <w:rPr>
          <w:sz w:val="24"/>
          <w:szCs w:val="24"/>
          <w:lang w:val="de-DE"/>
        </w:rPr>
      </w:pPr>
      <w:r w:rsidRPr="00E02C47">
        <w:rPr>
          <w:sz w:val="24"/>
          <w:szCs w:val="24"/>
          <w:lang w:bidi="da-DK"/>
        </w:rPr>
        <w:t xml:space="preserve">Alle hjælpestoffer er anført under </w:t>
      </w:r>
      <w:r w:rsidR="00362304">
        <w:rPr>
          <w:sz w:val="24"/>
          <w:szCs w:val="24"/>
          <w:lang w:bidi="da-DK"/>
        </w:rPr>
        <w:t>pkt.</w:t>
      </w:r>
      <w:r w:rsidRPr="00E02C47">
        <w:rPr>
          <w:sz w:val="24"/>
          <w:szCs w:val="24"/>
          <w:lang w:bidi="da-DK"/>
        </w:rPr>
        <w:t xml:space="preserve"> 6.1.</w:t>
      </w:r>
    </w:p>
    <w:p w14:paraId="1A69D15F" w14:textId="77777777" w:rsidR="009260DE" w:rsidRPr="00E02C47" w:rsidRDefault="009260DE" w:rsidP="003807FC">
      <w:pPr>
        <w:ind w:left="851"/>
        <w:rPr>
          <w:sz w:val="24"/>
          <w:szCs w:val="24"/>
          <w:lang w:val="de-DE"/>
        </w:rPr>
      </w:pPr>
    </w:p>
    <w:p w14:paraId="6891E561" w14:textId="77777777" w:rsidR="009260DE" w:rsidRPr="00E02C47" w:rsidRDefault="009260DE" w:rsidP="009260DE">
      <w:pPr>
        <w:tabs>
          <w:tab w:val="left" w:pos="851"/>
        </w:tabs>
        <w:ind w:left="851" w:hanging="851"/>
        <w:rPr>
          <w:b/>
          <w:sz w:val="24"/>
          <w:szCs w:val="24"/>
        </w:rPr>
      </w:pPr>
      <w:r w:rsidRPr="00E02C47">
        <w:rPr>
          <w:b/>
          <w:sz w:val="24"/>
          <w:szCs w:val="24"/>
        </w:rPr>
        <w:t>3.</w:t>
      </w:r>
      <w:r w:rsidRPr="00E02C47">
        <w:rPr>
          <w:b/>
          <w:sz w:val="24"/>
          <w:szCs w:val="24"/>
        </w:rPr>
        <w:tab/>
        <w:t>LÆGEMIDDELFORM</w:t>
      </w:r>
    </w:p>
    <w:p w14:paraId="2949BFD8" w14:textId="1E1A2938" w:rsidR="00C52491" w:rsidRPr="00E02C47" w:rsidRDefault="00C52491" w:rsidP="003807FC">
      <w:pPr>
        <w:ind w:left="851"/>
        <w:rPr>
          <w:sz w:val="24"/>
          <w:szCs w:val="24"/>
          <w:lang w:val="de-DE"/>
        </w:rPr>
      </w:pPr>
      <w:r w:rsidRPr="00E02C47">
        <w:rPr>
          <w:sz w:val="24"/>
          <w:szCs w:val="24"/>
          <w:lang w:bidi="da-DK"/>
        </w:rPr>
        <w:t>Hård</w:t>
      </w:r>
      <w:r w:rsidR="00E02C47" w:rsidRPr="00E02C47">
        <w:rPr>
          <w:sz w:val="24"/>
          <w:szCs w:val="24"/>
          <w:lang w:bidi="da-DK"/>
        </w:rPr>
        <w:t>e</w:t>
      </w:r>
      <w:r w:rsidRPr="00E02C47">
        <w:rPr>
          <w:sz w:val="24"/>
          <w:szCs w:val="24"/>
          <w:lang w:bidi="da-DK"/>
        </w:rPr>
        <w:t xml:space="preserve"> kaps</w:t>
      </w:r>
      <w:r w:rsidR="00E02C47" w:rsidRPr="00E02C47">
        <w:rPr>
          <w:sz w:val="24"/>
          <w:szCs w:val="24"/>
          <w:lang w:bidi="da-DK"/>
        </w:rPr>
        <w:t>ler</w:t>
      </w:r>
    </w:p>
    <w:p w14:paraId="0D518CB3" w14:textId="77777777" w:rsidR="00C52491" w:rsidRPr="00E02C47" w:rsidRDefault="00C52491" w:rsidP="003807FC">
      <w:pPr>
        <w:ind w:left="851"/>
        <w:rPr>
          <w:sz w:val="24"/>
          <w:szCs w:val="24"/>
          <w:lang w:val="de-DE"/>
        </w:rPr>
      </w:pPr>
    </w:p>
    <w:p w14:paraId="40199919" w14:textId="2BEB1414" w:rsidR="009260DE" w:rsidRPr="00E02C47" w:rsidRDefault="00C52491" w:rsidP="00E02C47">
      <w:pPr>
        <w:ind w:left="851"/>
        <w:rPr>
          <w:sz w:val="24"/>
          <w:szCs w:val="24"/>
          <w:lang w:val="de-DE"/>
        </w:rPr>
      </w:pPr>
      <w:r w:rsidRPr="00E02C47">
        <w:rPr>
          <w:sz w:val="24"/>
          <w:szCs w:val="24"/>
          <w:lang w:bidi="da-DK"/>
        </w:rPr>
        <w:t>Hvidt til råhvidt pulver i en gul uigennemsigtig hætte og hvid uigennemsigtig kropsstørrelse nr. 3 hård gelatinekapsel med en længde på ca. 16 mm, præget med "0,5</w:t>
      </w:r>
      <w:r w:rsidR="001552ED">
        <w:rPr>
          <w:sz w:val="24"/>
          <w:szCs w:val="24"/>
          <w:lang w:bidi="da-DK"/>
        </w:rPr>
        <w:t> </w:t>
      </w:r>
      <w:r w:rsidRPr="00E02C47">
        <w:rPr>
          <w:sz w:val="24"/>
          <w:szCs w:val="24"/>
          <w:lang w:bidi="da-DK"/>
        </w:rPr>
        <w:t>mg" på låget med sort blæk.</w:t>
      </w:r>
    </w:p>
    <w:p w14:paraId="31132C46" w14:textId="77777777" w:rsidR="009260DE" w:rsidRPr="00E02C47" w:rsidRDefault="009260DE" w:rsidP="009260DE">
      <w:pPr>
        <w:tabs>
          <w:tab w:val="left" w:pos="851"/>
        </w:tabs>
        <w:ind w:left="851"/>
        <w:rPr>
          <w:sz w:val="24"/>
          <w:szCs w:val="24"/>
        </w:rPr>
      </w:pPr>
    </w:p>
    <w:p w14:paraId="47964B40" w14:textId="77777777" w:rsidR="009260DE" w:rsidRPr="00E02C47" w:rsidRDefault="009260DE" w:rsidP="009260DE">
      <w:pPr>
        <w:tabs>
          <w:tab w:val="left" w:pos="851"/>
        </w:tabs>
        <w:ind w:left="851"/>
        <w:rPr>
          <w:sz w:val="24"/>
          <w:szCs w:val="24"/>
        </w:rPr>
      </w:pPr>
    </w:p>
    <w:p w14:paraId="6BD1BD93" w14:textId="77777777" w:rsidR="009260DE" w:rsidRPr="00E02C47" w:rsidRDefault="009260DE" w:rsidP="009260DE">
      <w:pPr>
        <w:tabs>
          <w:tab w:val="left" w:pos="851"/>
        </w:tabs>
        <w:ind w:left="851" w:hanging="851"/>
        <w:rPr>
          <w:b/>
          <w:sz w:val="24"/>
          <w:szCs w:val="24"/>
        </w:rPr>
      </w:pPr>
      <w:r w:rsidRPr="00E02C47">
        <w:rPr>
          <w:b/>
          <w:sz w:val="24"/>
          <w:szCs w:val="24"/>
        </w:rPr>
        <w:t>4.</w:t>
      </w:r>
      <w:r w:rsidRPr="00E02C47">
        <w:rPr>
          <w:b/>
          <w:sz w:val="24"/>
          <w:szCs w:val="24"/>
        </w:rPr>
        <w:tab/>
        <w:t>KLINISKE OPLYSNINGER</w:t>
      </w:r>
    </w:p>
    <w:p w14:paraId="68629CBF" w14:textId="77777777" w:rsidR="009260DE" w:rsidRPr="00E02C47" w:rsidRDefault="009260DE" w:rsidP="009260DE">
      <w:pPr>
        <w:tabs>
          <w:tab w:val="left" w:pos="851"/>
        </w:tabs>
        <w:ind w:left="851"/>
        <w:rPr>
          <w:b/>
          <w:sz w:val="24"/>
          <w:szCs w:val="24"/>
        </w:rPr>
      </w:pPr>
    </w:p>
    <w:p w14:paraId="2A243E67" w14:textId="77777777" w:rsidR="009260DE" w:rsidRPr="00E02C47" w:rsidRDefault="009260DE" w:rsidP="009260DE">
      <w:pPr>
        <w:tabs>
          <w:tab w:val="left" w:pos="851"/>
        </w:tabs>
        <w:ind w:left="851" w:hanging="851"/>
        <w:rPr>
          <w:b/>
          <w:sz w:val="24"/>
          <w:szCs w:val="24"/>
          <w:u w:val="single"/>
        </w:rPr>
      </w:pPr>
      <w:r w:rsidRPr="00E02C47">
        <w:rPr>
          <w:b/>
          <w:sz w:val="24"/>
          <w:szCs w:val="24"/>
        </w:rPr>
        <w:t>4.1</w:t>
      </w:r>
      <w:r w:rsidRPr="00E02C47">
        <w:rPr>
          <w:b/>
          <w:sz w:val="24"/>
          <w:szCs w:val="24"/>
        </w:rPr>
        <w:tab/>
        <w:t>Terapeutiske indikationer</w:t>
      </w:r>
    </w:p>
    <w:p w14:paraId="22AFDA9C" w14:textId="16ECF7E0" w:rsidR="00C52491" w:rsidRPr="00E02C47" w:rsidRDefault="00C52491" w:rsidP="003807FC">
      <w:pPr>
        <w:ind w:left="851"/>
        <w:rPr>
          <w:sz w:val="24"/>
          <w:szCs w:val="24"/>
          <w:lang w:val="de-DE"/>
        </w:rPr>
      </w:pPr>
      <w:r w:rsidRPr="00E02C47">
        <w:rPr>
          <w:noProof/>
          <w:sz w:val="24"/>
          <w:szCs w:val="24"/>
          <w:lang w:bidi="da-DK"/>
        </w:rPr>
        <w:t xml:space="preserve">Fingolimod </w:t>
      </w:r>
      <w:r w:rsidR="00362304">
        <w:rPr>
          <w:noProof/>
          <w:sz w:val="24"/>
          <w:szCs w:val="24"/>
          <w:lang w:bidi="da-DK"/>
        </w:rPr>
        <w:t>"Pharmaselect"</w:t>
      </w:r>
      <w:r w:rsidRPr="00E02C47">
        <w:rPr>
          <w:noProof/>
          <w:sz w:val="24"/>
          <w:szCs w:val="24"/>
          <w:lang w:bidi="da-DK"/>
        </w:rPr>
        <w:t xml:space="preserve"> er indiceret som sygdomsmodificerende behandling i monoterapi ved meget aktiv recidiverende-remitterende multipel sklerose (MS)til følgende grupper af voksne patienter og pædiatriske patienter i alderen 10 år og ældre:</w:t>
      </w:r>
    </w:p>
    <w:p w14:paraId="4F625B0D" w14:textId="77777777" w:rsidR="00C52491" w:rsidRPr="00E02C47" w:rsidRDefault="00C52491" w:rsidP="003807FC">
      <w:pPr>
        <w:ind w:left="851"/>
        <w:rPr>
          <w:sz w:val="24"/>
          <w:szCs w:val="24"/>
          <w:lang w:val="de-DE"/>
        </w:rPr>
      </w:pPr>
    </w:p>
    <w:p w14:paraId="0B4BED66" w14:textId="2DC01ED1" w:rsidR="00C52491" w:rsidRPr="00E02C47" w:rsidRDefault="00C52491" w:rsidP="00E02C47">
      <w:pPr>
        <w:pStyle w:val="Listeafsnit"/>
        <w:numPr>
          <w:ilvl w:val="0"/>
          <w:numId w:val="10"/>
        </w:numPr>
        <w:ind w:left="1276" w:hanging="425"/>
        <w:rPr>
          <w:sz w:val="24"/>
          <w:szCs w:val="24"/>
          <w:lang w:val="de-DE"/>
        </w:rPr>
      </w:pPr>
      <w:r w:rsidRPr="00E02C47">
        <w:rPr>
          <w:sz w:val="24"/>
          <w:szCs w:val="24"/>
          <w:lang w:bidi="da-DK"/>
        </w:rPr>
        <w:t xml:space="preserve">Patienter med højaktiv sygdom på trods af et fuldt og tilstrækkeligt behandlingsforløb med mindst én sygdomsmodificerende behandling (for undtagelser og information om udvaskningsperioder, se </w:t>
      </w:r>
      <w:r w:rsidR="00362304">
        <w:rPr>
          <w:sz w:val="24"/>
          <w:szCs w:val="24"/>
          <w:lang w:bidi="da-DK"/>
        </w:rPr>
        <w:t>pkt.</w:t>
      </w:r>
      <w:r w:rsidRPr="00E02C47">
        <w:rPr>
          <w:sz w:val="24"/>
          <w:szCs w:val="24"/>
          <w:lang w:bidi="da-DK"/>
        </w:rPr>
        <w:t xml:space="preserve"> 4.4 og 5.1).</w:t>
      </w:r>
    </w:p>
    <w:p w14:paraId="7ADF1634" w14:textId="77777777" w:rsidR="00C52491" w:rsidRPr="00E02C47" w:rsidRDefault="00C52491" w:rsidP="003807FC">
      <w:pPr>
        <w:ind w:left="851"/>
        <w:rPr>
          <w:sz w:val="24"/>
          <w:szCs w:val="24"/>
          <w:lang w:val="de-DE"/>
        </w:rPr>
      </w:pPr>
    </w:p>
    <w:p w14:paraId="5B63B2EA" w14:textId="77777777" w:rsidR="00C52491" w:rsidRPr="00E02C47" w:rsidRDefault="00C52491" w:rsidP="003807FC">
      <w:pPr>
        <w:ind w:left="851"/>
        <w:rPr>
          <w:sz w:val="24"/>
          <w:szCs w:val="24"/>
          <w:lang w:val="en-GB"/>
        </w:rPr>
      </w:pPr>
      <w:r w:rsidRPr="00E02C47">
        <w:rPr>
          <w:sz w:val="24"/>
          <w:szCs w:val="24"/>
          <w:lang w:bidi="da-DK"/>
        </w:rPr>
        <w:t>eller</w:t>
      </w:r>
    </w:p>
    <w:p w14:paraId="1AD395C0" w14:textId="77777777" w:rsidR="00C52491" w:rsidRPr="00E02C47" w:rsidRDefault="00C52491" w:rsidP="003807FC">
      <w:pPr>
        <w:ind w:left="851"/>
        <w:rPr>
          <w:sz w:val="24"/>
          <w:szCs w:val="24"/>
        </w:rPr>
      </w:pPr>
    </w:p>
    <w:p w14:paraId="422498F4" w14:textId="79F97AB8" w:rsidR="00C52491" w:rsidRPr="00E02C47" w:rsidRDefault="00C52491" w:rsidP="00E02C47">
      <w:pPr>
        <w:pStyle w:val="Listeafsnit"/>
        <w:numPr>
          <w:ilvl w:val="0"/>
          <w:numId w:val="11"/>
        </w:numPr>
        <w:ind w:left="1276" w:hanging="425"/>
        <w:rPr>
          <w:sz w:val="24"/>
          <w:szCs w:val="24"/>
        </w:rPr>
      </w:pPr>
      <w:r w:rsidRPr="00E02C47">
        <w:rPr>
          <w:sz w:val="24"/>
          <w:szCs w:val="24"/>
          <w:lang w:bidi="da-DK"/>
        </w:rPr>
        <w:t xml:space="preserve">Patienter med svær hurtigt-udviklende recidiverende-remitterende multipel sklerose defineret ved 2 eller flere invaliderende attakker på ét år og med 1 eller flere </w:t>
      </w:r>
      <w:r w:rsidRPr="00E02C47">
        <w:rPr>
          <w:sz w:val="24"/>
          <w:szCs w:val="24"/>
          <w:lang w:bidi="da-DK"/>
        </w:rPr>
        <w:lastRenderedPageBreak/>
        <w:t>gadolinium-opladende læsioner ved kraniel MR-scanning eller en signifikant stigning i T2-læsionsbyrde i forhold til en tidligere nylig MR-scanning.</w:t>
      </w:r>
    </w:p>
    <w:p w14:paraId="406294AD" w14:textId="77777777" w:rsidR="009260DE" w:rsidRPr="00E02C47" w:rsidRDefault="009260DE" w:rsidP="009260DE">
      <w:pPr>
        <w:tabs>
          <w:tab w:val="left" w:pos="851"/>
        </w:tabs>
        <w:ind w:left="851"/>
        <w:rPr>
          <w:sz w:val="24"/>
          <w:szCs w:val="24"/>
        </w:rPr>
      </w:pPr>
    </w:p>
    <w:p w14:paraId="20EE89DD" w14:textId="77777777" w:rsidR="009260DE" w:rsidRPr="00E02C47" w:rsidRDefault="009260DE" w:rsidP="009260DE">
      <w:pPr>
        <w:tabs>
          <w:tab w:val="left" w:pos="851"/>
        </w:tabs>
        <w:ind w:left="851" w:hanging="851"/>
        <w:rPr>
          <w:b/>
          <w:sz w:val="24"/>
          <w:szCs w:val="24"/>
        </w:rPr>
      </w:pPr>
      <w:r w:rsidRPr="00E02C47">
        <w:rPr>
          <w:b/>
          <w:sz w:val="24"/>
          <w:szCs w:val="24"/>
        </w:rPr>
        <w:t>4.2</w:t>
      </w:r>
      <w:r w:rsidRPr="00E02C47">
        <w:rPr>
          <w:b/>
          <w:sz w:val="24"/>
          <w:szCs w:val="24"/>
        </w:rPr>
        <w:tab/>
        <w:t xml:space="preserve">Dosering og </w:t>
      </w:r>
      <w:r w:rsidR="002C1EC0" w:rsidRPr="00E02C47">
        <w:rPr>
          <w:b/>
          <w:sz w:val="24"/>
          <w:szCs w:val="24"/>
        </w:rPr>
        <w:t>administration</w:t>
      </w:r>
    </w:p>
    <w:p w14:paraId="6B625494" w14:textId="77777777" w:rsidR="00C52491" w:rsidRPr="00E02C47" w:rsidRDefault="00C52491" w:rsidP="003807FC">
      <w:pPr>
        <w:ind w:left="851"/>
        <w:rPr>
          <w:sz w:val="24"/>
          <w:szCs w:val="24"/>
        </w:rPr>
      </w:pPr>
      <w:r w:rsidRPr="00E02C47">
        <w:rPr>
          <w:sz w:val="24"/>
          <w:szCs w:val="24"/>
          <w:lang w:bidi="da-DK"/>
        </w:rPr>
        <w:t>Behandlingen bør indledes og gennemføres under opsyn af en læge med erfaring i multipel sklerose.</w:t>
      </w:r>
    </w:p>
    <w:p w14:paraId="3653992B" w14:textId="77777777" w:rsidR="00C52491" w:rsidRPr="00E02C47" w:rsidRDefault="00C52491" w:rsidP="003807FC">
      <w:pPr>
        <w:ind w:left="851"/>
        <w:rPr>
          <w:sz w:val="24"/>
          <w:szCs w:val="24"/>
          <w:u w:val="single"/>
        </w:rPr>
      </w:pPr>
    </w:p>
    <w:p w14:paraId="4027D393" w14:textId="77777777" w:rsidR="00C52491" w:rsidRPr="00E02C47" w:rsidRDefault="00C52491" w:rsidP="003807FC">
      <w:pPr>
        <w:ind w:left="851"/>
        <w:rPr>
          <w:sz w:val="24"/>
          <w:szCs w:val="24"/>
          <w:u w:val="single"/>
        </w:rPr>
      </w:pPr>
      <w:r w:rsidRPr="00E02C47">
        <w:rPr>
          <w:sz w:val="24"/>
          <w:szCs w:val="24"/>
          <w:u w:val="single"/>
          <w:lang w:bidi="da-DK"/>
        </w:rPr>
        <w:t>Dosering</w:t>
      </w:r>
    </w:p>
    <w:p w14:paraId="52EC76C8" w14:textId="156E9502" w:rsidR="00C52491" w:rsidRPr="00E02C47" w:rsidRDefault="00C52491" w:rsidP="003807FC">
      <w:pPr>
        <w:ind w:left="851"/>
        <w:rPr>
          <w:sz w:val="24"/>
          <w:szCs w:val="24"/>
          <w:lang w:val="de-AT"/>
        </w:rPr>
      </w:pPr>
      <w:r w:rsidRPr="00E02C47">
        <w:rPr>
          <w:sz w:val="24"/>
          <w:szCs w:val="24"/>
          <w:lang w:bidi="da-DK"/>
        </w:rPr>
        <w:t xml:space="preserve">Hos voksne er den anbefalede dosis af Fingolimod </w:t>
      </w:r>
      <w:r w:rsidR="00362304">
        <w:rPr>
          <w:sz w:val="24"/>
          <w:szCs w:val="24"/>
          <w:lang w:bidi="da-DK"/>
        </w:rPr>
        <w:t>"Pharmaselect"</w:t>
      </w:r>
      <w:r w:rsidRPr="00E02C47">
        <w:rPr>
          <w:sz w:val="24"/>
          <w:szCs w:val="24"/>
          <w:lang w:bidi="da-DK"/>
        </w:rPr>
        <w:t xml:space="preserve"> en 0,5 mg hård kapsel én gang dagligt. </w:t>
      </w:r>
    </w:p>
    <w:p w14:paraId="5495C254" w14:textId="77777777" w:rsidR="00C52491" w:rsidRPr="00E02C47" w:rsidRDefault="00C52491" w:rsidP="003807FC">
      <w:pPr>
        <w:ind w:left="851"/>
        <w:rPr>
          <w:sz w:val="24"/>
          <w:szCs w:val="24"/>
          <w:lang w:val="de-AT"/>
        </w:rPr>
      </w:pPr>
    </w:p>
    <w:p w14:paraId="104CEB08" w14:textId="77777777" w:rsidR="00C52491" w:rsidRPr="00E02C47" w:rsidRDefault="00C52491" w:rsidP="003807FC">
      <w:pPr>
        <w:ind w:left="851"/>
        <w:rPr>
          <w:sz w:val="24"/>
          <w:szCs w:val="24"/>
        </w:rPr>
      </w:pPr>
      <w:r w:rsidRPr="00E02C47">
        <w:rPr>
          <w:sz w:val="24"/>
          <w:szCs w:val="24"/>
          <w:lang w:bidi="da-DK"/>
        </w:rPr>
        <w:t>Hos pædiatriske patienter (10 år eller derover) er den anbefalede dosis afhængig af kropsvægten:</w:t>
      </w:r>
    </w:p>
    <w:p w14:paraId="71E15590" w14:textId="7F6DDBE3" w:rsidR="00C52491" w:rsidRPr="00E02C47" w:rsidRDefault="00C52491" w:rsidP="003807FC">
      <w:pPr>
        <w:ind w:left="851"/>
        <w:rPr>
          <w:sz w:val="24"/>
          <w:szCs w:val="24"/>
        </w:rPr>
      </w:pPr>
      <w:r w:rsidRPr="00E02C47">
        <w:rPr>
          <w:sz w:val="24"/>
          <w:szCs w:val="24"/>
          <w:lang w:bidi="da-DK"/>
        </w:rPr>
        <w:t xml:space="preserve">Hos pædiatriske patienter med en kropsvægt &gt; 40 kg er den anbefalede dosis af Fingolimod </w:t>
      </w:r>
      <w:r w:rsidR="00362304">
        <w:rPr>
          <w:sz w:val="24"/>
          <w:szCs w:val="24"/>
          <w:lang w:bidi="da-DK"/>
        </w:rPr>
        <w:t>"Pharmaselect"</w:t>
      </w:r>
      <w:r w:rsidRPr="00E02C47">
        <w:rPr>
          <w:sz w:val="24"/>
          <w:szCs w:val="24"/>
          <w:lang w:bidi="da-DK"/>
        </w:rPr>
        <w:t xml:space="preserve"> en 0,5 mg hård kapsel én gang dagligt.</w:t>
      </w:r>
    </w:p>
    <w:p w14:paraId="6C9C7656" w14:textId="77777777" w:rsidR="00C52491" w:rsidRPr="00E02C47" w:rsidRDefault="00C52491" w:rsidP="003807FC">
      <w:pPr>
        <w:ind w:left="851"/>
        <w:rPr>
          <w:sz w:val="24"/>
          <w:szCs w:val="24"/>
        </w:rPr>
      </w:pPr>
    </w:p>
    <w:p w14:paraId="4974B95A" w14:textId="77777777" w:rsidR="00C52491" w:rsidRPr="00E02C47" w:rsidRDefault="00C52491" w:rsidP="003807FC">
      <w:pPr>
        <w:ind w:left="851"/>
        <w:rPr>
          <w:sz w:val="24"/>
          <w:szCs w:val="24"/>
        </w:rPr>
      </w:pPr>
      <w:r w:rsidRPr="00E02C47">
        <w:rPr>
          <w:sz w:val="24"/>
          <w:szCs w:val="24"/>
          <w:lang w:bidi="da-DK"/>
        </w:rPr>
        <w:t>Andre farmaceutiske styrker er mere egnede til administration til pædiatriske patienter på 10 år og derover med en kropsvægt på ≤ 40 kg.</w:t>
      </w:r>
    </w:p>
    <w:p w14:paraId="1DF79221" w14:textId="77777777" w:rsidR="00C52491" w:rsidRPr="00E02C47" w:rsidRDefault="00C52491" w:rsidP="003807FC">
      <w:pPr>
        <w:ind w:left="851"/>
        <w:rPr>
          <w:sz w:val="24"/>
          <w:szCs w:val="24"/>
        </w:rPr>
      </w:pPr>
    </w:p>
    <w:p w14:paraId="3DADCD10" w14:textId="77777777" w:rsidR="00C52491" w:rsidRPr="00E02C47" w:rsidRDefault="00C52491" w:rsidP="003807FC">
      <w:pPr>
        <w:ind w:left="851"/>
        <w:rPr>
          <w:sz w:val="24"/>
          <w:szCs w:val="24"/>
        </w:rPr>
      </w:pPr>
      <w:r w:rsidRPr="00E02C47">
        <w:rPr>
          <w:sz w:val="24"/>
          <w:szCs w:val="24"/>
          <w:lang w:bidi="da-DK"/>
        </w:rPr>
        <w:t>Det anbefales at udføre samme første-dosis-monitorering som ved behandlingsstart, når behandlingen har været afbrudt i:</w:t>
      </w:r>
    </w:p>
    <w:p w14:paraId="4FA0A6D1" w14:textId="77777777" w:rsidR="00C52491" w:rsidRPr="00E02C47" w:rsidRDefault="00C52491" w:rsidP="00E02C47">
      <w:pPr>
        <w:pStyle w:val="Listeafsnit"/>
        <w:numPr>
          <w:ilvl w:val="0"/>
          <w:numId w:val="12"/>
        </w:numPr>
        <w:ind w:left="1276" w:hanging="425"/>
        <w:rPr>
          <w:sz w:val="24"/>
          <w:szCs w:val="24"/>
          <w:lang w:val="nl-NL"/>
        </w:rPr>
      </w:pPr>
      <w:r w:rsidRPr="00E02C47">
        <w:rPr>
          <w:sz w:val="24"/>
          <w:szCs w:val="24"/>
          <w:lang w:bidi="da-DK"/>
        </w:rPr>
        <w:t>1 dag eller mere i løbet af de første 2 uger af behandlingen.</w:t>
      </w:r>
    </w:p>
    <w:p w14:paraId="612C8F1E" w14:textId="77777777" w:rsidR="00C52491" w:rsidRPr="00E02C47" w:rsidRDefault="00C52491" w:rsidP="00E02C47">
      <w:pPr>
        <w:pStyle w:val="Listeafsnit"/>
        <w:numPr>
          <w:ilvl w:val="0"/>
          <w:numId w:val="12"/>
        </w:numPr>
        <w:ind w:left="1276" w:hanging="425"/>
        <w:rPr>
          <w:sz w:val="24"/>
          <w:szCs w:val="24"/>
          <w:lang w:val="nl-NL"/>
        </w:rPr>
      </w:pPr>
      <w:r w:rsidRPr="00E02C47">
        <w:rPr>
          <w:sz w:val="24"/>
          <w:szCs w:val="24"/>
          <w:lang w:bidi="da-DK"/>
        </w:rPr>
        <w:t>mere end 7 dage i løbet af uge 3 og 4 af behandlingen.</w:t>
      </w:r>
    </w:p>
    <w:p w14:paraId="057B6105" w14:textId="77777777" w:rsidR="00C52491" w:rsidRPr="00E02C47" w:rsidRDefault="00C52491" w:rsidP="00E02C47">
      <w:pPr>
        <w:pStyle w:val="Listeafsnit"/>
        <w:numPr>
          <w:ilvl w:val="0"/>
          <w:numId w:val="12"/>
        </w:numPr>
        <w:ind w:left="1276" w:hanging="425"/>
        <w:rPr>
          <w:sz w:val="24"/>
          <w:szCs w:val="24"/>
        </w:rPr>
      </w:pPr>
      <w:r w:rsidRPr="00E02C47">
        <w:rPr>
          <w:sz w:val="24"/>
          <w:szCs w:val="24"/>
          <w:lang w:bidi="da-DK"/>
        </w:rPr>
        <w:t>mere end 2 uger efter den første måned af behandlingen.</w:t>
      </w:r>
    </w:p>
    <w:p w14:paraId="6945BE9A" w14:textId="77777777" w:rsidR="00C52491" w:rsidRPr="00E02C47" w:rsidRDefault="00C52491" w:rsidP="003807FC">
      <w:pPr>
        <w:ind w:left="851"/>
        <w:rPr>
          <w:sz w:val="24"/>
          <w:szCs w:val="24"/>
          <w:u w:val="single"/>
        </w:rPr>
      </w:pPr>
    </w:p>
    <w:p w14:paraId="33AE0638" w14:textId="289EAB87" w:rsidR="00C52491" w:rsidRPr="00E02C47" w:rsidRDefault="00C52491" w:rsidP="003807FC">
      <w:pPr>
        <w:ind w:left="851"/>
        <w:rPr>
          <w:sz w:val="24"/>
          <w:szCs w:val="24"/>
        </w:rPr>
      </w:pPr>
      <w:r w:rsidRPr="00E02C47">
        <w:rPr>
          <w:sz w:val="24"/>
          <w:szCs w:val="24"/>
          <w:lang w:bidi="da-DK"/>
        </w:rPr>
        <w:t xml:space="preserve">Hvis afbrydelse af behandlingen er af kortere varighed end nævnt ovenfor, skal behandlingen fortsætte med den næste dosis som planlagt (se </w:t>
      </w:r>
      <w:r w:rsidR="00362304">
        <w:rPr>
          <w:sz w:val="24"/>
          <w:szCs w:val="24"/>
          <w:lang w:bidi="da-DK"/>
        </w:rPr>
        <w:t>pkt.</w:t>
      </w:r>
      <w:r w:rsidRPr="00E02C47">
        <w:rPr>
          <w:sz w:val="24"/>
          <w:szCs w:val="24"/>
          <w:lang w:bidi="da-DK"/>
        </w:rPr>
        <w:t xml:space="preserve"> 4.4). </w:t>
      </w:r>
    </w:p>
    <w:p w14:paraId="363157E1" w14:textId="77777777" w:rsidR="00C52491" w:rsidRPr="00E02C47" w:rsidRDefault="00C52491" w:rsidP="003807FC">
      <w:pPr>
        <w:ind w:left="851"/>
        <w:rPr>
          <w:sz w:val="24"/>
          <w:szCs w:val="24"/>
          <w:u w:val="single"/>
        </w:rPr>
      </w:pPr>
    </w:p>
    <w:p w14:paraId="1E051BCC" w14:textId="77777777" w:rsidR="00C52491" w:rsidRPr="00E02C47" w:rsidRDefault="00C52491" w:rsidP="003807FC">
      <w:pPr>
        <w:ind w:left="851"/>
        <w:rPr>
          <w:sz w:val="24"/>
          <w:szCs w:val="24"/>
          <w:u w:val="single"/>
        </w:rPr>
      </w:pPr>
      <w:r w:rsidRPr="00E02C47">
        <w:rPr>
          <w:sz w:val="24"/>
          <w:szCs w:val="24"/>
          <w:u w:val="single"/>
        </w:rPr>
        <w:t xml:space="preserve">Særlige populationer </w:t>
      </w:r>
    </w:p>
    <w:p w14:paraId="45081868" w14:textId="663B48E9" w:rsidR="00C52491" w:rsidRPr="00E02C47" w:rsidRDefault="00C52491" w:rsidP="003807FC">
      <w:pPr>
        <w:ind w:left="851"/>
        <w:rPr>
          <w:sz w:val="24"/>
          <w:szCs w:val="24"/>
        </w:rPr>
      </w:pPr>
    </w:p>
    <w:p w14:paraId="629D2991" w14:textId="77777777" w:rsidR="00C52491" w:rsidRPr="00E02C47" w:rsidRDefault="00C52491" w:rsidP="003807FC">
      <w:pPr>
        <w:ind w:left="851"/>
        <w:rPr>
          <w:sz w:val="24"/>
          <w:szCs w:val="24"/>
        </w:rPr>
      </w:pPr>
      <w:r w:rsidRPr="00E02C47">
        <w:rPr>
          <w:i/>
          <w:sz w:val="24"/>
          <w:szCs w:val="24"/>
          <w:u w:val="single" w:color="000000"/>
        </w:rPr>
        <w:t>Ældre patienter</w:t>
      </w:r>
      <w:r w:rsidRPr="00E02C47">
        <w:rPr>
          <w:sz w:val="24"/>
          <w:szCs w:val="24"/>
        </w:rPr>
        <w:t xml:space="preserve"> </w:t>
      </w:r>
    </w:p>
    <w:p w14:paraId="42508D12" w14:textId="024FDE0C" w:rsidR="00C52491" w:rsidRPr="00E02C47" w:rsidRDefault="00C52491" w:rsidP="003807FC">
      <w:pPr>
        <w:ind w:left="851"/>
        <w:rPr>
          <w:sz w:val="24"/>
          <w:szCs w:val="24"/>
        </w:rPr>
      </w:pPr>
      <w:r w:rsidRPr="00E02C47">
        <w:rPr>
          <w:sz w:val="24"/>
          <w:szCs w:val="24"/>
        </w:rPr>
        <w:t xml:space="preserve">Fingolimod </w:t>
      </w:r>
      <w:r w:rsidR="00362304">
        <w:rPr>
          <w:sz w:val="24"/>
          <w:szCs w:val="24"/>
        </w:rPr>
        <w:t>"Pharmaselect"</w:t>
      </w:r>
      <w:r w:rsidRPr="00E02C47">
        <w:rPr>
          <w:sz w:val="24"/>
          <w:szCs w:val="24"/>
        </w:rPr>
        <w:t xml:space="preserve"> skal anvendes med forsigtighed til patienter på 65 år og derover, da de tilgængelige data vedrørende sikkerhed og effektivitet er utilstrækkelige (se pkt. 5.2). </w:t>
      </w:r>
    </w:p>
    <w:p w14:paraId="2740CCDF" w14:textId="77777777" w:rsidR="00C52491" w:rsidRPr="00E02C47" w:rsidRDefault="00C52491" w:rsidP="003807FC">
      <w:pPr>
        <w:ind w:left="851"/>
        <w:rPr>
          <w:sz w:val="24"/>
          <w:szCs w:val="24"/>
        </w:rPr>
      </w:pPr>
      <w:r w:rsidRPr="00E02C47">
        <w:rPr>
          <w:sz w:val="24"/>
          <w:szCs w:val="24"/>
        </w:rPr>
        <w:t xml:space="preserve"> </w:t>
      </w:r>
    </w:p>
    <w:p w14:paraId="7C005EF9" w14:textId="77777777" w:rsidR="00C52491" w:rsidRPr="00E02C47" w:rsidRDefault="00C52491" w:rsidP="003807FC">
      <w:pPr>
        <w:ind w:left="851"/>
        <w:rPr>
          <w:sz w:val="24"/>
          <w:szCs w:val="24"/>
        </w:rPr>
      </w:pPr>
      <w:r w:rsidRPr="00E02C47">
        <w:rPr>
          <w:i/>
          <w:sz w:val="24"/>
          <w:szCs w:val="24"/>
          <w:u w:val="single" w:color="000000"/>
        </w:rPr>
        <w:t>Nedsat nyrefunktion</w:t>
      </w:r>
      <w:r w:rsidRPr="00E02C47">
        <w:rPr>
          <w:i/>
          <w:sz w:val="24"/>
          <w:szCs w:val="24"/>
        </w:rPr>
        <w:t xml:space="preserve"> </w:t>
      </w:r>
    </w:p>
    <w:p w14:paraId="3548801A" w14:textId="77777777" w:rsidR="00C52491" w:rsidRPr="00E02C47" w:rsidRDefault="00C52491" w:rsidP="003807FC">
      <w:pPr>
        <w:ind w:left="851"/>
        <w:rPr>
          <w:sz w:val="24"/>
          <w:szCs w:val="24"/>
        </w:rPr>
      </w:pPr>
      <w:r w:rsidRPr="00E02C47">
        <w:rPr>
          <w:sz w:val="24"/>
          <w:szCs w:val="24"/>
        </w:rPr>
        <w:t xml:space="preserve">Fingolimod er ikke undersøgt hos patienter med nedsat nyrefunktion i multipel sklerose pivotale studier. Vurderet på grundlag af kliniske farmakologiske studier er det ikke nødvendigt at justere dosis til patienter med moderat til svært nedsat nyrefunktion. </w:t>
      </w:r>
    </w:p>
    <w:p w14:paraId="396732D9" w14:textId="77777777" w:rsidR="00C52491" w:rsidRPr="00E02C47" w:rsidRDefault="00C52491" w:rsidP="003807FC">
      <w:pPr>
        <w:ind w:left="851"/>
        <w:rPr>
          <w:sz w:val="24"/>
          <w:szCs w:val="24"/>
        </w:rPr>
      </w:pPr>
      <w:r w:rsidRPr="00E02C47">
        <w:rPr>
          <w:sz w:val="24"/>
          <w:szCs w:val="24"/>
        </w:rPr>
        <w:t xml:space="preserve"> </w:t>
      </w:r>
    </w:p>
    <w:p w14:paraId="47167AA9" w14:textId="77777777" w:rsidR="00C52491" w:rsidRPr="00E02C47" w:rsidRDefault="00C52491" w:rsidP="003807FC">
      <w:pPr>
        <w:ind w:left="851"/>
        <w:rPr>
          <w:sz w:val="24"/>
          <w:szCs w:val="24"/>
        </w:rPr>
      </w:pPr>
      <w:r w:rsidRPr="00E02C47">
        <w:rPr>
          <w:i/>
          <w:sz w:val="24"/>
          <w:szCs w:val="24"/>
          <w:u w:val="single" w:color="000000"/>
        </w:rPr>
        <w:t>Nedsat leverfunktion</w:t>
      </w:r>
      <w:r w:rsidRPr="00E02C47">
        <w:rPr>
          <w:i/>
          <w:sz w:val="24"/>
          <w:szCs w:val="24"/>
        </w:rPr>
        <w:t xml:space="preserve"> </w:t>
      </w:r>
    </w:p>
    <w:p w14:paraId="446C7857" w14:textId="5B4E19CC" w:rsidR="00C52491" w:rsidRPr="00E02C47" w:rsidRDefault="00C52491" w:rsidP="003807FC">
      <w:pPr>
        <w:ind w:left="851"/>
        <w:rPr>
          <w:sz w:val="24"/>
          <w:szCs w:val="24"/>
        </w:rPr>
      </w:pPr>
      <w:r w:rsidRPr="00E02C47">
        <w:rPr>
          <w:sz w:val="24"/>
          <w:szCs w:val="24"/>
        </w:rPr>
        <w:t xml:space="preserve">Fingolimod </w:t>
      </w:r>
      <w:r w:rsidR="00362304">
        <w:rPr>
          <w:sz w:val="24"/>
          <w:szCs w:val="24"/>
        </w:rPr>
        <w:t>"Pharmaselect"</w:t>
      </w:r>
      <w:r w:rsidRPr="00E02C47">
        <w:rPr>
          <w:sz w:val="24"/>
          <w:szCs w:val="24"/>
        </w:rPr>
        <w:t xml:space="preserve"> må ikke anvendes til patienter med svært nedsat leverfunktion (Child-Pugh klasse C) (se pkt. 4.3). Skønt det ikke er nødvendigt at justere dosis til patienter med let til moderat nedsat leverfunktion, skal der udvises forsigtighed ved initiering af behandling af disse patienter med Fingolimod </w:t>
      </w:r>
      <w:r w:rsidR="00362304">
        <w:rPr>
          <w:sz w:val="24"/>
          <w:szCs w:val="24"/>
        </w:rPr>
        <w:t>"Pharmaselect"</w:t>
      </w:r>
      <w:r w:rsidRPr="00E02C47">
        <w:rPr>
          <w:sz w:val="24"/>
          <w:szCs w:val="24"/>
        </w:rPr>
        <w:t xml:space="preserve"> (se pkt. 4.4 og 5.2). </w:t>
      </w:r>
    </w:p>
    <w:p w14:paraId="10517E5F" w14:textId="77777777" w:rsidR="00C52491" w:rsidRPr="00E02C47" w:rsidRDefault="00C52491" w:rsidP="003807FC">
      <w:pPr>
        <w:ind w:left="851"/>
        <w:rPr>
          <w:sz w:val="24"/>
          <w:szCs w:val="24"/>
        </w:rPr>
      </w:pPr>
      <w:r w:rsidRPr="00E02C47">
        <w:rPr>
          <w:sz w:val="24"/>
          <w:szCs w:val="24"/>
        </w:rPr>
        <w:t xml:space="preserve"> </w:t>
      </w:r>
    </w:p>
    <w:p w14:paraId="2169B10B" w14:textId="77777777" w:rsidR="00C52491" w:rsidRPr="00E02C47" w:rsidRDefault="00C52491" w:rsidP="003807FC">
      <w:pPr>
        <w:ind w:left="851"/>
        <w:rPr>
          <w:sz w:val="24"/>
          <w:szCs w:val="24"/>
        </w:rPr>
      </w:pPr>
      <w:r w:rsidRPr="00E02C47">
        <w:rPr>
          <w:i/>
          <w:sz w:val="24"/>
          <w:szCs w:val="24"/>
          <w:u w:val="single" w:color="000000"/>
        </w:rPr>
        <w:t>Pædiatrisk population</w:t>
      </w:r>
      <w:r w:rsidRPr="00E02C47">
        <w:rPr>
          <w:i/>
          <w:sz w:val="24"/>
          <w:szCs w:val="24"/>
        </w:rPr>
        <w:t xml:space="preserve"> </w:t>
      </w:r>
    </w:p>
    <w:p w14:paraId="6EB9C51D" w14:textId="77777777" w:rsidR="00C52491" w:rsidRPr="00E02C47" w:rsidRDefault="00C52491" w:rsidP="003807FC">
      <w:pPr>
        <w:ind w:left="851"/>
        <w:rPr>
          <w:sz w:val="24"/>
          <w:szCs w:val="24"/>
        </w:rPr>
      </w:pPr>
      <w:r w:rsidRPr="00E02C47">
        <w:rPr>
          <w:sz w:val="24"/>
          <w:szCs w:val="24"/>
        </w:rPr>
        <w:t xml:space="preserve">Fingolimods sikkerhed og virkning hos børn i alderen under 10 år er endnu ikke klarlagt. Der foreligger ingen data. Der er meget begrænsede data tilgængelige for børn mellem 10–12 år (se pkt. 4.4, 4.8 og 5.1). </w:t>
      </w:r>
    </w:p>
    <w:p w14:paraId="67CBECBC" w14:textId="77777777" w:rsidR="00C52491" w:rsidRPr="00E02C47" w:rsidRDefault="00C52491" w:rsidP="003807FC">
      <w:pPr>
        <w:ind w:left="851"/>
        <w:rPr>
          <w:sz w:val="24"/>
          <w:szCs w:val="24"/>
        </w:rPr>
      </w:pPr>
    </w:p>
    <w:p w14:paraId="1545C43D" w14:textId="77777777" w:rsidR="00C52491" w:rsidRPr="00E02C47" w:rsidRDefault="00C52491" w:rsidP="003807FC">
      <w:pPr>
        <w:ind w:left="851"/>
        <w:rPr>
          <w:sz w:val="24"/>
          <w:szCs w:val="24"/>
          <w:u w:val="single"/>
          <w:lang w:val="nl-NL"/>
        </w:rPr>
      </w:pPr>
      <w:r w:rsidRPr="00E02C47">
        <w:rPr>
          <w:sz w:val="24"/>
          <w:szCs w:val="24"/>
          <w:u w:val="single"/>
          <w:lang w:bidi="da-DK"/>
        </w:rPr>
        <w:t xml:space="preserve">Administration </w:t>
      </w:r>
    </w:p>
    <w:p w14:paraId="308606C4" w14:textId="77777777" w:rsidR="00C52491" w:rsidRPr="00E02C47" w:rsidRDefault="00C52491" w:rsidP="003807FC">
      <w:pPr>
        <w:ind w:left="851"/>
        <w:rPr>
          <w:sz w:val="24"/>
          <w:szCs w:val="24"/>
          <w:lang w:val="nl-NL"/>
        </w:rPr>
      </w:pPr>
      <w:r w:rsidRPr="00E02C47">
        <w:rPr>
          <w:sz w:val="24"/>
          <w:szCs w:val="24"/>
          <w:lang w:bidi="da-DK"/>
        </w:rPr>
        <w:t>Dette lægemiddel er til oral anvendelse.</w:t>
      </w:r>
    </w:p>
    <w:p w14:paraId="20BE664C" w14:textId="7C771CD9" w:rsidR="00C52491" w:rsidRPr="00E02C47" w:rsidRDefault="00C52491" w:rsidP="003807FC">
      <w:pPr>
        <w:ind w:left="851"/>
        <w:rPr>
          <w:sz w:val="24"/>
          <w:szCs w:val="24"/>
          <w:lang w:val="nl-NL"/>
        </w:rPr>
      </w:pPr>
      <w:r w:rsidRPr="00E02C47">
        <w:rPr>
          <w:sz w:val="24"/>
          <w:szCs w:val="24"/>
          <w:lang w:bidi="da-DK"/>
        </w:rPr>
        <w:t xml:space="preserve">Fingolimod </w:t>
      </w:r>
      <w:r w:rsidR="00362304">
        <w:rPr>
          <w:sz w:val="24"/>
          <w:szCs w:val="24"/>
          <w:lang w:bidi="da-DK"/>
        </w:rPr>
        <w:t>"Pharmaselect"</w:t>
      </w:r>
      <w:r w:rsidRPr="00E02C47">
        <w:rPr>
          <w:sz w:val="24"/>
          <w:szCs w:val="24"/>
          <w:lang w:bidi="da-DK"/>
        </w:rPr>
        <w:t xml:space="preserve"> kan tages med eller uden mad (se </w:t>
      </w:r>
      <w:r w:rsidR="00362304">
        <w:rPr>
          <w:sz w:val="24"/>
          <w:szCs w:val="24"/>
          <w:lang w:bidi="da-DK"/>
        </w:rPr>
        <w:t>pkt.</w:t>
      </w:r>
      <w:r w:rsidRPr="00E02C47">
        <w:rPr>
          <w:sz w:val="24"/>
          <w:szCs w:val="24"/>
          <w:lang w:bidi="da-DK"/>
        </w:rPr>
        <w:t xml:space="preserve"> 5.2).</w:t>
      </w:r>
    </w:p>
    <w:p w14:paraId="436723F6" w14:textId="77777777" w:rsidR="00C52491" w:rsidRPr="00E02C47" w:rsidRDefault="00C52491" w:rsidP="003807FC">
      <w:pPr>
        <w:ind w:left="851"/>
        <w:rPr>
          <w:sz w:val="24"/>
          <w:szCs w:val="24"/>
          <w:lang w:val="nl-NL"/>
        </w:rPr>
      </w:pPr>
      <w:r w:rsidRPr="00E02C47">
        <w:rPr>
          <w:sz w:val="24"/>
          <w:szCs w:val="24"/>
          <w:lang w:bidi="da-DK"/>
        </w:rPr>
        <w:t>Kapslerne skal altid synkes hele og må ikke åbnes.</w:t>
      </w:r>
    </w:p>
    <w:p w14:paraId="79CCD443" w14:textId="77777777" w:rsidR="009260DE" w:rsidRPr="00E02C47" w:rsidRDefault="009260DE" w:rsidP="009260DE">
      <w:pPr>
        <w:tabs>
          <w:tab w:val="left" w:pos="851"/>
        </w:tabs>
        <w:ind w:left="851"/>
        <w:rPr>
          <w:sz w:val="24"/>
          <w:szCs w:val="24"/>
        </w:rPr>
      </w:pPr>
    </w:p>
    <w:p w14:paraId="41F7FEF5" w14:textId="77777777" w:rsidR="009260DE" w:rsidRPr="00E02C47" w:rsidRDefault="009260DE" w:rsidP="009260DE">
      <w:pPr>
        <w:tabs>
          <w:tab w:val="left" w:pos="851"/>
        </w:tabs>
        <w:ind w:left="851" w:hanging="851"/>
        <w:rPr>
          <w:b/>
          <w:sz w:val="24"/>
          <w:szCs w:val="24"/>
        </w:rPr>
      </w:pPr>
      <w:r w:rsidRPr="00E02C47">
        <w:rPr>
          <w:b/>
          <w:sz w:val="24"/>
          <w:szCs w:val="24"/>
        </w:rPr>
        <w:t>4.3</w:t>
      </w:r>
      <w:r w:rsidRPr="00E02C47">
        <w:rPr>
          <w:b/>
          <w:sz w:val="24"/>
          <w:szCs w:val="24"/>
        </w:rPr>
        <w:tab/>
        <w:t>Kontraindikationer</w:t>
      </w:r>
    </w:p>
    <w:p w14:paraId="7526BD80"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Immundefektsyndrom. </w:t>
      </w:r>
    </w:p>
    <w:p w14:paraId="6A40CEDC"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øget risiko for opportunistiske infektioner inklusive immunkompromitterede patienter (inklusive dem som er i immunosuppressiv behandling, eller dem som er immunkompromitterede af tidligere behandlinger). </w:t>
      </w:r>
    </w:p>
    <w:p w14:paraId="534CB566"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Alvorlige aktive infektioner, aktive kroniske infektioner (hepatitis, tuberkulose). </w:t>
      </w:r>
    </w:p>
    <w:p w14:paraId="40D7DDFA"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Aktive maligniteter. </w:t>
      </w:r>
    </w:p>
    <w:p w14:paraId="346B8415"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Svært nedsat leverfunktion (Child-Pugh klasse C). </w:t>
      </w:r>
    </w:p>
    <w:p w14:paraId="1BB6DF51"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som i de foregående 6 måneder har haft myokardieinfarkt (MI), ustabil angina pectoris, slagtilfælde/transitorisk iskæmisk anfald (TIA), dekompenseret hjertesvigt </w:t>
      </w:r>
    </w:p>
    <w:p w14:paraId="51A1D70E"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(behandlingskrævende) eller New York Heart Association (NYHA) klasse III/IV-hjertesvigt (se pkt. 4.4). </w:t>
      </w:r>
    </w:p>
    <w:p w14:paraId="48C40981"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alvorlig hjertearytmi, der kræver anti-arytmisk behandling med klasse Ia eller klasse III- anti-arytmiske lægemidler (se pkt. 4.4). </w:t>
      </w:r>
    </w:p>
    <w:p w14:paraId="23AD7667"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2. grads Mobitz type II-atrioventrikulær (AV) blok, 3. grads AV-blok eller </w:t>
      </w:r>
      <w:proofErr w:type="gramStart"/>
      <w:r w:rsidRPr="00E02C47">
        <w:rPr>
          <w:sz w:val="24"/>
          <w:szCs w:val="24"/>
          <w:lang w:bidi="da-DK"/>
        </w:rPr>
        <w:t>syg sinussyndrom</w:t>
      </w:r>
      <w:proofErr w:type="gramEnd"/>
      <w:r w:rsidRPr="00E02C47">
        <w:rPr>
          <w:sz w:val="24"/>
          <w:szCs w:val="24"/>
          <w:lang w:bidi="da-DK"/>
        </w:rPr>
        <w:t xml:space="preserve">, hvis de ikke har en pacemaker (se pkt. 4.4). </w:t>
      </w:r>
    </w:p>
    <w:p w14:paraId="50A40D68"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Patienter med et baseline QTc-interval på ≥ 500 msek (se pkt. 4.4). </w:t>
      </w:r>
    </w:p>
    <w:p w14:paraId="40A32D44"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Under graviditet og til fertile kvinder, der ikke anvender effektiv kontraception (se pkt. 4.4 og 4.6). </w:t>
      </w:r>
    </w:p>
    <w:p w14:paraId="4F0C656A" w14:textId="77777777" w:rsidR="00C52491" w:rsidRPr="00E02C47" w:rsidRDefault="00C52491" w:rsidP="00E02C47">
      <w:pPr>
        <w:pStyle w:val="Listeafsnit"/>
        <w:numPr>
          <w:ilvl w:val="0"/>
          <w:numId w:val="13"/>
        </w:numPr>
        <w:ind w:left="1276" w:hanging="425"/>
        <w:rPr>
          <w:sz w:val="24"/>
          <w:szCs w:val="24"/>
          <w:lang w:bidi="da-DK"/>
        </w:rPr>
      </w:pPr>
      <w:r w:rsidRPr="00E02C47">
        <w:rPr>
          <w:sz w:val="24"/>
          <w:szCs w:val="24"/>
          <w:lang w:bidi="da-DK"/>
        </w:rPr>
        <w:t xml:space="preserve">Overfølsomhed over for det aktive stof eller over for et eller flere af hjælpestofferne anført i pkt. 6.1. </w:t>
      </w:r>
    </w:p>
    <w:p w14:paraId="3BD66DA0" w14:textId="77777777" w:rsidR="009260DE" w:rsidRPr="00E02C47" w:rsidRDefault="009260DE" w:rsidP="009260DE">
      <w:pPr>
        <w:tabs>
          <w:tab w:val="left" w:pos="851"/>
        </w:tabs>
        <w:ind w:left="851"/>
        <w:rPr>
          <w:sz w:val="24"/>
          <w:szCs w:val="24"/>
        </w:rPr>
      </w:pPr>
    </w:p>
    <w:p w14:paraId="2C385C08" w14:textId="77777777" w:rsidR="009260DE" w:rsidRPr="00E02C47" w:rsidRDefault="009260DE" w:rsidP="009260DE">
      <w:pPr>
        <w:tabs>
          <w:tab w:val="left" w:pos="851"/>
        </w:tabs>
        <w:ind w:left="851" w:hanging="851"/>
        <w:rPr>
          <w:b/>
          <w:sz w:val="24"/>
          <w:szCs w:val="24"/>
        </w:rPr>
      </w:pPr>
      <w:r w:rsidRPr="00E02C47">
        <w:rPr>
          <w:b/>
          <w:sz w:val="24"/>
          <w:szCs w:val="24"/>
        </w:rPr>
        <w:t>4.4</w:t>
      </w:r>
      <w:r w:rsidRPr="00E02C47">
        <w:rPr>
          <w:b/>
          <w:sz w:val="24"/>
          <w:szCs w:val="24"/>
        </w:rPr>
        <w:tab/>
        <w:t>Særlige advarsler og forsigtighedsregler vedrørende brugen</w:t>
      </w:r>
    </w:p>
    <w:p w14:paraId="6B9FB157" w14:textId="77777777" w:rsidR="00841FA8" w:rsidRDefault="00841FA8" w:rsidP="003807FC">
      <w:pPr>
        <w:ind w:left="851"/>
        <w:rPr>
          <w:noProof/>
          <w:sz w:val="24"/>
          <w:szCs w:val="24"/>
          <w:lang w:bidi="da-DK"/>
        </w:rPr>
      </w:pPr>
    </w:p>
    <w:p w14:paraId="23D15E40" w14:textId="276F15AF" w:rsidR="00C52491" w:rsidRPr="00841FA8" w:rsidRDefault="00C52491" w:rsidP="003807FC">
      <w:pPr>
        <w:ind w:left="851"/>
        <w:rPr>
          <w:noProof/>
          <w:sz w:val="24"/>
          <w:szCs w:val="24"/>
          <w:u w:val="single"/>
          <w:lang w:val="fr-FR"/>
        </w:rPr>
      </w:pPr>
      <w:r w:rsidRPr="00841FA8">
        <w:rPr>
          <w:noProof/>
          <w:sz w:val="24"/>
          <w:szCs w:val="24"/>
          <w:u w:val="single"/>
          <w:lang w:bidi="da-DK"/>
        </w:rPr>
        <w:t>Bradyarytmi</w:t>
      </w:r>
    </w:p>
    <w:p w14:paraId="32198136" w14:textId="77777777" w:rsidR="00C52491" w:rsidRPr="00E02C47" w:rsidRDefault="00C52491" w:rsidP="003807FC">
      <w:pPr>
        <w:ind w:left="851"/>
        <w:rPr>
          <w:sz w:val="24"/>
          <w:szCs w:val="24"/>
        </w:rPr>
      </w:pPr>
      <w:r w:rsidRPr="00E02C47">
        <w:rPr>
          <w:sz w:val="24"/>
          <w:szCs w:val="24"/>
        </w:rPr>
        <w:t xml:space="preserve">Påbegyndelse af behandling medfører et forbigående fald i hjertefrekvensen og kan også være forbundet med forsinkelse i den atrioventrikulære impulsoverledning, inklusive forbigående, spontant ophørende komplet AV-blok i enkeltstående tilfælde (se pkt. 4.8 og 5.1). </w:t>
      </w:r>
    </w:p>
    <w:p w14:paraId="177EC4CB" w14:textId="68633D7B" w:rsidR="00C52491" w:rsidRPr="00E02C47" w:rsidRDefault="00C52491" w:rsidP="003807FC">
      <w:pPr>
        <w:ind w:left="851"/>
        <w:rPr>
          <w:sz w:val="24"/>
          <w:szCs w:val="24"/>
        </w:rPr>
      </w:pPr>
    </w:p>
    <w:p w14:paraId="755060DB" w14:textId="77777777" w:rsidR="00C52491" w:rsidRPr="00E02C47" w:rsidRDefault="00C52491" w:rsidP="003807FC">
      <w:pPr>
        <w:ind w:left="851"/>
        <w:rPr>
          <w:sz w:val="24"/>
          <w:szCs w:val="24"/>
        </w:rPr>
      </w:pPr>
      <w:r w:rsidRPr="00E02C47">
        <w:rPr>
          <w:sz w:val="24"/>
          <w:szCs w:val="24"/>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fingolimod-induceret fald i hjertefrekvensen reverteres med parenterale doser af atropin eller isoprenalin. </w:t>
      </w:r>
    </w:p>
    <w:p w14:paraId="27A0ABD8" w14:textId="423A80A9" w:rsidR="00C52491" w:rsidRPr="00E02C47" w:rsidRDefault="00C52491" w:rsidP="003807FC">
      <w:pPr>
        <w:ind w:left="851"/>
        <w:rPr>
          <w:sz w:val="24"/>
          <w:szCs w:val="24"/>
        </w:rPr>
      </w:pPr>
    </w:p>
    <w:p w14:paraId="59ED41BA" w14:textId="12E299AC" w:rsidR="00C52491" w:rsidRPr="00E02C47" w:rsidRDefault="00C52491" w:rsidP="003807FC">
      <w:pPr>
        <w:ind w:left="851"/>
        <w:rPr>
          <w:sz w:val="24"/>
          <w:szCs w:val="24"/>
        </w:rPr>
      </w:pPr>
      <w:r w:rsidRPr="00E02C47">
        <w:rPr>
          <w:sz w:val="24"/>
          <w:szCs w:val="24"/>
        </w:rPr>
        <w:t>Alle patienter skal have optaget ekg og målt blodtryk før og 6 timer efter den fø</w:t>
      </w:r>
      <w:r w:rsidR="00194BC2">
        <w:rPr>
          <w:sz w:val="24"/>
          <w:szCs w:val="24"/>
        </w:rPr>
        <w:t>r</w:t>
      </w:r>
      <w:r w:rsidRPr="00E02C47">
        <w:rPr>
          <w:sz w:val="24"/>
          <w:szCs w:val="24"/>
        </w:rPr>
        <w:t xml:space="preserve">ste dosis af Fingolimod </w:t>
      </w:r>
      <w:r w:rsidR="00362304">
        <w:rPr>
          <w:sz w:val="24"/>
          <w:szCs w:val="24"/>
        </w:rPr>
        <w:t>"Pharmaselect"</w:t>
      </w:r>
      <w:r w:rsidRPr="00E02C47">
        <w:rPr>
          <w:sz w:val="24"/>
          <w:szCs w:val="24"/>
        </w:rPr>
        <w:t>. Alle patienter skal monitoreres i 6 timer for symptomer på bradykardi med måling af puls og blodtryk hver time. Kontinuerlig (</w:t>
      </w:r>
      <w:r w:rsidRPr="00E02C47">
        <w:rPr>
          <w:i/>
          <w:sz w:val="24"/>
          <w:szCs w:val="24"/>
        </w:rPr>
        <w:t>real time</w:t>
      </w:r>
      <w:r w:rsidRPr="00E02C47">
        <w:rPr>
          <w:sz w:val="24"/>
          <w:szCs w:val="24"/>
        </w:rPr>
        <w:t xml:space="preserve">) ekg-monitorering i 6-timers-perioden anbefales. </w:t>
      </w:r>
    </w:p>
    <w:p w14:paraId="7DFF689D" w14:textId="50112B00" w:rsidR="00C52491" w:rsidRPr="00E02C47" w:rsidRDefault="00C52491" w:rsidP="003807FC">
      <w:pPr>
        <w:ind w:left="851"/>
        <w:rPr>
          <w:sz w:val="24"/>
          <w:szCs w:val="24"/>
        </w:rPr>
      </w:pPr>
    </w:p>
    <w:p w14:paraId="4A5D4C64" w14:textId="77777777" w:rsidR="00C52491" w:rsidRPr="00E02C47" w:rsidRDefault="00C52491" w:rsidP="003807FC">
      <w:pPr>
        <w:ind w:left="851"/>
        <w:rPr>
          <w:sz w:val="24"/>
          <w:szCs w:val="24"/>
        </w:rPr>
      </w:pPr>
      <w:r w:rsidRPr="00E02C47">
        <w:rPr>
          <w:sz w:val="24"/>
          <w:szCs w:val="24"/>
        </w:rPr>
        <w:t xml:space="preserve">De samme forsigtighedsregler som ved første dosis anbefales, når patienter overgår fra en daglig dosis på 0,25 mg til 0,5 mg. </w:t>
      </w:r>
    </w:p>
    <w:p w14:paraId="78486DD1" w14:textId="5966993A" w:rsidR="00C52491" w:rsidRPr="00E02C47" w:rsidRDefault="00C52491" w:rsidP="003807FC">
      <w:pPr>
        <w:ind w:left="851"/>
        <w:rPr>
          <w:sz w:val="24"/>
          <w:szCs w:val="24"/>
        </w:rPr>
      </w:pPr>
    </w:p>
    <w:p w14:paraId="0DA9F4CC" w14:textId="58C3EFED" w:rsidR="00C52491" w:rsidRPr="00E02C47" w:rsidRDefault="00C52491" w:rsidP="003807FC">
      <w:pPr>
        <w:ind w:left="851"/>
        <w:rPr>
          <w:sz w:val="24"/>
          <w:szCs w:val="24"/>
        </w:rPr>
      </w:pPr>
      <w:r w:rsidRPr="00E02C47">
        <w:rPr>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Fingolimod </w:t>
      </w:r>
      <w:r w:rsidR="00362304">
        <w:rPr>
          <w:sz w:val="24"/>
          <w:szCs w:val="24"/>
        </w:rPr>
        <w:t>"Pharmaselect"</w:t>
      </w:r>
      <w:r w:rsidRPr="00E02C47">
        <w:rPr>
          <w:sz w:val="24"/>
          <w:szCs w:val="24"/>
        </w:rPr>
        <w:t xml:space="preserve">. </w:t>
      </w:r>
    </w:p>
    <w:p w14:paraId="4C20F1FA" w14:textId="3DAB6C2D" w:rsidR="00C52491" w:rsidRPr="00E02C47" w:rsidRDefault="00C52491" w:rsidP="003807FC">
      <w:pPr>
        <w:ind w:left="851"/>
        <w:rPr>
          <w:sz w:val="24"/>
          <w:szCs w:val="24"/>
        </w:rPr>
      </w:pPr>
    </w:p>
    <w:p w14:paraId="26EFE2AE" w14:textId="19A9EC16" w:rsidR="00C52491" w:rsidRPr="00E02C47" w:rsidRDefault="00C52491" w:rsidP="003807FC">
      <w:pPr>
        <w:ind w:left="851"/>
        <w:rPr>
          <w:sz w:val="24"/>
          <w:szCs w:val="24"/>
        </w:rPr>
      </w:pPr>
      <w:r w:rsidRPr="00E02C47">
        <w:rPr>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QTc-interval ≥500 msek., skal der også foretages forlænget monito</w:t>
      </w:r>
      <w:r w:rsidR="00263A54">
        <w:rPr>
          <w:sz w:val="24"/>
          <w:szCs w:val="24"/>
        </w:rPr>
        <w:t>re</w:t>
      </w:r>
      <w:r w:rsidRPr="00E02C47">
        <w:rPr>
          <w:sz w:val="24"/>
          <w:szCs w:val="24"/>
        </w:rPr>
        <w:t xml:space="preserve">ring (monitorering mindst natten over), og indtil tilstanden er ophørt. Tilstedeværelse af 3. grads AV-blok på et hvilket som helst tidspunkt skal også medføre forlænget monitorering (monitorering mindst natten over). </w:t>
      </w:r>
    </w:p>
    <w:p w14:paraId="5BD80566" w14:textId="7461D7A1" w:rsidR="00C52491" w:rsidRPr="00E02C47" w:rsidRDefault="00C52491" w:rsidP="003807FC">
      <w:pPr>
        <w:ind w:left="851"/>
        <w:rPr>
          <w:sz w:val="24"/>
          <w:szCs w:val="24"/>
        </w:rPr>
      </w:pPr>
    </w:p>
    <w:p w14:paraId="0954123E" w14:textId="77777777" w:rsidR="00C52491" w:rsidRPr="00E02C47" w:rsidRDefault="00C52491" w:rsidP="003807FC">
      <w:pPr>
        <w:ind w:left="851"/>
        <w:rPr>
          <w:sz w:val="24"/>
          <w:szCs w:val="24"/>
        </w:rPr>
      </w:pPr>
      <w:r w:rsidRPr="00E02C47">
        <w:rPr>
          <w:sz w:val="24"/>
          <w:szCs w:val="24"/>
        </w:rPr>
        <w:t xml:space="preserve">Virkningerne på hjertefrekvensen og den atrioventrikulære impulsoverledning kan forekomme igen, når behandlingen med fingolimod genoptages, afhængigt af varigheden af afbrydelse i behandlingen og tiden siden start af behandling. Det anbefales at udføre samme første-dosis-monitorering som ved behandlingsstart, når behandling har været afbrudt (se pkt. 4.2). </w:t>
      </w:r>
    </w:p>
    <w:p w14:paraId="794C957C" w14:textId="689A4128" w:rsidR="00C52491" w:rsidRPr="00E02C47" w:rsidRDefault="00C52491" w:rsidP="003807FC">
      <w:pPr>
        <w:ind w:left="851"/>
        <w:rPr>
          <w:sz w:val="24"/>
          <w:szCs w:val="24"/>
        </w:rPr>
      </w:pPr>
    </w:p>
    <w:p w14:paraId="0A0FA266" w14:textId="77777777" w:rsidR="00C52491" w:rsidRPr="00E02C47" w:rsidRDefault="00C52491" w:rsidP="003807FC">
      <w:pPr>
        <w:ind w:left="851"/>
        <w:rPr>
          <w:sz w:val="24"/>
          <w:szCs w:val="24"/>
        </w:rPr>
      </w:pPr>
      <w:r w:rsidRPr="00E02C47">
        <w:rPr>
          <w:sz w:val="24"/>
          <w:szCs w:val="24"/>
        </w:rPr>
        <w:t xml:space="preserve">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kardiolog. </w:t>
      </w:r>
    </w:p>
    <w:p w14:paraId="14D5C959" w14:textId="00C29D89" w:rsidR="00C52491" w:rsidRPr="00E02C47" w:rsidRDefault="00C52491" w:rsidP="003807FC">
      <w:pPr>
        <w:ind w:left="851"/>
        <w:rPr>
          <w:sz w:val="24"/>
          <w:szCs w:val="24"/>
        </w:rPr>
      </w:pPr>
    </w:p>
    <w:p w14:paraId="689A07D6" w14:textId="6F601E00" w:rsidR="00C52491" w:rsidRPr="00E02C47" w:rsidRDefault="00C52491" w:rsidP="003807FC">
      <w:pPr>
        <w:ind w:left="851"/>
        <w:rPr>
          <w:sz w:val="24"/>
          <w:szCs w:val="24"/>
        </w:rPr>
      </w:pPr>
      <w:r w:rsidRPr="00E02C47">
        <w:rPr>
          <w:sz w:val="24"/>
          <w:szCs w:val="24"/>
        </w:rPr>
        <w:t xml:space="preserve">På grund af risiko for alvorlige rytmeforstyrrelser eller signifikant bradykardi bør Fingolimod </w:t>
      </w:r>
      <w:r w:rsidR="00362304">
        <w:rPr>
          <w:sz w:val="24"/>
          <w:szCs w:val="24"/>
        </w:rPr>
        <w:t>"Pharmaselect"</w:t>
      </w:r>
      <w:r w:rsidRPr="00E02C47">
        <w:rPr>
          <w:sz w:val="24"/>
          <w:szCs w:val="24"/>
        </w:rPr>
        <w:t xml:space="preserve"> ikke anvendes til patienter med sinuatrialt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Fingolimod </w:t>
      </w:r>
      <w:r w:rsidR="00362304">
        <w:rPr>
          <w:sz w:val="24"/>
          <w:szCs w:val="24"/>
        </w:rPr>
        <w:t>"Pharmaselect"</w:t>
      </w:r>
      <w:r w:rsidRPr="00E02C47">
        <w:rPr>
          <w:sz w:val="24"/>
          <w:szCs w:val="24"/>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 </w:t>
      </w:r>
    </w:p>
    <w:p w14:paraId="782B98E5" w14:textId="452249DD" w:rsidR="00C52491" w:rsidRPr="00E02C47" w:rsidRDefault="00C52491" w:rsidP="003807FC">
      <w:pPr>
        <w:ind w:left="851"/>
        <w:rPr>
          <w:sz w:val="24"/>
          <w:szCs w:val="24"/>
        </w:rPr>
      </w:pPr>
    </w:p>
    <w:p w14:paraId="3B958892" w14:textId="34F715B1" w:rsidR="00C52491" w:rsidRPr="00E02C47" w:rsidRDefault="00C52491" w:rsidP="003807FC">
      <w:pPr>
        <w:ind w:left="851"/>
        <w:rPr>
          <w:sz w:val="24"/>
          <w:szCs w:val="24"/>
        </w:rPr>
      </w:pPr>
      <w:r w:rsidRPr="00E02C47">
        <w:rPr>
          <w:sz w:val="24"/>
          <w:szCs w:val="24"/>
        </w:rPr>
        <w:t>Fingolimod er ikke undersøgt hos patienter med arytmier, som kræver behandling med antiarytmika af klasse Ia (</w:t>
      </w:r>
      <w:r w:rsidR="00263A54">
        <w:rPr>
          <w:sz w:val="24"/>
          <w:szCs w:val="24"/>
        </w:rPr>
        <w:t>f.eks.</w:t>
      </w:r>
      <w:r w:rsidRPr="00E02C47">
        <w:rPr>
          <w:sz w:val="24"/>
          <w:szCs w:val="24"/>
        </w:rPr>
        <w:t xml:space="preserve"> quinidin, disopyramid) eller klasse III (</w:t>
      </w:r>
      <w:r w:rsidR="00263A54">
        <w:rPr>
          <w:sz w:val="24"/>
          <w:szCs w:val="24"/>
        </w:rPr>
        <w:t>f.eks.</w:t>
      </w:r>
      <w:r w:rsidRPr="00E02C47">
        <w:rPr>
          <w:sz w:val="24"/>
          <w:szCs w:val="24"/>
        </w:rPr>
        <w:t xml:space="preserve"> amiodaron, sotalol). Lægemidler af klasse Ia og III mod arytmi er sat i forbindelse med tilfælde af torsades de pointes hos patienter med bradykardi (se pkt. 4.3). </w:t>
      </w:r>
    </w:p>
    <w:p w14:paraId="72A51AC8" w14:textId="4F788CDC" w:rsidR="00C52491" w:rsidRPr="00E02C47" w:rsidRDefault="00C52491" w:rsidP="003807FC">
      <w:pPr>
        <w:ind w:left="851"/>
        <w:rPr>
          <w:sz w:val="24"/>
          <w:szCs w:val="24"/>
        </w:rPr>
      </w:pPr>
    </w:p>
    <w:p w14:paraId="43017161" w14:textId="55D7A29F" w:rsidR="00C52491" w:rsidRPr="00E02C47" w:rsidRDefault="00C52491" w:rsidP="003807FC">
      <w:pPr>
        <w:ind w:left="851"/>
        <w:rPr>
          <w:sz w:val="24"/>
          <w:szCs w:val="24"/>
        </w:rPr>
      </w:pPr>
      <w:r w:rsidRPr="00E02C47">
        <w:rPr>
          <w:sz w:val="24"/>
          <w:szCs w:val="24"/>
        </w:rPr>
        <w:t xml:space="preserve">Der er begrænset erfaring med fingolimod til patienter, der samtidig er i behandling med betablokkere, calciumantagonister, som sænker hjertefrekvensen (som </w:t>
      </w:r>
      <w:r w:rsidR="00263A54">
        <w:rPr>
          <w:sz w:val="24"/>
          <w:szCs w:val="24"/>
        </w:rPr>
        <w:t>f.eks.</w:t>
      </w:r>
      <w:r w:rsidRPr="00E02C47">
        <w:rPr>
          <w:sz w:val="24"/>
          <w:szCs w:val="24"/>
        </w:rPr>
        <w:t xml:space="preserve"> verapamil eller diltiazem) eller andre lægemidler, der kan sænke hjertefrekvensen (</w:t>
      </w:r>
      <w:r w:rsidR="00263A54">
        <w:rPr>
          <w:sz w:val="24"/>
          <w:szCs w:val="24"/>
        </w:rPr>
        <w:t>f.eks.</w:t>
      </w:r>
      <w:r w:rsidRPr="00E02C47">
        <w:rPr>
          <w:sz w:val="24"/>
          <w:szCs w:val="24"/>
        </w:rPr>
        <w:t xml:space="preserve"> ivabradin, </w:t>
      </w:r>
      <w:r w:rsidRPr="00E02C47">
        <w:rPr>
          <w:sz w:val="24"/>
          <w:szCs w:val="24"/>
        </w:rPr>
        <w:lastRenderedPageBreak/>
        <w:t xml:space="preserve">digoxin, kolinesterasehæmmere eller pilocarpin). Da behandlingsstart med fingolimod også er forbundet med fald i hjertefrekvensen (se også pkt. 4.8, Bradykardi), kan samtidig anvendelse af disse stoffer under initiering af behandling være forbundet med alvorlig bradykardi og hjerteblok. På grund af den potentielle additive virkning på hjertefrekvensen bør behandling med Fingolimod </w:t>
      </w:r>
      <w:r w:rsidR="00362304">
        <w:rPr>
          <w:sz w:val="24"/>
          <w:szCs w:val="24"/>
        </w:rPr>
        <w:t>"Pharmaselect"</w:t>
      </w:r>
      <w:r w:rsidRPr="00E02C47">
        <w:rPr>
          <w:sz w:val="24"/>
          <w:szCs w:val="24"/>
        </w:rPr>
        <w:t xml:space="preserve"> ikke startes hos patienter, som samtidig er i behandling med disse lægemidler (se også pkt. 4.5). Til disse patienter skal behandling med Fingolimod </w:t>
      </w:r>
      <w:r w:rsidR="00362304">
        <w:rPr>
          <w:sz w:val="24"/>
          <w:szCs w:val="24"/>
        </w:rPr>
        <w:t>"Pharmaselect"</w:t>
      </w:r>
      <w:r w:rsidRPr="00E02C47">
        <w:rPr>
          <w:sz w:val="24"/>
          <w:szCs w:val="24"/>
        </w:rPr>
        <w:t xml:space="preserve"> kun overvejes, hvis de forventede fordele opvejer de mulige risici. Hvis behandling med Fingolimod </w:t>
      </w:r>
      <w:r w:rsidR="00362304">
        <w:rPr>
          <w:sz w:val="24"/>
          <w:szCs w:val="24"/>
        </w:rPr>
        <w:t>"Pharmaselect"</w:t>
      </w:r>
      <w:r w:rsidRPr="00E02C47">
        <w:rPr>
          <w:sz w:val="24"/>
          <w:szCs w:val="24"/>
        </w:rPr>
        <w:t xml:space="preserve"> overvejes, bør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 </w:t>
      </w:r>
    </w:p>
    <w:p w14:paraId="2967607E" w14:textId="77777777" w:rsidR="00C52491" w:rsidRPr="00E02C47" w:rsidRDefault="00C52491" w:rsidP="003807FC">
      <w:pPr>
        <w:ind w:left="851"/>
        <w:rPr>
          <w:noProof/>
          <w:sz w:val="24"/>
          <w:szCs w:val="24"/>
        </w:rPr>
      </w:pPr>
    </w:p>
    <w:p w14:paraId="7DED9BD5" w14:textId="77777777" w:rsidR="00C52491" w:rsidRPr="00841FA8" w:rsidRDefault="00C52491" w:rsidP="003807FC">
      <w:pPr>
        <w:ind w:left="851"/>
        <w:rPr>
          <w:noProof/>
          <w:sz w:val="24"/>
          <w:szCs w:val="24"/>
          <w:u w:val="single"/>
        </w:rPr>
      </w:pPr>
      <w:r w:rsidRPr="00841FA8">
        <w:rPr>
          <w:noProof/>
          <w:sz w:val="24"/>
          <w:szCs w:val="24"/>
          <w:u w:val="single"/>
          <w:lang w:bidi="da-DK"/>
        </w:rPr>
        <w:t>QT-interval</w:t>
      </w:r>
    </w:p>
    <w:p w14:paraId="1F804752" w14:textId="4EC485B7" w:rsidR="00C52491" w:rsidRPr="00E02C47" w:rsidRDefault="00C52491" w:rsidP="003807FC">
      <w:pPr>
        <w:ind w:left="851"/>
        <w:rPr>
          <w:sz w:val="24"/>
          <w:szCs w:val="24"/>
        </w:rPr>
      </w:pPr>
      <w:r w:rsidRPr="00E02C47">
        <w:rPr>
          <w:sz w:val="24"/>
          <w:szCs w:val="24"/>
        </w:rPr>
        <w:t xml:space="preserve">I en grundig QT-intervalundersøgelse med doser på 1,25 og 2,5 mg fingolimod ved </w:t>
      </w:r>
      <w:r w:rsidRPr="00E02C47">
        <w:rPr>
          <w:i/>
          <w:sz w:val="24"/>
          <w:szCs w:val="24"/>
        </w:rPr>
        <w:t>steady state</w:t>
      </w:r>
      <w:r w:rsidRPr="00E02C47">
        <w:rPr>
          <w:sz w:val="24"/>
          <w:szCs w:val="24"/>
        </w:rPr>
        <w:t>, medens en negativ kronotropisk virkning af fingolimod stadig var til stede, medførte behandling med fingolimod en forlængelse af QTc-intervallet med en øvre grænse for 90</w:t>
      </w:r>
      <w:r w:rsidR="00263A54">
        <w:rPr>
          <w:sz w:val="24"/>
          <w:szCs w:val="24"/>
        </w:rPr>
        <w:t> </w:t>
      </w:r>
      <w:r w:rsidRPr="00E02C47">
        <w:rPr>
          <w:sz w:val="24"/>
          <w:szCs w:val="24"/>
        </w:rPr>
        <w:t>% CI ≤13,0 ms. Der er ingen forbindelse mellem fingolimods dosis- eller eksponering</w:t>
      </w:r>
      <w:r w:rsidR="00263A54">
        <w:rPr>
          <w:sz w:val="24"/>
          <w:szCs w:val="24"/>
        </w:rPr>
        <w:t>s</w:t>
      </w:r>
      <w:r w:rsidRPr="00E02C47">
        <w:rPr>
          <w:sz w:val="24"/>
          <w:szCs w:val="24"/>
        </w:rPr>
        <w:t xml:space="preserve">respons og forlængelsen af QTc-intervallet. Der er ikke noget konsekvent signal om øget forekomst af QTc-interval-outliers forbundet med behandling med fingolimod, hverken absolut eller i form af en ændring i forhold til udgangsværdien. </w:t>
      </w:r>
    </w:p>
    <w:p w14:paraId="173CE1E5" w14:textId="5EC0B69A" w:rsidR="00C52491" w:rsidRPr="00E02C47" w:rsidRDefault="00C52491" w:rsidP="003807FC">
      <w:pPr>
        <w:ind w:left="851"/>
        <w:rPr>
          <w:sz w:val="24"/>
          <w:szCs w:val="24"/>
        </w:rPr>
      </w:pPr>
    </w:p>
    <w:p w14:paraId="15B2BE26" w14:textId="77777777" w:rsidR="00C52491" w:rsidRPr="00E02C47" w:rsidRDefault="00C52491" w:rsidP="003807FC">
      <w:pPr>
        <w:ind w:left="851"/>
        <w:rPr>
          <w:sz w:val="24"/>
          <w:szCs w:val="24"/>
        </w:rPr>
      </w:pPr>
      <w:r w:rsidRPr="00E02C47">
        <w:rPr>
          <w:sz w:val="24"/>
          <w:szCs w:val="24"/>
        </w:rPr>
        <w:t xml:space="preserve">Den kliniske relevans af disse fund er ikke kendt. Der er ikke set klinisk relevant forlængelse af QTcintervallet i </w:t>
      </w:r>
      <w:proofErr w:type="gramStart"/>
      <w:r w:rsidRPr="00E02C47">
        <w:rPr>
          <w:sz w:val="24"/>
          <w:szCs w:val="24"/>
        </w:rPr>
        <w:t>multipel</w:t>
      </w:r>
      <w:proofErr w:type="gramEnd"/>
      <w:r w:rsidRPr="00E02C47">
        <w:rPr>
          <w:sz w:val="24"/>
          <w:szCs w:val="24"/>
        </w:rPr>
        <w:t xml:space="preserve"> sklerosestudier, men patienter med risiko for QT-forlængelse blev ikke inkluderet i de kliniske forsøg. </w:t>
      </w:r>
    </w:p>
    <w:p w14:paraId="053574E0" w14:textId="222A1441" w:rsidR="00C52491" w:rsidRPr="00E02C47" w:rsidRDefault="00C52491" w:rsidP="003807FC">
      <w:pPr>
        <w:ind w:left="851"/>
        <w:rPr>
          <w:sz w:val="24"/>
          <w:szCs w:val="24"/>
        </w:rPr>
      </w:pPr>
    </w:p>
    <w:p w14:paraId="6ED16A46" w14:textId="6226786E" w:rsidR="00C52491" w:rsidRPr="00E02C47" w:rsidRDefault="00C52491" w:rsidP="003807FC">
      <w:pPr>
        <w:ind w:left="851"/>
        <w:rPr>
          <w:sz w:val="24"/>
          <w:szCs w:val="24"/>
        </w:rPr>
      </w:pPr>
      <w:r w:rsidRPr="00E02C47">
        <w:rPr>
          <w:sz w:val="24"/>
          <w:szCs w:val="24"/>
        </w:rPr>
        <w:t xml:space="preserve">Man bør undgå behandling med lægemidler, som kan forlænge QT-intervallet, hos patienter med relevante risikofaktorer som </w:t>
      </w:r>
      <w:r w:rsidR="00263A54">
        <w:rPr>
          <w:sz w:val="24"/>
          <w:szCs w:val="24"/>
        </w:rPr>
        <w:t>f.eks.</w:t>
      </w:r>
      <w:r w:rsidRPr="00E02C47">
        <w:rPr>
          <w:sz w:val="24"/>
          <w:szCs w:val="24"/>
        </w:rPr>
        <w:t xml:space="preserve"> hypokaliæmi eller medfødt QT-forlængelse. </w:t>
      </w:r>
    </w:p>
    <w:p w14:paraId="72E6E268" w14:textId="77777777" w:rsidR="00C52491" w:rsidRPr="00E02C47" w:rsidRDefault="00C52491" w:rsidP="003807FC">
      <w:pPr>
        <w:ind w:left="851"/>
        <w:rPr>
          <w:noProof/>
          <w:sz w:val="24"/>
          <w:szCs w:val="24"/>
        </w:rPr>
      </w:pPr>
    </w:p>
    <w:p w14:paraId="1E88AE0A" w14:textId="77777777" w:rsidR="00C52491" w:rsidRPr="00841FA8" w:rsidRDefault="00C52491" w:rsidP="003807FC">
      <w:pPr>
        <w:ind w:left="851"/>
        <w:rPr>
          <w:noProof/>
          <w:sz w:val="24"/>
          <w:szCs w:val="24"/>
          <w:u w:val="single"/>
          <w:lang w:val="nl-NL"/>
        </w:rPr>
      </w:pPr>
      <w:r w:rsidRPr="00841FA8">
        <w:rPr>
          <w:noProof/>
          <w:sz w:val="24"/>
          <w:szCs w:val="24"/>
          <w:u w:val="single"/>
          <w:lang w:bidi="da-DK"/>
        </w:rPr>
        <w:t>Immunosuppressive virkninger</w:t>
      </w:r>
    </w:p>
    <w:p w14:paraId="7C896BA7" w14:textId="77777777" w:rsidR="00C52491" w:rsidRPr="00E02C47" w:rsidRDefault="00C52491" w:rsidP="003807FC">
      <w:pPr>
        <w:ind w:left="851"/>
        <w:rPr>
          <w:sz w:val="24"/>
          <w:szCs w:val="24"/>
        </w:rPr>
      </w:pPr>
      <w:r w:rsidRPr="00E02C47">
        <w:rPr>
          <w:sz w:val="24"/>
          <w:szCs w:val="24"/>
        </w:rPr>
        <w:t xml:space="preserve">Fingolimod har en immunosuppressiv effekt,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immunosuppressiv behandling. Hvis der er formodning om, at denne risiko foreligger, skal seponering af behandlingen overvejes af lægen i hvert enkelt tilfælde (se også pkt. 4.4 ”Infektioner” og ”Kutane neoplasmer” og pkt. 4.8 </w:t>
      </w:r>
    </w:p>
    <w:p w14:paraId="3EF3E472" w14:textId="77777777" w:rsidR="00C52491" w:rsidRPr="00E02C47" w:rsidRDefault="00C52491" w:rsidP="003807FC">
      <w:pPr>
        <w:ind w:left="851"/>
        <w:rPr>
          <w:sz w:val="24"/>
          <w:szCs w:val="24"/>
        </w:rPr>
      </w:pPr>
      <w:r w:rsidRPr="00E02C47">
        <w:rPr>
          <w:sz w:val="24"/>
          <w:szCs w:val="24"/>
        </w:rPr>
        <w:t xml:space="preserve">”Lymfomer”). </w:t>
      </w:r>
    </w:p>
    <w:p w14:paraId="2D8FD024" w14:textId="77777777" w:rsidR="00C52491" w:rsidRPr="00E02C47" w:rsidRDefault="00C52491" w:rsidP="003807FC">
      <w:pPr>
        <w:ind w:left="851"/>
        <w:rPr>
          <w:noProof/>
          <w:sz w:val="24"/>
          <w:szCs w:val="24"/>
        </w:rPr>
      </w:pPr>
    </w:p>
    <w:p w14:paraId="0130D00C" w14:textId="77777777" w:rsidR="00C52491" w:rsidRPr="00841FA8" w:rsidRDefault="00C52491" w:rsidP="003807FC">
      <w:pPr>
        <w:ind w:left="851"/>
        <w:rPr>
          <w:noProof/>
          <w:sz w:val="24"/>
          <w:szCs w:val="24"/>
          <w:u w:val="single"/>
        </w:rPr>
      </w:pPr>
      <w:r w:rsidRPr="00841FA8">
        <w:rPr>
          <w:noProof/>
          <w:sz w:val="24"/>
          <w:szCs w:val="24"/>
          <w:u w:val="single"/>
          <w:lang w:bidi="da-DK"/>
        </w:rPr>
        <w:t>Infektioner</w:t>
      </w:r>
    </w:p>
    <w:p w14:paraId="48A9FD1A" w14:textId="77777777" w:rsidR="00C52491" w:rsidRPr="00E02C47" w:rsidRDefault="00C52491" w:rsidP="003807FC">
      <w:pPr>
        <w:ind w:left="851"/>
        <w:rPr>
          <w:sz w:val="24"/>
          <w:szCs w:val="24"/>
        </w:rPr>
      </w:pPr>
      <w:r w:rsidRPr="00E02C47">
        <w:rPr>
          <w:sz w:val="24"/>
          <w:szCs w:val="24"/>
        </w:rPr>
        <w:t xml:space="preserve">En vigtig farmakodynamisk effekt af fingolimod er en dosisafhængig reduktion af det perifere lymfocyttal til 20-30 % af udgangsværdierne. Dette skyldes den reversible tilbageholdelse af lymfocytter i lymfevæv (se pkt. 5.1). </w:t>
      </w:r>
    </w:p>
    <w:p w14:paraId="3C5FB6BF" w14:textId="4357C114" w:rsidR="00C52491" w:rsidRPr="00E02C47" w:rsidRDefault="00C52491" w:rsidP="003807FC">
      <w:pPr>
        <w:ind w:left="851"/>
        <w:rPr>
          <w:sz w:val="24"/>
          <w:szCs w:val="24"/>
        </w:rPr>
      </w:pPr>
    </w:p>
    <w:p w14:paraId="3EF29CB2" w14:textId="77777777" w:rsidR="00C52491" w:rsidRPr="00E02C47" w:rsidRDefault="00C52491" w:rsidP="003807FC">
      <w:pPr>
        <w:ind w:left="851"/>
        <w:rPr>
          <w:sz w:val="24"/>
          <w:szCs w:val="24"/>
        </w:rPr>
      </w:pPr>
      <w:r w:rsidRPr="00E02C47">
        <w:rPr>
          <w:sz w:val="24"/>
          <w:szCs w:val="24"/>
        </w:rPr>
        <w:t>Der bør foreligge resultat af en komplet blodtælling (CBC) (dvs. indenfor 6 måneder eller efter afbrydelse af tidligere behandling). Periodisk CBC anbefales også under behandlingen, efter 3 måneder og mindst en gang årligt derefter og ved tegn på infektion. Ved et absolut lymfocyttal på &lt;0,2 x 10</w:t>
      </w:r>
      <w:r w:rsidRPr="00E02C47">
        <w:rPr>
          <w:sz w:val="24"/>
          <w:szCs w:val="24"/>
          <w:vertAlign w:val="superscript"/>
        </w:rPr>
        <w:t>9</w:t>
      </w:r>
      <w:r w:rsidRPr="00E02C47">
        <w:rPr>
          <w:sz w:val="24"/>
          <w:szCs w:val="24"/>
        </w:rPr>
        <w:t xml:space="preserve">/l, som bekræftes ved en gentagen måling, skal </w:t>
      </w:r>
      <w:r w:rsidRPr="00E02C47">
        <w:rPr>
          <w:sz w:val="24"/>
          <w:szCs w:val="24"/>
        </w:rPr>
        <w:lastRenderedPageBreak/>
        <w:t>behandlingen afbrydes indtil normalisering, fordi fingolimod-behandlingen i kliniske studier blev afbrudt hos patienter med absolut lymfocyttal &lt;0,2 x 10</w:t>
      </w:r>
      <w:r w:rsidRPr="00E02C47">
        <w:rPr>
          <w:sz w:val="24"/>
          <w:szCs w:val="24"/>
          <w:vertAlign w:val="superscript"/>
        </w:rPr>
        <w:t>9</w:t>
      </w:r>
      <w:r w:rsidRPr="00E02C47">
        <w:rPr>
          <w:sz w:val="24"/>
          <w:szCs w:val="24"/>
        </w:rPr>
        <w:t>/l.</w:t>
      </w:r>
      <w:r w:rsidRPr="00E02C47">
        <w:rPr>
          <w:sz w:val="24"/>
          <w:szCs w:val="24"/>
          <w:vertAlign w:val="superscript"/>
        </w:rPr>
        <w:t xml:space="preserve"> </w:t>
      </w:r>
    </w:p>
    <w:p w14:paraId="7C72344C" w14:textId="77777777" w:rsidR="00C52491" w:rsidRPr="00E02C47" w:rsidRDefault="00C52491" w:rsidP="003807FC">
      <w:pPr>
        <w:ind w:left="851"/>
        <w:rPr>
          <w:sz w:val="24"/>
          <w:szCs w:val="24"/>
        </w:rPr>
      </w:pPr>
      <w:r w:rsidRPr="00E02C47">
        <w:rPr>
          <w:sz w:val="24"/>
          <w:szCs w:val="24"/>
        </w:rPr>
        <w:t xml:space="preserve"> </w:t>
      </w:r>
    </w:p>
    <w:p w14:paraId="444D4D6E" w14:textId="1C176470" w:rsidR="00C52491" w:rsidRPr="00E02C47" w:rsidRDefault="00C52491" w:rsidP="003807FC">
      <w:pPr>
        <w:ind w:left="851"/>
        <w:rPr>
          <w:sz w:val="24"/>
          <w:szCs w:val="24"/>
        </w:rPr>
      </w:pPr>
      <w:r w:rsidRPr="00E02C47">
        <w:rPr>
          <w:sz w:val="24"/>
          <w:szCs w:val="24"/>
        </w:rPr>
        <w:t xml:space="preserve">Hvis patienten har en aktiv, svær infektion, skal behandlingen med Fingolimod </w:t>
      </w:r>
      <w:r w:rsidR="00362304">
        <w:rPr>
          <w:sz w:val="24"/>
          <w:szCs w:val="24"/>
        </w:rPr>
        <w:t>"Pharmaselect"</w:t>
      </w:r>
      <w:r w:rsidRPr="00E02C47">
        <w:rPr>
          <w:sz w:val="24"/>
          <w:szCs w:val="24"/>
        </w:rPr>
        <w:t xml:space="preserve"> udsættes indtil patienten er restitueret. </w:t>
      </w:r>
    </w:p>
    <w:p w14:paraId="64A05EAF" w14:textId="1896F057" w:rsidR="00C52491" w:rsidRPr="00E02C47" w:rsidRDefault="00C52491" w:rsidP="003807FC">
      <w:pPr>
        <w:ind w:left="851"/>
        <w:rPr>
          <w:sz w:val="24"/>
          <w:szCs w:val="24"/>
        </w:rPr>
      </w:pPr>
    </w:p>
    <w:p w14:paraId="775D44B9" w14:textId="77777777" w:rsidR="00C52491" w:rsidRPr="00E02C47" w:rsidRDefault="00C52491" w:rsidP="003807FC">
      <w:pPr>
        <w:ind w:left="851"/>
        <w:rPr>
          <w:sz w:val="24"/>
          <w:szCs w:val="24"/>
        </w:rPr>
      </w:pPr>
      <w:r w:rsidRPr="00E02C47">
        <w:rPr>
          <w:sz w:val="24"/>
          <w:szCs w:val="24"/>
        </w:rPr>
        <w:t>Fingolimods virkning på immunsystemet kan muligvis øge risikoen for infektioner inklusive opportunistiske infektioner (se pkt. 4.8). Der skal iværksættes effektive diagnostiske og terapeutiske strategier hos patienter, der får symptomer på infektion, mens de er i behandling.</w:t>
      </w:r>
      <w:r w:rsidRPr="00E02C47">
        <w:rPr>
          <w:color w:val="222222"/>
          <w:sz w:val="24"/>
          <w:szCs w:val="24"/>
        </w:rPr>
        <w:t xml:space="preserve"> Ved vurdering af en patient, hvor der er formodning om en infektion, der kan være alvorlig, bør det overvejes at henvise til en læge med erfaring i behandling af infektioner.</w:t>
      </w:r>
      <w:r w:rsidRPr="00E02C47">
        <w:rPr>
          <w:sz w:val="24"/>
          <w:szCs w:val="24"/>
        </w:rPr>
        <w:t xml:space="preserve"> Patienterne skal instrueres i straks at rapportere symptomer på infektion til deres læge under behandlingen. </w:t>
      </w:r>
    </w:p>
    <w:p w14:paraId="502275A7" w14:textId="77777777" w:rsidR="00C52491" w:rsidRPr="00E02C47" w:rsidRDefault="00C52491" w:rsidP="003807FC">
      <w:pPr>
        <w:ind w:left="851"/>
        <w:rPr>
          <w:sz w:val="24"/>
          <w:szCs w:val="24"/>
        </w:rPr>
      </w:pPr>
      <w:r w:rsidRPr="00E02C47">
        <w:rPr>
          <w:sz w:val="24"/>
          <w:szCs w:val="24"/>
        </w:rPr>
        <w:t xml:space="preserve"> </w:t>
      </w:r>
    </w:p>
    <w:p w14:paraId="550858AA" w14:textId="464E36D1" w:rsidR="00C52491" w:rsidRPr="00E02C47" w:rsidRDefault="00C52491" w:rsidP="003807FC">
      <w:pPr>
        <w:ind w:left="851"/>
        <w:rPr>
          <w:sz w:val="24"/>
          <w:szCs w:val="24"/>
        </w:rPr>
      </w:pPr>
      <w:r w:rsidRPr="00E02C47">
        <w:rPr>
          <w:sz w:val="24"/>
          <w:szCs w:val="24"/>
        </w:rPr>
        <w:t xml:space="preserve">Hvis patienten udvikler en alvorlig infektion, skal det overvejes, at seponere Fingolimod </w:t>
      </w:r>
      <w:r w:rsidR="00362304">
        <w:rPr>
          <w:sz w:val="24"/>
          <w:szCs w:val="24"/>
        </w:rPr>
        <w:t>"Pharmaselect"</w:t>
      </w:r>
      <w:r w:rsidRPr="00E02C47">
        <w:rPr>
          <w:sz w:val="24"/>
          <w:szCs w:val="24"/>
        </w:rPr>
        <w:t xml:space="preserve">, og forholdet mellem fordele og risici skal overvejes, før behandlingen genoptages. </w:t>
      </w:r>
    </w:p>
    <w:p w14:paraId="3C3E5929" w14:textId="77777777" w:rsidR="00C52491" w:rsidRPr="00E02C47" w:rsidRDefault="00C52491" w:rsidP="003807FC">
      <w:pPr>
        <w:ind w:left="851"/>
        <w:rPr>
          <w:sz w:val="24"/>
          <w:szCs w:val="24"/>
        </w:rPr>
      </w:pPr>
      <w:r w:rsidRPr="00E02C47">
        <w:rPr>
          <w:sz w:val="24"/>
          <w:szCs w:val="24"/>
        </w:rPr>
        <w:t xml:space="preserve"> </w:t>
      </w:r>
    </w:p>
    <w:p w14:paraId="3EEF46D9" w14:textId="77777777" w:rsidR="00C52491" w:rsidRPr="00E02C47" w:rsidRDefault="00C52491" w:rsidP="003807FC">
      <w:pPr>
        <w:ind w:left="851"/>
        <w:rPr>
          <w:sz w:val="24"/>
          <w:szCs w:val="24"/>
        </w:rPr>
      </w:pPr>
      <w:r w:rsidRPr="00E02C47">
        <w:rPr>
          <w:sz w:val="24"/>
          <w:szCs w:val="24"/>
        </w:rPr>
        <w:t xml:space="preserve">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 </w:t>
      </w:r>
    </w:p>
    <w:p w14:paraId="7C7DBB36" w14:textId="77777777" w:rsidR="00C52491" w:rsidRPr="00E02C47" w:rsidRDefault="00C52491" w:rsidP="003807FC">
      <w:pPr>
        <w:ind w:left="851"/>
        <w:rPr>
          <w:i/>
          <w:iCs/>
          <w:noProof/>
          <w:sz w:val="24"/>
          <w:szCs w:val="24"/>
        </w:rPr>
      </w:pPr>
    </w:p>
    <w:p w14:paraId="7E83F249" w14:textId="77777777" w:rsidR="00C52491" w:rsidRPr="00841FA8" w:rsidRDefault="00C52491" w:rsidP="003807FC">
      <w:pPr>
        <w:ind w:left="851"/>
        <w:rPr>
          <w:noProof/>
          <w:sz w:val="24"/>
          <w:szCs w:val="24"/>
          <w:u w:val="single"/>
        </w:rPr>
      </w:pPr>
      <w:r w:rsidRPr="00841FA8">
        <w:rPr>
          <w:i/>
          <w:noProof/>
          <w:sz w:val="24"/>
          <w:szCs w:val="24"/>
          <w:u w:val="single"/>
          <w:lang w:bidi="da-DK"/>
        </w:rPr>
        <w:t xml:space="preserve">Herpes-virusinfektion </w:t>
      </w:r>
    </w:p>
    <w:p w14:paraId="26F2DB79" w14:textId="41ADAF18" w:rsidR="00C52491" w:rsidRPr="00E02C47" w:rsidRDefault="00C52491" w:rsidP="003807FC">
      <w:pPr>
        <w:ind w:left="851"/>
        <w:rPr>
          <w:sz w:val="24"/>
          <w:szCs w:val="24"/>
        </w:rPr>
      </w:pPr>
      <w:r w:rsidRPr="00E02C47">
        <w:rPr>
          <w:sz w:val="24"/>
          <w:szCs w:val="24"/>
        </w:rPr>
        <w:t xml:space="preserve">Alvorlige, livstruende og nogle gange dødelige tilfælde af encefalitis, meningitis eller meningoencefalitis forårsaget af herpes simplex og varicella zoster-virus er blevet observeret på vilkårlige tidspunkter i behandlingsforløbet med fingolimod. Hvis herpes encefalitis, meningitis eller meningoencefalitis opstår, bør behandling med Fingolimod </w:t>
      </w:r>
      <w:r w:rsidR="00362304">
        <w:rPr>
          <w:sz w:val="24"/>
          <w:szCs w:val="24"/>
        </w:rPr>
        <w:t>"Pharmaselect"</w:t>
      </w:r>
      <w:r w:rsidRPr="00E02C47">
        <w:rPr>
          <w:sz w:val="24"/>
          <w:szCs w:val="24"/>
        </w:rPr>
        <w:t xml:space="preserve"> seponeres, og passende behandling for den respektive infektion bør igangsættes. </w:t>
      </w:r>
    </w:p>
    <w:p w14:paraId="4DDA7BA9" w14:textId="718EE570" w:rsidR="00C52491" w:rsidRPr="00E02C47" w:rsidRDefault="00C52491" w:rsidP="003807FC">
      <w:pPr>
        <w:ind w:left="851"/>
        <w:rPr>
          <w:sz w:val="24"/>
          <w:szCs w:val="24"/>
        </w:rPr>
      </w:pPr>
    </w:p>
    <w:p w14:paraId="55889521" w14:textId="4A3AB8B4" w:rsidR="00C52491" w:rsidRPr="00E02C47" w:rsidRDefault="00C52491" w:rsidP="003807FC">
      <w:pPr>
        <w:ind w:left="851"/>
        <w:rPr>
          <w:sz w:val="24"/>
          <w:szCs w:val="24"/>
        </w:rPr>
      </w:pPr>
      <w:r w:rsidRPr="00E02C47">
        <w:rPr>
          <w:sz w:val="24"/>
          <w:szCs w:val="24"/>
        </w:rPr>
        <w:t xml:space="preserve">Patienter skal undersøges for immunitet overfor varicella (skoldkopper) før behandling med Fingolimod </w:t>
      </w:r>
      <w:r w:rsidR="00362304">
        <w:rPr>
          <w:sz w:val="24"/>
          <w:szCs w:val="24"/>
        </w:rPr>
        <w:t>"Pharmaselect"</w:t>
      </w:r>
      <w:r w:rsidRPr="00E02C47">
        <w:rPr>
          <w:sz w:val="24"/>
          <w:szCs w:val="24"/>
        </w:rPr>
        <w:t xml:space="preserve">.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skoldkoppevaccine anbefales før påbegyndelse af behandling med Fingolimod </w:t>
      </w:r>
      <w:r w:rsidR="00362304">
        <w:rPr>
          <w:sz w:val="24"/>
          <w:szCs w:val="24"/>
        </w:rPr>
        <w:t>"Pharmaselect"</w:t>
      </w:r>
      <w:r w:rsidRPr="00E02C47">
        <w:rPr>
          <w:sz w:val="24"/>
          <w:szCs w:val="24"/>
        </w:rPr>
        <w:t xml:space="preserve"> hos antistofnegative patienter (se pkt. 4.8). Indledning af behandling med fingolimod skal udsættes til 1 måned efter vaccination for at opnå den fulde virkning af vaccinen. </w:t>
      </w:r>
    </w:p>
    <w:p w14:paraId="73CE089F" w14:textId="77777777" w:rsidR="00C52491" w:rsidRPr="00E02C47" w:rsidRDefault="00C52491" w:rsidP="003807FC">
      <w:pPr>
        <w:ind w:left="851"/>
        <w:rPr>
          <w:i/>
          <w:iCs/>
          <w:noProof/>
          <w:sz w:val="24"/>
          <w:szCs w:val="24"/>
        </w:rPr>
      </w:pPr>
    </w:p>
    <w:p w14:paraId="422DC2B5" w14:textId="77777777" w:rsidR="00C52491" w:rsidRPr="00841FA8" w:rsidRDefault="00C52491" w:rsidP="003807FC">
      <w:pPr>
        <w:ind w:left="851"/>
        <w:rPr>
          <w:i/>
          <w:iCs/>
          <w:noProof/>
          <w:sz w:val="24"/>
          <w:szCs w:val="24"/>
          <w:u w:val="single"/>
        </w:rPr>
      </w:pPr>
      <w:r w:rsidRPr="00841FA8">
        <w:rPr>
          <w:i/>
          <w:noProof/>
          <w:sz w:val="24"/>
          <w:szCs w:val="24"/>
          <w:u w:val="single"/>
          <w:lang w:bidi="da-DK"/>
        </w:rPr>
        <w:t xml:space="preserve">Kryptokokmeningitis </w:t>
      </w:r>
    </w:p>
    <w:p w14:paraId="709378D6" w14:textId="1D53F9A7" w:rsidR="00C52491" w:rsidRPr="00E02C47" w:rsidRDefault="00C52491" w:rsidP="003807FC">
      <w:pPr>
        <w:ind w:left="851"/>
        <w:rPr>
          <w:sz w:val="24"/>
          <w:szCs w:val="24"/>
        </w:rPr>
      </w:pPr>
      <w:r w:rsidRPr="00E02C47">
        <w:rPr>
          <w:sz w:val="24"/>
          <w:szCs w:val="24"/>
        </w:rPr>
        <w:t>Der er efter markedsføringen indberettet tilfælde af kryptokokmeningitis (en svampe</w:t>
      </w:r>
      <w:r w:rsidR="00263A54">
        <w:rPr>
          <w:sz w:val="24"/>
          <w:szCs w:val="24"/>
        </w:rPr>
        <w:softHyphen/>
      </w:r>
      <w:r w:rsidRPr="00E02C47">
        <w:rPr>
          <w:sz w:val="24"/>
          <w:szCs w:val="24"/>
        </w:rPr>
        <w:t>infektion), i nogle tilfælde med dødelig udgang, efter ca. 2-3 års behandling, dog er den nøjagtige sammenhæng med behandlingsvarigheden ikke kendt (se pkt. 4.8). Patienter med symptomer, som stemmer overens med kryptokokmeningitis (</w:t>
      </w:r>
      <w:r w:rsidR="00263A54">
        <w:rPr>
          <w:sz w:val="24"/>
          <w:szCs w:val="24"/>
        </w:rPr>
        <w:t>f.eks.</w:t>
      </w:r>
      <w:r w:rsidRPr="00E02C47">
        <w:rPr>
          <w:sz w:val="24"/>
          <w:szCs w:val="24"/>
        </w:rPr>
        <w:t xml:space="preserve"> hovedpine forbundet med mentale ændringer som </w:t>
      </w:r>
      <w:r w:rsidR="00263A54">
        <w:rPr>
          <w:sz w:val="24"/>
          <w:szCs w:val="24"/>
        </w:rPr>
        <w:t>f.eks.</w:t>
      </w:r>
      <w:r w:rsidRPr="00E02C47">
        <w:rPr>
          <w:sz w:val="24"/>
          <w:szCs w:val="24"/>
        </w:rPr>
        <w:t xml:space="preserve"> konfusion, hallucinationer og/eller personligheds</w:t>
      </w:r>
      <w:r w:rsidR="00841FA8">
        <w:rPr>
          <w:sz w:val="24"/>
          <w:szCs w:val="24"/>
        </w:rPr>
        <w:softHyphen/>
      </w:r>
      <w:r w:rsidRPr="00E02C47">
        <w:rPr>
          <w:sz w:val="24"/>
          <w:szCs w:val="24"/>
        </w:rPr>
        <w:t>ændringer) skal straks udredes diagnostisk. Hvis kryptokokmeningitis diagno</w:t>
      </w:r>
      <w:r w:rsidR="00263A54">
        <w:rPr>
          <w:sz w:val="24"/>
          <w:szCs w:val="24"/>
        </w:rPr>
        <w:t>s</w:t>
      </w:r>
      <w:r w:rsidRPr="00E02C47">
        <w:rPr>
          <w:sz w:val="24"/>
          <w:szCs w:val="24"/>
        </w:rPr>
        <w:t xml:space="preserve">ticeres, skal fingolimod seponeres, og der skal iværksættes passende behandling. En speciallæge i infektionsmedicin bør konsulteres, hvis behandlingen ønskes genoptaget. </w:t>
      </w:r>
    </w:p>
    <w:p w14:paraId="648F96D6" w14:textId="77777777" w:rsidR="00C52491" w:rsidRPr="00E02C47" w:rsidRDefault="00C52491" w:rsidP="003807FC">
      <w:pPr>
        <w:ind w:left="851"/>
        <w:rPr>
          <w:i/>
          <w:iCs/>
          <w:sz w:val="24"/>
          <w:szCs w:val="24"/>
        </w:rPr>
      </w:pPr>
    </w:p>
    <w:p w14:paraId="739A7B90" w14:textId="77777777" w:rsidR="00C52491" w:rsidRPr="00841FA8" w:rsidRDefault="00C52491" w:rsidP="003807FC">
      <w:pPr>
        <w:ind w:left="851"/>
        <w:rPr>
          <w:noProof/>
          <w:sz w:val="24"/>
          <w:szCs w:val="24"/>
          <w:u w:val="single"/>
        </w:rPr>
      </w:pPr>
      <w:r w:rsidRPr="00841FA8">
        <w:rPr>
          <w:i/>
          <w:sz w:val="24"/>
          <w:szCs w:val="24"/>
          <w:u w:val="single"/>
          <w:lang w:bidi="da-DK"/>
        </w:rPr>
        <w:lastRenderedPageBreak/>
        <w:t>Progressiv multifokal leukoencefalopati</w:t>
      </w:r>
    </w:p>
    <w:p w14:paraId="2B32B9C6" w14:textId="682D9D48" w:rsidR="00C52491" w:rsidRPr="00E02C47" w:rsidRDefault="00C52491" w:rsidP="003807FC">
      <w:pPr>
        <w:ind w:left="851"/>
        <w:rPr>
          <w:sz w:val="24"/>
          <w:szCs w:val="24"/>
        </w:rPr>
      </w:pPr>
      <w:r w:rsidRPr="00E02C47">
        <w:rPr>
          <w:sz w:val="24"/>
          <w:szCs w:val="24"/>
        </w:rPr>
        <w:t>Der er efter markedsføringen indberettet tilfælde af progressiv multifokal leukoencefalopati (PML) under behandling med fingolimod (se pkt. 4.8). PML er en opportunistisk infektion forårsaget af John</w:t>
      </w:r>
      <w:r w:rsidR="00263A54">
        <w:rPr>
          <w:sz w:val="24"/>
          <w:szCs w:val="24"/>
        </w:rPr>
        <w:t xml:space="preserve"> </w:t>
      </w:r>
      <w:r w:rsidRPr="00E02C47">
        <w:rPr>
          <w:sz w:val="24"/>
          <w:szCs w:val="24"/>
        </w:rPr>
        <w:t>Cunningham-virus (JCV) og kan være dødelig eller medføre svær invaliditet. Der har optrådt tilfælde af PML efter ca. 2-3 års monoterapibehandling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anti-JCVantistoftesten ikke er undersøgt hos patienter behandlet med fingolimod. Ligeledes skal man være opmærksom på, at en negativ anti-JCV-antistoftest ikke udelukker muligheden for en efterfølgende JCV-infektion. Inden behandlingen med fingolimod initieres, skal en baseline-MR være til rådighed (som regel inden for 3 måneder) som reference. MR-scanningsfund kan være tilstede før kliniske tegn eller symptomer. Ved rutinemæssig MR-scanning (i henhold til nationale og lokale retn</w:t>
      </w:r>
      <w:r w:rsidR="00263A54">
        <w:rPr>
          <w:sz w:val="24"/>
          <w:szCs w:val="24"/>
        </w:rPr>
        <w:t>i</w:t>
      </w:r>
      <w:r w:rsidRPr="00E02C47">
        <w:rPr>
          <w:sz w:val="24"/>
          <w:szCs w:val="24"/>
        </w:rPr>
        <w:t>ngslinjer) skal lægen være opmærksom på forandringer tydende på PML. Der er rapporteret tilfælde af symptomatisk PML baseret på MR-scanningsfund og positiv JCV-DNA i cerebrospinalvæsken hos patienter behandlet med fingolimod. MR-scanning bør overvejes som led i øget agtpågivenhed hos patienter, der anses for at have en øget risiko for PLM. Ved formodning om PML skal</w:t>
      </w:r>
      <w:r w:rsidRPr="00E02C47">
        <w:rPr>
          <w:color w:val="222222"/>
          <w:sz w:val="24"/>
          <w:szCs w:val="24"/>
        </w:rPr>
        <w:t xml:space="preserve"> </w:t>
      </w:r>
      <w:r w:rsidRPr="00E02C47">
        <w:rPr>
          <w:sz w:val="24"/>
          <w:szCs w:val="24"/>
        </w:rPr>
        <w:t xml:space="preserve">MR-scanning udføres straks med henblik på diagnosticering, og </w:t>
      </w:r>
      <w:r w:rsidRPr="00E02C47">
        <w:rPr>
          <w:color w:val="222222"/>
          <w:sz w:val="24"/>
          <w:szCs w:val="24"/>
        </w:rPr>
        <w:t xml:space="preserve">fingolimod skal seponeres, indtil PML er blevet udelukket. </w:t>
      </w:r>
    </w:p>
    <w:p w14:paraId="540DA3EA" w14:textId="77777777" w:rsidR="00C52491" w:rsidRPr="00E02C47" w:rsidRDefault="00C52491" w:rsidP="003807FC">
      <w:pPr>
        <w:ind w:left="851"/>
        <w:rPr>
          <w:noProof/>
          <w:sz w:val="24"/>
          <w:szCs w:val="24"/>
        </w:rPr>
      </w:pPr>
    </w:p>
    <w:p w14:paraId="2A5630AF" w14:textId="77777777" w:rsidR="00C52491" w:rsidRPr="00841FA8" w:rsidRDefault="00C52491" w:rsidP="003807FC">
      <w:pPr>
        <w:ind w:left="851"/>
        <w:rPr>
          <w:noProof/>
          <w:sz w:val="24"/>
          <w:szCs w:val="24"/>
          <w:u w:val="single"/>
        </w:rPr>
      </w:pPr>
      <w:r w:rsidRPr="00841FA8">
        <w:rPr>
          <w:i/>
          <w:noProof/>
          <w:sz w:val="24"/>
          <w:szCs w:val="24"/>
          <w:u w:val="single"/>
          <w:lang w:bidi="da-DK"/>
        </w:rPr>
        <w:t>Human papilloma virus (HPV) infektion</w:t>
      </w:r>
    </w:p>
    <w:p w14:paraId="479679E6" w14:textId="77777777" w:rsidR="00C52491" w:rsidRPr="00E02C47" w:rsidRDefault="00C52491" w:rsidP="003807FC">
      <w:pPr>
        <w:ind w:left="851"/>
        <w:rPr>
          <w:sz w:val="24"/>
          <w:szCs w:val="24"/>
        </w:rPr>
      </w:pPr>
      <w:r w:rsidRPr="00E02C47">
        <w:rPr>
          <w:sz w:val="24"/>
          <w:szCs w:val="24"/>
        </w:rPr>
        <w:t xml:space="preserve">Efter markedsføring er der rapporteret tilfælde af human papilloma virus (HPV) infektion, herunder papillom, dysplasi, vorter og HPV-relateret kræft, under behandling med fingolimod (se pkt. 4.8). HPV-vaccination, under hensyntagen til retningslinjerne for vaccination, bør overvejes inden initiering af behandling på grund af fingolimods immunsuppressive egenskaber. Kræft-screening, herunder Pap-test, anbefales efter gældende standarder. </w:t>
      </w:r>
    </w:p>
    <w:p w14:paraId="72CF3B9A" w14:textId="77777777" w:rsidR="00C52491" w:rsidRPr="00E02C47" w:rsidRDefault="00C52491" w:rsidP="003807FC">
      <w:pPr>
        <w:ind w:left="851"/>
        <w:rPr>
          <w:noProof/>
          <w:sz w:val="24"/>
          <w:szCs w:val="24"/>
        </w:rPr>
      </w:pPr>
    </w:p>
    <w:p w14:paraId="132E74FD" w14:textId="77777777" w:rsidR="00C52491" w:rsidRPr="00841FA8" w:rsidRDefault="00C52491" w:rsidP="003807FC">
      <w:pPr>
        <w:ind w:left="851"/>
        <w:rPr>
          <w:noProof/>
          <w:sz w:val="24"/>
          <w:szCs w:val="24"/>
          <w:u w:val="single"/>
        </w:rPr>
      </w:pPr>
      <w:r w:rsidRPr="00841FA8">
        <w:rPr>
          <w:noProof/>
          <w:sz w:val="24"/>
          <w:szCs w:val="24"/>
          <w:u w:val="single"/>
          <w:lang w:bidi="da-DK"/>
        </w:rPr>
        <w:t>Makulaødem</w:t>
      </w:r>
    </w:p>
    <w:p w14:paraId="784AD311" w14:textId="1A2E2764" w:rsidR="00C52491" w:rsidRPr="00E02C47" w:rsidRDefault="00C52491" w:rsidP="003807FC">
      <w:pPr>
        <w:ind w:left="851"/>
        <w:rPr>
          <w:sz w:val="24"/>
          <w:szCs w:val="24"/>
        </w:rPr>
      </w:pPr>
      <w:r w:rsidRPr="00E02C47">
        <w:rPr>
          <w:sz w:val="24"/>
          <w:szCs w:val="24"/>
        </w:rPr>
        <w:t>Der er rapporteret makulaødem med eller uden visu</w:t>
      </w:r>
      <w:r w:rsidR="00194BC2">
        <w:rPr>
          <w:sz w:val="24"/>
          <w:szCs w:val="24"/>
        </w:rPr>
        <w:t>e</w:t>
      </w:r>
      <w:r w:rsidRPr="00E02C47">
        <w:rPr>
          <w:sz w:val="24"/>
          <w:szCs w:val="24"/>
        </w:rPr>
        <w:t xml:space="preserve">lle symptomer hos 0,5 % af patienter behandlet med fingolimod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fundus, herunder også af makula. </w:t>
      </w:r>
    </w:p>
    <w:p w14:paraId="6990261D" w14:textId="77777777" w:rsidR="00C52491" w:rsidRPr="00E02C47" w:rsidRDefault="00C52491" w:rsidP="003807FC">
      <w:pPr>
        <w:ind w:left="851"/>
        <w:rPr>
          <w:sz w:val="24"/>
          <w:szCs w:val="24"/>
        </w:rPr>
      </w:pPr>
      <w:r w:rsidRPr="00E02C47">
        <w:rPr>
          <w:sz w:val="24"/>
          <w:szCs w:val="24"/>
        </w:rPr>
        <w:t xml:space="preserve"> </w:t>
      </w:r>
    </w:p>
    <w:p w14:paraId="5A1318F3" w14:textId="49E35E59" w:rsidR="00C52491" w:rsidRPr="00E02C47" w:rsidRDefault="00C52491" w:rsidP="003807FC">
      <w:pPr>
        <w:ind w:left="851"/>
        <w:rPr>
          <w:sz w:val="24"/>
          <w:szCs w:val="24"/>
        </w:rPr>
      </w:pPr>
      <w:r w:rsidRPr="00E02C47">
        <w:rPr>
          <w:sz w:val="24"/>
          <w:szCs w:val="24"/>
        </w:rPr>
        <w:t xml:space="preserve">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Fingolimod </w:t>
      </w:r>
      <w:r w:rsidR="00362304">
        <w:rPr>
          <w:sz w:val="24"/>
          <w:szCs w:val="24"/>
        </w:rPr>
        <w:t>"Pharmaselect"</w:t>
      </w:r>
      <w:r w:rsidRPr="00E02C47">
        <w:rPr>
          <w:sz w:val="24"/>
          <w:szCs w:val="24"/>
        </w:rPr>
        <w:t xml:space="preserve"> påbegyndes, samt opfølgende vurderinger under behandlingen. </w:t>
      </w:r>
    </w:p>
    <w:p w14:paraId="29B10A21" w14:textId="58718034" w:rsidR="00C52491" w:rsidRPr="00E02C47" w:rsidRDefault="00C52491" w:rsidP="003807FC">
      <w:pPr>
        <w:ind w:left="851"/>
        <w:rPr>
          <w:sz w:val="24"/>
          <w:szCs w:val="24"/>
        </w:rPr>
      </w:pPr>
    </w:p>
    <w:p w14:paraId="07DE6464" w14:textId="5B4DC8E0" w:rsidR="00C52491" w:rsidRPr="00E02C47" w:rsidRDefault="00C52491" w:rsidP="003807FC">
      <w:pPr>
        <w:ind w:left="851"/>
        <w:rPr>
          <w:sz w:val="24"/>
          <w:szCs w:val="24"/>
        </w:rPr>
      </w:pPr>
      <w:r w:rsidRPr="00E02C47">
        <w:rPr>
          <w:sz w:val="24"/>
          <w:szCs w:val="24"/>
        </w:rPr>
        <w:t xml:space="preserve">Fortsat behandling af patienter med makulaødem er ikke undersøgt. Det anbefales at afbryde behandlingen med Fingolimod </w:t>
      </w:r>
      <w:r w:rsidR="00362304">
        <w:rPr>
          <w:sz w:val="24"/>
          <w:szCs w:val="24"/>
        </w:rPr>
        <w:t>"Pharmaselect"</w:t>
      </w:r>
      <w:r w:rsidRPr="00E02C47">
        <w:rPr>
          <w:sz w:val="24"/>
          <w:szCs w:val="24"/>
        </w:rPr>
        <w:t xml:space="preserve">, hvis patienten udvikler makulaødem. Når der skal træffes beslutning om, hvorvidt behandling skal genoptages </w:t>
      </w:r>
      <w:r w:rsidRPr="00E02C47">
        <w:rPr>
          <w:sz w:val="24"/>
          <w:szCs w:val="24"/>
        </w:rPr>
        <w:lastRenderedPageBreak/>
        <w:t xml:space="preserve">efter makulaødemet er forsvundet, skal der tages hensyn til de potentielle fordele og risici for den enkelte patient. </w:t>
      </w:r>
    </w:p>
    <w:p w14:paraId="79BDFFFB" w14:textId="77777777" w:rsidR="00C52491" w:rsidRPr="00E02C47" w:rsidRDefault="00C52491" w:rsidP="003807FC">
      <w:pPr>
        <w:ind w:left="851"/>
        <w:rPr>
          <w:noProof/>
          <w:sz w:val="24"/>
          <w:szCs w:val="24"/>
        </w:rPr>
      </w:pPr>
    </w:p>
    <w:p w14:paraId="09122E1B" w14:textId="77777777" w:rsidR="00C52491" w:rsidRPr="00841FA8" w:rsidRDefault="00C52491" w:rsidP="003807FC">
      <w:pPr>
        <w:ind w:left="851"/>
        <w:rPr>
          <w:noProof/>
          <w:sz w:val="24"/>
          <w:szCs w:val="24"/>
          <w:u w:val="single"/>
        </w:rPr>
      </w:pPr>
      <w:r w:rsidRPr="00841FA8">
        <w:rPr>
          <w:noProof/>
          <w:sz w:val="24"/>
          <w:szCs w:val="24"/>
          <w:u w:val="single"/>
          <w:lang w:bidi="da-DK"/>
        </w:rPr>
        <w:t>Leverskade</w:t>
      </w:r>
    </w:p>
    <w:p w14:paraId="4C752427" w14:textId="155034FE" w:rsidR="00C52491" w:rsidRPr="00E02C47" w:rsidRDefault="00C52491" w:rsidP="003807FC">
      <w:pPr>
        <w:ind w:left="851"/>
        <w:rPr>
          <w:sz w:val="24"/>
          <w:szCs w:val="24"/>
        </w:rPr>
      </w:pPr>
      <w:r w:rsidRPr="00E02C47">
        <w:rPr>
          <w:sz w:val="24"/>
          <w:szCs w:val="24"/>
        </w:rPr>
        <w:t xml:space="preserve">Der er forekommet forhøjede leverenzymer specielt alanin-aminotransferase (ALAT), men også gamma-glutamyltransferase (GGT) og aspartat-aminotransferase (ASAT) hos </w:t>
      </w:r>
      <w:proofErr w:type="gramStart"/>
      <w:r w:rsidRPr="00E02C47">
        <w:rPr>
          <w:sz w:val="24"/>
          <w:szCs w:val="24"/>
        </w:rPr>
        <w:t>multipel</w:t>
      </w:r>
      <w:proofErr w:type="gramEnd"/>
      <w:r w:rsidRPr="00E02C47">
        <w:rPr>
          <w:sz w:val="24"/>
          <w:szCs w:val="24"/>
        </w:rPr>
        <w:t xml:space="preserve"> sklerosepatienter i behandling med fingolimod. 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 Under kliniske studier er der forekommet forhøjelser af leveraminotransferase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 aminotransferaser forekom igen ved genoptagelse af behandlingen hos nogle patienter, hvilket taler for en sammenhæng med fingolimod. I kliniske studier forekom aminotransferasestigning på alle tidspunkter under behandlingen, men de fleste tilfælde forekom i løbet af de første 12 måneder. Serumaminotransferaseniveauerne blev normale igen inden for ca. 2 måneder efter seponering af fingolimod. </w:t>
      </w:r>
    </w:p>
    <w:p w14:paraId="44F8CDF3" w14:textId="410DAF8B" w:rsidR="00C52491" w:rsidRPr="00E02C47" w:rsidRDefault="00C52491" w:rsidP="003807FC">
      <w:pPr>
        <w:ind w:left="851"/>
        <w:rPr>
          <w:sz w:val="24"/>
          <w:szCs w:val="24"/>
        </w:rPr>
      </w:pPr>
    </w:p>
    <w:p w14:paraId="1801BEB1" w14:textId="77777777" w:rsidR="00C52491" w:rsidRPr="00E02C47" w:rsidRDefault="00C52491" w:rsidP="003807FC">
      <w:pPr>
        <w:ind w:left="851"/>
        <w:rPr>
          <w:sz w:val="24"/>
          <w:szCs w:val="24"/>
        </w:rPr>
      </w:pPr>
      <w:r w:rsidRPr="00E02C47">
        <w:rPr>
          <w:sz w:val="24"/>
          <w:szCs w:val="24"/>
        </w:rPr>
        <w:t xml:space="preserve">Fingolimod er ikke undersøgt hos patienter med svære leverskader (Child-Pugh klasse C) og bør ikke anvendes til denne type patienter (se pkt. 4.3). </w:t>
      </w:r>
    </w:p>
    <w:p w14:paraId="15FD56DB" w14:textId="451434F9" w:rsidR="00C52491" w:rsidRPr="00E02C47" w:rsidRDefault="00C52491" w:rsidP="003807FC">
      <w:pPr>
        <w:ind w:left="851"/>
        <w:rPr>
          <w:sz w:val="24"/>
          <w:szCs w:val="24"/>
        </w:rPr>
      </w:pPr>
    </w:p>
    <w:p w14:paraId="32F9DF22" w14:textId="77777777" w:rsidR="00C52491" w:rsidRPr="00E02C47" w:rsidRDefault="00C52491" w:rsidP="003807FC">
      <w:pPr>
        <w:ind w:left="851"/>
        <w:rPr>
          <w:sz w:val="24"/>
          <w:szCs w:val="24"/>
        </w:rPr>
      </w:pPr>
      <w:r w:rsidRPr="00E02C47">
        <w:rPr>
          <w:sz w:val="24"/>
          <w:szCs w:val="24"/>
        </w:rPr>
        <w:t xml:space="preserve">Da fingolimod har immunsuppressive egenskaber bør initiering af behandling udsættes hos patienter med aktiv viral hepatitis indtil infektionen er ophørt. </w:t>
      </w:r>
    </w:p>
    <w:p w14:paraId="36F1F172" w14:textId="33410741" w:rsidR="00C52491" w:rsidRPr="00E02C47" w:rsidRDefault="00C52491" w:rsidP="003807FC">
      <w:pPr>
        <w:ind w:left="851"/>
        <w:rPr>
          <w:sz w:val="24"/>
          <w:szCs w:val="24"/>
        </w:rPr>
      </w:pPr>
    </w:p>
    <w:p w14:paraId="7AC870F0" w14:textId="0FD496B8" w:rsidR="00C52491" w:rsidRPr="00E02C47" w:rsidRDefault="00C52491" w:rsidP="003807FC">
      <w:pPr>
        <w:ind w:left="851"/>
        <w:rPr>
          <w:sz w:val="24"/>
          <w:szCs w:val="24"/>
        </w:rPr>
      </w:pPr>
      <w:r w:rsidRPr="00E02C47">
        <w:rPr>
          <w:sz w:val="24"/>
          <w:szCs w:val="24"/>
        </w:rPr>
        <w:t xml:space="preserve">Der bør være nye målinger (dvs. indenfor de seneste 6 måneder) af aminotransferaser og bilirubin tilgængelige ved indledning af behandling. Hvis der ikke er kliniske symptomer, bør leveraminotransferaser og bilirubin i serum måles ved måned 1, 3, 6, 9 og 12 under behandlingen og periodisk derefter indtil 2 måneder efter seponering af behandling med Fingolimod </w:t>
      </w:r>
      <w:r w:rsidR="00362304">
        <w:rPr>
          <w:sz w:val="24"/>
          <w:szCs w:val="24"/>
        </w:rPr>
        <w:t>"Pharmaselect"</w:t>
      </w:r>
      <w:r w:rsidRPr="00E02C47">
        <w:rPr>
          <w:sz w:val="24"/>
          <w:szCs w:val="24"/>
        </w:rPr>
        <w:t>. Ved manglende kliniske symptomer, hvis leveraminotrans</w:t>
      </w:r>
      <w:r w:rsidR="00841FA8">
        <w:rPr>
          <w:sz w:val="24"/>
          <w:szCs w:val="24"/>
        </w:rPr>
        <w:softHyphen/>
      </w:r>
      <w:r w:rsidRPr="00E02C47">
        <w:rPr>
          <w:sz w:val="24"/>
          <w:szCs w:val="24"/>
        </w:rPr>
        <w:t xml:space="preserve">feraser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leveraminotransferaser er mindst 5 gange ULN eller mindst 3 gange ULN forbundet med enhver øgning af bilirubin i serum, bør behandling med Fingolimod </w:t>
      </w:r>
      <w:r w:rsidR="00362304">
        <w:rPr>
          <w:sz w:val="24"/>
          <w:szCs w:val="24"/>
        </w:rPr>
        <w:t>"Pharmaselect"</w:t>
      </w:r>
      <w:r w:rsidRPr="00E02C47">
        <w:rPr>
          <w:sz w:val="24"/>
          <w:szCs w:val="24"/>
        </w:rPr>
        <w:t xml:space="preserve"> seponeres. Levermonitorering bør fortsættes. Hvis serum-niveauerne bliver normale igen (herunder hvis en alternativ årsag til leverdysfunktionen opdages), kan behandling med Fingolimod </w:t>
      </w:r>
      <w:r w:rsidR="00362304">
        <w:rPr>
          <w:sz w:val="24"/>
          <w:szCs w:val="24"/>
        </w:rPr>
        <w:t>"Pharmaselect"</w:t>
      </w:r>
      <w:r w:rsidRPr="00E02C47">
        <w:rPr>
          <w:sz w:val="24"/>
          <w:szCs w:val="24"/>
        </w:rPr>
        <w:t xml:space="preserve"> genstartes baseret på en omhyggelig benefit/risk-vurdering af patienten. </w:t>
      </w:r>
    </w:p>
    <w:p w14:paraId="76A18ECF" w14:textId="445000D3" w:rsidR="00C52491" w:rsidRPr="00E02C47" w:rsidRDefault="00C52491" w:rsidP="003807FC">
      <w:pPr>
        <w:ind w:left="851"/>
        <w:rPr>
          <w:sz w:val="24"/>
          <w:szCs w:val="24"/>
        </w:rPr>
      </w:pPr>
    </w:p>
    <w:p w14:paraId="2EF0A37F" w14:textId="77777777" w:rsidR="00C52491" w:rsidRPr="00E02C47" w:rsidRDefault="00C52491" w:rsidP="003807FC">
      <w:pPr>
        <w:ind w:left="851"/>
        <w:rPr>
          <w:sz w:val="24"/>
          <w:szCs w:val="24"/>
        </w:rPr>
      </w:pPr>
      <w:r w:rsidRPr="00E02C47">
        <w:rPr>
          <w:sz w:val="24"/>
          <w:szCs w:val="24"/>
        </w:rPr>
        <w:t xml:space="preserve">Patienter, der udvikler symptomer, der tyder på nedsat leverfunktion, såsom uforklarlig kvalme, opkastning, mavesmerter, træthed, appetitløshed eller gulsot og/eller mørk urin, bør straks have målt leverenzymer og bilirubin, og behandling bør seponeres, hvis der konstateres signifikant leverskade. Behandlingen bør ikke genoptages, med mindre der kan fastlægges en plausibel alternativ ætiologi for tegnene og symptomerne på leverskade. </w:t>
      </w:r>
    </w:p>
    <w:p w14:paraId="60BD0232" w14:textId="4C3C7006" w:rsidR="00C52491" w:rsidRPr="00E02C47" w:rsidRDefault="00C52491" w:rsidP="003807FC">
      <w:pPr>
        <w:ind w:left="851"/>
        <w:rPr>
          <w:sz w:val="24"/>
          <w:szCs w:val="24"/>
        </w:rPr>
      </w:pPr>
    </w:p>
    <w:p w14:paraId="4E0A27CF" w14:textId="3C39A14F" w:rsidR="00C52491" w:rsidRPr="00E02C47" w:rsidRDefault="00C52491" w:rsidP="003807FC">
      <w:pPr>
        <w:ind w:left="851"/>
        <w:rPr>
          <w:sz w:val="24"/>
          <w:szCs w:val="24"/>
        </w:rPr>
      </w:pPr>
      <w:r w:rsidRPr="00E02C47">
        <w:rPr>
          <w:sz w:val="24"/>
          <w:szCs w:val="24"/>
        </w:rPr>
        <w:lastRenderedPageBreak/>
        <w:t xml:space="preserve">Selvom der ikke er data, der viser, at patienter med leversygdom har en øget risiko for at udvikle forhøjede leverenzymer under behandling med fingolimod, bør der udvises forsigtighed ved anvendelse af Fingolimod </w:t>
      </w:r>
      <w:r w:rsidR="00362304">
        <w:rPr>
          <w:sz w:val="24"/>
          <w:szCs w:val="24"/>
        </w:rPr>
        <w:t>"Pharmaselect"</w:t>
      </w:r>
      <w:r w:rsidRPr="00E02C47">
        <w:rPr>
          <w:sz w:val="24"/>
          <w:szCs w:val="24"/>
        </w:rPr>
        <w:t xml:space="preserve"> hos patienter med signifikant leversygdom i anamnesen. </w:t>
      </w:r>
    </w:p>
    <w:p w14:paraId="76A5FC66" w14:textId="77777777" w:rsidR="00C52491" w:rsidRPr="00E02C47" w:rsidRDefault="00C52491" w:rsidP="003807FC">
      <w:pPr>
        <w:ind w:left="851"/>
        <w:rPr>
          <w:noProof/>
          <w:sz w:val="24"/>
          <w:szCs w:val="24"/>
        </w:rPr>
      </w:pPr>
    </w:p>
    <w:p w14:paraId="58D0CAD7" w14:textId="77777777" w:rsidR="00C52491" w:rsidRPr="00841FA8" w:rsidRDefault="00C52491" w:rsidP="003807FC">
      <w:pPr>
        <w:ind w:left="851"/>
        <w:rPr>
          <w:sz w:val="24"/>
          <w:szCs w:val="24"/>
          <w:u w:val="single"/>
        </w:rPr>
      </w:pPr>
      <w:r w:rsidRPr="00841FA8">
        <w:rPr>
          <w:sz w:val="24"/>
          <w:szCs w:val="24"/>
          <w:u w:val="single"/>
        </w:rPr>
        <w:t xml:space="preserve">Virkning på blodtrykket </w:t>
      </w:r>
    </w:p>
    <w:p w14:paraId="5D0288A0" w14:textId="77777777" w:rsidR="00C52491" w:rsidRPr="00841FA8" w:rsidRDefault="00C52491" w:rsidP="003807FC">
      <w:pPr>
        <w:ind w:left="851"/>
        <w:rPr>
          <w:sz w:val="24"/>
          <w:szCs w:val="24"/>
        </w:rPr>
      </w:pPr>
      <w:r w:rsidRPr="00841FA8">
        <w:rPr>
          <w:sz w:val="24"/>
          <w:szCs w:val="24"/>
        </w:rPr>
        <w:t xml:space="preserve"> </w:t>
      </w:r>
    </w:p>
    <w:p w14:paraId="454038E4" w14:textId="1041E539" w:rsidR="00C52491" w:rsidRPr="00E02C47" w:rsidRDefault="00C52491" w:rsidP="003807FC">
      <w:pPr>
        <w:ind w:left="851"/>
        <w:rPr>
          <w:sz w:val="24"/>
          <w:szCs w:val="24"/>
        </w:rPr>
      </w:pPr>
      <w:r w:rsidRPr="00E02C47">
        <w:rPr>
          <w:sz w:val="24"/>
          <w:szCs w:val="24"/>
        </w:rPr>
        <w:t xml:space="preserve">Patienter med hypertension, som ikke var medicinsk kontrolleret, blev ekskluderet fra deltagelse i kliniske studier udført før markedsføring. Der skal iagttages forsigtighed, hvis patienter med ukontrolleret hypertension behandles med Fingolimod </w:t>
      </w:r>
      <w:r w:rsidR="00362304">
        <w:rPr>
          <w:sz w:val="24"/>
          <w:szCs w:val="24"/>
        </w:rPr>
        <w:t>"Pharmaselect"</w:t>
      </w:r>
      <w:r w:rsidRPr="00E02C47">
        <w:rPr>
          <w:sz w:val="24"/>
          <w:szCs w:val="24"/>
        </w:rPr>
        <w:t xml:space="preserve">. </w:t>
      </w:r>
    </w:p>
    <w:p w14:paraId="4BD369B4" w14:textId="77777777" w:rsidR="00C52491" w:rsidRPr="00E02C47" w:rsidRDefault="00C52491" w:rsidP="003807FC">
      <w:pPr>
        <w:ind w:left="851"/>
        <w:rPr>
          <w:sz w:val="24"/>
          <w:szCs w:val="24"/>
        </w:rPr>
      </w:pPr>
      <w:r w:rsidRPr="00E02C47">
        <w:rPr>
          <w:sz w:val="24"/>
          <w:szCs w:val="24"/>
        </w:rPr>
        <w:t xml:space="preserve"> </w:t>
      </w:r>
    </w:p>
    <w:p w14:paraId="088B074B" w14:textId="77777777" w:rsidR="00C52491" w:rsidRPr="00E02C47" w:rsidRDefault="00C52491" w:rsidP="003807FC">
      <w:pPr>
        <w:ind w:left="851"/>
        <w:rPr>
          <w:sz w:val="24"/>
          <w:szCs w:val="24"/>
        </w:rPr>
      </w:pPr>
      <w:r w:rsidRPr="00E02C47">
        <w:rPr>
          <w:sz w:val="24"/>
          <w:szCs w:val="24"/>
        </w:rPr>
        <w:t xml:space="preserve">I multipel sklerosestudierne oplevede patienter behandlet med fingolimod 0,5 mg en gennemsnitlig øgning på ca. 3 mmHg i det systoliske blodtryk og ca. 1 mmHg i det diastoliske blodtryk. Blodtryksstigningen blev opdaget ca. 1 måned efter behandlingsstart og persisterede under fortsat behandling. I det placebokontrollerede 2-års studie blev hypertension rapporteret som en bivirkning hos 6,5 % af patienterne i behandling med fingolimod 0,5 mg og hos 3,3 % af placebopatienterne. Blodtrykket bør derfor monitoreres jævnligt under behandling. </w:t>
      </w:r>
    </w:p>
    <w:p w14:paraId="58A3871C" w14:textId="77777777" w:rsidR="00C52491" w:rsidRPr="00E02C47" w:rsidRDefault="00C52491" w:rsidP="003807FC">
      <w:pPr>
        <w:ind w:left="851"/>
        <w:rPr>
          <w:noProof/>
          <w:sz w:val="24"/>
          <w:szCs w:val="24"/>
        </w:rPr>
      </w:pPr>
    </w:p>
    <w:p w14:paraId="14832639" w14:textId="77777777" w:rsidR="00C52491" w:rsidRPr="00841FA8" w:rsidRDefault="00C52491" w:rsidP="003807FC">
      <w:pPr>
        <w:ind w:left="851"/>
        <w:rPr>
          <w:sz w:val="24"/>
          <w:szCs w:val="24"/>
          <w:u w:val="single"/>
        </w:rPr>
      </w:pPr>
      <w:r w:rsidRPr="00841FA8">
        <w:rPr>
          <w:sz w:val="24"/>
          <w:szCs w:val="24"/>
          <w:u w:val="single"/>
        </w:rPr>
        <w:t xml:space="preserve">Virkning på respirationen </w:t>
      </w:r>
    </w:p>
    <w:p w14:paraId="065E2583" w14:textId="77777777" w:rsidR="00C52491" w:rsidRPr="00841FA8" w:rsidRDefault="00C52491" w:rsidP="003807FC">
      <w:pPr>
        <w:ind w:left="851"/>
        <w:rPr>
          <w:sz w:val="24"/>
          <w:szCs w:val="24"/>
        </w:rPr>
      </w:pPr>
      <w:r w:rsidRPr="00841FA8">
        <w:rPr>
          <w:sz w:val="24"/>
          <w:szCs w:val="24"/>
        </w:rPr>
        <w:t xml:space="preserve"> </w:t>
      </w:r>
    </w:p>
    <w:p w14:paraId="64D1CD08" w14:textId="5F87DBD4" w:rsidR="00C52491" w:rsidRPr="00E02C47" w:rsidRDefault="00C52491" w:rsidP="003807FC">
      <w:pPr>
        <w:ind w:left="851"/>
        <w:rPr>
          <w:sz w:val="24"/>
          <w:szCs w:val="24"/>
        </w:rPr>
      </w:pPr>
      <w:r w:rsidRPr="00E02C47">
        <w:rPr>
          <w:sz w:val="24"/>
          <w:szCs w:val="24"/>
        </w:rPr>
        <w:t>Der blev observeret en mindre dosisafhængig reduktion i værdierne for forceret ekspirationsvolumen (FEV</w:t>
      </w:r>
      <w:r w:rsidRPr="00E02C47">
        <w:rPr>
          <w:sz w:val="24"/>
          <w:szCs w:val="24"/>
          <w:vertAlign w:val="subscript"/>
        </w:rPr>
        <w:t>1</w:t>
      </w:r>
      <w:r w:rsidRPr="00E02C47">
        <w:rPr>
          <w:sz w:val="24"/>
          <w:szCs w:val="24"/>
        </w:rPr>
        <w:t xml:space="preserve">) og lungediffusionskapacitet for kulmonooxid (DLCO) ved behandling med fingolimod startende ved måned 1 og forblivende stabil derefter. Fingolimod </w:t>
      </w:r>
      <w:r w:rsidR="00362304">
        <w:rPr>
          <w:sz w:val="24"/>
          <w:szCs w:val="24"/>
        </w:rPr>
        <w:t>"Pharmaselect"</w:t>
      </w:r>
      <w:r w:rsidRPr="00E02C47">
        <w:rPr>
          <w:sz w:val="24"/>
          <w:szCs w:val="24"/>
        </w:rPr>
        <w:t xml:space="preserve"> bør anvendes med forsigtighed hos patienter med svær respiratorisk lidelse, lungefibrose og kronisk obstruktiv lungesygdom (se pkt. 4.8). </w:t>
      </w:r>
    </w:p>
    <w:p w14:paraId="5FB39FD2" w14:textId="77777777" w:rsidR="00C52491" w:rsidRPr="00E02C47" w:rsidRDefault="00C52491" w:rsidP="003807FC">
      <w:pPr>
        <w:ind w:left="851"/>
        <w:rPr>
          <w:noProof/>
          <w:sz w:val="24"/>
          <w:szCs w:val="24"/>
        </w:rPr>
      </w:pPr>
    </w:p>
    <w:p w14:paraId="0907150F" w14:textId="77777777" w:rsidR="00C52491" w:rsidRPr="00841FA8" w:rsidRDefault="00C52491" w:rsidP="003807FC">
      <w:pPr>
        <w:ind w:left="851"/>
        <w:rPr>
          <w:noProof/>
          <w:sz w:val="24"/>
          <w:szCs w:val="24"/>
          <w:u w:val="single"/>
        </w:rPr>
      </w:pPr>
      <w:r w:rsidRPr="00841FA8">
        <w:rPr>
          <w:noProof/>
          <w:sz w:val="24"/>
          <w:szCs w:val="24"/>
          <w:u w:val="single"/>
          <w:lang w:bidi="da-DK"/>
        </w:rPr>
        <w:t>Posterior reversibel encefalopati-syndrom</w:t>
      </w:r>
    </w:p>
    <w:p w14:paraId="6FBF84C9" w14:textId="4FC05EBE" w:rsidR="00C52491" w:rsidRPr="00E02C47" w:rsidRDefault="00C52491" w:rsidP="003807FC">
      <w:pPr>
        <w:ind w:left="851"/>
        <w:rPr>
          <w:sz w:val="24"/>
          <w:szCs w:val="24"/>
        </w:rPr>
      </w:pPr>
      <w:r w:rsidRPr="00E02C47">
        <w:rPr>
          <w:sz w:val="24"/>
          <w:szCs w:val="24"/>
        </w:rPr>
        <w:t xml:space="preserve">Der er i kliniske studier og efter markedsføring rapporteret sjældne tilfælde af posterior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sequelae. Hvis der er formodning om PRES, skal Fingolimod </w:t>
      </w:r>
      <w:r w:rsidR="00362304">
        <w:rPr>
          <w:sz w:val="24"/>
          <w:szCs w:val="24"/>
        </w:rPr>
        <w:t>"Pharmaselect"</w:t>
      </w:r>
      <w:r w:rsidRPr="00E02C47">
        <w:rPr>
          <w:sz w:val="24"/>
          <w:szCs w:val="24"/>
        </w:rPr>
        <w:t xml:space="preserve"> seponeres. </w:t>
      </w:r>
    </w:p>
    <w:p w14:paraId="215616E5" w14:textId="77777777" w:rsidR="00C52491" w:rsidRPr="00E02C47" w:rsidRDefault="00C52491" w:rsidP="003807FC">
      <w:pPr>
        <w:ind w:left="851"/>
        <w:rPr>
          <w:noProof/>
          <w:sz w:val="24"/>
          <w:szCs w:val="24"/>
        </w:rPr>
      </w:pPr>
    </w:p>
    <w:p w14:paraId="7EB91D0A" w14:textId="77777777" w:rsidR="00C52491" w:rsidRPr="00841FA8" w:rsidRDefault="00C52491" w:rsidP="003807FC">
      <w:pPr>
        <w:ind w:left="851"/>
        <w:rPr>
          <w:sz w:val="24"/>
          <w:szCs w:val="24"/>
          <w:u w:val="single"/>
        </w:rPr>
      </w:pPr>
      <w:r w:rsidRPr="00841FA8">
        <w:rPr>
          <w:sz w:val="24"/>
          <w:szCs w:val="24"/>
          <w:u w:val="single"/>
        </w:rPr>
        <w:t xml:space="preserve">Forudgående immunsupprimerende eller immunmodulerende behandlinger </w:t>
      </w:r>
    </w:p>
    <w:p w14:paraId="1E9BFE46" w14:textId="4854813A" w:rsidR="00C52491" w:rsidRPr="00841FA8" w:rsidRDefault="00C52491" w:rsidP="003807FC">
      <w:pPr>
        <w:ind w:left="851"/>
        <w:rPr>
          <w:sz w:val="24"/>
          <w:szCs w:val="24"/>
        </w:rPr>
      </w:pPr>
    </w:p>
    <w:p w14:paraId="19C4E80F" w14:textId="5D0E73D3" w:rsidR="00C52491" w:rsidRPr="00E02C47" w:rsidRDefault="00C52491" w:rsidP="003807FC">
      <w:pPr>
        <w:ind w:left="851"/>
        <w:rPr>
          <w:sz w:val="24"/>
          <w:szCs w:val="24"/>
        </w:rPr>
      </w:pPr>
      <w:r w:rsidRPr="00E02C47">
        <w:rPr>
          <w:sz w:val="24"/>
          <w:szCs w:val="24"/>
        </w:rPr>
        <w:t xml:space="preserve">Der er ikke udført studier til vurdering af fingolimods virkning og sikkerhed ved skift fra teriflunomid-, dimethylfumarat- eller alemtuzumab-behandling til fingolimod. Ved skift fra en anden sygdomsmodificerende behandling til Fingolimod </w:t>
      </w:r>
      <w:r w:rsidR="00362304">
        <w:rPr>
          <w:sz w:val="24"/>
          <w:szCs w:val="24"/>
        </w:rPr>
        <w:t>"Pharmaselect"</w:t>
      </w:r>
      <w:r w:rsidRPr="00E02C47">
        <w:rPr>
          <w:sz w:val="24"/>
          <w:szCs w:val="24"/>
        </w:rPr>
        <w:t xml:space="preserve"> skal der tages hensyn til den anden behandlings eliminationshalveringstid og virkningsmåde for at undgå additiv immunesupprimerende virkning og samtidig minimere risikoen for reaktivering af sygdommen. CBC anbefales før initiering af Fingolimod </w:t>
      </w:r>
      <w:r w:rsidR="00362304">
        <w:rPr>
          <w:sz w:val="24"/>
          <w:szCs w:val="24"/>
        </w:rPr>
        <w:t>"Pharmaselect"</w:t>
      </w:r>
      <w:r w:rsidRPr="00E02C47">
        <w:rPr>
          <w:sz w:val="24"/>
          <w:szCs w:val="24"/>
        </w:rPr>
        <w:t xml:space="preserve"> for at sikre, at den tidligere behandlings virkning på immunsystemet (dvs. cytopeni) er ophørt. </w:t>
      </w:r>
    </w:p>
    <w:p w14:paraId="32073EF9" w14:textId="63EE4EDE" w:rsidR="00C52491" w:rsidRPr="00E02C47" w:rsidRDefault="00C52491" w:rsidP="003807FC">
      <w:pPr>
        <w:ind w:left="851"/>
        <w:rPr>
          <w:sz w:val="24"/>
          <w:szCs w:val="24"/>
        </w:rPr>
      </w:pPr>
    </w:p>
    <w:p w14:paraId="5B07A0C9" w14:textId="1D1A0DA7" w:rsidR="00C52491" w:rsidRPr="00E02C47" w:rsidRDefault="00C52491" w:rsidP="003807FC">
      <w:pPr>
        <w:ind w:left="851"/>
        <w:rPr>
          <w:sz w:val="24"/>
          <w:szCs w:val="24"/>
        </w:rPr>
      </w:pPr>
      <w:r w:rsidRPr="00E02C47">
        <w:rPr>
          <w:sz w:val="24"/>
          <w:szCs w:val="24"/>
        </w:rPr>
        <w:t xml:space="preserve">Fingolimod </w:t>
      </w:r>
      <w:r w:rsidR="00362304">
        <w:rPr>
          <w:sz w:val="24"/>
          <w:szCs w:val="24"/>
        </w:rPr>
        <w:t>"Pharmaselect"</w:t>
      </w:r>
      <w:r w:rsidRPr="00E02C47">
        <w:rPr>
          <w:sz w:val="24"/>
          <w:szCs w:val="24"/>
        </w:rPr>
        <w:t xml:space="preserve"> kan normalt startes straks efter seponering af interferon eller glatirameracetat. </w:t>
      </w:r>
    </w:p>
    <w:p w14:paraId="4EB0200D" w14:textId="0531702A" w:rsidR="00C52491" w:rsidRPr="00E02C47" w:rsidRDefault="00C52491" w:rsidP="003807FC">
      <w:pPr>
        <w:ind w:left="851"/>
        <w:rPr>
          <w:sz w:val="24"/>
          <w:szCs w:val="24"/>
        </w:rPr>
      </w:pPr>
    </w:p>
    <w:p w14:paraId="55CA752D" w14:textId="5D5E36D9" w:rsidR="00C52491" w:rsidRPr="00E02C47" w:rsidRDefault="00C52491" w:rsidP="003807FC">
      <w:pPr>
        <w:ind w:left="851"/>
        <w:rPr>
          <w:sz w:val="24"/>
          <w:szCs w:val="24"/>
        </w:rPr>
      </w:pPr>
      <w:r w:rsidRPr="00E02C47">
        <w:rPr>
          <w:sz w:val="24"/>
          <w:szCs w:val="24"/>
        </w:rPr>
        <w:t xml:space="preserve">For dimethylfumarat bør udvaskningsperioden være tilstrækkelig lang til, at CBC er på udgangsniveau, før behandling med Fingolimod </w:t>
      </w:r>
      <w:r w:rsidR="00362304">
        <w:rPr>
          <w:sz w:val="24"/>
          <w:szCs w:val="24"/>
        </w:rPr>
        <w:t>"Pharmaselect"</w:t>
      </w:r>
      <w:r w:rsidRPr="00E02C47">
        <w:rPr>
          <w:sz w:val="24"/>
          <w:szCs w:val="24"/>
        </w:rPr>
        <w:t xml:space="preserve"> startes. </w:t>
      </w:r>
    </w:p>
    <w:p w14:paraId="52FE331C" w14:textId="54A89F26" w:rsidR="00C52491" w:rsidRPr="00E02C47" w:rsidRDefault="00C52491" w:rsidP="003807FC">
      <w:pPr>
        <w:ind w:left="851"/>
        <w:rPr>
          <w:sz w:val="24"/>
          <w:szCs w:val="24"/>
        </w:rPr>
      </w:pPr>
    </w:p>
    <w:p w14:paraId="7CFBAB5C" w14:textId="38F7B563" w:rsidR="00C52491" w:rsidRPr="00E02C47" w:rsidRDefault="00C52491" w:rsidP="003807FC">
      <w:pPr>
        <w:ind w:left="851"/>
        <w:rPr>
          <w:sz w:val="24"/>
          <w:szCs w:val="24"/>
        </w:rPr>
      </w:pPr>
      <w:r w:rsidRPr="00E02C47">
        <w:rPr>
          <w:sz w:val="24"/>
          <w:szCs w:val="24"/>
        </w:rPr>
        <w:t>På grund af natalizumabs lange eliminationshalveringstid tager eliminationen normalt op til 2-3 måneder efter behandlingsophør. Teriflunomid elimineres også langsomt fra plasma. Uden en accelereret eliminationsprocedure kan clearence af teriflunomid fra plasma tage fra flere måneder til op til 2 år. Det anbefales at udføre en accelereret eliminations</w:t>
      </w:r>
      <w:r w:rsidR="00263A54">
        <w:rPr>
          <w:sz w:val="24"/>
          <w:szCs w:val="24"/>
        </w:rPr>
        <w:softHyphen/>
      </w:r>
      <w:r w:rsidRPr="00E02C47">
        <w:rPr>
          <w:sz w:val="24"/>
          <w:szCs w:val="24"/>
        </w:rPr>
        <w:t xml:space="preserve">procedure som beskrevet i produktresumeet for teriflunomid, alternativt bør udvaskningsperioden ikke være kortere en 3,5 måned. Det er nødvendigt at tage forholdsregler mod potentiel samtidig immunsupprimerende virkning, når patienter skifter fra natazulimab eller teriflunomid til Fingolimod </w:t>
      </w:r>
      <w:r w:rsidR="00362304">
        <w:rPr>
          <w:sz w:val="24"/>
          <w:szCs w:val="24"/>
        </w:rPr>
        <w:t>"Pharmaselect"</w:t>
      </w:r>
      <w:r w:rsidRPr="00E02C47">
        <w:rPr>
          <w:sz w:val="24"/>
          <w:szCs w:val="24"/>
        </w:rPr>
        <w:t xml:space="preserve">. </w:t>
      </w:r>
    </w:p>
    <w:p w14:paraId="5DE9E1BB" w14:textId="77777777" w:rsidR="00C52491" w:rsidRPr="00E02C47" w:rsidRDefault="00C52491" w:rsidP="003807FC">
      <w:pPr>
        <w:ind w:left="851"/>
        <w:rPr>
          <w:sz w:val="24"/>
          <w:szCs w:val="24"/>
        </w:rPr>
      </w:pPr>
      <w:r w:rsidRPr="00E02C47">
        <w:rPr>
          <w:sz w:val="24"/>
          <w:szCs w:val="24"/>
        </w:rPr>
        <w:t xml:space="preserve"> </w:t>
      </w:r>
    </w:p>
    <w:p w14:paraId="70859FC4" w14:textId="5D0D4A84" w:rsidR="00C52491" w:rsidRPr="00E02C47" w:rsidRDefault="00C52491" w:rsidP="003807FC">
      <w:pPr>
        <w:ind w:left="851"/>
        <w:rPr>
          <w:sz w:val="24"/>
          <w:szCs w:val="24"/>
        </w:rPr>
      </w:pPr>
      <w:r w:rsidRPr="00E02C47">
        <w:rPr>
          <w:sz w:val="24"/>
          <w:szCs w:val="24"/>
        </w:rPr>
        <w:t xml:space="preserve">Alemtuzumab har en kraftig og langvarig immunsupprimerende virkning. Da den faktiske varighed af immunsuppression ikke er kendt, kan påbegyndelse af behandling med Fingolimod </w:t>
      </w:r>
      <w:r w:rsidR="00362304">
        <w:rPr>
          <w:sz w:val="24"/>
          <w:szCs w:val="24"/>
        </w:rPr>
        <w:t>"Pharmaselect"</w:t>
      </w:r>
      <w:r w:rsidRPr="00E02C47">
        <w:rPr>
          <w:sz w:val="24"/>
          <w:szCs w:val="24"/>
        </w:rPr>
        <w:t xml:space="preserve"> ikke anbefales, medmindre fordelen ved en sådan behandling klart opvejer risikoen for den enkelte patient. </w:t>
      </w:r>
    </w:p>
    <w:p w14:paraId="514F246E" w14:textId="77777777" w:rsidR="00C52491" w:rsidRPr="00E02C47" w:rsidRDefault="00C52491" w:rsidP="003807FC">
      <w:pPr>
        <w:ind w:left="851"/>
        <w:rPr>
          <w:sz w:val="24"/>
          <w:szCs w:val="24"/>
        </w:rPr>
      </w:pPr>
      <w:r w:rsidRPr="00E02C47">
        <w:rPr>
          <w:sz w:val="24"/>
          <w:szCs w:val="24"/>
        </w:rPr>
        <w:t xml:space="preserve"> </w:t>
      </w:r>
    </w:p>
    <w:p w14:paraId="64355E1C" w14:textId="77777777" w:rsidR="00C52491" w:rsidRPr="00E02C47" w:rsidRDefault="00C52491" w:rsidP="003807FC">
      <w:pPr>
        <w:ind w:left="851"/>
        <w:rPr>
          <w:sz w:val="24"/>
          <w:szCs w:val="24"/>
        </w:rPr>
      </w:pPr>
      <w:r w:rsidRPr="00E02C47">
        <w:rPr>
          <w:sz w:val="24"/>
          <w:szCs w:val="24"/>
        </w:rPr>
        <w:t xml:space="preserve">En beslutning om samtidig længerevarende behandling med kortikosteroider skal ske efter nøje overvejelser. </w:t>
      </w:r>
    </w:p>
    <w:p w14:paraId="6E684351" w14:textId="77777777" w:rsidR="00C52491" w:rsidRPr="00E02C47" w:rsidRDefault="00C52491" w:rsidP="003807FC">
      <w:pPr>
        <w:ind w:left="851"/>
        <w:rPr>
          <w:noProof/>
          <w:sz w:val="24"/>
          <w:szCs w:val="24"/>
          <w:lang w:val="nl-NL"/>
        </w:rPr>
      </w:pPr>
    </w:p>
    <w:p w14:paraId="30EB70E3" w14:textId="77777777" w:rsidR="00C52491" w:rsidRPr="00085272" w:rsidRDefault="00C52491" w:rsidP="003807FC">
      <w:pPr>
        <w:ind w:left="851"/>
        <w:rPr>
          <w:sz w:val="24"/>
          <w:szCs w:val="24"/>
          <w:u w:val="single"/>
        </w:rPr>
      </w:pPr>
      <w:r w:rsidRPr="00085272">
        <w:rPr>
          <w:sz w:val="24"/>
          <w:szCs w:val="24"/>
          <w:u w:val="single"/>
        </w:rPr>
        <w:t xml:space="preserve">Indgivelse sammen med potente CYP450-induktorer </w:t>
      </w:r>
    </w:p>
    <w:p w14:paraId="5356950C" w14:textId="77777777" w:rsidR="00C52491" w:rsidRPr="00085272" w:rsidRDefault="00C52491" w:rsidP="003807FC">
      <w:pPr>
        <w:ind w:left="851"/>
        <w:rPr>
          <w:sz w:val="24"/>
          <w:szCs w:val="24"/>
        </w:rPr>
      </w:pPr>
      <w:r w:rsidRPr="00085272">
        <w:rPr>
          <w:sz w:val="24"/>
          <w:szCs w:val="24"/>
        </w:rPr>
        <w:t xml:space="preserve"> </w:t>
      </w:r>
    </w:p>
    <w:p w14:paraId="3BA0CC5E" w14:textId="77777777" w:rsidR="00C52491" w:rsidRPr="00E02C47" w:rsidRDefault="00C52491" w:rsidP="003807FC">
      <w:pPr>
        <w:ind w:left="851"/>
        <w:rPr>
          <w:sz w:val="24"/>
          <w:szCs w:val="24"/>
        </w:rPr>
      </w:pPr>
      <w:r w:rsidRPr="00E02C47">
        <w:rPr>
          <w:sz w:val="24"/>
          <w:szCs w:val="24"/>
        </w:rPr>
        <w:t xml:space="preserve">Kombination af fingolimod og potente CYP450-induktorer bør ske med forsigtighed. Samtidig indgivelse af perikon frarådes (se pkt. 4.5) </w:t>
      </w:r>
    </w:p>
    <w:p w14:paraId="22CD1847" w14:textId="77777777" w:rsidR="00C52491" w:rsidRPr="00E02C47" w:rsidRDefault="00C52491" w:rsidP="003807FC">
      <w:pPr>
        <w:ind w:left="851"/>
        <w:rPr>
          <w:noProof/>
          <w:sz w:val="24"/>
          <w:szCs w:val="24"/>
          <w:lang w:val="nl-NL"/>
        </w:rPr>
      </w:pPr>
    </w:p>
    <w:p w14:paraId="31292560" w14:textId="77777777" w:rsidR="00C52491" w:rsidRPr="00085272" w:rsidRDefault="00C52491" w:rsidP="003807FC">
      <w:pPr>
        <w:ind w:left="851"/>
        <w:rPr>
          <w:sz w:val="24"/>
          <w:szCs w:val="24"/>
          <w:u w:val="single"/>
        </w:rPr>
      </w:pPr>
      <w:bookmarkStart w:id="0" w:name="_Hlk31975911"/>
      <w:r w:rsidRPr="00085272">
        <w:rPr>
          <w:sz w:val="24"/>
          <w:szCs w:val="24"/>
          <w:u w:val="single"/>
        </w:rPr>
        <w:t xml:space="preserve">Maligniteter </w:t>
      </w:r>
    </w:p>
    <w:p w14:paraId="128B9597" w14:textId="77777777" w:rsidR="00C52491" w:rsidRPr="00085272" w:rsidRDefault="00C52491" w:rsidP="003807FC">
      <w:pPr>
        <w:ind w:left="851"/>
        <w:rPr>
          <w:sz w:val="24"/>
          <w:szCs w:val="24"/>
        </w:rPr>
      </w:pPr>
      <w:r w:rsidRPr="00085272">
        <w:rPr>
          <w:sz w:val="24"/>
          <w:szCs w:val="24"/>
        </w:rPr>
        <w:t xml:space="preserve"> </w:t>
      </w:r>
    </w:p>
    <w:p w14:paraId="0FF680CC" w14:textId="77777777" w:rsidR="00C52491" w:rsidRPr="00085272" w:rsidRDefault="00C52491" w:rsidP="003807FC">
      <w:pPr>
        <w:ind w:left="851"/>
        <w:rPr>
          <w:sz w:val="24"/>
          <w:szCs w:val="24"/>
          <w:u w:val="single"/>
        </w:rPr>
      </w:pPr>
      <w:r w:rsidRPr="00085272">
        <w:rPr>
          <w:i/>
          <w:sz w:val="24"/>
          <w:szCs w:val="24"/>
          <w:u w:val="single"/>
        </w:rPr>
        <w:t xml:space="preserve">Kutane maligniteter </w:t>
      </w:r>
    </w:p>
    <w:p w14:paraId="7EB7DBC3" w14:textId="77777777" w:rsidR="00C52491" w:rsidRPr="00E02C47" w:rsidRDefault="00C52491" w:rsidP="003807FC">
      <w:pPr>
        <w:ind w:left="851"/>
        <w:rPr>
          <w:sz w:val="24"/>
          <w:szCs w:val="24"/>
        </w:rPr>
      </w:pPr>
      <w:r w:rsidRPr="00E02C47">
        <w:rPr>
          <w:sz w:val="24"/>
          <w:szCs w:val="24"/>
        </w:rPr>
        <w:t xml:space="preserve">Der er rapporteret basalcellekarcinom (BCC) og andre kutane neoplasmer, herunder malignt melanom, pladecellekarcinom, Kaposis sarkom og Merkelcellekarcinom, hos patienter, der får fingolimod (se pkt. 4.8). Der skal udvises opmærksomhed på hudlæsioner, og en medicinsk vurdering af huden anbefales ved start, og derefter hver 6. til 12. måned baseret på en klinisk vurdering. Patienter bør henvises til en dermatolog i tilfælde af observation af mistænkelige hudlæsioner. </w:t>
      </w:r>
    </w:p>
    <w:p w14:paraId="6E76B6E2" w14:textId="77777777" w:rsidR="00C52491" w:rsidRPr="00E02C47" w:rsidRDefault="00C52491" w:rsidP="003807FC">
      <w:pPr>
        <w:ind w:left="851"/>
        <w:rPr>
          <w:sz w:val="24"/>
          <w:szCs w:val="24"/>
        </w:rPr>
      </w:pPr>
      <w:r w:rsidRPr="00E02C47">
        <w:rPr>
          <w:sz w:val="24"/>
          <w:szCs w:val="24"/>
        </w:rPr>
        <w:t xml:space="preserve"> </w:t>
      </w:r>
    </w:p>
    <w:p w14:paraId="5B52DD6F" w14:textId="77777777" w:rsidR="00C52491" w:rsidRPr="00E02C47" w:rsidRDefault="00C52491" w:rsidP="003807FC">
      <w:pPr>
        <w:ind w:left="851"/>
        <w:rPr>
          <w:sz w:val="24"/>
          <w:szCs w:val="24"/>
        </w:rPr>
      </w:pPr>
      <w:r w:rsidRPr="00E02C47">
        <w:rPr>
          <w:sz w:val="24"/>
          <w:szCs w:val="24"/>
        </w:rPr>
        <w:t xml:space="preserve">Da der er en potentiel risiko for malign hudvækst, bør patienter, der behandles med fingolimod, advares mod udsættelse for sollys uden beskyttelse. Disse patienter bør ikke modtage samtidig behandling med UV-B-stråling eller PUVA-fotokemoterapi. </w:t>
      </w:r>
    </w:p>
    <w:bookmarkEnd w:id="0"/>
    <w:p w14:paraId="1505C35E" w14:textId="77777777" w:rsidR="00C52491" w:rsidRPr="00E02C47" w:rsidRDefault="00C52491" w:rsidP="003807FC">
      <w:pPr>
        <w:ind w:left="851"/>
        <w:rPr>
          <w:i/>
          <w:iCs/>
          <w:color w:val="000000"/>
          <w:sz w:val="24"/>
          <w:szCs w:val="24"/>
          <w:lang w:eastAsia="el-GR"/>
        </w:rPr>
      </w:pPr>
    </w:p>
    <w:p w14:paraId="1924B109" w14:textId="77777777" w:rsidR="00C52491" w:rsidRPr="00085272" w:rsidRDefault="00C52491" w:rsidP="003807FC">
      <w:pPr>
        <w:ind w:left="851"/>
        <w:rPr>
          <w:color w:val="000000"/>
          <w:sz w:val="24"/>
          <w:szCs w:val="24"/>
          <w:u w:val="single"/>
          <w:lang w:eastAsia="el-GR"/>
        </w:rPr>
      </w:pPr>
      <w:r w:rsidRPr="00085272">
        <w:rPr>
          <w:i/>
          <w:sz w:val="24"/>
          <w:szCs w:val="24"/>
          <w:u w:val="single"/>
          <w:lang w:bidi="da-DK"/>
        </w:rPr>
        <w:t xml:space="preserve">Lymfomer </w:t>
      </w:r>
    </w:p>
    <w:p w14:paraId="2FA86F7A" w14:textId="49BD15A2" w:rsidR="00C52491" w:rsidRPr="00E02C47" w:rsidRDefault="00C52491" w:rsidP="003807FC">
      <w:pPr>
        <w:ind w:left="851"/>
        <w:rPr>
          <w:noProof/>
          <w:sz w:val="24"/>
          <w:szCs w:val="24"/>
        </w:rPr>
      </w:pPr>
      <w:r w:rsidRPr="00E02C47">
        <w:rPr>
          <w:sz w:val="24"/>
          <w:szCs w:val="24"/>
          <w:lang w:bidi="da-DK"/>
        </w:rPr>
        <w:t xml:space="preserve">Der har været tilfælde af lymfom i kliniske studier og efter markedsføring (se </w:t>
      </w:r>
      <w:r w:rsidR="00362304">
        <w:rPr>
          <w:sz w:val="24"/>
          <w:szCs w:val="24"/>
          <w:lang w:bidi="da-DK"/>
        </w:rPr>
        <w:t>pkt.</w:t>
      </w:r>
      <w:r w:rsidRPr="00E02C47">
        <w:rPr>
          <w:sz w:val="24"/>
          <w:szCs w:val="24"/>
          <w:lang w:bidi="da-DK"/>
        </w:rPr>
        <w:t xml:space="preserve"> 4.8). De rapporterede tilfælde var af heterogen karakter, hovedsageligt non-Hodgkins lymfom, herunder B-celle- og T-celle-lymfomer. Der er observeret tilfælde af kutant T-cellelymfom (mycosis fungoides). Der er også observeret et dødeligt tilfælde af Epstein-Barr-virus (EBV)-positivt B-celle lymfom. Hvis der er mistanke om lymfom, skal behandlingen seponeres.</w:t>
      </w:r>
    </w:p>
    <w:p w14:paraId="6BC9608D" w14:textId="77777777" w:rsidR="00C52491" w:rsidRPr="00E02C47" w:rsidRDefault="00C52491" w:rsidP="003807FC">
      <w:pPr>
        <w:ind w:left="851"/>
        <w:rPr>
          <w:noProof/>
          <w:sz w:val="24"/>
          <w:szCs w:val="24"/>
        </w:rPr>
      </w:pPr>
    </w:p>
    <w:p w14:paraId="2789FB22" w14:textId="77777777" w:rsidR="00C52491" w:rsidRPr="00085272" w:rsidRDefault="00C52491" w:rsidP="003807FC">
      <w:pPr>
        <w:ind w:left="851"/>
        <w:rPr>
          <w:sz w:val="24"/>
          <w:szCs w:val="24"/>
          <w:u w:val="single"/>
        </w:rPr>
      </w:pPr>
      <w:r w:rsidRPr="00085272">
        <w:rPr>
          <w:sz w:val="24"/>
          <w:szCs w:val="24"/>
          <w:u w:val="single"/>
        </w:rPr>
        <w:t xml:space="preserve">Fertile kvinder </w:t>
      </w:r>
    </w:p>
    <w:p w14:paraId="73740F34" w14:textId="77777777" w:rsidR="00C52491" w:rsidRPr="00085272" w:rsidRDefault="00C52491" w:rsidP="003807FC">
      <w:pPr>
        <w:ind w:left="851"/>
        <w:rPr>
          <w:sz w:val="24"/>
          <w:szCs w:val="24"/>
          <w:u w:val="single"/>
        </w:rPr>
      </w:pPr>
      <w:r w:rsidRPr="00085272">
        <w:rPr>
          <w:sz w:val="24"/>
          <w:szCs w:val="24"/>
          <w:u w:val="single"/>
        </w:rPr>
        <w:t xml:space="preserve"> </w:t>
      </w:r>
    </w:p>
    <w:p w14:paraId="46784583" w14:textId="77777777" w:rsidR="00C52491" w:rsidRPr="00E02C47" w:rsidRDefault="00C52491" w:rsidP="003807FC">
      <w:pPr>
        <w:ind w:left="851"/>
        <w:rPr>
          <w:sz w:val="24"/>
          <w:szCs w:val="24"/>
        </w:rPr>
      </w:pPr>
      <w:r w:rsidRPr="00E02C47">
        <w:rPr>
          <w:sz w:val="24"/>
          <w:szCs w:val="24"/>
        </w:rPr>
        <w:t xml:space="preserve">På grund af risiko for fosteret er fingolimod kontraindiceret under graviditet og til fertile kvinder, der ikke anvender effektiv kontraception. Før behandlingen initieres skal fertile kvinder rådgives om denne risiko for fosteret. Der skal foreligge en negativ graviditetstest, </w:t>
      </w:r>
      <w:r w:rsidRPr="00E02C47">
        <w:rPr>
          <w:sz w:val="24"/>
          <w:szCs w:val="24"/>
        </w:rPr>
        <w:lastRenderedPageBreak/>
        <w:t xml:space="preserve">og der skal anvendes effektiv kontraception under behandling og i 2 måneder efter seponering (se pkt. 4.3 og 4.6 og informationen i Lægeinformationspakken). </w:t>
      </w:r>
    </w:p>
    <w:p w14:paraId="0F0F83BE" w14:textId="77777777" w:rsidR="00C52491" w:rsidRPr="00E02C47" w:rsidRDefault="00C52491" w:rsidP="003807FC">
      <w:pPr>
        <w:ind w:left="851"/>
        <w:rPr>
          <w:noProof/>
          <w:sz w:val="24"/>
          <w:szCs w:val="24"/>
        </w:rPr>
      </w:pPr>
    </w:p>
    <w:p w14:paraId="613DB8A2" w14:textId="77777777" w:rsidR="00C52491" w:rsidRPr="00085272" w:rsidRDefault="00C52491" w:rsidP="003807FC">
      <w:pPr>
        <w:ind w:left="851"/>
        <w:rPr>
          <w:noProof/>
          <w:sz w:val="24"/>
          <w:szCs w:val="24"/>
          <w:u w:val="single"/>
        </w:rPr>
      </w:pPr>
      <w:r w:rsidRPr="00085272">
        <w:rPr>
          <w:noProof/>
          <w:sz w:val="24"/>
          <w:szCs w:val="24"/>
          <w:u w:val="single"/>
          <w:lang w:bidi="da-DK"/>
        </w:rPr>
        <w:t>Tumoraktive læsioner</w:t>
      </w:r>
    </w:p>
    <w:p w14:paraId="17E109ED" w14:textId="77777777" w:rsidR="00C52491" w:rsidRPr="00E02C47" w:rsidRDefault="00C52491" w:rsidP="003807FC">
      <w:pPr>
        <w:ind w:left="851"/>
        <w:rPr>
          <w:sz w:val="24"/>
          <w:szCs w:val="24"/>
        </w:rPr>
      </w:pPr>
      <w:r w:rsidRPr="00E02C47">
        <w:rPr>
          <w:sz w:val="24"/>
          <w:szCs w:val="24"/>
        </w:rPr>
        <w:t xml:space="preserve">Der er efter markedsføring blevet rapporteret om sjældne tilfælde af tumefaktive læsioner forbundet med MR-attakker. I tilfælde af svære attakker bør der udføres MRI-scanning for at udelukke tumefaktive læsioner. Seponering af behandling bør overvejes af den behandlende læge på baggrund af en individuel vurdering og under hensyntagen til fordele og risici for den enkelte patient. </w:t>
      </w:r>
    </w:p>
    <w:p w14:paraId="2F46923B" w14:textId="77777777" w:rsidR="00C52491" w:rsidRPr="00E02C47" w:rsidRDefault="00C52491" w:rsidP="003807FC">
      <w:pPr>
        <w:ind w:left="851"/>
        <w:rPr>
          <w:noProof/>
          <w:sz w:val="24"/>
          <w:szCs w:val="24"/>
        </w:rPr>
      </w:pPr>
    </w:p>
    <w:p w14:paraId="41649FB3" w14:textId="77777777" w:rsidR="00C52491" w:rsidRPr="00085272" w:rsidRDefault="00C52491" w:rsidP="003807FC">
      <w:pPr>
        <w:ind w:left="851"/>
        <w:rPr>
          <w:noProof/>
          <w:sz w:val="24"/>
          <w:szCs w:val="24"/>
          <w:u w:val="single"/>
        </w:rPr>
      </w:pPr>
      <w:r w:rsidRPr="00085272">
        <w:rPr>
          <w:noProof/>
          <w:sz w:val="24"/>
          <w:szCs w:val="24"/>
          <w:u w:val="single"/>
          <w:lang w:bidi="da-DK"/>
        </w:rPr>
        <w:t>Fornyet sygdomsaktivitet (recidiv)</w:t>
      </w:r>
      <w:r w:rsidRPr="00085272">
        <w:rPr>
          <w:sz w:val="24"/>
          <w:szCs w:val="24"/>
          <w:u w:val="single"/>
          <w:lang w:bidi="da-DK"/>
        </w:rPr>
        <w:t xml:space="preserve"> </w:t>
      </w:r>
      <w:r w:rsidRPr="00085272">
        <w:rPr>
          <w:noProof/>
          <w:sz w:val="24"/>
          <w:szCs w:val="24"/>
          <w:u w:val="single"/>
          <w:lang w:bidi="da-DK"/>
        </w:rPr>
        <w:t>efter seponering af fingolimod</w:t>
      </w:r>
    </w:p>
    <w:p w14:paraId="4C4F6DB1" w14:textId="77777777" w:rsidR="00C52491" w:rsidRPr="00E02C47" w:rsidRDefault="00C52491" w:rsidP="003807FC">
      <w:pPr>
        <w:ind w:left="851"/>
        <w:rPr>
          <w:sz w:val="24"/>
          <w:szCs w:val="24"/>
        </w:rPr>
      </w:pPr>
      <w:r w:rsidRPr="00E02C47">
        <w:rPr>
          <w:sz w:val="24"/>
          <w:szCs w:val="24"/>
        </w:rPr>
        <w:t xml:space="preserve">Efter markedsføring er der i sjældne tilfælde observeret alvorlig sygdomsforværring hos nogle patienter, som er stoppet med behandlingen med fingolimod. Dette er generelt blevet set inden for 12 uger efter ophør af behandling med fingolimod, men er også blevet rapporteret i op til 24 uger efter seponering. Der skal derfor udvises forsigtighed, når behandling med fingolimod stoppes. Hvis det vurderes at være nødvendigt at seponere fingolimod, bør muligheden for tilbagevendende usædvanlig høj sygdomsaktivitet tages i betragtning og patienterne bør monitoreres for relevante tegn og symptomer, og passende behandling bør initieres om nødvendigt (se ”Behandlingsophør” nedenfor). </w:t>
      </w:r>
    </w:p>
    <w:p w14:paraId="1E300D13" w14:textId="77777777" w:rsidR="00C52491" w:rsidRPr="00E02C47" w:rsidRDefault="00C52491" w:rsidP="003807FC">
      <w:pPr>
        <w:ind w:left="851"/>
        <w:rPr>
          <w:noProof/>
          <w:sz w:val="24"/>
          <w:szCs w:val="24"/>
        </w:rPr>
      </w:pPr>
    </w:p>
    <w:p w14:paraId="3472495A" w14:textId="77777777" w:rsidR="00C52491" w:rsidRPr="00085272" w:rsidRDefault="00C52491" w:rsidP="003807FC">
      <w:pPr>
        <w:ind w:left="851"/>
        <w:rPr>
          <w:noProof/>
          <w:sz w:val="24"/>
          <w:szCs w:val="24"/>
          <w:u w:val="single"/>
        </w:rPr>
      </w:pPr>
      <w:r w:rsidRPr="00085272">
        <w:rPr>
          <w:noProof/>
          <w:sz w:val="24"/>
          <w:szCs w:val="24"/>
          <w:u w:val="single"/>
          <w:lang w:bidi="da-DK"/>
        </w:rPr>
        <w:t>Behandlingsophør</w:t>
      </w:r>
    </w:p>
    <w:p w14:paraId="1F74C50F" w14:textId="633371F5" w:rsidR="00C52491" w:rsidRPr="00E02C47" w:rsidRDefault="00C52491" w:rsidP="003807FC">
      <w:pPr>
        <w:ind w:left="851"/>
        <w:rPr>
          <w:sz w:val="24"/>
          <w:szCs w:val="24"/>
        </w:rPr>
      </w:pPr>
      <w:r w:rsidRPr="00E02C47">
        <w:rPr>
          <w:sz w:val="24"/>
          <w:szCs w:val="24"/>
        </w:rPr>
        <w:t xml:space="preserve">Hvis det besluttes at stoppe behandlingen med Fingolimod </w:t>
      </w:r>
      <w:r w:rsidR="00362304">
        <w:rPr>
          <w:sz w:val="24"/>
          <w:szCs w:val="24"/>
        </w:rPr>
        <w:t>"Pharmaselect"</w:t>
      </w:r>
      <w:r w:rsidRPr="00E02C47">
        <w:rPr>
          <w:sz w:val="24"/>
          <w:szCs w:val="24"/>
        </w:rPr>
        <w:t xml:space="preserve">, er det nødvendigt med et 6-ugers interval uden behandling, baseret på halveringstid, for at udvaske fingolimod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fingolimod. Anvendelse af immunsuppresiva hurtigt efter ophør med fingolimod kan medføre en forstærket påvirkning af immunsystemet; det er derfor nødvendigt at udvise forsigtighed. </w:t>
      </w:r>
    </w:p>
    <w:p w14:paraId="5DB88F3D" w14:textId="77777777" w:rsidR="00C52491" w:rsidRPr="00E02C47" w:rsidRDefault="00C52491" w:rsidP="003807FC">
      <w:pPr>
        <w:ind w:left="851"/>
        <w:rPr>
          <w:sz w:val="24"/>
          <w:szCs w:val="24"/>
        </w:rPr>
      </w:pPr>
      <w:r w:rsidRPr="00E02C47">
        <w:rPr>
          <w:sz w:val="24"/>
          <w:szCs w:val="24"/>
        </w:rPr>
        <w:t xml:space="preserve"> </w:t>
      </w:r>
    </w:p>
    <w:p w14:paraId="3F759072" w14:textId="09D15A6C" w:rsidR="00C52491" w:rsidRPr="00E02C47" w:rsidRDefault="00C52491" w:rsidP="003807FC">
      <w:pPr>
        <w:ind w:left="851"/>
        <w:rPr>
          <w:sz w:val="24"/>
          <w:szCs w:val="24"/>
        </w:rPr>
      </w:pPr>
      <w:r w:rsidRPr="00E02C47">
        <w:rPr>
          <w:color w:val="222222"/>
          <w:sz w:val="24"/>
          <w:szCs w:val="24"/>
        </w:rPr>
        <w:t xml:space="preserve">Forsigtighed er også indiceret, når man stopper fingolimodbehandling på grund af risikoen for recidiv (se ”Fornyet sygdomsaktivitet (recidiv) efter seponering af fingolimod” ovenfor). Hvis seponering af </w:t>
      </w:r>
      <w:r w:rsidRPr="00E02C47">
        <w:rPr>
          <w:sz w:val="24"/>
          <w:szCs w:val="24"/>
        </w:rPr>
        <w:t xml:space="preserve">Fingolimod </w:t>
      </w:r>
      <w:r w:rsidR="00362304">
        <w:rPr>
          <w:sz w:val="24"/>
          <w:szCs w:val="24"/>
        </w:rPr>
        <w:t>"Pharmaselect"</w:t>
      </w:r>
      <w:r w:rsidRPr="00E02C47">
        <w:rPr>
          <w:color w:val="222222"/>
          <w:sz w:val="24"/>
          <w:szCs w:val="24"/>
        </w:rPr>
        <w:t xml:space="preserve"> anses for nødvendigt, skal patienterne i denne periode overvåges for relevante tegn på </w:t>
      </w:r>
      <w:proofErr w:type="gramStart"/>
      <w:r w:rsidRPr="00E02C47">
        <w:rPr>
          <w:color w:val="222222"/>
          <w:sz w:val="24"/>
          <w:szCs w:val="24"/>
        </w:rPr>
        <w:t>en mulig recidiv</w:t>
      </w:r>
      <w:proofErr w:type="gramEnd"/>
      <w:r w:rsidRPr="00E02C47">
        <w:rPr>
          <w:color w:val="222222"/>
          <w:sz w:val="24"/>
          <w:szCs w:val="24"/>
        </w:rPr>
        <w:t xml:space="preserve">. </w:t>
      </w:r>
    </w:p>
    <w:p w14:paraId="1C3345D9" w14:textId="77777777" w:rsidR="00C52491" w:rsidRPr="00E02C47" w:rsidRDefault="00C52491" w:rsidP="003807FC">
      <w:pPr>
        <w:ind w:left="851"/>
        <w:rPr>
          <w:sz w:val="24"/>
          <w:szCs w:val="24"/>
        </w:rPr>
      </w:pPr>
    </w:p>
    <w:p w14:paraId="760B66E7" w14:textId="77777777" w:rsidR="00C52491" w:rsidRPr="00085272" w:rsidRDefault="00C52491" w:rsidP="003807FC">
      <w:pPr>
        <w:ind w:left="851"/>
        <w:rPr>
          <w:sz w:val="24"/>
          <w:szCs w:val="24"/>
          <w:u w:val="single"/>
          <w:lang w:eastAsia="en-IN"/>
        </w:rPr>
      </w:pPr>
      <w:r w:rsidRPr="00085272">
        <w:rPr>
          <w:sz w:val="24"/>
          <w:szCs w:val="24"/>
          <w:u w:val="single"/>
          <w:lang w:bidi="da-DK"/>
        </w:rPr>
        <w:t>Interferens med serologisk testning</w:t>
      </w:r>
    </w:p>
    <w:p w14:paraId="2E779A4A" w14:textId="77777777" w:rsidR="00C52491" w:rsidRPr="00E02C47" w:rsidRDefault="00C52491" w:rsidP="003807FC">
      <w:pPr>
        <w:ind w:left="851"/>
        <w:rPr>
          <w:sz w:val="24"/>
          <w:szCs w:val="24"/>
        </w:rPr>
      </w:pPr>
      <w:r w:rsidRPr="00E02C47">
        <w:rPr>
          <w:sz w:val="24"/>
          <w:szCs w:val="24"/>
        </w:rPr>
        <w:t xml:space="preserve">Da fingolimod nedsætter antallet af lymfocytter i blodet på grund af omfordeling til sekundære lymfoide organer, kan tællinger af det perifere lymfocyttal ikke anvendes til at vurdere status for en delmængde af lymfocytter hos en patient, der behandles med fingolimod. Laboratorietests, som indebærer anvendelse af cirkulerende mononukleære celler, kræver større blodmængder på grund af reduktionen af antallet af cirkulerende lymfocytter. </w:t>
      </w:r>
    </w:p>
    <w:p w14:paraId="3D66D1CA" w14:textId="77777777" w:rsidR="00C52491" w:rsidRPr="00E02C47" w:rsidRDefault="00C52491" w:rsidP="003807FC">
      <w:pPr>
        <w:ind w:left="851"/>
        <w:rPr>
          <w:sz w:val="24"/>
          <w:szCs w:val="24"/>
        </w:rPr>
      </w:pPr>
    </w:p>
    <w:p w14:paraId="2C8B021C" w14:textId="77777777" w:rsidR="00C52491" w:rsidRPr="00085272" w:rsidRDefault="00C52491" w:rsidP="003807FC">
      <w:pPr>
        <w:ind w:left="851"/>
        <w:rPr>
          <w:sz w:val="24"/>
          <w:szCs w:val="24"/>
          <w:u w:val="single"/>
        </w:rPr>
      </w:pPr>
      <w:r w:rsidRPr="00085272">
        <w:rPr>
          <w:sz w:val="24"/>
          <w:szCs w:val="24"/>
          <w:u w:val="single"/>
          <w:lang w:bidi="da-DK"/>
        </w:rPr>
        <w:t>Pædiatrisk population</w:t>
      </w:r>
    </w:p>
    <w:p w14:paraId="6BDCA9D6" w14:textId="77777777" w:rsidR="00C52491" w:rsidRPr="00E02C47" w:rsidRDefault="00C52491" w:rsidP="003807FC">
      <w:pPr>
        <w:ind w:left="851"/>
        <w:rPr>
          <w:sz w:val="24"/>
          <w:szCs w:val="24"/>
        </w:rPr>
      </w:pPr>
      <w:r w:rsidRPr="00E02C47">
        <w:rPr>
          <w:sz w:val="24"/>
          <w:szCs w:val="24"/>
        </w:rPr>
        <w:t xml:space="preserve">Sikkerhedsprofilen for pædiatriske patienter er sammenlignelig med den for voksne, og de advarsler og forsigtighedsregler der gælder for voksne, gælder derfor også pædiatriske patienter. </w:t>
      </w:r>
    </w:p>
    <w:p w14:paraId="0B6C6364" w14:textId="77777777" w:rsidR="00C52491" w:rsidRPr="00E02C47" w:rsidRDefault="00C52491" w:rsidP="003807FC">
      <w:pPr>
        <w:ind w:left="851"/>
        <w:rPr>
          <w:sz w:val="24"/>
          <w:szCs w:val="24"/>
        </w:rPr>
      </w:pPr>
      <w:r w:rsidRPr="00E02C47">
        <w:rPr>
          <w:sz w:val="24"/>
          <w:szCs w:val="24"/>
        </w:rPr>
        <w:t xml:space="preserve"> </w:t>
      </w:r>
    </w:p>
    <w:p w14:paraId="582DB57D" w14:textId="2860032A" w:rsidR="00C52491" w:rsidRPr="00E02C47" w:rsidRDefault="00C52491" w:rsidP="003807FC">
      <w:pPr>
        <w:ind w:left="851"/>
        <w:rPr>
          <w:sz w:val="24"/>
          <w:szCs w:val="24"/>
        </w:rPr>
      </w:pPr>
      <w:r w:rsidRPr="00E02C47">
        <w:rPr>
          <w:sz w:val="24"/>
          <w:szCs w:val="24"/>
        </w:rPr>
        <w:t xml:space="preserve">Man skal især være opmærksom på følgende, når Fingolimod </w:t>
      </w:r>
      <w:r w:rsidR="00362304">
        <w:rPr>
          <w:sz w:val="24"/>
          <w:szCs w:val="24"/>
        </w:rPr>
        <w:t>"Pharmaselect"</w:t>
      </w:r>
      <w:r w:rsidRPr="00E02C47">
        <w:rPr>
          <w:sz w:val="24"/>
          <w:szCs w:val="24"/>
        </w:rPr>
        <w:t xml:space="preserve"> ordineres til pædiatriske patienter: </w:t>
      </w:r>
    </w:p>
    <w:p w14:paraId="6C986528" w14:textId="77777777" w:rsidR="00C52491" w:rsidRPr="00085272" w:rsidRDefault="00C52491" w:rsidP="00085272">
      <w:pPr>
        <w:pStyle w:val="Listeafsnit"/>
        <w:numPr>
          <w:ilvl w:val="0"/>
          <w:numId w:val="14"/>
        </w:numPr>
        <w:ind w:left="1276" w:hanging="425"/>
        <w:rPr>
          <w:sz w:val="24"/>
          <w:szCs w:val="24"/>
        </w:rPr>
      </w:pPr>
      <w:r w:rsidRPr="00085272">
        <w:rPr>
          <w:sz w:val="24"/>
          <w:szCs w:val="24"/>
        </w:rPr>
        <w:lastRenderedPageBreak/>
        <w:t xml:space="preserve">Ved første dosis skal forsigtighedsreglerne følges (se “Bradykardi” ovenfor). Når patienter skifter fra en daglig dosis på 0,25 mg til 0,5 mg, anbefales de samme forsigtighedsregler som ved første dosis. </w:t>
      </w:r>
    </w:p>
    <w:p w14:paraId="2D6DAD30"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“Pædiatrisk population” under pkt. 4.8). </w:t>
      </w:r>
    </w:p>
    <w:p w14:paraId="6399D570"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Lette, enkeltstående stigninger i bilirubin er fundet hos pædiatriske patienter behandlet med fingolimod. </w:t>
      </w:r>
    </w:p>
    <w:p w14:paraId="1F9E2313" w14:textId="1600779A" w:rsidR="00C52491" w:rsidRPr="00085272" w:rsidRDefault="00C52491" w:rsidP="00085272">
      <w:pPr>
        <w:pStyle w:val="Listeafsnit"/>
        <w:numPr>
          <w:ilvl w:val="0"/>
          <w:numId w:val="14"/>
        </w:numPr>
        <w:ind w:left="1276" w:hanging="425"/>
        <w:rPr>
          <w:sz w:val="24"/>
          <w:szCs w:val="24"/>
        </w:rPr>
      </w:pPr>
      <w:r w:rsidRPr="00085272">
        <w:rPr>
          <w:sz w:val="24"/>
          <w:szCs w:val="24"/>
        </w:rPr>
        <w:t xml:space="preserve">Det anbefales, at pædiatriske patienter får alle vaccinationer i henhold til gældende retningslinjer for vaccination, inden de startes på behandling med Fingolimod </w:t>
      </w:r>
      <w:r w:rsidR="00362304">
        <w:rPr>
          <w:sz w:val="24"/>
          <w:szCs w:val="24"/>
        </w:rPr>
        <w:t>"Pharmaselect"</w:t>
      </w:r>
      <w:r w:rsidRPr="00085272">
        <w:rPr>
          <w:sz w:val="24"/>
          <w:szCs w:val="24"/>
        </w:rPr>
        <w:t xml:space="preserve"> (se “Infektioner” ovenfor). </w:t>
      </w:r>
    </w:p>
    <w:p w14:paraId="10B44D46"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Der er meget begrænsede data tilgængelige fra børn i alderen mellem 10–12 år, under 40 kg eller på Tanners stadium &lt;2 (se pkt. 4.8 og 5.1). Eftersom der er meget begrænset viden tilgængelig fra det kliniske studie, er forsigtighed påkrævet i disse undergrupper. </w:t>
      </w:r>
    </w:p>
    <w:p w14:paraId="700520D6" w14:textId="77777777" w:rsidR="00C52491" w:rsidRPr="00085272" w:rsidRDefault="00C52491" w:rsidP="00085272">
      <w:pPr>
        <w:pStyle w:val="Listeafsnit"/>
        <w:numPr>
          <w:ilvl w:val="0"/>
          <w:numId w:val="14"/>
        </w:numPr>
        <w:ind w:left="1276" w:hanging="425"/>
        <w:rPr>
          <w:sz w:val="24"/>
          <w:szCs w:val="24"/>
        </w:rPr>
      </w:pPr>
      <w:r w:rsidRPr="00085272">
        <w:rPr>
          <w:sz w:val="24"/>
          <w:szCs w:val="24"/>
        </w:rPr>
        <w:t xml:space="preserve">Der er ingen tilgængelige langtidssikkerhedsdata for den pædiatriske population. </w:t>
      </w:r>
    </w:p>
    <w:p w14:paraId="7BB3FA84" w14:textId="77777777" w:rsidR="009260DE" w:rsidRPr="00E02C47" w:rsidRDefault="009260DE" w:rsidP="009260DE">
      <w:pPr>
        <w:tabs>
          <w:tab w:val="left" w:pos="851"/>
        </w:tabs>
        <w:ind w:left="851"/>
        <w:rPr>
          <w:sz w:val="24"/>
          <w:szCs w:val="24"/>
        </w:rPr>
      </w:pPr>
    </w:p>
    <w:p w14:paraId="429E8699" w14:textId="77777777" w:rsidR="009260DE" w:rsidRPr="00E02C47" w:rsidRDefault="009260DE" w:rsidP="009260DE">
      <w:pPr>
        <w:tabs>
          <w:tab w:val="left" w:pos="851"/>
        </w:tabs>
        <w:ind w:left="851" w:hanging="851"/>
        <w:rPr>
          <w:b/>
          <w:sz w:val="24"/>
          <w:szCs w:val="24"/>
        </w:rPr>
      </w:pPr>
      <w:r w:rsidRPr="00E02C47">
        <w:rPr>
          <w:b/>
          <w:sz w:val="24"/>
          <w:szCs w:val="24"/>
        </w:rPr>
        <w:t>4.5</w:t>
      </w:r>
      <w:r w:rsidRPr="00E02C47">
        <w:rPr>
          <w:b/>
          <w:sz w:val="24"/>
          <w:szCs w:val="24"/>
        </w:rPr>
        <w:tab/>
        <w:t>Interaktion med andre lægemidler og andre former for interaktion</w:t>
      </w:r>
    </w:p>
    <w:p w14:paraId="55139BDE" w14:textId="77777777" w:rsidR="00085272" w:rsidRDefault="00085272" w:rsidP="003807FC">
      <w:pPr>
        <w:ind w:left="851"/>
        <w:rPr>
          <w:sz w:val="24"/>
          <w:szCs w:val="24"/>
          <w:lang w:bidi="da-DK"/>
        </w:rPr>
      </w:pPr>
    </w:p>
    <w:p w14:paraId="11F789D9" w14:textId="0A64B8D6" w:rsidR="00C52491" w:rsidRPr="00085272" w:rsidRDefault="00C52491" w:rsidP="003807FC">
      <w:pPr>
        <w:ind w:left="851"/>
        <w:rPr>
          <w:sz w:val="24"/>
          <w:szCs w:val="24"/>
          <w:u w:val="single"/>
        </w:rPr>
      </w:pPr>
      <w:r w:rsidRPr="00085272">
        <w:rPr>
          <w:sz w:val="24"/>
          <w:szCs w:val="24"/>
          <w:u w:val="single"/>
          <w:lang w:bidi="da-DK"/>
        </w:rPr>
        <w:t>Anti-neoplastiske, immunmodulerende eller immunosupprimerende behandlinger</w:t>
      </w:r>
    </w:p>
    <w:p w14:paraId="607014AF" w14:textId="77777777" w:rsidR="00C52491" w:rsidRPr="00E02C47" w:rsidRDefault="00C52491" w:rsidP="003807FC">
      <w:pPr>
        <w:ind w:left="851"/>
        <w:rPr>
          <w:sz w:val="24"/>
          <w:szCs w:val="24"/>
        </w:rPr>
      </w:pPr>
      <w:r w:rsidRPr="00E02C47">
        <w:rPr>
          <w:sz w:val="24"/>
          <w:szCs w:val="24"/>
        </w:rPr>
        <w:t xml:space="preserve">Antineoplastiske, immunmodulerende eller immunsupprimerende behandlinger bør ikke gives samtidig på grund af risikoen for forstærket påvirkning af immunsystemet (se pkt. 4.3 og 4.4). </w:t>
      </w:r>
    </w:p>
    <w:p w14:paraId="46D66905" w14:textId="77777777" w:rsidR="00C52491" w:rsidRPr="00E02C47" w:rsidRDefault="00C52491" w:rsidP="003807FC">
      <w:pPr>
        <w:ind w:left="851"/>
        <w:rPr>
          <w:sz w:val="24"/>
          <w:szCs w:val="24"/>
        </w:rPr>
      </w:pPr>
      <w:r w:rsidRPr="00E02C47">
        <w:rPr>
          <w:sz w:val="24"/>
          <w:szCs w:val="24"/>
        </w:rPr>
        <w:t xml:space="preserve"> </w:t>
      </w:r>
    </w:p>
    <w:p w14:paraId="2A87D0CA" w14:textId="77777777" w:rsidR="00C52491" w:rsidRPr="00E02C47" w:rsidRDefault="00C52491" w:rsidP="003807FC">
      <w:pPr>
        <w:ind w:left="851"/>
        <w:rPr>
          <w:sz w:val="24"/>
          <w:szCs w:val="24"/>
        </w:rPr>
      </w:pPr>
      <w:r w:rsidRPr="00E02C47">
        <w:rPr>
          <w:sz w:val="24"/>
          <w:szCs w:val="24"/>
        </w:rPr>
        <w:t xml:space="preserve">Der skal også udvises forsigtighed, når patienter skifter fra langtidsvirkende behandlinger, som påvirker immunsystemet, såsom natalizumab, teriflunomid eller mitoxantron (se pkt. 4.4). I kliniske studier hos patienter med multipel sklerose har samtidig behandling af anfald med kortikosteroider i en kort periode ikke været forbundet med forhøjet infektionsrate. </w:t>
      </w:r>
    </w:p>
    <w:p w14:paraId="23E82527" w14:textId="77777777" w:rsidR="00C52491" w:rsidRPr="00E02C47" w:rsidRDefault="00C52491" w:rsidP="003807FC">
      <w:pPr>
        <w:ind w:left="851"/>
        <w:rPr>
          <w:sz w:val="24"/>
          <w:szCs w:val="24"/>
        </w:rPr>
      </w:pPr>
    </w:p>
    <w:p w14:paraId="1BE615E6" w14:textId="77777777" w:rsidR="00C52491" w:rsidRPr="00085272" w:rsidRDefault="00C52491" w:rsidP="003807FC">
      <w:pPr>
        <w:ind w:left="851"/>
        <w:rPr>
          <w:sz w:val="24"/>
          <w:szCs w:val="24"/>
          <w:u w:val="single"/>
        </w:rPr>
      </w:pPr>
      <w:r w:rsidRPr="00085272">
        <w:rPr>
          <w:sz w:val="24"/>
          <w:szCs w:val="24"/>
          <w:u w:val="single"/>
          <w:lang w:bidi="da-DK"/>
        </w:rPr>
        <w:t>Vaccination</w:t>
      </w:r>
    </w:p>
    <w:p w14:paraId="64E2CC07" w14:textId="25238BE0" w:rsidR="00C52491" w:rsidRPr="00E02C47" w:rsidRDefault="00C52491" w:rsidP="003807FC">
      <w:pPr>
        <w:ind w:left="851"/>
        <w:rPr>
          <w:sz w:val="24"/>
          <w:szCs w:val="24"/>
        </w:rPr>
      </w:pPr>
      <w:r w:rsidRPr="00E02C47">
        <w:rPr>
          <w:sz w:val="24"/>
          <w:szCs w:val="24"/>
          <w:lang w:bidi="da-DK"/>
        </w:rPr>
        <w:t xml:space="preserve">Under og i op til to måneder efter behandling med fingolimod kan vaccination være mindre effektiv. Anvendelse af svækkede vacciner kan indebære en infektionsrisiko og skal derfor undgås (se </w:t>
      </w:r>
      <w:r w:rsidR="00362304">
        <w:rPr>
          <w:sz w:val="24"/>
          <w:szCs w:val="24"/>
          <w:lang w:bidi="da-DK"/>
        </w:rPr>
        <w:t>pkt.</w:t>
      </w:r>
      <w:r w:rsidRPr="00E02C47">
        <w:rPr>
          <w:sz w:val="24"/>
          <w:szCs w:val="24"/>
          <w:lang w:bidi="da-DK"/>
        </w:rPr>
        <w:t xml:space="preserve"> 4.4 og 4.8).</w:t>
      </w:r>
    </w:p>
    <w:p w14:paraId="6BBA2093" w14:textId="77777777" w:rsidR="00C52491" w:rsidRPr="00E02C47" w:rsidRDefault="00C52491" w:rsidP="003807FC">
      <w:pPr>
        <w:ind w:left="851"/>
        <w:rPr>
          <w:sz w:val="24"/>
          <w:szCs w:val="24"/>
        </w:rPr>
      </w:pPr>
    </w:p>
    <w:p w14:paraId="5E80A727" w14:textId="77777777" w:rsidR="00C52491" w:rsidRPr="00085272" w:rsidRDefault="00C52491" w:rsidP="003807FC">
      <w:pPr>
        <w:ind w:left="851"/>
        <w:rPr>
          <w:sz w:val="24"/>
          <w:szCs w:val="24"/>
          <w:u w:val="single"/>
        </w:rPr>
      </w:pPr>
      <w:r w:rsidRPr="00085272">
        <w:rPr>
          <w:sz w:val="24"/>
          <w:szCs w:val="24"/>
          <w:u w:val="single"/>
          <w:lang w:bidi="da-DK"/>
        </w:rPr>
        <w:t>Bradykardiinducerende stoffer</w:t>
      </w:r>
    </w:p>
    <w:p w14:paraId="089977D6" w14:textId="626109B8" w:rsidR="00C52491" w:rsidRPr="00E02C47" w:rsidRDefault="00C52491" w:rsidP="003807FC">
      <w:pPr>
        <w:ind w:left="851"/>
        <w:rPr>
          <w:sz w:val="24"/>
          <w:szCs w:val="24"/>
        </w:rPr>
      </w:pPr>
      <w:r w:rsidRPr="00E02C47">
        <w:rPr>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w:t>
      </w:r>
      <w:r w:rsidR="00085272">
        <w:rPr>
          <w:sz w:val="24"/>
          <w:szCs w:val="24"/>
        </w:rPr>
        <w:softHyphen/>
      </w:r>
      <w:r w:rsidRPr="00E02C47">
        <w:rPr>
          <w:sz w:val="24"/>
          <w:szCs w:val="24"/>
        </w:rPr>
        <w:t xml:space="preserve">behandlingen, en effekt, der ikke ses sammen med diltiazem. Behandling med Fingolimod </w:t>
      </w:r>
      <w:r w:rsidR="00362304">
        <w:rPr>
          <w:sz w:val="24"/>
          <w:szCs w:val="24"/>
        </w:rPr>
        <w:t>"Pharmaselect"</w:t>
      </w:r>
      <w:r w:rsidRPr="00E02C47">
        <w:rPr>
          <w:sz w:val="24"/>
          <w:szCs w:val="24"/>
        </w:rPr>
        <w:t xml:space="preserve">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Fingolimod </w:t>
      </w:r>
      <w:r w:rsidR="00362304">
        <w:rPr>
          <w:sz w:val="24"/>
          <w:szCs w:val="24"/>
        </w:rPr>
        <w:t>"Pharmaselect"</w:t>
      </w:r>
      <w:r w:rsidRPr="00E02C47">
        <w:rPr>
          <w:sz w:val="24"/>
          <w:szCs w:val="24"/>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 </w:t>
      </w:r>
    </w:p>
    <w:p w14:paraId="0296F91B" w14:textId="77777777" w:rsidR="00C52491" w:rsidRPr="00E02C47" w:rsidRDefault="00C52491" w:rsidP="003807FC">
      <w:pPr>
        <w:ind w:left="851"/>
        <w:rPr>
          <w:sz w:val="24"/>
          <w:szCs w:val="24"/>
        </w:rPr>
      </w:pPr>
    </w:p>
    <w:p w14:paraId="74DF224C" w14:textId="77777777" w:rsidR="00C52491" w:rsidRPr="00085272" w:rsidRDefault="00C52491" w:rsidP="003807FC">
      <w:pPr>
        <w:ind w:left="851"/>
        <w:rPr>
          <w:sz w:val="24"/>
          <w:szCs w:val="24"/>
          <w:u w:val="single"/>
        </w:rPr>
      </w:pPr>
      <w:r w:rsidRPr="00085272">
        <w:rPr>
          <w:sz w:val="24"/>
          <w:szCs w:val="24"/>
          <w:u w:val="single"/>
          <w:lang w:bidi="da-DK"/>
        </w:rPr>
        <w:t>Interaktioner af andre lægemidler på fingolimods farmakokinetik</w:t>
      </w:r>
    </w:p>
    <w:p w14:paraId="2F33C53C" w14:textId="77777777" w:rsidR="00C52491" w:rsidRPr="00E02C47" w:rsidRDefault="00C52491" w:rsidP="003807FC">
      <w:pPr>
        <w:ind w:left="851"/>
        <w:rPr>
          <w:sz w:val="24"/>
          <w:szCs w:val="24"/>
        </w:rPr>
      </w:pPr>
      <w:r w:rsidRPr="00E02C47">
        <w:rPr>
          <w:sz w:val="24"/>
          <w:szCs w:val="24"/>
          <w:lang w:bidi="da-DK"/>
        </w:rPr>
        <w:t>Fingolimod metaboliseres hovedsageligt af CYP4F2. Andre enzymer som CYP3A4 kan også bidrage til dets metabolisme, især i tilfælde af stærk induktion af CYP3A4. Potente hæmmere af transportproteiner forventes ikke at påvirke fingolimods fordeling. Samtidig behandling med fingolimod og ketoconazol har medført en 1,7 gange forøgelse i eksponeringen (AUC) af fingolimod og fingolimodfosfat ved hæmning af CYP4F2. Der skal iagttages forsigtighed med stoffer, der kan hæmme CYP3A4 (proteasehæmmere, azolsvampemidler, visse makrolider såsom clarithromycin eller telithromycin).</w:t>
      </w:r>
    </w:p>
    <w:p w14:paraId="70225082" w14:textId="77777777" w:rsidR="00C52491" w:rsidRPr="00E02C47" w:rsidRDefault="00C52491" w:rsidP="003807FC">
      <w:pPr>
        <w:ind w:left="851"/>
        <w:rPr>
          <w:sz w:val="24"/>
          <w:szCs w:val="24"/>
        </w:rPr>
      </w:pPr>
    </w:p>
    <w:p w14:paraId="5424DB0F" w14:textId="4A3EC261" w:rsidR="00C52491" w:rsidRPr="00E02C47" w:rsidRDefault="00C52491" w:rsidP="003807FC">
      <w:pPr>
        <w:ind w:left="851"/>
        <w:rPr>
          <w:sz w:val="24"/>
          <w:szCs w:val="24"/>
        </w:rPr>
      </w:pPr>
      <w:r w:rsidRPr="00E02C47">
        <w:rPr>
          <w:sz w:val="24"/>
          <w:szCs w:val="24"/>
          <w:lang w:bidi="da-DK"/>
        </w:rPr>
        <w:t>Samtidig administration af carbamazepin 600 mg to gange dagligt ved steady-state og en enkelt dosis fingolimod 2 mg reducerede AUC for fingolimod og dets metabolit med ca. 40</w:t>
      </w:r>
      <w:r w:rsidR="00194BC2">
        <w:rPr>
          <w:sz w:val="24"/>
          <w:szCs w:val="24"/>
          <w:lang w:bidi="da-DK"/>
        </w:rPr>
        <w:t> </w:t>
      </w:r>
      <w:r w:rsidRPr="00E02C47">
        <w:rPr>
          <w:sz w:val="24"/>
          <w:szCs w:val="24"/>
          <w:lang w:bidi="da-DK"/>
        </w:rPr>
        <w:t>%. Andre potente CYP3A4-enzyminduktorer, f.eks. rifampicin, phenobarbital, phenytoin, efavirenz og</w:t>
      </w:r>
      <w:r w:rsidR="00085272">
        <w:rPr>
          <w:sz w:val="24"/>
          <w:szCs w:val="24"/>
          <w:lang w:bidi="da-DK"/>
        </w:rPr>
        <w:t xml:space="preserve"> </w:t>
      </w:r>
      <w:r w:rsidRPr="00E02C47">
        <w:rPr>
          <w:sz w:val="24"/>
          <w:szCs w:val="24"/>
          <w:lang w:bidi="da-DK"/>
        </w:rPr>
        <w:t>perikon kan reducere AUC for fingolimod og dets metabolit i det mindste samme størrelsesorden. Da dette potentielt kan forringe virkningen, bør samtidig indgivelse ske med forsigtighed. Samtidig indgivelse af perikon kan dog ikke anbefales</w:t>
      </w:r>
      <w:r w:rsidR="00085272">
        <w:rPr>
          <w:sz w:val="24"/>
          <w:szCs w:val="24"/>
          <w:lang w:bidi="da-DK"/>
        </w:rPr>
        <w:t xml:space="preserve"> </w:t>
      </w:r>
      <w:r w:rsidRPr="00E02C47">
        <w:rPr>
          <w:sz w:val="24"/>
          <w:szCs w:val="24"/>
          <w:lang w:bidi="da-DK"/>
        </w:rPr>
        <w:t xml:space="preserve">(se </w:t>
      </w:r>
      <w:r w:rsidR="00362304">
        <w:rPr>
          <w:sz w:val="24"/>
          <w:szCs w:val="24"/>
          <w:lang w:bidi="da-DK"/>
        </w:rPr>
        <w:t>pkt.</w:t>
      </w:r>
      <w:r w:rsidRPr="00E02C47">
        <w:rPr>
          <w:sz w:val="24"/>
          <w:szCs w:val="24"/>
          <w:lang w:bidi="da-DK"/>
        </w:rPr>
        <w:t xml:space="preserve"> 4.4).</w:t>
      </w:r>
    </w:p>
    <w:p w14:paraId="24F4BD92" w14:textId="77777777" w:rsidR="00C52491" w:rsidRPr="00E02C47" w:rsidRDefault="00C52491" w:rsidP="003807FC">
      <w:pPr>
        <w:ind w:left="851"/>
        <w:rPr>
          <w:sz w:val="24"/>
          <w:szCs w:val="24"/>
        </w:rPr>
      </w:pPr>
    </w:p>
    <w:p w14:paraId="5C194BD3" w14:textId="77777777" w:rsidR="00C52491" w:rsidRPr="00085272" w:rsidRDefault="00C52491" w:rsidP="003807FC">
      <w:pPr>
        <w:ind w:left="851"/>
        <w:rPr>
          <w:sz w:val="24"/>
          <w:szCs w:val="24"/>
          <w:u w:val="single"/>
        </w:rPr>
      </w:pPr>
      <w:r w:rsidRPr="00085272">
        <w:rPr>
          <w:sz w:val="24"/>
          <w:szCs w:val="24"/>
          <w:u w:val="single"/>
          <w:lang w:bidi="da-DK"/>
        </w:rPr>
        <w:t>Interaktion af fingolimod på andre stoffers farmakokinetik</w:t>
      </w:r>
    </w:p>
    <w:p w14:paraId="517EC9EC" w14:textId="77777777" w:rsidR="00C52491" w:rsidRPr="00E02C47" w:rsidRDefault="00C52491" w:rsidP="003807FC">
      <w:pPr>
        <w:ind w:left="851"/>
        <w:rPr>
          <w:sz w:val="24"/>
          <w:szCs w:val="24"/>
        </w:rPr>
      </w:pPr>
      <w:r w:rsidRPr="00E02C47">
        <w:rPr>
          <w:sz w:val="24"/>
          <w:szCs w:val="24"/>
          <w:lang w:bidi="da-DK"/>
        </w:rPr>
        <w:t>Det er ikke sandsynligt, at fingolimod interagerer med stoffer, som hovedsageligt udskilles af CYP450-enzymer eller af substrater af de vigtigste transportproteiner.</w:t>
      </w:r>
    </w:p>
    <w:p w14:paraId="08154EA3" w14:textId="77777777" w:rsidR="00C52491" w:rsidRPr="00E02C47" w:rsidRDefault="00C52491" w:rsidP="003807FC">
      <w:pPr>
        <w:ind w:left="851"/>
        <w:rPr>
          <w:sz w:val="24"/>
          <w:szCs w:val="24"/>
        </w:rPr>
      </w:pPr>
    </w:p>
    <w:p w14:paraId="347665E8" w14:textId="77777777" w:rsidR="00C52491" w:rsidRPr="00E02C47" w:rsidRDefault="00C52491" w:rsidP="003807FC">
      <w:pPr>
        <w:ind w:left="851"/>
        <w:rPr>
          <w:sz w:val="24"/>
          <w:szCs w:val="24"/>
        </w:rPr>
      </w:pPr>
      <w:r w:rsidRPr="00E02C47">
        <w:rPr>
          <w:sz w:val="24"/>
          <w:szCs w:val="24"/>
        </w:rPr>
        <w:t xml:space="preserve">Samtidig behandling med fingolimod og ciclosporin har ikke bevirket nogen ændring i ciclosporin- eller fingolimod-eksponeringen. Fingolimod forventes derfor ikke at ændre farmakokinetikken af lægemidler, som er CYP3A4-substrater. </w:t>
      </w:r>
    </w:p>
    <w:p w14:paraId="3D3052F1" w14:textId="1469B024" w:rsidR="00C52491" w:rsidRPr="00E02C47" w:rsidRDefault="00C52491" w:rsidP="003807FC">
      <w:pPr>
        <w:ind w:left="851"/>
        <w:rPr>
          <w:sz w:val="24"/>
          <w:szCs w:val="24"/>
        </w:rPr>
      </w:pPr>
    </w:p>
    <w:p w14:paraId="01EAC358" w14:textId="77777777" w:rsidR="00C52491" w:rsidRPr="00E02C47" w:rsidRDefault="00C52491" w:rsidP="003807FC">
      <w:pPr>
        <w:ind w:left="851"/>
        <w:rPr>
          <w:sz w:val="24"/>
          <w:szCs w:val="24"/>
        </w:rPr>
      </w:pPr>
      <w:r w:rsidRPr="00E02C47">
        <w:rPr>
          <w:sz w:val="24"/>
          <w:szCs w:val="24"/>
        </w:rPr>
        <w:t xml:space="preserve">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 </w:t>
      </w:r>
    </w:p>
    <w:p w14:paraId="1A3EE890" w14:textId="77777777" w:rsidR="009260DE" w:rsidRPr="00E02C47" w:rsidRDefault="009260DE" w:rsidP="009260DE">
      <w:pPr>
        <w:tabs>
          <w:tab w:val="left" w:pos="851"/>
        </w:tabs>
        <w:ind w:left="851"/>
        <w:rPr>
          <w:sz w:val="24"/>
          <w:szCs w:val="24"/>
        </w:rPr>
      </w:pPr>
    </w:p>
    <w:p w14:paraId="7A6C8D3D" w14:textId="77777777" w:rsidR="009260DE" w:rsidRPr="00E02C47" w:rsidRDefault="009260DE" w:rsidP="009260DE">
      <w:pPr>
        <w:tabs>
          <w:tab w:val="left" w:pos="851"/>
        </w:tabs>
        <w:ind w:left="851" w:hanging="851"/>
        <w:rPr>
          <w:b/>
          <w:sz w:val="24"/>
          <w:szCs w:val="24"/>
        </w:rPr>
      </w:pPr>
      <w:r w:rsidRPr="00E02C47">
        <w:rPr>
          <w:b/>
          <w:sz w:val="24"/>
          <w:szCs w:val="24"/>
        </w:rPr>
        <w:t>4.6</w:t>
      </w:r>
      <w:r w:rsidRPr="00E02C47">
        <w:rPr>
          <w:b/>
          <w:sz w:val="24"/>
          <w:szCs w:val="24"/>
        </w:rPr>
        <w:tab/>
      </w:r>
      <w:r w:rsidR="0071241E" w:rsidRPr="00E02C47">
        <w:rPr>
          <w:b/>
          <w:sz w:val="24"/>
          <w:szCs w:val="24"/>
        </w:rPr>
        <w:t>Fertilitet, g</w:t>
      </w:r>
      <w:r w:rsidRPr="00E02C47">
        <w:rPr>
          <w:b/>
          <w:sz w:val="24"/>
          <w:szCs w:val="24"/>
        </w:rPr>
        <w:t>raviditet og amning</w:t>
      </w:r>
    </w:p>
    <w:p w14:paraId="7E5DFF2F" w14:textId="77777777" w:rsidR="00085272" w:rsidRDefault="00085272" w:rsidP="003807FC">
      <w:pPr>
        <w:ind w:left="851"/>
        <w:rPr>
          <w:sz w:val="24"/>
          <w:szCs w:val="24"/>
          <w:lang w:bidi="da-DK"/>
        </w:rPr>
      </w:pPr>
    </w:p>
    <w:p w14:paraId="7398D03E" w14:textId="359709C1" w:rsidR="00C52491" w:rsidRPr="00085272" w:rsidRDefault="00C52491" w:rsidP="003807FC">
      <w:pPr>
        <w:ind w:left="851"/>
        <w:rPr>
          <w:sz w:val="24"/>
          <w:szCs w:val="24"/>
          <w:u w:val="single"/>
        </w:rPr>
      </w:pPr>
      <w:r w:rsidRPr="00085272">
        <w:rPr>
          <w:sz w:val="24"/>
          <w:szCs w:val="24"/>
          <w:u w:val="single"/>
          <w:lang w:bidi="da-DK"/>
        </w:rPr>
        <w:t>Fertile kvinder/kontraception til kvinder</w:t>
      </w:r>
    </w:p>
    <w:p w14:paraId="4879E18B" w14:textId="11827A73" w:rsidR="00C52491" w:rsidRPr="00E02C47" w:rsidRDefault="00C52491" w:rsidP="003807FC">
      <w:pPr>
        <w:ind w:left="851"/>
        <w:rPr>
          <w:sz w:val="24"/>
          <w:szCs w:val="24"/>
        </w:rPr>
      </w:pPr>
      <w:r w:rsidRPr="00E02C47">
        <w:rPr>
          <w:sz w:val="24"/>
          <w:szCs w:val="24"/>
        </w:rPr>
        <w:t xml:space="preserve">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Fingolimod </w:t>
      </w:r>
      <w:r w:rsidR="00362304">
        <w:rPr>
          <w:sz w:val="24"/>
          <w:szCs w:val="24"/>
        </w:rPr>
        <w:t>"Pharmaselect"</w:t>
      </w:r>
      <w:r w:rsidRPr="00E02C47">
        <w:rPr>
          <w:sz w:val="24"/>
          <w:szCs w:val="24"/>
        </w:rPr>
        <w:t xml:space="preserve">, da det tager cirka 2 måneder at eliminere fingolimod fra kroppen efter behandlingsophør (se pkt. 4.4). </w:t>
      </w:r>
    </w:p>
    <w:p w14:paraId="06CE77A1" w14:textId="7713B89D" w:rsidR="00C52491" w:rsidRPr="00E02C47" w:rsidRDefault="00C52491" w:rsidP="003807FC">
      <w:pPr>
        <w:ind w:left="851"/>
        <w:rPr>
          <w:sz w:val="24"/>
          <w:szCs w:val="24"/>
        </w:rPr>
      </w:pPr>
    </w:p>
    <w:p w14:paraId="39CFFEB5" w14:textId="77777777" w:rsidR="00C52491" w:rsidRPr="00E02C47" w:rsidRDefault="00C52491" w:rsidP="003807FC">
      <w:pPr>
        <w:ind w:left="851"/>
        <w:rPr>
          <w:sz w:val="24"/>
          <w:szCs w:val="24"/>
        </w:rPr>
      </w:pPr>
      <w:r w:rsidRPr="00E02C47">
        <w:rPr>
          <w:sz w:val="24"/>
          <w:szCs w:val="24"/>
        </w:rPr>
        <w:t xml:space="preserve">Særlige forholdsregler er også inkluderet i Lægeinformationspakken. Disse forholdsregler skal være implementeret inden fingolimod udskrives til kvindelige patienter og under behandling. </w:t>
      </w:r>
    </w:p>
    <w:p w14:paraId="7B6B2776" w14:textId="77777777" w:rsidR="00C52491" w:rsidRPr="00E02C47" w:rsidRDefault="00C52491" w:rsidP="003807FC">
      <w:pPr>
        <w:ind w:left="851"/>
        <w:rPr>
          <w:sz w:val="24"/>
          <w:szCs w:val="24"/>
        </w:rPr>
      </w:pPr>
      <w:r w:rsidRPr="00E02C47">
        <w:rPr>
          <w:sz w:val="24"/>
          <w:szCs w:val="24"/>
        </w:rPr>
        <w:t xml:space="preserve"> </w:t>
      </w:r>
    </w:p>
    <w:p w14:paraId="58D5E588" w14:textId="77777777" w:rsidR="00C52491" w:rsidRPr="00E02C47" w:rsidRDefault="00C52491" w:rsidP="003807FC">
      <w:pPr>
        <w:ind w:left="851"/>
        <w:rPr>
          <w:sz w:val="24"/>
          <w:szCs w:val="24"/>
        </w:rPr>
      </w:pPr>
      <w:r w:rsidRPr="00E02C47">
        <w:rPr>
          <w:sz w:val="24"/>
          <w:szCs w:val="24"/>
        </w:rPr>
        <w:t xml:space="preserve">Muligheden for tilbagevendende sygdomsaktivitet skal tages i betragtning, når behandlingen med fingolimod seponeres for at planlægge graviditet (se pkt. 4.4). </w:t>
      </w:r>
    </w:p>
    <w:p w14:paraId="20D3826D" w14:textId="77777777" w:rsidR="00C52491" w:rsidRPr="00E02C47" w:rsidRDefault="00C52491" w:rsidP="003807FC">
      <w:pPr>
        <w:ind w:left="851"/>
        <w:rPr>
          <w:sz w:val="24"/>
          <w:szCs w:val="24"/>
        </w:rPr>
      </w:pPr>
    </w:p>
    <w:p w14:paraId="6D3F5847" w14:textId="77777777" w:rsidR="00C52491" w:rsidRPr="00085272" w:rsidRDefault="00C52491" w:rsidP="003807FC">
      <w:pPr>
        <w:ind w:left="851"/>
        <w:rPr>
          <w:sz w:val="24"/>
          <w:szCs w:val="24"/>
          <w:u w:val="single"/>
        </w:rPr>
      </w:pPr>
      <w:r w:rsidRPr="00085272">
        <w:rPr>
          <w:sz w:val="24"/>
          <w:szCs w:val="24"/>
          <w:u w:val="single"/>
          <w:lang w:bidi="da-DK"/>
        </w:rPr>
        <w:t>Graviditet</w:t>
      </w:r>
    </w:p>
    <w:p w14:paraId="322A7CFA" w14:textId="4A9E59B1" w:rsidR="00C52491" w:rsidRPr="00E02C47" w:rsidRDefault="00C52491" w:rsidP="003807FC">
      <w:pPr>
        <w:ind w:left="851"/>
        <w:rPr>
          <w:sz w:val="24"/>
          <w:szCs w:val="24"/>
        </w:rPr>
      </w:pPr>
      <w:r w:rsidRPr="00E02C47">
        <w:rPr>
          <w:sz w:val="24"/>
          <w:szCs w:val="24"/>
        </w:rPr>
        <w:t>Humane data efter markedsføringen antyder, at anvendelse af fingolimod under graviditeten er forbundet med en 2 gange forhøjet ris</w:t>
      </w:r>
      <w:r w:rsidR="00085272">
        <w:rPr>
          <w:sz w:val="24"/>
          <w:szCs w:val="24"/>
        </w:rPr>
        <w:t>i</w:t>
      </w:r>
      <w:r w:rsidRPr="00E02C47">
        <w:rPr>
          <w:sz w:val="24"/>
          <w:szCs w:val="24"/>
        </w:rPr>
        <w:t xml:space="preserve">ko for alvorlige medfødte </w:t>
      </w:r>
      <w:r w:rsidRPr="00E02C47">
        <w:rPr>
          <w:sz w:val="24"/>
          <w:szCs w:val="24"/>
        </w:rPr>
        <w:lastRenderedPageBreak/>
        <w:t xml:space="preserve">misdannelser sammenlignet med hyppigheden hos den generelle befolkning (2-3 %; EUROCAT). </w:t>
      </w:r>
    </w:p>
    <w:p w14:paraId="23094CED" w14:textId="15785BF2" w:rsidR="00C52491" w:rsidRPr="00E02C47" w:rsidRDefault="00C52491" w:rsidP="003807FC">
      <w:pPr>
        <w:ind w:left="851"/>
        <w:rPr>
          <w:sz w:val="24"/>
          <w:szCs w:val="24"/>
        </w:rPr>
      </w:pPr>
    </w:p>
    <w:p w14:paraId="36D8EC3A" w14:textId="77777777" w:rsidR="00C52491" w:rsidRPr="00E02C47" w:rsidRDefault="00C52491" w:rsidP="003807FC">
      <w:pPr>
        <w:ind w:left="851"/>
        <w:rPr>
          <w:sz w:val="24"/>
          <w:szCs w:val="24"/>
        </w:rPr>
      </w:pPr>
      <w:r w:rsidRPr="00E02C47">
        <w:rPr>
          <w:sz w:val="24"/>
          <w:szCs w:val="24"/>
        </w:rPr>
        <w:t xml:space="preserve">De følgende alvorlige misdannelser, var de hyppigst rapporterede: </w:t>
      </w:r>
    </w:p>
    <w:p w14:paraId="3AEB3587" w14:textId="77777777" w:rsidR="00C52491" w:rsidRPr="00085272" w:rsidRDefault="00C52491" w:rsidP="00085272">
      <w:pPr>
        <w:pStyle w:val="Listeafsnit"/>
        <w:numPr>
          <w:ilvl w:val="0"/>
          <w:numId w:val="15"/>
        </w:numPr>
        <w:ind w:left="1276" w:hanging="425"/>
        <w:rPr>
          <w:sz w:val="24"/>
          <w:szCs w:val="24"/>
        </w:rPr>
      </w:pPr>
      <w:r w:rsidRPr="00085272">
        <w:rPr>
          <w:sz w:val="24"/>
          <w:szCs w:val="24"/>
        </w:rPr>
        <w:t xml:space="preserve">Medfødt hjertesygdom som atrial og ventrikulær septumdefekt; Steno-Fallots tetralogi </w:t>
      </w:r>
    </w:p>
    <w:p w14:paraId="6C714851" w14:textId="77777777" w:rsidR="00C52491" w:rsidRPr="00085272" w:rsidRDefault="00C52491" w:rsidP="00085272">
      <w:pPr>
        <w:pStyle w:val="Listeafsnit"/>
        <w:numPr>
          <w:ilvl w:val="0"/>
          <w:numId w:val="15"/>
        </w:numPr>
        <w:ind w:left="1276" w:hanging="425"/>
        <w:rPr>
          <w:sz w:val="24"/>
          <w:szCs w:val="24"/>
          <w:lang w:val="en-GB"/>
        </w:rPr>
      </w:pPr>
      <w:r w:rsidRPr="00085272">
        <w:rPr>
          <w:sz w:val="24"/>
          <w:szCs w:val="24"/>
        </w:rPr>
        <w:t xml:space="preserve">Nyreanomalier </w:t>
      </w:r>
    </w:p>
    <w:p w14:paraId="50F0482E" w14:textId="77777777" w:rsidR="00C52491" w:rsidRPr="00085272" w:rsidRDefault="00C52491" w:rsidP="00085272">
      <w:pPr>
        <w:pStyle w:val="Listeafsnit"/>
        <w:numPr>
          <w:ilvl w:val="0"/>
          <w:numId w:val="15"/>
        </w:numPr>
        <w:ind w:left="1276" w:hanging="425"/>
        <w:rPr>
          <w:sz w:val="24"/>
          <w:szCs w:val="24"/>
        </w:rPr>
      </w:pPr>
      <w:r w:rsidRPr="00085272">
        <w:rPr>
          <w:sz w:val="24"/>
          <w:szCs w:val="24"/>
        </w:rPr>
        <w:t xml:space="preserve">Muskuloskeletale anomalier </w:t>
      </w:r>
    </w:p>
    <w:p w14:paraId="2D0DF72F" w14:textId="77777777" w:rsidR="00C52491" w:rsidRPr="00E02C47" w:rsidRDefault="00C52491" w:rsidP="003807FC">
      <w:pPr>
        <w:ind w:left="851"/>
        <w:rPr>
          <w:sz w:val="24"/>
          <w:szCs w:val="24"/>
        </w:rPr>
      </w:pPr>
      <w:r w:rsidRPr="00E02C47">
        <w:rPr>
          <w:sz w:val="24"/>
          <w:szCs w:val="24"/>
        </w:rPr>
        <w:t xml:space="preserve"> </w:t>
      </w:r>
    </w:p>
    <w:p w14:paraId="0BD0A430" w14:textId="77777777" w:rsidR="00C52491" w:rsidRPr="00E02C47" w:rsidRDefault="00C52491" w:rsidP="003807FC">
      <w:pPr>
        <w:ind w:left="851"/>
        <w:rPr>
          <w:sz w:val="24"/>
          <w:szCs w:val="24"/>
        </w:rPr>
      </w:pPr>
      <w:r w:rsidRPr="00E02C47">
        <w:rPr>
          <w:sz w:val="24"/>
          <w:szCs w:val="24"/>
        </w:rPr>
        <w:t xml:space="preserve">Der foreligger ingen data vedrørende fingolimods virkning på fødselsveer og forløsning. </w:t>
      </w:r>
    </w:p>
    <w:p w14:paraId="5E377E4E" w14:textId="08CAFB6F" w:rsidR="00C52491" w:rsidRPr="00E02C47" w:rsidRDefault="00C52491" w:rsidP="003807FC">
      <w:pPr>
        <w:ind w:left="851"/>
        <w:rPr>
          <w:sz w:val="24"/>
          <w:szCs w:val="24"/>
        </w:rPr>
      </w:pPr>
    </w:p>
    <w:p w14:paraId="11F5715F" w14:textId="77777777" w:rsidR="00C52491" w:rsidRPr="00E02C47" w:rsidRDefault="00C52491" w:rsidP="003807FC">
      <w:pPr>
        <w:ind w:left="851"/>
        <w:rPr>
          <w:sz w:val="24"/>
          <w:szCs w:val="24"/>
        </w:rPr>
      </w:pPr>
      <w:r w:rsidRPr="00E02C47">
        <w:rPr>
          <w:sz w:val="24"/>
          <w:szCs w:val="24"/>
        </w:rPr>
        <w:t xml:space="preserve">Dyrestudier har vist reproduktionstoksicitet, herunder tab af fostret og organdefekter, især persisterende truncus arteriosus og ventrikelseptum-defekt (se pkt. 5.3). Endvidere er det kendt, at den receptor, der påvirkes af fingolimod (sphingosin1-fosfatreceptoren), er involveret i kardannelsen under embryogenesen. </w:t>
      </w:r>
    </w:p>
    <w:p w14:paraId="100B06BB" w14:textId="77777777" w:rsidR="00C52491" w:rsidRPr="00E02C47" w:rsidRDefault="00C52491" w:rsidP="003807FC">
      <w:pPr>
        <w:ind w:left="851"/>
        <w:rPr>
          <w:sz w:val="24"/>
          <w:szCs w:val="24"/>
        </w:rPr>
      </w:pPr>
    </w:p>
    <w:p w14:paraId="120DF6C6" w14:textId="77777777" w:rsidR="00C52491" w:rsidRPr="00085272" w:rsidRDefault="00C52491" w:rsidP="003807FC">
      <w:pPr>
        <w:ind w:left="851"/>
        <w:rPr>
          <w:sz w:val="24"/>
          <w:szCs w:val="24"/>
          <w:u w:val="single"/>
        </w:rPr>
      </w:pPr>
      <w:r w:rsidRPr="00085272">
        <w:rPr>
          <w:sz w:val="24"/>
          <w:szCs w:val="24"/>
          <w:u w:val="single"/>
          <w:lang w:bidi="da-DK"/>
        </w:rPr>
        <w:t>Amning</w:t>
      </w:r>
    </w:p>
    <w:p w14:paraId="3CC0BE4E" w14:textId="7EE31891" w:rsidR="00C52491" w:rsidRPr="00E02C47" w:rsidRDefault="00C52491" w:rsidP="003807FC">
      <w:pPr>
        <w:ind w:left="851"/>
        <w:rPr>
          <w:sz w:val="24"/>
          <w:szCs w:val="24"/>
        </w:rPr>
      </w:pPr>
      <w:r w:rsidRPr="00E02C47">
        <w:rPr>
          <w:sz w:val="24"/>
          <w:szCs w:val="24"/>
        </w:rPr>
        <w:t xml:space="preserve">Fingolimod udskilles i mælken hos dyr, der behandles under amning (se pkt. 5.3). På grund af risikoen for alvorlige bivirkninger af fingolimod hos ammede børn, bør kvinder, der får Fingolimod </w:t>
      </w:r>
      <w:r w:rsidR="00362304">
        <w:rPr>
          <w:sz w:val="24"/>
          <w:szCs w:val="24"/>
        </w:rPr>
        <w:t>"Pharmaselect"</w:t>
      </w:r>
      <w:r w:rsidRPr="00E02C47">
        <w:rPr>
          <w:sz w:val="24"/>
          <w:szCs w:val="24"/>
        </w:rPr>
        <w:t xml:space="preserve">, ikke amme. </w:t>
      </w:r>
    </w:p>
    <w:p w14:paraId="49518EE7" w14:textId="77777777" w:rsidR="00C52491" w:rsidRPr="00E02C47" w:rsidRDefault="00C52491" w:rsidP="003807FC">
      <w:pPr>
        <w:ind w:left="851"/>
        <w:rPr>
          <w:sz w:val="24"/>
          <w:szCs w:val="24"/>
        </w:rPr>
      </w:pPr>
    </w:p>
    <w:p w14:paraId="58E40238" w14:textId="77777777" w:rsidR="00C52491" w:rsidRPr="00085272" w:rsidRDefault="00C52491" w:rsidP="003807FC">
      <w:pPr>
        <w:ind w:left="851"/>
        <w:rPr>
          <w:sz w:val="24"/>
          <w:szCs w:val="24"/>
          <w:u w:val="single"/>
        </w:rPr>
      </w:pPr>
      <w:r w:rsidRPr="00085272">
        <w:rPr>
          <w:sz w:val="24"/>
          <w:szCs w:val="24"/>
          <w:u w:val="single"/>
          <w:lang w:bidi="da-DK"/>
        </w:rPr>
        <w:t>Fertilitet</w:t>
      </w:r>
    </w:p>
    <w:p w14:paraId="3E35F111" w14:textId="1DCF27EE" w:rsidR="00C52491" w:rsidRPr="00E02C47" w:rsidRDefault="00C52491" w:rsidP="003807FC">
      <w:pPr>
        <w:ind w:left="851"/>
        <w:rPr>
          <w:sz w:val="24"/>
          <w:szCs w:val="24"/>
        </w:rPr>
      </w:pPr>
      <w:r w:rsidRPr="00E02C47">
        <w:rPr>
          <w:sz w:val="24"/>
          <w:szCs w:val="24"/>
          <w:lang w:bidi="da-DK"/>
        </w:rPr>
        <w:t xml:space="preserve">Data fra prækliniske undersøgelser tyder ikke på, at fingolimod skulle være forbundet med en øget risiko for nedsat fertilitet (se </w:t>
      </w:r>
      <w:r w:rsidR="00362304">
        <w:rPr>
          <w:sz w:val="24"/>
          <w:szCs w:val="24"/>
          <w:lang w:bidi="da-DK"/>
        </w:rPr>
        <w:t>pkt.</w:t>
      </w:r>
      <w:r w:rsidRPr="00E02C47">
        <w:rPr>
          <w:sz w:val="24"/>
          <w:szCs w:val="24"/>
          <w:lang w:bidi="da-DK"/>
        </w:rPr>
        <w:t xml:space="preserve"> 5.3).</w:t>
      </w:r>
    </w:p>
    <w:p w14:paraId="2F958432" w14:textId="77777777" w:rsidR="009260DE" w:rsidRPr="00E02C47" w:rsidRDefault="009260DE" w:rsidP="009260DE">
      <w:pPr>
        <w:tabs>
          <w:tab w:val="left" w:pos="851"/>
        </w:tabs>
        <w:ind w:left="851"/>
        <w:rPr>
          <w:sz w:val="24"/>
          <w:szCs w:val="24"/>
        </w:rPr>
      </w:pPr>
    </w:p>
    <w:p w14:paraId="15FD33A7" w14:textId="77777777" w:rsidR="009260DE" w:rsidRPr="00E02C47" w:rsidRDefault="009260DE" w:rsidP="009260DE">
      <w:pPr>
        <w:tabs>
          <w:tab w:val="left" w:pos="851"/>
        </w:tabs>
        <w:ind w:left="851" w:hanging="851"/>
        <w:rPr>
          <w:b/>
          <w:sz w:val="24"/>
          <w:szCs w:val="24"/>
        </w:rPr>
      </w:pPr>
      <w:r w:rsidRPr="00E02C47">
        <w:rPr>
          <w:b/>
          <w:sz w:val="24"/>
          <w:szCs w:val="24"/>
        </w:rPr>
        <w:t>4.7</w:t>
      </w:r>
      <w:r w:rsidRPr="00E02C47">
        <w:rPr>
          <w:b/>
          <w:sz w:val="24"/>
          <w:szCs w:val="24"/>
        </w:rPr>
        <w:tab/>
        <w:t xml:space="preserve">Virkning på evnen til at føre motorkøretøj </w:t>
      </w:r>
      <w:r w:rsidR="0071241E" w:rsidRPr="00E02C47">
        <w:rPr>
          <w:b/>
          <w:sz w:val="24"/>
          <w:szCs w:val="24"/>
        </w:rPr>
        <w:t>og</w:t>
      </w:r>
      <w:r w:rsidRPr="00E02C47">
        <w:rPr>
          <w:b/>
          <w:sz w:val="24"/>
          <w:szCs w:val="24"/>
        </w:rPr>
        <w:t xml:space="preserve"> betjene maskiner</w:t>
      </w:r>
    </w:p>
    <w:p w14:paraId="1EC19226" w14:textId="77777777" w:rsidR="00E02C47" w:rsidRPr="00E02C47" w:rsidRDefault="00E02C47" w:rsidP="003807FC">
      <w:pPr>
        <w:ind w:left="851"/>
        <w:rPr>
          <w:sz w:val="24"/>
          <w:szCs w:val="24"/>
          <w:lang w:bidi="da-DK"/>
        </w:rPr>
      </w:pPr>
      <w:r w:rsidRPr="00E02C47">
        <w:rPr>
          <w:sz w:val="24"/>
          <w:szCs w:val="24"/>
          <w:lang w:bidi="da-DK"/>
        </w:rPr>
        <w:t>Ikke mærkning.</w:t>
      </w:r>
    </w:p>
    <w:p w14:paraId="0F888A77" w14:textId="508A86C2" w:rsidR="00C52491" w:rsidRPr="00E02C47" w:rsidRDefault="00C52491" w:rsidP="003807FC">
      <w:pPr>
        <w:ind w:left="851"/>
        <w:rPr>
          <w:sz w:val="24"/>
          <w:szCs w:val="24"/>
        </w:rPr>
      </w:pPr>
      <w:r w:rsidRPr="00E02C47">
        <w:rPr>
          <w:sz w:val="24"/>
          <w:szCs w:val="24"/>
          <w:lang w:bidi="da-DK"/>
        </w:rPr>
        <w:t xml:space="preserve">Fingolimod </w:t>
      </w:r>
      <w:r w:rsidR="00362304">
        <w:rPr>
          <w:sz w:val="24"/>
          <w:szCs w:val="24"/>
          <w:lang w:bidi="da-DK"/>
        </w:rPr>
        <w:t>"Pharmaselect"</w:t>
      </w:r>
      <w:r w:rsidRPr="00E02C47">
        <w:rPr>
          <w:sz w:val="24"/>
          <w:szCs w:val="24"/>
          <w:lang w:bidi="da-DK"/>
        </w:rPr>
        <w:t xml:space="preserve"> påvirker ikke eller kun i ubetydelig grad evnen til at føre motorkøretøj og betjene maskiner.</w:t>
      </w:r>
    </w:p>
    <w:p w14:paraId="0434AB89" w14:textId="77777777" w:rsidR="00C52491" w:rsidRPr="00E02C47" w:rsidRDefault="00C52491" w:rsidP="003807FC">
      <w:pPr>
        <w:ind w:left="851"/>
        <w:rPr>
          <w:sz w:val="24"/>
          <w:szCs w:val="24"/>
        </w:rPr>
      </w:pPr>
    </w:p>
    <w:p w14:paraId="73A55200" w14:textId="2C6C19DA" w:rsidR="00C52491" w:rsidRPr="00E02C47" w:rsidRDefault="00C52491" w:rsidP="003807FC">
      <w:pPr>
        <w:ind w:left="851"/>
        <w:rPr>
          <w:sz w:val="24"/>
          <w:szCs w:val="24"/>
        </w:rPr>
      </w:pPr>
      <w:r w:rsidRPr="00E02C47">
        <w:rPr>
          <w:sz w:val="24"/>
          <w:szCs w:val="24"/>
        </w:rPr>
        <w:t xml:space="preserve">Der kan dog forekomme svimmelhed og døsighed ved indledning af behandling. Det anbefales derfor, at observere patienterne i 6 timer ved initiering af Fingolimod </w:t>
      </w:r>
      <w:r w:rsidR="00362304">
        <w:rPr>
          <w:sz w:val="24"/>
          <w:szCs w:val="24"/>
        </w:rPr>
        <w:t>"Pharmaselect"</w:t>
      </w:r>
      <w:r w:rsidRPr="00E02C47">
        <w:rPr>
          <w:sz w:val="24"/>
          <w:szCs w:val="24"/>
        </w:rPr>
        <w:t xml:space="preserve"> (se pkt. 4.4, Bradykardi). </w:t>
      </w:r>
    </w:p>
    <w:p w14:paraId="552C8831" w14:textId="77777777" w:rsidR="009260DE" w:rsidRPr="00E02C47" w:rsidRDefault="009260DE" w:rsidP="009260DE">
      <w:pPr>
        <w:tabs>
          <w:tab w:val="left" w:pos="851"/>
        </w:tabs>
        <w:ind w:left="851"/>
        <w:rPr>
          <w:sz w:val="24"/>
          <w:szCs w:val="24"/>
        </w:rPr>
      </w:pPr>
    </w:p>
    <w:p w14:paraId="2871ADB9" w14:textId="77777777" w:rsidR="009260DE" w:rsidRPr="00E02C47" w:rsidRDefault="009260DE" w:rsidP="009260DE">
      <w:pPr>
        <w:tabs>
          <w:tab w:val="left" w:pos="851"/>
        </w:tabs>
        <w:ind w:left="851" w:hanging="851"/>
        <w:rPr>
          <w:b/>
          <w:sz w:val="24"/>
          <w:szCs w:val="24"/>
        </w:rPr>
      </w:pPr>
      <w:r w:rsidRPr="00E02C47">
        <w:rPr>
          <w:b/>
          <w:sz w:val="24"/>
          <w:szCs w:val="24"/>
        </w:rPr>
        <w:t>4.8</w:t>
      </w:r>
      <w:r w:rsidRPr="00E02C47">
        <w:rPr>
          <w:b/>
          <w:sz w:val="24"/>
          <w:szCs w:val="24"/>
        </w:rPr>
        <w:tab/>
        <w:t>Bivirkninger</w:t>
      </w:r>
    </w:p>
    <w:p w14:paraId="556D71AC" w14:textId="77777777" w:rsidR="00085272" w:rsidRDefault="00085272" w:rsidP="00E02C47">
      <w:pPr>
        <w:ind w:left="851"/>
        <w:rPr>
          <w:sz w:val="24"/>
          <w:szCs w:val="24"/>
          <w:lang w:bidi="da-DK"/>
        </w:rPr>
      </w:pPr>
    </w:p>
    <w:p w14:paraId="204BE64D" w14:textId="6E1C797C" w:rsidR="00C52491" w:rsidRPr="00085272" w:rsidRDefault="00C52491" w:rsidP="00E02C47">
      <w:pPr>
        <w:ind w:left="851"/>
        <w:rPr>
          <w:sz w:val="24"/>
          <w:szCs w:val="24"/>
          <w:u w:val="single"/>
        </w:rPr>
      </w:pPr>
      <w:r w:rsidRPr="00085272">
        <w:rPr>
          <w:sz w:val="24"/>
          <w:szCs w:val="24"/>
          <w:u w:val="single"/>
          <w:lang w:bidi="da-DK"/>
        </w:rPr>
        <w:t>Resumé af sikkerhedsprofilen</w:t>
      </w:r>
    </w:p>
    <w:p w14:paraId="1ACED80A" w14:textId="77777777" w:rsidR="00C52491" w:rsidRPr="00E02C47" w:rsidRDefault="00C52491" w:rsidP="00E02C47">
      <w:pPr>
        <w:ind w:left="851"/>
        <w:rPr>
          <w:sz w:val="24"/>
          <w:szCs w:val="24"/>
        </w:rPr>
      </w:pPr>
    </w:p>
    <w:p w14:paraId="0C42B6BA" w14:textId="66240E51" w:rsidR="00C52491" w:rsidRPr="00E02C47" w:rsidRDefault="00C52491" w:rsidP="00E02C47">
      <w:pPr>
        <w:ind w:left="851"/>
        <w:rPr>
          <w:sz w:val="24"/>
          <w:szCs w:val="24"/>
        </w:rPr>
      </w:pPr>
      <w:r w:rsidRPr="00E02C47">
        <w:rPr>
          <w:sz w:val="24"/>
          <w:szCs w:val="24"/>
        </w:rPr>
        <w:t>De hyppigste bivirkninger (hyppighed ≥10 %) ved dosis på 0,5 mg, var hovedpine (24,5</w:t>
      </w:r>
      <w:r w:rsidR="00BA36E0">
        <w:rPr>
          <w:sz w:val="24"/>
          <w:szCs w:val="24"/>
        </w:rPr>
        <w:t> </w:t>
      </w:r>
      <w:r w:rsidRPr="00E02C47">
        <w:rPr>
          <w:sz w:val="24"/>
          <w:szCs w:val="24"/>
        </w:rPr>
        <w:t xml:space="preserve">%), forhøjede leverenzymer (15,2 %), diarré (12,6 %), hoste (12,3 %), influenza (11,4 %), sinusitis (10,9 %) og rygsmerte (10,0 %). </w:t>
      </w:r>
    </w:p>
    <w:p w14:paraId="7668AECC" w14:textId="77777777" w:rsidR="00C52491" w:rsidRPr="00E02C47" w:rsidRDefault="00C52491" w:rsidP="00E02C47">
      <w:pPr>
        <w:ind w:left="851"/>
        <w:rPr>
          <w:sz w:val="24"/>
          <w:szCs w:val="24"/>
        </w:rPr>
      </w:pPr>
    </w:p>
    <w:p w14:paraId="2906AEEA" w14:textId="77777777" w:rsidR="00C52491" w:rsidRPr="00085272" w:rsidRDefault="00C52491" w:rsidP="00E02C47">
      <w:pPr>
        <w:ind w:left="851"/>
        <w:rPr>
          <w:sz w:val="24"/>
          <w:szCs w:val="24"/>
          <w:u w:val="single"/>
        </w:rPr>
      </w:pPr>
      <w:r w:rsidRPr="00085272">
        <w:rPr>
          <w:sz w:val="24"/>
          <w:szCs w:val="24"/>
          <w:u w:val="single"/>
          <w:lang w:bidi="da-DK"/>
        </w:rPr>
        <w:t>Liste over bivirkninger i tabelform</w:t>
      </w:r>
    </w:p>
    <w:p w14:paraId="00710294" w14:textId="77777777" w:rsidR="00C52491" w:rsidRPr="00E02C47" w:rsidRDefault="00C52491" w:rsidP="00E02C47">
      <w:pPr>
        <w:ind w:left="851"/>
        <w:rPr>
          <w:sz w:val="24"/>
          <w:szCs w:val="24"/>
        </w:rPr>
      </w:pPr>
    </w:p>
    <w:p w14:paraId="0A7CAAC1" w14:textId="77777777" w:rsidR="00C52491" w:rsidRPr="00E02C47" w:rsidRDefault="00C52491" w:rsidP="00E02C47">
      <w:pPr>
        <w:ind w:left="851"/>
        <w:rPr>
          <w:sz w:val="24"/>
          <w:szCs w:val="24"/>
        </w:rPr>
      </w:pPr>
      <w:r w:rsidRPr="00E02C47">
        <w:rPr>
          <w:sz w:val="24"/>
          <w:szCs w:val="24"/>
        </w:rPr>
        <w:t xml:space="preserve">Nedenfor vises bivirkninger rapporteret i kliniske studier via spontane rapporter eller litteratursager efter markedsføring. Hyppighed blev defineret ved brug af følgende konvention: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 </w:t>
      </w:r>
    </w:p>
    <w:p w14:paraId="6BAF706C" w14:textId="03036E20" w:rsidR="000814D6" w:rsidRDefault="000814D6">
      <w:pPr>
        <w:rPr>
          <w:sz w:val="24"/>
          <w:szCs w:val="24"/>
        </w:rPr>
      </w:pPr>
      <w:r>
        <w:rPr>
          <w:sz w:val="24"/>
          <w:szCs w:val="24"/>
        </w:rPr>
        <w:br w:type="page"/>
      </w:r>
    </w:p>
    <w:p w14:paraId="35A4740D" w14:textId="77777777" w:rsidR="00C52491" w:rsidRPr="00E02C47" w:rsidRDefault="00C52491" w:rsidP="00E02C47">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52491" w:rsidRPr="00E02C47" w14:paraId="6C6CC9F8"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4478E16C" w14:textId="77777777" w:rsidR="00C52491" w:rsidRPr="00E02C47" w:rsidRDefault="00C52491">
            <w:pPr>
              <w:rPr>
                <w:b/>
                <w:sz w:val="24"/>
                <w:szCs w:val="24"/>
                <w:lang w:val="en-GB"/>
              </w:rPr>
            </w:pPr>
            <w:r w:rsidRPr="00E02C47">
              <w:rPr>
                <w:b/>
                <w:sz w:val="24"/>
                <w:szCs w:val="24"/>
                <w:lang w:bidi="da-DK"/>
              </w:rPr>
              <w:t>Infektioner og parasitære sygdomme</w:t>
            </w:r>
          </w:p>
        </w:tc>
      </w:tr>
      <w:tr w:rsidR="00C52491" w:rsidRPr="00E02C47" w14:paraId="31EC3C2E"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48D11DA"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52F29B41" w14:textId="77777777" w:rsidR="00C52491" w:rsidRPr="00E02C47" w:rsidRDefault="00C52491">
            <w:pPr>
              <w:rPr>
                <w:sz w:val="24"/>
                <w:szCs w:val="24"/>
              </w:rPr>
            </w:pPr>
            <w:r w:rsidRPr="00E02C47">
              <w:rPr>
                <w:sz w:val="24"/>
                <w:szCs w:val="24"/>
                <w:lang w:bidi="da-DK"/>
              </w:rPr>
              <w:t>Influenza</w:t>
            </w:r>
          </w:p>
          <w:p w14:paraId="403AFC42" w14:textId="77777777" w:rsidR="00C52491" w:rsidRPr="00E02C47" w:rsidRDefault="00C52491">
            <w:pPr>
              <w:rPr>
                <w:sz w:val="24"/>
                <w:szCs w:val="24"/>
              </w:rPr>
            </w:pPr>
            <w:r w:rsidRPr="00E02C47">
              <w:rPr>
                <w:sz w:val="24"/>
                <w:szCs w:val="24"/>
                <w:lang w:bidi="da-DK"/>
              </w:rPr>
              <w:t>Sinusitis</w:t>
            </w:r>
          </w:p>
        </w:tc>
      </w:tr>
      <w:tr w:rsidR="00C52491" w:rsidRPr="00E02C47" w14:paraId="5FAC3685"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ECD8022"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CB986DF" w14:textId="77777777" w:rsidR="00C52491" w:rsidRPr="00E02C47" w:rsidRDefault="00C52491">
            <w:pPr>
              <w:rPr>
                <w:sz w:val="24"/>
                <w:szCs w:val="24"/>
              </w:rPr>
            </w:pPr>
            <w:r w:rsidRPr="00E02C47">
              <w:rPr>
                <w:sz w:val="24"/>
                <w:szCs w:val="24"/>
                <w:lang w:bidi="da-DK"/>
              </w:rPr>
              <w:t>Herpesvirusinfektioner</w:t>
            </w:r>
          </w:p>
          <w:p w14:paraId="3477EFC8" w14:textId="77777777" w:rsidR="00C52491" w:rsidRPr="00E02C47" w:rsidRDefault="00C52491">
            <w:pPr>
              <w:rPr>
                <w:sz w:val="24"/>
                <w:szCs w:val="24"/>
              </w:rPr>
            </w:pPr>
            <w:r w:rsidRPr="00E02C47">
              <w:rPr>
                <w:sz w:val="24"/>
                <w:szCs w:val="24"/>
                <w:lang w:bidi="da-DK"/>
              </w:rPr>
              <w:t>Bronkitis</w:t>
            </w:r>
          </w:p>
          <w:p w14:paraId="78368C2B" w14:textId="77777777" w:rsidR="00C52491" w:rsidRPr="00E02C47" w:rsidRDefault="00C52491">
            <w:pPr>
              <w:rPr>
                <w:sz w:val="24"/>
                <w:szCs w:val="24"/>
              </w:rPr>
            </w:pPr>
            <w:r w:rsidRPr="00E02C47">
              <w:rPr>
                <w:sz w:val="24"/>
                <w:szCs w:val="24"/>
                <w:lang w:bidi="da-DK"/>
              </w:rPr>
              <w:t>Tinea versicolor</w:t>
            </w:r>
          </w:p>
        </w:tc>
      </w:tr>
      <w:tr w:rsidR="00C52491" w:rsidRPr="00E02C47" w14:paraId="588B29C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CB4718B"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174CA8B" w14:textId="77777777" w:rsidR="00C52491" w:rsidRPr="00E02C47" w:rsidRDefault="00C52491">
            <w:pPr>
              <w:rPr>
                <w:sz w:val="24"/>
                <w:szCs w:val="24"/>
              </w:rPr>
            </w:pPr>
            <w:r w:rsidRPr="00E02C47">
              <w:rPr>
                <w:sz w:val="24"/>
                <w:szCs w:val="24"/>
                <w:lang w:bidi="da-DK"/>
              </w:rPr>
              <w:t>Pneumoni</w:t>
            </w:r>
          </w:p>
        </w:tc>
      </w:tr>
      <w:tr w:rsidR="00C52491" w:rsidRPr="00E02C47" w14:paraId="70D0283C"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DCFD8F1"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59C28139" w14:textId="77777777" w:rsidR="00C52491" w:rsidRPr="00E02C47" w:rsidRDefault="00C52491">
            <w:pPr>
              <w:rPr>
                <w:sz w:val="24"/>
                <w:szCs w:val="24"/>
              </w:rPr>
            </w:pPr>
            <w:r w:rsidRPr="00E02C47">
              <w:rPr>
                <w:sz w:val="24"/>
                <w:szCs w:val="24"/>
                <w:lang w:bidi="da-DK"/>
              </w:rPr>
              <w:t>Progressiv multifokal leukoencefalopati (PML)**</w:t>
            </w:r>
          </w:p>
          <w:p w14:paraId="15E4424C" w14:textId="77777777" w:rsidR="00C52491" w:rsidRPr="00E02C47" w:rsidRDefault="00C52491">
            <w:pPr>
              <w:rPr>
                <w:sz w:val="24"/>
                <w:szCs w:val="24"/>
              </w:rPr>
            </w:pPr>
            <w:r w:rsidRPr="00E02C47">
              <w:rPr>
                <w:sz w:val="24"/>
                <w:szCs w:val="24"/>
                <w:lang w:bidi="da-DK"/>
              </w:rPr>
              <w:t>Kroptokokinfektioner**</w:t>
            </w:r>
          </w:p>
        </w:tc>
      </w:tr>
      <w:tr w:rsidR="00C52491" w:rsidRPr="00E02C47" w14:paraId="4E370570"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7CA482B3" w14:textId="77777777" w:rsidR="00C52491" w:rsidRPr="00E02C47" w:rsidRDefault="00C52491">
            <w:pPr>
              <w:rPr>
                <w:b/>
                <w:sz w:val="24"/>
                <w:szCs w:val="24"/>
              </w:rPr>
            </w:pPr>
            <w:r w:rsidRPr="00E02C47">
              <w:rPr>
                <w:b/>
                <w:sz w:val="24"/>
                <w:szCs w:val="24"/>
                <w:lang w:bidi="da-DK"/>
              </w:rPr>
              <w:t>Benigne, maligne og uspecificerede tumorer (inkl. cyster og polypper)</w:t>
            </w:r>
          </w:p>
        </w:tc>
      </w:tr>
      <w:tr w:rsidR="00C52491" w:rsidRPr="00E02C47" w14:paraId="227D6A8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FD86FA2"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1D3F5A71" w14:textId="77777777" w:rsidR="00C52491" w:rsidRPr="00E02C47" w:rsidRDefault="00C52491">
            <w:pPr>
              <w:rPr>
                <w:sz w:val="24"/>
                <w:szCs w:val="24"/>
              </w:rPr>
            </w:pPr>
            <w:r w:rsidRPr="00E02C47">
              <w:rPr>
                <w:sz w:val="24"/>
                <w:szCs w:val="24"/>
                <w:lang w:bidi="da-DK"/>
              </w:rPr>
              <w:t>Basalcellekarcinom</w:t>
            </w:r>
          </w:p>
        </w:tc>
      </w:tr>
      <w:tr w:rsidR="00C52491" w:rsidRPr="00E02C47" w14:paraId="359275DA"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06DAAB1"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4A3A31B9" w14:textId="77777777" w:rsidR="00C52491" w:rsidRPr="00E02C47" w:rsidRDefault="00C52491">
            <w:pPr>
              <w:rPr>
                <w:sz w:val="24"/>
                <w:szCs w:val="24"/>
              </w:rPr>
            </w:pPr>
            <w:r w:rsidRPr="00E02C47">
              <w:rPr>
                <w:sz w:val="24"/>
                <w:szCs w:val="24"/>
                <w:lang w:bidi="da-DK"/>
              </w:rPr>
              <w:t>Malignt melanom****</w:t>
            </w:r>
          </w:p>
        </w:tc>
      </w:tr>
      <w:tr w:rsidR="00C52491" w:rsidRPr="00E02C47" w14:paraId="71CE5CD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EBFF866" w14:textId="77777777" w:rsidR="00C52491" w:rsidRPr="00E02C47" w:rsidRDefault="00C52491">
            <w:pPr>
              <w:rPr>
                <w:sz w:val="24"/>
                <w:szCs w:val="24"/>
              </w:rPr>
            </w:pPr>
            <w:r w:rsidRPr="00E02C47">
              <w:rPr>
                <w:sz w:val="24"/>
                <w:szCs w:val="24"/>
                <w:lang w:bidi="da-DK"/>
              </w:rPr>
              <w:t>Sjælden</w:t>
            </w:r>
          </w:p>
        </w:tc>
        <w:tc>
          <w:tcPr>
            <w:tcW w:w="2500" w:type="pct"/>
            <w:tcBorders>
              <w:top w:val="single" w:sz="4" w:space="0" w:color="auto"/>
              <w:left w:val="single" w:sz="4" w:space="0" w:color="auto"/>
              <w:bottom w:val="single" w:sz="4" w:space="0" w:color="auto"/>
              <w:right w:val="single" w:sz="4" w:space="0" w:color="auto"/>
            </w:tcBorders>
            <w:hideMark/>
          </w:tcPr>
          <w:p w14:paraId="35A9307B" w14:textId="77777777" w:rsidR="00C52491" w:rsidRPr="00E02C47" w:rsidRDefault="00C52491">
            <w:pPr>
              <w:rPr>
                <w:sz w:val="24"/>
                <w:szCs w:val="24"/>
              </w:rPr>
            </w:pPr>
            <w:r w:rsidRPr="00E02C47">
              <w:rPr>
                <w:sz w:val="24"/>
                <w:szCs w:val="24"/>
                <w:lang w:bidi="da-DK"/>
              </w:rPr>
              <w:t xml:space="preserve">Lymfomer*** </w:t>
            </w:r>
          </w:p>
          <w:p w14:paraId="36B5A6D7" w14:textId="77777777" w:rsidR="00C52491" w:rsidRPr="00E02C47" w:rsidRDefault="00C52491">
            <w:pPr>
              <w:rPr>
                <w:sz w:val="24"/>
                <w:szCs w:val="24"/>
              </w:rPr>
            </w:pPr>
            <w:r w:rsidRPr="00E02C47">
              <w:rPr>
                <w:sz w:val="24"/>
                <w:szCs w:val="24"/>
                <w:lang w:bidi="da-DK"/>
              </w:rPr>
              <w:t>Pladecellekarcinom****</w:t>
            </w:r>
          </w:p>
        </w:tc>
      </w:tr>
      <w:tr w:rsidR="00C52491" w:rsidRPr="00E02C47" w14:paraId="2F6A32E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4CDBDE4" w14:textId="77777777" w:rsidR="00C52491" w:rsidRPr="00E02C47" w:rsidRDefault="00C52491">
            <w:pPr>
              <w:rPr>
                <w:sz w:val="24"/>
                <w:szCs w:val="24"/>
              </w:rPr>
            </w:pPr>
            <w:r w:rsidRPr="00E02C47">
              <w:rPr>
                <w:sz w:val="24"/>
                <w:szCs w:val="24"/>
                <w:lang w:bidi="da-DK"/>
              </w:rPr>
              <w:t>Meget sjælden</w:t>
            </w:r>
          </w:p>
        </w:tc>
        <w:tc>
          <w:tcPr>
            <w:tcW w:w="2500" w:type="pct"/>
            <w:tcBorders>
              <w:top w:val="single" w:sz="4" w:space="0" w:color="auto"/>
              <w:left w:val="single" w:sz="4" w:space="0" w:color="auto"/>
              <w:bottom w:val="single" w:sz="4" w:space="0" w:color="auto"/>
              <w:right w:val="single" w:sz="4" w:space="0" w:color="auto"/>
            </w:tcBorders>
            <w:hideMark/>
          </w:tcPr>
          <w:p w14:paraId="33FA9671" w14:textId="77777777" w:rsidR="00C52491" w:rsidRPr="00E02C47" w:rsidRDefault="00C52491">
            <w:pPr>
              <w:rPr>
                <w:sz w:val="24"/>
                <w:szCs w:val="24"/>
              </w:rPr>
            </w:pPr>
            <w:r w:rsidRPr="00E02C47">
              <w:rPr>
                <w:sz w:val="24"/>
                <w:szCs w:val="24"/>
                <w:lang w:bidi="da-DK"/>
              </w:rPr>
              <w:t>Kaposis sarkom****</w:t>
            </w:r>
          </w:p>
        </w:tc>
      </w:tr>
      <w:tr w:rsidR="00C52491" w:rsidRPr="00E02C47" w14:paraId="77F717E9"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82EED08"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5B481915" w14:textId="77777777" w:rsidR="00C52491" w:rsidRPr="00E02C47" w:rsidRDefault="00C52491">
            <w:pPr>
              <w:rPr>
                <w:sz w:val="24"/>
                <w:szCs w:val="24"/>
              </w:rPr>
            </w:pPr>
            <w:r w:rsidRPr="00E02C47">
              <w:rPr>
                <w:sz w:val="24"/>
                <w:szCs w:val="24"/>
                <w:lang w:bidi="da-DK"/>
              </w:rPr>
              <w:t>Merkelcellekarcinom***</w:t>
            </w:r>
          </w:p>
        </w:tc>
      </w:tr>
      <w:tr w:rsidR="00C52491" w:rsidRPr="00E02C47" w14:paraId="5F1F3E10"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5D5D4B51" w14:textId="77777777" w:rsidR="00C52491" w:rsidRPr="00E02C47" w:rsidRDefault="00C52491">
            <w:pPr>
              <w:rPr>
                <w:sz w:val="24"/>
                <w:szCs w:val="24"/>
                <w:lang w:val="nl-NL"/>
              </w:rPr>
            </w:pPr>
            <w:r w:rsidRPr="00E02C47">
              <w:rPr>
                <w:b/>
                <w:noProof/>
                <w:sz w:val="24"/>
                <w:szCs w:val="24"/>
                <w:lang w:bidi="da-DK"/>
              </w:rPr>
              <w:t xml:space="preserve">Blod og lymfesystem </w:t>
            </w:r>
          </w:p>
        </w:tc>
      </w:tr>
      <w:tr w:rsidR="00C52491" w:rsidRPr="00E02C47" w14:paraId="03A80F1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C9CCB45"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62EFFA4" w14:textId="77777777" w:rsidR="00C52491" w:rsidRPr="00E02C47" w:rsidRDefault="00C52491">
            <w:pPr>
              <w:rPr>
                <w:sz w:val="24"/>
                <w:szCs w:val="24"/>
              </w:rPr>
            </w:pPr>
            <w:r w:rsidRPr="00E02C47">
              <w:rPr>
                <w:sz w:val="24"/>
                <w:szCs w:val="24"/>
                <w:lang w:bidi="da-DK"/>
              </w:rPr>
              <w:t>Lymfopeni</w:t>
            </w:r>
          </w:p>
          <w:p w14:paraId="44120DCB" w14:textId="77777777" w:rsidR="00C52491" w:rsidRPr="00E02C47" w:rsidRDefault="00C52491">
            <w:pPr>
              <w:rPr>
                <w:sz w:val="24"/>
                <w:szCs w:val="24"/>
              </w:rPr>
            </w:pPr>
            <w:r w:rsidRPr="00E02C47">
              <w:rPr>
                <w:sz w:val="24"/>
                <w:szCs w:val="24"/>
                <w:lang w:bidi="da-DK"/>
              </w:rPr>
              <w:t>Leukopeni</w:t>
            </w:r>
          </w:p>
        </w:tc>
      </w:tr>
      <w:tr w:rsidR="00C52491" w:rsidRPr="00E02C47" w14:paraId="5A91512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156F5B6"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01D2E97" w14:textId="77777777" w:rsidR="00C52491" w:rsidRPr="00E02C47" w:rsidRDefault="00C52491">
            <w:pPr>
              <w:rPr>
                <w:sz w:val="24"/>
                <w:szCs w:val="24"/>
              </w:rPr>
            </w:pPr>
            <w:r w:rsidRPr="00E02C47">
              <w:rPr>
                <w:sz w:val="24"/>
                <w:szCs w:val="24"/>
                <w:lang w:bidi="da-DK"/>
              </w:rPr>
              <w:t>Trombocytopeni</w:t>
            </w:r>
          </w:p>
        </w:tc>
      </w:tr>
      <w:tr w:rsidR="00C52491" w:rsidRPr="00E02C47" w14:paraId="50C0F4DE"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3E29657"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76AE4D49" w14:textId="77777777" w:rsidR="00C52491" w:rsidRPr="00E02C47" w:rsidRDefault="00C52491">
            <w:pPr>
              <w:rPr>
                <w:sz w:val="24"/>
                <w:szCs w:val="24"/>
              </w:rPr>
            </w:pPr>
            <w:r w:rsidRPr="00E02C47">
              <w:rPr>
                <w:sz w:val="24"/>
                <w:szCs w:val="24"/>
                <w:lang w:bidi="da-DK"/>
              </w:rPr>
              <w:t>Autoimmun hæmolytisk anæmi***</w:t>
            </w:r>
          </w:p>
          <w:p w14:paraId="17D7E6E1" w14:textId="77777777" w:rsidR="00C52491" w:rsidRPr="00E02C47" w:rsidRDefault="00C52491">
            <w:pPr>
              <w:rPr>
                <w:sz w:val="24"/>
                <w:szCs w:val="24"/>
              </w:rPr>
            </w:pPr>
            <w:r w:rsidRPr="00E02C47">
              <w:rPr>
                <w:sz w:val="24"/>
                <w:szCs w:val="24"/>
                <w:lang w:bidi="da-DK"/>
              </w:rPr>
              <w:t>Perifert ødem***</w:t>
            </w:r>
          </w:p>
        </w:tc>
      </w:tr>
      <w:tr w:rsidR="00C52491" w:rsidRPr="00E02C47" w14:paraId="3C6AD666"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157ECC28" w14:textId="77777777" w:rsidR="00C52491" w:rsidRPr="00E02C47" w:rsidRDefault="00C52491">
            <w:pPr>
              <w:rPr>
                <w:b/>
                <w:sz w:val="24"/>
                <w:szCs w:val="24"/>
              </w:rPr>
            </w:pPr>
            <w:r w:rsidRPr="00E02C47">
              <w:rPr>
                <w:b/>
                <w:noProof/>
                <w:sz w:val="24"/>
                <w:szCs w:val="24"/>
                <w:lang w:bidi="da-DK"/>
              </w:rPr>
              <w:t>Immunsystemet</w:t>
            </w:r>
          </w:p>
        </w:tc>
      </w:tr>
      <w:tr w:rsidR="00C52491" w:rsidRPr="00E02C47" w14:paraId="4A3DE859"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9AFE5E9"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1C141A33" w14:textId="42A455A4" w:rsidR="00C52491" w:rsidRPr="00E02C47" w:rsidRDefault="00C52491">
            <w:pPr>
              <w:rPr>
                <w:sz w:val="24"/>
                <w:szCs w:val="24"/>
              </w:rPr>
            </w:pPr>
            <w:r w:rsidRPr="00E02C47">
              <w:rPr>
                <w:sz w:val="24"/>
                <w:szCs w:val="24"/>
                <w:lang w:bidi="da-DK"/>
              </w:rPr>
              <w:t>Overfølsomhedsreaktioner, inkl. udslæt, urticaria og angioødem ved start af behandling***</w:t>
            </w:r>
          </w:p>
        </w:tc>
      </w:tr>
      <w:tr w:rsidR="00C52491" w:rsidRPr="00E02C47" w14:paraId="6F9F6A60"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440785A9" w14:textId="77777777" w:rsidR="00C52491" w:rsidRPr="00E02C47" w:rsidRDefault="00C52491">
            <w:pPr>
              <w:rPr>
                <w:b/>
                <w:sz w:val="24"/>
                <w:szCs w:val="24"/>
                <w:lang w:val="en-GB"/>
              </w:rPr>
            </w:pPr>
            <w:r w:rsidRPr="00E02C47">
              <w:rPr>
                <w:b/>
                <w:noProof/>
                <w:sz w:val="24"/>
                <w:szCs w:val="24"/>
                <w:lang w:bidi="da-DK"/>
              </w:rPr>
              <w:t xml:space="preserve">Psykiske forstyrrelser </w:t>
            </w:r>
          </w:p>
        </w:tc>
      </w:tr>
      <w:tr w:rsidR="00C52491" w:rsidRPr="00E02C47" w14:paraId="10616CEA"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1C0D7BD"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6E215908" w14:textId="77777777" w:rsidR="00C52491" w:rsidRPr="00E02C47" w:rsidRDefault="00C52491">
            <w:pPr>
              <w:rPr>
                <w:sz w:val="24"/>
                <w:szCs w:val="24"/>
              </w:rPr>
            </w:pPr>
            <w:r w:rsidRPr="00E02C47">
              <w:rPr>
                <w:sz w:val="24"/>
                <w:szCs w:val="24"/>
                <w:lang w:bidi="da-DK"/>
              </w:rPr>
              <w:t>Depression</w:t>
            </w:r>
          </w:p>
        </w:tc>
      </w:tr>
      <w:tr w:rsidR="00C52491" w:rsidRPr="00E02C47" w14:paraId="2C490A8B"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049BFACB"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EF0F08C" w14:textId="77777777" w:rsidR="00C52491" w:rsidRPr="00E02C47" w:rsidRDefault="00C52491">
            <w:pPr>
              <w:rPr>
                <w:sz w:val="24"/>
                <w:szCs w:val="24"/>
              </w:rPr>
            </w:pPr>
            <w:r w:rsidRPr="00E02C47">
              <w:rPr>
                <w:sz w:val="24"/>
                <w:szCs w:val="24"/>
                <w:lang w:bidi="da-DK"/>
              </w:rPr>
              <w:t>Sænket stemningsleje</w:t>
            </w:r>
          </w:p>
        </w:tc>
      </w:tr>
      <w:tr w:rsidR="00C52491" w:rsidRPr="00E02C47" w14:paraId="1DA587C3"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09264EB1" w14:textId="77777777" w:rsidR="00C52491" w:rsidRPr="00E02C47" w:rsidRDefault="00C52491">
            <w:pPr>
              <w:rPr>
                <w:sz w:val="24"/>
                <w:szCs w:val="24"/>
              </w:rPr>
            </w:pPr>
            <w:r w:rsidRPr="00E02C47">
              <w:rPr>
                <w:b/>
                <w:noProof/>
                <w:sz w:val="24"/>
                <w:szCs w:val="24"/>
                <w:lang w:bidi="da-DK"/>
              </w:rPr>
              <w:t>Nervesystemet</w:t>
            </w:r>
          </w:p>
        </w:tc>
      </w:tr>
      <w:tr w:rsidR="00C52491" w:rsidRPr="00E02C47" w14:paraId="36DBFCF1"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725604CD"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690318D1" w14:textId="77777777" w:rsidR="00C52491" w:rsidRPr="00E02C47" w:rsidRDefault="00C52491">
            <w:pPr>
              <w:rPr>
                <w:sz w:val="24"/>
                <w:szCs w:val="24"/>
              </w:rPr>
            </w:pPr>
            <w:r w:rsidRPr="00E02C47">
              <w:rPr>
                <w:sz w:val="24"/>
                <w:szCs w:val="24"/>
                <w:lang w:bidi="da-DK"/>
              </w:rPr>
              <w:t>Hovedpine</w:t>
            </w:r>
          </w:p>
        </w:tc>
      </w:tr>
      <w:tr w:rsidR="00C52491" w:rsidRPr="00E02C47" w14:paraId="5017C9B2"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30837C6C"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F491107" w14:textId="77777777" w:rsidR="00C52491" w:rsidRPr="00E02C47" w:rsidRDefault="00C52491">
            <w:pPr>
              <w:rPr>
                <w:sz w:val="24"/>
                <w:szCs w:val="24"/>
              </w:rPr>
            </w:pPr>
            <w:r w:rsidRPr="00E02C47">
              <w:rPr>
                <w:sz w:val="24"/>
                <w:szCs w:val="24"/>
                <w:lang w:bidi="da-DK"/>
              </w:rPr>
              <w:t>Svimmelhed</w:t>
            </w:r>
          </w:p>
          <w:p w14:paraId="711F128E" w14:textId="77777777" w:rsidR="00C52491" w:rsidRPr="00E02C47" w:rsidRDefault="00C52491">
            <w:pPr>
              <w:rPr>
                <w:sz w:val="24"/>
                <w:szCs w:val="24"/>
              </w:rPr>
            </w:pPr>
            <w:r w:rsidRPr="00E02C47">
              <w:rPr>
                <w:sz w:val="24"/>
                <w:szCs w:val="24"/>
                <w:lang w:bidi="da-DK"/>
              </w:rPr>
              <w:t>Migræne</w:t>
            </w:r>
          </w:p>
        </w:tc>
      </w:tr>
      <w:tr w:rsidR="00C52491" w:rsidRPr="00E02C47" w14:paraId="6E1CB889"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3BA19219"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406E9A28" w14:textId="77777777" w:rsidR="00C52491" w:rsidRPr="00E02C47" w:rsidRDefault="00C52491">
            <w:pPr>
              <w:rPr>
                <w:sz w:val="24"/>
                <w:szCs w:val="24"/>
              </w:rPr>
            </w:pPr>
            <w:r w:rsidRPr="00E02C47">
              <w:rPr>
                <w:sz w:val="24"/>
                <w:szCs w:val="24"/>
                <w:lang w:bidi="da-DK"/>
              </w:rPr>
              <w:t>Krampeanfald</w:t>
            </w:r>
          </w:p>
        </w:tc>
      </w:tr>
      <w:tr w:rsidR="00C52491" w:rsidRPr="00E02C47" w14:paraId="2A31D73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EE04EF6" w14:textId="77777777" w:rsidR="00C52491" w:rsidRPr="00E02C47" w:rsidRDefault="00C52491">
            <w:pPr>
              <w:rPr>
                <w:sz w:val="24"/>
                <w:szCs w:val="24"/>
              </w:rPr>
            </w:pPr>
            <w:r w:rsidRPr="00E02C47">
              <w:rPr>
                <w:sz w:val="24"/>
                <w:szCs w:val="24"/>
                <w:lang w:bidi="da-DK"/>
              </w:rPr>
              <w:t>Sjælden</w:t>
            </w:r>
          </w:p>
        </w:tc>
        <w:tc>
          <w:tcPr>
            <w:tcW w:w="2500" w:type="pct"/>
            <w:tcBorders>
              <w:top w:val="single" w:sz="4" w:space="0" w:color="auto"/>
              <w:left w:val="single" w:sz="4" w:space="0" w:color="auto"/>
              <w:bottom w:val="single" w:sz="4" w:space="0" w:color="auto"/>
              <w:right w:val="single" w:sz="4" w:space="0" w:color="auto"/>
            </w:tcBorders>
            <w:hideMark/>
          </w:tcPr>
          <w:p w14:paraId="5E42227C" w14:textId="77777777" w:rsidR="00C52491" w:rsidRPr="00E02C47" w:rsidRDefault="00C52491">
            <w:pPr>
              <w:rPr>
                <w:sz w:val="24"/>
                <w:szCs w:val="24"/>
                <w:lang w:val="pt-PT"/>
              </w:rPr>
            </w:pPr>
            <w:r w:rsidRPr="00E02C47">
              <w:rPr>
                <w:sz w:val="24"/>
                <w:szCs w:val="24"/>
                <w:lang w:bidi="da-DK"/>
              </w:rPr>
              <w:t>Posterior reversibelt endocefalopati-syndrom (PRES)*</w:t>
            </w:r>
          </w:p>
        </w:tc>
      </w:tr>
      <w:tr w:rsidR="00C52491" w:rsidRPr="00E02C47" w14:paraId="3B2056C3"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519856F" w14:textId="77777777" w:rsidR="00C52491" w:rsidRPr="00E02C47" w:rsidRDefault="00C52491">
            <w:pPr>
              <w:rPr>
                <w:sz w:val="24"/>
                <w:szCs w:val="24"/>
                <w:lang w:val="en-GB"/>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4F20DF38" w14:textId="77777777" w:rsidR="00C52491" w:rsidRPr="00E02C47" w:rsidRDefault="00C52491">
            <w:pPr>
              <w:rPr>
                <w:sz w:val="24"/>
                <w:szCs w:val="24"/>
              </w:rPr>
            </w:pPr>
            <w:r w:rsidRPr="00E02C47">
              <w:rPr>
                <w:sz w:val="24"/>
                <w:szCs w:val="24"/>
                <w:lang w:bidi="da-DK"/>
              </w:rPr>
              <w:t>Alvorlig sygdomsforværring efter seponering af fingolimod***</w:t>
            </w:r>
          </w:p>
        </w:tc>
      </w:tr>
      <w:tr w:rsidR="00C52491" w:rsidRPr="00E02C47" w14:paraId="2E8F8E4A"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62AD5480" w14:textId="77777777" w:rsidR="00C52491" w:rsidRPr="00E02C47" w:rsidRDefault="00C52491">
            <w:pPr>
              <w:rPr>
                <w:sz w:val="24"/>
                <w:szCs w:val="24"/>
                <w:lang w:val="en-GB"/>
              </w:rPr>
            </w:pPr>
            <w:r w:rsidRPr="00E02C47">
              <w:rPr>
                <w:b/>
                <w:noProof/>
                <w:sz w:val="24"/>
                <w:szCs w:val="24"/>
                <w:lang w:bidi="da-DK"/>
              </w:rPr>
              <w:t>Øjne</w:t>
            </w:r>
          </w:p>
        </w:tc>
      </w:tr>
      <w:tr w:rsidR="00C52491" w:rsidRPr="00E02C47" w14:paraId="7A141691"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45273EA"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7A35B956" w14:textId="77777777" w:rsidR="00C52491" w:rsidRPr="00E02C47" w:rsidRDefault="00C52491">
            <w:pPr>
              <w:rPr>
                <w:sz w:val="24"/>
                <w:szCs w:val="24"/>
              </w:rPr>
            </w:pPr>
            <w:r w:rsidRPr="00E02C47">
              <w:rPr>
                <w:sz w:val="24"/>
                <w:szCs w:val="24"/>
                <w:lang w:bidi="da-DK"/>
              </w:rPr>
              <w:t>Tågesyn</w:t>
            </w:r>
          </w:p>
        </w:tc>
      </w:tr>
      <w:tr w:rsidR="00C52491" w:rsidRPr="00E02C47" w14:paraId="73BCA47B"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FB2C277"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37DB50EF" w14:textId="77777777" w:rsidR="00C52491" w:rsidRPr="00E02C47" w:rsidRDefault="00C52491">
            <w:pPr>
              <w:rPr>
                <w:sz w:val="24"/>
                <w:szCs w:val="24"/>
              </w:rPr>
            </w:pPr>
            <w:r w:rsidRPr="00E02C47">
              <w:rPr>
                <w:sz w:val="24"/>
                <w:szCs w:val="24"/>
                <w:lang w:bidi="da-DK"/>
              </w:rPr>
              <w:t>Makulaødem</w:t>
            </w:r>
          </w:p>
        </w:tc>
      </w:tr>
      <w:tr w:rsidR="00C52491" w:rsidRPr="00E02C47" w14:paraId="203E2EDE"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26FF03B6" w14:textId="77777777" w:rsidR="00C52491" w:rsidRPr="00E02C47" w:rsidRDefault="00C52491">
            <w:pPr>
              <w:rPr>
                <w:sz w:val="24"/>
                <w:szCs w:val="24"/>
              </w:rPr>
            </w:pPr>
            <w:r w:rsidRPr="00E02C47">
              <w:rPr>
                <w:b/>
                <w:noProof/>
                <w:sz w:val="24"/>
                <w:szCs w:val="24"/>
                <w:lang w:bidi="da-DK"/>
              </w:rPr>
              <w:t>Hjerte</w:t>
            </w:r>
          </w:p>
        </w:tc>
      </w:tr>
      <w:tr w:rsidR="00C52491" w:rsidRPr="00E02C47" w14:paraId="0080E3D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0C98B4A5"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5956E80B" w14:textId="77777777" w:rsidR="00C52491" w:rsidRPr="00E02C47" w:rsidRDefault="00C52491">
            <w:pPr>
              <w:rPr>
                <w:sz w:val="24"/>
                <w:szCs w:val="24"/>
              </w:rPr>
            </w:pPr>
            <w:r w:rsidRPr="00E02C47">
              <w:rPr>
                <w:sz w:val="24"/>
                <w:szCs w:val="24"/>
                <w:lang w:bidi="da-DK"/>
              </w:rPr>
              <w:t>Bradykardi</w:t>
            </w:r>
          </w:p>
          <w:p w14:paraId="7610E07C" w14:textId="77777777" w:rsidR="00C52491" w:rsidRPr="00E02C47" w:rsidRDefault="00C52491">
            <w:pPr>
              <w:rPr>
                <w:sz w:val="24"/>
                <w:szCs w:val="24"/>
              </w:rPr>
            </w:pPr>
            <w:r w:rsidRPr="00E02C47">
              <w:rPr>
                <w:sz w:val="24"/>
                <w:szCs w:val="24"/>
                <w:lang w:bidi="da-DK"/>
              </w:rPr>
              <w:t>Atrioventrikulært blok</w:t>
            </w:r>
          </w:p>
        </w:tc>
      </w:tr>
      <w:tr w:rsidR="00C52491" w:rsidRPr="00E02C47" w14:paraId="2D29CC3D"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6BB287FF" w14:textId="77777777" w:rsidR="00C52491" w:rsidRPr="00E02C47" w:rsidRDefault="00C52491">
            <w:pPr>
              <w:rPr>
                <w:sz w:val="24"/>
                <w:szCs w:val="24"/>
              </w:rPr>
            </w:pPr>
            <w:r w:rsidRPr="00E02C47">
              <w:rPr>
                <w:sz w:val="24"/>
                <w:szCs w:val="24"/>
                <w:lang w:bidi="da-DK"/>
              </w:rPr>
              <w:t>Meget sjælden</w:t>
            </w:r>
          </w:p>
        </w:tc>
        <w:tc>
          <w:tcPr>
            <w:tcW w:w="2500" w:type="pct"/>
            <w:tcBorders>
              <w:top w:val="single" w:sz="4" w:space="0" w:color="auto"/>
              <w:left w:val="single" w:sz="4" w:space="0" w:color="auto"/>
              <w:bottom w:val="single" w:sz="4" w:space="0" w:color="auto"/>
              <w:right w:val="single" w:sz="4" w:space="0" w:color="auto"/>
            </w:tcBorders>
            <w:hideMark/>
          </w:tcPr>
          <w:p w14:paraId="3B18455D" w14:textId="77777777" w:rsidR="00C52491" w:rsidRPr="00E02C47" w:rsidRDefault="00C52491">
            <w:pPr>
              <w:rPr>
                <w:sz w:val="24"/>
                <w:szCs w:val="24"/>
              </w:rPr>
            </w:pPr>
            <w:r w:rsidRPr="00E02C47">
              <w:rPr>
                <w:sz w:val="24"/>
                <w:szCs w:val="24"/>
                <w:lang w:bidi="da-DK"/>
              </w:rPr>
              <w:t>T-takinversion***</w:t>
            </w:r>
          </w:p>
        </w:tc>
      </w:tr>
      <w:tr w:rsidR="00C52491" w:rsidRPr="00E02C47" w14:paraId="3AA9E97E"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378D16A1" w14:textId="77777777" w:rsidR="00C52491" w:rsidRPr="00E02C47" w:rsidRDefault="00C52491">
            <w:pPr>
              <w:rPr>
                <w:sz w:val="24"/>
                <w:szCs w:val="24"/>
              </w:rPr>
            </w:pPr>
            <w:r w:rsidRPr="00E02C47">
              <w:rPr>
                <w:b/>
                <w:noProof/>
                <w:sz w:val="24"/>
                <w:szCs w:val="24"/>
                <w:lang w:bidi="da-DK"/>
              </w:rPr>
              <w:t>Vaskulære sygdomme</w:t>
            </w:r>
          </w:p>
        </w:tc>
      </w:tr>
      <w:tr w:rsidR="00C52491" w:rsidRPr="00E02C47" w14:paraId="55B6AD18"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36F59CC"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01D4A47B" w14:textId="77777777" w:rsidR="00C52491" w:rsidRPr="00E02C47" w:rsidRDefault="00C52491">
            <w:pPr>
              <w:rPr>
                <w:sz w:val="24"/>
                <w:szCs w:val="24"/>
              </w:rPr>
            </w:pPr>
            <w:r w:rsidRPr="00E02C47">
              <w:rPr>
                <w:sz w:val="24"/>
                <w:szCs w:val="24"/>
                <w:lang w:bidi="da-DK"/>
              </w:rPr>
              <w:t>Hypertension</w:t>
            </w:r>
          </w:p>
        </w:tc>
      </w:tr>
      <w:tr w:rsidR="00C52491" w:rsidRPr="00E02C47" w14:paraId="1D14E24D"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5C1B4437" w14:textId="77777777" w:rsidR="00C52491" w:rsidRPr="00E02C47" w:rsidRDefault="00C52491">
            <w:pPr>
              <w:rPr>
                <w:b/>
                <w:sz w:val="24"/>
                <w:szCs w:val="24"/>
                <w:lang w:val="nl-NL"/>
              </w:rPr>
            </w:pPr>
            <w:r w:rsidRPr="00E02C47">
              <w:rPr>
                <w:b/>
                <w:sz w:val="24"/>
                <w:szCs w:val="24"/>
                <w:lang w:bidi="da-DK"/>
              </w:rPr>
              <w:t>Luftveje, thorax og mediastinum</w:t>
            </w:r>
          </w:p>
        </w:tc>
      </w:tr>
      <w:tr w:rsidR="00C52491" w:rsidRPr="00E02C47" w14:paraId="5A554388"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53A622A" w14:textId="77777777" w:rsidR="00C52491" w:rsidRPr="00E02C47" w:rsidRDefault="00C52491">
            <w:pPr>
              <w:rPr>
                <w:sz w:val="24"/>
                <w:szCs w:val="24"/>
                <w:lang w:val="en-GB"/>
              </w:rPr>
            </w:pPr>
            <w:r w:rsidRPr="00E02C47">
              <w:rPr>
                <w:sz w:val="24"/>
                <w:szCs w:val="24"/>
                <w:lang w:bidi="da-DK"/>
              </w:rPr>
              <w:lastRenderedPageBreak/>
              <w:t>Meget almindelig</w:t>
            </w:r>
          </w:p>
        </w:tc>
        <w:tc>
          <w:tcPr>
            <w:tcW w:w="2500" w:type="pct"/>
            <w:tcBorders>
              <w:top w:val="single" w:sz="4" w:space="0" w:color="auto"/>
              <w:left w:val="single" w:sz="4" w:space="0" w:color="auto"/>
              <w:bottom w:val="single" w:sz="4" w:space="0" w:color="auto"/>
              <w:right w:val="single" w:sz="4" w:space="0" w:color="auto"/>
            </w:tcBorders>
            <w:hideMark/>
          </w:tcPr>
          <w:p w14:paraId="6BD4B5F4" w14:textId="77777777" w:rsidR="00C52491" w:rsidRPr="00E02C47" w:rsidRDefault="00C52491">
            <w:pPr>
              <w:rPr>
                <w:sz w:val="24"/>
                <w:szCs w:val="24"/>
              </w:rPr>
            </w:pPr>
            <w:r w:rsidRPr="00E02C47">
              <w:rPr>
                <w:sz w:val="24"/>
                <w:szCs w:val="24"/>
                <w:lang w:bidi="da-DK"/>
              </w:rPr>
              <w:t>Hoste</w:t>
            </w:r>
          </w:p>
        </w:tc>
      </w:tr>
      <w:tr w:rsidR="00C52491" w:rsidRPr="00E02C47" w14:paraId="60E0BE17"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40C95D8"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41DD465A" w14:textId="77777777" w:rsidR="00C52491" w:rsidRPr="00E02C47" w:rsidRDefault="00C52491">
            <w:pPr>
              <w:rPr>
                <w:sz w:val="24"/>
                <w:szCs w:val="24"/>
              </w:rPr>
            </w:pPr>
            <w:r w:rsidRPr="00E02C47">
              <w:rPr>
                <w:sz w:val="24"/>
                <w:szCs w:val="24"/>
                <w:lang w:bidi="da-DK"/>
              </w:rPr>
              <w:t>Dyspnø</w:t>
            </w:r>
          </w:p>
        </w:tc>
      </w:tr>
      <w:tr w:rsidR="00C52491" w:rsidRPr="00E02C47" w14:paraId="1AF76ED9"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28E95891" w14:textId="77777777" w:rsidR="00C52491" w:rsidRPr="00E02C47" w:rsidRDefault="00C52491">
            <w:pPr>
              <w:rPr>
                <w:sz w:val="24"/>
                <w:szCs w:val="24"/>
              </w:rPr>
            </w:pPr>
            <w:r w:rsidRPr="00E02C47">
              <w:rPr>
                <w:b/>
                <w:noProof/>
                <w:sz w:val="24"/>
                <w:szCs w:val="24"/>
                <w:lang w:bidi="da-DK"/>
              </w:rPr>
              <w:t>Mave-tarm-kanalen</w:t>
            </w:r>
          </w:p>
        </w:tc>
      </w:tr>
      <w:tr w:rsidR="00C52491" w:rsidRPr="00E02C47" w14:paraId="298A09E2"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216428D7"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1A7F87D1" w14:textId="77777777" w:rsidR="00C52491" w:rsidRPr="00E02C47" w:rsidRDefault="00C52491">
            <w:pPr>
              <w:rPr>
                <w:sz w:val="24"/>
                <w:szCs w:val="24"/>
              </w:rPr>
            </w:pPr>
            <w:r w:rsidRPr="00E02C47">
              <w:rPr>
                <w:sz w:val="24"/>
                <w:szCs w:val="24"/>
                <w:lang w:bidi="da-DK"/>
              </w:rPr>
              <w:t>Diarré</w:t>
            </w:r>
          </w:p>
        </w:tc>
      </w:tr>
      <w:tr w:rsidR="00C52491" w:rsidRPr="00E02C47" w14:paraId="3CA5C3F9" w14:textId="77777777" w:rsidTr="00E02C47">
        <w:trPr>
          <w:trHeight w:val="58"/>
        </w:trPr>
        <w:tc>
          <w:tcPr>
            <w:tcW w:w="2500" w:type="pct"/>
            <w:tcBorders>
              <w:top w:val="single" w:sz="4" w:space="0" w:color="auto"/>
              <w:left w:val="single" w:sz="4" w:space="0" w:color="auto"/>
              <w:bottom w:val="single" w:sz="4" w:space="0" w:color="auto"/>
              <w:right w:val="single" w:sz="4" w:space="0" w:color="auto"/>
            </w:tcBorders>
            <w:hideMark/>
          </w:tcPr>
          <w:p w14:paraId="2FA9FC58" w14:textId="77777777" w:rsidR="00C52491" w:rsidRPr="00E02C47" w:rsidRDefault="00C52491">
            <w:pPr>
              <w:rPr>
                <w:sz w:val="24"/>
                <w:szCs w:val="24"/>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27427C42" w14:textId="77777777" w:rsidR="00C52491" w:rsidRPr="00E02C47" w:rsidRDefault="00C52491">
            <w:pPr>
              <w:rPr>
                <w:sz w:val="24"/>
                <w:szCs w:val="24"/>
              </w:rPr>
            </w:pPr>
            <w:r w:rsidRPr="00E02C47">
              <w:rPr>
                <w:sz w:val="24"/>
                <w:szCs w:val="24"/>
                <w:lang w:bidi="da-DK"/>
              </w:rPr>
              <w:t>Kvalme***</w:t>
            </w:r>
          </w:p>
        </w:tc>
      </w:tr>
      <w:tr w:rsidR="00C52491" w:rsidRPr="00E02C47" w14:paraId="2D1804DE" w14:textId="77777777" w:rsidTr="00E02C47">
        <w:trPr>
          <w:trHeight w:val="58"/>
        </w:trPr>
        <w:tc>
          <w:tcPr>
            <w:tcW w:w="2500" w:type="pct"/>
            <w:tcBorders>
              <w:top w:val="single" w:sz="4" w:space="0" w:color="auto"/>
              <w:left w:val="single" w:sz="4" w:space="0" w:color="auto"/>
              <w:bottom w:val="single" w:sz="4" w:space="0" w:color="auto"/>
              <w:right w:val="single" w:sz="4" w:space="0" w:color="auto"/>
            </w:tcBorders>
            <w:hideMark/>
          </w:tcPr>
          <w:p w14:paraId="3E5BF2AF" w14:textId="77777777" w:rsidR="00C52491" w:rsidRPr="00E02C47" w:rsidRDefault="00C52491">
            <w:pPr>
              <w:rPr>
                <w:sz w:val="24"/>
                <w:szCs w:val="24"/>
              </w:rPr>
            </w:pPr>
            <w:r w:rsidRPr="00E02C47">
              <w:rPr>
                <w:b/>
                <w:sz w:val="24"/>
                <w:szCs w:val="24"/>
                <w:lang w:bidi="da-DK"/>
              </w:rPr>
              <w:t>Lever og galdeveje</w:t>
            </w:r>
          </w:p>
        </w:tc>
        <w:tc>
          <w:tcPr>
            <w:tcW w:w="2500" w:type="pct"/>
            <w:tcBorders>
              <w:top w:val="single" w:sz="4" w:space="0" w:color="auto"/>
              <w:left w:val="single" w:sz="4" w:space="0" w:color="auto"/>
              <w:bottom w:val="single" w:sz="4" w:space="0" w:color="auto"/>
              <w:right w:val="single" w:sz="4" w:space="0" w:color="auto"/>
            </w:tcBorders>
          </w:tcPr>
          <w:p w14:paraId="687A0B7F" w14:textId="77777777" w:rsidR="00C52491" w:rsidRPr="00E02C47" w:rsidRDefault="00C52491">
            <w:pPr>
              <w:rPr>
                <w:sz w:val="24"/>
                <w:szCs w:val="24"/>
              </w:rPr>
            </w:pPr>
          </w:p>
        </w:tc>
      </w:tr>
      <w:tr w:rsidR="00C52491" w:rsidRPr="00E02C47" w14:paraId="3140019C" w14:textId="77777777" w:rsidTr="00E02C47">
        <w:trPr>
          <w:trHeight w:val="58"/>
        </w:trPr>
        <w:tc>
          <w:tcPr>
            <w:tcW w:w="2500" w:type="pct"/>
            <w:tcBorders>
              <w:top w:val="single" w:sz="4" w:space="0" w:color="auto"/>
              <w:left w:val="single" w:sz="4" w:space="0" w:color="auto"/>
              <w:bottom w:val="single" w:sz="4" w:space="0" w:color="auto"/>
              <w:right w:val="single" w:sz="4" w:space="0" w:color="auto"/>
            </w:tcBorders>
            <w:hideMark/>
          </w:tcPr>
          <w:p w14:paraId="0D7F8A8C" w14:textId="77777777" w:rsidR="00C52491" w:rsidRPr="00E02C47" w:rsidRDefault="00C52491">
            <w:pPr>
              <w:rPr>
                <w:sz w:val="24"/>
                <w:szCs w:val="24"/>
              </w:rPr>
            </w:pPr>
            <w:r w:rsidRPr="00E02C47">
              <w:rPr>
                <w:sz w:val="24"/>
                <w:szCs w:val="24"/>
                <w:lang w:bidi="da-DK"/>
              </w:rPr>
              <w:t>Ikke kendt</w:t>
            </w:r>
          </w:p>
        </w:tc>
        <w:tc>
          <w:tcPr>
            <w:tcW w:w="2500" w:type="pct"/>
            <w:tcBorders>
              <w:top w:val="single" w:sz="4" w:space="0" w:color="auto"/>
              <w:left w:val="single" w:sz="4" w:space="0" w:color="auto"/>
              <w:bottom w:val="single" w:sz="4" w:space="0" w:color="auto"/>
              <w:right w:val="single" w:sz="4" w:space="0" w:color="auto"/>
            </w:tcBorders>
            <w:hideMark/>
          </w:tcPr>
          <w:p w14:paraId="70F2E4CA" w14:textId="77777777" w:rsidR="00C52491" w:rsidRPr="00E02C47" w:rsidRDefault="00C52491">
            <w:pPr>
              <w:rPr>
                <w:sz w:val="24"/>
                <w:szCs w:val="24"/>
              </w:rPr>
            </w:pPr>
            <w:r w:rsidRPr="00E02C47">
              <w:rPr>
                <w:sz w:val="24"/>
                <w:szCs w:val="24"/>
                <w:lang w:bidi="da-DK"/>
              </w:rPr>
              <w:t>Akut leversvigt***</w:t>
            </w:r>
          </w:p>
        </w:tc>
      </w:tr>
      <w:tr w:rsidR="00C52491" w:rsidRPr="00E02C47" w14:paraId="00F4E483"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7F8A8A9F" w14:textId="77777777" w:rsidR="00C52491" w:rsidRPr="00E02C47" w:rsidRDefault="00C52491">
            <w:pPr>
              <w:rPr>
                <w:b/>
                <w:sz w:val="24"/>
                <w:szCs w:val="24"/>
                <w:lang w:val="nl-NL"/>
              </w:rPr>
            </w:pPr>
            <w:r w:rsidRPr="00E02C47">
              <w:rPr>
                <w:b/>
                <w:noProof/>
                <w:sz w:val="24"/>
                <w:szCs w:val="24"/>
                <w:lang w:bidi="da-DK"/>
              </w:rPr>
              <w:t>Hud og subkutane væv</w:t>
            </w:r>
          </w:p>
        </w:tc>
      </w:tr>
      <w:tr w:rsidR="00C52491" w:rsidRPr="00E02C47" w14:paraId="19EB217C"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4DEF14AF"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67F96606" w14:textId="77777777" w:rsidR="00C52491" w:rsidRPr="00E02C47" w:rsidRDefault="00C52491">
            <w:pPr>
              <w:rPr>
                <w:sz w:val="24"/>
                <w:szCs w:val="24"/>
              </w:rPr>
            </w:pPr>
            <w:r w:rsidRPr="00E02C47">
              <w:rPr>
                <w:sz w:val="24"/>
                <w:szCs w:val="24"/>
                <w:lang w:bidi="da-DK"/>
              </w:rPr>
              <w:t>Eksem</w:t>
            </w:r>
          </w:p>
          <w:p w14:paraId="65CBE16C" w14:textId="77777777" w:rsidR="00C52491" w:rsidRPr="00E02C47" w:rsidRDefault="00C52491">
            <w:pPr>
              <w:rPr>
                <w:sz w:val="24"/>
                <w:szCs w:val="24"/>
              </w:rPr>
            </w:pPr>
            <w:r w:rsidRPr="00E02C47">
              <w:rPr>
                <w:sz w:val="24"/>
                <w:szCs w:val="24"/>
                <w:lang w:bidi="da-DK"/>
              </w:rPr>
              <w:t>Alopecia</w:t>
            </w:r>
          </w:p>
          <w:p w14:paraId="5993E5FE" w14:textId="77777777" w:rsidR="00C52491" w:rsidRPr="00E02C47" w:rsidRDefault="00C52491">
            <w:pPr>
              <w:rPr>
                <w:sz w:val="24"/>
                <w:szCs w:val="24"/>
              </w:rPr>
            </w:pPr>
            <w:r w:rsidRPr="00E02C47">
              <w:rPr>
                <w:sz w:val="24"/>
                <w:szCs w:val="24"/>
                <w:lang w:bidi="da-DK"/>
              </w:rPr>
              <w:t>Pruritus</w:t>
            </w:r>
          </w:p>
        </w:tc>
      </w:tr>
      <w:tr w:rsidR="00C52491" w:rsidRPr="00E02C47" w14:paraId="2B75685A"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6C704E36" w14:textId="77777777" w:rsidR="00C52491" w:rsidRPr="00E02C47" w:rsidRDefault="00C52491">
            <w:pPr>
              <w:rPr>
                <w:sz w:val="24"/>
                <w:szCs w:val="24"/>
              </w:rPr>
            </w:pPr>
            <w:r w:rsidRPr="00E02C47">
              <w:rPr>
                <w:b/>
                <w:noProof/>
                <w:sz w:val="24"/>
                <w:szCs w:val="24"/>
                <w:lang w:bidi="da-DK"/>
              </w:rPr>
              <w:t xml:space="preserve">Knogler, led, muskler og bindevæv </w:t>
            </w:r>
          </w:p>
        </w:tc>
      </w:tr>
      <w:tr w:rsidR="00C52491" w:rsidRPr="00E02C47" w14:paraId="352465AF"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2310C8D" w14:textId="77777777" w:rsidR="00C52491" w:rsidRPr="00E02C47" w:rsidRDefault="00C52491">
            <w:pPr>
              <w:rPr>
                <w:sz w:val="24"/>
                <w:szCs w:val="24"/>
                <w:lang w:val="en-GB"/>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3EBB5E7B" w14:textId="77777777" w:rsidR="00C52491" w:rsidRPr="00E02C47" w:rsidRDefault="00C52491">
            <w:pPr>
              <w:rPr>
                <w:sz w:val="24"/>
                <w:szCs w:val="24"/>
              </w:rPr>
            </w:pPr>
            <w:r w:rsidRPr="00E02C47">
              <w:rPr>
                <w:sz w:val="24"/>
                <w:szCs w:val="24"/>
                <w:lang w:bidi="da-DK"/>
              </w:rPr>
              <w:t>Rygsmerter</w:t>
            </w:r>
          </w:p>
        </w:tc>
      </w:tr>
      <w:tr w:rsidR="00C52491" w:rsidRPr="00E02C47" w14:paraId="41272E8E"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505DAB9C" w14:textId="77777777" w:rsidR="00C52491" w:rsidRPr="00E02C47" w:rsidRDefault="00C52491">
            <w:pPr>
              <w:rPr>
                <w:sz w:val="24"/>
                <w:szCs w:val="24"/>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348D72FD" w14:textId="77777777" w:rsidR="00C52491" w:rsidRPr="00E02C47" w:rsidRDefault="00C52491">
            <w:pPr>
              <w:rPr>
                <w:sz w:val="24"/>
                <w:szCs w:val="24"/>
              </w:rPr>
            </w:pPr>
            <w:r w:rsidRPr="00E02C47">
              <w:rPr>
                <w:sz w:val="24"/>
                <w:szCs w:val="24"/>
                <w:lang w:bidi="da-DK"/>
              </w:rPr>
              <w:t>Myalgi</w:t>
            </w:r>
          </w:p>
          <w:p w14:paraId="31811C4B" w14:textId="77777777" w:rsidR="00C52491" w:rsidRPr="00E02C47" w:rsidRDefault="00C52491">
            <w:pPr>
              <w:rPr>
                <w:sz w:val="24"/>
                <w:szCs w:val="24"/>
              </w:rPr>
            </w:pPr>
            <w:r w:rsidRPr="00E02C47">
              <w:rPr>
                <w:sz w:val="24"/>
                <w:szCs w:val="24"/>
                <w:lang w:bidi="da-DK"/>
              </w:rPr>
              <w:t>Artralgi</w:t>
            </w:r>
          </w:p>
        </w:tc>
      </w:tr>
      <w:tr w:rsidR="00C52491" w:rsidRPr="00E02C47" w14:paraId="6E3C211A"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1731D81A" w14:textId="77777777" w:rsidR="00C52491" w:rsidRPr="00E02C47" w:rsidRDefault="00C52491">
            <w:pPr>
              <w:rPr>
                <w:sz w:val="24"/>
                <w:szCs w:val="24"/>
              </w:rPr>
            </w:pPr>
            <w:r w:rsidRPr="00E02C47">
              <w:rPr>
                <w:b/>
                <w:noProof/>
                <w:sz w:val="24"/>
                <w:szCs w:val="24"/>
                <w:lang w:bidi="da-DK"/>
              </w:rPr>
              <w:t xml:space="preserve">Almene symptomer og reaktioner på administrationsstedet </w:t>
            </w:r>
          </w:p>
        </w:tc>
      </w:tr>
      <w:tr w:rsidR="00C52491" w:rsidRPr="00E02C47" w14:paraId="357F5BC0"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3CEE37A"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02F96AB5" w14:textId="77777777" w:rsidR="00C52491" w:rsidRPr="00E02C47" w:rsidRDefault="00C52491">
            <w:pPr>
              <w:rPr>
                <w:sz w:val="24"/>
                <w:szCs w:val="24"/>
              </w:rPr>
            </w:pPr>
            <w:r w:rsidRPr="00E02C47">
              <w:rPr>
                <w:sz w:val="24"/>
                <w:szCs w:val="24"/>
                <w:lang w:bidi="da-DK"/>
              </w:rPr>
              <w:t>Asteni</w:t>
            </w:r>
          </w:p>
        </w:tc>
      </w:tr>
      <w:tr w:rsidR="00C52491" w:rsidRPr="00E02C47" w14:paraId="10AE1AB1" w14:textId="77777777" w:rsidTr="00E02C47">
        <w:tc>
          <w:tcPr>
            <w:tcW w:w="5000" w:type="pct"/>
            <w:gridSpan w:val="2"/>
            <w:tcBorders>
              <w:top w:val="single" w:sz="4" w:space="0" w:color="auto"/>
              <w:left w:val="single" w:sz="4" w:space="0" w:color="auto"/>
              <w:bottom w:val="single" w:sz="4" w:space="0" w:color="auto"/>
              <w:right w:val="single" w:sz="4" w:space="0" w:color="auto"/>
            </w:tcBorders>
            <w:hideMark/>
          </w:tcPr>
          <w:p w14:paraId="71EF9EDB" w14:textId="77777777" w:rsidR="00C52491" w:rsidRPr="00E02C47" w:rsidRDefault="00C52491">
            <w:pPr>
              <w:rPr>
                <w:sz w:val="24"/>
                <w:szCs w:val="24"/>
              </w:rPr>
            </w:pPr>
            <w:r w:rsidRPr="00E02C47">
              <w:rPr>
                <w:b/>
                <w:noProof/>
                <w:sz w:val="24"/>
                <w:szCs w:val="24"/>
                <w:lang w:bidi="da-DK"/>
              </w:rPr>
              <w:t xml:space="preserve">Undersøgelser </w:t>
            </w:r>
          </w:p>
        </w:tc>
      </w:tr>
      <w:tr w:rsidR="00C52491" w:rsidRPr="00E02C47" w14:paraId="4D7A85A1"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0242B7C5" w14:textId="77777777" w:rsidR="00C52491" w:rsidRPr="00E02C47" w:rsidRDefault="00C52491">
            <w:pPr>
              <w:rPr>
                <w:sz w:val="24"/>
                <w:szCs w:val="24"/>
              </w:rPr>
            </w:pPr>
            <w:r w:rsidRPr="00E02C47">
              <w:rPr>
                <w:sz w:val="24"/>
                <w:szCs w:val="24"/>
                <w:lang w:bidi="da-DK"/>
              </w:rPr>
              <w:t>Meget almindelig</w:t>
            </w:r>
          </w:p>
        </w:tc>
        <w:tc>
          <w:tcPr>
            <w:tcW w:w="2500" w:type="pct"/>
            <w:tcBorders>
              <w:top w:val="single" w:sz="4" w:space="0" w:color="auto"/>
              <w:left w:val="single" w:sz="4" w:space="0" w:color="auto"/>
              <w:bottom w:val="single" w:sz="4" w:space="0" w:color="auto"/>
              <w:right w:val="single" w:sz="4" w:space="0" w:color="auto"/>
            </w:tcBorders>
            <w:hideMark/>
          </w:tcPr>
          <w:p w14:paraId="5490AE46" w14:textId="77777777" w:rsidR="00C52491" w:rsidRPr="00E02C47" w:rsidRDefault="00C52491">
            <w:pPr>
              <w:rPr>
                <w:sz w:val="24"/>
                <w:szCs w:val="24"/>
              </w:rPr>
            </w:pPr>
            <w:r w:rsidRPr="00E02C47">
              <w:rPr>
                <w:sz w:val="24"/>
                <w:szCs w:val="24"/>
                <w:lang w:bidi="da-DK"/>
              </w:rPr>
              <w:t>Forhøjede leverenzymer (forhøjet alanin-aminotransferase, gamma-glutamyltransferase, aspartataminotransaferase)</w:t>
            </w:r>
          </w:p>
        </w:tc>
      </w:tr>
      <w:tr w:rsidR="00C52491" w:rsidRPr="00E02C47" w14:paraId="43CC8575"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706545EE" w14:textId="77777777" w:rsidR="00C52491" w:rsidRPr="00E02C47" w:rsidRDefault="00C52491">
            <w:pPr>
              <w:rPr>
                <w:sz w:val="24"/>
                <w:szCs w:val="24"/>
                <w:lang w:val="en-GB"/>
              </w:rPr>
            </w:pPr>
            <w:r w:rsidRPr="00E02C47">
              <w:rPr>
                <w:sz w:val="24"/>
                <w:szCs w:val="24"/>
                <w:lang w:bidi="da-DK"/>
              </w:rPr>
              <w:t>Almindelig</w:t>
            </w:r>
          </w:p>
        </w:tc>
        <w:tc>
          <w:tcPr>
            <w:tcW w:w="2500" w:type="pct"/>
            <w:tcBorders>
              <w:top w:val="single" w:sz="4" w:space="0" w:color="auto"/>
              <w:left w:val="single" w:sz="4" w:space="0" w:color="auto"/>
              <w:bottom w:val="single" w:sz="4" w:space="0" w:color="auto"/>
              <w:right w:val="single" w:sz="4" w:space="0" w:color="auto"/>
            </w:tcBorders>
            <w:hideMark/>
          </w:tcPr>
          <w:p w14:paraId="7838B07F" w14:textId="77777777" w:rsidR="00C52491" w:rsidRPr="00E02C47" w:rsidRDefault="00C52491">
            <w:pPr>
              <w:rPr>
                <w:sz w:val="24"/>
                <w:szCs w:val="24"/>
              </w:rPr>
            </w:pPr>
            <w:r w:rsidRPr="00E02C47">
              <w:rPr>
                <w:sz w:val="24"/>
                <w:szCs w:val="24"/>
                <w:lang w:bidi="da-DK"/>
              </w:rPr>
              <w:t>Vægttab***</w:t>
            </w:r>
          </w:p>
          <w:p w14:paraId="31D7EDDA" w14:textId="77777777" w:rsidR="00C52491" w:rsidRPr="00E02C47" w:rsidRDefault="00C52491">
            <w:pPr>
              <w:rPr>
                <w:sz w:val="24"/>
                <w:szCs w:val="24"/>
              </w:rPr>
            </w:pPr>
            <w:r w:rsidRPr="00E02C47">
              <w:rPr>
                <w:sz w:val="24"/>
                <w:szCs w:val="24"/>
                <w:lang w:bidi="da-DK"/>
              </w:rPr>
              <w:t>Forhøjede blodtriglycerider</w:t>
            </w:r>
          </w:p>
        </w:tc>
      </w:tr>
      <w:tr w:rsidR="00C52491" w:rsidRPr="00E02C47" w14:paraId="78479744" w14:textId="77777777" w:rsidTr="00E02C47">
        <w:tc>
          <w:tcPr>
            <w:tcW w:w="2500" w:type="pct"/>
            <w:tcBorders>
              <w:top w:val="single" w:sz="4" w:space="0" w:color="auto"/>
              <w:left w:val="single" w:sz="4" w:space="0" w:color="auto"/>
              <w:bottom w:val="single" w:sz="4" w:space="0" w:color="auto"/>
              <w:right w:val="single" w:sz="4" w:space="0" w:color="auto"/>
            </w:tcBorders>
            <w:hideMark/>
          </w:tcPr>
          <w:p w14:paraId="1828BB5D" w14:textId="77777777" w:rsidR="00C52491" w:rsidRPr="00E02C47" w:rsidRDefault="00C52491">
            <w:pPr>
              <w:rPr>
                <w:sz w:val="24"/>
                <w:szCs w:val="24"/>
                <w:lang w:val="en-GB"/>
              </w:rPr>
            </w:pPr>
            <w:r w:rsidRPr="00E02C47">
              <w:rPr>
                <w:sz w:val="24"/>
                <w:szCs w:val="24"/>
                <w:lang w:bidi="da-DK"/>
              </w:rPr>
              <w:t>Ikke almindelig</w:t>
            </w:r>
          </w:p>
        </w:tc>
        <w:tc>
          <w:tcPr>
            <w:tcW w:w="2500" w:type="pct"/>
            <w:tcBorders>
              <w:top w:val="single" w:sz="4" w:space="0" w:color="auto"/>
              <w:left w:val="single" w:sz="4" w:space="0" w:color="auto"/>
              <w:bottom w:val="single" w:sz="4" w:space="0" w:color="auto"/>
              <w:right w:val="single" w:sz="4" w:space="0" w:color="auto"/>
            </w:tcBorders>
            <w:hideMark/>
          </w:tcPr>
          <w:p w14:paraId="6DA89ACD" w14:textId="77777777" w:rsidR="00C52491" w:rsidRPr="00E02C47" w:rsidRDefault="00C52491">
            <w:pPr>
              <w:rPr>
                <w:sz w:val="24"/>
                <w:szCs w:val="24"/>
              </w:rPr>
            </w:pPr>
            <w:r w:rsidRPr="00E02C47">
              <w:rPr>
                <w:sz w:val="24"/>
                <w:szCs w:val="24"/>
                <w:lang w:bidi="da-DK"/>
              </w:rPr>
              <w:t>Nedsat neutrofiltal</w:t>
            </w:r>
          </w:p>
        </w:tc>
      </w:tr>
    </w:tbl>
    <w:p w14:paraId="6D830203" w14:textId="77777777" w:rsidR="00C52491" w:rsidRPr="00E02C47" w:rsidRDefault="00C52491" w:rsidP="00E02C47">
      <w:pPr>
        <w:ind w:left="709" w:hanging="709"/>
        <w:rPr>
          <w:sz w:val="24"/>
          <w:szCs w:val="24"/>
        </w:rPr>
      </w:pPr>
      <w:r w:rsidRPr="00E02C47">
        <w:rPr>
          <w:sz w:val="24"/>
          <w:szCs w:val="24"/>
          <w:lang w:bidi="da-DK"/>
        </w:rPr>
        <w:t>*</w:t>
      </w:r>
      <w:r w:rsidRPr="00E02C47">
        <w:rPr>
          <w:sz w:val="24"/>
          <w:szCs w:val="24"/>
          <w:lang w:bidi="da-DK"/>
        </w:rPr>
        <w:tab/>
        <w:t>Frekvensskategorien er baseret på et estimat hos cirka 10.000 patienter behandlet med fingolimod kliniske studier.</w:t>
      </w:r>
    </w:p>
    <w:p w14:paraId="55F12619" w14:textId="3576534A" w:rsidR="00C52491" w:rsidRPr="00E02C47" w:rsidRDefault="00C52491" w:rsidP="00E02C47">
      <w:pPr>
        <w:tabs>
          <w:tab w:val="left" w:pos="284"/>
        </w:tabs>
        <w:ind w:left="709" w:hanging="709"/>
        <w:rPr>
          <w:sz w:val="24"/>
          <w:szCs w:val="24"/>
        </w:rPr>
      </w:pPr>
      <w:r w:rsidRPr="00E02C47">
        <w:rPr>
          <w:sz w:val="24"/>
          <w:szCs w:val="24"/>
          <w:lang w:bidi="da-DK"/>
        </w:rPr>
        <w:t xml:space="preserve">** </w:t>
      </w:r>
      <w:r w:rsidRPr="00E02C47">
        <w:rPr>
          <w:sz w:val="24"/>
          <w:szCs w:val="24"/>
          <w:lang w:bidi="da-DK"/>
        </w:rPr>
        <w:tab/>
        <w:t>Der er efter markedsføring indberettet PML og kryptokokinfektioner, herunder tilfælde af kryptokokmeningitis (se pkt. 4.4).</w:t>
      </w:r>
    </w:p>
    <w:p w14:paraId="1F4F7469" w14:textId="77777777" w:rsidR="00C52491" w:rsidRPr="00E02C47" w:rsidRDefault="00C52491" w:rsidP="00E02C47">
      <w:pPr>
        <w:tabs>
          <w:tab w:val="left" w:pos="284"/>
        </w:tabs>
        <w:ind w:left="709" w:hanging="709"/>
        <w:rPr>
          <w:sz w:val="24"/>
          <w:szCs w:val="24"/>
          <w:lang w:val="it-IT"/>
        </w:rPr>
      </w:pPr>
      <w:r w:rsidRPr="00E02C47">
        <w:rPr>
          <w:sz w:val="24"/>
          <w:szCs w:val="24"/>
          <w:lang w:bidi="da-DK"/>
        </w:rPr>
        <w:t xml:space="preserve">*** </w:t>
      </w:r>
      <w:r w:rsidRPr="00E02C47">
        <w:rPr>
          <w:sz w:val="24"/>
          <w:szCs w:val="24"/>
          <w:lang w:bidi="da-DK"/>
        </w:rPr>
        <w:tab/>
        <w:t>Bivirkninger fra spontane indberetninger og litteraturen.</w:t>
      </w:r>
    </w:p>
    <w:p w14:paraId="4631A621" w14:textId="77777777" w:rsidR="00C52491" w:rsidRPr="00E02C47" w:rsidRDefault="00C52491" w:rsidP="00E02C47">
      <w:pPr>
        <w:tabs>
          <w:tab w:val="left" w:pos="284"/>
        </w:tabs>
        <w:ind w:left="709" w:hanging="709"/>
        <w:rPr>
          <w:sz w:val="24"/>
          <w:szCs w:val="24"/>
          <w:lang w:val="it-IT"/>
        </w:rPr>
      </w:pPr>
      <w:r w:rsidRPr="00E02C47">
        <w:rPr>
          <w:sz w:val="24"/>
          <w:szCs w:val="24"/>
          <w:lang w:bidi="da-DK"/>
        </w:rPr>
        <w:t xml:space="preserve">**** </w:t>
      </w:r>
      <w:r w:rsidRPr="00E02C47">
        <w:rPr>
          <w:sz w:val="24"/>
          <w:szCs w:val="24"/>
          <w:lang w:bidi="da-DK"/>
        </w:rPr>
        <w:tab/>
        <w:t>Frekvenskategori og risikovurdering blev baseret på en estimeret behandling af mere end 24.000 patienter med fingolimod 0,5 mg i de kliniske studier.</w:t>
      </w:r>
    </w:p>
    <w:p w14:paraId="79BF0C7D" w14:textId="77777777" w:rsidR="00C52491" w:rsidRPr="00E02C47" w:rsidRDefault="00C52491" w:rsidP="00C52491">
      <w:pPr>
        <w:rPr>
          <w:sz w:val="24"/>
          <w:szCs w:val="24"/>
          <w:u w:val="single"/>
          <w:lang w:val="it-IT"/>
        </w:rPr>
      </w:pPr>
    </w:p>
    <w:p w14:paraId="314F02B5" w14:textId="77777777" w:rsidR="00C52491" w:rsidRPr="00085272" w:rsidRDefault="00C52491" w:rsidP="00E02C47">
      <w:pPr>
        <w:ind w:left="851"/>
        <w:rPr>
          <w:sz w:val="24"/>
          <w:szCs w:val="24"/>
          <w:u w:val="single"/>
          <w:lang w:val="it-IT"/>
        </w:rPr>
      </w:pPr>
      <w:r w:rsidRPr="00085272">
        <w:rPr>
          <w:sz w:val="24"/>
          <w:szCs w:val="24"/>
          <w:u w:val="single"/>
          <w:lang w:bidi="da-DK"/>
        </w:rPr>
        <w:t>Beskrivelse af udvalgte bivirkninger</w:t>
      </w:r>
    </w:p>
    <w:p w14:paraId="3F27B7CA" w14:textId="77777777" w:rsidR="00C52491" w:rsidRPr="00E02C47" w:rsidRDefault="00C52491" w:rsidP="00E02C47">
      <w:pPr>
        <w:ind w:left="851"/>
        <w:rPr>
          <w:i/>
          <w:sz w:val="24"/>
          <w:szCs w:val="24"/>
          <w:lang w:val="it-IT"/>
        </w:rPr>
      </w:pPr>
    </w:p>
    <w:p w14:paraId="71C298A5" w14:textId="77777777" w:rsidR="00C52491" w:rsidRPr="00085272" w:rsidRDefault="00C52491" w:rsidP="00E02C47">
      <w:pPr>
        <w:ind w:left="851"/>
        <w:rPr>
          <w:i/>
          <w:sz w:val="24"/>
          <w:szCs w:val="24"/>
          <w:u w:val="single"/>
          <w:lang w:val="it-IT"/>
        </w:rPr>
      </w:pPr>
      <w:r w:rsidRPr="00085272">
        <w:rPr>
          <w:i/>
          <w:sz w:val="24"/>
          <w:szCs w:val="24"/>
          <w:u w:val="single"/>
          <w:lang w:bidi="da-DK"/>
        </w:rPr>
        <w:t>Infektioner</w:t>
      </w:r>
    </w:p>
    <w:p w14:paraId="5166F118" w14:textId="77777777" w:rsidR="00C52491" w:rsidRPr="00E02C47" w:rsidRDefault="00C52491" w:rsidP="00E02C47">
      <w:pPr>
        <w:ind w:left="851"/>
        <w:rPr>
          <w:sz w:val="24"/>
          <w:szCs w:val="24"/>
        </w:rPr>
      </w:pPr>
      <w:r w:rsidRPr="00E02C47">
        <w:rPr>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fingolimod. Der er indberettet enkelte tilfælde af dissemineret herpesinfektion, inklusive tilfælde med dødelig udgang, selv ved 0,5 mg doseringen. </w:t>
      </w:r>
    </w:p>
    <w:p w14:paraId="753C08FF" w14:textId="77777777" w:rsidR="00C52491" w:rsidRPr="00E02C47" w:rsidRDefault="00C52491" w:rsidP="00E02C47">
      <w:pPr>
        <w:ind w:left="851"/>
        <w:rPr>
          <w:sz w:val="24"/>
          <w:szCs w:val="24"/>
        </w:rPr>
      </w:pPr>
      <w:r w:rsidRPr="00E02C47">
        <w:rPr>
          <w:sz w:val="24"/>
          <w:szCs w:val="24"/>
        </w:rPr>
        <w:t xml:space="preserve"> </w:t>
      </w:r>
    </w:p>
    <w:p w14:paraId="1B321254" w14:textId="56C677C0" w:rsidR="00C52491" w:rsidRPr="00E02C47" w:rsidRDefault="00C52491" w:rsidP="00E02C47">
      <w:pPr>
        <w:ind w:left="851"/>
        <w:rPr>
          <w:sz w:val="24"/>
          <w:szCs w:val="24"/>
        </w:rPr>
      </w:pPr>
      <w:r w:rsidRPr="00E02C47">
        <w:rPr>
          <w:sz w:val="24"/>
          <w:szCs w:val="24"/>
        </w:rPr>
        <w:t>Der er efter markedsføringen rapporteret tilfælde af infektioner med opportunistiske patogener som virale (</w:t>
      </w:r>
      <w:r w:rsidR="00263A54">
        <w:rPr>
          <w:sz w:val="24"/>
          <w:szCs w:val="24"/>
        </w:rPr>
        <w:t>f.eks.</w:t>
      </w:r>
      <w:r w:rsidRPr="00E02C47">
        <w:rPr>
          <w:sz w:val="24"/>
          <w:szCs w:val="24"/>
        </w:rPr>
        <w:t xml:space="preserve"> varicellazostervirus [VZV], John Cunningham virus [JCV] som medfører Progressiv Multifokal Leukoencefalopati, herpes simplex virus [HSV]), svampe (</w:t>
      </w:r>
      <w:r w:rsidR="00263A54">
        <w:rPr>
          <w:sz w:val="24"/>
          <w:szCs w:val="24"/>
        </w:rPr>
        <w:t>f.eks.</w:t>
      </w:r>
      <w:r w:rsidRPr="00E02C47">
        <w:rPr>
          <w:sz w:val="24"/>
          <w:szCs w:val="24"/>
        </w:rPr>
        <w:t xml:space="preserve"> kryptokokker inklusive kryptokokmeningitis) eller bakterielle (</w:t>
      </w:r>
      <w:r w:rsidR="00263A54">
        <w:rPr>
          <w:sz w:val="24"/>
          <w:szCs w:val="24"/>
        </w:rPr>
        <w:t>f.eks.</w:t>
      </w:r>
      <w:r w:rsidRPr="00E02C47">
        <w:rPr>
          <w:sz w:val="24"/>
          <w:szCs w:val="24"/>
        </w:rPr>
        <w:t xml:space="preserve"> atypisk mycobakterie), hvoraf nogle har været med dødelig udgang (se pkt. 4.4). </w:t>
      </w:r>
    </w:p>
    <w:p w14:paraId="6AF5E55F" w14:textId="77777777" w:rsidR="00C52491" w:rsidRPr="00E02C47" w:rsidRDefault="00C52491" w:rsidP="00E02C47">
      <w:pPr>
        <w:ind w:left="851"/>
        <w:rPr>
          <w:sz w:val="24"/>
          <w:szCs w:val="24"/>
        </w:rPr>
      </w:pPr>
      <w:r w:rsidRPr="00E02C47">
        <w:rPr>
          <w:sz w:val="24"/>
          <w:szCs w:val="24"/>
        </w:rPr>
        <w:t xml:space="preserve"> </w:t>
      </w:r>
    </w:p>
    <w:p w14:paraId="766D6AF0" w14:textId="77777777" w:rsidR="00C52491" w:rsidRPr="00E02C47" w:rsidRDefault="00C52491" w:rsidP="00E02C47">
      <w:pPr>
        <w:ind w:left="851"/>
        <w:rPr>
          <w:sz w:val="24"/>
          <w:szCs w:val="24"/>
        </w:rPr>
      </w:pPr>
      <w:r w:rsidRPr="00E02C47">
        <w:rPr>
          <w:sz w:val="24"/>
          <w:szCs w:val="24"/>
        </w:rPr>
        <w:t xml:space="preserve">Efter markedsføring er der rapporteret tilfælde af human papilloma virus (HPV) infektion, herunder papillom, dysplasi, vorter og HPV-relateret kræft, under behandling med fingolimod (se pkt. 4.4). HPV-vaccination, under hensyntagen til retningslinjerne for vaccination, bør overvejes inden initiering af behandling på grund af fingolimods </w:t>
      </w:r>
      <w:r w:rsidRPr="00E02C47">
        <w:rPr>
          <w:sz w:val="24"/>
          <w:szCs w:val="24"/>
        </w:rPr>
        <w:lastRenderedPageBreak/>
        <w:t xml:space="preserve">immunsuppressive egenskaber. Kræft-screening, herunder Paptest, anbefales efter gældende standarder. </w:t>
      </w:r>
    </w:p>
    <w:p w14:paraId="5EAC7C16" w14:textId="77777777" w:rsidR="00C52491" w:rsidRPr="00E02C47" w:rsidRDefault="00C52491" w:rsidP="00E02C47">
      <w:pPr>
        <w:ind w:left="851"/>
        <w:rPr>
          <w:sz w:val="24"/>
          <w:szCs w:val="24"/>
        </w:rPr>
      </w:pPr>
    </w:p>
    <w:p w14:paraId="1A213E6C" w14:textId="77777777" w:rsidR="00C52491" w:rsidRPr="00085272" w:rsidRDefault="00C52491" w:rsidP="00E02C47">
      <w:pPr>
        <w:ind w:left="851"/>
        <w:rPr>
          <w:i/>
          <w:sz w:val="24"/>
          <w:szCs w:val="24"/>
          <w:u w:val="single"/>
        </w:rPr>
      </w:pPr>
      <w:r w:rsidRPr="00085272">
        <w:rPr>
          <w:i/>
          <w:sz w:val="24"/>
          <w:szCs w:val="24"/>
          <w:u w:val="single"/>
          <w:lang w:bidi="da-DK"/>
        </w:rPr>
        <w:t>Makulaødem</w:t>
      </w:r>
    </w:p>
    <w:p w14:paraId="08647454" w14:textId="77777777" w:rsidR="00C52491" w:rsidRPr="00E02C47" w:rsidRDefault="00C52491" w:rsidP="00E02C47">
      <w:pPr>
        <w:ind w:left="851"/>
        <w:rPr>
          <w:sz w:val="24"/>
          <w:szCs w:val="24"/>
        </w:rPr>
      </w:pPr>
      <w:r w:rsidRPr="00E02C47">
        <w:rPr>
          <w:sz w:val="24"/>
          <w:szCs w:val="24"/>
        </w:rPr>
        <w:t xml:space="preserve">I </w:t>
      </w:r>
      <w:proofErr w:type="gramStart"/>
      <w:r w:rsidRPr="00E02C47">
        <w:rPr>
          <w:sz w:val="24"/>
          <w:szCs w:val="24"/>
        </w:rPr>
        <w:t>multipel</w:t>
      </w:r>
      <w:proofErr w:type="gramEnd"/>
      <w:r w:rsidRPr="00E02C47">
        <w:rPr>
          <w:sz w:val="24"/>
          <w:szCs w:val="24"/>
        </w:rPr>
        <w:t xml:space="preserve"> sklerose-studier er makulaødem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makulære ødem eller det helbredtes spontant efter seponering af behandling. Risikoen for tilbagefald efter genprovokation er ikke vurderet. </w:t>
      </w:r>
    </w:p>
    <w:p w14:paraId="10CF6BBF" w14:textId="62AEB56A" w:rsidR="00C52491" w:rsidRPr="00E02C47" w:rsidRDefault="00C52491" w:rsidP="00E02C47">
      <w:pPr>
        <w:ind w:left="851"/>
        <w:rPr>
          <w:sz w:val="24"/>
          <w:szCs w:val="24"/>
        </w:rPr>
      </w:pPr>
    </w:p>
    <w:p w14:paraId="00653ED4" w14:textId="77777777" w:rsidR="00C52491" w:rsidRPr="00E02C47" w:rsidRDefault="00C52491" w:rsidP="00E02C47">
      <w:pPr>
        <w:ind w:left="851"/>
        <w:rPr>
          <w:sz w:val="24"/>
          <w:szCs w:val="24"/>
        </w:rPr>
      </w:pPr>
      <w:r w:rsidRPr="00E02C47">
        <w:rPr>
          <w:sz w:val="24"/>
          <w:szCs w:val="24"/>
        </w:rPr>
        <w:t xml:space="preserve">Forekomsten af makulaødem stiger hos patienter med multipel sklerose, som har haft uveitis (17 % ved tidligere uveitis mod 0,5 % uden tidligere uveitis). Fingolimod har ikke været undersøgt hos patienter med både multipel sklerose og diabetes mellitus, en sygdom som er forbundet med en øget risiko for maculært ødem (se pkt. 4.4). I studier vedrørende nyretransplantation, hvori patienter med diabetes mellitus indgik, medførte behandling med fingolimod 2,5 mg og 5 mg en fordobling af forekomsten af makulaødem. </w:t>
      </w:r>
    </w:p>
    <w:p w14:paraId="47280695" w14:textId="77777777" w:rsidR="00C52491" w:rsidRPr="00E02C47" w:rsidRDefault="00C52491" w:rsidP="00E02C47">
      <w:pPr>
        <w:ind w:left="851"/>
        <w:rPr>
          <w:sz w:val="24"/>
          <w:szCs w:val="24"/>
        </w:rPr>
      </w:pPr>
    </w:p>
    <w:p w14:paraId="65916B7A" w14:textId="77777777" w:rsidR="00C52491" w:rsidRPr="00085272" w:rsidRDefault="00C52491" w:rsidP="00E02C47">
      <w:pPr>
        <w:ind w:left="851"/>
        <w:rPr>
          <w:i/>
          <w:sz w:val="24"/>
          <w:szCs w:val="24"/>
          <w:u w:val="single"/>
        </w:rPr>
      </w:pPr>
      <w:r w:rsidRPr="00085272">
        <w:rPr>
          <w:i/>
          <w:sz w:val="24"/>
          <w:szCs w:val="24"/>
          <w:u w:val="single"/>
          <w:lang w:bidi="da-DK"/>
        </w:rPr>
        <w:t>Bradyarytmi</w:t>
      </w:r>
    </w:p>
    <w:p w14:paraId="16D51E62" w14:textId="77777777" w:rsidR="00C52491" w:rsidRPr="00E02C47" w:rsidRDefault="00C52491" w:rsidP="00E02C47">
      <w:pPr>
        <w:ind w:left="851"/>
        <w:rPr>
          <w:sz w:val="24"/>
          <w:szCs w:val="24"/>
        </w:rPr>
      </w:pPr>
      <w:r w:rsidRPr="00E02C47">
        <w:rPr>
          <w:sz w:val="24"/>
          <w:szCs w:val="24"/>
        </w:rPr>
        <w:t xml:space="preserve">Når behandling initieres, sker der en forbigående nedsættelse af hjertefrekvensen og måske også forsinkelse af den atrioventrikulære impulsoverledning. I kliniske </w:t>
      </w:r>
      <w:proofErr w:type="gramStart"/>
      <w:r w:rsidRPr="00E02C47">
        <w:rPr>
          <w:sz w:val="24"/>
          <w:szCs w:val="24"/>
        </w:rPr>
        <w:t>multipel</w:t>
      </w:r>
      <w:proofErr w:type="gramEnd"/>
      <w:r w:rsidRPr="00E02C47">
        <w:rPr>
          <w:sz w:val="24"/>
          <w:szCs w:val="24"/>
        </w:rPr>
        <w:t xml:space="preserve"> sklerosestudier er det maksimale fald i hjertefrekvensen set inden for 6 timer efter initiering af behandlingen med et fald i middelhjertefrekvensen på 12-13 slag i minuttet for fingolimod 0,5 mg. Hjertefrekvens under 40 slag i minuttet hos voksne, og under 50 slag i minuttet hos pædiatriske patienter, er sjældent observeret hos patienter, som får fingolimod 0,5 mg. Den gennemsnitlige hjertefrekvens vendte tilbage mod udgangsværdien i løbet af en måned ved vedvarende behandling. Bradykardi har generelt været asymptomatisk, men nogle patienter har oplevet milde til moderate symptomer, herunder hypotension, svimmelhed, træthed og/eller palpitationer, som gik over i løbet af de første 24 timer efter initiering af behandling (se også pkt. 4.4 og 5.1). </w:t>
      </w:r>
    </w:p>
    <w:p w14:paraId="08FB6122" w14:textId="77777777" w:rsidR="00C52491" w:rsidRPr="00E02C47" w:rsidRDefault="00C52491" w:rsidP="00E02C47">
      <w:pPr>
        <w:ind w:left="851"/>
        <w:rPr>
          <w:sz w:val="24"/>
          <w:szCs w:val="24"/>
        </w:rPr>
      </w:pPr>
      <w:r w:rsidRPr="00E02C47">
        <w:rPr>
          <w:sz w:val="24"/>
          <w:szCs w:val="24"/>
        </w:rPr>
        <w:t xml:space="preserve"> </w:t>
      </w:r>
    </w:p>
    <w:p w14:paraId="2ECA0C6D" w14:textId="36F4FCD3" w:rsidR="00C52491" w:rsidRPr="00E02C47" w:rsidRDefault="00C52491" w:rsidP="00E02C47">
      <w:pPr>
        <w:ind w:left="851"/>
        <w:rPr>
          <w:sz w:val="24"/>
          <w:szCs w:val="24"/>
        </w:rPr>
      </w:pPr>
      <w:r w:rsidRPr="00E02C47">
        <w:rPr>
          <w:sz w:val="24"/>
          <w:szCs w:val="24"/>
        </w:rPr>
        <w:t xml:space="preserve">I kliniske </w:t>
      </w:r>
      <w:proofErr w:type="gramStart"/>
      <w:r w:rsidRPr="00E02C47">
        <w:rPr>
          <w:sz w:val="24"/>
          <w:szCs w:val="24"/>
        </w:rPr>
        <w:t>multipel</w:t>
      </w:r>
      <w:proofErr w:type="gramEnd"/>
      <w:r w:rsidRPr="00E02C47">
        <w:rPr>
          <w:sz w:val="24"/>
          <w:szCs w:val="24"/>
        </w:rPr>
        <w:t xml:space="preserve"> sklerosestudier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w:t>
      </w:r>
      <w:r w:rsidR="000814D6">
        <w:rPr>
          <w:sz w:val="24"/>
          <w:szCs w:val="24"/>
        </w:rPr>
        <w:t> </w:t>
      </w:r>
      <w:r w:rsidRPr="00E02C47">
        <w:rPr>
          <w:sz w:val="24"/>
          <w:szCs w:val="24"/>
        </w:rPr>
        <w:t xml:space="preserve">% af de voksne patienter, der fik fingolimod 0,5 mg. Efter markedsføringen er der set enkeltstående tilfælde af forbigående, spontant ophørende komplet AV-blok i løbet af den seks timers monitoreringsperiode efter første fingolimoddosis.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fingolimod 0,5 mg, isoprenalin for asymptomatisk Mobitz I atrioventrikulært blok af 2. grad. </w:t>
      </w:r>
    </w:p>
    <w:p w14:paraId="184B787C" w14:textId="63728CDB" w:rsidR="00C52491" w:rsidRPr="00E02C47" w:rsidRDefault="00C52491" w:rsidP="00E02C47">
      <w:pPr>
        <w:ind w:left="851"/>
        <w:rPr>
          <w:sz w:val="24"/>
          <w:szCs w:val="24"/>
        </w:rPr>
      </w:pPr>
    </w:p>
    <w:p w14:paraId="2259DA15" w14:textId="77777777" w:rsidR="00C52491" w:rsidRPr="00E02C47" w:rsidRDefault="00C52491" w:rsidP="00E02C47">
      <w:pPr>
        <w:ind w:left="851"/>
        <w:rPr>
          <w:sz w:val="24"/>
          <w:szCs w:val="24"/>
        </w:rPr>
      </w:pPr>
      <w:r w:rsidRPr="00E02C47">
        <w:rPr>
          <w:sz w:val="24"/>
          <w:szCs w:val="24"/>
        </w:rPr>
        <w:t xml:space="preserve">Efter markedsføringen er der set enkeltstående tilfælde med forsinket opståen, inklusive forbigående asystoli og uforklarlig død, inden for 24 timer efter den første dosis. Disse tilfælde er set ved samtidig medicinering med andre lægemidler og/eller forudeksisterende sygdom. Sammenhængen mellem fingolimod og disse hændelser er usikker. </w:t>
      </w:r>
    </w:p>
    <w:p w14:paraId="6C101179" w14:textId="77777777" w:rsidR="00C52491" w:rsidRPr="00E02C47" w:rsidRDefault="00C52491" w:rsidP="00E02C47">
      <w:pPr>
        <w:ind w:left="851"/>
        <w:rPr>
          <w:sz w:val="24"/>
          <w:szCs w:val="24"/>
        </w:rPr>
      </w:pPr>
    </w:p>
    <w:p w14:paraId="3F7B317D" w14:textId="77777777" w:rsidR="00C52491" w:rsidRPr="00085272" w:rsidRDefault="00C52491" w:rsidP="00E02C47">
      <w:pPr>
        <w:ind w:left="851"/>
        <w:rPr>
          <w:i/>
          <w:sz w:val="24"/>
          <w:szCs w:val="24"/>
          <w:u w:val="single"/>
        </w:rPr>
      </w:pPr>
      <w:r w:rsidRPr="00085272">
        <w:rPr>
          <w:i/>
          <w:sz w:val="24"/>
          <w:szCs w:val="24"/>
          <w:u w:val="single"/>
          <w:lang w:bidi="da-DK"/>
        </w:rPr>
        <w:t>Blodtryk</w:t>
      </w:r>
    </w:p>
    <w:p w14:paraId="74265CDA" w14:textId="189A9FA9" w:rsidR="00C52491" w:rsidRPr="00E02C47" w:rsidRDefault="00C52491" w:rsidP="00E02C47">
      <w:pPr>
        <w:ind w:left="851"/>
        <w:rPr>
          <w:sz w:val="24"/>
          <w:szCs w:val="24"/>
        </w:rPr>
      </w:pPr>
      <w:r w:rsidRPr="00E02C47">
        <w:rPr>
          <w:sz w:val="24"/>
          <w:szCs w:val="24"/>
        </w:rPr>
        <w:t xml:space="preserve">I kliniske </w:t>
      </w:r>
      <w:proofErr w:type="gramStart"/>
      <w:r w:rsidRPr="00E02C47">
        <w:rPr>
          <w:sz w:val="24"/>
          <w:szCs w:val="24"/>
        </w:rPr>
        <w:t>multipel</w:t>
      </w:r>
      <w:proofErr w:type="gramEnd"/>
      <w:r w:rsidRPr="00E02C47">
        <w:rPr>
          <w:sz w:val="24"/>
          <w:szCs w:val="24"/>
        </w:rPr>
        <w:t xml:space="preserve"> sklerosestudier har fingolimod 0,5 mg været forbundet med en gennemsnitlig stigning på omkring 3 mmHg i systolisk tryk og omkring 1 mmHg i diastolisk tryk, som manifesterede sig omkring 1 måned efter initiering af behandling. Denne stigning persisterede under fortsat behandling. Hypertension rapporteredes hos 6,5</w:t>
      </w:r>
      <w:r w:rsidR="000814D6">
        <w:rPr>
          <w:sz w:val="24"/>
          <w:szCs w:val="24"/>
        </w:rPr>
        <w:t> </w:t>
      </w:r>
      <w:r w:rsidRPr="00E02C47">
        <w:rPr>
          <w:sz w:val="24"/>
          <w:szCs w:val="24"/>
        </w:rPr>
        <w:t xml:space="preserve">% af de patienter, der fik fingolimod 0,5 mg, og hos 3,3 % af placebo-patienterne. Efter markedsføring er der rapporteret tilfælde af hypertension, som kan kræve antihypertensiv behandling eller seponering af fingolimod, inden for den første måned efter behandlingsstart og på den første behandlingsdag (se også pkt. 4.4. Virkning på blodtrykket). </w:t>
      </w:r>
    </w:p>
    <w:p w14:paraId="7EC50C3B" w14:textId="77777777" w:rsidR="00C52491" w:rsidRPr="00E02C47" w:rsidRDefault="00C52491" w:rsidP="00E02C47">
      <w:pPr>
        <w:ind w:left="851"/>
        <w:rPr>
          <w:sz w:val="24"/>
          <w:szCs w:val="24"/>
        </w:rPr>
      </w:pPr>
    </w:p>
    <w:p w14:paraId="68732925" w14:textId="77777777" w:rsidR="00C52491" w:rsidRPr="00085272" w:rsidRDefault="00C52491" w:rsidP="00E02C47">
      <w:pPr>
        <w:ind w:left="851"/>
        <w:rPr>
          <w:i/>
          <w:sz w:val="24"/>
          <w:szCs w:val="24"/>
          <w:u w:val="single"/>
        </w:rPr>
      </w:pPr>
      <w:r w:rsidRPr="00085272">
        <w:rPr>
          <w:i/>
          <w:sz w:val="24"/>
          <w:szCs w:val="24"/>
          <w:u w:val="single"/>
          <w:lang w:bidi="da-DK"/>
        </w:rPr>
        <w:t>Leverfunktion</w:t>
      </w:r>
    </w:p>
    <w:p w14:paraId="24FE5812" w14:textId="77777777" w:rsidR="00C52491" w:rsidRPr="00E02C47" w:rsidRDefault="00C52491" w:rsidP="00E02C47">
      <w:pPr>
        <w:ind w:left="851"/>
        <w:rPr>
          <w:sz w:val="24"/>
          <w:szCs w:val="24"/>
        </w:rPr>
      </w:pPr>
      <w:r w:rsidRPr="00E02C47">
        <w:rPr>
          <w:sz w:val="24"/>
          <w:szCs w:val="24"/>
        </w:rPr>
        <w:t xml:space="preserve">Der er rapporteret forhøjede leverenzymer hos voksne og pædiatriske </w:t>
      </w:r>
      <w:proofErr w:type="gramStart"/>
      <w:r w:rsidRPr="00E02C47">
        <w:rPr>
          <w:sz w:val="24"/>
          <w:szCs w:val="24"/>
        </w:rPr>
        <w:t>multipel</w:t>
      </w:r>
      <w:proofErr w:type="gramEnd"/>
      <w:r w:rsidRPr="00E02C47">
        <w:rPr>
          <w:sz w:val="24"/>
          <w:szCs w:val="24"/>
        </w:rPr>
        <w:t xml:space="preserve"> sklerosepatienter i behandling med fingolimod. I kliniske studier har 8,0 % og 1,8 % af de voksne patienter, der blev behandlet med fingolimod 0,5 mg, oplevet en asymptomatisk stigning i serum-ALAT til henholdsvis ≥3 x ULN (</w:t>
      </w:r>
      <w:r w:rsidRPr="00E02C47">
        <w:rPr>
          <w:i/>
          <w:sz w:val="24"/>
          <w:szCs w:val="24"/>
        </w:rPr>
        <w:t>upper limit of normal</w:t>
      </w:r>
      <w:r w:rsidRPr="00E02C47">
        <w:rPr>
          <w:sz w:val="24"/>
          <w:szCs w:val="24"/>
        </w:rPr>
        <w:t xml:space="preserve">) og ≥5 x ULN. Forhøjelse af leveraminotransferaser forekom igen ved genoptagelse af behandlingen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ALAT-forhøjelser ≥5xULN, og som fortsatte med fingolimod-behandlingen, vendte ALAT-niveauerne tilbage til det normale inden for cirka 5 måneder (se også pkt. 4.4. Leverfunktion). </w:t>
      </w:r>
    </w:p>
    <w:p w14:paraId="4C856608" w14:textId="77777777" w:rsidR="00C52491" w:rsidRPr="00E02C47" w:rsidRDefault="00C52491" w:rsidP="00E02C47">
      <w:pPr>
        <w:ind w:left="851"/>
        <w:rPr>
          <w:sz w:val="24"/>
          <w:szCs w:val="24"/>
        </w:rPr>
      </w:pPr>
    </w:p>
    <w:p w14:paraId="34A8234A" w14:textId="77777777" w:rsidR="00C52491" w:rsidRPr="00085272" w:rsidRDefault="00C52491" w:rsidP="00E02C47">
      <w:pPr>
        <w:ind w:left="851"/>
        <w:rPr>
          <w:i/>
          <w:sz w:val="24"/>
          <w:szCs w:val="24"/>
          <w:u w:val="single"/>
        </w:rPr>
      </w:pPr>
      <w:r w:rsidRPr="00085272">
        <w:rPr>
          <w:i/>
          <w:sz w:val="24"/>
          <w:szCs w:val="24"/>
          <w:u w:val="single"/>
          <w:lang w:bidi="da-DK"/>
        </w:rPr>
        <w:t>Nervesystemet</w:t>
      </w:r>
    </w:p>
    <w:p w14:paraId="315E9451" w14:textId="77777777" w:rsidR="00C52491" w:rsidRPr="00E02C47" w:rsidRDefault="00C52491" w:rsidP="00E02C47">
      <w:pPr>
        <w:ind w:left="851"/>
        <w:rPr>
          <w:sz w:val="24"/>
          <w:szCs w:val="24"/>
        </w:rPr>
      </w:pPr>
      <w:r w:rsidRPr="00E02C47">
        <w:rPr>
          <w:sz w:val="24"/>
          <w:szCs w:val="24"/>
        </w:rPr>
        <w:t xml:space="preserve">I kliniske studier blev der i sjældne tilfælde set påvirkning af nervesystemet hos patienter, der fik fingolimod i højere doser (1,25 eller 5,0 mg), herunder iskæmisk og hæmoragisk apopleksi, og atypiske neurologiske tilstande såsom akut dissemineret encefalomyelitis (ADEM)-lignende tilfælde. </w:t>
      </w:r>
    </w:p>
    <w:p w14:paraId="146CB761" w14:textId="77777777" w:rsidR="00C52491" w:rsidRPr="00E02C47" w:rsidRDefault="00C52491" w:rsidP="00E02C47">
      <w:pPr>
        <w:ind w:left="851"/>
        <w:rPr>
          <w:sz w:val="24"/>
          <w:szCs w:val="24"/>
        </w:rPr>
      </w:pPr>
      <w:r w:rsidRPr="00E02C47">
        <w:rPr>
          <w:sz w:val="24"/>
          <w:szCs w:val="24"/>
        </w:rPr>
        <w:t xml:space="preserve"> </w:t>
      </w:r>
    </w:p>
    <w:p w14:paraId="29C3B073" w14:textId="77777777" w:rsidR="00C52491" w:rsidRPr="00E02C47" w:rsidRDefault="00C52491" w:rsidP="00E02C47">
      <w:pPr>
        <w:ind w:left="851"/>
        <w:rPr>
          <w:sz w:val="24"/>
          <w:szCs w:val="24"/>
        </w:rPr>
      </w:pPr>
      <w:r w:rsidRPr="00E02C47">
        <w:rPr>
          <w:sz w:val="24"/>
          <w:szCs w:val="24"/>
        </w:rPr>
        <w:t xml:space="preserve">Der er rapporteret tilfælde af krampeanfald, herunder status epilepticus, i forbindelse med brug af fingolimod i kliniske studier og efter markedsføring. </w:t>
      </w:r>
    </w:p>
    <w:p w14:paraId="5354E5B2" w14:textId="77777777" w:rsidR="00C52491" w:rsidRPr="00E02C47" w:rsidRDefault="00C52491" w:rsidP="00E02C47">
      <w:pPr>
        <w:ind w:left="851"/>
        <w:rPr>
          <w:sz w:val="24"/>
          <w:szCs w:val="24"/>
        </w:rPr>
      </w:pPr>
    </w:p>
    <w:p w14:paraId="7AFCC729" w14:textId="77777777" w:rsidR="00C52491" w:rsidRPr="00085272" w:rsidRDefault="00C52491" w:rsidP="00E02C47">
      <w:pPr>
        <w:ind w:left="851"/>
        <w:rPr>
          <w:i/>
          <w:sz w:val="24"/>
          <w:szCs w:val="24"/>
          <w:u w:val="single"/>
        </w:rPr>
      </w:pPr>
      <w:r w:rsidRPr="00085272">
        <w:rPr>
          <w:i/>
          <w:sz w:val="24"/>
          <w:szCs w:val="24"/>
          <w:u w:val="single"/>
          <w:lang w:bidi="da-DK"/>
        </w:rPr>
        <w:t>Vaskulære tilstande</w:t>
      </w:r>
    </w:p>
    <w:p w14:paraId="4E716681" w14:textId="77777777" w:rsidR="00C52491" w:rsidRPr="00E02C47" w:rsidRDefault="00C52491" w:rsidP="00E02C47">
      <w:pPr>
        <w:ind w:left="851"/>
        <w:rPr>
          <w:sz w:val="24"/>
          <w:szCs w:val="24"/>
        </w:rPr>
      </w:pPr>
      <w:r w:rsidRPr="00E02C47">
        <w:rPr>
          <w:sz w:val="24"/>
          <w:szCs w:val="24"/>
        </w:rPr>
        <w:t xml:space="preserve">Der forekom sjældne tilfælde af perifer arteriel okklusion hos patienter, som blev behandlet med fingolimod i højere doser (1,25 mg). </w:t>
      </w:r>
    </w:p>
    <w:p w14:paraId="6F765161" w14:textId="77777777" w:rsidR="00C52491" w:rsidRPr="00E02C47" w:rsidRDefault="00C52491" w:rsidP="00E02C47">
      <w:pPr>
        <w:ind w:left="851"/>
        <w:rPr>
          <w:sz w:val="24"/>
          <w:szCs w:val="24"/>
        </w:rPr>
      </w:pPr>
    </w:p>
    <w:p w14:paraId="291CF35F" w14:textId="77777777" w:rsidR="00C52491" w:rsidRPr="00085272" w:rsidRDefault="00C52491" w:rsidP="00E02C47">
      <w:pPr>
        <w:ind w:left="851"/>
        <w:rPr>
          <w:i/>
          <w:sz w:val="24"/>
          <w:szCs w:val="24"/>
          <w:u w:val="single"/>
        </w:rPr>
      </w:pPr>
      <w:r w:rsidRPr="00085272">
        <w:rPr>
          <w:i/>
          <w:sz w:val="24"/>
          <w:szCs w:val="24"/>
          <w:u w:val="single"/>
          <w:lang w:bidi="da-DK"/>
        </w:rPr>
        <w:t>Luftveje</w:t>
      </w:r>
    </w:p>
    <w:p w14:paraId="699142D2" w14:textId="3C92963C" w:rsidR="00C52491" w:rsidRPr="00E02C47" w:rsidRDefault="00C52491" w:rsidP="00E02C47">
      <w:pPr>
        <w:ind w:left="851"/>
        <w:rPr>
          <w:sz w:val="24"/>
          <w:szCs w:val="24"/>
        </w:rPr>
      </w:pPr>
      <w:r w:rsidRPr="00E02C47">
        <w:rPr>
          <w:sz w:val="24"/>
          <w:szCs w:val="24"/>
        </w:rPr>
        <w:t>Mindre, dosisafhængige reduktioner af værdierne for forceret eksspiratorisk volumen i 1 sekund (FEV</w:t>
      </w:r>
      <w:r w:rsidRPr="00E02C47">
        <w:rPr>
          <w:sz w:val="24"/>
          <w:szCs w:val="24"/>
          <w:vertAlign w:val="subscript"/>
        </w:rPr>
        <w:t>1</w:t>
      </w:r>
      <w:r w:rsidRPr="00E02C47">
        <w:rPr>
          <w:sz w:val="24"/>
          <w:szCs w:val="24"/>
        </w:rPr>
        <w:t>) og lungediffusionskapacitet for carbonmonoxid (DLCO) er observeret ved behandling med fingolimod startende ved måned 1 og derefter var stabile. Ved måned 24 var reduktionen i forhold til udgangsværdierne, målt i procent af forventet FEV</w:t>
      </w:r>
      <w:r w:rsidRPr="00E02C47">
        <w:rPr>
          <w:sz w:val="24"/>
          <w:szCs w:val="24"/>
          <w:vertAlign w:val="subscript"/>
        </w:rPr>
        <w:t>1,</w:t>
      </w:r>
      <w:r w:rsidRPr="00E02C47">
        <w:rPr>
          <w:sz w:val="24"/>
          <w:szCs w:val="24"/>
        </w:rPr>
        <w:t xml:space="preserve"> 2,7 % for fingolimod 0,5 mg and 1,2 % for placebo, en forskel, der forsvandt, da behandling blev afbrudt. For DLCO's vedkommende var reduktionerne ved måned 24 3,3 % for fingolimod 0,5 mg og 2,7 % for placebo (se også pkt. 4.4, Virkning på respirationen). </w:t>
      </w:r>
    </w:p>
    <w:p w14:paraId="04BD4F47" w14:textId="77777777" w:rsidR="00C52491" w:rsidRPr="00E02C47" w:rsidRDefault="00C52491" w:rsidP="00E02C47">
      <w:pPr>
        <w:ind w:left="851"/>
        <w:rPr>
          <w:sz w:val="24"/>
          <w:szCs w:val="24"/>
        </w:rPr>
      </w:pPr>
    </w:p>
    <w:p w14:paraId="6D971A3A" w14:textId="77777777" w:rsidR="00C52491" w:rsidRPr="00085272" w:rsidRDefault="00C52491" w:rsidP="00E02C47">
      <w:pPr>
        <w:ind w:left="851"/>
        <w:rPr>
          <w:i/>
          <w:sz w:val="24"/>
          <w:szCs w:val="24"/>
          <w:u w:val="single"/>
        </w:rPr>
      </w:pPr>
      <w:r w:rsidRPr="00085272">
        <w:rPr>
          <w:i/>
          <w:sz w:val="24"/>
          <w:szCs w:val="24"/>
          <w:u w:val="single"/>
          <w:lang w:bidi="da-DK"/>
        </w:rPr>
        <w:t>Lymfomer</w:t>
      </w:r>
    </w:p>
    <w:p w14:paraId="58D60F31" w14:textId="77777777" w:rsidR="00C52491" w:rsidRPr="00E02C47" w:rsidRDefault="00C52491" w:rsidP="00E02C47">
      <w:pPr>
        <w:ind w:left="851"/>
        <w:rPr>
          <w:sz w:val="24"/>
          <w:szCs w:val="24"/>
        </w:rPr>
      </w:pPr>
      <w:r w:rsidRPr="00E02C47">
        <w:rPr>
          <w:sz w:val="24"/>
          <w:szCs w:val="24"/>
        </w:rPr>
        <w:t>Der er set tilfælde af lymfomer af forskellig art i både kliniske studier og efter markedsføring, inklusive et dødeligt tilfælde af Epstein-Barr virus (EBV)-positiv B-</w:t>
      </w:r>
      <w:r w:rsidRPr="00E02C47">
        <w:rPr>
          <w:sz w:val="24"/>
          <w:szCs w:val="24"/>
        </w:rPr>
        <w:lastRenderedPageBreak/>
        <w:t xml:space="preserve">cellelymfom. Forekomsten af nonHodgkin-lymfomer (B-celle og T-celle) var højere i kliniske studier i forhold til, hvad der forventes i den generelle population. </w:t>
      </w:r>
      <w:r w:rsidRPr="00E02C47">
        <w:rPr>
          <w:color w:val="222222"/>
          <w:sz w:val="24"/>
          <w:szCs w:val="24"/>
        </w:rPr>
        <w:t>Nogle tilfælde af T-cellelymfom blev også rapporteret efter markedsføring, herunder tilfælde af kutan T-cellelymfom (mycosis fungoides) (se også pkt. 4.4, Maligniteter).</w:t>
      </w:r>
      <w:r w:rsidRPr="00E02C47">
        <w:rPr>
          <w:sz w:val="24"/>
          <w:szCs w:val="24"/>
        </w:rPr>
        <w:t xml:space="preserve"> </w:t>
      </w:r>
    </w:p>
    <w:p w14:paraId="2711A8D6" w14:textId="77777777" w:rsidR="00C52491" w:rsidRPr="00E02C47" w:rsidRDefault="00C52491" w:rsidP="00E02C47">
      <w:pPr>
        <w:ind w:left="851"/>
        <w:rPr>
          <w:sz w:val="24"/>
          <w:szCs w:val="24"/>
        </w:rPr>
      </w:pPr>
    </w:p>
    <w:p w14:paraId="6B86F201" w14:textId="77777777" w:rsidR="00C52491" w:rsidRPr="00085272" w:rsidRDefault="00C52491" w:rsidP="00E02C47">
      <w:pPr>
        <w:ind w:left="851"/>
        <w:rPr>
          <w:i/>
          <w:sz w:val="24"/>
          <w:szCs w:val="24"/>
          <w:u w:val="single"/>
        </w:rPr>
      </w:pPr>
      <w:r w:rsidRPr="00085272">
        <w:rPr>
          <w:i/>
          <w:sz w:val="24"/>
          <w:szCs w:val="24"/>
          <w:u w:val="single"/>
          <w:lang w:bidi="da-DK"/>
        </w:rPr>
        <w:t>Hæmofagocytisk syndrom</w:t>
      </w:r>
    </w:p>
    <w:p w14:paraId="32FF0F85" w14:textId="77777777" w:rsidR="00C52491" w:rsidRPr="00E02C47" w:rsidRDefault="00C52491" w:rsidP="00E02C47">
      <w:pPr>
        <w:ind w:left="851"/>
        <w:rPr>
          <w:sz w:val="24"/>
          <w:szCs w:val="24"/>
        </w:rPr>
      </w:pPr>
      <w:r w:rsidRPr="00E02C47">
        <w:rPr>
          <w:sz w:val="24"/>
          <w:szCs w:val="24"/>
        </w:rPr>
        <w:t xml:space="preserve">Der er indberettet meget sjældne tilfælde af hæmofagocytotisk syndrom (HPS) med dødelig udgang hos fingolimod-behandlede patienter i forbindelse med en infektion. HPS er en sjælden tilstand, der har været beskrevet i forbindelse med infektioner, immunsuppression og forskellige autoimmune sygdomme. </w:t>
      </w:r>
    </w:p>
    <w:p w14:paraId="7E031E3B" w14:textId="77777777" w:rsidR="00C52491" w:rsidRPr="00E02C47" w:rsidRDefault="00C52491" w:rsidP="00E02C47">
      <w:pPr>
        <w:ind w:left="851"/>
        <w:rPr>
          <w:sz w:val="24"/>
          <w:szCs w:val="24"/>
        </w:rPr>
      </w:pPr>
    </w:p>
    <w:p w14:paraId="58ABB11F" w14:textId="77777777" w:rsidR="00C52491" w:rsidRPr="00085272" w:rsidRDefault="00C52491" w:rsidP="00E02C47">
      <w:pPr>
        <w:ind w:left="851"/>
        <w:rPr>
          <w:sz w:val="24"/>
          <w:szCs w:val="24"/>
          <w:u w:val="single"/>
        </w:rPr>
      </w:pPr>
      <w:r w:rsidRPr="00085272">
        <w:rPr>
          <w:sz w:val="24"/>
          <w:szCs w:val="24"/>
          <w:u w:val="single"/>
          <w:lang w:bidi="da-DK"/>
        </w:rPr>
        <w:t>Pædiatrisk population</w:t>
      </w:r>
    </w:p>
    <w:p w14:paraId="4DB6DD7C" w14:textId="77777777" w:rsidR="00C52491" w:rsidRPr="00E02C47" w:rsidRDefault="00C52491" w:rsidP="00E02C47">
      <w:pPr>
        <w:ind w:left="851"/>
        <w:rPr>
          <w:sz w:val="24"/>
          <w:szCs w:val="24"/>
        </w:rPr>
      </w:pPr>
      <w:r w:rsidRPr="00E02C47">
        <w:rPr>
          <w:sz w:val="24"/>
          <w:szCs w:val="24"/>
        </w:rPr>
        <w:t xml:space="preserve">I det kontrollerede pædiatriske studie D2311 (se pkt. 5.1) var sikkerhedsprofilen for pædiatriske patienter (i alderen 10 til under 18 år), som dagligt fik fingolimod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 </w:t>
      </w:r>
    </w:p>
    <w:p w14:paraId="7B5BB51C" w14:textId="5E9A4C1E" w:rsidR="00C52491" w:rsidRPr="00E02C47" w:rsidRDefault="00C52491" w:rsidP="00E02C47">
      <w:pPr>
        <w:ind w:left="851"/>
        <w:rPr>
          <w:sz w:val="24"/>
          <w:szCs w:val="24"/>
        </w:rPr>
      </w:pPr>
    </w:p>
    <w:p w14:paraId="083FF5ED" w14:textId="77777777" w:rsidR="00C52491" w:rsidRPr="00E02C47" w:rsidRDefault="00C52491" w:rsidP="00E02C47">
      <w:pPr>
        <w:ind w:left="851"/>
        <w:rPr>
          <w:sz w:val="24"/>
          <w:szCs w:val="24"/>
        </w:rPr>
      </w:pPr>
      <w:r w:rsidRPr="00E02C47">
        <w:rPr>
          <w:sz w:val="24"/>
          <w:szCs w:val="24"/>
        </w:rPr>
        <w:t xml:space="preserve">I det pædiatriske studie blev der indberettet tilfælde af krampeanfald hos 5,6 % af patienterne behandlet med fingolimod og 0,9 % af patienterne behandlet med inteferon beta-1a. </w:t>
      </w:r>
    </w:p>
    <w:p w14:paraId="18CA373A" w14:textId="6067104F" w:rsidR="00C52491" w:rsidRPr="00E02C47" w:rsidRDefault="00C52491" w:rsidP="00E02C47">
      <w:pPr>
        <w:ind w:left="851"/>
        <w:rPr>
          <w:sz w:val="24"/>
          <w:szCs w:val="24"/>
        </w:rPr>
      </w:pPr>
    </w:p>
    <w:p w14:paraId="20B57367" w14:textId="77777777" w:rsidR="00C52491" w:rsidRPr="00E02C47" w:rsidRDefault="00C52491" w:rsidP="00E02C47">
      <w:pPr>
        <w:ind w:left="851"/>
        <w:rPr>
          <w:sz w:val="24"/>
          <w:szCs w:val="24"/>
        </w:rPr>
      </w:pPr>
      <w:r w:rsidRPr="00E02C47">
        <w:rPr>
          <w:sz w:val="24"/>
          <w:szCs w:val="24"/>
        </w:rPr>
        <w:t xml:space="preserve">Det er kendt, at depression og angst forekommer med øget hyppighed hos patienter med multipel sklerose. Depression og angst er ligeledes indberettet hos pædiatriske patienter, som fik fingolimod. </w:t>
      </w:r>
    </w:p>
    <w:p w14:paraId="6C190D42" w14:textId="6CE998BD" w:rsidR="00C52491" w:rsidRPr="00E02C47" w:rsidRDefault="00C52491" w:rsidP="00E02C47">
      <w:pPr>
        <w:ind w:left="851"/>
        <w:rPr>
          <w:sz w:val="24"/>
          <w:szCs w:val="24"/>
        </w:rPr>
      </w:pPr>
    </w:p>
    <w:p w14:paraId="181E8AD3" w14:textId="77777777" w:rsidR="00C52491" w:rsidRPr="00E02C47" w:rsidRDefault="00C52491" w:rsidP="00E02C47">
      <w:pPr>
        <w:ind w:left="851"/>
        <w:rPr>
          <w:sz w:val="24"/>
          <w:szCs w:val="24"/>
        </w:rPr>
      </w:pPr>
      <w:r w:rsidRPr="00E02C47">
        <w:rPr>
          <w:sz w:val="24"/>
          <w:szCs w:val="24"/>
        </w:rPr>
        <w:t xml:space="preserve">Lette isolerede stigninger i bilirubin er blevet observeret hos pædiatriske patienter på fingolimod. </w:t>
      </w:r>
    </w:p>
    <w:p w14:paraId="66C07F37" w14:textId="77777777" w:rsidR="00C52491" w:rsidRPr="00E02C47" w:rsidRDefault="00C52491" w:rsidP="00E02C47">
      <w:pPr>
        <w:ind w:left="851"/>
        <w:rPr>
          <w:sz w:val="24"/>
          <w:szCs w:val="24"/>
        </w:rPr>
      </w:pPr>
    </w:p>
    <w:p w14:paraId="01DD5486" w14:textId="77777777" w:rsidR="00C52491" w:rsidRPr="00085272" w:rsidRDefault="00C52491" w:rsidP="00E02C47">
      <w:pPr>
        <w:ind w:left="851"/>
        <w:rPr>
          <w:sz w:val="24"/>
          <w:szCs w:val="24"/>
          <w:u w:val="single"/>
        </w:rPr>
      </w:pPr>
      <w:r w:rsidRPr="00085272">
        <w:rPr>
          <w:sz w:val="24"/>
          <w:szCs w:val="24"/>
          <w:u w:val="single"/>
          <w:lang w:bidi="da-DK"/>
        </w:rPr>
        <w:t>Indberetning af formodede bivirkninger</w:t>
      </w:r>
    </w:p>
    <w:p w14:paraId="23004F9B" w14:textId="77777777" w:rsidR="00C52491" w:rsidRPr="00E02C47" w:rsidRDefault="00C52491" w:rsidP="00E02C47">
      <w:pPr>
        <w:ind w:left="851"/>
        <w:rPr>
          <w:sz w:val="24"/>
          <w:szCs w:val="24"/>
          <w:lang w:bidi="da-DK"/>
        </w:rPr>
      </w:pPr>
      <w:r w:rsidRPr="00E02C47">
        <w:rPr>
          <w:sz w:val="24"/>
          <w:szCs w:val="24"/>
          <w:lang w:bidi="da-DK"/>
        </w:rPr>
        <w:t>Når lægemidlet er godkendt, er indberetning af formodede bivirkninger vigtig. Det muliggør løbende overvågning af benefit/risk-forholdet for lægemidlet. Sundhedspersoner anmodes om at indberette alle formodede bivirkninger via</w:t>
      </w:r>
    </w:p>
    <w:p w14:paraId="5DFAA641" w14:textId="77777777" w:rsidR="00C52491" w:rsidRPr="00E02C47" w:rsidRDefault="00C52491" w:rsidP="00E02C47">
      <w:pPr>
        <w:ind w:left="851"/>
        <w:rPr>
          <w:noProof/>
          <w:sz w:val="24"/>
          <w:szCs w:val="24"/>
        </w:rPr>
      </w:pPr>
    </w:p>
    <w:p w14:paraId="73C8FE40" w14:textId="77777777" w:rsidR="00C52491" w:rsidRPr="00E02C47" w:rsidRDefault="00C52491" w:rsidP="00E02C47">
      <w:pPr>
        <w:ind w:left="851"/>
        <w:rPr>
          <w:rFonts w:eastAsia="Calibri"/>
          <w:color w:val="000000"/>
          <w:sz w:val="24"/>
          <w:szCs w:val="24"/>
          <w:lang w:eastAsia="zh-CN"/>
        </w:rPr>
      </w:pPr>
      <w:r w:rsidRPr="00E02C47">
        <w:rPr>
          <w:sz w:val="24"/>
          <w:szCs w:val="24"/>
        </w:rPr>
        <w:t>Lægemiddelstyrelsen</w:t>
      </w:r>
    </w:p>
    <w:p w14:paraId="00CEDA03" w14:textId="77777777" w:rsidR="00C52491" w:rsidRPr="00E02C47" w:rsidRDefault="00C52491" w:rsidP="00E02C47">
      <w:pPr>
        <w:ind w:left="851"/>
        <w:rPr>
          <w:rFonts w:eastAsia="Calibri"/>
          <w:noProof/>
          <w:sz w:val="24"/>
          <w:szCs w:val="24"/>
          <w:lang w:eastAsia="zh-CN"/>
        </w:rPr>
      </w:pPr>
      <w:r w:rsidRPr="00E02C47">
        <w:rPr>
          <w:rFonts w:eastAsia="Calibri"/>
          <w:sz w:val="24"/>
          <w:szCs w:val="24"/>
          <w:lang w:eastAsia="zh-CN"/>
        </w:rPr>
        <w:t>Axel Heides Gade 1</w:t>
      </w:r>
    </w:p>
    <w:p w14:paraId="1A8E42D7" w14:textId="77777777" w:rsidR="00C52491" w:rsidRPr="00E02C47" w:rsidRDefault="00C52491" w:rsidP="00E02C47">
      <w:pPr>
        <w:ind w:left="851"/>
        <w:rPr>
          <w:rFonts w:eastAsia="Calibri"/>
          <w:noProof/>
          <w:sz w:val="24"/>
          <w:szCs w:val="24"/>
          <w:lang w:eastAsia="zh-CN"/>
        </w:rPr>
      </w:pPr>
      <w:r w:rsidRPr="00E02C47">
        <w:rPr>
          <w:rFonts w:eastAsia="Calibri"/>
          <w:noProof/>
          <w:sz w:val="24"/>
          <w:szCs w:val="24"/>
          <w:lang w:eastAsia="zh-CN"/>
        </w:rPr>
        <w:t xml:space="preserve">DK-2300 </w:t>
      </w:r>
      <w:r w:rsidRPr="00E02C47">
        <w:rPr>
          <w:rFonts w:eastAsia="Calibri"/>
          <w:sz w:val="24"/>
          <w:szCs w:val="24"/>
          <w:lang w:eastAsia="zh-CN"/>
        </w:rPr>
        <w:t>København S</w:t>
      </w:r>
    </w:p>
    <w:p w14:paraId="5EA6E9DA" w14:textId="77777777" w:rsidR="00C52491" w:rsidRPr="00E02C47" w:rsidRDefault="00C52491" w:rsidP="00E02C47">
      <w:pPr>
        <w:ind w:left="851"/>
        <w:rPr>
          <w:rFonts w:eastAsia="Calibri"/>
          <w:noProof/>
          <w:sz w:val="24"/>
          <w:szCs w:val="24"/>
          <w:lang w:eastAsia="zh-CN"/>
        </w:rPr>
      </w:pPr>
      <w:r w:rsidRPr="00E02C47">
        <w:rPr>
          <w:rFonts w:eastAsia="Calibri"/>
          <w:sz w:val="24"/>
          <w:szCs w:val="24"/>
          <w:lang w:eastAsia="zh-CN"/>
        </w:rPr>
        <w:t>Websted</w:t>
      </w:r>
      <w:r w:rsidRPr="00E02C47">
        <w:rPr>
          <w:rFonts w:eastAsia="Calibri"/>
          <w:noProof/>
          <w:sz w:val="24"/>
          <w:szCs w:val="24"/>
          <w:lang w:eastAsia="zh-CN"/>
        </w:rPr>
        <w:t xml:space="preserve">: </w:t>
      </w:r>
      <w:hyperlink r:id="rId8" w:history="1">
        <w:r w:rsidRPr="00E02C47">
          <w:rPr>
            <w:rStyle w:val="Hyperlink"/>
            <w:rFonts w:eastAsia="Calibri"/>
            <w:noProof/>
            <w:sz w:val="24"/>
            <w:szCs w:val="24"/>
            <w:lang w:eastAsia="zh-CN"/>
          </w:rPr>
          <w:t>www.meldenbivirkning.dk</w:t>
        </w:r>
      </w:hyperlink>
    </w:p>
    <w:p w14:paraId="3C871D56" w14:textId="77777777" w:rsidR="009260DE" w:rsidRPr="00E02C47" w:rsidRDefault="009260DE" w:rsidP="00A10294">
      <w:pPr>
        <w:tabs>
          <w:tab w:val="left" w:pos="851"/>
        </w:tabs>
        <w:ind w:left="851"/>
        <w:rPr>
          <w:sz w:val="24"/>
          <w:szCs w:val="24"/>
        </w:rPr>
      </w:pPr>
    </w:p>
    <w:p w14:paraId="267D5226" w14:textId="77777777" w:rsidR="009260DE" w:rsidRPr="00E02C47" w:rsidRDefault="009260DE" w:rsidP="009260DE">
      <w:pPr>
        <w:tabs>
          <w:tab w:val="left" w:pos="851"/>
        </w:tabs>
        <w:ind w:left="851" w:hanging="851"/>
        <w:rPr>
          <w:b/>
          <w:sz w:val="24"/>
          <w:szCs w:val="24"/>
        </w:rPr>
      </w:pPr>
      <w:r w:rsidRPr="00E02C47">
        <w:rPr>
          <w:b/>
          <w:sz w:val="24"/>
          <w:szCs w:val="24"/>
        </w:rPr>
        <w:t>4.9</w:t>
      </w:r>
      <w:r w:rsidRPr="00E02C47">
        <w:rPr>
          <w:b/>
          <w:sz w:val="24"/>
          <w:szCs w:val="24"/>
        </w:rPr>
        <w:tab/>
        <w:t>Overdosering</w:t>
      </w:r>
    </w:p>
    <w:p w14:paraId="20638A7D" w14:textId="77777777" w:rsidR="00C52491" w:rsidRPr="00E02C47" w:rsidRDefault="00C52491" w:rsidP="00E02C47">
      <w:pPr>
        <w:ind w:left="851"/>
        <w:rPr>
          <w:sz w:val="24"/>
          <w:szCs w:val="24"/>
        </w:rPr>
      </w:pPr>
      <w:r w:rsidRPr="00E02C47">
        <w:rPr>
          <w:sz w:val="24"/>
          <w:szCs w:val="24"/>
        </w:rPr>
        <w:t xml:space="preserve">Enkeltdoser på op til 80 gange den anbefalede dosis (0,5 mg) tåltes godt af voksne, raske frivillige. Ved 40 mg rapporterede 5 ud af 6 forsøgspersoner en let sammensnøring eller ubehag i brystet, som var klinisk i overensstemmelse med let luftvejsreaktivitet. </w:t>
      </w:r>
    </w:p>
    <w:p w14:paraId="25C4AB0A" w14:textId="77777777" w:rsidR="00C52491" w:rsidRPr="00E02C47" w:rsidRDefault="00C52491" w:rsidP="00E02C47">
      <w:pPr>
        <w:ind w:left="851"/>
        <w:rPr>
          <w:sz w:val="24"/>
          <w:szCs w:val="24"/>
        </w:rPr>
      </w:pPr>
      <w:r w:rsidRPr="00E02C47">
        <w:rPr>
          <w:sz w:val="24"/>
          <w:szCs w:val="24"/>
        </w:rPr>
        <w:t xml:space="preserve"> </w:t>
      </w:r>
    </w:p>
    <w:p w14:paraId="04E25902" w14:textId="77777777" w:rsidR="00C52491" w:rsidRPr="00E02C47" w:rsidRDefault="00C52491" w:rsidP="00E02C47">
      <w:pPr>
        <w:ind w:left="851"/>
        <w:rPr>
          <w:sz w:val="24"/>
          <w:szCs w:val="24"/>
        </w:rPr>
      </w:pPr>
      <w:r w:rsidRPr="00E02C47">
        <w:rPr>
          <w:sz w:val="24"/>
          <w:szCs w:val="24"/>
        </w:rPr>
        <w:t xml:space="preserve">Fingolimod kan inducere bradykardi ved behandlingsstart. Faldet i hjertefrekvensen begynder normalt inden for en time efter første dosis og er mest udtalt inden for 6 timer. Fingolimods negative kronotrope virkning varer ved ud over 6 timer og aftager gradvist i løbet af de efterfølgende behandlingsdage (se pkt. 4.4 for detaljer). Der er rapporteret langsom atrioventrikulær impulsoverledning med forbigående, spontant ophørende komplet AV-blok i enkeltstående tilfælde (se pkt. 4.4 og 4.8). </w:t>
      </w:r>
    </w:p>
    <w:p w14:paraId="7A7D41F1" w14:textId="78DDF5FB" w:rsidR="00C52491" w:rsidRPr="00E02C47" w:rsidRDefault="00C52491" w:rsidP="00E02C47">
      <w:pPr>
        <w:ind w:left="851"/>
        <w:rPr>
          <w:sz w:val="24"/>
          <w:szCs w:val="24"/>
        </w:rPr>
      </w:pPr>
    </w:p>
    <w:p w14:paraId="3257BECD" w14:textId="102BF9A8" w:rsidR="00C52491" w:rsidRPr="00E02C47" w:rsidRDefault="00C52491" w:rsidP="00E02C47">
      <w:pPr>
        <w:ind w:left="851"/>
        <w:rPr>
          <w:sz w:val="24"/>
          <w:szCs w:val="24"/>
        </w:rPr>
      </w:pPr>
      <w:r w:rsidRPr="00E02C47">
        <w:rPr>
          <w:sz w:val="24"/>
          <w:szCs w:val="24"/>
        </w:rPr>
        <w:t xml:space="preserve">Hvis overdoseringen forekommer efter første eksponering for Fingolimod </w:t>
      </w:r>
      <w:r w:rsidR="00362304">
        <w:rPr>
          <w:sz w:val="24"/>
          <w:szCs w:val="24"/>
        </w:rPr>
        <w:t>"Pharmaselect"</w:t>
      </w:r>
      <w:r w:rsidRPr="00E02C47">
        <w:rPr>
          <w:sz w:val="24"/>
          <w:szCs w:val="24"/>
        </w:rPr>
        <w:t>, er det vigtigt at monitorere patienten med kontinuerligt (</w:t>
      </w:r>
      <w:r w:rsidRPr="00E02C47">
        <w:rPr>
          <w:i/>
          <w:sz w:val="24"/>
          <w:szCs w:val="24"/>
        </w:rPr>
        <w:t>real time</w:t>
      </w:r>
      <w:r w:rsidRPr="00E02C47">
        <w:rPr>
          <w:sz w:val="24"/>
          <w:szCs w:val="24"/>
        </w:rPr>
        <w:t xml:space="preserve">) ekg og måling af hjertefrekvens og blodtryk hver time, i hvert fald de første 6 timer (se pkt. 4.4). </w:t>
      </w:r>
    </w:p>
    <w:p w14:paraId="6B3F88E0" w14:textId="58957608" w:rsidR="00C52491" w:rsidRPr="00E02C47" w:rsidRDefault="00C52491" w:rsidP="00E02C47">
      <w:pPr>
        <w:ind w:left="851"/>
        <w:rPr>
          <w:sz w:val="24"/>
          <w:szCs w:val="24"/>
        </w:rPr>
      </w:pPr>
    </w:p>
    <w:p w14:paraId="7F72E15F" w14:textId="77777777" w:rsidR="00C52491" w:rsidRPr="00E02C47" w:rsidRDefault="00C52491" w:rsidP="00E02C47">
      <w:pPr>
        <w:ind w:left="851"/>
        <w:rPr>
          <w:sz w:val="24"/>
          <w:szCs w:val="24"/>
        </w:rPr>
      </w:pPr>
      <w:r w:rsidRPr="00E02C47">
        <w:rPr>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QTc-interval ≥500 msek., skal monitorering forlænges mindst natten over og indtil tilstanden er ophørt. Tilstedeværelse af 3. grads AV-blok på et hvilket som helst tidspunkt skal også medføre forlænget monitorering herunder monitorering natten over. </w:t>
      </w:r>
    </w:p>
    <w:p w14:paraId="753CFE35" w14:textId="76329FA8" w:rsidR="00C52491" w:rsidRPr="00E02C47" w:rsidRDefault="00C52491" w:rsidP="00E02C47">
      <w:pPr>
        <w:ind w:left="851"/>
        <w:rPr>
          <w:sz w:val="24"/>
          <w:szCs w:val="24"/>
        </w:rPr>
      </w:pPr>
    </w:p>
    <w:p w14:paraId="3FF12B78" w14:textId="77777777" w:rsidR="00C52491" w:rsidRPr="00E02C47" w:rsidRDefault="00C52491" w:rsidP="00E02C47">
      <w:pPr>
        <w:ind w:left="851"/>
        <w:rPr>
          <w:sz w:val="24"/>
          <w:szCs w:val="24"/>
        </w:rPr>
      </w:pPr>
      <w:r w:rsidRPr="00E02C47">
        <w:rPr>
          <w:sz w:val="24"/>
          <w:szCs w:val="24"/>
        </w:rPr>
        <w:t xml:space="preserve">Hverken dialyse eller plasmaudskiftning medfører, at fingolimod fjernes fra kroppen. </w:t>
      </w:r>
    </w:p>
    <w:p w14:paraId="17E1ACC3" w14:textId="77777777" w:rsidR="009260DE" w:rsidRPr="00E02C47" w:rsidRDefault="009260DE" w:rsidP="009260DE">
      <w:pPr>
        <w:tabs>
          <w:tab w:val="left" w:pos="851"/>
        </w:tabs>
        <w:ind w:left="851"/>
        <w:rPr>
          <w:sz w:val="24"/>
          <w:szCs w:val="24"/>
        </w:rPr>
      </w:pPr>
    </w:p>
    <w:p w14:paraId="47AD72A8" w14:textId="77777777" w:rsidR="009260DE" w:rsidRPr="00E02C47" w:rsidRDefault="009260DE" w:rsidP="009260DE">
      <w:pPr>
        <w:tabs>
          <w:tab w:val="left" w:pos="851"/>
        </w:tabs>
        <w:ind w:left="851" w:hanging="851"/>
        <w:rPr>
          <w:b/>
          <w:sz w:val="24"/>
          <w:szCs w:val="24"/>
        </w:rPr>
      </w:pPr>
      <w:r w:rsidRPr="00E02C47">
        <w:rPr>
          <w:b/>
          <w:sz w:val="24"/>
          <w:szCs w:val="24"/>
        </w:rPr>
        <w:t>4.10</w:t>
      </w:r>
      <w:r w:rsidRPr="00E02C47">
        <w:rPr>
          <w:b/>
          <w:sz w:val="24"/>
          <w:szCs w:val="24"/>
        </w:rPr>
        <w:tab/>
        <w:t>Udlevering</w:t>
      </w:r>
    </w:p>
    <w:p w14:paraId="64146B40" w14:textId="4A147C50" w:rsidR="009260DE" w:rsidRPr="00E02C47" w:rsidRDefault="003807FC" w:rsidP="009260DE">
      <w:pPr>
        <w:tabs>
          <w:tab w:val="left" w:pos="851"/>
        </w:tabs>
        <w:ind w:left="851"/>
        <w:rPr>
          <w:sz w:val="24"/>
          <w:szCs w:val="24"/>
        </w:rPr>
      </w:pPr>
      <w:r w:rsidRPr="00E02C47">
        <w:rPr>
          <w:sz w:val="24"/>
          <w:szCs w:val="24"/>
        </w:rPr>
        <w:t>BEGR (kun til sygehuse)</w:t>
      </w:r>
    </w:p>
    <w:p w14:paraId="7E635661" w14:textId="77777777" w:rsidR="009260DE" w:rsidRPr="00E02C47" w:rsidRDefault="009260DE" w:rsidP="009260DE">
      <w:pPr>
        <w:tabs>
          <w:tab w:val="left" w:pos="851"/>
        </w:tabs>
        <w:ind w:left="851"/>
        <w:rPr>
          <w:sz w:val="24"/>
          <w:szCs w:val="24"/>
        </w:rPr>
      </w:pPr>
    </w:p>
    <w:p w14:paraId="43F5C92A" w14:textId="77777777" w:rsidR="009260DE" w:rsidRPr="00E02C47" w:rsidRDefault="009260DE" w:rsidP="009260DE">
      <w:pPr>
        <w:tabs>
          <w:tab w:val="left" w:pos="851"/>
        </w:tabs>
        <w:ind w:left="851"/>
        <w:rPr>
          <w:sz w:val="24"/>
          <w:szCs w:val="24"/>
        </w:rPr>
      </w:pPr>
    </w:p>
    <w:p w14:paraId="473328E6" w14:textId="77777777" w:rsidR="009260DE" w:rsidRPr="00E02C47" w:rsidRDefault="009260DE" w:rsidP="009260DE">
      <w:pPr>
        <w:tabs>
          <w:tab w:val="left" w:pos="851"/>
        </w:tabs>
        <w:ind w:left="851" w:hanging="851"/>
        <w:rPr>
          <w:b/>
          <w:sz w:val="24"/>
          <w:szCs w:val="24"/>
        </w:rPr>
      </w:pPr>
      <w:r w:rsidRPr="00E02C47">
        <w:rPr>
          <w:b/>
          <w:sz w:val="24"/>
          <w:szCs w:val="24"/>
        </w:rPr>
        <w:t>5.</w:t>
      </w:r>
      <w:r w:rsidRPr="00E02C47">
        <w:rPr>
          <w:b/>
          <w:sz w:val="24"/>
          <w:szCs w:val="24"/>
        </w:rPr>
        <w:tab/>
        <w:t>FARMAKOLOGISKE EGENSKABER</w:t>
      </w:r>
    </w:p>
    <w:p w14:paraId="10B4D4D4" w14:textId="77777777" w:rsidR="009260DE" w:rsidRPr="00E02C47" w:rsidRDefault="009260DE" w:rsidP="009260DE">
      <w:pPr>
        <w:tabs>
          <w:tab w:val="left" w:pos="851"/>
        </w:tabs>
        <w:ind w:left="851"/>
        <w:rPr>
          <w:sz w:val="24"/>
          <w:szCs w:val="24"/>
        </w:rPr>
      </w:pPr>
    </w:p>
    <w:p w14:paraId="04557142" w14:textId="77777777" w:rsidR="009260DE" w:rsidRPr="00E02C47" w:rsidRDefault="009260DE" w:rsidP="009260DE">
      <w:pPr>
        <w:tabs>
          <w:tab w:val="num" w:pos="851"/>
        </w:tabs>
        <w:ind w:left="851" w:hanging="851"/>
        <w:rPr>
          <w:b/>
          <w:sz w:val="24"/>
          <w:szCs w:val="24"/>
        </w:rPr>
      </w:pPr>
      <w:r w:rsidRPr="00E02C47">
        <w:rPr>
          <w:b/>
          <w:sz w:val="24"/>
          <w:szCs w:val="24"/>
        </w:rPr>
        <w:t>5.1</w:t>
      </w:r>
      <w:r w:rsidRPr="00E02C47">
        <w:rPr>
          <w:b/>
          <w:sz w:val="24"/>
          <w:szCs w:val="24"/>
        </w:rPr>
        <w:tab/>
        <w:t>Farmakodynamiske egenskaber</w:t>
      </w:r>
    </w:p>
    <w:p w14:paraId="71EE6FE3" w14:textId="77777777" w:rsidR="00C52491" w:rsidRPr="00E02C47" w:rsidRDefault="00C52491" w:rsidP="00E02C47">
      <w:pPr>
        <w:ind w:left="851"/>
        <w:rPr>
          <w:noProof/>
          <w:sz w:val="24"/>
          <w:szCs w:val="24"/>
        </w:rPr>
      </w:pPr>
      <w:r w:rsidRPr="00E02C47">
        <w:rPr>
          <w:sz w:val="24"/>
          <w:szCs w:val="24"/>
          <w:lang w:bidi="da-DK"/>
        </w:rPr>
        <w:t>Farmakoterapeutisk gruppe: Immunosuppressive midler, selektive immunosuppressive midler, ATC-kode: L04AA27</w:t>
      </w:r>
    </w:p>
    <w:p w14:paraId="63473BB8" w14:textId="77777777" w:rsidR="00C52491" w:rsidRPr="00E02C47" w:rsidRDefault="00C52491" w:rsidP="00E02C47">
      <w:pPr>
        <w:ind w:left="851"/>
        <w:rPr>
          <w:i/>
          <w:noProof/>
          <w:sz w:val="24"/>
          <w:szCs w:val="24"/>
        </w:rPr>
      </w:pPr>
    </w:p>
    <w:p w14:paraId="3ECADD2F" w14:textId="77777777" w:rsidR="00C52491" w:rsidRPr="00E02C47" w:rsidRDefault="00C52491" w:rsidP="00E02C47">
      <w:pPr>
        <w:ind w:left="851"/>
        <w:rPr>
          <w:sz w:val="24"/>
          <w:szCs w:val="24"/>
          <w:u w:val="single"/>
        </w:rPr>
      </w:pPr>
      <w:r w:rsidRPr="00E02C47">
        <w:rPr>
          <w:sz w:val="24"/>
          <w:szCs w:val="24"/>
          <w:u w:val="single"/>
          <w:lang w:bidi="da-DK"/>
        </w:rPr>
        <w:t>Virkningsmekanisme</w:t>
      </w:r>
    </w:p>
    <w:p w14:paraId="079417AA" w14:textId="77777777" w:rsidR="00C52491" w:rsidRPr="00E02C47" w:rsidRDefault="00C52491" w:rsidP="00E02C47">
      <w:pPr>
        <w:ind w:left="851"/>
        <w:rPr>
          <w:sz w:val="24"/>
          <w:szCs w:val="24"/>
        </w:rPr>
      </w:pPr>
      <w:r w:rsidRPr="00E02C47">
        <w:rPr>
          <w:sz w:val="24"/>
          <w:szCs w:val="24"/>
          <w:lang w:bidi="da-DK"/>
        </w:rPr>
        <w:t>Fingolimod er en sphingosin-1-fosfat-receptor-modulator. Fingolimod metaboliseres af sphingosinkinase til den aktive metabolit fingolimodfosfat. Fingolimodfosfat binder sig ved lave nanomolære koncentrationer til sphingosin-1-phosphat (S1</w:t>
      </w:r>
      <w:proofErr w:type="gramStart"/>
      <w:r w:rsidRPr="00E02C47">
        <w:rPr>
          <w:sz w:val="24"/>
          <w:szCs w:val="24"/>
          <w:lang w:bidi="da-DK"/>
        </w:rPr>
        <w:t>P)-</w:t>
      </w:r>
      <w:proofErr w:type="gramEnd"/>
      <w:r w:rsidRPr="00E02C47">
        <w:rPr>
          <w:sz w:val="24"/>
          <w:szCs w:val="24"/>
          <w:lang w:bidi="da-DK"/>
        </w:rPr>
        <w:t>receptor 1 på lymfocytter og passerer let blod-hjernebarrieren for at binde sig til S1P-receptor 1 på nerveceller i centralnervesystemet (CNS). Ved at virke som en funktionel antagonist af S1P-receptorer på lymfocytter blokerer fingolimodfosfat lymfocytternes evne til at forlade lymfeknuderne og forårsager således en omfordeling snarere end tab af lymfocytter. Dyrestudier har vist, at denne omfordeling reducerer patogene lymfocytters, inklusive pro-inflammatoriske Th17-cellers, infiltration af CNS, hvor de ville være implicereti nerveinflammation og beskadigelse af nervevæv.</w:t>
      </w:r>
    </w:p>
    <w:p w14:paraId="575C8217" w14:textId="77777777" w:rsidR="00C52491" w:rsidRPr="00E02C47" w:rsidRDefault="00C52491" w:rsidP="00E02C47">
      <w:pPr>
        <w:ind w:left="851"/>
        <w:rPr>
          <w:sz w:val="24"/>
          <w:szCs w:val="24"/>
        </w:rPr>
      </w:pPr>
      <w:r w:rsidRPr="00E02C47">
        <w:rPr>
          <w:sz w:val="24"/>
          <w:szCs w:val="24"/>
          <w:lang w:bidi="da-DK"/>
        </w:rPr>
        <w:t xml:space="preserve">Dyrestudier og </w:t>
      </w:r>
      <w:r w:rsidRPr="00E02C47">
        <w:rPr>
          <w:i/>
          <w:sz w:val="24"/>
          <w:szCs w:val="24"/>
          <w:lang w:bidi="da-DK"/>
        </w:rPr>
        <w:t>in vitro</w:t>
      </w:r>
      <w:r w:rsidRPr="00E02C47">
        <w:rPr>
          <w:sz w:val="24"/>
          <w:szCs w:val="24"/>
          <w:lang w:bidi="da-DK"/>
        </w:rPr>
        <w:t>-eksperimenter har vist, at fingolimod også kan virke ved at interagere med S1P-receptorer på nerveceller.</w:t>
      </w:r>
    </w:p>
    <w:p w14:paraId="12F78214" w14:textId="77777777" w:rsidR="00C52491" w:rsidRPr="00E02C47" w:rsidRDefault="00C52491" w:rsidP="00E02C47">
      <w:pPr>
        <w:ind w:left="851"/>
        <w:rPr>
          <w:sz w:val="24"/>
          <w:szCs w:val="24"/>
          <w:u w:val="single"/>
        </w:rPr>
      </w:pPr>
    </w:p>
    <w:p w14:paraId="3C45E4F3" w14:textId="77777777" w:rsidR="00C52491" w:rsidRPr="00E02C47" w:rsidRDefault="00C52491" w:rsidP="00E02C47">
      <w:pPr>
        <w:ind w:left="851"/>
        <w:rPr>
          <w:sz w:val="24"/>
          <w:szCs w:val="24"/>
          <w:u w:val="single"/>
        </w:rPr>
      </w:pPr>
      <w:r w:rsidRPr="00E02C47">
        <w:rPr>
          <w:sz w:val="24"/>
          <w:szCs w:val="24"/>
          <w:u w:val="single"/>
          <w:lang w:bidi="da-DK"/>
        </w:rPr>
        <w:t>Farmakodynamisk virkning</w:t>
      </w:r>
    </w:p>
    <w:p w14:paraId="606D1425" w14:textId="5B18C931" w:rsidR="00C52491" w:rsidRPr="00E02C47" w:rsidRDefault="00C52491" w:rsidP="00E02C47">
      <w:pPr>
        <w:ind w:left="851"/>
        <w:rPr>
          <w:sz w:val="24"/>
          <w:szCs w:val="24"/>
        </w:rPr>
      </w:pPr>
      <w:r w:rsidRPr="00E02C47">
        <w:rPr>
          <w:sz w:val="24"/>
          <w:szCs w:val="24"/>
        </w:rPr>
        <w:t>I løbet af 4-6 timer efter første dosis fingolimod 0,5 mg falder lymfocyttallet i det perifere blod til omkring 75 % af udgangsværdien. Ved fortsat daglig dosering vil lymfocyttallet fortsat falde gennem en to-ugers periode og nå ned på et minimu</w:t>
      </w:r>
      <w:r w:rsidR="00D57A7D">
        <w:rPr>
          <w:sz w:val="24"/>
          <w:szCs w:val="24"/>
        </w:rPr>
        <w:t>m</w:t>
      </w:r>
      <w:r w:rsidRPr="00E02C47">
        <w:rPr>
          <w:sz w:val="24"/>
          <w:szCs w:val="24"/>
        </w:rPr>
        <w:t>sniveau på cirka 500</w:t>
      </w:r>
      <w:r w:rsidR="000814D6">
        <w:rPr>
          <w:sz w:val="24"/>
          <w:szCs w:val="24"/>
        </w:rPr>
        <w:t> </w:t>
      </w:r>
      <w:r w:rsidRPr="00E02C47">
        <w:rPr>
          <w:sz w:val="24"/>
          <w:szCs w:val="24"/>
        </w:rPr>
        <w:t xml:space="preserve">celler/mikroliter eller cirka 30 % af udgangsværdien. Atten procent af patienterne nåede et mindste lymfocyttal på under 200 celler/mikroliter ved mindst én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afbrydelse af behandling </w:t>
      </w:r>
      <w:r w:rsidRPr="00E02C47">
        <w:rPr>
          <w:sz w:val="24"/>
          <w:szCs w:val="24"/>
        </w:rPr>
        <w:lastRenderedPageBreak/>
        <w:t xml:space="preserve">med fingolimod, og værdierne når typisk det normale niveau i løbet af 1-2 måneder. Kronisk behandling med fingolimod medfører et let fald i neutrofiltallet til cirka 80 % af udgangsværdien. Monocytterne påvirkes ikke af fingolimod. </w:t>
      </w:r>
    </w:p>
    <w:p w14:paraId="53AAAF6C" w14:textId="77777777" w:rsidR="00C52491" w:rsidRPr="00E02C47" w:rsidRDefault="00C52491" w:rsidP="00E02C47">
      <w:pPr>
        <w:ind w:left="851"/>
        <w:rPr>
          <w:sz w:val="24"/>
          <w:szCs w:val="24"/>
        </w:rPr>
      </w:pPr>
      <w:r w:rsidRPr="00E02C47">
        <w:rPr>
          <w:sz w:val="24"/>
          <w:szCs w:val="24"/>
        </w:rPr>
        <w:t xml:space="preserve"> </w:t>
      </w:r>
    </w:p>
    <w:p w14:paraId="5618B639" w14:textId="77777777" w:rsidR="00C52491" w:rsidRPr="00E02C47" w:rsidRDefault="00C52491" w:rsidP="00E02C47">
      <w:pPr>
        <w:ind w:left="851"/>
        <w:rPr>
          <w:sz w:val="24"/>
          <w:szCs w:val="24"/>
        </w:rPr>
      </w:pPr>
      <w:r w:rsidRPr="00E02C47">
        <w:rPr>
          <w:sz w:val="24"/>
          <w:szCs w:val="24"/>
        </w:rPr>
        <w:t xml:space="preserve">Fingolimod forårsager et forbigående fald i hjertefrekvensen og en forsinkelse i den atrioventrikulære impulsoverledning ved initiering af behandlingen (se pkt. 4.4 og 4.8). Det maksimale fald i hjertefrekvensen ses inden for 6 timer efter dosering, og 70 % af den negative kronotrope virkning opnås den første dag. Ved fortsat behandling vender hjertefrekvensen tilbage til udgangsværdien i løbet af én måned. Det af fingolimod inducerede fald i hjertefrekvens kan reverteres af parenterale doser af atropin eller isoprenalin. Inhaleret salmoterol er også vist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autonom respons, herunder daglige frekvensvariationer og respons på motion, påvirkes ikke af behandling med fingolimod. </w:t>
      </w:r>
    </w:p>
    <w:p w14:paraId="0D138971" w14:textId="77777777" w:rsidR="00C52491" w:rsidRPr="00E02C47" w:rsidRDefault="00C52491" w:rsidP="00E02C47">
      <w:pPr>
        <w:ind w:left="851"/>
        <w:rPr>
          <w:sz w:val="24"/>
          <w:szCs w:val="24"/>
        </w:rPr>
      </w:pPr>
      <w:r w:rsidRPr="00E02C47">
        <w:rPr>
          <w:sz w:val="24"/>
          <w:szCs w:val="24"/>
        </w:rPr>
        <w:t xml:space="preserve"> </w:t>
      </w:r>
    </w:p>
    <w:p w14:paraId="418C7AA2" w14:textId="77777777" w:rsidR="00C52491" w:rsidRPr="00E02C47" w:rsidRDefault="00C52491" w:rsidP="00E02C47">
      <w:pPr>
        <w:ind w:left="851"/>
        <w:rPr>
          <w:sz w:val="24"/>
          <w:szCs w:val="24"/>
        </w:rPr>
      </w:pPr>
      <w:r w:rsidRPr="00E02C47">
        <w:rPr>
          <w:sz w:val="24"/>
          <w:szCs w:val="24"/>
        </w:rPr>
        <w:t xml:space="preserve">S1P4 kunne delvist bidrage til virkningen, men var ikke den vigtigste receptor, som var ansvarlig for lymfoid depletion. Virkningsmekanismen for bradykardi og vasokonstriktion blev også undersøgt </w:t>
      </w:r>
      <w:r w:rsidRPr="00E02C47">
        <w:rPr>
          <w:i/>
          <w:sz w:val="24"/>
          <w:szCs w:val="24"/>
        </w:rPr>
        <w:t>in vitro</w:t>
      </w:r>
      <w:r w:rsidRPr="00E02C47">
        <w:rPr>
          <w:sz w:val="24"/>
          <w:szCs w:val="24"/>
        </w:rPr>
        <w:t xml:space="preserve"> hos marsvin og isoleret aorta og koronararterie hos kaniner. Det blev konkluderet, at bradykardi kunne medieres primært ved aktivering af </w:t>
      </w:r>
      <w:r w:rsidRPr="00E02C47">
        <w:rPr>
          <w:i/>
          <w:sz w:val="24"/>
          <w:szCs w:val="24"/>
        </w:rPr>
        <w:t>inward-rectifier</w:t>
      </w:r>
      <w:r w:rsidRPr="00E02C47">
        <w:rPr>
          <w:sz w:val="24"/>
          <w:szCs w:val="24"/>
        </w:rPr>
        <w:t xml:space="preserve"> kaliumkanaler eller G-protein-aktiverede </w:t>
      </w:r>
      <w:r w:rsidRPr="00E02C47">
        <w:rPr>
          <w:i/>
          <w:sz w:val="24"/>
          <w:szCs w:val="24"/>
        </w:rPr>
        <w:t>inward-rectifier</w:t>
      </w:r>
      <w:r w:rsidRPr="00E02C47">
        <w:rPr>
          <w:sz w:val="24"/>
          <w:szCs w:val="24"/>
        </w:rPr>
        <w:t xml:space="preserve"> K</w:t>
      </w:r>
      <w:r w:rsidRPr="00E02C47">
        <w:rPr>
          <w:sz w:val="24"/>
          <w:szCs w:val="24"/>
          <w:vertAlign w:val="superscript"/>
        </w:rPr>
        <w:t>+</w:t>
      </w:r>
      <w:r w:rsidRPr="00E02C47">
        <w:rPr>
          <w:sz w:val="24"/>
          <w:szCs w:val="24"/>
        </w:rPr>
        <w:t xml:space="preserve"> kanaler (IKACh/GIRK), og at vasokonstriktion ser ud til blive medieret af en Rho kinase- og kalciumafhængig mekanisme. </w:t>
      </w:r>
    </w:p>
    <w:p w14:paraId="454976BD" w14:textId="77777777" w:rsidR="00C52491" w:rsidRPr="00E02C47" w:rsidRDefault="00C52491" w:rsidP="00E02C47">
      <w:pPr>
        <w:ind w:left="851"/>
        <w:rPr>
          <w:sz w:val="24"/>
          <w:szCs w:val="24"/>
        </w:rPr>
      </w:pPr>
      <w:r w:rsidRPr="00E02C47">
        <w:rPr>
          <w:sz w:val="24"/>
          <w:szCs w:val="24"/>
        </w:rPr>
        <w:t xml:space="preserve"> </w:t>
      </w:r>
    </w:p>
    <w:p w14:paraId="40159CF1" w14:textId="0F23EB71" w:rsidR="00C52491" w:rsidRPr="00E02C47" w:rsidRDefault="00C52491" w:rsidP="00E02C47">
      <w:pPr>
        <w:ind w:left="851"/>
        <w:rPr>
          <w:sz w:val="24"/>
          <w:szCs w:val="24"/>
        </w:rPr>
      </w:pPr>
      <w:r w:rsidRPr="00E02C47">
        <w:rPr>
          <w:sz w:val="24"/>
          <w:szCs w:val="24"/>
        </w:rPr>
        <w:t>Behandling med enkelte eller multiple doser på 0,5 og 1,25 mg i to uger er ikke forbundet med en registrerbar forøgelse af luftvejsmodstanden som målt ved FEV</w:t>
      </w:r>
      <w:r w:rsidRPr="00E02C47">
        <w:rPr>
          <w:sz w:val="24"/>
          <w:szCs w:val="24"/>
          <w:vertAlign w:val="subscript"/>
        </w:rPr>
        <w:t>1</w:t>
      </w:r>
      <w:r w:rsidRPr="00E02C47">
        <w:rPr>
          <w:sz w:val="24"/>
          <w:szCs w:val="24"/>
        </w:rPr>
        <w:t xml:space="preserve"> og forceret ekspiratorisk flowrate (FEF </w:t>
      </w:r>
      <w:r w:rsidRPr="00E02C47">
        <w:rPr>
          <w:sz w:val="24"/>
          <w:szCs w:val="24"/>
          <w:vertAlign w:val="subscript"/>
        </w:rPr>
        <w:t>25-75%</w:t>
      </w:r>
      <w:r w:rsidRPr="00E02C47">
        <w:rPr>
          <w:sz w:val="24"/>
          <w:szCs w:val="24"/>
        </w:rPr>
        <w:t xml:space="preserve">). Enkeltdoser af fingolimod på ≥5 mg (10 gange anbefalet dosis) er forbundet med en 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 </w:t>
      </w:r>
    </w:p>
    <w:p w14:paraId="1832AC02" w14:textId="77777777" w:rsidR="00C52491" w:rsidRPr="00E02C47" w:rsidRDefault="00C52491" w:rsidP="00E02C47">
      <w:pPr>
        <w:ind w:left="851"/>
        <w:rPr>
          <w:sz w:val="24"/>
          <w:szCs w:val="24"/>
          <w:u w:val="single"/>
        </w:rPr>
      </w:pPr>
    </w:p>
    <w:p w14:paraId="6AFD9620" w14:textId="77777777" w:rsidR="00C52491" w:rsidRPr="00E02C47" w:rsidRDefault="00C52491" w:rsidP="00E02C47">
      <w:pPr>
        <w:ind w:left="851"/>
        <w:rPr>
          <w:sz w:val="24"/>
          <w:szCs w:val="24"/>
          <w:u w:val="single"/>
        </w:rPr>
      </w:pPr>
      <w:r w:rsidRPr="00E02C47">
        <w:rPr>
          <w:sz w:val="24"/>
          <w:szCs w:val="24"/>
          <w:u w:val="single"/>
          <w:lang w:bidi="da-DK"/>
        </w:rPr>
        <w:t>Klinisk virkning og sikkerhed</w:t>
      </w:r>
    </w:p>
    <w:p w14:paraId="1D753BD1" w14:textId="77777777" w:rsidR="00C52491" w:rsidRPr="00E02C47" w:rsidRDefault="00C52491" w:rsidP="00E02C47">
      <w:pPr>
        <w:ind w:left="851"/>
        <w:rPr>
          <w:sz w:val="24"/>
          <w:szCs w:val="24"/>
        </w:rPr>
      </w:pPr>
      <w:r w:rsidRPr="00E02C47">
        <w:rPr>
          <w:sz w:val="24"/>
          <w:szCs w:val="24"/>
        </w:rPr>
        <w:t xml:space="preserve">Virkningen af fingolimod er påvist i to studier, hvor der blev foretaget en evaluering af fingolimod i doser på 0,5 mg og 1,25 mg én gang dagligt hos voksne patienter med recidiverende-remitterende multipel sklerose (RRMS). Begge undersøgelser omfattede voksne patienter, som havde oplevet ≥2 tilbagefald i de foregående 2 år eller &gt;1 tilbagefald i det foregående år. Expanded Disability Status Score (EDSS) var mellem 0 og 5,5. Et tredie studie på samme voksne patientpopulation blev afsluttet, efter fingolimod var godkendt. </w:t>
      </w:r>
    </w:p>
    <w:p w14:paraId="358493DF" w14:textId="700C07D1" w:rsidR="00C52491" w:rsidRPr="00E02C47" w:rsidRDefault="00C52491" w:rsidP="00E02C47">
      <w:pPr>
        <w:ind w:left="851"/>
        <w:rPr>
          <w:sz w:val="24"/>
          <w:szCs w:val="24"/>
        </w:rPr>
      </w:pPr>
    </w:p>
    <w:p w14:paraId="3A29AEC6" w14:textId="60EB348A" w:rsidR="00C52491" w:rsidRPr="00E02C47" w:rsidRDefault="00C52491" w:rsidP="00E02C47">
      <w:pPr>
        <w:ind w:left="851"/>
        <w:rPr>
          <w:sz w:val="24"/>
          <w:szCs w:val="24"/>
        </w:rPr>
      </w:pPr>
      <w:r w:rsidRPr="00E02C47">
        <w:rPr>
          <w:sz w:val="24"/>
          <w:szCs w:val="24"/>
        </w:rPr>
        <w:t>Studie D2301 (FREEDOMS) var et 2-årigt, randomiseret, dobbeltblindet, placebokontrolleret fase III</w:t>
      </w:r>
      <w:r w:rsidR="00D57A7D">
        <w:rPr>
          <w:sz w:val="24"/>
          <w:szCs w:val="24"/>
        </w:rPr>
        <w:t>-</w:t>
      </w:r>
      <w:r w:rsidRPr="00E02C47">
        <w:rPr>
          <w:sz w:val="24"/>
          <w:szCs w:val="24"/>
        </w:rPr>
        <w:t xml:space="preserve">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 </w:t>
      </w:r>
    </w:p>
    <w:p w14:paraId="6C22B6D2" w14:textId="078B3FB0" w:rsidR="000814D6" w:rsidRDefault="000814D6">
      <w:pPr>
        <w:rPr>
          <w:bCs/>
          <w:iCs/>
          <w:sz w:val="24"/>
          <w:szCs w:val="24"/>
          <w:u w:val="single"/>
        </w:rPr>
      </w:pPr>
      <w:r>
        <w:rPr>
          <w:bCs/>
          <w:iCs/>
          <w:sz w:val="24"/>
          <w:szCs w:val="24"/>
          <w:u w:val="single"/>
        </w:rPr>
        <w:br w:type="page"/>
      </w:r>
    </w:p>
    <w:p w14:paraId="0416F72B" w14:textId="77777777" w:rsidR="00C52491" w:rsidRPr="00E02C47" w:rsidRDefault="00C52491" w:rsidP="00E02C47">
      <w:pPr>
        <w:ind w:left="851"/>
        <w:rPr>
          <w:bCs/>
          <w:iCs/>
          <w:sz w:val="24"/>
          <w:szCs w:val="24"/>
          <w:u w:val="single"/>
        </w:rPr>
      </w:pPr>
    </w:p>
    <w:p w14:paraId="0ACC8EC7" w14:textId="14725DB1" w:rsidR="00C52491" w:rsidRPr="00E02C47" w:rsidRDefault="00C52491" w:rsidP="00C52491">
      <w:pPr>
        <w:jc w:val="both"/>
        <w:rPr>
          <w:b/>
          <w:bCs/>
          <w:iCs/>
          <w:sz w:val="24"/>
          <w:szCs w:val="24"/>
          <w:lang w:val="en-GB"/>
        </w:rPr>
      </w:pPr>
      <w:r w:rsidRPr="00E02C47">
        <w:rPr>
          <w:b/>
          <w:sz w:val="24"/>
          <w:szCs w:val="24"/>
          <w:lang w:bidi="da-DK"/>
        </w:rPr>
        <w:t>Tabel 1</w:t>
      </w:r>
      <w:r w:rsidR="00085272">
        <w:rPr>
          <w:b/>
          <w:sz w:val="24"/>
          <w:szCs w:val="24"/>
          <w:lang w:bidi="da-DK"/>
        </w:rPr>
        <w:t xml:space="preserve">. </w:t>
      </w:r>
      <w:r w:rsidRPr="00E02C47">
        <w:rPr>
          <w:b/>
          <w:sz w:val="24"/>
          <w:szCs w:val="24"/>
          <w:lang w:bidi="da-DK"/>
        </w:rPr>
        <w:t>Studie D2301 (FREEDOMS): hovedresultater</w:t>
      </w:r>
    </w:p>
    <w:p w14:paraId="648E1EC4" w14:textId="77777777" w:rsidR="00C52491" w:rsidRPr="00E02C47" w:rsidRDefault="00C52491" w:rsidP="00C52491">
      <w:pPr>
        <w:jc w:val="both"/>
        <w:rPr>
          <w:bCs/>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727"/>
        <w:gridCol w:w="3383"/>
      </w:tblGrid>
      <w:tr w:rsidR="00C52491" w:rsidRPr="00E02C47" w14:paraId="0630CAB8" w14:textId="77777777" w:rsidTr="00E02C47">
        <w:tc>
          <w:tcPr>
            <w:tcW w:w="1827" w:type="pct"/>
            <w:tcBorders>
              <w:top w:val="single" w:sz="4" w:space="0" w:color="auto"/>
              <w:left w:val="single" w:sz="4" w:space="0" w:color="auto"/>
              <w:bottom w:val="single" w:sz="4" w:space="0" w:color="auto"/>
              <w:right w:val="single" w:sz="4" w:space="0" w:color="auto"/>
            </w:tcBorders>
          </w:tcPr>
          <w:p w14:paraId="3B3F2111" w14:textId="77777777" w:rsidR="00C52491" w:rsidRPr="00E02C47" w:rsidRDefault="00C52491">
            <w:pPr>
              <w:rPr>
                <w:bCs/>
                <w:iCs/>
                <w:sz w:val="24"/>
                <w:szCs w:val="24"/>
              </w:rPr>
            </w:pPr>
          </w:p>
        </w:tc>
        <w:tc>
          <w:tcPr>
            <w:tcW w:w="1416" w:type="pct"/>
            <w:tcBorders>
              <w:top w:val="single" w:sz="4" w:space="0" w:color="auto"/>
              <w:left w:val="single" w:sz="4" w:space="0" w:color="auto"/>
              <w:bottom w:val="single" w:sz="4" w:space="0" w:color="auto"/>
              <w:right w:val="single" w:sz="4" w:space="0" w:color="auto"/>
            </w:tcBorders>
            <w:hideMark/>
          </w:tcPr>
          <w:p w14:paraId="7FE4572C" w14:textId="77777777" w:rsidR="00C52491" w:rsidRPr="00E02C47" w:rsidRDefault="00C52491">
            <w:pPr>
              <w:rPr>
                <w:b/>
                <w:bCs/>
                <w:iCs/>
                <w:sz w:val="24"/>
                <w:szCs w:val="24"/>
              </w:rPr>
            </w:pPr>
            <w:r w:rsidRPr="00E02C47">
              <w:rPr>
                <w:b/>
                <w:sz w:val="24"/>
                <w:szCs w:val="24"/>
                <w:lang w:bidi="da-DK"/>
              </w:rPr>
              <w:t>Fingolimod</w:t>
            </w:r>
          </w:p>
          <w:p w14:paraId="75F1368E" w14:textId="77777777" w:rsidR="00C52491" w:rsidRPr="00E02C47" w:rsidRDefault="00C52491">
            <w:pPr>
              <w:rPr>
                <w:b/>
                <w:bCs/>
                <w:iCs/>
                <w:sz w:val="24"/>
                <w:szCs w:val="24"/>
              </w:rPr>
            </w:pPr>
            <w:r w:rsidRPr="00E02C47">
              <w:rPr>
                <w:b/>
                <w:sz w:val="24"/>
                <w:szCs w:val="24"/>
                <w:lang w:bidi="da-DK"/>
              </w:rPr>
              <w:t>0,5 mg</w:t>
            </w:r>
          </w:p>
        </w:tc>
        <w:tc>
          <w:tcPr>
            <w:tcW w:w="1757" w:type="pct"/>
            <w:tcBorders>
              <w:top w:val="single" w:sz="4" w:space="0" w:color="auto"/>
              <w:left w:val="single" w:sz="4" w:space="0" w:color="auto"/>
              <w:bottom w:val="single" w:sz="4" w:space="0" w:color="auto"/>
              <w:right w:val="single" w:sz="4" w:space="0" w:color="auto"/>
            </w:tcBorders>
            <w:hideMark/>
          </w:tcPr>
          <w:p w14:paraId="41C6E44A" w14:textId="77777777" w:rsidR="00C52491" w:rsidRPr="00E02C47" w:rsidRDefault="00C52491">
            <w:pPr>
              <w:rPr>
                <w:b/>
                <w:bCs/>
                <w:iCs/>
                <w:sz w:val="24"/>
                <w:szCs w:val="24"/>
              </w:rPr>
            </w:pPr>
            <w:r w:rsidRPr="00E02C47">
              <w:rPr>
                <w:b/>
                <w:sz w:val="24"/>
                <w:szCs w:val="24"/>
                <w:lang w:bidi="da-DK"/>
              </w:rPr>
              <w:t>Placebo</w:t>
            </w:r>
          </w:p>
        </w:tc>
      </w:tr>
      <w:tr w:rsidR="00C52491" w:rsidRPr="00E02C47" w14:paraId="2B2EA641"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8DDB489" w14:textId="77777777" w:rsidR="00C52491" w:rsidRPr="00E02C47" w:rsidRDefault="00C52491">
            <w:pPr>
              <w:rPr>
                <w:b/>
                <w:bCs/>
                <w:iCs/>
                <w:sz w:val="24"/>
                <w:szCs w:val="24"/>
              </w:rPr>
            </w:pPr>
            <w:r w:rsidRPr="00E02C47">
              <w:rPr>
                <w:b/>
                <w:sz w:val="24"/>
                <w:szCs w:val="24"/>
                <w:lang w:bidi="da-DK"/>
              </w:rPr>
              <w:t>Kliniske endepunkter</w:t>
            </w:r>
          </w:p>
        </w:tc>
        <w:tc>
          <w:tcPr>
            <w:tcW w:w="1416" w:type="pct"/>
            <w:tcBorders>
              <w:top w:val="single" w:sz="4" w:space="0" w:color="auto"/>
              <w:left w:val="single" w:sz="4" w:space="0" w:color="auto"/>
              <w:bottom w:val="single" w:sz="4" w:space="0" w:color="auto"/>
              <w:right w:val="single" w:sz="4" w:space="0" w:color="auto"/>
            </w:tcBorders>
          </w:tcPr>
          <w:p w14:paraId="0C63AE62"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6725AB6F" w14:textId="77777777" w:rsidR="00C52491" w:rsidRPr="00E02C47" w:rsidRDefault="00C52491">
            <w:pPr>
              <w:rPr>
                <w:bCs/>
                <w:iCs/>
                <w:sz w:val="24"/>
                <w:szCs w:val="24"/>
              </w:rPr>
            </w:pPr>
          </w:p>
        </w:tc>
      </w:tr>
      <w:tr w:rsidR="00C52491" w:rsidRPr="00E02C47" w14:paraId="610B6499"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7ACD8CA" w14:textId="02811789" w:rsidR="00C52491" w:rsidRPr="00E02C47" w:rsidRDefault="00C52491">
            <w:pPr>
              <w:rPr>
                <w:bCs/>
                <w:iCs/>
                <w:sz w:val="24"/>
                <w:szCs w:val="24"/>
              </w:rPr>
            </w:pPr>
            <w:r w:rsidRPr="00E02C47">
              <w:rPr>
                <w:sz w:val="24"/>
                <w:szCs w:val="24"/>
                <w:lang w:bidi="da-DK"/>
              </w:rPr>
              <w:t>Annualiseret relapsrate</w:t>
            </w:r>
            <w:r w:rsidR="00085272">
              <w:rPr>
                <w:sz w:val="24"/>
                <w:szCs w:val="24"/>
                <w:lang w:bidi="da-DK"/>
              </w:rPr>
              <w:t xml:space="preserve"> </w:t>
            </w:r>
            <w:r w:rsidRPr="00E02C47">
              <w:rPr>
                <w:sz w:val="24"/>
                <w:szCs w:val="24"/>
                <w:lang w:bidi="da-DK"/>
              </w:rPr>
              <w:t>(primært slutpunkt)</w:t>
            </w:r>
          </w:p>
        </w:tc>
        <w:tc>
          <w:tcPr>
            <w:tcW w:w="1416" w:type="pct"/>
            <w:tcBorders>
              <w:top w:val="single" w:sz="4" w:space="0" w:color="auto"/>
              <w:left w:val="single" w:sz="4" w:space="0" w:color="auto"/>
              <w:bottom w:val="single" w:sz="4" w:space="0" w:color="auto"/>
              <w:right w:val="single" w:sz="4" w:space="0" w:color="auto"/>
            </w:tcBorders>
            <w:hideMark/>
          </w:tcPr>
          <w:p w14:paraId="7D059AAA" w14:textId="77777777" w:rsidR="00C52491" w:rsidRPr="00E02C47" w:rsidRDefault="00C52491">
            <w:pPr>
              <w:rPr>
                <w:bCs/>
                <w:iCs/>
                <w:sz w:val="24"/>
                <w:szCs w:val="24"/>
              </w:rPr>
            </w:pPr>
            <w:r w:rsidRPr="00E02C47">
              <w:rPr>
                <w:sz w:val="24"/>
                <w:szCs w:val="24"/>
                <w:lang w:bidi="da-DK"/>
              </w:rPr>
              <w:t>0,18**</w:t>
            </w:r>
          </w:p>
        </w:tc>
        <w:tc>
          <w:tcPr>
            <w:tcW w:w="1757" w:type="pct"/>
            <w:tcBorders>
              <w:top w:val="single" w:sz="4" w:space="0" w:color="auto"/>
              <w:left w:val="single" w:sz="4" w:space="0" w:color="auto"/>
              <w:bottom w:val="single" w:sz="4" w:space="0" w:color="auto"/>
              <w:right w:val="single" w:sz="4" w:space="0" w:color="auto"/>
            </w:tcBorders>
            <w:hideMark/>
          </w:tcPr>
          <w:p w14:paraId="5B0B716E" w14:textId="77777777" w:rsidR="00C52491" w:rsidRPr="00E02C47" w:rsidRDefault="00C52491">
            <w:pPr>
              <w:rPr>
                <w:bCs/>
                <w:iCs/>
                <w:sz w:val="24"/>
                <w:szCs w:val="24"/>
              </w:rPr>
            </w:pPr>
            <w:r w:rsidRPr="00E02C47">
              <w:rPr>
                <w:sz w:val="24"/>
                <w:szCs w:val="24"/>
                <w:lang w:bidi="da-DK"/>
              </w:rPr>
              <w:t>0,40</w:t>
            </w:r>
          </w:p>
        </w:tc>
      </w:tr>
      <w:tr w:rsidR="00C52491" w:rsidRPr="00E02C47" w14:paraId="0694A3EC"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D1F210B" w14:textId="77777777" w:rsidR="00C52491" w:rsidRPr="00E02C47" w:rsidRDefault="00C52491">
            <w:pPr>
              <w:rPr>
                <w:bCs/>
                <w:iCs/>
                <w:sz w:val="24"/>
                <w:szCs w:val="24"/>
                <w:lang w:val="nl-NL"/>
              </w:rPr>
            </w:pPr>
            <w:r w:rsidRPr="00E02C47">
              <w:rPr>
                <w:sz w:val="24"/>
                <w:szCs w:val="24"/>
                <w:lang w:bidi="da-DK"/>
              </w:rPr>
              <w:t xml:space="preserve">Procentdel af patienter, som forblev relapsfrie ved måned 24 </w:t>
            </w:r>
          </w:p>
        </w:tc>
        <w:tc>
          <w:tcPr>
            <w:tcW w:w="1416" w:type="pct"/>
            <w:tcBorders>
              <w:top w:val="single" w:sz="4" w:space="0" w:color="auto"/>
              <w:left w:val="single" w:sz="4" w:space="0" w:color="auto"/>
              <w:bottom w:val="single" w:sz="4" w:space="0" w:color="auto"/>
              <w:right w:val="single" w:sz="4" w:space="0" w:color="auto"/>
            </w:tcBorders>
            <w:hideMark/>
          </w:tcPr>
          <w:p w14:paraId="7E436634" w14:textId="77777777" w:rsidR="00C52491" w:rsidRPr="00E02C47" w:rsidRDefault="00C52491">
            <w:pPr>
              <w:rPr>
                <w:bCs/>
                <w:iCs/>
                <w:sz w:val="24"/>
                <w:szCs w:val="24"/>
                <w:lang w:val="en-GB"/>
              </w:rPr>
            </w:pPr>
            <w:r w:rsidRPr="00E02C47">
              <w:rPr>
                <w:sz w:val="24"/>
                <w:szCs w:val="24"/>
                <w:lang w:bidi="da-DK"/>
              </w:rPr>
              <w:t>70 %**</w:t>
            </w:r>
          </w:p>
        </w:tc>
        <w:tc>
          <w:tcPr>
            <w:tcW w:w="1757" w:type="pct"/>
            <w:tcBorders>
              <w:top w:val="single" w:sz="4" w:space="0" w:color="auto"/>
              <w:left w:val="single" w:sz="4" w:space="0" w:color="auto"/>
              <w:bottom w:val="single" w:sz="4" w:space="0" w:color="auto"/>
              <w:right w:val="single" w:sz="4" w:space="0" w:color="auto"/>
            </w:tcBorders>
            <w:hideMark/>
          </w:tcPr>
          <w:p w14:paraId="7AB4D678" w14:textId="77777777" w:rsidR="00C52491" w:rsidRPr="00E02C47" w:rsidRDefault="00C52491">
            <w:pPr>
              <w:rPr>
                <w:bCs/>
                <w:iCs/>
                <w:sz w:val="24"/>
                <w:szCs w:val="24"/>
              </w:rPr>
            </w:pPr>
            <w:r w:rsidRPr="00E02C47">
              <w:rPr>
                <w:sz w:val="24"/>
                <w:szCs w:val="24"/>
                <w:lang w:bidi="da-DK"/>
              </w:rPr>
              <w:t>46 %</w:t>
            </w:r>
          </w:p>
        </w:tc>
      </w:tr>
      <w:tr w:rsidR="00C52491" w:rsidRPr="00E02C47" w14:paraId="2579D844" w14:textId="77777777" w:rsidTr="00E02C47">
        <w:tc>
          <w:tcPr>
            <w:tcW w:w="1827" w:type="pct"/>
            <w:tcBorders>
              <w:top w:val="single" w:sz="4" w:space="0" w:color="auto"/>
              <w:left w:val="single" w:sz="4" w:space="0" w:color="auto"/>
              <w:bottom w:val="single" w:sz="4" w:space="0" w:color="auto"/>
              <w:right w:val="single" w:sz="4" w:space="0" w:color="auto"/>
            </w:tcBorders>
          </w:tcPr>
          <w:p w14:paraId="0F613E9F" w14:textId="2D709A25" w:rsidR="00C52491" w:rsidRPr="00E02C47" w:rsidRDefault="00C52491">
            <w:pPr>
              <w:rPr>
                <w:sz w:val="24"/>
                <w:szCs w:val="24"/>
                <w:vertAlign w:val="superscript"/>
                <w:lang w:bidi="da-DK"/>
              </w:rPr>
            </w:pPr>
            <w:r w:rsidRPr="00E02C47">
              <w:rPr>
                <w:sz w:val="24"/>
                <w:szCs w:val="24"/>
                <w:lang w:bidi="da-DK"/>
              </w:rPr>
              <w:t>Andel med invaliditets</w:t>
            </w:r>
            <w:r w:rsidR="00085272">
              <w:rPr>
                <w:sz w:val="24"/>
                <w:szCs w:val="24"/>
                <w:lang w:bidi="da-DK"/>
              </w:rPr>
              <w:softHyphen/>
            </w:r>
            <w:r w:rsidRPr="00E02C47">
              <w:rPr>
                <w:sz w:val="24"/>
                <w:szCs w:val="24"/>
                <w:lang w:bidi="da-DK"/>
              </w:rPr>
              <w:t>progression bekræftet efter 3 måneder</w:t>
            </w:r>
            <w:r w:rsidRPr="00E02C47">
              <w:rPr>
                <w:sz w:val="24"/>
                <w:szCs w:val="24"/>
                <w:vertAlign w:val="superscript"/>
                <w:lang w:bidi="da-DK"/>
              </w:rPr>
              <w:t>†</w:t>
            </w:r>
          </w:p>
          <w:p w14:paraId="20AC21D8" w14:textId="77777777" w:rsidR="00C52491" w:rsidRPr="00E02C47" w:rsidRDefault="00C52491">
            <w:pPr>
              <w:rPr>
                <w:bCs/>
                <w:iCs/>
                <w:sz w:val="24"/>
                <w:szCs w:val="24"/>
              </w:rPr>
            </w:pPr>
          </w:p>
          <w:p w14:paraId="069B2B45" w14:textId="77777777" w:rsidR="00C52491" w:rsidRPr="00E02C47" w:rsidRDefault="00C52491">
            <w:pPr>
              <w:rPr>
                <w:bCs/>
                <w:iCs/>
                <w:sz w:val="24"/>
                <w:szCs w:val="24"/>
              </w:rPr>
            </w:pPr>
            <w:r w:rsidRPr="00E02C47">
              <w:rPr>
                <w:sz w:val="24"/>
                <w:szCs w:val="24"/>
                <w:lang w:bidi="da-DK"/>
              </w:rPr>
              <w:t>Hazard ratio (95 % CI)</w:t>
            </w:r>
          </w:p>
        </w:tc>
        <w:tc>
          <w:tcPr>
            <w:tcW w:w="1416" w:type="pct"/>
            <w:tcBorders>
              <w:top w:val="single" w:sz="4" w:space="0" w:color="auto"/>
              <w:left w:val="single" w:sz="4" w:space="0" w:color="auto"/>
              <w:bottom w:val="single" w:sz="4" w:space="0" w:color="auto"/>
              <w:right w:val="single" w:sz="4" w:space="0" w:color="auto"/>
            </w:tcBorders>
          </w:tcPr>
          <w:p w14:paraId="09D7BAB4" w14:textId="77777777" w:rsidR="00C52491" w:rsidRPr="00E02C47" w:rsidRDefault="00C52491">
            <w:pPr>
              <w:rPr>
                <w:bCs/>
                <w:iCs/>
                <w:sz w:val="24"/>
                <w:szCs w:val="24"/>
                <w:lang w:val="en-GB"/>
              </w:rPr>
            </w:pPr>
            <w:r w:rsidRPr="00E02C47">
              <w:rPr>
                <w:sz w:val="24"/>
                <w:szCs w:val="24"/>
                <w:lang w:bidi="da-DK"/>
              </w:rPr>
              <w:t>17 %</w:t>
            </w:r>
          </w:p>
          <w:p w14:paraId="34224D8E" w14:textId="77777777" w:rsidR="00C52491" w:rsidRPr="00E02C47" w:rsidRDefault="00C52491">
            <w:pPr>
              <w:rPr>
                <w:bCs/>
                <w:iCs/>
                <w:sz w:val="24"/>
                <w:szCs w:val="24"/>
              </w:rPr>
            </w:pPr>
          </w:p>
          <w:p w14:paraId="230602F9" w14:textId="77777777" w:rsidR="00C52491" w:rsidRPr="00E02C47" w:rsidRDefault="00C52491">
            <w:pPr>
              <w:rPr>
                <w:bCs/>
                <w:iCs/>
                <w:sz w:val="24"/>
                <w:szCs w:val="24"/>
              </w:rPr>
            </w:pPr>
          </w:p>
          <w:p w14:paraId="5C75A0A8" w14:textId="77777777" w:rsidR="00085272" w:rsidRDefault="00085272">
            <w:pPr>
              <w:rPr>
                <w:sz w:val="24"/>
                <w:szCs w:val="24"/>
                <w:lang w:bidi="da-DK"/>
              </w:rPr>
            </w:pPr>
          </w:p>
          <w:p w14:paraId="38ACE1C0" w14:textId="53D639D6" w:rsidR="00C52491" w:rsidRPr="00E02C47" w:rsidRDefault="00C52491">
            <w:pPr>
              <w:rPr>
                <w:bCs/>
                <w:iCs/>
                <w:sz w:val="24"/>
                <w:szCs w:val="24"/>
              </w:rPr>
            </w:pPr>
            <w:r w:rsidRPr="00E02C47">
              <w:rPr>
                <w:sz w:val="24"/>
                <w:szCs w:val="24"/>
                <w:lang w:bidi="da-DK"/>
              </w:rPr>
              <w:t>0,70 (0,52, 0,</w:t>
            </w:r>
            <w:proofErr w:type="gramStart"/>
            <w:r w:rsidRPr="00E02C47">
              <w:rPr>
                <w:sz w:val="24"/>
                <w:szCs w:val="24"/>
                <w:lang w:bidi="da-DK"/>
              </w:rPr>
              <w:t>96)*</w:t>
            </w:r>
            <w:proofErr w:type="gramEnd"/>
          </w:p>
        </w:tc>
        <w:tc>
          <w:tcPr>
            <w:tcW w:w="1757" w:type="pct"/>
            <w:tcBorders>
              <w:top w:val="single" w:sz="4" w:space="0" w:color="auto"/>
              <w:left w:val="single" w:sz="4" w:space="0" w:color="auto"/>
              <w:bottom w:val="single" w:sz="4" w:space="0" w:color="auto"/>
              <w:right w:val="single" w:sz="4" w:space="0" w:color="auto"/>
            </w:tcBorders>
            <w:hideMark/>
          </w:tcPr>
          <w:p w14:paraId="5B5D4DAD" w14:textId="77777777" w:rsidR="00C52491" w:rsidRPr="00E02C47" w:rsidRDefault="00C52491">
            <w:pPr>
              <w:rPr>
                <w:bCs/>
                <w:iCs/>
                <w:sz w:val="24"/>
                <w:szCs w:val="24"/>
              </w:rPr>
            </w:pPr>
            <w:r w:rsidRPr="00E02C47">
              <w:rPr>
                <w:sz w:val="24"/>
                <w:szCs w:val="24"/>
                <w:lang w:bidi="da-DK"/>
              </w:rPr>
              <w:t>24 %</w:t>
            </w:r>
          </w:p>
        </w:tc>
      </w:tr>
      <w:tr w:rsidR="00C52491" w:rsidRPr="00E02C47" w14:paraId="00ED8E6C"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4E6A6A31" w14:textId="77777777" w:rsidR="00C52491" w:rsidRPr="00E02C47" w:rsidRDefault="00C52491">
            <w:pPr>
              <w:rPr>
                <w:b/>
                <w:bCs/>
                <w:iCs/>
                <w:sz w:val="24"/>
                <w:szCs w:val="24"/>
              </w:rPr>
            </w:pPr>
            <w:r w:rsidRPr="00E02C47">
              <w:rPr>
                <w:b/>
                <w:sz w:val="24"/>
                <w:szCs w:val="24"/>
                <w:lang w:bidi="da-DK"/>
              </w:rPr>
              <w:t>MRI-endepunkter</w:t>
            </w:r>
          </w:p>
        </w:tc>
        <w:tc>
          <w:tcPr>
            <w:tcW w:w="1416" w:type="pct"/>
            <w:tcBorders>
              <w:top w:val="single" w:sz="4" w:space="0" w:color="auto"/>
              <w:left w:val="single" w:sz="4" w:space="0" w:color="auto"/>
              <w:bottom w:val="single" w:sz="4" w:space="0" w:color="auto"/>
              <w:right w:val="single" w:sz="4" w:space="0" w:color="auto"/>
            </w:tcBorders>
          </w:tcPr>
          <w:p w14:paraId="6378AA32"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27263C8C" w14:textId="77777777" w:rsidR="00C52491" w:rsidRPr="00E02C47" w:rsidRDefault="00C52491">
            <w:pPr>
              <w:rPr>
                <w:bCs/>
                <w:iCs/>
                <w:sz w:val="24"/>
                <w:szCs w:val="24"/>
              </w:rPr>
            </w:pPr>
          </w:p>
        </w:tc>
      </w:tr>
      <w:tr w:rsidR="00C52491" w:rsidRPr="00E02C47" w14:paraId="66487BE9"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47D6441" w14:textId="77777777" w:rsidR="00C52491" w:rsidRPr="00E02C47" w:rsidRDefault="00C52491">
            <w:pPr>
              <w:rPr>
                <w:bCs/>
                <w:iCs/>
                <w:sz w:val="24"/>
                <w:szCs w:val="24"/>
              </w:rPr>
            </w:pPr>
            <w:r w:rsidRPr="00E02C47">
              <w:rPr>
                <w:sz w:val="24"/>
                <w:szCs w:val="24"/>
                <w:lang w:bidi="da-DK"/>
              </w:rPr>
              <w:t>Median (middel) antal nye eller forstørrede T2-læsioner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497BF319" w14:textId="77777777" w:rsidR="00C52491" w:rsidRPr="00E02C47" w:rsidRDefault="00C52491">
            <w:pPr>
              <w:rPr>
                <w:bCs/>
                <w:iCs/>
                <w:sz w:val="24"/>
                <w:szCs w:val="24"/>
                <w:lang w:val="en-GB"/>
              </w:rPr>
            </w:pPr>
            <w:r w:rsidRPr="00E02C47">
              <w:rPr>
                <w:sz w:val="24"/>
                <w:szCs w:val="24"/>
                <w:lang w:bidi="da-DK"/>
              </w:rPr>
              <w:t>0,0 (2,</w:t>
            </w:r>
            <w:proofErr w:type="gramStart"/>
            <w:r w:rsidRPr="00E02C47">
              <w:rPr>
                <w:sz w:val="24"/>
                <w:szCs w:val="24"/>
                <w:lang w:bidi="da-DK"/>
              </w:rPr>
              <w:t>5)*</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3329D120" w14:textId="77777777" w:rsidR="00C52491" w:rsidRPr="00E02C47" w:rsidRDefault="00C52491">
            <w:pPr>
              <w:rPr>
                <w:bCs/>
                <w:iCs/>
                <w:sz w:val="24"/>
                <w:szCs w:val="24"/>
              </w:rPr>
            </w:pPr>
            <w:r w:rsidRPr="00E02C47">
              <w:rPr>
                <w:sz w:val="24"/>
                <w:szCs w:val="24"/>
                <w:lang w:bidi="da-DK"/>
              </w:rPr>
              <w:t>5,0 (9,8)</w:t>
            </w:r>
          </w:p>
        </w:tc>
      </w:tr>
      <w:tr w:rsidR="00C52491" w:rsidRPr="00E02C47" w14:paraId="3BC488C8"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5C677D5" w14:textId="77777777" w:rsidR="00C52491" w:rsidRPr="00E02C47" w:rsidRDefault="00C52491">
            <w:pPr>
              <w:rPr>
                <w:bCs/>
                <w:iCs/>
                <w:sz w:val="24"/>
                <w:szCs w:val="24"/>
              </w:rPr>
            </w:pPr>
            <w:r w:rsidRPr="00E02C47">
              <w:rPr>
                <w:sz w:val="24"/>
                <w:szCs w:val="24"/>
                <w:lang w:bidi="da-DK"/>
              </w:rPr>
              <w:t>Median (middel) antal Gd-opladende læsioner ved måned 24</w:t>
            </w:r>
          </w:p>
        </w:tc>
        <w:tc>
          <w:tcPr>
            <w:tcW w:w="1416" w:type="pct"/>
            <w:tcBorders>
              <w:top w:val="single" w:sz="4" w:space="0" w:color="auto"/>
              <w:left w:val="single" w:sz="4" w:space="0" w:color="auto"/>
              <w:bottom w:val="single" w:sz="4" w:space="0" w:color="auto"/>
              <w:right w:val="single" w:sz="4" w:space="0" w:color="auto"/>
            </w:tcBorders>
            <w:hideMark/>
          </w:tcPr>
          <w:p w14:paraId="29EFE638" w14:textId="77777777" w:rsidR="00C52491" w:rsidRPr="00E02C47" w:rsidRDefault="00C52491">
            <w:pPr>
              <w:rPr>
                <w:bCs/>
                <w:iCs/>
                <w:sz w:val="24"/>
                <w:szCs w:val="24"/>
                <w:lang w:val="en-GB"/>
              </w:rPr>
            </w:pPr>
            <w:r w:rsidRPr="00E02C47">
              <w:rPr>
                <w:sz w:val="24"/>
                <w:szCs w:val="24"/>
                <w:lang w:bidi="da-DK"/>
              </w:rPr>
              <w:t>0,0 (0,</w:t>
            </w:r>
            <w:proofErr w:type="gramStart"/>
            <w:r w:rsidRPr="00E02C47">
              <w:rPr>
                <w:sz w:val="24"/>
                <w:szCs w:val="24"/>
                <w:lang w:bidi="da-DK"/>
              </w:rPr>
              <w:t>2)*</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735FC2E4" w14:textId="77777777" w:rsidR="00C52491" w:rsidRPr="00E02C47" w:rsidRDefault="00C52491">
            <w:pPr>
              <w:rPr>
                <w:bCs/>
                <w:iCs/>
                <w:sz w:val="24"/>
                <w:szCs w:val="24"/>
              </w:rPr>
            </w:pPr>
            <w:r w:rsidRPr="00E02C47">
              <w:rPr>
                <w:sz w:val="24"/>
                <w:szCs w:val="24"/>
                <w:lang w:bidi="da-DK"/>
              </w:rPr>
              <w:t>0,0 (1,1)</w:t>
            </w:r>
          </w:p>
        </w:tc>
      </w:tr>
      <w:tr w:rsidR="00C52491" w:rsidRPr="00E02C47" w14:paraId="33067844"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7DC0467B" w14:textId="77777777" w:rsidR="00C52491" w:rsidRPr="00E02C47" w:rsidRDefault="00C52491">
            <w:pPr>
              <w:rPr>
                <w:bCs/>
                <w:iCs/>
                <w:sz w:val="24"/>
                <w:szCs w:val="24"/>
                <w:lang w:val="nl-NL"/>
              </w:rPr>
            </w:pPr>
            <w:r w:rsidRPr="00E02C47">
              <w:rPr>
                <w:sz w:val="24"/>
                <w:szCs w:val="24"/>
                <w:lang w:bidi="da-DK"/>
              </w:rPr>
              <w:t>Median (middel) % ændring i hjernevolumen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545CD71E" w14:textId="77777777" w:rsidR="00C52491" w:rsidRPr="00E02C47" w:rsidRDefault="00C52491">
            <w:pPr>
              <w:rPr>
                <w:bCs/>
                <w:iCs/>
                <w:sz w:val="24"/>
                <w:szCs w:val="24"/>
                <w:lang w:val="en-GB"/>
              </w:rPr>
            </w:pPr>
            <w:r w:rsidRPr="00E02C47">
              <w:rPr>
                <w:sz w:val="24"/>
                <w:szCs w:val="24"/>
                <w:lang w:bidi="da-DK"/>
              </w:rPr>
              <w:t>-0,7 (-0,</w:t>
            </w:r>
            <w:proofErr w:type="gramStart"/>
            <w:r w:rsidRPr="00E02C47">
              <w:rPr>
                <w:sz w:val="24"/>
                <w:szCs w:val="24"/>
                <w:lang w:bidi="da-DK"/>
              </w:rPr>
              <w:t>8)*</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08B56C40" w14:textId="77777777" w:rsidR="00C52491" w:rsidRPr="00E02C47" w:rsidRDefault="00C52491">
            <w:pPr>
              <w:rPr>
                <w:bCs/>
                <w:iCs/>
                <w:sz w:val="24"/>
                <w:szCs w:val="24"/>
              </w:rPr>
            </w:pPr>
            <w:r w:rsidRPr="00E02C47">
              <w:rPr>
                <w:sz w:val="24"/>
                <w:szCs w:val="24"/>
                <w:lang w:bidi="da-DK"/>
              </w:rPr>
              <w:t>-1,0 (-1,3)</w:t>
            </w:r>
          </w:p>
        </w:tc>
      </w:tr>
      <w:tr w:rsidR="00C52491" w:rsidRPr="00E02C47" w14:paraId="0DDAC456"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1A409834" w14:textId="77777777" w:rsidR="00C52491" w:rsidRPr="00E02C47" w:rsidRDefault="00C52491">
            <w:pPr>
              <w:ind w:left="426" w:hanging="426"/>
              <w:rPr>
                <w:bCs/>
                <w:iCs/>
                <w:sz w:val="24"/>
                <w:szCs w:val="24"/>
              </w:rPr>
            </w:pPr>
            <w:r w:rsidRPr="00E02C47">
              <w:rPr>
                <w:sz w:val="24"/>
                <w:szCs w:val="24"/>
                <w:vertAlign w:val="superscript"/>
                <w:lang w:bidi="da-DK"/>
              </w:rPr>
              <w:t>†</w:t>
            </w:r>
            <w:r w:rsidRPr="00E02C47">
              <w:rPr>
                <w:sz w:val="24"/>
                <w:szCs w:val="24"/>
                <w:lang w:bidi="da-DK"/>
              </w:rPr>
              <w:t xml:space="preserve"> </w:t>
            </w:r>
            <w:r w:rsidRPr="00E02C47">
              <w:rPr>
                <w:sz w:val="24"/>
                <w:szCs w:val="24"/>
                <w:lang w:bidi="da-DK"/>
              </w:rPr>
              <w:tab/>
              <w:t>Invaliditetsprogression defineret som 1 points stigning i EDSS bekræftet 3 måneder senere.</w:t>
            </w:r>
          </w:p>
          <w:p w14:paraId="3B1BD204" w14:textId="77777777" w:rsidR="00C52491" w:rsidRPr="00E02C47" w:rsidRDefault="00C52491">
            <w:pPr>
              <w:ind w:left="426" w:hanging="426"/>
              <w:rPr>
                <w:bCs/>
                <w:iCs/>
                <w:sz w:val="24"/>
                <w:szCs w:val="24"/>
              </w:rPr>
            </w:pPr>
            <w:r w:rsidRPr="00E02C47">
              <w:rPr>
                <w:sz w:val="24"/>
                <w:szCs w:val="24"/>
                <w:lang w:bidi="da-DK"/>
              </w:rPr>
              <w:t xml:space="preserve">** </w:t>
            </w:r>
            <w:r w:rsidRPr="00E02C47">
              <w:rPr>
                <w:sz w:val="24"/>
                <w:szCs w:val="24"/>
                <w:lang w:bidi="da-DK"/>
              </w:rPr>
              <w:tab/>
              <w:t>p&lt;</w:t>
            </w:r>
            <w:proofErr w:type="gramStart"/>
            <w:r w:rsidRPr="00E02C47">
              <w:rPr>
                <w:sz w:val="24"/>
                <w:szCs w:val="24"/>
                <w:lang w:bidi="da-DK"/>
              </w:rPr>
              <w:t>0,001,*</w:t>
            </w:r>
            <w:proofErr w:type="gramEnd"/>
            <w:r w:rsidRPr="00E02C47">
              <w:rPr>
                <w:sz w:val="24"/>
                <w:szCs w:val="24"/>
                <w:lang w:bidi="da-DK"/>
              </w:rPr>
              <w:t xml:space="preserve"> p&lt;0,05, sammenlignet med placebo</w:t>
            </w:r>
          </w:p>
          <w:p w14:paraId="3554B61A" w14:textId="77777777" w:rsidR="00C52491" w:rsidRPr="00E02C47" w:rsidRDefault="00C52491">
            <w:pPr>
              <w:jc w:val="both"/>
              <w:rPr>
                <w:bCs/>
                <w:iCs/>
                <w:sz w:val="24"/>
                <w:szCs w:val="24"/>
                <w:u w:val="single"/>
              </w:rPr>
            </w:pPr>
            <w:r w:rsidRPr="00E02C47">
              <w:rPr>
                <w:sz w:val="24"/>
                <w:szCs w:val="24"/>
                <w:lang w:bidi="da-DK"/>
              </w:rPr>
              <w:t xml:space="preserve">Alle analyser af kliniske endepunkter var </w:t>
            </w:r>
            <w:r w:rsidRPr="00E02C47">
              <w:rPr>
                <w:i/>
                <w:sz w:val="24"/>
                <w:szCs w:val="24"/>
                <w:lang w:bidi="da-DK"/>
              </w:rPr>
              <w:t>intent-to-treat</w:t>
            </w:r>
            <w:r w:rsidRPr="00E02C47">
              <w:rPr>
                <w:sz w:val="24"/>
                <w:szCs w:val="24"/>
                <w:lang w:bidi="da-DK"/>
              </w:rPr>
              <w:t xml:space="preserve">. Til </w:t>
            </w:r>
            <w:proofErr w:type="gramStart"/>
            <w:r w:rsidRPr="00E02C47">
              <w:rPr>
                <w:sz w:val="24"/>
                <w:szCs w:val="24"/>
                <w:lang w:bidi="da-DK"/>
              </w:rPr>
              <w:t>MRI analyser</w:t>
            </w:r>
            <w:proofErr w:type="gramEnd"/>
            <w:r w:rsidRPr="00E02C47">
              <w:rPr>
                <w:sz w:val="24"/>
                <w:szCs w:val="24"/>
                <w:lang w:bidi="da-DK"/>
              </w:rPr>
              <w:t xml:space="preserve"> anvendtes det datasæt, der kunne evalueres.</w:t>
            </w:r>
          </w:p>
        </w:tc>
      </w:tr>
    </w:tbl>
    <w:p w14:paraId="1CAAD642" w14:textId="77777777" w:rsidR="00C52491" w:rsidRPr="00E02C47" w:rsidRDefault="00C52491" w:rsidP="00C52491">
      <w:pPr>
        <w:jc w:val="both"/>
        <w:rPr>
          <w:bCs/>
          <w:iCs/>
          <w:sz w:val="24"/>
          <w:szCs w:val="24"/>
          <w:u w:val="single"/>
        </w:rPr>
      </w:pPr>
    </w:p>
    <w:p w14:paraId="60EA7299" w14:textId="77777777" w:rsidR="00C52491" w:rsidRPr="00E02C47" w:rsidRDefault="00C52491" w:rsidP="00E02C47">
      <w:pPr>
        <w:ind w:left="851"/>
        <w:rPr>
          <w:sz w:val="24"/>
          <w:szCs w:val="24"/>
        </w:rPr>
      </w:pPr>
      <w:r w:rsidRPr="00E02C47">
        <w:rPr>
          <w:sz w:val="24"/>
          <w:szCs w:val="24"/>
        </w:rPr>
        <w:t xml:space="preserve">Patienter, der fuldførte det 24-måneders overordnede studie, FREEDOMS, kunne fortsætte i et dosisblindet forlængelsesstudie (D2301E1) og få fingolimod. I alt 920 patienter indgik (n=331 fortsatte på 0,5 mg, 289 fortsatte på 1,25 mg, 155 skiftede fra placebo til 0,5 mg, og 145 skiftede fra placebo til 1,25 mg). Efter 12 måneder (måned 36) deltog 856 patienter (93 %) fortsat. Imellem måned 24 og 36 var den annualiserede relapsrate (ARR) for patienter på fingolimod 0,5 mg i det overordnede studie, der fortsat fik 0,5 mg, 0,17 (0,21 i det overordnede studie). ARR for patienter, der skiftede fra placebo til fingolimod 0,5 mg, var 0,22 (0,42 i det overordnede studie). </w:t>
      </w:r>
    </w:p>
    <w:p w14:paraId="1D3B4282" w14:textId="77777777" w:rsidR="00C52491" w:rsidRPr="00E02C47" w:rsidRDefault="00C52491" w:rsidP="00E02C47">
      <w:pPr>
        <w:ind w:left="851"/>
        <w:rPr>
          <w:sz w:val="24"/>
          <w:szCs w:val="24"/>
        </w:rPr>
      </w:pPr>
      <w:r w:rsidRPr="00E02C47">
        <w:rPr>
          <w:sz w:val="24"/>
          <w:szCs w:val="24"/>
        </w:rPr>
        <w:t xml:space="preserve"> </w:t>
      </w:r>
    </w:p>
    <w:p w14:paraId="0573306C" w14:textId="77777777" w:rsidR="00C52491" w:rsidRPr="00E02C47" w:rsidRDefault="00C52491" w:rsidP="00E02C47">
      <w:pPr>
        <w:ind w:left="851"/>
        <w:rPr>
          <w:sz w:val="24"/>
          <w:szCs w:val="24"/>
        </w:rPr>
      </w:pPr>
      <w:r w:rsidRPr="00E02C47">
        <w:rPr>
          <w:sz w:val="24"/>
          <w:szCs w:val="24"/>
        </w:rPr>
        <w:t xml:space="preserve">Sammenlignelige resultater blev set i et 2-årigt, randomiseret, dobbelt-blindet, placebo-kontrolleret fase-III replika-studie med fingolimod hos 1.083 patienter (n=358 på 0,5 mg, 370 på 1,25 mg, 355 på placebo) med RRMS (D2309; FREEDOMS 2). Median-værdier for baseline-karakteristika var: alder 41 år, sygdomsvarighed 8,9 år, EDSS-score 2,5. </w:t>
      </w:r>
    </w:p>
    <w:p w14:paraId="2F1565BE" w14:textId="77777777" w:rsidR="00C52491" w:rsidRPr="00E02C47" w:rsidRDefault="00C52491" w:rsidP="00E02C47">
      <w:pPr>
        <w:ind w:left="851"/>
        <w:rPr>
          <w:bCs/>
          <w:iCs/>
          <w:sz w:val="24"/>
          <w:szCs w:val="24"/>
          <w:u w:val="single"/>
        </w:rPr>
      </w:pPr>
    </w:p>
    <w:p w14:paraId="62ED00F0" w14:textId="4BB932C9" w:rsidR="00C52491" w:rsidRPr="00E02C47" w:rsidRDefault="00C52491" w:rsidP="00C52491">
      <w:pPr>
        <w:jc w:val="both"/>
        <w:rPr>
          <w:b/>
          <w:bCs/>
          <w:iCs/>
          <w:sz w:val="24"/>
          <w:szCs w:val="24"/>
        </w:rPr>
      </w:pPr>
      <w:r w:rsidRPr="00E02C47">
        <w:rPr>
          <w:b/>
          <w:sz w:val="24"/>
          <w:szCs w:val="24"/>
          <w:lang w:bidi="da-DK"/>
        </w:rPr>
        <w:t>Tabel 2</w:t>
      </w:r>
      <w:r w:rsidR="00085272">
        <w:rPr>
          <w:b/>
          <w:sz w:val="24"/>
          <w:szCs w:val="24"/>
          <w:lang w:bidi="da-DK"/>
        </w:rPr>
        <w:t xml:space="preserve">. </w:t>
      </w:r>
      <w:r w:rsidRPr="00E02C47">
        <w:rPr>
          <w:b/>
          <w:sz w:val="24"/>
          <w:szCs w:val="24"/>
          <w:lang w:bidi="da-DK"/>
        </w:rPr>
        <w:t>Studie D2309 (FREEDOMS 2): hovedresultater</w:t>
      </w:r>
    </w:p>
    <w:p w14:paraId="3949EC00" w14:textId="77777777" w:rsidR="00C52491" w:rsidRPr="00E02C47" w:rsidRDefault="00C52491" w:rsidP="00C52491">
      <w:pPr>
        <w:jc w:val="both"/>
        <w:rPr>
          <w:bCs/>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727"/>
        <w:gridCol w:w="3383"/>
      </w:tblGrid>
      <w:tr w:rsidR="00C52491" w:rsidRPr="00E02C47" w14:paraId="45C3B2CE" w14:textId="77777777" w:rsidTr="00E02C47">
        <w:tc>
          <w:tcPr>
            <w:tcW w:w="1827" w:type="pct"/>
            <w:tcBorders>
              <w:top w:val="single" w:sz="4" w:space="0" w:color="auto"/>
              <w:left w:val="single" w:sz="4" w:space="0" w:color="auto"/>
              <w:bottom w:val="single" w:sz="4" w:space="0" w:color="auto"/>
              <w:right w:val="single" w:sz="4" w:space="0" w:color="auto"/>
            </w:tcBorders>
          </w:tcPr>
          <w:p w14:paraId="63EF9CA8" w14:textId="77777777" w:rsidR="00C52491" w:rsidRPr="00E02C47" w:rsidRDefault="00C52491">
            <w:pPr>
              <w:rPr>
                <w:bCs/>
                <w:iCs/>
                <w:sz w:val="24"/>
                <w:szCs w:val="24"/>
              </w:rPr>
            </w:pPr>
          </w:p>
        </w:tc>
        <w:tc>
          <w:tcPr>
            <w:tcW w:w="1416" w:type="pct"/>
            <w:tcBorders>
              <w:top w:val="single" w:sz="4" w:space="0" w:color="auto"/>
              <w:left w:val="single" w:sz="4" w:space="0" w:color="auto"/>
              <w:bottom w:val="single" w:sz="4" w:space="0" w:color="auto"/>
              <w:right w:val="single" w:sz="4" w:space="0" w:color="auto"/>
            </w:tcBorders>
            <w:hideMark/>
          </w:tcPr>
          <w:p w14:paraId="7A59BF01" w14:textId="77777777" w:rsidR="00C52491" w:rsidRPr="00E02C47" w:rsidRDefault="00C52491">
            <w:pPr>
              <w:rPr>
                <w:b/>
                <w:bCs/>
                <w:iCs/>
                <w:sz w:val="24"/>
                <w:szCs w:val="24"/>
                <w:lang w:val="en-GB"/>
              </w:rPr>
            </w:pPr>
            <w:r w:rsidRPr="00E02C47">
              <w:rPr>
                <w:b/>
                <w:sz w:val="24"/>
                <w:szCs w:val="24"/>
                <w:lang w:bidi="da-DK"/>
              </w:rPr>
              <w:t>Fingolimod</w:t>
            </w:r>
          </w:p>
          <w:p w14:paraId="600191BB" w14:textId="77777777" w:rsidR="00C52491" w:rsidRPr="00E02C47" w:rsidRDefault="00C52491">
            <w:pPr>
              <w:rPr>
                <w:b/>
                <w:bCs/>
                <w:iCs/>
                <w:sz w:val="24"/>
                <w:szCs w:val="24"/>
              </w:rPr>
            </w:pPr>
            <w:r w:rsidRPr="00E02C47">
              <w:rPr>
                <w:b/>
                <w:sz w:val="24"/>
                <w:szCs w:val="24"/>
                <w:lang w:bidi="da-DK"/>
              </w:rPr>
              <w:t>0,5 mg</w:t>
            </w:r>
          </w:p>
        </w:tc>
        <w:tc>
          <w:tcPr>
            <w:tcW w:w="1757" w:type="pct"/>
            <w:tcBorders>
              <w:top w:val="single" w:sz="4" w:space="0" w:color="auto"/>
              <w:left w:val="single" w:sz="4" w:space="0" w:color="auto"/>
              <w:bottom w:val="single" w:sz="4" w:space="0" w:color="auto"/>
              <w:right w:val="single" w:sz="4" w:space="0" w:color="auto"/>
            </w:tcBorders>
            <w:hideMark/>
          </w:tcPr>
          <w:p w14:paraId="3740A341" w14:textId="77777777" w:rsidR="00C52491" w:rsidRPr="00E02C47" w:rsidRDefault="00C52491">
            <w:pPr>
              <w:rPr>
                <w:b/>
                <w:bCs/>
                <w:iCs/>
                <w:sz w:val="24"/>
                <w:szCs w:val="24"/>
              </w:rPr>
            </w:pPr>
            <w:r w:rsidRPr="00E02C47">
              <w:rPr>
                <w:b/>
                <w:sz w:val="24"/>
                <w:szCs w:val="24"/>
                <w:lang w:bidi="da-DK"/>
              </w:rPr>
              <w:t>Placebo</w:t>
            </w:r>
          </w:p>
        </w:tc>
      </w:tr>
      <w:tr w:rsidR="00C52491" w:rsidRPr="00E02C47" w14:paraId="37EA183E"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7FAF5988" w14:textId="77777777" w:rsidR="00C52491" w:rsidRPr="00E02C47" w:rsidRDefault="00C52491">
            <w:pPr>
              <w:rPr>
                <w:b/>
                <w:bCs/>
                <w:iCs/>
                <w:sz w:val="24"/>
                <w:szCs w:val="24"/>
              </w:rPr>
            </w:pPr>
            <w:r w:rsidRPr="00E02C47">
              <w:rPr>
                <w:b/>
                <w:sz w:val="24"/>
                <w:szCs w:val="24"/>
                <w:lang w:bidi="da-DK"/>
              </w:rPr>
              <w:t>Kliniske endepunkter</w:t>
            </w:r>
          </w:p>
        </w:tc>
        <w:tc>
          <w:tcPr>
            <w:tcW w:w="1416" w:type="pct"/>
            <w:tcBorders>
              <w:top w:val="single" w:sz="4" w:space="0" w:color="auto"/>
              <w:left w:val="single" w:sz="4" w:space="0" w:color="auto"/>
              <w:bottom w:val="single" w:sz="4" w:space="0" w:color="auto"/>
              <w:right w:val="single" w:sz="4" w:space="0" w:color="auto"/>
            </w:tcBorders>
          </w:tcPr>
          <w:p w14:paraId="050AA84D"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04E7490D" w14:textId="77777777" w:rsidR="00C52491" w:rsidRPr="00E02C47" w:rsidRDefault="00C52491">
            <w:pPr>
              <w:rPr>
                <w:bCs/>
                <w:iCs/>
                <w:sz w:val="24"/>
                <w:szCs w:val="24"/>
              </w:rPr>
            </w:pPr>
          </w:p>
        </w:tc>
      </w:tr>
      <w:tr w:rsidR="00C52491" w:rsidRPr="00E02C47" w14:paraId="38CE3FFB"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AB0D5EC" w14:textId="77777777" w:rsidR="00C52491" w:rsidRPr="00E02C47" w:rsidRDefault="00C52491">
            <w:pPr>
              <w:rPr>
                <w:bCs/>
                <w:iCs/>
                <w:sz w:val="24"/>
                <w:szCs w:val="24"/>
              </w:rPr>
            </w:pPr>
            <w:r w:rsidRPr="00E02C47">
              <w:rPr>
                <w:sz w:val="24"/>
                <w:szCs w:val="24"/>
                <w:lang w:bidi="da-DK"/>
              </w:rPr>
              <w:t>Annualiseret relapsrate (primært endepunkt)</w:t>
            </w:r>
          </w:p>
        </w:tc>
        <w:tc>
          <w:tcPr>
            <w:tcW w:w="1416" w:type="pct"/>
            <w:tcBorders>
              <w:top w:val="single" w:sz="4" w:space="0" w:color="auto"/>
              <w:left w:val="single" w:sz="4" w:space="0" w:color="auto"/>
              <w:bottom w:val="single" w:sz="4" w:space="0" w:color="auto"/>
              <w:right w:val="single" w:sz="4" w:space="0" w:color="auto"/>
            </w:tcBorders>
            <w:hideMark/>
          </w:tcPr>
          <w:p w14:paraId="5D0B7894" w14:textId="77777777" w:rsidR="00C52491" w:rsidRPr="00E02C47" w:rsidRDefault="00C52491">
            <w:pPr>
              <w:rPr>
                <w:bCs/>
                <w:iCs/>
                <w:sz w:val="24"/>
                <w:szCs w:val="24"/>
              </w:rPr>
            </w:pPr>
            <w:r w:rsidRPr="00E02C47">
              <w:rPr>
                <w:sz w:val="24"/>
                <w:szCs w:val="24"/>
                <w:lang w:bidi="da-DK"/>
              </w:rPr>
              <w:t>0,21**</w:t>
            </w:r>
          </w:p>
        </w:tc>
        <w:tc>
          <w:tcPr>
            <w:tcW w:w="1757" w:type="pct"/>
            <w:tcBorders>
              <w:top w:val="single" w:sz="4" w:space="0" w:color="auto"/>
              <w:left w:val="single" w:sz="4" w:space="0" w:color="auto"/>
              <w:bottom w:val="single" w:sz="4" w:space="0" w:color="auto"/>
              <w:right w:val="single" w:sz="4" w:space="0" w:color="auto"/>
            </w:tcBorders>
            <w:hideMark/>
          </w:tcPr>
          <w:p w14:paraId="1C1DA84D" w14:textId="77777777" w:rsidR="00C52491" w:rsidRPr="00E02C47" w:rsidRDefault="00C52491">
            <w:pPr>
              <w:rPr>
                <w:bCs/>
                <w:iCs/>
                <w:sz w:val="24"/>
                <w:szCs w:val="24"/>
              </w:rPr>
            </w:pPr>
            <w:r w:rsidRPr="00E02C47">
              <w:rPr>
                <w:sz w:val="24"/>
                <w:szCs w:val="24"/>
                <w:lang w:bidi="da-DK"/>
              </w:rPr>
              <w:t>0,40</w:t>
            </w:r>
          </w:p>
        </w:tc>
      </w:tr>
      <w:tr w:rsidR="00C52491" w:rsidRPr="00E02C47" w14:paraId="4AAEDCA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B7947E3" w14:textId="77777777" w:rsidR="00C52491" w:rsidRPr="00E02C47" w:rsidRDefault="00C52491">
            <w:pPr>
              <w:rPr>
                <w:bCs/>
                <w:iCs/>
                <w:sz w:val="24"/>
                <w:szCs w:val="24"/>
                <w:lang w:val="nl-NL"/>
              </w:rPr>
            </w:pPr>
            <w:r w:rsidRPr="00E02C47">
              <w:rPr>
                <w:sz w:val="24"/>
                <w:szCs w:val="24"/>
                <w:lang w:bidi="da-DK"/>
              </w:rPr>
              <w:lastRenderedPageBreak/>
              <w:t>Procentdel af patienter, som forblev relapsfrie ved måned 24</w:t>
            </w:r>
          </w:p>
        </w:tc>
        <w:tc>
          <w:tcPr>
            <w:tcW w:w="1416" w:type="pct"/>
            <w:tcBorders>
              <w:top w:val="single" w:sz="4" w:space="0" w:color="auto"/>
              <w:left w:val="single" w:sz="4" w:space="0" w:color="auto"/>
              <w:bottom w:val="single" w:sz="4" w:space="0" w:color="auto"/>
              <w:right w:val="single" w:sz="4" w:space="0" w:color="auto"/>
            </w:tcBorders>
            <w:hideMark/>
          </w:tcPr>
          <w:p w14:paraId="56C7C926" w14:textId="77777777" w:rsidR="00C52491" w:rsidRPr="00E02C47" w:rsidRDefault="00C52491">
            <w:pPr>
              <w:rPr>
                <w:bCs/>
                <w:iCs/>
                <w:sz w:val="24"/>
                <w:szCs w:val="24"/>
                <w:lang w:val="en-GB"/>
              </w:rPr>
            </w:pPr>
            <w:r w:rsidRPr="00E02C47">
              <w:rPr>
                <w:sz w:val="24"/>
                <w:szCs w:val="24"/>
                <w:lang w:bidi="da-DK"/>
              </w:rPr>
              <w:t>71,5 %**</w:t>
            </w:r>
          </w:p>
        </w:tc>
        <w:tc>
          <w:tcPr>
            <w:tcW w:w="1757" w:type="pct"/>
            <w:tcBorders>
              <w:top w:val="single" w:sz="4" w:space="0" w:color="auto"/>
              <w:left w:val="single" w:sz="4" w:space="0" w:color="auto"/>
              <w:bottom w:val="single" w:sz="4" w:space="0" w:color="auto"/>
              <w:right w:val="single" w:sz="4" w:space="0" w:color="auto"/>
            </w:tcBorders>
            <w:hideMark/>
          </w:tcPr>
          <w:p w14:paraId="497C900B" w14:textId="77777777" w:rsidR="00C52491" w:rsidRPr="00E02C47" w:rsidRDefault="00C52491">
            <w:pPr>
              <w:rPr>
                <w:bCs/>
                <w:iCs/>
                <w:sz w:val="24"/>
                <w:szCs w:val="24"/>
              </w:rPr>
            </w:pPr>
            <w:r w:rsidRPr="00E02C47">
              <w:rPr>
                <w:sz w:val="24"/>
                <w:szCs w:val="24"/>
                <w:lang w:bidi="da-DK"/>
              </w:rPr>
              <w:t>52,7 %</w:t>
            </w:r>
          </w:p>
        </w:tc>
      </w:tr>
      <w:tr w:rsidR="00C52491" w:rsidRPr="00E02C47" w14:paraId="5D6C60CE"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153A04D" w14:textId="6E0FB01C" w:rsidR="00C52491" w:rsidRPr="00E02C47" w:rsidRDefault="00C52491">
            <w:pPr>
              <w:rPr>
                <w:bCs/>
                <w:iCs/>
                <w:sz w:val="24"/>
                <w:szCs w:val="24"/>
              </w:rPr>
            </w:pPr>
            <w:r w:rsidRPr="00E02C47">
              <w:rPr>
                <w:sz w:val="24"/>
                <w:szCs w:val="24"/>
                <w:lang w:bidi="da-DK"/>
              </w:rPr>
              <w:t>Andel med invaliditets</w:t>
            </w:r>
            <w:r w:rsidR="00085272">
              <w:rPr>
                <w:sz w:val="24"/>
                <w:szCs w:val="24"/>
                <w:lang w:bidi="da-DK"/>
              </w:rPr>
              <w:softHyphen/>
            </w:r>
            <w:r w:rsidRPr="00E02C47">
              <w:rPr>
                <w:sz w:val="24"/>
                <w:szCs w:val="24"/>
                <w:lang w:bidi="da-DK"/>
              </w:rPr>
              <w:t>progression bekræftet efter 3-måneder</w:t>
            </w:r>
            <w:r w:rsidRPr="00E02C47">
              <w:rPr>
                <w:sz w:val="24"/>
                <w:szCs w:val="24"/>
                <w:vertAlign w:val="superscript"/>
                <w:lang w:bidi="da-DK"/>
              </w:rPr>
              <w:t>†</w:t>
            </w:r>
          </w:p>
          <w:p w14:paraId="70397533" w14:textId="77777777" w:rsidR="00C52491" w:rsidRPr="00E02C47" w:rsidRDefault="00C52491">
            <w:pPr>
              <w:rPr>
                <w:bCs/>
                <w:iCs/>
                <w:sz w:val="24"/>
                <w:szCs w:val="24"/>
              </w:rPr>
            </w:pPr>
            <w:r w:rsidRPr="00E02C47">
              <w:rPr>
                <w:sz w:val="24"/>
                <w:szCs w:val="24"/>
                <w:lang w:bidi="da-DK"/>
              </w:rPr>
              <w:t>Hazard ratio (95 % CI)</w:t>
            </w:r>
          </w:p>
        </w:tc>
        <w:tc>
          <w:tcPr>
            <w:tcW w:w="1416" w:type="pct"/>
            <w:tcBorders>
              <w:top w:val="single" w:sz="4" w:space="0" w:color="auto"/>
              <w:left w:val="single" w:sz="4" w:space="0" w:color="auto"/>
              <w:bottom w:val="single" w:sz="4" w:space="0" w:color="auto"/>
              <w:right w:val="single" w:sz="4" w:space="0" w:color="auto"/>
            </w:tcBorders>
          </w:tcPr>
          <w:p w14:paraId="67520D73" w14:textId="77777777" w:rsidR="00C52491" w:rsidRPr="00E02C47" w:rsidRDefault="00C52491">
            <w:pPr>
              <w:rPr>
                <w:bCs/>
                <w:iCs/>
                <w:sz w:val="24"/>
                <w:szCs w:val="24"/>
                <w:lang w:val="en-GB"/>
              </w:rPr>
            </w:pPr>
            <w:r w:rsidRPr="00E02C47">
              <w:rPr>
                <w:sz w:val="24"/>
                <w:szCs w:val="24"/>
                <w:lang w:bidi="da-DK"/>
              </w:rPr>
              <w:t>25 %</w:t>
            </w:r>
          </w:p>
          <w:p w14:paraId="51DAF295" w14:textId="77777777" w:rsidR="00C52491" w:rsidRPr="00E02C47" w:rsidRDefault="00C52491">
            <w:pPr>
              <w:rPr>
                <w:bCs/>
                <w:iCs/>
                <w:sz w:val="24"/>
                <w:szCs w:val="24"/>
              </w:rPr>
            </w:pPr>
          </w:p>
          <w:p w14:paraId="579916FE" w14:textId="77777777" w:rsidR="00C52491" w:rsidRPr="00E02C47" w:rsidRDefault="00C52491">
            <w:pPr>
              <w:rPr>
                <w:bCs/>
                <w:iCs/>
                <w:sz w:val="24"/>
                <w:szCs w:val="24"/>
              </w:rPr>
            </w:pPr>
          </w:p>
          <w:p w14:paraId="2713F873" w14:textId="77777777" w:rsidR="00C52491" w:rsidRPr="00E02C47" w:rsidRDefault="00C52491">
            <w:pPr>
              <w:rPr>
                <w:bCs/>
                <w:iCs/>
                <w:sz w:val="24"/>
                <w:szCs w:val="24"/>
              </w:rPr>
            </w:pPr>
            <w:r w:rsidRPr="00E02C47">
              <w:rPr>
                <w:sz w:val="24"/>
                <w:szCs w:val="24"/>
                <w:lang w:bidi="da-DK"/>
              </w:rPr>
              <w:t>-0,83 (-0,61, 1,12)</w:t>
            </w:r>
          </w:p>
        </w:tc>
        <w:tc>
          <w:tcPr>
            <w:tcW w:w="1757" w:type="pct"/>
            <w:tcBorders>
              <w:top w:val="single" w:sz="4" w:space="0" w:color="auto"/>
              <w:left w:val="single" w:sz="4" w:space="0" w:color="auto"/>
              <w:bottom w:val="single" w:sz="4" w:space="0" w:color="auto"/>
              <w:right w:val="single" w:sz="4" w:space="0" w:color="auto"/>
            </w:tcBorders>
            <w:hideMark/>
          </w:tcPr>
          <w:p w14:paraId="442F1604" w14:textId="77777777" w:rsidR="00C52491" w:rsidRPr="00E02C47" w:rsidRDefault="00C52491">
            <w:pPr>
              <w:rPr>
                <w:bCs/>
                <w:iCs/>
                <w:sz w:val="24"/>
                <w:szCs w:val="24"/>
              </w:rPr>
            </w:pPr>
            <w:r w:rsidRPr="00E02C47">
              <w:rPr>
                <w:sz w:val="24"/>
                <w:szCs w:val="24"/>
                <w:lang w:bidi="da-DK"/>
              </w:rPr>
              <w:t>29 %</w:t>
            </w:r>
          </w:p>
        </w:tc>
      </w:tr>
      <w:tr w:rsidR="00C52491" w:rsidRPr="00E02C47" w14:paraId="2C18E4C0"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1CAB85F" w14:textId="77777777" w:rsidR="00C52491" w:rsidRPr="00E02C47" w:rsidRDefault="00C52491">
            <w:pPr>
              <w:rPr>
                <w:b/>
                <w:bCs/>
                <w:iCs/>
                <w:sz w:val="24"/>
                <w:szCs w:val="24"/>
              </w:rPr>
            </w:pPr>
            <w:proofErr w:type="gramStart"/>
            <w:r w:rsidRPr="00E02C47">
              <w:rPr>
                <w:b/>
                <w:sz w:val="24"/>
                <w:szCs w:val="24"/>
                <w:lang w:bidi="da-DK"/>
              </w:rPr>
              <w:t>MRI endepunkter</w:t>
            </w:r>
            <w:proofErr w:type="gramEnd"/>
          </w:p>
        </w:tc>
        <w:tc>
          <w:tcPr>
            <w:tcW w:w="1416" w:type="pct"/>
            <w:tcBorders>
              <w:top w:val="single" w:sz="4" w:space="0" w:color="auto"/>
              <w:left w:val="single" w:sz="4" w:space="0" w:color="auto"/>
              <w:bottom w:val="single" w:sz="4" w:space="0" w:color="auto"/>
              <w:right w:val="single" w:sz="4" w:space="0" w:color="auto"/>
            </w:tcBorders>
          </w:tcPr>
          <w:p w14:paraId="790FDFD0"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710A1D74" w14:textId="77777777" w:rsidR="00C52491" w:rsidRPr="00E02C47" w:rsidRDefault="00C52491">
            <w:pPr>
              <w:rPr>
                <w:bCs/>
                <w:iCs/>
                <w:sz w:val="24"/>
                <w:szCs w:val="24"/>
              </w:rPr>
            </w:pPr>
          </w:p>
        </w:tc>
      </w:tr>
      <w:tr w:rsidR="00C52491" w:rsidRPr="00E02C47" w14:paraId="3A5F214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20C6C18" w14:textId="77777777" w:rsidR="00C52491" w:rsidRPr="00E02C47" w:rsidRDefault="00C52491">
            <w:pPr>
              <w:rPr>
                <w:bCs/>
                <w:iCs/>
                <w:sz w:val="24"/>
                <w:szCs w:val="24"/>
              </w:rPr>
            </w:pPr>
            <w:r w:rsidRPr="00E02C47">
              <w:rPr>
                <w:sz w:val="24"/>
                <w:szCs w:val="24"/>
                <w:lang w:bidi="da-DK"/>
              </w:rPr>
              <w:t>Median (middel) antal nye eller forstørrede T2-læsioner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419BC676" w14:textId="77777777" w:rsidR="00C52491" w:rsidRPr="00E02C47" w:rsidRDefault="00C52491">
            <w:pPr>
              <w:rPr>
                <w:bCs/>
                <w:iCs/>
                <w:sz w:val="24"/>
                <w:szCs w:val="24"/>
                <w:lang w:val="en-GB"/>
              </w:rPr>
            </w:pPr>
            <w:r w:rsidRPr="00E02C47">
              <w:rPr>
                <w:sz w:val="24"/>
                <w:szCs w:val="24"/>
                <w:lang w:bidi="da-DK"/>
              </w:rPr>
              <w:t>0,0 (2,</w:t>
            </w:r>
            <w:proofErr w:type="gramStart"/>
            <w:r w:rsidRPr="00E02C47">
              <w:rPr>
                <w:sz w:val="24"/>
                <w:szCs w:val="24"/>
                <w:lang w:bidi="da-DK"/>
              </w:rPr>
              <w:t>3)*</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10196C5F" w14:textId="77777777" w:rsidR="00C52491" w:rsidRPr="00E02C47" w:rsidRDefault="00C52491">
            <w:pPr>
              <w:rPr>
                <w:bCs/>
                <w:iCs/>
                <w:sz w:val="24"/>
                <w:szCs w:val="24"/>
              </w:rPr>
            </w:pPr>
            <w:r w:rsidRPr="00E02C47">
              <w:rPr>
                <w:sz w:val="24"/>
                <w:szCs w:val="24"/>
                <w:lang w:bidi="da-DK"/>
              </w:rPr>
              <w:t>4,0 (8,9)</w:t>
            </w:r>
          </w:p>
        </w:tc>
      </w:tr>
      <w:tr w:rsidR="00C52491" w:rsidRPr="00E02C47" w14:paraId="1507753A"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E8C4D13" w14:textId="77777777" w:rsidR="00C52491" w:rsidRPr="00E02C47" w:rsidRDefault="00C52491">
            <w:pPr>
              <w:rPr>
                <w:bCs/>
                <w:iCs/>
                <w:sz w:val="24"/>
                <w:szCs w:val="24"/>
              </w:rPr>
            </w:pPr>
            <w:r w:rsidRPr="00E02C47">
              <w:rPr>
                <w:sz w:val="24"/>
                <w:szCs w:val="24"/>
                <w:lang w:bidi="da-DK"/>
              </w:rPr>
              <w:t>Median (middel) antal Gd-opladende læsioner ved måned 24</w:t>
            </w:r>
          </w:p>
        </w:tc>
        <w:tc>
          <w:tcPr>
            <w:tcW w:w="1416" w:type="pct"/>
            <w:tcBorders>
              <w:top w:val="single" w:sz="4" w:space="0" w:color="auto"/>
              <w:left w:val="single" w:sz="4" w:space="0" w:color="auto"/>
              <w:bottom w:val="single" w:sz="4" w:space="0" w:color="auto"/>
              <w:right w:val="single" w:sz="4" w:space="0" w:color="auto"/>
            </w:tcBorders>
            <w:hideMark/>
          </w:tcPr>
          <w:p w14:paraId="1775B928" w14:textId="77777777" w:rsidR="00C52491" w:rsidRPr="00E02C47" w:rsidRDefault="00C52491">
            <w:pPr>
              <w:rPr>
                <w:bCs/>
                <w:iCs/>
                <w:sz w:val="24"/>
                <w:szCs w:val="24"/>
                <w:lang w:val="en-GB"/>
              </w:rPr>
            </w:pPr>
            <w:r w:rsidRPr="00E02C47">
              <w:rPr>
                <w:sz w:val="24"/>
                <w:szCs w:val="24"/>
                <w:lang w:bidi="da-DK"/>
              </w:rPr>
              <w:t>0,0 (0,</w:t>
            </w:r>
            <w:proofErr w:type="gramStart"/>
            <w:r w:rsidRPr="00E02C47">
              <w:rPr>
                <w:sz w:val="24"/>
                <w:szCs w:val="24"/>
                <w:lang w:bidi="da-DK"/>
              </w:rPr>
              <w:t>4)*</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1A4CF2B3" w14:textId="77777777" w:rsidR="00C52491" w:rsidRPr="00E02C47" w:rsidRDefault="00C52491">
            <w:pPr>
              <w:rPr>
                <w:bCs/>
                <w:iCs/>
                <w:sz w:val="24"/>
                <w:szCs w:val="24"/>
              </w:rPr>
            </w:pPr>
            <w:r w:rsidRPr="00E02C47">
              <w:rPr>
                <w:sz w:val="24"/>
                <w:szCs w:val="24"/>
                <w:lang w:bidi="da-DK"/>
              </w:rPr>
              <w:t>0,0 (1,2)</w:t>
            </w:r>
          </w:p>
        </w:tc>
      </w:tr>
      <w:tr w:rsidR="00C52491" w:rsidRPr="00E02C47" w14:paraId="53E00F5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A28EE63" w14:textId="77777777" w:rsidR="00C52491" w:rsidRPr="00E02C47" w:rsidRDefault="00C52491">
            <w:pPr>
              <w:rPr>
                <w:bCs/>
                <w:iCs/>
                <w:sz w:val="24"/>
                <w:szCs w:val="24"/>
                <w:lang w:val="nl-NL"/>
              </w:rPr>
            </w:pPr>
            <w:r w:rsidRPr="00E02C47">
              <w:rPr>
                <w:sz w:val="24"/>
                <w:szCs w:val="24"/>
                <w:lang w:bidi="da-DK"/>
              </w:rPr>
              <w:t>Median (middel) % ændring i hjernevolumen i løbet af 24 måneder</w:t>
            </w:r>
          </w:p>
        </w:tc>
        <w:tc>
          <w:tcPr>
            <w:tcW w:w="1416" w:type="pct"/>
            <w:tcBorders>
              <w:top w:val="single" w:sz="4" w:space="0" w:color="auto"/>
              <w:left w:val="single" w:sz="4" w:space="0" w:color="auto"/>
              <w:bottom w:val="single" w:sz="4" w:space="0" w:color="auto"/>
              <w:right w:val="single" w:sz="4" w:space="0" w:color="auto"/>
            </w:tcBorders>
            <w:hideMark/>
          </w:tcPr>
          <w:p w14:paraId="6F4E2E45" w14:textId="77777777" w:rsidR="00C52491" w:rsidRPr="00E02C47" w:rsidRDefault="00C52491">
            <w:pPr>
              <w:rPr>
                <w:bCs/>
                <w:iCs/>
                <w:sz w:val="24"/>
                <w:szCs w:val="24"/>
                <w:lang w:val="en-GB"/>
              </w:rPr>
            </w:pPr>
            <w:r w:rsidRPr="00E02C47">
              <w:rPr>
                <w:sz w:val="24"/>
                <w:szCs w:val="24"/>
                <w:lang w:bidi="da-DK"/>
              </w:rPr>
              <w:t>-0,71 (-0,</w:t>
            </w:r>
            <w:proofErr w:type="gramStart"/>
            <w:r w:rsidRPr="00E02C47">
              <w:rPr>
                <w:sz w:val="24"/>
                <w:szCs w:val="24"/>
                <w:lang w:bidi="da-DK"/>
              </w:rPr>
              <w:t>86)*</w:t>
            </w:r>
            <w:proofErr w:type="gramEnd"/>
            <w:r w:rsidRPr="00E02C47">
              <w:rPr>
                <w:sz w:val="24"/>
                <w:szCs w:val="24"/>
                <w:lang w:bidi="da-DK"/>
              </w:rPr>
              <w:t>*</w:t>
            </w:r>
          </w:p>
        </w:tc>
        <w:tc>
          <w:tcPr>
            <w:tcW w:w="1757" w:type="pct"/>
            <w:tcBorders>
              <w:top w:val="single" w:sz="4" w:space="0" w:color="auto"/>
              <w:left w:val="single" w:sz="4" w:space="0" w:color="auto"/>
              <w:bottom w:val="single" w:sz="4" w:space="0" w:color="auto"/>
              <w:right w:val="single" w:sz="4" w:space="0" w:color="auto"/>
            </w:tcBorders>
            <w:hideMark/>
          </w:tcPr>
          <w:p w14:paraId="2551F2E5" w14:textId="77777777" w:rsidR="00C52491" w:rsidRPr="00E02C47" w:rsidRDefault="00C52491">
            <w:pPr>
              <w:rPr>
                <w:bCs/>
                <w:iCs/>
                <w:sz w:val="24"/>
                <w:szCs w:val="24"/>
              </w:rPr>
            </w:pPr>
            <w:r w:rsidRPr="00E02C47">
              <w:rPr>
                <w:sz w:val="24"/>
                <w:szCs w:val="24"/>
                <w:lang w:bidi="da-DK"/>
              </w:rPr>
              <w:t>-1,02 (-1,28)</w:t>
            </w:r>
          </w:p>
        </w:tc>
      </w:tr>
      <w:tr w:rsidR="00C52491" w:rsidRPr="00E02C47" w14:paraId="2FFBC230"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55B92F68" w14:textId="77777777" w:rsidR="00C52491" w:rsidRPr="00E02C47" w:rsidRDefault="00C52491">
            <w:pPr>
              <w:ind w:left="426" w:hanging="426"/>
              <w:rPr>
                <w:bCs/>
                <w:iCs/>
                <w:sz w:val="24"/>
                <w:szCs w:val="24"/>
              </w:rPr>
            </w:pPr>
            <w:r w:rsidRPr="00E02C47">
              <w:rPr>
                <w:sz w:val="24"/>
                <w:szCs w:val="24"/>
                <w:vertAlign w:val="superscript"/>
                <w:lang w:bidi="da-DK"/>
              </w:rPr>
              <w:t>†</w:t>
            </w:r>
            <w:r w:rsidRPr="00E02C47">
              <w:rPr>
                <w:sz w:val="24"/>
                <w:szCs w:val="24"/>
                <w:lang w:bidi="da-DK"/>
              </w:rPr>
              <w:t xml:space="preserve"> </w:t>
            </w:r>
            <w:r w:rsidRPr="00E02C47">
              <w:rPr>
                <w:sz w:val="24"/>
                <w:szCs w:val="24"/>
                <w:lang w:bidi="da-DK"/>
              </w:rPr>
              <w:tab/>
              <w:t>Invaliditetsprogression er defineret som 1 points øgning i EDSS bekræftet 3 måneder senere.</w:t>
            </w:r>
          </w:p>
          <w:p w14:paraId="3C5C8877" w14:textId="77777777" w:rsidR="00C52491" w:rsidRPr="00E02C47" w:rsidRDefault="00C52491">
            <w:pPr>
              <w:ind w:left="426" w:hanging="426"/>
              <w:rPr>
                <w:bCs/>
                <w:iCs/>
                <w:sz w:val="24"/>
                <w:szCs w:val="24"/>
              </w:rPr>
            </w:pPr>
            <w:r w:rsidRPr="00E02C47">
              <w:rPr>
                <w:sz w:val="24"/>
                <w:szCs w:val="24"/>
                <w:lang w:bidi="da-DK"/>
              </w:rPr>
              <w:t xml:space="preserve">** </w:t>
            </w:r>
            <w:r w:rsidRPr="00E02C47">
              <w:rPr>
                <w:sz w:val="24"/>
                <w:szCs w:val="24"/>
                <w:lang w:bidi="da-DK"/>
              </w:rPr>
              <w:tab/>
              <w:t>p&lt;0,001, sammenlignet med placebo</w:t>
            </w:r>
          </w:p>
          <w:p w14:paraId="44EC1559" w14:textId="77777777" w:rsidR="00C52491" w:rsidRPr="00E02C47" w:rsidRDefault="00C52491">
            <w:pPr>
              <w:jc w:val="both"/>
              <w:rPr>
                <w:bCs/>
                <w:iCs/>
                <w:sz w:val="24"/>
                <w:szCs w:val="24"/>
                <w:u w:val="single"/>
                <w:lang w:val="de-DE"/>
              </w:rPr>
            </w:pPr>
            <w:r w:rsidRPr="00E02C47">
              <w:rPr>
                <w:sz w:val="24"/>
                <w:szCs w:val="24"/>
                <w:lang w:bidi="da-DK"/>
              </w:rPr>
              <w:t xml:space="preserve">Alle analyser af kliniske endepunkter var </w:t>
            </w:r>
            <w:r w:rsidRPr="00E02C47">
              <w:rPr>
                <w:i/>
                <w:sz w:val="24"/>
                <w:szCs w:val="24"/>
                <w:lang w:bidi="da-DK"/>
              </w:rPr>
              <w:t>intent-to-treat</w:t>
            </w:r>
            <w:r w:rsidRPr="00E02C47">
              <w:rPr>
                <w:sz w:val="24"/>
                <w:szCs w:val="24"/>
                <w:lang w:bidi="da-DK"/>
              </w:rPr>
              <w:t>. Til MRI-analyser anvendtes datasæt, der kunne evalueres.</w:t>
            </w:r>
          </w:p>
        </w:tc>
      </w:tr>
    </w:tbl>
    <w:p w14:paraId="68557085" w14:textId="77777777" w:rsidR="00C52491" w:rsidRPr="00E02C47" w:rsidRDefault="00C52491" w:rsidP="00C52491">
      <w:pPr>
        <w:jc w:val="both"/>
        <w:rPr>
          <w:bCs/>
          <w:iCs/>
          <w:sz w:val="24"/>
          <w:szCs w:val="24"/>
          <w:u w:val="single"/>
          <w:lang w:val="de-DE"/>
        </w:rPr>
      </w:pPr>
    </w:p>
    <w:p w14:paraId="30CA8A4A" w14:textId="77777777" w:rsidR="00C52491" w:rsidRPr="00E02C47" w:rsidRDefault="00C52491" w:rsidP="00E02C47">
      <w:pPr>
        <w:ind w:left="851"/>
        <w:rPr>
          <w:sz w:val="24"/>
          <w:szCs w:val="24"/>
        </w:rPr>
      </w:pPr>
      <w:r w:rsidRPr="00E02C47">
        <w:rPr>
          <w:sz w:val="24"/>
          <w:szCs w:val="24"/>
        </w:rPr>
        <w:t xml:space="preserve">Studie D2302 (TRANSFORMS) var et 1-årigt, randomiseret, dobbeltblindet, double-dummy, aktivkontrolleret (interferon-beta-1a) fase III-studie hos 1.280 patienter (n=429 på 0,5 mg, 420 på 1,25 mg, 431 på interferon beta-1a 30 µg ved intramuskulær injektion 1 gang ugentlig). </w:t>
      </w:r>
    </w:p>
    <w:p w14:paraId="652808E7" w14:textId="399E6B02" w:rsidR="00C52491" w:rsidRPr="00E02C47" w:rsidRDefault="00C52491" w:rsidP="00E02C47">
      <w:pPr>
        <w:ind w:left="851"/>
        <w:rPr>
          <w:sz w:val="24"/>
          <w:szCs w:val="24"/>
        </w:rPr>
      </w:pPr>
      <w:r w:rsidRPr="00E02C47">
        <w:rPr>
          <w:sz w:val="24"/>
          <w:szCs w:val="24"/>
        </w:rPr>
        <w:t xml:space="preserve">Medianværdier for karakteristika ved </w:t>
      </w:r>
      <w:r w:rsidR="000814D6">
        <w:rPr>
          <w:sz w:val="24"/>
          <w:szCs w:val="24"/>
        </w:rPr>
        <w:t>u</w:t>
      </w:r>
      <w:r w:rsidRPr="00E02C47">
        <w:rPr>
          <w:sz w:val="24"/>
          <w:szCs w:val="24"/>
        </w:rPr>
        <w:t xml:space="preserve">dgangspunktet var: alder 36 år, sygdomsvarighed 5,9 år, og EDSS 2,0. Studiets resultater er vist i Tabel 3. Der var ingen signifikante forskelle mellem doseringerne på 0,5 mg og 1,25 mg, hvad angår studieendepunkterne. </w:t>
      </w:r>
    </w:p>
    <w:p w14:paraId="4BEA85D2" w14:textId="77777777" w:rsidR="00C52491" w:rsidRPr="00E02C47" w:rsidRDefault="00C52491" w:rsidP="00E02C47">
      <w:pPr>
        <w:ind w:left="851"/>
        <w:rPr>
          <w:bCs/>
          <w:iCs/>
          <w:sz w:val="24"/>
          <w:szCs w:val="24"/>
          <w:u w:val="single"/>
        </w:rPr>
      </w:pPr>
    </w:p>
    <w:p w14:paraId="7F1CA573" w14:textId="7DCA7EAE" w:rsidR="00C52491" w:rsidRPr="00E02C47" w:rsidRDefault="00C52491" w:rsidP="00C52491">
      <w:pPr>
        <w:jc w:val="both"/>
        <w:rPr>
          <w:b/>
          <w:bCs/>
          <w:iCs/>
          <w:sz w:val="24"/>
          <w:szCs w:val="24"/>
          <w:lang w:val="en-GB"/>
        </w:rPr>
      </w:pPr>
      <w:r w:rsidRPr="00E02C47">
        <w:rPr>
          <w:b/>
          <w:sz w:val="24"/>
          <w:szCs w:val="24"/>
          <w:lang w:bidi="da-DK"/>
        </w:rPr>
        <w:t>Tabel 3</w:t>
      </w:r>
      <w:r w:rsidR="00085272">
        <w:rPr>
          <w:b/>
          <w:sz w:val="24"/>
          <w:szCs w:val="24"/>
          <w:lang w:bidi="da-DK"/>
        </w:rPr>
        <w:t xml:space="preserve">. </w:t>
      </w:r>
      <w:r w:rsidRPr="00E02C47">
        <w:rPr>
          <w:b/>
          <w:sz w:val="24"/>
          <w:szCs w:val="24"/>
          <w:lang w:bidi="da-DK"/>
        </w:rPr>
        <w:t>Studie D2302 (TRANSFORMS): hovedresultater</w:t>
      </w:r>
    </w:p>
    <w:p w14:paraId="090416A8" w14:textId="77777777" w:rsidR="00C52491" w:rsidRPr="00E02C47" w:rsidRDefault="00C52491" w:rsidP="00C52491">
      <w:pPr>
        <w:jc w:val="both"/>
        <w:rPr>
          <w:bCs/>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888"/>
        <w:gridCol w:w="3222"/>
      </w:tblGrid>
      <w:tr w:rsidR="00C52491" w:rsidRPr="00E02C47" w14:paraId="566CF1A2" w14:textId="77777777" w:rsidTr="00E02C47">
        <w:tc>
          <w:tcPr>
            <w:tcW w:w="1827" w:type="pct"/>
            <w:tcBorders>
              <w:top w:val="single" w:sz="4" w:space="0" w:color="auto"/>
              <w:left w:val="single" w:sz="4" w:space="0" w:color="auto"/>
              <w:bottom w:val="single" w:sz="4" w:space="0" w:color="auto"/>
              <w:right w:val="single" w:sz="4" w:space="0" w:color="auto"/>
            </w:tcBorders>
          </w:tcPr>
          <w:p w14:paraId="7CE5D177" w14:textId="77777777" w:rsidR="00C52491" w:rsidRPr="00E02C47" w:rsidRDefault="00C52491">
            <w:pPr>
              <w:rPr>
                <w:bCs/>
                <w:iCs/>
                <w:sz w:val="24"/>
                <w:szCs w:val="24"/>
              </w:rPr>
            </w:pPr>
          </w:p>
        </w:tc>
        <w:tc>
          <w:tcPr>
            <w:tcW w:w="1500" w:type="pct"/>
            <w:tcBorders>
              <w:top w:val="single" w:sz="4" w:space="0" w:color="auto"/>
              <w:left w:val="single" w:sz="4" w:space="0" w:color="auto"/>
              <w:bottom w:val="single" w:sz="4" w:space="0" w:color="auto"/>
              <w:right w:val="single" w:sz="4" w:space="0" w:color="auto"/>
            </w:tcBorders>
            <w:hideMark/>
          </w:tcPr>
          <w:p w14:paraId="17A1C967" w14:textId="77777777" w:rsidR="00C52491" w:rsidRPr="00E02C47" w:rsidRDefault="00C52491">
            <w:pPr>
              <w:rPr>
                <w:b/>
                <w:bCs/>
                <w:iCs/>
                <w:sz w:val="24"/>
                <w:szCs w:val="24"/>
              </w:rPr>
            </w:pPr>
            <w:r w:rsidRPr="00E02C47">
              <w:rPr>
                <w:b/>
                <w:sz w:val="24"/>
                <w:szCs w:val="24"/>
                <w:lang w:bidi="da-DK"/>
              </w:rPr>
              <w:t>Fingolimod</w:t>
            </w:r>
          </w:p>
          <w:p w14:paraId="34B841F8" w14:textId="77777777" w:rsidR="00C52491" w:rsidRPr="00E02C47" w:rsidRDefault="00C52491">
            <w:pPr>
              <w:rPr>
                <w:b/>
                <w:bCs/>
                <w:iCs/>
                <w:sz w:val="24"/>
                <w:szCs w:val="24"/>
              </w:rPr>
            </w:pPr>
            <w:r w:rsidRPr="00E02C47">
              <w:rPr>
                <w:b/>
                <w:sz w:val="24"/>
                <w:szCs w:val="24"/>
                <w:lang w:bidi="da-DK"/>
              </w:rPr>
              <w:t>0,5 mg</w:t>
            </w:r>
          </w:p>
        </w:tc>
        <w:tc>
          <w:tcPr>
            <w:tcW w:w="1673" w:type="pct"/>
            <w:tcBorders>
              <w:top w:val="single" w:sz="4" w:space="0" w:color="auto"/>
              <w:left w:val="single" w:sz="4" w:space="0" w:color="auto"/>
              <w:bottom w:val="single" w:sz="4" w:space="0" w:color="auto"/>
              <w:right w:val="single" w:sz="4" w:space="0" w:color="auto"/>
            </w:tcBorders>
            <w:hideMark/>
          </w:tcPr>
          <w:p w14:paraId="1BC7A0DC" w14:textId="77777777" w:rsidR="00C52491" w:rsidRPr="00E02C47" w:rsidRDefault="00C52491">
            <w:pPr>
              <w:rPr>
                <w:b/>
                <w:bCs/>
                <w:iCs/>
                <w:sz w:val="24"/>
                <w:szCs w:val="24"/>
              </w:rPr>
            </w:pPr>
            <w:r w:rsidRPr="00E02C47">
              <w:rPr>
                <w:b/>
                <w:sz w:val="24"/>
                <w:szCs w:val="24"/>
                <w:lang w:bidi="da-DK"/>
              </w:rPr>
              <w:t>Interferon beta-1a</w:t>
            </w:r>
          </w:p>
          <w:p w14:paraId="5472E2A0" w14:textId="77777777" w:rsidR="00C52491" w:rsidRPr="00E02C47" w:rsidRDefault="00C52491">
            <w:pPr>
              <w:rPr>
                <w:b/>
                <w:bCs/>
                <w:iCs/>
                <w:sz w:val="24"/>
                <w:szCs w:val="24"/>
              </w:rPr>
            </w:pPr>
            <w:r w:rsidRPr="00E02C47">
              <w:rPr>
                <w:b/>
                <w:sz w:val="24"/>
                <w:szCs w:val="24"/>
                <w:lang w:bidi="da-DK"/>
              </w:rPr>
              <w:t>30 μg</w:t>
            </w:r>
          </w:p>
        </w:tc>
      </w:tr>
      <w:tr w:rsidR="00C52491" w:rsidRPr="00E02C47" w14:paraId="2A2A2F6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C7EC811" w14:textId="77777777" w:rsidR="00C52491" w:rsidRPr="00E02C47" w:rsidRDefault="00C52491">
            <w:pPr>
              <w:rPr>
                <w:b/>
                <w:bCs/>
                <w:iCs/>
                <w:sz w:val="24"/>
                <w:szCs w:val="24"/>
              </w:rPr>
            </w:pPr>
            <w:r w:rsidRPr="00E02C47">
              <w:rPr>
                <w:b/>
                <w:sz w:val="24"/>
                <w:szCs w:val="24"/>
                <w:lang w:bidi="da-DK"/>
              </w:rPr>
              <w:t>Kliniske slutpunkter</w:t>
            </w:r>
          </w:p>
        </w:tc>
        <w:tc>
          <w:tcPr>
            <w:tcW w:w="1500" w:type="pct"/>
            <w:tcBorders>
              <w:top w:val="single" w:sz="4" w:space="0" w:color="auto"/>
              <w:left w:val="single" w:sz="4" w:space="0" w:color="auto"/>
              <w:bottom w:val="single" w:sz="4" w:space="0" w:color="auto"/>
              <w:right w:val="single" w:sz="4" w:space="0" w:color="auto"/>
            </w:tcBorders>
          </w:tcPr>
          <w:p w14:paraId="16CE0374" w14:textId="77777777" w:rsidR="00C52491" w:rsidRPr="00E02C47" w:rsidRDefault="00C52491">
            <w:pPr>
              <w:rPr>
                <w:bCs/>
                <w:iCs/>
                <w:sz w:val="24"/>
                <w:szCs w:val="24"/>
              </w:rPr>
            </w:pPr>
          </w:p>
        </w:tc>
        <w:tc>
          <w:tcPr>
            <w:tcW w:w="1673" w:type="pct"/>
            <w:tcBorders>
              <w:top w:val="single" w:sz="4" w:space="0" w:color="auto"/>
              <w:left w:val="single" w:sz="4" w:space="0" w:color="auto"/>
              <w:bottom w:val="single" w:sz="4" w:space="0" w:color="auto"/>
              <w:right w:val="single" w:sz="4" w:space="0" w:color="auto"/>
            </w:tcBorders>
          </w:tcPr>
          <w:p w14:paraId="7867335B" w14:textId="77777777" w:rsidR="00C52491" w:rsidRPr="00E02C47" w:rsidRDefault="00C52491">
            <w:pPr>
              <w:rPr>
                <w:bCs/>
                <w:iCs/>
                <w:sz w:val="24"/>
                <w:szCs w:val="24"/>
              </w:rPr>
            </w:pPr>
          </w:p>
        </w:tc>
      </w:tr>
      <w:tr w:rsidR="00C52491" w:rsidRPr="00E02C47" w14:paraId="7EFBD0DB"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2F6A7517" w14:textId="77777777" w:rsidR="00C52491" w:rsidRPr="00E02C47" w:rsidRDefault="00C52491">
            <w:pPr>
              <w:rPr>
                <w:bCs/>
                <w:iCs/>
                <w:sz w:val="24"/>
                <w:szCs w:val="24"/>
              </w:rPr>
            </w:pPr>
            <w:r w:rsidRPr="00E02C47">
              <w:rPr>
                <w:sz w:val="24"/>
                <w:szCs w:val="24"/>
                <w:lang w:bidi="da-DK"/>
              </w:rPr>
              <w:t>Annualiseret trelapsrate (primært endepunkt)</w:t>
            </w:r>
          </w:p>
        </w:tc>
        <w:tc>
          <w:tcPr>
            <w:tcW w:w="1500" w:type="pct"/>
            <w:tcBorders>
              <w:top w:val="single" w:sz="4" w:space="0" w:color="auto"/>
              <w:left w:val="single" w:sz="4" w:space="0" w:color="auto"/>
              <w:bottom w:val="single" w:sz="4" w:space="0" w:color="auto"/>
              <w:right w:val="single" w:sz="4" w:space="0" w:color="auto"/>
            </w:tcBorders>
            <w:hideMark/>
          </w:tcPr>
          <w:p w14:paraId="221ABCF0" w14:textId="77777777" w:rsidR="00C52491" w:rsidRPr="00E02C47" w:rsidRDefault="00C52491">
            <w:pPr>
              <w:rPr>
                <w:bCs/>
                <w:iCs/>
                <w:sz w:val="24"/>
                <w:szCs w:val="24"/>
              </w:rPr>
            </w:pPr>
            <w:r w:rsidRPr="00E02C47">
              <w:rPr>
                <w:sz w:val="24"/>
                <w:szCs w:val="24"/>
                <w:lang w:bidi="da-DK"/>
              </w:rPr>
              <w:t>0,16**</w:t>
            </w:r>
          </w:p>
        </w:tc>
        <w:tc>
          <w:tcPr>
            <w:tcW w:w="1673" w:type="pct"/>
            <w:tcBorders>
              <w:top w:val="single" w:sz="4" w:space="0" w:color="auto"/>
              <w:left w:val="single" w:sz="4" w:space="0" w:color="auto"/>
              <w:bottom w:val="single" w:sz="4" w:space="0" w:color="auto"/>
              <w:right w:val="single" w:sz="4" w:space="0" w:color="auto"/>
            </w:tcBorders>
            <w:hideMark/>
          </w:tcPr>
          <w:p w14:paraId="76CF04E6" w14:textId="77777777" w:rsidR="00C52491" w:rsidRPr="00E02C47" w:rsidRDefault="00C52491">
            <w:pPr>
              <w:rPr>
                <w:bCs/>
                <w:iCs/>
                <w:sz w:val="24"/>
                <w:szCs w:val="24"/>
              </w:rPr>
            </w:pPr>
            <w:r w:rsidRPr="00E02C47">
              <w:rPr>
                <w:sz w:val="24"/>
                <w:szCs w:val="24"/>
                <w:lang w:bidi="da-DK"/>
              </w:rPr>
              <w:t>0,33</w:t>
            </w:r>
          </w:p>
        </w:tc>
      </w:tr>
      <w:tr w:rsidR="00C52491" w:rsidRPr="00E02C47" w14:paraId="53D33A80"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D885194" w14:textId="77777777" w:rsidR="00C52491" w:rsidRPr="00E02C47" w:rsidRDefault="00C52491">
            <w:pPr>
              <w:rPr>
                <w:bCs/>
                <w:iCs/>
                <w:sz w:val="24"/>
                <w:szCs w:val="24"/>
                <w:lang w:val="nl-NL"/>
              </w:rPr>
            </w:pPr>
            <w:r w:rsidRPr="00E02C47">
              <w:rPr>
                <w:sz w:val="24"/>
                <w:szCs w:val="24"/>
                <w:lang w:bidi="da-DK"/>
              </w:rPr>
              <w:t>Procentdel af patienter, som forblev relapsfrie vedmåned 12</w:t>
            </w:r>
          </w:p>
        </w:tc>
        <w:tc>
          <w:tcPr>
            <w:tcW w:w="1500" w:type="pct"/>
            <w:tcBorders>
              <w:top w:val="single" w:sz="4" w:space="0" w:color="auto"/>
              <w:left w:val="single" w:sz="4" w:space="0" w:color="auto"/>
              <w:bottom w:val="single" w:sz="4" w:space="0" w:color="auto"/>
              <w:right w:val="single" w:sz="4" w:space="0" w:color="auto"/>
            </w:tcBorders>
            <w:hideMark/>
          </w:tcPr>
          <w:p w14:paraId="11AE6386" w14:textId="77777777" w:rsidR="00C52491" w:rsidRPr="00E02C47" w:rsidRDefault="00C52491">
            <w:pPr>
              <w:rPr>
                <w:bCs/>
                <w:iCs/>
                <w:sz w:val="24"/>
                <w:szCs w:val="24"/>
                <w:lang w:val="en-GB"/>
              </w:rPr>
            </w:pPr>
            <w:r w:rsidRPr="00E02C47">
              <w:rPr>
                <w:sz w:val="24"/>
                <w:szCs w:val="24"/>
                <w:lang w:bidi="da-DK"/>
              </w:rPr>
              <w:t>83 %**</w:t>
            </w:r>
          </w:p>
        </w:tc>
        <w:tc>
          <w:tcPr>
            <w:tcW w:w="1673" w:type="pct"/>
            <w:tcBorders>
              <w:top w:val="single" w:sz="4" w:space="0" w:color="auto"/>
              <w:left w:val="single" w:sz="4" w:space="0" w:color="auto"/>
              <w:bottom w:val="single" w:sz="4" w:space="0" w:color="auto"/>
              <w:right w:val="single" w:sz="4" w:space="0" w:color="auto"/>
            </w:tcBorders>
            <w:hideMark/>
          </w:tcPr>
          <w:p w14:paraId="6A2CCD77" w14:textId="77777777" w:rsidR="00C52491" w:rsidRPr="00E02C47" w:rsidRDefault="00C52491">
            <w:pPr>
              <w:rPr>
                <w:bCs/>
                <w:iCs/>
                <w:sz w:val="24"/>
                <w:szCs w:val="24"/>
              </w:rPr>
            </w:pPr>
            <w:r w:rsidRPr="00E02C47">
              <w:rPr>
                <w:sz w:val="24"/>
                <w:szCs w:val="24"/>
                <w:lang w:bidi="da-DK"/>
              </w:rPr>
              <w:t>71 %</w:t>
            </w:r>
          </w:p>
        </w:tc>
      </w:tr>
      <w:tr w:rsidR="00C52491" w:rsidRPr="00E02C47" w14:paraId="58794A3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9782C65" w14:textId="5C6ADF42" w:rsidR="00C52491" w:rsidRPr="00E02C47" w:rsidRDefault="00C52491">
            <w:pPr>
              <w:rPr>
                <w:bCs/>
                <w:iCs/>
                <w:sz w:val="24"/>
                <w:szCs w:val="24"/>
              </w:rPr>
            </w:pPr>
            <w:r w:rsidRPr="00E02C47">
              <w:rPr>
                <w:sz w:val="24"/>
                <w:szCs w:val="24"/>
                <w:lang w:bidi="da-DK"/>
              </w:rPr>
              <w:t>Andel med invaliditets</w:t>
            </w:r>
            <w:r w:rsidR="00085272">
              <w:rPr>
                <w:sz w:val="24"/>
                <w:szCs w:val="24"/>
                <w:lang w:bidi="da-DK"/>
              </w:rPr>
              <w:softHyphen/>
            </w:r>
            <w:r w:rsidRPr="00E02C47">
              <w:rPr>
                <w:sz w:val="24"/>
                <w:szCs w:val="24"/>
                <w:lang w:bidi="da-DK"/>
              </w:rPr>
              <w:t xml:space="preserve">progression bekræftet efter 3 måneder </w:t>
            </w:r>
            <w:r w:rsidRPr="00E02C47">
              <w:rPr>
                <w:sz w:val="24"/>
                <w:szCs w:val="24"/>
                <w:vertAlign w:val="superscript"/>
                <w:lang w:bidi="da-DK"/>
              </w:rPr>
              <w:t>†</w:t>
            </w:r>
          </w:p>
          <w:p w14:paraId="424C0E1C" w14:textId="77777777" w:rsidR="00C52491" w:rsidRPr="00E02C47" w:rsidRDefault="00C52491">
            <w:pPr>
              <w:rPr>
                <w:bCs/>
                <w:iCs/>
                <w:sz w:val="24"/>
                <w:szCs w:val="24"/>
              </w:rPr>
            </w:pPr>
            <w:r w:rsidRPr="00E02C47">
              <w:rPr>
                <w:sz w:val="24"/>
                <w:szCs w:val="24"/>
                <w:lang w:bidi="da-DK"/>
              </w:rPr>
              <w:t>Hazard ratio (95 % CI)</w:t>
            </w:r>
          </w:p>
        </w:tc>
        <w:tc>
          <w:tcPr>
            <w:tcW w:w="1500" w:type="pct"/>
            <w:tcBorders>
              <w:top w:val="single" w:sz="4" w:space="0" w:color="auto"/>
              <w:left w:val="single" w:sz="4" w:space="0" w:color="auto"/>
              <w:bottom w:val="single" w:sz="4" w:space="0" w:color="auto"/>
              <w:right w:val="single" w:sz="4" w:space="0" w:color="auto"/>
            </w:tcBorders>
          </w:tcPr>
          <w:p w14:paraId="7AC625D4" w14:textId="77777777" w:rsidR="00C52491" w:rsidRPr="00E02C47" w:rsidRDefault="00C52491">
            <w:pPr>
              <w:rPr>
                <w:bCs/>
                <w:iCs/>
                <w:sz w:val="24"/>
                <w:szCs w:val="24"/>
                <w:lang w:val="en-GB"/>
              </w:rPr>
            </w:pPr>
            <w:r w:rsidRPr="00E02C47">
              <w:rPr>
                <w:sz w:val="24"/>
                <w:szCs w:val="24"/>
                <w:lang w:bidi="da-DK"/>
              </w:rPr>
              <w:t>6 %</w:t>
            </w:r>
          </w:p>
          <w:p w14:paraId="1EA6382B" w14:textId="77777777" w:rsidR="00C52491" w:rsidRPr="00E02C47" w:rsidRDefault="00C52491">
            <w:pPr>
              <w:rPr>
                <w:bCs/>
                <w:iCs/>
                <w:sz w:val="24"/>
                <w:szCs w:val="24"/>
              </w:rPr>
            </w:pPr>
          </w:p>
          <w:p w14:paraId="69C590BA" w14:textId="77777777" w:rsidR="00C52491" w:rsidRPr="00E02C47" w:rsidRDefault="00C52491">
            <w:pPr>
              <w:rPr>
                <w:bCs/>
                <w:iCs/>
                <w:sz w:val="24"/>
                <w:szCs w:val="24"/>
              </w:rPr>
            </w:pPr>
          </w:p>
          <w:p w14:paraId="5B4E17DF" w14:textId="77777777" w:rsidR="00C52491" w:rsidRPr="00E02C47" w:rsidRDefault="00C52491">
            <w:pPr>
              <w:rPr>
                <w:bCs/>
                <w:iCs/>
                <w:sz w:val="24"/>
                <w:szCs w:val="24"/>
              </w:rPr>
            </w:pPr>
            <w:r w:rsidRPr="00E02C47">
              <w:rPr>
                <w:sz w:val="24"/>
                <w:szCs w:val="24"/>
                <w:lang w:bidi="da-DK"/>
              </w:rPr>
              <w:t>0,71 (0,42, 1,21)</w:t>
            </w:r>
          </w:p>
        </w:tc>
        <w:tc>
          <w:tcPr>
            <w:tcW w:w="1673" w:type="pct"/>
            <w:tcBorders>
              <w:top w:val="single" w:sz="4" w:space="0" w:color="auto"/>
              <w:left w:val="single" w:sz="4" w:space="0" w:color="auto"/>
              <w:bottom w:val="single" w:sz="4" w:space="0" w:color="auto"/>
              <w:right w:val="single" w:sz="4" w:space="0" w:color="auto"/>
            </w:tcBorders>
            <w:hideMark/>
          </w:tcPr>
          <w:p w14:paraId="5DF699DB" w14:textId="77777777" w:rsidR="00C52491" w:rsidRPr="00E02C47" w:rsidRDefault="00C52491">
            <w:pPr>
              <w:rPr>
                <w:bCs/>
                <w:iCs/>
                <w:sz w:val="24"/>
                <w:szCs w:val="24"/>
              </w:rPr>
            </w:pPr>
            <w:r w:rsidRPr="00E02C47">
              <w:rPr>
                <w:sz w:val="24"/>
                <w:szCs w:val="24"/>
                <w:lang w:bidi="da-DK"/>
              </w:rPr>
              <w:t>8 %</w:t>
            </w:r>
          </w:p>
        </w:tc>
      </w:tr>
      <w:tr w:rsidR="00C52491" w:rsidRPr="00E02C47" w14:paraId="5849214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4020E9C9" w14:textId="77777777" w:rsidR="00C52491" w:rsidRPr="00E02C47" w:rsidRDefault="00C52491">
            <w:pPr>
              <w:rPr>
                <w:b/>
                <w:bCs/>
                <w:iCs/>
                <w:sz w:val="24"/>
                <w:szCs w:val="24"/>
              </w:rPr>
            </w:pPr>
            <w:r w:rsidRPr="00E02C47">
              <w:rPr>
                <w:b/>
                <w:sz w:val="24"/>
                <w:szCs w:val="24"/>
                <w:lang w:bidi="da-DK"/>
              </w:rPr>
              <w:t>MRI-slutpunkter</w:t>
            </w:r>
          </w:p>
        </w:tc>
        <w:tc>
          <w:tcPr>
            <w:tcW w:w="1500" w:type="pct"/>
            <w:tcBorders>
              <w:top w:val="single" w:sz="4" w:space="0" w:color="auto"/>
              <w:left w:val="single" w:sz="4" w:space="0" w:color="auto"/>
              <w:bottom w:val="single" w:sz="4" w:space="0" w:color="auto"/>
              <w:right w:val="single" w:sz="4" w:space="0" w:color="auto"/>
            </w:tcBorders>
          </w:tcPr>
          <w:p w14:paraId="49B59AA3" w14:textId="77777777" w:rsidR="00C52491" w:rsidRPr="00E02C47" w:rsidRDefault="00C52491">
            <w:pPr>
              <w:rPr>
                <w:bCs/>
                <w:iCs/>
                <w:sz w:val="24"/>
                <w:szCs w:val="24"/>
              </w:rPr>
            </w:pPr>
          </w:p>
        </w:tc>
        <w:tc>
          <w:tcPr>
            <w:tcW w:w="1673" w:type="pct"/>
            <w:tcBorders>
              <w:top w:val="single" w:sz="4" w:space="0" w:color="auto"/>
              <w:left w:val="single" w:sz="4" w:space="0" w:color="auto"/>
              <w:bottom w:val="single" w:sz="4" w:space="0" w:color="auto"/>
              <w:right w:val="single" w:sz="4" w:space="0" w:color="auto"/>
            </w:tcBorders>
          </w:tcPr>
          <w:p w14:paraId="56FA3827" w14:textId="77777777" w:rsidR="00C52491" w:rsidRPr="00E02C47" w:rsidRDefault="00C52491">
            <w:pPr>
              <w:rPr>
                <w:bCs/>
                <w:iCs/>
                <w:sz w:val="24"/>
                <w:szCs w:val="24"/>
              </w:rPr>
            </w:pPr>
          </w:p>
        </w:tc>
      </w:tr>
      <w:tr w:rsidR="00C52491" w:rsidRPr="00E02C47" w14:paraId="15A1EC17"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88FB82F" w14:textId="77777777" w:rsidR="00C52491" w:rsidRPr="00E02C47" w:rsidRDefault="00C52491">
            <w:pPr>
              <w:rPr>
                <w:bCs/>
                <w:iCs/>
                <w:sz w:val="24"/>
                <w:szCs w:val="24"/>
              </w:rPr>
            </w:pPr>
            <w:r w:rsidRPr="00E02C47">
              <w:rPr>
                <w:sz w:val="24"/>
                <w:szCs w:val="24"/>
                <w:lang w:bidi="da-DK"/>
              </w:rPr>
              <w:t>Median (middel) antal nye eller forstørrede T2-læsioner i løbet af 12 måneder</w:t>
            </w:r>
          </w:p>
        </w:tc>
        <w:tc>
          <w:tcPr>
            <w:tcW w:w="1500" w:type="pct"/>
            <w:tcBorders>
              <w:top w:val="single" w:sz="4" w:space="0" w:color="auto"/>
              <w:left w:val="single" w:sz="4" w:space="0" w:color="auto"/>
              <w:bottom w:val="single" w:sz="4" w:space="0" w:color="auto"/>
              <w:right w:val="single" w:sz="4" w:space="0" w:color="auto"/>
            </w:tcBorders>
            <w:hideMark/>
          </w:tcPr>
          <w:p w14:paraId="0C998672" w14:textId="77777777" w:rsidR="00C52491" w:rsidRPr="00E02C47" w:rsidRDefault="00C52491">
            <w:pPr>
              <w:rPr>
                <w:bCs/>
                <w:iCs/>
                <w:sz w:val="24"/>
                <w:szCs w:val="24"/>
                <w:lang w:val="en-GB"/>
              </w:rPr>
            </w:pPr>
            <w:r w:rsidRPr="00E02C47">
              <w:rPr>
                <w:sz w:val="24"/>
                <w:szCs w:val="24"/>
                <w:lang w:bidi="da-DK"/>
              </w:rPr>
              <w:t>0,0 (1,</w:t>
            </w:r>
            <w:proofErr w:type="gramStart"/>
            <w:r w:rsidRPr="00E02C47">
              <w:rPr>
                <w:sz w:val="24"/>
                <w:szCs w:val="24"/>
                <w:lang w:bidi="da-DK"/>
              </w:rPr>
              <w:t>7)*</w:t>
            </w:r>
            <w:proofErr w:type="gramEnd"/>
          </w:p>
        </w:tc>
        <w:tc>
          <w:tcPr>
            <w:tcW w:w="1673" w:type="pct"/>
            <w:tcBorders>
              <w:top w:val="single" w:sz="4" w:space="0" w:color="auto"/>
              <w:left w:val="single" w:sz="4" w:space="0" w:color="auto"/>
              <w:bottom w:val="single" w:sz="4" w:space="0" w:color="auto"/>
              <w:right w:val="single" w:sz="4" w:space="0" w:color="auto"/>
            </w:tcBorders>
            <w:hideMark/>
          </w:tcPr>
          <w:p w14:paraId="78C76CB2" w14:textId="77777777" w:rsidR="00C52491" w:rsidRPr="00E02C47" w:rsidRDefault="00C52491">
            <w:pPr>
              <w:rPr>
                <w:bCs/>
                <w:iCs/>
                <w:sz w:val="24"/>
                <w:szCs w:val="24"/>
              </w:rPr>
            </w:pPr>
            <w:r w:rsidRPr="00E02C47">
              <w:rPr>
                <w:sz w:val="24"/>
                <w:szCs w:val="24"/>
                <w:lang w:bidi="da-DK"/>
              </w:rPr>
              <w:t>1,0 (2,6)</w:t>
            </w:r>
          </w:p>
        </w:tc>
      </w:tr>
      <w:tr w:rsidR="00C52491" w:rsidRPr="00E02C47" w14:paraId="6C974B07"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7FEAF8E8" w14:textId="77777777" w:rsidR="00C52491" w:rsidRPr="00E02C47" w:rsidRDefault="00C52491">
            <w:pPr>
              <w:rPr>
                <w:bCs/>
                <w:iCs/>
                <w:sz w:val="24"/>
                <w:szCs w:val="24"/>
              </w:rPr>
            </w:pPr>
            <w:r w:rsidRPr="00E02C47">
              <w:rPr>
                <w:sz w:val="24"/>
                <w:szCs w:val="24"/>
                <w:lang w:bidi="da-DK"/>
              </w:rPr>
              <w:t>Median (middel) antal Gd-opladende læsioner ved12 måneder</w:t>
            </w:r>
          </w:p>
        </w:tc>
        <w:tc>
          <w:tcPr>
            <w:tcW w:w="1500" w:type="pct"/>
            <w:tcBorders>
              <w:top w:val="single" w:sz="4" w:space="0" w:color="auto"/>
              <w:left w:val="single" w:sz="4" w:space="0" w:color="auto"/>
              <w:bottom w:val="single" w:sz="4" w:space="0" w:color="auto"/>
              <w:right w:val="single" w:sz="4" w:space="0" w:color="auto"/>
            </w:tcBorders>
            <w:hideMark/>
          </w:tcPr>
          <w:p w14:paraId="745BD237" w14:textId="77777777" w:rsidR="00C52491" w:rsidRPr="00E02C47" w:rsidRDefault="00C52491">
            <w:pPr>
              <w:rPr>
                <w:bCs/>
                <w:iCs/>
                <w:sz w:val="24"/>
                <w:szCs w:val="24"/>
                <w:lang w:val="en-GB"/>
              </w:rPr>
            </w:pPr>
            <w:r w:rsidRPr="00E02C47">
              <w:rPr>
                <w:sz w:val="24"/>
                <w:szCs w:val="24"/>
                <w:lang w:bidi="da-DK"/>
              </w:rPr>
              <w:t>0,0 (0,</w:t>
            </w:r>
            <w:proofErr w:type="gramStart"/>
            <w:r w:rsidRPr="00E02C47">
              <w:rPr>
                <w:sz w:val="24"/>
                <w:szCs w:val="24"/>
                <w:lang w:bidi="da-DK"/>
              </w:rPr>
              <w:t>2)*</w:t>
            </w:r>
            <w:proofErr w:type="gramEnd"/>
            <w:r w:rsidRPr="00E02C47">
              <w:rPr>
                <w:sz w:val="24"/>
                <w:szCs w:val="24"/>
                <w:lang w:bidi="da-DK"/>
              </w:rPr>
              <w:t>*</w:t>
            </w:r>
          </w:p>
        </w:tc>
        <w:tc>
          <w:tcPr>
            <w:tcW w:w="1673" w:type="pct"/>
            <w:tcBorders>
              <w:top w:val="single" w:sz="4" w:space="0" w:color="auto"/>
              <w:left w:val="single" w:sz="4" w:space="0" w:color="auto"/>
              <w:bottom w:val="single" w:sz="4" w:space="0" w:color="auto"/>
              <w:right w:val="single" w:sz="4" w:space="0" w:color="auto"/>
            </w:tcBorders>
            <w:hideMark/>
          </w:tcPr>
          <w:p w14:paraId="019C8497" w14:textId="77777777" w:rsidR="00C52491" w:rsidRPr="00E02C47" w:rsidRDefault="00C52491">
            <w:pPr>
              <w:rPr>
                <w:bCs/>
                <w:iCs/>
                <w:sz w:val="24"/>
                <w:szCs w:val="24"/>
              </w:rPr>
            </w:pPr>
            <w:r w:rsidRPr="00E02C47">
              <w:rPr>
                <w:sz w:val="24"/>
                <w:szCs w:val="24"/>
                <w:lang w:bidi="da-DK"/>
              </w:rPr>
              <w:t>0,0 (0,5)</w:t>
            </w:r>
          </w:p>
        </w:tc>
      </w:tr>
      <w:tr w:rsidR="00C52491" w:rsidRPr="00E02C47" w14:paraId="180AA29E"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32631E6" w14:textId="77777777" w:rsidR="00C52491" w:rsidRPr="00E02C47" w:rsidRDefault="00C52491">
            <w:pPr>
              <w:rPr>
                <w:bCs/>
                <w:iCs/>
                <w:sz w:val="24"/>
                <w:szCs w:val="24"/>
                <w:lang w:val="nl-NL"/>
              </w:rPr>
            </w:pPr>
            <w:r w:rsidRPr="00E02C47">
              <w:rPr>
                <w:sz w:val="24"/>
                <w:szCs w:val="24"/>
                <w:lang w:bidi="da-DK"/>
              </w:rPr>
              <w:t>Median (middel) % ændring i hjernevolumen i løbet af 12 måneder</w:t>
            </w:r>
          </w:p>
        </w:tc>
        <w:tc>
          <w:tcPr>
            <w:tcW w:w="1500" w:type="pct"/>
            <w:tcBorders>
              <w:top w:val="single" w:sz="4" w:space="0" w:color="auto"/>
              <w:left w:val="single" w:sz="4" w:space="0" w:color="auto"/>
              <w:bottom w:val="single" w:sz="4" w:space="0" w:color="auto"/>
              <w:right w:val="single" w:sz="4" w:space="0" w:color="auto"/>
            </w:tcBorders>
            <w:hideMark/>
          </w:tcPr>
          <w:p w14:paraId="6B550836" w14:textId="77777777" w:rsidR="00C52491" w:rsidRPr="00E02C47" w:rsidRDefault="00C52491">
            <w:pPr>
              <w:rPr>
                <w:bCs/>
                <w:iCs/>
                <w:sz w:val="24"/>
                <w:szCs w:val="24"/>
                <w:lang w:val="en-GB"/>
              </w:rPr>
            </w:pPr>
            <w:r w:rsidRPr="00E02C47">
              <w:rPr>
                <w:sz w:val="24"/>
                <w:szCs w:val="24"/>
                <w:lang w:bidi="da-DK"/>
              </w:rPr>
              <w:t>-0,2 (-0,</w:t>
            </w:r>
            <w:proofErr w:type="gramStart"/>
            <w:r w:rsidRPr="00E02C47">
              <w:rPr>
                <w:sz w:val="24"/>
                <w:szCs w:val="24"/>
                <w:lang w:bidi="da-DK"/>
              </w:rPr>
              <w:t>3)*</w:t>
            </w:r>
            <w:proofErr w:type="gramEnd"/>
            <w:r w:rsidRPr="00E02C47">
              <w:rPr>
                <w:sz w:val="24"/>
                <w:szCs w:val="24"/>
                <w:lang w:bidi="da-DK"/>
              </w:rPr>
              <w:t>*</w:t>
            </w:r>
          </w:p>
        </w:tc>
        <w:tc>
          <w:tcPr>
            <w:tcW w:w="1673" w:type="pct"/>
            <w:tcBorders>
              <w:top w:val="single" w:sz="4" w:space="0" w:color="auto"/>
              <w:left w:val="single" w:sz="4" w:space="0" w:color="auto"/>
              <w:bottom w:val="single" w:sz="4" w:space="0" w:color="auto"/>
              <w:right w:val="single" w:sz="4" w:space="0" w:color="auto"/>
            </w:tcBorders>
            <w:hideMark/>
          </w:tcPr>
          <w:p w14:paraId="382900A6" w14:textId="77777777" w:rsidR="00C52491" w:rsidRPr="00E02C47" w:rsidRDefault="00C52491">
            <w:pPr>
              <w:rPr>
                <w:bCs/>
                <w:iCs/>
                <w:sz w:val="24"/>
                <w:szCs w:val="24"/>
              </w:rPr>
            </w:pPr>
            <w:r w:rsidRPr="00E02C47">
              <w:rPr>
                <w:sz w:val="24"/>
                <w:szCs w:val="24"/>
                <w:lang w:bidi="da-DK"/>
              </w:rPr>
              <w:t>-0,4 (-0,5)</w:t>
            </w:r>
          </w:p>
        </w:tc>
      </w:tr>
      <w:tr w:rsidR="00C52491" w:rsidRPr="00E02C47" w14:paraId="3FD5DFFC"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6B0D57B8" w14:textId="77777777" w:rsidR="00C52491" w:rsidRPr="00E02C47" w:rsidRDefault="00C52491">
            <w:pPr>
              <w:ind w:left="426" w:hanging="426"/>
              <w:rPr>
                <w:bCs/>
                <w:iCs/>
                <w:sz w:val="24"/>
                <w:szCs w:val="24"/>
              </w:rPr>
            </w:pPr>
            <w:r w:rsidRPr="00E02C47">
              <w:rPr>
                <w:sz w:val="24"/>
                <w:szCs w:val="24"/>
                <w:vertAlign w:val="superscript"/>
                <w:lang w:bidi="da-DK"/>
              </w:rPr>
              <w:lastRenderedPageBreak/>
              <w:t>†</w:t>
            </w:r>
            <w:r w:rsidRPr="00E02C47">
              <w:rPr>
                <w:sz w:val="24"/>
                <w:szCs w:val="24"/>
                <w:lang w:bidi="da-DK"/>
              </w:rPr>
              <w:t xml:space="preserve"> </w:t>
            </w:r>
            <w:r w:rsidRPr="00E02C47">
              <w:rPr>
                <w:sz w:val="24"/>
                <w:szCs w:val="24"/>
                <w:lang w:bidi="da-DK"/>
              </w:rPr>
              <w:tab/>
              <w:t>Invaliditetsprogression er defineret som 1 points øggning i EDSS bekræftet 3 måneder senere.</w:t>
            </w:r>
          </w:p>
          <w:p w14:paraId="79EB2341" w14:textId="77777777" w:rsidR="00C52491" w:rsidRPr="00E02C47" w:rsidRDefault="00C52491">
            <w:pPr>
              <w:ind w:left="426" w:hanging="426"/>
              <w:rPr>
                <w:bCs/>
                <w:iCs/>
                <w:sz w:val="24"/>
                <w:szCs w:val="24"/>
              </w:rPr>
            </w:pPr>
            <w:r w:rsidRPr="00E02C47">
              <w:rPr>
                <w:sz w:val="24"/>
                <w:szCs w:val="24"/>
                <w:lang w:bidi="da-DK"/>
              </w:rPr>
              <w:t xml:space="preserve">* </w:t>
            </w:r>
            <w:r w:rsidRPr="00E02C47">
              <w:rPr>
                <w:sz w:val="24"/>
                <w:szCs w:val="24"/>
                <w:lang w:bidi="da-DK"/>
              </w:rPr>
              <w:tab/>
              <w:t>p&lt;0,</w:t>
            </w:r>
            <w:proofErr w:type="gramStart"/>
            <w:r w:rsidRPr="00E02C47">
              <w:rPr>
                <w:sz w:val="24"/>
                <w:szCs w:val="24"/>
                <w:lang w:bidi="da-DK"/>
              </w:rPr>
              <w:t>01,*</w:t>
            </w:r>
            <w:proofErr w:type="gramEnd"/>
            <w:r w:rsidRPr="00E02C47">
              <w:rPr>
                <w:sz w:val="24"/>
                <w:szCs w:val="24"/>
                <w:lang w:bidi="da-DK"/>
              </w:rPr>
              <w:t>* p&lt;0,001, sammenlignet med interferon beta-1a</w:t>
            </w:r>
          </w:p>
          <w:p w14:paraId="4CB466BB" w14:textId="77777777" w:rsidR="00C52491" w:rsidRPr="00E02C47" w:rsidRDefault="00C52491">
            <w:pPr>
              <w:rPr>
                <w:bCs/>
                <w:iCs/>
                <w:sz w:val="24"/>
                <w:szCs w:val="24"/>
              </w:rPr>
            </w:pPr>
            <w:r w:rsidRPr="00E02C47">
              <w:rPr>
                <w:sz w:val="24"/>
                <w:szCs w:val="24"/>
                <w:lang w:bidi="da-DK"/>
              </w:rPr>
              <w:t xml:space="preserve">Alle analyser af kliniske endepunkter var </w:t>
            </w:r>
            <w:r w:rsidRPr="00E02C47">
              <w:rPr>
                <w:i/>
                <w:sz w:val="24"/>
                <w:szCs w:val="24"/>
                <w:lang w:bidi="da-DK"/>
              </w:rPr>
              <w:t>intent-to-treat</w:t>
            </w:r>
            <w:r w:rsidRPr="00E02C47">
              <w:rPr>
                <w:sz w:val="24"/>
                <w:szCs w:val="24"/>
                <w:lang w:bidi="da-DK"/>
              </w:rPr>
              <w:t xml:space="preserve">. Til </w:t>
            </w:r>
            <w:proofErr w:type="gramStart"/>
            <w:r w:rsidRPr="00E02C47">
              <w:rPr>
                <w:sz w:val="24"/>
                <w:szCs w:val="24"/>
                <w:lang w:bidi="da-DK"/>
              </w:rPr>
              <w:t>MRI analyser</w:t>
            </w:r>
            <w:proofErr w:type="gramEnd"/>
            <w:r w:rsidRPr="00E02C47">
              <w:rPr>
                <w:sz w:val="24"/>
                <w:szCs w:val="24"/>
                <w:lang w:bidi="da-DK"/>
              </w:rPr>
              <w:t xml:space="preserve"> anvendtes det datasæt, der kunne evalueres.</w:t>
            </w:r>
          </w:p>
        </w:tc>
      </w:tr>
    </w:tbl>
    <w:p w14:paraId="0AFEAE67" w14:textId="77777777" w:rsidR="00C52491" w:rsidRPr="00E02C47" w:rsidRDefault="00C52491" w:rsidP="00E02C47">
      <w:pPr>
        <w:ind w:left="851"/>
        <w:rPr>
          <w:sz w:val="24"/>
          <w:szCs w:val="24"/>
        </w:rPr>
      </w:pPr>
    </w:p>
    <w:p w14:paraId="67754F73" w14:textId="77777777" w:rsidR="00C52491" w:rsidRPr="00E02C47" w:rsidRDefault="00C52491" w:rsidP="00E02C47">
      <w:pPr>
        <w:ind w:left="851"/>
        <w:rPr>
          <w:sz w:val="24"/>
          <w:szCs w:val="24"/>
        </w:rPr>
      </w:pPr>
      <w:r w:rsidRPr="00E02C47">
        <w:rPr>
          <w:sz w:val="24"/>
          <w:szCs w:val="24"/>
        </w:rPr>
        <w:t xml:space="preserve">Patienter, der fuldførte det 12-måneders overordnede TRANSFORMS-studie, kunne fortsætte i et dosis-blindet forlængelsesstudie (D2302E1) og få fingolimod.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 </w:t>
      </w:r>
    </w:p>
    <w:p w14:paraId="1A75EB29" w14:textId="0B03BF2C" w:rsidR="00C52491" w:rsidRPr="00E02C47" w:rsidRDefault="00C52491" w:rsidP="00E02C47">
      <w:pPr>
        <w:ind w:left="851"/>
        <w:rPr>
          <w:sz w:val="24"/>
          <w:szCs w:val="24"/>
        </w:rPr>
      </w:pPr>
    </w:p>
    <w:p w14:paraId="38CB4B74" w14:textId="77777777" w:rsidR="00C52491" w:rsidRPr="00E02C47" w:rsidRDefault="00C52491" w:rsidP="00E02C47">
      <w:pPr>
        <w:ind w:left="851"/>
        <w:rPr>
          <w:sz w:val="24"/>
          <w:szCs w:val="24"/>
        </w:rPr>
      </w:pPr>
      <w:r w:rsidRPr="00E02C47">
        <w:rPr>
          <w:sz w:val="24"/>
          <w:szCs w:val="24"/>
        </w:rPr>
        <w:t xml:space="preserve">Kombinerede resultater fra studie D2301 og D2302 viste en konsekvent og statistisk signifikant reduktion af den annualiserede anfaldsrate sammenlignet med komparator i delgrupper defineret ved køn, alder, tidligere behandling for multipel sklerose, sygdomsaktivitet eller invaliditetsniveau ved udgangspunktet. </w:t>
      </w:r>
    </w:p>
    <w:p w14:paraId="6A1A6686" w14:textId="29C9A672" w:rsidR="00C52491" w:rsidRPr="00E02C47" w:rsidRDefault="00C52491" w:rsidP="00E02C47">
      <w:pPr>
        <w:ind w:left="851"/>
        <w:rPr>
          <w:sz w:val="24"/>
          <w:szCs w:val="24"/>
        </w:rPr>
      </w:pPr>
    </w:p>
    <w:p w14:paraId="11DC042A" w14:textId="77777777" w:rsidR="00C52491" w:rsidRPr="00E02C47" w:rsidRDefault="00C52491" w:rsidP="00E02C47">
      <w:pPr>
        <w:ind w:left="851"/>
        <w:rPr>
          <w:sz w:val="24"/>
          <w:szCs w:val="24"/>
        </w:rPr>
      </w:pPr>
      <w:r w:rsidRPr="00E02C47">
        <w:rPr>
          <w:sz w:val="24"/>
          <w:szCs w:val="24"/>
        </w:rPr>
        <w:t xml:space="preserve">Yderligere analyser af de kliniske forsøgsdata viser konsekvent behandlingseffekt hos yderst aktive undergrupper af recidiverende-remitterende multipel sklerose. </w:t>
      </w:r>
    </w:p>
    <w:p w14:paraId="40987ECC" w14:textId="77777777" w:rsidR="00C52491" w:rsidRPr="00E02C47" w:rsidRDefault="00C52491" w:rsidP="00E02C47">
      <w:pPr>
        <w:ind w:left="851"/>
        <w:rPr>
          <w:sz w:val="24"/>
          <w:szCs w:val="24"/>
        </w:rPr>
      </w:pPr>
    </w:p>
    <w:p w14:paraId="35453326" w14:textId="77777777" w:rsidR="00C52491" w:rsidRPr="00085272" w:rsidRDefault="00C52491" w:rsidP="00E02C47">
      <w:pPr>
        <w:ind w:left="851"/>
        <w:rPr>
          <w:sz w:val="24"/>
          <w:szCs w:val="24"/>
          <w:u w:val="single"/>
        </w:rPr>
      </w:pPr>
      <w:r w:rsidRPr="00085272">
        <w:rPr>
          <w:sz w:val="24"/>
          <w:szCs w:val="24"/>
          <w:u w:val="single"/>
          <w:lang w:bidi="da-DK"/>
        </w:rPr>
        <w:t>Pædiatrisk population</w:t>
      </w:r>
    </w:p>
    <w:p w14:paraId="3AC806E1" w14:textId="77777777" w:rsidR="00C52491" w:rsidRPr="00E02C47" w:rsidRDefault="00C52491" w:rsidP="00E02C47">
      <w:pPr>
        <w:ind w:left="851"/>
        <w:rPr>
          <w:sz w:val="24"/>
          <w:szCs w:val="24"/>
        </w:rPr>
      </w:pPr>
      <w:r w:rsidRPr="00E02C47">
        <w:rPr>
          <w:sz w:val="24"/>
          <w:szCs w:val="24"/>
        </w:rPr>
        <w:t xml:space="preserve">Virkningen og sikkerheden af fingolimod i doser på 0,25 mg eller 0,5 mg én gang dagligt (dosis udvalgt ud fra kropsvægt og måling af eksponering) er blevet undersøgt hos pædiatriske patienter i alderen 10 til &lt;18 år med recidiverende-remitterende multipel sklerose. </w:t>
      </w:r>
    </w:p>
    <w:p w14:paraId="26BCC9EB" w14:textId="38032461" w:rsidR="00C52491" w:rsidRPr="00E02C47" w:rsidRDefault="00C52491" w:rsidP="00E02C47">
      <w:pPr>
        <w:ind w:left="851"/>
        <w:rPr>
          <w:sz w:val="24"/>
          <w:szCs w:val="24"/>
        </w:rPr>
      </w:pPr>
    </w:p>
    <w:p w14:paraId="339B1097" w14:textId="77777777" w:rsidR="00C52491" w:rsidRPr="00E02C47" w:rsidRDefault="00C52491" w:rsidP="00E02C47">
      <w:pPr>
        <w:ind w:left="851"/>
        <w:rPr>
          <w:sz w:val="24"/>
          <w:szCs w:val="24"/>
        </w:rPr>
      </w:pPr>
      <w:r w:rsidRPr="00E02C47">
        <w:rPr>
          <w:sz w:val="24"/>
          <w:szCs w:val="24"/>
        </w:rPr>
        <w:t xml:space="preserve">Studie D2311 (PARADIGMS) var et dobbeltblindet, dobbelt-dummy, aktivkontrolleret studie med fleksibel varighed op til 24 måneder og med 215 patienter i alderen 10 til &lt;18 år (n=107 på fingolimod, 108 på interferon beta-1a 30 µg ved intramuskulær injektion en gang ugentligt). </w:t>
      </w:r>
    </w:p>
    <w:p w14:paraId="5ED850FD" w14:textId="6B976338" w:rsidR="00C52491" w:rsidRPr="00E02C47" w:rsidRDefault="00C52491" w:rsidP="00E02C47">
      <w:pPr>
        <w:ind w:left="851"/>
        <w:rPr>
          <w:sz w:val="24"/>
          <w:szCs w:val="24"/>
        </w:rPr>
      </w:pPr>
    </w:p>
    <w:p w14:paraId="2BA7D579" w14:textId="68C09890" w:rsidR="00C52491" w:rsidRPr="00E02C47" w:rsidRDefault="00C52491" w:rsidP="00E02C47">
      <w:pPr>
        <w:ind w:left="851"/>
        <w:rPr>
          <w:sz w:val="24"/>
          <w:szCs w:val="24"/>
        </w:rPr>
      </w:pPr>
      <w:r w:rsidRPr="00E02C47">
        <w:rPr>
          <w:sz w:val="24"/>
          <w:szCs w:val="24"/>
        </w:rPr>
        <w:t xml:space="preserve">Medianværdier for </w:t>
      </w:r>
      <w:r w:rsidRPr="00E02C47">
        <w:rPr>
          <w:i/>
          <w:sz w:val="24"/>
          <w:szCs w:val="24"/>
        </w:rPr>
        <w:t xml:space="preserve">baseline </w:t>
      </w:r>
      <w:r w:rsidRPr="00E02C47">
        <w:rPr>
          <w:sz w:val="24"/>
          <w:szCs w:val="24"/>
        </w:rPr>
        <w:t>karakteristika var: alder 16 år, median sygdomsvarighed 1,5 år og EDSSscore 1,5. Størstedelen af patienterne var på Tanners stadium 2 eller mere (94,4</w:t>
      </w:r>
      <w:r w:rsidR="000814D6">
        <w:rPr>
          <w:sz w:val="24"/>
          <w:szCs w:val="24"/>
        </w:rPr>
        <w:t> </w:t>
      </w:r>
      <w:r w:rsidRPr="00E02C47">
        <w:rPr>
          <w:sz w:val="24"/>
          <w:szCs w:val="24"/>
        </w:rPr>
        <w:t xml:space="preserve">%) og vejede &gt;40 kg (95,3 %). Samlet set gennemførte 180 (84 %) af patienterne hovedfasen af studiet på studielægemidlet (n=99 [92,5 %] på fingolimod, 81 [75 %] på interferon beta-1a). Studiets resultater er vist i Tabel 4. </w:t>
      </w:r>
    </w:p>
    <w:p w14:paraId="60B55B72" w14:textId="77777777" w:rsidR="00C52491" w:rsidRPr="00E02C47" w:rsidRDefault="00C52491" w:rsidP="00E02C47">
      <w:pPr>
        <w:ind w:left="851"/>
        <w:rPr>
          <w:sz w:val="24"/>
          <w:szCs w:val="24"/>
        </w:rPr>
      </w:pPr>
    </w:p>
    <w:p w14:paraId="2882121C" w14:textId="462D0B22" w:rsidR="00C52491" w:rsidRPr="00E02C47" w:rsidRDefault="00C52491" w:rsidP="00C52491">
      <w:pPr>
        <w:jc w:val="both"/>
        <w:rPr>
          <w:b/>
          <w:bCs/>
          <w:iCs/>
          <w:sz w:val="24"/>
          <w:szCs w:val="24"/>
        </w:rPr>
      </w:pPr>
      <w:r w:rsidRPr="00E02C47">
        <w:rPr>
          <w:b/>
          <w:sz w:val="24"/>
          <w:szCs w:val="24"/>
          <w:lang w:bidi="da-DK"/>
        </w:rPr>
        <w:t>Tabel 4</w:t>
      </w:r>
      <w:r w:rsidR="00085272">
        <w:rPr>
          <w:b/>
          <w:sz w:val="24"/>
          <w:szCs w:val="24"/>
          <w:lang w:bidi="da-DK"/>
        </w:rPr>
        <w:t xml:space="preserve">. </w:t>
      </w:r>
      <w:r w:rsidRPr="00E02C47">
        <w:rPr>
          <w:b/>
          <w:sz w:val="24"/>
          <w:szCs w:val="24"/>
          <w:lang w:bidi="da-DK"/>
        </w:rPr>
        <w:t>Studie D2311 (PARADIGMS): hovedresultater</w:t>
      </w:r>
    </w:p>
    <w:p w14:paraId="20FD9304" w14:textId="77777777" w:rsidR="00C52491" w:rsidRPr="00E02C47" w:rsidRDefault="00C52491" w:rsidP="00C52491">
      <w:pPr>
        <w:jc w:val="both"/>
        <w:rPr>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8"/>
        <w:gridCol w:w="2727"/>
        <w:gridCol w:w="3383"/>
      </w:tblGrid>
      <w:tr w:rsidR="00C52491" w:rsidRPr="00E02C47" w14:paraId="06CA185D" w14:textId="77777777" w:rsidTr="00E02C47">
        <w:tc>
          <w:tcPr>
            <w:tcW w:w="1827" w:type="pct"/>
            <w:tcBorders>
              <w:top w:val="single" w:sz="4" w:space="0" w:color="auto"/>
              <w:left w:val="single" w:sz="4" w:space="0" w:color="auto"/>
              <w:bottom w:val="single" w:sz="4" w:space="0" w:color="auto"/>
              <w:right w:val="single" w:sz="4" w:space="0" w:color="auto"/>
            </w:tcBorders>
          </w:tcPr>
          <w:p w14:paraId="3AFDC7EF" w14:textId="77777777" w:rsidR="00C52491" w:rsidRPr="00E02C47" w:rsidRDefault="00C52491">
            <w:pPr>
              <w:rPr>
                <w:bCs/>
                <w:iCs/>
                <w:sz w:val="24"/>
                <w:szCs w:val="24"/>
              </w:rPr>
            </w:pPr>
          </w:p>
        </w:tc>
        <w:tc>
          <w:tcPr>
            <w:tcW w:w="1416" w:type="pct"/>
            <w:tcBorders>
              <w:top w:val="single" w:sz="4" w:space="0" w:color="auto"/>
              <w:left w:val="single" w:sz="4" w:space="0" w:color="auto"/>
              <w:bottom w:val="single" w:sz="4" w:space="0" w:color="auto"/>
              <w:right w:val="single" w:sz="4" w:space="0" w:color="auto"/>
            </w:tcBorders>
            <w:hideMark/>
          </w:tcPr>
          <w:p w14:paraId="34EC009B" w14:textId="77777777" w:rsidR="00C52491" w:rsidRPr="00E02C47" w:rsidRDefault="00C52491">
            <w:pPr>
              <w:rPr>
                <w:b/>
                <w:bCs/>
                <w:iCs/>
                <w:sz w:val="24"/>
                <w:szCs w:val="24"/>
              </w:rPr>
            </w:pPr>
            <w:r w:rsidRPr="00E02C47">
              <w:rPr>
                <w:b/>
                <w:sz w:val="24"/>
                <w:szCs w:val="24"/>
                <w:lang w:bidi="da-DK"/>
              </w:rPr>
              <w:t>Fingolimod</w:t>
            </w:r>
          </w:p>
          <w:p w14:paraId="5CDFF98C" w14:textId="77777777" w:rsidR="00C52491" w:rsidRPr="00E02C47" w:rsidRDefault="00C52491">
            <w:pPr>
              <w:rPr>
                <w:b/>
                <w:bCs/>
                <w:iCs/>
                <w:sz w:val="24"/>
                <w:szCs w:val="24"/>
              </w:rPr>
            </w:pPr>
            <w:r w:rsidRPr="00E02C47">
              <w:rPr>
                <w:b/>
                <w:sz w:val="24"/>
                <w:szCs w:val="24"/>
                <w:lang w:bidi="da-DK"/>
              </w:rPr>
              <w:t>0,25 mg eller 0,5 mg</w:t>
            </w:r>
          </w:p>
        </w:tc>
        <w:tc>
          <w:tcPr>
            <w:tcW w:w="1757" w:type="pct"/>
            <w:tcBorders>
              <w:top w:val="single" w:sz="4" w:space="0" w:color="auto"/>
              <w:left w:val="single" w:sz="4" w:space="0" w:color="auto"/>
              <w:bottom w:val="single" w:sz="4" w:space="0" w:color="auto"/>
              <w:right w:val="single" w:sz="4" w:space="0" w:color="auto"/>
            </w:tcBorders>
            <w:hideMark/>
          </w:tcPr>
          <w:p w14:paraId="17755564" w14:textId="77777777" w:rsidR="00C52491" w:rsidRPr="00E02C47" w:rsidRDefault="00C52491">
            <w:pPr>
              <w:rPr>
                <w:b/>
                <w:bCs/>
                <w:iCs/>
                <w:sz w:val="24"/>
                <w:szCs w:val="24"/>
              </w:rPr>
            </w:pPr>
            <w:r w:rsidRPr="00E02C47">
              <w:rPr>
                <w:b/>
                <w:sz w:val="24"/>
                <w:szCs w:val="24"/>
                <w:lang w:bidi="da-DK"/>
              </w:rPr>
              <w:t xml:space="preserve">Interferon beta-1a </w:t>
            </w:r>
          </w:p>
          <w:p w14:paraId="0B599587" w14:textId="77777777" w:rsidR="00C52491" w:rsidRPr="00E02C47" w:rsidRDefault="00C52491">
            <w:pPr>
              <w:rPr>
                <w:b/>
                <w:bCs/>
                <w:iCs/>
                <w:sz w:val="24"/>
                <w:szCs w:val="24"/>
              </w:rPr>
            </w:pPr>
            <w:r w:rsidRPr="00E02C47">
              <w:rPr>
                <w:b/>
                <w:sz w:val="24"/>
                <w:szCs w:val="24"/>
                <w:lang w:bidi="da-DK"/>
              </w:rPr>
              <w:t>30 μg</w:t>
            </w:r>
          </w:p>
        </w:tc>
      </w:tr>
      <w:tr w:rsidR="00C52491" w:rsidRPr="00E02C47" w14:paraId="30CCC2D3"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21563BB" w14:textId="77777777" w:rsidR="00C52491" w:rsidRPr="00E02C47" w:rsidRDefault="00C52491">
            <w:pPr>
              <w:rPr>
                <w:b/>
                <w:bCs/>
                <w:iCs/>
                <w:sz w:val="24"/>
                <w:szCs w:val="24"/>
              </w:rPr>
            </w:pPr>
            <w:r w:rsidRPr="00E02C47">
              <w:rPr>
                <w:b/>
                <w:sz w:val="24"/>
                <w:szCs w:val="24"/>
                <w:lang w:bidi="da-DK"/>
              </w:rPr>
              <w:t>Kliniske endepunkter</w:t>
            </w:r>
          </w:p>
        </w:tc>
        <w:tc>
          <w:tcPr>
            <w:tcW w:w="1416" w:type="pct"/>
            <w:tcBorders>
              <w:top w:val="single" w:sz="4" w:space="0" w:color="auto"/>
              <w:left w:val="single" w:sz="4" w:space="0" w:color="auto"/>
              <w:bottom w:val="single" w:sz="4" w:space="0" w:color="auto"/>
              <w:right w:val="single" w:sz="4" w:space="0" w:color="auto"/>
            </w:tcBorders>
            <w:hideMark/>
          </w:tcPr>
          <w:p w14:paraId="599FBC66" w14:textId="77777777" w:rsidR="00C52491" w:rsidRPr="00E02C47" w:rsidRDefault="00C52491">
            <w:pPr>
              <w:rPr>
                <w:bCs/>
                <w:iCs/>
                <w:sz w:val="24"/>
                <w:szCs w:val="24"/>
              </w:rPr>
            </w:pPr>
            <w:r w:rsidRPr="00E02C47">
              <w:rPr>
                <w:sz w:val="24"/>
                <w:szCs w:val="24"/>
                <w:lang w:bidi="da-DK"/>
              </w:rPr>
              <w:t>n=107</w:t>
            </w:r>
          </w:p>
        </w:tc>
        <w:tc>
          <w:tcPr>
            <w:tcW w:w="1757" w:type="pct"/>
            <w:tcBorders>
              <w:top w:val="single" w:sz="4" w:space="0" w:color="auto"/>
              <w:left w:val="single" w:sz="4" w:space="0" w:color="auto"/>
              <w:bottom w:val="single" w:sz="4" w:space="0" w:color="auto"/>
              <w:right w:val="single" w:sz="4" w:space="0" w:color="auto"/>
            </w:tcBorders>
            <w:hideMark/>
          </w:tcPr>
          <w:p w14:paraId="600B691F" w14:textId="77777777" w:rsidR="00C52491" w:rsidRPr="00E02C47" w:rsidRDefault="00C52491">
            <w:pPr>
              <w:rPr>
                <w:bCs/>
                <w:iCs/>
                <w:sz w:val="24"/>
                <w:szCs w:val="24"/>
              </w:rPr>
            </w:pPr>
            <w:r w:rsidRPr="00E02C47">
              <w:rPr>
                <w:sz w:val="24"/>
                <w:szCs w:val="24"/>
                <w:lang w:bidi="da-DK"/>
              </w:rPr>
              <w:t>n=107</w:t>
            </w:r>
            <w:r w:rsidRPr="00E02C47">
              <w:rPr>
                <w:sz w:val="24"/>
                <w:szCs w:val="24"/>
                <w:vertAlign w:val="superscript"/>
                <w:lang w:bidi="da-DK"/>
              </w:rPr>
              <w:t>#</w:t>
            </w:r>
          </w:p>
        </w:tc>
      </w:tr>
      <w:tr w:rsidR="00C52491" w:rsidRPr="00E02C47" w14:paraId="6B45AB36"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3A5AD618" w14:textId="77777777" w:rsidR="00C52491" w:rsidRPr="00E02C47" w:rsidRDefault="00C52491">
            <w:pPr>
              <w:rPr>
                <w:bCs/>
                <w:iCs/>
                <w:sz w:val="24"/>
                <w:szCs w:val="24"/>
              </w:rPr>
            </w:pPr>
            <w:r w:rsidRPr="00E02C47">
              <w:rPr>
                <w:sz w:val="24"/>
                <w:szCs w:val="24"/>
                <w:lang w:bidi="da-DK"/>
              </w:rPr>
              <w:t>Annualiseret relapsrate (primært endepunkt)</w:t>
            </w:r>
          </w:p>
        </w:tc>
        <w:tc>
          <w:tcPr>
            <w:tcW w:w="1416" w:type="pct"/>
            <w:tcBorders>
              <w:top w:val="single" w:sz="4" w:space="0" w:color="auto"/>
              <w:left w:val="single" w:sz="4" w:space="0" w:color="auto"/>
              <w:bottom w:val="single" w:sz="4" w:space="0" w:color="auto"/>
              <w:right w:val="single" w:sz="4" w:space="0" w:color="auto"/>
            </w:tcBorders>
            <w:hideMark/>
          </w:tcPr>
          <w:p w14:paraId="49D42E76" w14:textId="77777777" w:rsidR="00C52491" w:rsidRPr="00E02C47" w:rsidRDefault="00C52491">
            <w:pPr>
              <w:rPr>
                <w:bCs/>
                <w:iCs/>
                <w:sz w:val="24"/>
                <w:szCs w:val="24"/>
              </w:rPr>
            </w:pPr>
            <w:r w:rsidRPr="00E02C47">
              <w:rPr>
                <w:sz w:val="24"/>
                <w:szCs w:val="24"/>
                <w:lang w:bidi="da-DK"/>
              </w:rPr>
              <w:t>0,122**</w:t>
            </w:r>
          </w:p>
        </w:tc>
        <w:tc>
          <w:tcPr>
            <w:tcW w:w="1757" w:type="pct"/>
            <w:tcBorders>
              <w:top w:val="single" w:sz="4" w:space="0" w:color="auto"/>
              <w:left w:val="single" w:sz="4" w:space="0" w:color="auto"/>
              <w:bottom w:val="single" w:sz="4" w:space="0" w:color="auto"/>
              <w:right w:val="single" w:sz="4" w:space="0" w:color="auto"/>
            </w:tcBorders>
            <w:hideMark/>
          </w:tcPr>
          <w:p w14:paraId="6C07333D" w14:textId="77777777" w:rsidR="00C52491" w:rsidRPr="00E02C47" w:rsidRDefault="00C52491">
            <w:pPr>
              <w:rPr>
                <w:bCs/>
                <w:iCs/>
                <w:sz w:val="24"/>
                <w:szCs w:val="24"/>
              </w:rPr>
            </w:pPr>
            <w:r w:rsidRPr="00E02C47">
              <w:rPr>
                <w:sz w:val="24"/>
                <w:szCs w:val="24"/>
                <w:lang w:bidi="da-DK"/>
              </w:rPr>
              <w:t>0,675</w:t>
            </w:r>
          </w:p>
        </w:tc>
      </w:tr>
      <w:tr w:rsidR="00C52491" w:rsidRPr="00E02C47" w14:paraId="729B8BD9"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AC620CA" w14:textId="77777777" w:rsidR="00C52491" w:rsidRPr="00E02C47" w:rsidRDefault="00C52491">
            <w:pPr>
              <w:rPr>
                <w:bCs/>
                <w:iCs/>
                <w:sz w:val="24"/>
                <w:szCs w:val="24"/>
                <w:lang w:val="nl-NL"/>
              </w:rPr>
            </w:pPr>
            <w:r w:rsidRPr="00E02C47">
              <w:rPr>
                <w:sz w:val="24"/>
                <w:szCs w:val="24"/>
                <w:lang w:bidi="da-DK"/>
              </w:rPr>
              <w:t>Procentdel af patienter, som forblev relapsfrie ved 24 måneder</w:t>
            </w:r>
          </w:p>
        </w:tc>
        <w:tc>
          <w:tcPr>
            <w:tcW w:w="1416" w:type="pct"/>
            <w:tcBorders>
              <w:top w:val="single" w:sz="4" w:space="0" w:color="auto"/>
              <w:left w:val="single" w:sz="4" w:space="0" w:color="auto"/>
              <w:bottom w:val="single" w:sz="4" w:space="0" w:color="auto"/>
              <w:right w:val="single" w:sz="4" w:space="0" w:color="auto"/>
            </w:tcBorders>
            <w:hideMark/>
          </w:tcPr>
          <w:p w14:paraId="4DE4CE0F" w14:textId="77777777" w:rsidR="00C52491" w:rsidRPr="00E02C47" w:rsidRDefault="00C52491">
            <w:pPr>
              <w:rPr>
                <w:bCs/>
                <w:iCs/>
                <w:sz w:val="24"/>
                <w:szCs w:val="24"/>
                <w:lang w:val="en-GB"/>
              </w:rPr>
            </w:pPr>
            <w:r w:rsidRPr="00E02C47">
              <w:rPr>
                <w:sz w:val="24"/>
                <w:szCs w:val="24"/>
                <w:lang w:bidi="da-DK"/>
              </w:rPr>
              <w:t>85,7**</w:t>
            </w:r>
          </w:p>
        </w:tc>
        <w:tc>
          <w:tcPr>
            <w:tcW w:w="1757" w:type="pct"/>
            <w:tcBorders>
              <w:top w:val="single" w:sz="4" w:space="0" w:color="auto"/>
              <w:left w:val="single" w:sz="4" w:space="0" w:color="auto"/>
              <w:bottom w:val="single" w:sz="4" w:space="0" w:color="auto"/>
              <w:right w:val="single" w:sz="4" w:space="0" w:color="auto"/>
            </w:tcBorders>
            <w:hideMark/>
          </w:tcPr>
          <w:p w14:paraId="5DC1E5D9" w14:textId="77777777" w:rsidR="00C52491" w:rsidRPr="00E02C47" w:rsidRDefault="00C52491">
            <w:pPr>
              <w:rPr>
                <w:bCs/>
                <w:iCs/>
                <w:sz w:val="24"/>
                <w:szCs w:val="24"/>
              </w:rPr>
            </w:pPr>
            <w:r w:rsidRPr="00E02C47">
              <w:rPr>
                <w:sz w:val="24"/>
                <w:szCs w:val="24"/>
                <w:lang w:bidi="da-DK"/>
              </w:rPr>
              <w:t>38,8</w:t>
            </w:r>
          </w:p>
        </w:tc>
      </w:tr>
      <w:tr w:rsidR="00C52491" w:rsidRPr="00E02C47" w14:paraId="4FDE5031"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450F1C0" w14:textId="77777777" w:rsidR="00C52491" w:rsidRPr="00E02C47" w:rsidRDefault="00C52491">
            <w:pPr>
              <w:rPr>
                <w:b/>
                <w:bCs/>
                <w:iCs/>
                <w:sz w:val="24"/>
                <w:szCs w:val="24"/>
              </w:rPr>
            </w:pPr>
            <w:r w:rsidRPr="00E02C47">
              <w:rPr>
                <w:b/>
                <w:sz w:val="24"/>
                <w:szCs w:val="24"/>
                <w:lang w:bidi="da-DK"/>
              </w:rPr>
              <w:t>MRI-endepunkter</w:t>
            </w:r>
          </w:p>
        </w:tc>
        <w:tc>
          <w:tcPr>
            <w:tcW w:w="1416" w:type="pct"/>
            <w:tcBorders>
              <w:top w:val="single" w:sz="4" w:space="0" w:color="auto"/>
              <w:left w:val="single" w:sz="4" w:space="0" w:color="auto"/>
              <w:bottom w:val="single" w:sz="4" w:space="0" w:color="auto"/>
              <w:right w:val="single" w:sz="4" w:space="0" w:color="auto"/>
            </w:tcBorders>
          </w:tcPr>
          <w:p w14:paraId="40573E92" w14:textId="77777777" w:rsidR="00C52491" w:rsidRPr="00E02C47" w:rsidRDefault="00C52491">
            <w:pPr>
              <w:rPr>
                <w:bCs/>
                <w:iCs/>
                <w:sz w:val="24"/>
                <w:szCs w:val="24"/>
              </w:rPr>
            </w:pPr>
          </w:p>
        </w:tc>
        <w:tc>
          <w:tcPr>
            <w:tcW w:w="1757" w:type="pct"/>
            <w:tcBorders>
              <w:top w:val="single" w:sz="4" w:space="0" w:color="auto"/>
              <w:left w:val="single" w:sz="4" w:space="0" w:color="auto"/>
              <w:bottom w:val="single" w:sz="4" w:space="0" w:color="auto"/>
              <w:right w:val="single" w:sz="4" w:space="0" w:color="auto"/>
            </w:tcBorders>
          </w:tcPr>
          <w:p w14:paraId="6E084F7D" w14:textId="77777777" w:rsidR="00C52491" w:rsidRPr="00E02C47" w:rsidRDefault="00C52491">
            <w:pPr>
              <w:rPr>
                <w:bCs/>
                <w:iCs/>
                <w:sz w:val="24"/>
                <w:szCs w:val="24"/>
              </w:rPr>
            </w:pPr>
          </w:p>
        </w:tc>
      </w:tr>
      <w:tr w:rsidR="00C52491" w:rsidRPr="00E02C47" w14:paraId="2DC48857"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1EB7434A" w14:textId="77777777" w:rsidR="00C52491" w:rsidRPr="00E02C47" w:rsidRDefault="00C52491">
            <w:pPr>
              <w:rPr>
                <w:bCs/>
                <w:iCs/>
                <w:sz w:val="24"/>
                <w:szCs w:val="24"/>
              </w:rPr>
            </w:pPr>
            <w:r w:rsidRPr="00E02C47">
              <w:rPr>
                <w:sz w:val="24"/>
                <w:szCs w:val="24"/>
                <w:lang w:bidi="da-DK"/>
              </w:rPr>
              <w:lastRenderedPageBreak/>
              <w:t>Årlig rate af antal nye eller nyligt forstørrede T2-læsioner</w:t>
            </w:r>
          </w:p>
        </w:tc>
        <w:tc>
          <w:tcPr>
            <w:tcW w:w="1416" w:type="pct"/>
            <w:tcBorders>
              <w:top w:val="single" w:sz="4" w:space="0" w:color="auto"/>
              <w:left w:val="single" w:sz="4" w:space="0" w:color="auto"/>
              <w:bottom w:val="single" w:sz="4" w:space="0" w:color="auto"/>
              <w:right w:val="single" w:sz="4" w:space="0" w:color="auto"/>
            </w:tcBorders>
            <w:hideMark/>
          </w:tcPr>
          <w:p w14:paraId="779D3F67" w14:textId="77777777" w:rsidR="00C52491" w:rsidRPr="00E02C47" w:rsidRDefault="00C52491">
            <w:pPr>
              <w:rPr>
                <w:bCs/>
                <w:iCs/>
                <w:sz w:val="24"/>
                <w:szCs w:val="24"/>
                <w:lang w:val="en-GB"/>
              </w:rPr>
            </w:pPr>
            <w:r w:rsidRPr="00E02C47">
              <w:rPr>
                <w:sz w:val="24"/>
                <w:szCs w:val="24"/>
                <w:lang w:bidi="da-DK"/>
              </w:rPr>
              <w:t>n=106</w:t>
            </w:r>
          </w:p>
        </w:tc>
        <w:tc>
          <w:tcPr>
            <w:tcW w:w="1757" w:type="pct"/>
            <w:tcBorders>
              <w:top w:val="single" w:sz="4" w:space="0" w:color="auto"/>
              <w:left w:val="single" w:sz="4" w:space="0" w:color="auto"/>
              <w:bottom w:val="single" w:sz="4" w:space="0" w:color="auto"/>
              <w:right w:val="single" w:sz="4" w:space="0" w:color="auto"/>
            </w:tcBorders>
            <w:hideMark/>
          </w:tcPr>
          <w:p w14:paraId="6696443B" w14:textId="77777777" w:rsidR="00C52491" w:rsidRPr="00E02C47" w:rsidRDefault="00C52491">
            <w:pPr>
              <w:rPr>
                <w:bCs/>
                <w:iCs/>
                <w:sz w:val="24"/>
                <w:szCs w:val="24"/>
              </w:rPr>
            </w:pPr>
            <w:r w:rsidRPr="00E02C47">
              <w:rPr>
                <w:sz w:val="24"/>
                <w:szCs w:val="24"/>
                <w:lang w:bidi="da-DK"/>
              </w:rPr>
              <w:t>n=102</w:t>
            </w:r>
          </w:p>
        </w:tc>
      </w:tr>
      <w:tr w:rsidR="00C52491" w:rsidRPr="00E02C47" w14:paraId="7C33DF88"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7AF4393" w14:textId="77777777" w:rsidR="00C52491" w:rsidRPr="00E02C47" w:rsidRDefault="00C52491">
            <w:pPr>
              <w:rPr>
                <w:bCs/>
                <w:iCs/>
                <w:sz w:val="24"/>
                <w:szCs w:val="24"/>
              </w:rPr>
            </w:pPr>
            <w:r w:rsidRPr="00E02C47">
              <w:rPr>
                <w:sz w:val="24"/>
                <w:szCs w:val="24"/>
                <w:lang w:bidi="da-DK"/>
              </w:rPr>
              <w:t>Justeret gennemsnit</w:t>
            </w:r>
          </w:p>
        </w:tc>
        <w:tc>
          <w:tcPr>
            <w:tcW w:w="1416" w:type="pct"/>
            <w:tcBorders>
              <w:top w:val="single" w:sz="4" w:space="0" w:color="auto"/>
              <w:left w:val="single" w:sz="4" w:space="0" w:color="auto"/>
              <w:bottom w:val="single" w:sz="4" w:space="0" w:color="auto"/>
              <w:right w:val="single" w:sz="4" w:space="0" w:color="auto"/>
            </w:tcBorders>
            <w:hideMark/>
          </w:tcPr>
          <w:p w14:paraId="49C053AA" w14:textId="77777777" w:rsidR="00C52491" w:rsidRPr="00E02C47" w:rsidRDefault="00C52491">
            <w:pPr>
              <w:rPr>
                <w:bCs/>
                <w:iCs/>
                <w:sz w:val="24"/>
                <w:szCs w:val="24"/>
              </w:rPr>
            </w:pPr>
            <w:r w:rsidRPr="00E02C47">
              <w:rPr>
                <w:sz w:val="24"/>
                <w:szCs w:val="24"/>
                <w:lang w:bidi="da-DK"/>
              </w:rPr>
              <w:t>4,393**</w:t>
            </w:r>
          </w:p>
        </w:tc>
        <w:tc>
          <w:tcPr>
            <w:tcW w:w="1757" w:type="pct"/>
            <w:tcBorders>
              <w:top w:val="single" w:sz="4" w:space="0" w:color="auto"/>
              <w:left w:val="single" w:sz="4" w:space="0" w:color="auto"/>
              <w:bottom w:val="single" w:sz="4" w:space="0" w:color="auto"/>
              <w:right w:val="single" w:sz="4" w:space="0" w:color="auto"/>
            </w:tcBorders>
            <w:hideMark/>
          </w:tcPr>
          <w:p w14:paraId="725684DC" w14:textId="77777777" w:rsidR="00C52491" w:rsidRPr="00E02C47" w:rsidRDefault="00C52491">
            <w:pPr>
              <w:rPr>
                <w:bCs/>
                <w:iCs/>
                <w:sz w:val="24"/>
                <w:szCs w:val="24"/>
              </w:rPr>
            </w:pPr>
            <w:r w:rsidRPr="00E02C47">
              <w:rPr>
                <w:sz w:val="24"/>
                <w:szCs w:val="24"/>
                <w:lang w:bidi="da-DK"/>
              </w:rPr>
              <w:t>9,269</w:t>
            </w:r>
          </w:p>
        </w:tc>
      </w:tr>
      <w:tr w:rsidR="00C52491" w:rsidRPr="00E02C47" w14:paraId="16C138CC"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D136F19" w14:textId="77777777" w:rsidR="00C52491" w:rsidRPr="00E02C47" w:rsidRDefault="00C52491">
            <w:pPr>
              <w:rPr>
                <w:bCs/>
                <w:iCs/>
                <w:sz w:val="24"/>
                <w:szCs w:val="24"/>
                <w:lang w:val="nl-NL"/>
              </w:rPr>
            </w:pPr>
            <w:r w:rsidRPr="00E02C47">
              <w:rPr>
                <w:sz w:val="24"/>
                <w:szCs w:val="24"/>
                <w:lang w:bidi="da-DK"/>
              </w:rPr>
              <w:t>Antal Gd-opladende T1-læsioner pr. scanning indtil måned 24</w:t>
            </w:r>
          </w:p>
        </w:tc>
        <w:tc>
          <w:tcPr>
            <w:tcW w:w="1416" w:type="pct"/>
            <w:tcBorders>
              <w:top w:val="single" w:sz="4" w:space="0" w:color="auto"/>
              <w:left w:val="single" w:sz="4" w:space="0" w:color="auto"/>
              <w:bottom w:val="single" w:sz="4" w:space="0" w:color="auto"/>
              <w:right w:val="single" w:sz="4" w:space="0" w:color="auto"/>
            </w:tcBorders>
            <w:hideMark/>
          </w:tcPr>
          <w:p w14:paraId="1D99F451" w14:textId="77777777" w:rsidR="00C52491" w:rsidRPr="00E02C47" w:rsidRDefault="00C52491">
            <w:pPr>
              <w:rPr>
                <w:bCs/>
                <w:iCs/>
                <w:sz w:val="24"/>
                <w:szCs w:val="24"/>
                <w:lang w:val="en-GB"/>
              </w:rPr>
            </w:pPr>
            <w:r w:rsidRPr="00E02C47">
              <w:rPr>
                <w:sz w:val="24"/>
                <w:szCs w:val="24"/>
                <w:lang w:bidi="da-DK"/>
              </w:rPr>
              <w:t>n=106</w:t>
            </w:r>
          </w:p>
        </w:tc>
        <w:tc>
          <w:tcPr>
            <w:tcW w:w="1757" w:type="pct"/>
            <w:tcBorders>
              <w:top w:val="single" w:sz="4" w:space="0" w:color="auto"/>
              <w:left w:val="single" w:sz="4" w:space="0" w:color="auto"/>
              <w:bottom w:val="single" w:sz="4" w:space="0" w:color="auto"/>
              <w:right w:val="single" w:sz="4" w:space="0" w:color="auto"/>
            </w:tcBorders>
            <w:hideMark/>
          </w:tcPr>
          <w:p w14:paraId="363E7FFF" w14:textId="77777777" w:rsidR="00C52491" w:rsidRPr="00E02C47" w:rsidRDefault="00C52491">
            <w:pPr>
              <w:rPr>
                <w:bCs/>
                <w:iCs/>
                <w:sz w:val="24"/>
                <w:szCs w:val="24"/>
              </w:rPr>
            </w:pPr>
            <w:r w:rsidRPr="00E02C47">
              <w:rPr>
                <w:sz w:val="24"/>
                <w:szCs w:val="24"/>
                <w:lang w:bidi="da-DK"/>
              </w:rPr>
              <w:t>n=101</w:t>
            </w:r>
          </w:p>
        </w:tc>
      </w:tr>
      <w:tr w:rsidR="00C52491" w:rsidRPr="00E02C47" w14:paraId="62A1267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0DACB7D0" w14:textId="77777777" w:rsidR="00C52491" w:rsidRPr="00E02C47" w:rsidRDefault="00C52491">
            <w:pPr>
              <w:rPr>
                <w:bCs/>
                <w:iCs/>
                <w:sz w:val="24"/>
                <w:szCs w:val="24"/>
              </w:rPr>
            </w:pPr>
            <w:r w:rsidRPr="00E02C47">
              <w:rPr>
                <w:sz w:val="24"/>
                <w:szCs w:val="24"/>
                <w:lang w:bidi="da-DK"/>
              </w:rPr>
              <w:t>Justeret gennemsnit</w:t>
            </w:r>
          </w:p>
        </w:tc>
        <w:tc>
          <w:tcPr>
            <w:tcW w:w="1416" w:type="pct"/>
            <w:tcBorders>
              <w:top w:val="single" w:sz="4" w:space="0" w:color="auto"/>
              <w:left w:val="single" w:sz="4" w:space="0" w:color="auto"/>
              <w:bottom w:val="single" w:sz="4" w:space="0" w:color="auto"/>
              <w:right w:val="single" w:sz="4" w:space="0" w:color="auto"/>
            </w:tcBorders>
            <w:hideMark/>
          </w:tcPr>
          <w:p w14:paraId="361467E7" w14:textId="77777777" w:rsidR="00C52491" w:rsidRPr="00E02C47" w:rsidRDefault="00C52491">
            <w:pPr>
              <w:rPr>
                <w:bCs/>
                <w:iCs/>
                <w:sz w:val="24"/>
                <w:szCs w:val="24"/>
              </w:rPr>
            </w:pPr>
            <w:r w:rsidRPr="00E02C47">
              <w:rPr>
                <w:sz w:val="24"/>
                <w:szCs w:val="24"/>
                <w:lang w:bidi="da-DK"/>
              </w:rPr>
              <w:t>0,436**</w:t>
            </w:r>
          </w:p>
        </w:tc>
        <w:tc>
          <w:tcPr>
            <w:tcW w:w="1757" w:type="pct"/>
            <w:tcBorders>
              <w:top w:val="single" w:sz="4" w:space="0" w:color="auto"/>
              <w:left w:val="single" w:sz="4" w:space="0" w:color="auto"/>
              <w:bottom w:val="single" w:sz="4" w:space="0" w:color="auto"/>
              <w:right w:val="single" w:sz="4" w:space="0" w:color="auto"/>
            </w:tcBorders>
            <w:hideMark/>
          </w:tcPr>
          <w:p w14:paraId="47E2CB61" w14:textId="77777777" w:rsidR="00C52491" w:rsidRPr="00E02C47" w:rsidRDefault="00C52491">
            <w:pPr>
              <w:rPr>
                <w:bCs/>
                <w:iCs/>
                <w:sz w:val="24"/>
                <w:szCs w:val="24"/>
              </w:rPr>
            </w:pPr>
            <w:r w:rsidRPr="00E02C47">
              <w:rPr>
                <w:sz w:val="24"/>
                <w:szCs w:val="24"/>
                <w:lang w:bidi="da-DK"/>
              </w:rPr>
              <w:t>1,282</w:t>
            </w:r>
          </w:p>
        </w:tc>
      </w:tr>
      <w:tr w:rsidR="00C52491" w:rsidRPr="00E02C47" w14:paraId="2E28CFDF"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5B4EC34E" w14:textId="77777777" w:rsidR="00C52491" w:rsidRPr="00E02C47" w:rsidRDefault="00C52491">
            <w:pPr>
              <w:rPr>
                <w:bCs/>
                <w:iCs/>
                <w:sz w:val="24"/>
                <w:szCs w:val="24"/>
              </w:rPr>
            </w:pPr>
            <w:r w:rsidRPr="00E02C47">
              <w:rPr>
                <w:sz w:val="24"/>
                <w:szCs w:val="24"/>
                <w:lang w:bidi="da-DK"/>
              </w:rPr>
              <w:t>Årlig rate af hjerneatrofi fra udgangspunktet indtil måned 24</w:t>
            </w:r>
          </w:p>
        </w:tc>
        <w:tc>
          <w:tcPr>
            <w:tcW w:w="1416" w:type="pct"/>
            <w:tcBorders>
              <w:top w:val="single" w:sz="4" w:space="0" w:color="auto"/>
              <w:left w:val="single" w:sz="4" w:space="0" w:color="auto"/>
              <w:bottom w:val="single" w:sz="4" w:space="0" w:color="auto"/>
              <w:right w:val="single" w:sz="4" w:space="0" w:color="auto"/>
            </w:tcBorders>
            <w:hideMark/>
          </w:tcPr>
          <w:p w14:paraId="77A77A1F" w14:textId="77777777" w:rsidR="00C52491" w:rsidRPr="00E02C47" w:rsidRDefault="00C52491">
            <w:pPr>
              <w:rPr>
                <w:bCs/>
                <w:iCs/>
                <w:sz w:val="24"/>
                <w:szCs w:val="24"/>
                <w:lang w:val="en-GB"/>
              </w:rPr>
            </w:pPr>
            <w:r w:rsidRPr="00E02C47">
              <w:rPr>
                <w:sz w:val="24"/>
                <w:szCs w:val="24"/>
                <w:lang w:bidi="da-DK"/>
              </w:rPr>
              <w:t>n=96</w:t>
            </w:r>
          </w:p>
        </w:tc>
        <w:tc>
          <w:tcPr>
            <w:tcW w:w="1757" w:type="pct"/>
            <w:tcBorders>
              <w:top w:val="single" w:sz="4" w:space="0" w:color="auto"/>
              <w:left w:val="single" w:sz="4" w:space="0" w:color="auto"/>
              <w:bottom w:val="single" w:sz="4" w:space="0" w:color="auto"/>
              <w:right w:val="single" w:sz="4" w:space="0" w:color="auto"/>
            </w:tcBorders>
            <w:hideMark/>
          </w:tcPr>
          <w:p w14:paraId="6F0501F4" w14:textId="77777777" w:rsidR="00C52491" w:rsidRPr="00E02C47" w:rsidRDefault="00C52491">
            <w:pPr>
              <w:rPr>
                <w:bCs/>
                <w:iCs/>
                <w:sz w:val="24"/>
                <w:szCs w:val="24"/>
              </w:rPr>
            </w:pPr>
            <w:r w:rsidRPr="00E02C47">
              <w:rPr>
                <w:sz w:val="24"/>
                <w:szCs w:val="24"/>
                <w:lang w:bidi="da-DK"/>
              </w:rPr>
              <w:t>n=89</w:t>
            </w:r>
          </w:p>
        </w:tc>
      </w:tr>
      <w:tr w:rsidR="00C52491" w:rsidRPr="00E02C47" w14:paraId="5671F063" w14:textId="77777777" w:rsidTr="00E02C47">
        <w:tc>
          <w:tcPr>
            <w:tcW w:w="1827" w:type="pct"/>
            <w:tcBorders>
              <w:top w:val="single" w:sz="4" w:space="0" w:color="auto"/>
              <w:left w:val="single" w:sz="4" w:space="0" w:color="auto"/>
              <w:bottom w:val="single" w:sz="4" w:space="0" w:color="auto"/>
              <w:right w:val="single" w:sz="4" w:space="0" w:color="auto"/>
            </w:tcBorders>
            <w:hideMark/>
          </w:tcPr>
          <w:p w14:paraId="6EBB7CF1" w14:textId="77777777" w:rsidR="00C52491" w:rsidRPr="00E02C47" w:rsidRDefault="00C52491">
            <w:pPr>
              <w:rPr>
                <w:bCs/>
                <w:iCs/>
                <w:sz w:val="24"/>
                <w:szCs w:val="24"/>
              </w:rPr>
            </w:pPr>
            <w:r w:rsidRPr="00E02C47">
              <w:rPr>
                <w:sz w:val="24"/>
                <w:szCs w:val="24"/>
                <w:lang w:bidi="da-DK"/>
              </w:rPr>
              <w:t>Mindste kvadraters gennemsnit</w:t>
            </w:r>
          </w:p>
        </w:tc>
        <w:tc>
          <w:tcPr>
            <w:tcW w:w="1416" w:type="pct"/>
            <w:tcBorders>
              <w:top w:val="single" w:sz="4" w:space="0" w:color="auto"/>
              <w:left w:val="single" w:sz="4" w:space="0" w:color="auto"/>
              <w:bottom w:val="single" w:sz="4" w:space="0" w:color="auto"/>
              <w:right w:val="single" w:sz="4" w:space="0" w:color="auto"/>
            </w:tcBorders>
            <w:hideMark/>
          </w:tcPr>
          <w:p w14:paraId="29B52F13" w14:textId="77777777" w:rsidR="00C52491" w:rsidRPr="00E02C47" w:rsidRDefault="00C52491">
            <w:pPr>
              <w:rPr>
                <w:bCs/>
                <w:iCs/>
                <w:sz w:val="24"/>
                <w:szCs w:val="24"/>
              </w:rPr>
            </w:pPr>
            <w:r w:rsidRPr="00E02C47">
              <w:rPr>
                <w:sz w:val="24"/>
                <w:szCs w:val="24"/>
                <w:lang w:bidi="da-DK"/>
              </w:rPr>
              <w:t>-0,48*</w:t>
            </w:r>
          </w:p>
        </w:tc>
        <w:tc>
          <w:tcPr>
            <w:tcW w:w="1757" w:type="pct"/>
            <w:tcBorders>
              <w:top w:val="single" w:sz="4" w:space="0" w:color="auto"/>
              <w:left w:val="single" w:sz="4" w:space="0" w:color="auto"/>
              <w:bottom w:val="single" w:sz="4" w:space="0" w:color="auto"/>
              <w:right w:val="single" w:sz="4" w:space="0" w:color="auto"/>
            </w:tcBorders>
            <w:hideMark/>
          </w:tcPr>
          <w:p w14:paraId="26DBB9C1" w14:textId="77777777" w:rsidR="00C52491" w:rsidRPr="00E02C47" w:rsidRDefault="00C52491">
            <w:pPr>
              <w:rPr>
                <w:bCs/>
                <w:iCs/>
                <w:sz w:val="24"/>
                <w:szCs w:val="24"/>
              </w:rPr>
            </w:pPr>
            <w:r w:rsidRPr="00E02C47">
              <w:rPr>
                <w:sz w:val="24"/>
                <w:szCs w:val="24"/>
                <w:lang w:bidi="da-DK"/>
              </w:rPr>
              <w:t>-0,80</w:t>
            </w:r>
          </w:p>
        </w:tc>
      </w:tr>
      <w:tr w:rsidR="00C52491" w:rsidRPr="00E02C47" w14:paraId="2143BCE0" w14:textId="77777777" w:rsidTr="00E02C47">
        <w:tc>
          <w:tcPr>
            <w:tcW w:w="5000" w:type="pct"/>
            <w:gridSpan w:val="3"/>
            <w:tcBorders>
              <w:top w:val="single" w:sz="4" w:space="0" w:color="auto"/>
              <w:left w:val="single" w:sz="4" w:space="0" w:color="auto"/>
              <w:bottom w:val="single" w:sz="4" w:space="0" w:color="auto"/>
              <w:right w:val="single" w:sz="4" w:space="0" w:color="auto"/>
            </w:tcBorders>
            <w:hideMark/>
          </w:tcPr>
          <w:p w14:paraId="6C1FE68C" w14:textId="77777777" w:rsidR="00C52491" w:rsidRPr="00E02C47" w:rsidRDefault="00C52491">
            <w:pPr>
              <w:ind w:left="426" w:hanging="426"/>
              <w:rPr>
                <w:bCs/>
                <w:iCs/>
                <w:sz w:val="24"/>
                <w:szCs w:val="24"/>
              </w:rPr>
            </w:pPr>
            <w:r w:rsidRPr="00E02C47">
              <w:rPr>
                <w:sz w:val="24"/>
                <w:szCs w:val="24"/>
                <w:vertAlign w:val="superscript"/>
                <w:lang w:bidi="da-DK"/>
              </w:rPr>
              <w:t>#</w:t>
            </w:r>
            <w:r w:rsidRPr="00E02C47">
              <w:rPr>
                <w:sz w:val="24"/>
                <w:szCs w:val="24"/>
                <w:lang w:bidi="da-DK"/>
              </w:rPr>
              <w:t xml:space="preserve"> </w:t>
            </w:r>
            <w:r w:rsidRPr="00E02C47">
              <w:rPr>
                <w:sz w:val="24"/>
                <w:szCs w:val="24"/>
                <w:lang w:bidi="da-DK"/>
              </w:rPr>
              <w:tab/>
              <w:t>En patient, som blev randomiseret til at få interferon beta-1a ved intramuskulær injektion, kunne ikke synke dobbelt-</w:t>
            </w:r>
            <w:proofErr w:type="gramStart"/>
            <w:r w:rsidRPr="00E02C47">
              <w:rPr>
                <w:sz w:val="24"/>
                <w:szCs w:val="24"/>
                <w:lang w:bidi="da-DK"/>
              </w:rPr>
              <w:t>dummy medicinen</w:t>
            </w:r>
            <w:proofErr w:type="gramEnd"/>
            <w:r w:rsidRPr="00E02C47">
              <w:rPr>
                <w:sz w:val="24"/>
                <w:szCs w:val="24"/>
                <w:lang w:bidi="da-DK"/>
              </w:rPr>
              <w:t xml:space="preserve"> og ophørte i studiet. Patienten blev ekskluderet fra det komplette analyse- og sikkerhedssæt.</w:t>
            </w:r>
          </w:p>
          <w:p w14:paraId="7E81F2B3" w14:textId="77777777" w:rsidR="00D57A7D" w:rsidRDefault="00C52491">
            <w:pPr>
              <w:ind w:left="426" w:hanging="426"/>
              <w:rPr>
                <w:sz w:val="24"/>
                <w:szCs w:val="24"/>
                <w:lang w:bidi="da-DK"/>
              </w:rPr>
            </w:pPr>
            <w:r w:rsidRPr="00E02C47">
              <w:rPr>
                <w:sz w:val="24"/>
                <w:szCs w:val="24"/>
                <w:lang w:bidi="da-DK"/>
              </w:rPr>
              <w:t xml:space="preserve">* </w:t>
            </w:r>
            <w:r w:rsidRPr="00E02C47">
              <w:rPr>
                <w:sz w:val="24"/>
                <w:szCs w:val="24"/>
                <w:lang w:bidi="da-DK"/>
              </w:rPr>
              <w:tab/>
              <w:t>p&lt;0,05,</w:t>
            </w:r>
          </w:p>
          <w:p w14:paraId="1EDC67DF" w14:textId="5A48A720" w:rsidR="00C52491" w:rsidRPr="00E02C47" w:rsidRDefault="00C52491">
            <w:pPr>
              <w:ind w:left="426" w:hanging="426"/>
              <w:rPr>
                <w:bCs/>
                <w:iCs/>
                <w:sz w:val="24"/>
                <w:szCs w:val="24"/>
              </w:rPr>
            </w:pPr>
            <w:r w:rsidRPr="00E02C47">
              <w:rPr>
                <w:sz w:val="24"/>
                <w:szCs w:val="24"/>
                <w:lang w:bidi="da-DK"/>
              </w:rPr>
              <w:t xml:space="preserve">** </w:t>
            </w:r>
            <w:r w:rsidR="00D57A7D">
              <w:rPr>
                <w:sz w:val="24"/>
                <w:szCs w:val="24"/>
                <w:lang w:bidi="da-DK"/>
              </w:rPr>
              <w:tab/>
            </w:r>
            <w:r w:rsidRPr="00E02C47">
              <w:rPr>
                <w:sz w:val="24"/>
                <w:szCs w:val="24"/>
                <w:lang w:bidi="da-DK"/>
              </w:rPr>
              <w:t>p&lt;0,001, sammenlignet med interferon beta-1a</w:t>
            </w:r>
          </w:p>
          <w:p w14:paraId="088995C8" w14:textId="77777777" w:rsidR="00C52491" w:rsidRPr="00E02C47" w:rsidRDefault="00C52491">
            <w:pPr>
              <w:jc w:val="both"/>
              <w:rPr>
                <w:bCs/>
                <w:iCs/>
                <w:sz w:val="24"/>
                <w:szCs w:val="24"/>
                <w:u w:val="single"/>
              </w:rPr>
            </w:pPr>
            <w:r w:rsidRPr="00E02C47">
              <w:rPr>
                <w:sz w:val="24"/>
                <w:szCs w:val="24"/>
                <w:lang w:bidi="da-DK"/>
              </w:rPr>
              <w:t>Alle analyser af kliniske endepunkter blev foretaget på hele analysesættet.</w:t>
            </w:r>
          </w:p>
        </w:tc>
      </w:tr>
    </w:tbl>
    <w:p w14:paraId="149C4635" w14:textId="77777777" w:rsidR="009260DE" w:rsidRPr="00E02C47" w:rsidRDefault="009260DE" w:rsidP="009260DE">
      <w:pPr>
        <w:tabs>
          <w:tab w:val="left" w:pos="851"/>
        </w:tabs>
        <w:ind w:left="851"/>
        <w:rPr>
          <w:sz w:val="24"/>
          <w:szCs w:val="24"/>
        </w:rPr>
      </w:pPr>
    </w:p>
    <w:p w14:paraId="4A3E1BA5" w14:textId="77777777" w:rsidR="009260DE" w:rsidRPr="00E02C47" w:rsidRDefault="009260DE" w:rsidP="009260DE">
      <w:pPr>
        <w:tabs>
          <w:tab w:val="left" w:pos="851"/>
        </w:tabs>
        <w:ind w:left="851" w:hanging="851"/>
        <w:rPr>
          <w:b/>
          <w:sz w:val="24"/>
          <w:szCs w:val="24"/>
        </w:rPr>
      </w:pPr>
      <w:r w:rsidRPr="00E02C47">
        <w:rPr>
          <w:b/>
          <w:sz w:val="24"/>
          <w:szCs w:val="24"/>
        </w:rPr>
        <w:t>5.2</w:t>
      </w:r>
      <w:r w:rsidRPr="00E02C47">
        <w:rPr>
          <w:b/>
          <w:sz w:val="24"/>
          <w:szCs w:val="24"/>
        </w:rPr>
        <w:tab/>
        <w:t>Farmakokinetiske egenskaber</w:t>
      </w:r>
    </w:p>
    <w:p w14:paraId="08151ABA" w14:textId="77777777" w:rsidR="00C52491" w:rsidRPr="00E02C47" w:rsidRDefault="00C52491" w:rsidP="00E02C47">
      <w:pPr>
        <w:ind w:left="851"/>
        <w:rPr>
          <w:sz w:val="24"/>
          <w:szCs w:val="24"/>
        </w:rPr>
      </w:pPr>
      <w:r w:rsidRPr="00E02C47">
        <w:rPr>
          <w:sz w:val="24"/>
          <w:szCs w:val="24"/>
        </w:rPr>
        <w:t xml:space="preserve">Farmakokinetiske data er indhentet fra voksne, raske frivillige, nyretransplanterede voksne patienter og voksne patienter med multipel sklerose. </w:t>
      </w:r>
    </w:p>
    <w:p w14:paraId="2CAF14C8" w14:textId="4910F097" w:rsidR="00C52491" w:rsidRPr="00E02C47" w:rsidRDefault="00C52491" w:rsidP="00E02C47">
      <w:pPr>
        <w:ind w:left="851"/>
        <w:rPr>
          <w:sz w:val="24"/>
          <w:szCs w:val="24"/>
        </w:rPr>
      </w:pPr>
    </w:p>
    <w:p w14:paraId="53BD13DF" w14:textId="77777777" w:rsidR="00C52491" w:rsidRPr="00E02C47" w:rsidRDefault="00C52491" w:rsidP="00E02C47">
      <w:pPr>
        <w:ind w:left="851"/>
        <w:rPr>
          <w:sz w:val="24"/>
          <w:szCs w:val="24"/>
        </w:rPr>
      </w:pPr>
      <w:r w:rsidRPr="00E02C47">
        <w:rPr>
          <w:sz w:val="24"/>
          <w:szCs w:val="24"/>
        </w:rPr>
        <w:t xml:space="preserve">Den farmakologisk aktive metabolit som er ansvarlig for virkningen er fingolimodphosphat. </w:t>
      </w:r>
    </w:p>
    <w:p w14:paraId="17B03C56" w14:textId="77777777" w:rsidR="00C52491" w:rsidRPr="00E02C47" w:rsidRDefault="00C52491" w:rsidP="00E02C47">
      <w:pPr>
        <w:ind w:left="851"/>
        <w:rPr>
          <w:iCs/>
          <w:noProof/>
          <w:sz w:val="24"/>
          <w:szCs w:val="24"/>
          <w:lang w:val="de-DE"/>
        </w:rPr>
      </w:pPr>
    </w:p>
    <w:p w14:paraId="5F077F6A" w14:textId="77777777" w:rsidR="00C52491" w:rsidRPr="00E02C47" w:rsidRDefault="00C52491" w:rsidP="00E02C47">
      <w:pPr>
        <w:ind w:left="851"/>
        <w:rPr>
          <w:iCs/>
          <w:noProof/>
          <w:sz w:val="24"/>
          <w:szCs w:val="24"/>
          <w:u w:val="single"/>
          <w:lang w:val="de-DE"/>
        </w:rPr>
      </w:pPr>
      <w:r w:rsidRPr="00E02C47">
        <w:rPr>
          <w:noProof/>
          <w:sz w:val="24"/>
          <w:szCs w:val="24"/>
          <w:u w:val="single"/>
          <w:lang w:bidi="da-DK"/>
        </w:rPr>
        <w:t>Absorption</w:t>
      </w:r>
    </w:p>
    <w:p w14:paraId="3DAFECFC" w14:textId="6C38023D" w:rsidR="00C52491" w:rsidRPr="00E02C47" w:rsidRDefault="00C52491" w:rsidP="00E02C47">
      <w:pPr>
        <w:ind w:left="851"/>
        <w:rPr>
          <w:sz w:val="24"/>
          <w:szCs w:val="24"/>
        </w:rPr>
      </w:pPr>
      <w:r w:rsidRPr="00E02C47">
        <w:rPr>
          <w:sz w:val="24"/>
          <w:szCs w:val="24"/>
        </w:rPr>
        <w:t>Absorptionen af fingolimod er langsom (t</w:t>
      </w:r>
      <w:r w:rsidRPr="00E02C47">
        <w:rPr>
          <w:sz w:val="24"/>
          <w:szCs w:val="24"/>
          <w:vertAlign w:val="subscript"/>
        </w:rPr>
        <w:t>max</w:t>
      </w:r>
      <w:r w:rsidRPr="00E02C47">
        <w:rPr>
          <w:sz w:val="24"/>
          <w:szCs w:val="24"/>
        </w:rPr>
        <w:t xml:space="preserve"> på 12-16 timer) og omfattende (≥85 %). Den tilsyneladende absolutte orale biotilgængelighed er 93 % (95 % konfidensinterval: 79-111</w:t>
      </w:r>
      <w:r w:rsidR="000814D6">
        <w:rPr>
          <w:sz w:val="24"/>
          <w:szCs w:val="24"/>
        </w:rPr>
        <w:t> </w:t>
      </w:r>
      <w:r w:rsidRPr="00E02C47">
        <w:rPr>
          <w:sz w:val="24"/>
          <w:szCs w:val="24"/>
        </w:rPr>
        <w:t xml:space="preserve">%). </w:t>
      </w:r>
      <w:r w:rsidRPr="00E02C47">
        <w:rPr>
          <w:i/>
          <w:sz w:val="24"/>
          <w:szCs w:val="24"/>
        </w:rPr>
        <w:t>Steady state</w:t>
      </w:r>
      <w:r w:rsidRPr="00E02C47">
        <w:rPr>
          <w:sz w:val="24"/>
          <w:szCs w:val="24"/>
        </w:rPr>
        <w:t xml:space="preserve">-blodkoncentrationerne nås i løbet af 1-2 måneder efter indtagelse én gang dagligt, og </w:t>
      </w:r>
      <w:r w:rsidRPr="00E02C47">
        <w:rPr>
          <w:i/>
          <w:sz w:val="24"/>
          <w:szCs w:val="24"/>
        </w:rPr>
        <w:t>steady state</w:t>
      </w:r>
      <w:r w:rsidRPr="00E02C47">
        <w:rPr>
          <w:sz w:val="24"/>
          <w:szCs w:val="24"/>
        </w:rPr>
        <w:t xml:space="preserve">-niveauerne er cirka det 10-dobbelte af initial dosis. </w:t>
      </w:r>
    </w:p>
    <w:p w14:paraId="21235378" w14:textId="29EAB782" w:rsidR="00C52491" w:rsidRPr="00E02C47" w:rsidRDefault="00C52491" w:rsidP="00E02C47">
      <w:pPr>
        <w:ind w:left="851"/>
        <w:rPr>
          <w:sz w:val="24"/>
          <w:szCs w:val="24"/>
        </w:rPr>
      </w:pPr>
    </w:p>
    <w:p w14:paraId="6345E6DA" w14:textId="068CB8C4" w:rsidR="00C52491" w:rsidRPr="00E02C47" w:rsidRDefault="00C52491" w:rsidP="00E02C47">
      <w:pPr>
        <w:ind w:left="851"/>
        <w:rPr>
          <w:sz w:val="24"/>
          <w:szCs w:val="24"/>
        </w:rPr>
      </w:pPr>
      <w:r w:rsidRPr="00E02C47">
        <w:rPr>
          <w:sz w:val="24"/>
          <w:szCs w:val="24"/>
        </w:rPr>
        <w:t>Fødeindtagelse ændrer ikke C</w:t>
      </w:r>
      <w:r w:rsidRPr="00E02C47">
        <w:rPr>
          <w:sz w:val="24"/>
          <w:szCs w:val="24"/>
          <w:vertAlign w:val="subscript"/>
        </w:rPr>
        <w:t>max</w:t>
      </w:r>
      <w:r w:rsidRPr="00E02C47">
        <w:rPr>
          <w:sz w:val="24"/>
          <w:szCs w:val="24"/>
        </w:rPr>
        <w:t xml:space="preserve"> eller eksponeringen (AUC) for fingolimod. Fingolimodphosphat C</w:t>
      </w:r>
      <w:r w:rsidRPr="00E02C47">
        <w:rPr>
          <w:sz w:val="24"/>
          <w:szCs w:val="24"/>
          <w:vertAlign w:val="subscript"/>
        </w:rPr>
        <w:t>max</w:t>
      </w:r>
      <w:r w:rsidRPr="00E02C47">
        <w:rPr>
          <w:sz w:val="24"/>
          <w:szCs w:val="24"/>
        </w:rPr>
        <w:t xml:space="preserve"> var lettere nedsat med 34 % men AUC var uændret. Fingolimod </w:t>
      </w:r>
      <w:r w:rsidR="00362304">
        <w:rPr>
          <w:sz w:val="24"/>
          <w:szCs w:val="24"/>
        </w:rPr>
        <w:t>"Pharmaselect"</w:t>
      </w:r>
      <w:r w:rsidRPr="00E02C47">
        <w:rPr>
          <w:sz w:val="24"/>
          <w:szCs w:val="24"/>
        </w:rPr>
        <w:t xml:space="preserve"> kan derfor tages uafhængigt af måltiderne (se pkt. 4.2). </w:t>
      </w:r>
    </w:p>
    <w:p w14:paraId="0BB6253F" w14:textId="77777777" w:rsidR="00C52491" w:rsidRPr="00E02C47" w:rsidRDefault="00C52491" w:rsidP="00E02C47">
      <w:pPr>
        <w:ind w:left="851"/>
        <w:rPr>
          <w:iCs/>
          <w:noProof/>
          <w:sz w:val="24"/>
          <w:szCs w:val="24"/>
          <w:u w:val="single"/>
        </w:rPr>
      </w:pPr>
    </w:p>
    <w:p w14:paraId="65BF9283" w14:textId="77777777" w:rsidR="00C52491" w:rsidRPr="00E02C47" w:rsidRDefault="00C52491" w:rsidP="00E02C47">
      <w:pPr>
        <w:ind w:left="851"/>
        <w:rPr>
          <w:iCs/>
          <w:noProof/>
          <w:sz w:val="24"/>
          <w:szCs w:val="24"/>
          <w:u w:val="single"/>
        </w:rPr>
      </w:pPr>
      <w:r w:rsidRPr="00E02C47">
        <w:rPr>
          <w:noProof/>
          <w:sz w:val="24"/>
          <w:szCs w:val="24"/>
          <w:u w:val="single"/>
          <w:lang w:bidi="da-DK"/>
        </w:rPr>
        <w:t>Fordeling</w:t>
      </w:r>
    </w:p>
    <w:p w14:paraId="0164A760" w14:textId="77777777" w:rsidR="00C52491" w:rsidRPr="00E02C47" w:rsidRDefault="00C52491" w:rsidP="00E02C47">
      <w:pPr>
        <w:ind w:left="851"/>
        <w:rPr>
          <w:sz w:val="24"/>
          <w:szCs w:val="24"/>
        </w:rPr>
      </w:pPr>
      <w:r w:rsidRPr="00E02C47">
        <w:rPr>
          <w:sz w:val="24"/>
          <w:szCs w:val="24"/>
        </w:rPr>
        <w:t xml:space="preserve">Fingolimod fordeles i høj grad i de røde blodceller med en fraktion i blodcellerne på 86 %. Fingolimodphosphat har en lavere optagelsesgrad i blodcellerne på &lt;17 %. Fingolimod og fingolimodphosphat er stærkt proteinbundne (&gt;99 %). </w:t>
      </w:r>
    </w:p>
    <w:p w14:paraId="0D75C40D" w14:textId="2C8ECA39" w:rsidR="00C52491" w:rsidRPr="00E02C47" w:rsidRDefault="00C52491" w:rsidP="00E02C47">
      <w:pPr>
        <w:ind w:left="851"/>
        <w:rPr>
          <w:sz w:val="24"/>
          <w:szCs w:val="24"/>
        </w:rPr>
      </w:pPr>
    </w:p>
    <w:p w14:paraId="5D15BE1A" w14:textId="207B1427" w:rsidR="00C52491" w:rsidRPr="00E02C47" w:rsidRDefault="00C52491" w:rsidP="00E02C47">
      <w:pPr>
        <w:ind w:left="851"/>
        <w:rPr>
          <w:sz w:val="24"/>
          <w:szCs w:val="24"/>
        </w:rPr>
      </w:pPr>
      <w:r w:rsidRPr="00E02C47">
        <w:rPr>
          <w:sz w:val="24"/>
          <w:szCs w:val="24"/>
        </w:rPr>
        <w:t>Fingolimod fordeles i stort omfang i kroppens væv og har en fordelingsvolumen på omkring 1.200</w:t>
      </w:r>
      <w:r w:rsidR="00830BE9">
        <w:rPr>
          <w:sz w:val="24"/>
          <w:szCs w:val="24"/>
        </w:rPr>
        <w:t xml:space="preserve"> ± </w:t>
      </w:r>
      <w:r w:rsidRPr="00E02C47">
        <w:rPr>
          <w:sz w:val="24"/>
          <w:szCs w:val="24"/>
        </w:rPr>
        <w:t xml:space="preserve">260 liter. Et studie hos fire raske forsøgspersoner, som fik en enkelt intravenøs dosis af en radioaktivt mærket fingolimodanalog, viste, at fingolimod penetrerer ind i hjernen. I et studie hos 13 mandlige patienter med multipel sklerose, som fik fingolimod 0,5 mg/dag, var den gennemsnitlige mængde af fingolimod (og fingolimodphosphat) i sædejakulat ved </w:t>
      </w:r>
      <w:r w:rsidRPr="00E02C47">
        <w:rPr>
          <w:i/>
          <w:sz w:val="24"/>
          <w:szCs w:val="24"/>
        </w:rPr>
        <w:t>steady state</w:t>
      </w:r>
      <w:r w:rsidRPr="00E02C47">
        <w:rPr>
          <w:sz w:val="24"/>
          <w:szCs w:val="24"/>
        </w:rPr>
        <w:t xml:space="preserve"> omtrent 10.000 gange lavere end den oralt administrerede dosis (0,5 mg). </w:t>
      </w:r>
    </w:p>
    <w:p w14:paraId="262AD5EC" w14:textId="77777777" w:rsidR="00C52491" w:rsidRPr="00E02C47" w:rsidRDefault="00C52491" w:rsidP="00E02C47">
      <w:pPr>
        <w:ind w:left="851"/>
        <w:rPr>
          <w:iCs/>
          <w:noProof/>
          <w:sz w:val="24"/>
          <w:szCs w:val="24"/>
          <w:u w:val="single"/>
        </w:rPr>
      </w:pPr>
    </w:p>
    <w:p w14:paraId="545D767B" w14:textId="77777777" w:rsidR="00C52491" w:rsidRPr="00E02C47" w:rsidRDefault="00C52491" w:rsidP="00E02C47">
      <w:pPr>
        <w:ind w:left="851"/>
        <w:rPr>
          <w:iCs/>
          <w:noProof/>
          <w:sz w:val="24"/>
          <w:szCs w:val="24"/>
          <w:u w:val="single"/>
        </w:rPr>
      </w:pPr>
      <w:r w:rsidRPr="00E02C47">
        <w:rPr>
          <w:noProof/>
          <w:sz w:val="24"/>
          <w:szCs w:val="24"/>
          <w:u w:val="single"/>
          <w:lang w:bidi="da-DK"/>
        </w:rPr>
        <w:t>Biotransformation</w:t>
      </w:r>
    </w:p>
    <w:p w14:paraId="20972BEB" w14:textId="10472432" w:rsidR="00C52491" w:rsidRPr="00E02C47" w:rsidRDefault="00C52491" w:rsidP="00E02C47">
      <w:pPr>
        <w:ind w:left="851"/>
        <w:rPr>
          <w:sz w:val="24"/>
          <w:szCs w:val="24"/>
        </w:rPr>
      </w:pPr>
      <w:r w:rsidRPr="00E02C47">
        <w:rPr>
          <w:sz w:val="24"/>
          <w:szCs w:val="24"/>
        </w:rPr>
        <w:t xml:space="preserve">Fingolimod omdannes hos mennesker ved en reversibel, stereoselektiv fosforylering til den farmakologisk aktive (S)-enantiomer fingolimodphosphat. Fingolimod elimineres ved oxidativ biotransformation, hovedsageligt katalyseret af CYP4F2 og muligvis andre isoenzymer, og efterfølgende fedtsyrelignende nedbrydning til inaktive metabolitter. </w:t>
      </w:r>
      <w:r w:rsidRPr="00E02C47">
        <w:rPr>
          <w:sz w:val="24"/>
          <w:szCs w:val="24"/>
        </w:rPr>
        <w:lastRenderedPageBreak/>
        <w:t>Dannelse af farmakologisk inaktive, ikke-polære ceramidanaloger til fingolimod blev også observeret. Det enzym, der hovedsag</w:t>
      </w:r>
      <w:r w:rsidR="00085272">
        <w:rPr>
          <w:sz w:val="24"/>
          <w:szCs w:val="24"/>
        </w:rPr>
        <w:t>e</w:t>
      </w:r>
      <w:r w:rsidRPr="00E02C47">
        <w:rPr>
          <w:sz w:val="24"/>
          <w:szCs w:val="24"/>
        </w:rPr>
        <w:t xml:space="preserve">ligt er involveret i metaboliseringen af fingolimod, er delvis identificeret og kan være enten CYP4F2 eller CYP3A4. </w:t>
      </w:r>
    </w:p>
    <w:p w14:paraId="627CAB0A" w14:textId="39CD33C0" w:rsidR="00C52491" w:rsidRPr="00E02C47" w:rsidRDefault="00C52491" w:rsidP="00E02C47">
      <w:pPr>
        <w:ind w:left="851"/>
        <w:rPr>
          <w:sz w:val="24"/>
          <w:szCs w:val="24"/>
        </w:rPr>
      </w:pPr>
    </w:p>
    <w:p w14:paraId="63BA8236" w14:textId="77777777" w:rsidR="00C52491" w:rsidRPr="00E02C47" w:rsidRDefault="00C52491" w:rsidP="00E02C47">
      <w:pPr>
        <w:ind w:left="851"/>
        <w:rPr>
          <w:sz w:val="24"/>
          <w:szCs w:val="24"/>
        </w:rPr>
      </w:pPr>
      <w:r w:rsidRPr="00E02C47">
        <w:rPr>
          <w:sz w:val="24"/>
          <w:szCs w:val="24"/>
        </w:rPr>
        <w:t>Efter en enkelt oral administration af [</w:t>
      </w:r>
      <w:r w:rsidRPr="00E02C47">
        <w:rPr>
          <w:sz w:val="24"/>
          <w:szCs w:val="24"/>
          <w:vertAlign w:val="superscript"/>
        </w:rPr>
        <w:t>14</w:t>
      </w:r>
      <w:r w:rsidRPr="00E02C47">
        <w:rPr>
          <w:sz w:val="24"/>
          <w:szCs w:val="24"/>
        </w:rPr>
        <w:t xml:space="preserve">C] fingolimod er de vigtigste fingolimod-relaterede komponenter i blodet, bedømt ud fra deres bidrag til AUC op til 34 dage efter dosering for samlet antal radioaktivt mærkede komponenter, fingolimod selv (23 %) fingolimodphosphat (10 %) samt inaktive metabolitter (M3 karboxylsyremetabolit (8 %), M29 ceramidmetabolit (9 %) og M30 ceramidmetabolit (7 %)). </w:t>
      </w:r>
    </w:p>
    <w:p w14:paraId="05223AD2" w14:textId="77777777" w:rsidR="00C52491" w:rsidRPr="00E02C47" w:rsidRDefault="00C52491" w:rsidP="00E02C47">
      <w:pPr>
        <w:ind w:left="851"/>
        <w:rPr>
          <w:iCs/>
          <w:noProof/>
          <w:sz w:val="24"/>
          <w:szCs w:val="24"/>
          <w:u w:val="single"/>
          <w:lang w:val="nl-NL"/>
        </w:rPr>
      </w:pPr>
    </w:p>
    <w:p w14:paraId="0D373EAB" w14:textId="77777777" w:rsidR="00C52491" w:rsidRPr="00E02C47" w:rsidRDefault="00C52491" w:rsidP="00E02C47">
      <w:pPr>
        <w:ind w:left="851"/>
        <w:rPr>
          <w:iCs/>
          <w:noProof/>
          <w:sz w:val="24"/>
          <w:szCs w:val="24"/>
          <w:u w:val="single"/>
          <w:lang w:val="nl-NL"/>
        </w:rPr>
      </w:pPr>
      <w:r w:rsidRPr="00E02C47">
        <w:rPr>
          <w:noProof/>
          <w:sz w:val="24"/>
          <w:szCs w:val="24"/>
          <w:u w:val="single"/>
          <w:lang w:bidi="da-DK"/>
        </w:rPr>
        <w:t>Elimination</w:t>
      </w:r>
    </w:p>
    <w:p w14:paraId="1B6BD853" w14:textId="7AC9048D" w:rsidR="00C52491" w:rsidRPr="00E02C47" w:rsidRDefault="00C52491" w:rsidP="00E02C47">
      <w:pPr>
        <w:ind w:left="851"/>
        <w:rPr>
          <w:sz w:val="24"/>
          <w:szCs w:val="24"/>
        </w:rPr>
      </w:pPr>
      <w:r w:rsidRPr="00E02C47">
        <w:rPr>
          <w:sz w:val="24"/>
          <w:szCs w:val="24"/>
        </w:rPr>
        <w:t>Fingolimods blod-clearance er 6,3</w:t>
      </w:r>
      <w:r w:rsidR="00830BE9">
        <w:rPr>
          <w:sz w:val="24"/>
          <w:szCs w:val="24"/>
        </w:rPr>
        <w:t xml:space="preserve"> ± </w:t>
      </w:r>
      <w:r w:rsidRPr="00E02C47">
        <w:rPr>
          <w:sz w:val="24"/>
          <w:szCs w:val="24"/>
        </w:rPr>
        <w:t>2,3 l/h, og den gennemsnitlige tilsyneladende terminale eliminationshalveringstid (t</w:t>
      </w:r>
      <w:r w:rsidRPr="00E02C47">
        <w:rPr>
          <w:sz w:val="24"/>
          <w:szCs w:val="24"/>
          <w:vertAlign w:val="subscript"/>
        </w:rPr>
        <w:t>1/2</w:t>
      </w:r>
      <w:r w:rsidRPr="00E02C47">
        <w:rPr>
          <w:sz w:val="24"/>
          <w:szCs w:val="24"/>
        </w:rPr>
        <w:t xml:space="preserve">) er 6-9 dage. Fingolimod- og fingolimodphosphat-niveauet i blodet falder parallelt i den terminale fase, således at begge har omtrent samme halveringstid. </w:t>
      </w:r>
    </w:p>
    <w:p w14:paraId="1356B675" w14:textId="144444AB" w:rsidR="00C52491" w:rsidRPr="00E02C47" w:rsidRDefault="00C52491" w:rsidP="00E02C47">
      <w:pPr>
        <w:ind w:left="851"/>
        <w:rPr>
          <w:sz w:val="24"/>
          <w:szCs w:val="24"/>
        </w:rPr>
      </w:pPr>
    </w:p>
    <w:p w14:paraId="00A252DE" w14:textId="77777777" w:rsidR="00C52491" w:rsidRPr="00E02C47" w:rsidRDefault="00C52491" w:rsidP="00E02C47">
      <w:pPr>
        <w:ind w:left="851"/>
        <w:rPr>
          <w:sz w:val="24"/>
          <w:szCs w:val="24"/>
        </w:rPr>
      </w:pPr>
      <w:r w:rsidRPr="00E02C47">
        <w:rPr>
          <w:sz w:val="24"/>
          <w:szCs w:val="24"/>
        </w:rPr>
        <w:t xml:space="preserve">Efter oral administration udskiltes ca. 81 % af dosis langsomt i urinen som inaktive metabolitter. Fingolimod og fingolimodphosphat udskilles ikke intakt i urinen, men er de største bestanddele i faeces med mængder, som repræsenterer mindre end 2,5 % af dosis hver. Efter 34 dage er 89 % af den indgivne dosis udskilt. </w:t>
      </w:r>
    </w:p>
    <w:p w14:paraId="6E51B024" w14:textId="77777777" w:rsidR="00C52491" w:rsidRPr="00E02C47" w:rsidRDefault="00C52491" w:rsidP="00E02C47">
      <w:pPr>
        <w:ind w:left="851"/>
        <w:rPr>
          <w:iCs/>
          <w:noProof/>
          <w:sz w:val="24"/>
          <w:szCs w:val="24"/>
          <w:u w:val="single"/>
        </w:rPr>
      </w:pPr>
    </w:p>
    <w:p w14:paraId="4EDF3656" w14:textId="77777777" w:rsidR="00C52491" w:rsidRPr="00E02C47" w:rsidRDefault="00C52491" w:rsidP="00E02C47">
      <w:pPr>
        <w:ind w:left="851"/>
        <w:rPr>
          <w:iCs/>
          <w:noProof/>
          <w:sz w:val="24"/>
          <w:szCs w:val="24"/>
        </w:rPr>
      </w:pPr>
      <w:r w:rsidRPr="00E02C47">
        <w:rPr>
          <w:noProof/>
          <w:sz w:val="24"/>
          <w:szCs w:val="24"/>
          <w:u w:val="single"/>
          <w:lang w:bidi="da-DK"/>
        </w:rPr>
        <w:t>Linearitet</w:t>
      </w:r>
    </w:p>
    <w:p w14:paraId="64345DC7" w14:textId="77777777" w:rsidR="00C52491" w:rsidRPr="00E02C47" w:rsidRDefault="00C52491" w:rsidP="00E02C47">
      <w:pPr>
        <w:ind w:left="851"/>
        <w:rPr>
          <w:sz w:val="24"/>
          <w:szCs w:val="24"/>
        </w:rPr>
      </w:pPr>
      <w:r w:rsidRPr="00E02C47">
        <w:rPr>
          <w:sz w:val="24"/>
          <w:szCs w:val="24"/>
        </w:rPr>
        <w:t xml:space="preserve">Fingolimod- og fingolimodphosphat-koncentrationen stiger tilsyneladende proportionalt med dosis efter multiple doser på 0,5 mg eller 1,25 mg en gang dagligt. </w:t>
      </w:r>
    </w:p>
    <w:p w14:paraId="47FE81A5" w14:textId="77777777" w:rsidR="00C52491" w:rsidRPr="00E02C47" w:rsidRDefault="00C52491" w:rsidP="00E02C47">
      <w:pPr>
        <w:ind w:left="851"/>
        <w:rPr>
          <w:iCs/>
          <w:noProof/>
          <w:sz w:val="24"/>
          <w:szCs w:val="24"/>
          <w:u w:val="single"/>
        </w:rPr>
      </w:pPr>
    </w:p>
    <w:p w14:paraId="09C0756E" w14:textId="77777777" w:rsidR="00C52491" w:rsidRPr="00E02C47" w:rsidRDefault="00C52491" w:rsidP="00E02C47">
      <w:pPr>
        <w:ind w:left="851"/>
        <w:rPr>
          <w:iCs/>
          <w:noProof/>
          <w:sz w:val="24"/>
          <w:szCs w:val="24"/>
          <w:u w:val="single"/>
        </w:rPr>
      </w:pPr>
      <w:r w:rsidRPr="00E02C47">
        <w:rPr>
          <w:noProof/>
          <w:sz w:val="24"/>
          <w:szCs w:val="24"/>
          <w:u w:val="single"/>
          <w:lang w:bidi="da-DK"/>
        </w:rPr>
        <w:t>Karakteristika hos specifikke grupper af patienter</w:t>
      </w:r>
    </w:p>
    <w:p w14:paraId="3765B250" w14:textId="77777777" w:rsidR="00C52491" w:rsidRPr="00E02C47" w:rsidRDefault="00C52491" w:rsidP="00E02C47">
      <w:pPr>
        <w:ind w:left="851"/>
        <w:rPr>
          <w:i/>
          <w:iCs/>
          <w:noProof/>
          <w:sz w:val="24"/>
          <w:szCs w:val="24"/>
          <w:u w:val="single"/>
        </w:rPr>
      </w:pPr>
    </w:p>
    <w:p w14:paraId="53766720" w14:textId="77777777" w:rsidR="00C52491" w:rsidRPr="00E02C47" w:rsidRDefault="00C52491" w:rsidP="00E02C47">
      <w:pPr>
        <w:ind w:left="851"/>
        <w:rPr>
          <w:i/>
          <w:iCs/>
          <w:noProof/>
          <w:sz w:val="24"/>
          <w:szCs w:val="24"/>
          <w:u w:val="single"/>
        </w:rPr>
      </w:pPr>
      <w:r w:rsidRPr="00E02C47">
        <w:rPr>
          <w:i/>
          <w:noProof/>
          <w:sz w:val="24"/>
          <w:szCs w:val="24"/>
          <w:u w:val="single"/>
          <w:lang w:bidi="da-DK"/>
        </w:rPr>
        <w:t>Køn, etnicitet og nedsat nyrefunktion</w:t>
      </w:r>
    </w:p>
    <w:p w14:paraId="005F1C15" w14:textId="77777777" w:rsidR="00C52491" w:rsidRPr="00E02C47" w:rsidRDefault="00C52491" w:rsidP="00E02C47">
      <w:pPr>
        <w:ind w:left="851"/>
        <w:rPr>
          <w:sz w:val="24"/>
          <w:szCs w:val="24"/>
        </w:rPr>
      </w:pPr>
      <w:r w:rsidRPr="00E02C47">
        <w:rPr>
          <w:sz w:val="24"/>
          <w:szCs w:val="24"/>
        </w:rPr>
        <w:t xml:space="preserve">Farmakokinetikken for fingolimod eller fingolimodphosphat er den samme hos mænd og kvinder, hos patienter af forskellig etnisk oprindelse, og hos patienter med let til svært nedsat nyrefunktion. </w:t>
      </w:r>
    </w:p>
    <w:p w14:paraId="5BC502DB" w14:textId="77777777" w:rsidR="00C52491" w:rsidRPr="00E02C47" w:rsidRDefault="00C52491" w:rsidP="00E02C47">
      <w:pPr>
        <w:ind w:left="851"/>
        <w:rPr>
          <w:i/>
          <w:noProof/>
          <w:sz w:val="24"/>
          <w:szCs w:val="24"/>
          <w:u w:val="single"/>
        </w:rPr>
      </w:pPr>
    </w:p>
    <w:p w14:paraId="300B725D" w14:textId="77777777" w:rsidR="00C52491" w:rsidRPr="00E02C47" w:rsidRDefault="00C52491" w:rsidP="00E02C47">
      <w:pPr>
        <w:ind w:left="851"/>
        <w:rPr>
          <w:i/>
          <w:noProof/>
          <w:sz w:val="24"/>
          <w:szCs w:val="24"/>
          <w:u w:val="single"/>
        </w:rPr>
      </w:pPr>
      <w:r w:rsidRPr="00E02C47">
        <w:rPr>
          <w:i/>
          <w:noProof/>
          <w:sz w:val="24"/>
          <w:szCs w:val="24"/>
          <w:u w:val="single"/>
          <w:lang w:bidi="da-DK"/>
        </w:rPr>
        <w:t>Nedsat leverfunktion</w:t>
      </w:r>
    </w:p>
    <w:p w14:paraId="422F23BD" w14:textId="0B39443A" w:rsidR="00C52491" w:rsidRPr="00E02C47" w:rsidRDefault="00C52491" w:rsidP="00E02C47">
      <w:pPr>
        <w:ind w:left="851"/>
        <w:rPr>
          <w:sz w:val="24"/>
          <w:szCs w:val="24"/>
        </w:rPr>
      </w:pPr>
      <w:r w:rsidRPr="00E02C47">
        <w:rPr>
          <w:sz w:val="24"/>
          <w:szCs w:val="24"/>
        </w:rPr>
        <w:t>Der blev ikke observeret ændring i fingolimod C</w:t>
      </w:r>
      <w:r w:rsidRPr="00E02C47">
        <w:rPr>
          <w:sz w:val="24"/>
          <w:szCs w:val="24"/>
          <w:vertAlign w:val="subscript"/>
        </w:rPr>
        <w:t>max</w:t>
      </w:r>
      <w:r w:rsidRPr="00E02C47">
        <w:rPr>
          <w:sz w:val="24"/>
          <w:szCs w:val="24"/>
        </w:rPr>
        <w:t xml:space="preserve"> hos patienter med mild, moderat eller svært nedsat leverfunktion (Child-Pugh klasse A, B eller C), men fingolimid AUC var forøget med hhv</w:t>
      </w:r>
      <w:r w:rsidR="000814D6">
        <w:rPr>
          <w:sz w:val="24"/>
          <w:szCs w:val="24"/>
        </w:rPr>
        <w:t>.</w:t>
      </w:r>
      <w:r w:rsidRPr="00E02C47">
        <w:rPr>
          <w:sz w:val="24"/>
          <w:szCs w:val="24"/>
        </w:rPr>
        <w:t xml:space="preserve"> 12 %, 44 % og 103 %. Hos patienter med svært nedsat leverfunktion (Child-Pugh klasse C) mindskedes C</w:t>
      </w:r>
      <w:r w:rsidRPr="00E02C47">
        <w:rPr>
          <w:sz w:val="24"/>
          <w:szCs w:val="24"/>
          <w:vertAlign w:val="subscript"/>
        </w:rPr>
        <w:t>max</w:t>
      </w:r>
      <w:r w:rsidRPr="00E02C47">
        <w:rPr>
          <w:sz w:val="24"/>
          <w:szCs w:val="24"/>
        </w:rPr>
        <w:t xml:space="preserve"> med 22 % mens AUC ikke ændredes væsentligt. Famakokinetikken af fingolimod blev ikke vurderet hos patienter med let eller moderat nedsat leverfunktion. Eliminationshalveringstiden for fingolimod er uforandret hos patienter med let nedsat leverfunktion men forlænges med ca</w:t>
      </w:r>
      <w:r w:rsidR="000814D6">
        <w:rPr>
          <w:sz w:val="24"/>
          <w:szCs w:val="24"/>
        </w:rPr>
        <w:t>.</w:t>
      </w:r>
      <w:r w:rsidRPr="00E02C47">
        <w:rPr>
          <w:sz w:val="24"/>
          <w:szCs w:val="24"/>
        </w:rPr>
        <w:t xml:space="preserve"> 50 % hos patienter med moderat til svært nedsat leverfunktion. </w:t>
      </w:r>
    </w:p>
    <w:p w14:paraId="257AEE37" w14:textId="1A0B17EF" w:rsidR="00C52491" w:rsidRPr="00E02C47" w:rsidRDefault="00C52491" w:rsidP="00E02C47">
      <w:pPr>
        <w:ind w:left="851"/>
        <w:rPr>
          <w:sz w:val="24"/>
          <w:szCs w:val="24"/>
        </w:rPr>
      </w:pPr>
    </w:p>
    <w:p w14:paraId="781184AD" w14:textId="77777777" w:rsidR="00C52491" w:rsidRPr="00E02C47" w:rsidRDefault="00C52491" w:rsidP="00E02C47">
      <w:pPr>
        <w:ind w:left="851"/>
        <w:rPr>
          <w:sz w:val="24"/>
          <w:szCs w:val="24"/>
        </w:rPr>
      </w:pPr>
      <w:r w:rsidRPr="00E02C47">
        <w:rPr>
          <w:sz w:val="24"/>
          <w:szCs w:val="24"/>
        </w:rPr>
        <w:t xml:space="preserve">Fingolimod bør ikke bruges hos patienter med svært nedsat leverfunktion (Child-Pugh klasse C) (se pkt. 4.3). Fingolimod bør initieres med forsigtighed hos patienter med let og moderat nedsat leverfunktion (se pkt. 4.2). </w:t>
      </w:r>
    </w:p>
    <w:p w14:paraId="531BD2BD" w14:textId="77777777" w:rsidR="00C52491" w:rsidRPr="00E02C47" w:rsidRDefault="00C52491" w:rsidP="00E02C47">
      <w:pPr>
        <w:ind w:left="851"/>
        <w:rPr>
          <w:iCs/>
          <w:noProof/>
          <w:sz w:val="24"/>
          <w:szCs w:val="24"/>
        </w:rPr>
      </w:pPr>
    </w:p>
    <w:p w14:paraId="6D707A18" w14:textId="77777777" w:rsidR="00C52491" w:rsidRPr="00E02C47" w:rsidRDefault="00C52491" w:rsidP="00E02C47">
      <w:pPr>
        <w:ind w:left="851"/>
        <w:rPr>
          <w:i/>
          <w:noProof/>
          <w:sz w:val="24"/>
          <w:szCs w:val="24"/>
          <w:u w:val="single"/>
        </w:rPr>
      </w:pPr>
      <w:r w:rsidRPr="00E02C47">
        <w:rPr>
          <w:i/>
          <w:noProof/>
          <w:sz w:val="24"/>
          <w:szCs w:val="24"/>
          <w:u w:val="single"/>
          <w:lang w:bidi="da-DK"/>
        </w:rPr>
        <w:t>Ældre</w:t>
      </w:r>
    </w:p>
    <w:p w14:paraId="0F08D7F8" w14:textId="08813D1B" w:rsidR="00C52491" w:rsidRPr="00E02C47" w:rsidRDefault="00C52491" w:rsidP="00E02C47">
      <w:pPr>
        <w:ind w:left="851"/>
        <w:rPr>
          <w:sz w:val="24"/>
          <w:szCs w:val="24"/>
        </w:rPr>
      </w:pPr>
      <w:r w:rsidRPr="00E02C47">
        <w:rPr>
          <w:sz w:val="24"/>
          <w:szCs w:val="24"/>
        </w:rPr>
        <w:t xml:space="preserve">Kliniske erfaring og viden om farmakokinetik hos patienter, som er over 65 år gamle, er begrænset. Fingolimod </w:t>
      </w:r>
      <w:r w:rsidR="00362304">
        <w:rPr>
          <w:sz w:val="24"/>
          <w:szCs w:val="24"/>
        </w:rPr>
        <w:t>"Pharmaselect"</w:t>
      </w:r>
      <w:r w:rsidRPr="00E02C47">
        <w:rPr>
          <w:sz w:val="24"/>
          <w:szCs w:val="24"/>
        </w:rPr>
        <w:t xml:space="preserve"> skal anvendes med forsigtighed til patienter på 65 år og derover (se pkt. 4.2). </w:t>
      </w:r>
    </w:p>
    <w:p w14:paraId="6151F246" w14:textId="2EFB2429" w:rsidR="000814D6" w:rsidRDefault="000814D6">
      <w:pPr>
        <w:rPr>
          <w:iCs/>
          <w:noProof/>
          <w:sz w:val="24"/>
          <w:szCs w:val="24"/>
        </w:rPr>
      </w:pPr>
      <w:r>
        <w:rPr>
          <w:iCs/>
          <w:noProof/>
          <w:sz w:val="24"/>
          <w:szCs w:val="24"/>
        </w:rPr>
        <w:br w:type="page"/>
      </w:r>
    </w:p>
    <w:p w14:paraId="73A7107C" w14:textId="77777777" w:rsidR="00C52491" w:rsidRPr="00E02C47" w:rsidRDefault="00C52491" w:rsidP="00E02C47">
      <w:pPr>
        <w:ind w:left="851"/>
        <w:rPr>
          <w:iCs/>
          <w:noProof/>
          <w:sz w:val="24"/>
          <w:szCs w:val="24"/>
        </w:rPr>
      </w:pPr>
    </w:p>
    <w:p w14:paraId="1FC85594" w14:textId="77777777" w:rsidR="00C52491" w:rsidRPr="00E02C47" w:rsidRDefault="00C52491" w:rsidP="00E02C47">
      <w:pPr>
        <w:ind w:left="851"/>
        <w:rPr>
          <w:noProof/>
          <w:sz w:val="24"/>
          <w:szCs w:val="24"/>
          <w:u w:val="single"/>
        </w:rPr>
      </w:pPr>
      <w:r w:rsidRPr="00E02C47">
        <w:rPr>
          <w:noProof/>
          <w:sz w:val="24"/>
          <w:szCs w:val="24"/>
          <w:u w:val="single"/>
          <w:lang w:bidi="da-DK"/>
        </w:rPr>
        <w:t>Pædiatrisk population</w:t>
      </w:r>
    </w:p>
    <w:p w14:paraId="6387C2B0" w14:textId="77777777" w:rsidR="00C52491" w:rsidRPr="00E02C47" w:rsidRDefault="00C52491" w:rsidP="00E02C47">
      <w:pPr>
        <w:ind w:left="851"/>
        <w:rPr>
          <w:sz w:val="24"/>
          <w:szCs w:val="24"/>
        </w:rPr>
      </w:pPr>
      <w:r w:rsidRPr="00E02C47">
        <w:rPr>
          <w:sz w:val="24"/>
          <w:szCs w:val="24"/>
        </w:rPr>
        <w:t xml:space="preserve">Hos pædiatriske patienter (10 år og derover) stiger fingolimodphosphat-koncentrationen tilsyneladende proportionalt med dosis mellem 0,25 mg og 0,5 mg. </w:t>
      </w:r>
    </w:p>
    <w:p w14:paraId="6A44D56B" w14:textId="77777777" w:rsidR="00C52491" w:rsidRPr="00E02C47" w:rsidRDefault="00C52491" w:rsidP="00E02C47">
      <w:pPr>
        <w:ind w:left="851"/>
        <w:rPr>
          <w:sz w:val="24"/>
          <w:szCs w:val="24"/>
        </w:rPr>
      </w:pPr>
      <w:r w:rsidRPr="00E02C47">
        <w:rPr>
          <w:sz w:val="24"/>
          <w:szCs w:val="24"/>
        </w:rPr>
        <w:t xml:space="preserve"> </w:t>
      </w:r>
    </w:p>
    <w:p w14:paraId="6DBC50E5" w14:textId="77777777" w:rsidR="00C52491" w:rsidRPr="00E02C47" w:rsidRDefault="00C52491" w:rsidP="00E02C47">
      <w:pPr>
        <w:ind w:left="851"/>
        <w:rPr>
          <w:sz w:val="24"/>
          <w:szCs w:val="24"/>
        </w:rPr>
      </w:pPr>
      <w:r w:rsidRPr="00E02C47">
        <w:rPr>
          <w:sz w:val="24"/>
          <w:szCs w:val="24"/>
        </w:rPr>
        <w:t xml:space="preserve">Fingolimodphosphat-koncentrationen ved </w:t>
      </w:r>
      <w:r w:rsidRPr="00E02C47">
        <w:rPr>
          <w:i/>
          <w:sz w:val="24"/>
          <w:szCs w:val="24"/>
        </w:rPr>
        <w:t>steady state</w:t>
      </w:r>
      <w:r w:rsidRPr="00E02C47">
        <w:rPr>
          <w:sz w:val="24"/>
          <w:szCs w:val="24"/>
        </w:rPr>
        <w:t xml:space="preserve"> er ca. 25 % lavere hos pædiatriske patienter (10 år og derover) efter daglig administration af 0,25 mg eller 0,5 mg fingolimod sammenlignet med koncentrationen hos voksne patienter behandlet med fingolimod 0,5 mg én gang dagligt. </w:t>
      </w:r>
    </w:p>
    <w:p w14:paraId="6C785806" w14:textId="45459DA9" w:rsidR="00C52491" w:rsidRPr="00E02C47" w:rsidRDefault="00C52491" w:rsidP="00E02C47">
      <w:pPr>
        <w:ind w:left="851"/>
        <w:rPr>
          <w:sz w:val="24"/>
          <w:szCs w:val="24"/>
        </w:rPr>
      </w:pPr>
    </w:p>
    <w:p w14:paraId="5FD5E1AD" w14:textId="77777777" w:rsidR="00C52491" w:rsidRPr="00E02C47" w:rsidRDefault="00C52491" w:rsidP="00E02C47">
      <w:pPr>
        <w:ind w:left="851"/>
        <w:rPr>
          <w:sz w:val="24"/>
          <w:szCs w:val="24"/>
        </w:rPr>
      </w:pPr>
      <w:r w:rsidRPr="00E02C47">
        <w:rPr>
          <w:sz w:val="24"/>
          <w:szCs w:val="24"/>
        </w:rPr>
        <w:t xml:space="preserve">Der er ingen tilgængelige data for pædiatriske patienter under 10 år. </w:t>
      </w:r>
    </w:p>
    <w:p w14:paraId="57A589B0" w14:textId="77777777" w:rsidR="009260DE" w:rsidRPr="00E02C47" w:rsidRDefault="009260DE" w:rsidP="009260DE">
      <w:pPr>
        <w:tabs>
          <w:tab w:val="left" w:pos="851"/>
        </w:tabs>
        <w:ind w:left="851"/>
        <w:rPr>
          <w:sz w:val="24"/>
          <w:szCs w:val="24"/>
        </w:rPr>
      </w:pPr>
    </w:p>
    <w:p w14:paraId="049FF963" w14:textId="77777777" w:rsidR="009260DE" w:rsidRPr="00E02C47" w:rsidRDefault="009260DE" w:rsidP="009260DE">
      <w:pPr>
        <w:tabs>
          <w:tab w:val="left" w:pos="851"/>
        </w:tabs>
        <w:ind w:left="851" w:hanging="851"/>
        <w:rPr>
          <w:b/>
          <w:sz w:val="24"/>
          <w:szCs w:val="24"/>
        </w:rPr>
      </w:pPr>
      <w:r w:rsidRPr="00E02C47">
        <w:rPr>
          <w:b/>
          <w:sz w:val="24"/>
          <w:szCs w:val="24"/>
        </w:rPr>
        <w:t>5.3</w:t>
      </w:r>
      <w:r w:rsidRPr="00E02C47">
        <w:rPr>
          <w:b/>
          <w:sz w:val="24"/>
          <w:szCs w:val="24"/>
        </w:rPr>
        <w:tab/>
      </w:r>
      <w:r w:rsidR="00BD7931" w:rsidRPr="00E02C47">
        <w:rPr>
          <w:b/>
          <w:sz w:val="24"/>
          <w:szCs w:val="24"/>
        </w:rPr>
        <w:t>Non-</w:t>
      </w:r>
      <w:r w:rsidRPr="00E02C47">
        <w:rPr>
          <w:b/>
          <w:sz w:val="24"/>
          <w:szCs w:val="24"/>
        </w:rPr>
        <w:t>kliniske sikkerhedsdata</w:t>
      </w:r>
    </w:p>
    <w:p w14:paraId="7650FFB3" w14:textId="77777777" w:rsidR="00C52491" w:rsidRPr="00E02C47" w:rsidRDefault="00C52491" w:rsidP="00E02C47">
      <w:pPr>
        <w:ind w:left="851"/>
        <w:rPr>
          <w:sz w:val="24"/>
          <w:szCs w:val="24"/>
        </w:rPr>
      </w:pPr>
      <w:r w:rsidRPr="00E02C47">
        <w:rPr>
          <w:sz w:val="24"/>
          <w:szCs w:val="24"/>
        </w:rPr>
        <w:t xml:space="preserve">Den prækliniske sikkerhedsprofil for fingolimod er vurderet hos mus, rotter, hunde og aber. De større målorganer var lymfesystemet (lymfopeni og lymfeatrofi), lunger (vægtforøgelse, hypertrofi af den glatte muskulatur ved overgangen mellem bronkier og alveoler) og hjerte (negativ kronotrop effekt, blodtryksstigning, perivaskulære forandringer og myokardiel degeneration) hos flere arter; blodkar (vaskulopati) kun hos rotter i et 2-års studie i doser på 0,15 mg/kg og højere, hvilket repræsenterer en margen på ca. 4 gange baseret på human systemisk eksposition (AUC) ved en daglig dosis på 0,5 mg. </w:t>
      </w:r>
    </w:p>
    <w:p w14:paraId="1C6E776E" w14:textId="1ABE303E" w:rsidR="00C52491" w:rsidRPr="00E02C47" w:rsidRDefault="00C52491" w:rsidP="00E02C47">
      <w:pPr>
        <w:ind w:left="851"/>
        <w:rPr>
          <w:sz w:val="24"/>
          <w:szCs w:val="24"/>
        </w:rPr>
      </w:pPr>
    </w:p>
    <w:p w14:paraId="54E8851C" w14:textId="77777777" w:rsidR="00C52491" w:rsidRPr="00E02C47" w:rsidRDefault="00C52491" w:rsidP="00E02C47">
      <w:pPr>
        <w:ind w:left="851"/>
        <w:rPr>
          <w:sz w:val="24"/>
          <w:szCs w:val="24"/>
        </w:rPr>
      </w:pPr>
      <w:r w:rsidRPr="00E02C47">
        <w:rPr>
          <w:sz w:val="24"/>
          <w:szCs w:val="24"/>
        </w:rPr>
        <w:t xml:space="preserve">Der observeredes ingen evidens for karcinogenicitet i et 2-årigt bioassay med rotter ved orale doser af fingolimod op til den maksimalt tålte dosis på 2,5 mg/kg, hvilket svarer til en omtrentlig margen på det 50-dobbelte baseret på human systemisk eksponering (AUC) ved en dosis på 0,5 mg. I et 2-årigt studie med mus sås dog øget forekomst af malignt lymfom ved doser på 0,25 mg/kg og derover, hvilket svarer til en omtrentlig margen på det 6-dobbelte baseret på human systemisk eksponering (AUC) ved en daglig dosis på 0,5 mg. </w:t>
      </w:r>
    </w:p>
    <w:p w14:paraId="77476E51" w14:textId="0D4D77D1" w:rsidR="00C52491" w:rsidRPr="00E02C47" w:rsidRDefault="00C52491" w:rsidP="00E02C47">
      <w:pPr>
        <w:ind w:left="851"/>
        <w:rPr>
          <w:sz w:val="24"/>
          <w:szCs w:val="24"/>
        </w:rPr>
      </w:pPr>
    </w:p>
    <w:p w14:paraId="0A600FE4" w14:textId="77777777" w:rsidR="00C52491" w:rsidRPr="00E02C47" w:rsidRDefault="00C52491" w:rsidP="00E02C47">
      <w:pPr>
        <w:ind w:left="851"/>
        <w:rPr>
          <w:sz w:val="24"/>
          <w:szCs w:val="24"/>
        </w:rPr>
      </w:pPr>
      <w:r w:rsidRPr="00E02C47">
        <w:rPr>
          <w:sz w:val="24"/>
          <w:szCs w:val="24"/>
        </w:rPr>
        <w:t xml:space="preserve">Fingolimod var hverken mutagent eller klastogent i dyrestudierne. </w:t>
      </w:r>
    </w:p>
    <w:p w14:paraId="224E580D" w14:textId="6FFA56BA" w:rsidR="00C52491" w:rsidRPr="00E02C47" w:rsidRDefault="00C52491" w:rsidP="00E02C47">
      <w:pPr>
        <w:ind w:left="851"/>
        <w:rPr>
          <w:sz w:val="24"/>
          <w:szCs w:val="24"/>
        </w:rPr>
      </w:pPr>
    </w:p>
    <w:p w14:paraId="3294A35F" w14:textId="77777777" w:rsidR="00C52491" w:rsidRPr="00E02C47" w:rsidRDefault="00C52491" w:rsidP="00E02C47">
      <w:pPr>
        <w:ind w:left="851"/>
        <w:rPr>
          <w:sz w:val="24"/>
          <w:szCs w:val="24"/>
        </w:rPr>
      </w:pPr>
      <w:r w:rsidRPr="00E02C47">
        <w:rPr>
          <w:sz w:val="24"/>
          <w:szCs w:val="24"/>
        </w:rPr>
        <w:t xml:space="preserve">Fingolimod havde ingen effekt på spermatozot tælling/motilitet eller på fertilitet hos han- og hunrotter op til den højeste afprøvede dosis (10 mg/kg), hvilket svarer til 150 gange så stor en margen ved systemisk eksponering (AUC) hos mennesker med en daglig dosis på 0,5 mg. </w:t>
      </w:r>
    </w:p>
    <w:p w14:paraId="0B4C3347" w14:textId="71DE1A8C" w:rsidR="00C52491" w:rsidRPr="00E02C47" w:rsidRDefault="00C52491" w:rsidP="00E02C47">
      <w:pPr>
        <w:ind w:left="851"/>
        <w:rPr>
          <w:sz w:val="24"/>
          <w:szCs w:val="24"/>
        </w:rPr>
      </w:pPr>
    </w:p>
    <w:p w14:paraId="0557F460" w14:textId="77777777" w:rsidR="00C52491" w:rsidRPr="00E02C47" w:rsidRDefault="00C52491" w:rsidP="00E02C47">
      <w:pPr>
        <w:ind w:left="851"/>
        <w:rPr>
          <w:sz w:val="24"/>
          <w:szCs w:val="24"/>
        </w:rPr>
      </w:pPr>
      <w:r w:rsidRPr="00E02C47">
        <w:rPr>
          <w:sz w:val="24"/>
          <w:szCs w:val="24"/>
        </w:rPr>
        <w:t xml:space="preserve">Fingolimod var teratogent hos rotter ved doser på 0,1 mg/kg eller derover. Eksponering i rotter ved denne dosis var sammenlignelig med eksponeringen hos patienter ved terapeutisk dosis (0,5 mg). Blandt de mest almindelige føtale misdannelser af indvolde var persisterende truncus arteriosus og ventrikulær septumdefekt. Det teratogene potentiale hos kaniner kunne ikke vurderes fuldstændigt, dog blev der observeret øget embryo-føtal dødelighed ved doser på 1,5 mg/kg og højere, og nedsættelse af levedygtighed hos fostre såvel som hæmmet fostervækst ved 5 mg/kg. Eksponering i kaniner ved disse doser var sammenlignelig med eksponeringen hos patienter. </w:t>
      </w:r>
    </w:p>
    <w:p w14:paraId="1A46C897" w14:textId="70AD6C29" w:rsidR="00C52491" w:rsidRPr="00E02C47" w:rsidRDefault="00C52491" w:rsidP="00E02C47">
      <w:pPr>
        <w:ind w:left="851"/>
        <w:rPr>
          <w:sz w:val="24"/>
          <w:szCs w:val="24"/>
        </w:rPr>
      </w:pPr>
    </w:p>
    <w:p w14:paraId="288A07CC" w14:textId="77777777" w:rsidR="00C52491" w:rsidRPr="00E02C47" w:rsidRDefault="00C52491" w:rsidP="00E02C47">
      <w:pPr>
        <w:ind w:left="851"/>
        <w:rPr>
          <w:sz w:val="24"/>
          <w:szCs w:val="24"/>
        </w:rPr>
      </w:pPr>
      <w:r w:rsidRPr="00E02C47">
        <w:rPr>
          <w:sz w:val="24"/>
          <w:szCs w:val="24"/>
        </w:rPr>
        <w:t xml:space="preserve">Hos rotter faldt overlevelsen for unger af F1-generationen i den tidlige post partum-periode ved doser, som ikke forårsagede maternel toksicitet. Kropsvægt, udvikling, adfærd og fertilitet påvirkedes dog ikke af behandlingen med fingolimod hos F1. </w:t>
      </w:r>
    </w:p>
    <w:p w14:paraId="5259E6C3" w14:textId="481B521C" w:rsidR="00C52491" w:rsidRPr="00E02C47" w:rsidRDefault="00C52491" w:rsidP="00E02C47">
      <w:pPr>
        <w:ind w:left="851"/>
        <w:rPr>
          <w:sz w:val="24"/>
          <w:szCs w:val="24"/>
        </w:rPr>
      </w:pPr>
    </w:p>
    <w:p w14:paraId="5DF6B5E2" w14:textId="77777777" w:rsidR="00C52491" w:rsidRPr="00E02C47" w:rsidRDefault="00C52491" w:rsidP="00E02C47">
      <w:pPr>
        <w:ind w:left="851"/>
        <w:rPr>
          <w:sz w:val="24"/>
          <w:szCs w:val="24"/>
        </w:rPr>
      </w:pPr>
      <w:r w:rsidRPr="00E02C47">
        <w:rPr>
          <w:sz w:val="24"/>
          <w:szCs w:val="24"/>
        </w:rPr>
        <w:t xml:space="preserve">Fingolimod blev udskilt i mælken hos behandlede dyr under laktation, i koncentrationer, der er 2-3 gange højere end dem, der er fundet i maternel plasma. Fingolimod og dets metabolitter krydsede placentabarrieren hos drægtige kaniner. </w:t>
      </w:r>
    </w:p>
    <w:p w14:paraId="5CAC8048" w14:textId="77777777" w:rsidR="00C52491" w:rsidRPr="00E02C47" w:rsidRDefault="00C52491" w:rsidP="00E02C47">
      <w:pPr>
        <w:ind w:left="851"/>
        <w:rPr>
          <w:noProof/>
          <w:sz w:val="24"/>
          <w:szCs w:val="24"/>
          <w:u w:val="single"/>
        </w:rPr>
      </w:pPr>
    </w:p>
    <w:p w14:paraId="60C23A8C" w14:textId="77777777" w:rsidR="00C52491" w:rsidRPr="00E02C47" w:rsidRDefault="00C52491" w:rsidP="00E02C47">
      <w:pPr>
        <w:ind w:left="851"/>
        <w:rPr>
          <w:noProof/>
          <w:sz w:val="24"/>
          <w:szCs w:val="24"/>
          <w:u w:val="single"/>
        </w:rPr>
      </w:pPr>
      <w:r w:rsidRPr="00E02C47">
        <w:rPr>
          <w:noProof/>
          <w:sz w:val="24"/>
          <w:szCs w:val="24"/>
          <w:u w:val="single"/>
          <w:lang w:bidi="da-DK"/>
        </w:rPr>
        <w:t>Juvenile dyrestudier</w:t>
      </w:r>
    </w:p>
    <w:p w14:paraId="164CF862" w14:textId="77777777" w:rsidR="00C52491" w:rsidRPr="00E02C47" w:rsidRDefault="00C52491" w:rsidP="00E02C47">
      <w:pPr>
        <w:ind w:left="851"/>
        <w:rPr>
          <w:sz w:val="24"/>
          <w:szCs w:val="24"/>
        </w:rPr>
      </w:pPr>
      <w:r w:rsidRPr="00E02C47">
        <w:rPr>
          <w:sz w:val="24"/>
          <w:szCs w:val="24"/>
        </w:rPr>
        <w:t xml:space="preserve">Resultater fra to toxicitetsstudier med juvenile rotter viste en svag virkning på neuroadfærdsrespons, forsinket kønsmodenhed og nedsat immunrespons på gentagne stimuleringer med </w:t>
      </w:r>
      <w:r w:rsidRPr="00E02C47">
        <w:rPr>
          <w:i/>
          <w:sz w:val="24"/>
          <w:szCs w:val="24"/>
        </w:rPr>
        <w:t>keyhole</w:t>
      </w:r>
      <w:r w:rsidRPr="00E02C47">
        <w:rPr>
          <w:sz w:val="24"/>
          <w:szCs w:val="24"/>
        </w:rPr>
        <w:t xml:space="preserve"> </w:t>
      </w:r>
      <w:r w:rsidRPr="00E02C47">
        <w:rPr>
          <w:i/>
          <w:sz w:val="24"/>
          <w:szCs w:val="24"/>
        </w:rPr>
        <w:t>limpet hæmocyanin</w:t>
      </w:r>
      <w:r w:rsidRPr="00E02C47">
        <w:rPr>
          <w:sz w:val="24"/>
          <w:szCs w:val="24"/>
        </w:rPr>
        <w:t xml:space="preserve"> (KLH), som ikke blev betragtet som uønskede. Generelt var virkningerne i relation til behandling med fingolimod hos juvenile dyr sammenlignelige med de virkninger, som man så hos voksne rotter ved lignende dosisniveauer med undtagelse af ændringer i knoglemineraldensitet og svækket neuroadfærd (svækket akustiskforskrækkelsesrespons), som blev observeret ved en dosis på 1,5 mg/kg og højere hos juvenile dyr, og manglende hypertrofi i den glatte muskulatur i lungerne hos juvenile rotter. </w:t>
      </w:r>
    </w:p>
    <w:p w14:paraId="0C37B9FF" w14:textId="77777777" w:rsidR="009260DE" w:rsidRPr="00E02C47" w:rsidRDefault="009260DE" w:rsidP="009260DE">
      <w:pPr>
        <w:tabs>
          <w:tab w:val="left" w:pos="851"/>
        </w:tabs>
        <w:ind w:left="851"/>
        <w:rPr>
          <w:sz w:val="24"/>
          <w:szCs w:val="24"/>
        </w:rPr>
      </w:pPr>
    </w:p>
    <w:p w14:paraId="50E71EE3" w14:textId="77777777" w:rsidR="009260DE" w:rsidRPr="00E02C47" w:rsidRDefault="009260DE" w:rsidP="009260DE">
      <w:pPr>
        <w:tabs>
          <w:tab w:val="left" w:pos="851"/>
        </w:tabs>
        <w:ind w:left="851"/>
        <w:rPr>
          <w:sz w:val="24"/>
          <w:szCs w:val="24"/>
        </w:rPr>
      </w:pPr>
    </w:p>
    <w:p w14:paraId="4D98CD98" w14:textId="77777777" w:rsidR="009260DE" w:rsidRPr="00E02C47" w:rsidRDefault="009260DE" w:rsidP="009260DE">
      <w:pPr>
        <w:tabs>
          <w:tab w:val="left" w:pos="851"/>
        </w:tabs>
        <w:ind w:left="851" w:hanging="851"/>
        <w:rPr>
          <w:b/>
          <w:sz w:val="24"/>
          <w:szCs w:val="24"/>
        </w:rPr>
      </w:pPr>
      <w:r w:rsidRPr="00E02C47">
        <w:rPr>
          <w:b/>
          <w:sz w:val="24"/>
          <w:szCs w:val="24"/>
        </w:rPr>
        <w:t>6.</w:t>
      </w:r>
      <w:r w:rsidRPr="00E02C47">
        <w:rPr>
          <w:b/>
          <w:sz w:val="24"/>
          <w:szCs w:val="24"/>
        </w:rPr>
        <w:tab/>
        <w:t>FARMACEUTISKE OPLYSNINGER</w:t>
      </w:r>
    </w:p>
    <w:p w14:paraId="7A1425F8" w14:textId="77777777" w:rsidR="009260DE" w:rsidRPr="00E02C47" w:rsidRDefault="009260DE" w:rsidP="009260DE">
      <w:pPr>
        <w:tabs>
          <w:tab w:val="left" w:pos="851"/>
        </w:tabs>
        <w:ind w:left="851"/>
        <w:rPr>
          <w:sz w:val="24"/>
          <w:szCs w:val="24"/>
        </w:rPr>
      </w:pPr>
    </w:p>
    <w:p w14:paraId="72018E8E" w14:textId="77777777" w:rsidR="009260DE" w:rsidRPr="00E02C47" w:rsidRDefault="009260DE" w:rsidP="009260DE">
      <w:pPr>
        <w:tabs>
          <w:tab w:val="left" w:pos="851"/>
        </w:tabs>
        <w:ind w:left="851" w:hanging="851"/>
        <w:rPr>
          <w:b/>
          <w:sz w:val="24"/>
          <w:szCs w:val="24"/>
        </w:rPr>
      </w:pPr>
      <w:r w:rsidRPr="00E02C47">
        <w:rPr>
          <w:b/>
          <w:sz w:val="24"/>
          <w:szCs w:val="24"/>
        </w:rPr>
        <w:t>6.1</w:t>
      </w:r>
      <w:r w:rsidRPr="00E02C47">
        <w:rPr>
          <w:b/>
          <w:sz w:val="24"/>
          <w:szCs w:val="24"/>
        </w:rPr>
        <w:tab/>
        <w:t>Hjælpestoffer</w:t>
      </w:r>
    </w:p>
    <w:p w14:paraId="71AA643D" w14:textId="77777777" w:rsidR="001A7387" w:rsidRDefault="001A7387" w:rsidP="00E02C47">
      <w:pPr>
        <w:ind w:left="851"/>
        <w:rPr>
          <w:noProof/>
          <w:sz w:val="24"/>
          <w:szCs w:val="24"/>
          <w:lang w:bidi="da-DK"/>
        </w:rPr>
      </w:pPr>
    </w:p>
    <w:p w14:paraId="284EAF54" w14:textId="5B29E7B1" w:rsidR="00C52491" w:rsidRPr="001A7387" w:rsidRDefault="00C52491" w:rsidP="00E02C47">
      <w:pPr>
        <w:ind w:left="851"/>
        <w:rPr>
          <w:noProof/>
          <w:sz w:val="24"/>
          <w:szCs w:val="24"/>
          <w:u w:val="single"/>
        </w:rPr>
      </w:pPr>
      <w:r w:rsidRPr="001A7387">
        <w:rPr>
          <w:noProof/>
          <w:sz w:val="24"/>
          <w:szCs w:val="24"/>
          <w:u w:val="single"/>
          <w:lang w:bidi="da-DK"/>
        </w:rPr>
        <w:t>Fyld i kapsler</w:t>
      </w:r>
    </w:p>
    <w:p w14:paraId="6DA8EE99" w14:textId="77777777" w:rsidR="00C52491" w:rsidRPr="00E02C47" w:rsidRDefault="00C52491" w:rsidP="00E02C47">
      <w:pPr>
        <w:ind w:left="851"/>
        <w:rPr>
          <w:noProof/>
          <w:sz w:val="24"/>
          <w:szCs w:val="24"/>
        </w:rPr>
      </w:pPr>
      <w:r w:rsidRPr="00E02C47">
        <w:rPr>
          <w:noProof/>
          <w:sz w:val="24"/>
          <w:szCs w:val="24"/>
          <w:lang w:bidi="da-DK"/>
        </w:rPr>
        <w:t>Tricalciumfosfat</w:t>
      </w:r>
    </w:p>
    <w:p w14:paraId="04D64F8F" w14:textId="77777777" w:rsidR="00C52491" w:rsidRPr="00E02C47" w:rsidRDefault="00C52491" w:rsidP="00E02C47">
      <w:pPr>
        <w:ind w:left="851"/>
        <w:rPr>
          <w:noProof/>
          <w:sz w:val="24"/>
          <w:szCs w:val="24"/>
        </w:rPr>
      </w:pPr>
      <w:r w:rsidRPr="00E02C47">
        <w:rPr>
          <w:noProof/>
          <w:sz w:val="24"/>
          <w:szCs w:val="24"/>
          <w:lang w:bidi="da-DK"/>
        </w:rPr>
        <w:t xml:space="preserve">Stearinsyre </w:t>
      </w:r>
    </w:p>
    <w:p w14:paraId="2CB6CAB0" w14:textId="77777777" w:rsidR="00C52491" w:rsidRPr="00E02C47" w:rsidRDefault="00C52491" w:rsidP="00E02C47">
      <w:pPr>
        <w:ind w:left="851"/>
        <w:rPr>
          <w:noProof/>
          <w:sz w:val="24"/>
          <w:szCs w:val="24"/>
        </w:rPr>
      </w:pPr>
    </w:p>
    <w:p w14:paraId="7B8A7C14" w14:textId="77777777" w:rsidR="00C52491" w:rsidRPr="001A7387" w:rsidRDefault="00C52491" w:rsidP="00E02C47">
      <w:pPr>
        <w:ind w:left="851"/>
        <w:rPr>
          <w:noProof/>
          <w:sz w:val="24"/>
          <w:szCs w:val="24"/>
          <w:u w:val="single"/>
        </w:rPr>
      </w:pPr>
      <w:bookmarkStart w:id="1" w:name="_Hlk127972967"/>
      <w:r w:rsidRPr="001A7387">
        <w:rPr>
          <w:noProof/>
          <w:sz w:val="24"/>
          <w:szCs w:val="24"/>
          <w:u w:val="single"/>
          <w:lang w:bidi="da-DK"/>
        </w:rPr>
        <w:t>Kapselskal</w:t>
      </w:r>
    </w:p>
    <w:p w14:paraId="10CACF73" w14:textId="77777777" w:rsidR="00C52491" w:rsidRPr="00E02C47" w:rsidRDefault="00C52491" w:rsidP="00E02C47">
      <w:pPr>
        <w:ind w:left="851"/>
        <w:rPr>
          <w:noProof/>
          <w:sz w:val="24"/>
          <w:szCs w:val="24"/>
        </w:rPr>
      </w:pPr>
    </w:p>
    <w:p w14:paraId="4F851896" w14:textId="77777777" w:rsidR="00C52491" w:rsidRPr="001A7387" w:rsidRDefault="00C52491" w:rsidP="00E02C47">
      <w:pPr>
        <w:ind w:left="851"/>
        <w:rPr>
          <w:noProof/>
          <w:sz w:val="24"/>
          <w:szCs w:val="24"/>
          <w:u w:val="single"/>
        </w:rPr>
      </w:pPr>
      <w:r w:rsidRPr="001A7387">
        <w:rPr>
          <w:noProof/>
          <w:sz w:val="24"/>
          <w:szCs w:val="24"/>
          <w:u w:val="single"/>
          <w:lang w:bidi="da-DK"/>
        </w:rPr>
        <w:t>Hætte:</w:t>
      </w:r>
    </w:p>
    <w:p w14:paraId="400D19F8" w14:textId="77777777" w:rsidR="00C52491" w:rsidRPr="00E02C47" w:rsidRDefault="00C52491" w:rsidP="00E02C47">
      <w:pPr>
        <w:ind w:left="851"/>
        <w:rPr>
          <w:noProof/>
          <w:sz w:val="24"/>
          <w:szCs w:val="24"/>
        </w:rPr>
      </w:pPr>
      <w:r w:rsidRPr="00E02C47">
        <w:rPr>
          <w:noProof/>
          <w:sz w:val="24"/>
          <w:szCs w:val="24"/>
          <w:lang w:bidi="da-DK"/>
        </w:rPr>
        <w:t>Gelatine</w:t>
      </w:r>
    </w:p>
    <w:p w14:paraId="51AA1303" w14:textId="77777777" w:rsidR="00C52491" w:rsidRPr="00E02C47" w:rsidRDefault="00C52491" w:rsidP="00E02C47">
      <w:pPr>
        <w:ind w:left="851"/>
        <w:rPr>
          <w:noProof/>
          <w:sz w:val="24"/>
          <w:szCs w:val="24"/>
        </w:rPr>
      </w:pPr>
      <w:r w:rsidRPr="00E02C47">
        <w:rPr>
          <w:noProof/>
          <w:sz w:val="24"/>
          <w:szCs w:val="24"/>
          <w:lang w:bidi="da-DK"/>
        </w:rPr>
        <w:t>Titandioxid (E171)</w:t>
      </w:r>
    </w:p>
    <w:p w14:paraId="04A844B7" w14:textId="77777777" w:rsidR="00C52491" w:rsidRPr="00E02C47" w:rsidRDefault="00C52491" w:rsidP="00E02C47">
      <w:pPr>
        <w:ind w:left="851"/>
        <w:rPr>
          <w:noProof/>
          <w:sz w:val="24"/>
          <w:szCs w:val="24"/>
          <w:lang w:val="nl-NL"/>
        </w:rPr>
      </w:pPr>
      <w:r w:rsidRPr="00E02C47">
        <w:rPr>
          <w:noProof/>
          <w:sz w:val="24"/>
          <w:szCs w:val="24"/>
          <w:lang w:bidi="da-DK"/>
        </w:rPr>
        <w:t>Jernoxid gul (E172)</w:t>
      </w:r>
    </w:p>
    <w:p w14:paraId="4660E62A" w14:textId="77777777" w:rsidR="00C52491" w:rsidRPr="00E02C47" w:rsidRDefault="00C52491" w:rsidP="00E02C47">
      <w:pPr>
        <w:ind w:left="851"/>
        <w:rPr>
          <w:noProof/>
          <w:sz w:val="24"/>
          <w:szCs w:val="24"/>
          <w:lang w:val="nl-NL"/>
        </w:rPr>
      </w:pPr>
    </w:p>
    <w:p w14:paraId="0E6AB041" w14:textId="77777777" w:rsidR="00C52491" w:rsidRPr="001A7387" w:rsidRDefault="00C52491" w:rsidP="00E02C47">
      <w:pPr>
        <w:ind w:left="851"/>
        <w:rPr>
          <w:noProof/>
          <w:sz w:val="24"/>
          <w:szCs w:val="24"/>
          <w:u w:val="single"/>
          <w:lang w:val="nl-NL"/>
        </w:rPr>
      </w:pPr>
      <w:r w:rsidRPr="001A7387">
        <w:rPr>
          <w:noProof/>
          <w:sz w:val="24"/>
          <w:szCs w:val="24"/>
          <w:u w:val="single"/>
          <w:lang w:bidi="da-DK"/>
        </w:rPr>
        <w:t>Krop:</w:t>
      </w:r>
    </w:p>
    <w:p w14:paraId="2DF85CAB" w14:textId="77777777" w:rsidR="00C52491" w:rsidRPr="00E02C47" w:rsidRDefault="00C52491" w:rsidP="00E02C47">
      <w:pPr>
        <w:ind w:left="851"/>
        <w:rPr>
          <w:noProof/>
          <w:sz w:val="24"/>
          <w:szCs w:val="24"/>
          <w:lang w:val="nl-NL"/>
        </w:rPr>
      </w:pPr>
      <w:r w:rsidRPr="00E02C47">
        <w:rPr>
          <w:noProof/>
          <w:sz w:val="24"/>
          <w:szCs w:val="24"/>
          <w:lang w:bidi="da-DK"/>
        </w:rPr>
        <w:t xml:space="preserve">Gelatine </w:t>
      </w:r>
    </w:p>
    <w:p w14:paraId="2C07E8A9" w14:textId="77777777" w:rsidR="00C52491" w:rsidRPr="00E02C47" w:rsidRDefault="00C52491" w:rsidP="00E02C47">
      <w:pPr>
        <w:ind w:left="851"/>
        <w:rPr>
          <w:noProof/>
          <w:sz w:val="24"/>
          <w:szCs w:val="24"/>
          <w:lang w:val="nl-NL"/>
        </w:rPr>
      </w:pPr>
      <w:r w:rsidRPr="00E02C47">
        <w:rPr>
          <w:noProof/>
          <w:sz w:val="24"/>
          <w:szCs w:val="24"/>
          <w:lang w:bidi="da-DK"/>
        </w:rPr>
        <w:t>Titandioxid (E171)</w:t>
      </w:r>
      <w:bookmarkEnd w:id="1"/>
    </w:p>
    <w:p w14:paraId="46755B62" w14:textId="77777777" w:rsidR="00C52491" w:rsidRPr="00E02C47" w:rsidRDefault="00C52491" w:rsidP="00E02C47">
      <w:pPr>
        <w:ind w:left="851"/>
        <w:rPr>
          <w:noProof/>
          <w:sz w:val="24"/>
          <w:szCs w:val="24"/>
          <w:lang w:val="nl-NL"/>
        </w:rPr>
      </w:pPr>
    </w:p>
    <w:p w14:paraId="1F3F9D17" w14:textId="77777777" w:rsidR="00C52491" w:rsidRPr="001A7387" w:rsidRDefault="00C52491" w:rsidP="00E02C47">
      <w:pPr>
        <w:ind w:left="851"/>
        <w:rPr>
          <w:noProof/>
          <w:sz w:val="24"/>
          <w:szCs w:val="24"/>
          <w:u w:val="single"/>
          <w:lang w:val="nl-NL"/>
        </w:rPr>
      </w:pPr>
      <w:r w:rsidRPr="001A7387">
        <w:rPr>
          <w:noProof/>
          <w:sz w:val="24"/>
          <w:szCs w:val="24"/>
          <w:u w:val="single"/>
          <w:lang w:bidi="da-DK"/>
        </w:rPr>
        <w:t>Trykfarve</w:t>
      </w:r>
    </w:p>
    <w:p w14:paraId="667A30B4" w14:textId="77777777" w:rsidR="00C52491" w:rsidRPr="00E02C47" w:rsidRDefault="00C52491" w:rsidP="00E02C47">
      <w:pPr>
        <w:ind w:left="851"/>
        <w:rPr>
          <w:noProof/>
          <w:sz w:val="24"/>
          <w:szCs w:val="24"/>
          <w:lang w:val="nl-NL"/>
        </w:rPr>
      </w:pPr>
      <w:r w:rsidRPr="00E02C47">
        <w:rPr>
          <w:noProof/>
          <w:sz w:val="24"/>
          <w:szCs w:val="24"/>
          <w:lang w:bidi="da-DK"/>
        </w:rPr>
        <w:t>Shellac</w:t>
      </w:r>
    </w:p>
    <w:p w14:paraId="78AB4FD1" w14:textId="77777777" w:rsidR="00C52491" w:rsidRPr="00E02C47" w:rsidRDefault="00C52491" w:rsidP="00E02C47">
      <w:pPr>
        <w:ind w:left="851"/>
        <w:rPr>
          <w:noProof/>
          <w:sz w:val="24"/>
          <w:szCs w:val="24"/>
          <w:lang w:val="nl-NL"/>
        </w:rPr>
      </w:pPr>
      <w:r w:rsidRPr="00E02C47">
        <w:rPr>
          <w:noProof/>
          <w:sz w:val="24"/>
          <w:szCs w:val="24"/>
          <w:lang w:bidi="da-DK"/>
        </w:rPr>
        <w:t>Sort jernoxid (E172)</w:t>
      </w:r>
    </w:p>
    <w:p w14:paraId="27B32615" w14:textId="77777777" w:rsidR="009260DE" w:rsidRPr="00E02C47" w:rsidRDefault="009260DE" w:rsidP="00E02C47">
      <w:pPr>
        <w:ind w:left="851"/>
        <w:rPr>
          <w:sz w:val="24"/>
          <w:szCs w:val="24"/>
        </w:rPr>
      </w:pPr>
    </w:p>
    <w:p w14:paraId="1EC8AB61" w14:textId="77777777" w:rsidR="009260DE" w:rsidRPr="00E02C47" w:rsidRDefault="009260DE" w:rsidP="009260DE">
      <w:pPr>
        <w:tabs>
          <w:tab w:val="left" w:pos="851"/>
        </w:tabs>
        <w:ind w:left="851" w:hanging="851"/>
        <w:rPr>
          <w:b/>
          <w:sz w:val="24"/>
          <w:szCs w:val="24"/>
        </w:rPr>
      </w:pPr>
      <w:r w:rsidRPr="00E02C47">
        <w:rPr>
          <w:b/>
          <w:sz w:val="24"/>
          <w:szCs w:val="24"/>
        </w:rPr>
        <w:t>6.2</w:t>
      </w:r>
      <w:r w:rsidRPr="00E02C47">
        <w:rPr>
          <w:b/>
          <w:sz w:val="24"/>
          <w:szCs w:val="24"/>
        </w:rPr>
        <w:tab/>
        <w:t>Uforligeligheder</w:t>
      </w:r>
    </w:p>
    <w:p w14:paraId="1363611D" w14:textId="30D46A6D" w:rsidR="009260DE" w:rsidRPr="00E02C47" w:rsidRDefault="00C52491" w:rsidP="001A7387">
      <w:pPr>
        <w:ind w:left="851"/>
        <w:rPr>
          <w:sz w:val="24"/>
          <w:szCs w:val="24"/>
          <w:lang w:val="nl-NL"/>
        </w:rPr>
      </w:pPr>
      <w:r w:rsidRPr="00E02C47">
        <w:rPr>
          <w:sz w:val="24"/>
          <w:szCs w:val="24"/>
          <w:lang w:bidi="da-DK"/>
        </w:rPr>
        <w:t>Ikke relevant.</w:t>
      </w:r>
    </w:p>
    <w:p w14:paraId="669143D7" w14:textId="77777777" w:rsidR="009260DE" w:rsidRPr="00E02C47" w:rsidRDefault="009260DE" w:rsidP="009260DE">
      <w:pPr>
        <w:tabs>
          <w:tab w:val="left" w:pos="851"/>
        </w:tabs>
        <w:ind w:left="851"/>
        <w:rPr>
          <w:sz w:val="24"/>
          <w:szCs w:val="24"/>
        </w:rPr>
      </w:pPr>
    </w:p>
    <w:p w14:paraId="6DE472AF" w14:textId="77777777" w:rsidR="009260DE" w:rsidRPr="00E02C47" w:rsidRDefault="009260DE" w:rsidP="009260DE">
      <w:pPr>
        <w:tabs>
          <w:tab w:val="left" w:pos="851"/>
        </w:tabs>
        <w:ind w:left="851" w:hanging="851"/>
        <w:rPr>
          <w:b/>
          <w:sz w:val="24"/>
          <w:szCs w:val="24"/>
        </w:rPr>
      </w:pPr>
      <w:r w:rsidRPr="00E02C47">
        <w:rPr>
          <w:b/>
          <w:sz w:val="24"/>
          <w:szCs w:val="24"/>
        </w:rPr>
        <w:t>6.3</w:t>
      </w:r>
      <w:r w:rsidRPr="00E02C47">
        <w:rPr>
          <w:b/>
          <w:sz w:val="24"/>
          <w:szCs w:val="24"/>
        </w:rPr>
        <w:tab/>
        <w:t>Opbevaringstid</w:t>
      </w:r>
    </w:p>
    <w:p w14:paraId="70108CC5" w14:textId="6003B196" w:rsidR="009260DE" w:rsidRPr="00E02C47" w:rsidRDefault="00C52491" w:rsidP="001A7387">
      <w:pPr>
        <w:ind w:left="851"/>
        <w:rPr>
          <w:rFonts w:eastAsia="MS Mincho"/>
          <w:noProof/>
          <w:sz w:val="24"/>
          <w:szCs w:val="24"/>
        </w:rPr>
      </w:pPr>
      <w:r w:rsidRPr="00E02C47">
        <w:rPr>
          <w:sz w:val="24"/>
          <w:szCs w:val="24"/>
          <w:lang w:bidi="da-DK"/>
        </w:rPr>
        <w:t>2 år</w:t>
      </w:r>
    </w:p>
    <w:p w14:paraId="45F562AB" w14:textId="77777777" w:rsidR="009260DE" w:rsidRPr="00E02C47" w:rsidRDefault="009260DE" w:rsidP="009260DE">
      <w:pPr>
        <w:tabs>
          <w:tab w:val="left" w:pos="851"/>
        </w:tabs>
        <w:ind w:left="851"/>
        <w:rPr>
          <w:sz w:val="24"/>
          <w:szCs w:val="24"/>
        </w:rPr>
      </w:pPr>
    </w:p>
    <w:p w14:paraId="71D712C2" w14:textId="77777777" w:rsidR="009260DE" w:rsidRPr="00E02C47" w:rsidRDefault="009260DE" w:rsidP="009260DE">
      <w:pPr>
        <w:tabs>
          <w:tab w:val="left" w:pos="851"/>
        </w:tabs>
        <w:ind w:left="851" w:hanging="851"/>
        <w:rPr>
          <w:b/>
          <w:sz w:val="24"/>
          <w:szCs w:val="24"/>
        </w:rPr>
      </w:pPr>
      <w:r w:rsidRPr="00E02C47">
        <w:rPr>
          <w:b/>
          <w:sz w:val="24"/>
          <w:szCs w:val="24"/>
        </w:rPr>
        <w:t>6.4</w:t>
      </w:r>
      <w:r w:rsidRPr="00E02C47">
        <w:rPr>
          <w:b/>
          <w:sz w:val="24"/>
          <w:szCs w:val="24"/>
        </w:rPr>
        <w:tab/>
        <w:t>Særlige opbevaringsforhold</w:t>
      </w:r>
    </w:p>
    <w:p w14:paraId="4910AE87" w14:textId="77777777" w:rsidR="00C52491" w:rsidRPr="00E02C47" w:rsidRDefault="00C52491" w:rsidP="00E02C47">
      <w:pPr>
        <w:ind w:left="851"/>
        <w:rPr>
          <w:noProof/>
          <w:sz w:val="24"/>
          <w:szCs w:val="24"/>
          <w:lang w:val="nl-NL"/>
        </w:rPr>
      </w:pPr>
      <w:r w:rsidRPr="00E02C47">
        <w:rPr>
          <w:noProof/>
          <w:sz w:val="24"/>
          <w:szCs w:val="24"/>
          <w:lang w:bidi="da-DK"/>
        </w:rPr>
        <w:t>Dette lægemiddel kræver ingen særlige opbevaringsbetingelser.</w:t>
      </w:r>
    </w:p>
    <w:p w14:paraId="4F9338EC" w14:textId="77777777" w:rsidR="009260DE" w:rsidRPr="00E02C47" w:rsidRDefault="009260DE" w:rsidP="009260DE">
      <w:pPr>
        <w:tabs>
          <w:tab w:val="left" w:pos="851"/>
        </w:tabs>
        <w:ind w:left="851"/>
        <w:rPr>
          <w:sz w:val="24"/>
          <w:szCs w:val="24"/>
        </w:rPr>
      </w:pPr>
    </w:p>
    <w:p w14:paraId="5DFB8BE7" w14:textId="77777777" w:rsidR="009260DE" w:rsidRPr="00E02C47" w:rsidRDefault="009260DE" w:rsidP="009260DE">
      <w:pPr>
        <w:tabs>
          <w:tab w:val="left" w:pos="851"/>
        </w:tabs>
        <w:ind w:left="851" w:hanging="851"/>
        <w:rPr>
          <w:b/>
          <w:sz w:val="24"/>
          <w:szCs w:val="24"/>
        </w:rPr>
      </w:pPr>
      <w:r w:rsidRPr="00E02C47">
        <w:rPr>
          <w:b/>
          <w:sz w:val="24"/>
          <w:szCs w:val="24"/>
        </w:rPr>
        <w:t>6.5</w:t>
      </w:r>
      <w:r w:rsidRPr="00E02C47">
        <w:rPr>
          <w:b/>
          <w:sz w:val="24"/>
          <w:szCs w:val="24"/>
        </w:rPr>
        <w:tab/>
        <w:t>Emballagetype og pakningsstørrelser</w:t>
      </w:r>
    </w:p>
    <w:p w14:paraId="28E6D21F" w14:textId="77777777" w:rsidR="00C52491" w:rsidRPr="00E02C47" w:rsidRDefault="00C52491" w:rsidP="00E02C47">
      <w:pPr>
        <w:ind w:left="851"/>
        <w:rPr>
          <w:noProof/>
          <w:sz w:val="24"/>
          <w:szCs w:val="24"/>
        </w:rPr>
      </w:pPr>
      <w:r w:rsidRPr="00E02C47">
        <w:rPr>
          <w:noProof/>
          <w:sz w:val="24"/>
          <w:szCs w:val="24"/>
          <w:lang w:bidi="da-DK"/>
        </w:rPr>
        <w:t xml:space="preserve">PVC/PE/PVDC blisterpakninger af aluminiumsfolie. </w:t>
      </w:r>
    </w:p>
    <w:p w14:paraId="3A17B791" w14:textId="77777777" w:rsidR="00C52491" w:rsidRPr="00E02C47" w:rsidRDefault="00C52491" w:rsidP="00E02C47">
      <w:pPr>
        <w:ind w:left="851"/>
        <w:rPr>
          <w:noProof/>
          <w:sz w:val="24"/>
          <w:szCs w:val="24"/>
          <w:highlight w:val="yellow"/>
        </w:rPr>
      </w:pPr>
    </w:p>
    <w:p w14:paraId="3AEA1A61" w14:textId="2CD3D10F" w:rsidR="00C52491" w:rsidRPr="00E02C47" w:rsidRDefault="00C52491" w:rsidP="00E02C47">
      <w:pPr>
        <w:ind w:left="851"/>
        <w:rPr>
          <w:noProof/>
          <w:sz w:val="24"/>
          <w:szCs w:val="24"/>
        </w:rPr>
      </w:pPr>
      <w:bookmarkStart w:id="2" w:name="_Hlk3974086"/>
      <w:bookmarkStart w:id="3" w:name="_Hlk25056039"/>
      <w:r w:rsidRPr="00E02C47">
        <w:rPr>
          <w:noProof/>
          <w:sz w:val="24"/>
          <w:szCs w:val="24"/>
          <w:u w:val="single"/>
          <w:lang w:bidi="da-DK"/>
        </w:rPr>
        <w:t>Pak</w:t>
      </w:r>
      <w:r w:rsidR="001A7387">
        <w:rPr>
          <w:noProof/>
          <w:sz w:val="24"/>
          <w:szCs w:val="24"/>
          <w:u w:val="single"/>
          <w:lang w:bidi="da-DK"/>
        </w:rPr>
        <w:t>ningss</w:t>
      </w:r>
      <w:r w:rsidRPr="00E02C47">
        <w:rPr>
          <w:noProof/>
          <w:sz w:val="24"/>
          <w:szCs w:val="24"/>
          <w:u w:val="single"/>
          <w:lang w:bidi="da-DK"/>
        </w:rPr>
        <w:t>tørrelser:</w:t>
      </w:r>
      <w:r w:rsidRPr="00E02C47">
        <w:rPr>
          <w:noProof/>
          <w:sz w:val="24"/>
          <w:szCs w:val="24"/>
          <w:lang w:bidi="da-DK"/>
        </w:rPr>
        <w:t xml:space="preserve"> 7, 14, 28, 84 eller 98 hårde kapsler</w:t>
      </w:r>
      <w:bookmarkEnd w:id="2"/>
      <w:r w:rsidRPr="00E02C47">
        <w:rPr>
          <w:noProof/>
          <w:sz w:val="24"/>
          <w:szCs w:val="24"/>
          <w:lang w:bidi="da-DK"/>
        </w:rPr>
        <w:t>.</w:t>
      </w:r>
    </w:p>
    <w:bookmarkEnd w:id="3"/>
    <w:p w14:paraId="4202D9DF" w14:textId="77777777" w:rsidR="00C52491" w:rsidRPr="00E02C47" w:rsidRDefault="00C52491" w:rsidP="00E02C47">
      <w:pPr>
        <w:ind w:left="851"/>
        <w:rPr>
          <w:noProof/>
          <w:sz w:val="24"/>
          <w:szCs w:val="24"/>
        </w:rPr>
      </w:pPr>
    </w:p>
    <w:p w14:paraId="026D29AA" w14:textId="77777777" w:rsidR="00C52491" w:rsidRPr="00E02C47" w:rsidRDefault="00C52491" w:rsidP="00E02C47">
      <w:pPr>
        <w:ind w:left="851"/>
        <w:rPr>
          <w:noProof/>
          <w:sz w:val="24"/>
          <w:szCs w:val="24"/>
        </w:rPr>
      </w:pPr>
      <w:r w:rsidRPr="00E02C47">
        <w:rPr>
          <w:noProof/>
          <w:sz w:val="24"/>
          <w:szCs w:val="24"/>
          <w:lang w:bidi="da-DK"/>
        </w:rPr>
        <w:t>Ikke alle pakningsstørrelser er nødvendigvis markedsført.</w:t>
      </w:r>
    </w:p>
    <w:p w14:paraId="3B8A89A6" w14:textId="77777777" w:rsidR="009260DE" w:rsidRPr="00E02C47" w:rsidRDefault="009260DE" w:rsidP="009260DE">
      <w:pPr>
        <w:tabs>
          <w:tab w:val="left" w:pos="851"/>
        </w:tabs>
        <w:ind w:left="851"/>
        <w:rPr>
          <w:sz w:val="24"/>
          <w:szCs w:val="24"/>
        </w:rPr>
      </w:pPr>
    </w:p>
    <w:p w14:paraId="4CCF8789" w14:textId="77777777" w:rsidR="009260DE" w:rsidRPr="00E02C47" w:rsidRDefault="009260DE" w:rsidP="009260DE">
      <w:pPr>
        <w:tabs>
          <w:tab w:val="left" w:pos="851"/>
        </w:tabs>
        <w:ind w:left="851" w:hanging="851"/>
        <w:rPr>
          <w:b/>
          <w:sz w:val="24"/>
          <w:szCs w:val="24"/>
        </w:rPr>
      </w:pPr>
      <w:r w:rsidRPr="00E02C47">
        <w:rPr>
          <w:b/>
          <w:sz w:val="24"/>
          <w:szCs w:val="24"/>
        </w:rPr>
        <w:t>6.6</w:t>
      </w:r>
      <w:r w:rsidRPr="00E02C47">
        <w:rPr>
          <w:b/>
          <w:sz w:val="24"/>
          <w:szCs w:val="24"/>
        </w:rPr>
        <w:tab/>
        <w:t xml:space="preserve">Regler for </w:t>
      </w:r>
      <w:r w:rsidR="00BD7931" w:rsidRPr="00E02C47">
        <w:rPr>
          <w:b/>
          <w:sz w:val="24"/>
          <w:szCs w:val="24"/>
        </w:rPr>
        <w:t>bortskaffelse</w:t>
      </w:r>
      <w:r w:rsidRPr="00E02C47">
        <w:rPr>
          <w:b/>
          <w:sz w:val="24"/>
          <w:szCs w:val="24"/>
        </w:rPr>
        <w:t xml:space="preserve"> og anden håndtering</w:t>
      </w:r>
    </w:p>
    <w:p w14:paraId="4C759A25" w14:textId="77777777" w:rsidR="00C52491" w:rsidRPr="00E02C47" w:rsidRDefault="00C52491" w:rsidP="00E02C47">
      <w:pPr>
        <w:ind w:left="851"/>
        <w:rPr>
          <w:sz w:val="24"/>
          <w:szCs w:val="24"/>
        </w:rPr>
      </w:pPr>
      <w:r w:rsidRPr="00E02C47">
        <w:rPr>
          <w:sz w:val="24"/>
          <w:szCs w:val="24"/>
          <w:lang w:bidi="da-DK"/>
        </w:rPr>
        <w:t>Ikke anvendt lægemiddel samt affald heraf skal bortskaffes i henhold til lokale retningslinjer.</w:t>
      </w:r>
    </w:p>
    <w:p w14:paraId="2A0705AE" w14:textId="77777777" w:rsidR="009260DE" w:rsidRPr="00E02C47" w:rsidRDefault="009260DE" w:rsidP="000730CA">
      <w:pPr>
        <w:tabs>
          <w:tab w:val="left" w:pos="851"/>
        </w:tabs>
        <w:ind w:left="851"/>
        <w:rPr>
          <w:sz w:val="24"/>
          <w:szCs w:val="24"/>
        </w:rPr>
      </w:pPr>
    </w:p>
    <w:p w14:paraId="6A71B608" w14:textId="77777777" w:rsidR="009260DE" w:rsidRPr="00E02C47" w:rsidRDefault="009260DE" w:rsidP="009260DE">
      <w:pPr>
        <w:tabs>
          <w:tab w:val="left" w:pos="851"/>
        </w:tabs>
        <w:ind w:left="851" w:hanging="851"/>
        <w:rPr>
          <w:b/>
          <w:sz w:val="24"/>
          <w:szCs w:val="24"/>
        </w:rPr>
      </w:pPr>
      <w:r w:rsidRPr="00E02C47">
        <w:rPr>
          <w:b/>
          <w:sz w:val="24"/>
          <w:szCs w:val="24"/>
        </w:rPr>
        <w:t>7.</w:t>
      </w:r>
      <w:r w:rsidRPr="00E02C47">
        <w:rPr>
          <w:b/>
          <w:sz w:val="24"/>
          <w:szCs w:val="24"/>
        </w:rPr>
        <w:tab/>
        <w:t>INDEHAVER AF MARKEDSFØRINGSTILLADELSEN</w:t>
      </w:r>
    </w:p>
    <w:p w14:paraId="1947EC25" w14:textId="77777777" w:rsidR="00C52491" w:rsidRPr="00E02C47" w:rsidRDefault="00C52491" w:rsidP="00E02C47">
      <w:pPr>
        <w:ind w:left="851"/>
        <w:rPr>
          <w:sz w:val="24"/>
          <w:szCs w:val="24"/>
          <w:lang w:bidi="da-DK"/>
        </w:rPr>
      </w:pPr>
      <w:r w:rsidRPr="00E02C47">
        <w:rPr>
          <w:sz w:val="24"/>
          <w:szCs w:val="24"/>
          <w:lang w:bidi="da-DK"/>
        </w:rPr>
        <w:t>Pharmaselect International Beteiligungs GmbH</w:t>
      </w:r>
    </w:p>
    <w:p w14:paraId="773AFE96" w14:textId="77777777" w:rsidR="00C52491" w:rsidRPr="00E02C47" w:rsidRDefault="00C52491" w:rsidP="00E02C47">
      <w:pPr>
        <w:ind w:left="851"/>
        <w:rPr>
          <w:sz w:val="24"/>
          <w:szCs w:val="24"/>
          <w:lang w:bidi="da-DK"/>
        </w:rPr>
      </w:pPr>
      <w:r w:rsidRPr="00E02C47">
        <w:rPr>
          <w:sz w:val="24"/>
          <w:szCs w:val="24"/>
          <w:lang w:bidi="da-DK"/>
        </w:rPr>
        <w:t>Ernst-Melchior-Gasse 20</w:t>
      </w:r>
    </w:p>
    <w:p w14:paraId="2D45B4B5" w14:textId="0B52BB19" w:rsidR="00C52491" w:rsidRPr="00E02C47" w:rsidRDefault="00C52491" w:rsidP="00E02C47">
      <w:pPr>
        <w:ind w:left="851"/>
        <w:rPr>
          <w:sz w:val="24"/>
          <w:szCs w:val="24"/>
          <w:lang w:bidi="da-DK"/>
        </w:rPr>
      </w:pPr>
      <w:r w:rsidRPr="00E02C47">
        <w:rPr>
          <w:sz w:val="24"/>
          <w:szCs w:val="24"/>
          <w:lang w:bidi="da-DK"/>
        </w:rPr>
        <w:t>Leopoldstadt</w:t>
      </w:r>
      <w:r w:rsidRPr="00E02C47">
        <w:rPr>
          <w:sz w:val="24"/>
          <w:szCs w:val="24"/>
          <w:lang w:bidi="da-DK"/>
        </w:rPr>
        <w:br/>
        <w:t>1020 Wien</w:t>
      </w:r>
    </w:p>
    <w:p w14:paraId="2761383C" w14:textId="6632531A" w:rsidR="009260DE" w:rsidRPr="00E02C47" w:rsidRDefault="00C52491" w:rsidP="00E02C47">
      <w:pPr>
        <w:ind w:left="851"/>
        <w:rPr>
          <w:sz w:val="24"/>
          <w:szCs w:val="24"/>
        </w:rPr>
      </w:pPr>
      <w:r w:rsidRPr="00D57A7D">
        <w:rPr>
          <w:sz w:val="24"/>
          <w:szCs w:val="24"/>
          <w:lang w:bidi="da-DK"/>
        </w:rPr>
        <w:t>Østrig</w:t>
      </w:r>
    </w:p>
    <w:p w14:paraId="27527C0D" w14:textId="77777777" w:rsidR="00641C65" w:rsidRPr="00E02C47" w:rsidRDefault="00641C65" w:rsidP="009260DE">
      <w:pPr>
        <w:tabs>
          <w:tab w:val="left" w:pos="851"/>
        </w:tabs>
        <w:ind w:left="851"/>
        <w:rPr>
          <w:sz w:val="24"/>
          <w:szCs w:val="24"/>
        </w:rPr>
      </w:pPr>
    </w:p>
    <w:p w14:paraId="226DD6FE" w14:textId="77777777" w:rsidR="009260DE" w:rsidRPr="00E02C47" w:rsidRDefault="009260DE" w:rsidP="009260DE">
      <w:pPr>
        <w:tabs>
          <w:tab w:val="left" w:pos="851"/>
        </w:tabs>
        <w:ind w:left="851" w:hanging="851"/>
        <w:rPr>
          <w:b/>
          <w:sz w:val="24"/>
          <w:szCs w:val="24"/>
        </w:rPr>
      </w:pPr>
      <w:r w:rsidRPr="00E02C47">
        <w:rPr>
          <w:b/>
          <w:sz w:val="24"/>
          <w:szCs w:val="24"/>
        </w:rPr>
        <w:t>8.</w:t>
      </w:r>
      <w:r w:rsidRPr="00E02C47">
        <w:rPr>
          <w:b/>
          <w:sz w:val="24"/>
          <w:szCs w:val="24"/>
        </w:rPr>
        <w:tab/>
        <w:t>MARKEDSFØRINGSTILLADELSESNUMMER (</w:t>
      </w:r>
      <w:r w:rsidR="00BF6243" w:rsidRPr="00E02C47">
        <w:rPr>
          <w:b/>
          <w:sz w:val="24"/>
          <w:szCs w:val="24"/>
        </w:rPr>
        <w:t>-</w:t>
      </w:r>
      <w:r w:rsidRPr="00E02C47">
        <w:rPr>
          <w:b/>
          <w:sz w:val="24"/>
          <w:szCs w:val="24"/>
        </w:rPr>
        <w:t>NUMRE)</w:t>
      </w:r>
    </w:p>
    <w:p w14:paraId="6ADD80B3" w14:textId="0368969F" w:rsidR="009260DE" w:rsidRPr="00E02C47" w:rsidRDefault="00C52491" w:rsidP="009260DE">
      <w:pPr>
        <w:tabs>
          <w:tab w:val="left" w:pos="851"/>
        </w:tabs>
        <w:ind w:left="851"/>
        <w:rPr>
          <w:sz w:val="24"/>
          <w:szCs w:val="24"/>
        </w:rPr>
      </w:pPr>
      <w:r w:rsidRPr="00E02C47">
        <w:rPr>
          <w:sz w:val="24"/>
          <w:szCs w:val="24"/>
        </w:rPr>
        <w:t>66841</w:t>
      </w:r>
    </w:p>
    <w:p w14:paraId="4E9F363B" w14:textId="77777777" w:rsidR="009260DE" w:rsidRPr="00E02C47" w:rsidRDefault="009260DE" w:rsidP="009260DE">
      <w:pPr>
        <w:tabs>
          <w:tab w:val="left" w:pos="851"/>
        </w:tabs>
        <w:ind w:left="851"/>
        <w:jc w:val="both"/>
        <w:rPr>
          <w:sz w:val="24"/>
          <w:szCs w:val="24"/>
        </w:rPr>
      </w:pPr>
    </w:p>
    <w:p w14:paraId="4CF06227" w14:textId="77777777" w:rsidR="009260DE" w:rsidRPr="00E02C47" w:rsidRDefault="009260DE" w:rsidP="009260DE">
      <w:pPr>
        <w:tabs>
          <w:tab w:val="left" w:pos="851"/>
        </w:tabs>
        <w:ind w:left="851" w:hanging="851"/>
        <w:rPr>
          <w:b/>
          <w:sz w:val="24"/>
          <w:szCs w:val="24"/>
        </w:rPr>
      </w:pPr>
      <w:r w:rsidRPr="00E02C47">
        <w:rPr>
          <w:b/>
          <w:sz w:val="24"/>
          <w:szCs w:val="24"/>
        </w:rPr>
        <w:t>9.</w:t>
      </w:r>
      <w:r w:rsidRPr="00E02C47">
        <w:rPr>
          <w:b/>
          <w:sz w:val="24"/>
          <w:szCs w:val="24"/>
        </w:rPr>
        <w:tab/>
        <w:t>DATO FOR FØRSTE MARKEDSFØRINGSTILLADELSE</w:t>
      </w:r>
    </w:p>
    <w:p w14:paraId="3CF26183" w14:textId="45BCA3EE" w:rsidR="009260DE" w:rsidRPr="00E02C47" w:rsidRDefault="00D57A7D" w:rsidP="009260DE">
      <w:pPr>
        <w:tabs>
          <w:tab w:val="left" w:pos="851"/>
        </w:tabs>
        <w:ind w:left="851"/>
        <w:rPr>
          <w:sz w:val="24"/>
          <w:szCs w:val="24"/>
        </w:rPr>
      </w:pPr>
      <w:r>
        <w:rPr>
          <w:sz w:val="24"/>
          <w:szCs w:val="24"/>
        </w:rPr>
        <w:t>26. juni 2024</w:t>
      </w:r>
      <w:bookmarkStart w:id="4" w:name="_GoBack"/>
      <w:bookmarkEnd w:id="4"/>
    </w:p>
    <w:p w14:paraId="3993B548" w14:textId="77777777" w:rsidR="009260DE" w:rsidRPr="00E02C47" w:rsidRDefault="009260DE" w:rsidP="009260DE">
      <w:pPr>
        <w:tabs>
          <w:tab w:val="left" w:pos="851"/>
        </w:tabs>
        <w:ind w:left="851"/>
        <w:rPr>
          <w:sz w:val="24"/>
          <w:szCs w:val="24"/>
        </w:rPr>
      </w:pPr>
    </w:p>
    <w:p w14:paraId="729E6B10" w14:textId="77777777" w:rsidR="009260DE" w:rsidRPr="00E02C47" w:rsidRDefault="009260DE" w:rsidP="009260DE">
      <w:pPr>
        <w:tabs>
          <w:tab w:val="left" w:pos="851"/>
        </w:tabs>
        <w:ind w:left="851" w:hanging="851"/>
        <w:rPr>
          <w:b/>
          <w:sz w:val="24"/>
          <w:szCs w:val="24"/>
        </w:rPr>
      </w:pPr>
      <w:r w:rsidRPr="00E02C47">
        <w:rPr>
          <w:b/>
          <w:sz w:val="24"/>
          <w:szCs w:val="24"/>
        </w:rPr>
        <w:t>10.</w:t>
      </w:r>
      <w:r w:rsidRPr="00E02C47">
        <w:rPr>
          <w:b/>
          <w:sz w:val="24"/>
          <w:szCs w:val="24"/>
        </w:rPr>
        <w:tab/>
        <w:t>DATO FOR ÆNDRING AF TEKSTEN</w:t>
      </w:r>
    </w:p>
    <w:p w14:paraId="427E31D5" w14:textId="472C2FCA" w:rsidR="009260DE" w:rsidRPr="00E02C47" w:rsidRDefault="00C52491" w:rsidP="009260DE">
      <w:pPr>
        <w:tabs>
          <w:tab w:val="left" w:pos="851"/>
        </w:tabs>
        <w:ind w:left="851"/>
        <w:rPr>
          <w:sz w:val="24"/>
          <w:szCs w:val="24"/>
        </w:rPr>
      </w:pPr>
      <w:r w:rsidRPr="00E02C47">
        <w:rPr>
          <w:sz w:val="24"/>
          <w:szCs w:val="24"/>
        </w:rPr>
        <w:t>-</w:t>
      </w:r>
    </w:p>
    <w:sectPr w:rsidR="009260DE" w:rsidRPr="00E02C47"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6C5C6" w14:textId="77777777" w:rsidR="003807FC" w:rsidRDefault="003807FC">
      <w:r>
        <w:separator/>
      </w:r>
    </w:p>
  </w:endnote>
  <w:endnote w:type="continuationSeparator" w:id="0">
    <w:p w14:paraId="07748D48" w14:textId="77777777" w:rsidR="003807FC" w:rsidRDefault="00380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9641B" w14:textId="77777777" w:rsidR="003807FC" w:rsidRDefault="003807FC">
    <w:pPr>
      <w:pStyle w:val="Sidefod"/>
      <w:pBdr>
        <w:bottom w:val="single" w:sz="6" w:space="1" w:color="auto"/>
      </w:pBdr>
    </w:pPr>
  </w:p>
  <w:p w14:paraId="08721D8E" w14:textId="77777777" w:rsidR="003807FC" w:rsidRDefault="003807FC" w:rsidP="00C42586">
    <w:pPr>
      <w:pStyle w:val="Sidefod"/>
      <w:tabs>
        <w:tab w:val="clear" w:pos="4819"/>
        <w:tab w:val="left" w:pos="8505"/>
      </w:tabs>
      <w:rPr>
        <w:i/>
        <w:sz w:val="18"/>
        <w:szCs w:val="18"/>
      </w:rPr>
    </w:pPr>
  </w:p>
  <w:p w14:paraId="1CE4777A" w14:textId="47201B1C" w:rsidR="003807FC" w:rsidRPr="00B373D7" w:rsidRDefault="003807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552ED">
      <w:rPr>
        <w:i/>
        <w:noProof/>
        <w:sz w:val="18"/>
        <w:szCs w:val="18"/>
      </w:rPr>
      <w:t>Fingolimod Pharmaselect, hårde kapsler 0,5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1009" w14:textId="77777777" w:rsidR="003807FC" w:rsidRDefault="003807FC">
      <w:r>
        <w:separator/>
      </w:r>
    </w:p>
  </w:footnote>
  <w:footnote w:type="continuationSeparator" w:id="0">
    <w:p w14:paraId="28DD5304" w14:textId="77777777" w:rsidR="003807FC" w:rsidRDefault="003807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54E8"/>
    <w:multiLevelType w:val="hybridMultilevel"/>
    <w:tmpl w:val="04F44768"/>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E924BD7"/>
    <w:multiLevelType w:val="hybridMultilevel"/>
    <w:tmpl w:val="5BAA13C0"/>
    <w:lvl w:ilvl="0" w:tplc="FBCEC902">
      <w:start w:val="1"/>
      <w:numFmt w:val="bullet"/>
      <w:lvlText w:val="-"/>
      <w:lvlJc w:val="left"/>
      <w:pPr>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7F36C2"/>
    <w:multiLevelType w:val="hybridMultilevel"/>
    <w:tmpl w:val="FD36C7FE"/>
    <w:lvl w:ilvl="0" w:tplc="0C8230A4">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58D8DC30">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CC78CC34">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96A487AA">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208A919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060665A6">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5108504">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220577A">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62AA80AE">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7E337A8"/>
    <w:multiLevelType w:val="hybridMultilevel"/>
    <w:tmpl w:val="B65435BE"/>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C337AF4"/>
    <w:multiLevelType w:val="hybridMultilevel"/>
    <w:tmpl w:val="8ED86BDE"/>
    <w:lvl w:ilvl="0" w:tplc="C1E029A4">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04522992">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42B0C6A8">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B9905BE2">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555298E0">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668A26EE">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02BC4336">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D3FCFB26">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A4D86FB8">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4DC77E45"/>
    <w:multiLevelType w:val="hybridMultilevel"/>
    <w:tmpl w:val="BBF66732"/>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1401BE6"/>
    <w:multiLevelType w:val="hybridMultilevel"/>
    <w:tmpl w:val="FBC8BFB2"/>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F0F6F26"/>
    <w:multiLevelType w:val="hybridMultilevel"/>
    <w:tmpl w:val="CD360822"/>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9CF3BF6"/>
    <w:multiLevelType w:val="hybridMultilevel"/>
    <w:tmpl w:val="2ADED410"/>
    <w:lvl w:ilvl="0" w:tplc="FBCEC902">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8"/>
  </w:num>
  <w:num w:numId="8">
    <w:abstractNumId w:val="4"/>
  </w:num>
  <w:num w:numId="9">
    <w:abstractNumId w:val="2"/>
  </w:num>
  <w:num w:numId="10">
    <w:abstractNumId w:val="9"/>
  </w:num>
  <w:num w:numId="11">
    <w:abstractNumId w:val="12"/>
  </w:num>
  <w:num w:numId="12">
    <w:abstractNumId w:val="13"/>
  </w:num>
  <w:num w:numId="13">
    <w:abstractNumId w:val="0"/>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4F"/>
    <w:rsid w:val="000259B9"/>
    <w:rsid w:val="00041491"/>
    <w:rsid w:val="00050D16"/>
    <w:rsid w:val="000730CA"/>
    <w:rsid w:val="00074F2A"/>
    <w:rsid w:val="000814D6"/>
    <w:rsid w:val="00085272"/>
    <w:rsid w:val="000A1CA8"/>
    <w:rsid w:val="000A466B"/>
    <w:rsid w:val="000B058C"/>
    <w:rsid w:val="000D68B0"/>
    <w:rsid w:val="000E4EE6"/>
    <w:rsid w:val="001454E2"/>
    <w:rsid w:val="001552ED"/>
    <w:rsid w:val="00194BC2"/>
    <w:rsid w:val="001A7387"/>
    <w:rsid w:val="00206CE8"/>
    <w:rsid w:val="0021526C"/>
    <w:rsid w:val="00263A54"/>
    <w:rsid w:val="00283A2B"/>
    <w:rsid w:val="002B30AD"/>
    <w:rsid w:val="002C1EC0"/>
    <w:rsid w:val="002C2C01"/>
    <w:rsid w:val="00362304"/>
    <w:rsid w:val="003807FC"/>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30BE9"/>
    <w:rsid w:val="00841FA8"/>
    <w:rsid w:val="0089346F"/>
    <w:rsid w:val="00907F75"/>
    <w:rsid w:val="009260DE"/>
    <w:rsid w:val="0093258A"/>
    <w:rsid w:val="009C7BA3"/>
    <w:rsid w:val="009D1F5A"/>
    <w:rsid w:val="00A10294"/>
    <w:rsid w:val="00B003BF"/>
    <w:rsid w:val="00B373D7"/>
    <w:rsid w:val="00B55271"/>
    <w:rsid w:val="00BA36E0"/>
    <w:rsid w:val="00BC644F"/>
    <w:rsid w:val="00BD7931"/>
    <w:rsid w:val="00BF6243"/>
    <w:rsid w:val="00C36276"/>
    <w:rsid w:val="00C42586"/>
    <w:rsid w:val="00C45F6B"/>
    <w:rsid w:val="00C52491"/>
    <w:rsid w:val="00C60CCD"/>
    <w:rsid w:val="00C7388D"/>
    <w:rsid w:val="00C84483"/>
    <w:rsid w:val="00C95551"/>
    <w:rsid w:val="00CB20D7"/>
    <w:rsid w:val="00D020B0"/>
    <w:rsid w:val="00D11748"/>
    <w:rsid w:val="00D237F6"/>
    <w:rsid w:val="00D34D98"/>
    <w:rsid w:val="00D366CF"/>
    <w:rsid w:val="00D57A7D"/>
    <w:rsid w:val="00D93992"/>
    <w:rsid w:val="00E02C47"/>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939C5"/>
  <w15:chartTrackingRefBased/>
  <w15:docId w15:val="{A14A262F-8119-42E9-977B-199C0960F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C52491"/>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52491"/>
    <w:pPr>
      <w:spacing w:before="120" w:after="120"/>
      <w:jc w:val="both"/>
    </w:pPr>
    <w:rPr>
      <w:sz w:val="22"/>
      <w:lang w:val="en-US"/>
    </w:rPr>
  </w:style>
  <w:style w:type="character" w:customStyle="1" w:styleId="Overskrift2Tegn">
    <w:name w:val="Overskrift 2 Tegn"/>
    <w:basedOn w:val="Standardskrifttypeiafsnit"/>
    <w:link w:val="Overskrift2"/>
    <w:semiHidden/>
    <w:rsid w:val="00C52491"/>
    <w:rPr>
      <w:rFonts w:ascii="Helvetica" w:hAnsi="Helvetica"/>
      <w:b/>
      <w:i/>
      <w:sz w:val="24"/>
      <w:lang w:val="en-GB" w:eastAsia="en-US"/>
    </w:rPr>
  </w:style>
  <w:style w:type="character" w:styleId="Hyperlink">
    <w:name w:val="Hyperlink"/>
    <w:semiHidden/>
    <w:unhideWhenUsed/>
    <w:rsid w:val="00C52491"/>
    <w:rPr>
      <w:color w:val="0000FF"/>
      <w:u w:val="single"/>
    </w:rPr>
  </w:style>
  <w:style w:type="paragraph" w:styleId="Listeafsnit">
    <w:name w:val="List Paragraph"/>
    <w:basedOn w:val="Normal"/>
    <w:uiPriority w:val="34"/>
    <w:qFormat/>
    <w:rsid w:val="00E02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6069114">
      <w:bodyDiv w:val="1"/>
      <w:marLeft w:val="0"/>
      <w:marRight w:val="0"/>
      <w:marTop w:val="0"/>
      <w:marBottom w:val="0"/>
      <w:divBdr>
        <w:top w:val="none" w:sz="0" w:space="0" w:color="auto"/>
        <w:left w:val="none" w:sz="0" w:space="0" w:color="auto"/>
        <w:bottom w:val="none" w:sz="0" w:space="0" w:color="auto"/>
        <w:right w:val="none" w:sz="0" w:space="0" w:color="auto"/>
      </w:divBdr>
    </w:div>
    <w:div w:id="256717854">
      <w:bodyDiv w:val="1"/>
      <w:marLeft w:val="0"/>
      <w:marRight w:val="0"/>
      <w:marTop w:val="0"/>
      <w:marBottom w:val="0"/>
      <w:divBdr>
        <w:top w:val="none" w:sz="0" w:space="0" w:color="auto"/>
        <w:left w:val="none" w:sz="0" w:space="0" w:color="auto"/>
        <w:bottom w:val="none" w:sz="0" w:space="0" w:color="auto"/>
        <w:right w:val="none" w:sz="0" w:space="0" w:color="auto"/>
      </w:divBdr>
    </w:div>
    <w:div w:id="319820351">
      <w:bodyDiv w:val="1"/>
      <w:marLeft w:val="0"/>
      <w:marRight w:val="0"/>
      <w:marTop w:val="0"/>
      <w:marBottom w:val="0"/>
      <w:divBdr>
        <w:top w:val="none" w:sz="0" w:space="0" w:color="auto"/>
        <w:left w:val="none" w:sz="0" w:space="0" w:color="auto"/>
        <w:bottom w:val="none" w:sz="0" w:space="0" w:color="auto"/>
        <w:right w:val="none" w:sz="0" w:space="0" w:color="auto"/>
      </w:divBdr>
    </w:div>
    <w:div w:id="759185050">
      <w:bodyDiv w:val="1"/>
      <w:marLeft w:val="0"/>
      <w:marRight w:val="0"/>
      <w:marTop w:val="0"/>
      <w:marBottom w:val="0"/>
      <w:divBdr>
        <w:top w:val="none" w:sz="0" w:space="0" w:color="auto"/>
        <w:left w:val="none" w:sz="0" w:space="0" w:color="auto"/>
        <w:bottom w:val="none" w:sz="0" w:space="0" w:color="auto"/>
        <w:right w:val="none" w:sz="0" w:space="0" w:color="auto"/>
      </w:divBdr>
    </w:div>
    <w:div w:id="942103849">
      <w:bodyDiv w:val="1"/>
      <w:marLeft w:val="0"/>
      <w:marRight w:val="0"/>
      <w:marTop w:val="0"/>
      <w:marBottom w:val="0"/>
      <w:divBdr>
        <w:top w:val="none" w:sz="0" w:space="0" w:color="auto"/>
        <w:left w:val="none" w:sz="0" w:space="0" w:color="auto"/>
        <w:bottom w:val="none" w:sz="0" w:space="0" w:color="auto"/>
        <w:right w:val="none" w:sz="0" w:space="0" w:color="auto"/>
      </w:divBdr>
    </w:div>
    <w:div w:id="955909365">
      <w:bodyDiv w:val="1"/>
      <w:marLeft w:val="0"/>
      <w:marRight w:val="0"/>
      <w:marTop w:val="0"/>
      <w:marBottom w:val="0"/>
      <w:divBdr>
        <w:top w:val="none" w:sz="0" w:space="0" w:color="auto"/>
        <w:left w:val="none" w:sz="0" w:space="0" w:color="auto"/>
        <w:bottom w:val="none" w:sz="0" w:space="0" w:color="auto"/>
        <w:right w:val="none" w:sz="0" w:space="0" w:color="auto"/>
      </w:divBdr>
    </w:div>
    <w:div w:id="961961308">
      <w:bodyDiv w:val="1"/>
      <w:marLeft w:val="0"/>
      <w:marRight w:val="0"/>
      <w:marTop w:val="0"/>
      <w:marBottom w:val="0"/>
      <w:divBdr>
        <w:top w:val="none" w:sz="0" w:space="0" w:color="auto"/>
        <w:left w:val="none" w:sz="0" w:space="0" w:color="auto"/>
        <w:bottom w:val="none" w:sz="0" w:space="0" w:color="auto"/>
        <w:right w:val="none" w:sz="0" w:space="0" w:color="auto"/>
      </w:divBdr>
    </w:div>
    <w:div w:id="971859582">
      <w:bodyDiv w:val="1"/>
      <w:marLeft w:val="0"/>
      <w:marRight w:val="0"/>
      <w:marTop w:val="0"/>
      <w:marBottom w:val="0"/>
      <w:divBdr>
        <w:top w:val="none" w:sz="0" w:space="0" w:color="auto"/>
        <w:left w:val="none" w:sz="0" w:space="0" w:color="auto"/>
        <w:bottom w:val="none" w:sz="0" w:space="0" w:color="auto"/>
        <w:right w:val="none" w:sz="0" w:space="0" w:color="auto"/>
      </w:divBdr>
    </w:div>
    <w:div w:id="1044209470">
      <w:bodyDiv w:val="1"/>
      <w:marLeft w:val="0"/>
      <w:marRight w:val="0"/>
      <w:marTop w:val="0"/>
      <w:marBottom w:val="0"/>
      <w:divBdr>
        <w:top w:val="none" w:sz="0" w:space="0" w:color="auto"/>
        <w:left w:val="none" w:sz="0" w:space="0" w:color="auto"/>
        <w:bottom w:val="none" w:sz="0" w:space="0" w:color="auto"/>
        <w:right w:val="none" w:sz="0" w:space="0" w:color="auto"/>
      </w:divBdr>
    </w:div>
    <w:div w:id="1082798319">
      <w:bodyDiv w:val="1"/>
      <w:marLeft w:val="0"/>
      <w:marRight w:val="0"/>
      <w:marTop w:val="0"/>
      <w:marBottom w:val="0"/>
      <w:divBdr>
        <w:top w:val="none" w:sz="0" w:space="0" w:color="auto"/>
        <w:left w:val="none" w:sz="0" w:space="0" w:color="auto"/>
        <w:bottom w:val="none" w:sz="0" w:space="0" w:color="auto"/>
        <w:right w:val="none" w:sz="0" w:space="0" w:color="auto"/>
      </w:divBdr>
    </w:div>
    <w:div w:id="1180195514">
      <w:bodyDiv w:val="1"/>
      <w:marLeft w:val="0"/>
      <w:marRight w:val="0"/>
      <w:marTop w:val="0"/>
      <w:marBottom w:val="0"/>
      <w:divBdr>
        <w:top w:val="none" w:sz="0" w:space="0" w:color="auto"/>
        <w:left w:val="none" w:sz="0" w:space="0" w:color="auto"/>
        <w:bottom w:val="none" w:sz="0" w:space="0" w:color="auto"/>
        <w:right w:val="none" w:sz="0" w:space="0" w:color="auto"/>
      </w:divBdr>
    </w:div>
    <w:div w:id="1218009938">
      <w:bodyDiv w:val="1"/>
      <w:marLeft w:val="0"/>
      <w:marRight w:val="0"/>
      <w:marTop w:val="0"/>
      <w:marBottom w:val="0"/>
      <w:divBdr>
        <w:top w:val="none" w:sz="0" w:space="0" w:color="auto"/>
        <w:left w:val="none" w:sz="0" w:space="0" w:color="auto"/>
        <w:bottom w:val="none" w:sz="0" w:space="0" w:color="auto"/>
        <w:right w:val="none" w:sz="0" w:space="0" w:color="auto"/>
      </w:divBdr>
    </w:div>
    <w:div w:id="1328287767">
      <w:bodyDiv w:val="1"/>
      <w:marLeft w:val="0"/>
      <w:marRight w:val="0"/>
      <w:marTop w:val="0"/>
      <w:marBottom w:val="0"/>
      <w:divBdr>
        <w:top w:val="none" w:sz="0" w:space="0" w:color="auto"/>
        <w:left w:val="none" w:sz="0" w:space="0" w:color="auto"/>
        <w:bottom w:val="none" w:sz="0" w:space="0" w:color="auto"/>
        <w:right w:val="none" w:sz="0" w:space="0" w:color="auto"/>
      </w:divBdr>
    </w:div>
    <w:div w:id="1461724211">
      <w:bodyDiv w:val="1"/>
      <w:marLeft w:val="0"/>
      <w:marRight w:val="0"/>
      <w:marTop w:val="0"/>
      <w:marBottom w:val="0"/>
      <w:divBdr>
        <w:top w:val="none" w:sz="0" w:space="0" w:color="auto"/>
        <w:left w:val="none" w:sz="0" w:space="0" w:color="auto"/>
        <w:bottom w:val="none" w:sz="0" w:space="0" w:color="auto"/>
        <w:right w:val="none" w:sz="0" w:space="0" w:color="auto"/>
      </w:divBdr>
    </w:div>
    <w:div w:id="1511291624">
      <w:bodyDiv w:val="1"/>
      <w:marLeft w:val="0"/>
      <w:marRight w:val="0"/>
      <w:marTop w:val="0"/>
      <w:marBottom w:val="0"/>
      <w:divBdr>
        <w:top w:val="none" w:sz="0" w:space="0" w:color="auto"/>
        <w:left w:val="none" w:sz="0" w:space="0" w:color="auto"/>
        <w:bottom w:val="none" w:sz="0" w:space="0" w:color="auto"/>
        <w:right w:val="none" w:sz="0" w:space="0" w:color="auto"/>
      </w:divBdr>
    </w:div>
    <w:div w:id="1517235486">
      <w:bodyDiv w:val="1"/>
      <w:marLeft w:val="0"/>
      <w:marRight w:val="0"/>
      <w:marTop w:val="0"/>
      <w:marBottom w:val="0"/>
      <w:divBdr>
        <w:top w:val="none" w:sz="0" w:space="0" w:color="auto"/>
        <w:left w:val="none" w:sz="0" w:space="0" w:color="auto"/>
        <w:bottom w:val="none" w:sz="0" w:space="0" w:color="auto"/>
        <w:right w:val="none" w:sz="0" w:space="0" w:color="auto"/>
      </w:divBdr>
    </w:div>
    <w:div w:id="1611544622">
      <w:bodyDiv w:val="1"/>
      <w:marLeft w:val="0"/>
      <w:marRight w:val="0"/>
      <w:marTop w:val="0"/>
      <w:marBottom w:val="0"/>
      <w:divBdr>
        <w:top w:val="none" w:sz="0" w:space="0" w:color="auto"/>
        <w:left w:val="none" w:sz="0" w:space="0" w:color="auto"/>
        <w:bottom w:val="none" w:sz="0" w:space="0" w:color="auto"/>
        <w:right w:val="none" w:sz="0" w:space="0" w:color="auto"/>
      </w:divBdr>
    </w:div>
    <w:div w:id="1681086308">
      <w:bodyDiv w:val="1"/>
      <w:marLeft w:val="0"/>
      <w:marRight w:val="0"/>
      <w:marTop w:val="0"/>
      <w:marBottom w:val="0"/>
      <w:divBdr>
        <w:top w:val="none" w:sz="0" w:space="0" w:color="auto"/>
        <w:left w:val="none" w:sz="0" w:space="0" w:color="auto"/>
        <w:bottom w:val="none" w:sz="0" w:space="0" w:color="auto"/>
        <w:right w:val="none" w:sz="0" w:space="0" w:color="auto"/>
      </w:divBdr>
    </w:div>
    <w:div w:id="2006393952">
      <w:bodyDiv w:val="1"/>
      <w:marLeft w:val="0"/>
      <w:marRight w:val="0"/>
      <w:marTop w:val="0"/>
      <w:marBottom w:val="0"/>
      <w:divBdr>
        <w:top w:val="none" w:sz="0" w:space="0" w:color="auto"/>
        <w:left w:val="none" w:sz="0" w:space="0" w:color="auto"/>
        <w:bottom w:val="none" w:sz="0" w:space="0" w:color="auto"/>
        <w:right w:val="none" w:sz="0" w:space="0" w:color="auto"/>
      </w:divBdr>
    </w:div>
    <w:div w:id="2021353658">
      <w:bodyDiv w:val="1"/>
      <w:marLeft w:val="0"/>
      <w:marRight w:val="0"/>
      <w:marTop w:val="0"/>
      <w:marBottom w:val="0"/>
      <w:divBdr>
        <w:top w:val="none" w:sz="0" w:space="0" w:color="auto"/>
        <w:left w:val="none" w:sz="0" w:space="0" w:color="auto"/>
        <w:bottom w:val="none" w:sz="0" w:space="0" w:color="auto"/>
        <w:right w:val="none" w:sz="0" w:space="0" w:color="auto"/>
      </w:divBdr>
    </w:div>
    <w:div w:id="211046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221</TotalTime>
  <Pages>29</Pages>
  <Words>10621</Words>
  <Characters>67599</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2021100974, MT</dc:description>
  <cp:lastModifiedBy>Gitte Jørgensen</cp:lastModifiedBy>
  <cp:revision>11</cp:revision>
  <cp:lastPrinted>2012-08-22T08:53:00Z</cp:lastPrinted>
  <dcterms:created xsi:type="dcterms:W3CDTF">2024-06-12T06:39:00Z</dcterms:created>
  <dcterms:modified xsi:type="dcterms:W3CDTF">2024-06-26T06:24:00Z</dcterms:modified>
</cp:coreProperties>
</file>