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F80C4" w14:textId="77777777" w:rsidR="009260DE" w:rsidRPr="009E49F8" w:rsidRDefault="0021526C" w:rsidP="009260DE">
      <w:pPr>
        <w:rPr>
          <w:sz w:val="24"/>
          <w:szCs w:val="24"/>
        </w:rPr>
      </w:pPr>
      <w:r w:rsidRPr="009E49F8">
        <w:rPr>
          <w:noProof/>
          <w:sz w:val="24"/>
          <w:szCs w:val="24"/>
          <w:lang w:eastAsia="da-DK"/>
        </w:rPr>
        <w:drawing>
          <wp:anchor distT="0" distB="0" distL="114300" distR="114300" simplePos="0" relativeHeight="251658240" behindDoc="0" locked="0" layoutInCell="1" allowOverlap="1" wp14:anchorId="18AE2468" wp14:editId="6BB762B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E49F8">
        <w:rPr>
          <w:sz w:val="24"/>
          <w:szCs w:val="24"/>
        </w:rPr>
        <w:br w:type="textWrapping" w:clear="all"/>
      </w:r>
    </w:p>
    <w:p w14:paraId="5CA1CABA" w14:textId="7F9A1B78" w:rsidR="009260DE" w:rsidRPr="00BA2C82" w:rsidRDefault="009260DE" w:rsidP="009260DE">
      <w:pPr>
        <w:pStyle w:val="Titel"/>
        <w:tabs>
          <w:tab w:val="right" w:pos="9356"/>
        </w:tabs>
        <w:jc w:val="left"/>
        <w:rPr>
          <w:szCs w:val="24"/>
          <w:lang w:eastAsia="en-US"/>
        </w:rPr>
      </w:pPr>
      <w:r w:rsidRPr="009E49F8">
        <w:rPr>
          <w:b w:val="0"/>
          <w:szCs w:val="24"/>
          <w:lang w:eastAsia="en-US"/>
        </w:rPr>
        <w:tab/>
      </w:r>
      <w:r w:rsidR="002E351F">
        <w:rPr>
          <w:szCs w:val="24"/>
          <w:lang w:eastAsia="en-US"/>
        </w:rPr>
        <w:t>8</w:t>
      </w:r>
      <w:r w:rsidR="00BA2C82" w:rsidRPr="00BA2C82">
        <w:rPr>
          <w:szCs w:val="24"/>
          <w:lang w:eastAsia="en-US"/>
        </w:rPr>
        <w:t>. april 2025</w:t>
      </w:r>
    </w:p>
    <w:p w14:paraId="45EB29DF" w14:textId="77777777" w:rsidR="009260DE" w:rsidRPr="009E49F8" w:rsidRDefault="009260DE" w:rsidP="009260DE">
      <w:pPr>
        <w:pStyle w:val="Titel"/>
        <w:tabs>
          <w:tab w:val="left" w:pos="8222"/>
        </w:tabs>
        <w:jc w:val="left"/>
        <w:rPr>
          <w:b w:val="0"/>
          <w:szCs w:val="24"/>
        </w:rPr>
      </w:pPr>
    </w:p>
    <w:p w14:paraId="72166C36" w14:textId="1D4513D3" w:rsidR="009260DE" w:rsidRDefault="009260DE" w:rsidP="009260DE">
      <w:pPr>
        <w:pStyle w:val="Titel"/>
        <w:jc w:val="left"/>
        <w:rPr>
          <w:b w:val="0"/>
          <w:szCs w:val="24"/>
        </w:rPr>
      </w:pPr>
    </w:p>
    <w:p w14:paraId="7E164005" w14:textId="77777777" w:rsidR="007F793B" w:rsidRPr="009E49F8" w:rsidRDefault="007F793B" w:rsidP="009260DE">
      <w:pPr>
        <w:pStyle w:val="Titel"/>
        <w:jc w:val="left"/>
        <w:rPr>
          <w:b w:val="0"/>
          <w:szCs w:val="24"/>
        </w:rPr>
      </w:pPr>
    </w:p>
    <w:p w14:paraId="614243C8" w14:textId="77777777" w:rsidR="009260DE" w:rsidRPr="009E49F8" w:rsidRDefault="009260DE" w:rsidP="009260DE">
      <w:pPr>
        <w:jc w:val="center"/>
        <w:rPr>
          <w:b/>
          <w:sz w:val="24"/>
          <w:szCs w:val="24"/>
        </w:rPr>
      </w:pPr>
      <w:r w:rsidRPr="009E49F8">
        <w:rPr>
          <w:b/>
          <w:sz w:val="24"/>
          <w:szCs w:val="24"/>
        </w:rPr>
        <w:t>PRODUKTRESUMÉ</w:t>
      </w:r>
    </w:p>
    <w:p w14:paraId="462F4CB6" w14:textId="77777777" w:rsidR="009260DE" w:rsidRPr="009E49F8" w:rsidRDefault="009260DE" w:rsidP="009260DE">
      <w:pPr>
        <w:jc w:val="center"/>
        <w:rPr>
          <w:b/>
          <w:sz w:val="24"/>
          <w:szCs w:val="24"/>
        </w:rPr>
      </w:pPr>
    </w:p>
    <w:p w14:paraId="1F9EC207" w14:textId="77777777" w:rsidR="009260DE" w:rsidRPr="009E49F8" w:rsidRDefault="009260DE" w:rsidP="009260DE">
      <w:pPr>
        <w:jc w:val="center"/>
        <w:rPr>
          <w:b/>
          <w:sz w:val="24"/>
          <w:szCs w:val="24"/>
        </w:rPr>
      </w:pPr>
      <w:r w:rsidRPr="009E49F8">
        <w:rPr>
          <w:b/>
          <w:sz w:val="24"/>
          <w:szCs w:val="24"/>
        </w:rPr>
        <w:t>for</w:t>
      </w:r>
    </w:p>
    <w:p w14:paraId="28864D34" w14:textId="77777777" w:rsidR="000B058C" w:rsidRPr="009E49F8" w:rsidRDefault="000B058C" w:rsidP="009260DE">
      <w:pPr>
        <w:jc w:val="center"/>
        <w:rPr>
          <w:b/>
          <w:sz w:val="24"/>
          <w:szCs w:val="24"/>
        </w:rPr>
      </w:pPr>
    </w:p>
    <w:p w14:paraId="434C8262" w14:textId="562D6645" w:rsidR="009260DE" w:rsidRPr="009E49F8" w:rsidRDefault="006B6DC1" w:rsidP="009260DE">
      <w:pPr>
        <w:jc w:val="center"/>
        <w:rPr>
          <w:b/>
          <w:sz w:val="24"/>
          <w:szCs w:val="24"/>
        </w:rPr>
      </w:pPr>
      <w:proofErr w:type="spellStart"/>
      <w:r w:rsidRPr="009E49F8">
        <w:rPr>
          <w:b/>
          <w:sz w:val="24"/>
          <w:szCs w:val="24"/>
        </w:rPr>
        <w:t>Fingolimod</w:t>
      </w:r>
      <w:proofErr w:type="spellEnd"/>
      <w:r w:rsidRPr="009E49F8">
        <w:rPr>
          <w:b/>
          <w:sz w:val="24"/>
          <w:szCs w:val="24"/>
        </w:rPr>
        <w:t xml:space="preserve"> </w:t>
      </w:r>
      <w:r w:rsidR="00B922BA" w:rsidRPr="009E49F8">
        <w:rPr>
          <w:b/>
          <w:sz w:val="24"/>
          <w:szCs w:val="24"/>
        </w:rPr>
        <w:t>"</w:t>
      </w:r>
      <w:proofErr w:type="spellStart"/>
      <w:r w:rsidRPr="009E49F8">
        <w:rPr>
          <w:b/>
          <w:sz w:val="24"/>
          <w:szCs w:val="24"/>
        </w:rPr>
        <w:t>Stada</w:t>
      </w:r>
      <w:proofErr w:type="spellEnd"/>
      <w:r w:rsidR="00B922BA" w:rsidRPr="009E49F8">
        <w:rPr>
          <w:b/>
          <w:sz w:val="24"/>
          <w:szCs w:val="24"/>
        </w:rPr>
        <w:t>"</w:t>
      </w:r>
      <w:r w:rsidRPr="009E49F8">
        <w:rPr>
          <w:b/>
          <w:sz w:val="24"/>
          <w:szCs w:val="24"/>
        </w:rPr>
        <w:t>, hårde kapsler</w:t>
      </w:r>
    </w:p>
    <w:p w14:paraId="6932AFCF" w14:textId="77777777" w:rsidR="009260DE" w:rsidRPr="009E49F8" w:rsidRDefault="009260DE" w:rsidP="009260DE">
      <w:pPr>
        <w:jc w:val="both"/>
        <w:rPr>
          <w:sz w:val="24"/>
          <w:szCs w:val="24"/>
        </w:rPr>
      </w:pPr>
    </w:p>
    <w:p w14:paraId="588F799B" w14:textId="77777777" w:rsidR="009260DE" w:rsidRPr="009E49F8" w:rsidRDefault="009260DE" w:rsidP="009260DE">
      <w:pPr>
        <w:jc w:val="both"/>
        <w:rPr>
          <w:sz w:val="24"/>
          <w:szCs w:val="24"/>
        </w:rPr>
      </w:pPr>
    </w:p>
    <w:p w14:paraId="13390E3F" w14:textId="77777777" w:rsidR="009260DE" w:rsidRPr="009E49F8" w:rsidRDefault="009260DE" w:rsidP="009260DE">
      <w:pPr>
        <w:tabs>
          <w:tab w:val="left" w:pos="851"/>
        </w:tabs>
        <w:ind w:left="851" w:hanging="851"/>
        <w:rPr>
          <w:b/>
          <w:sz w:val="24"/>
          <w:szCs w:val="24"/>
        </w:rPr>
      </w:pPr>
      <w:r w:rsidRPr="009E49F8">
        <w:rPr>
          <w:b/>
          <w:sz w:val="24"/>
          <w:szCs w:val="24"/>
        </w:rPr>
        <w:t>0.</w:t>
      </w:r>
      <w:r w:rsidRPr="009E49F8">
        <w:rPr>
          <w:b/>
          <w:sz w:val="24"/>
          <w:szCs w:val="24"/>
        </w:rPr>
        <w:tab/>
        <w:t>D.SP.NR.</w:t>
      </w:r>
    </w:p>
    <w:p w14:paraId="0EE43FB0" w14:textId="7DF697BF" w:rsidR="009260DE" w:rsidRPr="009E49F8" w:rsidRDefault="006B6DC1" w:rsidP="009260DE">
      <w:pPr>
        <w:tabs>
          <w:tab w:val="left" w:pos="851"/>
        </w:tabs>
        <w:ind w:left="851"/>
        <w:rPr>
          <w:sz w:val="24"/>
          <w:szCs w:val="24"/>
        </w:rPr>
      </w:pPr>
      <w:r w:rsidRPr="009E49F8">
        <w:rPr>
          <w:sz w:val="24"/>
          <w:szCs w:val="24"/>
        </w:rPr>
        <w:t>31577</w:t>
      </w:r>
    </w:p>
    <w:p w14:paraId="656BEA46" w14:textId="77777777" w:rsidR="009260DE" w:rsidRPr="009E49F8" w:rsidRDefault="009260DE" w:rsidP="009260DE">
      <w:pPr>
        <w:tabs>
          <w:tab w:val="left" w:pos="851"/>
        </w:tabs>
        <w:ind w:left="851"/>
        <w:rPr>
          <w:sz w:val="24"/>
          <w:szCs w:val="24"/>
        </w:rPr>
      </w:pPr>
    </w:p>
    <w:p w14:paraId="78076721" w14:textId="77777777" w:rsidR="009260DE" w:rsidRPr="009E49F8" w:rsidRDefault="009260DE" w:rsidP="009260DE">
      <w:pPr>
        <w:tabs>
          <w:tab w:val="left" w:pos="851"/>
        </w:tabs>
        <w:ind w:left="851" w:hanging="851"/>
        <w:rPr>
          <w:b/>
          <w:sz w:val="24"/>
          <w:szCs w:val="24"/>
        </w:rPr>
      </w:pPr>
      <w:r w:rsidRPr="009E49F8">
        <w:rPr>
          <w:b/>
          <w:sz w:val="24"/>
          <w:szCs w:val="24"/>
        </w:rPr>
        <w:t>1.</w:t>
      </w:r>
      <w:r w:rsidRPr="009E49F8">
        <w:rPr>
          <w:b/>
          <w:sz w:val="24"/>
          <w:szCs w:val="24"/>
        </w:rPr>
        <w:tab/>
        <w:t>LÆGEMIDLETS NAVN</w:t>
      </w:r>
    </w:p>
    <w:p w14:paraId="4F0C45D0" w14:textId="49E7E123" w:rsidR="009260DE" w:rsidRPr="009E49F8" w:rsidRDefault="006B6DC1" w:rsidP="009260DE">
      <w:pPr>
        <w:tabs>
          <w:tab w:val="left" w:pos="851"/>
        </w:tabs>
        <w:ind w:left="851"/>
        <w:rPr>
          <w:sz w:val="24"/>
          <w:szCs w:val="24"/>
        </w:rPr>
      </w:pPr>
      <w:proofErr w:type="spellStart"/>
      <w:r w:rsidRPr="009E49F8">
        <w:rPr>
          <w:sz w:val="24"/>
          <w:szCs w:val="24"/>
        </w:rPr>
        <w:t>Fingolimod</w:t>
      </w:r>
      <w:proofErr w:type="spellEnd"/>
      <w:r w:rsidRPr="009E49F8">
        <w:rPr>
          <w:sz w:val="24"/>
          <w:szCs w:val="24"/>
        </w:rPr>
        <w:t xml:space="preserve"> </w:t>
      </w:r>
      <w:r w:rsidR="00B922BA" w:rsidRPr="009E49F8">
        <w:rPr>
          <w:sz w:val="24"/>
          <w:szCs w:val="24"/>
        </w:rPr>
        <w:t>"</w:t>
      </w:r>
      <w:proofErr w:type="spellStart"/>
      <w:r w:rsidRPr="009E49F8">
        <w:rPr>
          <w:sz w:val="24"/>
          <w:szCs w:val="24"/>
        </w:rPr>
        <w:t>Stada</w:t>
      </w:r>
      <w:proofErr w:type="spellEnd"/>
      <w:r w:rsidR="00B922BA" w:rsidRPr="009E49F8">
        <w:rPr>
          <w:sz w:val="24"/>
          <w:szCs w:val="24"/>
        </w:rPr>
        <w:t>"</w:t>
      </w:r>
    </w:p>
    <w:p w14:paraId="24DF1AE6" w14:textId="77777777" w:rsidR="009260DE" w:rsidRPr="009E49F8" w:rsidRDefault="009260DE" w:rsidP="009260DE">
      <w:pPr>
        <w:tabs>
          <w:tab w:val="left" w:pos="851"/>
        </w:tabs>
        <w:ind w:left="851"/>
        <w:rPr>
          <w:sz w:val="24"/>
          <w:szCs w:val="24"/>
        </w:rPr>
      </w:pPr>
    </w:p>
    <w:p w14:paraId="1E17B755" w14:textId="77777777" w:rsidR="009260DE" w:rsidRPr="009E49F8" w:rsidRDefault="009260DE" w:rsidP="009260DE">
      <w:pPr>
        <w:tabs>
          <w:tab w:val="left" w:pos="851"/>
        </w:tabs>
        <w:ind w:left="851" w:hanging="851"/>
        <w:rPr>
          <w:b/>
          <w:sz w:val="24"/>
          <w:szCs w:val="24"/>
        </w:rPr>
      </w:pPr>
      <w:r w:rsidRPr="009E49F8">
        <w:rPr>
          <w:b/>
          <w:sz w:val="24"/>
          <w:szCs w:val="24"/>
        </w:rPr>
        <w:t>2.</w:t>
      </w:r>
      <w:r w:rsidRPr="009E49F8">
        <w:rPr>
          <w:b/>
          <w:sz w:val="24"/>
          <w:szCs w:val="24"/>
        </w:rPr>
        <w:tab/>
        <w:t>KVALITATIV OG KVANTITATIV SAMMENSÆTNING</w:t>
      </w:r>
    </w:p>
    <w:p w14:paraId="41006E6F" w14:textId="77777777" w:rsidR="006D7ABF" w:rsidRPr="009E49F8" w:rsidRDefault="006D7ABF" w:rsidP="00CF35AD">
      <w:pPr>
        <w:ind w:left="851"/>
        <w:rPr>
          <w:sz w:val="24"/>
          <w:szCs w:val="24"/>
        </w:rPr>
      </w:pPr>
      <w:r w:rsidRPr="009E49F8">
        <w:rPr>
          <w:sz w:val="24"/>
          <w:szCs w:val="24"/>
        </w:rPr>
        <w:t xml:space="preserve">Hver kapsel indeholder 0,5 mg </w:t>
      </w:r>
      <w:proofErr w:type="spellStart"/>
      <w:r w:rsidRPr="009E49F8">
        <w:rPr>
          <w:sz w:val="24"/>
          <w:szCs w:val="24"/>
        </w:rPr>
        <w:t>fingolimod</w:t>
      </w:r>
      <w:proofErr w:type="spellEnd"/>
      <w:r w:rsidRPr="009E49F8">
        <w:rPr>
          <w:sz w:val="24"/>
          <w:szCs w:val="24"/>
        </w:rPr>
        <w:t xml:space="preserve"> (som </w:t>
      </w:r>
      <w:proofErr w:type="spellStart"/>
      <w:r w:rsidRPr="009E49F8">
        <w:rPr>
          <w:sz w:val="24"/>
          <w:szCs w:val="24"/>
        </w:rPr>
        <w:t>hydrochlorid</w:t>
      </w:r>
      <w:proofErr w:type="spellEnd"/>
      <w:r w:rsidRPr="009E49F8">
        <w:rPr>
          <w:sz w:val="24"/>
          <w:szCs w:val="24"/>
        </w:rPr>
        <w:t>).</w:t>
      </w:r>
    </w:p>
    <w:p w14:paraId="48997636" w14:textId="77777777" w:rsidR="006D7ABF" w:rsidRPr="009E49F8" w:rsidRDefault="006D7ABF" w:rsidP="00CF35AD">
      <w:pPr>
        <w:ind w:left="851"/>
        <w:rPr>
          <w:sz w:val="24"/>
          <w:szCs w:val="24"/>
        </w:rPr>
      </w:pPr>
    </w:p>
    <w:p w14:paraId="0EE10030" w14:textId="546DDC27" w:rsidR="009260DE" w:rsidRPr="009E49F8" w:rsidRDefault="006D7ABF" w:rsidP="00CF35AD">
      <w:pPr>
        <w:ind w:left="851"/>
        <w:rPr>
          <w:sz w:val="24"/>
          <w:szCs w:val="24"/>
        </w:rPr>
      </w:pPr>
      <w:r w:rsidRPr="009E49F8">
        <w:rPr>
          <w:sz w:val="24"/>
          <w:szCs w:val="24"/>
        </w:rPr>
        <w:t>Alle hjælpestoffer er anført under pkt. 6.1.</w:t>
      </w:r>
    </w:p>
    <w:p w14:paraId="68D0EFC7" w14:textId="77777777" w:rsidR="009260DE" w:rsidRPr="009E49F8" w:rsidRDefault="009260DE" w:rsidP="00041B79">
      <w:pPr>
        <w:rPr>
          <w:sz w:val="24"/>
          <w:szCs w:val="24"/>
        </w:rPr>
      </w:pPr>
    </w:p>
    <w:p w14:paraId="328B83EE" w14:textId="77777777" w:rsidR="009260DE" w:rsidRPr="009E49F8" w:rsidRDefault="009260DE" w:rsidP="009260DE">
      <w:pPr>
        <w:tabs>
          <w:tab w:val="left" w:pos="851"/>
        </w:tabs>
        <w:ind w:left="851" w:hanging="851"/>
        <w:rPr>
          <w:b/>
          <w:sz w:val="24"/>
          <w:szCs w:val="24"/>
        </w:rPr>
      </w:pPr>
      <w:r w:rsidRPr="009E49F8">
        <w:rPr>
          <w:b/>
          <w:sz w:val="24"/>
          <w:szCs w:val="24"/>
        </w:rPr>
        <w:t>3.</w:t>
      </w:r>
      <w:r w:rsidRPr="009E49F8">
        <w:rPr>
          <w:b/>
          <w:sz w:val="24"/>
          <w:szCs w:val="24"/>
        </w:rPr>
        <w:tab/>
        <w:t>LÆGEMIDDELFORM</w:t>
      </w:r>
    </w:p>
    <w:p w14:paraId="06C9BD05" w14:textId="19BBCB2A" w:rsidR="00C10D9D" w:rsidRPr="009E49F8" w:rsidRDefault="00C10D9D" w:rsidP="00CF35AD">
      <w:pPr>
        <w:suppressAutoHyphens/>
        <w:ind w:left="851"/>
        <w:rPr>
          <w:sz w:val="24"/>
          <w:szCs w:val="24"/>
        </w:rPr>
      </w:pPr>
      <w:r w:rsidRPr="009E49F8">
        <w:rPr>
          <w:spacing w:val="-3"/>
          <w:sz w:val="24"/>
          <w:szCs w:val="24"/>
        </w:rPr>
        <w:t>Hård</w:t>
      </w:r>
      <w:r w:rsidR="00CF35AD" w:rsidRPr="009E49F8">
        <w:rPr>
          <w:spacing w:val="-3"/>
          <w:sz w:val="24"/>
          <w:szCs w:val="24"/>
        </w:rPr>
        <w:t>e</w:t>
      </w:r>
      <w:r w:rsidRPr="009E49F8">
        <w:rPr>
          <w:spacing w:val="-3"/>
          <w:sz w:val="24"/>
          <w:szCs w:val="24"/>
        </w:rPr>
        <w:t xml:space="preserve"> kaps</w:t>
      </w:r>
      <w:r w:rsidR="00CF35AD" w:rsidRPr="009E49F8">
        <w:rPr>
          <w:spacing w:val="-3"/>
          <w:sz w:val="24"/>
          <w:szCs w:val="24"/>
        </w:rPr>
        <w:t>ler</w:t>
      </w:r>
    </w:p>
    <w:p w14:paraId="04651EFE" w14:textId="77777777" w:rsidR="00C10D9D" w:rsidRPr="009E49F8" w:rsidRDefault="00C10D9D" w:rsidP="00CF35AD">
      <w:pPr>
        <w:suppressAutoHyphens/>
        <w:ind w:left="851"/>
        <w:rPr>
          <w:sz w:val="24"/>
          <w:szCs w:val="24"/>
        </w:rPr>
      </w:pPr>
    </w:p>
    <w:p w14:paraId="3662B643" w14:textId="77777777" w:rsidR="00C10D9D" w:rsidRPr="009E49F8" w:rsidRDefault="00C10D9D" w:rsidP="00CF35AD">
      <w:pPr>
        <w:tabs>
          <w:tab w:val="left" w:pos="-720"/>
        </w:tabs>
        <w:suppressAutoHyphens/>
        <w:ind w:left="851"/>
        <w:rPr>
          <w:sz w:val="24"/>
          <w:szCs w:val="24"/>
        </w:rPr>
      </w:pPr>
      <w:r w:rsidRPr="009E49F8">
        <w:rPr>
          <w:sz w:val="24"/>
          <w:szCs w:val="24"/>
        </w:rPr>
        <w:t>Hård gelatine kapsel på 13,53 mm med gul uigennemsigtig overdel og hvid uigennemsigtig underdel.</w:t>
      </w:r>
    </w:p>
    <w:p w14:paraId="182FF193" w14:textId="77777777" w:rsidR="009260DE" w:rsidRPr="009E49F8" w:rsidRDefault="009260DE" w:rsidP="009260DE">
      <w:pPr>
        <w:tabs>
          <w:tab w:val="left" w:pos="851"/>
        </w:tabs>
        <w:ind w:left="851"/>
        <w:rPr>
          <w:sz w:val="24"/>
          <w:szCs w:val="24"/>
        </w:rPr>
      </w:pPr>
    </w:p>
    <w:p w14:paraId="0253543F" w14:textId="77777777" w:rsidR="009260DE" w:rsidRPr="009E49F8" w:rsidRDefault="009260DE" w:rsidP="009260DE">
      <w:pPr>
        <w:tabs>
          <w:tab w:val="left" w:pos="851"/>
        </w:tabs>
        <w:ind w:left="851"/>
        <w:rPr>
          <w:sz w:val="24"/>
          <w:szCs w:val="24"/>
        </w:rPr>
      </w:pPr>
    </w:p>
    <w:p w14:paraId="51D39F12" w14:textId="77777777" w:rsidR="009260DE" w:rsidRPr="009E49F8" w:rsidRDefault="009260DE" w:rsidP="009260DE">
      <w:pPr>
        <w:tabs>
          <w:tab w:val="left" w:pos="851"/>
        </w:tabs>
        <w:ind w:left="851" w:hanging="851"/>
        <w:rPr>
          <w:b/>
          <w:sz w:val="24"/>
          <w:szCs w:val="24"/>
        </w:rPr>
      </w:pPr>
      <w:r w:rsidRPr="009E49F8">
        <w:rPr>
          <w:b/>
          <w:sz w:val="24"/>
          <w:szCs w:val="24"/>
        </w:rPr>
        <w:t>4.</w:t>
      </w:r>
      <w:r w:rsidRPr="009E49F8">
        <w:rPr>
          <w:b/>
          <w:sz w:val="24"/>
          <w:szCs w:val="24"/>
        </w:rPr>
        <w:tab/>
        <w:t>KLINISKE OPLYSNINGER</w:t>
      </w:r>
    </w:p>
    <w:p w14:paraId="3E8A597F" w14:textId="77777777" w:rsidR="009260DE" w:rsidRPr="009E49F8" w:rsidRDefault="009260DE" w:rsidP="009260DE">
      <w:pPr>
        <w:tabs>
          <w:tab w:val="left" w:pos="851"/>
        </w:tabs>
        <w:ind w:left="851"/>
        <w:rPr>
          <w:b/>
          <w:sz w:val="24"/>
          <w:szCs w:val="24"/>
        </w:rPr>
      </w:pPr>
    </w:p>
    <w:p w14:paraId="5C983374" w14:textId="77777777" w:rsidR="009260DE" w:rsidRPr="009E49F8" w:rsidRDefault="009260DE" w:rsidP="009260DE">
      <w:pPr>
        <w:tabs>
          <w:tab w:val="left" w:pos="851"/>
        </w:tabs>
        <w:ind w:left="851" w:hanging="851"/>
        <w:rPr>
          <w:b/>
          <w:sz w:val="24"/>
          <w:szCs w:val="24"/>
          <w:u w:val="single"/>
        </w:rPr>
      </w:pPr>
      <w:r w:rsidRPr="009E49F8">
        <w:rPr>
          <w:b/>
          <w:sz w:val="24"/>
          <w:szCs w:val="24"/>
        </w:rPr>
        <w:t>4.1</w:t>
      </w:r>
      <w:r w:rsidRPr="009E49F8">
        <w:rPr>
          <w:b/>
          <w:sz w:val="24"/>
          <w:szCs w:val="24"/>
        </w:rPr>
        <w:tab/>
        <w:t>Terapeutiske indikationer</w:t>
      </w:r>
    </w:p>
    <w:p w14:paraId="42E06A53" w14:textId="205D7F10" w:rsidR="00C10D9D" w:rsidRPr="009E49F8" w:rsidRDefault="00C10D9D" w:rsidP="00CF35AD">
      <w:pPr>
        <w:ind w:left="851"/>
        <w:rPr>
          <w:snapToGrid w:val="0"/>
          <w:sz w:val="24"/>
          <w:szCs w:val="24"/>
        </w:rPr>
      </w:pPr>
      <w:proofErr w:type="spellStart"/>
      <w:r w:rsidRPr="009E49F8">
        <w:rPr>
          <w:sz w:val="24"/>
          <w:szCs w:val="24"/>
        </w:rPr>
        <w:t>Fingolimod</w:t>
      </w:r>
      <w:proofErr w:type="spellEnd"/>
      <w:r w:rsidRPr="009E49F8">
        <w:rPr>
          <w:sz w:val="24"/>
          <w:szCs w:val="24"/>
        </w:rPr>
        <w:t xml:space="preserve"> </w:t>
      </w:r>
      <w:r w:rsidR="00B922BA" w:rsidRPr="009E49F8">
        <w:rPr>
          <w:sz w:val="24"/>
          <w:szCs w:val="24"/>
        </w:rPr>
        <w:t>"</w:t>
      </w:r>
      <w:proofErr w:type="spellStart"/>
      <w:r w:rsidRPr="009E49F8">
        <w:rPr>
          <w:sz w:val="24"/>
          <w:szCs w:val="24"/>
        </w:rPr>
        <w:t>S</w:t>
      </w:r>
      <w:r w:rsidR="000B6E89" w:rsidRPr="009E49F8">
        <w:rPr>
          <w:sz w:val="24"/>
          <w:szCs w:val="24"/>
        </w:rPr>
        <w:t>tada</w:t>
      </w:r>
      <w:proofErr w:type="spellEnd"/>
      <w:r w:rsidR="00B922BA" w:rsidRPr="009E49F8">
        <w:rPr>
          <w:sz w:val="24"/>
          <w:szCs w:val="24"/>
        </w:rPr>
        <w:t>"</w:t>
      </w:r>
      <w:r w:rsidRPr="009E49F8">
        <w:rPr>
          <w:sz w:val="24"/>
          <w:szCs w:val="24"/>
        </w:rPr>
        <w:t xml:space="preserve"> er indiceret som sygdomsmodificerende behandling i monoterapi ved meget aktiv recidiverende-remitterende multipel sklerose hos følgende grupper af voksne patienter og pædiatriske patienter i alderen 10 år og ældre med en kropsvægt &gt; 40 kg: </w:t>
      </w:r>
    </w:p>
    <w:p w14:paraId="365BCA58" w14:textId="77777777" w:rsidR="00C10D9D" w:rsidRPr="009E49F8" w:rsidRDefault="00C10D9D" w:rsidP="00CF35AD">
      <w:pPr>
        <w:ind w:left="851"/>
        <w:rPr>
          <w:sz w:val="24"/>
          <w:szCs w:val="24"/>
        </w:rPr>
      </w:pPr>
      <w:r w:rsidRPr="009E49F8">
        <w:rPr>
          <w:sz w:val="24"/>
          <w:szCs w:val="24"/>
        </w:rPr>
        <w:t xml:space="preserve"> </w:t>
      </w:r>
    </w:p>
    <w:p w14:paraId="7A6E63CA" w14:textId="77777777" w:rsidR="00C10D9D" w:rsidRPr="009E49F8" w:rsidRDefault="00C10D9D" w:rsidP="00BF387F">
      <w:pPr>
        <w:pStyle w:val="Listeafsnit"/>
        <w:numPr>
          <w:ilvl w:val="0"/>
          <w:numId w:val="15"/>
        </w:numPr>
        <w:ind w:left="1276" w:hanging="425"/>
        <w:rPr>
          <w:sz w:val="24"/>
          <w:szCs w:val="24"/>
        </w:rPr>
      </w:pPr>
      <w:r w:rsidRPr="009E49F8">
        <w:rPr>
          <w:sz w:val="24"/>
          <w:szCs w:val="24"/>
        </w:rPr>
        <w:t xml:space="preserve">Patienter med højaktiv sygdom på trods af et fuldstændigt og tilstrækkeligt behandlingsforløb med mindst en sygdomsmodificerende behandling (for undtagelser og information om udvaskningsperioder, se pkt. 4.4 og 5.1). </w:t>
      </w:r>
    </w:p>
    <w:p w14:paraId="77F723B5" w14:textId="77777777" w:rsidR="00C10D9D" w:rsidRPr="009E49F8" w:rsidRDefault="00C10D9D" w:rsidP="00BF387F">
      <w:pPr>
        <w:pStyle w:val="Listeafsnit"/>
        <w:numPr>
          <w:ilvl w:val="0"/>
          <w:numId w:val="15"/>
        </w:numPr>
        <w:ind w:left="1276" w:hanging="425"/>
        <w:rPr>
          <w:sz w:val="24"/>
          <w:szCs w:val="24"/>
        </w:rPr>
      </w:pPr>
      <w:r w:rsidRPr="009E49F8">
        <w:rPr>
          <w:sz w:val="24"/>
          <w:szCs w:val="24"/>
        </w:rPr>
        <w:t xml:space="preserve">Patienter med svær hurtig-udviklende recidiverende-remitterende multipel sklerose, defineret ved 2 eller flere invaliderende attaker på ét år og med 1 eller flere gadolinium-opladende læsioner ved </w:t>
      </w:r>
      <w:proofErr w:type="spellStart"/>
      <w:r w:rsidRPr="009E49F8">
        <w:rPr>
          <w:sz w:val="24"/>
          <w:szCs w:val="24"/>
        </w:rPr>
        <w:t>kraniel</w:t>
      </w:r>
      <w:proofErr w:type="spellEnd"/>
      <w:r w:rsidRPr="009E49F8">
        <w:rPr>
          <w:sz w:val="24"/>
          <w:szCs w:val="24"/>
        </w:rPr>
        <w:t xml:space="preserve"> MR-scanning eller en signifikant stigning i T2-læsionsbyrde i forhold til en tidligere nylig MR-scanning. </w:t>
      </w:r>
    </w:p>
    <w:p w14:paraId="1186D84E" w14:textId="1E2D8A91" w:rsidR="00F641D1" w:rsidRPr="009E49F8" w:rsidRDefault="00F641D1">
      <w:pPr>
        <w:rPr>
          <w:sz w:val="24"/>
          <w:szCs w:val="24"/>
        </w:rPr>
      </w:pPr>
      <w:r w:rsidRPr="009E49F8">
        <w:rPr>
          <w:sz w:val="24"/>
          <w:szCs w:val="24"/>
        </w:rPr>
        <w:br w:type="page"/>
      </w:r>
    </w:p>
    <w:p w14:paraId="5429AE92" w14:textId="77777777" w:rsidR="009260DE" w:rsidRPr="009E49F8" w:rsidRDefault="009260DE" w:rsidP="009260DE">
      <w:pPr>
        <w:tabs>
          <w:tab w:val="left" w:pos="851"/>
        </w:tabs>
        <w:ind w:left="851"/>
        <w:rPr>
          <w:sz w:val="24"/>
          <w:szCs w:val="24"/>
        </w:rPr>
      </w:pPr>
    </w:p>
    <w:p w14:paraId="7D24E4F3" w14:textId="7B4F3047" w:rsidR="009260DE" w:rsidRPr="009E49F8" w:rsidRDefault="009260DE" w:rsidP="009260DE">
      <w:pPr>
        <w:tabs>
          <w:tab w:val="left" w:pos="851"/>
        </w:tabs>
        <w:ind w:left="851" w:hanging="851"/>
        <w:rPr>
          <w:b/>
          <w:sz w:val="24"/>
          <w:szCs w:val="24"/>
        </w:rPr>
      </w:pPr>
      <w:r w:rsidRPr="009E49F8">
        <w:rPr>
          <w:b/>
          <w:sz w:val="24"/>
          <w:szCs w:val="24"/>
        </w:rPr>
        <w:t>4.2</w:t>
      </w:r>
      <w:r w:rsidRPr="009E49F8">
        <w:rPr>
          <w:b/>
          <w:sz w:val="24"/>
          <w:szCs w:val="24"/>
        </w:rPr>
        <w:tab/>
        <w:t>Dosering og</w:t>
      </w:r>
      <w:r w:rsidR="00AF54E1">
        <w:rPr>
          <w:b/>
          <w:sz w:val="24"/>
          <w:szCs w:val="24"/>
        </w:rPr>
        <w:t xml:space="preserve"> administration</w:t>
      </w:r>
    </w:p>
    <w:p w14:paraId="53B6CAA5" w14:textId="77777777" w:rsidR="00C10D9D" w:rsidRPr="009E49F8" w:rsidRDefault="00C10D9D" w:rsidP="00CF35AD">
      <w:pPr>
        <w:ind w:left="851"/>
        <w:rPr>
          <w:noProof/>
          <w:sz w:val="24"/>
          <w:szCs w:val="24"/>
        </w:rPr>
      </w:pPr>
      <w:r w:rsidRPr="009E49F8">
        <w:rPr>
          <w:noProof/>
          <w:sz w:val="24"/>
          <w:szCs w:val="24"/>
        </w:rPr>
        <w:t xml:space="preserve">Behandlingen bør indledes og gennemføres under opsyn af en læge med erfaring i multipel sklerose. </w:t>
      </w:r>
    </w:p>
    <w:p w14:paraId="2688EBAB" w14:textId="77777777" w:rsidR="00C10D9D" w:rsidRPr="009E49F8" w:rsidRDefault="00C10D9D" w:rsidP="00CF35AD">
      <w:pPr>
        <w:ind w:left="851"/>
        <w:rPr>
          <w:noProof/>
          <w:sz w:val="24"/>
          <w:szCs w:val="24"/>
          <w:u w:val="single"/>
        </w:rPr>
      </w:pPr>
    </w:p>
    <w:p w14:paraId="6DC5BCC9" w14:textId="77777777" w:rsidR="00C10D9D" w:rsidRPr="009E49F8" w:rsidRDefault="00C10D9D" w:rsidP="00CF35AD">
      <w:pPr>
        <w:ind w:left="851"/>
        <w:rPr>
          <w:noProof/>
          <w:sz w:val="24"/>
          <w:szCs w:val="24"/>
          <w:u w:val="single"/>
        </w:rPr>
      </w:pPr>
      <w:r w:rsidRPr="009E49F8">
        <w:rPr>
          <w:noProof/>
          <w:sz w:val="24"/>
          <w:szCs w:val="24"/>
          <w:u w:val="single"/>
        </w:rPr>
        <w:t>Dosering</w:t>
      </w:r>
    </w:p>
    <w:p w14:paraId="55E857AA" w14:textId="77777777" w:rsidR="00C10D9D" w:rsidRPr="009E49F8" w:rsidRDefault="00C10D9D" w:rsidP="00CF35AD">
      <w:pPr>
        <w:ind w:left="851"/>
        <w:rPr>
          <w:noProof/>
          <w:sz w:val="24"/>
          <w:szCs w:val="24"/>
        </w:rPr>
      </w:pPr>
      <w:r w:rsidRPr="009E49F8">
        <w:rPr>
          <w:noProof/>
          <w:sz w:val="24"/>
          <w:szCs w:val="24"/>
        </w:rPr>
        <w:t>Hos voksne er den anbefalede dosis af fingolimod en 0,5 mg kapsel taget oralt en gang dagligt.</w:t>
      </w:r>
    </w:p>
    <w:p w14:paraId="4D77FD48" w14:textId="77777777" w:rsidR="00C10D9D" w:rsidRPr="009E49F8" w:rsidRDefault="00C10D9D" w:rsidP="00CF35AD">
      <w:pPr>
        <w:ind w:left="851"/>
        <w:rPr>
          <w:noProof/>
          <w:sz w:val="24"/>
          <w:szCs w:val="24"/>
        </w:rPr>
      </w:pPr>
    </w:p>
    <w:p w14:paraId="0F3C9BE9" w14:textId="77777777" w:rsidR="00C10D9D" w:rsidRPr="009E49F8" w:rsidRDefault="00C10D9D" w:rsidP="00CF35AD">
      <w:pPr>
        <w:ind w:left="851"/>
        <w:rPr>
          <w:noProof/>
          <w:sz w:val="24"/>
          <w:szCs w:val="24"/>
        </w:rPr>
      </w:pPr>
      <w:r w:rsidRPr="009E49F8">
        <w:rPr>
          <w:noProof/>
          <w:sz w:val="24"/>
          <w:szCs w:val="24"/>
        </w:rPr>
        <w:t xml:space="preserve">Hos pædiatriske patienter (10 år eller derover) afhænger den anbefalede dosis af kropsvægten:  </w:t>
      </w:r>
    </w:p>
    <w:p w14:paraId="2335EA93" w14:textId="77777777" w:rsidR="00C10D9D" w:rsidRPr="009E49F8" w:rsidRDefault="00C10D9D" w:rsidP="00CF35AD">
      <w:pPr>
        <w:ind w:left="851"/>
        <w:rPr>
          <w:noProof/>
          <w:sz w:val="24"/>
          <w:szCs w:val="24"/>
        </w:rPr>
      </w:pPr>
    </w:p>
    <w:p w14:paraId="6674D454" w14:textId="77777777" w:rsidR="00C10D9D" w:rsidRPr="009E49F8" w:rsidRDefault="00C10D9D" w:rsidP="00384650">
      <w:pPr>
        <w:pStyle w:val="Listeafsnit"/>
        <w:numPr>
          <w:ilvl w:val="0"/>
          <w:numId w:val="16"/>
        </w:numPr>
        <w:ind w:left="1276" w:hanging="425"/>
        <w:rPr>
          <w:noProof/>
          <w:sz w:val="24"/>
          <w:szCs w:val="24"/>
        </w:rPr>
      </w:pPr>
      <w:r w:rsidRPr="009E49F8">
        <w:rPr>
          <w:noProof/>
          <w:sz w:val="24"/>
          <w:szCs w:val="24"/>
        </w:rPr>
        <w:t xml:space="preserve">Pædiatriske patienter med en kropsvægt &gt;40 kg: den anbefalede dosis er 0,5 mg taget oralt en gang dagligt. </w:t>
      </w:r>
    </w:p>
    <w:p w14:paraId="2B028CEF" w14:textId="0476226A" w:rsidR="00C10D9D" w:rsidRPr="009E49F8" w:rsidRDefault="00C10D9D" w:rsidP="00384650">
      <w:pPr>
        <w:pStyle w:val="Listeafsnit"/>
        <w:numPr>
          <w:ilvl w:val="0"/>
          <w:numId w:val="16"/>
        </w:numPr>
        <w:ind w:left="1276" w:hanging="425"/>
        <w:rPr>
          <w:noProof/>
          <w:sz w:val="24"/>
          <w:szCs w:val="24"/>
        </w:rPr>
      </w:pPr>
      <w:r w:rsidRPr="009E49F8">
        <w:rPr>
          <w:noProof/>
          <w:sz w:val="24"/>
          <w:szCs w:val="24"/>
        </w:rPr>
        <w:t xml:space="preserve">Pædiatriske patienter med en kropsvægt ≤40 kg: Fingolimod </w:t>
      </w:r>
      <w:r w:rsidR="00B922BA" w:rsidRPr="009E49F8">
        <w:rPr>
          <w:sz w:val="24"/>
          <w:szCs w:val="24"/>
        </w:rPr>
        <w:t>"</w:t>
      </w:r>
      <w:proofErr w:type="spellStart"/>
      <w:r w:rsidR="000B6E89" w:rsidRPr="009E49F8">
        <w:rPr>
          <w:sz w:val="24"/>
          <w:szCs w:val="24"/>
        </w:rPr>
        <w:t>Stada</w:t>
      </w:r>
      <w:proofErr w:type="spellEnd"/>
      <w:r w:rsidR="00B922BA" w:rsidRPr="009E49F8">
        <w:rPr>
          <w:sz w:val="24"/>
          <w:szCs w:val="24"/>
        </w:rPr>
        <w:t>"</w:t>
      </w:r>
      <w:r w:rsidRPr="009E49F8">
        <w:rPr>
          <w:noProof/>
          <w:sz w:val="24"/>
          <w:szCs w:val="24"/>
        </w:rPr>
        <w:t xml:space="preserve"> er ikke egnet. Der er andre lægemidler, der indeholder fingolimod, tilgængelige i en lavere styrke (som 0,25 mg kapsler).</w:t>
      </w:r>
    </w:p>
    <w:p w14:paraId="1BE56E50" w14:textId="77777777" w:rsidR="00C10D9D" w:rsidRPr="009E49F8" w:rsidRDefault="00C10D9D" w:rsidP="00CF35AD">
      <w:pPr>
        <w:ind w:left="851"/>
        <w:rPr>
          <w:noProof/>
          <w:sz w:val="24"/>
          <w:szCs w:val="24"/>
        </w:rPr>
      </w:pPr>
    </w:p>
    <w:p w14:paraId="17AA5524" w14:textId="77777777" w:rsidR="007F793B" w:rsidRPr="009E49F8" w:rsidRDefault="007F793B" w:rsidP="007F793B">
      <w:pPr>
        <w:ind w:left="851"/>
        <w:rPr>
          <w:noProof/>
          <w:sz w:val="24"/>
          <w:szCs w:val="24"/>
        </w:rPr>
      </w:pPr>
      <w:r w:rsidRPr="009E49F8">
        <w:rPr>
          <w:noProof/>
          <w:sz w:val="24"/>
          <w:szCs w:val="24"/>
        </w:rPr>
        <w:t xml:space="preserve">Når der skiftes fra en daglig dosis på 0,25 mg til 0,5 mg, anbefales det at gentage den samme førstedosis-monitorering som ved behandlingsstart. </w:t>
      </w:r>
    </w:p>
    <w:p w14:paraId="7C90FF9F" w14:textId="77777777" w:rsidR="007F793B" w:rsidRPr="009E49F8" w:rsidRDefault="007F793B" w:rsidP="007F793B">
      <w:pPr>
        <w:rPr>
          <w:noProof/>
          <w:sz w:val="24"/>
          <w:szCs w:val="24"/>
        </w:rPr>
      </w:pPr>
      <w:r w:rsidRPr="009E49F8">
        <w:rPr>
          <w:noProof/>
          <w:sz w:val="24"/>
          <w:szCs w:val="24"/>
        </w:rPr>
        <w:t xml:space="preserve"> </w:t>
      </w:r>
    </w:p>
    <w:p w14:paraId="61AB63C8" w14:textId="77777777" w:rsidR="007F793B" w:rsidRPr="009E49F8" w:rsidRDefault="007F793B" w:rsidP="007F793B">
      <w:pPr>
        <w:ind w:left="851"/>
        <w:rPr>
          <w:noProof/>
          <w:sz w:val="24"/>
          <w:szCs w:val="24"/>
        </w:rPr>
      </w:pPr>
      <w:r w:rsidRPr="009E49F8">
        <w:rPr>
          <w:noProof/>
          <w:sz w:val="24"/>
          <w:szCs w:val="24"/>
        </w:rPr>
        <w:t xml:space="preserve">Det anbefales at udføre samme første-dosis-monitorering som ved behandlingsstart, når behandling har været afbrudt i: </w:t>
      </w:r>
    </w:p>
    <w:p w14:paraId="071FD497" w14:textId="77777777" w:rsidR="007F793B" w:rsidRPr="009E49F8" w:rsidRDefault="007F793B" w:rsidP="007F793B">
      <w:pPr>
        <w:pStyle w:val="Listeafsnit"/>
        <w:numPr>
          <w:ilvl w:val="0"/>
          <w:numId w:val="17"/>
        </w:numPr>
        <w:ind w:left="1276" w:hanging="425"/>
        <w:rPr>
          <w:noProof/>
          <w:sz w:val="24"/>
          <w:szCs w:val="24"/>
        </w:rPr>
      </w:pPr>
      <w:r w:rsidRPr="009E49F8">
        <w:rPr>
          <w:noProof/>
          <w:sz w:val="24"/>
          <w:szCs w:val="24"/>
        </w:rPr>
        <w:t xml:space="preserve">1 dag eller mere i løbet af de første 2 uger af behandlingen. </w:t>
      </w:r>
    </w:p>
    <w:p w14:paraId="6B2B4BAB" w14:textId="77777777" w:rsidR="007F793B" w:rsidRPr="009E49F8" w:rsidRDefault="007F793B" w:rsidP="007F793B">
      <w:pPr>
        <w:pStyle w:val="Listeafsnit"/>
        <w:numPr>
          <w:ilvl w:val="0"/>
          <w:numId w:val="17"/>
        </w:numPr>
        <w:ind w:left="1276" w:hanging="425"/>
        <w:rPr>
          <w:noProof/>
          <w:sz w:val="24"/>
          <w:szCs w:val="24"/>
        </w:rPr>
      </w:pPr>
      <w:r w:rsidRPr="009E49F8">
        <w:rPr>
          <w:noProof/>
          <w:sz w:val="24"/>
          <w:szCs w:val="24"/>
        </w:rPr>
        <w:t xml:space="preserve">mere end 7 dage i løbet af uge 3 og 4 i behandlingen. </w:t>
      </w:r>
    </w:p>
    <w:p w14:paraId="7702BC67" w14:textId="77777777" w:rsidR="007F793B" w:rsidRPr="009E49F8" w:rsidRDefault="007F793B" w:rsidP="007F793B">
      <w:pPr>
        <w:pStyle w:val="Listeafsnit"/>
        <w:numPr>
          <w:ilvl w:val="0"/>
          <w:numId w:val="17"/>
        </w:numPr>
        <w:ind w:left="1276" w:hanging="425"/>
        <w:rPr>
          <w:noProof/>
          <w:sz w:val="24"/>
          <w:szCs w:val="24"/>
        </w:rPr>
      </w:pPr>
      <w:r w:rsidRPr="009E49F8">
        <w:rPr>
          <w:noProof/>
          <w:sz w:val="24"/>
          <w:szCs w:val="24"/>
        </w:rPr>
        <w:t xml:space="preserve">mere end 2 uger efter den første måned af behandlingen. </w:t>
      </w:r>
    </w:p>
    <w:p w14:paraId="3F02C12A" w14:textId="77777777" w:rsidR="007F793B" w:rsidRPr="009E49F8" w:rsidRDefault="007F793B" w:rsidP="007F793B">
      <w:pPr>
        <w:ind w:left="851"/>
        <w:rPr>
          <w:noProof/>
          <w:sz w:val="24"/>
          <w:szCs w:val="24"/>
        </w:rPr>
      </w:pPr>
    </w:p>
    <w:p w14:paraId="67B94AF0" w14:textId="77777777" w:rsidR="007F793B" w:rsidRPr="009E49F8" w:rsidRDefault="007F793B" w:rsidP="007F793B">
      <w:pPr>
        <w:ind w:left="851"/>
        <w:rPr>
          <w:noProof/>
          <w:sz w:val="24"/>
          <w:szCs w:val="24"/>
        </w:rPr>
      </w:pPr>
      <w:r w:rsidRPr="009E49F8">
        <w:rPr>
          <w:noProof/>
          <w:sz w:val="24"/>
          <w:szCs w:val="24"/>
        </w:rPr>
        <w:t xml:space="preserve">Hvis afbrydelse af behandlingen er af kortere varighed end nævnt ovenfor, skal behandlingen fortsætte med den næste dosis som planlagt (se pkt. 4.4). </w:t>
      </w:r>
    </w:p>
    <w:p w14:paraId="46491C33" w14:textId="77777777" w:rsidR="00C10D9D" w:rsidRPr="009E49F8" w:rsidRDefault="00C10D9D" w:rsidP="00CF35AD">
      <w:pPr>
        <w:ind w:left="851"/>
        <w:rPr>
          <w:noProof/>
          <w:sz w:val="24"/>
          <w:szCs w:val="24"/>
        </w:rPr>
      </w:pPr>
    </w:p>
    <w:p w14:paraId="7DCBA15F" w14:textId="77777777" w:rsidR="00C10D9D" w:rsidRPr="009E49F8" w:rsidRDefault="00C10D9D" w:rsidP="00CF35AD">
      <w:pPr>
        <w:ind w:left="851"/>
        <w:rPr>
          <w:b/>
          <w:bCs/>
          <w:i/>
          <w:iCs/>
          <w:noProof/>
          <w:sz w:val="24"/>
          <w:szCs w:val="24"/>
        </w:rPr>
      </w:pPr>
      <w:r w:rsidRPr="009E49F8">
        <w:rPr>
          <w:b/>
          <w:bCs/>
          <w:i/>
          <w:iCs/>
          <w:noProof/>
          <w:sz w:val="24"/>
          <w:szCs w:val="24"/>
        </w:rPr>
        <w:t xml:space="preserve">Særlige populationer </w:t>
      </w:r>
    </w:p>
    <w:p w14:paraId="07FAB958" w14:textId="77777777" w:rsidR="00C10D9D" w:rsidRPr="009E49F8" w:rsidRDefault="00C10D9D" w:rsidP="00CF35AD">
      <w:pPr>
        <w:ind w:left="851"/>
        <w:rPr>
          <w:noProof/>
          <w:sz w:val="24"/>
          <w:szCs w:val="24"/>
        </w:rPr>
      </w:pPr>
      <w:r w:rsidRPr="009E49F8">
        <w:rPr>
          <w:noProof/>
          <w:sz w:val="24"/>
          <w:szCs w:val="24"/>
        </w:rPr>
        <w:t xml:space="preserve"> </w:t>
      </w:r>
    </w:p>
    <w:p w14:paraId="38A513F3" w14:textId="77777777" w:rsidR="00C10D9D" w:rsidRPr="009E49F8" w:rsidRDefault="00C10D9D" w:rsidP="00CF35AD">
      <w:pPr>
        <w:ind w:left="851"/>
        <w:rPr>
          <w:noProof/>
          <w:sz w:val="24"/>
          <w:szCs w:val="24"/>
        </w:rPr>
      </w:pPr>
      <w:r w:rsidRPr="009E49F8">
        <w:rPr>
          <w:noProof/>
          <w:sz w:val="24"/>
          <w:szCs w:val="24"/>
          <w:u w:val="single"/>
        </w:rPr>
        <w:t>Ældre</w:t>
      </w:r>
    </w:p>
    <w:p w14:paraId="2FFB26D9" w14:textId="67E29EA8" w:rsidR="00C10D9D" w:rsidRPr="009E49F8" w:rsidRDefault="00C10D9D" w:rsidP="00CF35AD">
      <w:pPr>
        <w:ind w:left="851"/>
        <w:rPr>
          <w:noProof/>
          <w:sz w:val="24"/>
          <w:szCs w:val="24"/>
        </w:rPr>
      </w:pPr>
      <w:r w:rsidRPr="009E49F8">
        <w:rPr>
          <w:noProof/>
          <w:sz w:val="24"/>
          <w:szCs w:val="24"/>
        </w:rPr>
        <w:t xml:space="preserve">Fingolimod </w:t>
      </w:r>
      <w:r w:rsidR="00B922BA" w:rsidRPr="009E49F8">
        <w:rPr>
          <w:sz w:val="24"/>
          <w:szCs w:val="24"/>
        </w:rPr>
        <w:t>"</w:t>
      </w:r>
      <w:proofErr w:type="spellStart"/>
      <w:r w:rsidR="000B6E89" w:rsidRPr="009E49F8">
        <w:rPr>
          <w:sz w:val="24"/>
          <w:szCs w:val="24"/>
        </w:rPr>
        <w:t>Stada</w:t>
      </w:r>
      <w:proofErr w:type="spellEnd"/>
      <w:r w:rsidR="00B922BA" w:rsidRPr="009E49F8">
        <w:rPr>
          <w:sz w:val="24"/>
          <w:szCs w:val="24"/>
        </w:rPr>
        <w:t>"</w:t>
      </w:r>
      <w:r w:rsidRPr="009E49F8">
        <w:rPr>
          <w:noProof/>
          <w:sz w:val="24"/>
          <w:szCs w:val="24"/>
        </w:rPr>
        <w:t xml:space="preserve"> skal anvendes med forsigtighed til patienter på 65 år og derover, da de tilgængelige data vedrørende sikkerhed og effektivitet er utilstrækkelige (se pkt. 5.2). </w:t>
      </w:r>
    </w:p>
    <w:p w14:paraId="510E16F1" w14:textId="77777777" w:rsidR="00C10D9D" w:rsidRPr="009E49F8" w:rsidRDefault="00C10D9D" w:rsidP="00CF35AD">
      <w:pPr>
        <w:ind w:left="851"/>
        <w:rPr>
          <w:noProof/>
          <w:sz w:val="24"/>
          <w:szCs w:val="24"/>
        </w:rPr>
      </w:pPr>
      <w:r w:rsidRPr="009E49F8">
        <w:rPr>
          <w:noProof/>
          <w:sz w:val="24"/>
          <w:szCs w:val="24"/>
        </w:rPr>
        <w:t xml:space="preserve"> </w:t>
      </w:r>
    </w:p>
    <w:p w14:paraId="2492F9AA" w14:textId="77777777" w:rsidR="00C10D9D" w:rsidRPr="009E49F8" w:rsidRDefault="00C10D9D" w:rsidP="00CF35AD">
      <w:pPr>
        <w:ind w:left="851"/>
        <w:rPr>
          <w:noProof/>
          <w:sz w:val="24"/>
          <w:szCs w:val="24"/>
        </w:rPr>
      </w:pPr>
      <w:r w:rsidRPr="009E49F8">
        <w:rPr>
          <w:noProof/>
          <w:sz w:val="24"/>
          <w:szCs w:val="24"/>
          <w:u w:val="single"/>
        </w:rPr>
        <w:t>Nedsat nyrefunktion</w:t>
      </w:r>
      <w:r w:rsidRPr="009E49F8">
        <w:rPr>
          <w:noProof/>
          <w:sz w:val="24"/>
          <w:szCs w:val="24"/>
        </w:rPr>
        <w:t xml:space="preserve"> </w:t>
      </w:r>
    </w:p>
    <w:p w14:paraId="3580A7A1" w14:textId="40CBD792" w:rsidR="00C10D9D" w:rsidRPr="009E49F8" w:rsidRDefault="00C10D9D" w:rsidP="00CF35AD">
      <w:pPr>
        <w:ind w:left="851"/>
        <w:rPr>
          <w:noProof/>
          <w:sz w:val="24"/>
          <w:szCs w:val="24"/>
        </w:rPr>
      </w:pPr>
      <w:r w:rsidRPr="009E49F8">
        <w:rPr>
          <w:noProof/>
          <w:sz w:val="24"/>
          <w:szCs w:val="24"/>
        </w:rPr>
        <w:t xml:space="preserve">Fingolimod </w:t>
      </w:r>
      <w:r w:rsidR="00B922BA" w:rsidRPr="009E49F8">
        <w:rPr>
          <w:sz w:val="24"/>
          <w:szCs w:val="24"/>
        </w:rPr>
        <w:t>"</w:t>
      </w:r>
      <w:proofErr w:type="spellStart"/>
      <w:r w:rsidR="000B6E89" w:rsidRPr="009E49F8">
        <w:rPr>
          <w:sz w:val="24"/>
          <w:szCs w:val="24"/>
        </w:rPr>
        <w:t>Stada</w:t>
      </w:r>
      <w:proofErr w:type="spellEnd"/>
      <w:r w:rsidR="00B922BA" w:rsidRPr="009E49F8">
        <w:rPr>
          <w:sz w:val="24"/>
          <w:szCs w:val="24"/>
        </w:rPr>
        <w:t>"</w:t>
      </w:r>
      <w:r w:rsidRPr="009E49F8">
        <w:rPr>
          <w:noProof/>
          <w:sz w:val="24"/>
          <w:szCs w:val="24"/>
        </w:rPr>
        <w:t xml:space="preserve"> er ikke undersøgt hos patienter med nedsat nyrefunktion i multipel sklerose pivotale studier. Vurderet på grundlag af kliniske farmakologiske studier er det ikke nødvendigt at justere dosis til patienter med moderat til svært nedsat nyrefunktion.  </w:t>
      </w:r>
    </w:p>
    <w:p w14:paraId="23ABA029" w14:textId="77777777" w:rsidR="00C10D9D" w:rsidRPr="009E49F8" w:rsidRDefault="00C10D9D" w:rsidP="00CF35AD">
      <w:pPr>
        <w:ind w:left="851"/>
        <w:rPr>
          <w:noProof/>
          <w:sz w:val="24"/>
          <w:szCs w:val="24"/>
        </w:rPr>
      </w:pPr>
      <w:r w:rsidRPr="009E49F8">
        <w:rPr>
          <w:noProof/>
          <w:sz w:val="24"/>
          <w:szCs w:val="24"/>
        </w:rPr>
        <w:t xml:space="preserve"> </w:t>
      </w:r>
    </w:p>
    <w:p w14:paraId="0A2C021D" w14:textId="77777777" w:rsidR="00C10D9D" w:rsidRPr="009E49F8" w:rsidRDefault="00C10D9D" w:rsidP="00CF35AD">
      <w:pPr>
        <w:ind w:left="851"/>
        <w:rPr>
          <w:noProof/>
          <w:sz w:val="24"/>
          <w:szCs w:val="24"/>
        </w:rPr>
      </w:pPr>
      <w:r w:rsidRPr="009E49F8">
        <w:rPr>
          <w:noProof/>
          <w:sz w:val="24"/>
          <w:szCs w:val="24"/>
          <w:u w:val="single"/>
        </w:rPr>
        <w:t>Nedsat leverfunktion</w:t>
      </w:r>
      <w:r w:rsidRPr="009E49F8">
        <w:rPr>
          <w:noProof/>
          <w:sz w:val="24"/>
          <w:szCs w:val="24"/>
        </w:rPr>
        <w:t xml:space="preserve"> </w:t>
      </w:r>
    </w:p>
    <w:p w14:paraId="5559D55F" w14:textId="503328D9" w:rsidR="00C10D9D" w:rsidRPr="009E49F8" w:rsidRDefault="00C10D9D" w:rsidP="00CF35AD">
      <w:pPr>
        <w:ind w:left="851"/>
        <w:rPr>
          <w:noProof/>
          <w:sz w:val="24"/>
          <w:szCs w:val="24"/>
        </w:rPr>
      </w:pPr>
      <w:r w:rsidRPr="009E49F8">
        <w:rPr>
          <w:noProof/>
          <w:sz w:val="24"/>
          <w:szCs w:val="24"/>
        </w:rPr>
        <w:t xml:space="preserve">Fingolimod </w:t>
      </w:r>
      <w:r w:rsidR="00B922BA" w:rsidRPr="009E49F8">
        <w:rPr>
          <w:sz w:val="24"/>
          <w:szCs w:val="24"/>
        </w:rPr>
        <w:t>"</w:t>
      </w:r>
      <w:proofErr w:type="spellStart"/>
      <w:r w:rsidR="000B6E89" w:rsidRPr="009E49F8">
        <w:rPr>
          <w:sz w:val="24"/>
          <w:szCs w:val="24"/>
        </w:rPr>
        <w:t>Stada</w:t>
      </w:r>
      <w:proofErr w:type="spellEnd"/>
      <w:r w:rsidR="00B922BA" w:rsidRPr="009E49F8">
        <w:rPr>
          <w:sz w:val="24"/>
          <w:szCs w:val="24"/>
        </w:rPr>
        <w:t>"</w:t>
      </w:r>
      <w:r w:rsidRPr="009E49F8">
        <w:rPr>
          <w:noProof/>
          <w:sz w:val="24"/>
          <w:szCs w:val="24"/>
        </w:rPr>
        <w:t xml:space="preserve"> må ikke anvendes til patienter med svært nedsat leverfunktion (Child-Pugh klasse C) (se pkt. 4.3). Skønt det ikke er nødvendigt at justere dosis til patienter med let til moderat nedsat leverfunktion, skal der udvises forsigtighed ved initiering af behandling af disse patienter (se pkt. 4.4 og 5.2).  </w:t>
      </w:r>
    </w:p>
    <w:p w14:paraId="725B783F" w14:textId="52C7B6AF" w:rsidR="00F641D1" w:rsidRPr="009E49F8" w:rsidRDefault="00C10D9D" w:rsidP="00CF35AD">
      <w:pPr>
        <w:ind w:left="851"/>
        <w:rPr>
          <w:noProof/>
          <w:sz w:val="24"/>
          <w:szCs w:val="24"/>
        </w:rPr>
      </w:pPr>
      <w:r w:rsidRPr="009E49F8">
        <w:rPr>
          <w:noProof/>
          <w:sz w:val="24"/>
          <w:szCs w:val="24"/>
        </w:rPr>
        <w:t xml:space="preserve"> </w:t>
      </w:r>
    </w:p>
    <w:p w14:paraId="52B83F59" w14:textId="77777777" w:rsidR="00F641D1" w:rsidRPr="009E49F8" w:rsidRDefault="00F641D1">
      <w:pPr>
        <w:rPr>
          <w:noProof/>
          <w:sz w:val="24"/>
          <w:szCs w:val="24"/>
        </w:rPr>
      </w:pPr>
      <w:r w:rsidRPr="009E49F8">
        <w:rPr>
          <w:noProof/>
          <w:sz w:val="24"/>
          <w:szCs w:val="24"/>
        </w:rPr>
        <w:br w:type="page"/>
      </w:r>
    </w:p>
    <w:p w14:paraId="4DA8761B" w14:textId="77777777" w:rsidR="00C10D9D" w:rsidRPr="009E49F8" w:rsidRDefault="00C10D9D" w:rsidP="00CF35AD">
      <w:pPr>
        <w:ind w:left="851"/>
        <w:rPr>
          <w:noProof/>
          <w:sz w:val="24"/>
          <w:szCs w:val="24"/>
        </w:rPr>
      </w:pPr>
    </w:p>
    <w:p w14:paraId="3A2107D1" w14:textId="77777777" w:rsidR="00C10D9D" w:rsidRPr="009E49F8" w:rsidRDefault="00C10D9D" w:rsidP="00CF35AD">
      <w:pPr>
        <w:ind w:left="851"/>
        <w:rPr>
          <w:noProof/>
          <w:sz w:val="24"/>
          <w:szCs w:val="24"/>
        </w:rPr>
      </w:pPr>
      <w:r w:rsidRPr="009E49F8">
        <w:rPr>
          <w:b/>
          <w:bCs/>
          <w:i/>
          <w:iCs/>
          <w:noProof/>
          <w:sz w:val="24"/>
          <w:szCs w:val="24"/>
        </w:rPr>
        <w:t>Pædiatrisk population</w:t>
      </w:r>
      <w:r w:rsidRPr="009E49F8">
        <w:rPr>
          <w:noProof/>
          <w:sz w:val="24"/>
          <w:szCs w:val="24"/>
        </w:rPr>
        <w:t xml:space="preserve"> </w:t>
      </w:r>
    </w:p>
    <w:p w14:paraId="2035AB61" w14:textId="77777777" w:rsidR="00C10D9D" w:rsidRPr="009E49F8" w:rsidRDefault="00C10D9D" w:rsidP="00CF35AD">
      <w:pPr>
        <w:ind w:left="851"/>
        <w:rPr>
          <w:noProof/>
          <w:sz w:val="24"/>
          <w:szCs w:val="24"/>
        </w:rPr>
      </w:pPr>
      <w:r w:rsidRPr="009E49F8">
        <w:rPr>
          <w:noProof/>
          <w:sz w:val="24"/>
          <w:szCs w:val="24"/>
        </w:rPr>
        <w:t xml:space="preserve">Sikkerhed og virkning hos børn under 10 år er endnu ikke klarlagt. Der foreligger ingen data. </w:t>
      </w:r>
    </w:p>
    <w:p w14:paraId="45FC6288" w14:textId="77777777" w:rsidR="00C10D9D" w:rsidRPr="009E49F8" w:rsidRDefault="00C10D9D" w:rsidP="00CF35AD">
      <w:pPr>
        <w:ind w:left="851"/>
        <w:rPr>
          <w:noProof/>
          <w:sz w:val="24"/>
          <w:szCs w:val="24"/>
        </w:rPr>
      </w:pPr>
      <w:r w:rsidRPr="009E49F8">
        <w:rPr>
          <w:noProof/>
          <w:sz w:val="24"/>
          <w:szCs w:val="24"/>
        </w:rPr>
        <w:t xml:space="preserve"> </w:t>
      </w:r>
    </w:p>
    <w:p w14:paraId="7E5CE161" w14:textId="1C105675" w:rsidR="00C10D9D" w:rsidRPr="009E49F8" w:rsidRDefault="00C10D9D" w:rsidP="00CF35AD">
      <w:pPr>
        <w:ind w:left="851"/>
        <w:rPr>
          <w:noProof/>
          <w:sz w:val="24"/>
          <w:szCs w:val="24"/>
        </w:rPr>
      </w:pPr>
      <w:r w:rsidRPr="009E49F8">
        <w:rPr>
          <w:noProof/>
          <w:sz w:val="24"/>
          <w:szCs w:val="24"/>
        </w:rPr>
        <w:t>Der er meget begrænsede data tilgængelige for børn mellem 10</w:t>
      </w:r>
      <w:r w:rsidR="009E49F8">
        <w:rPr>
          <w:noProof/>
          <w:sz w:val="24"/>
          <w:szCs w:val="24"/>
        </w:rPr>
        <w:t xml:space="preserve"> -</w:t>
      </w:r>
      <w:r w:rsidRPr="009E49F8">
        <w:rPr>
          <w:noProof/>
          <w:sz w:val="24"/>
          <w:szCs w:val="24"/>
        </w:rPr>
        <w:t xml:space="preserve">12 år (se pkt. 4.4, 4.8 og 5.1). </w:t>
      </w:r>
    </w:p>
    <w:p w14:paraId="4C3F4E9B" w14:textId="77777777" w:rsidR="00C10D9D" w:rsidRPr="009E49F8" w:rsidRDefault="00C10D9D" w:rsidP="00CF35AD">
      <w:pPr>
        <w:ind w:left="851"/>
        <w:rPr>
          <w:noProof/>
          <w:sz w:val="24"/>
          <w:szCs w:val="24"/>
        </w:rPr>
      </w:pPr>
      <w:r w:rsidRPr="009E49F8">
        <w:rPr>
          <w:noProof/>
          <w:sz w:val="24"/>
          <w:szCs w:val="24"/>
        </w:rPr>
        <w:t xml:space="preserve"> </w:t>
      </w:r>
    </w:p>
    <w:p w14:paraId="54F5B2FB" w14:textId="77777777" w:rsidR="007F793B" w:rsidRPr="009E49F8" w:rsidRDefault="007F793B" w:rsidP="007F793B">
      <w:pPr>
        <w:ind w:left="851"/>
        <w:rPr>
          <w:noProof/>
          <w:sz w:val="24"/>
          <w:szCs w:val="24"/>
          <w:u w:val="single"/>
        </w:rPr>
      </w:pPr>
      <w:r w:rsidRPr="009E49F8">
        <w:rPr>
          <w:noProof/>
          <w:sz w:val="24"/>
          <w:szCs w:val="24"/>
          <w:u w:val="single"/>
        </w:rPr>
        <w:t xml:space="preserve">Administration </w:t>
      </w:r>
    </w:p>
    <w:p w14:paraId="70E028D0" w14:textId="77777777" w:rsidR="007F793B" w:rsidRPr="009E49F8" w:rsidRDefault="007F793B" w:rsidP="007F793B">
      <w:pPr>
        <w:ind w:left="851"/>
        <w:rPr>
          <w:noProof/>
          <w:sz w:val="24"/>
          <w:szCs w:val="24"/>
        </w:rPr>
      </w:pPr>
      <w:r>
        <w:rPr>
          <w:noProof/>
          <w:sz w:val="24"/>
          <w:szCs w:val="24"/>
        </w:rPr>
        <w:t>Dette lægemiddel er t</w:t>
      </w:r>
      <w:r w:rsidRPr="009E49F8">
        <w:rPr>
          <w:noProof/>
          <w:sz w:val="24"/>
          <w:szCs w:val="24"/>
        </w:rPr>
        <w:t>il oral anvendelse.</w:t>
      </w:r>
    </w:p>
    <w:p w14:paraId="628AA766" w14:textId="77777777" w:rsidR="007F793B" w:rsidRPr="009E49F8" w:rsidRDefault="007F793B" w:rsidP="007F793B">
      <w:pPr>
        <w:ind w:left="851"/>
        <w:rPr>
          <w:sz w:val="24"/>
          <w:szCs w:val="24"/>
        </w:rPr>
      </w:pPr>
    </w:p>
    <w:p w14:paraId="6BCC29D8" w14:textId="7B52E58B" w:rsidR="009260DE" w:rsidRDefault="007F793B" w:rsidP="007F793B">
      <w:pPr>
        <w:tabs>
          <w:tab w:val="left" w:pos="851"/>
        </w:tabs>
        <w:ind w:left="851"/>
      </w:pPr>
      <w:proofErr w:type="spellStart"/>
      <w:r>
        <w:t>Fingolimod</w:t>
      </w:r>
      <w:proofErr w:type="spellEnd"/>
      <w:r>
        <w:t xml:space="preserve"> ”</w:t>
      </w:r>
      <w:proofErr w:type="spellStart"/>
      <w:r>
        <w:t>Stada</w:t>
      </w:r>
      <w:proofErr w:type="spellEnd"/>
      <w:r>
        <w:t>” kan tages sammen med eller uden mad.</w:t>
      </w:r>
    </w:p>
    <w:p w14:paraId="363D00E7" w14:textId="77777777" w:rsidR="007F793B" w:rsidRPr="009E49F8" w:rsidRDefault="007F793B" w:rsidP="007F793B">
      <w:pPr>
        <w:tabs>
          <w:tab w:val="left" w:pos="851"/>
        </w:tabs>
        <w:ind w:left="851"/>
        <w:rPr>
          <w:sz w:val="24"/>
          <w:szCs w:val="24"/>
        </w:rPr>
      </w:pPr>
    </w:p>
    <w:p w14:paraId="126E3F67" w14:textId="77777777" w:rsidR="009260DE" w:rsidRPr="009E49F8" w:rsidRDefault="009260DE" w:rsidP="009260DE">
      <w:pPr>
        <w:tabs>
          <w:tab w:val="left" w:pos="851"/>
        </w:tabs>
        <w:ind w:left="851" w:hanging="851"/>
        <w:rPr>
          <w:b/>
          <w:sz w:val="24"/>
          <w:szCs w:val="24"/>
        </w:rPr>
      </w:pPr>
      <w:r w:rsidRPr="009E49F8">
        <w:rPr>
          <w:b/>
          <w:sz w:val="24"/>
          <w:szCs w:val="24"/>
        </w:rPr>
        <w:t>4.3</w:t>
      </w:r>
      <w:r w:rsidRPr="009E49F8">
        <w:rPr>
          <w:b/>
          <w:sz w:val="24"/>
          <w:szCs w:val="24"/>
        </w:rPr>
        <w:tab/>
        <w:t>Kontraindikationer</w:t>
      </w:r>
    </w:p>
    <w:p w14:paraId="342EB0BF" w14:textId="77777777" w:rsidR="00C10D9D" w:rsidRPr="009E49F8" w:rsidRDefault="00C10D9D" w:rsidP="00FC2F59">
      <w:pPr>
        <w:pStyle w:val="Listeafsnit"/>
        <w:numPr>
          <w:ilvl w:val="0"/>
          <w:numId w:val="14"/>
        </w:numPr>
        <w:ind w:left="1276" w:hanging="425"/>
        <w:rPr>
          <w:sz w:val="24"/>
          <w:szCs w:val="24"/>
        </w:rPr>
      </w:pPr>
      <w:r w:rsidRPr="009E49F8">
        <w:rPr>
          <w:sz w:val="24"/>
          <w:szCs w:val="24"/>
        </w:rPr>
        <w:t xml:space="preserve">Immundefektsyndrom. </w:t>
      </w:r>
    </w:p>
    <w:p w14:paraId="7E3F59C9" w14:textId="77777777" w:rsidR="00C10D9D" w:rsidRPr="009E49F8" w:rsidRDefault="00C10D9D" w:rsidP="00FC2F59">
      <w:pPr>
        <w:pStyle w:val="Listeafsnit"/>
        <w:numPr>
          <w:ilvl w:val="0"/>
          <w:numId w:val="14"/>
        </w:numPr>
        <w:ind w:left="1276" w:hanging="425"/>
        <w:rPr>
          <w:sz w:val="24"/>
          <w:szCs w:val="24"/>
        </w:rPr>
      </w:pPr>
      <w:r w:rsidRPr="009E49F8">
        <w:rPr>
          <w:sz w:val="24"/>
          <w:szCs w:val="24"/>
        </w:rPr>
        <w:t xml:space="preserve">Patienter med øget risiko for opportunistiske infektioner inklusive immunkompromitterede patienter (inklusive dem som er i </w:t>
      </w:r>
      <w:proofErr w:type="spellStart"/>
      <w:r w:rsidRPr="009E49F8">
        <w:rPr>
          <w:sz w:val="24"/>
          <w:szCs w:val="24"/>
        </w:rPr>
        <w:t>immunosuppressiv</w:t>
      </w:r>
      <w:proofErr w:type="spellEnd"/>
      <w:r w:rsidRPr="009E49F8">
        <w:rPr>
          <w:sz w:val="24"/>
          <w:szCs w:val="24"/>
        </w:rPr>
        <w:t xml:space="preserve"> behandling, eller dem som er immunkompromitterede af tidligere behandlinger). </w:t>
      </w:r>
    </w:p>
    <w:p w14:paraId="5F648262" w14:textId="77777777" w:rsidR="00C10D9D" w:rsidRPr="009E49F8" w:rsidRDefault="00C10D9D" w:rsidP="00FC2F59">
      <w:pPr>
        <w:pStyle w:val="Listeafsnit"/>
        <w:numPr>
          <w:ilvl w:val="0"/>
          <w:numId w:val="14"/>
        </w:numPr>
        <w:ind w:left="1276" w:hanging="425"/>
        <w:rPr>
          <w:sz w:val="24"/>
          <w:szCs w:val="24"/>
        </w:rPr>
      </w:pPr>
      <w:r w:rsidRPr="009E49F8">
        <w:rPr>
          <w:sz w:val="24"/>
          <w:szCs w:val="24"/>
        </w:rPr>
        <w:t xml:space="preserve">Alvorlige aktive infektioner, aktive kroniske infektioner (hepatitis, tuberkulose). </w:t>
      </w:r>
    </w:p>
    <w:p w14:paraId="2DEAC7F0" w14:textId="77777777" w:rsidR="00C10D9D" w:rsidRPr="009E49F8" w:rsidRDefault="00C10D9D" w:rsidP="00FC2F59">
      <w:pPr>
        <w:pStyle w:val="Listeafsnit"/>
        <w:numPr>
          <w:ilvl w:val="0"/>
          <w:numId w:val="14"/>
        </w:numPr>
        <w:ind w:left="1276" w:hanging="425"/>
        <w:rPr>
          <w:sz w:val="24"/>
          <w:szCs w:val="24"/>
        </w:rPr>
      </w:pPr>
      <w:r w:rsidRPr="009E49F8">
        <w:rPr>
          <w:sz w:val="24"/>
          <w:szCs w:val="24"/>
        </w:rPr>
        <w:t xml:space="preserve">Aktive </w:t>
      </w:r>
      <w:proofErr w:type="spellStart"/>
      <w:r w:rsidRPr="009E49F8">
        <w:rPr>
          <w:sz w:val="24"/>
          <w:szCs w:val="24"/>
        </w:rPr>
        <w:t>maligniteter</w:t>
      </w:r>
      <w:proofErr w:type="spellEnd"/>
      <w:r w:rsidRPr="009E49F8">
        <w:rPr>
          <w:sz w:val="24"/>
          <w:szCs w:val="24"/>
        </w:rPr>
        <w:t xml:space="preserve">. </w:t>
      </w:r>
    </w:p>
    <w:p w14:paraId="23050FF7" w14:textId="77777777" w:rsidR="00C10D9D" w:rsidRPr="009E49F8" w:rsidRDefault="00C10D9D" w:rsidP="00FC2F59">
      <w:pPr>
        <w:pStyle w:val="Listeafsnit"/>
        <w:numPr>
          <w:ilvl w:val="0"/>
          <w:numId w:val="14"/>
        </w:numPr>
        <w:ind w:left="1276" w:hanging="425"/>
        <w:rPr>
          <w:sz w:val="24"/>
          <w:szCs w:val="24"/>
        </w:rPr>
      </w:pPr>
      <w:r w:rsidRPr="009E49F8">
        <w:rPr>
          <w:sz w:val="24"/>
          <w:szCs w:val="24"/>
        </w:rPr>
        <w:t>Svært nedsat leverfunktion (Child-</w:t>
      </w:r>
      <w:proofErr w:type="spellStart"/>
      <w:r w:rsidRPr="009E49F8">
        <w:rPr>
          <w:sz w:val="24"/>
          <w:szCs w:val="24"/>
        </w:rPr>
        <w:t>Pugh</w:t>
      </w:r>
      <w:proofErr w:type="spellEnd"/>
      <w:r w:rsidRPr="009E49F8">
        <w:rPr>
          <w:sz w:val="24"/>
          <w:szCs w:val="24"/>
        </w:rPr>
        <w:t xml:space="preserve"> klasse C). </w:t>
      </w:r>
    </w:p>
    <w:p w14:paraId="14423F0A" w14:textId="77777777" w:rsidR="00C10D9D" w:rsidRPr="009E49F8" w:rsidRDefault="00C10D9D" w:rsidP="00FC2F59">
      <w:pPr>
        <w:pStyle w:val="Listeafsnit"/>
        <w:numPr>
          <w:ilvl w:val="0"/>
          <w:numId w:val="14"/>
        </w:numPr>
        <w:ind w:left="1276" w:hanging="425"/>
        <w:rPr>
          <w:sz w:val="24"/>
          <w:szCs w:val="24"/>
        </w:rPr>
      </w:pPr>
      <w:r w:rsidRPr="009E49F8">
        <w:rPr>
          <w:sz w:val="24"/>
          <w:szCs w:val="24"/>
        </w:rPr>
        <w:t xml:space="preserve">Patienter, som i de foregående 6 måneder har haft myokardieinfarkt (MI), ustabil angina pectoris, slagtilfælde/transitorisk iskæmisk anfald (TIA), </w:t>
      </w:r>
      <w:proofErr w:type="spellStart"/>
      <w:r w:rsidRPr="009E49F8">
        <w:rPr>
          <w:sz w:val="24"/>
          <w:szCs w:val="24"/>
        </w:rPr>
        <w:t>dekompenseret</w:t>
      </w:r>
      <w:proofErr w:type="spellEnd"/>
      <w:r w:rsidRPr="009E49F8">
        <w:rPr>
          <w:sz w:val="24"/>
          <w:szCs w:val="24"/>
        </w:rPr>
        <w:t xml:space="preserve"> hjertesvigt (behandlingskrævende) eller New York Heart Association (NYHA) klasse III/IV-hjertesvigt (se pkt. 4.4). </w:t>
      </w:r>
    </w:p>
    <w:p w14:paraId="4C7920F9" w14:textId="77777777" w:rsidR="00C10D9D" w:rsidRPr="009E49F8" w:rsidRDefault="00C10D9D" w:rsidP="00FC2F59">
      <w:pPr>
        <w:pStyle w:val="Listeafsnit"/>
        <w:numPr>
          <w:ilvl w:val="0"/>
          <w:numId w:val="14"/>
        </w:numPr>
        <w:ind w:left="1276" w:hanging="425"/>
        <w:rPr>
          <w:sz w:val="24"/>
          <w:szCs w:val="24"/>
        </w:rPr>
      </w:pPr>
      <w:r w:rsidRPr="009E49F8">
        <w:rPr>
          <w:sz w:val="24"/>
          <w:szCs w:val="24"/>
        </w:rPr>
        <w:t xml:space="preserve">Patienter med alvorlig </w:t>
      </w:r>
      <w:proofErr w:type="spellStart"/>
      <w:r w:rsidRPr="009E49F8">
        <w:rPr>
          <w:sz w:val="24"/>
          <w:szCs w:val="24"/>
        </w:rPr>
        <w:t>hjertearytmi</w:t>
      </w:r>
      <w:proofErr w:type="spellEnd"/>
      <w:r w:rsidRPr="009E49F8">
        <w:rPr>
          <w:sz w:val="24"/>
          <w:szCs w:val="24"/>
        </w:rPr>
        <w:t xml:space="preserve">, der kræver </w:t>
      </w:r>
      <w:proofErr w:type="spellStart"/>
      <w:r w:rsidRPr="009E49F8">
        <w:rPr>
          <w:sz w:val="24"/>
          <w:szCs w:val="24"/>
        </w:rPr>
        <w:t>anti-arytmisk</w:t>
      </w:r>
      <w:proofErr w:type="spellEnd"/>
      <w:r w:rsidRPr="009E49F8">
        <w:rPr>
          <w:sz w:val="24"/>
          <w:szCs w:val="24"/>
        </w:rPr>
        <w:t xml:space="preserve"> behandling med klasse Ia eller klasse III- </w:t>
      </w:r>
      <w:proofErr w:type="spellStart"/>
      <w:r w:rsidRPr="009E49F8">
        <w:rPr>
          <w:sz w:val="24"/>
          <w:szCs w:val="24"/>
        </w:rPr>
        <w:t>anti-arytmiske</w:t>
      </w:r>
      <w:proofErr w:type="spellEnd"/>
      <w:r w:rsidRPr="009E49F8">
        <w:rPr>
          <w:sz w:val="24"/>
          <w:szCs w:val="24"/>
        </w:rPr>
        <w:t xml:space="preserve"> lægemidler (se pkt. 4.4). </w:t>
      </w:r>
    </w:p>
    <w:p w14:paraId="5DF2CF17" w14:textId="77777777" w:rsidR="00C10D9D" w:rsidRPr="009E49F8" w:rsidRDefault="00C10D9D" w:rsidP="00FC2F59">
      <w:pPr>
        <w:pStyle w:val="Listeafsnit"/>
        <w:numPr>
          <w:ilvl w:val="0"/>
          <w:numId w:val="14"/>
        </w:numPr>
        <w:ind w:left="1276" w:hanging="425"/>
        <w:rPr>
          <w:sz w:val="24"/>
          <w:szCs w:val="24"/>
        </w:rPr>
      </w:pPr>
      <w:r w:rsidRPr="009E49F8">
        <w:rPr>
          <w:sz w:val="24"/>
          <w:szCs w:val="24"/>
        </w:rPr>
        <w:t xml:space="preserve">Patienter med 2. grads </w:t>
      </w:r>
      <w:proofErr w:type="spellStart"/>
      <w:r w:rsidRPr="009E49F8">
        <w:rPr>
          <w:sz w:val="24"/>
          <w:szCs w:val="24"/>
        </w:rPr>
        <w:t>Mobitz</w:t>
      </w:r>
      <w:proofErr w:type="spellEnd"/>
      <w:r w:rsidRPr="009E49F8">
        <w:rPr>
          <w:sz w:val="24"/>
          <w:szCs w:val="24"/>
        </w:rPr>
        <w:t xml:space="preserve"> type II-</w:t>
      </w:r>
      <w:proofErr w:type="spellStart"/>
      <w:r w:rsidRPr="009E49F8">
        <w:rPr>
          <w:sz w:val="24"/>
          <w:szCs w:val="24"/>
        </w:rPr>
        <w:t>atrioventrikulær</w:t>
      </w:r>
      <w:proofErr w:type="spellEnd"/>
      <w:r w:rsidRPr="009E49F8">
        <w:rPr>
          <w:sz w:val="24"/>
          <w:szCs w:val="24"/>
        </w:rPr>
        <w:t xml:space="preserve"> (AV) blok, 3. grads AV-blok eller </w:t>
      </w:r>
      <w:proofErr w:type="gramStart"/>
      <w:r w:rsidRPr="009E49F8">
        <w:rPr>
          <w:sz w:val="24"/>
          <w:szCs w:val="24"/>
        </w:rPr>
        <w:t>syg sinussyndrom</w:t>
      </w:r>
      <w:proofErr w:type="gramEnd"/>
      <w:r w:rsidRPr="009E49F8">
        <w:rPr>
          <w:sz w:val="24"/>
          <w:szCs w:val="24"/>
        </w:rPr>
        <w:t xml:space="preserve">, hvis de ikke har en pacemaker (se pkt. 4.4). </w:t>
      </w:r>
    </w:p>
    <w:p w14:paraId="46FF8F01" w14:textId="77777777" w:rsidR="00C10D9D" w:rsidRPr="009E49F8" w:rsidRDefault="00C10D9D" w:rsidP="00FC2F59">
      <w:pPr>
        <w:pStyle w:val="Listeafsnit"/>
        <w:numPr>
          <w:ilvl w:val="0"/>
          <w:numId w:val="14"/>
        </w:numPr>
        <w:ind w:left="1276" w:hanging="425"/>
        <w:rPr>
          <w:sz w:val="24"/>
          <w:szCs w:val="24"/>
        </w:rPr>
      </w:pPr>
      <w:r w:rsidRPr="009E49F8">
        <w:rPr>
          <w:sz w:val="24"/>
          <w:szCs w:val="24"/>
        </w:rPr>
        <w:t xml:space="preserve">Patienter med et baseline </w:t>
      </w:r>
      <w:proofErr w:type="spellStart"/>
      <w:r w:rsidRPr="009E49F8">
        <w:rPr>
          <w:sz w:val="24"/>
          <w:szCs w:val="24"/>
        </w:rPr>
        <w:t>QTc</w:t>
      </w:r>
      <w:proofErr w:type="spellEnd"/>
      <w:r w:rsidRPr="009E49F8">
        <w:rPr>
          <w:sz w:val="24"/>
          <w:szCs w:val="24"/>
        </w:rPr>
        <w:t xml:space="preserve">-interval på ≥ 500 </w:t>
      </w:r>
      <w:proofErr w:type="spellStart"/>
      <w:r w:rsidRPr="009E49F8">
        <w:rPr>
          <w:sz w:val="24"/>
          <w:szCs w:val="24"/>
        </w:rPr>
        <w:t>msek</w:t>
      </w:r>
      <w:proofErr w:type="spellEnd"/>
      <w:r w:rsidRPr="009E49F8">
        <w:rPr>
          <w:sz w:val="24"/>
          <w:szCs w:val="24"/>
        </w:rPr>
        <w:t xml:space="preserve"> (se pkt. 4.4). </w:t>
      </w:r>
    </w:p>
    <w:p w14:paraId="551DF78C" w14:textId="77777777" w:rsidR="00C10D9D" w:rsidRPr="009E49F8" w:rsidRDefault="00C10D9D" w:rsidP="00FC2F59">
      <w:pPr>
        <w:pStyle w:val="Listeafsnit"/>
        <w:numPr>
          <w:ilvl w:val="0"/>
          <w:numId w:val="14"/>
        </w:numPr>
        <w:ind w:left="1276" w:hanging="425"/>
        <w:rPr>
          <w:sz w:val="24"/>
          <w:szCs w:val="24"/>
        </w:rPr>
      </w:pPr>
      <w:r w:rsidRPr="009E49F8">
        <w:rPr>
          <w:sz w:val="24"/>
          <w:szCs w:val="24"/>
        </w:rPr>
        <w:t xml:space="preserve">Under graviditet og til fertile kvinder, der ikke anvender effektiv </w:t>
      </w:r>
      <w:proofErr w:type="spellStart"/>
      <w:r w:rsidRPr="009E49F8">
        <w:rPr>
          <w:sz w:val="24"/>
          <w:szCs w:val="24"/>
        </w:rPr>
        <w:t>kontraception</w:t>
      </w:r>
      <w:proofErr w:type="spellEnd"/>
      <w:r w:rsidRPr="009E49F8">
        <w:rPr>
          <w:sz w:val="24"/>
          <w:szCs w:val="24"/>
        </w:rPr>
        <w:t xml:space="preserve"> (se pkt. 4.4 og 4.6). </w:t>
      </w:r>
    </w:p>
    <w:p w14:paraId="79AE9C0F" w14:textId="3F993BD6" w:rsidR="00C10D9D" w:rsidRPr="009E49F8" w:rsidRDefault="00C10D9D" w:rsidP="00FC2F59">
      <w:pPr>
        <w:pStyle w:val="Listeafsnit"/>
        <w:numPr>
          <w:ilvl w:val="0"/>
          <w:numId w:val="14"/>
        </w:numPr>
        <w:ind w:left="1276" w:hanging="425"/>
        <w:rPr>
          <w:sz w:val="24"/>
          <w:szCs w:val="24"/>
        </w:rPr>
      </w:pPr>
      <w:r w:rsidRPr="009E49F8">
        <w:rPr>
          <w:sz w:val="24"/>
          <w:szCs w:val="24"/>
        </w:rPr>
        <w:t>Overfølsomhed over for det aktive stof eller over for et eller flere af hjælpestofferne anført i pkt. 6.1</w:t>
      </w:r>
      <w:r w:rsidR="00FC2F59" w:rsidRPr="009E49F8">
        <w:rPr>
          <w:sz w:val="24"/>
          <w:szCs w:val="24"/>
        </w:rPr>
        <w:t>.</w:t>
      </w:r>
    </w:p>
    <w:p w14:paraId="0209D6E6" w14:textId="77777777" w:rsidR="009260DE" w:rsidRPr="009E49F8" w:rsidRDefault="009260DE" w:rsidP="009260DE">
      <w:pPr>
        <w:tabs>
          <w:tab w:val="left" w:pos="851"/>
        </w:tabs>
        <w:ind w:left="851"/>
        <w:rPr>
          <w:sz w:val="24"/>
          <w:szCs w:val="24"/>
        </w:rPr>
      </w:pPr>
    </w:p>
    <w:p w14:paraId="4E85E62F" w14:textId="77777777" w:rsidR="009260DE" w:rsidRPr="009E49F8" w:rsidRDefault="009260DE" w:rsidP="009260DE">
      <w:pPr>
        <w:tabs>
          <w:tab w:val="left" w:pos="851"/>
        </w:tabs>
        <w:ind w:left="851" w:hanging="851"/>
        <w:rPr>
          <w:b/>
          <w:sz w:val="24"/>
          <w:szCs w:val="24"/>
        </w:rPr>
      </w:pPr>
      <w:r w:rsidRPr="009E49F8">
        <w:rPr>
          <w:b/>
          <w:sz w:val="24"/>
          <w:szCs w:val="24"/>
        </w:rPr>
        <w:t>4.4</w:t>
      </w:r>
      <w:r w:rsidRPr="009E49F8">
        <w:rPr>
          <w:b/>
          <w:sz w:val="24"/>
          <w:szCs w:val="24"/>
        </w:rPr>
        <w:tab/>
        <w:t>Særlige advarsler og forsigtighedsregler vedrørende brugen</w:t>
      </w:r>
    </w:p>
    <w:p w14:paraId="6E455D00" w14:textId="77777777" w:rsidR="00384650" w:rsidRPr="009E49F8" w:rsidRDefault="00384650" w:rsidP="00CF35AD">
      <w:pPr>
        <w:ind w:left="851"/>
        <w:rPr>
          <w:noProof/>
          <w:sz w:val="24"/>
          <w:szCs w:val="24"/>
        </w:rPr>
      </w:pPr>
    </w:p>
    <w:p w14:paraId="634B9BDC" w14:textId="77777777" w:rsidR="007F793B" w:rsidRPr="009E49F8" w:rsidRDefault="007F793B" w:rsidP="007F793B">
      <w:pPr>
        <w:ind w:left="851"/>
        <w:rPr>
          <w:noProof/>
          <w:sz w:val="24"/>
          <w:szCs w:val="24"/>
          <w:u w:val="single"/>
        </w:rPr>
      </w:pPr>
      <w:r w:rsidRPr="009E49F8">
        <w:rPr>
          <w:noProof/>
          <w:sz w:val="24"/>
          <w:szCs w:val="24"/>
          <w:u w:val="single"/>
        </w:rPr>
        <w:t xml:space="preserve">Bradykardi </w:t>
      </w:r>
    </w:p>
    <w:p w14:paraId="66A72C73" w14:textId="77777777" w:rsidR="007F793B" w:rsidRPr="009E49F8" w:rsidRDefault="007F793B" w:rsidP="007F793B">
      <w:pPr>
        <w:ind w:left="851"/>
        <w:rPr>
          <w:noProof/>
          <w:sz w:val="24"/>
          <w:szCs w:val="24"/>
        </w:rPr>
      </w:pPr>
      <w:r w:rsidRPr="009E49F8">
        <w:rPr>
          <w:noProof/>
          <w:sz w:val="24"/>
          <w:szCs w:val="24"/>
        </w:rPr>
        <w:t xml:space="preserve">Påbegyndelse af behandling medfører et forbigående fald i hjertefrekvensen og kan også være forbundet med forsinkelse i den atrioventrikulære impulsoverledning, inklusive forbigående, spontant ophørende komplet AV-blok i enkeltstående tilfælde (se pkt. 4.8 og 5.1). </w:t>
      </w:r>
    </w:p>
    <w:p w14:paraId="77C01D4D" w14:textId="77777777" w:rsidR="00C10D9D" w:rsidRPr="009E49F8" w:rsidRDefault="00C10D9D" w:rsidP="00CF35AD">
      <w:pPr>
        <w:ind w:left="851"/>
        <w:rPr>
          <w:noProof/>
          <w:sz w:val="24"/>
          <w:szCs w:val="24"/>
        </w:rPr>
      </w:pPr>
      <w:r w:rsidRPr="009E49F8">
        <w:rPr>
          <w:noProof/>
          <w:sz w:val="24"/>
          <w:szCs w:val="24"/>
        </w:rPr>
        <w:t xml:space="preserve"> </w:t>
      </w:r>
    </w:p>
    <w:p w14:paraId="203104B7" w14:textId="77777777" w:rsidR="00C10D9D" w:rsidRPr="009E49F8" w:rsidRDefault="00C10D9D" w:rsidP="00CF35AD">
      <w:pPr>
        <w:ind w:left="851"/>
        <w:rPr>
          <w:noProof/>
          <w:sz w:val="24"/>
          <w:szCs w:val="24"/>
        </w:rPr>
      </w:pPr>
      <w:r w:rsidRPr="009E49F8">
        <w:rPr>
          <w:noProof/>
          <w:sz w:val="24"/>
          <w:szCs w:val="24"/>
        </w:rPr>
        <w:t xml:space="preserve">Efter den første dosis begynder faldet i hjertefrekvensen inden for en time og er maksimal inden for 6 timer. Denne efter-dosis-virkning varer ved de følgende dage, sædvanligvis i mildere grad, og aftager som regel i løbet af de efterfølgende uger. Ved fortsat administration vender den gennemsnitlige hjertefrekvens tilbage mod udgangsværdien i løbet af en måned. Nogle patienter vil dog opleve, at hjertefrekvensen ikke er vendt tilbage til udgangsværdien ved slutningen af første måned. Ledningsforstyrrelser har typisk været forbigående og asymptomatiske. De har normalt ikke været behandlingskrævende og er </w:t>
      </w:r>
      <w:r w:rsidRPr="009E49F8">
        <w:rPr>
          <w:noProof/>
          <w:sz w:val="24"/>
          <w:szCs w:val="24"/>
        </w:rPr>
        <w:lastRenderedPageBreak/>
        <w:t>ophørt i løbet af de første 24 timers behandling. Om nødvendigt kan fingolimod-induceret fald i hjertefrekvensen reverteres med parenterale doser af atropin eller isoprenalin.</w:t>
      </w:r>
    </w:p>
    <w:p w14:paraId="138EB022" w14:textId="77777777" w:rsidR="00C10D9D" w:rsidRPr="009E49F8" w:rsidRDefault="00C10D9D" w:rsidP="00CF35AD">
      <w:pPr>
        <w:ind w:left="851"/>
        <w:rPr>
          <w:noProof/>
          <w:sz w:val="24"/>
          <w:szCs w:val="24"/>
        </w:rPr>
      </w:pPr>
    </w:p>
    <w:p w14:paraId="6407BF0C" w14:textId="77777777" w:rsidR="00C10D9D" w:rsidRPr="009E49F8" w:rsidRDefault="00C10D9D" w:rsidP="00CF35AD">
      <w:pPr>
        <w:ind w:left="851"/>
        <w:rPr>
          <w:noProof/>
          <w:sz w:val="24"/>
          <w:szCs w:val="24"/>
        </w:rPr>
      </w:pPr>
      <w:r w:rsidRPr="009E49F8">
        <w:rPr>
          <w:noProof/>
          <w:sz w:val="24"/>
          <w:szCs w:val="24"/>
        </w:rPr>
        <w:t xml:space="preserve">Alle patienter skal have optaget ekg og målt blodtryk før og 6 timer efter den føste dosis af fingolimod. Alle patienter skal monitoreres i 6 timer for symptomer på bradykardi med måling af puls og blodtryk hver time. Kontinuerlig (real time) ekg-monitorering i 6-timers-perioden anbefales. </w:t>
      </w:r>
    </w:p>
    <w:p w14:paraId="18392021" w14:textId="77777777" w:rsidR="00C10D9D" w:rsidRPr="009E49F8" w:rsidRDefault="00C10D9D" w:rsidP="00CF35AD">
      <w:pPr>
        <w:ind w:left="851"/>
        <w:rPr>
          <w:noProof/>
          <w:sz w:val="24"/>
          <w:szCs w:val="24"/>
        </w:rPr>
      </w:pPr>
      <w:r w:rsidRPr="009E49F8">
        <w:rPr>
          <w:noProof/>
          <w:sz w:val="24"/>
          <w:szCs w:val="24"/>
        </w:rPr>
        <w:t xml:space="preserve"> </w:t>
      </w:r>
    </w:p>
    <w:p w14:paraId="629253A0" w14:textId="77777777" w:rsidR="00C10D9D" w:rsidRPr="009E49F8" w:rsidRDefault="00C10D9D" w:rsidP="00CF35AD">
      <w:pPr>
        <w:ind w:left="851"/>
        <w:rPr>
          <w:noProof/>
          <w:sz w:val="24"/>
          <w:szCs w:val="24"/>
        </w:rPr>
      </w:pPr>
      <w:r w:rsidRPr="009E49F8">
        <w:rPr>
          <w:noProof/>
          <w:sz w:val="24"/>
          <w:szCs w:val="24"/>
        </w:rPr>
        <w:t xml:space="preserve">De samme forsigtighedsregler som ved første dosis anbefales, når patienter overgår fra en daglig dosis på 0,25 mg til 0,5 mg. </w:t>
      </w:r>
    </w:p>
    <w:p w14:paraId="229EFF76" w14:textId="77777777" w:rsidR="00C10D9D" w:rsidRPr="009E49F8" w:rsidRDefault="00C10D9D" w:rsidP="00CF35AD">
      <w:pPr>
        <w:ind w:left="851"/>
        <w:rPr>
          <w:noProof/>
          <w:sz w:val="24"/>
          <w:szCs w:val="24"/>
        </w:rPr>
      </w:pPr>
      <w:r w:rsidRPr="009E49F8">
        <w:rPr>
          <w:noProof/>
          <w:sz w:val="24"/>
          <w:szCs w:val="24"/>
        </w:rPr>
        <w:t xml:space="preserve"> </w:t>
      </w:r>
    </w:p>
    <w:p w14:paraId="48BB1FA4" w14:textId="77777777" w:rsidR="00C10D9D" w:rsidRPr="009E49F8" w:rsidRDefault="00C10D9D" w:rsidP="00CF35AD">
      <w:pPr>
        <w:ind w:left="851"/>
        <w:rPr>
          <w:noProof/>
          <w:sz w:val="24"/>
          <w:szCs w:val="24"/>
        </w:rPr>
      </w:pPr>
      <w:r w:rsidRPr="009E49F8">
        <w:rPr>
          <w:noProof/>
          <w:sz w:val="24"/>
          <w:szCs w:val="24"/>
        </w:rPr>
        <w:t xml:space="preserve">Hvis der opstår bradykardi-relaterede symptomer efter doseringen, skal der iværksættes passende klinisk behandling, og monitoreringen skal fortsætte, indtil symptomerne er ophørt. Hvis en patient har behov for farmakologisk intervention under første-dosis-monitoreringen, skal patienten monitoreres natten over på sygehus og første-dosis-monitorering skal gentages efter anden dosis af fingolimod. </w:t>
      </w:r>
    </w:p>
    <w:p w14:paraId="4DB9C53F" w14:textId="77777777" w:rsidR="00C10D9D" w:rsidRPr="009E49F8" w:rsidRDefault="00C10D9D" w:rsidP="00CF35AD">
      <w:pPr>
        <w:ind w:left="851"/>
        <w:rPr>
          <w:noProof/>
          <w:sz w:val="24"/>
          <w:szCs w:val="24"/>
        </w:rPr>
      </w:pPr>
    </w:p>
    <w:p w14:paraId="6AD0E697" w14:textId="77777777" w:rsidR="00C10D9D" w:rsidRPr="009E49F8" w:rsidRDefault="00C10D9D" w:rsidP="00CF35AD">
      <w:pPr>
        <w:ind w:left="851"/>
        <w:rPr>
          <w:noProof/>
          <w:sz w:val="24"/>
          <w:szCs w:val="24"/>
        </w:rPr>
      </w:pPr>
      <w:r w:rsidRPr="009E49F8">
        <w:rPr>
          <w:noProof/>
          <w:sz w:val="24"/>
          <w:szCs w:val="24"/>
        </w:rPr>
        <w:t>Hvis hjertefrekvensen ved 6 timer er den laveste værdi, efter den første dosis blev administreret (antydende at den maksimale farmakodynamiske virkning på hjertet endnu ikke er nået), skal monitoreringen forlænges med mindst 2 timer, og indtil hjertefrekvensen stiger igen. Hvis hjertefrekvensen efter 6 timer er &lt;45 slag pr. minut hos voksne, &lt;55 slag pr. minut hos pædiatriske patienter i alderen 12 år og derover eller &lt;60 slag pr. minut hos pædiatriske patienter i alderen 10 til under 12 år, eller hvis ekg viser nyopstået AV-blok af 2. grad eller derover eller QTc-interval ≥500 msek., skal der også foretages forlænget monitoring (monitorering mindst natten over), og indtil tilstanden er ophørt. Tilstedeværelse af 3. grads AV-blok på et hvilket som helst tidspunkt skal også medføre forlænget monitorering (monitorering mindst natten over).</w:t>
      </w:r>
    </w:p>
    <w:p w14:paraId="6B2B0D7D" w14:textId="77777777" w:rsidR="00C10D9D" w:rsidRPr="009E49F8" w:rsidRDefault="00C10D9D" w:rsidP="00CF35AD">
      <w:pPr>
        <w:ind w:left="851"/>
        <w:rPr>
          <w:noProof/>
          <w:sz w:val="24"/>
          <w:szCs w:val="24"/>
        </w:rPr>
      </w:pPr>
    </w:p>
    <w:p w14:paraId="6DB15E22" w14:textId="77777777" w:rsidR="00C10D9D" w:rsidRPr="009E49F8" w:rsidRDefault="00C10D9D" w:rsidP="00CF35AD">
      <w:pPr>
        <w:ind w:left="851"/>
        <w:rPr>
          <w:noProof/>
          <w:sz w:val="24"/>
          <w:szCs w:val="24"/>
        </w:rPr>
      </w:pPr>
      <w:r w:rsidRPr="009E49F8">
        <w:rPr>
          <w:noProof/>
          <w:sz w:val="24"/>
          <w:szCs w:val="24"/>
        </w:rPr>
        <w:t xml:space="preserve">Virkningerne på hjertefrekvensen og den atrioventrikulære impulsoverledning kan forekomme igen, når behandlingen med fingolimod genoptages, afhængigt af varigheden af afbrydelse i behandlingen og tiden siden start af behandling med fingolimod. Det anbefales at udføre samme første-dosis-monitorering som ved behandlingsstart, når behandling har været afbrudt i: </w:t>
      </w:r>
    </w:p>
    <w:p w14:paraId="48752394" w14:textId="77777777" w:rsidR="00C10D9D" w:rsidRPr="009E49F8" w:rsidRDefault="00C10D9D" w:rsidP="004464F7">
      <w:pPr>
        <w:pStyle w:val="Listeafsnit"/>
        <w:numPr>
          <w:ilvl w:val="0"/>
          <w:numId w:val="18"/>
        </w:numPr>
        <w:ind w:left="1276" w:hanging="425"/>
        <w:rPr>
          <w:noProof/>
          <w:sz w:val="24"/>
          <w:szCs w:val="24"/>
        </w:rPr>
      </w:pPr>
      <w:r w:rsidRPr="009E49F8">
        <w:rPr>
          <w:noProof/>
          <w:sz w:val="24"/>
          <w:szCs w:val="24"/>
        </w:rPr>
        <w:t xml:space="preserve">1 dag eller mere i løbet af de første 2 uger af behandlingen. </w:t>
      </w:r>
    </w:p>
    <w:p w14:paraId="50E2CDE4" w14:textId="77777777" w:rsidR="00C10D9D" w:rsidRPr="009E49F8" w:rsidRDefault="00C10D9D" w:rsidP="004464F7">
      <w:pPr>
        <w:pStyle w:val="Listeafsnit"/>
        <w:numPr>
          <w:ilvl w:val="0"/>
          <w:numId w:val="18"/>
        </w:numPr>
        <w:ind w:left="1276" w:hanging="425"/>
        <w:rPr>
          <w:noProof/>
          <w:sz w:val="24"/>
          <w:szCs w:val="24"/>
        </w:rPr>
      </w:pPr>
      <w:r w:rsidRPr="009E49F8">
        <w:rPr>
          <w:noProof/>
          <w:sz w:val="24"/>
          <w:szCs w:val="24"/>
        </w:rPr>
        <w:t xml:space="preserve">mere end 7 dage i løbet af uge 3 og 4 i behandlingen. </w:t>
      </w:r>
    </w:p>
    <w:p w14:paraId="2801779A" w14:textId="77777777" w:rsidR="00C10D9D" w:rsidRPr="009E49F8" w:rsidRDefault="00C10D9D" w:rsidP="004464F7">
      <w:pPr>
        <w:pStyle w:val="Listeafsnit"/>
        <w:numPr>
          <w:ilvl w:val="0"/>
          <w:numId w:val="18"/>
        </w:numPr>
        <w:ind w:left="1276" w:hanging="425"/>
        <w:rPr>
          <w:noProof/>
          <w:sz w:val="24"/>
          <w:szCs w:val="24"/>
        </w:rPr>
      </w:pPr>
      <w:r w:rsidRPr="009E49F8">
        <w:rPr>
          <w:noProof/>
          <w:sz w:val="24"/>
          <w:szCs w:val="24"/>
        </w:rPr>
        <w:t xml:space="preserve">mere end 2 uger efter den første måned af behandlingen. </w:t>
      </w:r>
    </w:p>
    <w:p w14:paraId="5B560544" w14:textId="77777777" w:rsidR="00C10D9D" w:rsidRPr="009E49F8" w:rsidRDefault="00C10D9D" w:rsidP="00CF35AD">
      <w:pPr>
        <w:ind w:left="851"/>
        <w:rPr>
          <w:noProof/>
          <w:sz w:val="24"/>
          <w:szCs w:val="24"/>
        </w:rPr>
      </w:pPr>
      <w:r w:rsidRPr="009E49F8">
        <w:rPr>
          <w:noProof/>
          <w:sz w:val="24"/>
          <w:szCs w:val="24"/>
        </w:rPr>
        <w:t xml:space="preserve">Hvis afbrydelse af behandlingen er af kortere varighed end nævnt ovenfor, skal behandlingen fortsætte med den næste dosis som planlagt. </w:t>
      </w:r>
    </w:p>
    <w:p w14:paraId="0E14F5FF" w14:textId="77777777" w:rsidR="00C10D9D" w:rsidRPr="009E49F8" w:rsidRDefault="00C10D9D" w:rsidP="00CF35AD">
      <w:pPr>
        <w:ind w:left="851"/>
        <w:rPr>
          <w:noProof/>
          <w:sz w:val="24"/>
          <w:szCs w:val="24"/>
        </w:rPr>
      </w:pPr>
    </w:p>
    <w:p w14:paraId="552DE784" w14:textId="77777777" w:rsidR="00C10D9D" w:rsidRPr="009E49F8" w:rsidRDefault="00C10D9D" w:rsidP="00CF35AD">
      <w:pPr>
        <w:ind w:left="851"/>
        <w:rPr>
          <w:noProof/>
          <w:sz w:val="24"/>
          <w:szCs w:val="24"/>
        </w:rPr>
      </w:pPr>
      <w:r w:rsidRPr="009E49F8">
        <w:rPr>
          <w:noProof/>
          <w:sz w:val="24"/>
          <w:szCs w:val="24"/>
        </w:rPr>
        <w:t>Der er rapporteret meget sjældne tilfælde af T-takinversion hos voksne patienter behandlet med fingolimod. I tilfælde af T-takinversion bør den ordinerende læge sikre, at der ikke er symptomer relateret til myokardieiskæmi. Hvis der er formodning om myokardieiskæmi, anbefales rådgivning fra kardiolog.</w:t>
      </w:r>
    </w:p>
    <w:p w14:paraId="5D178F6A" w14:textId="77777777" w:rsidR="00C10D9D" w:rsidRPr="009E49F8" w:rsidRDefault="00C10D9D" w:rsidP="00CF35AD">
      <w:pPr>
        <w:ind w:left="851"/>
        <w:rPr>
          <w:noProof/>
          <w:sz w:val="24"/>
          <w:szCs w:val="24"/>
        </w:rPr>
      </w:pPr>
    </w:p>
    <w:p w14:paraId="6BE5B4E4" w14:textId="77777777" w:rsidR="00C10D9D" w:rsidRPr="009E49F8" w:rsidRDefault="00C10D9D" w:rsidP="00CF35AD">
      <w:pPr>
        <w:ind w:left="851"/>
        <w:rPr>
          <w:noProof/>
          <w:sz w:val="24"/>
          <w:szCs w:val="24"/>
        </w:rPr>
      </w:pPr>
      <w:r w:rsidRPr="009E49F8">
        <w:rPr>
          <w:noProof/>
          <w:sz w:val="24"/>
          <w:szCs w:val="24"/>
        </w:rPr>
        <w:t xml:space="preserve">På grund af risiko for alvorlige rytmeforstyrrelser eller signifikant bradykardi bør fingolimod ikke anvendes til patienter med sinuatrialt blok, symptomatisk bradykardi, tilbagevendende synkope eller hjertestop i anamnesen, eller til patienter med signifikant QT-forlængelse (QTc &gt;470 msek. [voksne kvinder], QTc &gt;460 msek. [piger] eller &gt;450 msek. [voksne mænd og drenge]), ukontrolleret hypertension eller svær søvnapnø (se også pkt. 4.3). Til sådanne patienter bør behandling med fingolimod kun overvejes, hvis de forventede fordele opvejer de mulige risici, og der bør søges rådgivning hos en kardiolog inden initiering af behandling for at fastlægge den mest hensigtsmæssige monitorering. Det </w:t>
      </w:r>
      <w:r w:rsidRPr="009E49F8">
        <w:rPr>
          <w:noProof/>
          <w:sz w:val="24"/>
          <w:szCs w:val="24"/>
        </w:rPr>
        <w:lastRenderedPageBreak/>
        <w:t xml:space="preserve">anbefales at forlænge monitoreringen mindst natten over ved behandlingsstart (se også pkt. 4.5). </w:t>
      </w:r>
    </w:p>
    <w:p w14:paraId="6659716F" w14:textId="09607281" w:rsidR="00C10D9D" w:rsidRPr="009E49F8" w:rsidRDefault="00C10D9D" w:rsidP="00CF35AD">
      <w:pPr>
        <w:ind w:left="851"/>
        <w:rPr>
          <w:noProof/>
          <w:sz w:val="24"/>
          <w:szCs w:val="24"/>
        </w:rPr>
      </w:pPr>
    </w:p>
    <w:p w14:paraId="10618AAA" w14:textId="3ADB2395" w:rsidR="00C10D9D" w:rsidRPr="009E49F8" w:rsidRDefault="00C10D9D" w:rsidP="00CF35AD">
      <w:pPr>
        <w:ind w:left="851"/>
        <w:rPr>
          <w:noProof/>
          <w:sz w:val="24"/>
          <w:szCs w:val="24"/>
        </w:rPr>
      </w:pPr>
      <w:r w:rsidRPr="009E49F8">
        <w:rPr>
          <w:noProof/>
          <w:sz w:val="24"/>
          <w:szCs w:val="24"/>
        </w:rPr>
        <w:t>Fingolimod er ikke undersøgt hos patienter med arytmier, som kræver behandling med antiarytmika af klasse Ia (</w:t>
      </w:r>
      <w:r w:rsidR="00B922BA" w:rsidRPr="009E49F8">
        <w:rPr>
          <w:noProof/>
          <w:sz w:val="24"/>
          <w:szCs w:val="24"/>
        </w:rPr>
        <w:t>f.eks.</w:t>
      </w:r>
      <w:r w:rsidRPr="009E49F8">
        <w:rPr>
          <w:noProof/>
          <w:sz w:val="24"/>
          <w:szCs w:val="24"/>
        </w:rPr>
        <w:t xml:space="preserve"> quinidin, disopyramid) eller klasse III (</w:t>
      </w:r>
      <w:r w:rsidR="00B922BA" w:rsidRPr="009E49F8">
        <w:rPr>
          <w:noProof/>
          <w:sz w:val="24"/>
          <w:szCs w:val="24"/>
        </w:rPr>
        <w:t>f.eks.</w:t>
      </w:r>
      <w:r w:rsidRPr="009E49F8">
        <w:rPr>
          <w:noProof/>
          <w:sz w:val="24"/>
          <w:szCs w:val="24"/>
        </w:rPr>
        <w:t xml:space="preserve"> amiodaron, sotalol). Lægemidler af klasse Ia og III mod arytmi er sat i forbindelse med tilfælde af torsades de pointes hos patienter med bradykardi (se pkt. 4.3).</w:t>
      </w:r>
    </w:p>
    <w:p w14:paraId="09115F59" w14:textId="77777777" w:rsidR="00C10D9D" w:rsidRPr="009E49F8" w:rsidRDefault="00C10D9D" w:rsidP="00CF35AD">
      <w:pPr>
        <w:ind w:left="851"/>
        <w:rPr>
          <w:noProof/>
          <w:sz w:val="24"/>
          <w:szCs w:val="24"/>
        </w:rPr>
      </w:pPr>
    </w:p>
    <w:p w14:paraId="78D7C075" w14:textId="77777777" w:rsidR="007F793B" w:rsidRPr="009E49F8" w:rsidRDefault="007F793B" w:rsidP="007F793B">
      <w:pPr>
        <w:ind w:left="851"/>
        <w:rPr>
          <w:noProof/>
          <w:sz w:val="24"/>
          <w:szCs w:val="24"/>
        </w:rPr>
      </w:pPr>
      <w:r w:rsidRPr="009E49F8">
        <w:rPr>
          <w:noProof/>
          <w:sz w:val="24"/>
          <w:szCs w:val="24"/>
        </w:rPr>
        <w:t xml:space="preserve">Der er begrænset erfaring med fingolimod til patienter, der samtidig er i behandling med betablokkere, calciumantagonister, som sænker hjertefrekvensen (som f.eks. verapamil eller diltiazem) eller andre lægemidler, der kan sænke hjertefrekvensen (f.eks. ivabradin, digoxin, kolinesterasehæmmere eller pilocarpin). Da behandlingsstart med fingolimod også er forbundet med fald i hjertefrekvensen (se også pkt. 4.8, Bradykardi), kan samtidig anvendelse af disse stoffer under initiering af </w:t>
      </w:r>
      <w:r>
        <w:rPr>
          <w:noProof/>
          <w:sz w:val="24"/>
          <w:szCs w:val="24"/>
        </w:rPr>
        <w:t>behandling</w:t>
      </w:r>
      <w:r w:rsidRPr="009E49F8">
        <w:rPr>
          <w:noProof/>
          <w:sz w:val="24"/>
          <w:szCs w:val="24"/>
        </w:rPr>
        <w:t xml:space="preserve"> være forbundet med alvorlig bradykardi og hjerteblok. På grund af den potentielle additive virkning på hjertefrekvensen bør behandling med fingolimod ikke startes hos patienter, som samtidig er i behandling med disse lægemidler (se også pkt. 4.5). Til disse patienter skal behandling med fingolimod kun overvejes, hvis de forventede fordele opvejer de mulige risici. Hvis behandling med fingolimod overvejes, bør der søges rådgivning hos en kardiolog vedrørende skift til lægemidler, der ikke sænker hjertefrekvensen, før behandlingen initieres. Hvis </w:t>
      </w:r>
      <w:r>
        <w:rPr>
          <w:noProof/>
          <w:sz w:val="24"/>
          <w:szCs w:val="24"/>
        </w:rPr>
        <w:t>behandlingen</w:t>
      </w:r>
      <w:r w:rsidRPr="009E49F8">
        <w:rPr>
          <w:noProof/>
          <w:sz w:val="24"/>
          <w:szCs w:val="24"/>
        </w:rPr>
        <w:t>, som sænker hjertefrekvensen, ikke kan seponeres, skal der søges rådgivning hos en kardiolog for at fastlægge passende monitorering efter første dosis. Det anbefales at forlænge monitorering mindst natten over (se også pkt. 4.5).</w:t>
      </w:r>
    </w:p>
    <w:p w14:paraId="22D1FD7A" w14:textId="77777777" w:rsidR="00C10D9D" w:rsidRPr="009E49F8" w:rsidRDefault="00C10D9D" w:rsidP="00CF35AD">
      <w:pPr>
        <w:ind w:left="851"/>
        <w:rPr>
          <w:noProof/>
          <w:sz w:val="24"/>
          <w:szCs w:val="24"/>
        </w:rPr>
      </w:pPr>
    </w:p>
    <w:p w14:paraId="6CF6035D" w14:textId="77777777" w:rsidR="00C10D9D" w:rsidRPr="009E49F8" w:rsidRDefault="00C10D9D" w:rsidP="00CF35AD">
      <w:pPr>
        <w:ind w:left="851"/>
        <w:rPr>
          <w:noProof/>
          <w:sz w:val="24"/>
          <w:szCs w:val="24"/>
          <w:u w:val="single"/>
        </w:rPr>
      </w:pPr>
      <w:r w:rsidRPr="009E49F8">
        <w:rPr>
          <w:noProof/>
          <w:sz w:val="24"/>
          <w:szCs w:val="24"/>
          <w:u w:val="single"/>
        </w:rPr>
        <w:t xml:space="preserve">QT-interval </w:t>
      </w:r>
    </w:p>
    <w:p w14:paraId="34EC0304" w14:textId="2224E00B" w:rsidR="00C10D9D" w:rsidRPr="009E49F8" w:rsidRDefault="00C10D9D" w:rsidP="00CF35AD">
      <w:pPr>
        <w:ind w:left="851"/>
        <w:rPr>
          <w:noProof/>
          <w:sz w:val="24"/>
          <w:szCs w:val="24"/>
        </w:rPr>
      </w:pPr>
      <w:r w:rsidRPr="009E49F8">
        <w:rPr>
          <w:noProof/>
          <w:sz w:val="24"/>
          <w:szCs w:val="24"/>
        </w:rPr>
        <w:t>I en grundig QT-intervalundersøgelse med doser på 1,25 og 2,5 mg fingolimod ved steady state, medens en negativ kronotropisk virkning af fingolimod stadig var til stede, medførte behandling med fingolimod en forlængelse af QTc-intervallet med en øvre grænse for 90</w:t>
      </w:r>
      <w:r w:rsidR="00B922BA" w:rsidRPr="009E49F8">
        <w:rPr>
          <w:noProof/>
          <w:sz w:val="24"/>
          <w:szCs w:val="24"/>
        </w:rPr>
        <w:t> </w:t>
      </w:r>
      <w:r w:rsidRPr="009E49F8">
        <w:rPr>
          <w:noProof/>
          <w:sz w:val="24"/>
          <w:szCs w:val="24"/>
        </w:rPr>
        <w:t xml:space="preserve">% CI ≤13,0 ms. Der er ingen forbindelse mellem fingolimods dosis- eller eksponeringrespons og forlængelsen af QTc-intervallet. Der er ikke noget konsekvent signal om øget forekomst af QTc-interval-outliers forbundet med behandling med fingolimod, hverken absolut eller i form af en ændring i forhold til udgangsværdien. </w:t>
      </w:r>
    </w:p>
    <w:p w14:paraId="5D3C9096" w14:textId="77777777" w:rsidR="00C10D9D" w:rsidRPr="009E49F8" w:rsidRDefault="00C10D9D" w:rsidP="00CF35AD">
      <w:pPr>
        <w:ind w:left="851"/>
        <w:rPr>
          <w:noProof/>
          <w:sz w:val="24"/>
          <w:szCs w:val="24"/>
        </w:rPr>
      </w:pPr>
      <w:r w:rsidRPr="009E49F8">
        <w:rPr>
          <w:noProof/>
          <w:sz w:val="24"/>
          <w:szCs w:val="24"/>
        </w:rPr>
        <w:t xml:space="preserve"> </w:t>
      </w:r>
    </w:p>
    <w:p w14:paraId="7783A60D" w14:textId="77777777" w:rsidR="00C10D9D" w:rsidRPr="009E49F8" w:rsidRDefault="00C10D9D" w:rsidP="00CF35AD">
      <w:pPr>
        <w:ind w:left="851"/>
        <w:rPr>
          <w:noProof/>
          <w:sz w:val="24"/>
          <w:szCs w:val="24"/>
        </w:rPr>
      </w:pPr>
      <w:r w:rsidRPr="009E49F8">
        <w:rPr>
          <w:noProof/>
          <w:sz w:val="24"/>
          <w:szCs w:val="24"/>
        </w:rPr>
        <w:t xml:space="preserve">Den kliniske relevans af disse fund er ikke kendt. Der er ikke set klinisk relevant forlængelse af QTcintervallet i multipel sklerosestudier, men patienter med risiko for QT-forlængelse blev ikke inkluderet i de kliniske forsøg. </w:t>
      </w:r>
    </w:p>
    <w:p w14:paraId="10863F94" w14:textId="77777777" w:rsidR="00C10D9D" w:rsidRPr="009E49F8" w:rsidRDefault="00C10D9D" w:rsidP="00CF35AD">
      <w:pPr>
        <w:ind w:left="851"/>
        <w:rPr>
          <w:noProof/>
          <w:sz w:val="24"/>
          <w:szCs w:val="24"/>
        </w:rPr>
      </w:pPr>
      <w:r w:rsidRPr="009E49F8">
        <w:rPr>
          <w:noProof/>
          <w:sz w:val="24"/>
          <w:szCs w:val="24"/>
        </w:rPr>
        <w:t xml:space="preserve"> </w:t>
      </w:r>
    </w:p>
    <w:p w14:paraId="0941D82D" w14:textId="3DC80F11" w:rsidR="00C10D9D" w:rsidRPr="009E49F8" w:rsidRDefault="00C10D9D" w:rsidP="00CF35AD">
      <w:pPr>
        <w:ind w:left="851"/>
        <w:rPr>
          <w:noProof/>
          <w:sz w:val="24"/>
          <w:szCs w:val="24"/>
        </w:rPr>
      </w:pPr>
      <w:r w:rsidRPr="009E49F8">
        <w:rPr>
          <w:noProof/>
          <w:sz w:val="24"/>
          <w:szCs w:val="24"/>
        </w:rPr>
        <w:t xml:space="preserve">Man bør undgå behandling med lægemidler, som kan forlænge QT-intervallet, hos patienter med relevante risikofaktorer som </w:t>
      </w:r>
      <w:r w:rsidR="00B922BA" w:rsidRPr="009E49F8">
        <w:rPr>
          <w:noProof/>
          <w:sz w:val="24"/>
          <w:szCs w:val="24"/>
        </w:rPr>
        <w:t>f.eks.</w:t>
      </w:r>
      <w:r w:rsidRPr="009E49F8">
        <w:rPr>
          <w:noProof/>
          <w:sz w:val="24"/>
          <w:szCs w:val="24"/>
        </w:rPr>
        <w:t xml:space="preserve"> hypokaliæmi eller medfødt QT-forlængelse.</w:t>
      </w:r>
    </w:p>
    <w:p w14:paraId="3E0EEDCC" w14:textId="77777777" w:rsidR="00C10D9D" w:rsidRPr="009E49F8" w:rsidRDefault="00C10D9D" w:rsidP="00CF35AD">
      <w:pPr>
        <w:ind w:left="851"/>
        <w:rPr>
          <w:noProof/>
          <w:sz w:val="24"/>
          <w:szCs w:val="24"/>
        </w:rPr>
      </w:pPr>
    </w:p>
    <w:p w14:paraId="5DC56E78" w14:textId="77777777" w:rsidR="00C10D9D" w:rsidRPr="009E49F8" w:rsidRDefault="00C10D9D" w:rsidP="00CF35AD">
      <w:pPr>
        <w:ind w:left="851"/>
        <w:rPr>
          <w:noProof/>
          <w:sz w:val="24"/>
          <w:szCs w:val="24"/>
          <w:u w:val="single"/>
        </w:rPr>
      </w:pPr>
      <w:r w:rsidRPr="009E49F8">
        <w:rPr>
          <w:noProof/>
          <w:sz w:val="24"/>
          <w:szCs w:val="24"/>
          <w:u w:val="single"/>
        </w:rPr>
        <w:t xml:space="preserve">Immunsuppressive virkninger </w:t>
      </w:r>
    </w:p>
    <w:p w14:paraId="7A2BD6BE" w14:textId="5A9576CA" w:rsidR="00C10D9D" w:rsidRPr="009E49F8" w:rsidRDefault="00C10D9D" w:rsidP="00CF35AD">
      <w:pPr>
        <w:ind w:left="851"/>
        <w:rPr>
          <w:noProof/>
          <w:sz w:val="24"/>
          <w:szCs w:val="24"/>
        </w:rPr>
      </w:pPr>
      <w:r w:rsidRPr="009E49F8">
        <w:rPr>
          <w:noProof/>
          <w:sz w:val="24"/>
          <w:szCs w:val="24"/>
        </w:rPr>
        <w:t xml:space="preserve">Fingolimod har en immunosuppressiv effekt, der prædisponerer patienter for en infektionsrisiko, herunder opportunistiske infektioner, der kan være dødelige, og øger risikoen for udvikling af lymfomer og andre maligniteter, især relateret til huden. Læger skal omhyggeligt overvåge patienter, især dem med samtidige tilstande eller kendte faktorer, såsom tidligere immunosuppressiv behandling. Hvis der er formodning om, at denne risiko foreligger, skal seponering af behandlingen overvejes af lægen i hvert enkelt tilfælde (se også pkt. 4.4 </w:t>
      </w:r>
      <w:r w:rsidR="00B922BA" w:rsidRPr="009E49F8">
        <w:rPr>
          <w:noProof/>
          <w:sz w:val="24"/>
          <w:szCs w:val="24"/>
        </w:rPr>
        <w:t>"</w:t>
      </w:r>
      <w:r w:rsidRPr="009E49F8">
        <w:rPr>
          <w:noProof/>
          <w:sz w:val="24"/>
          <w:szCs w:val="24"/>
        </w:rPr>
        <w:t>Infektioner</w:t>
      </w:r>
      <w:r w:rsidR="00B922BA" w:rsidRPr="009E49F8">
        <w:rPr>
          <w:noProof/>
          <w:sz w:val="24"/>
          <w:szCs w:val="24"/>
        </w:rPr>
        <w:t>"</w:t>
      </w:r>
      <w:r w:rsidRPr="009E49F8">
        <w:rPr>
          <w:noProof/>
          <w:sz w:val="24"/>
          <w:szCs w:val="24"/>
        </w:rPr>
        <w:t xml:space="preserve"> og </w:t>
      </w:r>
      <w:r w:rsidR="00B922BA" w:rsidRPr="009E49F8">
        <w:rPr>
          <w:noProof/>
          <w:sz w:val="24"/>
          <w:szCs w:val="24"/>
        </w:rPr>
        <w:t>"</w:t>
      </w:r>
      <w:r w:rsidRPr="009E49F8">
        <w:rPr>
          <w:noProof/>
          <w:sz w:val="24"/>
          <w:szCs w:val="24"/>
        </w:rPr>
        <w:t>Kutane neoplasmer</w:t>
      </w:r>
      <w:r w:rsidR="00B922BA" w:rsidRPr="009E49F8">
        <w:rPr>
          <w:noProof/>
          <w:sz w:val="24"/>
          <w:szCs w:val="24"/>
        </w:rPr>
        <w:t>"</w:t>
      </w:r>
      <w:r w:rsidRPr="009E49F8">
        <w:rPr>
          <w:noProof/>
          <w:sz w:val="24"/>
          <w:szCs w:val="24"/>
        </w:rPr>
        <w:t xml:space="preserve"> og pkt. 4.8 </w:t>
      </w:r>
      <w:r w:rsidR="00B922BA" w:rsidRPr="009E49F8">
        <w:rPr>
          <w:noProof/>
          <w:sz w:val="24"/>
          <w:szCs w:val="24"/>
        </w:rPr>
        <w:t>"</w:t>
      </w:r>
      <w:r w:rsidRPr="009E49F8">
        <w:rPr>
          <w:noProof/>
          <w:sz w:val="24"/>
          <w:szCs w:val="24"/>
        </w:rPr>
        <w:t>Lymfomer</w:t>
      </w:r>
      <w:r w:rsidR="00B922BA" w:rsidRPr="009E49F8">
        <w:rPr>
          <w:noProof/>
          <w:sz w:val="24"/>
          <w:szCs w:val="24"/>
        </w:rPr>
        <w:t>"</w:t>
      </w:r>
      <w:r w:rsidRPr="009E49F8">
        <w:rPr>
          <w:noProof/>
          <w:sz w:val="24"/>
          <w:szCs w:val="24"/>
        </w:rPr>
        <w:t>).</w:t>
      </w:r>
    </w:p>
    <w:p w14:paraId="7EDA3F77" w14:textId="77777777" w:rsidR="00C10D9D" w:rsidRPr="009E49F8" w:rsidRDefault="00C10D9D" w:rsidP="00CF35AD">
      <w:pPr>
        <w:ind w:left="851"/>
        <w:rPr>
          <w:noProof/>
          <w:sz w:val="24"/>
          <w:szCs w:val="24"/>
        </w:rPr>
      </w:pPr>
    </w:p>
    <w:p w14:paraId="0A4AA9F9" w14:textId="77777777" w:rsidR="00AF54E1" w:rsidRDefault="00AF54E1" w:rsidP="00CF35AD">
      <w:pPr>
        <w:ind w:left="851"/>
        <w:rPr>
          <w:noProof/>
          <w:sz w:val="24"/>
          <w:szCs w:val="24"/>
          <w:u w:val="single"/>
        </w:rPr>
      </w:pPr>
    </w:p>
    <w:p w14:paraId="355671CC" w14:textId="77777777" w:rsidR="00AF54E1" w:rsidRDefault="00AF54E1" w:rsidP="00CF35AD">
      <w:pPr>
        <w:ind w:left="851"/>
        <w:rPr>
          <w:noProof/>
          <w:sz w:val="24"/>
          <w:szCs w:val="24"/>
          <w:u w:val="single"/>
        </w:rPr>
      </w:pPr>
    </w:p>
    <w:p w14:paraId="15C1AF98" w14:textId="6D67773E" w:rsidR="00C10D9D" w:rsidRPr="009E49F8" w:rsidRDefault="00C10D9D" w:rsidP="00CF35AD">
      <w:pPr>
        <w:ind w:left="851"/>
        <w:rPr>
          <w:noProof/>
          <w:sz w:val="24"/>
          <w:szCs w:val="24"/>
          <w:u w:val="single"/>
        </w:rPr>
      </w:pPr>
      <w:r w:rsidRPr="009E49F8">
        <w:rPr>
          <w:noProof/>
          <w:sz w:val="24"/>
          <w:szCs w:val="24"/>
          <w:u w:val="single"/>
        </w:rPr>
        <w:lastRenderedPageBreak/>
        <w:t xml:space="preserve">Infektioner </w:t>
      </w:r>
    </w:p>
    <w:p w14:paraId="427A1B55" w14:textId="77777777" w:rsidR="00C10D9D" w:rsidRPr="009E49F8" w:rsidRDefault="00C10D9D" w:rsidP="00CF35AD">
      <w:pPr>
        <w:ind w:left="851"/>
        <w:rPr>
          <w:noProof/>
          <w:sz w:val="24"/>
          <w:szCs w:val="24"/>
        </w:rPr>
      </w:pPr>
      <w:r w:rsidRPr="009E49F8">
        <w:rPr>
          <w:noProof/>
          <w:sz w:val="24"/>
          <w:szCs w:val="24"/>
        </w:rPr>
        <w:t xml:space="preserve">En vigtig farmakodynamisk effekt af fingolimod er en dosisafhængig reduktion af det perifere lymfocyttal til 20-30 % af udgangsværdierne. Dette skyldes den reversible tilbageholdelse af lymfocytter i lymfevæv (se pkt. 5.1). </w:t>
      </w:r>
    </w:p>
    <w:p w14:paraId="61775FCC" w14:textId="77777777" w:rsidR="00C10D9D" w:rsidRPr="009E49F8" w:rsidRDefault="00C10D9D" w:rsidP="00CF35AD">
      <w:pPr>
        <w:ind w:left="851"/>
        <w:rPr>
          <w:noProof/>
          <w:sz w:val="24"/>
          <w:szCs w:val="24"/>
        </w:rPr>
      </w:pPr>
      <w:r w:rsidRPr="009E49F8">
        <w:rPr>
          <w:noProof/>
          <w:sz w:val="24"/>
          <w:szCs w:val="24"/>
        </w:rPr>
        <w:t xml:space="preserve"> </w:t>
      </w:r>
    </w:p>
    <w:p w14:paraId="3BA2FFBC" w14:textId="7688AFF7" w:rsidR="00C10D9D" w:rsidRPr="009E49F8" w:rsidRDefault="00C10D9D" w:rsidP="00CF35AD">
      <w:pPr>
        <w:ind w:left="851"/>
        <w:rPr>
          <w:noProof/>
          <w:sz w:val="24"/>
          <w:szCs w:val="24"/>
        </w:rPr>
      </w:pPr>
      <w:r w:rsidRPr="009E49F8">
        <w:rPr>
          <w:noProof/>
          <w:sz w:val="24"/>
          <w:szCs w:val="24"/>
        </w:rPr>
        <w:t xml:space="preserve">Der bør foreligge resultat af en komplet blodtælling (CBC) (dvs. indenfor 6 måneder eller efter afbrydelse af tidligere behandling). Periodisk CBC anbefales også under behandlingen, efter 3 måneder og mindst en gang årligt derefter og ved tegn på infektion. Ved et absolut lymfocyttal på &lt;0,2 </w:t>
      </w:r>
      <w:r w:rsidR="00155E83" w:rsidRPr="009E49F8">
        <w:rPr>
          <w:noProof/>
          <w:sz w:val="24"/>
          <w:szCs w:val="24"/>
        </w:rPr>
        <w:t>×</w:t>
      </w:r>
      <w:r w:rsidRPr="009E49F8">
        <w:rPr>
          <w:noProof/>
          <w:sz w:val="24"/>
          <w:szCs w:val="24"/>
        </w:rPr>
        <w:t xml:space="preserve"> 10</w:t>
      </w:r>
      <w:r w:rsidRPr="009E49F8">
        <w:rPr>
          <w:noProof/>
          <w:sz w:val="24"/>
          <w:szCs w:val="24"/>
          <w:vertAlign w:val="superscript"/>
        </w:rPr>
        <w:t>9</w:t>
      </w:r>
      <w:r w:rsidRPr="009E49F8">
        <w:rPr>
          <w:noProof/>
          <w:sz w:val="24"/>
          <w:szCs w:val="24"/>
        </w:rPr>
        <w:t xml:space="preserve">/l, som bekræftes ved en gentagen måling, skal behandlingen afbrydes indtil normalisering, fordi fingolimod-behandlingen i kliniske studier blev afbrudt hos patienter med absolut lymfocyttal &lt;0,2 </w:t>
      </w:r>
      <w:r w:rsidR="00155E83" w:rsidRPr="009E49F8">
        <w:rPr>
          <w:noProof/>
          <w:sz w:val="24"/>
          <w:szCs w:val="24"/>
        </w:rPr>
        <w:t>×</w:t>
      </w:r>
      <w:r w:rsidRPr="009E49F8">
        <w:rPr>
          <w:noProof/>
          <w:sz w:val="24"/>
          <w:szCs w:val="24"/>
        </w:rPr>
        <w:t xml:space="preserve"> 10</w:t>
      </w:r>
      <w:r w:rsidRPr="009E49F8">
        <w:rPr>
          <w:noProof/>
          <w:sz w:val="24"/>
          <w:szCs w:val="24"/>
          <w:vertAlign w:val="superscript"/>
        </w:rPr>
        <w:t>9</w:t>
      </w:r>
      <w:r w:rsidRPr="009E49F8">
        <w:rPr>
          <w:noProof/>
          <w:sz w:val="24"/>
          <w:szCs w:val="24"/>
        </w:rPr>
        <w:t>/l.</w:t>
      </w:r>
    </w:p>
    <w:p w14:paraId="773994FA" w14:textId="77777777" w:rsidR="00C10D9D" w:rsidRPr="009E49F8" w:rsidRDefault="00C10D9D" w:rsidP="00CF35AD">
      <w:pPr>
        <w:ind w:left="851"/>
        <w:rPr>
          <w:noProof/>
          <w:sz w:val="24"/>
          <w:szCs w:val="24"/>
        </w:rPr>
      </w:pPr>
    </w:p>
    <w:p w14:paraId="7715382C" w14:textId="77777777" w:rsidR="00C10D9D" w:rsidRPr="009E49F8" w:rsidRDefault="00C10D9D" w:rsidP="00CF35AD">
      <w:pPr>
        <w:ind w:left="851"/>
        <w:rPr>
          <w:noProof/>
          <w:sz w:val="24"/>
          <w:szCs w:val="24"/>
        </w:rPr>
      </w:pPr>
      <w:r w:rsidRPr="009E49F8">
        <w:rPr>
          <w:noProof/>
          <w:sz w:val="24"/>
          <w:szCs w:val="24"/>
        </w:rPr>
        <w:t xml:space="preserve">Hvis patienten har en aktiv, svær infektion, skal behandlingen med fingolimod udsættes indtil patienten er restitueret. </w:t>
      </w:r>
    </w:p>
    <w:p w14:paraId="0418EBD8" w14:textId="77777777" w:rsidR="00C10D9D" w:rsidRPr="009E49F8" w:rsidRDefault="00C10D9D" w:rsidP="00CF35AD">
      <w:pPr>
        <w:ind w:left="851"/>
        <w:rPr>
          <w:noProof/>
          <w:sz w:val="24"/>
          <w:szCs w:val="24"/>
        </w:rPr>
      </w:pPr>
      <w:r w:rsidRPr="009E49F8">
        <w:rPr>
          <w:noProof/>
          <w:sz w:val="24"/>
          <w:szCs w:val="24"/>
        </w:rPr>
        <w:t xml:space="preserve"> </w:t>
      </w:r>
    </w:p>
    <w:p w14:paraId="4B1C7AAF" w14:textId="77777777" w:rsidR="00C10D9D" w:rsidRPr="009E49F8" w:rsidRDefault="00C10D9D" w:rsidP="00CF35AD">
      <w:pPr>
        <w:ind w:left="851"/>
        <w:rPr>
          <w:noProof/>
          <w:sz w:val="24"/>
          <w:szCs w:val="24"/>
        </w:rPr>
      </w:pPr>
      <w:r w:rsidRPr="009E49F8">
        <w:rPr>
          <w:noProof/>
          <w:sz w:val="24"/>
          <w:szCs w:val="24"/>
        </w:rPr>
        <w:t xml:space="preserve">Patienter skal undersøges for immunitet overfor varicella (skoldkopper) før behandling med fingolimod. Det anbefales, at patienter, som ikke har haft skoldkopper diagnosticeret af en læge, eller ikke har dokumentation for et fuldt vaccinationsprogram med skoldkoppevaccine, testes for antistoffer mod varicella zoster-virus (VZV), før behandling med fingolimod påbegyndes. Et fuldt vaccinationsprogram med skoldkoppevaccine anbefales før påbegyndelse af behandling med fingolimod hos antistofnegative patienter (se pkt. 4.8). Indledning af behandling med fingolimod skal udsættes til 1 måned efter vaccination for at opnå den fulde virkning af vaccinen. </w:t>
      </w:r>
    </w:p>
    <w:p w14:paraId="1E9B74C7" w14:textId="77777777" w:rsidR="00C10D9D" w:rsidRPr="009E49F8" w:rsidRDefault="00C10D9D" w:rsidP="00CF35AD">
      <w:pPr>
        <w:ind w:left="851"/>
        <w:rPr>
          <w:noProof/>
          <w:sz w:val="24"/>
          <w:szCs w:val="24"/>
        </w:rPr>
      </w:pPr>
    </w:p>
    <w:p w14:paraId="4CDBAAAB" w14:textId="77777777" w:rsidR="00C10D9D" w:rsidRPr="009E49F8" w:rsidRDefault="00C10D9D" w:rsidP="00CF35AD">
      <w:pPr>
        <w:ind w:left="851"/>
        <w:rPr>
          <w:noProof/>
          <w:sz w:val="24"/>
          <w:szCs w:val="24"/>
        </w:rPr>
      </w:pPr>
      <w:r w:rsidRPr="009E49F8">
        <w:rPr>
          <w:noProof/>
          <w:sz w:val="24"/>
          <w:szCs w:val="24"/>
        </w:rPr>
        <w:t>Fingolimods virkning på immunsystemet kan muligvis øge risikoen for infektioner inklusive opportunistiske infektioner (se pkt. 4.8). Der skal iværksættes effektive diagnostiske og terapeutiske strategier hos patienter, der får symptomer på infektion, mens de er i behandling. Ved vurdering af en patient, hvor der er formodning om en infektion, der kan være alvorlig, bør det overvejes at henvise til en læge med erfaring i behandling af infektioner. Patienterne skal instrueres i straks at rapportere symptomer på infektion til deres læge under behandlingen.</w:t>
      </w:r>
    </w:p>
    <w:p w14:paraId="222F3AB0" w14:textId="77777777" w:rsidR="00C10D9D" w:rsidRPr="009E49F8" w:rsidRDefault="00C10D9D" w:rsidP="00CF35AD">
      <w:pPr>
        <w:ind w:left="851"/>
        <w:rPr>
          <w:noProof/>
          <w:sz w:val="24"/>
          <w:szCs w:val="24"/>
        </w:rPr>
      </w:pPr>
    </w:p>
    <w:p w14:paraId="303C09D3" w14:textId="57739784" w:rsidR="007F793B" w:rsidRDefault="007F793B" w:rsidP="007F793B">
      <w:pPr>
        <w:ind w:left="851"/>
        <w:rPr>
          <w:noProof/>
          <w:sz w:val="24"/>
          <w:szCs w:val="24"/>
        </w:rPr>
      </w:pPr>
      <w:r w:rsidRPr="009E49F8">
        <w:rPr>
          <w:noProof/>
          <w:sz w:val="24"/>
          <w:szCs w:val="24"/>
        </w:rPr>
        <w:t xml:space="preserve">Hvis patienten har en aktiv, svær infektion, skal behandlingen med fingolimod udsættes indtil patienten er restitueret. </w:t>
      </w:r>
    </w:p>
    <w:p w14:paraId="08889991" w14:textId="7B7817C1" w:rsidR="00193231" w:rsidRDefault="00193231" w:rsidP="007F793B">
      <w:pPr>
        <w:ind w:left="851"/>
        <w:rPr>
          <w:noProof/>
          <w:sz w:val="24"/>
          <w:szCs w:val="24"/>
        </w:rPr>
      </w:pPr>
    </w:p>
    <w:p w14:paraId="5BEE63DD" w14:textId="77777777" w:rsidR="00193231" w:rsidRDefault="00193231" w:rsidP="00193231">
      <w:pPr>
        <w:ind w:left="851"/>
        <w:rPr>
          <w:sz w:val="24"/>
          <w:szCs w:val="24"/>
        </w:rPr>
      </w:pPr>
      <w:proofErr w:type="spellStart"/>
      <w:r>
        <w:rPr>
          <w:sz w:val="24"/>
          <w:szCs w:val="24"/>
        </w:rPr>
        <w:t>Fingolimod</w:t>
      </w:r>
      <w:proofErr w:type="spellEnd"/>
      <w:r>
        <w:rPr>
          <w:sz w:val="24"/>
          <w:szCs w:val="24"/>
        </w:rPr>
        <w:t xml:space="preserve"> virkning på immunsystemet kan muligvis øge risikoen for infektioner inklusive opportunistiske infektioner (se pkt. 4.8). Der skal iværksættes effektive diagnostiske og terapeutiske strategier hos patienter, der får symptomer på infektion, mens de er i behandling. Ved vurdering af en patient, hvor der er formodning om en infektion, der kan være alvorlig, bør det overvejes at henvise til en læge med erfaring i behandling af infektioner. Patienterne skal instrueres i straks at rapportere symptomer på infektion til deres læge under behandlingen.</w:t>
      </w:r>
    </w:p>
    <w:p w14:paraId="637A0A79" w14:textId="77777777" w:rsidR="00193231" w:rsidRDefault="00193231" w:rsidP="00193231">
      <w:pPr>
        <w:ind w:left="851"/>
        <w:rPr>
          <w:sz w:val="24"/>
          <w:szCs w:val="24"/>
        </w:rPr>
      </w:pPr>
    </w:p>
    <w:p w14:paraId="49343D46" w14:textId="3960E717" w:rsidR="00193231" w:rsidRDefault="00193231" w:rsidP="00193231">
      <w:pPr>
        <w:ind w:left="851"/>
        <w:rPr>
          <w:sz w:val="24"/>
          <w:szCs w:val="24"/>
        </w:rPr>
      </w:pPr>
      <w:r>
        <w:rPr>
          <w:sz w:val="24"/>
          <w:szCs w:val="24"/>
        </w:rPr>
        <w:t xml:space="preserve">Hvis patienten udvikler en alvorlig infektion, skal det overvejes, at seponere </w:t>
      </w:r>
      <w:proofErr w:type="spellStart"/>
      <w:r>
        <w:rPr>
          <w:sz w:val="24"/>
          <w:szCs w:val="24"/>
        </w:rPr>
        <w:t>fingolimod</w:t>
      </w:r>
      <w:proofErr w:type="spellEnd"/>
      <w:r>
        <w:rPr>
          <w:sz w:val="24"/>
          <w:szCs w:val="24"/>
        </w:rPr>
        <w:t>, og forholdet mellem fordele og risici skal overvejes, før behandlingen genoptages.</w:t>
      </w:r>
    </w:p>
    <w:p w14:paraId="29EDE095" w14:textId="77777777" w:rsidR="007F793B" w:rsidRPr="00A22361" w:rsidRDefault="007F793B" w:rsidP="005F0E16">
      <w:pPr>
        <w:rPr>
          <w:sz w:val="24"/>
          <w:szCs w:val="24"/>
        </w:rPr>
      </w:pPr>
    </w:p>
    <w:p w14:paraId="25CD7984" w14:textId="77777777" w:rsidR="007F793B" w:rsidRPr="00A22361" w:rsidRDefault="007F793B" w:rsidP="007F793B">
      <w:pPr>
        <w:ind w:left="851"/>
        <w:rPr>
          <w:sz w:val="24"/>
          <w:szCs w:val="24"/>
        </w:rPr>
      </w:pPr>
      <w:r w:rsidRPr="00A22361">
        <w:rPr>
          <w:sz w:val="24"/>
          <w:szCs w:val="24"/>
        </w:rPr>
        <w:t xml:space="preserve">Udskillelse af </w:t>
      </w:r>
      <w:proofErr w:type="spellStart"/>
      <w:r w:rsidRPr="00A22361">
        <w:rPr>
          <w:sz w:val="24"/>
          <w:szCs w:val="24"/>
        </w:rPr>
        <w:t>fingolimod</w:t>
      </w:r>
      <w:proofErr w:type="spellEnd"/>
      <w:r w:rsidRPr="00A22361">
        <w:rPr>
          <w:sz w:val="24"/>
          <w:szCs w:val="24"/>
        </w:rPr>
        <w:t xml:space="preserve"> efter </w:t>
      </w:r>
      <w:proofErr w:type="spellStart"/>
      <w:r w:rsidRPr="00A22361">
        <w:rPr>
          <w:sz w:val="24"/>
          <w:szCs w:val="24"/>
        </w:rPr>
        <w:t>seponering</w:t>
      </w:r>
      <w:proofErr w:type="spellEnd"/>
      <w:r w:rsidRPr="00A22361">
        <w:rPr>
          <w:sz w:val="24"/>
          <w:szCs w:val="24"/>
        </w:rPr>
        <w:t xml:space="preserve"> af behandlingen kan tage op til to måneder; man skal derfor fortsat være på vagt over for infektioner i hele denne periode. Patienterne skal instrueres i at rapportere symptomer på infektion i op til to måneder efter </w:t>
      </w:r>
      <w:proofErr w:type="spellStart"/>
      <w:r w:rsidRPr="00A22361">
        <w:rPr>
          <w:sz w:val="24"/>
          <w:szCs w:val="24"/>
        </w:rPr>
        <w:t>seponering</w:t>
      </w:r>
      <w:proofErr w:type="spellEnd"/>
      <w:r w:rsidRPr="00A22361">
        <w:rPr>
          <w:sz w:val="24"/>
          <w:szCs w:val="24"/>
        </w:rPr>
        <w:t xml:space="preserve"> af </w:t>
      </w:r>
      <w:proofErr w:type="spellStart"/>
      <w:r w:rsidRPr="00A22361">
        <w:rPr>
          <w:sz w:val="24"/>
          <w:szCs w:val="24"/>
        </w:rPr>
        <w:t>fingolimod</w:t>
      </w:r>
      <w:proofErr w:type="spellEnd"/>
      <w:r w:rsidRPr="00A22361">
        <w:rPr>
          <w:sz w:val="24"/>
          <w:szCs w:val="24"/>
        </w:rPr>
        <w:t>.</w:t>
      </w:r>
    </w:p>
    <w:p w14:paraId="56BB8675" w14:textId="77777777" w:rsidR="007F793B" w:rsidRPr="00A22361" w:rsidRDefault="007F793B" w:rsidP="007F793B">
      <w:pPr>
        <w:ind w:left="851"/>
        <w:rPr>
          <w:sz w:val="24"/>
          <w:szCs w:val="24"/>
        </w:rPr>
      </w:pPr>
    </w:p>
    <w:p w14:paraId="6A1CB6DD" w14:textId="77777777" w:rsidR="00AF54E1" w:rsidRDefault="00AF54E1" w:rsidP="007F793B">
      <w:pPr>
        <w:ind w:left="851"/>
        <w:rPr>
          <w:sz w:val="24"/>
          <w:szCs w:val="24"/>
          <w:u w:val="single"/>
        </w:rPr>
      </w:pPr>
    </w:p>
    <w:p w14:paraId="7322179C" w14:textId="505864B8" w:rsidR="007F793B" w:rsidRPr="00A22361" w:rsidRDefault="007F793B" w:rsidP="007F793B">
      <w:pPr>
        <w:ind w:left="851"/>
        <w:rPr>
          <w:sz w:val="24"/>
          <w:szCs w:val="24"/>
          <w:u w:val="single"/>
        </w:rPr>
      </w:pPr>
      <w:r w:rsidRPr="00A22361">
        <w:rPr>
          <w:sz w:val="24"/>
          <w:szCs w:val="24"/>
          <w:u w:val="single"/>
        </w:rPr>
        <w:lastRenderedPageBreak/>
        <w:t xml:space="preserve">Herpes virusinfektion </w:t>
      </w:r>
    </w:p>
    <w:p w14:paraId="7DF0A518" w14:textId="77777777" w:rsidR="007F793B" w:rsidRPr="007E37E8" w:rsidRDefault="007F793B" w:rsidP="007F793B">
      <w:pPr>
        <w:ind w:left="851"/>
        <w:rPr>
          <w:noProof/>
          <w:sz w:val="24"/>
          <w:szCs w:val="24"/>
        </w:rPr>
      </w:pPr>
      <w:r w:rsidRPr="00A22361">
        <w:rPr>
          <w:sz w:val="24"/>
          <w:szCs w:val="24"/>
        </w:rPr>
        <w:t xml:space="preserve">Alvorlige, livstruende og nogle gange dødelige tilfælde af </w:t>
      </w:r>
      <w:proofErr w:type="spellStart"/>
      <w:r w:rsidRPr="00A22361">
        <w:rPr>
          <w:sz w:val="24"/>
          <w:szCs w:val="24"/>
        </w:rPr>
        <w:t>encefalitis</w:t>
      </w:r>
      <w:proofErr w:type="spellEnd"/>
      <w:r w:rsidRPr="00A22361">
        <w:rPr>
          <w:sz w:val="24"/>
          <w:szCs w:val="24"/>
        </w:rPr>
        <w:t xml:space="preserve">, meningitis eller </w:t>
      </w:r>
      <w:proofErr w:type="spellStart"/>
      <w:r w:rsidRPr="00A22361">
        <w:rPr>
          <w:sz w:val="24"/>
          <w:szCs w:val="24"/>
        </w:rPr>
        <w:t>meningoencefalitis</w:t>
      </w:r>
      <w:proofErr w:type="spellEnd"/>
      <w:r w:rsidRPr="00A22361">
        <w:rPr>
          <w:sz w:val="24"/>
          <w:szCs w:val="24"/>
        </w:rPr>
        <w:t xml:space="preserve"> forårsaget af herpes </w:t>
      </w:r>
      <w:proofErr w:type="spellStart"/>
      <w:r w:rsidRPr="00A22361">
        <w:rPr>
          <w:sz w:val="24"/>
          <w:szCs w:val="24"/>
        </w:rPr>
        <w:t>simplex</w:t>
      </w:r>
      <w:proofErr w:type="spellEnd"/>
      <w:r w:rsidRPr="00A22361">
        <w:rPr>
          <w:sz w:val="24"/>
          <w:szCs w:val="24"/>
        </w:rPr>
        <w:t xml:space="preserve"> og </w:t>
      </w:r>
      <w:proofErr w:type="spellStart"/>
      <w:r w:rsidRPr="00A22361">
        <w:rPr>
          <w:sz w:val="24"/>
          <w:szCs w:val="24"/>
        </w:rPr>
        <w:t>varicella</w:t>
      </w:r>
      <w:proofErr w:type="spellEnd"/>
      <w:r w:rsidRPr="00A22361">
        <w:rPr>
          <w:sz w:val="24"/>
          <w:szCs w:val="24"/>
        </w:rPr>
        <w:t xml:space="preserve"> </w:t>
      </w:r>
      <w:proofErr w:type="spellStart"/>
      <w:r w:rsidRPr="00A22361">
        <w:rPr>
          <w:sz w:val="24"/>
          <w:szCs w:val="24"/>
        </w:rPr>
        <w:t>zoster</w:t>
      </w:r>
      <w:proofErr w:type="spellEnd"/>
      <w:r w:rsidRPr="00A22361">
        <w:rPr>
          <w:sz w:val="24"/>
          <w:szCs w:val="24"/>
        </w:rPr>
        <w:t xml:space="preserve">-virus er blevet observeret på vilkårlige tidspunkter i behandlingsforløbet med </w:t>
      </w:r>
      <w:proofErr w:type="spellStart"/>
      <w:r w:rsidRPr="00A22361">
        <w:rPr>
          <w:sz w:val="24"/>
          <w:szCs w:val="24"/>
        </w:rPr>
        <w:t>fingolimod</w:t>
      </w:r>
      <w:proofErr w:type="spellEnd"/>
      <w:r w:rsidRPr="00A22361">
        <w:rPr>
          <w:sz w:val="24"/>
          <w:szCs w:val="24"/>
        </w:rPr>
        <w:t xml:space="preserve">. Hvis herpes </w:t>
      </w:r>
      <w:proofErr w:type="spellStart"/>
      <w:r w:rsidRPr="00A22361">
        <w:rPr>
          <w:sz w:val="24"/>
          <w:szCs w:val="24"/>
        </w:rPr>
        <w:t>encefalitis</w:t>
      </w:r>
      <w:proofErr w:type="spellEnd"/>
      <w:r w:rsidRPr="00A22361">
        <w:rPr>
          <w:sz w:val="24"/>
          <w:szCs w:val="24"/>
        </w:rPr>
        <w:t xml:space="preserve">, meningitis eller </w:t>
      </w:r>
      <w:proofErr w:type="spellStart"/>
      <w:r w:rsidRPr="00A22361">
        <w:rPr>
          <w:sz w:val="24"/>
          <w:szCs w:val="24"/>
        </w:rPr>
        <w:t>meningoencefalitis</w:t>
      </w:r>
      <w:proofErr w:type="spellEnd"/>
      <w:r w:rsidRPr="00A22361">
        <w:rPr>
          <w:sz w:val="24"/>
          <w:szCs w:val="24"/>
        </w:rPr>
        <w:t xml:space="preserve"> opstår, bør behandling med </w:t>
      </w:r>
      <w:proofErr w:type="spellStart"/>
      <w:r w:rsidRPr="00A22361">
        <w:rPr>
          <w:sz w:val="24"/>
          <w:szCs w:val="24"/>
        </w:rPr>
        <w:t>fingolimod</w:t>
      </w:r>
      <w:proofErr w:type="spellEnd"/>
      <w:r w:rsidRPr="00A22361">
        <w:rPr>
          <w:sz w:val="24"/>
          <w:szCs w:val="24"/>
        </w:rPr>
        <w:t xml:space="preserve"> seponeres, og passende behandling for den respektive infektion bør igangsættes.</w:t>
      </w:r>
    </w:p>
    <w:p w14:paraId="13FA7971" w14:textId="77777777" w:rsidR="007F793B" w:rsidRPr="00062742" w:rsidRDefault="007F793B" w:rsidP="007F793B">
      <w:pPr>
        <w:ind w:left="851"/>
        <w:rPr>
          <w:noProof/>
          <w:sz w:val="24"/>
          <w:szCs w:val="24"/>
        </w:rPr>
      </w:pPr>
      <w:r w:rsidRPr="00062742">
        <w:rPr>
          <w:noProof/>
          <w:sz w:val="24"/>
          <w:szCs w:val="24"/>
        </w:rPr>
        <w:t xml:space="preserve"> </w:t>
      </w:r>
    </w:p>
    <w:p w14:paraId="0B1190F0" w14:textId="77777777" w:rsidR="007F793B" w:rsidRPr="009E49F8" w:rsidRDefault="007F793B" w:rsidP="007F793B">
      <w:pPr>
        <w:ind w:left="851"/>
        <w:rPr>
          <w:noProof/>
          <w:sz w:val="24"/>
          <w:szCs w:val="24"/>
        </w:rPr>
      </w:pPr>
      <w:r w:rsidRPr="009E49F8">
        <w:rPr>
          <w:noProof/>
          <w:sz w:val="24"/>
          <w:szCs w:val="24"/>
        </w:rPr>
        <w:t xml:space="preserve">Patienter skal undersøges for immunitet overfor varicella (skoldkopper) før behandling med fingolimod. Det anbefales, at patienter, som ikke har haft skoldkopper diagnosticeret af en læge, eller ikke har dokumentation for et fuldt vaccinationsprogram med skoldkoppevaccine, testes for antistoffer mod varicella zoster-virus (VZV), før behandling med fingolimod påbegyndes. Et fuldt vaccinationsprogram med skoldkoppevaccine anbefales før påbegyndelse af behandling med fingolimod hos antistofnegative patienter (se pkt. 4.8). Indledning af behandling med fingolimod skal udsættes til 1 måned efter vaccination for at opnå den fulde virkning af vaccinen. </w:t>
      </w:r>
    </w:p>
    <w:p w14:paraId="3BF1F319" w14:textId="77777777" w:rsidR="007F793B" w:rsidRPr="009E49F8" w:rsidRDefault="007F793B" w:rsidP="007F793B">
      <w:pPr>
        <w:ind w:left="851"/>
        <w:rPr>
          <w:noProof/>
          <w:sz w:val="24"/>
          <w:szCs w:val="24"/>
        </w:rPr>
      </w:pPr>
    </w:p>
    <w:p w14:paraId="4C07CA7E" w14:textId="77777777" w:rsidR="007F793B" w:rsidRPr="009E49F8" w:rsidRDefault="007F793B" w:rsidP="007F793B">
      <w:pPr>
        <w:ind w:left="851"/>
        <w:rPr>
          <w:noProof/>
          <w:sz w:val="24"/>
          <w:szCs w:val="24"/>
        </w:rPr>
      </w:pPr>
      <w:proofErr w:type="spellStart"/>
      <w:r w:rsidRPr="00A22361">
        <w:rPr>
          <w:u w:val="single"/>
        </w:rPr>
        <w:t>Kryptokokmeningitis</w:t>
      </w:r>
      <w:proofErr w:type="spellEnd"/>
      <w:r w:rsidRPr="00A22361">
        <w:rPr>
          <w:u w:val="single"/>
        </w:rPr>
        <w:t xml:space="preserve"> </w:t>
      </w:r>
    </w:p>
    <w:p w14:paraId="61F01764" w14:textId="77777777" w:rsidR="007F793B" w:rsidRPr="009E49F8" w:rsidRDefault="007F793B" w:rsidP="007F793B">
      <w:pPr>
        <w:ind w:left="851"/>
        <w:rPr>
          <w:noProof/>
          <w:sz w:val="24"/>
          <w:szCs w:val="24"/>
        </w:rPr>
      </w:pPr>
      <w:r w:rsidRPr="009E49F8">
        <w:rPr>
          <w:noProof/>
          <w:sz w:val="24"/>
          <w:szCs w:val="24"/>
        </w:rPr>
        <w:t>Der er efter markedsføringen indberettet tilfælde af kryptokokmeningitis (en svampeinfektion), i nogle tilfælde med dødelig udgang, efter ca. 2-3 års behandling, dog er den nøjagtige sammenhæng med behandlingsvarigheden ikke kendt (se pkt. 4.8). Patienter med symptomer, som stemmer overens med kryptokokmeningitis (f.eks. hovedpine forbundet med mentale ændringer som f.eks. konfusion, hallucinationer og/eller personlighedsændringer) skal straks udredes diagnostisk. Hvis kryptokokmeningitis diagnoticeres, skal fingolimod seponeres, og der skal iværksættes passende behandling. En speciallæge i infektionsmedicin bør konsulteres, hvis behandlingen ønskes genoptaget.</w:t>
      </w:r>
    </w:p>
    <w:p w14:paraId="52BE4C71" w14:textId="77777777" w:rsidR="007F793B" w:rsidRDefault="007F793B" w:rsidP="007F793B">
      <w:pPr>
        <w:ind w:left="851"/>
        <w:rPr>
          <w:noProof/>
          <w:sz w:val="24"/>
          <w:szCs w:val="24"/>
        </w:rPr>
      </w:pPr>
    </w:p>
    <w:p w14:paraId="69876137" w14:textId="77777777" w:rsidR="007F793B" w:rsidRPr="00A22361" w:rsidRDefault="007F793B" w:rsidP="007F793B">
      <w:pPr>
        <w:ind w:left="851"/>
        <w:rPr>
          <w:noProof/>
          <w:sz w:val="24"/>
          <w:szCs w:val="24"/>
          <w:u w:val="single"/>
        </w:rPr>
      </w:pPr>
      <w:r w:rsidRPr="00A22361">
        <w:rPr>
          <w:sz w:val="24"/>
          <w:szCs w:val="24"/>
          <w:u w:val="single"/>
        </w:rPr>
        <w:t xml:space="preserve">Progressiv multifokal </w:t>
      </w:r>
      <w:proofErr w:type="spellStart"/>
      <w:r w:rsidRPr="00A22361">
        <w:rPr>
          <w:sz w:val="24"/>
          <w:szCs w:val="24"/>
          <w:u w:val="single"/>
        </w:rPr>
        <w:t>leukoencefalopati</w:t>
      </w:r>
      <w:proofErr w:type="spellEnd"/>
      <w:r w:rsidRPr="00A22361">
        <w:rPr>
          <w:sz w:val="24"/>
          <w:szCs w:val="24"/>
          <w:u w:val="single"/>
        </w:rPr>
        <w:t xml:space="preserve"> (PML)</w:t>
      </w:r>
    </w:p>
    <w:p w14:paraId="09A976D7" w14:textId="77777777" w:rsidR="007F793B" w:rsidRPr="009E49F8" w:rsidRDefault="007F793B" w:rsidP="007F793B">
      <w:pPr>
        <w:ind w:left="851"/>
        <w:rPr>
          <w:noProof/>
          <w:sz w:val="24"/>
          <w:szCs w:val="24"/>
        </w:rPr>
      </w:pPr>
      <w:r w:rsidRPr="009E49F8">
        <w:rPr>
          <w:noProof/>
          <w:sz w:val="24"/>
          <w:szCs w:val="24"/>
        </w:rPr>
        <w:t>Der er efter markedsføringen indberettet tilfælde af progressiv multifokal leukoencefalopati (PML) under behandling med fingolimod (se pkt. 4.8). PML er en opportunistisk infektion forårsaget af JohnCunningham-virus (JCV) og kan være dødelig eller medføre svær invaliditet. Der har optrådt tilfælde af PML efter ca. 2-3 års monoterapibehandling hos patienter, der ikke tidligere har været behandlet med natalizumab. Selvom den anslåede risiko synes at øges med kumulativ eksponering over tid, er den nøjagtige sammenhæng med behandlingsvarigheden ikke kendt. Yderligere tilfælde af PML er set hos patienter, som tidligere er blevet behandlet med natalizumab, hvilket har en kendt årsagssammenhæng med PML. PML kan kun opstå i nærvær af JCV-infektion. Hvis JCV-test foretages, skal det tages i betragtning, at indflydelsen af lymfopeni på nøjagtigheden af anti-JCVantistoftesten ikke er undersøgt hos patienter behandlet med fingolimod. Ligeledes skal man være opmærksom på, at en negativ anti-JCV-antistoftest ikke udelukker muligheden for en efterfølgende JCV-infektion. Inden behandlingen med fingolimod initieres, skal en baseline-MR være til rådighed (som regel inden for 3 måneder) som reference. MR-scanningsfund kan være tilstede før kliniske tegn eller symptomer. Ved rutinemæssig MR-scanning (i henhold til nationale og lokale retnongslinjer) skal lægen være opmærksom på forandringer tydende på PML. Der er rapporteret tilfælde af symptomatisk PML baseret på MR-scanningsfund og positiv JCV-DNA i cerebrospinalvæsken hos patienter behandlet med fingolimod. MR-scanning bør overvejes som led i øget agtpågivenhed hos patienter, der anses for at have en øget risiko for PLM. Ved formodning om PML skal MR-scanning udføres straks med henblik på diagnosticering, og fingolimod skal seponeres, indtil PML er blevet udelukket.</w:t>
      </w:r>
    </w:p>
    <w:p w14:paraId="4540D33F" w14:textId="77777777" w:rsidR="007F793B" w:rsidRDefault="007F793B" w:rsidP="007F793B">
      <w:pPr>
        <w:ind w:left="851"/>
        <w:rPr>
          <w:noProof/>
          <w:sz w:val="24"/>
          <w:szCs w:val="24"/>
        </w:rPr>
      </w:pPr>
    </w:p>
    <w:p w14:paraId="62F4FA1E" w14:textId="77777777" w:rsidR="007F793B" w:rsidRPr="00A22361" w:rsidRDefault="007F793B" w:rsidP="007F793B">
      <w:pPr>
        <w:ind w:left="851"/>
        <w:rPr>
          <w:noProof/>
          <w:sz w:val="24"/>
          <w:szCs w:val="24"/>
          <w:u w:val="single"/>
        </w:rPr>
      </w:pPr>
      <w:r w:rsidRPr="00A22361">
        <w:rPr>
          <w:sz w:val="24"/>
          <w:szCs w:val="24"/>
          <w:u w:val="single"/>
        </w:rPr>
        <w:t xml:space="preserve">Human </w:t>
      </w:r>
      <w:proofErr w:type="spellStart"/>
      <w:r w:rsidRPr="00A22361">
        <w:rPr>
          <w:sz w:val="24"/>
          <w:szCs w:val="24"/>
          <w:u w:val="single"/>
        </w:rPr>
        <w:t>papilloma</w:t>
      </w:r>
      <w:proofErr w:type="spellEnd"/>
      <w:r w:rsidRPr="00A22361">
        <w:rPr>
          <w:sz w:val="24"/>
          <w:szCs w:val="24"/>
          <w:u w:val="single"/>
        </w:rPr>
        <w:t xml:space="preserve"> virus (HPV) infektion</w:t>
      </w:r>
    </w:p>
    <w:p w14:paraId="6B2C2FC1" w14:textId="77777777" w:rsidR="007F793B" w:rsidRPr="009E49F8" w:rsidRDefault="007F793B" w:rsidP="007F793B">
      <w:pPr>
        <w:ind w:left="851"/>
        <w:rPr>
          <w:noProof/>
          <w:sz w:val="24"/>
          <w:szCs w:val="24"/>
        </w:rPr>
      </w:pPr>
      <w:r w:rsidRPr="009E49F8">
        <w:rPr>
          <w:noProof/>
          <w:sz w:val="24"/>
          <w:szCs w:val="24"/>
        </w:rPr>
        <w:lastRenderedPageBreak/>
        <w:t xml:space="preserve">Efter markedsføring er der rapporteret tilfælde af human papilloma virus (HPV) infektion, herunder papillom, dysplasi, vorter og HPV-relateret kræft, under behandling med fingolimod. HPV-vaccination, under hensyntagen til retningslinjerne for vaccination, bør overvejes inden initiering af behandling på grund af fingolimods immunsuppressive egenskaber. Kræft-screening, herunder Pap-test, anbefales efter gældende standarder. </w:t>
      </w:r>
    </w:p>
    <w:p w14:paraId="1930FDAB" w14:textId="77777777" w:rsidR="007F793B" w:rsidRPr="009E49F8" w:rsidRDefault="007F793B" w:rsidP="007F793B">
      <w:pPr>
        <w:ind w:left="851"/>
        <w:rPr>
          <w:noProof/>
          <w:sz w:val="24"/>
          <w:szCs w:val="24"/>
        </w:rPr>
      </w:pPr>
      <w:r w:rsidRPr="009E49F8">
        <w:rPr>
          <w:noProof/>
          <w:sz w:val="24"/>
          <w:szCs w:val="24"/>
        </w:rPr>
        <w:t xml:space="preserve"> </w:t>
      </w:r>
    </w:p>
    <w:p w14:paraId="07805B06" w14:textId="77777777" w:rsidR="007F793B" w:rsidRPr="009E49F8" w:rsidRDefault="007F793B" w:rsidP="007F793B">
      <w:pPr>
        <w:ind w:left="851"/>
        <w:rPr>
          <w:noProof/>
          <w:sz w:val="24"/>
          <w:szCs w:val="24"/>
          <w:u w:val="single"/>
        </w:rPr>
      </w:pPr>
      <w:r w:rsidRPr="009E49F8">
        <w:rPr>
          <w:noProof/>
          <w:sz w:val="24"/>
          <w:szCs w:val="24"/>
          <w:u w:val="single"/>
        </w:rPr>
        <w:t xml:space="preserve">Makulaødem </w:t>
      </w:r>
    </w:p>
    <w:p w14:paraId="7D37839B" w14:textId="77777777" w:rsidR="005F0E16" w:rsidRDefault="007F793B" w:rsidP="007F793B">
      <w:pPr>
        <w:ind w:left="851"/>
        <w:rPr>
          <w:noProof/>
          <w:sz w:val="24"/>
          <w:szCs w:val="24"/>
        </w:rPr>
      </w:pPr>
      <w:r w:rsidRPr="009E49F8">
        <w:rPr>
          <w:noProof/>
          <w:sz w:val="24"/>
          <w:szCs w:val="24"/>
        </w:rPr>
        <w:t>Der er rapporteret makulaødem med eller uden visulle symptomer hos 0,5 % af patienter behandlet med fingolimod 0,5 mg, fortrinsvis inden for de første 3-4 måneder af behandlingen (se pkt. 4.8). Det anbefales derfor at foretage en oftalmologisk undersøgelse 3-4 måneder efter påbegyndt behandling.</w:t>
      </w:r>
    </w:p>
    <w:p w14:paraId="623096BF" w14:textId="55C0DB67" w:rsidR="007F793B" w:rsidRPr="009E49F8" w:rsidRDefault="007F793B" w:rsidP="007F793B">
      <w:pPr>
        <w:ind w:left="851"/>
        <w:rPr>
          <w:noProof/>
          <w:sz w:val="24"/>
          <w:szCs w:val="24"/>
        </w:rPr>
      </w:pPr>
      <w:r w:rsidRPr="009E49F8">
        <w:rPr>
          <w:noProof/>
          <w:sz w:val="24"/>
          <w:szCs w:val="24"/>
        </w:rPr>
        <w:t>Hvis en patient rapporterer synsforstyrrelser på noget tidspunkt under behandlingen, skal der foretages en vurdering af fundus, herunder også af makula.</w:t>
      </w:r>
    </w:p>
    <w:p w14:paraId="7D14059C" w14:textId="77777777" w:rsidR="007F793B" w:rsidRPr="009E49F8" w:rsidRDefault="007F793B" w:rsidP="007F793B">
      <w:pPr>
        <w:ind w:left="851"/>
        <w:rPr>
          <w:noProof/>
          <w:sz w:val="24"/>
          <w:szCs w:val="24"/>
        </w:rPr>
      </w:pPr>
    </w:p>
    <w:p w14:paraId="042824EA" w14:textId="77777777" w:rsidR="007F793B" w:rsidRPr="009E49F8" w:rsidRDefault="007F793B" w:rsidP="007F793B">
      <w:pPr>
        <w:ind w:left="851"/>
        <w:rPr>
          <w:noProof/>
          <w:sz w:val="24"/>
          <w:szCs w:val="24"/>
        </w:rPr>
      </w:pPr>
      <w:r w:rsidRPr="009E49F8">
        <w:rPr>
          <w:noProof/>
          <w:sz w:val="24"/>
          <w:szCs w:val="24"/>
        </w:rPr>
        <w:t>For patienter, som tidligere har haft uveitis, og patienter med diabetes mellitus er der en øget risiko for makulaødem (se pkt. 4.8). Fingolimod er ikke undersøgt hos patienter med både multipel sklerose og diabetes mellitus. Det anbefales, at patienter med både multipel sklerose og diabetes mellitus eller tidligere uveitis får foretaget en oftalmologisk vurdering, før behandling med fingolimod påbegyndes, samt opfølgende vurderinger under behandlingen.</w:t>
      </w:r>
    </w:p>
    <w:p w14:paraId="131CE693" w14:textId="77777777" w:rsidR="007F793B" w:rsidRPr="009E49F8" w:rsidRDefault="007F793B" w:rsidP="007F793B">
      <w:pPr>
        <w:ind w:left="851"/>
        <w:rPr>
          <w:noProof/>
          <w:sz w:val="24"/>
          <w:szCs w:val="24"/>
        </w:rPr>
      </w:pPr>
    </w:p>
    <w:p w14:paraId="56C64668" w14:textId="77777777" w:rsidR="007F793B" w:rsidRPr="009E49F8" w:rsidRDefault="007F793B" w:rsidP="007F793B">
      <w:pPr>
        <w:ind w:left="851"/>
        <w:rPr>
          <w:noProof/>
          <w:sz w:val="24"/>
          <w:szCs w:val="24"/>
        </w:rPr>
      </w:pPr>
      <w:r w:rsidRPr="009E49F8">
        <w:rPr>
          <w:noProof/>
          <w:sz w:val="24"/>
          <w:szCs w:val="24"/>
        </w:rPr>
        <w:t>Fortsat behandling af patienter med makulaødem er ikke undersøgt. Det anbefales at afbryde behandlingen med fingolimod, hvis patienten udvikler makulaødem. Når der skal træffes beslutning om, hvorvidt behandling skal genoptages efter makulaødemet er forsvundet, skal der tages hensyn til de potentielle fordele og risici for den enkelte patient.</w:t>
      </w:r>
    </w:p>
    <w:p w14:paraId="0F87D5AE" w14:textId="77777777" w:rsidR="007F793B" w:rsidRPr="009E49F8" w:rsidRDefault="007F793B" w:rsidP="007F793B">
      <w:pPr>
        <w:ind w:left="851"/>
        <w:rPr>
          <w:noProof/>
          <w:sz w:val="24"/>
          <w:szCs w:val="24"/>
        </w:rPr>
      </w:pPr>
    </w:p>
    <w:p w14:paraId="691D3C24" w14:textId="77777777" w:rsidR="007F793B" w:rsidRPr="009E49F8" w:rsidRDefault="007F793B" w:rsidP="007F793B">
      <w:pPr>
        <w:ind w:left="851"/>
        <w:rPr>
          <w:noProof/>
          <w:sz w:val="24"/>
          <w:szCs w:val="24"/>
          <w:u w:val="single"/>
        </w:rPr>
      </w:pPr>
      <w:r w:rsidRPr="009E49F8">
        <w:rPr>
          <w:noProof/>
          <w:sz w:val="24"/>
          <w:szCs w:val="24"/>
          <w:u w:val="single"/>
        </w:rPr>
        <w:t>Lever</w:t>
      </w:r>
      <w:r>
        <w:rPr>
          <w:noProof/>
          <w:sz w:val="24"/>
          <w:szCs w:val="24"/>
          <w:u w:val="single"/>
        </w:rPr>
        <w:t>skade</w:t>
      </w:r>
    </w:p>
    <w:p w14:paraId="2199194E" w14:textId="77777777" w:rsidR="007F793B" w:rsidRPr="009E49F8" w:rsidRDefault="007F793B" w:rsidP="007F793B">
      <w:pPr>
        <w:ind w:left="851"/>
        <w:rPr>
          <w:noProof/>
          <w:sz w:val="24"/>
          <w:szCs w:val="24"/>
        </w:rPr>
      </w:pPr>
      <w:r w:rsidRPr="009E49F8">
        <w:rPr>
          <w:noProof/>
          <w:sz w:val="24"/>
          <w:szCs w:val="24"/>
        </w:rPr>
        <w:t xml:space="preserve">Der er forekommet forhøjede leverenzymer specielt alanin-aminotransferase (ALAT), men også gamma-glutamyltransferase (GGT) og aspartat-aminotransferase (ASAT) hos multipel sklerosepatienter i behandling med fingolimod. </w:t>
      </w:r>
      <w:r w:rsidRPr="00A22361">
        <w:rPr>
          <w:sz w:val="24"/>
          <w:szCs w:val="24"/>
        </w:rPr>
        <w:t>Nogle tilfælde af akut leversvigt, der krævede levertransplantation, og klinisk signifikant leverskade er også blevet indberettet. Tegn på leverskade, herunder markant forhøjet leverenzymer i serum og forhøjet total bilirubin, er opstået så tidligt som ti dage efter den første dosis og er også blevet indberettet efter langvarig brug.</w:t>
      </w:r>
      <w:r w:rsidRPr="007E37E8">
        <w:rPr>
          <w:noProof/>
          <w:sz w:val="24"/>
          <w:szCs w:val="24"/>
        </w:rPr>
        <w:t xml:space="preserve"> </w:t>
      </w:r>
      <w:r w:rsidRPr="009E49F8">
        <w:rPr>
          <w:noProof/>
          <w:sz w:val="24"/>
          <w:szCs w:val="24"/>
        </w:rPr>
        <w:t>Under kliniske studier er der forekommet forhøjelser af leveraminotransferase på 3 eller flere gange den øvre normalgrænse (upper limit of normal, ULN) hos 8,0 % af de voksne patienter, der blev behandlet med fingolimod 0,5 mg, sammenlignet med 1,9 % af placebopatienterne. Forhøjelser på 5 gange ULN forekom hos 1,8 % af patienterne på fingolimod og 0,9 % af patienterne på placebo. Fingolimodbehandlingen blev afbrudt i de kliniske studier ved forhøjelser på mere end 5 gange ULN. Forhøjelse af lever aminotransferaser forekom igen ved genoptagelse af behandlingen hos nogle patienter, hvilket taler for en sammenhæng med fingolimod. I kliniske studier forekom aminotransferasestigning på alle tidspunkter under behandlingen, men de fleste tilfælde forekom i løbet af de første 12 måneder. Serumaminotransferaseniveauerne blev normale igen inden for ca. 2 måneder efter seponering af fingolimod.</w:t>
      </w:r>
    </w:p>
    <w:p w14:paraId="096C9237" w14:textId="77777777" w:rsidR="007F793B" w:rsidRPr="009E49F8" w:rsidRDefault="007F793B" w:rsidP="007F793B">
      <w:pPr>
        <w:ind w:left="851"/>
        <w:rPr>
          <w:noProof/>
          <w:sz w:val="24"/>
          <w:szCs w:val="24"/>
        </w:rPr>
      </w:pPr>
    </w:p>
    <w:p w14:paraId="25320965" w14:textId="77777777" w:rsidR="007F793B" w:rsidRPr="009E49F8" w:rsidRDefault="007F793B" w:rsidP="007F793B">
      <w:pPr>
        <w:ind w:left="851"/>
        <w:rPr>
          <w:noProof/>
          <w:sz w:val="24"/>
          <w:szCs w:val="24"/>
        </w:rPr>
      </w:pPr>
      <w:r w:rsidRPr="009E49F8">
        <w:rPr>
          <w:noProof/>
          <w:sz w:val="24"/>
          <w:szCs w:val="24"/>
        </w:rPr>
        <w:t xml:space="preserve">Fingolimod er ikke undersøgt hos patienter med svære leverskader (Child-Pugh klasse C) og bør ikke anvendes til denne type patienter (se pkt. 4.3). </w:t>
      </w:r>
    </w:p>
    <w:p w14:paraId="0B9F3120" w14:textId="77777777" w:rsidR="007F793B" w:rsidRPr="009E49F8" w:rsidRDefault="007F793B" w:rsidP="007F793B">
      <w:pPr>
        <w:ind w:left="851"/>
        <w:rPr>
          <w:noProof/>
          <w:sz w:val="24"/>
          <w:szCs w:val="24"/>
        </w:rPr>
      </w:pPr>
      <w:r w:rsidRPr="009E49F8">
        <w:rPr>
          <w:noProof/>
          <w:sz w:val="24"/>
          <w:szCs w:val="24"/>
        </w:rPr>
        <w:t xml:space="preserve"> </w:t>
      </w:r>
    </w:p>
    <w:p w14:paraId="752C4C66" w14:textId="77777777" w:rsidR="007F793B" w:rsidRPr="009E49F8" w:rsidRDefault="007F793B" w:rsidP="007F793B">
      <w:pPr>
        <w:ind w:left="851"/>
        <w:rPr>
          <w:noProof/>
          <w:sz w:val="24"/>
          <w:szCs w:val="24"/>
        </w:rPr>
      </w:pPr>
      <w:r w:rsidRPr="009E49F8">
        <w:rPr>
          <w:noProof/>
          <w:sz w:val="24"/>
          <w:szCs w:val="24"/>
        </w:rPr>
        <w:t xml:space="preserve">Da fingolimod har immunsuppressive egenskaber bør initiering af behandling udsættes hos patienter med aktiv viral hepatitis indtil infektionen er ophørt. </w:t>
      </w:r>
    </w:p>
    <w:p w14:paraId="3F7BD29A" w14:textId="77777777" w:rsidR="007F793B" w:rsidRDefault="007F793B" w:rsidP="007F793B">
      <w:pPr>
        <w:ind w:left="851"/>
        <w:rPr>
          <w:noProof/>
          <w:sz w:val="24"/>
          <w:szCs w:val="24"/>
        </w:rPr>
      </w:pPr>
    </w:p>
    <w:p w14:paraId="0C4B2701" w14:textId="77777777" w:rsidR="007F793B" w:rsidRPr="007E37E8" w:rsidRDefault="007F793B" w:rsidP="007F793B">
      <w:pPr>
        <w:ind w:left="851"/>
        <w:rPr>
          <w:noProof/>
          <w:sz w:val="24"/>
          <w:szCs w:val="24"/>
        </w:rPr>
      </w:pPr>
      <w:r w:rsidRPr="00A22361">
        <w:rPr>
          <w:sz w:val="24"/>
          <w:szCs w:val="24"/>
        </w:rPr>
        <w:lastRenderedPageBreak/>
        <w:t xml:space="preserve">Der bør være nye målinger (dvs. indenfor de seneste 6 måneder) af </w:t>
      </w:r>
      <w:proofErr w:type="spellStart"/>
      <w:r w:rsidRPr="00A22361">
        <w:rPr>
          <w:sz w:val="24"/>
          <w:szCs w:val="24"/>
        </w:rPr>
        <w:t>aminotransferaser</w:t>
      </w:r>
      <w:proofErr w:type="spellEnd"/>
      <w:r w:rsidRPr="00A22361">
        <w:rPr>
          <w:sz w:val="24"/>
          <w:szCs w:val="24"/>
        </w:rPr>
        <w:t xml:space="preserve"> og bilirubin tilgængelige ved indledning af behandling. Hvis der ikke er kliniske symptomer, bør </w:t>
      </w:r>
      <w:proofErr w:type="spellStart"/>
      <w:r w:rsidRPr="00A22361">
        <w:rPr>
          <w:sz w:val="24"/>
          <w:szCs w:val="24"/>
        </w:rPr>
        <w:t>leveraminotransferaser</w:t>
      </w:r>
      <w:proofErr w:type="spellEnd"/>
      <w:r w:rsidRPr="00A22361">
        <w:rPr>
          <w:sz w:val="24"/>
          <w:szCs w:val="24"/>
        </w:rPr>
        <w:t xml:space="preserve"> og bilirubin i serum måles ved måned 1, 3, 6, 9 og 12 under behandlingen og periodisk derefter indtil 2 måneder efter </w:t>
      </w:r>
      <w:proofErr w:type="spellStart"/>
      <w:r w:rsidRPr="00A22361">
        <w:rPr>
          <w:sz w:val="24"/>
          <w:szCs w:val="24"/>
        </w:rPr>
        <w:t>seponering</w:t>
      </w:r>
      <w:proofErr w:type="spellEnd"/>
      <w:r w:rsidRPr="00A22361">
        <w:rPr>
          <w:sz w:val="24"/>
          <w:szCs w:val="24"/>
        </w:rPr>
        <w:t xml:space="preserve"> af behandling med </w:t>
      </w:r>
      <w:proofErr w:type="spellStart"/>
      <w:r>
        <w:rPr>
          <w:sz w:val="24"/>
          <w:szCs w:val="24"/>
        </w:rPr>
        <w:t>fingolimod</w:t>
      </w:r>
      <w:proofErr w:type="spellEnd"/>
      <w:r w:rsidRPr="00A22361">
        <w:rPr>
          <w:sz w:val="24"/>
          <w:szCs w:val="24"/>
        </w:rPr>
        <w:t xml:space="preserve">. Ved manglende kliniske symptomer, hvis </w:t>
      </w:r>
      <w:proofErr w:type="spellStart"/>
      <w:r w:rsidRPr="00A22361">
        <w:rPr>
          <w:sz w:val="24"/>
          <w:szCs w:val="24"/>
        </w:rPr>
        <w:t>leveraminotransferaser</w:t>
      </w:r>
      <w:proofErr w:type="spellEnd"/>
      <w:r w:rsidRPr="00A22361">
        <w:rPr>
          <w:sz w:val="24"/>
          <w:szCs w:val="24"/>
        </w:rPr>
        <w:t xml:space="preserve"> er mere end 3 og mindre end 5 gange ULN uden øgning af bilirubin i serum, bør mere hyppig monitorering, herunder måling af bilirubin og alkalisk fosfatase (ALP) i serum, udføres for at klargøre om yderligere øgning opstår og for at skelne fra tilstedeværelse af en alternativ ætiologi for leverdysfunktion. Hvis </w:t>
      </w:r>
      <w:proofErr w:type="spellStart"/>
      <w:r w:rsidRPr="00A22361">
        <w:rPr>
          <w:sz w:val="24"/>
          <w:szCs w:val="24"/>
        </w:rPr>
        <w:t>leveraminotransferaser</w:t>
      </w:r>
      <w:proofErr w:type="spellEnd"/>
      <w:r w:rsidRPr="00A22361">
        <w:rPr>
          <w:sz w:val="24"/>
          <w:szCs w:val="24"/>
        </w:rPr>
        <w:t xml:space="preserve"> er mindst 5 gange ULN eller mindst 3 gange ULN forbundet med enhver øgning af bilirubin i serum, bør behandling med </w:t>
      </w:r>
      <w:proofErr w:type="spellStart"/>
      <w:r>
        <w:rPr>
          <w:sz w:val="24"/>
          <w:szCs w:val="24"/>
        </w:rPr>
        <w:t>fingolimod</w:t>
      </w:r>
      <w:proofErr w:type="spellEnd"/>
      <w:r w:rsidRPr="00A22361">
        <w:rPr>
          <w:sz w:val="24"/>
          <w:szCs w:val="24"/>
        </w:rPr>
        <w:t xml:space="preserve"> seponeres. Levermonitorering bør fortsættes. Hvis serum-niveauerne bliver normale igen (herunder hvis en alternativ årsag til leverdysfunktionen opdages), k an behandling med </w:t>
      </w:r>
      <w:proofErr w:type="spellStart"/>
      <w:r>
        <w:rPr>
          <w:sz w:val="24"/>
          <w:szCs w:val="24"/>
        </w:rPr>
        <w:t>fingolimod</w:t>
      </w:r>
      <w:proofErr w:type="spellEnd"/>
      <w:r w:rsidRPr="00A22361">
        <w:rPr>
          <w:sz w:val="24"/>
          <w:szCs w:val="24"/>
        </w:rPr>
        <w:t xml:space="preserve"> genstartes baseret på en omhyggelig benefit/</w:t>
      </w:r>
      <w:proofErr w:type="spellStart"/>
      <w:r w:rsidRPr="00A22361">
        <w:rPr>
          <w:sz w:val="24"/>
          <w:szCs w:val="24"/>
        </w:rPr>
        <w:t>risk</w:t>
      </w:r>
      <w:proofErr w:type="spellEnd"/>
      <w:r w:rsidRPr="00A22361">
        <w:rPr>
          <w:sz w:val="24"/>
          <w:szCs w:val="24"/>
        </w:rPr>
        <w:t>-vurdering af patienten.</w:t>
      </w:r>
      <w:r w:rsidRPr="007E37E8">
        <w:rPr>
          <w:noProof/>
          <w:sz w:val="24"/>
          <w:szCs w:val="24"/>
        </w:rPr>
        <w:t xml:space="preserve"> </w:t>
      </w:r>
    </w:p>
    <w:p w14:paraId="3A2408A9" w14:textId="77777777" w:rsidR="007F793B" w:rsidRDefault="007F793B" w:rsidP="007F793B">
      <w:pPr>
        <w:ind w:left="851"/>
        <w:rPr>
          <w:noProof/>
          <w:sz w:val="24"/>
          <w:szCs w:val="24"/>
        </w:rPr>
      </w:pPr>
      <w:r w:rsidRPr="009E49F8">
        <w:rPr>
          <w:noProof/>
          <w:sz w:val="24"/>
          <w:szCs w:val="24"/>
        </w:rPr>
        <w:t xml:space="preserve"> </w:t>
      </w:r>
    </w:p>
    <w:p w14:paraId="136D172F" w14:textId="77777777" w:rsidR="007F793B" w:rsidRDefault="007F793B" w:rsidP="007F793B">
      <w:pPr>
        <w:ind w:left="851"/>
      </w:pPr>
      <w:r>
        <w:t>Patienter, der udvikler symptomer, der tyder på nedsat leverfunktion, såsom uforklarlig kvalme, opkastning, mavesmerter, træthed, appetitløshed eller gulsot og/eller mørk urin, bør straks have målt leverenzymer og bilirubin, og behandling bør seponeres, hvis der konstateres signifikant leverskade. Behandlingen bør ikke genoptages, med mindre der kan fastlægges en plausibel alternativ ætiologi for tegnene og symptomerne på leverskade.</w:t>
      </w:r>
    </w:p>
    <w:p w14:paraId="5B1F2D1B" w14:textId="77777777" w:rsidR="007F793B" w:rsidRPr="009E49F8" w:rsidRDefault="007F793B" w:rsidP="007F793B">
      <w:pPr>
        <w:ind w:left="851"/>
        <w:rPr>
          <w:noProof/>
          <w:sz w:val="24"/>
          <w:szCs w:val="24"/>
        </w:rPr>
      </w:pPr>
    </w:p>
    <w:p w14:paraId="56124624" w14:textId="77777777" w:rsidR="007F793B" w:rsidRPr="009E49F8" w:rsidRDefault="007F793B" w:rsidP="007F793B">
      <w:pPr>
        <w:ind w:left="851"/>
        <w:rPr>
          <w:noProof/>
          <w:sz w:val="24"/>
          <w:szCs w:val="24"/>
        </w:rPr>
      </w:pPr>
      <w:r w:rsidRPr="009E49F8">
        <w:rPr>
          <w:noProof/>
          <w:sz w:val="24"/>
          <w:szCs w:val="24"/>
        </w:rPr>
        <w:t>Selvom der ikke er data, der viser, at patienter med leversygdom har en øget risiko for at udvikle forhøjede leverenzymer under behandling med fingolimod, bør der udvises forsigtighed ved anvendelse af fingolimod hos patienter med signifikant leversygdom i anamnesen.</w:t>
      </w:r>
    </w:p>
    <w:p w14:paraId="1619AB0C" w14:textId="77777777" w:rsidR="007F793B" w:rsidRPr="009E49F8" w:rsidRDefault="007F793B" w:rsidP="007F793B">
      <w:pPr>
        <w:ind w:left="851"/>
        <w:rPr>
          <w:noProof/>
          <w:sz w:val="24"/>
          <w:szCs w:val="24"/>
        </w:rPr>
      </w:pPr>
    </w:p>
    <w:p w14:paraId="71C3A846" w14:textId="77777777" w:rsidR="007F793B" w:rsidRPr="009E49F8" w:rsidRDefault="007F793B" w:rsidP="007F793B">
      <w:pPr>
        <w:ind w:left="851"/>
        <w:rPr>
          <w:noProof/>
          <w:sz w:val="24"/>
          <w:szCs w:val="24"/>
          <w:u w:val="single"/>
        </w:rPr>
      </w:pPr>
      <w:r w:rsidRPr="009E49F8">
        <w:rPr>
          <w:noProof/>
          <w:sz w:val="24"/>
          <w:szCs w:val="24"/>
          <w:u w:val="single"/>
        </w:rPr>
        <w:t xml:space="preserve">Virkning på blodtrykket </w:t>
      </w:r>
    </w:p>
    <w:p w14:paraId="7A1B791E" w14:textId="77777777" w:rsidR="007F793B" w:rsidRPr="009E49F8" w:rsidRDefault="007F793B" w:rsidP="007F793B">
      <w:pPr>
        <w:ind w:left="851"/>
        <w:rPr>
          <w:noProof/>
          <w:sz w:val="24"/>
          <w:szCs w:val="24"/>
        </w:rPr>
      </w:pPr>
      <w:r w:rsidRPr="009E49F8">
        <w:rPr>
          <w:noProof/>
          <w:sz w:val="24"/>
          <w:szCs w:val="24"/>
        </w:rPr>
        <w:t xml:space="preserve">Patienter med hypertension, som ikke var medicinsk kontrolleret, blev ekskluderet fra deltagelse i kliniske studier udført før markedsføring. Der skal iagttages forsigtighed, hvis patienter med ukontrolleret hypertension behandles med fingolimod. </w:t>
      </w:r>
    </w:p>
    <w:p w14:paraId="0B025F20" w14:textId="77777777" w:rsidR="007F793B" w:rsidRPr="009E49F8" w:rsidRDefault="007F793B" w:rsidP="007F793B">
      <w:pPr>
        <w:ind w:left="851"/>
        <w:rPr>
          <w:noProof/>
          <w:sz w:val="24"/>
          <w:szCs w:val="24"/>
        </w:rPr>
      </w:pPr>
      <w:r w:rsidRPr="009E49F8">
        <w:rPr>
          <w:noProof/>
          <w:sz w:val="24"/>
          <w:szCs w:val="24"/>
        </w:rPr>
        <w:t>I multipel sklerosestudierne oplevede patienter behandlet med fingolimod 0,5 mg en gennemsnitlig øgning på ca. 3 mmHg i det systoliske blodtryk og ca. 1 mmHg i det diastoliske blodtryk. Blodtryksstigningen blev opdaget ca. 1 måned efter behandlingsstart og persisterede under fortsat behandling. I det placebokontrollerede 2-års studie blev hypertension rapporteret som en bivirkning hos 6,5 % af patienterne i behandling med fingolimod 0,5 mg og hos 3,3 % af placebopatienterne. Blodtrykket bør derfor monitoreres jævnligt under behandling.</w:t>
      </w:r>
    </w:p>
    <w:p w14:paraId="7507FF67" w14:textId="77777777" w:rsidR="007F793B" w:rsidRPr="009E49F8" w:rsidRDefault="007F793B" w:rsidP="007F793B">
      <w:pPr>
        <w:ind w:left="851"/>
        <w:rPr>
          <w:noProof/>
          <w:sz w:val="24"/>
          <w:szCs w:val="24"/>
        </w:rPr>
      </w:pPr>
    </w:p>
    <w:p w14:paraId="4EDDF5C6" w14:textId="77777777" w:rsidR="007F793B" w:rsidRPr="009E49F8" w:rsidRDefault="007F793B" w:rsidP="007F793B">
      <w:pPr>
        <w:ind w:left="851"/>
        <w:rPr>
          <w:noProof/>
          <w:sz w:val="24"/>
          <w:szCs w:val="24"/>
          <w:u w:val="single"/>
        </w:rPr>
      </w:pPr>
      <w:r w:rsidRPr="009E49F8">
        <w:rPr>
          <w:noProof/>
          <w:sz w:val="24"/>
          <w:szCs w:val="24"/>
          <w:u w:val="single"/>
        </w:rPr>
        <w:t xml:space="preserve">Virkning på respirationen </w:t>
      </w:r>
    </w:p>
    <w:p w14:paraId="342A8160" w14:textId="77777777" w:rsidR="007F793B" w:rsidRPr="009E49F8" w:rsidRDefault="007F793B" w:rsidP="007F793B">
      <w:pPr>
        <w:ind w:left="851"/>
        <w:rPr>
          <w:noProof/>
          <w:sz w:val="24"/>
          <w:szCs w:val="24"/>
        </w:rPr>
      </w:pPr>
      <w:r w:rsidRPr="009E49F8">
        <w:rPr>
          <w:noProof/>
          <w:sz w:val="24"/>
          <w:szCs w:val="24"/>
        </w:rPr>
        <w:t>Der blev observeret en mindre dosisafhængig reduktion i værdierne for forceret ekspirationsvolumen (FEV1) og lungediffusionskapacitet for kulmonooxid (DLCO) ved behandling med fingolimod startende ved måned 1 og forblivende stabil derefter. Fingolimod bør anvendes med forsigtighed hos patienter med svær respiratorisk lidelse, lungefibrose og kronisk obstruktiv lungesygdom (se pkt. 4.8).</w:t>
      </w:r>
    </w:p>
    <w:p w14:paraId="5DB20E8C" w14:textId="77777777" w:rsidR="007F793B" w:rsidRPr="009E49F8" w:rsidRDefault="007F793B" w:rsidP="007F793B">
      <w:pPr>
        <w:ind w:left="851"/>
        <w:rPr>
          <w:noProof/>
          <w:sz w:val="24"/>
          <w:szCs w:val="24"/>
        </w:rPr>
      </w:pPr>
    </w:p>
    <w:p w14:paraId="12E5066D" w14:textId="77777777" w:rsidR="007F793B" w:rsidRPr="009E49F8" w:rsidRDefault="007F793B" w:rsidP="007F793B">
      <w:pPr>
        <w:ind w:left="851"/>
        <w:rPr>
          <w:noProof/>
          <w:sz w:val="24"/>
          <w:szCs w:val="24"/>
          <w:u w:val="single"/>
        </w:rPr>
      </w:pPr>
      <w:r w:rsidRPr="009E49F8">
        <w:rPr>
          <w:noProof/>
          <w:sz w:val="24"/>
          <w:szCs w:val="24"/>
          <w:u w:val="single"/>
        </w:rPr>
        <w:t xml:space="preserve">Posterior reversibelt encefalopati-syndrom </w:t>
      </w:r>
    </w:p>
    <w:p w14:paraId="773436D8" w14:textId="77777777" w:rsidR="007F793B" w:rsidRPr="009E49F8" w:rsidRDefault="007F793B" w:rsidP="007F793B">
      <w:pPr>
        <w:ind w:left="851"/>
        <w:rPr>
          <w:noProof/>
          <w:sz w:val="24"/>
          <w:szCs w:val="24"/>
        </w:rPr>
      </w:pPr>
      <w:r w:rsidRPr="009E49F8">
        <w:rPr>
          <w:noProof/>
          <w:sz w:val="24"/>
          <w:szCs w:val="24"/>
        </w:rPr>
        <w:t xml:space="preserve">Der er i kliniske studier og efter markedsføring rapporteret sjældne tilfælde af posterior reversibelt encefalopati-syndrom (PRES) (se pkt. 4.8). De rapporterede symptomer inkluderede pludseligt opstået kraftig hovedpine, kvalme, opkastning, ændring i mental tilstand, synsforstyrrelser og kramper. Symptomerne på PRES er sædvanligvis reversible, men der kan udvikles iskæmisk apopleksi eller hjerneblødning. Forsinkelse i diagnose og </w:t>
      </w:r>
      <w:r w:rsidRPr="009E49F8">
        <w:rPr>
          <w:noProof/>
          <w:sz w:val="24"/>
          <w:szCs w:val="24"/>
        </w:rPr>
        <w:lastRenderedPageBreak/>
        <w:t>behandling kan føre til permanente neurologiske sequelae. Hvis der er formodning om PRES, skal fingolimod seponeres.</w:t>
      </w:r>
    </w:p>
    <w:p w14:paraId="292905F7" w14:textId="77777777" w:rsidR="007F793B" w:rsidRPr="009E49F8" w:rsidRDefault="007F793B" w:rsidP="007F793B">
      <w:pPr>
        <w:ind w:left="851"/>
        <w:rPr>
          <w:noProof/>
          <w:sz w:val="24"/>
          <w:szCs w:val="24"/>
        </w:rPr>
      </w:pPr>
    </w:p>
    <w:p w14:paraId="25D69432" w14:textId="77777777" w:rsidR="007F793B" w:rsidRPr="009E49F8" w:rsidRDefault="007F793B" w:rsidP="007F793B">
      <w:pPr>
        <w:ind w:left="851"/>
        <w:rPr>
          <w:noProof/>
          <w:sz w:val="24"/>
          <w:szCs w:val="24"/>
          <w:u w:val="single"/>
        </w:rPr>
      </w:pPr>
      <w:r w:rsidRPr="009E49F8">
        <w:rPr>
          <w:noProof/>
          <w:sz w:val="24"/>
          <w:szCs w:val="24"/>
          <w:u w:val="single"/>
        </w:rPr>
        <w:t xml:space="preserve">Forudgående immunsupprimerende eller immunmodulerende behandlinger </w:t>
      </w:r>
    </w:p>
    <w:p w14:paraId="3400163C" w14:textId="77777777" w:rsidR="007F793B" w:rsidRPr="009E49F8" w:rsidRDefault="007F793B" w:rsidP="007F793B">
      <w:pPr>
        <w:ind w:left="851"/>
        <w:rPr>
          <w:noProof/>
          <w:sz w:val="24"/>
          <w:szCs w:val="24"/>
        </w:rPr>
      </w:pPr>
      <w:r w:rsidRPr="009E49F8">
        <w:rPr>
          <w:noProof/>
          <w:sz w:val="24"/>
          <w:szCs w:val="24"/>
        </w:rPr>
        <w:t>Der er ikke udført studier til vurdering af fingolimods virkning og sikkerhed ved skift fra teriflunomid-, dimethylfumarat- eller alemtuzumab-behandling til fingolimod. Ved skift fra en anden sygdomsmodificerende behandling til fingolimod skal der tages hensyn til den anden behandlings halveringstid og virkningsmåde for at undgå additiv immun</w:t>
      </w:r>
      <w:r w:rsidRPr="009E49F8">
        <w:rPr>
          <w:noProof/>
          <w:sz w:val="24"/>
          <w:szCs w:val="24"/>
        </w:rPr>
        <w:softHyphen/>
        <w:t xml:space="preserve">supprimerende virkning og samtidig minimere risikoen for reaktivering af sygdommen. CBC anbefales før initiering af fingolimod for at sikre, at den tidligere behandlings virkning på immunsystemet (dvs. cytopeni) er ophørt. </w:t>
      </w:r>
    </w:p>
    <w:p w14:paraId="0261CDFF" w14:textId="77777777" w:rsidR="007F793B" w:rsidRPr="009E49F8" w:rsidRDefault="007F793B" w:rsidP="007F793B">
      <w:pPr>
        <w:ind w:left="851"/>
        <w:rPr>
          <w:noProof/>
          <w:sz w:val="24"/>
          <w:szCs w:val="24"/>
        </w:rPr>
      </w:pPr>
    </w:p>
    <w:p w14:paraId="7D286D13" w14:textId="77777777" w:rsidR="007F793B" w:rsidRPr="009E49F8" w:rsidRDefault="007F793B" w:rsidP="007F793B">
      <w:pPr>
        <w:ind w:left="851"/>
        <w:rPr>
          <w:sz w:val="24"/>
          <w:szCs w:val="24"/>
        </w:rPr>
      </w:pPr>
      <w:proofErr w:type="spellStart"/>
      <w:r w:rsidRPr="009E49F8">
        <w:rPr>
          <w:sz w:val="24"/>
          <w:szCs w:val="24"/>
        </w:rPr>
        <w:t>Fingolimod</w:t>
      </w:r>
      <w:proofErr w:type="spellEnd"/>
      <w:r w:rsidRPr="009E49F8">
        <w:rPr>
          <w:sz w:val="24"/>
          <w:szCs w:val="24"/>
        </w:rPr>
        <w:t xml:space="preserve"> kan normalt startes straks efter </w:t>
      </w:r>
      <w:proofErr w:type="spellStart"/>
      <w:r w:rsidRPr="009E49F8">
        <w:rPr>
          <w:sz w:val="24"/>
          <w:szCs w:val="24"/>
        </w:rPr>
        <w:t>seponering</w:t>
      </w:r>
      <w:proofErr w:type="spellEnd"/>
      <w:r w:rsidRPr="009E49F8">
        <w:rPr>
          <w:sz w:val="24"/>
          <w:szCs w:val="24"/>
        </w:rPr>
        <w:t xml:space="preserve"> af interferon eller </w:t>
      </w:r>
      <w:proofErr w:type="spellStart"/>
      <w:r w:rsidRPr="009E49F8">
        <w:rPr>
          <w:sz w:val="24"/>
          <w:szCs w:val="24"/>
        </w:rPr>
        <w:t>glatirameracetat</w:t>
      </w:r>
      <w:proofErr w:type="spellEnd"/>
      <w:r w:rsidRPr="009E49F8">
        <w:rPr>
          <w:sz w:val="24"/>
          <w:szCs w:val="24"/>
        </w:rPr>
        <w:t xml:space="preserve">. </w:t>
      </w:r>
    </w:p>
    <w:p w14:paraId="12ED7003" w14:textId="77777777" w:rsidR="007F793B" w:rsidRPr="009E49F8" w:rsidRDefault="007F793B" w:rsidP="007F793B">
      <w:pPr>
        <w:ind w:left="851"/>
        <w:rPr>
          <w:sz w:val="24"/>
          <w:szCs w:val="24"/>
        </w:rPr>
      </w:pPr>
      <w:r w:rsidRPr="009E49F8">
        <w:rPr>
          <w:sz w:val="24"/>
          <w:szCs w:val="24"/>
        </w:rPr>
        <w:t xml:space="preserve"> </w:t>
      </w:r>
    </w:p>
    <w:p w14:paraId="39EEE21B" w14:textId="77777777" w:rsidR="007F793B" w:rsidRPr="009E49F8" w:rsidRDefault="007F793B" w:rsidP="007F793B">
      <w:pPr>
        <w:ind w:left="851"/>
        <w:rPr>
          <w:sz w:val="24"/>
          <w:szCs w:val="24"/>
        </w:rPr>
      </w:pPr>
      <w:r w:rsidRPr="009E49F8">
        <w:rPr>
          <w:sz w:val="24"/>
          <w:szCs w:val="24"/>
        </w:rPr>
        <w:t xml:space="preserve">For </w:t>
      </w:r>
      <w:proofErr w:type="spellStart"/>
      <w:r w:rsidRPr="009E49F8">
        <w:rPr>
          <w:sz w:val="24"/>
          <w:szCs w:val="24"/>
        </w:rPr>
        <w:t>dimethylfumarat</w:t>
      </w:r>
      <w:proofErr w:type="spellEnd"/>
      <w:r w:rsidRPr="009E49F8">
        <w:rPr>
          <w:sz w:val="24"/>
          <w:szCs w:val="24"/>
        </w:rPr>
        <w:t xml:space="preserve"> bør udvaskningsperioden være tilstrækkelig lang til, at CBC er på udgangsniveau, før behandling med </w:t>
      </w:r>
      <w:proofErr w:type="spellStart"/>
      <w:r w:rsidRPr="009E49F8">
        <w:rPr>
          <w:sz w:val="24"/>
          <w:szCs w:val="24"/>
        </w:rPr>
        <w:t>fingolimod</w:t>
      </w:r>
      <w:proofErr w:type="spellEnd"/>
      <w:r w:rsidRPr="009E49F8">
        <w:rPr>
          <w:sz w:val="24"/>
          <w:szCs w:val="24"/>
        </w:rPr>
        <w:t xml:space="preserve"> startes.</w:t>
      </w:r>
    </w:p>
    <w:p w14:paraId="1C64F66F" w14:textId="77777777" w:rsidR="007F793B" w:rsidRPr="009E49F8" w:rsidRDefault="007F793B" w:rsidP="007F793B">
      <w:pPr>
        <w:ind w:left="851"/>
        <w:rPr>
          <w:sz w:val="24"/>
          <w:szCs w:val="24"/>
        </w:rPr>
      </w:pPr>
    </w:p>
    <w:p w14:paraId="684EC4E2" w14:textId="77777777" w:rsidR="007F793B" w:rsidRPr="009E49F8" w:rsidRDefault="007F793B" w:rsidP="007F793B">
      <w:pPr>
        <w:ind w:left="851"/>
        <w:rPr>
          <w:sz w:val="24"/>
          <w:szCs w:val="24"/>
        </w:rPr>
      </w:pPr>
      <w:r w:rsidRPr="009E49F8">
        <w:rPr>
          <w:sz w:val="24"/>
          <w:szCs w:val="24"/>
        </w:rPr>
        <w:t xml:space="preserve">På grund af </w:t>
      </w:r>
      <w:proofErr w:type="spellStart"/>
      <w:r w:rsidRPr="009E49F8">
        <w:rPr>
          <w:sz w:val="24"/>
          <w:szCs w:val="24"/>
        </w:rPr>
        <w:t>natalizumabs</w:t>
      </w:r>
      <w:proofErr w:type="spellEnd"/>
      <w:r w:rsidRPr="009E49F8">
        <w:rPr>
          <w:sz w:val="24"/>
          <w:szCs w:val="24"/>
        </w:rPr>
        <w:t xml:space="preserve"> lange halveringstid tager eliminationen normalt op til 2-3 måneder efter behandlingsophør. </w:t>
      </w:r>
      <w:proofErr w:type="spellStart"/>
      <w:r w:rsidRPr="009E49F8">
        <w:rPr>
          <w:sz w:val="24"/>
          <w:szCs w:val="24"/>
        </w:rPr>
        <w:t>Teriflunomid</w:t>
      </w:r>
      <w:proofErr w:type="spellEnd"/>
      <w:r w:rsidRPr="009E49F8">
        <w:rPr>
          <w:sz w:val="24"/>
          <w:szCs w:val="24"/>
        </w:rPr>
        <w:t xml:space="preserve"> elimineres også langsomt fra plasma. Uden en accelereret eliminationsprocedure kan </w:t>
      </w:r>
      <w:proofErr w:type="spellStart"/>
      <w:r w:rsidRPr="009E49F8">
        <w:rPr>
          <w:sz w:val="24"/>
          <w:szCs w:val="24"/>
        </w:rPr>
        <w:t>clearence</w:t>
      </w:r>
      <w:proofErr w:type="spellEnd"/>
      <w:r w:rsidRPr="009E49F8">
        <w:rPr>
          <w:sz w:val="24"/>
          <w:szCs w:val="24"/>
        </w:rPr>
        <w:t xml:space="preserve"> af </w:t>
      </w:r>
      <w:proofErr w:type="spellStart"/>
      <w:r w:rsidRPr="009E49F8">
        <w:rPr>
          <w:sz w:val="24"/>
          <w:szCs w:val="24"/>
        </w:rPr>
        <w:t>teriflunomid</w:t>
      </w:r>
      <w:proofErr w:type="spellEnd"/>
      <w:r w:rsidRPr="009E49F8">
        <w:rPr>
          <w:sz w:val="24"/>
          <w:szCs w:val="24"/>
        </w:rPr>
        <w:t xml:space="preserve"> fra plasma tage fra flere måneder til op til 2 år. Det anbefales at udføre en accelereret eliminationsprocedure som beskrevet i produktresumeet for </w:t>
      </w:r>
      <w:proofErr w:type="spellStart"/>
      <w:r w:rsidRPr="009E49F8">
        <w:rPr>
          <w:sz w:val="24"/>
          <w:szCs w:val="24"/>
        </w:rPr>
        <w:t>teriflunomid</w:t>
      </w:r>
      <w:proofErr w:type="spellEnd"/>
      <w:r w:rsidRPr="009E49F8">
        <w:rPr>
          <w:sz w:val="24"/>
          <w:szCs w:val="24"/>
        </w:rPr>
        <w:t xml:space="preserve">, alternativt bør udvaskningsperioden ikke være kortere en 3,5 måned. Det er nødvendigt at tage forholdsregler mod potentiel samtidig immunsupprimerende virkning, når patienter skifter fra </w:t>
      </w:r>
      <w:proofErr w:type="spellStart"/>
      <w:r w:rsidRPr="009E49F8">
        <w:rPr>
          <w:sz w:val="24"/>
          <w:szCs w:val="24"/>
        </w:rPr>
        <w:t>natazulimab</w:t>
      </w:r>
      <w:proofErr w:type="spellEnd"/>
      <w:r w:rsidRPr="009E49F8">
        <w:rPr>
          <w:sz w:val="24"/>
          <w:szCs w:val="24"/>
        </w:rPr>
        <w:t xml:space="preserve"> eller </w:t>
      </w:r>
      <w:proofErr w:type="spellStart"/>
      <w:r w:rsidRPr="009E49F8">
        <w:rPr>
          <w:sz w:val="24"/>
          <w:szCs w:val="24"/>
        </w:rPr>
        <w:t>teriflunomid</w:t>
      </w:r>
      <w:proofErr w:type="spellEnd"/>
      <w:r w:rsidRPr="009E49F8">
        <w:rPr>
          <w:sz w:val="24"/>
          <w:szCs w:val="24"/>
        </w:rPr>
        <w:t xml:space="preserve"> til </w:t>
      </w:r>
      <w:proofErr w:type="spellStart"/>
      <w:r w:rsidRPr="009E49F8">
        <w:rPr>
          <w:sz w:val="24"/>
          <w:szCs w:val="24"/>
        </w:rPr>
        <w:t>fingolimod</w:t>
      </w:r>
      <w:proofErr w:type="spellEnd"/>
      <w:r w:rsidRPr="009E49F8">
        <w:rPr>
          <w:sz w:val="24"/>
          <w:szCs w:val="24"/>
        </w:rPr>
        <w:t xml:space="preserve">. </w:t>
      </w:r>
    </w:p>
    <w:p w14:paraId="30E3F3A9" w14:textId="77777777" w:rsidR="007F793B" w:rsidRPr="009E49F8" w:rsidRDefault="007F793B" w:rsidP="007F793B">
      <w:pPr>
        <w:ind w:left="851"/>
        <w:rPr>
          <w:sz w:val="24"/>
          <w:szCs w:val="24"/>
        </w:rPr>
      </w:pPr>
    </w:p>
    <w:p w14:paraId="340760E7" w14:textId="77777777" w:rsidR="007F793B" w:rsidRPr="009E49F8" w:rsidRDefault="007F793B" w:rsidP="007F793B">
      <w:pPr>
        <w:ind w:left="851"/>
        <w:rPr>
          <w:sz w:val="24"/>
          <w:szCs w:val="24"/>
        </w:rPr>
      </w:pPr>
      <w:proofErr w:type="spellStart"/>
      <w:r w:rsidRPr="009E49F8">
        <w:rPr>
          <w:sz w:val="24"/>
          <w:szCs w:val="24"/>
        </w:rPr>
        <w:t>Alemtuzumab</w:t>
      </w:r>
      <w:proofErr w:type="spellEnd"/>
      <w:r w:rsidRPr="009E49F8">
        <w:rPr>
          <w:sz w:val="24"/>
          <w:szCs w:val="24"/>
        </w:rPr>
        <w:t xml:space="preserve"> har en kraftig og langvarig immunsupprimerende virkning. Da den faktiske varighed af immunsuppression ikke er kendt, kan påbegyndelse af </w:t>
      </w:r>
      <w:proofErr w:type="spellStart"/>
      <w:r w:rsidRPr="009E49F8">
        <w:rPr>
          <w:sz w:val="24"/>
          <w:szCs w:val="24"/>
        </w:rPr>
        <w:t>fingolimod</w:t>
      </w:r>
      <w:proofErr w:type="spellEnd"/>
      <w:r w:rsidRPr="009E49F8">
        <w:rPr>
          <w:sz w:val="24"/>
          <w:szCs w:val="24"/>
        </w:rPr>
        <w:t xml:space="preserve">-behandling efter </w:t>
      </w:r>
      <w:proofErr w:type="spellStart"/>
      <w:r w:rsidRPr="009E49F8">
        <w:rPr>
          <w:sz w:val="24"/>
          <w:szCs w:val="24"/>
        </w:rPr>
        <w:t>alemtuzumab</w:t>
      </w:r>
      <w:proofErr w:type="spellEnd"/>
      <w:r w:rsidRPr="009E49F8">
        <w:rPr>
          <w:sz w:val="24"/>
          <w:szCs w:val="24"/>
        </w:rPr>
        <w:t xml:space="preserve"> ikke anbefales, medmindre fordelen ved en sådan behandling klart opvejer risikoen for den enkelte patient. </w:t>
      </w:r>
    </w:p>
    <w:p w14:paraId="1A1D54D6" w14:textId="77777777" w:rsidR="007F793B" w:rsidRPr="009E49F8" w:rsidRDefault="007F793B" w:rsidP="007F793B">
      <w:pPr>
        <w:ind w:left="851"/>
        <w:rPr>
          <w:sz w:val="24"/>
          <w:szCs w:val="24"/>
        </w:rPr>
      </w:pPr>
      <w:r w:rsidRPr="009E49F8">
        <w:rPr>
          <w:sz w:val="24"/>
          <w:szCs w:val="24"/>
        </w:rPr>
        <w:t xml:space="preserve"> </w:t>
      </w:r>
    </w:p>
    <w:p w14:paraId="724C6430" w14:textId="77777777" w:rsidR="007F793B" w:rsidRPr="009E49F8" w:rsidRDefault="007F793B" w:rsidP="007F793B">
      <w:pPr>
        <w:ind w:left="851"/>
        <w:rPr>
          <w:sz w:val="24"/>
          <w:szCs w:val="24"/>
        </w:rPr>
      </w:pPr>
      <w:r w:rsidRPr="009E49F8">
        <w:rPr>
          <w:sz w:val="24"/>
          <w:szCs w:val="24"/>
        </w:rPr>
        <w:t xml:space="preserve">En beslutning om samtidig længerevarende behandling med </w:t>
      </w:r>
      <w:proofErr w:type="spellStart"/>
      <w:r w:rsidRPr="009E49F8">
        <w:rPr>
          <w:sz w:val="24"/>
          <w:szCs w:val="24"/>
        </w:rPr>
        <w:t>kortikosteroider</w:t>
      </w:r>
      <w:proofErr w:type="spellEnd"/>
      <w:r w:rsidRPr="009E49F8">
        <w:rPr>
          <w:sz w:val="24"/>
          <w:szCs w:val="24"/>
        </w:rPr>
        <w:t xml:space="preserve"> skal ske efter nøje overvejelser.</w:t>
      </w:r>
    </w:p>
    <w:p w14:paraId="77AC8C75" w14:textId="77777777" w:rsidR="007F793B" w:rsidRPr="009E49F8" w:rsidRDefault="007F793B" w:rsidP="007F793B">
      <w:pPr>
        <w:ind w:left="851"/>
        <w:rPr>
          <w:sz w:val="24"/>
          <w:szCs w:val="24"/>
        </w:rPr>
      </w:pPr>
    </w:p>
    <w:p w14:paraId="31954AA2" w14:textId="77777777" w:rsidR="007F793B" w:rsidRPr="009E49F8" w:rsidRDefault="007F793B" w:rsidP="007F793B">
      <w:pPr>
        <w:ind w:left="851"/>
        <w:rPr>
          <w:sz w:val="24"/>
          <w:szCs w:val="24"/>
          <w:u w:val="single"/>
        </w:rPr>
      </w:pPr>
      <w:r w:rsidRPr="009E49F8">
        <w:rPr>
          <w:sz w:val="24"/>
          <w:szCs w:val="24"/>
          <w:u w:val="single"/>
        </w:rPr>
        <w:t xml:space="preserve">Indgivelse sammen med potente CYP-induktorer  </w:t>
      </w:r>
    </w:p>
    <w:p w14:paraId="475CF282" w14:textId="77777777" w:rsidR="007F793B" w:rsidRPr="009E49F8" w:rsidRDefault="007F793B" w:rsidP="007F793B">
      <w:pPr>
        <w:ind w:left="851"/>
        <w:rPr>
          <w:sz w:val="24"/>
          <w:szCs w:val="24"/>
        </w:rPr>
      </w:pPr>
      <w:r w:rsidRPr="009E49F8">
        <w:rPr>
          <w:sz w:val="24"/>
          <w:szCs w:val="24"/>
        </w:rPr>
        <w:t xml:space="preserve">Kombination af </w:t>
      </w:r>
      <w:proofErr w:type="spellStart"/>
      <w:r w:rsidRPr="009E49F8">
        <w:rPr>
          <w:sz w:val="24"/>
          <w:szCs w:val="24"/>
        </w:rPr>
        <w:t>fingolimod</w:t>
      </w:r>
      <w:proofErr w:type="spellEnd"/>
      <w:r w:rsidRPr="009E49F8">
        <w:rPr>
          <w:sz w:val="24"/>
          <w:szCs w:val="24"/>
        </w:rPr>
        <w:t xml:space="preserve"> og potente CYP-induktorer bør ske med forsigtighed. Samtidig indgivelse af perikon frarådes (se pkt. 4.5)</w:t>
      </w:r>
    </w:p>
    <w:p w14:paraId="53D02DE8" w14:textId="77777777" w:rsidR="007F793B" w:rsidRPr="009E49F8" w:rsidRDefault="007F793B" w:rsidP="007F793B">
      <w:pPr>
        <w:ind w:left="851"/>
        <w:rPr>
          <w:sz w:val="24"/>
          <w:szCs w:val="24"/>
        </w:rPr>
      </w:pPr>
    </w:p>
    <w:p w14:paraId="747DFE76" w14:textId="77777777" w:rsidR="007F793B" w:rsidRPr="009E49F8" w:rsidRDefault="007F793B" w:rsidP="007F793B">
      <w:pPr>
        <w:ind w:left="851"/>
        <w:rPr>
          <w:sz w:val="24"/>
          <w:szCs w:val="24"/>
          <w:u w:val="single"/>
        </w:rPr>
      </w:pPr>
      <w:proofErr w:type="spellStart"/>
      <w:r w:rsidRPr="009E49F8">
        <w:rPr>
          <w:sz w:val="24"/>
          <w:szCs w:val="24"/>
          <w:u w:val="single"/>
        </w:rPr>
        <w:t>Maligniteter</w:t>
      </w:r>
      <w:proofErr w:type="spellEnd"/>
      <w:r w:rsidRPr="009E49F8">
        <w:rPr>
          <w:sz w:val="24"/>
          <w:szCs w:val="24"/>
          <w:u w:val="single"/>
        </w:rPr>
        <w:t xml:space="preserve"> </w:t>
      </w:r>
    </w:p>
    <w:p w14:paraId="2097E543" w14:textId="77777777" w:rsidR="007F793B" w:rsidRPr="009E49F8" w:rsidRDefault="007F793B" w:rsidP="007F793B">
      <w:pPr>
        <w:ind w:left="851"/>
        <w:rPr>
          <w:sz w:val="24"/>
          <w:szCs w:val="24"/>
        </w:rPr>
      </w:pPr>
      <w:r w:rsidRPr="009E49F8">
        <w:rPr>
          <w:sz w:val="24"/>
          <w:szCs w:val="24"/>
        </w:rPr>
        <w:t xml:space="preserve"> </w:t>
      </w:r>
    </w:p>
    <w:p w14:paraId="7E43007F" w14:textId="77777777" w:rsidR="007F793B" w:rsidRPr="009E49F8" w:rsidRDefault="007F793B" w:rsidP="007F793B">
      <w:pPr>
        <w:ind w:left="851"/>
        <w:rPr>
          <w:sz w:val="24"/>
          <w:szCs w:val="24"/>
          <w:u w:val="single"/>
        </w:rPr>
      </w:pPr>
      <w:proofErr w:type="spellStart"/>
      <w:r w:rsidRPr="009E49F8">
        <w:rPr>
          <w:i/>
          <w:iCs/>
          <w:sz w:val="24"/>
          <w:szCs w:val="24"/>
          <w:u w:val="single"/>
        </w:rPr>
        <w:t>Kutane</w:t>
      </w:r>
      <w:proofErr w:type="spellEnd"/>
      <w:r w:rsidRPr="009E49F8">
        <w:rPr>
          <w:i/>
          <w:iCs/>
          <w:sz w:val="24"/>
          <w:szCs w:val="24"/>
          <w:u w:val="single"/>
        </w:rPr>
        <w:t xml:space="preserve"> </w:t>
      </w:r>
      <w:proofErr w:type="spellStart"/>
      <w:r w:rsidRPr="009E49F8">
        <w:rPr>
          <w:i/>
          <w:iCs/>
          <w:sz w:val="24"/>
          <w:szCs w:val="24"/>
          <w:u w:val="single"/>
        </w:rPr>
        <w:t>maligniteter</w:t>
      </w:r>
      <w:proofErr w:type="spellEnd"/>
      <w:r w:rsidRPr="009E49F8">
        <w:rPr>
          <w:i/>
          <w:iCs/>
          <w:sz w:val="24"/>
          <w:szCs w:val="24"/>
          <w:u w:val="single"/>
        </w:rPr>
        <w:t xml:space="preserve"> </w:t>
      </w:r>
    </w:p>
    <w:p w14:paraId="6B76FB13" w14:textId="77777777" w:rsidR="007F793B" w:rsidRPr="009E49F8" w:rsidRDefault="007F793B" w:rsidP="007F793B">
      <w:pPr>
        <w:ind w:left="851"/>
        <w:rPr>
          <w:sz w:val="24"/>
          <w:szCs w:val="24"/>
        </w:rPr>
      </w:pPr>
      <w:r w:rsidRPr="009E49F8">
        <w:rPr>
          <w:sz w:val="24"/>
          <w:szCs w:val="24"/>
        </w:rPr>
        <w:t xml:space="preserve">Der er rapporteret basalcellekarcinom (BCC) og andre </w:t>
      </w:r>
      <w:proofErr w:type="spellStart"/>
      <w:r w:rsidRPr="009E49F8">
        <w:rPr>
          <w:sz w:val="24"/>
          <w:szCs w:val="24"/>
        </w:rPr>
        <w:t>kutane</w:t>
      </w:r>
      <w:proofErr w:type="spellEnd"/>
      <w:r w:rsidRPr="009E49F8">
        <w:rPr>
          <w:sz w:val="24"/>
          <w:szCs w:val="24"/>
        </w:rPr>
        <w:t xml:space="preserve"> neoplasmer, herunder malignt melanom, pladecellekarcinom, </w:t>
      </w:r>
      <w:proofErr w:type="spellStart"/>
      <w:r w:rsidRPr="009E49F8">
        <w:rPr>
          <w:sz w:val="24"/>
          <w:szCs w:val="24"/>
        </w:rPr>
        <w:t>Kaposis</w:t>
      </w:r>
      <w:proofErr w:type="spellEnd"/>
      <w:r w:rsidRPr="009E49F8">
        <w:rPr>
          <w:sz w:val="24"/>
          <w:szCs w:val="24"/>
        </w:rPr>
        <w:t xml:space="preserve"> sarkom og </w:t>
      </w:r>
      <w:proofErr w:type="spellStart"/>
      <w:r w:rsidRPr="009E49F8">
        <w:rPr>
          <w:sz w:val="24"/>
          <w:szCs w:val="24"/>
        </w:rPr>
        <w:t>Merkelcellekarcinom</w:t>
      </w:r>
      <w:proofErr w:type="spellEnd"/>
      <w:r w:rsidRPr="009E49F8">
        <w:rPr>
          <w:sz w:val="24"/>
          <w:szCs w:val="24"/>
        </w:rPr>
        <w:t xml:space="preserve">, hos patienter, der får </w:t>
      </w:r>
      <w:proofErr w:type="spellStart"/>
      <w:r w:rsidRPr="009E49F8">
        <w:rPr>
          <w:sz w:val="24"/>
          <w:szCs w:val="24"/>
        </w:rPr>
        <w:t>fingolimod</w:t>
      </w:r>
      <w:proofErr w:type="spellEnd"/>
      <w:r w:rsidRPr="009E49F8">
        <w:rPr>
          <w:sz w:val="24"/>
          <w:szCs w:val="24"/>
        </w:rPr>
        <w:t xml:space="preserve"> (se pkt. 4.8). Der skal udvises opmærksomhed på hudlæsioner, og en medicinsk vurdering af huden anbefales ved start, og derefter hver 6. til 12. måned baseret på en klinisk vurdering. Patienter bør henvises til en dermatolog i tilfælde af observation af mistænkelige hudlæsioner. </w:t>
      </w:r>
    </w:p>
    <w:p w14:paraId="4E8AFA51" w14:textId="77777777" w:rsidR="007F793B" w:rsidRPr="009E49F8" w:rsidRDefault="007F793B" w:rsidP="007F793B">
      <w:pPr>
        <w:ind w:left="851"/>
        <w:rPr>
          <w:sz w:val="24"/>
          <w:szCs w:val="24"/>
        </w:rPr>
      </w:pPr>
      <w:r w:rsidRPr="009E49F8">
        <w:rPr>
          <w:sz w:val="24"/>
          <w:szCs w:val="24"/>
        </w:rPr>
        <w:t xml:space="preserve"> </w:t>
      </w:r>
    </w:p>
    <w:p w14:paraId="44B1DD5A" w14:textId="77777777" w:rsidR="007F793B" w:rsidRPr="009E49F8" w:rsidRDefault="007F793B" w:rsidP="007F793B">
      <w:pPr>
        <w:ind w:left="851"/>
        <w:rPr>
          <w:sz w:val="24"/>
          <w:szCs w:val="24"/>
        </w:rPr>
      </w:pPr>
      <w:r w:rsidRPr="009E49F8">
        <w:rPr>
          <w:sz w:val="24"/>
          <w:szCs w:val="24"/>
        </w:rPr>
        <w:t xml:space="preserve">Da der er en potentiel risiko for malign hudvækst, bør patienter, der behandles med </w:t>
      </w:r>
      <w:proofErr w:type="spellStart"/>
      <w:r w:rsidRPr="009E49F8">
        <w:rPr>
          <w:sz w:val="24"/>
          <w:szCs w:val="24"/>
        </w:rPr>
        <w:t>fingolimod</w:t>
      </w:r>
      <w:proofErr w:type="spellEnd"/>
      <w:r w:rsidRPr="009E49F8">
        <w:rPr>
          <w:sz w:val="24"/>
          <w:szCs w:val="24"/>
        </w:rPr>
        <w:t>, advares mod udsættelse for sollys uden beskyttelse. Disse patienter bør ikke modtage samtidig behandling med UV-B-stråling eller PUVA-fotokemoterapi.</w:t>
      </w:r>
    </w:p>
    <w:p w14:paraId="76859D0F" w14:textId="77777777" w:rsidR="007F793B" w:rsidRPr="009E49F8" w:rsidRDefault="007F793B" w:rsidP="007F793B">
      <w:pPr>
        <w:ind w:left="851"/>
        <w:rPr>
          <w:sz w:val="24"/>
          <w:szCs w:val="24"/>
        </w:rPr>
      </w:pPr>
    </w:p>
    <w:p w14:paraId="7EE740B5" w14:textId="77777777" w:rsidR="007F793B" w:rsidRPr="009E49F8" w:rsidRDefault="007F793B" w:rsidP="007F793B">
      <w:pPr>
        <w:ind w:left="851"/>
        <w:rPr>
          <w:sz w:val="24"/>
          <w:szCs w:val="24"/>
          <w:u w:val="single"/>
        </w:rPr>
      </w:pPr>
      <w:proofErr w:type="spellStart"/>
      <w:r w:rsidRPr="009E49F8">
        <w:rPr>
          <w:i/>
          <w:iCs/>
          <w:sz w:val="24"/>
          <w:szCs w:val="24"/>
          <w:u w:val="single"/>
        </w:rPr>
        <w:lastRenderedPageBreak/>
        <w:t>Lymfomer</w:t>
      </w:r>
      <w:proofErr w:type="spellEnd"/>
      <w:r w:rsidRPr="009E49F8">
        <w:rPr>
          <w:sz w:val="24"/>
          <w:szCs w:val="24"/>
          <w:u w:val="single"/>
        </w:rPr>
        <w:t xml:space="preserve"> </w:t>
      </w:r>
    </w:p>
    <w:p w14:paraId="08AA4E21" w14:textId="77777777" w:rsidR="007F793B" w:rsidRPr="009E49F8" w:rsidRDefault="007F793B" w:rsidP="007F793B">
      <w:pPr>
        <w:ind w:left="851"/>
        <w:rPr>
          <w:sz w:val="24"/>
          <w:szCs w:val="24"/>
        </w:rPr>
      </w:pPr>
      <w:r w:rsidRPr="009E49F8">
        <w:rPr>
          <w:sz w:val="24"/>
          <w:szCs w:val="24"/>
        </w:rPr>
        <w:t xml:space="preserve">Der har været tilfælde af </w:t>
      </w:r>
      <w:proofErr w:type="spellStart"/>
      <w:r w:rsidRPr="009E49F8">
        <w:rPr>
          <w:sz w:val="24"/>
          <w:szCs w:val="24"/>
        </w:rPr>
        <w:t>lymfom</w:t>
      </w:r>
      <w:proofErr w:type="spellEnd"/>
      <w:r w:rsidRPr="009E49F8">
        <w:rPr>
          <w:sz w:val="24"/>
          <w:szCs w:val="24"/>
        </w:rPr>
        <w:t xml:space="preserve"> i kliniske studier og efter markedsføring (se pkt. 4.8). De rapporterede tilfælde var af heterogen karakter, hovedsageligt non-</w:t>
      </w:r>
      <w:proofErr w:type="spellStart"/>
      <w:r w:rsidRPr="009E49F8">
        <w:rPr>
          <w:sz w:val="24"/>
          <w:szCs w:val="24"/>
        </w:rPr>
        <w:t>Hodgkin</w:t>
      </w:r>
      <w:proofErr w:type="spellEnd"/>
      <w:r w:rsidRPr="009E49F8">
        <w:rPr>
          <w:sz w:val="24"/>
          <w:szCs w:val="24"/>
        </w:rPr>
        <w:t>-</w:t>
      </w:r>
      <w:proofErr w:type="spellStart"/>
      <w:r w:rsidRPr="009E49F8">
        <w:rPr>
          <w:sz w:val="24"/>
          <w:szCs w:val="24"/>
        </w:rPr>
        <w:t>lymfom</w:t>
      </w:r>
      <w:proofErr w:type="spellEnd"/>
      <w:r w:rsidRPr="009E49F8">
        <w:rPr>
          <w:sz w:val="24"/>
          <w:szCs w:val="24"/>
        </w:rPr>
        <w:t>, herunder B-celle og T-</w:t>
      </w:r>
      <w:proofErr w:type="spellStart"/>
      <w:r w:rsidRPr="009E49F8">
        <w:rPr>
          <w:sz w:val="24"/>
          <w:szCs w:val="24"/>
        </w:rPr>
        <w:t>cellelymfomer</w:t>
      </w:r>
      <w:proofErr w:type="spellEnd"/>
      <w:r w:rsidRPr="009E49F8">
        <w:rPr>
          <w:sz w:val="24"/>
          <w:szCs w:val="24"/>
        </w:rPr>
        <w:t xml:space="preserve">. Der er blevet observeret tilfælde af </w:t>
      </w:r>
      <w:proofErr w:type="spellStart"/>
      <w:r w:rsidRPr="009E49F8">
        <w:rPr>
          <w:sz w:val="24"/>
          <w:szCs w:val="24"/>
        </w:rPr>
        <w:t>kutant</w:t>
      </w:r>
      <w:proofErr w:type="spellEnd"/>
      <w:r w:rsidRPr="009E49F8">
        <w:rPr>
          <w:sz w:val="24"/>
          <w:szCs w:val="24"/>
        </w:rPr>
        <w:t xml:space="preserve"> T-</w:t>
      </w:r>
      <w:proofErr w:type="spellStart"/>
      <w:r w:rsidRPr="009E49F8">
        <w:rPr>
          <w:sz w:val="24"/>
          <w:szCs w:val="24"/>
        </w:rPr>
        <w:t>cellelymfom</w:t>
      </w:r>
      <w:proofErr w:type="spellEnd"/>
      <w:r w:rsidRPr="009E49F8">
        <w:rPr>
          <w:sz w:val="24"/>
          <w:szCs w:val="24"/>
        </w:rPr>
        <w:t xml:space="preserve"> (</w:t>
      </w:r>
      <w:proofErr w:type="spellStart"/>
      <w:r w:rsidRPr="009E49F8">
        <w:rPr>
          <w:sz w:val="24"/>
          <w:szCs w:val="24"/>
        </w:rPr>
        <w:t>Mycosis</w:t>
      </w:r>
      <w:proofErr w:type="spellEnd"/>
      <w:r w:rsidRPr="009E49F8">
        <w:rPr>
          <w:sz w:val="24"/>
          <w:szCs w:val="24"/>
        </w:rPr>
        <w:t xml:space="preserve"> </w:t>
      </w:r>
      <w:proofErr w:type="spellStart"/>
      <w:r w:rsidRPr="009E49F8">
        <w:rPr>
          <w:sz w:val="24"/>
          <w:szCs w:val="24"/>
        </w:rPr>
        <w:t>Fungoides</w:t>
      </w:r>
      <w:proofErr w:type="spellEnd"/>
      <w:r w:rsidRPr="009E49F8">
        <w:rPr>
          <w:sz w:val="24"/>
          <w:szCs w:val="24"/>
        </w:rPr>
        <w:t xml:space="preserve">). Der er også blevet observeret et dødeligt tilfælde af </w:t>
      </w:r>
      <w:proofErr w:type="spellStart"/>
      <w:r w:rsidRPr="009E49F8">
        <w:rPr>
          <w:sz w:val="24"/>
          <w:szCs w:val="24"/>
        </w:rPr>
        <w:t>Epstein</w:t>
      </w:r>
      <w:proofErr w:type="spellEnd"/>
      <w:r w:rsidRPr="009E49F8">
        <w:rPr>
          <w:sz w:val="24"/>
          <w:szCs w:val="24"/>
        </w:rPr>
        <w:t>-Barr-virus (EBV)-positiv B-</w:t>
      </w:r>
      <w:proofErr w:type="spellStart"/>
      <w:r w:rsidRPr="009E49F8">
        <w:rPr>
          <w:sz w:val="24"/>
          <w:szCs w:val="24"/>
        </w:rPr>
        <w:t>cellelymfom</w:t>
      </w:r>
      <w:proofErr w:type="spellEnd"/>
      <w:r w:rsidRPr="009E49F8">
        <w:rPr>
          <w:sz w:val="24"/>
          <w:szCs w:val="24"/>
        </w:rPr>
        <w:t xml:space="preserve">. Ved formodet </w:t>
      </w:r>
      <w:proofErr w:type="spellStart"/>
      <w:r w:rsidRPr="009E49F8">
        <w:rPr>
          <w:sz w:val="24"/>
          <w:szCs w:val="24"/>
        </w:rPr>
        <w:t>lymfom</w:t>
      </w:r>
      <w:proofErr w:type="spellEnd"/>
      <w:r w:rsidRPr="009E49F8">
        <w:rPr>
          <w:sz w:val="24"/>
          <w:szCs w:val="24"/>
        </w:rPr>
        <w:t xml:space="preserve">, skal </w:t>
      </w:r>
      <w:r>
        <w:rPr>
          <w:sz w:val="24"/>
          <w:szCs w:val="24"/>
        </w:rPr>
        <w:t xml:space="preserve">behandlingen </w:t>
      </w:r>
      <w:r w:rsidRPr="009E49F8">
        <w:rPr>
          <w:sz w:val="24"/>
          <w:szCs w:val="24"/>
        </w:rPr>
        <w:t>seponeres.</w:t>
      </w:r>
    </w:p>
    <w:p w14:paraId="0883EA89" w14:textId="77777777" w:rsidR="007F793B" w:rsidRPr="009E49F8" w:rsidRDefault="007F793B" w:rsidP="007F793B">
      <w:pPr>
        <w:ind w:left="851"/>
        <w:rPr>
          <w:sz w:val="24"/>
          <w:szCs w:val="24"/>
        </w:rPr>
      </w:pPr>
    </w:p>
    <w:p w14:paraId="47C93321" w14:textId="77777777" w:rsidR="007F793B" w:rsidRPr="009E49F8" w:rsidRDefault="007F793B" w:rsidP="007F793B">
      <w:pPr>
        <w:ind w:left="851"/>
        <w:rPr>
          <w:sz w:val="24"/>
          <w:szCs w:val="24"/>
          <w:u w:val="single"/>
        </w:rPr>
      </w:pPr>
      <w:r w:rsidRPr="009E49F8">
        <w:rPr>
          <w:sz w:val="24"/>
          <w:szCs w:val="24"/>
          <w:u w:val="single"/>
        </w:rPr>
        <w:t xml:space="preserve">Fertile kvinder </w:t>
      </w:r>
    </w:p>
    <w:p w14:paraId="0CBB5D05" w14:textId="77777777" w:rsidR="007F793B" w:rsidRPr="009E49F8" w:rsidRDefault="007F793B" w:rsidP="007F793B">
      <w:pPr>
        <w:ind w:left="851"/>
        <w:rPr>
          <w:sz w:val="24"/>
          <w:szCs w:val="24"/>
        </w:rPr>
      </w:pPr>
      <w:r w:rsidRPr="009E49F8">
        <w:rPr>
          <w:sz w:val="24"/>
          <w:szCs w:val="24"/>
        </w:rPr>
        <w:t xml:space="preserve">På grund af risiko for fosteret er </w:t>
      </w:r>
      <w:proofErr w:type="spellStart"/>
      <w:r w:rsidRPr="009E49F8">
        <w:rPr>
          <w:sz w:val="24"/>
          <w:szCs w:val="24"/>
        </w:rPr>
        <w:t>fingolimod</w:t>
      </w:r>
      <w:proofErr w:type="spellEnd"/>
      <w:r w:rsidRPr="009E49F8">
        <w:rPr>
          <w:sz w:val="24"/>
          <w:szCs w:val="24"/>
        </w:rPr>
        <w:t xml:space="preserve"> kontraindiceret under graviditet og til fertile kvinder, der ikke anvender effektiv </w:t>
      </w:r>
      <w:proofErr w:type="spellStart"/>
      <w:r w:rsidRPr="009E49F8">
        <w:rPr>
          <w:sz w:val="24"/>
          <w:szCs w:val="24"/>
        </w:rPr>
        <w:t>kontraception</w:t>
      </w:r>
      <w:proofErr w:type="spellEnd"/>
      <w:r w:rsidRPr="009E49F8">
        <w:rPr>
          <w:sz w:val="24"/>
          <w:szCs w:val="24"/>
        </w:rPr>
        <w:t xml:space="preserve">. Før behandlingen initieres skal fertile kvinder rådgives om denne risiko for fosteret. Der skal foreligge en negativ graviditetstest, og der skal anvendes effektiv </w:t>
      </w:r>
      <w:proofErr w:type="spellStart"/>
      <w:r w:rsidRPr="009E49F8">
        <w:rPr>
          <w:sz w:val="24"/>
          <w:szCs w:val="24"/>
        </w:rPr>
        <w:t>kontraception</w:t>
      </w:r>
      <w:proofErr w:type="spellEnd"/>
      <w:r w:rsidRPr="009E49F8">
        <w:rPr>
          <w:sz w:val="24"/>
          <w:szCs w:val="24"/>
        </w:rPr>
        <w:t xml:space="preserve"> under behandling og i 2 måneder efter </w:t>
      </w:r>
      <w:proofErr w:type="spellStart"/>
      <w:r w:rsidRPr="009E49F8">
        <w:rPr>
          <w:sz w:val="24"/>
          <w:szCs w:val="24"/>
        </w:rPr>
        <w:t>seponering</w:t>
      </w:r>
      <w:proofErr w:type="spellEnd"/>
      <w:r w:rsidRPr="009E49F8">
        <w:rPr>
          <w:sz w:val="24"/>
          <w:szCs w:val="24"/>
        </w:rPr>
        <w:t xml:space="preserve"> (se pkt. 4.3 og 4.6 og informationen i Lægeinformationspakken)</w:t>
      </w:r>
    </w:p>
    <w:p w14:paraId="0AEC4F1A" w14:textId="77777777" w:rsidR="007F793B" w:rsidRPr="009E49F8" w:rsidRDefault="007F793B" w:rsidP="007F793B">
      <w:pPr>
        <w:ind w:left="851"/>
        <w:rPr>
          <w:sz w:val="24"/>
          <w:szCs w:val="24"/>
        </w:rPr>
      </w:pPr>
    </w:p>
    <w:p w14:paraId="26A35A76" w14:textId="77777777" w:rsidR="007F793B" w:rsidRPr="009E49F8" w:rsidRDefault="007F793B" w:rsidP="007F793B">
      <w:pPr>
        <w:ind w:left="851"/>
        <w:rPr>
          <w:sz w:val="24"/>
          <w:szCs w:val="24"/>
          <w:u w:val="single"/>
        </w:rPr>
      </w:pPr>
      <w:proofErr w:type="spellStart"/>
      <w:r w:rsidRPr="009E49F8">
        <w:rPr>
          <w:sz w:val="24"/>
          <w:szCs w:val="24"/>
          <w:u w:val="single"/>
        </w:rPr>
        <w:t>Tumefaktive</w:t>
      </w:r>
      <w:proofErr w:type="spellEnd"/>
      <w:r w:rsidRPr="009E49F8">
        <w:rPr>
          <w:sz w:val="24"/>
          <w:szCs w:val="24"/>
          <w:u w:val="single"/>
        </w:rPr>
        <w:t xml:space="preserve"> læsioner </w:t>
      </w:r>
    </w:p>
    <w:p w14:paraId="63D21551" w14:textId="77777777" w:rsidR="007F793B" w:rsidRDefault="007F793B" w:rsidP="007F793B">
      <w:pPr>
        <w:ind w:left="851"/>
        <w:rPr>
          <w:sz w:val="24"/>
          <w:szCs w:val="24"/>
        </w:rPr>
      </w:pPr>
      <w:r w:rsidRPr="009E49F8">
        <w:rPr>
          <w:sz w:val="24"/>
          <w:szCs w:val="24"/>
        </w:rPr>
        <w:t xml:space="preserve">Der er efter markedsføring blevet rapporteret om sjældne tilfælde af </w:t>
      </w:r>
      <w:proofErr w:type="spellStart"/>
      <w:r w:rsidRPr="009E49F8">
        <w:rPr>
          <w:sz w:val="24"/>
          <w:szCs w:val="24"/>
        </w:rPr>
        <w:t>tumefaktive</w:t>
      </w:r>
      <w:proofErr w:type="spellEnd"/>
      <w:r w:rsidRPr="009E49F8">
        <w:rPr>
          <w:sz w:val="24"/>
          <w:szCs w:val="24"/>
        </w:rPr>
        <w:t xml:space="preserve"> læsioner forbundet med MR-attakker. I tilfælde af svære attakker bør der udføres </w:t>
      </w:r>
      <w:proofErr w:type="spellStart"/>
      <w:r w:rsidRPr="009E49F8">
        <w:rPr>
          <w:sz w:val="24"/>
          <w:szCs w:val="24"/>
        </w:rPr>
        <w:t>MRI-scanning</w:t>
      </w:r>
      <w:proofErr w:type="spellEnd"/>
      <w:r w:rsidRPr="009E49F8">
        <w:rPr>
          <w:sz w:val="24"/>
          <w:szCs w:val="24"/>
        </w:rPr>
        <w:t xml:space="preserve"> for at udelukke </w:t>
      </w:r>
      <w:proofErr w:type="spellStart"/>
      <w:r w:rsidRPr="009E49F8">
        <w:rPr>
          <w:sz w:val="24"/>
          <w:szCs w:val="24"/>
        </w:rPr>
        <w:t>tumefaktive</w:t>
      </w:r>
      <w:proofErr w:type="spellEnd"/>
      <w:r w:rsidRPr="009E49F8">
        <w:rPr>
          <w:sz w:val="24"/>
          <w:szCs w:val="24"/>
        </w:rPr>
        <w:t xml:space="preserve"> læsioner. </w:t>
      </w:r>
      <w:proofErr w:type="spellStart"/>
      <w:r w:rsidRPr="009E49F8">
        <w:rPr>
          <w:sz w:val="24"/>
          <w:szCs w:val="24"/>
        </w:rPr>
        <w:t>Seponering</w:t>
      </w:r>
      <w:proofErr w:type="spellEnd"/>
      <w:r w:rsidRPr="009E49F8">
        <w:rPr>
          <w:sz w:val="24"/>
          <w:szCs w:val="24"/>
        </w:rPr>
        <w:t xml:space="preserve"> af </w:t>
      </w:r>
      <w:r>
        <w:rPr>
          <w:sz w:val="24"/>
          <w:szCs w:val="24"/>
        </w:rPr>
        <w:t>behandlingen</w:t>
      </w:r>
      <w:r w:rsidRPr="009E49F8">
        <w:rPr>
          <w:sz w:val="24"/>
          <w:szCs w:val="24"/>
        </w:rPr>
        <w:t xml:space="preserve"> bør overvejes af den behandlende læge på baggrund af en individuel vurdering og under hensyntagen til fordele og risici for den enkelte patient.</w:t>
      </w:r>
    </w:p>
    <w:p w14:paraId="0D88A3F6" w14:textId="77777777" w:rsidR="007F793B" w:rsidRPr="009E49F8" w:rsidRDefault="007F793B" w:rsidP="007F793B">
      <w:pPr>
        <w:ind w:left="851"/>
        <w:rPr>
          <w:sz w:val="24"/>
          <w:szCs w:val="24"/>
        </w:rPr>
      </w:pPr>
    </w:p>
    <w:p w14:paraId="4E06DE8C" w14:textId="77777777" w:rsidR="007F793B" w:rsidRPr="009E49F8" w:rsidRDefault="007F793B" w:rsidP="007F793B">
      <w:pPr>
        <w:ind w:left="851"/>
        <w:rPr>
          <w:sz w:val="24"/>
          <w:szCs w:val="24"/>
          <w:u w:val="single"/>
        </w:rPr>
      </w:pPr>
      <w:r w:rsidRPr="009E49F8">
        <w:rPr>
          <w:sz w:val="24"/>
          <w:szCs w:val="24"/>
          <w:u w:val="single"/>
        </w:rPr>
        <w:t xml:space="preserve">Fornyet sygdomsaktivitet (recidiv) efter </w:t>
      </w:r>
      <w:proofErr w:type="spellStart"/>
      <w:r w:rsidRPr="009E49F8">
        <w:rPr>
          <w:sz w:val="24"/>
          <w:szCs w:val="24"/>
          <w:u w:val="single"/>
        </w:rPr>
        <w:t>seponering</w:t>
      </w:r>
      <w:proofErr w:type="spellEnd"/>
      <w:r w:rsidRPr="009E49F8">
        <w:rPr>
          <w:sz w:val="24"/>
          <w:szCs w:val="24"/>
          <w:u w:val="single"/>
        </w:rPr>
        <w:t xml:space="preserve"> af </w:t>
      </w:r>
      <w:proofErr w:type="spellStart"/>
      <w:r w:rsidRPr="009E49F8">
        <w:rPr>
          <w:sz w:val="24"/>
          <w:szCs w:val="24"/>
          <w:u w:val="single"/>
        </w:rPr>
        <w:t>fingolimod</w:t>
      </w:r>
      <w:proofErr w:type="spellEnd"/>
      <w:r w:rsidRPr="009E49F8">
        <w:rPr>
          <w:sz w:val="24"/>
          <w:szCs w:val="24"/>
          <w:u w:val="single"/>
        </w:rPr>
        <w:t xml:space="preserve"> </w:t>
      </w:r>
    </w:p>
    <w:p w14:paraId="789473F4" w14:textId="77777777" w:rsidR="007F793B" w:rsidRPr="009E49F8" w:rsidRDefault="007F793B" w:rsidP="007F793B">
      <w:pPr>
        <w:ind w:left="851"/>
        <w:rPr>
          <w:sz w:val="24"/>
          <w:szCs w:val="24"/>
        </w:rPr>
      </w:pPr>
      <w:r w:rsidRPr="009E49F8">
        <w:rPr>
          <w:sz w:val="24"/>
          <w:szCs w:val="24"/>
        </w:rPr>
        <w:t xml:space="preserve">Efter markedsføring er der i sjældne tilfælde observeret alvorlig sygdomsforværring hos nogle patienter, som er stoppet med behandlingen med </w:t>
      </w:r>
      <w:proofErr w:type="spellStart"/>
      <w:r w:rsidRPr="009E49F8">
        <w:rPr>
          <w:sz w:val="24"/>
          <w:szCs w:val="24"/>
        </w:rPr>
        <w:t>fingolimod</w:t>
      </w:r>
      <w:proofErr w:type="spellEnd"/>
      <w:r w:rsidRPr="009E49F8">
        <w:rPr>
          <w:sz w:val="24"/>
          <w:szCs w:val="24"/>
        </w:rPr>
        <w:t xml:space="preserve">. Dette er generelt blevet set inden for 12 uger efter ophør af behandling med </w:t>
      </w:r>
      <w:proofErr w:type="spellStart"/>
      <w:r w:rsidRPr="009E49F8">
        <w:rPr>
          <w:sz w:val="24"/>
          <w:szCs w:val="24"/>
        </w:rPr>
        <w:t>fingolimod</w:t>
      </w:r>
      <w:proofErr w:type="spellEnd"/>
      <w:r w:rsidRPr="009E49F8">
        <w:rPr>
          <w:sz w:val="24"/>
          <w:szCs w:val="24"/>
        </w:rPr>
        <w:t xml:space="preserve">, men er også blevet rapporteret i op til 24 uger efter </w:t>
      </w:r>
      <w:proofErr w:type="spellStart"/>
      <w:r w:rsidRPr="009E49F8">
        <w:rPr>
          <w:sz w:val="24"/>
          <w:szCs w:val="24"/>
        </w:rPr>
        <w:t>seponering</w:t>
      </w:r>
      <w:proofErr w:type="spellEnd"/>
      <w:r w:rsidRPr="009E49F8">
        <w:rPr>
          <w:sz w:val="24"/>
          <w:szCs w:val="24"/>
        </w:rPr>
        <w:t xml:space="preserve">. Der skal derfor udvises forsigtighed, når behandling med </w:t>
      </w:r>
      <w:proofErr w:type="spellStart"/>
      <w:r w:rsidRPr="009E49F8">
        <w:rPr>
          <w:sz w:val="24"/>
          <w:szCs w:val="24"/>
        </w:rPr>
        <w:t>fingolimod</w:t>
      </w:r>
      <w:proofErr w:type="spellEnd"/>
      <w:r w:rsidRPr="009E49F8">
        <w:rPr>
          <w:sz w:val="24"/>
          <w:szCs w:val="24"/>
        </w:rPr>
        <w:t xml:space="preserve"> stoppes. Hvis det vurderes at være nødvendigt at seponere </w:t>
      </w:r>
      <w:proofErr w:type="spellStart"/>
      <w:r w:rsidRPr="009E49F8">
        <w:rPr>
          <w:sz w:val="24"/>
          <w:szCs w:val="24"/>
        </w:rPr>
        <w:t>fingolimod</w:t>
      </w:r>
      <w:proofErr w:type="spellEnd"/>
      <w:r w:rsidRPr="009E49F8">
        <w:rPr>
          <w:sz w:val="24"/>
          <w:szCs w:val="24"/>
        </w:rPr>
        <w:t>, bør muligheden for tilbagevendende usædvanlig høj sygdomsaktivitet tages i betragtning og patienterne bør monitoreres for relevante tegn og symptomer, og passende behandling bør initieres om nødvendigt (se "Behandlingsophør" nedenfor).</w:t>
      </w:r>
    </w:p>
    <w:p w14:paraId="72314256" w14:textId="77777777" w:rsidR="007F793B" w:rsidRPr="009E49F8" w:rsidRDefault="007F793B" w:rsidP="007F793B">
      <w:pPr>
        <w:ind w:left="851"/>
        <w:rPr>
          <w:sz w:val="24"/>
          <w:szCs w:val="24"/>
        </w:rPr>
      </w:pPr>
    </w:p>
    <w:p w14:paraId="66CAD041" w14:textId="77777777" w:rsidR="007F793B" w:rsidRPr="009E49F8" w:rsidRDefault="007F793B" w:rsidP="007F793B">
      <w:pPr>
        <w:ind w:left="851"/>
        <w:rPr>
          <w:sz w:val="24"/>
          <w:szCs w:val="24"/>
          <w:u w:val="single"/>
        </w:rPr>
      </w:pPr>
      <w:r w:rsidRPr="009E49F8">
        <w:rPr>
          <w:sz w:val="24"/>
          <w:szCs w:val="24"/>
          <w:u w:val="single"/>
        </w:rPr>
        <w:t xml:space="preserve">Behandlingsophør  </w:t>
      </w:r>
    </w:p>
    <w:p w14:paraId="0DA446ED" w14:textId="77777777" w:rsidR="007F793B" w:rsidRPr="009E49F8" w:rsidRDefault="007F793B" w:rsidP="007F793B">
      <w:pPr>
        <w:ind w:left="851"/>
        <w:rPr>
          <w:sz w:val="24"/>
          <w:szCs w:val="24"/>
        </w:rPr>
      </w:pPr>
      <w:r w:rsidRPr="009E49F8">
        <w:rPr>
          <w:sz w:val="24"/>
          <w:szCs w:val="24"/>
        </w:rPr>
        <w:t xml:space="preserve">Hvis det besluttes at stoppe behandlingen med </w:t>
      </w:r>
      <w:proofErr w:type="spellStart"/>
      <w:r w:rsidRPr="009E49F8">
        <w:rPr>
          <w:sz w:val="24"/>
          <w:szCs w:val="24"/>
        </w:rPr>
        <w:t>fingolimod</w:t>
      </w:r>
      <w:proofErr w:type="spellEnd"/>
      <w:r w:rsidRPr="009E49F8">
        <w:rPr>
          <w:sz w:val="24"/>
          <w:szCs w:val="24"/>
        </w:rPr>
        <w:t xml:space="preserve">, er det nødvendigt med et 6-ugers interval uden behandling, baseret på halveringstid, for at udvaske </w:t>
      </w:r>
      <w:proofErr w:type="spellStart"/>
      <w:r w:rsidRPr="009E49F8">
        <w:rPr>
          <w:sz w:val="24"/>
          <w:szCs w:val="24"/>
        </w:rPr>
        <w:t>fingolimod</w:t>
      </w:r>
      <w:proofErr w:type="spellEnd"/>
      <w:r w:rsidRPr="009E49F8">
        <w:rPr>
          <w:sz w:val="24"/>
          <w:szCs w:val="24"/>
        </w:rPr>
        <w:t xml:space="preserve"> fra cirkulationen (se pkt. 5.2) Lymfocyttallene vender progressivt tilbage til det normale niveau i løbet af 1-2 måneder efter behandlingsophør hos de fleste patienter (se pkt. 5.1), selvom det hos nogle patienter kan tage betydelig længere tid, før fuldstændig normalisering opnås. Påbegyndelse af anden behandling i denne periode, vil medføre samtidig eksponering for </w:t>
      </w:r>
      <w:proofErr w:type="spellStart"/>
      <w:r w:rsidRPr="009E49F8">
        <w:rPr>
          <w:sz w:val="24"/>
          <w:szCs w:val="24"/>
        </w:rPr>
        <w:t>fingolimod</w:t>
      </w:r>
      <w:proofErr w:type="spellEnd"/>
      <w:r w:rsidRPr="009E49F8">
        <w:rPr>
          <w:sz w:val="24"/>
          <w:szCs w:val="24"/>
        </w:rPr>
        <w:t xml:space="preserve">. Anvendelse af </w:t>
      </w:r>
      <w:proofErr w:type="spellStart"/>
      <w:r w:rsidRPr="009E49F8">
        <w:rPr>
          <w:sz w:val="24"/>
          <w:szCs w:val="24"/>
        </w:rPr>
        <w:t>immunsuppresiva</w:t>
      </w:r>
      <w:proofErr w:type="spellEnd"/>
      <w:r w:rsidRPr="009E49F8">
        <w:rPr>
          <w:sz w:val="24"/>
          <w:szCs w:val="24"/>
        </w:rPr>
        <w:t xml:space="preserve"> hurtigt efter ophør med </w:t>
      </w:r>
      <w:proofErr w:type="spellStart"/>
      <w:r w:rsidRPr="009E49F8">
        <w:rPr>
          <w:sz w:val="24"/>
          <w:szCs w:val="24"/>
        </w:rPr>
        <w:t>fingolimod</w:t>
      </w:r>
      <w:proofErr w:type="spellEnd"/>
      <w:r w:rsidRPr="009E49F8">
        <w:rPr>
          <w:sz w:val="24"/>
          <w:szCs w:val="24"/>
        </w:rPr>
        <w:t xml:space="preserve"> kan medføre en forstærket påvirkning af immunsystemet; det er derfor nødvendigt at udvise forsigtighed. </w:t>
      </w:r>
    </w:p>
    <w:p w14:paraId="7241A87E" w14:textId="77777777" w:rsidR="007F793B" w:rsidRPr="009E49F8" w:rsidRDefault="007F793B" w:rsidP="007F793B">
      <w:pPr>
        <w:ind w:left="851"/>
        <w:rPr>
          <w:sz w:val="24"/>
          <w:szCs w:val="24"/>
        </w:rPr>
      </w:pPr>
      <w:r w:rsidRPr="009E49F8">
        <w:rPr>
          <w:sz w:val="24"/>
          <w:szCs w:val="24"/>
        </w:rPr>
        <w:t xml:space="preserve"> </w:t>
      </w:r>
    </w:p>
    <w:p w14:paraId="5BE9E507" w14:textId="77777777" w:rsidR="007F793B" w:rsidRPr="009E49F8" w:rsidRDefault="007F793B" w:rsidP="007F793B">
      <w:pPr>
        <w:ind w:left="851"/>
        <w:rPr>
          <w:sz w:val="24"/>
          <w:szCs w:val="24"/>
        </w:rPr>
      </w:pPr>
      <w:r w:rsidRPr="009E49F8">
        <w:rPr>
          <w:sz w:val="24"/>
          <w:szCs w:val="24"/>
        </w:rPr>
        <w:t xml:space="preserve">Forsigtighed er også indiceret, når man stopper </w:t>
      </w:r>
      <w:proofErr w:type="spellStart"/>
      <w:r w:rsidRPr="009E49F8">
        <w:rPr>
          <w:sz w:val="24"/>
          <w:szCs w:val="24"/>
        </w:rPr>
        <w:t>fingolimod</w:t>
      </w:r>
      <w:proofErr w:type="spellEnd"/>
      <w:r w:rsidRPr="009E49F8">
        <w:rPr>
          <w:sz w:val="24"/>
          <w:szCs w:val="24"/>
        </w:rPr>
        <w:t xml:space="preserve">-behandling på grund af risikoen for recidiv (se "Fornyet sygdomsaktivitet (recidiv) efter </w:t>
      </w:r>
      <w:proofErr w:type="spellStart"/>
      <w:r w:rsidRPr="009E49F8">
        <w:rPr>
          <w:sz w:val="24"/>
          <w:szCs w:val="24"/>
        </w:rPr>
        <w:t>seponering</w:t>
      </w:r>
      <w:proofErr w:type="spellEnd"/>
      <w:r w:rsidRPr="009E49F8">
        <w:rPr>
          <w:sz w:val="24"/>
          <w:szCs w:val="24"/>
        </w:rPr>
        <w:t xml:space="preserve"> af </w:t>
      </w:r>
      <w:proofErr w:type="spellStart"/>
      <w:r w:rsidRPr="009E49F8">
        <w:rPr>
          <w:sz w:val="24"/>
          <w:szCs w:val="24"/>
        </w:rPr>
        <w:t>fingolimod</w:t>
      </w:r>
      <w:proofErr w:type="spellEnd"/>
      <w:r w:rsidRPr="009E49F8">
        <w:rPr>
          <w:sz w:val="24"/>
          <w:szCs w:val="24"/>
        </w:rPr>
        <w:t xml:space="preserve">" ovenfor). Hvis </w:t>
      </w:r>
      <w:proofErr w:type="spellStart"/>
      <w:r w:rsidRPr="009E49F8">
        <w:rPr>
          <w:sz w:val="24"/>
          <w:szCs w:val="24"/>
        </w:rPr>
        <w:t>seponering</w:t>
      </w:r>
      <w:proofErr w:type="spellEnd"/>
      <w:r w:rsidRPr="009E49F8">
        <w:rPr>
          <w:sz w:val="24"/>
          <w:szCs w:val="24"/>
        </w:rPr>
        <w:t xml:space="preserve"> af </w:t>
      </w:r>
      <w:proofErr w:type="spellStart"/>
      <w:r w:rsidRPr="009E49F8">
        <w:rPr>
          <w:sz w:val="24"/>
          <w:szCs w:val="24"/>
        </w:rPr>
        <w:t>fingolimod</w:t>
      </w:r>
      <w:proofErr w:type="spellEnd"/>
      <w:r w:rsidRPr="009E49F8">
        <w:rPr>
          <w:sz w:val="24"/>
          <w:szCs w:val="24"/>
        </w:rPr>
        <w:t xml:space="preserve"> anses for nødvendigt, skal patienterne i denne periode overvåges for relevante tegn på </w:t>
      </w:r>
      <w:proofErr w:type="gramStart"/>
      <w:r w:rsidRPr="009E49F8">
        <w:rPr>
          <w:sz w:val="24"/>
          <w:szCs w:val="24"/>
        </w:rPr>
        <w:t>en mulig recidiv</w:t>
      </w:r>
      <w:proofErr w:type="gramEnd"/>
      <w:r w:rsidRPr="009E49F8">
        <w:rPr>
          <w:sz w:val="24"/>
          <w:szCs w:val="24"/>
        </w:rPr>
        <w:t>.</w:t>
      </w:r>
    </w:p>
    <w:p w14:paraId="3704361A" w14:textId="77777777" w:rsidR="007F793B" w:rsidRDefault="007F793B" w:rsidP="007F793B">
      <w:pPr>
        <w:ind w:left="851"/>
        <w:rPr>
          <w:sz w:val="24"/>
          <w:szCs w:val="24"/>
        </w:rPr>
      </w:pPr>
    </w:p>
    <w:p w14:paraId="379C6740" w14:textId="77777777" w:rsidR="007F793B" w:rsidRPr="00A22361" w:rsidRDefault="007F793B" w:rsidP="007F793B">
      <w:pPr>
        <w:ind w:left="851"/>
        <w:rPr>
          <w:sz w:val="24"/>
          <w:szCs w:val="24"/>
          <w:u w:val="single"/>
        </w:rPr>
      </w:pPr>
      <w:r w:rsidRPr="00A22361">
        <w:rPr>
          <w:sz w:val="24"/>
          <w:szCs w:val="24"/>
          <w:u w:val="single"/>
        </w:rPr>
        <w:t>Interferens med serologisk testning</w:t>
      </w:r>
    </w:p>
    <w:p w14:paraId="0631D9FF" w14:textId="77777777" w:rsidR="007F793B" w:rsidRPr="007E37E8" w:rsidRDefault="007F793B" w:rsidP="007F793B">
      <w:pPr>
        <w:ind w:left="851"/>
        <w:rPr>
          <w:sz w:val="24"/>
          <w:szCs w:val="24"/>
        </w:rPr>
      </w:pPr>
      <w:r w:rsidRPr="00A22361">
        <w:rPr>
          <w:sz w:val="24"/>
          <w:szCs w:val="24"/>
        </w:rPr>
        <w:t xml:space="preserve">Da </w:t>
      </w:r>
      <w:proofErr w:type="spellStart"/>
      <w:r w:rsidRPr="00A22361">
        <w:rPr>
          <w:sz w:val="24"/>
          <w:szCs w:val="24"/>
        </w:rPr>
        <w:t>fingolimod</w:t>
      </w:r>
      <w:proofErr w:type="spellEnd"/>
      <w:r w:rsidRPr="00A22361">
        <w:rPr>
          <w:sz w:val="24"/>
          <w:szCs w:val="24"/>
        </w:rPr>
        <w:t xml:space="preserve"> nedsætter antallet af lymfocytter i blodet på grund af omfordeling til sekundære </w:t>
      </w:r>
      <w:proofErr w:type="spellStart"/>
      <w:r w:rsidRPr="00A22361">
        <w:rPr>
          <w:sz w:val="24"/>
          <w:szCs w:val="24"/>
        </w:rPr>
        <w:t>lymfoide</w:t>
      </w:r>
      <w:proofErr w:type="spellEnd"/>
      <w:r w:rsidRPr="00A22361">
        <w:rPr>
          <w:sz w:val="24"/>
          <w:szCs w:val="24"/>
        </w:rPr>
        <w:t xml:space="preserve"> organer, kan tællinger af det perifere lymfocyttal ikke anvendes til at vurdere status for en delmængde af lymfocytter hos en patient, der behandles med </w:t>
      </w:r>
      <w:proofErr w:type="spellStart"/>
      <w:r>
        <w:rPr>
          <w:sz w:val="24"/>
          <w:szCs w:val="24"/>
        </w:rPr>
        <w:lastRenderedPageBreak/>
        <w:t>fingolimod</w:t>
      </w:r>
      <w:proofErr w:type="spellEnd"/>
      <w:r w:rsidRPr="00A22361">
        <w:rPr>
          <w:sz w:val="24"/>
          <w:szCs w:val="24"/>
        </w:rPr>
        <w:t xml:space="preserve">. Laboratorietests, som indebærer anvendelse af cirkulerende </w:t>
      </w:r>
      <w:proofErr w:type="spellStart"/>
      <w:r w:rsidRPr="00A22361">
        <w:rPr>
          <w:sz w:val="24"/>
          <w:szCs w:val="24"/>
        </w:rPr>
        <w:t>mononukleære</w:t>
      </w:r>
      <w:proofErr w:type="spellEnd"/>
      <w:r w:rsidRPr="00A22361">
        <w:rPr>
          <w:sz w:val="24"/>
          <w:szCs w:val="24"/>
        </w:rPr>
        <w:t xml:space="preserve"> celler, kræver større blodmængder på grund af reduktionen af antallet af cirkulerende lymfocytter.</w:t>
      </w:r>
    </w:p>
    <w:p w14:paraId="4184B3A6" w14:textId="77777777" w:rsidR="007F793B" w:rsidRPr="009E49F8" w:rsidRDefault="007F793B" w:rsidP="007F793B">
      <w:pPr>
        <w:ind w:left="851"/>
        <w:rPr>
          <w:sz w:val="24"/>
          <w:szCs w:val="24"/>
        </w:rPr>
      </w:pPr>
    </w:p>
    <w:p w14:paraId="1AECC0FF" w14:textId="77777777" w:rsidR="007F793B" w:rsidRPr="009E49F8" w:rsidRDefault="007F793B" w:rsidP="007F793B">
      <w:pPr>
        <w:ind w:left="851"/>
        <w:rPr>
          <w:sz w:val="24"/>
          <w:szCs w:val="24"/>
          <w:u w:val="single"/>
        </w:rPr>
      </w:pPr>
      <w:r w:rsidRPr="009E49F8">
        <w:rPr>
          <w:sz w:val="24"/>
          <w:szCs w:val="24"/>
          <w:u w:val="single"/>
        </w:rPr>
        <w:t xml:space="preserve">Pædiatrisk population </w:t>
      </w:r>
    </w:p>
    <w:p w14:paraId="07B4BA60" w14:textId="77777777" w:rsidR="007F793B" w:rsidRPr="009E49F8" w:rsidRDefault="007F793B" w:rsidP="007F793B">
      <w:pPr>
        <w:ind w:left="851"/>
        <w:rPr>
          <w:sz w:val="24"/>
          <w:szCs w:val="24"/>
        </w:rPr>
      </w:pPr>
      <w:r w:rsidRPr="009E49F8">
        <w:rPr>
          <w:sz w:val="24"/>
          <w:szCs w:val="24"/>
        </w:rPr>
        <w:t xml:space="preserve">Sikkerhedsprofilen for pædiatriske patienter er sammenlignelig med den for voksne, og de advarsler og forsigtighedsregler der gælder for voksne, gælder derfor også pædiatriske patienter. </w:t>
      </w:r>
    </w:p>
    <w:p w14:paraId="3B5EB025" w14:textId="77777777" w:rsidR="007F793B" w:rsidRPr="009E49F8" w:rsidRDefault="007F793B" w:rsidP="007F793B">
      <w:pPr>
        <w:ind w:left="851"/>
        <w:rPr>
          <w:sz w:val="24"/>
          <w:szCs w:val="24"/>
        </w:rPr>
      </w:pPr>
      <w:r w:rsidRPr="009E49F8">
        <w:rPr>
          <w:sz w:val="24"/>
          <w:szCs w:val="24"/>
        </w:rPr>
        <w:t xml:space="preserve">Man skal især være opmærksom på følgende, når </w:t>
      </w:r>
      <w:proofErr w:type="spellStart"/>
      <w:r w:rsidRPr="009E49F8">
        <w:rPr>
          <w:sz w:val="24"/>
          <w:szCs w:val="24"/>
        </w:rPr>
        <w:t>fingolimod</w:t>
      </w:r>
      <w:proofErr w:type="spellEnd"/>
      <w:r w:rsidRPr="009E49F8">
        <w:rPr>
          <w:sz w:val="24"/>
          <w:szCs w:val="24"/>
        </w:rPr>
        <w:t xml:space="preserve"> ordineres til pædiatriske patienter: </w:t>
      </w:r>
    </w:p>
    <w:p w14:paraId="3A9848EB" w14:textId="77777777" w:rsidR="007F793B" w:rsidRPr="009E49F8" w:rsidRDefault="007F793B" w:rsidP="007F793B">
      <w:pPr>
        <w:pStyle w:val="Listeafsnit"/>
        <w:numPr>
          <w:ilvl w:val="0"/>
          <w:numId w:val="19"/>
        </w:numPr>
        <w:ind w:left="1276" w:hanging="425"/>
        <w:rPr>
          <w:sz w:val="24"/>
          <w:szCs w:val="24"/>
        </w:rPr>
      </w:pPr>
      <w:r w:rsidRPr="009E49F8">
        <w:rPr>
          <w:sz w:val="24"/>
          <w:szCs w:val="24"/>
        </w:rPr>
        <w:t xml:space="preserve">Ved første dosis skal forsigtighedsreglerne følges (se "Bradykardi" ovenfor). Når patienter skifter fra en daglig dosis på 0,25 mg til 0,5 mg, anbefales de samme forsigtighedsregler som ved første dosis. </w:t>
      </w:r>
    </w:p>
    <w:p w14:paraId="7F32322A" w14:textId="77777777" w:rsidR="007F793B" w:rsidRPr="009E49F8" w:rsidRDefault="007F793B" w:rsidP="007F793B">
      <w:pPr>
        <w:pStyle w:val="Listeafsnit"/>
        <w:numPr>
          <w:ilvl w:val="0"/>
          <w:numId w:val="19"/>
        </w:numPr>
        <w:ind w:left="1276" w:hanging="425"/>
        <w:rPr>
          <w:sz w:val="24"/>
          <w:szCs w:val="24"/>
        </w:rPr>
      </w:pPr>
      <w:r w:rsidRPr="009E49F8">
        <w:rPr>
          <w:sz w:val="24"/>
          <w:szCs w:val="24"/>
        </w:rPr>
        <w:t xml:space="preserve">I det kontrollerede pædiatriske studie D2311 er der indberettet tilfælde af krampeanfald, angst, nedtrykthed og depression med en højere forekomst hos patienter behandlet med </w:t>
      </w:r>
      <w:proofErr w:type="spellStart"/>
      <w:r w:rsidRPr="009E49F8">
        <w:rPr>
          <w:sz w:val="24"/>
          <w:szCs w:val="24"/>
        </w:rPr>
        <w:t>fingolimod</w:t>
      </w:r>
      <w:proofErr w:type="spellEnd"/>
      <w:r w:rsidRPr="009E49F8">
        <w:rPr>
          <w:sz w:val="24"/>
          <w:szCs w:val="24"/>
        </w:rPr>
        <w:t xml:space="preserve"> sammenlignet med patienter behandlet med interferon beta-1a. Der skal udvises forsigtighed i denne undergruppe (se "Pædiatrisk population" under pkt. 4.8). </w:t>
      </w:r>
    </w:p>
    <w:p w14:paraId="43BB6A72" w14:textId="77777777" w:rsidR="007F793B" w:rsidRPr="009E49F8" w:rsidRDefault="007F793B" w:rsidP="007F793B">
      <w:pPr>
        <w:pStyle w:val="Listeafsnit"/>
        <w:numPr>
          <w:ilvl w:val="0"/>
          <w:numId w:val="19"/>
        </w:numPr>
        <w:ind w:left="1276" w:hanging="425"/>
        <w:rPr>
          <w:sz w:val="24"/>
          <w:szCs w:val="24"/>
        </w:rPr>
      </w:pPr>
      <w:r w:rsidRPr="009E49F8">
        <w:rPr>
          <w:sz w:val="24"/>
          <w:szCs w:val="24"/>
        </w:rPr>
        <w:t xml:space="preserve">Lette, enkeltstående stigninger i bilirubin er fundet hos pædiatriske patienter behandlet med </w:t>
      </w:r>
      <w:proofErr w:type="spellStart"/>
      <w:r w:rsidRPr="009E49F8">
        <w:rPr>
          <w:sz w:val="24"/>
          <w:szCs w:val="24"/>
        </w:rPr>
        <w:t>fingolimod</w:t>
      </w:r>
      <w:proofErr w:type="spellEnd"/>
      <w:r w:rsidRPr="009E49F8">
        <w:rPr>
          <w:sz w:val="24"/>
          <w:szCs w:val="24"/>
        </w:rPr>
        <w:t>.</w:t>
      </w:r>
    </w:p>
    <w:p w14:paraId="07EF748E" w14:textId="77777777" w:rsidR="007F793B" w:rsidRPr="009E49F8" w:rsidRDefault="007F793B" w:rsidP="007F793B">
      <w:pPr>
        <w:pStyle w:val="Listeafsnit"/>
        <w:numPr>
          <w:ilvl w:val="0"/>
          <w:numId w:val="19"/>
        </w:numPr>
        <w:ind w:left="1276" w:hanging="425"/>
        <w:rPr>
          <w:sz w:val="24"/>
          <w:szCs w:val="24"/>
        </w:rPr>
      </w:pPr>
      <w:r w:rsidRPr="009E49F8">
        <w:rPr>
          <w:sz w:val="24"/>
          <w:szCs w:val="24"/>
        </w:rPr>
        <w:t xml:space="preserve">Det anbefales, at pædiatriske patienter får alle vaccinationer i henhold til gældende retningslinjer for vaccination, inden de startes på behandling med </w:t>
      </w:r>
      <w:proofErr w:type="spellStart"/>
      <w:r w:rsidRPr="009E49F8">
        <w:rPr>
          <w:sz w:val="24"/>
          <w:szCs w:val="24"/>
        </w:rPr>
        <w:t>fingolimod</w:t>
      </w:r>
      <w:proofErr w:type="spellEnd"/>
      <w:r w:rsidRPr="009E49F8">
        <w:rPr>
          <w:sz w:val="24"/>
          <w:szCs w:val="24"/>
        </w:rPr>
        <w:t xml:space="preserve"> (se "Infektioner" ovenfor). </w:t>
      </w:r>
    </w:p>
    <w:p w14:paraId="08571699" w14:textId="77777777" w:rsidR="007F793B" w:rsidRPr="009E49F8" w:rsidRDefault="007F793B" w:rsidP="007F793B">
      <w:pPr>
        <w:pStyle w:val="Listeafsnit"/>
        <w:numPr>
          <w:ilvl w:val="0"/>
          <w:numId w:val="19"/>
        </w:numPr>
        <w:ind w:left="1276" w:hanging="425"/>
        <w:rPr>
          <w:sz w:val="24"/>
          <w:szCs w:val="24"/>
        </w:rPr>
      </w:pPr>
      <w:r w:rsidRPr="009E49F8">
        <w:rPr>
          <w:sz w:val="24"/>
          <w:szCs w:val="24"/>
        </w:rPr>
        <w:t xml:space="preserve">Der er meget begrænsede data tilgængelige fra børn i alderen mellem 10 -12 år, under 40 kg eller på </w:t>
      </w:r>
      <w:proofErr w:type="spellStart"/>
      <w:r w:rsidRPr="009E49F8">
        <w:rPr>
          <w:sz w:val="24"/>
          <w:szCs w:val="24"/>
        </w:rPr>
        <w:t>Tanners</w:t>
      </w:r>
      <w:proofErr w:type="spellEnd"/>
      <w:r w:rsidRPr="009E49F8">
        <w:rPr>
          <w:sz w:val="24"/>
          <w:szCs w:val="24"/>
        </w:rPr>
        <w:t xml:space="preserve"> stadium &lt;2 (se pkt. 4.8 og 5.1). Eftersom der er meget begrænset viden tilgængelig fra det kliniske studie, er forsigtighed påkrævet i disse undergrupper. </w:t>
      </w:r>
    </w:p>
    <w:p w14:paraId="100AA91A" w14:textId="77777777" w:rsidR="007F793B" w:rsidRPr="009E49F8" w:rsidRDefault="007F793B" w:rsidP="007F793B">
      <w:pPr>
        <w:pStyle w:val="Listeafsnit"/>
        <w:numPr>
          <w:ilvl w:val="0"/>
          <w:numId w:val="19"/>
        </w:numPr>
        <w:ind w:left="1276" w:hanging="425"/>
        <w:rPr>
          <w:sz w:val="24"/>
          <w:szCs w:val="24"/>
        </w:rPr>
      </w:pPr>
      <w:r w:rsidRPr="009E49F8">
        <w:rPr>
          <w:sz w:val="24"/>
          <w:szCs w:val="24"/>
        </w:rPr>
        <w:t xml:space="preserve">Der er ingen tilgængelige langtidssikkerhedsdata for den pædiatriske population. </w:t>
      </w:r>
    </w:p>
    <w:p w14:paraId="0087CB51" w14:textId="77777777" w:rsidR="009260DE" w:rsidRPr="009E49F8" w:rsidRDefault="009260DE" w:rsidP="009260DE">
      <w:pPr>
        <w:tabs>
          <w:tab w:val="left" w:pos="851"/>
        </w:tabs>
        <w:ind w:left="851"/>
        <w:rPr>
          <w:sz w:val="24"/>
          <w:szCs w:val="24"/>
        </w:rPr>
      </w:pPr>
    </w:p>
    <w:p w14:paraId="748F9959" w14:textId="77777777" w:rsidR="009260DE" w:rsidRPr="009E49F8" w:rsidRDefault="009260DE" w:rsidP="009260DE">
      <w:pPr>
        <w:tabs>
          <w:tab w:val="left" w:pos="851"/>
        </w:tabs>
        <w:ind w:left="851" w:hanging="851"/>
        <w:rPr>
          <w:b/>
          <w:sz w:val="24"/>
          <w:szCs w:val="24"/>
        </w:rPr>
      </w:pPr>
      <w:r w:rsidRPr="009E49F8">
        <w:rPr>
          <w:b/>
          <w:sz w:val="24"/>
          <w:szCs w:val="24"/>
        </w:rPr>
        <w:t>4.5</w:t>
      </w:r>
      <w:r w:rsidRPr="009E49F8">
        <w:rPr>
          <w:b/>
          <w:sz w:val="24"/>
          <w:szCs w:val="24"/>
        </w:rPr>
        <w:tab/>
        <w:t>Interaktion med andre lægemidler og andre former for interaktion</w:t>
      </w:r>
    </w:p>
    <w:p w14:paraId="3C080213" w14:textId="77777777" w:rsidR="009E37DB" w:rsidRPr="009E49F8" w:rsidRDefault="009E37DB" w:rsidP="00CF35AD">
      <w:pPr>
        <w:ind w:left="851"/>
        <w:rPr>
          <w:noProof/>
          <w:sz w:val="24"/>
          <w:szCs w:val="24"/>
          <w:u w:val="single"/>
        </w:rPr>
      </w:pPr>
    </w:p>
    <w:p w14:paraId="08224FA2" w14:textId="5A27983B" w:rsidR="00C10D9D" w:rsidRPr="009E49F8" w:rsidRDefault="00C10D9D" w:rsidP="00CF35AD">
      <w:pPr>
        <w:ind w:left="851"/>
        <w:rPr>
          <w:noProof/>
          <w:sz w:val="24"/>
          <w:szCs w:val="24"/>
          <w:u w:val="single"/>
        </w:rPr>
      </w:pPr>
      <w:r w:rsidRPr="009E49F8">
        <w:rPr>
          <w:noProof/>
          <w:sz w:val="24"/>
          <w:szCs w:val="24"/>
          <w:u w:val="single"/>
        </w:rPr>
        <w:t xml:space="preserve">Antineoplastiske, immunmodulerende eller immunsupprimerende behandlinger </w:t>
      </w:r>
    </w:p>
    <w:p w14:paraId="2755BDE3" w14:textId="77777777" w:rsidR="00C10D9D" w:rsidRPr="009E49F8" w:rsidRDefault="00C10D9D" w:rsidP="00CF35AD">
      <w:pPr>
        <w:ind w:left="851"/>
        <w:rPr>
          <w:noProof/>
          <w:sz w:val="24"/>
          <w:szCs w:val="24"/>
        </w:rPr>
      </w:pPr>
      <w:r w:rsidRPr="009E49F8">
        <w:rPr>
          <w:noProof/>
          <w:sz w:val="24"/>
          <w:szCs w:val="24"/>
        </w:rPr>
        <w:t xml:space="preserve">Antineoplastiske, immunmodulerende eller immunsupprimerende behandlinger bør ikke gives samtidig på grund af risikoen for forstærket påvirkning af immunsystemet (se pkt. 4.3 og 4.4). </w:t>
      </w:r>
    </w:p>
    <w:p w14:paraId="1F62849C" w14:textId="77777777" w:rsidR="00C10D9D" w:rsidRPr="009E49F8" w:rsidRDefault="00C10D9D" w:rsidP="00CF35AD">
      <w:pPr>
        <w:ind w:left="851"/>
        <w:rPr>
          <w:noProof/>
          <w:sz w:val="24"/>
          <w:szCs w:val="24"/>
        </w:rPr>
      </w:pPr>
      <w:r w:rsidRPr="009E49F8">
        <w:rPr>
          <w:noProof/>
          <w:sz w:val="24"/>
          <w:szCs w:val="24"/>
        </w:rPr>
        <w:t xml:space="preserve"> </w:t>
      </w:r>
    </w:p>
    <w:p w14:paraId="218611AA" w14:textId="77777777" w:rsidR="00C10D9D" w:rsidRPr="009E49F8" w:rsidRDefault="00C10D9D" w:rsidP="00CF35AD">
      <w:pPr>
        <w:ind w:left="851"/>
        <w:rPr>
          <w:noProof/>
          <w:sz w:val="24"/>
          <w:szCs w:val="24"/>
        </w:rPr>
      </w:pPr>
      <w:r w:rsidRPr="009E49F8">
        <w:rPr>
          <w:noProof/>
          <w:sz w:val="24"/>
          <w:szCs w:val="24"/>
        </w:rPr>
        <w:t xml:space="preserve">Der skal også udvises forsigtighed, når patienter skifter fra langtidsvirkende behandlinger, som påvirker immunsystemet, såsom natalizumab, teriflunomid eller mitoxantron (se pkt. 4.4). I kliniske studier hos patienter med multipel sklerose har samtidig behandling af anfald med kortikosteroider i en kort periode ikke været forbundet med forhøjet infektionsrate. </w:t>
      </w:r>
    </w:p>
    <w:p w14:paraId="2F607B0E" w14:textId="77777777" w:rsidR="00C10D9D" w:rsidRPr="009E49F8" w:rsidRDefault="00C10D9D" w:rsidP="00CF35AD">
      <w:pPr>
        <w:ind w:left="851"/>
        <w:rPr>
          <w:noProof/>
          <w:sz w:val="24"/>
          <w:szCs w:val="24"/>
        </w:rPr>
      </w:pPr>
    </w:p>
    <w:p w14:paraId="235D88D3" w14:textId="77777777" w:rsidR="00C10D9D" w:rsidRPr="009E49F8" w:rsidRDefault="00C10D9D" w:rsidP="00CF35AD">
      <w:pPr>
        <w:ind w:left="851"/>
        <w:rPr>
          <w:noProof/>
          <w:sz w:val="24"/>
          <w:szCs w:val="24"/>
          <w:u w:val="single"/>
        </w:rPr>
      </w:pPr>
      <w:r w:rsidRPr="009E49F8">
        <w:rPr>
          <w:noProof/>
          <w:sz w:val="24"/>
          <w:szCs w:val="24"/>
          <w:u w:val="single"/>
        </w:rPr>
        <w:t xml:space="preserve">Vaccination </w:t>
      </w:r>
    </w:p>
    <w:p w14:paraId="5656DE18" w14:textId="77777777" w:rsidR="00C10D9D" w:rsidRPr="009E49F8" w:rsidRDefault="00C10D9D" w:rsidP="00CF35AD">
      <w:pPr>
        <w:ind w:left="851"/>
        <w:rPr>
          <w:noProof/>
          <w:sz w:val="24"/>
          <w:szCs w:val="24"/>
        </w:rPr>
      </w:pPr>
      <w:r w:rsidRPr="009E49F8">
        <w:rPr>
          <w:noProof/>
          <w:sz w:val="24"/>
          <w:szCs w:val="24"/>
        </w:rPr>
        <w:t>Under og i op til to måneder efter behandling med fingolimod kan vaccination være mindre effektiv. Anvendelse af svækkede vacciner kan indbære en infektionsrisiko og skal derfor undgås (se pkt. 4.4 og 4.8).</w:t>
      </w:r>
    </w:p>
    <w:p w14:paraId="5D931795" w14:textId="77777777" w:rsidR="00C10D9D" w:rsidRPr="009E49F8" w:rsidRDefault="00C10D9D" w:rsidP="00CF35AD">
      <w:pPr>
        <w:ind w:left="851"/>
        <w:rPr>
          <w:noProof/>
          <w:sz w:val="24"/>
          <w:szCs w:val="24"/>
        </w:rPr>
      </w:pPr>
    </w:p>
    <w:p w14:paraId="6EFC994D" w14:textId="77777777" w:rsidR="00C10D9D" w:rsidRPr="009E49F8" w:rsidRDefault="00C10D9D" w:rsidP="00CF35AD">
      <w:pPr>
        <w:ind w:left="851"/>
        <w:rPr>
          <w:noProof/>
          <w:sz w:val="24"/>
          <w:szCs w:val="24"/>
        </w:rPr>
      </w:pPr>
      <w:r w:rsidRPr="009E49F8">
        <w:rPr>
          <w:noProof/>
          <w:sz w:val="24"/>
          <w:szCs w:val="24"/>
          <w:u w:val="single"/>
        </w:rPr>
        <w:t>Bradykardiinducerende stoffer</w:t>
      </w:r>
      <w:r w:rsidRPr="009E49F8">
        <w:rPr>
          <w:noProof/>
          <w:sz w:val="24"/>
          <w:szCs w:val="24"/>
        </w:rPr>
        <w:t xml:space="preserve"> </w:t>
      </w:r>
    </w:p>
    <w:p w14:paraId="6B920792" w14:textId="6B4DB76B" w:rsidR="00C10D9D" w:rsidRPr="009E49F8" w:rsidRDefault="00C10D9D" w:rsidP="00CF35AD">
      <w:pPr>
        <w:ind w:left="851"/>
        <w:rPr>
          <w:noProof/>
          <w:sz w:val="24"/>
          <w:szCs w:val="24"/>
        </w:rPr>
      </w:pPr>
      <w:r w:rsidRPr="009E49F8">
        <w:rPr>
          <w:noProof/>
          <w:sz w:val="24"/>
          <w:szCs w:val="24"/>
        </w:rPr>
        <w:t>Fingolimod er blevet undersøgt i kombination med atenolol og diltiazem. Når fingolimod blev anvendt sammen med atenolol i en interaktionsundersøgelse i raske frivillige, blev hjertefrekvensen nedsat med yderligere 15 % ved påbegyndelse af fingolimod</w:t>
      </w:r>
      <w:r w:rsidR="000C446F" w:rsidRPr="009E49F8">
        <w:rPr>
          <w:noProof/>
          <w:sz w:val="24"/>
          <w:szCs w:val="24"/>
        </w:rPr>
        <w:softHyphen/>
      </w:r>
      <w:r w:rsidRPr="009E49F8">
        <w:rPr>
          <w:noProof/>
          <w:sz w:val="24"/>
          <w:szCs w:val="24"/>
        </w:rPr>
        <w:lastRenderedPageBreak/>
        <w:t>behandlingen, en effekt, der ikke ses sammen med diltiazem. Behandling med fingolimod bør ikke startes hos patienter, som får betablokkere eller andre stoffer, som kan nedsætte hjertefrekvensen, såsom klasse Ia- og III-antiarytmika, calciumantagonister (som verapamil eller diltiazem), ivabradin, digoxin, kolinesterasehæmmere eller pilocarpin, på grund af de potentielle forstærkede virkninger på hjertefrekvensen (se pkt. 4.4 og 4.8). Hvis behandling med fingolimod overvejes til disse patienter, bør der søges rådgivning hos en kardiolog vedrørende skift til lægemidler, der ikke sænker hjertefrekvensen, eller om hensigtsmæssig monitorering under behandlingsstart. Hvis medicinen, som sænker hjertefrekvensen, ikke kan seponeres, anbefales monitorering mindst natten over.</w:t>
      </w:r>
    </w:p>
    <w:p w14:paraId="5C395BC1" w14:textId="77777777" w:rsidR="00C10D9D" w:rsidRPr="009E49F8" w:rsidRDefault="00C10D9D" w:rsidP="00CF35AD">
      <w:pPr>
        <w:ind w:left="851"/>
        <w:rPr>
          <w:noProof/>
          <w:sz w:val="24"/>
          <w:szCs w:val="24"/>
        </w:rPr>
      </w:pPr>
    </w:p>
    <w:p w14:paraId="1F81F4B9" w14:textId="77777777" w:rsidR="00C10D9D" w:rsidRPr="009E49F8" w:rsidRDefault="00C10D9D" w:rsidP="00CF35AD">
      <w:pPr>
        <w:ind w:left="851"/>
        <w:rPr>
          <w:noProof/>
          <w:sz w:val="24"/>
          <w:szCs w:val="24"/>
          <w:u w:val="single"/>
        </w:rPr>
      </w:pPr>
      <w:r w:rsidRPr="009E49F8">
        <w:rPr>
          <w:noProof/>
          <w:sz w:val="24"/>
          <w:szCs w:val="24"/>
          <w:u w:val="single"/>
        </w:rPr>
        <w:t xml:space="preserve">Interaktioner af andre lægemidler på fingolimods farmakokinetik </w:t>
      </w:r>
    </w:p>
    <w:p w14:paraId="57962F7A" w14:textId="77777777" w:rsidR="00C10D9D" w:rsidRPr="009E49F8" w:rsidRDefault="00C10D9D" w:rsidP="00CF35AD">
      <w:pPr>
        <w:ind w:left="851"/>
        <w:rPr>
          <w:noProof/>
          <w:sz w:val="24"/>
          <w:szCs w:val="24"/>
        </w:rPr>
      </w:pPr>
      <w:r w:rsidRPr="009E49F8">
        <w:rPr>
          <w:noProof/>
          <w:sz w:val="24"/>
          <w:szCs w:val="24"/>
        </w:rPr>
        <w:t xml:space="preserve">Fingolimod metaboliseres hovedsagligt af CYP4F2. Andre enzymer som CYP3A4 kan også medvirke til dets metabolisering, især i tilfælde af kraftig induktion af CYP3A4. Potente hæmmere af transportproteiner forventes ikke at indvirke på fingolimods fordeling. Samtidig behandling med fingolimod og ketoconazol har medført en forøgelse (1,7 gange) af fingolimod- og fingolimodphosphat-eksponeringen (AUC) ved hæmning af CYP4F2. Der skal iagttages forsigtighed med stoffer, som kan hæmme CYP3A4 (proteasehæmmere, azolsvampemidler, visse makrolider såsom clarithromycin eller telithromycin). </w:t>
      </w:r>
    </w:p>
    <w:p w14:paraId="37A84618" w14:textId="77777777" w:rsidR="00C10D9D" w:rsidRPr="009E49F8" w:rsidRDefault="00C10D9D" w:rsidP="00CF35AD">
      <w:pPr>
        <w:ind w:left="851"/>
        <w:rPr>
          <w:noProof/>
          <w:sz w:val="24"/>
          <w:szCs w:val="24"/>
        </w:rPr>
      </w:pPr>
      <w:r w:rsidRPr="009E49F8">
        <w:rPr>
          <w:noProof/>
          <w:sz w:val="24"/>
          <w:szCs w:val="24"/>
        </w:rPr>
        <w:t xml:space="preserve"> </w:t>
      </w:r>
    </w:p>
    <w:p w14:paraId="08E60A5C" w14:textId="75A5EFFF" w:rsidR="00551AD8" w:rsidRPr="009E49F8" w:rsidRDefault="00C10D9D" w:rsidP="007F793B">
      <w:pPr>
        <w:ind w:left="851"/>
        <w:rPr>
          <w:noProof/>
          <w:sz w:val="24"/>
          <w:szCs w:val="24"/>
        </w:rPr>
      </w:pPr>
      <w:r w:rsidRPr="009E49F8">
        <w:rPr>
          <w:noProof/>
          <w:sz w:val="24"/>
          <w:szCs w:val="24"/>
        </w:rPr>
        <w:t>Indgivelse af en enkelt dosis fingolimod 2 mg til patienter i steady state-carbamazepin</w:t>
      </w:r>
      <w:r w:rsidR="00E03630" w:rsidRPr="009E49F8">
        <w:rPr>
          <w:noProof/>
          <w:sz w:val="24"/>
          <w:szCs w:val="24"/>
        </w:rPr>
        <w:softHyphen/>
      </w:r>
      <w:r w:rsidRPr="009E49F8">
        <w:rPr>
          <w:noProof/>
          <w:sz w:val="24"/>
          <w:szCs w:val="24"/>
        </w:rPr>
        <w:t xml:space="preserve">behandling (dosis 600 mg 2 gange daglig) reducerede AUC for fingolimod og dets metabolitter med ca. 40 %. Andre potente CYP3A4-induktorer for eksempel rifampicin, phenobarbital, phenytoin, efavirenz og perikon kan reducere AUC for fingolimod og dets metabolitter i mindst samme størrelsesorden. Da dette kan forringe effekten, bør samtidig indgivelse ske med forsigtighed. Samtidig indgivelse af perikon kan dog ikke anbefales (se pkt. 4.4). </w:t>
      </w:r>
    </w:p>
    <w:p w14:paraId="4CD4205D" w14:textId="77777777" w:rsidR="00C10D9D" w:rsidRPr="009E49F8" w:rsidRDefault="00C10D9D" w:rsidP="00CF35AD">
      <w:pPr>
        <w:ind w:left="851"/>
        <w:rPr>
          <w:noProof/>
          <w:sz w:val="24"/>
          <w:szCs w:val="24"/>
        </w:rPr>
      </w:pPr>
    </w:p>
    <w:p w14:paraId="7C281B39" w14:textId="77777777" w:rsidR="00C10D9D" w:rsidRPr="009E49F8" w:rsidRDefault="00C10D9D" w:rsidP="00CF35AD">
      <w:pPr>
        <w:ind w:left="851"/>
        <w:rPr>
          <w:noProof/>
          <w:sz w:val="24"/>
          <w:szCs w:val="24"/>
          <w:u w:val="single"/>
        </w:rPr>
      </w:pPr>
      <w:r w:rsidRPr="009E49F8">
        <w:rPr>
          <w:noProof/>
          <w:sz w:val="24"/>
          <w:szCs w:val="24"/>
          <w:u w:val="single"/>
        </w:rPr>
        <w:t xml:space="preserve">Interaktion af fingolimod på andre stoffers farmakokinetik </w:t>
      </w:r>
    </w:p>
    <w:p w14:paraId="29A95591" w14:textId="77777777" w:rsidR="00C10D9D" w:rsidRPr="009E49F8" w:rsidRDefault="00C10D9D" w:rsidP="00CF35AD">
      <w:pPr>
        <w:ind w:left="851"/>
        <w:rPr>
          <w:noProof/>
          <w:sz w:val="24"/>
          <w:szCs w:val="24"/>
        </w:rPr>
      </w:pPr>
      <w:r w:rsidRPr="009E49F8">
        <w:rPr>
          <w:noProof/>
          <w:sz w:val="24"/>
          <w:szCs w:val="24"/>
        </w:rPr>
        <w:t xml:space="preserve">Det er ikke sandsynligt, at fingolimod interagerer med stoffer, som hovedsagligt metaboliseres af CYP3A4-enzymer, eller med substrater af de vigtigste transportproteiner. </w:t>
      </w:r>
    </w:p>
    <w:p w14:paraId="604458E4" w14:textId="77777777" w:rsidR="00C10D9D" w:rsidRPr="009E49F8" w:rsidRDefault="00C10D9D" w:rsidP="00CF35AD">
      <w:pPr>
        <w:ind w:left="851"/>
        <w:rPr>
          <w:noProof/>
          <w:sz w:val="24"/>
          <w:szCs w:val="24"/>
        </w:rPr>
      </w:pPr>
      <w:r w:rsidRPr="009E49F8">
        <w:rPr>
          <w:noProof/>
          <w:sz w:val="24"/>
          <w:szCs w:val="24"/>
        </w:rPr>
        <w:t xml:space="preserve"> </w:t>
      </w:r>
    </w:p>
    <w:p w14:paraId="39130C07" w14:textId="77777777" w:rsidR="00C10D9D" w:rsidRPr="009E49F8" w:rsidRDefault="00C10D9D" w:rsidP="00CF35AD">
      <w:pPr>
        <w:ind w:left="851"/>
        <w:rPr>
          <w:noProof/>
          <w:sz w:val="24"/>
          <w:szCs w:val="24"/>
        </w:rPr>
      </w:pPr>
      <w:r w:rsidRPr="009E49F8">
        <w:rPr>
          <w:noProof/>
          <w:sz w:val="24"/>
          <w:szCs w:val="24"/>
        </w:rPr>
        <w:t xml:space="preserve">Samtidig behandling med fingolimod og ciclosporin har ikke bevirket nogen ændring i ciclosporin- eller fingolimod-eksponeringen. Fingolimod forventes derfor ikke at ændre farmakokinetikken af lægemidler, som er CYP3A4-substrater.   </w:t>
      </w:r>
    </w:p>
    <w:p w14:paraId="2AC14348" w14:textId="77777777" w:rsidR="00C10D9D" w:rsidRPr="009E49F8" w:rsidRDefault="00C10D9D" w:rsidP="00CF35AD">
      <w:pPr>
        <w:ind w:left="851"/>
        <w:rPr>
          <w:noProof/>
          <w:sz w:val="24"/>
          <w:szCs w:val="24"/>
        </w:rPr>
      </w:pPr>
    </w:p>
    <w:p w14:paraId="533EF9B8" w14:textId="77777777" w:rsidR="00C10D9D" w:rsidRPr="009E49F8" w:rsidRDefault="00C10D9D" w:rsidP="00CF35AD">
      <w:pPr>
        <w:ind w:left="851"/>
        <w:rPr>
          <w:noProof/>
          <w:sz w:val="24"/>
          <w:szCs w:val="24"/>
        </w:rPr>
      </w:pPr>
      <w:r w:rsidRPr="009E49F8">
        <w:rPr>
          <w:noProof/>
          <w:sz w:val="24"/>
          <w:szCs w:val="24"/>
        </w:rPr>
        <w:t xml:space="preserve">Samtidig indgivelse af fingolimod og orale antikonceptiva (ethinylestradiol og levonorgestrel) har ikke fremkaldt nogen ændring i eksponeringen for orale antikonceptiva. Der er ikke udført interaktionsstudier med orale antikonceptiva indeholdende andre progestagener. Der forventes dog ingen virkning af fingolimod på eksponeringen af disse. </w:t>
      </w:r>
    </w:p>
    <w:p w14:paraId="0AAF100C" w14:textId="77777777" w:rsidR="009260DE" w:rsidRPr="009E49F8" w:rsidRDefault="009260DE" w:rsidP="009260DE">
      <w:pPr>
        <w:tabs>
          <w:tab w:val="left" w:pos="851"/>
        </w:tabs>
        <w:ind w:left="851"/>
        <w:rPr>
          <w:sz w:val="24"/>
          <w:szCs w:val="24"/>
        </w:rPr>
      </w:pPr>
    </w:p>
    <w:p w14:paraId="79074A10" w14:textId="1353AE2D" w:rsidR="009260DE" w:rsidRPr="009E49F8" w:rsidRDefault="009260DE" w:rsidP="009260DE">
      <w:pPr>
        <w:tabs>
          <w:tab w:val="left" w:pos="851"/>
        </w:tabs>
        <w:ind w:left="851" w:hanging="851"/>
        <w:rPr>
          <w:b/>
          <w:sz w:val="24"/>
          <w:szCs w:val="24"/>
        </w:rPr>
      </w:pPr>
      <w:r w:rsidRPr="009E49F8">
        <w:rPr>
          <w:b/>
          <w:sz w:val="24"/>
          <w:szCs w:val="24"/>
        </w:rPr>
        <w:t>4.6</w:t>
      </w:r>
      <w:r w:rsidRPr="009E49F8">
        <w:rPr>
          <w:b/>
          <w:sz w:val="24"/>
          <w:szCs w:val="24"/>
        </w:rPr>
        <w:tab/>
      </w:r>
      <w:r w:rsidR="00AF54E1">
        <w:rPr>
          <w:b/>
          <w:sz w:val="24"/>
          <w:szCs w:val="24"/>
        </w:rPr>
        <w:t>Fertilitet, g</w:t>
      </w:r>
      <w:r w:rsidRPr="009E49F8">
        <w:rPr>
          <w:b/>
          <w:sz w:val="24"/>
          <w:szCs w:val="24"/>
        </w:rPr>
        <w:t>raviditet og amning</w:t>
      </w:r>
    </w:p>
    <w:p w14:paraId="5925FD0C" w14:textId="77777777" w:rsidR="00E03630" w:rsidRPr="009E49F8" w:rsidRDefault="00E03630" w:rsidP="00CF35AD">
      <w:pPr>
        <w:ind w:left="851"/>
        <w:rPr>
          <w:noProof/>
          <w:sz w:val="24"/>
          <w:szCs w:val="24"/>
          <w:u w:val="single"/>
        </w:rPr>
      </w:pPr>
    </w:p>
    <w:p w14:paraId="4D15712B" w14:textId="67D107D2" w:rsidR="00C10D9D" w:rsidRPr="009E49F8" w:rsidRDefault="00C10D9D" w:rsidP="00CF35AD">
      <w:pPr>
        <w:ind w:left="851"/>
        <w:rPr>
          <w:noProof/>
          <w:sz w:val="24"/>
          <w:szCs w:val="24"/>
          <w:u w:val="single"/>
        </w:rPr>
      </w:pPr>
      <w:r w:rsidRPr="009E49F8">
        <w:rPr>
          <w:noProof/>
          <w:sz w:val="24"/>
          <w:szCs w:val="24"/>
          <w:u w:val="single"/>
        </w:rPr>
        <w:t xml:space="preserve">Fertile kvinder/kontraception til kvinder </w:t>
      </w:r>
    </w:p>
    <w:p w14:paraId="4AA3505E" w14:textId="77777777" w:rsidR="00C10D9D" w:rsidRPr="009E49F8" w:rsidRDefault="00C10D9D" w:rsidP="00CF35AD">
      <w:pPr>
        <w:ind w:left="851"/>
        <w:rPr>
          <w:noProof/>
          <w:sz w:val="24"/>
          <w:szCs w:val="24"/>
        </w:rPr>
      </w:pPr>
      <w:r w:rsidRPr="009E49F8">
        <w:rPr>
          <w:noProof/>
          <w:sz w:val="24"/>
          <w:szCs w:val="24"/>
        </w:rPr>
        <w:t xml:space="preserve">Fingolimod er kontraindiceret til fertile kvinder, der ikke anvender effektiv kontraception (se pkt. 4.3). Derfor skal der foreligge en negativ graviditetstest før behandlingen initieres hos fertile kvinder, og der skal rådgives om den alvorlige risiko for fostret. Fertile kvinder skal anvende effektiv kontraception under behandling og i 2 måneder efter seponering af fingolimod, da det tager cirka 2 måneder at eliminere fingolimod fra kroppen efter behandlingsophør (se pkt. 4.4). </w:t>
      </w:r>
    </w:p>
    <w:p w14:paraId="764F0681" w14:textId="77777777" w:rsidR="00C10D9D" w:rsidRPr="009E49F8" w:rsidRDefault="00C10D9D" w:rsidP="00CF35AD">
      <w:pPr>
        <w:ind w:left="851"/>
        <w:rPr>
          <w:noProof/>
          <w:sz w:val="24"/>
          <w:szCs w:val="24"/>
        </w:rPr>
      </w:pPr>
      <w:r w:rsidRPr="009E49F8">
        <w:rPr>
          <w:noProof/>
          <w:sz w:val="24"/>
          <w:szCs w:val="24"/>
        </w:rPr>
        <w:t xml:space="preserve"> </w:t>
      </w:r>
    </w:p>
    <w:p w14:paraId="50B97354" w14:textId="77777777" w:rsidR="00C10D9D" w:rsidRPr="009E49F8" w:rsidRDefault="00C10D9D" w:rsidP="00CF35AD">
      <w:pPr>
        <w:ind w:left="851"/>
        <w:rPr>
          <w:noProof/>
          <w:sz w:val="24"/>
          <w:szCs w:val="24"/>
        </w:rPr>
      </w:pPr>
      <w:r w:rsidRPr="009E49F8">
        <w:rPr>
          <w:noProof/>
          <w:sz w:val="24"/>
          <w:szCs w:val="24"/>
        </w:rPr>
        <w:lastRenderedPageBreak/>
        <w:t xml:space="preserve">Særlige forholdsregler er også inkluderet i Lægeinformationspakken. Disse forholdsregler skal være implementeret inden fingolimod udskrives til kvindelige patienter og under behandling. </w:t>
      </w:r>
    </w:p>
    <w:p w14:paraId="758A5014" w14:textId="77777777" w:rsidR="00C10D9D" w:rsidRPr="009E49F8" w:rsidRDefault="00C10D9D" w:rsidP="00CF35AD">
      <w:pPr>
        <w:ind w:left="851"/>
        <w:rPr>
          <w:noProof/>
          <w:sz w:val="24"/>
          <w:szCs w:val="24"/>
        </w:rPr>
      </w:pPr>
      <w:r w:rsidRPr="009E49F8">
        <w:rPr>
          <w:noProof/>
          <w:sz w:val="24"/>
          <w:szCs w:val="24"/>
        </w:rPr>
        <w:t xml:space="preserve"> </w:t>
      </w:r>
    </w:p>
    <w:p w14:paraId="562F050D" w14:textId="77777777" w:rsidR="00C10D9D" w:rsidRPr="009E49F8" w:rsidRDefault="00C10D9D" w:rsidP="00CF35AD">
      <w:pPr>
        <w:ind w:left="851"/>
        <w:rPr>
          <w:noProof/>
          <w:sz w:val="24"/>
          <w:szCs w:val="24"/>
        </w:rPr>
      </w:pPr>
      <w:r w:rsidRPr="009E49F8">
        <w:rPr>
          <w:noProof/>
          <w:sz w:val="24"/>
          <w:szCs w:val="24"/>
        </w:rPr>
        <w:t>Muligheden for tilbagevendende sygdomsaktivitet skal tages i betragtning, når behandlingen med fingolimod seponeres for at planlægge graviditet (se pkt. 4.4).</w:t>
      </w:r>
    </w:p>
    <w:p w14:paraId="64E1B23D" w14:textId="77777777" w:rsidR="00C10D9D" w:rsidRPr="009E49F8" w:rsidRDefault="00C10D9D" w:rsidP="00CF35AD">
      <w:pPr>
        <w:ind w:left="851"/>
        <w:rPr>
          <w:noProof/>
          <w:sz w:val="24"/>
          <w:szCs w:val="24"/>
        </w:rPr>
      </w:pPr>
    </w:p>
    <w:p w14:paraId="417FCB4A" w14:textId="77777777" w:rsidR="00C10D9D" w:rsidRPr="009E49F8" w:rsidRDefault="00C10D9D" w:rsidP="00CF35AD">
      <w:pPr>
        <w:ind w:left="851"/>
        <w:rPr>
          <w:noProof/>
          <w:sz w:val="24"/>
          <w:szCs w:val="24"/>
          <w:u w:val="single"/>
        </w:rPr>
      </w:pPr>
      <w:r w:rsidRPr="009E49F8">
        <w:rPr>
          <w:noProof/>
          <w:sz w:val="24"/>
          <w:szCs w:val="24"/>
          <w:u w:val="single"/>
        </w:rPr>
        <w:t xml:space="preserve">Graviditet </w:t>
      </w:r>
    </w:p>
    <w:p w14:paraId="5EA6BCC2" w14:textId="77777777" w:rsidR="00C10D9D" w:rsidRPr="009E49F8" w:rsidRDefault="00C10D9D" w:rsidP="00CF35AD">
      <w:pPr>
        <w:ind w:left="851"/>
        <w:rPr>
          <w:noProof/>
          <w:sz w:val="24"/>
          <w:szCs w:val="24"/>
        </w:rPr>
      </w:pPr>
      <w:r w:rsidRPr="009E49F8">
        <w:rPr>
          <w:noProof/>
          <w:sz w:val="24"/>
          <w:szCs w:val="24"/>
        </w:rPr>
        <w:t xml:space="preserve">Humane data efter markedsføringen antyder, at anvendelse af fingolimod under graviditeten er forbundet med en 2 gange forhøjet risko for alvorlige medfødte misdannelser sammenlignet med hyppigheden hos den generelle befolkning (2-3 %; EUROCAT). </w:t>
      </w:r>
    </w:p>
    <w:p w14:paraId="3DA44760" w14:textId="77777777" w:rsidR="00C10D9D" w:rsidRPr="009E49F8" w:rsidRDefault="00C10D9D" w:rsidP="00CF35AD">
      <w:pPr>
        <w:ind w:left="851"/>
        <w:rPr>
          <w:noProof/>
          <w:sz w:val="24"/>
          <w:szCs w:val="24"/>
        </w:rPr>
      </w:pPr>
      <w:r w:rsidRPr="009E49F8">
        <w:rPr>
          <w:noProof/>
          <w:sz w:val="24"/>
          <w:szCs w:val="24"/>
        </w:rPr>
        <w:t xml:space="preserve"> </w:t>
      </w:r>
    </w:p>
    <w:p w14:paraId="6253131A" w14:textId="77777777" w:rsidR="00C10D9D" w:rsidRPr="009E49F8" w:rsidRDefault="00C10D9D" w:rsidP="00CF35AD">
      <w:pPr>
        <w:ind w:left="851"/>
        <w:rPr>
          <w:noProof/>
          <w:sz w:val="24"/>
          <w:szCs w:val="24"/>
        </w:rPr>
      </w:pPr>
      <w:r w:rsidRPr="009E49F8">
        <w:rPr>
          <w:noProof/>
          <w:sz w:val="24"/>
          <w:szCs w:val="24"/>
        </w:rPr>
        <w:t>De følgende alvorlige misdannelser, var de hyppigst rapporterede:</w:t>
      </w:r>
    </w:p>
    <w:p w14:paraId="2810B57F" w14:textId="77777777" w:rsidR="00C10D9D" w:rsidRPr="009E49F8" w:rsidRDefault="00C10D9D" w:rsidP="00520D70">
      <w:pPr>
        <w:pStyle w:val="Listeafsnit"/>
        <w:numPr>
          <w:ilvl w:val="0"/>
          <w:numId w:val="20"/>
        </w:numPr>
        <w:ind w:left="1276" w:hanging="425"/>
        <w:rPr>
          <w:noProof/>
          <w:sz w:val="24"/>
          <w:szCs w:val="24"/>
        </w:rPr>
      </w:pPr>
      <w:r w:rsidRPr="009E49F8">
        <w:rPr>
          <w:noProof/>
          <w:sz w:val="24"/>
          <w:szCs w:val="24"/>
        </w:rPr>
        <w:t xml:space="preserve">Medfødt hjertesygdom som atrial og ventrikulær septumdefekt; Steno-Fallots tetralogi </w:t>
      </w:r>
    </w:p>
    <w:p w14:paraId="240F95F1" w14:textId="77777777" w:rsidR="00C10D9D" w:rsidRPr="009E49F8" w:rsidRDefault="00C10D9D" w:rsidP="00520D70">
      <w:pPr>
        <w:pStyle w:val="Listeafsnit"/>
        <w:numPr>
          <w:ilvl w:val="0"/>
          <w:numId w:val="20"/>
        </w:numPr>
        <w:ind w:left="1276" w:hanging="425"/>
        <w:rPr>
          <w:noProof/>
          <w:sz w:val="24"/>
          <w:szCs w:val="24"/>
        </w:rPr>
      </w:pPr>
      <w:r w:rsidRPr="009E49F8">
        <w:rPr>
          <w:noProof/>
          <w:sz w:val="24"/>
          <w:szCs w:val="24"/>
        </w:rPr>
        <w:t xml:space="preserve">Nyreanomalier </w:t>
      </w:r>
    </w:p>
    <w:p w14:paraId="04F7F900" w14:textId="77777777" w:rsidR="00C10D9D" w:rsidRPr="009E49F8" w:rsidRDefault="00C10D9D" w:rsidP="00520D70">
      <w:pPr>
        <w:pStyle w:val="Listeafsnit"/>
        <w:numPr>
          <w:ilvl w:val="0"/>
          <w:numId w:val="20"/>
        </w:numPr>
        <w:ind w:left="1276" w:hanging="425"/>
        <w:rPr>
          <w:noProof/>
          <w:sz w:val="24"/>
          <w:szCs w:val="24"/>
        </w:rPr>
      </w:pPr>
      <w:r w:rsidRPr="009E49F8">
        <w:rPr>
          <w:noProof/>
          <w:sz w:val="24"/>
          <w:szCs w:val="24"/>
        </w:rPr>
        <w:t>Muskuloskeletale anomalier</w:t>
      </w:r>
    </w:p>
    <w:p w14:paraId="38181C30" w14:textId="77777777" w:rsidR="00C10D9D" w:rsidRPr="009E49F8" w:rsidRDefault="00C10D9D" w:rsidP="00CF35AD">
      <w:pPr>
        <w:ind w:left="851"/>
        <w:rPr>
          <w:sz w:val="24"/>
          <w:szCs w:val="24"/>
        </w:rPr>
      </w:pPr>
    </w:p>
    <w:p w14:paraId="0FFE3734" w14:textId="77777777" w:rsidR="00C10D9D" w:rsidRPr="009E49F8" w:rsidRDefault="00C10D9D" w:rsidP="00CF35AD">
      <w:pPr>
        <w:ind w:left="851"/>
        <w:rPr>
          <w:sz w:val="24"/>
          <w:szCs w:val="24"/>
        </w:rPr>
      </w:pPr>
      <w:r w:rsidRPr="009E49F8">
        <w:rPr>
          <w:sz w:val="24"/>
          <w:szCs w:val="24"/>
        </w:rPr>
        <w:t xml:space="preserve">Der foreligger ingen data vedrørende </w:t>
      </w:r>
      <w:proofErr w:type="spellStart"/>
      <w:r w:rsidRPr="009E49F8">
        <w:rPr>
          <w:sz w:val="24"/>
          <w:szCs w:val="24"/>
        </w:rPr>
        <w:t>fingolimods</w:t>
      </w:r>
      <w:proofErr w:type="spellEnd"/>
      <w:r w:rsidRPr="009E49F8">
        <w:rPr>
          <w:sz w:val="24"/>
          <w:szCs w:val="24"/>
        </w:rPr>
        <w:t xml:space="preserve"> virkning på fødselsveer og forløsning. </w:t>
      </w:r>
    </w:p>
    <w:p w14:paraId="26989099" w14:textId="77777777" w:rsidR="00C10D9D" w:rsidRPr="009E49F8" w:rsidRDefault="00C10D9D" w:rsidP="00CF35AD">
      <w:pPr>
        <w:ind w:left="851"/>
        <w:rPr>
          <w:sz w:val="24"/>
          <w:szCs w:val="24"/>
        </w:rPr>
      </w:pPr>
      <w:r w:rsidRPr="009E49F8">
        <w:rPr>
          <w:sz w:val="24"/>
          <w:szCs w:val="24"/>
        </w:rPr>
        <w:t xml:space="preserve"> </w:t>
      </w:r>
    </w:p>
    <w:p w14:paraId="45EFF4BB" w14:textId="77777777" w:rsidR="00C10D9D" w:rsidRPr="009E49F8" w:rsidRDefault="00C10D9D" w:rsidP="00CF35AD">
      <w:pPr>
        <w:ind w:left="851"/>
        <w:rPr>
          <w:sz w:val="24"/>
          <w:szCs w:val="24"/>
        </w:rPr>
      </w:pPr>
      <w:r w:rsidRPr="009E49F8">
        <w:rPr>
          <w:sz w:val="24"/>
          <w:szCs w:val="24"/>
        </w:rPr>
        <w:t xml:space="preserve">Dyrestudier har vist reproduktionstoksicitet, herunder tab af fostret og organdefekter, især persisterende </w:t>
      </w:r>
      <w:proofErr w:type="spellStart"/>
      <w:r w:rsidRPr="009E49F8">
        <w:rPr>
          <w:sz w:val="24"/>
          <w:szCs w:val="24"/>
        </w:rPr>
        <w:t>truncus</w:t>
      </w:r>
      <w:proofErr w:type="spellEnd"/>
      <w:r w:rsidRPr="009E49F8">
        <w:rPr>
          <w:sz w:val="24"/>
          <w:szCs w:val="24"/>
        </w:rPr>
        <w:t xml:space="preserve"> </w:t>
      </w:r>
      <w:proofErr w:type="spellStart"/>
      <w:r w:rsidRPr="009E49F8">
        <w:rPr>
          <w:sz w:val="24"/>
          <w:szCs w:val="24"/>
        </w:rPr>
        <w:t>arteriosus</w:t>
      </w:r>
      <w:proofErr w:type="spellEnd"/>
      <w:r w:rsidRPr="009E49F8">
        <w:rPr>
          <w:sz w:val="24"/>
          <w:szCs w:val="24"/>
        </w:rPr>
        <w:t xml:space="preserve"> og ventrikelseptum-defekt (se pkt. 5.3). Endvidere er det kendt, at den receptor, der påvirkes af </w:t>
      </w:r>
      <w:proofErr w:type="spellStart"/>
      <w:r w:rsidRPr="009E49F8">
        <w:rPr>
          <w:sz w:val="24"/>
          <w:szCs w:val="24"/>
        </w:rPr>
        <w:t>fingolimod</w:t>
      </w:r>
      <w:proofErr w:type="spellEnd"/>
      <w:r w:rsidRPr="009E49F8">
        <w:rPr>
          <w:sz w:val="24"/>
          <w:szCs w:val="24"/>
        </w:rPr>
        <w:t xml:space="preserve"> (sphingosin1-fosfatreceptoren), er involveret i kardannelsen under embryogenesen. </w:t>
      </w:r>
    </w:p>
    <w:p w14:paraId="218C77C9" w14:textId="77777777" w:rsidR="00C10D9D" w:rsidRPr="009E49F8" w:rsidRDefault="00C10D9D" w:rsidP="00CF35AD">
      <w:pPr>
        <w:ind w:left="851"/>
        <w:rPr>
          <w:sz w:val="24"/>
          <w:szCs w:val="24"/>
        </w:rPr>
      </w:pPr>
      <w:r w:rsidRPr="009E49F8">
        <w:rPr>
          <w:sz w:val="24"/>
          <w:szCs w:val="24"/>
        </w:rPr>
        <w:t xml:space="preserve"> </w:t>
      </w:r>
    </w:p>
    <w:p w14:paraId="24DC294C" w14:textId="77777777" w:rsidR="00C10D9D" w:rsidRPr="009E49F8" w:rsidRDefault="00C10D9D" w:rsidP="00CF35AD">
      <w:pPr>
        <w:ind w:left="851"/>
        <w:rPr>
          <w:sz w:val="24"/>
          <w:szCs w:val="24"/>
        </w:rPr>
      </w:pPr>
      <w:r w:rsidRPr="009E49F8">
        <w:rPr>
          <w:sz w:val="24"/>
          <w:szCs w:val="24"/>
        </w:rPr>
        <w:t xml:space="preserve">Derfor er </w:t>
      </w:r>
      <w:proofErr w:type="spellStart"/>
      <w:r w:rsidRPr="009E49F8">
        <w:rPr>
          <w:sz w:val="24"/>
          <w:szCs w:val="24"/>
        </w:rPr>
        <w:t>fingolimod</w:t>
      </w:r>
      <w:proofErr w:type="spellEnd"/>
      <w:r w:rsidRPr="009E49F8">
        <w:rPr>
          <w:sz w:val="24"/>
          <w:szCs w:val="24"/>
        </w:rPr>
        <w:t xml:space="preserve"> kontraindiceret under graviditet (se pkt. 4.3). </w:t>
      </w:r>
      <w:proofErr w:type="spellStart"/>
      <w:r w:rsidRPr="009E49F8">
        <w:rPr>
          <w:sz w:val="24"/>
          <w:szCs w:val="24"/>
        </w:rPr>
        <w:t>Fingolimod</w:t>
      </w:r>
      <w:proofErr w:type="spellEnd"/>
      <w:r w:rsidRPr="009E49F8">
        <w:rPr>
          <w:sz w:val="24"/>
          <w:szCs w:val="24"/>
        </w:rPr>
        <w:t xml:space="preserve"> skal seponeres 2 måneder inden graviditet planlægges (se pkt. 4.4). Hvis en kvinde bliver gravid under behandling, skal behandlingen med </w:t>
      </w:r>
      <w:proofErr w:type="spellStart"/>
      <w:r w:rsidRPr="009E49F8">
        <w:rPr>
          <w:sz w:val="24"/>
          <w:szCs w:val="24"/>
        </w:rPr>
        <w:t>fingolimod</w:t>
      </w:r>
      <w:proofErr w:type="spellEnd"/>
      <w:r w:rsidRPr="009E49F8">
        <w:rPr>
          <w:sz w:val="24"/>
          <w:szCs w:val="24"/>
        </w:rPr>
        <w:t xml:space="preserve"> seponeres. Der skal gives medicinsk rådgivning vedrørende risikoen for skadelige virkninger for fosteret forbundet med behandling og der skal udføres ultralydsundersøgelser.</w:t>
      </w:r>
    </w:p>
    <w:p w14:paraId="2D2902D5" w14:textId="77777777" w:rsidR="00C10D9D" w:rsidRPr="009E49F8" w:rsidRDefault="00C10D9D" w:rsidP="00CF35AD">
      <w:pPr>
        <w:ind w:left="851"/>
        <w:rPr>
          <w:sz w:val="24"/>
          <w:szCs w:val="24"/>
        </w:rPr>
      </w:pPr>
    </w:p>
    <w:p w14:paraId="195E5E07" w14:textId="77777777" w:rsidR="00C10D9D" w:rsidRPr="009E49F8" w:rsidRDefault="00C10D9D" w:rsidP="00CF35AD">
      <w:pPr>
        <w:ind w:left="851"/>
        <w:rPr>
          <w:sz w:val="24"/>
          <w:szCs w:val="24"/>
          <w:u w:val="single"/>
        </w:rPr>
      </w:pPr>
      <w:r w:rsidRPr="009E49F8">
        <w:rPr>
          <w:sz w:val="24"/>
          <w:szCs w:val="24"/>
          <w:u w:val="single"/>
        </w:rPr>
        <w:t xml:space="preserve">Amning </w:t>
      </w:r>
    </w:p>
    <w:p w14:paraId="5449F24E" w14:textId="77777777" w:rsidR="00C10D9D" w:rsidRPr="009E49F8" w:rsidRDefault="00C10D9D" w:rsidP="00CF35AD">
      <w:pPr>
        <w:ind w:left="851"/>
        <w:rPr>
          <w:sz w:val="24"/>
          <w:szCs w:val="24"/>
        </w:rPr>
      </w:pPr>
      <w:proofErr w:type="spellStart"/>
      <w:r w:rsidRPr="009E49F8">
        <w:rPr>
          <w:sz w:val="24"/>
          <w:szCs w:val="24"/>
        </w:rPr>
        <w:t>Fingolimod</w:t>
      </w:r>
      <w:proofErr w:type="spellEnd"/>
      <w:r w:rsidRPr="009E49F8">
        <w:rPr>
          <w:sz w:val="24"/>
          <w:szCs w:val="24"/>
        </w:rPr>
        <w:t xml:space="preserve"> udskilles i mælken hos dyr, der behandles under amning (se pkt. 5.3). På grund af risikoen for alvorlige bivirkninger af </w:t>
      </w:r>
      <w:proofErr w:type="spellStart"/>
      <w:r w:rsidRPr="009E49F8">
        <w:rPr>
          <w:sz w:val="24"/>
          <w:szCs w:val="24"/>
        </w:rPr>
        <w:t>fingolimod</w:t>
      </w:r>
      <w:proofErr w:type="spellEnd"/>
      <w:r w:rsidRPr="009E49F8">
        <w:rPr>
          <w:sz w:val="24"/>
          <w:szCs w:val="24"/>
        </w:rPr>
        <w:t xml:space="preserve"> hos ammede børn, bør kvinder, der får </w:t>
      </w:r>
      <w:proofErr w:type="spellStart"/>
      <w:r w:rsidRPr="009E49F8">
        <w:rPr>
          <w:sz w:val="24"/>
          <w:szCs w:val="24"/>
        </w:rPr>
        <w:t>fingolimod</w:t>
      </w:r>
      <w:proofErr w:type="spellEnd"/>
      <w:r w:rsidRPr="009E49F8">
        <w:rPr>
          <w:sz w:val="24"/>
          <w:szCs w:val="24"/>
        </w:rPr>
        <w:t xml:space="preserve">, ikke amme. </w:t>
      </w:r>
    </w:p>
    <w:p w14:paraId="33E18A48" w14:textId="77777777" w:rsidR="00C10D9D" w:rsidRPr="009E49F8" w:rsidRDefault="00C10D9D" w:rsidP="00CF35AD">
      <w:pPr>
        <w:ind w:left="851"/>
        <w:rPr>
          <w:sz w:val="24"/>
          <w:szCs w:val="24"/>
        </w:rPr>
      </w:pPr>
      <w:r w:rsidRPr="009E49F8">
        <w:rPr>
          <w:sz w:val="24"/>
          <w:szCs w:val="24"/>
        </w:rPr>
        <w:t xml:space="preserve"> </w:t>
      </w:r>
    </w:p>
    <w:p w14:paraId="6E82ADDE" w14:textId="77777777" w:rsidR="00C10D9D" w:rsidRPr="009E49F8" w:rsidRDefault="00C10D9D" w:rsidP="00CF35AD">
      <w:pPr>
        <w:ind w:left="851"/>
        <w:rPr>
          <w:sz w:val="24"/>
          <w:szCs w:val="24"/>
          <w:u w:val="single"/>
        </w:rPr>
      </w:pPr>
      <w:r w:rsidRPr="009E49F8">
        <w:rPr>
          <w:sz w:val="24"/>
          <w:szCs w:val="24"/>
          <w:u w:val="single"/>
        </w:rPr>
        <w:t xml:space="preserve">Fertilitet </w:t>
      </w:r>
    </w:p>
    <w:p w14:paraId="265502F4" w14:textId="77777777" w:rsidR="00C10D9D" w:rsidRPr="009E49F8" w:rsidRDefault="00C10D9D" w:rsidP="00CF35AD">
      <w:pPr>
        <w:ind w:left="851"/>
        <w:rPr>
          <w:sz w:val="24"/>
          <w:szCs w:val="24"/>
        </w:rPr>
      </w:pPr>
      <w:r w:rsidRPr="009E49F8">
        <w:rPr>
          <w:sz w:val="24"/>
          <w:szCs w:val="24"/>
        </w:rPr>
        <w:t xml:space="preserve">Data fra prækliniske undersøgelser tyder ikke på, at </w:t>
      </w:r>
      <w:proofErr w:type="spellStart"/>
      <w:r w:rsidRPr="009E49F8">
        <w:rPr>
          <w:sz w:val="24"/>
          <w:szCs w:val="24"/>
        </w:rPr>
        <w:t>fingolimod</w:t>
      </w:r>
      <w:proofErr w:type="spellEnd"/>
      <w:r w:rsidRPr="009E49F8">
        <w:rPr>
          <w:sz w:val="24"/>
          <w:szCs w:val="24"/>
        </w:rPr>
        <w:t xml:space="preserve"> ville være forbundet med øget risiko for nedsat fertilitet (se pkt. 5.3).</w:t>
      </w:r>
    </w:p>
    <w:p w14:paraId="55FF6064" w14:textId="77777777" w:rsidR="009260DE" w:rsidRPr="009E49F8" w:rsidRDefault="009260DE" w:rsidP="009260DE">
      <w:pPr>
        <w:tabs>
          <w:tab w:val="left" w:pos="851"/>
        </w:tabs>
        <w:ind w:left="851"/>
        <w:rPr>
          <w:sz w:val="24"/>
          <w:szCs w:val="24"/>
        </w:rPr>
      </w:pPr>
    </w:p>
    <w:p w14:paraId="4121BB0A" w14:textId="03748162" w:rsidR="009260DE" w:rsidRPr="009E49F8" w:rsidRDefault="009260DE" w:rsidP="009260DE">
      <w:pPr>
        <w:tabs>
          <w:tab w:val="left" w:pos="851"/>
        </w:tabs>
        <w:ind w:left="851" w:hanging="851"/>
        <w:rPr>
          <w:b/>
          <w:sz w:val="24"/>
          <w:szCs w:val="24"/>
        </w:rPr>
      </w:pPr>
      <w:r w:rsidRPr="009E49F8">
        <w:rPr>
          <w:b/>
          <w:sz w:val="24"/>
          <w:szCs w:val="24"/>
        </w:rPr>
        <w:t>4.7</w:t>
      </w:r>
      <w:r w:rsidRPr="009E49F8">
        <w:rPr>
          <w:b/>
          <w:sz w:val="24"/>
          <w:szCs w:val="24"/>
        </w:rPr>
        <w:tab/>
        <w:t xml:space="preserve">Virkning på evnen til at føre motorkøretøj </w:t>
      </w:r>
      <w:r w:rsidR="00AF54E1">
        <w:rPr>
          <w:b/>
          <w:sz w:val="24"/>
          <w:szCs w:val="24"/>
        </w:rPr>
        <w:t xml:space="preserve">og </w:t>
      </w:r>
      <w:r w:rsidRPr="009E49F8">
        <w:rPr>
          <w:b/>
          <w:sz w:val="24"/>
          <w:szCs w:val="24"/>
        </w:rPr>
        <w:t>betjene maskiner</w:t>
      </w:r>
    </w:p>
    <w:p w14:paraId="6952BCB5" w14:textId="77777777" w:rsidR="007F793B" w:rsidRPr="009E49F8" w:rsidRDefault="007F793B" w:rsidP="007F793B">
      <w:pPr>
        <w:ind w:left="851"/>
        <w:rPr>
          <w:sz w:val="24"/>
          <w:szCs w:val="24"/>
        </w:rPr>
      </w:pPr>
      <w:r w:rsidRPr="009E49F8">
        <w:rPr>
          <w:sz w:val="24"/>
          <w:szCs w:val="24"/>
        </w:rPr>
        <w:t xml:space="preserve">Ikke mærkning </w:t>
      </w:r>
    </w:p>
    <w:p w14:paraId="261E4BE4" w14:textId="77777777" w:rsidR="007F793B" w:rsidRPr="009E49F8" w:rsidRDefault="007F793B" w:rsidP="007F793B">
      <w:pPr>
        <w:ind w:left="851"/>
        <w:rPr>
          <w:sz w:val="24"/>
          <w:szCs w:val="24"/>
        </w:rPr>
      </w:pPr>
      <w:proofErr w:type="spellStart"/>
      <w:r w:rsidRPr="009E49F8">
        <w:rPr>
          <w:sz w:val="24"/>
          <w:szCs w:val="24"/>
        </w:rPr>
        <w:t>Fingolimod</w:t>
      </w:r>
      <w:proofErr w:type="spellEnd"/>
      <w:r w:rsidRPr="009E49F8">
        <w:rPr>
          <w:sz w:val="24"/>
          <w:szCs w:val="24"/>
        </w:rPr>
        <w:t xml:space="preserve"> påvirker ikke eller kun i ubetydelig grad evnen til at føre motorkøretøj og betjene maskiner. </w:t>
      </w:r>
    </w:p>
    <w:p w14:paraId="73521F06" w14:textId="77777777" w:rsidR="007F793B" w:rsidRPr="009E49F8" w:rsidRDefault="007F793B" w:rsidP="007F793B">
      <w:pPr>
        <w:ind w:left="851"/>
        <w:rPr>
          <w:sz w:val="24"/>
          <w:szCs w:val="24"/>
        </w:rPr>
      </w:pPr>
      <w:r w:rsidRPr="009E49F8">
        <w:rPr>
          <w:sz w:val="24"/>
          <w:szCs w:val="24"/>
        </w:rPr>
        <w:t xml:space="preserve"> </w:t>
      </w:r>
    </w:p>
    <w:p w14:paraId="307D2809" w14:textId="77777777" w:rsidR="007F793B" w:rsidRPr="009E49F8" w:rsidRDefault="007F793B" w:rsidP="007F793B">
      <w:pPr>
        <w:ind w:left="851"/>
        <w:rPr>
          <w:sz w:val="24"/>
          <w:szCs w:val="24"/>
        </w:rPr>
      </w:pPr>
      <w:r w:rsidRPr="009E49F8">
        <w:rPr>
          <w:sz w:val="24"/>
          <w:szCs w:val="24"/>
        </w:rPr>
        <w:t xml:space="preserve">Der kan dog forekomme svimmelhed og døsighed ved indledning af behandling. Det anbefales derfor, at observere patienterne i 6 timer ved initiering af behandling med </w:t>
      </w:r>
      <w:proofErr w:type="spellStart"/>
      <w:r w:rsidRPr="009E49F8">
        <w:rPr>
          <w:sz w:val="24"/>
          <w:szCs w:val="24"/>
        </w:rPr>
        <w:t>fingolimod</w:t>
      </w:r>
      <w:proofErr w:type="spellEnd"/>
      <w:r w:rsidRPr="009E49F8">
        <w:rPr>
          <w:sz w:val="24"/>
          <w:szCs w:val="24"/>
        </w:rPr>
        <w:t xml:space="preserve"> (se pkt. 4.4, Bradykardi).</w:t>
      </w:r>
    </w:p>
    <w:p w14:paraId="1DC03688" w14:textId="0C4DAA60" w:rsidR="009260DE" w:rsidRDefault="009260DE" w:rsidP="009260DE">
      <w:pPr>
        <w:tabs>
          <w:tab w:val="left" w:pos="851"/>
        </w:tabs>
        <w:ind w:left="851"/>
        <w:rPr>
          <w:sz w:val="24"/>
          <w:szCs w:val="24"/>
        </w:rPr>
      </w:pPr>
    </w:p>
    <w:p w14:paraId="1A8DD6EE" w14:textId="4E7B28D3" w:rsidR="00AF54E1" w:rsidRDefault="00AF54E1" w:rsidP="009260DE">
      <w:pPr>
        <w:tabs>
          <w:tab w:val="left" w:pos="851"/>
        </w:tabs>
        <w:ind w:left="851"/>
        <w:rPr>
          <w:sz w:val="24"/>
          <w:szCs w:val="24"/>
        </w:rPr>
      </w:pPr>
    </w:p>
    <w:p w14:paraId="65DA019D" w14:textId="777CD181" w:rsidR="00AF54E1" w:rsidRDefault="00AF54E1" w:rsidP="009260DE">
      <w:pPr>
        <w:tabs>
          <w:tab w:val="left" w:pos="851"/>
        </w:tabs>
        <w:ind w:left="851"/>
        <w:rPr>
          <w:sz w:val="24"/>
          <w:szCs w:val="24"/>
        </w:rPr>
      </w:pPr>
    </w:p>
    <w:p w14:paraId="0A7E2A2B" w14:textId="77777777" w:rsidR="00AF54E1" w:rsidRPr="009E49F8" w:rsidRDefault="00AF54E1" w:rsidP="009260DE">
      <w:pPr>
        <w:tabs>
          <w:tab w:val="left" w:pos="851"/>
        </w:tabs>
        <w:ind w:left="851"/>
        <w:rPr>
          <w:sz w:val="24"/>
          <w:szCs w:val="24"/>
        </w:rPr>
      </w:pPr>
    </w:p>
    <w:p w14:paraId="71F8BF9E" w14:textId="77777777" w:rsidR="009260DE" w:rsidRPr="009E49F8" w:rsidRDefault="009260DE" w:rsidP="009260DE">
      <w:pPr>
        <w:tabs>
          <w:tab w:val="left" w:pos="851"/>
        </w:tabs>
        <w:ind w:left="851" w:hanging="851"/>
        <w:rPr>
          <w:b/>
          <w:sz w:val="24"/>
          <w:szCs w:val="24"/>
        </w:rPr>
      </w:pPr>
      <w:r w:rsidRPr="009E49F8">
        <w:rPr>
          <w:b/>
          <w:sz w:val="24"/>
          <w:szCs w:val="24"/>
        </w:rPr>
        <w:lastRenderedPageBreak/>
        <w:t>4.8</w:t>
      </w:r>
      <w:r w:rsidRPr="009E49F8">
        <w:rPr>
          <w:b/>
          <w:sz w:val="24"/>
          <w:szCs w:val="24"/>
        </w:rPr>
        <w:tab/>
        <w:t>Bivirkninger</w:t>
      </w:r>
    </w:p>
    <w:p w14:paraId="204D64BF" w14:textId="77777777" w:rsidR="00520D70" w:rsidRPr="009E49F8" w:rsidRDefault="00520D70" w:rsidP="007128C2">
      <w:pPr>
        <w:ind w:left="851"/>
        <w:rPr>
          <w:sz w:val="24"/>
          <w:szCs w:val="24"/>
        </w:rPr>
      </w:pPr>
    </w:p>
    <w:p w14:paraId="7BBDB132" w14:textId="63D8E080" w:rsidR="007F793B" w:rsidRPr="007F793B" w:rsidRDefault="007F793B" w:rsidP="007F793B">
      <w:pPr>
        <w:ind w:left="851"/>
        <w:rPr>
          <w:sz w:val="24"/>
          <w:szCs w:val="24"/>
          <w:u w:val="single"/>
        </w:rPr>
      </w:pPr>
      <w:r w:rsidRPr="009E49F8">
        <w:rPr>
          <w:sz w:val="24"/>
          <w:szCs w:val="24"/>
          <w:u w:val="single"/>
        </w:rPr>
        <w:t xml:space="preserve">Resumé af sikkerhedsprofilen </w:t>
      </w:r>
    </w:p>
    <w:p w14:paraId="3743C346" w14:textId="77777777" w:rsidR="007F793B" w:rsidRPr="007E37E8" w:rsidRDefault="007F793B" w:rsidP="007F793B">
      <w:pPr>
        <w:ind w:left="851"/>
        <w:rPr>
          <w:sz w:val="24"/>
          <w:szCs w:val="24"/>
        </w:rPr>
      </w:pPr>
      <w:r w:rsidRPr="00A22361">
        <w:rPr>
          <w:sz w:val="24"/>
          <w:szCs w:val="24"/>
        </w:rPr>
        <w:t xml:space="preserve">De hyppigste bivirkninger (hyppighed ≥10 %) ved dosis på 0,5 mg, var hovedpine (24,5 %), forhøjede leverenzymer (15,2 %), diarré (12,6 %), hoste (12,3 %), influenza (11,4 %), </w:t>
      </w:r>
      <w:proofErr w:type="spellStart"/>
      <w:r w:rsidRPr="00A22361">
        <w:rPr>
          <w:sz w:val="24"/>
          <w:szCs w:val="24"/>
        </w:rPr>
        <w:t>sinusitis</w:t>
      </w:r>
      <w:proofErr w:type="spellEnd"/>
      <w:r w:rsidRPr="00A22361">
        <w:rPr>
          <w:sz w:val="24"/>
          <w:szCs w:val="24"/>
        </w:rPr>
        <w:t xml:space="preserve"> (10,9 %) og </w:t>
      </w:r>
      <w:proofErr w:type="spellStart"/>
      <w:r w:rsidRPr="00A22361">
        <w:rPr>
          <w:sz w:val="24"/>
          <w:szCs w:val="24"/>
        </w:rPr>
        <w:t>rygsmerte</w:t>
      </w:r>
      <w:proofErr w:type="spellEnd"/>
      <w:r w:rsidRPr="00A22361">
        <w:rPr>
          <w:sz w:val="24"/>
          <w:szCs w:val="24"/>
        </w:rPr>
        <w:t xml:space="preserve"> (10,0 %).</w:t>
      </w:r>
    </w:p>
    <w:p w14:paraId="3DA734DD" w14:textId="77777777" w:rsidR="007F793B" w:rsidRDefault="007F793B" w:rsidP="007F793B">
      <w:pPr>
        <w:rPr>
          <w:sz w:val="24"/>
          <w:szCs w:val="24"/>
        </w:rPr>
      </w:pPr>
    </w:p>
    <w:p w14:paraId="52A3D35B" w14:textId="77777777" w:rsidR="007F793B" w:rsidRPr="009E49F8" w:rsidRDefault="007F793B" w:rsidP="007F793B">
      <w:pPr>
        <w:rPr>
          <w:sz w:val="24"/>
          <w:szCs w:val="24"/>
        </w:rPr>
      </w:pPr>
    </w:p>
    <w:p w14:paraId="71F0386D" w14:textId="77777777" w:rsidR="007F793B" w:rsidRPr="009E49F8" w:rsidRDefault="007F793B" w:rsidP="007F793B">
      <w:pPr>
        <w:ind w:left="851"/>
        <w:rPr>
          <w:sz w:val="24"/>
          <w:szCs w:val="24"/>
          <w:u w:val="single"/>
        </w:rPr>
      </w:pPr>
      <w:r w:rsidRPr="009E49F8">
        <w:rPr>
          <w:sz w:val="24"/>
          <w:szCs w:val="24"/>
          <w:u w:val="single"/>
        </w:rPr>
        <w:t>Liste over bivirkninger i tabelform</w:t>
      </w:r>
    </w:p>
    <w:p w14:paraId="27B19CCB" w14:textId="77777777" w:rsidR="007F793B" w:rsidRDefault="007F793B" w:rsidP="007F793B">
      <w:pPr>
        <w:ind w:left="851"/>
        <w:rPr>
          <w:sz w:val="24"/>
          <w:szCs w:val="24"/>
        </w:rPr>
      </w:pPr>
      <w:r>
        <w:t>Nedenfor vises bivirkninger rapporteret i kliniske studier via spontane rapporter eller litteratursager efter markedsføring. Hyppighed blev defineret ved brug af følgende konvention: meget almindelig (≥1/10); almindelig (≥1/100 til &lt;10), ikke almindelig (≥1/1.000 til &lt;1/100), sjælden (≥1/10.000 til &lt;1/1.000); meget sjælden (&lt;1/10.000); ikke kendt (kan ikke estimeres ud fra forhåndenværende data). Inden for hver enkelt frekvensgruppe er bivirkningerne opstillet efter hvor alvorlige de er.</w:t>
      </w:r>
    </w:p>
    <w:p w14:paraId="304EE097" w14:textId="77777777" w:rsidR="00C10D9D" w:rsidRPr="009E49F8" w:rsidRDefault="00C10D9D" w:rsidP="007128C2">
      <w:pPr>
        <w:ind w:left="851"/>
        <w:rPr>
          <w:sz w:val="24"/>
          <w:szCs w:val="24"/>
        </w:rPr>
      </w:pPr>
    </w:p>
    <w:p w14:paraId="5D0ADE4A" w14:textId="77777777" w:rsidR="00C10D9D" w:rsidRPr="009E49F8" w:rsidRDefault="00C10D9D" w:rsidP="007128C2">
      <w:pPr>
        <w:ind w:left="851"/>
        <w:rPr>
          <w:rStyle w:val="Strk"/>
          <w:sz w:val="24"/>
          <w:szCs w:val="24"/>
        </w:rPr>
      </w:pPr>
      <w:r w:rsidRPr="009E49F8">
        <w:rPr>
          <w:rStyle w:val="Strk"/>
          <w:sz w:val="24"/>
          <w:szCs w:val="24"/>
        </w:rPr>
        <w:t xml:space="preserve">Infektioner og parasitære sygdomme </w:t>
      </w:r>
    </w:p>
    <w:p w14:paraId="04FEAA22" w14:textId="77777777" w:rsidR="00C10D9D" w:rsidRPr="009E49F8" w:rsidRDefault="00C10D9D" w:rsidP="007128C2">
      <w:pPr>
        <w:ind w:left="851"/>
        <w:rPr>
          <w:noProof/>
          <w:sz w:val="24"/>
          <w:szCs w:val="24"/>
        </w:rPr>
      </w:pPr>
      <w:r w:rsidRPr="009E49F8">
        <w:rPr>
          <w:noProof/>
          <w:sz w:val="24"/>
          <w:szCs w:val="24"/>
        </w:rPr>
        <w:t xml:space="preserve">Meget almindelig: </w:t>
      </w:r>
      <w:r w:rsidRPr="009E49F8">
        <w:rPr>
          <w:noProof/>
          <w:sz w:val="24"/>
          <w:szCs w:val="24"/>
        </w:rPr>
        <w:tab/>
        <w:t xml:space="preserve">Influenza </w:t>
      </w:r>
    </w:p>
    <w:p w14:paraId="38D18762" w14:textId="77777777" w:rsidR="00C10D9D" w:rsidRPr="009E49F8" w:rsidRDefault="00C10D9D" w:rsidP="00520D70">
      <w:pPr>
        <w:ind w:left="3459" w:firstLine="453"/>
        <w:rPr>
          <w:noProof/>
          <w:sz w:val="24"/>
          <w:szCs w:val="24"/>
        </w:rPr>
      </w:pPr>
      <w:r w:rsidRPr="009E49F8">
        <w:rPr>
          <w:noProof/>
          <w:sz w:val="24"/>
          <w:szCs w:val="24"/>
        </w:rPr>
        <w:t>Sinusitis</w:t>
      </w:r>
    </w:p>
    <w:p w14:paraId="59439ACF" w14:textId="77777777" w:rsidR="00C10D9D" w:rsidRPr="009E49F8" w:rsidRDefault="00C10D9D" w:rsidP="007128C2">
      <w:pPr>
        <w:ind w:left="851"/>
        <w:rPr>
          <w:noProof/>
          <w:sz w:val="24"/>
          <w:szCs w:val="24"/>
        </w:rPr>
      </w:pPr>
      <w:r w:rsidRPr="009E49F8">
        <w:rPr>
          <w:noProof/>
          <w:sz w:val="24"/>
          <w:szCs w:val="24"/>
        </w:rPr>
        <w:t>Almindelig:</w:t>
      </w:r>
      <w:r w:rsidRPr="009E49F8">
        <w:rPr>
          <w:noProof/>
          <w:sz w:val="24"/>
          <w:szCs w:val="24"/>
        </w:rPr>
        <w:tab/>
      </w:r>
      <w:r w:rsidRPr="009E49F8">
        <w:rPr>
          <w:noProof/>
          <w:sz w:val="24"/>
          <w:szCs w:val="24"/>
        </w:rPr>
        <w:tab/>
        <w:t xml:space="preserve">Herpesvirusinfektioner </w:t>
      </w:r>
    </w:p>
    <w:p w14:paraId="1196D9BC" w14:textId="77777777" w:rsidR="00C10D9D" w:rsidRPr="009E49F8" w:rsidRDefault="00C10D9D" w:rsidP="00520D70">
      <w:pPr>
        <w:ind w:left="3459" w:firstLine="453"/>
        <w:rPr>
          <w:noProof/>
          <w:sz w:val="24"/>
          <w:szCs w:val="24"/>
        </w:rPr>
      </w:pPr>
      <w:r w:rsidRPr="009E49F8">
        <w:rPr>
          <w:noProof/>
          <w:sz w:val="24"/>
          <w:szCs w:val="24"/>
        </w:rPr>
        <w:t xml:space="preserve">Bronchitis </w:t>
      </w:r>
    </w:p>
    <w:p w14:paraId="632BAF4D" w14:textId="77777777" w:rsidR="00C10D9D" w:rsidRPr="009E49F8" w:rsidRDefault="00C10D9D" w:rsidP="00520D70">
      <w:pPr>
        <w:ind w:left="3006" w:firstLine="906"/>
        <w:rPr>
          <w:noProof/>
          <w:sz w:val="24"/>
          <w:szCs w:val="24"/>
        </w:rPr>
      </w:pPr>
      <w:r w:rsidRPr="009E49F8">
        <w:rPr>
          <w:noProof/>
          <w:sz w:val="24"/>
          <w:szCs w:val="24"/>
        </w:rPr>
        <w:t>Tinea versicolor</w:t>
      </w:r>
    </w:p>
    <w:p w14:paraId="1DF10B0B" w14:textId="391C2521" w:rsidR="00C10D9D" w:rsidRPr="009E49F8" w:rsidRDefault="00C10D9D" w:rsidP="007128C2">
      <w:pPr>
        <w:ind w:left="851"/>
        <w:rPr>
          <w:noProof/>
          <w:sz w:val="24"/>
          <w:szCs w:val="24"/>
        </w:rPr>
      </w:pPr>
      <w:r w:rsidRPr="009E49F8">
        <w:rPr>
          <w:noProof/>
          <w:sz w:val="24"/>
          <w:szCs w:val="24"/>
        </w:rPr>
        <w:t>Ikke almindelig:</w:t>
      </w:r>
      <w:r w:rsidRPr="009E49F8">
        <w:rPr>
          <w:noProof/>
          <w:sz w:val="24"/>
          <w:szCs w:val="24"/>
        </w:rPr>
        <w:tab/>
      </w:r>
      <w:r w:rsidR="00520D70" w:rsidRPr="009E49F8">
        <w:rPr>
          <w:noProof/>
          <w:sz w:val="24"/>
          <w:szCs w:val="24"/>
        </w:rPr>
        <w:tab/>
      </w:r>
      <w:r w:rsidRPr="009E49F8">
        <w:rPr>
          <w:noProof/>
          <w:sz w:val="24"/>
          <w:szCs w:val="24"/>
        </w:rPr>
        <w:t>Pneumoni</w:t>
      </w:r>
    </w:p>
    <w:p w14:paraId="43417851" w14:textId="77777777" w:rsidR="00C10D9D" w:rsidRPr="009E49F8" w:rsidRDefault="00C10D9D" w:rsidP="007128C2">
      <w:pPr>
        <w:ind w:left="851"/>
        <w:rPr>
          <w:noProof/>
          <w:sz w:val="24"/>
          <w:szCs w:val="24"/>
        </w:rPr>
      </w:pPr>
      <w:r w:rsidRPr="009E49F8">
        <w:rPr>
          <w:noProof/>
          <w:sz w:val="24"/>
          <w:szCs w:val="24"/>
        </w:rPr>
        <w:t>Ikke kendt:</w:t>
      </w:r>
      <w:r w:rsidRPr="009E49F8">
        <w:rPr>
          <w:noProof/>
          <w:sz w:val="24"/>
          <w:szCs w:val="24"/>
        </w:rPr>
        <w:tab/>
      </w:r>
      <w:r w:rsidRPr="009E49F8">
        <w:rPr>
          <w:noProof/>
          <w:sz w:val="24"/>
          <w:szCs w:val="24"/>
        </w:rPr>
        <w:tab/>
        <w:t xml:space="preserve">Progressiv multifokal leukoencefalopati (PML)** </w:t>
      </w:r>
    </w:p>
    <w:p w14:paraId="41B194AA" w14:textId="77777777" w:rsidR="00C10D9D" w:rsidRPr="009E49F8" w:rsidRDefault="00C10D9D" w:rsidP="00520D70">
      <w:pPr>
        <w:ind w:left="3459" w:firstLine="453"/>
        <w:rPr>
          <w:noProof/>
          <w:sz w:val="24"/>
          <w:szCs w:val="24"/>
        </w:rPr>
      </w:pPr>
      <w:r w:rsidRPr="009E49F8">
        <w:rPr>
          <w:noProof/>
          <w:sz w:val="24"/>
          <w:szCs w:val="24"/>
        </w:rPr>
        <w:t>Kryptokokinfektioner**</w:t>
      </w:r>
    </w:p>
    <w:p w14:paraId="54A12469" w14:textId="77777777" w:rsidR="00C10D9D" w:rsidRPr="009E49F8" w:rsidRDefault="00C10D9D" w:rsidP="007128C2">
      <w:pPr>
        <w:ind w:left="851"/>
        <w:rPr>
          <w:b/>
          <w:bCs/>
          <w:noProof/>
          <w:sz w:val="24"/>
          <w:szCs w:val="24"/>
        </w:rPr>
      </w:pPr>
    </w:p>
    <w:p w14:paraId="44FEA424" w14:textId="77777777" w:rsidR="00C10D9D" w:rsidRPr="009E49F8" w:rsidRDefault="00C10D9D" w:rsidP="007128C2">
      <w:pPr>
        <w:ind w:left="851"/>
        <w:rPr>
          <w:b/>
          <w:bCs/>
          <w:noProof/>
          <w:sz w:val="24"/>
          <w:szCs w:val="24"/>
        </w:rPr>
      </w:pPr>
      <w:r w:rsidRPr="009E49F8">
        <w:rPr>
          <w:b/>
          <w:bCs/>
          <w:noProof/>
          <w:sz w:val="24"/>
          <w:szCs w:val="24"/>
        </w:rPr>
        <w:t xml:space="preserve">Benigne, maligne og uspecificerede tumorer (inkl. cyster og polypper) </w:t>
      </w:r>
    </w:p>
    <w:p w14:paraId="77EBC44E" w14:textId="77777777" w:rsidR="00C10D9D" w:rsidRPr="009E49F8" w:rsidRDefault="00C10D9D" w:rsidP="007128C2">
      <w:pPr>
        <w:ind w:left="851"/>
        <w:rPr>
          <w:noProof/>
          <w:sz w:val="24"/>
          <w:szCs w:val="24"/>
        </w:rPr>
      </w:pPr>
      <w:r w:rsidRPr="009E49F8">
        <w:rPr>
          <w:noProof/>
          <w:sz w:val="24"/>
          <w:szCs w:val="24"/>
        </w:rPr>
        <w:t xml:space="preserve">Almindelig: </w:t>
      </w:r>
      <w:r w:rsidRPr="009E49F8">
        <w:rPr>
          <w:noProof/>
          <w:sz w:val="24"/>
          <w:szCs w:val="24"/>
        </w:rPr>
        <w:tab/>
      </w:r>
      <w:r w:rsidRPr="009E49F8">
        <w:rPr>
          <w:noProof/>
          <w:sz w:val="24"/>
          <w:szCs w:val="24"/>
        </w:rPr>
        <w:tab/>
        <w:t xml:space="preserve">Basalcellekarcinom </w:t>
      </w:r>
    </w:p>
    <w:p w14:paraId="2AD6CC43" w14:textId="0F64DE02" w:rsidR="00C10D9D" w:rsidRPr="009E49F8" w:rsidRDefault="00C10D9D" w:rsidP="007128C2">
      <w:pPr>
        <w:ind w:left="851"/>
        <w:rPr>
          <w:noProof/>
          <w:sz w:val="24"/>
          <w:szCs w:val="24"/>
        </w:rPr>
      </w:pPr>
      <w:r w:rsidRPr="009E49F8">
        <w:rPr>
          <w:noProof/>
          <w:sz w:val="24"/>
          <w:szCs w:val="24"/>
        </w:rPr>
        <w:t xml:space="preserve">Ikke almindelig: </w:t>
      </w:r>
      <w:r w:rsidRPr="009E49F8">
        <w:rPr>
          <w:noProof/>
          <w:sz w:val="24"/>
          <w:szCs w:val="24"/>
        </w:rPr>
        <w:tab/>
      </w:r>
      <w:r w:rsidR="00925892" w:rsidRPr="009E49F8">
        <w:rPr>
          <w:noProof/>
          <w:sz w:val="24"/>
          <w:szCs w:val="24"/>
        </w:rPr>
        <w:tab/>
      </w:r>
      <w:r w:rsidRPr="009E49F8">
        <w:rPr>
          <w:noProof/>
          <w:sz w:val="24"/>
          <w:szCs w:val="24"/>
        </w:rPr>
        <w:t xml:space="preserve">Malignt melanom**** </w:t>
      </w:r>
    </w:p>
    <w:p w14:paraId="0D66FDC9" w14:textId="77777777" w:rsidR="00C10D9D" w:rsidRPr="009E49F8" w:rsidRDefault="00C10D9D" w:rsidP="007128C2">
      <w:pPr>
        <w:ind w:left="851"/>
        <w:rPr>
          <w:noProof/>
          <w:sz w:val="24"/>
          <w:szCs w:val="24"/>
        </w:rPr>
      </w:pPr>
      <w:r w:rsidRPr="009E49F8">
        <w:rPr>
          <w:noProof/>
          <w:sz w:val="24"/>
          <w:szCs w:val="24"/>
        </w:rPr>
        <w:t xml:space="preserve">Sjælden: </w:t>
      </w:r>
      <w:r w:rsidRPr="009E49F8">
        <w:rPr>
          <w:noProof/>
          <w:sz w:val="24"/>
          <w:szCs w:val="24"/>
        </w:rPr>
        <w:tab/>
      </w:r>
      <w:r w:rsidRPr="009E49F8">
        <w:rPr>
          <w:noProof/>
          <w:sz w:val="24"/>
          <w:szCs w:val="24"/>
        </w:rPr>
        <w:tab/>
        <w:t xml:space="preserve">Lymfomer***  </w:t>
      </w:r>
    </w:p>
    <w:p w14:paraId="4322BA85" w14:textId="77777777" w:rsidR="00C10D9D" w:rsidRPr="009E49F8" w:rsidRDefault="00C10D9D" w:rsidP="00925892">
      <w:pPr>
        <w:ind w:left="3459" w:firstLine="453"/>
        <w:rPr>
          <w:noProof/>
          <w:sz w:val="24"/>
          <w:szCs w:val="24"/>
        </w:rPr>
      </w:pPr>
      <w:r w:rsidRPr="009E49F8">
        <w:rPr>
          <w:noProof/>
          <w:sz w:val="24"/>
          <w:szCs w:val="24"/>
        </w:rPr>
        <w:t xml:space="preserve">Pladecellekarcinom**** </w:t>
      </w:r>
    </w:p>
    <w:p w14:paraId="265A6A7E" w14:textId="77777777" w:rsidR="00C10D9D" w:rsidRPr="009E49F8" w:rsidRDefault="00C10D9D" w:rsidP="007128C2">
      <w:pPr>
        <w:ind w:left="851"/>
        <w:rPr>
          <w:noProof/>
          <w:sz w:val="24"/>
          <w:szCs w:val="24"/>
        </w:rPr>
      </w:pPr>
      <w:r w:rsidRPr="009E49F8">
        <w:rPr>
          <w:noProof/>
          <w:sz w:val="24"/>
          <w:szCs w:val="24"/>
        </w:rPr>
        <w:t xml:space="preserve">Meget sjælden: </w:t>
      </w:r>
      <w:r w:rsidRPr="009E49F8">
        <w:rPr>
          <w:noProof/>
          <w:sz w:val="24"/>
          <w:szCs w:val="24"/>
        </w:rPr>
        <w:tab/>
      </w:r>
      <w:r w:rsidRPr="009E49F8">
        <w:rPr>
          <w:noProof/>
          <w:sz w:val="24"/>
          <w:szCs w:val="24"/>
        </w:rPr>
        <w:tab/>
        <w:t xml:space="preserve">Kaposis sarkom**** </w:t>
      </w:r>
    </w:p>
    <w:p w14:paraId="75B42602" w14:textId="77777777" w:rsidR="00C10D9D" w:rsidRPr="009E49F8" w:rsidRDefault="00C10D9D" w:rsidP="007128C2">
      <w:pPr>
        <w:ind w:left="851"/>
        <w:rPr>
          <w:noProof/>
          <w:sz w:val="24"/>
          <w:szCs w:val="24"/>
        </w:rPr>
      </w:pPr>
      <w:r w:rsidRPr="009E49F8">
        <w:rPr>
          <w:noProof/>
          <w:sz w:val="24"/>
          <w:szCs w:val="24"/>
        </w:rPr>
        <w:t xml:space="preserve">Ikke kendt: </w:t>
      </w:r>
      <w:r w:rsidRPr="009E49F8">
        <w:rPr>
          <w:noProof/>
          <w:sz w:val="24"/>
          <w:szCs w:val="24"/>
        </w:rPr>
        <w:tab/>
      </w:r>
      <w:r w:rsidRPr="009E49F8">
        <w:rPr>
          <w:noProof/>
          <w:sz w:val="24"/>
          <w:szCs w:val="24"/>
        </w:rPr>
        <w:tab/>
        <w:t>Merkelcellekarcinom***</w:t>
      </w:r>
    </w:p>
    <w:p w14:paraId="1B230A72" w14:textId="77777777" w:rsidR="00C10D9D" w:rsidRPr="009E49F8" w:rsidRDefault="00C10D9D" w:rsidP="007128C2">
      <w:pPr>
        <w:ind w:left="851"/>
        <w:rPr>
          <w:b/>
          <w:bCs/>
          <w:noProof/>
          <w:sz w:val="24"/>
          <w:szCs w:val="24"/>
        </w:rPr>
      </w:pPr>
    </w:p>
    <w:p w14:paraId="2A548AA9" w14:textId="77777777" w:rsidR="00C10D9D" w:rsidRPr="009E49F8" w:rsidRDefault="00C10D9D" w:rsidP="007128C2">
      <w:pPr>
        <w:ind w:left="851"/>
        <w:rPr>
          <w:noProof/>
          <w:sz w:val="24"/>
          <w:szCs w:val="24"/>
        </w:rPr>
      </w:pPr>
      <w:r w:rsidRPr="009E49F8">
        <w:rPr>
          <w:b/>
          <w:bCs/>
          <w:noProof/>
          <w:sz w:val="24"/>
          <w:szCs w:val="24"/>
        </w:rPr>
        <w:t>Blod og lymfesystem</w:t>
      </w:r>
      <w:r w:rsidRPr="009E49F8">
        <w:rPr>
          <w:noProof/>
          <w:sz w:val="24"/>
          <w:szCs w:val="24"/>
        </w:rPr>
        <w:t xml:space="preserve"> </w:t>
      </w:r>
    </w:p>
    <w:p w14:paraId="085847AB" w14:textId="77777777" w:rsidR="00C10D9D" w:rsidRPr="009E49F8" w:rsidRDefault="00C10D9D" w:rsidP="007128C2">
      <w:pPr>
        <w:ind w:left="851"/>
        <w:rPr>
          <w:noProof/>
          <w:sz w:val="24"/>
          <w:szCs w:val="24"/>
        </w:rPr>
      </w:pPr>
      <w:r w:rsidRPr="009E49F8">
        <w:rPr>
          <w:noProof/>
          <w:sz w:val="24"/>
          <w:szCs w:val="24"/>
        </w:rPr>
        <w:t xml:space="preserve">Almindelig: </w:t>
      </w:r>
      <w:r w:rsidRPr="009E49F8">
        <w:rPr>
          <w:noProof/>
          <w:sz w:val="24"/>
          <w:szCs w:val="24"/>
        </w:rPr>
        <w:tab/>
      </w:r>
      <w:r w:rsidRPr="009E49F8">
        <w:rPr>
          <w:noProof/>
          <w:sz w:val="24"/>
          <w:szCs w:val="24"/>
        </w:rPr>
        <w:tab/>
        <w:t xml:space="preserve">Lymfopeni </w:t>
      </w:r>
    </w:p>
    <w:p w14:paraId="3DC22F88" w14:textId="77777777" w:rsidR="00C10D9D" w:rsidRPr="009E49F8" w:rsidRDefault="00C10D9D" w:rsidP="00925892">
      <w:pPr>
        <w:ind w:left="3459" w:firstLine="453"/>
        <w:rPr>
          <w:noProof/>
          <w:sz w:val="24"/>
          <w:szCs w:val="24"/>
        </w:rPr>
      </w:pPr>
      <w:r w:rsidRPr="009E49F8">
        <w:rPr>
          <w:noProof/>
          <w:sz w:val="24"/>
          <w:szCs w:val="24"/>
        </w:rPr>
        <w:t xml:space="preserve">Leukopeni </w:t>
      </w:r>
    </w:p>
    <w:p w14:paraId="5DA64806" w14:textId="2BA5A288" w:rsidR="00C10D9D" w:rsidRPr="009E49F8" w:rsidRDefault="00C10D9D" w:rsidP="007128C2">
      <w:pPr>
        <w:ind w:left="851"/>
        <w:rPr>
          <w:noProof/>
          <w:sz w:val="24"/>
          <w:szCs w:val="24"/>
        </w:rPr>
      </w:pPr>
      <w:r w:rsidRPr="009E49F8">
        <w:rPr>
          <w:noProof/>
          <w:sz w:val="24"/>
          <w:szCs w:val="24"/>
        </w:rPr>
        <w:t xml:space="preserve">Ikke almindelig: </w:t>
      </w:r>
      <w:r w:rsidRPr="009E49F8">
        <w:rPr>
          <w:noProof/>
          <w:sz w:val="24"/>
          <w:szCs w:val="24"/>
        </w:rPr>
        <w:tab/>
      </w:r>
      <w:r w:rsidR="00925892" w:rsidRPr="009E49F8">
        <w:rPr>
          <w:noProof/>
          <w:sz w:val="24"/>
          <w:szCs w:val="24"/>
        </w:rPr>
        <w:tab/>
      </w:r>
      <w:r w:rsidRPr="009E49F8">
        <w:rPr>
          <w:noProof/>
          <w:sz w:val="24"/>
          <w:szCs w:val="24"/>
        </w:rPr>
        <w:t xml:space="preserve">Trombocytopeni </w:t>
      </w:r>
    </w:p>
    <w:p w14:paraId="4F26034B" w14:textId="77777777" w:rsidR="00C10D9D" w:rsidRPr="009E49F8" w:rsidRDefault="00C10D9D" w:rsidP="007128C2">
      <w:pPr>
        <w:ind w:left="851"/>
        <w:rPr>
          <w:noProof/>
          <w:sz w:val="24"/>
          <w:szCs w:val="24"/>
        </w:rPr>
      </w:pPr>
      <w:r w:rsidRPr="009E49F8">
        <w:rPr>
          <w:noProof/>
          <w:sz w:val="24"/>
          <w:szCs w:val="24"/>
        </w:rPr>
        <w:t xml:space="preserve">Ikke kendt: </w:t>
      </w:r>
      <w:r w:rsidRPr="009E49F8">
        <w:rPr>
          <w:noProof/>
          <w:sz w:val="24"/>
          <w:szCs w:val="24"/>
        </w:rPr>
        <w:tab/>
      </w:r>
      <w:r w:rsidRPr="009E49F8">
        <w:rPr>
          <w:noProof/>
          <w:sz w:val="24"/>
          <w:szCs w:val="24"/>
        </w:rPr>
        <w:tab/>
        <w:t xml:space="preserve">Autoimmun hæmolytisk anæmi*** </w:t>
      </w:r>
    </w:p>
    <w:p w14:paraId="00592A6B" w14:textId="77777777" w:rsidR="00C10D9D" w:rsidRPr="009E49F8" w:rsidRDefault="00C10D9D" w:rsidP="00925892">
      <w:pPr>
        <w:ind w:left="3459" w:firstLine="453"/>
        <w:rPr>
          <w:noProof/>
          <w:sz w:val="24"/>
          <w:szCs w:val="24"/>
        </w:rPr>
      </w:pPr>
      <w:r w:rsidRPr="009E49F8">
        <w:rPr>
          <w:noProof/>
          <w:sz w:val="24"/>
          <w:szCs w:val="24"/>
        </w:rPr>
        <w:t>Perifert ødem***</w:t>
      </w:r>
    </w:p>
    <w:p w14:paraId="77BCF9FF" w14:textId="77777777" w:rsidR="00C10D9D" w:rsidRPr="009E49F8" w:rsidRDefault="00C10D9D" w:rsidP="007128C2">
      <w:pPr>
        <w:ind w:left="851"/>
        <w:rPr>
          <w:noProof/>
          <w:sz w:val="24"/>
          <w:szCs w:val="24"/>
        </w:rPr>
      </w:pPr>
    </w:p>
    <w:p w14:paraId="27CFB582" w14:textId="77777777" w:rsidR="00C10D9D" w:rsidRPr="009E49F8" w:rsidRDefault="00C10D9D" w:rsidP="007128C2">
      <w:pPr>
        <w:ind w:left="851"/>
        <w:rPr>
          <w:noProof/>
          <w:sz w:val="24"/>
          <w:szCs w:val="24"/>
        </w:rPr>
      </w:pPr>
      <w:r w:rsidRPr="009E49F8">
        <w:rPr>
          <w:b/>
          <w:bCs/>
          <w:noProof/>
          <w:sz w:val="24"/>
          <w:szCs w:val="24"/>
        </w:rPr>
        <w:t xml:space="preserve">Immunsystemet </w:t>
      </w:r>
    </w:p>
    <w:p w14:paraId="6673067A" w14:textId="0C5910E7" w:rsidR="00C10D9D" w:rsidRPr="009E49F8" w:rsidRDefault="00C10D9D" w:rsidP="00925892">
      <w:pPr>
        <w:ind w:left="3904" w:hanging="3053"/>
        <w:rPr>
          <w:noProof/>
          <w:sz w:val="24"/>
          <w:szCs w:val="24"/>
        </w:rPr>
      </w:pPr>
      <w:r w:rsidRPr="009E49F8">
        <w:rPr>
          <w:noProof/>
          <w:sz w:val="24"/>
          <w:szCs w:val="24"/>
        </w:rPr>
        <w:t xml:space="preserve">Ikke kendt: </w:t>
      </w:r>
      <w:r w:rsidRPr="009E49F8">
        <w:rPr>
          <w:noProof/>
          <w:sz w:val="24"/>
          <w:szCs w:val="24"/>
        </w:rPr>
        <w:tab/>
      </w:r>
      <w:r w:rsidR="00925892" w:rsidRPr="009E49F8">
        <w:rPr>
          <w:noProof/>
          <w:sz w:val="24"/>
          <w:szCs w:val="24"/>
        </w:rPr>
        <w:tab/>
      </w:r>
      <w:r w:rsidRPr="009E49F8">
        <w:rPr>
          <w:noProof/>
          <w:sz w:val="24"/>
          <w:szCs w:val="24"/>
        </w:rPr>
        <w:t>Overfølsomhedsreaktioner, inkl. udslæt, urticaria og angioødem ved start af behandling***</w:t>
      </w:r>
    </w:p>
    <w:p w14:paraId="65CC76BF" w14:textId="77777777" w:rsidR="00C10D9D" w:rsidRPr="009E49F8" w:rsidRDefault="00C10D9D" w:rsidP="007128C2">
      <w:pPr>
        <w:ind w:left="851"/>
        <w:rPr>
          <w:noProof/>
          <w:sz w:val="24"/>
          <w:szCs w:val="24"/>
        </w:rPr>
      </w:pPr>
    </w:p>
    <w:p w14:paraId="6FF463F6" w14:textId="77777777" w:rsidR="00C10D9D" w:rsidRPr="009E49F8" w:rsidRDefault="00C10D9D" w:rsidP="007128C2">
      <w:pPr>
        <w:ind w:left="851"/>
        <w:rPr>
          <w:noProof/>
          <w:sz w:val="24"/>
          <w:szCs w:val="24"/>
        </w:rPr>
      </w:pPr>
      <w:r w:rsidRPr="009E49F8">
        <w:rPr>
          <w:b/>
          <w:bCs/>
          <w:noProof/>
          <w:sz w:val="24"/>
          <w:szCs w:val="24"/>
        </w:rPr>
        <w:t xml:space="preserve">Psykiske forstyrrelser </w:t>
      </w:r>
    </w:p>
    <w:p w14:paraId="0DABC7C3" w14:textId="4FEA2B0F" w:rsidR="00C10D9D" w:rsidRPr="009E49F8" w:rsidRDefault="00C10D9D" w:rsidP="007128C2">
      <w:pPr>
        <w:ind w:left="851"/>
        <w:rPr>
          <w:noProof/>
          <w:sz w:val="24"/>
          <w:szCs w:val="24"/>
        </w:rPr>
      </w:pPr>
      <w:r w:rsidRPr="009E49F8">
        <w:rPr>
          <w:noProof/>
          <w:sz w:val="24"/>
          <w:szCs w:val="24"/>
        </w:rPr>
        <w:t xml:space="preserve">Almindelig: </w:t>
      </w:r>
      <w:r w:rsidRPr="009E49F8">
        <w:rPr>
          <w:noProof/>
          <w:sz w:val="24"/>
          <w:szCs w:val="24"/>
        </w:rPr>
        <w:tab/>
      </w:r>
      <w:r w:rsidR="00925892" w:rsidRPr="009E49F8">
        <w:rPr>
          <w:noProof/>
          <w:sz w:val="24"/>
          <w:szCs w:val="24"/>
        </w:rPr>
        <w:tab/>
      </w:r>
      <w:r w:rsidRPr="009E49F8">
        <w:rPr>
          <w:noProof/>
          <w:sz w:val="24"/>
          <w:szCs w:val="24"/>
        </w:rPr>
        <w:t xml:space="preserve">Depression </w:t>
      </w:r>
    </w:p>
    <w:p w14:paraId="121B2CD4" w14:textId="6582C0AE" w:rsidR="00C10D9D" w:rsidRPr="009E49F8" w:rsidRDefault="00C10D9D" w:rsidP="007128C2">
      <w:pPr>
        <w:ind w:left="851"/>
        <w:rPr>
          <w:noProof/>
          <w:sz w:val="24"/>
          <w:szCs w:val="24"/>
        </w:rPr>
      </w:pPr>
      <w:r w:rsidRPr="009E49F8">
        <w:rPr>
          <w:noProof/>
          <w:sz w:val="24"/>
          <w:szCs w:val="24"/>
        </w:rPr>
        <w:t xml:space="preserve">Ikke almindelig: </w:t>
      </w:r>
      <w:r w:rsidRPr="009E49F8">
        <w:rPr>
          <w:noProof/>
          <w:sz w:val="24"/>
          <w:szCs w:val="24"/>
        </w:rPr>
        <w:tab/>
      </w:r>
      <w:r w:rsidR="00925892" w:rsidRPr="009E49F8">
        <w:rPr>
          <w:noProof/>
          <w:sz w:val="24"/>
          <w:szCs w:val="24"/>
        </w:rPr>
        <w:tab/>
      </w:r>
      <w:r w:rsidRPr="009E49F8">
        <w:rPr>
          <w:noProof/>
          <w:sz w:val="24"/>
          <w:szCs w:val="24"/>
        </w:rPr>
        <w:t>Sænket stemningsleje</w:t>
      </w:r>
    </w:p>
    <w:p w14:paraId="37938234" w14:textId="77777777" w:rsidR="00C10D9D" w:rsidRPr="009E49F8" w:rsidRDefault="00C10D9D" w:rsidP="007128C2">
      <w:pPr>
        <w:ind w:left="851"/>
        <w:rPr>
          <w:noProof/>
          <w:sz w:val="24"/>
          <w:szCs w:val="24"/>
        </w:rPr>
      </w:pPr>
    </w:p>
    <w:p w14:paraId="30F6DFC8" w14:textId="77777777" w:rsidR="00C10D9D" w:rsidRPr="009E49F8" w:rsidRDefault="00C10D9D" w:rsidP="007128C2">
      <w:pPr>
        <w:ind w:left="851"/>
        <w:rPr>
          <w:noProof/>
          <w:sz w:val="24"/>
          <w:szCs w:val="24"/>
        </w:rPr>
      </w:pPr>
      <w:r w:rsidRPr="009E49F8">
        <w:rPr>
          <w:b/>
          <w:bCs/>
          <w:noProof/>
          <w:sz w:val="24"/>
          <w:szCs w:val="24"/>
        </w:rPr>
        <w:t>Nervesystemet</w:t>
      </w:r>
      <w:r w:rsidRPr="009E49F8">
        <w:rPr>
          <w:noProof/>
          <w:sz w:val="24"/>
          <w:szCs w:val="24"/>
        </w:rPr>
        <w:t xml:space="preserve"> </w:t>
      </w:r>
    </w:p>
    <w:p w14:paraId="09F3BBCC" w14:textId="77777777" w:rsidR="00C10D9D" w:rsidRPr="009E49F8" w:rsidRDefault="00C10D9D" w:rsidP="007128C2">
      <w:pPr>
        <w:ind w:left="851"/>
        <w:rPr>
          <w:noProof/>
          <w:sz w:val="24"/>
          <w:szCs w:val="24"/>
        </w:rPr>
      </w:pPr>
      <w:r w:rsidRPr="009E49F8">
        <w:rPr>
          <w:noProof/>
          <w:sz w:val="24"/>
          <w:szCs w:val="24"/>
        </w:rPr>
        <w:t xml:space="preserve">Meget almindelig: </w:t>
      </w:r>
      <w:r w:rsidRPr="009E49F8">
        <w:rPr>
          <w:noProof/>
          <w:sz w:val="24"/>
          <w:szCs w:val="24"/>
        </w:rPr>
        <w:tab/>
        <w:t xml:space="preserve">Hovedpine </w:t>
      </w:r>
    </w:p>
    <w:p w14:paraId="6678472A" w14:textId="6426B211" w:rsidR="00C10D9D" w:rsidRPr="009E49F8" w:rsidRDefault="00C10D9D" w:rsidP="007128C2">
      <w:pPr>
        <w:ind w:left="851"/>
        <w:rPr>
          <w:noProof/>
          <w:sz w:val="24"/>
          <w:szCs w:val="24"/>
        </w:rPr>
      </w:pPr>
      <w:r w:rsidRPr="009E49F8">
        <w:rPr>
          <w:noProof/>
          <w:sz w:val="24"/>
          <w:szCs w:val="24"/>
        </w:rPr>
        <w:t xml:space="preserve">Almindelig: </w:t>
      </w:r>
      <w:r w:rsidRPr="009E49F8">
        <w:rPr>
          <w:noProof/>
          <w:sz w:val="24"/>
          <w:szCs w:val="24"/>
        </w:rPr>
        <w:tab/>
      </w:r>
      <w:r w:rsidR="00925892" w:rsidRPr="009E49F8">
        <w:rPr>
          <w:noProof/>
          <w:sz w:val="24"/>
          <w:szCs w:val="24"/>
        </w:rPr>
        <w:tab/>
      </w:r>
      <w:r w:rsidRPr="009E49F8">
        <w:rPr>
          <w:noProof/>
          <w:sz w:val="24"/>
          <w:szCs w:val="24"/>
        </w:rPr>
        <w:t xml:space="preserve">Svimmelhed </w:t>
      </w:r>
    </w:p>
    <w:p w14:paraId="2F4F1018" w14:textId="77777777" w:rsidR="00C10D9D" w:rsidRPr="009E49F8" w:rsidRDefault="00C10D9D" w:rsidP="00551AD8">
      <w:pPr>
        <w:ind w:left="3459" w:firstLine="453"/>
        <w:rPr>
          <w:noProof/>
          <w:sz w:val="24"/>
          <w:szCs w:val="24"/>
        </w:rPr>
      </w:pPr>
      <w:r w:rsidRPr="009E49F8">
        <w:rPr>
          <w:noProof/>
          <w:sz w:val="24"/>
          <w:szCs w:val="24"/>
        </w:rPr>
        <w:lastRenderedPageBreak/>
        <w:t xml:space="preserve">Migræne </w:t>
      </w:r>
    </w:p>
    <w:p w14:paraId="07292989" w14:textId="3B8A34BB" w:rsidR="00C10D9D" w:rsidRPr="009E49F8" w:rsidRDefault="00C10D9D" w:rsidP="007128C2">
      <w:pPr>
        <w:ind w:left="851"/>
        <w:rPr>
          <w:noProof/>
          <w:sz w:val="24"/>
          <w:szCs w:val="24"/>
        </w:rPr>
      </w:pPr>
      <w:r w:rsidRPr="009E49F8">
        <w:rPr>
          <w:noProof/>
          <w:sz w:val="24"/>
          <w:szCs w:val="24"/>
        </w:rPr>
        <w:t xml:space="preserve">Ikke almindelig: </w:t>
      </w:r>
      <w:r w:rsidRPr="009E49F8">
        <w:rPr>
          <w:noProof/>
          <w:sz w:val="24"/>
          <w:szCs w:val="24"/>
        </w:rPr>
        <w:tab/>
      </w:r>
      <w:r w:rsidR="00925892" w:rsidRPr="009E49F8">
        <w:rPr>
          <w:noProof/>
          <w:sz w:val="24"/>
          <w:szCs w:val="24"/>
        </w:rPr>
        <w:tab/>
      </w:r>
      <w:r w:rsidRPr="009E49F8">
        <w:rPr>
          <w:noProof/>
          <w:sz w:val="24"/>
          <w:szCs w:val="24"/>
        </w:rPr>
        <w:t xml:space="preserve">Krampeanfald </w:t>
      </w:r>
    </w:p>
    <w:p w14:paraId="512B24D1" w14:textId="77777777" w:rsidR="00C10D9D" w:rsidRPr="009E49F8" w:rsidRDefault="00C10D9D" w:rsidP="007128C2">
      <w:pPr>
        <w:ind w:left="851"/>
        <w:rPr>
          <w:noProof/>
          <w:sz w:val="24"/>
          <w:szCs w:val="24"/>
        </w:rPr>
      </w:pPr>
      <w:r w:rsidRPr="009E49F8">
        <w:rPr>
          <w:noProof/>
          <w:sz w:val="24"/>
          <w:szCs w:val="24"/>
        </w:rPr>
        <w:t xml:space="preserve">Sjælden: </w:t>
      </w:r>
      <w:r w:rsidRPr="009E49F8">
        <w:rPr>
          <w:noProof/>
          <w:sz w:val="24"/>
          <w:szCs w:val="24"/>
        </w:rPr>
        <w:tab/>
      </w:r>
      <w:r w:rsidRPr="009E49F8">
        <w:rPr>
          <w:noProof/>
          <w:sz w:val="24"/>
          <w:szCs w:val="24"/>
        </w:rPr>
        <w:tab/>
        <w:t xml:space="preserve">Posteriort reversibelt endocefalopati-syndrom (PRES)* </w:t>
      </w:r>
    </w:p>
    <w:p w14:paraId="7F303AAB" w14:textId="77777777" w:rsidR="00C10D9D" w:rsidRPr="009E49F8" w:rsidRDefault="00C10D9D" w:rsidP="00925892">
      <w:pPr>
        <w:ind w:left="3904" w:hanging="3053"/>
        <w:rPr>
          <w:noProof/>
          <w:sz w:val="24"/>
          <w:szCs w:val="24"/>
        </w:rPr>
      </w:pPr>
      <w:r w:rsidRPr="009E49F8">
        <w:rPr>
          <w:noProof/>
          <w:sz w:val="24"/>
          <w:szCs w:val="24"/>
        </w:rPr>
        <w:t xml:space="preserve">Ikke kendt: </w:t>
      </w:r>
      <w:r w:rsidRPr="009E49F8">
        <w:rPr>
          <w:noProof/>
          <w:sz w:val="24"/>
          <w:szCs w:val="24"/>
        </w:rPr>
        <w:tab/>
      </w:r>
      <w:r w:rsidRPr="009E49F8">
        <w:rPr>
          <w:noProof/>
          <w:sz w:val="24"/>
          <w:szCs w:val="24"/>
        </w:rPr>
        <w:tab/>
        <w:t>Alvorlig sygdomsforværring efter seponering af fingolimod***</w:t>
      </w:r>
    </w:p>
    <w:p w14:paraId="78479CAB" w14:textId="77777777" w:rsidR="00C10D9D" w:rsidRPr="009E49F8" w:rsidRDefault="00C10D9D" w:rsidP="007128C2">
      <w:pPr>
        <w:ind w:left="851"/>
        <w:rPr>
          <w:noProof/>
          <w:sz w:val="24"/>
          <w:szCs w:val="24"/>
        </w:rPr>
      </w:pPr>
    </w:p>
    <w:p w14:paraId="07C796B6" w14:textId="77777777" w:rsidR="00982FDD" w:rsidRDefault="00982FDD" w:rsidP="007128C2">
      <w:pPr>
        <w:ind w:left="851"/>
        <w:rPr>
          <w:b/>
          <w:bCs/>
          <w:noProof/>
          <w:sz w:val="24"/>
          <w:szCs w:val="24"/>
        </w:rPr>
      </w:pPr>
    </w:p>
    <w:p w14:paraId="6E523159" w14:textId="7ACC3985" w:rsidR="00C10D9D" w:rsidRPr="009E49F8" w:rsidRDefault="00C10D9D" w:rsidP="007128C2">
      <w:pPr>
        <w:ind w:left="851"/>
        <w:rPr>
          <w:noProof/>
          <w:sz w:val="24"/>
          <w:szCs w:val="24"/>
        </w:rPr>
      </w:pPr>
      <w:r w:rsidRPr="009E49F8">
        <w:rPr>
          <w:b/>
          <w:bCs/>
          <w:noProof/>
          <w:sz w:val="24"/>
          <w:szCs w:val="24"/>
        </w:rPr>
        <w:t xml:space="preserve">Øjne </w:t>
      </w:r>
    </w:p>
    <w:p w14:paraId="623C0C74" w14:textId="77777777" w:rsidR="00C10D9D" w:rsidRPr="009E49F8" w:rsidRDefault="00C10D9D" w:rsidP="007128C2">
      <w:pPr>
        <w:ind w:left="851"/>
        <w:rPr>
          <w:noProof/>
          <w:sz w:val="24"/>
          <w:szCs w:val="24"/>
        </w:rPr>
      </w:pPr>
      <w:r w:rsidRPr="009E49F8">
        <w:rPr>
          <w:noProof/>
          <w:sz w:val="24"/>
          <w:szCs w:val="24"/>
        </w:rPr>
        <w:t xml:space="preserve">Almindelig: </w:t>
      </w:r>
      <w:r w:rsidRPr="009E49F8">
        <w:rPr>
          <w:noProof/>
          <w:sz w:val="24"/>
          <w:szCs w:val="24"/>
        </w:rPr>
        <w:tab/>
      </w:r>
      <w:r w:rsidRPr="009E49F8">
        <w:rPr>
          <w:noProof/>
          <w:sz w:val="24"/>
          <w:szCs w:val="24"/>
        </w:rPr>
        <w:tab/>
        <w:t xml:space="preserve">Tågesyn </w:t>
      </w:r>
    </w:p>
    <w:p w14:paraId="34B6B85A" w14:textId="4015BBC1" w:rsidR="00C10D9D" w:rsidRPr="009E49F8" w:rsidRDefault="00C10D9D" w:rsidP="007128C2">
      <w:pPr>
        <w:ind w:left="851"/>
        <w:rPr>
          <w:noProof/>
          <w:sz w:val="24"/>
          <w:szCs w:val="24"/>
        </w:rPr>
      </w:pPr>
      <w:r w:rsidRPr="009E49F8">
        <w:rPr>
          <w:noProof/>
          <w:sz w:val="24"/>
          <w:szCs w:val="24"/>
        </w:rPr>
        <w:t xml:space="preserve">Ikke almindelig: </w:t>
      </w:r>
      <w:r w:rsidRPr="009E49F8">
        <w:rPr>
          <w:noProof/>
          <w:sz w:val="24"/>
          <w:szCs w:val="24"/>
        </w:rPr>
        <w:tab/>
      </w:r>
      <w:r w:rsidR="00925892" w:rsidRPr="009E49F8">
        <w:rPr>
          <w:noProof/>
          <w:sz w:val="24"/>
          <w:szCs w:val="24"/>
        </w:rPr>
        <w:tab/>
      </w:r>
      <w:r w:rsidRPr="009E49F8">
        <w:rPr>
          <w:noProof/>
          <w:sz w:val="24"/>
          <w:szCs w:val="24"/>
        </w:rPr>
        <w:t>Makulaødem</w:t>
      </w:r>
    </w:p>
    <w:p w14:paraId="60CB11FC" w14:textId="77777777" w:rsidR="00C10D9D" w:rsidRPr="009E49F8" w:rsidRDefault="00C10D9D" w:rsidP="007128C2">
      <w:pPr>
        <w:ind w:left="851"/>
        <w:rPr>
          <w:noProof/>
          <w:sz w:val="24"/>
          <w:szCs w:val="24"/>
        </w:rPr>
      </w:pPr>
    </w:p>
    <w:p w14:paraId="697DE0B6" w14:textId="77777777" w:rsidR="00C10D9D" w:rsidRPr="009E49F8" w:rsidRDefault="00C10D9D" w:rsidP="007128C2">
      <w:pPr>
        <w:ind w:left="851"/>
        <w:rPr>
          <w:b/>
          <w:bCs/>
          <w:noProof/>
          <w:sz w:val="24"/>
          <w:szCs w:val="24"/>
        </w:rPr>
      </w:pPr>
      <w:r w:rsidRPr="009E49F8">
        <w:rPr>
          <w:b/>
          <w:bCs/>
          <w:noProof/>
          <w:sz w:val="24"/>
          <w:szCs w:val="24"/>
        </w:rPr>
        <w:t xml:space="preserve">Hjerte </w:t>
      </w:r>
    </w:p>
    <w:p w14:paraId="1D22A31A" w14:textId="77777777" w:rsidR="00C10D9D" w:rsidRPr="009E49F8" w:rsidRDefault="00C10D9D" w:rsidP="007128C2">
      <w:pPr>
        <w:ind w:left="851"/>
        <w:rPr>
          <w:noProof/>
          <w:sz w:val="24"/>
          <w:szCs w:val="24"/>
        </w:rPr>
      </w:pPr>
      <w:r w:rsidRPr="009E49F8">
        <w:rPr>
          <w:noProof/>
          <w:sz w:val="24"/>
          <w:szCs w:val="24"/>
        </w:rPr>
        <w:t xml:space="preserve">Almindelig: </w:t>
      </w:r>
      <w:r w:rsidRPr="009E49F8">
        <w:rPr>
          <w:noProof/>
          <w:sz w:val="24"/>
          <w:szCs w:val="24"/>
        </w:rPr>
        <w:tab/>
      </w:r>
      <w:r w:rsidRPr="009E49F8">
        <w:rPr>
          <w:noProof/>
          <w:sz w:val="24"/>
          <w:szCs w:val="24"/>
        </w:rPr>
        <w:tab/>
        <w:t xml:space="preserve">Bradykardi </w:t>
      </w:r>
      <w:r w:rsidRPr="009E49F8">
        <w:rPr>
          <w:noProof/>
          <w:sz w:val="24"/>
          <w:szCs w:val="24"/>
        </w:rPr>
        <w:tab/>
      </w:r>
    </w:p>
    <w:p w14:paraId="54D7CF05" w14:textId="77777777" w:rsidR="00C10D9D" w:rsidRPr="009E49F8" w:rsidRDefault="00C10D9D" w:rsidP="00925892">
      <w:pPr>
        <w:ind w:left="3459" w:firstLine="453"/>
        <w:rPr>
          <w:noProof/>
          <w:sz w:val="24"/>
          <w:szCs w:val="24"/>
        </w:rPr>
      </w:pPr>
      <w:r w:rsidRPr="009E49F8">
        <w:rPr>
          <w:noProof/>
          <w:sz w:val="24"/>
          <w:szCs w:val="24"/>
        </w:rPr>
        <w:t xml:space="preserve">Atrioventrikulært blok  </w:t>
      </w:r>
    </w:p>
    <w:p w14:paraId="762DE3F5" w14:textId="77777777" w:rsidR="00C10D9D" w:rsidRPr="009E49F8" w:rsidRDefault="00C10D9D" w:rsidP="007128C2">
      <w:pPr>
        <w:ind w:left="851"/>
        <w:rPr>
          <w:noProof/>
          <w:sz w:val="24"/>
          <w:szCs w:val="24"/>
        </w:rPr>
      </w:pPr>
      <w:r w:rsidRPr="009E49F8">
        <w:rPr>
          <w:noProof/>
          <w:sz w:val="24"/>
          <w:szCs w:val="24"/>
        </w:rPr>
        <w:t xml:space="preserve">Meget sjælden: </w:t>
      </w:r>
      <w:r w:rsidRPr="009E49F8">
        <w:rPr>
          <w:noProof/>
          <w:sz w:val="24"/>
          <w:szCs w:val="24"/>
        </w:rPr>
        <w:tab/>
      </w:r>
      <w:r w:rsidRPr="009E49F8">
        <w:rPr>
          <w:noProof/>
          <w:sz w:val="24"/>
          <w:szCs w:val="24"/>
        </w:rPr>
        <w:tab/>
        <w:t>T-takinversion***</w:t>
      </w:r>
    </w:p>
    <w:p w14:paraId="598F127B" w14:textId="77777777" w:rsidR="00C10D9D" w:rsidRPr="009E49F8" w:rsidRDefault="00C10D9D" w:rsidP="007128C2">
      <w:pPr>
        <w:ind w:left="851"/>
        <w:rPr>
          <w:noProof/>
          <w:sz w:val="24"/>
          <w:szCs w:val="24"/>
        </w:rPr>
      </w:pPr>
    </w:p>
    <w:p w14:paraId="60C4E8D9" w14:textId="77777777" w:rsidR="00C10D9D" w:rsidRPr="009E49F8" w:rsidRDefault="00C10D9D" w:rsidP="007128C2">
      <w:pPr>
        <w:ind w:left="851"/>
        <w:rPr>
          <w:noProof/>
          <w:sz w:val="24"/>
          <w:szCs w:val="24"/>
        </w:rPr>
      </w:pPr>
      <w:r w:rsidRPr="009E49F8">
        <w:rPr>
          <w:b/>
          <w:bCs/>
          <w:noProof/>
          <w:sz w:val="24"/>
          <w:szCs w:val="24"/>
        </w:rPr>
        <w:t>Vaskulære sygdomme</w:t>
      </w:r>
      <w:r w:rsidRPr="009E49F8">
        <w:rPr>
          <w:noProof/>
          <w:sz w:val="24"/>
          <w:szCs w:val="24"/>
        </w:rPr>
        <w:t xml:space="preserve"> </w:t>
      </w:r>
    </w:p>
    <w:p w14:paraId="7D25C9CF" w14:textId="77777777" w:rsidR="00C10D9D" w:rsidRPr="009E49F8" w:rsidRDefault="00C10D9D" w:rsidP="007128C2">
      <w:pPr>
        <w:ind w:left="851"/>
        <w:rPr>
          <w:noProof/>
          <w:sz w:val="24"/>
          <w:szCs w:val="24"/>
        </w:rPr>
      </w:pPr>
      <w:r w:rsidRPr="009E49F8">
        <w:rPr>
          <w:noProof/>
          <w:sz w:val="24"/>
          <w:szCs w:val="24"/>
        </w:rPr>
        <w:t xml:space="preserve">Almindelig: </w:t>
      </w:r>
      <w:r w:rsidRPr="009E49F8">
        <w:rPr>
          <w:noProof/>
          <w:sz w:val="24"/>
          <w:szCs w:val="24"/>
        </w:rPr>
        <w:tab/>
      </w:r>
      <w:r w:rsidRPr="009E49F8">
        <w:rPr>
          <w:noProof/>
          <w:sz w:val="24"/>
          <w:szCs w:val="24"/>
        </w:rPr>
        <w:tab/>
        <w:t>Hypertension</w:t>
      </w:r>
    </w:p>
    <w:p w14:paraId="2DBC0981" w14:textId="77777777" w:rsidR="00C10D9D" w:rsidRPr="009E49F8" w:rsidRDefault="00C10D9D" w:rsidP="007128C2">
      <w:pPr>
        <w:ind w:left="851"/>
        <w:rPr>
          <w:noProof/>
          <w:sz w:val="24"/>
          <w:szCs w:val="24"/>
        </w:rPr>
      </w:pPr>
    </w:p>
    <w:p w14:paraId="5D7CBEBC" w14:textId="77777777" w:rsidR="007F793B" w:rsidRPr="009E49F8" w:rsidRDefault="007F793B" w:rsidP="007F793B">
      <w:pPr>
        <w:ind w:left="851"/>
        <w:rPr>
          <w:b/>
          <w:bCs/>
          <w:noProof/>
          <w:sz w:val="24"/>
          <w:szCs w:val="24"/>
        </w:rPr>
      </w:pPr>
      <w:r w:rsidRPr="009E49F8">
        <w:rPr>
          <w:b/>
          <w:bCs/>
          <w:noProof/>
          <w:sz w:val="24"/>
          <w:szCs w:val="24"/>
        </w:rPr>
        <w:t xml:space="preserve">Luftveje, thorax og mediastinum </w:t>
      </w:r>
    </w:p>
    <w:p w14:paraId="15AE0F96" w14:textId="77777777" w:rsidR="007F793B" w:rsidRPr="009E49F8" w:rsidRDefault="007F793B" w:rsidP="007F793B">
      <w:pPr>
        <w:ind w:left="851"/>
        <w:rPr>
          <w:noProof/>
          <w:sz w:val="24"/>
          <w:szCs w:val="24"/>
        </w:rPr>
      </w:pPr>
      <w:r w:rsidRPr="009E49F8">
        <w:rPr>
          <w:noProof/>
          <w:sz w:val="24"/>
          <w:szCs w:val="24"/>
        </w:rPr>
        <w:t xml:space="preserve">Meget almindelig: </w:t>
      </w:r>
      <w:r w:rsidRPr="009E49F8">
        <w:rPr>
          <w:noProof/>
          <w:sz w:val="24"/>
          <w:szCs w:val="24"/>
        </w:rPr>
        <w:tab/>
        <w:t xml:space="preserve">Hoste </w:t>
      </w:r>
    </w:p>
    <w:p w14:paraId="5198A670" w14:textId="77777777" w:rsidR="007F793B" w:rsidRDefault="007F793B" w:rsidP="007F793B">
      <w:pPr>
        <w:ind w:left="851"/>
        <w:rPr>
          <w:noProof/>
          <w:sz w:val="24"/>
          <w:szCs w:val="24"/>
        </w:rPr>
      </w:pPr>
      <w:r w:rsidRPr="009E49F8">
        <w:rPr>
          <w:noProof/>
          <w:sz w:val="24"/>
          <w:szCs w:val="24"/>
        </w:rPr>
        <w:t xml:space="preserve">Almindelig: </w:t>
      </w:r>
      <w:r w:rsidRPr="009E49F8">
        <w:rPr>
          <w:noProof/>
          <w:sz w:val="24"/>
          <w:szCs w:val="24"/>
        </w:rPr>
        <w:tab/>
      </w:r>
      <w:r w:rsidRPr="009E49F8">
        <w:rPr>
          <w:noProof/>
          <w:sz w:val="24"/>
          <w:szCs w:val="24"/>
        </w:rPr>
        <w:tab/>
        <w:t>Dyspnø</w:t>
      </w:r>
    </w:p>
    <w:p w14:paraId="6835F253" w14:textId="77777777" w:rsidR="007F793B" w:rsidRPr="009E49F8" w:rsidRDefault="007F793B" w:rsidP="007F793B">
      <w:pPr>
        <w:ind w:left="851"/>
        <w:rPr>
          <w:noProof/>
          <w:sz w:val="24"/>
          <w:szCs w:val="24"/>
        </w:rPr>
      </w:pPr>
    </w:p>
    <w:p w14:paraId="789E399C" w14:textId="77777777" w:rsidR="007F793B" w:rsidRPr="009E49F8" w:rsidRDefault="007F793B" w:rsidP="007F793B">
      <w:pPr>
        <w:ind w:left="851"/>
        <w:rPr>
          <w:noProof/>
          <w:sz w:val="24"/>
          <w:szCs w:val="24"/>
        </w:rPr>
      </w:pPr>
      <w:r w:rsidRPr="009E49F8">
        <w:rPr>
          <w:b/>
          <w:bCs/>
          <w:noProof/>
          <w:sz w:val="24"/>
          <w:szCs w:val="24"/>
        </w:rPr>
        <w:t xml:space="preserve">Mave-tarm-kanalen </w:t>
      </w:r>
    </w:p>
    <w:p w14:paraId="6914FF3E" w14:textId="77777777" w:rsidR="007F793B" w:rsidRPr="009E49F8" w:rsidRDefault="007F793B" w:rsidP="007F793B">
      <w:pPr>
        <w:ind w:left="851"/>
        <w:rPr>
          <w:noProof/>
          <w:sz w:val="24"/>
          <w:szCs w:val="24"/>
        </w:rPr>
      </w:pPr>
      <w:r w:rsidRPr="009E49F8">
        <w:rPr>
          <w:noProof/>
          <w:sz w:val="24"/>
          <w:szCs w:val="24"/>
        </w:rPr>
        <w:t xml:space="preserve">Meget almindelig: </w:t>
      </w:r>
      <w:r w:rsidRPr="009E49F8">
        <w:rPr>
          <w:noProof/>
          <w:sz w:val="24"/>
          <w:szCs w:val="24"/>
        </w:rPr>
        <w:tab/>
        <w:t xml:space="preserve">Diaré </w:t>
      </w:r>
    </w:p>
    <w:p w14:paraId="6590EB2D" w14:textId="77777777" w:rsidR="007F793B" w:rsidRDefault="007F793B" w:rsidP="007F793B">
      <w:pPr>
        <w:ind w:left="851"/>
        <w:rPr>
          <w:noProof/>
          <w:sz w:val="24"/>
          <w:szCs w:val="24"/>
        </w:rPr>
      </w:pPr>
      <w:r w:rsidRPr="009E49F8">
        <w:rPr>
          <w:noProof/>
          <w:sz w:val="24"/>
          <w:szCs w:val="24"/>
        </w:rPr>
        <w:t xml:space="preserve">Ikke almindelig: </w:t>
      </w:r>
      <w:r w:rsidRPr="009E49F8">
        <w:rPr>
          <w:noProof/>
          <w:sz w:val="24"/>
          <w:szCs w:val="24"/>
        </w:rPr>
        <w:tab/>
      </w:r>
      <w:r w:rsidRPr="009E49F8">
        <w:rPr>
          <w:noProof/>
          <w:sz w:val="24"/>
          <w:szCs w:val="24"/>
        </w:rPr>
        <w:tab/>
        <w:t>Kvalme***</w:t>
      </w:r>
    </w:p>
    <w:p w14:paraId="039B0EA5" w14:textId="77777777" w:rsidR="007F793B" w:rsidRDefault="007F793B" w:rsidP="007F793B">
      <w:pPr>
        <w:ind w:left="851"/>
        <w:rPr>
          <w:noProof/>
          <w:sz w:val="24"/>
          <w:szCs w:val="24"/>
        </w:rPr>
      </w:pPr>
    </w:p>
    <w:p w14:paraId="6E8D75A1" w14:textId="77777777" w:rsidR="007F793B" w:rsidRPr="00A22361" w:rsidRDefault="007F793B" w:rsidP="007F793B">
      <w:pPr>
        <w:ind w:left="851"/>
        <w:rPr>
          <w:b/>
          <w:bCs/>
          <w:sz w:val="24"/>
          <w:szCs w:val="24"/>
        </w:rPr>
      </w:pPr>
      <w:r w:rsidRPr="00A22361">
        <w:rPr>
          <w:b/>
          <w:bCs/>
          <w:sz w:val="24"/>
          <w:szCs w:val="24"/>
        </w:rPr>
        <w:t xml:space="preserve">Lever og galdeveje </w:t>
      </w:r>
    </w:p>
    <w:p w14:paraId="43E68957" w14:textId="77777777" w:rsidR="007F793B" w:rsidRPr="00302B8F" w:rsidRDefault="007F793B" w:rsidP="007F793B">
      <w:pPr>
        <w:ind w:left="851"/>
        <w:rPr>
          <w:noProof/>
          <w:sz w:val="24"/>
          <w:szCs w:val="24"/>
        </w:rPr>
      </w:pPr>
      <w:r w:rsidRPr="00A22361">
        <w:rPr>
          <w:sz w:val="24"/>
          <w:szCs w:val="24"/>
        </w:rPr>
        <w:t xml:space="preserve">Ikke kendt: </w:t>
      </w:r>
      <w:r w:rsidRPr="00A22361">
        <w:rPr>
          <w:sz w:val="24"/>
          <w:szCs w:val="24"/>
        </w:rPr>
        <w:tab/>
      </w:r>
      <w:r w:rsidRPr="00A22361">
        <w:rPr>
          <w:sz w:val="24"/>
          <w:szCs w:val="24"/>
        </w:rPr>
        <w:tab/>
        <w:t>Akut leversvigt***</w:t>
      </w:r>
    </w:p>
    <w:p w14:paraId="7E2F9F26" w14:textId="77777777" w:rsidR="007F793B" w:rsidRPr="009E49F8" w:rsidRDefault="007F793B" w:rsidP="007F793B">
      <w:pPr>
        <w:ind w:left="851"/>
        <w:rPr>
          <w:noProof/>
          <w:sz w:val="24"/>
          <w:szCs w:val="24"/>
        </w:rPr>
      </w:pPr>
    </w:p>
    <w:p w14:paraId="03F97F20" w14:textId="77777777" w:rsidR="007F793B" w:rsidRPr="009E49F8" w:rsidRDefault="007F793B" w:rsidP="007F793B">
      <w:pPr>
        <w:ind w:left="851"/>
        <w:rPr>
          <w:noProof/>
          <w:sz w:val="24"/>
          <w:szCs w:val="24"/>
        </w:rPr>
      </w:pPr>
      <w:r w:rsidRPr="009E49F8">
        <w:rPr>
          <w:b/>
          <w:bCs/>
          <w:noProof/>
          <w:sz w:val="24"/>
          <w:szCs w:val="24"/>
        </w:rPr>
        <w:t>Hud og subkutane væv</w:t>
      </w:r>
      <w:r w:rsidRPr="009E49F8">
        <w:rPr>
          <w:noProof/>
          <w:sz w:val="24"/>
          <w:szCs w:val="24"/>
        </w:rPr>
        <w:t xml:space="preserve"> </w:t>
      </w:r>
    </w:p>
    <w:p w14:paraId="158EAE18" w14:textId="77777777" w:rsidR="007F793B" w:rsidRPr="009E49F8" w:rsidRDefault="007F793B" w:rsidP="007F793B">
      <w:pPr>
        <w:ind w:left="851"/>
        <w:rPr>
          <w:noProof/>
          <w:sz w:val="24"/>
          <w:szCs w:val="24"/>
        </w:rPr>
      </w:pPr>
      <w:r w:rsidRPr="009E49F8">
        <w:rPr>
          <w:noProof/>
          <w:sz w:val="24"/>
          <w:szCs w:val="24"/>
        </w:rPr>
        <w:t xml:space="preserve">Almindelig: </w:t>
      </w:r>
      <w:r w:rsidRPr="009E49F8">
        <w:rPr>
          <w:noProof/>
          <w:sz w:val="24"/>
          <w:szCs w:val="24"/>
        </w:rPr>
        <w:tab/>
      </w:r>
      <w:r w:rsidRPr="009E49F8">
        <w:rPr>
          <w:noProof/>
          <w:sz w:val="24"/>
          <w:szCs w:val="24"/>
        </w:rPr>
        <w:tab/>
        <w:t xml:space="preserve">Eksem </w:t>
      </w:r>
    </w:p>
    <w:p w14:paraId="1DB97C6D" w14:textId="77777777" w:rsidR="007F793B" w:rsidRPr="009E49F8" w:rsidRDefault="007F793B" w:rsidP="007F793B">
      <w:pPr>
        <w:ind w:left="3459" w:firstLine="453"/>
        <w:rPr>
          <w:noProof/>
          <w:sz w:val="24"/>
          <w:szCs w:val="24"/>
        </w:rPr>
      </w:pPr>
      <w:r w:rsidRPr="009E49F8">
        <w:rPr>
          <w:noProof/>
          <w:sz w:val="24"/>
          <w:szCs w:val="24"/>
        </w:rPr>
        <w:t xml:space="preserve">Alopeci </w:t>
      </w:r>
    </w:p>
    <w:p w14:paraId="1A0129B0" w14:textId="6BD42647" w:rsidR="00551AD8" w:rsidRPr="009E49F8" w:rsidRDefault="007F793B" w:rsidP="007F793B">
      <w:pPr>
        <w:ind w:left="3006" w:firstLine="906"/>
        <w:rPr>
          <w:noProof/>
          <w:sz w:val="24"/>
          <w:szCs w:val="24"/>
        </w:rPr>
      </w:pPr>
      <w:r w:rsidRPr="009E49F8">
        <w:rPr>
          <w:noProof/>
          <w:sz w:val="24"/>
          <w:szCs w:val="24"/>
        </w:rPr>
        <w:t>Pruritus</w:t>
      </w:r>
    </w:p>
    <w:p w14:paraId="3CFCA420" w14:textId="77777777" w:rsidR="00C10D9D" w:rsidRPr="009E49F8" w:rsidRDefault="00C10D9D" w:rsidP="007F793B">
      <w:pPr>
        <w:rPr>
          <w:noProof/>
          <w:sz w:val="24"/>
          <w:szCs w:val="24"/>
        </w:rPr>
      </w:pPr>
    </w:p>
    <w:p w14:paraId="33CB1E45" w14:textId="77777777" w:rsidR="007F793B" w:rsidRPr="009E49F8" w:rsidRDefault="007F793B" w:rsidP="007F793B">
      <w:pPr>
        <w:ind w:left="851"/>
        <w:rPr>
          <w:noProof/>
          <w:sz w:val="24"/>
          <w:szCs w:val="24"/>
        </w:rPr>
      </w:pPr>
      <w:r w:rsidRPr="009E49F8">
        <w:rPr>
          <w:b/>
          <w:bCs/>
          <w:noProof/>
          <w:sz w:val="24"/>
          <w:szCs w:val="24"/>
        </w:rPr>
        <w:t xml:space="preserve">Knogler, led, muskler og bindevæv </w:t>
      </w:r>
    </w:p>
    <w:p w14:paraId="125501EE" w14:textId="77777777" w:rsidR="007F793B" w:rsidRPr="009E49F8" w:rsidRDefault="007F793B" w:rsidP="007F793B">
      <w:pPr>
        <w:ind w:left="851"/>
        <w:rPr>
          <w:noProof/>
          <w:sz w:val="24"/>
          <w:szCs w:val="24"/>
        </w:rPr>
      </w:pPr>
      <w:r w:rsidRPr="009E49F8">
        <w:rPr>
          <w:noProof/>
          <w:sz w:val="24"/>
          <w:szCs w:val="24"/>
        </w:rPr>
        <w:t xml:space="preserve">Meget almindelig: </w:t>
      </w:r>
      <w:r w:rsidRPr="009E49F8">
        <w:rPr>
          <w:noProof/>
          <w:sz w:val="24"/>
          <w:szCs w:val="24"/>
        </w:rPr>
        <w:tab/>
        <w:t xml:space="preserve">Rygsmerter </w:t>
      </w:r>
    </w:p>
    <w:p w14:paraId="6237B82A" w14:textId="77777777" w:rsidR="007F793B" w:rsidRPr="009E49F8" w:rsidRDefault="007F793B" w:rsidP="007F793B">
      <w:pPr>
        <w:ind w:left="851"/>
        <w:rPr>
          <w:noProof/>
          <w:sz w:val="24"/>
          <w:szCs w:val="24"/>
        </w:rPr>
      </w:pPr>
      <w:r w:rsidRPr="009E49F8">
        <w:rPr>
          <w:noProof/>
          <w:sz w:val="24"/>
          <w:szCs w:val="24"/>
        </w:rPr>
        <w:t xml:space="preserve">Almindelig: </w:t>
      </w:r>
      <w:r w:rsidRPr="009E49F8">
        <w:rPr>
          <w:noProof/>
          <w:sz w:val="24"/>
          <w:szCs w:val="24"/>
        </w:rPr>
        <w:tab/>
      </w:r>
      <w:r w:rsidRPr="009E49F8">
        <w:rPr>
          <w:noProof/>
          <w:sz w:val="24"/>
          <w:szCs w:val="24"/>
        </w:rPr>
        <w:tab/>
        <w:t xml:space="preserve">Myalgi </w:t>
      </w:r>
    </w:p>
    <w:p w14:paraId="0EA0FFA6" w14:textId="77777777" w:rsidR="007F793B" w:rsidRPr="009E49F8" w:rsidRDefault="007F793B" w:rsidP="007F793B">
      <w:pPr>
        <w:ind w:left="3459" w:firstLine="453"/>
        <w:rPr>
          <w:noProof/>
          <w:sz w:val="24"/>
          <w:szCs w:val="24"/>
        </w:rPr>
      </w:pPr>
      <w:r w:rsidRPr="009E49F8">
        <w:rPr>
          <w:noProof/>
          <w:sz w:val="24"/>
          <w:szCs w:val="24"/>
        </w:rPr>
        <w:t>Artralgi</w:t>
      </w:r>
    </w:p>
    <w:p w14:paraId="517C355B" w14:textId="77777777" w:rsidR="007F793B" w:rsidRPr="009E49F8" w:rsidRDefault="007F793B" w:rsidP="007F793B">
      <w:pPr>
        <w:ind w:left="851"/>
        <w:rPr>
          <w:noProof/>
          <w:sz w:val="24"/>
          <w:szCs w:val="24"/>
        </w:rPr>
      </w:pPr>
    </w:p>
    <w:p w14:paraId="2517CACA" w14:textId="77777777" w:rsidR="007F793B" w:rsidRPr="009E49F8" w:rsidRDefault="007F793B" w:rsidP="007F793B">
      <w:pPr>
        <w:ind w:left="851"/>
        <w:rPr>
          <w:noProof/>
          <w:sz w:val="24"/>
          <w:szCs w:val="24"/>
        </w:rPr>
      </w:pPr>
      <w:r w:rsidRPr="009E49F8">
        <w:rPr>
          <w:b/>
          <w:bCs/>
          <w:noProof/>
          <w:sz w:val="24"/>
          <w:szCs w:val="24"/>
        </w:rPr>
        <w:t xml:space="preserve">Almene symptomer og reaktioner på administrationsstedet </w:t>
      </w:r>
    </w:p>
    <w:p w14:paraId="1CCB5BFC" w14:textId="77777777" w:rsidR="007F793B" w:rsidRPr="009E49F8" w:rsidRDefault="007F793B" w:rsidP="007F793B">
      <w:pPr>
        <w:ind w:left="851"/>
        <w:rPr>
          <w:noProof/>
          <w:sz w:val="24"/>
          <w:szCs w:val="24"/>
        </w:rPr>
      </w:pPr>
      <w:r w:rsidRPr="009E49F8">
        <w:rPr>
          <w:noProof/>
          <w:sz w:val="24"/>
          <w:szCs w:val="24"/>
        </w:rPr>
        <w:t xml:space="preserve">Almindelig: </w:t>
      </w:r>
      <w:r w:rsidRPr="009E49F8">
        <w:rPr>
          <w:noProof/>
          <w:sz w:val="24"/>
          <w:szCs w:val="24"/>
        </w:rPr>
        <w:tab/>
      </w:r>
      <w:r w:rsidRPr="009E49F8">
        <w:rPr>
          <w:noProof/>
          <w:sz w:val="24"/>
          <w:szCs w:val="24"/>
        </w:rPr>
        <w:tab/>
        <w:t>Asteni</w:t>
      </w:r>
    </w:p>
    <w:p w14:paraId="409499A7" w14:textId="77777777" w:rsidR="007F793B" w:rsidRPr="009E49F8" w:rsidRDefault="007F793B" w:rsidP="007F793B">
      <w:pPr>
        <w:ind w:left="851"/>
        <w:rPr>
          <w:noProof/>
          <w:sz w:val="24"/>
          <w:szCs w:val="24"/>
        </w:rPr>
      </w:pPr>
    </w:p>
    <w:p w14:paraId="1FD783F8" w14:textId="77777777" w:rsidR="007F793B" w:rsidRPr="009E49F8" w:rsidRDefault="007F793B" w:rsidP="007F793B">
      <w:pPr>
        <w:ind w:left="851"/>
        <w:rPr>
          <w:noProof/>
          <w:sz w:val="24"/>
          <w:szCs w:val="24"/>
        </w:rPr>
      </w:pPr>
      <w:r w:rsidRPr="009E49F8">
        <w:rPr>
          <w:b/>
          <w:bCs/>
          <w:noProof/>
          <w:sz w:val="24"/>
          <w:szCs w:val="24"/>
        </w:rPr>
        <w:t xml:space="preserve">Undersøgelser </w:t>
      </w:r>
    </w:p>
    <w:p w14:paraId="29EE94F1" w14:textId="77777777" w:rsidR="007F793B" w:rsidRPr="009E49F8" w:rsidRDefault="007F793B" w:rsidP="007F793B">
      <w:pPr>
        <w:ind w:left="3904" w:hanging="3053"/>
        <w:rPr>
          <w:noProof/>
          <w:sz w:val="24"/>
          <w:szCs w:val="24"/>
        </w:rPr>
      </w:pPr>
      <w:r w:rsidRPr="009E49F8">
        <w:rPr>
          <w:noProof/>
          <w:sz w:val="24"/>
          <w:szCs w:val="24"/>
        </w:rPr>
        <w:t xml:space="preserve">Meget almindelig: </w:t>
      </w:r>
      <w:r w:rsidRPr="009E49F8">
        <w:rPr>
          <w:noProof/>
          <w:sz w:val="24"/>
          <w:szCs w:val="24"/>
        </w:rPr>
        <w:tab/>
        <w:t xml:space="preserve">Forhøjede leverenzymer (Forhøjet </w:t>
      </w:r>
      <w:proofErr w:type="spellStart"/>
      <w:r>
        <w:t>alanintransaminase</w:t>
      </w:r>
      <w:proofErr w:type="spellEnd"/>
      <w:r w:rsidRPr="009E49F8">
        <w:rPr>
          <w:noProof/>
          <w:sz w:val="24"/>
          <w:szCs w:val="24"/>
        </w:rPr>
        <w:t xml:space="preserve">, gamma-glutamyltransferase, aspartataminotransferase) </w:t>
      </w:r>
    </w:p>
    <w:p w14:paraId="40D49ED8" w14:textId="77777777" w:rsidR="007F793B" w:rsidRPr="009E49F8" w:rsidRDefault="007F793B" w:rsidP="007F793B">
      <w:pPr>
        <w:ind w:left="851"/>
        <w:rPr>
          <w:noProof/>
          <w:sz w:val="24"/>
          <w:szCs w:val="24"/>
        </w:rPr>
      </w:pPr>
      <w:r w:rsidRPr="009E49F8">
        <w:rPr>
          <w:noProof/>
          <w:sz w:val="24"/>
          <w:szCs w:val="24"/>
        </w:rPr>
        <w:t xml:space="preserve">Almindelig: </w:t>
      </w:r>
      <w:r w:rsidRPr="009E49F8">
        <w:rPr>
          <w:noProof/>
          <w:sz w:val="24"/>
          <w:szCs w:val="24"/>
        </w:rPr>
        <w:tab/>
      </w:r>
      <w:r w:rsidRPr="009E49F8">
        <w:rPr>
          <w:noProof/>
          <w:sz w:val="24"/>
          <w:szCs w:val="24"/>
        </w:rPr>
        <w:tab/>
        <w:t xml:space="preserve">Vægttab*** </w:t>
      </w:r>
    </w:p>
    <w:p w14:paraId="37DE8E46" w14:textId="77777777" w:rsidR="007F793B" w:rsidRPr="009E49F8" w:rsidRDefault="007F793B" w:rsidP="007F793B">
      <w:pPr>
        <w:ind w:left="3459" w:firstLine="453"/>
        <w:rPr>
          <w:noProof/>
          <w:sz w:val="24"/>
          <w:szCs w:val="24"/>
        </w:rPr>
      </w:pPr>
      <w:r w:rsidRPr="009E49F8">
        <w:rPr>
          <w:noProof/>
          <w:sz w:val="24"/>
          <w:szCs w:val="24"/>
        </w:rPr>
        <w:t xml:space="preserve">Forhøjede blodtriglycerider </w:t>
      </w:r>
    </w:p>
    <w:p w14:paraId="7004EA0B" w14:textId="77777777" w:rsidR="007F793B" w:rsidRPr="009E49F8" w:rsidRDefault="007F793B" w:rsidP="007F793B">
      <w:pPr>
        <w:ind w:left="851"/>
        <w:rPr>
          <w:noProof/>
          <w:sz w:val="24"/>
          <w:szCs w:val="24"/>
        </w:rPr>
      </w:pPr>
      <w:r w:rsidRPr="009E49F8">
        <w:rPr>
          <w:noProof/>
          <w:sz w:val="24"/>
          <w:szCs w:val="24"/>
        </w:rPr>
        <w:t xml:space="preserve">Ikke almindelig: </w:t>
      </w:r>
      <w:r w:rsidRPr="009E49F8">
        <w:rPr>
          <w:noProof/>
          <w:sz w:val="24"/>
          <w:szCs w:val="24"/>
        </w:rPr>
        <w:tab/>
      </w:r>
      <w:r w:rsidRPr="009E49F8">
        <w:rPr>
          <w:noProof/>
          <w:sz w:val="24"/>
          <w:szCs w:val="24"/>
        </w:rPr>
        <w:tab/>
        <w:t>Nedsat neutrofiltal</w:t>
      </w:r>
    </w:p>
    <w:p w14:paraId="0793A74E" w14:textId="77777777" w:rsidR="007F793B" w:rsidRPr="009E49F8" w:rsidRDefault="007F793B" w:rsidP="007F793B">
      <w:pPr>
        <w:ind w:left="851"/>
        <w:rPr>
          <w:noProof/>
          <w:sz w:val="24"/>
          <w:szCs w:val="24"/>
        </w:rPr>
      </w:pPr>
    </w:p>
    <w:p w14:paraId="4685FFD3" w14:textId="77777777" w:rsidR="007F793B" w:rsidRPr="009E49F8" w:rsidRDefault="007F793B" w:rsidP="007F793B">
      <w:pPr>
        <w:tabs>
          <w:tab w:val="left" w:pos="1560"/>
        </w:tabs>
        <w:ind w:left="1558" w:hanging="707"/>
        <w:rPr>
          <w:noProof/>
          <w:sz w:val="24"/>
          <w:szCs w:val="24"/>
        </w:rPr>
      </w:pPr>
      <w:r w:rsidRPr="009E49F8">
        <w:rPr>
          <w:noProof/>
          <w:sz w:val="24"/>
          <w:szCs w:val="24"/>
        </w:rPr>
        <w:t xml:space="preserve">* </w:t>
      </w:r>
      <w:r w:rsidRPr="009E49F8">
        <w:rPr>
          <w:noProof/>
          <w:sz w:val="24"/>
          <w:szCs w:val="24"/>
        </w:rPr>
        <w:tab/>
        <w:t xml:space="preserve">Frekvenskategorien er baseret på en estimeret eksponering hos cirka 10.000 patienter behandlet med fingolimod i kliniske studier. </w:t>
      </w:r>
    </w:p>
    <w:p w14:paraId="1DB42D1A" w14:textId="77777777" w:rsidR="007F793B" w:rsidRPr="009E49F8" w:rsidRDefault="007F793B" w:rsidP="007F793B">
      <w:pPr>
        <w:tabs>
          <w:tab w:val="left" w:pos="1560"/>
        </w:tabs>
        <w:ind w:left="1558" w:hanging="707"/>
        <w:rPr>
          <w:noProof/>
          <w:sz w:val="24"/>
          <w:szCs w:val="24"/>
        </w:rPr>
      </w:pPr>
      <w:r w:rsidRPr="009E49F8">
        <w:rPr>
          <w:noProof/>
          <w:sz w:val="24"/>
          <w:szCs w:val="24"/>
        </w:rPr>
        <w:lastRenderedPageBreak/>
        <w:t xml:space="preserve">** </w:t>
      </w:r>
      <w:r w:rsidRPr="009E49F8">
        <w:rPr>
          <w:noProof/>
          <w:sz w:val="24"/>
          <w:szCs w:val="24"/>
        </w:rPr>
        <w:tab/>
      </w:r>
      <w:r w:rsidRPr="009E49F8">
        <w:rPr>
          <w:noProof/>
          <w:sz w:val="24"/>
          <w:szCs w:val="24"/>
        </w:rPr>
        <w:tab/>
        <w:t xml:space="preserve">Der er efter markedsføring indberettet PML og kryptokokinfektioner, herunder tilfælde af kryptokokmeningitis (se pkt. 4.4). </w:t>
      </w:r>
    </w:p>
    <w:p w14:paraId="2433040E" w14:textId="77777777" w:rsidR="007F793B" w:rsidRPr="009E49F8" w:rsidRDefault="007F793B" w:rsidP="007F793B">
      <w:pPr>
        <w:tabs>
          <w:tab w:val="left" w:pos="1560"/>
        </w:tabs>
        <w:ind w:left="851"/>
        <w:rPr>
          <w:noProof/>
          <w:sz w:val="24"/>
          <w:szCs w:val="24"/>
        </w:rPr>
      </w:pPr>
      <w:r w:rsidRPr="009E49F8">
        <w:rPr>
          <w:noProof/>
          <w:sz w:val="24"/>
          <w:szCs w:val="24"/>
        </w:rPr>
        <w:t xml:space="preserve">*** </w:t>
      </w:r>
      <w:r w:rsidRPr="009E49F8">
        <w:rPr>
          <w:noProof/>
          <w:sz w:val="24"/>
          <w:szCs w:val="24"/>
        </w:rPr>
        <w:tab/>
        <w:t xml:space="preserve">Bivirkninger fra spontane indberetninger og litteraturen </w:t>
      </w:r>
    </w:p>
    <w:p w14:paraId="542F5D1C" w14:textId="77777777" w:rsidR="007F793B" w:rsidRPr="009E49F8" w:rsidRDefault="007F793B" w:rsidP="007F793B">
      <w:pPr>
        <w:tabs>
          <w:tab w:val="left" w:pos="1560"/>
        </w:tabs>
        <w:ind w:left="1558" w:hanging="707"/>
        <w:rPr>
          <w:noProof/>
          <w:sz w:val="24"/>
          <w:szCs w:val="24"/>
        </w:rPr>
      </w:pPr>
      <w:r w:rsidRPr="009E49F8">
        <w:rPr>
          <w:noProof/>
          <w:sz w:val="24"/>
          <w:szCs w:val="24"/>
        </w:rPr>
        <w:t xml:space="preserve">**** </w:t>
      </w:r>
      <w:r w:rsidRPr="009E49F8">
        <w:rPr>
          <w:noProof/>
          <w:sz w:val="24"/>
          <w:szCs w:val="24"/>
        </w:rPr>
        <w:tab/>
        <w:t>Frekvenskategori og risikovurdering blev baseret på en estimeret behandling af mere end 24.000 patienter med fingolimod 0,5 mg fra de kliniske studier.</w:t>
      </w:r>
    </w:p>
    <w:p w14:paraId="5D744698" w14:textId="77777777" w:rsidR="00C10D9D" w:rsidRPr="009E49F8" w:rsidRDefault="00C10D9D" w:rsidP="007128C2">
      <w:pPr>
        <w:ind w:left="851"/>
        <w:rPr>
          <w:noProof/>
          <w:sz w:val="24"/>
          <w:szCs w:val="24"/>
        </w:rPr>
      </w:pPr>
    </w:p>
    <w:p w14:paraId="457F65FF" w14:textId="77777777" w:rsidR="00982FDD" w:rsidRDefault="00982FDD" w:rsidP="007128C2">
      <w:pPr>
        <w:ind w:left="851"/>
        <w:rPr>
          <w:noProof/>
          <w:sz w:val="24"/>
          <w:szCs w:val="24"/>
          <w:u w:val="single"/>
        </w:rPr>
      </w:pPr>
    </w:p>
    <w:p w14:paraId="50C52E4D" w14:textId="0EED6D1B" w:rsidR="00C10D9D" w:rsidRPr="009E49F8" w:rsidRDefault="00C10D9D" w:rsidP="007128C2">
      <w:pPr>
        <w:ind w:left="851"/>
        <w:rPr>
          <w:noProof/>
          <w:sz w:val="24"/>
          <w:szCs w:val="24"/>
          <w:u w:val="single"/>
        </w:rPr>
      </w:pPr>
      <w:r w:rsidRPr="009E49F8">
        <w:rPr>
          <w:noProof/>
          <w:sz w:val="24"/>
          <w:szCs w:val="24"/>
          <w:u w:val="single"/>
        </w:rPr>
        <w:t xml:space="preserve">Beskrivelse af udvalgte bivirkninger </w:t>
      </w:r>
    </w:p>
    <w:p w14:paraId="378E2E31" w14:textId="77777777" w:rsidR="00C10D9D" w:rsidRPr="009E49F8" w:rsidRDefault="00C10D9D" w:rsidP="007128C2">
      <w:pPr>
        <w:ind w:left="851"/>
        <w:rPr>
          <w:noProof/>
          <w:sz w:val="24"/>
          <w:szCs w:val="24"/>
        </w:rPr>
      </w:pPr>
      <w:r w:rsidRPr="009E49F8">
        <w:rPr>
          <w:noProof/>
          <w:sz w:val="24"/>
          <w:szCs w:val="24"/>
        </w:rPr>
        <w:t xml:space="preserve"> </w:t>
      </w:r>
    </w:p>
    <w:p w14:paraId="648EEF0E" w14:textId="77777777" w:rsidR="00C10D9D" w:rsidRPr="009E49F8" w:rsidRDefault="00C10D9D" w:rsidP="007128C2">
      <w:pPr>
        <w:ind w:left="851"/>
        <w:rPr>
          <w:noProof/>
          <w:sz w:val="24"/>
          <w:szCs w:val="24"/>
          <w:u w:val="single"/>
        </w:rPr>
      </w:pPr>
      <w:r w:rsidRPr="009E49F8">
        <w:rPr>
          <w:i/>
          <w:iCs/>
          <w:noProof/>
          <w:sz w:val="24"/>
          <w:szCs w:val="24"/>
          <w:u w:val="single"/>
        </w:rPr>
        <w:t>Infektioner</w:t>
      </w:r>
      <w:r w:rsidRPr="009E49F8">
        <w:rPr>
          <w:noProof/>
          <w:sz w:val="24"/>
          <w:szCs w:val="24"/>
          <w:u w:val="single"/>
        </w:rPr>
        <w:t xml:space="preserve"> </w:t>
      </w:r>
    </w:p>
    <w:p w14:paraId="5A75E372" w14:textId="77777777" w:rsidR="00C10D9D" w:rsidRPr="009E49F8" w:rsidRDefault="00C10D9D" w:rsidP="007128C2">
      <w:pPr>
        <w:ind w:left="851"/>
        <w:rPr>
          <w:noProof/>
          <w:sz w:val="24"/>
          <w:szCs w:val="24"/>
        </w:rPr>
      </w:pPr>
      <w:r w:rsidRPr="009E49F8">
        <w:rPr>
          <w:noProof/>
          <w:sz w:val="24"/>
          <w:szCs w:val="24"/>
        </w:rPr>
        <w:t>I kliniske studier vedrørende multipel sklerose var infektionshyppigheden (65,1 %) ved en dosis på 0,5 mg sammenlignelig med placebo. Infektioner i de nedre luftveje, primært bronkitis og i mindre grad herpesinfektioner og pneumoni var dog hyppigere hos patienter, som blev behandlet med fingolimod.</w:t>
      </w:r>
    </w:p>
    <w:p w14:paraId="77A373D0" w14:textId="77777777" w:rsidR="00C10D9D" w:rsidRPr="009E49F8" w:rsidRDefault="00C10D9D" w:rsidP="007128C2">
      <w:pPr>
        <w:ind w:left="851"/>
        <w:rPr>
          <w:noProof/>
          <w:sz w:val="24"/>
          <w:szCs w:val="24"/>
        </w:rPr>
      </w:pPr>
    </w:p>
    <w:p w14:paraId="549EE5E0" w14:textId="77777777" w:rsidR="00C10D9D" w:rsidRPr="009E49F8" w:rsidRDefault="00C10D9D" w:rsidP="007128C2">
      <w:pPr>
        <w:ind w:left="851"/>
        <w:rPr>
          <w:noProof/>
          <w:sz w:val="24"/>
          <w:szCs w:val="24"/>
        </w:rPr>
      </w:pPr>
      <w:r w:rsidRPr="009E49F8">
        <w:rPr>
          <w:noProof/>
          <w:sz w:val="24"/>
          <w:szCs w:val="24"/>
        </w:rPr>
        <w:t xml:space="preserve">Der er indberettet enkelte tilfælde af dissemineret herpesinfektion, inklusive tilfælde med dødelig udgang, selv ved 0,5 mg doseringen. </w:t>
      </w:r>
    </w:p>
    <w:p w14:paraId="6EE5B131" w14:textId="77777777" w:rsidR="00C10D9D" w:rsidRPr="009E49F8" w:rsidRDefault="00C10D9D" w:rsidP="007128C2">
      <w:pPr>
        <w:ind w:left="851"/>
        <w:rPr>
          <w:noProof/>
          <w:sz w:val="24"/>
          <w:szCs w:val="24"/>
        </w:rPr>
      </w:pPr>
      <w:r w:rsidRPr="009E49F8">
        <w:rPr>
          <w:noProof/>
          <w:sz w:val="24"/>
          <w:szCs w:val="24"/>
        </w:rPr>
        <w:t xml:space="preserve"> </w:t>
      </w:r>
    </w:p>
    <w:p w14:paraId="7CCB9770" w14:textId="4CBA084D" w:rsidR="00C10D9D" w:rsidRPr="009E49F8" w:rsidRDefault="00C10D9D" w:rsidP="007128C2">
      <w:pPr>
        <w:ind w:left="851"/>
        <w:rPr>
          <w:noProof/>
          <w:sz w:val="24"/>
          <w:szCs w:val="24"/>
        </w:rPr>
      </w:pPr>
      <w:r w:rsidRPr="009E49F8">
        <w:rPr>
          <w:noProof/>
          <w:sz w:val="24"/>
          <w:szCs w:val="24"/>
        </w:rPr>
        <w:t>Der er efter markedsføringen rapporteret tilfælde af infektioner med opportunistiske patogener som virale (</w:t>
      </w:r>
      <w:r w:rsidR="00B922BA" w:rsidRPr="009E49F8">
        <w:rPr>
          <w:noProof/>
          <w:sz w:val="24"/>
          <w:szCs w:val="24"/>
        </w:rPr>
        <w:t>f.eks.</w:t>
      </w:r>
      <w:r w:rsidRPr="009E49F8">
        <w:rPr>
          <w:noProof/>
          <w:sz w:val="24"/>
          <w:szCs w:val="24"/>
        </w:rPr>
        <w:t xml:space="preserve"> varicellazostervirus [VZV], John Cunningham virus [JCV] som medfører Progressiv Multifokal Leukoencefalopati, herpes simplex virus [HSV]), svampe (</w:t>
      </w:r>
      <w:r w:rsidR="00B922BA" w:rsidRPr="009E49F8">
        <w:rPr>
          <w:noProof/>
          <w:sz w:val="24"/>
          <w:szCs w:val="24"/>
        </w:rPr>
        <w:t>f.eks.</w:t>
      </w:r>
      <w:r w:rsidRPr="009E49F8">
        <w:rPr>
          <w:noProof/>
          <w:sz w:val="24"/>
          <w:szCs w:val="24"/>
        </w:rPr>
        <w:t xml:space="preserve"> kryptokokker inklusive kryptokokmeningitis) eller bakterielle (</w:t>
      </w:r>
      <w:r w:rsidR="00B922BA" w:rsidRPr="009E49F8">
        <w:rPr>
          <w:noProof/>
          <w:sz w:val="24"/>
          <w:szCs w:val="24"/>
        </w:rPr>
        <w:t>f.eks.</w:t>
      </w:r>
      <w:r w:rsidRPr="009E49F8">
        <w:rPr>
          <w:noProof/>
          <w:sz w:val="24"/>
          <w:szCs w:val="24"/>
        </w:rPr>
        <w:t xml:space="preserve"> atypisk mycobakterie), hvoraf nogle har været med dødelig udgang (se pkt. 4.4).</w:t>
      </w:r>
    </w:p>
    <w:p w14:paraId="297DA098" w14:textId="77777777" w:rsidR="00C10D9D" w:rsidRPr="009E49F8" w:rsidRDefault="00C10D9D" w:rsidP="007128C2">
      <w:pPr>
        <w:ind w:left="851"/>
        <w:rPr>
          <w:noProof/>
          <w:sz w:val="24"/>
          <w:szCs w:val="24"/>
        </w:rPr>
      </w:pPr>
    </w:p>
    <w:p w14:paraId="5386B944" w14:textId="77777777" w:rsidR="00C10D9D" w:rsidRPr="009E49F8" w:rsidRDefault="00C10D9D" w:rsidP="007128C2">
      <w:pPr>
        <w:ind w:left="851"/>
        <w:rPr>
          <w:noProof/>
          <w:sz w:val="24"/>
          <w:szCs w:val="24"/>
        </w:rPr>
      </w:pPr>
      <w:r w:rsidRPr="009E49F8">
        <w:rPr>
          <w:noProof/>
          <w:sz w:val="24"/>
          <w:szCs w:val="24"/>
        </w:rPr>
        <w:t>Efter markedsføring er der rapporteret tilfælde af human papilloma virus (HPV) infektion, herunder papillom, dysplasi, vorter og HPV-relateret kræft, under behandling med fingolimod. HPV-vaccination, under hensyntagen til retningslinjerne for vaccination, bør overvejes inden initiering af behandling på grund af fingolimods immunsuppressive egenskaber. Kræft-screening, herunder Paptest, anbefales efter gældende standarder.</w:t>
      </w:r>
    </w:p>
    <w:p w14:paraId="727E3B91" w14:textId="77777777" w:rsidR="00C10D9D" w:rsidRPr="009E49F8" w:rsidRDefault="00C10D9D" w:rsidP="007128C2">
      <w:pPr>
        <w:ind w:left="851"/>
        <w:rPr>
          <w:noProof/>
          <w:sz w:val="24"/>
          <w:szCs w:val="24"/>
        </w:rPr>
      </w:pPr>
    </w:p>
    <w:p w14:paraId="18730A99" w14:textId="77777777" w:rsidR="00982FDD" w:rsidRPr="009E49F8" w:rsidRDefault="00982FDD" w:rsidP="00982FDD">
      <w:pPr>
        <w:ind w:left="851"/>
        <w:rPr>
          <w:noProof/>
          <w:sz w:val="24"/>
          <w:szCs w:val="24"/>
          <w:u w:val="single"/>
        </w:rPr>
      </w:pPr>
      <w:r w:rsidRPr="009E49F8">
        <w:rPr>
          <w:i/>
          <w:iCs/>
          <w:noProof/>
          <w:sz w:val="24"/>
          <w:szCs w:val="24"/>
          <w:u w:val="single"/>
        </w:rPr>
        <w:t>Makulaødem</w:t>
      </w:r>
    </w:p>
    <w:p w14:paraId="106A4575" w14:textId="77777777" w:rsidR="00982FDD" w:rsidRPr="009E49F8" w:rsidRDefault="00982FDD" w:rsidP="00982FDD">
      <w:pPr>
        <w:ind w:left="851"/>
        <w:rPr>
          <w:noProof/>
          <w:sz w:val="24"/>
          <w:szCs w:val="24"/>
        </w:rPr>
      </w:pPr>
      <w:r w:rsidRPr="009E49F8">
        <w:rPr>
          <w:noProof/>
          <w:sz w:val="24"/>
          <w:szCs w:val="24"/>
        </w:rPr>
        <w:t xml:space="preserve">I kliniske studier vedrørende multipel sklerose er makulaødem forekommet hos 0,5 % af de patienter, der blev behandlet med den anbefalede dosis på 0,5 mg, og hos 1,1 % af de patienter, der blev behandlet med den højere dosis på 1,25 mg. Størstedelen af tilfældene forekom inden for de første 3-4 måneder af behandlingen. Nogle patienter henvendte sig med tågesyn eller nedsat synsskarphed, men andre var asymptomatiske og blev diagnosticeret ved rutinemæssig oftalmologisk undersøgelse. Generelt aftog det makulære ødem eller det helbredtes spontant efter seponering af </w:t>
      </w:r>
      <w:r>
        <w:rPr>
          <w:noProof/>
          <w:sz w:val="24"/>
          <w:szCs w:val="24"/>
        </w:rPr>
        <w:t>behandling</w:t>
      </w:r>
      <w:r w:rsidRPr="009E49F8">
        <w:rPr>
          <w:noProof/>
          <w:sz w:val="24"/>
          <w:szCs w:val="24"/>
        </w:rPr>
        <w:t xml:space="preserve">. Risikoen for tilbagefald efter genprovokation er ikke vurderet. </w:t>
      </w:r>
    </w:p>
    <w:p w14:paraId="57F763FB" w14:textId="77777777" w:rsidR="00982FDD" w:rsidRPr="009E49F8" w:rsidRDefault="00982FDD" w:rsidP="00982FDD">
      <w:pPr>
        <w:ind w:left="851"/>
        <w:rPr>
          <w:noProof/>
          <w:sz w:val="24"/>
          <w:szCs w:val="24"/>
        </w:rPr>
      </w:pPr>
      <w:r w:rsidRPr="009E49F8">
        <w:rPr>
          <w:noProof/>
          <w:sz w:val="24"/>
          <w:szCs w:val="24"/>
        </w:rPr>
        <w:t xml:space="preserve"> </w:t>
      </w:r>
    </w:p>
    <w:p w14:paraId="48C38327" w14:textId="77777777" w:rsidR="00982FDD" w:rsidRPr="009E49F8" w:rsidRDefault="00982FDD" w:rsidP="00982FDD">
      <w:pPr>
        <w:ind w:left="851"/>
        <w:rPr>
          <w:noProof/>
          <w:sz w:val="24"/>
          <w:szCs w:val="24"/>
        </w:rPr>
      </w:pPr>
      <w:r w:rsidRPr="009E49F8">
        <w:rPr>
          <w:noProof/>
          <w:sz w:val="24"/>
          <w:szCs w:val="24"/>
        </w:rPr>
        <w:t>Forekomsten af makulaødem stiger hos patienter med multipel sklerose, som har haft uveitis (17 % ved tidligere uveitis mod 0,6 % uden tidligere uveitis). Fingolimod har ikke været undersøgt hos patienter med både multipel sklerose og diabetes mellitus, en sygdom som er forbundet med en øget risiko for maculært ødem (se pkt. 4.4). I studier vedrørende nyretransplantation, hvori patienter med diabetes mellitus indgik, medførte behandling med fingolimod 2,5 mg og 5 mg en fordobling af forekomsten af makulaødem.</w:t>
      </w:r>
    </w:p>
    <w:p w14:paraId="0F8B4963" w14:textId="77777777" w:rsidR="00982FDD" w:rsidRPr="009E49F8" w:rsidRDefault="00982FDD" w:rsidP="00982FDD">
      <w:pPr>
        <w:ind w:left="851"/>
        <w:rPr>
          <w:noProof/>
          <w:sz w:val="24"/>
          <w:szCs w:val="24"/>
        </w:rPr>
      </w:pPr>
    </w:p>
    <w:p w14:paraId="6D8B02C0" w14:textId="77777777" w:rsidR="00982FDD" w:rsidRPr="009E49F8" w:rsidRDefault="00982FDD" w:rsidP="00982FDD">
      <w:pPr>
        <w:ind w:left="851"/>
        <w:rPr>
          <w:noProof/>
          <w:sz w:val="24"/>
          <w:szCs w:val="24"/>
          <w:u w:val="single"/>
        </w:rPr>
      </w:pPr>
      <w:r w:rsidRPr="009E49F8">
        <w:rPr>
          <w:i/>
          <w:iCs/>
          <w:noProof/>
          <w:sz w:val="24"/>
          <w:szCs w:val="24"/>
          <w:u w:val="single"/>
        </w:rPr>
        <w:t xml:space="preserve">Bradykardi </w:t>
      </w:r>
    </w:p>
    <w:p w14:paraId="08F56AE7" w14:textId="77777777" w:rsidR="00982FDD" w:rsidRPr="009E49F8" w:rsidRDefault="00982FDD" w:rsidP="00982FDD">
      <w:pPr>
        <w:ind w:left="851"/>
        <w:rPr>
          <w:noProof/>
          <w:sz w:val="24"/>
          <w:szCs w:val="24"/>
        </w:rPr>
      </w:pPr>
      <w:r w:rsidRPr="009E49F8">
        <w:rPr>
          <w:noProof/>
          <w:sz w:val="24"/>
          <w:szCs w:val="24"/>
        </w:rPr>
        <w:t xml:space="preserve">Når behandling initieres, sker der en forbigående nedsættelse af hjertefrekvensen og måske også forsinkelse af den atrioventrikulære impulsoverledning. I kliniske multipel sklerosestudier er det maksimale fald i hjertefrekvensen set inden for 6 timer efter initiering af behandlingen med et fald i middelhjertefrekvensen på 12-13 slag i minuttet for </w:t>
      </w:r>
      <w:r w:rsidRPr="009E49F8">
        <w:rPr>
          <w:noProof/>
          <w:sz w:val="24"/>
          <w:szCs w:val="24"/>
        </w:rPr>
        <w:lastRenderedPageBreak/>
        <w:t>fingolimod 0,5 mg. Hjertefrekvens under 40 slag i minuttet hos voksne, og under 50 slag i minuttet hos pædiatriske patienter, er sjældent observeret hos patienter, som får fingolimod 0,5 mg. Den gennemsnitlige hjertefrekvens vendte tilbage mod udgangsværdien i løbet af en måned ved vedvarende behandling. Bradykardi har generelt været asymptomatisk, men nogle patienter har oplevet milde til moderate symptomer, herunder hypotension, svimmelhed, træthed og/eller palpitationer, som gik over i løbet af de første 24 timer efter initiering af behandling (se også pkt. 4.4 og 5.1).</w:t>
      </w:r>
    </w:p>
    <w:p w14:paraId="4A12C9CD" w14:textId="77777777" w:rsidR="00982FDD" w:rsidRPr="009E49F8" w:rsidRDefault="00982FDD" w:rsidP="00982FDD">
      <w:pPr>
        <w:ind w:left="851"/>
        <w:rPr>
          <w:noProof/>
          <w:sz w:val="24"/>
          <w:szCs w:val="24"/>
        </w:rPr>
      </w:pPr>
    </w:p>
    <w:p w14:paraId="4DD4ABEB" w14:textId="77777777" w:rsidR="00982FDD" w:rsidRPr="009E49F8" w:rsidRDefault="00982FDD" w:rsidP="00982FDD">
      <w:pPr>
        <w:ind w:left="851"/>
        <w:rPr>
          <w:noProof/>
          <w:sz w:val="24"/>
          <w:szCs w:val="24"/>
        </w:rPr>
      </w:pPr>
      <w:r w:rsidRPr="009E49F8">
        <w:rPr>
          <w:noProof/>
          <w:sz w:val="24"/>
          <w:szCs w:val="24"/>
        </w:rPr>
        <w:t>I kliniske multipel sklerosestudier er atrioventrikulært blok af 1. grad (forlænget PR-interval i ekg) registreret efter initiering af behandling hos voksne og pædiatriske patienter. I kliniske studier med voksne forekom det hos 4,7 % af de patienter, der fik fingolimod 0,5 mg, hos 2,8 % af de patienter, der fik intramuskulært interferon beta-1a, og hos 1,6 % af de patienter, der fik placebo. Atrioventrikulært blok af 2. grad registreredes hos færre end 0,2 % af de voksne patienter, der fik fingolimod 0,5 mg. Efter markedsføringen er der set enkeltstående tilfælde af forbigående, spontant ophørende komplet AVblok i løbet af den seks timers monitoreringsperiode efter første fingolimod-dosis. Patienterne kom sig spontant. Ledningsforstyrrelserne, som blev set både i kliniske forsøg og efter markedsføringen, var typisk forbigående, asymptomatiske og fortog sig i løbet af de første 24 timer efter initiering af behandling. Skønt de fleste patienter ikke krævede lægelig indgriben, fik én patient, som blev behandlet med fingolimod 0,5 mg, isoprenalin for asymptomatisk Mobitz I atrioventrikulært blok af 2. grad.</w:t>
      </w:r>
    </w:p>
    <w:p w14:paraId="72D4262B" w14:textId="77777777" w:rsidR="00982FDD" w:rsidRPr="009E49F8" w:rsidRDefault="00982FDD" w:rsidP="00982FDD">
      <w:pPr>
        <w:ind w:left="851"/>
        <w:rPr>
          <w:noProof/>
          <w:sz w:val="24"/>
          <w:szCs w:val="24"/>
        </w:rPr>
      </w:pPr>
    </w:p>
    <w:p w14:paraId="4FC92A9E" w14:textId="77777777" w:rsidR="00982FDD" w:rsidRPr="009E49F8" w:rsidRDefault="00982FDD" w:rsidP="00982FDD">
      <w:pPr>
        <w:ind w:left="851"/>
        <w:rPr>
          <w:noProof/>
          <w:sz w:val="24"/>
          <w:szCs w:val="24"/>
        </w:rPr>
      </w:pPr>
      <w:r w:rsidRPr="009E49F8">
        <w:rPr>
          <w:noProof/>
          <w:sz w:val="24"/>
          <w:szCs w:val="24"/>
        </w:rPr>
        <w:t>Efter markedsføringen er der set enkeltstående tilfælde med forsinket opståen, inklusive forbigående asystoli og uforklarlig død, inden for 24 timer efter den første dosis. Disse tilfælde er set ved samtidig medicinering med andre lægemidler og/eller forudeksisterende sygdom. Sammenhængen mellem fingolimod og disse hændelser er usikker.</w:t>
      </w:r>
    </w:p>
    <w:p w14:paraId="7374D7EC" w14:textId="77777777" w:rsidR="00982FDD" w:rsidRPr="009E49F8" w:rsidRDefault="00982FDD" w:rsidP="00982FDD">
      <w:pPr>
        <w:ind w:left="851"/>
        <w:rPr>
          <w:noProof/>
          <w:sz w:val="24"/>
          <w:szCs w:val="24"/>
        </w:rPr>
      </w:pPr>
    </w:p>
    <w:p w14:paraId="648C617B" w14:textId="77777777" w:rsidR="00982FDD" w:rsidRPr="009E49F8" w:rsidRDefault="00982FDD" w:rsidP="00982FDD">
      <w:pPr>
        <w:ind w:left="851"/>
        <w:rPr>
          <w:noProof/>
          <w:sz w:val="24"/>
          <w:szCs w:val="24"/>
          <w:u w:val="single"/>
        </w:rPr>
      </w:pPr>
      <w:r w:rsidRPr="009E49F8">
        <w:rPr>
          <w:i/>
          <w:iCs/>
          <w:noProof/>
          <w:sz w:val="24"/>
          <w:szCs w:val="24"/>
          <w:u w:val="single"/>
        </w:rPr>
        <w:t>Blodtryk</w:t>
      </w:r>
      <w:r w:rsidRPr="009E49F8">
        <w:rPr>
          <w:noProof/>
          <w:sz w:val="24"/>
          <w:szCs w:val="24"/>
          <w:u w:val="single"/>
        </w:rPr>
        <w:t xml:space="preserve"> </w:t>
      </w:r>
    </w:p>
    <w:p w14:paraId="7884A97C" w14:textId="77777777" w:rsidR="00982FDD" w:rsidRPr="009E49F8" w:rsidRDefault="00982FDD" w:rsidP="00982FDD">
      <w:pPr>
        <w:ind w:left="851"/>
        <w:rPr>
          <w:noProof/>
          <w:sz w:val="24"/>
          <w:szCs w:val="24"/>
        </w:rPr>
      </w:pPr>
      <w:r w:rsidRPr="009E49F8">
        <w:rPr>
          <w:noProof/>
          <w:sz w:val="24"/>
          <w:szCs w:val="24"/>
        </w:rPr>
        <w:t xml:space="preserve">I kliniske multipel sklerosestudier har fingolimod  0,5 mg været forbundet med en gennemsnitlig stigning på omkring 3 mmHg i systolisk tryk og omkring 1 mmHg i diastolisk tryk, som manifesterede sig omkring 1 måned efter initiering af behandling. Denne stigning persisterede under fortsat behandling. Hypertension rapporteredes hos 6,5 % af de patienter, der fik fingolimod 0,5 mg, og hos 3,3 % af placebo-patienterne. Efter markedsføring er der rapporteret tilfælde af hypertension, som kan kræve antihypertensiv behandling eller seponering af fingolimod, inden for den første måned efter behandlingsstart og på den første behandlingsdag (se også pkt. 4.4, Virkning på blodtrykket). </w:t>
      </w:r>
    </w:p>
    <w:p w14:paraId="1466F947" w14:textId="77777777" w:rsidR="00982FDD" w:rsidRPr="009E49F8" w:rsidRDefault="00982FDD" w:rsidP="00982FDD">
      <w:pPr>
        <w:ind w:left="851"/>
        <w:rPr>
          <w:noProof/>
          <w:sz w:val="24"/>
          <w:szCs w:val="24"/>
        </w:rPr>
      </w:pPr>
    </w:p>
    <w:p w14:paraId="4D75DCC1" w14:textId="77777777" w:rsidR="00982FDD" w:rsidRPr="009E49F8" w:rsidRDefault="00982FDD" w:rsidP="00982FDD">
      <w:pPr>
        <w:ind w:left="851"/>
        <w:rPr>
          <w:noProof/>
          <w:sz w:val="24"/>
          <w:szCs w:val="24"/>
          <w:u w:val="single"/>
        </w:rPr>
      </w:pPr>
      <w:r w:rsidRPr="009E49F8">
        <w:rPr>
          <w:i/>
          <w:iCs/>
          <w:noProof/>
          <w:sz w:val="24"/>
          <w:szCs w:val="24"/>
          <w:u w:val="single"/>
        </w:rPr>
        <w:t xml:space="preserve">Leverfunktion </w:t>
      </w:r>
    </w:p>
    <w:p w14:paraId="3DA2A849" w14:textId="77777777" w:rsidR="00982FDD" w:rsidRPr="009E49F8" w:rsidRDefault="00982FDD" w:rsidP="00982FDD">
      <w:pPr>
        <w:ind w:left="851"/>
        <w:rPr>
          <w:noProof/>
          <w:sz w:val="24"/>
          <w:szCs w:val="24"/>
        </w:rPr>
      </w:pPr>
      <w:r w:rsidRPr="009E49F8">
        <w:rPr>
          <w:noProof/>
          <w:sz w:val="24"/>
          <w:szCs w:val="24"/>
        </w:rPr>
        <w:t>Der er rapporteret forhøjede leverenzymer hos voksne og pædiatriske multipel sklerosepatienter i behandling med fingolimod. I kliniske studier har 8,0 % og 1,8 % af de voksne patienter, der blev behandlet med fingolimod 0,5 mg, oplevet en asymptomatisk stigning i serum-ALAT til henholdsvis ≥3 x ULN (upper limit of normal) og ≥5 x ULN. Forhøjelse af leveraminotransferaser forekom igen ved genoptagelse af behandlingen hos nogle patienter, hvilket underbygger en sammenhæng med lægemidlet. I kliniske studier forekom aminotransferasestigning på alle tidspunkter under behandlingen, men de fleste tilfælde forekom i løbet af de første 12 måneder. ALAT-niveauerne vendte tilbage til det normale i løbet af cirka 2 måneder efter afbrydelse af behandling. Hos et lille antal patienter (N=10, som fik 1,25 mg, N=2, som fik 0,5 mg), som oplevede ALATforhøjelser ≥5xULN, og som fortsatte med fingolimod-behandlingen, vendte ALAT-niveauerne tilbage til det normale inden for cirka 5 måneder (se også pkt. 4.4, Leverfunktion).</w:t>
      </w:r>
    </w:p>
    <w:p w14:paraId="241EDFFF" w14:textId="77777777" w:rsidR="00982FDD" w:rsidRPr="009E49F8" w:rsidRDefault="00982FDD" w:rsidP="00982FDD">
      <w:pPr>
        <w:ind w:left="851"/>
        <w:rPr>
          <w:noProof/>
          <w:sz w:val="24"/>
          <w:szCs w:val="24"/>
        </w:rPr>
      </w:pPr>
    </w:p>
    <w:p w14:paraId="4F840D8E" w14:textId="77777777" w:rsidR="00982FDD" w:rsidRPr="009E49F8" w:rsidRDefault="00982FDD" w:rsidP="00982FDD">
      <w:pPr>
        <w:ind w:left="851"/>
        <w:rPr>
          <w:noProof/>
          <w:sz w:val="24"/>
          <w:szCs w:val="24"/>
          <w:u w:val="single"/>
        </w:rPr>
      </w:pPr>
      <w:r w:rsidRPr="009E49F8">
        <w:rPr>
          <w:i/>
          <w:iCs/>
          <w:noProof/>
          <w:sz w:val="24"/>
          <w:szCs w:val="24"/>
          <w:u w:val="single"/>
        </w:rPr>
        <w:lastRenderedPageBreak/>
        <w:t xml:space="preserve">Nervesystemet </w:t>
      </w:r>
    </w:p>
    <w:p w14:paraId="1808EB36" w14:textId="77777777" w:rsidR="00982FDD" w:rsidRPr="009E49F8" w:rsidRDefault="00982FDD" w:rsidP="00982FDD">
      <w:pPr>
        <w:ind w:left="851"/>
        <w:rPr>
          <w:noProof/>
          <w:sz w:val="24"/>
          <w:szCs w:val="24"/>
        </w:rPr>
      </w:pPr>
      <w:r w:rsidRPr="009E49F8">
        <w:rPr>
          <w:noProof/>
          <w:sz w:val="24"/>
          <w:szCs w:val="24"/>
        </w:rPr>
        <w:t xml:space="preserve">I kliniske studier blev der i sjældne tilfælde set påvirkning af nervesystemet hos patienter, der fik fingolimod i højere doser (1,25 eller 5,0 mg), herunder iskæmisk og hæmoragisk apopleksi, og atypiske neurologiske tilstande såsom akut dissemineret encefalomyelitis (ADEM)-lignende tilfælde. </w:t>
      </w:r>
    </w:p>
    <w:p w14:paraId="29343C4D" w14:textId="77777777" w:rsidR="00982FDD" w:rsidRPr="009E49F8" w:rsidRDefault="00982FDD" w:rsidP="00982FDD">
      <w:pPr>
        <w:ind w:left="851"/>
        <w:rPr>
          <w:noProof/>
          <w:sz w:val="24"/>
          <w:szCs w:val="24"/>
        </w:rPr>
      </w:pPr>
      <w:r w:rsidRPr="009E49F8">
        <w:rPr>
          <w:noProof/>
          <w:sz w:val="24"/>
          <w:szCs w:val="24"/>
        </w:rPr>
        <w:t xml:space="preserve"> </w:t>
      </w:r>
    </w:p>
    <w:p w14:paraId="53FA2CF7" w14:textId="77777777" w:rsidR="00982FDD" w:rsidRPr="009E49F8" w:rsidRDefault="00982FDD" w:rsidP="00982FDD">
      <w:pPr>
        <w:ind w:left="851"/>
        <w:rPr>
          <w:noProof/>
          <w:sz w:val="24"/>
          <w:szCs w:val="24"/>
        </w:rPr>
      </w:pPr>
      <w:r w:rsidRPr="009E49F8">
        <w:rPr>
          <w:noProof/>
          <w:sz w:val="24"/>
          <w:szCs w:val="24"/>
        </w:rPr>
        <w:t>Der er rapporteret tilfælde af krampeanfald, herunder status epilepticus, i forbindelse med brug af fingolimod i kliniske studier og efter markedsføring.</w:t>
      </w:r>
    </w:p>
    <w:p w14:paraId="3F9BD526" w14:textId="77777777" w:rsidR="00982FDD" w:rsidRPr="009E49F8" w:rsidRDefault="00982FDD" w:rsidP="00982FDD">
      <w:pPr>
        <w:ind w:left="851"/>
        <w:rPr>
          <w:noProof/>
          <w:sz w:val="24"/>
          <w:szCs w:val="24"/>
        </w:rPr>
      </w:pPr>
    </w:p>
    <w:p w14:paraId="584CEF57" w14:textId="77777777" w:rsidR="00982FDD" w:rsidRPr="009E49F8" w:rsidRDefault="00982FDD" w:rsidP="00982FDD">
      <w:pPr>
        <w:ind w:left="851"/>
        <w:rPr>
          <w:noProof/>
          <w:sz w:val="24"/>
          <w:szCs w:val="24"/>
          <w:u w:val="single"/>
        </w:rPr>
      </w:pPr>
      <w:r w:rsidRPr="009E49F8">
        <w:rPr>
          <w:i/>
          <w:iCs/>
          <w:noProof/>
          <w:sz w:val="24"/>
          <w:szCs w:val="24"/>
          <w:u w:val="single"/>
        </w:rPr>
        <w:t>Vaskulære tilstande</w:t>
      </w:r>
      <w:r w:rsidRPr="009E49F8">
        <w:rPr>
          <w:noProof/>
          <w:sz w:val="24"/>
          <w:szCs w:val="24"/>
          <w:u w:val="single"/>
        </w:rPr>
        <w:t xml:space="preserve"> </w:t>
      </w:r>
    </w:p>
    <w:p w14:paraId="1A86C2F6" w14:textId="77777777" w:rsidR="00982FDD" w:rsidRPr="009E49F8" w:rsidRDefault="00982FDD" w:rsidP="00982FDD">
      <w:pPr>
        <w:ind w:left="851"/>
        <w:rPr>
          <w:noProof/>
          <w:sz w:val="24"/>
          <w:szCs w:val="24"/>
        </w:rPr>
      </w:pPr>
      <w:r w:rsidRPr="009E49F8">
        <w:rPr>
          <w:noProof/>
          <w:sz w:val="24"/>
          <w:szCs w:val="24"/>
        </w:rPr>
        <w:t>Der forekom sjældne tilfælde af perifer arteriel okklusion hos patienter, som blev behandlet med fingolimod i højere doser (1,25 mg).</w:t>
      </w:r>
    </w:p>
    <w:p w14:paraId="3EF20F7D" w14:textId="77777777" w:rsidR="00982FDD" w:rsidRPr="009E49F8" w:rsidRDefault="00982FDD" w:rsidP="00982FDD">
      <w:pPr>
        <w:ind w:left="851"/>
        <w:rPr>
          <w:noProof/>
          <w:sz w:val="24"/>
          <w:szCs w:val="24"/>
        </w:rPr>
      </w:pPr>
    </w:p>
    <w:p w14:paraId="67490A1F" w14:textId="77777777" w:rsidR="00982FDD" w:rsidRPr="009E49F8" w:rsidRDefault="00982FDD" w:rsidP="00982FDD">
      <w:pPr>
        <w:ind w:left="851"/>
        <w:rPr>
          <w:noProof/>
          <w:sz w:val="24"/>
          <w:szCs w:val="24"/>
          <w:u w:val="single"/>
        </w:rPr>
      </w:pPr>
      <w:r w:rsidRPr="009E49F8">
        <w:rPr>
          <w:i/>
          <w:iCs/>
          <w:noProof/>
          <w:sz w:val="24"/>
          <w:szCs w:val="24"/>
          <w:u w:val="single"/>
        </w:rPr>
        <w:t xml:space="preserve">Luftveje </w:t>
      </w:r>
    </w:p>
    <w:p w14:paraId="78162DB0" w14:textId="77777777" w:rsidR="00982FDD" w:rsidRPr="00C462C2" w:rsidRDefault="00982FDD" w:rsidP="00982FDD">
      <w:pPr>
        <w:ind w:left="851"/>
        <w:rPr>
          <w:noProof/>
          <w:sz w:val="24"/>
          <w:szCs w:val="24"/>
        </w:rPr>
      </w:pPr>
      <w:r w:rsidRPr="009E49F8">
        <w:rPr>
          <w:noProof/>
          <w:sz w:val="24"/>
          <w:szCs w:val="24"/>
        </w:rPr>
        <w:t xml:space="preserve">Mindre, dosisafhængige reduktioner af værdierne for forceret eksspiratorisk volumen i 1 sekund (FEV1) og lungediffusionskapacitet for carbonmonoxid (DLCO) er observeret ved behandling med fingolimod startende ved måned 1 og derefter var stabile. Ved måned 24 var reduktionen i forhold til udgangsværdierne, målt i procent af forventet FEV1, 2,7 % for fingolimod 0,5 mg og 1,2 % for placebo, en forskel, der forsvandt, da behandling blev afbrudt. For DLCO's vedkommende var reduktionerne ved måned 24 3,3 % for fingolimod 0,5 mg og 2,7 </w:t>
      </w:r>
      <w:r w:rsidRPr="00C462C2">
        <w:rPr>
          <w:noProof/>
          <w:sz w:val="24"/>
          <w:szCs w:val="24"/>
        </w:rPr>
        <w:t xml:space="preserve">% for placebo. </w:t>
      </w:r>
      <w:r w:rsidRPr="00A22361">
        <w:rPr>
          <w:sz w:val="24"/>
          <w:szCs w:val="24"/>
        </w:rPr>
        <w:t>(se også pkt. 4.4, Virkning på respirationen).</w:t>
      </w:r>
    </w:p>
    <w:p w14:paraId="05E39E65" w14:textId="77777777" w:rsidR="00982FDD" w:rsidRPr="009E49F8" w:rsidRDefault="00982FDD" w:rsidP="00982FDD">
      <w:pPr>
        <w:ind w:left="851"/>
        <w:rPr>
          <w:noProof/>
          <w:sz w:val="24"/>
          <w:szCs w:val="24"/>
        </w:rPr>
      </w:pPr>
    </w:p>
    <w:p w14:paraId="08403A13" w14:textId="77777777" w:rsidR="00982FDD" w:rsidRPr="009E49F8" w:rsidRDefault="00982FDD" w:rsidP="00982FDD">
      <w:pPr>
        <w:ind w:left="851"/>
        <w:rPr>
          <w:noProof/>
          <w:sz w:val="24"/>
          <w:szCs w:val="24"/>
          <w:u w:val="single"/>
        </w:rPr>
      </w:pPr>
      <w:r w:rsidRPr="009E49F8">
        <w:rPr>
          <w:i/>
          <w:iCs/>
          <w:noProof/>
          <w:sz w:val="24"/>
          <w:szCs w:val="24"/>
          <w:u w:val="single"/>
        </w:rPr>
        <w:t>Lymfomer</w:t>
      </w:r>
    </w:p>
    <w:p w14:paraId="230092EB" w14:textId="77777777" w:rsidR="00982FDD" w:rsidRPr="009E49F8" w:rsidRDefault="00982FDD" w:rsidP="00982FDD">
      <w:pPr>
        <w:ind w:left="851"/>
        <w:rPr>
          <w:noProof/>
          <w:sz w:val="24"/>
          <w:szCs w:val="24"/>
        </w:rPr>
      </w:pPr>
      <w:r w:rsidRPr="009E49F8">
        <w:rPr>
          <w:noProof/>
          <w:sz w:val="24"/>
          <w:szCs w:val="24"/>
        </w:rPr>
        <w:t>Der er set tilfælde af lymfomer af forskellig art i både kliniske studier og efter markedsføring, inklusive et dødeligt tilfælde af Epstein-Barr virus (EBV)-positiv B-cellelymfom. Forekomsten af nonHodgkin-lymfomer (B-celle og T-celle) var højere i kliniske studier i forhold til, hvad der forventes i den generelle population. Nogle tilfælde af T-cellelymfom blev også rapporteret efter markedsføring, herunder tilfælde af kutan T-cellelymfom (mycosis fung</w:t>
      </w:r>
      <w:r w:rsidRPr="00DE4103">
        <w:rPr>
          <w:noProof/>
          <w:sz w:val="24"/>
          <w:szCs w:val="24"/>
        </w:rPr>
        <w:t xml:space="preserve">oides). </w:t>
      </w:r>
      <w:r w:rsidRPr="00A22361">
        <w:rPr>
          <w:sz w:val="24"/>
          <w:szCs w:val="24"/>
        </w:rPr>
        <w:t xml:space="preserve">(se også pkt. 4.4, </w:t>
      </w:r>
      <w:proofErr w:type="spellStart"/>
      <w:r w:rsidRPr="00A22361">
        <w:rPr>
          <w:sz w:val="24"/>
          <w:szCs w:val="24"/>
        </w:rPr>
        <w:t>Maligniteter</w:t>
      </w:r>
      <w:proofErr w:type="spellEnd"/>
      <w:r w:rsidRPr="00A22361">
        <w:rPr>
          <w:sz w:val="24"/>
          <w:szCs w:val="24"/>
        </w:rPr>
        <w:t>).</w:t>
      </w:r>
    </w:p>
    <w:p w14:paraId="6810F4B2" w14:textId="77777777" w:rsidR="00982FDD" w:rsidRPr="009E49F8" w:rsidRDefault="00982FDD" w:rsidP="00982FDD">
      <w:pPr>
        <w:ind w:left="851"/>
        <w:rPr>
          <w:noProof/>
          <w:sz w:val="24"/>
          <w:szCs w:val="24"/>
        </w:rPr>
      </w:pPr>
    </w:p>
    <w:p w14:paraId="6D883AC3" w14:textId="77777777" w:rsidR="00982FDD" w:rsidRPr="009E49F8" w:rsidRDefault="00982FDD" w:rsidP="00982FDD">
      <w:pPr>
        <w:ind w:left="851"/>
        <w:rPr>
          <w:noProof/>
          <w:sz w:val="24"/>
          <w:szCs w:val="24"/>
          <w:u w:val="single"/>
        </w:rPr>
      </w:pPr>
      <w:r w:rsidRPr="009E49F8">
        <w:rPr>
          <w:i/>
          <w:iCs/>
          <w:noProof/>
          <w:sz w:val="24"/>
          <w:szCs w:val="24"/>
          <w:u w:val="single"/>
        </w:rPr>
        <w:t xml:space="preserve">Hæmofagocytotisk syndrom </w:t>
      </w:r>
    </w:p>
    <w:p w14:paraId="1E432C79" w14:textId="77777777" w:rsidR="00982FDD" w:rsidRPr="009E49F8" w:rsidRDefault="00982FDD" w:rsidP="00982FDD">
      <w:pPr>
        <w:ind w:left="851"/>
        <w:rPr>
          <w:noProof/>
          <w:sz w:val="24"/>
          <w:szCs w:val="24"/>
        </w:rPr>
      </w:pPr>
      <w:r w:rsidRPr="009E49F8">
        <w:rPr>
          <w:noProof/>
          <w:sz w:val="24"/>
          <w:szCs w:val="24"/>
        </w:rPr>
        <w:t>Der er indberettet meget sjældne tilfælde af hæmofagocytotisk syndrom (HPS) med dødelig udgang hos fingolimod-behandlede patienter i forbindelse med en infektion. HPS er en sjælden tilstand, der har været beskrevet i forbindelse med infektioner, immunsuppression og forskellige autoimmune sygdomme.</w:t>
      </w:r>
    </w:p>
    <w:p w14:paraId="120DEB83" w14:textId="77777777" w:rsidR="00982FDD" w:rsidRPr="009E49F8" w:rsidRDefault="00982FDD" w:rsidP="00982FDD">
      <w:pPr>
        <w:ind w:left="851"/>
        <w:rPr>
          <w:noProof/>
          <w:sz w:val="24"/>
          <w:szCs w:val="24"/>
        </w:rPr>
      </w:pPr>
    </w:p>
    <w:p w14:paraId="3B10B3FE" w14:textId="77777777" w:rsidR="00982FDD" w:rsidRPr="009E49F8" w:rsidRDefault="00982FDD" w:rsidP="00982FDD">
      <w:pPr>
        <w:ind w:left="851"/>
        <w:rPr>
          <w:noProof/>
          <w:sz w:val="24"/>
          <w:szCs w:val="24"/>
          <w:u w:val="single"/>
        </w:rPr>
      </w:pPr>
      <w:r w:rsidRPr="009E49F8">
        <w:rPr>
          <w:noProof/>
          <w:sz w:val="24"/>
          <w:szCs w:val="24"/>
          <w:u w:val="single"/>
        </w:rPr>
        <w:t xml:space="preserve">Pædiatrisk population </w:t>
      </w:r>
    </w:p>
    <w:p w14:paraId="0AD5E1FB" w14:textId="77777777" w:rsidR="00982FDD" w:rsidRPr="009E49F8" w:rsidRDefault="00982FDD" w:rsidP="00982FDD">
      <w:pPr>
        <w:ind w:left="851"/>
        <w:rPr>
          <w:noProof/>
          <w:sz w:val="24"/>
          <w:szCs w:val="24"/>
        </w:rPr>
      </w:pPr>
      <w:r w:rsidRPr="009E49F8">
        <w:rPr>
          <w:noProof/>
          <w:sz w:val="24"/>
          <w:szCs w:val="24"/>
        </w:rPr>
        <w:t xml:space="preserve"> </w:t>
      </w:r>
    </w:p>
    <w:p w14:paraId="4A4B1155" w14:textId="77777777" w:rsidR="00982FDD" w:rsidRPr="009E49F8" w:rsidRDefault="00982FDD" w:rsidP="00982FDD">
      <w:pPr>
        <w:ind w:left="851"/>
        <w:rPr>
          <w:noProof/>
          <w:sz w:val="24"/>
          <w:szCs w:val="24"/>
        </w:rPr>
      </w:pPr>
      <w:r w:rsidRPr="009E49F8">
        <w:rPr>
          <w:noProof/>
          <w:sz w:val="24"/>
          <w:szCs w:val="24"/>
        </w:rPr>
        <w:t xml:space="preserve">I det kontrollerede pædiatriske studie D2311 (se pkt. 5.1) var sikkerhedsprofilen for pædiatriske patienter (i alderen 10 til under 18 år), som dagligt fik fingolimod 0,25 mg eller 0,5 mg, stort set den samme som den, der blev set hos voksne patienter. Ikke desto mindre blev der observeret flere neurologiske og psykiske forstyrrelser i studiet. Eftersom der er meget begrænset viden til rådighed fra det kliniske studie, er forsigtighed påkrævet i denne undergruppe. </w:t>
      </w:r>
    </w:p>
    <w:p w14:paraId="3CE4B7BB" w14:textId="77777777" w:rsidR="00982FDD" w:rsidRPr="009E49F8" w:rsidRDefault="00982FDD" w:rsidP="00982FDD">
      <w:pPr>
        <w:ind w:left="851"/>
        <w:rPr>
          <w:noProof/>
          <w:sz w:val="24"/>
          <w:szCs w:val="24"/>
        </w:rPr>
      </w:pPr>
      <w:r w:rsidRPr="009E49F8">
        <w:rPr>
          <w:noProof/>
          <w:sz w:val="24"/>
          <w:szCs w:val="24"/>
        </w:rPr>
        <w:t xml:space="preserve"> </w:t>
      </w:r>
    </w:p>
    <w:p w14:paraId="2D695036" w14:textId="77777777" w:rsidR="00982FDD" w:rsidRPr="009E49F8" w:rsidRDefault="00982FDD" w:rsidP="00982FDD">
      <w:pPr>
        <w:ind w:left="851"/>
        <w:rPr>
          <w:noProof/>
          <w:sz w:val="24"/>
          <w:szCs w:val="24"/>
        </w:rPr>
      </w:pPr>
      <w:r w:rsidRPr="009E49F8">
        <w:rPr>
          <w:noProof/>
          <w:sz w:val="24"/>
          <w:szCs w:val="24"/>
        </w:rPr>
        <w:t xml:space="preserve">I det pædiatriske studie blev der indberettet tilfælde af krampeanfald hos 5,6 % af patienterne behandlet med fingolimod og 0,9 % af patienterne behandlet med inteferon beta-1a. </w:t>
      </w:r>
    </w:p>
    <w:p w14:paraId="3C36E1D6" w14:textId="77777777" w:rsidR="00982FDD" w:rsidRPr="009E49F8" w:rsidRDefault="00982FDD" w:rsidP="00982FDD">
      <w:pPr>
        <w:ind w:left="851"/>
        <w:rPr>
          <w:noProof/>
          <w:sz w:val="24"/>
          <w:szCs w:val="24"/>
        </w:rPr>
      </w:pPr>
      <w:r w:rsidRPr="009E49F8">
        <w:rPr>
          <w:noProof/>
          <w:sz w:val="24"/>
          <w:szCs w:val="24"/>
        </w:rPr>
        <w:t xml:space="preserve"> </w:t>
      </w:r>
    </w:p>
    <w:p w14:paraId="2082ADC1" w14:textId="77777777" w:rsidR="00982FDD" w:rsidRPr="009E49F8" w:rsidRDefault="00982FDD" w:rsidP="00982FDD">
      <w:pPr>
        <w:ind w:left="851"/>
        <w:rPr>
          <w:noProof/>
          <w:sz w:val="24"/>
          <w:szCs w:val="24"/>
        </w:rPr>
      </w:pPr>
      <w:r w:rsidRPr="009E49F8">
        <w:rPr>
          <w:noProof/>
          <w:sz w:val="24"/>
          <w:szCs w:val="24"/>
        </w:rPr>
        <w:t xml:space="preserve">Det er kendt, at depression og angst forekommer med øget hyppighed hos patienter med multipel sklerose. Depression og angst er ligeledes indberettet hos pædiatriske patienter, som fik fingolimod. </w:t>
      </w:r>
    </w:p>
    <w:p w14:paraId="505084E0" w14:textId="77777777" w:rsidR="00982FDD" w:rsidRPr="009E49F8" w:rsidRDefault="00982FDD" w:rsidP="00982FDD">
      <w:pPr>
        <w:ind w:left="851"/>
        <w:rPr>
          <w:noProof/>
          <w:sz w:val="24"/>
          <w:szCs w:val="24"/>
        </w:rPr>
      </w:pPr>
      <w:r w:rsidRPr="009E49F8">
        <w:rPr>
          <w:noProof/>
          <w:sz w:val="24"/>
          <w:szCs w:val="24"/>
        </w:rPr>
        <w:lastRenderedPageBreak/>
        <w:t xml:space="preserve"> </w:t>
      </w:r>
    </w:p>
    <w:p w14:paraId="3C067552" w14:textId="77777777" w:rsidR="00982FDD" w:rsidRPr="009E49F8" w:rsidRDefault="00982FDD" w:rsidP="00982FDD">
      <w:pPr>
        <w:ind w:left="851"/>
        <w:rPr>
          <w:noProof/>
          <w:sz w:val="24"/>
          <w:szCs w:val="24"/>
        </w:rPr>
      </w:pPr>
      <w:r w:rsidRPr="009E49F8">
        <w:rPr>
          <w:noProof/>
          <w:sz w:val="24"/>
          <w:szCs w:val="24"/>
        </w:rPr>
        <w:t xml:space="preserve">Lette isolerede stigninger i bilirubin er blevet observeret hos pædiatriske patienter på fingolimod. </w:t>
      </w:r>
    </w:p>
    <w:p w14:paraId="5ECF8C80" w14:textId="77777777" w:rsidR="00982FDD" w:rsidRPr="009E49F8" w:rsidRDefault="00982FDD" w:rsidP="00982FDD">
      <w:pPr>
        <w:ind w:left="851"/>
        <w:rPr>
          <w:noProof/>
          <w:sz w:val="24"/>
          <w:szCs w:val="24"/>
        </w:rPr>
      </w:pPr>
    </w:p>
    <w:p w14:paraId="5B4DEFCD" w14:textId="77777777" w:rsidR="00982FDD" w:rsidRPr="009E49F8" w:rsidRDefault="00982FDD" w:rsidP="00982FDD">
      <w:pPr>
        <w:ind w:left="851"/>
        <w:rPr>
          <w:sz w:val="24"/>
          <w:szCs w:val="24"/>
          <w:u w:val="single"/>
        </w:rPr>
      </w:pPr>
      <w:r w:rsidRPr="009E49F8">
        <w:rPr>
          <w:noProof/>
          <w:sz w:val="24"/>
          <w:szCs w:val="24"/>
          <w:u w:val="single"/>
        </w:rPr>
        <w:t>Indberetning af formodede bivirkninger</w:t>
      </w:r>
    </w:p>
    <w:p w14:paraId="57F57B7D" w14:textId="77777777" w:rsidR="00982FDD" w:rsidRPr="009E49F8" w:rsidRDefault="00982FDD" w:rsidP="00982FDD">
      <w:pPr>
        <w:ind w:left="851"/>
        <w:rPr>
          <w:noProof/>
          <w:sz w:val="24"/>
          <w:szCs w:val="24"/>
        </w:rPr>
      </w:pPr>
      <w:r w:rsidRPr="009E49F8">
        <w:rPr>
          <w:noProof/>
          <w:sz w:val="24"/>
          <w:szCs w:val="24"/>
        </w:rPr>
        <w:t>Når lægemidlet er godkendt, er indberetning af formodede bivirkninger vigtig.</w:t>
      </w:r>
      <w:r w:rsidRPr="009E49F8">
        <w:rPr>
          <w:sz w:val="24"/>
          <w:szCs w:val="24"/>
        </w:rPr>
        <w:t xml:space="preserve"> </w:t>
      </w:r>
      <w:r w:rsidRPr="009E49F8">
        <w:rPr>
          <w:noProof/>
          <w:sz w:val="24"/>
          <w:szCs w:val="24"/>
        </w:rPr>
        <w:t>Det muliggør løbende overvågning af benefit/risk-forholdet for lægemidlet.</w:t>
      </w:r>
      <w:r w:rsidRPr="009E49F8">
        <w:rPr>
          <w:sz w:val="24"/>
          <w:szCs w:val="24"/>
        </w:rPr>
        <w:t xml:space="preserve"> </w:t>
      </w:r>
      <w:r w:rsidRPr="009E49F8">
        <w:rPr>
          <w:noProof/>
          <w:sz w:val="24"/>
          <w:szCs w:val="24"/>
        </w:rPr>
        <w:t xml:space="preserve">Sundhedspersoner anmodes om at indberette alle formodede bivirkninger via </w:t>
      </w:r>
    </w:p>
    <w:p w14:paraId="7F8F5973" w14:textId="77777777" w:rsidR="00982FDD" w:rsidRPr="009E49F8" w:rsidRDefault="00982FDD" w:rsidP="00982FDD">
      <w:pPr>
        <w:ind w:left="851"/>
        <w:rPr>
          <w:noProof/>
          <w:sz w:val="24"/>
          <w:szCs w:val="24"/>
        </w:rPr>
      </w:pPr>
    </w:p>
    <w:p w14:paraId="39679853" w14:textId="77777777" w:rsidR="00982FDD" w:rsidRPr="009E49F8" w:rsidRDefault="00982FDD" w:rsidP="00982FDD">
      <w:pPr>
        <w:ind w:left="851"/>
        <w:rPr>
          <w:rFonts w:eastAsia="Calibri"/>
          <w:color w:val="000000"/>
          <w:sz w:val="24"/>
          <w:szCs w:val="24"/>
          <w:lang w:eastAsia="zh-CN"/>
        </w:rPr>
      </w:pPr>
      <w:r w:rsidRPr="009E49F8">
        <w:rPr>
          <w:sz w:val="24"/>
          <w:szCs w:val="24"/>
        </w:rPr>
        <w:t>Lægemiddelstyrelsen</w:t>
      </w:r>
    </w:p>
    <w:p w14:paraId="564B7241" w14:textId="77777777" w:rsidR="00982FDD" w:rsidRPr="009E49F8" w:rsidRDefault="00982FDD" w:rsidP="00982FDD">
      <w:pPr>
        <w:ind w:left="851"/>
        <w:rPr>
          <w:rFonts w:eastAsia="Calibri"/>
          <w:noProof/>
          <w:sz w:val="24"/>
          <w:szCs w:val="24"/>
          <w:lang w:eastAsia="zh-CN"/>
        </w:rPr>
      </w:pPr>
      <w:r w:rsidRPr="009E49F8">
        <w:rPr>
          <w:rFonts w:eastAsia="Calibri"/>
          <w:sz w:val="24"/>
          <w:szCs w:val="24"/>
          <w:lang w:eastAsia="zh-CN"/>
        </w:rPr>
        <w:t>Axel Heides Gade 1</w:t>
      </w:r>
    </w:p>
    <w:p w14:paraId="276B1A1B" w14:textId="77777777" w:rsidR="00982FDD" w:rsidRPr="009E49F8" w:rsidRDefault="00982FDD" w:rsidP="00982FDD">
      <w:pPr>
        <w:ind w:left="851"/>
        <w:rPr>
          <w:rFonts w:eastAsia="Calibri"/>
          <w:noProof/>
          <w:sz w:val="24"/>
          <w:szCs w:val="24"/>
          <w:lang w:eastAsia="zh-CN"/>
        </w:rPr>
      </w:pPr>
      <w:r w:rsidRPr="009E49F8">
        <w:rPr>
          <w:rFonts w:eastAsia="Calibri"/>
          <w:noProof/>
          <w:sz w:val="24"/>
          <w:szCs w:val="24"/>
          <w:lang w:eastAsia="zh-CN"/>
        </w:rPr>
        <w:t xml:space="preserve">DK-2300 </w:t>
      </w:r>
      <w:r w:rsidRPr="009E49F8">
        <w:rPr>
          <w:rFonts w:eastAsia="Calibri"/>
          <w:sz w:val="24"/>
          <w:szCs w:val="24"/>
          <w:lang w:eastAsia="zh-CN"/>
        </w:rPr>
        <w:t>København S</w:t>
      </w:r>
    </w:p>
    <w:p w14:paraId="52D54643" w14:textId="77777777" w:rsidR="00982FDD" w:rsidRPr="009E49F8" w:rsidRDefault="00982FDD" w:rsidP="00982FDD">
      <w:pPr>
        <w:ind w:left="851"/>
        <w:rPr>
          <w:rFonts w:eastAsia="Calibri"/>
          <w:noProof/>
          <w:sz w:val="24"/>
          <w:szCs w:val="24"/>
          <w:lang w:eastAsia="zh-CN"/>
        </w:rPr>
      </w:pPr>
      <w:r w:rsidRPr="009E49F8">
        <w:rPr>
          <w:rFonts w:eastAsia="Calibri"/>
          <w:sz w:val="24"/>
          <w:szCs w:val="24"/>
          <w:lang w:eastAsia="zh-CN"/>
        </w:rPr>
        <w:t>Websted</w:t>
      </w:r>
      <w:r w:rsidRPr="009E49F8">
        <w:rPr>
          <w:rFonts w:eastAsia="Calibri"/>
          <w:noProof/>
          <w:sz w:val="24"/>
          <w:szCs w:val="24"/>
          <w:lang w:eastAsia="zh-CN"/>
        </w:rPr>
        <w:t xml:space="preserve">: </w:t>
      </w:r>
      <w:hyperlink r:id="rId8" w:history="1">
        <w:r w:rsidRPr="009E49F8">
          <w:rPr>
            <w:rStyle w:val="Hyperlink"/>
            <w:rFonts w:eastAsia="Calibri"/>
            <w:noProof/>
            <w:sz w:val="24"/>
            <w:szCs w:val="24"/>
            <w:lang w:eastAsia="zh-CN"/>
          </w:rPr>
          <w:t>www.meldenbivirkning.dk</w:t>
        </w:r>
      </w:hyperlink>
    </w:p>
    <w:p w14:paraId="098A2BBC" w14:textId="77777777" w:rsidR="009260DE" w:rsidRPr="009E49F8" w:rsidRDefault="009260DE" w:rsidP="009260DE">
      <w:pPr>
        <w:pStyle w:val="Sidehoved"/>
        <w:tabs>
          <w:tab w:val="left" w:pos="851"/>
        </w:tabs>
        <w:ind w:left="851"/>
        <w:rPr>
          <w:szCs w:val="24"/>
        </w:rPr>
      </w:pPr>
    </w:p>
    <w:p w14:paraId="14BC8C90" w14:textId="77777777" w:rsidR="009260DE" w:rsidRPr="009E49F8" w:rsidRDefault="009260DE" w:rsidP="009260DE">
      <w:pPr>
        <w:tabs>
          <w:tab w:val="left" w:pos="851"/>
        </w:tabs>
        <w:ind w:left="851" w:hanging="851"/>
        <w:rPr>
          <w:b/>
          <w:sz w:val="24"/>
          <w:szCs w:val="24"/>
        </w:rPr>
      </w:pPr>
      <w:r w:rsidRPr="009E49F8">
        <w:rPr>
          <w:b/>
          <w:sz w:val="24"/>
          <w:szCs w:val="24"/>
        </w:rPr>
        <w:t>4.9</w:t>
      </w:r>
      <w:r w:rsidRPr="009E49F8">
        <w:rPr>
          <w:b/>
          <w:sz w:val="24"/>
          <w:szCs w:val="24"/>
        </w:rPr>
        <w:tab/>
        <w:t>Overdosering</w:t>
      </w:r>
    </w:p>
    <w:p w14:paraId="5C6FFF1B" w14:textId="77777777" w:rsidR="006D4C67" w:rsidRPr="009E49F8" w:rsidRDefault="006D4C67" w:rsidP="007128C2">
      <w:pPr>
        <w:ind w:left="851"/>
        <w:rPr>
          <w:sz w:val="24"/>
          <w:szCs w:val="24"/>
        </w:rPr>
      </w:pPr>
      <w:r w:rsidRPr="009E49F8">
        <w:rPr>
          <w:sz w:val="24"/>
          <w:szCs w:val="24"/>
        </w:rPr>
        <w:t xml:space="preserve">Enkeltdoser på op til 80 gange den anbefalede dosis (0,5 mg) tåltes godt af voksne, raske frivillige. Ved 40 mg rapporterede 5 ud af 6 forsøgspersoner en let sammensnøring eller ubehag i brystet, som var klinisk i overensstemmelse med let </w:t>
      </w:r>
      <w:proofErr w:type="spellStart"/>
      <w:r w:rsidRPr="009E49F8">
        <w:rPr>
          <w:sz w:val="24"/>
          <w:szCs w:val="24"/>
        </w:rPr>
        <w:t>luftvejsreaktivitet</w:t>
      </w:r>
      <w:proofErr w:type="spellEnd"/>
      <w:r w:rsidRPr="009E49F8">
        <w:rPr>
          <w:sz w:val="24"/>
          <w:szCs w:val="24"/>
        </w:rPr>
        <w:t xml:space="preserve">. </w:t>
      </w:r>
    </w:p>
    <w:p w14:paraId="4F9A9011" w14:textId="77777777" w:rsidR="006D4C67" w:rsidRPr="009E49F8" w:rsidRDefault="006D4C67" w:rsidP="007128C2">
      <w:pPr>
        <w:ind w:left="851"/>
        <w:rPr>
          <w:sz w:val="24"/>
          <w:szCs w:val="24"/>
        </w:rPr>
      </w:pPr>
      <w:r w:rsidRPr="009E49F8">
        <w:rPr>
          <w:sz w:val="24"/>
          <w:szCs w:val="24"/>
        </w:rPr>
        <w:t xml:space="preserve"> </w:t>
      </w:r>
    </w:p>
    <w:p w14:paraId="7795AD2C" w14:textId="77777777" w:rsidR="006D4C67" w:rsidRPr="009E49F8" w:rsidRDefault="006D4C67" w:rsidP="007128C2">
      <w:pPr>
        <w:ind w:left="851"/>
        <w:rPr>
          <w:sz w:val="24"/>
          <w:szCs w:val="24"/>
        </w:rPr>
      </w:pPr>
      <w:proofErr w:type="spellStart"/>
      <w:r w:rsidRPr="009E49F8">
        <w:rPr>
          <w:sz w:val="24"/>
          <w:szCs w:val="24"/>
        </w:rPr>
        <w:t>Fingolimod</w:t>
      </w:r>
      <w:proofErr w:type="spellEnd"/>
      <w:r w:rsidRPr="009E49F8">
        <w:rPr>
          <w:sz w:val="24"/>
          <w:szCs w:val="24"/>
        </w:rPr>
        <w:t xml:space="preserve"> kan inducere bradykardi ved behandlingsstart. Faldet i hjertefrekvensen begynder normalt inden for en time efter første dosis og er mest udtalt inden for 6 timer. </w:t>
      </w:r>
      <w:proofErr w:type="spellStart"/>
      <w:r w:rsidRPr="009E49F8">
        <w:rPr>
          <w:sz w:val="24"/>
          <w:szCs w:val="24"/>
        </w:rPr>
        <w:t>Fingolimods</w:t>
      </w:r>
      <w:proofErr w:type="spellEnd"/>
      <w:r w:rsidRPr="009E49F8">
        <w:rPr>
          <w:sz w:val="24"/>
          <w:szCs w:val="24"/>
        </w:rPr>
        <w:t xml:space="preserve"> negative </w:t>
      </w:r>
      <w:proofErr w:type="spellStart"/>
      <w:r w:rsidRPr="009E49F8">
        <w:rPr>
          <w:sz w:val="24"/>
          <w:szCs w:val="24"/>
        </w:rPr>
        <w:t>kronotrope</w:t>
      </w:r>
      <w:proofErr w:type="spellEnd"/>
      <w:r w:rsidRPr="009E49F8">
        <w:rPr>
          <w:sz w:val="24"/>
          <w:szCs w:val="24"/>
        </w:rPr>
        <w:t xml:space="preserve"> virkning varer ved ud over 6 timer og aftager gradvist i løbet af de efterfølgende behandlingsdage (se pkt. 4.4 for detaljer). Der er rapporteret langsom </w:t>
      </w:r>
      <w:proofErr w:type="spellStart"/>
      <w:r w:rsidRPr="009E49F8">
        <w:rPr>
          <w:sz w:val="24"/>
          <w:szCs w:val="24"/>
        </w:rPr>
        <w:t>atrioventrikulær</w:t>
      </w:r>
      <w:proofErr w:type="spellEnd"/>
      <w:r w:rsidRPr="009E49F8">
        <w:rPr>
          <w:sz w:val="24"/>
          <w:szCs w:val="24"/>
        </w:rPr>
        <w:t xml:space="preserve"> impulsoverledning med forbigående, spontant ophørende komplet AV-blok i enkeltstående tilfælde (se pkt. 4.4 og 4.8). </w:t>
      </w:r>
    </w:p>
    <w:p w14:paraId="44215863" w14:textId="77777777" w:rsidR="006D4C67" w:rsidRPr="009E49F8" w:rsidRDefault="006D4C67" w:rsidP="007128C2">
      <w:pPr>
        <w:ind w:left="851"/>
        <w:rPr>
          <w:sz w:val="24"/>
          <w:szCs w:val="24"/>
        </w:rPr>
      </w:pPr>
      <w:r w:rsidRPr="009E49F8">
        <w:rPr>
          <w:sz w:val="24"/>
          <w:szCs w:val="24"/>
        </w:rPr>
        <w:t xml:space="preserve"> </w:t>
      </w:r>
    </w:p>
    <w:p w14:paraId="4E489AEA" w14:textId="77777777" w:rsidR="006D4C67" w:rsidRPr="009E49F8" w:rsidRDefault="006D4C67" w:rsidP="007128C2">
      <w:pPr>
        <w:ind w:left="851"/>
        <w:rPr>
          <w:sz w:val="24"/>
          <w:szCs w:val="24"/>
        </w:rPr>
      </w:pPr>
      <w:r w:rsidRPr="009E49F8">
        <w:rPr>
          <w:sz w:val="24"/>
          <w:szCs w:val="24"/>
        </w:rPr>
        <w:t xml:space="preserve">Hvis overdoseringen forekommer efter første eksponering for </w:t>
      </w:r>
      <w:proofErr w:type="spellStart"/>
      <w:r w:rsidRPr="009E49F8">
        <w:rPr>
          <w:sz w:val="24"/>
          <w:szCs w:val="24"/>
        </w:rPr>
        <w:t>fingolimod</w:t>
      </w:r>
      <w:proofErr w:type="spellEnd"/>
      <w:r w:rsidRPr="009E49F8">
        <w:rPr>
          <w:sz w:val="24"/>
          <w:szCs w:val="24"/>
        </w:rPr>
        <w:t xml:space="preserve">, er det vigtigt at monitorere patienten med kontinuerligt (real time) ekg og måling af hjertefrekvens og blodtryk hver time, i hvert fald de første 6 timer (se pkt. 4.4). </w:t>
      </w:r>
    </w:p>
    <w:p w14:paraId="526BF1C0" w14:textId="77777777" w:rsidR="006D4C67" w:rsidRPr="009E49F8" w:rsidRDefault="006D4C67" w:rsidP="007128C2">
      <w:pPr>
        <w:ind w:left="851"/>
        <w:rPr>
          <w:sz w:val="24"/>
          <w:szCs w:val="24"/>
        </w:rPr>
      </w:pPr>
      <w:r w:rsidRPr="009E49F8">
        <w:rPr>
          <w:sz w:val="24"/>
          <w:szCs w:val="24"/>
        </w:rPr>
        <w:t xml:space="preserve"> </w:t>
      </w:r>
    </w:p>
    <w:p w14:paraId="12263E6D" w14:textId="77777777" w:rsidR="006D4C67" w:rsidRPr="009E49F8" w:rsidRDefault="006D4C67" w:rsidP="007128C2">
      <w:pPr>
        <w:ind w:left="851"/>
        <w:rPr>
          <w:sz w:val="24"/>
          <w:szCs w:val="24"/>
        </w:rPr>
      </w:pPr>
      <w:r w:rsidRPr="009E49F8">
        <w:rPr>
          <w:sz w:val="24"/>
          <w:szCs w:val="24"/>
        </w:rPr>
        <w:t xml:space="preserve">Hvis hjertefrekvensen efter 6 timer er &lt;45 slag pr. minut hos voksne, &lt;55 slag pr. minut hos pædiatriske patienter i alderen 12 år og derover eller &lt;60 slag pr. minut hos pædiatriske patienter i alderen 10 til under 12 år, eller hvis ekg 6 timer efter den første dosis viser AV-blok af 2. grad eller derover eller hvis det viser </w:t>
      </w:r>
      <w:proofErr w:type="spellStart"/>
      <w:r w:rsidRPr="009E49F8">
        <w:rPr>
          <w:sz w:val="24"/>
          <w:szCs w:val="24"/>
        </w:rPr>
        <w:t>QTc</w:t>
      </w:r>
      <w:proofErr w:type="spellEnd"/>
      <w:r w:rsidRPr="009E49F8">
        <w:rPr>
          <w:sz w:val="24"/>
          <w:szCs w:val="24"/>
        </w:rPr>
        <w:t xml:space="preserve">-interval ≥500 </w:t>
      </w:r>
      <w:proofErr w:type="spellStart"/>
      <w:r w:rsidRPr="009E49F8">
        <w:rPr>
          <w:sz w:val="24"/>
          <w:szCs w:val="24"/>
        </w:rPr>
        <w:t>msek</w:t>
      </w:r>
      <w:proofErr w:type="spellEnd"/>
      <w:r w:rsidRPr="009E49F8">
        <w:rPr>
          <w:sz w:val="24"/>
          <w:szCs w:val="24"/>
        </w:rPr>
        <w:t xml:space="preserve">., skal monitorering forlænges mindst natten over og indtil tilstanden er ophørt. Tilstedeværelse af 3. grads AV-blok på et hvilket som helst tidspunkt skal også medføre forlænget monitorering herunder monitorering natten over. </w:t>
      </w:r>
    </w:p>
    <w:p w14:paraId="60358FBF" w14:textId="77777777" w:rsidR="006D4C67" w:rsidRPr="009E49F8" w:rsidRDefault="006D4C67" w:rsidP="007128C2">
      <w:pPr>
        <w:ind w:left="851"/>
        <w:rPr>
          <w:sz w:val="24"/>
          <w:szCs w:val="24"/>
        </w:rPr>
      </w:pPr>
      <w:r w:rsidRPr="009E49F8">
        <w:rPr>
          <w:sz w:val="24"/>
          <w:szCs w:val="24"/>
        </w:rPr>
        <w:t xml:space="preserve">Hverken dialyse eller plasmaudskiftning medfører, at </w:t>
      </w:r>
      <w:proofErr w:type="spellStart"/>
      <w:r w:rsidRPr="009E49F8">
        <w:rPr>
          <w:sz w:val="24"/>
          <w:szCs w:val="24"/>
        </w:rPr>
        <w:t>fingolimod</w:t>
      </w:r>
      <w:proofErr w:type="spellEnd"/>
      <w:r w:rsidRPr="009E49F8">
        <w:rPr>
          <w:sz w:val="24"/>
          <w:szCs w:val="24"/>
        </w:rPr>
        <w:t xml:space="preserve"> fjernes fra kroppen. </w:t>
      </w:r>
    </w:p>
    <w:p w14:paraId="7DC26037" w14:textId="77777777" w:rsidR="009260DE" w:rsidRPr="009E49F8" w:rsidRDefault="009260DE" w:rsidP="009260DE">
      <w:pPr>
        <w:tabs>
          <w:tab w:val="left" w:pos="851"/>
        </w:tabs>
        <w:ind w:left="851"/>
        <w:rPr>
          <w:sz w:val="24"/>
          <w:szCs w:val="24"/>
        </w:rPr>
      </w:pPr>
    </w:p>
    <w:p w14:paraId="24F20AC7" w14:textId="77777777" w:rsidR="009260DE" w:rsidRPr="009E49F8" w:rsidRDefault="009260DE" w:rsidP="009260DE">
      <w:pPr>
        <w:tabs>
          <w:tab w:val="left" w:pos="851"/>
        </w:tabs>
        <w:ind w:left="851" w:hanging="851"/>
        <w:rPr>
          <w:b/>
          <w:sz w:val="24"/>
          <w:szCs w:val="24"/>
        </w:rPr>
      </w:pPr>
      <w:r w:rsidRPr="009E49F8">
        <w:rPr>
          <w:b/>
          <w:sz w:val="24"/>
          <w:szCs w:val="24"/>
        </w:rPr>
        <w:t>4.10</w:t>
      </w:r>
      <w:r w:rsidRPr="009E49F8">
        <w:rPr>
          <w:b/>
          <w:sz w:val="24"/>
          <w:szCs w:val="24"/>
        </w:rPr>
        <w:tab/>
        <w:t>Udlevering</w:t>
      </w:r>
    </w:p>
    <w:p w14:paraId="7C7F7209" w14:textId="77777777" w:rsidR="006D4C67" w:rsidRPr="009E49F8" w:rsidRDefault="006D4C67" w:rsidP="006D4C67">
      <w:pPr>
        <w:tabs>
          <w:tab w:val="left" w:pos="851"/>
        </w:tabs>
        <w:ind w:left="851"/>
        <w:rPr>
          <w:sz w:val="24"/>
          <w:szCs w:val="24"/>
        </w:rPr>
      </w:pPr>
      <w:r w:rsidRPr="009E49F8">
        <w:rPr>
          <w:sz w:val="24"/>
          <w:szCs w:val="24"/>
        </w:rPr>
        <w:t>BEGR (kun til sygehuse)</w:t>
      </w:r>
    </w:p>
    <w:p w14:paraId="770AD117" w14:textId="77777777" w:rsidR="009260DE" w:rsidRPr="009E49F8" w:rsidRDefault="009260DE" w:rsidP="009260DE">
      <w:pPr>
        <w:tabs>
          <w:tab w:val="left" w:pos="851"/>
        </w:tabs>
        <w:ind w:left="851"/>
        <w:rPr>
          <w:sz w:val="24"/>
          <w:szCs w:val="24"/>
        </w:rPr>
      </w:pPr>
    </w:p>
    <w:p w14:paraId="75046626" w14:textId="77777777" w:rsidR="009260DE" w:rsidRPr="009E49F8" w:rsidRDefault="009260DE" w:rsidP="009260DE">
      <w:pPr>
        <w:tabs>
          <w:tab w:val="left" w:pos="851"/>
        </w:tabs>
        <w:ind w:left="851"/>
        <w:rPr>
          <w:sz w:val="24"/>
          <w:szCs w:val="24"/>
        </w:rPr>
      </w:pPr>
    </w:p>
    <w:p w14:paraId="44CFB751" w14:textId="77777777" w:rsidR="009260DE" w:rsidRPr="009E49F8" w:rsidRDefault="009260DE" w:rsidP="009260DE">
      <w:pPr>
        <w:tabs>
          <w:tab w:val="left" w:pos="851"/>
        </w:tabs>
        <w:ind w:left="851" w:hanging="851"/>
        <w:rPr>
          <w:b/>
          <w:sz w:val="24"/>
          <w:szCs w:val="24"/>
        </w:rPr>
      </w:pPr>
      <w:r w:rsidRPr="009E49F8">
        <w:rPr>
          <w:b/>
          <w:sz w:val="24"/>
          <w:szCs w:val="24"/>
        </w:rPr>
        <w:t>5.</w:t>
      </w:r>
      <w:r w:rsidRPr="009E49F8">
        <w:rPr>
          <w:b/>
          <w:sz w:val="24"/>
          <w:szCs w:val="24"/>
        </w:rPr>
        <w:tab/>
        <w:t>FARMAKOLOGISKE EGENSKABER</w:t>
      </w:r>
    </w:p>
    <w:p w14:paraId="17E15779" w14:textId="77777777" w:rsidR="009260DE" w:rsidRPr="009E49F8" w:rsidRDefault="009260DE" w:rsidP="008F4B68">
      <w:pPr>
        <w:tabs>
          <w:tab w:val="left" w:pos="851"/>
        </w:tabs>
        <w:rPr>
          <w:sz w:val="24"/>
          <w:szCs w:val="24"/>
        </w:rPr>
      </w:pPr>
    </w:p>
    <w:p w14:paraId="3AE588DC" w14:textId="77777777" w:rsidR="009260DE" w:rsidRPr="009E49F8" w:rsidRDefault="009260DE" w:rsidP="009260DE">
      <w:pPr>
        <w:tabs>
          <w:tab w:val="num" w:pos="851"/>
        </w:tabs>
        <w:ind w:left="851" w:hanging="851"/>
        <w:rPr>
          <w:b/>
          <w:sz w:val="24"/>
          <w:szCs w:val="24"/>
        </w:rPr>
      </w:pPr>
      <w:r w:rsidRPr="009E49F8">
        <w:rPr>
          <w:b/>
          <w:sz w:val="24"/>
          <w:szCs w:val="24"/>
        </w:rPr>
        <w:t>5.1</w:t>
      </w:r>
      <w:r w:rsidRPr="009E49F8">
        <w:rPr>
          <w:b/>
          <w:sz w:val="24"/>
          <w:szCs w:val="24"/>
        </w:rPr>
        <w:tab/>
      </w:r>
      <w:proofErr w:type="spellStart"/>
      <w:r w:rsidRPr="009E49F8">
        <w:rPr>
          <w:b/>
          <w:sz w:val="24"/>
          <w:szCs w:val="24"/>
        </w:rPr>
        <w:t>Farmakodynamiske</w:t>
      </w:r>
      <w:proofErr w:type="spellEnd"/>
      <w:r w:rsidRPr="009E49F8">
        <w:rPr>
          <w:b/>
          <w:sz w:val="24"/>
          <w:szCs w:val="24"/>
        </w:rPr>
        <w:t xml:space="preserve"> egenskaber</w:t>
      </w:r>
    </w:p>
    <w:p w14:paraId="027F93E8" w14:textId="77777777" w:rsidR="00781893" w:rsidRDefault="00781893" w:rsidP="00781893">
      <w:pPr>
        <w:suppressAutoHyphens/>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Immunsuppressiva</w:t>
      </w:r>
      <w:proofErr w:type="spellEnd"/>
      <w:r>
        <w:rPr>
          <w:sz w:val="24"/>
          <w:szCs w:val="24"/>
        </w:rPr>
        <w:t xml:space="preserve">, </w:t>
      </w:r>
      <w:r>
        <w:rPr>
          <w:bCs/>
          <w:noProof/>
          <w:sz w:val="24"/>
          <w:szCs w:val="24"/>
        </w:rPr>
        <w:t>sphingosin-1-fosfat (S1P) receptor-modulator</w:t>
      </w:r>
      <w:r>
        <w:rPr>
          <w:sz w:val="24"/>
          <w:szCs w:val="24"/>
        </w:rPr>
        <w:t>, ATC-kode: L04AE01</w:t>
      </w:r>
    </w:p>
    <w:p w14:paraId="140F04B8" w14:textId="77777777" w:rsidR="008F4B68" w:rsidRPr="009E49F8" w:rsidRDefault="008F4B68" w:rsidP="007128C2">
      <w:pPr>
        <w:suppressAutoHyphens/>
        <w:ind w:left="851"/>
        <w:rPr>
          <w:bCs/>
          <w:noProof/>
          <w:sz w:val="24"/>
          <w:szCs w:val="24"/>
          <w:u w:val="single"/>
        </w:rPr>
      </w:pPr>
    </w:p>
    <w:p w14:paraId="14BEB9E1" w14:textId="212BAAE7" w:rsidR="006D4C67" w:rsidRPr="009E49F8" w:rsidRDefault="006D4C67" w:rsidP="007128C2">
      <w:pPr>
        <w:suppressAutoHyphens/>
        <w:ind w:left="851"/>
        <w:rPr>
          <w:bCs/>
          <w:noProof/>
          <w:sz w:val="24"/>
          <w:szCs w:val="24"/>
          <w:u w:val="single"/>
        </w:rPr>
      </w:pPr>
      <w:r w:rsidRPr="009E49F8">
        <w:rPr>
          <w:bCs/>
          <w:noProof/>
          <w:sz w:val="24"/>
          <w:szCs w:val="24"/>
          <w:u w:val="single"/>
        </w:rPr>
        <w:t>Virkningsmekanisme</w:t>
      </w:r>
    </w:p>
    <w:p w14:paraId="437DFD3D" w14:textId="77777777" w:rsidR="008F4B68" w:rsidRDefault="006D4C67" w:rsidP="007128C2">
      <w:pPr>
        <w:suppressAutoHyphens/>
        <w:ind w:left="851"/>
        <w:rPr>
          <w:bCs/>
          <w:noProof/>
          <w:sz w:val="24"/>
          <w:szCs w:val="24"/>
        </w:rPr>
      </w:pPr>
      <w:r w:rsidRPr="009E49F8">
        <w:rPr>
          <w:bCs/>
          <w:noProof/>
          <w:sz w:val="24"/>
          <w:szCs w:val="24"/>
        </w:rPr>
        <w:t xml:space="preserve">Fingolimod er en sphingosin-1-fosfat-receptor-modulator. Fingolimod metaboliseres af sphingosinkinase til den aktive metabolit fingolimodphosphat. </w:t>
      </w:r>
    </w:p>
    <w:p w14:paraId="73EDA801" w14:textId="1F34B12E" w:rsidR="006D4C67" w:rsidRPr="009E49F8" w:rsidRDefault="006D4C67" w:rsidP="007128C2">
      <w:pPr>
        <w:suppressAutoHyphens/>
        <w:ind w:left="851"/>
        <w:rPr>
          <w:bCs/>
          <w:noProof/>
          <w:sz w:val="24"/>
          <w:szCs w:val="24"/>
        </w:rPr>
      </w:pPr>
      <w:r w:rsidRPr="009E49F8">
        <w:rPr>
          <w:bCs/>
          <w:noProof/>
          <w:sz w:val="24"/>
          <w:szCs w:val="24"/>
        </w:rPr>
        <w:lastRenderedPageBreak/>
        <w:t xml:space="preserve">Fingolimodphosphat binder sig ved lave nanomolære koncentrationer til sphingosin-1-fosfat (S1P)-receptor1 på lymfocytter og passerer let blod-hjernebarrieren for at binde sig til S1P-receptor1 på nerveceller i centralnerveystemet (CNS). Ved at virke som funktionel antagonist til lymfocytternes S1P-receptorer blokerer fingolimodphosphat lymfocytternes evne til at forlade lymfeknuderne og forårsager således en omfordeling snarere end et tab af lymfocytter. Dyrestudier har vist, at denne omfordeling reducerer patogene lymfocytcellers, inklusive pro-inflammatoriske Th17-cellers infiltration af CNS, hvor de ville blive impliceret i nerveinflammation og beskadigelse af nervevæv. Dyrestudier og </w:t>
      </w:r>
      <w:r w:rsidRPr="009E49F8">
        <w:rPr>
          <w:bCs/>
          <w:i/>
          <w:iCs/>
          <w:noProof/>
          <w:sz w:val="24"/>
          <w:szCs w:val="24"/>
        </w:rPr>
        <w:t>in vitro</w:t>
      </w:r>
      <w:r w:rsidRPr="009E49F8">
        <w:rPr>
          <w:bCs/>
          <w:noProof/>
          <w:sz w:val="24"/>
          <w:szCs w:val="24"/>
        </w:rPr>
        <w:t>-eksperimenter har vist, at fingolimod også kan virke ved at interagere med S1P-receptorer på nerveceller.</w:t>
      </w:r>
    </w:p>
    <w:p w14:paraId="7F532233" w14:textId="77777777" w:rsidR="006D4C67" w:rsidRPr="009E49F8" w:rsidRDefault="006D4C67" w:rsidP="007128C2">
      <w:pPr>
        <w:suppressAutoHyphens/>
        <w:ind w:left="851"/>
        <w:rPr>
          <w:bCs/>
          <w:noProof/>
          <w:sz w:val="24"/>
          <w:szCs w:val="24"/>
        </w:rPr>
      </w:pPr>
    </w:p>
    <w:p w14:paraId="3353F7D6" w14:textId="77777777" w:rsidR="006D4C67" w:rsidRPr="009E49F8" w:rsidRDefault="006D4C67" w:rsidP="007128C2">
      <w:pPr>
        <w:suppressAutoHyphens/>
        <w:ind w:left="851"/>
        <w:rPr>
          <w:bCs/>
          <w:noProof/>
          <w:sz w:val="24"/>
          <w:szCs w:val="24"/>
          <w:u w:val="single"/>
        </w:rPr>
      </w:pPr>
      <w:r w:rsidRPr="009E49F8">
        <w:rPr>
          <w:bCs/>
          <w:noProof/>
          <w:sz w:val="24"/>
          <w:szCs w:val="24"/>
          <w:u w:val="single"/>
        </w:rPr>
        <w:t xml:space="preserve">Farmakodynamisk virkning </w:t>
      </w:r>
    </w:p>
    <w:p w14:paraId="3757A994" w14:textId="61B85D0E" w:rsidR="006D4C67" w:rsidRPr="009E49F8" w:rsidRDefault="006D4C67" w:rsidP="007128C2">
      <w:pPr>
        <w:suppressAutoHyphens/>
        <w:ind w:left="851"/>
        <w:rPr>
          <w:bCs/>
          <w:noProof/>
          <w:sz w:val="24"/>
          <w:szCs w:val="24"/>
        </w:rPr>
      </w:pPr>
      <w:r w:rsidRPr="009E49F8">
        <w:rPr>
          <w:bCs/>
          <w:noProof/>
          <w:sz w:val="24"/>
          <w:szCs w:val="24"/>
        </w:rPr>
        <w:t>I løbet af 4-6 timer efter første dosis fingolimod 0,5 mg falder lymfocyttallet i det perifere blod til omkring 75 % af udgangsværdien. Ved fortsat daglig dosering vil lymfocyttallet fortsat falde gennem en to-ugers periode og nå ned på et minimunsniveau på cirka 500 celler/mikroliter eller cirka 30 % af udgangsværdien. Atten procent af patienterne nåede et mindste lymfocyttal på under 200 celler/mikroliter ved mindst én lejlighed. Lave lymfocyttal vedvarer under kronisk daglig dosering. De fleste T- og B-lymfocytter passerer normalt gennem lymfeorganerne, og det er hovedsagelig disse celler, der påvirkes af fingolimod. Omkring 15-20 % af T-lymfocytterne har en effektor-hukommelsesfænotype; celler, der er vigtige for den perifere immunovervågning. Da denne lymfocyt delmængde normalt ikke når frem til lymfeorganerne, bliver den ikke påvirket af fingolimod. Stigninger i det perifere lymfocyttal ses i løbet af nogle dage efter afbrydelse af behandling med fingolimod, og værdierne når typisk det normale niveau i løbet af 1-2 måneder. Kronisk behandling med fingolimod medfører et let fald i neutrofiltallet til cirka 80 % af udgangsværdien. Monocytterne påvirkes ikke af fingolimod.</w:t>
      </w:r>
    </w:p>
    <w:p w14:paraId="39116EA1" w14:textId="77777777" w:rsidR="006D4C67" w:rsidRPr="009E49F8" w:rsidRDefault="006D4C67" w:rsidP="007128C2">
      <w:pPr>
        <w:suppressAutoHyphens/>
        <w:ind w:left="851"/>
        <w:rPr>
          <w:bCs/>
          <w:noProof/>
          <w:sz w:val="24"/>
          <w:szCs w:val="24"/>
        </w:rPr>
      </w:pPr>
    </w:p>
    <w:p w14:paraId="6CCDE47C" w14:textId="77777777" w:rsidR="006D4C67" w:rsidRPr="009E49F8" w:rsidRDefault="006D4C67" w:rsidP="007128C2">
      <w:pPr>
        <w:suppressAutoHyphens/>
        <w:ind w:left="851"/>
        <w:rPr>
          <w:bCs/>
          <w:noProof/>
          <w:sz w:val="24"/>
          <w:szCs w:val="24"/>
        </w:rPr>
      </w:pPr>
      <w:r w:rsidRPr="009E49F8">
        <w:rPr>
          <w:bCs/>
          <w:noProof/>
          <w:sz w:val="24"/>
          <w:szCs w:val="24"/>
        </w:rPr>
        <w:t>Fingolimod forårsager et forbigående fald i hjertefrekvensen og en forsinkelse i den atrioventrikulære impulsoverledning ved initiering af behandlingen (se pkt. 4.4 og 4.8). Det maksimale fald i hjertefrekvensen ses inden for 6 timer efter dosering, og 70 % af den negative kronotrope virkning opnås den første dag. Ved fortsat behandling vender hjertefrekvensen tilbage til udgangsværdien i løbet af én måned. Det af fingolimod inducerede fald i hjertefrekvens kan reverteres af parenterale doser af atropin eller isoprenalin. Inhaleret salmoterol er også vist at have moderat positiv kronotrop virkning. Ved initiering af behandling med fingolimod øges antallet af præmature atriekontraktioner, men der ses ingen øget forekomst af atriefibrillation/flimren, ventrikelarytmier eller ektopi. Behandling med fingolimod er ikke forbundet med et fald i hjerteminutvolumen. Hjertets autonom respons, herunder daglige frekvensvariationer og respons på motion, påvirkes ikke af behandling med fingolimod.</w:t>
      </w:r>
    </w:p>
    <w:p w14:paraId="31C36C9F" w14:textId="77777777" w:rsidR="006D4C67" w:rsidRPr="009E49F8" w:rsidRDefault="006D4C67" w:rsidP="007128C2">
      <w:pPr>
        <w:suppressAutoHyphens/>
        <w:ind w:left="851"/>
        <w:rPr>
          <w:bCs/>
          <w:noProof/>
          <w:sz w:val="24"/>
          <w:szCs w:val="24"/>
        </w:rPr>
      </w:pPr>
    </w:p>
    <w:p w14:paraId="312AE81A" w14:textId="77777777" w:rsidR="006D4C67" w:rsidRPr="009E49F8" w:rsidRDefault="006D4C67" w:rsidP="007128C2">
      <w:pPr>
        <w:suppressAutoHyphens/>
        <w:ind w:left="851"/>
        <w:rPr>
          <w:bCs/>
          <w:noProof/>
          <w:sz w:val="24"/>
          <w:szCs w:val="24"/>
        </w:rPr>
      </w:pPr>
      <w:r w:rsidRPr="009E49F8">
        <w:rPr>
          <w:bCs/>
          <w:noProof/>
          <w:sz w:val="24"/>
          <w:szCs w:val="24"/>
        </w:rPr>
        <w:t xml:space="preserve">S1P4 kunne delvist bidrage til virkningen, men var ikke den vigtigste receptor, som var ansvarlig for lymfoid depletion. Virkningsmekanismen for bradykardi og vasokonstriktion blev også undersøgt </w:t>
      </w:r>
      <w:r w:rsidRPr="009E49F8">
        <w:rPr>
          <w:bCs/>
          <w:i/>
          <w:iCs/>
          <w:noProof/>
          <w:sz w:val="24"/>
          <w:szCs w:val="24"/>
        </w:rPr>
        <w:t xml:space="preserve">in vitro </w:t>
      </w:r>
      <w:r w:rsidRPr="009E49F8">
        <w:rPr>
          <w:bCs/>
          <w:noProof/>
          <w:sz w:val="24"/>
          <w:szCs w:val="24"/>
        </w:rPr>
        <w:t>hos marsvin og isoleret aorta og koronararterie hos kaniner. Det blev konkluderet, at bradykardi kunne medieres primært ved aktivering af inward-rectifier kaliumkanaler eller G-protein-aktiverede inward-rectifier K</w:t>
      </w:r>
      <w:r w:rsidRPr="009E49F8">
        <w:rPr>
          <w:bCs/>
          <w:noProof/>
          <w:sz w:val="24"/>
          <w:szCs w:val="24"/>
          <w:vertAlign w:val="superscript"/>
        </w:rPr>
        <w:t>+</w:t>
      </w:r>
      <w:r w:rsidRPr="009E49F8">
        <w:rPr>
          <w:bCs/>
          <w:noProof/>
          <w:sz w:val="24"/>
          <w:szCs w:val="24"/>
        </w:rPr>
        <w:t xml:space="preserve"> kanaler (IKACh/GIRK), og at vasokonstriktion ser ud til blive medieret af en Rho kinase- og kalciumafhængig mekanisme.</w:t>
      </w:r>
    </w:p>
    <w:p w14:paraId="56170D34" w14:textId="77777777" w:rsidR="006D4C67" w:rsidRPr="009E49F8" w:rsidRDefault="006D4C67" w:rsidP="007128C2">
      <w:pPr>
        <w:suppressAutoHyphens/>
        <w:ind w:left="851"/>
        <w:rPr>
          <w:bCs/>
          <w:noProof/>
          <w:sz w:val="24"/>
          <w:szCs w:val="24"/>
        </w:rPr>
      </w:pPr>
    </w:p>
    <w:p w14:paraId="4D6262F9" w14:textId="77777777" w:rsidR="006D4C67" w:rsidRPr="009E49F8" w:rsidRDefault="006D4C67" w:rsidP="007128C2">
      <w:pPr>
        <w:suppressAutoHyphens/>
        <w:ind w:left="851"/>
        <w:rPr>
          <w:bCs/>
          <w:noProof/>
          <w:sz w:val="24"/>
          <w:szCs w:val="24"/>
        </w:rPr>
      </w:pPr>
      <w:r w:rsidRPr="009E49F8">
        <w:rPr>
          <w:bCs/>
          <w:noProof/>
          <w:sz w:val="24"/>
          <w:szCs w:val="24"/>
        </w:rPr>
        <w:t xml:space="preserve">Behandling med enkelte eller multiple doser på 0,5 og 1,25 mg i to uger er ikke forbundet med en registrerbar forøgelse af luftvejsmodstanden som målt ved FEV1 og forceret ekspiratorisk flowrate (FEF </w:t>
      </w:r>
      <w:r w:rsidRPr="009E49F8">
        <w:rPr>
          <w:bCs/>
          <w:noProof/>
          <w:sz w:val="24"/>
          <w:szCs w:val="24"/>
          <w:vertAlign w:val="subscript"/>
        </w:rPr>
        <w:t>25-75%</w:t>
      </w:r>
      <w:r w:rsidRPr="009E49F8">
        <w:rPr>
          <w:bCs/>
          <w:noProof/>
          <w:sz w:val="24"/>
          <w:szCs w:val="24"/>
        </w:rPr>
        <w:t xml:space="preserve">). Enkeltdoser af fingolimod på ≥5 mg (10 gange anbefalet dosis) er forbundet med en dosisafhængig forøgelse af luftvejsmodstanden. </w:t>
      </w:r>
      <w:r w:rsidRPr="009E49F8">
        <w:rPr>
          <w:bCs/>
          <w:noProof/>
          <w:sz w:val="24"/>
          <w:szCs w:val="24"/>
        </w:rPr>
        <w:lastRenderedPageBreak/>
        <w:t>Behandling med multiple doser fingolimod på 0,5, 1,25 eller 5 mg er ikke forbundet med nedsat iltning eller nedsat iltmætning i forbindelse med motion eller øget respons i luftvejene over for metakolin. Forsøgspersoner, der er behandlet med fingolimod, har normal bronkodilatatorrespons over for inhalerede beta-agonister.</w:t>
      </w:r>
    </w:p>
    <w:p w14:paraId="527BD78D" w14:textId="77777777" w:rsidR="006D4C67" w:rsidRPr="009E49F8" w:rsidRDefault="006D4C67" w:rsidP="007128C2">
      <w:pPr>
        <w:suppressAutoHyphens/>
        <w:ind w:left="851"/>
        <w:rPr>
          <w:bCs/>
          <w:noProof/>
          <w:sz w:val="24"/>
          <w:szCs w:val="24"/>
          <w:u w:val="single"/>
        </w:rPr>
      </w:pPr>
    </w:p>
    <w:p w14:paraId="7409280B" w14:textId="77777777" w:rsidR="006D4C67" w:rsidRPr="009E49F8" w:rsidRDefault="006D4C67" w:rsidP="007128C2">
      <w:pPr>
        <w:ind w:left="851"/>
        <w:rPr>
          <w:noProof/>
          <w:sz w:val="24"/>
          <w:szCs w:val="24"/>
          <w:u w:val="single"/>
        </w:rPr>
      </w:pPr>
      <w:r w:rsidRPr="009E49F8">
        <w:rPr>
          <w:noProof/>
          <w:sz w:val="24"/>
          <w:szCs w:val="24"/>
          <w:u w:val="single"/>
        </w:rPr>
        <w:t xml:space="preserve">Klinisk virkning og sikkerhed </w:t>
      </w:r>
    </w:p>
    <w:p w14:paraId="1E521673" w14:textId="77777777" w:rsidR="006D4C67" w:rsidRPr="009E49F8" w:rsidRDefault="006D4C67" w:rsidP="007128C2">
      <w:pPr>
        <w:ind w:left="851"/>
        <w:rPr>
          <w:noProof/>
          <w:sz w:val="24"/>
          <w:szCs w:val="24"/>
        </w:rPr>
      </w:pPr>
      <w:r w:rsidRPr="009E49F8">
        <w:rPr>
          <w:noProof/>
          <w:sz w:val="24"/>
          <w:szCs w:val="24"/>
        </w:rPr>
        <w:t xml:space="preserve">Virkningen af fingolimod er påvist i to studier, hvor der blev foretaget en evaluering af fingolimod i doser på 0,5 mg og 1,25 mg én gang dagligt hos voksne patienter med recidiverende-remitterende multipel sklerose (RRMS). Begge undersøgelser omfattede voksne patienter, som havde oplevet ≥2 tilbagefald i de foregående 2 år eller &gt;1 tilbagefald i det foregående år. Expanded Disability Status Score (EDSS) var mellem 0 og 5,5. Et tredie studie på samme voksne patientpopulation blev afsluttet, efter fingolimod var godkendt. </w:t>
      </w:r>
    </w:p>
    <w:p w14:paraId="4E33F558" w14:textId="77777777" w:rsidR="006D4C67" w:rsidRPr="009E49F8" w:rsidRDefault="006D4C67" w:rsidP="007128C2">
      <w:pPr>
        <w:ind w:left="851"/>
        <w:rPr>
          <w:noProof/>
          <w:sz w:val="24"/>
          <w:szCs w:val="24"/>
        </w:rPr>
      </w:pPr>
      <w:r w:rsidRPr="009E49F8">
        <w:rPr>
          <w:noProof/>
          <w:sz w:val="24"/>
          <w:szCs w:val="24"/>
        </w:rPr>
        <w:t xml:space="preserve"> </w:t>
      </w:r>
    </w:p>
    <w:p w14:paraId="60A01939" w14:textId="190E208C" w:rsidR="006D4C67" w:rsidRDefault="007A6CC0" w:rsidP="007A6CC0">
      <w:pPr>
        <w:ind w:left="851"/>
        <w:rPr>
          <w:noProof/>
          <w:sz w:val="24"/>
          <w:szCs w:val="24"/>
        </w:rPr>
      </w:pPr>
      <w:r w:rsidRPr="009E49F8">
        <w:rPr>
          <w:noProof/>
          <w:sz w:val="24"/>
          <w:szCs w:val="24"/>
        </w:rPr>
        <w:t>Studie D2301 (FREEDOMS) var et 2-årigt, randomiseret, dobbeltblindet, placebo</w:t>
      </w:r>
      <w:r w:rsidRPr="009E49F8">
        <w:rPr>
          <w:noProof/>
          <w:sz w:val="24"/>
          <w:szCs w:val="24"/>
        </w:rPr>
        <w:softHyphen/>
        <w:t>kontrolleret fase III studie hos 1.272 patienter (n=425 på 0,5 mg, 429 på 1,25 mg og 418 på placebo). Medianværdien for karakteristika ved udgangspunktet var: alder 37 år, sygdommens gennemsnitlige varighed 6,7 år og EDS score 2,0. Studiets resultat er vist i Tabel 1. Der var ingen signifikant forskel mellem 0,5 mg og 1,25 mg på nogen af endepunkterne.</w:t>
      </w:r>
    </w:p>
    <w:p w14:paraId="5A35F63C" w14:textId="77777777" w:rsidR="007A6CC0" w:rsidRPr="009E49F8" w:rsidRDefault="007A6CC0" w:rsidP="007A6CC0">
      <w:pPr>
        <w:ind w:left="851"/>
        <w:rPr>
          <w:noProof/>
          <w:sz w:val="24"/>
          <w:szCs w:val="24"/>
        </w:rPr>
      </w:pPr>
    </w:p>
    <w:p w14:paraId="6B507BC4" w14:textId="324B139B" w:rsidR="006D4C67" w:rsidRPr="009E49F8" w:rsidRDefault="006D4C67" w:rsidP="006D4C67">
      <w:pPr>
        <w:rPr>
          <w:b/>
          <w:bCs/>
          <w:noProof/>
          <w:sz w:val="24"/>
          <w:szCs w:val="24"/>
        </w:rPr>
      </w:pPr>
      <w:r w:rsidRPr="009E49F8">
        <w:rPr>
          <w:b/>
          <w:bCs/>
          <w:noProof/>
          <w:sz w:val="24"/>
          <w:szCs w:val="24"/>
        </w:rPr>
        <w:t>Tabel 1</w:t>
      </w:r>
      <w:r w:rsidR="006F694E" w:rsidRPr="009E49F8">
        <w:rPr>
          <w:b/>
          <w:bCs/>
          <w:noProof/>
          <w:sz w:val="24"/>
          <w:szCs w:val="24"/>
        </w:rPr>
        <w:t>.</w:t>
      </w:r>
      <w:r w:rsidRPr="009E49F8">
        <w:rPr>
          <w:b/>
          <w:bCs/>
          <w:noProof/>
          <w:sz w:val="24"/>
          <w:szCs w:val="24"/>
        </w:rPr>
        <w:t xml:space="preserve"> Studie D2301 (FREEDOMS): hovedresultater</w:t>
      </w:r>
    </w:p>
    <w:tbl>
      <w:tblPr>
        <w:tblStyle w:val="Tabel-Gitter"/>
        <w:tblW w:w="5000" w:type="pct"/>
        <w:tblInd w:w="0" w:type="dxa"/>
        <w:tblLook w:val="04A0" w:firstRow="1" w:lastRow="0" w:firstColumn="1" w:lastColumn="0" w:noHBand="0" w:noVBand="1"/>
      </w:tblPr>
      <w:tblGrid>
        <w:gridCol w:w="6153"/>
        <w:gridCol w:w="1883"/>
        <w:gridCol w:w="1592"/>
      </w:tblGrid>
      <w:tr w:rsidR="006D4C67" w:rsidRPr="009E49F8" w14:paraId="11F814C0" w14:textId="77777777" w:rsidTr="007128C2">
        <w:tc>
          <w:tcPr>
            <w:tcW w:w="3195" w:type="pct"/>
            <w:tcBorders>
              <w:top w:val="single" w:sz="4" w:space="0" w:color="auto"/>
              <w:left w:val="single" w:sz="4" w:space="0" w:color="auto"/>
              <w:bottom w:val="single" w:sz="4" w:space="0" w:color="auto"/>
              <w:right w:val="single" w:sz="4" w:space="0" w:color="auto"/>
            </w:tcBorders>
          </w:tcPr>
          <w:p w14:paraId="09A9039F" w14:textId="77777777" w:rsidR="006D4C67" w:rsidRPr="009E49F8" w:rsidRDefault="006D4C67" w:rsidP="00474236">
            <w:pPr>
              <w:jc w:val="left"/>
              <w:rPr>
                <w:rStyle w:val="Strk"/>
                <w:rFonts w:ascii="Times New Roman" w:hAnsi="Times New Roman" w:cs="Times New Roman"/>
                <w:sz w:val="22"/>
                <w:lang w:val="da-DK"/>
              </w:rPr>
            </w:pPr>
          </w:p>
        </w:tc>
        <w:tc>
          <w:tcPr>
            <w:tcW w:w="978" w:type="pct"/>
            <w:tcBorders>
              <w:top w:val="single" w:sz="4" w:space="0" w:color="auto"/>
              <w:left w:val="single" w:sz="4" w:space="0" w:color="auto"/>
              <w:bottom w:val="single" w:sz="4" w:space="0" w:color="auto"/>
              <w:right w:val="single" w:sz="4" w:space="0" w:color="auto"/>
            </w:tcBorders>
            <w:hideMark/>
          </w:tcPr>
          <w:p w14:paraId="33FC9027" w14:textId="77777777" w:rsidR="006D4C67" w:rsidRPr="009E49F8" w:rsidRDefault="006D4C67" w:rsidP="00474236">
            <w:pPr>
              <w:jc w:val="left"/>
              <w:rPr>
                <w:rStyle w:val="Strk"/>
                <w:rFonts w:ascii="Times New Roman" w:hAnsi="Times New Roman" w:cs="Times New Roman"/>
                <w:sz w:val="22"/>
                <w:lang w:val="da-DK"/>
              </w:rPr>
            </w:pPr>
            <w:proofErr w:type="spellStart"/>
            <w:r w:rsidRPr="009E49F8">
              <w:rPr>
                <w:rStyle w:val="Strk"/>
                <w:rFonts w:ascii="Times New Roman" w:hAnsi="Times New Roman" w:cs="Times New Roman"/>
                <w:sz w:val="22"/>
                <w:lang w:val="da-DK"/>
              </w:rPr>
              <w:t>Fingolimod</w:t>
            </w:r>
            <w:proofErr w:type="spellEnd"/>
          </w:p>
          <w:p w14:paraId="7B32F424" w14:textId="77777777" w:rsidR="006D4C67" w:rsidRPr="009E49F8" w:rsidRDefault="006D4C67" w:rsidP="00474236">
            <w:pPr>
              <w:jc w:val="left"/>
              <w:rPr>
                <w:rStyle w:val="Strk"/>
                <w:rFonts w:ascii="Times New Roman" w:hAnsi="Times New Roman" w:cs="Times New Roman"/>
                <w:sz w:val="22"/>
                <w:lang w:val="da-DK"/>
              </w:rPr>
            </w:pPr>
            <w:r w:rsidRPr="009E49F8">
              <w:rPr>
                <w:rStyle w:val="Strk"/>
                <w:rFonts w:ascii="Times New Roman" w:hAnsi="Times New Roman" w:cs="Times New Roman"/>
                <w:sz w:val="22"/>
                <w:lang w:val="da-DK"/>
              </w:rPr>
              <w:t>0,5 mg</w:t>
            </w:r>
          </w:p>
        </w:tc>
        <w:tc>
          <w:tcPr>
            <w:tcW w:w="827" w:type="pct"/>
            <w:tcBorders>
              <w:top w:val="single" w:sz="4" w:space="0" w:color="auto"/>
              <w:left w:val="single" w:sz="4" w:space="0" w:color="auto"/>
              <w:bottom w:val="single" w:sz="4" w:space="0" w:color="auto"/>
              <w:right w:val="single" w:sz="4" w:space="0" w:color="auto"/>
            </w:tcBorders>
            <w:hideMark/>
          </w:tcPr>
          <w:p w14:paraId="6CCD1052" w14:textId="77777777" w:rsidR="006D4C67" w:rsidRPr="009E49F8" w:rsidRDefault="006D4C67" w:rsidP="00474236">
            <w:pPr>
              <w:jc w:val="left"/>
              <w:rPr>
                <w:rStyle w:val="Strk"/>
                <w:rFonts w:ascii="Times New Roman" w:hAnsi="Times New Roman" w:cs="Times New Roman"/>
                <w:sz w:val="22"/>
                <w:lang w:val="da-DK"/>
              </w:rPr>
            </w:pPr>
            <w:r w:rsidRPr="009E49F8">
              <w:rPr>
                <w:rStyle w:val="Strk"/>
                <w:rFonts w:ascii="Times New Roman" w:hAnsi="Times New Roman" w:cs="Times New Roman"/>
                <w:sz w:val="22"/>
                <w:lang w:val="da-DK"/>
              </w:rPr>
              <w:t>Placebo</w:t>
            </w:r>
          </w:p>
        </w:tc>
      </w:tr>
      <w:tr w:rsidR="006D4C67" w:rsidRPr="009E49F8" w14:paraId="60682570" w14:textId="77777777" w:rsidTr="007128C2">
        <w:tc>
          <w:tcPr>
            <w:tcW w:w="3195" w:type="pct"/>
            <w:tcBorders>
              <w:top w:val="single" w:sz="4" w:space="0" w:color="auto"/>
              <w:left w:val="single" w:sz="4" w:space="0" w:color="auto"/>
              <w:bottom w:val="single" w:sz="4" w:space="0" w:color="auto"/>
              <w:right w:val="single" w:sz="4" w:space="0" w:color="auto"/>
            </w:tcBorders>
            <w:hideMark/>
          </w:tcPr>
          <w:p w14:paraId="7540C012" w14:textId="77777777" w:rsidR="006D4C67" w:rsidRPr="009E49F8" w:rsidRDefault="006D4C67" w:rsidP="00474236">
            <w:pPr>
              <w:jc w:val="left"/>
              <w:rPr>
                <w:rStyle w:val="Strk"/>
                <w:rFonts w:ascii="Times New Roman" w:hAnsi="Times New Roman" w:cs="Times New Roman"/>
                <w:sz w:val="22"/>
                <w:lang w:val="da-DK"/>
              </w:rPr>
            </w:pPr>
            <w:r w:rsidRPr="009E49F8">
              <w:rPr>
                <w:rStyle w:val="Strk"/>
                <w:rFonts w:ascii="Times New Roman" w:hAnsi="Times New Roman" w:cs="Times New Roman"/>
                <w:sz w:val="22"/>
                <w:lang w:val="da-DK"/>
              </w:rPr>
              <w:t>Kliniske endepunkter</w:t>
            </w:r>
          </w:p>
        </w:tc>
        <w:tc>
          <w:tcPr>
            <w:tcW w:w="978" w:type="pct"/>
            <w:tcBorders>
              <w:top w:val="single" w:sz="4" w:space="0" w:color="auto"/>
              <w:left w:val="single" w:sz="4" w:space="0" w:color="auto"/>
              <w:bottom w:val="single" w:sz="4" w:space="0" w:color="auto"/>
              <w:right w:val="single" w:sz="4" w:space="0" w:color="auto"/>
            </w:tcBorders>
          </w:tcPr>
          <w:p w14:paraId="501566D4" w14:textId="77777777" w:rsidR="006D4C67" w:rsidRPr="009E49F8" w:rsidRDefault="006D4C67" w:rsidP="00474236">
            <w:pPr>
              <w:jc w:val="left"/>
              <w:rPr>
                <w:rStyle w:val="Strk"/>
                <w:rFonts w:ascii="Times New Roman" w:hAnsi="Times New Roman" w:cs="Times New Roman"/>
                <w:bCs w:val="0"/>
                <w:sz w:val="22"/>
                <w:lang w:val="da-DK"/>
              </w:rPr>
            </w:pPr>
          </w:p>
        </w:tc>
        <w:tc>
          <w:tcPr>
            <w:tcW w:w="827" w:type="pct"/>
            <w:tcBorders>
              <w:top w:val="single" w:sz="4" w:space="0" w:color="auto"/>
              <w:left w:val="single" w:sz="4" w:space="0" w:color="auto"/>
              <w:bottom w:val="single" w:sz="4" w:space="0" w:color="auto"/>
              <w:right w:val="single" w:sz="4" w:space="0" w:color="auto"/>
            </w:tcBorders>
          </w:tcPr>
          <w:p w14:paraId="6016A942" w14:textId="77777777" w:rsidR="006D4C67" w:rsidRPr="009E49F8" w:rsidRDefault="006D4C67" w:rsidP="00474236">
            <w:pPr>
              <w:jc w:val="left"/>
              <w:rPr>
                <w:rStyle w:val="Strk"/>
                <w:rFonts w:ascii="Times New Roman" w:hAnsi="Times New Roman" w:cs="Times New Roman"/>
                <w:bCs w:val="0"/>
                <w:sz w:val="22"/>
                <w:lang w:val="da-DK"/>
              </w:rPr>
            </w:pPr>
          </w:p>
        </w:tc>
      </w:tr>
      <w:tr w:rsidR="006D4C67" w:rsidRPr="009E49F8" w14:paraId="7DF8443D" w14:textId="77777777" w:rsidTr="007128C2">
        <w:tc>
          <w:tcPr>
            <w:tcW w:w="3195" w:type="pct"/>
            <w:tcBorders>
              <w:top w:val="single" w:sz="4" w:space="0" w:color="auto"/>
              <w:left w:val="single" w:sz="4" w:space="0" w:color="auto"/>
              <w:bottom w:val="single" w:sz="4" w:space="0" w:color="auto"/>
              <w:right w:val="single" w:sz="4" w:space="0" w:color="auto"/>
            </w:tcBorders>
            <w:hideMark/>
          </w:tcPr>
          <w:p w14:paraId="16711913" w14:textId="77777777" w:rsidR="006D4C67" w:rsidRPr="009E49F8" w:rsidRDefault="006D4C67" w:rsidP="00474236">
            <w:pPr>
              <w:jc w:val="left"/>
              <w:rPr>
                <w:rStyle w:val="Strk"/>
                <w:rFonts w:ascii="Times New Roman" w:hAnsi="Times New Roman" w:cs="Times New Roman"/>
                <w:b w:val="0"/>
                <w:bCs w:val="0"/>
                <w:sz w:val="22"/>
                <w:lang w:val="da-DK"/>
              </w:rPr>
            </w:pPr>
            <w:proofErr w:type="spellStart"/>
            <w:r w:rsidRPr="009E49F8">
              <w:rPr>
                <w:rStyle w:val="Strk"/>
                <w:rFonts w:ascii="Times New Roman" w:hAnsi="Times New Roman" w:cs="Times New Roman"/>
                <w:b w:val="0"/>
                <w:sz w:val="22"/>
                <w:lang w:val="da-DK"/>
              </w:rPr>
              <w:t>Annualiseret</w:t>
            </w:r>
            <w:proofErr w:type="spellEnd"/>
            <w:r w:rsidRPr="009E49F8">
              <w:rPr>
                <w:rStyle w:val="Strk"/>
                <w:rFonts w:ascii="Times New Roman" w:hAnsi="Times New Roman" w:cs="Times New Roman"/>
                <w:b w:val="0"/>
                <w:sz w:val="22"/>
                <w:lang w:val="da-DK"/>
              </w:rPr>
              <w:t xml:space="preserve"> relapsrate (primært endepunkt)</w:t>
            </w:r>
          </w:p>
        </w:tc>
        <w:tc>
          <w:tcPr>
            <w:tcW w:w="978" w:type="pct"/>
            <w:tcBorders>
              <w:top w:val="single" w:sz="4" w:space="0" w:color="auto"/>
              <w:left w:val="single" w:sz="4" w:space="0" w:color="auto"/>
              <w:bottom w:val="single" w:sz="4" w:space="0" w:color="auto"/>
              <w:right w:val="single" w:sz="4" w:space="0" w:color="auto"/>
            </w:tcBorders>
            <w:hideMark/>
          </w:tcPr>
          <w:p w14:paraId="0BDBAA26"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0,18 **</w:t>
            </w:r>
          </w:p>
        </w:tc>
        <w:tc>
          <w:tcPr>
            <w:tcW w:w="827" w:type="pct"/>
            <w:tcBorders>
              <w:top w:val="single" w:sz="4" w:space="0" w:color="auto"/>
              <w:left w:val="single" w:sz="4" w:space="0" w:color="auto"/>
              <w:bottom w:val="single" w:sz="4" w:space="0" w:color="auto"/>
              <w:right w:val="single" w:sz="4" w:space="0" w:color="auto"/>
            </w:tcBorders>
            <w:hideMark/>
          </w:tcPr>
          <w:p w14:paraId="051B28C8"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0,40</w:t>
            </w:r>
          </w:p>
        </w:tc>
      </w:tr>
      <w:tr w:rsidR="006D4C67" w:rsidRPr="009E49F8" w14:paraId="198BD6AF" w14:textId="77777777" w:rsidTr="007128C2">
        <w:tc>
          <w:tcPr>
            <w:tcW w:w="3195" w:type="pct"/>
            <w:tcBorders>
              <w:top w:val="single" w:sz="4" w:space="0" w:color="auto"/>
              <w:left w:val="single" w:sz="4" w:space="0" w:color="auto"/>
              <w:bottom w:val="single" w:sz="4" w:space="0" w:color="auto"/>
              <w:right w:val="single" w:sz="4" w:space="0" w:color="auto"/>
            </w:tcBorders>
            <w:hideMark/>
          </w:tcPr>
          <w:p w14:paraId="385ED238"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Procentdel af patienter, som forblev relapsfrie ved måned 24</w:t>
            </w:r>
          </w:p>
        </w:tc>
        <w:tc>
          <w:tcPr>
            <w:tcW w:w="978" w:type="pct"/>
            <w:tcBorders>
              <w:top w:val="single" w:sz="4" w:space="0" w:color="auto"/>
              <w:left w:val="single" w:sz="4" w:space="0" w:color="auto"/>
              <w:bottom w:val="single" w:sz="4" w:space="0" w:color="auto"/>
              <w:right w:val="single" w:sz="4" w:space="0" w:color="auto"/>
            </w:tcBorders>
            <w:hideMark/>
          </w:tcPr>
          <w:p w14:paraId="28B38423"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70 % **</w:t>
            </w:r>
          </w:p>
        </w:tc>
        <w:tc>
          <w:tcPr>
            <w:tcW w:w="827" w:type="pct"/>
            <w:tcBorders>
              <w:top w:val="single" w:sz="4" w:space="0" w:color="auto"/>
              <w:left w:val="single" w:sz="4" w:space="0" w:color="auto"/>
              <w:bottom w:val="single" w:sz="4" w:space="0" w:color="auto"/>
              <w:right w:val="single" w:sz="4" w:space="0" w:color="auto"/>
            </w:tcBorders>
            <w:hideMark/>
          </w:tcPr>
          <w:p w14:paraId="09E10BBC"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46 %</w:t>
            </w:r>
          </w:p>
        </w:tc>
      </w:tr>
      <w:tr w:rsidR="006D4C67" w:rsidRPr="009E49F8" w14:paraId="679998E6" w14:textId="77777777" w:rsidTr="007128C2">
        <w:tc>
          <w:tcPr>
            <w:tcW w:w="3195" w:type="pct"/>
            <w:tcBorders>
              <w:top w:val="single" w:sz="4" w:space="0" w:color="auto"/>
              <w:left w:val="single" w:sz="4" w:space="0" w:color="auto"/>
              <w:bottom w:val="single" w:sz="4" w:space="0" w:color="auto"/>
              <w:right w:val="single" w:sz="4" w:space="0" w:color="auto"/>
            </w:tcBorders>
            <w:hideMark/>
          </w:tcPr>
          <w:p w14:paraId="24B7B192"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Andel med invaliditetsprogression bekræftet efter 3 måneder </w:t>
            </w:r>
            <w:r w:rsidRPr="009E49F8">
              <w:rPr>
                <w:rStyle w:val="Strk"/>
                <w:rFonts w:ascii="Times New Roman" w:hAnsi="Times New Roman" w:cs="Times New Roman"/>
                <w:b w:val="0"/>
                <w:sz w:val="22"/>
                <w:vertAlign w:val="superscript"/>
                <w:lang w:val="da-DK"/>
              </w:rPr>
              <w:t>†</w:t>
            </w:r>
          </w:p>
          <w:p w14:paraId="3623F825" w14:textId="77777777" w:rsidR="006D4C67" w:rsidRPr="009E49F8" w:rsidRDefault="006D4C67" w:rsidP="00474236">
            <w:pPr>
              <w:jc w:val="left"/>
              <w:rPr>
                <w:rStyle w:val="Strk"/>
                <w:rFonts w:ascii="Times New Roman" w:hAnsi="Times New Roman" w:cs="Times New Roman"/>
                <w:b w:val="0"/>
                <w:bCs w:val="0"/>
                <w:sz w:val="22"/>
                <w:lang w:val="da-DK"/>
              </w:rPr>
            </w:pPr>
            <w:proofErr w:type="spellStart"/>
            <w:r w:rsidRPr="009E49F8">
              <w:rPr>
                <w:rStyle w:val="Strk"/>
                <w:rFonts w:ascii="Times New Roman" w:hAnsi="Times New Roman" w:cs="Times New Roman"/>
                <w:b w:val="0"/>
                <w:sz w:val="22"/>
                <w:lang w:val="da-DK"/>
              </w:rPr>
              <w:t>Hazard</w:t>
            </w:r>
            <w:proofErr w:type="spellEnd"/>
            <w:r w:rsidRPr="009E49F8">
              <w:rPr>
                <w:rStyle w:val="Strk"/>
                <w:rFonts w:ascii="Times New Roman" w:hAnsi="Times New Roman" w:cs="Times New Roman"/>
                <w:b w:val="0"/>
                <w:sz w:val="22"/>
                <w:lang w:val="da-DK"/>
              </w:rPr>
              <w:t xml:space="preserve"> ratio (95 % CI)</w:t>
            </w:r>
          </w:p>
        </w:tc>
        <w:tc>
          <w:tcPr>
            <w:tcW w:w="978" w:type="pct"/>
            <w:tcBorders>
              <w:top w:val="single" w:sz="4" w:space="0" w:color="auto"/>
              <w:left w:val="single" w:sz="4" w:space="0" w:color="auto"/>
              <w:bottom w:val="single" w:sz="4" w:space="0" w:color="auto"/>
              <w:right w:val="single" w:sz="4" w:space="0" w:color="auto"/>
            </w:tcBorders>
            <w:hideMark/>
          </w:tcPr>
          <w:p w14:paraId="1CF36F92"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17 %</w:t>
            </w:r>
          </w:p>
          <w:p w14:paraId="420BFC7F"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0,70 (0,52, 0,96) *</w:t>
            </w:r>
          </w:p>
        </w:tc>
        <w:tc>
          <w:tcPr>
            <w:tcW w:w="827" w:type="pct"/>
            <w:tcBorders>
              <w:top w:val="single" w:sz="4" w:space="0" w:color="auto"/>
              <w:left w:val="single" w:sz="4" w:space="0" w:color="auto"/>
              <w:bottom w:val="single" w:sz="4" w:space="0" w:color="auto"/>
              <w:right w:val="single" w:sz="4" w:space="0" w:color="auto"/>
            </w:tcBorders>
            <w:hideMark/>
          </w:tcPr>
          <w:p w14:paraId="60E26069"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24 %</w:t>
            </w:r>
          </w:p>
        </w:tc>
      </w:tr>
      <w:tr w:rsidR="006D4C67" w:rsidRPr="009E49F8" w14:paraId="615E0F62" w14:textId="77777777" w:rsidTr="007128C2">
        <w:tc>
          <w:tcPr>
            <w:tcW w:w="3195" w:type="pct"/>
            <w:tcBorders>
              <w:top w:val="single" w:sz="4" w:space="0" w:color="auto"/>
              <w:left w:val="single" w:sz="4" w:space="0" w:color="auto"/>
              <w:bottom w:val="single" w:sz="4" w:space="0" w:color="auto"/>
              <w:right w:val="single" w:sz="4" w:space="0" w:color="auto"/>
            </w:tcBorders>
            <w:hideMark/>
          </w:tcPr>
          <w:p w14:paraId="0A8B99F5" w14:textId="6960CF80" w:rsidR="006D4C67" w:rsidRPr="009E49F8" w:rsidRDefault="006F694E" w:rsidP="00474236">
            <w:pPr>
              <w:jc w:val="left"/>
              <w:rPr>
                <w:rStyle w:val="Strk"/>
                <w:rFonts w:ascii="Times New Roman" w:hAnsi="Times New Roman" w:cs="Times New Roman"/>
                <w:sz w:val="22"/>
                <w:lang w:val="da-DK"/>
              </w:rPr>
            </w:pPr>
            <w:r w:rsidRPr="009E49F8">
              <w:rPr>
                <w:rStyle w:val="Strk"/>
                <w:rFonts w:ascii="Times New Roman" w:hAnsi="Times New Roman" w:cs="Times New Roman"/>
                <w:sz w:val="22"/>
                <w:lang w:val="da-DK"/>
              </w:rPr>
              <w:t>MRI-endepunkter</w:t>
            </w:r>
          </w:p>
        </w:tc>
        <w:tc>
          <w:tcPr>
            <w:tcW w:w="978" w:type="pct"/>
            <w:tcBorders>
              <w:top w:val="single" w:sz="4" w:space="0" w:color="auto"/>
              <w:left w:val="single" w:sz="4" w:space="0" w:color="auto"/>
              <w:bottom w:val="single" w:sz="4" w:space="0" w:color="auto"/>
              <w:right w:val="single" w:sz="4" w:space="0" w:color="auto"/>
            </w:tcBorders>
          </w:tcPr>
          <w:p w14:paraId="289DFCC9" w14:textId="77777777" w:rsidR="006D4C67" w:rsidRPr="009E49F8" w:rsidRDefault="006D4C67" w:rsidP="00474236">
            <w:pPr>
              <w:jc w:val="left"/>
              <w:rPr>
                <w:rStyle w:val="Strk"/>
                <w:rFonts w:ascii="Times New Roman" w:hAnsi="Times New Roman" w:cs="Times New Roman"/>
                <w:bCs w:val="0"/>
                <w:sz w:val="22"/>
                <w:lang w:val="da-DK"/>
              </w:rPr>
            </w:pPr>
          </w:p>
        </w:tc>
        <w:tc>
          <w:tcPr>
            <w:tcW w:w="827" w:type="pct"/>
            <w:tcBorders>
              <w:top w:val="single" w:sz="4" w:space="0" w:color="auto"/>
              <w:left w:val="single" w:sz="4" w:space="0" w:color="auto"/>
              <w:bottom w:val="single" w:sz="4" w:space="0" w:color="auto"/>
              <w:right w:val="single" w:sz="4" w:space="0" w:color="auto"/>
            </w:tcBorders>
          </w:tcPr>
          <w:p w14:paraId="4FF76803" w14:textId="77777777" w:rsidR="006D4C67" w:rsidRPr="009E49F8" w:rsidRDefault="006D4C67" w:rsidP="00474236">
            <w:pPr>
              <w:jc w:val="left"/>
              <w:rPr>
                <w:rStyle w:val="Strk"/>
                <w:rFonts w:ascii="Times New Roman" w:hAnsi="Times New Roman" w:cs="Times New Roman"/>
                <w:bCs w:val="0"/>
                <w:sz w:val="22"/>
                <w:lang w:val="da-DK"/>
              </w:rPr>
            </w:pPr>
          </w:p>
        </w:tc>
      </w:tr>
      <w:tr w:rsidR="006D4C67" w:rsidRPr="009E49F8" w14:paraId="72D3C591" w14:textId="77777777" w:rsidTr="007128C2">
        <w:tc>
          <w:tcPr>
            <w:tcW w:w="3195" w:type="pct"/>
            <w:tcBorders>
              <w:top w:val="single" w:sz="4" w:space="0" w:color="auto"/>
              <w:left w:val="single" w:sz="4" w:space="0" w:color="auto"/>
              <w:bottom w:val="single" w:sz="4" w:space="0" w:color="auto"/>
              <w:right w:val="single" w:sz="4" w:space="0" w:color="auto"/>
            </w:tcBorders>
            <w:hideMark/>
          </w:tcPr>
          <w:p w14:paraId="708109B3"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Median (middel) antal nye eller forstørrede T2læsioner i løbet af 24 måneder</w:t>
            </w:r>
          </w:p>
        </w:tc>
        <w:tc>
          <w:tcPr>
            <w:tcW w:w="978" w:type="pct"/>
            <w:tcBorders>
              <w:top w:val="single" w:sz="4" w:space="0" w:color="auto"/>
              <w:left w:val="single" w:sz="4" w:space="0" w:color="auto"/>
              <w:bottom w:val="single" w:sz="4" w:space="0" w:color="auto"/>
              <w:right w:val="single" w:sz="4" w:space="0" w:color="auto"/>
            </w:tcBorders>
            <w:hideMark/>
          </w:tcPr>
          <w:p w14:paraId="215E15D6"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0,0 (2,5) **</w:t>
            </w:r>
          </w:p>
        </w:tc>
        <w:tc>
          <w:tcPr>
            <w:tcW w:w="827" w:type="pct"/>
            <w:tcBorders>
              <w:top w:val="single" w:sz="4" w:space="0" w:color="auto"/>
              <w:left w:val="single" w:sz="4" w:space="0" w:color="auto"/>
              <w:bottom w:val="single" w:sz="4" w:space="0" w:color="auto"/>
              <w:right w:val="single" w:sz="4" w:space="0" w:color="auto"/>
            </w:tcBorders>
            <w:hideMark/>
          </w:tcPr>
          <w:p w14:paraId="31786552"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5,0 (9,8)</w:t>
            </w:r>
          </w:p>
        </w:tc>
      </w:tr>
      <w:tr w:rsidR="006D4C67" w:rsidRPr="009E49F8" w14:paraId="506EFDDC" w14:textId="77777777" w:rsidTr="007128C2">
        <w:tc>
          <w:tcPr>
            <w:tcW w:w="3195" w:type="pct"/>
            <w:tcBorders>
              <w:top w:val="single" w:sz="4" w:space="0" w:color="auto"/>
              <w:left w:val="single" w:sz="4" w:space="0" w:color="auto"/>
              <w:bottom w:val="single" w:sz="4" w:space="0" w:color="auto"/>
              <w:right w:val="single" w:sz="4" w:space="0" w:color="auto"/>
            </w:tcBorders>
            <w:hideMark/>
          </w:tcPr>
          <w:p w14:paraId="414F3028"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 xml:space="preserve">Median (middel) antal </w:t>
            </w:r>
            <w:proofErr w:type="spellStart"/>
            <w:r w:rsidRPr="009E49F8">
              <w:rPr>
                <w:rStyle w:val="Strk"/>
                <w:rFonts w:ascii="Times New Roman" w:hAnsi="Times New Roman" w:cs="Times New Roman"/>
                <w:b w:val="0"/>
                <w:sz w:val="22"/>
                <w:lang w:val="da-DK"/>
              </w:rPr>
              <w:t>Gd</w:t>
            </w:r>
            <w:proofErr w:type="spellEnd"/>
            <w:r w:rsidRPr="009E49F8">
              <w:rPr>
                <w:rStyle w:val="Strk"/>
                <w:rFonts w:ascii="Times New Roman" w:hAnsi="Times New Roman" w:cs="Times New Roman"/>
                <w:b w:val="0"/>
                <w:sz w:val="22"/>
                <w:lang w:val="da-DK"/>
              </w:rPr>
              <w:t>-opladende læsioner ved måned 24</w:t>
            </w:r>
          </w:p>
        </w:tc>
        <w:tc>
          <w:tcPr>
            <w:tcW w:w="978" w:type="pct"/>
            <w:tcBorders>
              <w:top w:val="single" w:sz="4" w:space="0" w:color="auto"/>
              <w:left w:val="single" w:sz="4" w:space="0" w:color="auto"/>
              <w:bottom w:val="single" w:sz="4" w:space="0" w:color="auto"/>
              <w:right w:val="single" w:sz="4" w:space="0" w:color="auto"/>
            </w:tcBorders>
            <w:hideMark/>
          </w:tcPr>
          <w:p w14:paraId="15F73857"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0,0 (0,2) **</w:t>
            </w:r>
          </w:p>
        </w:tc>
        <w:tc>
          <w:tcPr>
            <w:tcW w:w="827" w:type="pct"/>
            <w:tcBorders>
              <w:top w:val="single" w:sz="4" w:space="0" w:color="auto"/>
              <w:left w:val="single" w:sz="4" w:space="0" w:color="auto"/>
              <w:bottom w:val="single" w:sz="4" w:space="0" w:color="auto"/>
              <w:right w:val="single" w:sz="4" w:space="0" w:color="auto"/>
            </w:tcBorders>
            <w:hideMark/>
          </w:tcPr>
          <w:p w14:paraId="483911DC"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0,0 (1,1)</w:t>
            </w:r>
          </w:p>
        </w:tc>
      </w:tr>
      <w:tr w:rsidR="006D4C67" w:rsidRPr="009E49F8" w14:paraId="25C8A879" w14:textId="77777777" w:rsidTr="007128C2">
        <w:tc>
          <w:tcPr>
            <w:tcW w:w="3195" w:type="pct"/>
            <w:tcBorders>
              <w:top w:val="single" w:sz="4" w:space="0" w:color="auto"/>
              <w:left w:val="single" w:sz="4" w:space="0" w:color="auto"/>
              <w:bottom w:val="single" w:sz="4" w:space="0" w:color="auto"/>
              <w:right w:val="single" w:sz="4" w:space="0" w:color="auto"/>
            </w:tcBorders>
            <w:hideMark/>
          </w:tcPr>
          <w:p w14:paraId="4D0DD210"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Median (middel) % ændring i hjernevolumen i løbet af 24 måneder</w:t>
            </w:r>
          </w:p>
        </w:tc>
        <w:tc>
          <w:tcPr>
            <w:tcW w:w="978" w:type="pct"/>
            <w:tcBorders>
              <w:top w:val="single" w:sz="4" w:space="0" w:color="auto"/>
              <w:left w:val="single" w:sz="4" w:space="0" w:color="auto"/>
              <w:bottom w:val="single" w:sz="4" w:space="0" w:color="auto"/>
              <w:right w:val="single" w:sz="4" w:space="0" w:color="auto"/>
            </w:tcBorders>
            <w:hideMark/>
          </w:tcPr>
          <w:p w14:paraId="2640944B"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-0,7 (-0,8) **</w:t>
            </w:r>
          </w:p>
        </w:tc>
        <w:tc>
          <w:tcPr>
            <w:tcW w:w="827" w:type="pct"/>
            <w:tcBorders>
              <w:top w:val="single" w:sz="4" w:space="0" w:color="auto"/>
              <w:left w:val="single" w:sz="4" w:space="0" w:color="auto"/>
              <w:bottom w:val="single" w:sz="4" w:space="0" w:color="auto"/>
              <w:right w:val="single" w:sz="4" w:space="0" w:color="auto"/>
            </w:tcBorders>
            <w:hideMark/>
          </w:tcPr>
          <w:p w14:paraId="1685CAFA" w14:textId="77777777"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-1,0 (-1,3)</w:t>
            </w:r>
          </w:p>
        </w:tc>
      </w:tr>
      <w:tr w:rsidR="006D4C67" w:rsidRPr="009E49F8" w14:paraId="353DBF7D" w14:textId="77777777" w:rsidTr="007128C2">
        <w:tc>
          <w:tcPr>
            <w:tcW w:w="5000" w:type="pct"/>
            <w:gridSpan w:val="3"/>
            <w:tcBorders>
              <w:top w:val="single" w:sz="4" w:space="0" w:color="auto"/>
              <w:left w:val="single" w:sz="4" w:space="0" w:color="auto"/>
              <w:bottom w:val="single" w:sz="4" w:space="0" w:color="auto"/>
              <w:right w:val="single" w:sz="4" w:space="0" w:color="auto"/>
            </w:tcBorders>
            <w:hideMark/>
          </w:tcPr>
          <w:p w14:paraId="1DF3E0A8" w14:textId="682BFE90"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vertAlign w:val="superscript"/>
                <w:lang w:val="da-DK"/>
              </w:rPr>
              <w:t>†</w:t>
            </w:r>
            <w:r w:rsidR="0092126A" w:rsidRPr="009E49F8">
              <w:rPr>
                <w:rStyle w:val="Strk"/>
                <w:rFonts w:ascii="Times New Roman" w:hAnsi="Times New Roman" w:cs="Times New Roman"/>
                <w:b w:val="0"/>
                <w:sz w:val="22"/>
                <w:vertAlign w:val="superscript"/>
                <w:lang w:val="da-DK"/>
              </w:rPr>
              <w:t xml:space="preserve"> </w:t>
            </w:r>
            <w:r w:rsidRPr="009E49F8">
              <w:rPr>
                <w:rStyle w:val="Strk"/>
                <w:rFonts w:ascii="Times New Roman" w:hAnsi="Times New Roman" w:cs="Times New Roman"/>
                <w:b w:val="0"/>
                <w:sz w:val="22"/>
                <w:lang w:val="da-DK"/>
              </w:rPr>
              <w:t>Invaliditetsprogression defineret som 1 points stigning i EDSS bekræftet 3 måneder senere</w:t>
            </w:r>
          </w:p>
          <w:p w14:paraId="2FFE5770" w14:textId="5FD58A55"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w:t>
            </w:r>
            <w:r w:rsidR="0092126A" w:rsidRPr="009E49F8">
              <w:rPr>
                <w:rStyle w:val="Strk"/>
                <w:rFonts w:ascii="Times New Roman" w:hAnsi="Times New Roman" w:cs="Times New Roman"/>
                <w:b w:val="0"/>
                <w:sz w:val="22"/>
                <w:lang w:val="da-DK"/>
              </w:rPr>
              <w:t xml:space="preserve"> </w:t>
            </w:r>
            <w:r w:rsidRPr="009E49F8">
              <w:rPr>
                <w:rStyle w:val="Strk"/>
                <w:rFonts w:ascii="Times New Roman" w:hAnsi="Times New Roman" w:cs="Times New Roman"/>
                <w:b w:val="0"/>
                <w:sz w:val="22"/>
                <w:lang w:val="da-DK"/>
              </w:rPr>
              <w:t>p &lt; 0,001, * p &lt; 0,05 sammenlignet med placebo</w:t>
            </w:r>
          </w:p>
          <w:p w14:paraId="4B6D2553" w14:textId="60BC0801" w:rsidR="006D4C67" w:rsidRPr="009E49F8" w:rsidRDefault="006D4C67" w:rsidP="00474236">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 xml:space="preserve">Alle analyser af kliniske endepunkter var </w:t>
            </w:r>
            <w:r w:rsidRPr="009E49F8">
              <w:rPr>
                <w:rStyle w:val="Strk"/>
                <w:rFonts w:ascii="Times New Roman" w:hAnsi="Times New Roman" w:cs="Times New Roman"/>
                <w:b w:val="0"/>
                <w:i/>
                <w:iCs/>
                <w:sz w:val="22"/>
                <w:lang w:val="da-DK"/>
              </w:rPr>
              <w:t>intent-to-</w:t>
            </w:r>
            <w:proofErr w:type="spellStart"/>
            <w:r w:rsidRPr="009E49F8">
              <w:rPr>
                <w:rStyle w:val="Strk"/>
                <w:rFonts w:ascii="Times New Roman" w:hAnsi="Times New Roman" w:cs="Times New Roman"/>
                <w:b w:val="0"/>
                <w:i/>
                <w:iCs/>
                <w:sz w:val="22"/>
                <w:lang w:val="da-DK"/>
              </w:rPr>
              <w:t>treat</w:t>
            </w:r>
            <w:proofErr w:type="spellEnd"/>
            <w:r w:rsidRPr="009E49F8">
              <w:rPr>
                <w:rStyle w:val="Strk"/>
                <w:rFonts w:ascii="Times New Roman" w:hAnsi="Times New Roman" w:cs="Times New Roman"/>
                <w:b w:val="0"/>
                <w:sz w:val="22"/>
                <w:lang w:val="da-DK"/>
              </w:rPr>
              <w:t xml:space="preserve">. Til </w:t>
            </w:r>
            <w:r w:rsidR="006F694E" w:rsidRPr="009E49F8">
              <w:rPr>
                <w:rStyle w:val="Strk"/>
                <w:rFonts w:ascii="Times New Roman" w:hAnsi="Times New Roman" w:cs="Times New Roman"/>
                <w:b w:val="0"/>
                <w:sz w:val="22"/>
                <w:lang w:val="da-DK"/>
              </w:rPr>
              <w:t>MRI-analyser</w:t>
            </w:r>
            <w:r w:rsidRPr="009E49F8">
              <w:rPr>
                <w:rStyle w:val="Strk"/>
                <w:rFonts w:ascii="Times New Roman" w:hAnsi="Times New Roman" w:cs="Times New Roman"/>
                <w:b w:val="0"/>
                <w:sz w:val="22"/>
                <w:lang w:val="da-DK"/>
              </w:rPr>
              <w:t xml:space="preserve"> anvendtes det datasæt, der kunne evalueres.</w:t>
            </w:r>
          </w:p>
        </w:tc>
      </w:tr>
    </w:tbl>
    <w:p w14:paraId="1CE7EC30" w14:textId="77777777" w:rsidR="006D4C67" w:rsidRPr="009E49F8" w:rsidRDefault="006D4C67" w:rsidP="006D4C67">
      <w:pPr>
        <w:rPr>
          <w:sz w:val="24"/>
          <w:szCs w:val="24"/>
        </w:rPr>
      </w:pPr>
    </w:p>
    <w:p w14:paraId="085CB5BF" w14:textId="77777777" w:rsidR="006D4C67" w:rsidRPr="009E49F8" w:rsidRDefault="006D4C67" w:rsidP="007128C2">
      <w:pPr>
        <w:ind w:left="851"/>
        <w:rPr>
          <w:sz w:val="24"/>
          <w:szCs w:val="24"/>
        </w:rPr>
      </w:pPr>
      <w:r w:rsidRPr="009E49F8">
        <w:rPr>
          <w:sz w:val="24"/>
          <w:szCs w:val="24"/>
        </w:rPr>
        <w:t xml:space="preserve">Patienter, der fuldførte det 24-måneders overordnede studie, FREEDOMS, kunne fortsætte i et dosisblindet forlængelsesstudie (D2301E1) og få </w:t>
      </w:r>
      <w:proofErr w:type="spellStart"/>
      <w:r w:rsidRPr="009E49F8">
        <w:rPr>
          <w:sz w:val="24"/>
          <w:szCs w:val="24"/>
        </w:rPr>
        <w:t>fingolimod</w:t>
      </w:r>
      <w:proofErr w:type="spellEnd"/>
      <w:r w:rsidRPr="009E49F8">
        <w:rPr>
          <w:sz w:val="24"/>
          <w:szCs w:val="24"/>
        </w:rPr>
        <w:t xml:space="preserve">. I alt 920 patienter indgik (n=331 fortsatte på 0,5 mg, 289 fortsatte på 1,25 mg, 155 skiftede fra placebo til 0,5 mg, og 145 skiftede fra placebo til 1,25 mg). Efter 12 måneder (måned 36) deltog 856 patienter (93 %) fortsat. Imellem måned 24 og 36 var den </w:t>
      </w:r>
      <w:proofErr w:type="spellStart"/>
      <w:r w:rsidRPr="009E49F8">
        <w:rPr>
          <w:sz w:val="24"/>
          <w:szCs w:val="24"/>
        </w:rPr>
        <w:t>annualiserede</w:t>
      </w:r>
      <w:proofErr w:type="spellEnd"/>
      <w:r w:rsidRPr="009E49F8">
        <w:rPr>
          <w:sz w:val="24"/>
          <w:szCs w:val="24"/>
        </w:rPr>
        <w:t xml:space="preserve"> relapsrate (ARR) for patienter på </w:t>
      </w:r>
      <w:proofErr w:type="spellStart"/>
      <w:r w:rsidRPr="009E49F8">
        <w:rPr>
          <w:sz w:val="24"/>
          <w:szCs w:val="24"/>
        </w:rPr>
        <w:t>fingolimod</w:t>
      </w:r>
      <w:proofErr w:type="spellEnd"/>
      <w:r w:rsidRPr="009E49F8">
        <w:rPr>
          <w:sz w:val="24"/>
          <w:szCs w:val="24"/>
        </w:rPr>
        <w:t xml:space="preserve"> 0,5 mg i det overordnede studie, der fortsat fik 0,5 mg, 0,17 (0,21 i det overordnede studie). ARR for patienter, der skiftede fra placebo til </w:t>
      </w:r>
      <w:proofErr w:type="spellStart"/>
      <w:r w:rsidRPr="009E49F8">
        <w:rPr>
          <w:sz w:val="24"/>
          <w:szCs w:val="24"/>
        </w:rPr>
        <w:t>fingolimod</w:t>
      </w:r>
      <w:proofErr w:type="spellEnd"/>
      <w:r w:rsidRPr="009E49F8">
        <w:rPr>
          <w:sz w:val="24"/>
          <w:szCs w:val="24"/>
        </w:rPr>
        <w:t xml:space="preserve"> 0,5 mg, var 0,22 (0,42 i det overordnede studie). </w:t>
      </w:r>
    </w:p>
    <w:p w14:paraId="67B51EBA" w14:textId="77777777" w:rsidR="006D4C67" w:rsidRPr="009E49F8" w:rsidRDefault="006D4C67" w:rsidP="007128C2">
      <w:pPr>
        <w:ind w:left="851"/>
        <w:rPr>
          <w:sz w:val="24"/>
          <w:szCs w:val="24"/>
        </w:rPr>
      </w:pPr>
    </w:p>
    <w:p w14:paraId="2A68A435" w14:textId="6334303D" w:rsidR="006D4C67" w:rsidRDefault="006D4C67" w:rsidP="007128C2">
      <w:pPr>
        <w:ind w:left="851"/>
        <w:rPr>
          <w:sz w:val="24"/>
          <w:szCs w:val="24"/>
        </w:rPr>
      </w:pPr>
      <w:r w:rsidRPr="009E49F8">
        <w:rPr>
          <w:sz w:val="24"/>
          <w:szCs w:val="24"/>
        </w:rPr>
        <w:t xml:space="preserve">Sammenlignelige resultater blev set i et 2-årigt, randomiseret, dobbelt-blindet, placebo-kontrolleret fase-III </w:t>
      </w:r>
      <w:proofErr w:type="spellStart"/>
      <w:r w:rsidRPr="009E49F8">
        <w:rPr>
          <w:sz w:val="24"/>
          <w:szCs w:val="24"/>
        </w:rPr>
        <w:t>replika</w:t>
      </w:r>
      <w:proofErr w:type="spellEnd"/>
      <w:r w:rsidRPr="009E49F8">
        <w:rPr>
          <w:sz w:val="24"/>
          <w:szCs w:val="24"/>
        </w:rPr>
        <w:t xml:space="preserve">-studie med </w:t>
      </w:r>
      <w:proofErr w:type="spellStart"/>
      <w:r w:rsidRPr="009E49F8">
        <w:rPr>
          <w:sz w:val="24"/>
          <w:szCs w:val="24"/>
        </w:rPr>
        <w:t>fingolimod</w:t>
      </w:r>
      <w:proofErr w:type="spellEnd"/>
      <w:r w:rsidRPr="009E49F8">
        <w:rPr>
          <w:sz w:val="24"/>
          <w:szCs w:val="24"/>
        </w:rPr>
        <w:t xml:space="preserve"> hos 1.083 patienter (n=358 på 0,5 mg, 370 på 1,25 mg, 355 på placebo) med RRMS (D2309; FREEDOMS 2). Median-værdier for baseline-karakteristika var: alder 41 år, sygdomsvarighed 8,9 år, EDSS-score 2,5.</w:t>
      </w:r>
    </w:p>
    <w:p w14:paraId="0B70488B" w14:textId="77777777" w:rsidR="006D4C67" w:rsidRPr="009E49F8" w:rsidRDefault="006D4C67" w:rsidP="006D4C67">
      <w:pPr>
        <w:rPr>
          <w:sz w:val="24"/>
          <w:szCs w:val="24"/>
        </w:rPr>
      </w:pPr>
    </w:p>
    <w:p w14:paraId="6D9BB451" w14:textId="288BFC36" w:rsidR="006D4C67" w:rsidRPr="009E49F8" w:rsidRDefault="006D4C67" w:rsidP="006D4C67">
      <w:pPr>
        <w:rPr>
          <w:b/>
          <w:bCs/>
          <w:sz w:val="24"/>
          <w:szCs w:val="24"/>
        </w:rPr>
      </w:pPr>
      <w:r w:rsidRPr="009E49F8">
        <w:rPr>
          <w:b/>
          <w:bCs/>
          <w:sz w:val="24"/>
          <w:szCs w:val="24"/>
        </w:rPr>
        <w:lastRenderedPageBreak/>
        <w:t>Tabel 2</w:t>
      </w:r>
      <w:r w:rsidR="006F694E" w:rsidRPr="009E49F8">
        <w:rPr>
          <w:b/>
          <w:bCs/>
          <w:sz w:val="24"/>
          <w:szCs w:val="24"/>
        </w:rPr>
        <w:t>.</w:t>
      </w:r>
      <w:r w:rsidRPr="009E49F8">
        <w:rPr>
          <w:b/>
          <w:bCs/>
          <w:sz w:val="24"/>
          <w:szCs w:val="24"/>
        </w:rPr>
        <w:t xml:space="preserve"> Studie D2309 (FREEDOMS 2): overordnede resultater</w:t>
      </w:r>
    </w:p>
    <w:tbl>
      <w:tblPr>
        <w:tblStyle w:val="Tabel-Gitter"/>
        <w:tblW w:w="5000" w:type="pct"/>
        <w:tblInd w:w="0" w:type="dxa"/>
        <w:tblLook w:val="04A0" w:firstRow="1" w:lastRow="0" w:firstColumn="1" w:lastColumn="0" w:noHBand="0" w:noVBand="1"/>
      </w:tblPr>
      <w:tblGrid>
        <w:gridCol w:w="6153"/>
        <w:gridCol w:w="1883"/>
        <w:gridCol w:w="1592"/>
      </w:tblGrid>
      <w:tr w:rsidR="006D4C67" w:rsidRPr="009E49F8" w14:paraId="6727A2D6" w14:textId="77777777" w:rsidTr="007128C2">
        <w:tc>
          <w:tcPr>
            <w:tcW w:w="3195" w:type="pct"/>
            <w:tcBorders>
              <w:top w:val="single" w:sz="4" w:space="0" w:color="auto"/>
              <w:left w:val="single" w:sz="4" w:space="0" w:color="auto"/>
              <w:bottom w:val="single" w:sz="4" w:space="0" w:color="auto"/>
              <w:right w:val="single" w:sz="4" w:space="0" w:color="auto"/>
            </w:tcBorders>
          </w:tcPr>
          <w:p w14:paraId="09616DA2" w14:textId="77777777" w:rsidR="006D4C67" w:rsidRPr="009E49F8" w:rsidRDefault="006D4C67" w:rsidP="00DA49F8">
            <w:pPr>
              <w:jc w:val="left"/>
              <w:rPr>
                <w:rStyle w:val="Strk"/>
                <w:rFonts w:ascii="Times New Roman" w:hAnsi="Times New Roman" w:cs="Times New Roman"/>
                <w:sz w:val="22"/>
                <w:lang w:val="da-DK"/>
              </w:rPr>
            </w:pPr>
          </w:p>
        </w:tc>
        <w:tc>
          <w:tcPr>
            <w:tcW w:w="978" w:type="pct"/>
            <w:tcBorders>
              <w:top w:val="single" w:sz="4" w:space="0" w:color="auto"/>
              <w:left w:val="single" w:sz="4" w:space="0" w:color="auto"/>
              <w:bottom w:val="single" w:sz="4" w:space="0" w:color="auto"/>
              <w:right w:val="single" w:sz="4" w:space="0" w:color="auto"/>
            </w:tcBorders>
            <w:hideMark/>
          </w:tcPr>
          <w:p w14:paraId="79B78A08" w14:textId="77777777" w:rsidR="006D4C67" w:rsidRPr="009E49F8" w:rsidRDefault="006D4C67" w:rsidP="00DA49F8">
            <w:pPr>
              <w:jc w:val="left"/>
              <w:rPr>
                <w:rStyle w:val="Strk"/>
                <w:rFonts w:ascii="Times New Roman" w:hAnsi="Times New Roman" w:cs="Times New Roman"/>
                <w:sz w:val="22"/>
                <w:lang w:val="da-DK"/>
              </w:rPr>
            </w:pPr>
            <w:proofErr w:type="spellStart"/>
            <w:r w:rsidRPr="009E49F8">
              <w:rPr>
                <w:rStyle w:val="Strk"/>
                <w:rFonts w:ascii="Times New Roman" w:hAnsi="Times New Roman" w:cs="Times New Roman"/>
                <w:sz w:val="22"/>
                <w:lang w:val="da-DK"/>
              </w:rPr>
              <w:t>Fingolimod</w:t>
            </w:r>
            <w:proofErr w:type="spellEnd"/>
          </w:p>
          <w:p w14:paraId="11375F3A" w14:textId="77777777" w:rsidR="006D4C67" w:rsidRPr="009E49F8" w:rsidRDefault="006D4C67" w:rsidP="00DA49F8">
            <w:pPr>
              <w:jc w:val="left"/>
              <w:rPr>
                <w:rStyle w:val="Strk"/>
                <w:rFonts w:ascii="Times New Roman" w:hAnsi="Times New Roman" w:cs="Times New Roman"/>
                <w:sz w:val="22"/>
                <w:lang w:val="da-DK"/>
              </w:rPr>
            </w:pPr>
            <w:r w:rsidRPr="009E49F8">
              <w:rPr>
                <w:rStyle w:val="Strk"/>
                <w:rFonts w:ascii="Times New Roman" w:hAnsi="Times New Roman" w:cs="Times New Roman"/>
                <w:sz w:val="22"/>
                <w:lang w:val="da-DK"/>
              </w:rPr>
              <w:t>0,5 mg</w:t>
            </w:r>
          </w:p>
        </w:tc>
        <w:tc>
          <w:tcPr>
            <w:tcW w:w="827" w:type="pct"/>
            <w:tcBorders>
              <w:top w:val="single" w:sz="4" w:space="0" w:color="auto"/>
              <w:left w:val="single" w:sz="4" w:space="0" w:color="auto"/>
              <w:bottom w:val="single" w:sz="4" w:space="0" w:color="auto"/>
              <w:right w:val="single" w:sz="4" w:space="0" w:color="auto"/>
            </w:tcBorders>
            <w:hideMark/>
          </w:tcPr>
          <w:p w14:paraId="144CF38A" w14:textId="77777777" w:rsidR="006D4C67" w:rsidRPr="009E49F8" w:rsidRDefault="006D4C67" w:rsidP="00DA49F8">
            <w:pPr>
              <w:jc w:val="left"/>
              <w:rPr>
                <w:rStyle w:val="Strk"/>
                <w:rFonts w:ascii="Times New Roman" w:hAnsi="Times New Roman" w:cs="Times New Roman"/>
                <w:sz w:val="22"/>
                <w:lang w:val="da-DK"/>
              </w:rPr>
            </w:pPr>
            <w:r w:rsidRPr="009E49F8">
              <w:rPr>
                <w:rStyle w:val="Strk"/>
                <w:rFonts w:ascii="Times New Roman" w:hAnsi="Times New Roman" w:cs="Times New Roman"/>
                <w:sz w:val="22"/>
                <w:lang w:val="da-DK"/>
              </w:rPr>
              <w:t>Placebo</w:t>
            </w:r>
          </w:p>
        </w:tc>
      </w:tr>
      <w:tr w:rsidR="006D4C67" w:rsidRPr="009E49F8" w14:paraId="4FAAF2A5" w14:textId="77777777" w:rsidTr="007128C2">
        <w:tc>
          <w:tcPr>
            <w:tcW w:w="3195" w:type="pct"/>
            <w:tcBorders>
              <w:top w:val="single" w:sz="4" w:space="0" w:color="auto"/>
              <w:left w:val="single" w:sz="4" w:space="0" w:color="auto"/>
              <w:bottom w:val="single" w:sz="4" w:space="0" w:color="auto"/>
              <w:right w:val="single" w:sz="4" w:space="0" w:color="auto"/>
            </w:tcBorders>
            <w:hideMark/>
          </w:tcPr>
          <w:p w14:paraId="769EE44C" w14:textId="77777777" w:rsidR="006D4C67" w:rsidRPr="009E49F8" w:rsidRDefault="006D4C67" w:rsidP="00DA49F8">
            <w:pPr>
              <w:jc w:val="left"/>
              <w:rPr>
                <w:rStyle w:val="Strk"/>
                <w:rFonts w:ascii="Times New Roman" w:hAnsi="Times New Roman" w:cs="Times New Roman"/>
                <w:sz w:val="22"/>
                <w:lang w:val="da-DK"/>
              </w:rPr>
            </w:pPr>
            <w:r w:rsidRPr="009E49F8">
              <w:rPr>
                <w:rStyle w:val="Strk"/>
                <w:rFonts w:ascii="Times New Roman" w:hAnsi="Times New Roman" w:cs="Times New Roman"/>
                <w:sz w:val="22"/>
                <w:lang w:val="da-DK"/>
              </w:rPr>
              <w:t>Kliniske endepunkter</w:t>
            </w:r>
          </w:p>
        </w:tc>
        <w:tc>
          <w:tcPr>
            <w:tcW w:w="978" w:type="pct"/>
            <w:tcBorders>
              <w:top w:val="single" w:sz="4" w:space="0" w:color="auto"/>
              <w:left w:val="single" w:sz="4" w:space="0" w:color="auto"/>
              <w:bottom w:val="single" w:sz="4" w:space="0" w:color="auto"/>
              <w:right w:val="single" w:sz="4" w:space="0" w:color="auto"/>
            </w:tcBorders>
          </w:tcPr>
          <w:p w14:paraId="48A941C7" w14:textId="77777777" w:rsidR="006D4C67" w:rsidRPr="009E49F8" w:rsidRDefault="006D4C67" w:rsidP="00DA49F8">
            <w:pPr>
              <w:jc w:val="left"/>
              <w:rPr>
                <w:rStyle w:val="Strk"/>
                <w:rFonts w:ascii="Times New Roman" w:hAnsi="Times New Roman" w:cs="Times New Roman"/>
                <w:bCs w:val="0"/>
                <w:sz w:val="22"/>
                <w:lang w:val="da-DK"/>
              </w:rPr>
            </w:pPr>
          </w:p>
        </w:tc>
        <w:tc>
          <w:tcPr>
            <w:tcW w:w="827" w:type="pct"/>
            <w:tcBorders>
              <w:top w:val="single" w:sz="4" w:space="0" w:color="auto"/>
              <w:left w:val="single" w:sz="4" w:space="0" w:color="auto"/>
              <w:bottom w:val="single" w:sz="4" w:space="0" w:color="auto"/>
              <w:right w:val="single" w:sz="4" w:space="0" w:color="auto"/>
            </w:tcBorders>
          </w:tcPr>
          <w:p w14:paraId="204D4709" w14:textId="77777777" w:rsidR="006D4C67" w:rsidRPr="009E49F8" w:rsidRDefault="006D4C67" w:rsidP="00DA49F8">
            <w:pPr>
              <w:jc w:val="left"/>
              <w:rPr>
                <w:rStyle w:val="Strk"/>
                <w:rFonts w:ascii="Times New Roman" w:hAnsi="Times New Roman" w:cs="Times New Roman"/>
                <w:bCs w:val="0"/>
                <w:sz w:val="22"/>
                <w:lang w:val="da-DK"/>
              </w:rPr>
            </w:pPr>
          </w:p>
        </w:tc>
      </w:tr>
      <w:tr w:rsidR="006D4C67" w:rsidRPr="009E49F8" w14:paraId="728A5019" w14:textId="77777777" w:rsidTr="007128C2">
        <w:tc>
          <w:tcPr>
            <w:tcW w:w="3195" w:type="pct"/>
            <w:tcBorders>
              <w:top w:val="single" w:sz="4" w:space="0" w:color="auto"/>
              <w:left w:val="single" w:sz="4" w:space="0" w:color="auto"/>
              <w:bottom w:val="single" w:sz="4" w:space="0" w:color="auto"/>
              <w:right w:val="single" w:sz="4" w:space="0" w:color="auto"/>
            </w:tcBorders>
            <w:hideMark/>
          </w:tcPr>
          <w:p w14:paraId="6C2B7DA1" w14:textId="77777777" w:rsidR="006D4C67" w:rsidRPr="009E49F8" w:rsidRDefault="006D4C67" w:rsidP="00DA49F8">
            <w:pPr>
              <w:jc w:val="left"/>
              <w:rPr>
                <w:rStyle w:val="Strk"/>
                <w:rFonts w:ascii="Times New Roman" w:hAnsi="Times New Roman" w:cs="Times New Roman"/>
                <w:b w:val="0"/>
                <w:bCs w:val="0"/>
                <w:sz w:val="22"/>
                <w:lang w:val="da-DK"/>
              </w:rPr>
            </w:pPr>
            <w:proofErr w:type="spellStart"/>
            <w:r w:rsidRPr="009E49F8">
              <w:rPr>
                <w:rStyle w:val="Strk"/>
                <w:rFonts w:ascii="Times New Roman" w:hAnsi="Times New Roman" w:cs="Times New Roman"/>
                <w:b w:val="0"/>
                <w:sz w:val="22"/>
                <w:lang w:val="da-DK"/>
              </w:rPr>
              <w:t>Annualiseret</w:t>
            </w:r>
            <w:proofErr w:type="spellEnd"/>
            <w:r w:rsidRPr="009E49F8">
              <w:rPr>
                <w:rStyle w:val="Strk"/>
                <w:rFonts w:ascii="Times New Roman" w:hAnsi="Times New Roman" w:cs="Times New Roman"/>
                <w:b w:val="0"/>
                <w:sz w:val="22"/>
                <w:lang w:val="da-DK"/>
              </w:rPr>
              <w:t xml:space="preserve"> relapsrate (primært endepunkt)</w:t>
            </w:r>
          </w:p>
        </w:tc>
        <w:tc>
          <w:tcPr>
            <w:tcW w:w="978" w:type="pct"/>
            <w:tcBorders>
              <w:top w:val="single" w:sz="4" w:space="0" w:color="auto"/>
              <w:left w:val="single" w:sz="4" w:space="0" w:color="auto"/>
              <w:bottom w:val="single" w:sz="4" w:space="0" w:color="auto"/>
              <w:right w:val="single" w:sz="4" w:space="0" w:color="auto"/>
            </w:tcBorders>
            <w:hideMark/>
          </w:tcPr>
          <w:p w14:paraId="5B7F7396" w14:textId="77777777"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0,21 **</w:t>
            </w:r>
          </w:p>
        </w:tc>
        <w:tc>
          <w:tcPr>
            <w:tcW w:w="827" w:type="pct"/>
            <w:tcBorders>
              <w:top w:val="single" w:sz="4" w:space="0" w:color="auto"/>
              <w:left w:val="single" w:sz="4" w:space="0" w:color="auto"/>
              <w:bottom w:val="single" w:sz="4" w:space="0" w:color="auto"/>
              <w:right w:val="single" w:sz="4" w:space="0" w:color="auto"/>
            </w:tcBorders>
            <w:hideMark/>
          </w:tcPr>
          <w:p w14:paraId="43822320" w14:textId="77777777"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0,40</w:t>
            </w:r>
          </w:p>
        </w:tc>
      </w:tr>
      <w:tr w:rsidR="006D4C67" w:rsidRPr="009E49F8" w14:paraId="697946DB" w14:textId="77777777" w:rsidTr="007128C2">
        <w:tc>
          <w:tcPr>
            <w:tcW w:w="3195" w:type="pct"/>
            <w:tcBorders>
              <w:top w:val="single" w:sz="4" w:space="0" w:color="auto"/>
              <w:left w:val="single" w:sz="4" w:space="0" w:color="auto"/>
              <w:bottom w:val="single" w:sz="4" w:space="0" w:color="auto"/>
              <w:right w:val="single" w:sz="4" w:space="0" w:color="auto"/>
            </w:tcBorders>
            <w:hideMark/>
          </w:tcPr>
          <w:p w14:paraId="3F2FC83E" w14:textId="77777777"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Procentdel af patienter, som forblev relapsfrie ved måned 24</w:t>
            </w:r>
          </w:p>
        </w:tc>
        <w:tc>
          <w:tcPr>
            <w:tcW w:w="978" w:type="pct"/>
            <w:tcBorders>
              <w:top w:val="single" w:sz="4" w:space="0" w:color="auto"/>
              <w:left w:val="single" w:sz="4" w:space="0" w:color="auto"/>
              <w:bottom w:val="single" w:sz="4" w:space="0" w:color="auto"/>
              <w:right w:val="single" w:sz="4" w:space="0" w:color="auto"/>
            </w:tcBorders>
            <w:hideMark/>
          </w:tcPr>
          <w:p w14:paraId="2721C16D" w14:textId="6F3A6CAC"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71,5 % **</w:t>
            </w:r>
          </w:p>
        </w:tc>
        <w:tc>
          <w:tcPr>
            <w:tcW w:w="827" w:type="pct"/>
            <w:tcBorders>
              <w:top w:val="single" w:sz="4" w:space="0" w:color="auto"/>
              <w:left w:val="single" w:sz="4" w:space="0" w:color="auto"/>
              <w:bottom w:val="single" w:sz="4" w:space="0" w:color="auto"/>
              <w:right w:val="single" w:sz="4" w:space="0" w:color="auto"/>
            </w:tcBorders>
            <w:hideMark/>
          </w:tcPr>
          <w:p w14:paraId="55063056" w14:textId="3FCF5EA4"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52,7 %</w:t>
            </w:r>
          </w:p>
        </w:tc>
      </w:tr>
      <w:tr w:rsidR="006D4C67" w:rsidRPr="009E49F8" w14:paraId="7C6104A1" w14:textId="77777777" w:rsidTr="007128C2">
        <w:tc>
          <w:tcPr>
            <w:tcW w:w="3195" w:type="pct"/>
            <w:tcBorders>
              <w:top w:val="single" w:sz="4" w:space="0" w:color="auto"/>
              <w:left w:val="single" w:sz="4" w:space="0" w:color="auto"/>
              <w:bottom w:val="single" w:sz="4" w:space="0" w:color="auto"/>
              <w:right w:val="single" w:sz="4" w:space="0" w:color="auto"/>
            </w:tcBorders>
            <w:hideMark/>
          </w:tcPr>
          <w:p w14:paraId="6CA023CF" w14:textId="77777777"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Andel med invaliditetsprogression bekræftet efter 3 måneder</w:t>
            </w:r>
            <w:r w:rsidRPr="009E49F8">
              <w:rPr>
                <w:rStyle w:val="Strk"/>
                <w:rFonts w:ascii="Times New Roman" w:hAnsi="Times New Roman" w:cs="Times New Roman"/>
                <w:b w:val="0"/>
                <w:sz w:val="22"/>
                <w:vertAlign w:val="superscript"/>
                <w:lang w:val="da-DK"/>
              </w:rPr>
              <w:t>†</w:t>
            </w:r>
          </w:p>
          <w:p w14:paraId="568ABDC0" w14:textId="31C50AC1" w:rsidR="006D4C67" w:rsidRPr="009E49F8" w:rsidRDefault="006D4C67" w:rsidP="00DA49F8">
            <w:pPr>
              <w:jc w:val="left"/>
              <w:rPr>
                <w:rStyle w:val="Strk"/>
                <w:rFonts w:ascii="Times New Roman" w:hAnsi="Times New Roman" w:cs="Times New Roman"/>
                <w:b w:val="0"/>
                <w:bCs w:val="0"/>
                <w:sz w:val="22"/>
                <w:lang w:val="da-DK"/>
              </w:rPr>
            </w:pPr>
            <w:proofErr w:type="spellStart"/>
            <w:r w:rsidRPr="009E49F8">
              <w:rPr>
                <w:rStyle w:val="Strk"/>
                <w:rFonts w:ascii="Times New Roman" w:hAnsi="Times New Roman" w:cs="Times New Roman"/>
                <w:b w:val="0"/>
                <w:sz w:val="22"/>
                <w:lang w:val="da-DK"/>
              </w:rPr>
              <w:t>Hazard</w:t>
            </w:r>
            <w:proofErr w:type="spellEnd"/>
            <w:r w:rsidRPr="009E49F8">
              <w:rPr>
                <w:rStyle w:val="Strk"/>
                <w:rFonts w:ascii="Times New Roman" w:hAnsi="Times New Roman" w:cs="Times New Roman"/>
                <w:b w:val="0"/>
                <w:sz w:val="22"/>
                <w:lang w:val="da-DK"/>
              </w:rPr>
              <w:t xml:space="preserve"> ratio (95 % CI)</w:t>
            </w:r>
          </w:p>
        </w:tc>
        <w:tc>
          <w:tcPr>
            <w:tcW w:w="978" w:type="pct"/>
            <w:tcBorders>
              <w:top w:val="single" w:sz="4" w:space="0" w:color="auto"/>
              <w:left w:val="single" w:sz="4" w:space="0" w:color="auto"/>
              <w:bottom w:val="single" w:sz="4" w:space="0" w:color="auto"/>
              <w:right w:val="single" w:sz="4" w:space="0" w:color="auto"/>
            </w:tcBorders>
            <w:hideMark/>
          </w:tcPr>
          <w:p w14:paraId="239E4AD7" w14:textId="116E8004"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25 %</w:t>
            </w:r>
          </w:p>
          <w:p w14:paraId="0AA9D6A7" w14:textId="77777777"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0,83 (0,61, 1,12)</w:t>
            </w:r>
          </w:p>
        </w:tc>
        <w:tc>
          <w:tcPr>
            <w:tcW w:w="827" w:type="pct"/>
            <w:tcBorders>
              <w:top w:val="single" w:sz="4" w:space="0" w:color="auto"/>
              <w:left w:val="single" w:sz="4" w:space="0" w:color="auto"/>
              <w:bottom w:val="single" w:sz="4" w:space="0" w:color="auto"/>
              <w:right w:val="single" w:sz="4" w:space="0" w:color="auto"/>
            </w:tcBorders>
            <w:hideMark/>
          </w:tcPr>
          <w:p w14:paraId="309C6F27" w14:textId="2F67E52B"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29 %</w:t>
            </w:r>
          </w:p>
        </w:tc>
      </w:tr>
      <w:tr w:rsidR="006D4C67" w:rsidRPr="009E49F8" w14:paraId="52EF6860" w14:textId="77777777" w:rsidTr="007128C2">
        <w:tc>
          <w:tcPr>
            <w:tcW w:w="3195" w:type="pct"/>
            <w:tcBorders>
              <w:top w:val="single" w:sz="4" w:space="0" w:color="auto"/>
              <w:left w:val="single" w:sz="4" w:space="0" w:color="auto"/>
              <w:bottom w:val="single" w:sz="4" w:space="0" w:color="auto"/>
              <w:right w:val="single" w:sz="4" w:space="0" w:color="auto"/>
            </w:tcBorders>
            <w:hideMark/>
          </w:tcPr>
          <w:p w14:paraId="30FB900C" w14:textId="3C58B282" w:rsidR="006D4C67" w:rsidRPr="009E49F8" w:rsidRDefault="006F694E" w:rsidP="00DA49F8">
            <w:pPr>
              <w:jc w:val="left"/>
              <w:rPr>
                <w:rStyle w:val="Strk"/>
                <w:rFonts w:ascii="Times New Roman" w:hAnsi="Times New Roman" w:cs="Times New Roman"/>
                <w:sz w:val="22"/>
                <w:lang w:val="da-DK"/>
              </w:rPr>
            </w:pPr>
            <w:r w:rsidRPr="009E49F8">
              <w:rPr>
                <w:rStyle w:val="Strk"/>
                <w:rFonts w:ascii="Times New Roman" w:hAnsi="Times New Roman" w:cs="Times New Roman"/>
                <w:sz w:val="22"/>
                <w:lang w:val="da-DK"/>
              </w:rPr>
              <w:t>MRI-endepunkter</w:t>
            </w:r>
          </w:p>
        </w:tc>
        <w:tc>
          <w:tcPr>
            <w:tcW w:w="978" w:type="pct"/>
            <w:tcBorders>
              <w:top w:val="single" w:sz="4" w:space="0" w:color="auto"/>
              <w:left w:val="single" w:sz="4" w:space="0" w:color="auto"/>
              <w:bottom w:val="single" w:sz="4" w:space="0" w:color="auto"/>
              <w:right w:val="single" w:sz="4" w:space="0" w:color="auto"/>
            </w:tcBorders>
          </w:tcPr>
          <w:p w14:paraId="3DD1E411" w14:textId="77777777" w:rsidR="006D4C67" w:rsidRPr="009E49F8" w:rsidRDefault="006D4C67" w:rsidP="00DA49F8">
            <w:pPr>
              <w:jc w:val="left"/>
              <w:rPr>
                <w:rStyle w:val="Strk"/>
                <w:rFonts w:ascii="Times New Roman" w:hAnsi="Times New Roman" w:cs="Times New Roman"/>
                <w:bCs w:val="0"/>
                <w:sz w:val="22"/>
                <w:lang w:val="da-DK"/>
              </w:rPr>
            </w:pPr>
          </w:p>
        </w:tc>
        <w:tc>
          <w:tcPr>
            <w:tcW w:w="827" w:type="pct"/>
            <w:tcBorders>
              <w:top w:val="single" w:sz="4" w:space="0" w:color="auto"/>
              <w:left w:val="single" w:sz="4" w:space="0" w:color="auto"/>
              <w:bottom w:val="single" w:sz="4" w:space="0" w:color="auto"/>
              <w:right w:val="single" w:sz="4" w:space="0" w:color="auto"/>
            </w:tcBorders>
          </w:tcPr>
          <w:p w14:paraId="3827337F" w14:textId="77777777" w:rsidR="006D4C67" w:rsidRPr="009E49F8" w:rsidRDefault="006D4C67" w:rsidP="00DA49F8">
            <w:pPr>
              <w:jc w:val="left"/>
              <w:rPr>
                <w:rStyle w:val="Strk"/>
                <w:rFonts w:ascii="Times New Roman" w:hAnsi="Times New Roman" w:cs="Times New Roman"/>
                <w:bCs w:val="0"/>
                <w:sz w:val="22"/>
                <w:lang w:val="da-DK"/>
              </w:rPr>
            </w:pPr>
          </w:p>
        </w:tc>
      </w:tr>
      <w:tr w:rsidR="006D4C67" w:rsidRPr="009E49F8" w14:paraId="003EDDDA" w14:textId="77777777" w:rsidTr="007128C2">
        <w:tc>
          <w:tcPr>
            <w:tcW w:w="3195" w:type="pct"/>
            <w:tcBorders>
              <w:top w:val="single" w:sz="4" w:space="0" w:color="auto"/>
              <w:left w:val="single" w:sz="4" w:space="0" w:color="auto"/>
              <w:bottom w:val="single" w:sz="4" w:space="0" w:color="auto"/>
              <w:right w:val="single" w:sz="4" w:space="0" w:color="auto"/>
            </w:tcBorders>
            <w:hideMark/>
          </w:tcPr>
          <w:p w14:paraId="45841187" w14:textId="0BFEF5B2"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Median (middel) antal nye eller forstørrede T2læsioner i løbet af 24 måneder</w:t>
            </w:r>
          </w:p>
        </w:tc>
        <w:tc>
          <w:tcPr>
            <w:tcW w:w="978" w:type="pct"/>
            <w:tcBorders>
              <w:top w:val="single" w:sz="4" w:space="0" w:color="auto"/>
              <w:left w:val="single" w:sz="4" w:space="0" w:color="auto"/>
              <w:bottom w:val="single" w:sz="4" w:space="0" w:color="auto"/>
              <w:right w:val="single" w:sz="4" w:space="0" w:color="auto"/>
            </w:tcBorders>
            <w:hideMark/>
          </w:tcPr>
          <w:p w14:paraId="76A13C09" w14:textId="77777777"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0,0 (2,3) **</w:t>
            </w:r>
          </w:p>
        </w:tc>
        <w:tc>
          <w:tcPr>
            <w:tcW w:w="827" w:type="pct"/>
            <w:tcBorders>
              <w:top w:val="single" w:sz="4" w:space="0" w:color="auto"/>
              <w:left w:val="single" w:sz="4" w:space="0" w:color="auto"/>
              <w:bottom w:val="single" w:sz="4" w:space="0" w:color="auto"/>
              <w:right w:val="single" w:sz="4" w:space="0" w:color="auto"/>
            </w:tcBorders>
            <w:hideMark/>
          </w:tcPr>
          <w:p w14:paraId="228916DD" w14:textId="77777777"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4,0 (8,9)</w:t>
            </w:r>
          </w:p>
        </w:tc>
      </w:tr>
      <w:tr w:rsidR="006D4C67" w:rsidRPr="009E49F8" w14:paraId="1B591677" w14:textId="77777777" w:rsidTr="007128C2">
        <w:tc>
          <w:tcPr>
            <w:tcW w:w="3195" w:type="pct"/>
            <w:tcBorders>
              <w:top w:val="single" w:sz="4" w:space="0" w:color="auto"/>
              <w:left w:val="single" w:sz="4" w:space="0" w:color="auto"/>
              <w:bottom w:val="single" w:sz="4" w:space="0" w:color="auto"/>
              <w:right w:val="single" w:sz="4" w:space="0" w:color="auto"/>
            </w:tcBorders>
            <w:hideMark/>
          </w:tcPr>
          <w:p w14:paraId="06D1A534" w14:textId="77777777"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 xml:space="preserve">Median (middel) antal </w:t>
            </w:r>
            <w:proofErr w:type="spellStart"/>
            <w:r w:rsidRPr="009E49F8">
              <w:rPr>
                <w:rStyle w:val="Strk"/>
                <w:rFonts w:ascii="Times New Roman" w:hAnsi="Times New Roman" w:cs="Times New Roman"/>
                <w:b w:val="0"/>
                <w:sz w:val="22"/>
                <w:lang w:val="da-DK"/>
              </w:rPr>
              <w:t>Gd</w:t>
            </w:r>
            <w:proofErr w:type="spellEnd"/>
            <w:r w:rsidRPr="009E49F8">
              <w:rPr>
                <w:rStyle w:val="Strk"/>
                <w:rFonts w:ascii="Times New Roman" w:hAnsi="Times New Roman" w:cs="Times New Roman"/>
                <w:b w:val="0"/>
                <w:sz w:val="22"/>
                <w:lang w:val="da-DK"/>
              </w:rPr>
              <w:t>-opladende læsioner ved måned 24</w:t>
            </w:r>
          </w:p>
        </w:tc>
        <w:tc>
          <w:tcPr>
            <w:tcW w:w="978" w:type="pct"/>
            <w:tcBorders>
              <w:top w:val="single" w:sz="4" w:space="0" w:color="auto"/>
              <w:left w:val="single" w:sz="4" w:space="0" w:color="auto"/>
              <w:bottom w:val="single" w:sz="4" w:space="0" w:color="auto"/>
              <w:right w:val="single" w:sz="4" w:space="0" w:color="auto"/>
            </w:tcBorders>
            <w:hideMark/>
          </w:tcPr>
          <w:p w14:paraId="33BB676D" w14:textId="77777777"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0,0 (0,4) **</w:t>
            </w:r>
          </w:p>
        </w:tc>
        <w:tc>
          <w:tcPr>
            <w:tcW w:w="827" w:type="pct"/>
            <w:tcBorders>
              <w:top w:val="single" w:sz="4" w:space="0" w:color="auto"/>
              <w:left w:val="single" w:sz="4" w:space="0" w:color="auto"/>
              <w:bottom w:val="single" w:sz="4" w:space="0" w:color="auto"/>
              <w:right w:val="single" w:sz="4" w:space="0" w:color="auto"/>
            </w:tcBorders>
            <w:hideMark/>
          </w:tcPr>
          <w:p w14:paraId="377B96E8" w14:textId="77777777"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0,0 (1,2)</w:t>
            </w:r>
          </w:p>
        </w:tc>
      </w:tr>
      <w:tr w:rsidR="006D4C67" w:rsidRPr="009E49F8" w14:paraId="13AF108D" w14:textId="77777777" w:rsidTr="007128C2">
        <w:tc>
          <w:tcPr>
            <w:tcW w:w="3195" w:type="pct"/>
            <w:tcBorders>
              <w:top w:val="single" w:sz="4" w:space="0" w:color="auto"/>
              <w:left w:val="single" w:sz="4" w:space="0" w:color="auto"/>
              <w:bottom w:val="single" w:sz="4" w:space="0" w:color="auto"/>
              <w:right w:val="single" w:sz="4" w:space="0" w:color="auto"/>
            </w:tcBorders>
            <w:hideMark/>
          </w:tcPr>
          <w:p w14:paraId="43BF9CA9" w14:textId="77777777"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Median (middel) % ændring i hjernevolumen i løbet af 24 måneder</w:t>
            </w:r>
          </w:p>
        </w:tc>
        <w:tc>
          <w:tcPr>
            <w:tcW w:w="978" w:type="pct"/>
            <w:tcBorders>
              <w:top w:val="single" w:sz="4" w:space="0" w:color="auto"/>
              <w:left w:val="single" w:sz="4" w:space="0" w:color="auto"/>
              <w:bottom w:val="single" w:sz="4" w:space="0" w:color="auto"/>
              <w:right w:val="single" w:sz="4" w:space="0" w:color="auto"/>
            </w:tcBorders>
            <w:hideMark/>
          </w:tcPr>
          <w:p w14:paraId="28E9D989" w14:textId="77777777"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-0,71 (-0,86) **</w:t>
            </w:r>
          </w:p>
        </w:tc>
        <w:tc>
          <w:tcPr>
            <w:tcW w:w="827" w:type="pct"/>
            <w:tcBorders>
              <w:top w:val="single" w:sz="4" w:space="0" w:color="auto"/>
              <w:left w:val="single" w:sz="4" w:space="0" w:color="auto"/>
              <w:bottom w:val="single" w:sz="4" w:space="0" w:color="auto"/>
              <w:right w:val="single" w:sz="4" w:space="0" w:color="auto"/>
            </w:tcBorders>
            <w:hideMark/>
          </w:tcPr>
          <w:p w14:paraId="2E4B23F4" w14:textId="77777777"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-1,02 (-1,28)</w:t>
            </w:r>
          </w:p>
        </w:tc>
      </w:tr>
      <w:tr w:rsidR="006D4C67" w:rsidRPr="009E49F8" w14:paraId="43A8FFB9" w14:textId="77777777" w:rsidTr="007128C2">
        <w:tc>
          <w:tcPr>
            <w:tcW w:w="5000" w:type="pct"/>
            <w:gridSpan w:val="3"/>
            <w:tcBorders>
              <w:top w:val="single" w:sz="4" w:space="0" w:color="auto"/>
              <w:left w:val="single" w:sz="4" w:space="0" w:color="auto"/>
              <w:bottom w:val="single" w:sz="4" w:space="0" w:color="auto"/>
              <w:right w:val="single" w:sz="4" w:space="0" w:color="auto"/>
            </w:tcBorders>
            <w:hideMark/>
          </w:tcPr>
          <w:p w14:paraId="3E1A9A95" w14:textId="5FC84454"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vertAlign w:val="superscript"/>
                <w:lang w:val="da-DK"/>
              </w:rPr>
              <w:t>†</w:t>
            </w:r>
            <w:r w:rsidR="00CE7533" w:rsidRPr="009E49F8">
              <w:rPr>
                <w:rStyle w:val="Strk"/>
                <w:rFonts w:ascii="Times New Roman" w:hAnsi="Times New Roman" w:cs="Times New Roman"/>
                <w:b w:val="0"/>
                <w:sz w:val="22"/>
                <w:vertAlign w:val="superscript"/>
                <w:lang w:val="da-DK"/>
              </w:rPr>
              <w:t xml:space="preserve"> </w:t>
            </w:r>
            <w:r w:rsidRPr="009E49F8">
              <w:rPr>
                <w:rStyle w:val="Strk"/>
                <w:rFonts w:ascii="Times New Roman" w:hAnsi="Times New Roman" w:cs="Times New Roman"/>
                <w:b w:val="0"/>
                <w:sz w:val="22"/>
                <w:lang w:val="da-DK"/>
              </w:rPr>
              <w:t>Invaliditetsprogression er defineret som 1 points øgning i EDSS bekræftet 3 måneder senere</w:t>
            </w:r>
          </w:p>
          <w:p w14:paraId="1DA92A29" w14:textId="07018ADC"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w:t>
            </w:r>
            <w:r w:rsidR="00CE7533" w:rsidRPr="009E49F8">
              <w:rPr>
                <w:rStyle w:val="Strk"/>
                <w:rFonts w:ascii="Times New Roman" w:hAnsi="Times New Roman" w:cs="Times New Roman"/>
                <w:b w:val="0"/>
                <w:sz w:val="22"/>
                <w:lang w:val="da-DK"/>
              </w:rPr>
              <w:t xml:space="preserve"> </w:t>
            </w:r>
            <w:r w:rsidRPr="009E49F8">
              <w:rPr>
                <w:rStyle w:val="Strk"/>
                <w:rFonts w:ascii="Times New Roman" w:hAnsi="Times New Roman" w:cs="Times New Roman"/>
                <w:b w:val="0"/>
                <w:sz w:val="22"/>
                <w:lang w:val="da-DK"/>
              </w:rPr>
              <w:t>p &lt; 0,001 sammenlignet med placebo</w:t>
            </w:r>
          </w:p>
          <w:p w14:paraId="7DC32D2C" w14:textId="77777777" w:rsidR="006D4C67" w:rsidRPr="009E49F8" w:rsidRDefault="006D4C67" w:rsidP="00DA49F8">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 xml:space="preserve">Alle analyser af kliniske endepunkter var </w:t>
            </w:r>
            <w:r w:rsidRPr="009E49F8">
              <w:rPr>
                <w:rStyle w:val="Strk"/>
                <w:rFonts w:ascii="Times New Roman" w:hAnsi="Times New Roman" w:cs="Times New Roman"/>
                <w:b w:val="0"/>
                <w:i/>
                <w:iCs/>
                <w:sz w:val="22"/>
                <w:lang w:val="da-DK"/>
              </w:rPr>
              <w:t>intent-to-</w:t>
            </w:r>
            <w:proofErr w:type="spellStart"/>
            <w:r w:rsidRPr="009E49F8">
              <w:rPr>
                <w:rStyle w:val="Strk"/>
                <w:rFonts w:ascii="Times New Roman" w:hAnsi="Times New Roman" w:cs="Times New Roman"/>
                <w:b w:val="0"/>
                <w:i/>
                <w:iCs/>
                <w:sz w:val="22"/>
                <w:lang w:val="da-DK"/>
              </w:rPr>
              <w:t>treat</w:t>
            </w:r>
            <w:proofErr w:type="spellEnd"/>
            <w:r w:rsidRPr="009E49F8">
              <w:rPr>
                <w:rStyle w:val="Strk"/>
                <w:rFonts w:ascii="Times New Roman" w:hAnsi="Times New Roman" w:cs="Times New Roman"/>
                <w:b w:val="0"/>
                <w:i/>
                <w:iCs/>
                <w:sz w:val="22"/>
                <w:lang w:val="da-DK"/>
              </w:rPr>
              <w:t>.</w:t>
            </w:r>
            <w:r w:rsidRPr="009E49F8">
              <w:rPr>
                <w:rStyle w:val="Strk"/>
                <w:rFonts w:ascii="Times New Roman" w:hAnsi="Times New Roman" w:cs="Times New Roman"/>
                <w:b w:val="0"/>
                <w:sz w:val="22"/>
                <w:lang w:val="da-DK"/>
              </w:rPr>
              <w:t xml:space="preserve"> Til MRI-analyser anvendtes det datasæt, der kunne evalueres.</w:t>
            </w:r>
          </w:p>
        </w:tc>
      </w:tr>
    </w:tbl>
    <w:p w14:paraId="45673718" w14:textId="77777777" w:rsidR="006D4C67" w:rsidRPr="009E49F8" w:rsidRDefault="006D4C67" w:rsidP="006D4C67">
      <w:pPr>
        <w:rPr>
          <w:sz w:val="24"/>
          <w:szCs w:val="24"/>
        </w:rPr>
      </w:pPr>
    </w:p>
    <w:p w14:paraId="1D92A2C4" w14:textId="6C251A32" w:rsidR="006F694E" w:rsidRPr="009E49F8" w:rsidRDefault="006D4C67" w:rsidP="001D2ABD">
      <w:pPr>
        <w:ind w:left="851"/>
        <w:rPr>
          <w:sz w:val="24"/>
          <w:szCs w:val="24"/>
        </w:rPr>
      </w:pPr>
      <w:r w:rsidRPr="009E49F8">
        <w:rPr>
          <w:sz w:val="24"/>
          <w:szCs w:val="24"/>
        </w:rPr>
        <w:t xml:space="preserve">Studie D2302 (TRANSFORMS) var et 1-årigt, randomiseret, dobbeltblindet, double-dummy, aktivkontrolleret (interferon-beta-1a) fase III-studie hos 1.280 patienter (n=429 på 0,5 mg, 420 på 1,25 mg, 431 på interferon beta-1a 30 µg ved intramuskulær injektion 1 gang ugentlig). Medianværdier for karakteristika ved </w:t>
      </w:r>
      <w:r w:rsidR="006F694E" w:rsidRPr="009E49F8">
        <w:rPr>
          <w:sz w:val="24"/>
          <w:szCs w:val="24"/>
        </w:rPr>
        <w:t>u</w:t>
      </w:r>
      <w:r w:rsidRPr="009E49F8">
        <w:rPr>
          <w:sz w:val="24"/>
          <w:szCs w:val="24"/>
        </w:rPr>
        <w:t>dgangspunktet var: alder 36 år, sygdomsvarighed 5,9 år, og EDSS 2,0. Studiets resultater er vist i Tabel 3. Der var ingen signifikante forskelle mellem doseringerne på 0,5 mg og 1,25 mg, hvad angår studieendepunkterne.</w:t>
      </w:r>
    </w:p>
    <w:p w14:paraId="5341524B" w14:textId="77777777" w:rsidR="006D4C67" w:rsidRPr="009E49F8" w:rsidRDefault="006D4C67" w:rsidP="006D4C67">
      <w:pPr>
        <w:rPr>
          <w:sz w:val="24"/>
          <w:szCs w:val="24"/>
        </w:rPr>
      </w:pPr>
    </w:p>
    <w:p w14:paraId="1D7B0CAD" w14:textId="5731C30A" w:rsidR="006D4C67" w:rsidRPr="009E49F8" w:rsidRDefault="006D4C67" w:rsidP="006D4C67">
      <w:pPr>
        <w:rPr>
          <w:b/>
          <w:bCs/>
          <w:sz w:val="24"/>
          <w:szCs w:val="24"/>
        </w:rPr>
      </w:pPr>
      <w:r w:rsidRPr="009E49F8">
        <w:rPr>
          <w:b/>
          <w:bCs/>
          <w:sz w:val="24"/>
          <w:szCs w:val="24"/>
        </w:rPr>
        <w:t>Tabel 3</w:t>
      </w:r>
      <w:r w:rsidR="006F694E" w:rsidRPr="009E49F8">
        <w:rPr>
          <w:b/>
          <w:bCs/>
          <w:sz w:val="24"/>
          <w:szCs w:val="24"/>
        </w:rPr>
        <w:t>.</w:t>
      </w:r>
      <w:r w:rsidRPr="009E49F8">
        <w:rPr>
          <w:b/>
          <w:bCs/>
          <w:sz w:val="24"/>
          <w:szCs w:val="24"/>
        </w:rPr>
        <w:t xml:space="preserve"> Studie D2302 (TRANSFORMS): hovedresultater</w:t>
      </w:r>
    </w:p>
    <w:tbl>
      <w:tblPr>
        <w:tblStyle w:val="Tabel-Gitter"/>
        <w:tblW w:w="5000" w:type="pct"/>
        <w:tblInd w:w="0" w:type="dxa"/>
        <w:tblLook w:val="04A0" w:firstRow="1" w:lastRow="0" w:firstColumn="1" w:lastColumn="0" w:noHBand="0" w:noVBand="1"/>
      </w:tblPr>
      <w:tblGrid>
        <w:gridCol w:w="6102"/>
        <w:gridCol w:w="1910"/>
        <w:gridCol w:w="1616"/>
      </w:tblGrid>
      <w:tr w:rsidR="006D4C67" w:rsidRPr="009E49F8" w14:paraId="3CCE7324" w14:textId="77777777" w:rsidTr="007128C2">
        <w:tc>
          <w:tcPr>
            <w:tcW w:w="3169" w:type="pct"/>
            <w:tcBorders>
              <w:top w:val="single" w:sz="4" w:space="0" w:color="auto"/>
              <w:left w:val="single" w:sz="4" w:space="0" w:color="auto"/>
              <w:bottom w:val="single" w:sz="4" w:space="0" w:color="auto"/>
              <w:right w:val="single" w:sz="4" w:space="0" w:color="auto"/>
            </w:tcBorders>
          </w:tcPr>
          <w:p w14:paraId="14A209AA" w14:textId="77777777" w:rsidR="006D4C67" w:rsidRPr="009E49F8" w:rsidRDefault="006D4C67" w:rsidP="00524361">
            <w:pPr>
              <w:jc w:val="left"/>
              <w:rPr>
                <w:rStyle w:val="Strk"/>
                <w:rFonts w:ascii="Times New Roman" w:hAnsi="Times New Roman" w:cs="Times New Roman"/>
                <w:sz w:val="22"/>
                <w:lang w:val="da-DK"/>
              </w:rPr>
            </w:pPr>
          </w:p>
        </w:tc>
        <w:tc>
          <w:tcPr>
            <w:tcW w:w="992" w:type="pct"/>
            <w:tcBorders>
              <w:top w:val="single" w:sz="4" w:space="0" w:color="auto"/>
              <w:left w:val="single" w:sz="4" w:space="0" w:color="auto"/>
              <w:bottom w:val="single" w:sz="4" w:space="0" w:color="auto"/>
              <w:right w:val="single" w:sz="4" w:space="0" w:color="auto"/>
            </w:tcBorders>
            <w:hideMark/>
          </w:tcPr>
          <w:p w14:paraId="275976CE" w14:textId="77777777" w:rsidR="006D4C67" w:rsidRPr="009E49F8" w:rsidRDefault="006D4C67" w:rsidP="00524361">
            <w:pPr>
              <w:jc w:val="left"/>
              <w:rPr>
                <w:rStyle w:val="Strk"/>
                <w:rFonts w:ascii="Times New Roman" w:hAnsi="Times New Roman" w:cs="Times New Roman"/>
                <w:sz w:val="22"/>
                <w:lang w:val="da-DK"/>
              </w:rPr>
            </w:pPr>
            <w:proofErr w:type="spellStart"/>
            <w:r w:rsidRPr="009E49F8">
              <w:rPr>
                <w:rStyle w:val="Strk"/>
                <w:rFonts w:ascii="Times New Roman" w:hAnsi="Times New Roman" w:cs="Times New Roman"/>
                <w:sz w:val="22"/>
                <w:lang w:val="da-DK"/>
              </w:rPr>
              <w:t>Fingolimod</w:t>
            </w:r>
            <w:proofErr w:type="spellEnd"/>
          </w:p>
          <w:p w14:paraId="2E2F9195" w14:textId="3F43B7C8" w:rsidR="006D4C67" w:rsidRPr="009E49F8" w:rsidRDefault="006D4C67" w:rsidP="00524361">
            <w:pPr>
              <w:jc w:val="left"/>
              <w:rPr>
                <w:rStyle w:val="Strk"/>
                <w:rFonts w:ascii="Times New Roman" w:hAnsi="Times New Roman" w:cs="Times New Roman"/>
                <w:sz w:val="22"/>
                <w:lang w:val="da-DK"/>
              </w:rPr>
            </w:pPr>
            <w:r w:rsidRPr="009E49F8">
              <w:rPr>
                <w:rStyle w:val="Strk"/>
                <w:rFonts w:ascii="Times New Roman" w:hAnsi="Times New Roman" w:cs="Times New Roman"/>
                <w:sz w:val="22"/>
                <w:lang w:val="da-DK"/>
              </w:rPr>
              <w:t>0</w:t>
            </w:r>
            <w:r w:rsidR="001C5480" w:rsidRPr="009E49F8">
              <w:rPr>
                <w:rStyle w:val="Strk"/>
                <w:rFonts w:ascii="Times New Roman" w:hAnsi="Times New Roman" w:cs="Times New Roman"/>
                <w:sz w:val="22"/>
                <w:lang w:val="da-DK"/>
              </w:rPr>
              <w:t>,</w:t>
            </w:r>
            <w:r w:rsidRPr="009E49F8">
              <w:rPr>
                <w:rStyle w:val="Strk"/>
                <w:rFonts w:ascii="Times New Roman" w:hAnsi="Times New Roman" w:cs="Times New Roman"/>
                <w:sz w:val="22"/>
                <w:lang w:val="da-DK"/>
              </w:rPr>
              <w:t>5 mg</w:t>
            </w:r>
          </w:p>
        </w:tc>
        <w:tc>
          <w:tcPr>
            <w:tcW w:w="839" w:type="pct"/>
            <w:tcBorders>
              <w:top w:val="single" w:sz="4" w:space="0" w:color="auto"/>
              <w:left w:val="single" w:sz="4" w:space="0" w:color="auto"/>
              <w:bottom w:val="single" w:sz="4" w:space="0" w:color="auto"/>
              <w:right w:val="single" w:sz="4" w:space="0" w:color="auto"/>
            </w:tcBorders>
            <w:hideMark/>
          </w:tcPr>
          <w:p w14:paraId="71F0C550" w14:textId="77777777" w:rsidR="006D4C67" w:rsidRPr="009E49F8" w:rsidRDefault="006D4C67" w:rsidP="00524361">
            <w:pPr>
              <w:jc w:val="left"/>
              <w:rPr>
                <w:rStyle w:val="Strk"/>
                <w:rFonts w:ascii="Times New Roman" w:hAnsi="Times New Roman" w:cs="Times New Roman"/>
                <w:sz w:val="22"/>
                <w:lang w:val="da-DK"/>
              </w:rPr>
            </w:pPr>
            <w:r w:rsidRPr="009E49F8">
              <w:rPr>
                <w:rStyle w:val="Strk"/>
                <w:rFonts w:ascii="Times New Roman" w:hAnsi="Times New Roman" w:cs="Times New Roman"/>
                <w:sz w:val="22"/>
                <w:lang w:val="da-DK"/>
              </w:rPr>
              <w:t>Interferon beta-1a, 30 µg</w:t>
            </w:r>
          </w:p>
        </w:tc>
      </w:tr>
      <w:tr w:rsidR="006D4C67" w:rsidRPr="009E49F8" w14:paraId="4E8F94D7" w14:textId="77777777" w:rsidTr="007128C2">
        <w:tc>
          <w:tcPr>
            <w:tcW w:w="3169" w:type="pct"/>
            <w:tcBorders>
              <w:top w:val="single" w:sz="4" w:space="0" w:color="auto"/>
              <w:left w:val="single" w:sz="4" w:space="0" w:color="auto"/>
              <w:bottom w:val="single" w:sz="4" w:space="0" w:color="auto"/>
              <w:right w:val="single" w:sz="4" w:space="0" w:color="auto"/>
            </w:tcBorders>
            <w:hideMark/>
          </w:tcPr>
          <w:p w14:paraId="57240744" w14:textId="77777777" w:rsidR="006D4C67" w:rsidRPr="009E49F8" w:rsidRDefault="006D4C67" w:rsidP="00524361">
            <w:pPr>
              <w:jc w:val="left"/>
              <w:rPr>
                <w:rStyle w:val="Strk"/>
                <w:rFonts w:ascii="Times New Roman" w:hAnsi="Times New Roman" w:cs="Times New Roman"/>
                <w:sz w:val="22"/>
                <w:lang w:val="da-DK"/>
              </w:rPr>
            </w:pPr>
            <w:r w:rsidRPr="009E49F8">
              <w:rPr>
                <w:rStyle w:val="Strk"/>
                <w:rFonts w:ascii="Times New Roman" w:hAnsi="Times New Roman" w:cs="Times New Roman"/>
                <w:sz w:val="22"/>
                <w:lang w:val="da-DK"/>
              </w:rPr>
              <w:t>Kliniske endepunkter</w:t>
            </w:r>
          </w:p>
        </w:tc>
        <w:tc>
          <w:tcPr>
            <w:tcW w:w="992" w:type="pct"/>
            <w:tcBorders>
              <w:top w:val="single" w:sz="4" w:space="0" w:color="auto"/>
              <w:left w:val="single" w:sz="4" w:space="0" w:color="auto"/>
              <w:bottom w:val="single" w:sz="4" w:space="0" w:color="auto"/>
              <w:right w:val="single" w:sz="4" w:space="0" w:color="auto"/>
            </w:tcBorders>
          </w:tcPr>
          <w:p w14:paraId="1C3797B8" w14:textId="77777777" w:rsidR="006D4C67" w:rsidRPr="009E49F8" w:rsidRDefault="006D4C67" w:rsidP="00524361">
            <w:pPr>
              <w:jc w:val="left"/>
              <w:rPr>
                <w:rStyle w:val="Strk"/>
                <w:rFonts w:ascii="Times New Roman" w:hAnsi="Times New Roman" w:cs="Times New Roman"/>
                <w:bCs w:val="0"/>
                <w:sz w:val="22"/>
                <w:lang w:val="da-DK"/>
              </w:rPr>
            </w:pPr>
          </w:p>
        </w:tc>
        <w:tc>
          <w:tcPr>
            <w:tcW w:w="839" w:type="pct"/>
            <w:tcBorders>
              <w:top w:val="single" w:sz="4" w:space="0" w:color="auto"/>
              <w:left w:val="single" w:sz="4" w:space="0" w:color="auto"/>
              <w:bottom w:val="single" w:sz="4" w:space="0" w:color="auto"/>
              <w:right w:val="single" w:sz="4" w:space="0" w:color="auto"/>
            </w:tcBorders>
          </w:tcPr>
          <w:p w14:paraId="1BC4236C" w14:textId="77777777" w:rsidR="006D4C67" w:rsidRPr="009E49F8" w:rsidRDefault="006D4C67" w:rsidP="00524361">
            <w:pPr>
              <w:jc w:val="left"/>
              <w:rPr>
                <w:rStyle w:val="Strk"/>
                <w:rFonts w:ascii="Times New Roman" w:hAnsi="Times New Roman" w:cs="Times New Roman"/>
                <w:bCs w:val="0"/>
                <w:sz w:val="22"/>
                <w:lang w:val="da-DK"/>
              </w:rPr>
            </w:pPr>
          </w:p>
        </w:tc>
      </w:tr>
      <w:tr w:rsidR="006D4C67" w:rsidRPr="009E49F8" w14:paraId="7D52574C" w14:textId="77777777" w:rsidTr="007128C2">
        <w:tc>
          <w:tcPr>
            <w:tcW w:w="3169" w:type="pct"/>
            <w:tcBorders>
              <w:top w:val="single" w:sz="4" w:space="0" w:color="auto"/>
              <w:left w:val="single" w:sz="4" w:space="0" w:color="auto"/>
              <w:bottom w:val="single" w:sz="4" w:space="0" w:color="auto"/>
              <w:right w:val="single" w:sz="4" w:space="0" w:color="auto"/>
            </w:tcBorders>
            <w:hideMark/>
          </w:tcPr>
          <w:p w14:paraId="754DD531" w14:textId="77777777" w:rsidR="006D4C67" w:rsidRPr="009E49F8" w:rsidRDefault="006D4C67" w:rsidP="00524361">
            <w:pPr>
              <w:jc w:val="left"/>
              <w:rPr>
                <w:rStyle w:val="Strk"/>
                <w:rFonts w:ascii="Times New Roman" w:hAnsi="Times New Roman" w:cs="Times New Roman"/>
                <w:b w:val="0"/>
                <w:bCs w:val="0"/>
                <w:sz w:val="22"/>
                <w:lang w:val="da-DK"/>
              </w:rPr>
            </w:pPr>
            <w:proofErr w:type="spellStart"/>
            <w:r w:rsidRPr="009E49F8">
              <w:rPr>
                <w:rStyle w:val="Strk"/>
                <w:rFonts w:ascii="Times New Roman" w:hAnsi="Times New Roman" w:cs="Times New Roman"/>
                <w:b w:val="0"/>
                <w:sz w:val="22"/>
                <w:lang w:val="da-DK"/>
              </w:rPr>
              <w:t>Annualiseret</w:t>
            </w:r>
            <w:proofErr w:type="spellEnd"/>
            <w:r w:rsidRPr="009E49F8">
              <w:rPr>
                <w:rStyle w:val="Strk"/>
                <w:rFonts w:ascii="Times New Roman" w:hAnsi="Times New Roman" w:cs="Times New Roman"/>
                <w:b w:val="0"/>
                <w:sz w:val="22"/>
                <w:lang w:val="da-DK"/>
              </w:rPr>
              <w:t xml:space="preserve"> relapsrate (primært endepunkt)</w:t>
            </w:r>
          </w:p>
        </w:tc>
        <w:tc>
          <w:tcPr>
            <w:tcW w:w="992" w:type="pct"/>
            <w:tcBorders>
              <w:top w:val="single" w:sz="4" w:space="0" w:color="auto"/>
              <w:left w:val="single" w:sz="4" w:space="0" w:color="auto"/>
              <w:bottom w:val="single" w:sz="4" w:space="0" w:color="auto"/>
              <w:right w:val="single" w:sz="4" w:space="0" w:color="auto"/>
            </w:tcBorders>
            <w:hideMark/>
          </w:tcPr>
          <w:p w14:paraId="45F8B7E1"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0,16 **</w:t>
            </w:r>
          </w:p>
        </w:tc>
        <w:tc>
          <w:tcPr>
            <w:tcW w:w="839" w:type="pct"/>
            <w:tcBorders>
              <w:top w:val="single" w:sz="4" w:space="0" w:color="auto"/>
              <w:left w:val="single" w:sz="4" w:space="0" w:color="auto"/>
              <w:bottom w:val="single" w:sz="4" w:space="0" w:color="auto"/>
              <w:right w:val="single" w:sz="4" w:space="0" w:color="auto"/>
            </w:tcBorders>
            <w:hideMark/>
          </w:tcPr>
          <w:p w14:paraId="71B30EF9"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0,33</w:t>
            </w:r>
          </w:p>
        </w:tc>
      </w:tr>
      <w:tr w:rsidR="006D4C67" w:rsidRPr="009E49F8" w14:paraId="3F9AB153" w14:textId="77777777" w:rsidTr="007128C2">
        <w:tc>
          <w:tcPr>
            <w:tcW w:w="3169" w:type="pct"/>
            <w:tcBorders>
              <w:top w:val="single" w:sz="4" w:space="0" w:color="auto"/>
              <w:left w:val="single" w:sz="4" w:space="0" w:color="auto"/>
              <w:bottom w:val="single" w:sz="4" w:space="0" w:color="auto"/>
              <w:right w:val="single" w:sz="4" w:space="0" w:color="auto"/>
            </w:tcBorders>
            <w:hideMark/>
          </w:tcPr>
          <w:p w14:paraId="5AEBEDBA"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Procentdel patienter, som forblev relapsfrie ved måned 12</w:t>
            </w:r>
          </w:p>
        </w:tc>
        <w:tc>
          <w:tcPr>
            <w:tcW w:w="992" w:type="pct"/>
            <w:tcBorders>
              <w:top w:val="single" w:sz="4" w:space="0" w:color="auto"/>
              <w:left w:val="single" w:sz="4" w:space="0" w:color="auto"/>
              <w:bottom w:val="single" w:sz="4" w:space="0" w:color="auto"/>
              <w:right w:val="single" w:sz="4" w:space="0" w:color="auto"/>
            </w:tcBorders>
            <w:hideMark/>
          </w:tcPr>
          <w:p w14:paraId="280BE0CC"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83 % **</w:t>
            </w:r>
          </w:p>
        </w:tc>
        <w:tc>
          <w:tcPr>
            <w:tcW w:w="839" w:type="pct"/>
            <w:tcBorders>
              <w:top w:val="single" w:sz="4" w:space="0" w:color="auto"/>
              <w:left w:val="single" w:sz="4" w:space="0" w:color="auto"/>
              <w:bottom w:val="single" w:sz="4" w:space="0" w:color="auto"/>
              <w:right w:val="single" w:sz="4" w:space="0" w:color="auto"/>
            </w:tcBorders>
            <w:hideMark/>
          </w:tcPr>
          <w:p w14:paraId="6ABBBEFC"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71 %</w:t>
            </w:r>
          </w:p>
        </w:tc>
      </w:tr>
      <w:tr w:rsidR="006D4C67" w:rsidRPr="009E49F8" w14:paraId="3A3009A5" w14:textId="77777777" w:rsidTr="007128C2">
        <w:tc>
          <w:tcPr>
            <w:tcW w:w="3169" w:type="pct"/>
            <w:tcBorders>
              <w:top w:val="single" w:sz="4" w:space="0" w:color="auto"/>
              <w:left w:val="single" w:sz="4" w:space="0" w:color="auto"/>
              <w:bottom w:val="single" w:sz="4" w:space="0" w:color="auto"/>
              <w:right w:val="single" w:sz="4" w:space="0" w:color="auto"/>
            </w:tcBorders>
            <w:hideMark/>
          </w:tcPr>
          <w:p w14:paraId="2C918695"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Andel med invaliditetsprogression bekræftet efter 3 måneder </w:t>
            </w:r>
            <w:r w:rsidRPr="009E49F8">
              <w:rPr>
                <w:rStyle w:val="Strk"/>
                <w:rFonts w:ascii="Times New Roman" w:hAnsi="Times New Roman" w:cs="Times New Roman"/>
                <w:b w:val="0"/>
                <w:sz w:val="22"/>
                <w:vertAlign w:val="superscript"/>
                <w:lang w:val="da-DK"/>
              </w:rPr>
              <w:t>†</w:t>
            </w:r>
          </w:p>
          <w:p w14:paraId="65E4DC44" w14:textId="30253011" w:rsidR="006D4C67" w:rsidRPr="009E49F8" w:rsidRDefault="006D4C67" w:rsidP="00524361">
            <w:pPr>
              <w:jc w:val="left"/>
              <w:rPr>
                <w:rStyle w:val="Strk"/>
                <w:rFonts w:ascii="Times New Roman" w:hAnsi="Times New Roman" w:cs="Times New Roman"/>
                <w:b w:val="0"/>
                <w:bCs w:val="0"/>
                <w:sz w:val="22"/>
                <w:lang w:val="da-DK"/>
              </w:rPr>
            </w:pPr>
            <w:proofErr w:type="spellStart"/>
            <w:r w:rsidRPr="009E49F8">
              <w:rPr>
                <w:rStyle w:val="Strk"/>
                <w:rFonts w:ascii="Times New Roman" w:hAnsi="Times New Roman" w:cs="Times New Roman"/>
                <w:b w:val="0"/>
                <w:sz w:val="22"/>
                <w:lang w:val="da-DK"/>
              </w:rPr>
              <w:t>Hazard</w:t>
            </w:r>
            <w:proofErr w:type="spellEnd"/>
            <w:r w:rsidRPr="009E49F8">
              <w:rPr>
                <w:rStyle w:val="Strk"/>
                <w:rFonts w:ascii="Times New Roman" w:hAnsi="Times New Roman" w:cs="Times New Roman"/>
                <w:b w:val="0"/>
                <w:sz w:val="22"/>
                <w:lang w:val="da-DK"/>
              </w:rPr>
              <w:t xml:space="preserve"> ratio (95 % CI)</w:t>
            </w:r>
          </w:p>
        </w:tc>
        <w:tc>
          <w:tcPr>
            <w:tcW w:w="992" w:type="pct"/>
            <w:tcBorders>
              <w:top w:val="single" w:sz="4" w:space="0" w:color="auto"/>
              <w:left w:val="single" w:sz="4" w:space="0" w:color="auto"/>
              <w:bottom w:val="single" w:sz="4" w:space="0" w:color="auto"/>
              <w:right w:val="single" w:sz="4" w:space="0" w:color="auto"/>
            </w:tcBorders>
            <w:hideMark/>
          </w:tcPr>
          <w:p w14:paraId="17E30A40"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6 %</w:t>
            </w:r>
          </w:p>
          <w:p w14:paraId="7C0D0227"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0,71 (0,42, 1,21)</w:t>
            </w:r>
          </w:p>
        </w:tc>
        <w:tc>
          <w:tcPr>
            <w:tcW w:w="839" w:type="pct"/>
            <w:tcBorders>
              <w:top w:val="single" w:sz="4" w:space="0" w:color="auto"/>
              <w:left w:val="single" w:sz="4" w:space="0" w:color="auto"/>
              <w:bottom w:val="single" w:sz="4" w:space="0" w:color="auto"/>
              <w:right w:val="single" w:sz="4" w:space="0" w:color="auto"/>
            </w:tcBorders>
            <w:hideMark/>
          </w:tcPr>
          <w:p w14:paraId="1A188842"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8 %</w:t>
            </w:r>
          </w:p>
        </w:tc>
      </w:tr>
      <w:tr w:rsidR="006D4C67" w:rsidRPr="009E49F8" w14:paraId="7F3DF295" w14:textId="77777777" w:rsidTr="007128C2">
        <w:tc>
          <w:tcPr>
            <w:tcW w:w="3169" w:type="pct"/>
            <w:tcBorders>
              <w:top w:val="single" w:sz="4" w:space="0" w:color="auto"/>
              <w:left w:val="single" w:sz="4" w:space="0" w:color="auto"/>
              <w:bottom w:val="single" w:sz="4" w:space="0" w:color="auto"/>
              <w:right w:val="single" w:sz="4" w:space="0" w:color="auto"/>
            </w:tcBorders>
            <w:hideMark/>
          </w:tcPr>
          <w:p w14:paraId="5FEEC539" w14:textId="1E514DDF" w:rsidR="006D4C67" w:rsidRPr="009E49F8" w:rsidRDefault="001C5480" w:rsidP="00524361">
            <w:pPr>
              <w:jc w:val="left"/>
              <w:rPr>
                <w:rStyle w:val="Strk"/>
                <w:rFonts w:ascii="Times New Roman" w:hAnsi="Times New Roman" w:cs="Times New Roman"/>
                <w:sz w:val="22"/>
                <w:lang w:val="da-DK"/>
              </w:rPr>
            </w:pPr>
            <w:r w:rsidRPr="009E49F8">
              <w:rPr>
                <w:rStyle w:val="Strk"/>
                <w:rFonts w:ascii="Times New Roman" w:hAnsi="Times New Roman" w:cs="Times New Roman"/>
                <w:sz w:val="22"/>
                <w:lang w:val="da-DK"/>
              </w:rPr>
              <w:t>MRI-endepunkter</w:t>
            </w:r>
          </w:p>
        </w:tc>
        <w:tc>
          <w:tcPr>
            <w:tcW w:w="992" w:type="pct"/>
            <w:tcBorders>
              <w:top w:val="single" w:sz="4" w:space="0" w:color="auto"/>
              <w:left w:val="single" w:sz="4" w:space="0" w:color="auto"/>
              <w:bottom w:val="single" w:sz="4" w:space="0" w:color="auto"/>
              <w:right w:val="single" w:sz="4" w:space="0" w:color="auto"/>
            </w:tcBorders>
          </w:tcPr>
          <w:p w14:paraId="66110415" w14:textId="77777777" w:rsidR="006D4C67" w:rsidRPr="009E49F8" w:rsidRDefault="006D4C67" w:rsidP="00524361">
            <w:pPr>
              <w:jc w:val="left"/>
              <w:rPr>
                <w:rStyle w:val="Strk"/>
                <w:rFonts w:ascii="Times New Roman" w:hAnsi="Times New Roman" w:cs="Times New Roman"/>
                <w:bCs w:val="0"/>
                <w:sz w:val="22"/>
                <w:lang w:val="da-DK"/>
              </w:rPr>
            </w:pPr>
          </w:p>
        </w:tc>
        <w:tc>
          <w:tcPr>
            <w:tcW w:w="839" w:type="pct"/>
            <w:tcBorders>
              <w:top w:val="single" w:sz="4" w:space="0" w:color="auto"/>
              <w:left w:val="single" w:sz="4" w:space="0" w:color="auto"/>
              <w:bottom w:val="single" w:sz="4" w:space="0" w:color="auto"/>
              <w:right w:val="single" w:sz="4" w:space="0" w:color="auto"/>
            </w:tcBorders>
          </w:tcPr>
          <w:p w14:paraId="35D67471" w14:textId="77777777" w:rsidR="006D4C67" w:rsidRPr="009E49F8" w:rsidRDefault="006D4C67" w:rsidP="00524361">
            <w:pPr>
              <w:jc w:val="left"/>
              <w:rPr>
                <w:rStyle w:val="Strk"/>
                <w:rFonts w:ascii="Times New Roman" w:hAnsi="Times New Roman" w:cs="Times New Roman"/>
                <w:bCs w:val="0"/>
                <w:sz w:val="22"/>
                <w:lang w:val="da-DK"/>
              </w:rPr>
            </w:pPr>
          </w:p>
        </w:tc>
      </w:tr>
      <w:tr w:rsidR="006D4C67" w:rsidRPr="009E49F8" w14:paraId="2EFF34AA" w14:textId="77777777" w:rsidTr="007128C2">
        <w:tc>
          <w:tcPr>
            <w:tcW w:w="3169" w:type="pct"/>
            <w:tcBorders>
              <w:top w:val="single" w:sz="4" w:space="0" w:color="auto"/>
              <w:left w:val="single" w:sz="4" w:space="0" w:color="auto"/>
              <w:bottom w:val="single" w:sz="4" w:space="0" w:color="auto"/>
              <w:right w:val="single" w:sz="4" w:space="0" w:color="auto"/>
            </w:tcBorders>
            <w:hideMark/>
          </w:tcPr>
          <w:p w14:paraId="06902EAD"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Median (middel) antal nye eller forstørrede T2læsioner i løbet af 12 måneder</w:t>
            </w:r>
          </w:p>
        </w:tc>
        <w:tc>
          <w:tcPr>
            <w:tcW w:w="992" w:type="pct"/>
            <w:tcBorders>
              <w:top w:val="single" w:sz="4" w:space="0" w:color="auto"/>
              <w:left w:val="single" w:sz="4" w:space="0" w:color="auto"/>
              <w:bottom w:val="single" w:sz="4" w:space="0" w:color="auto"/>
              <w:right w:val="single" w:sz="4" w:space="0" w:color="auto"/>
            </w:tcBorders>
            <w:hideMark/>
          </w:tcPr>
          <w:p w14:paraId="645B4FBA"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0,0 (1,7) *</w:t>
            </w:r>
          </w:p>
        </w:tc>
        <w:tc>
          <w:tcPr>
            <w:tcW w:w="839" w:type="pct"/>
            <w:tcBorders>
              <w:top w:val="single" w:sz="4" w:space="0" w:color="auto"/>
              <w:left w:val="single" w:sz="4" w:space="0" w:color="auto"/>
              <w:bottom w:val="single" w:sz="4" w:space="0" w:color="auto"/>
              <w:right w:val="single" w:sz="4" w:space="0" w:color="auto"/>
            </w:tcBorders>
            <w:hideMark/>
          </w:tcPr>
          <w:p w14:paraId="1E0E8B35"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1,0 (2,6)</w:t>
            </w:r>
          </w:p>
        </w:tc>
      </w:tr>
      <w:tr w:rsidR="006D4C67" w:rsidRPr="009E49F8" w14:paraId="5CDED8C2" w14:textId="77777777" w:rsidTr="007128C2">
        <w:tc>
          <w:tcPr>
            <w:tcW w:w="3169" w:type="pct"/>
            <w:tcBorders>
              <w:top w:val="single" w:sz="4" w:space="0" w:color="auto"/>
              <w:left w:val="single" w:sz="4" w:space="0" w:color="auto"/>
              <w:bottom w:val="single" w:sz="4" w:space="0" w:color="auto"/>
              <w:right w:val="single" w:sz="4" w:space="0" w:color="auto"/>
            </w:tcBorders>
            <w:hideMark/>
          </w:tcPr>
          <w:p w14:paraId="0F943162"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 xml:space="preserve">Median (middel) antal </w:t>
            </w:r>
            <w:proofErr w:type="spellStart"/>
            <w:r w:rsidRPr="009E49F8">
              <w:rPr>
                <w:rStyle w:val="Strk"/>
                <w:rFonts w:ascii="Times New Roman" w:hAnsi="Times New Roman" w:cs="Times New Roman"/>
                <w:b w:val="0"/>
                <w:sz w:val="22"/>
                <w:lang w:val="da-DK"/>
              </w:rPr>
              <w:t>Gd</w:t>
            </w:r>
            <w:proofErr w:type="spellEnd"/>
            <w:r w:rsidRPr="009E49F8">
              <w:rPr>
                <w:rStyle w:val="Strk"/>
                <w:rFonts w:ascii="Times New Roman" w:hAnsi="Times New Roman" w:cs="Times New Roman"/>
                <w:b w:val="0"/>
                <w:sz w:val="22"/>
                <w:lang w:val="da-DK"/>
              </w:rPr>
              <w:t>-opladende læsioner ved 12 måneder</w:t>
            </w:r>
          </w:p>
        </w:tc>
        <w:tc>
          <w:tcPr>
            <w:tcW w:w="992" w:type="pct"/>
            <w:tcBorders>
              <w:top w:val="single" w:sz="4" w:space="0" w:color="auto"/>
              <w:left w:val="single" w:sz="4" w:space="0" w:color="auto"/>
              <w:bottom w:val="single" w:sz="4" w:space="0" w:color="auto"/>
              <w:right w:val="single" w:sz="4" w:space="0" w:color="auto"/>
            </w:tcBorders>
            <w:hideMark/>
          </w:tcPr>
          <w:p w14:paraId="433724FD"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0,0 (0,2) **</w:t>
            </w:r>
          </w:p>
        </w:tc>
        <w:tc>
          <w:tcPr>
            <w:tcW w:w="839" w:type="pct"/>
            <w:tcBorders>
              <w:top w:val="single" w:sz="4" w:space="0" w:color="auto"/>
              <w:left w:val="single" w:sz="4" w:space="0" w:color="auto"/>
              <w:bottom w:val="single" w:sz="4" w:space="0" w:color="auto"/>
              <w:right w:val="single" w:sz="4" w:space="0" w:color="auto"/>
            </w:tcBorders>
            <w:hideMark/>
          </w:tcPr>
          <w:p w14:paraId="3592D414"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0,0 (0,5)</w:t>
            </w:r>
          </w:p>
        </w:tc>
      </w:tr>
      <w:tr w:rsidR="006D4C67" w:rsidRPr="009E49F8" w14:paraId="55AEC335" w14:textId="77777777" w:rsidTr="007128C2">
        <w:tc>
          <w:tcPr>
            <w:tcW w:w="3169" w:type="pct"/>
            <w:tcBorders>
              <w:top w:val="single" w:sz="4" w:space="0" w:color="auto"/>
              <w:left w:val="single" w:sz="4" w:space="0" w:color="auto"/>
              <w:bottom w:val="single" w:sz="4" w:space="0" w:color="auto"/>
              <w:right w:val="single" w:sz="4" w:space="0" w:color="auto"/>
            </w:tcBorders>
            <w:hideMark/>
          </w:tcPr>
          <w:p w14:paraId="6C2E6DFB"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Median (middel) % ændring i hjernevolumen i løbet af 12 måneder</w:t>
            </w:r>
          </w:p>
        </w:tc>
        <w:tc>
          <w:tcPr>
            <w:tcW w:w="992" w:type="pct"/>
            <w:tcBorders>
              <w:top w:val="single" w:sz="4" w:space="0" w:color="auto"/>
              <w:left w:val="single" w:sz="4" w:space="0" w:color="auto"/>
              <w:bottom w:val="single" w:sz="4" w:space="0" w:color="auto"/>
              <w:right w:val="single" w:sz="4" w:space="0" w:color="auto"/>
            </w:tcBorders>
            <w:hideMark/>
          </w:tcPr>
          <w:p w14:paraId="4C3E186A"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-0,2 (-0,3) **</w:t>
            </w:r>
          </w:p>
        </w:tc>
        <w:tc>
          <w:tcPr>
            <w:tcW w:w="839" w:type="pct"/>
            <w:tcBorders>
              <w:top w:val="single" w:sz="4" w:space="0" w:color="auto"/>
              <w:left w:val="single" w:sz="4" w:space="0" w:color="auto"/>
              <w:bottom w:val="single" w:sz="4" w:space="0" w:color="auto"/>
              <w:right w:val="single" w:sz="4" w:space="0" w:color="auto"/>
            </w:tcBorders>
            <w:hideMark/>
          </w:tcPr>
          <w:p w14:paraId="053B7972"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-0,4 (-0,5)</w:t>
            </w:r>
          </w:p>
        </w:tc>
      </w:tr>
      <w:tr w:rsidR="006D4C67" w:rsidRPr="009E49F8" w14:paraId="477FCD09" w14:textId="77777777" w:rsidTr="007128C2">
        <w:tc>
          <w:tcPr>
            <w:tcW w:w="5000" w:type="pct"/>
            <w:gridSpan w:val="3"/>
            <w:tcBorders>
              <w:top w:val="single" w:sz="4" w:space="0" w:color="auto"/>
              <w:left w:val="single" w:sz="4" w:space="0" w:color="auto"/>
              <w:bottom w:val="single" w:sz="4" w:space="0" w:color="auto"/>
              <w:right w:val="single" w:sz="4" w:space="0" w:color="auto"/>
            </w:tcBorders>
            <w:hideMark/>
          </w:tcPr>
          <w:p w14:paraId="2C83BC52" w14:textId="5C2C683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vertAlign w:val="superscript"/>
                <w:lang w:val="da-DK"/>
              </w:rPr>
              <w:t>†</w:t>
            </w:r>
            <w:r w:rsidR="00CE7533" w:rsidRPr="009E49F8">
              <w:rPr>
                <w:rStyle w:val="Strk"/>
                <w:rFonts w:ascii="Times New Roman" w:hAnsi="Times New Roman" w:cs="Times New Roman"/>
                <w:b w:val="0"/>
                <w:sz w:val="22"/>
                <w:vertAlign w:val="superscript"/>
                <w:lang w:val="da-DK"/>
              </w:rPr>
              <w:t xml:space="preserve"> </w:t>
            </w:r>
            <w:r w:rsidRPr="009E49F8">
              <w:rPr>
                <w:rStyle w:val="Strk"/>
                <w:rFonts w:ascii="Times New Roman" w:hAnsi="Times New Roman" w:cs="Times New Roman"/>
                <w:b w:val="0"/>
                <w:sz w:val="22"/>
                <w:lang w:val="da-DK"/>
              </w:rPr>
              <w:t>Invaliditetsprogression er defineret som 1points øgning i EDSS bekræftet 3 måneder senere.</w:t>
            </w:r>
          </w:p>
          <w:p w14:paraId="54DC5720" w14:textId="555AD0A3"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w:t>
            </w:r>
            <w:r w:rsidR="00CE7533" w:rsidRPr="009E49F8">
              <w:rPr>
                <w:rStyle w:val="Strk"/>
                <w:rFonts w:ascii="Times New Roman" w:hAnsi="Times New Roman" w:cs="Times New Roman"/>
                <w:b w:val="0"/>
                <w:sz w:val="22"/>
                <w:lang w:val="da-DK"/>
              </w:rPr>
              <w:t xml:space="preserve"> </w:t>
            </w:r>
            <w:r w:rsidRPr="009E49F8">
              <w:rPr>
                <w:rStyle w:val="Strk"/>
                <w:rFonts w:ascii="Times New Roman" w:hAnsi="Times New Roman" w:cs="Times New Roman"/>
                <w:b w:val="0"/>
                <w:sz w:val="22"/>
                <w:lang w:val="da-DK"/>
              </w:rPr>
              <w:t>p &lt; 0,01, ** p &lt; 0,001, sammenlignet med beta-1a interferon</w:t>
            </w:r>
          </w:p>
          <w:p w14:paraId="24074F74" w14:textId="46C5F328"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 xml:space="preserve">Alle analyser of kliniske endepunkter var </w:t>
            </w:r>
            <w:r w:rsidRPr="009E49F8">
              <w:rPr>
                <w:rStyle w:val="Strk"/>
                <w:rFonts w:ascii="Times New Roman" w:hAnsi="Times New Roman" w:cs="Times New Roman"/>
                <w:b w:val="0"/>
                <w:i/>
                <w:iCs/>
                <w:sz w:val="22"/>
                <w:lang w:val="da-DK"/>
              </w:rPr>
              <w:t>intent-to-</w:t>
            </w:r>
            <w:proofErr w:type="spellStart"/>
            <w:r w:rsidRPr="009E49F8">
              <w:rPr>
                <w:rStyle w:val="Strk"/>
                <w:rFonts w:ascii="Times New Roman" w:hAnsi="Times New Roman" w:cs="Times New Roman"/>
                <w:b w:val="0"/>
                <w:i/>
                <w:iCs/>
                <w:sz w:val="22"/>
                <w:lang w:val="da-DK"/>
              </w:rPr>
              <w:t>treat</w:t>
            </w:r>
            <w:proofErr w:type="spellEnd"/>
            <w:r w:rsidRPr="009E49F8">
              <w:rPr>
                <w:rStyle w:val="Strk"/>
                <w:rFonts w:ascii="Times New Roman" w:hAnsi="Times New Roman" w:cs="Times New Roman"/>
                <w:b w:val="0"/>
                <w:sz w:val="22"/>
                <w:lang w:val="da-DK"/>
              </w:rPr>
              <w:t xml:space="preserve">. Til </w:t>
            </w:r>
            <w:r w:rsidR="001C5480" w:rsidRPr="009E49F8">
              <w:rPr>
                <w:rStyle w:val="Strk"/>
                <w:rFonts w:ascii="Times New Roman" w:hAnsi="Times New Roman" w:cs="Times New Roman"/>
                <w:b w:val="0"/>
                <w:sz w:val="22"/>
                <w:lang w:val="da-DK"/>
              </w:rPr>
              <w:t>MRI-analyser</w:t>
            </w:r>
            <w:r w:rsidRPr="009E49F8">
              <w:rPr>
                <w:rStyle w:val="Strk"/>
                <w:rFonts w:ascii="Times New Roman" w:hAnsi="Times New Roman" w:cs="Times New Roman"/>
                <w:b w:val="0"/>
                <w:sz w:val="22"/>
                <w:lang w:val="da-DK"/>
              </w:rPr>
              <w:t xml:space="preserve"> anvendtes det datasæt, der kunne evalueres.</w:t>
            </w:r>
          </w:p>
        </w:tc>
      </w:tr>
    </w:tbl>
    <w:p w14:paraId="0CE9BF72" w14:textId="77777777" w:rsidR="006D4C67" w:rsidRPr="009E49F8" w:rsidRDefault="006D4C67" w:rsidP="006D4C67">
      <w:pPr>
        <w:rPr>
          <w:sz w:val="24"/>
          <w:szCs w:val="24"/>
        </w:rPr>
      </w:pPr>
    </w:p>
    <w:p w14:paraId="7E621E79" w14:textId="77777777" w:rsidR="006D4C67" w:rsidRPr="009E49F8" w:rsidRDefault="006D4C67" w:rsidP="007128C2">
      <w:pPr>
        <w:ind w:left="851"/>
        <w:rPr>
          <w:sz w:val="24"/>
          <w:szCs w:val="24"/>
        </w:rPr>
      </w:pPr>
      <w:r w:rsidRPr="009E49F8">
        <w:rPr>
          <w:sz w:val="24"/>
          <w:szCs w:val="24"/>
        </w:rPr>
        <w:t xml:space="preserve">Patienter, der fuldførte det 12-måneders overordnede TRANSFORMS-studie, kunne fortsætte i et dosis-blindet forlængelsesstudie (D2302E1) og få </w:t>
      </w:r>
      <w:proofErr w:type="spellStart"/>
      <w:r w:rsidRPr="009E49F8">
        <w:rPr>
          <w:sz w:val="24"/>
          <w:szCs w:val="24"/>
        </w:rPr>
        <w:t>fingolimod</w:t>
      </w:r>
      <w:proofErr w:type="spellEnd"/>
      <w:r w:rsidRPr="009E49F8">
        <w:rPr>
          <w:sz w:val="24"/>
          <w:szCs w:val="24"/>
        </w:rPr>
        <w:t xml:space="preserve">. I alt 1.030 patienter indgik, 3 af disse patienter fik dog ikke behandling (n=356 fortsatte på 0,5 mg, 330 fortsatte på 1,25 mg, 167 skiftede fra interferon beta-1a til 0,5 mg, og 174 skiftede fra interferon beta-1a til 1,25 mg). Efter 12 måneder (måned 24) deltog 882 patienter (86 %) fortsat. Imellem måned 12 og 24 var ARR for patienter på </w:t>
      </w:r>
      <w:proofErr w:type="spellStart"/>
      <w:r w:rsidRPr="009E49F8">
        <w:rPr>
          <w:sz w:val="24"/>
          <w:szCs w:val="24"/>
        </w:rPr>
        <w:t>fingolimod</w:t>
      </w:r>
      <w:proofErr w:type="spellEnd"/>
      <w:r w:rsidRPr="009E49F8">
        <w:rPr>
          <w:sz w:val="24"/>
          <w:szCs w:val="24"/>
        </w:rPr>
        <w:t xml:space="preserve"> 0,5 mg i det overordnede studie, som forblev på 0,5 mg, 0,20 (0,19 i det overordnede studie). ARR for patienter, der skiftede fra interferon beta-1a til </w:t>
      </w:r>
      <w:proofErr w:type="spellStart"/>
      <w:r w:rsidRPr="009E49F8">
        <w:rPr>
          <w:sz w:val="24"/>
          <w:szCs w:val="24"/>
        </w:rPr>
        <w:t>fingolimod</w:t>
      </w:r>
      <w:proofErr w:type="spellEnd"/>
      <w:r w:rsidRPr="009E49F8">
        <w:rPr>
          <w:sz w:val="24"/>
          <w:szCs w:val="24"/>
        </w:rPr>
        <w:t xml:space="preserve"> 0,5 mg, var 0,33 (0,48 i det overordnede studie).</w:t>
      </w:r>
    </w:p>
    <w:p w14:paraId="153812A7" w14:textId="77777777" w:rsidR="006D4C67" w:rsidRPr="009E49F8" w:rsidRDefault="006D4C67" w:rsidP="007128C2">
      <w:pPr>
        <w:ind w:left="851"/>
        <w:rPr>
          <w:sz w:val="24"/>
          <w:szCs w:val="24"/>
        </w:rPr>
      </w:pPr>
    </w:p>
    <w:p w14:paraId="23304C8A" w14:textId="77777777" w:rsidR="006D4C67" w:rsidRPr="009E49F8" w:rsidRDefault="006D4C67" w:rsidP="007128C2">
      <w:pPr>
        <w:ind w:left="851"/>
        <w:rPr>
          <w:sz w:val="24"/>
          <w:szCs w:val="24"/>
        </w:rPr>
      </w:pPr>
      <w:r w:rsidRPr="009E49F8">
        <w:rPr>
          <w:sz w:val="24"/>
          <w:szCs w:val="24"/>
        </w:rPr>
        <w:t xml:space="preserve">Kombinerede resultater fra studie D2301 og D2302 viste en konsekvent og statistisk signifikant reduktion af den </w:t>
      </w:r>
      <w:proofErr w:type="spellStart"/>
      <w:r w:rsidRPr="009E49F8">
        <w:rPr>
          <w:sz w:val="24"/>
          <w:szCs w:val="24"/>
        </w:rPr>
        <w:t>annualiserede</w:t>
      </w:r>
      <w:proofErr w:type="spellEnd"/>
      <w:r w:rsidRPr="009E49F8">
        <w:rPr>
          <w:sz w:val="24"/>
          <w:szCs w:val="24"/>
        </w:rPr>
        <w:t xml:space="preserve"> </w:t>
      </w:r>
      <w:proofErr w:type="spellStart"/>
      <w:r w:rsidRPr="009E49F8">
        <w:rPr>
          <w:sz w:val="24"/>
          <w:szCs w:val="24"/>
        </w:rPr>
        <w:t>anfaldsrate</w:t>
      </w:r>
      <w:proofErr w:type="spellEnd"/>
      <w:r w:rsidRPr="009E49F8">
        <w:rPr>
          <w:sz w:val="24"/>
          <w:szCs w:val="24"/>
        </w:rPr>
        <w:t xml:space="preserve"> sammenlignet med </w:t>
      </w:r>
      <w:proofErr w:type="spellStart"/>
      <w:r w:rsidRPr="009E49F8">
        <w:rPr>
          <w:sz w:val="24"/>
          <w:szCs w:val="24"/>
        </w:rPr>
        <w:t>komparator</w:t>
      </w:r>
      <w:proofErr w:type="spellEnd"/>
      <w:r w:rsidRPr="009E49F8">
        <w:rPr>
          <w:sz w:val="24"/>
          <w:szCs w:val="24"/>
        </w:rPr>
        <w:t xml:space="preserve"> i delgrupper defineret ved køn, alder, tidligere behandling for multipel sklerose, sygdomsaktivitet eller invaliditetsniveau ved udgangspunktet.</w:t>
      </w:r>
    </w:p>
    <w:p w14:paraId="0EF502A2" w14:textId="77777777" w:rsidR="006D4C67" w:rsidRPr="009E49F8" w:rsidRDefault="006D4C67" w:rsidP="007128C2">
      <w:pPr>
        <w:ind w:left="851"/>
        <w:rPr>
          <w:sz w:val="24"/>
          <w:szCs w:val="24"/>
        </w:rPr>
      </w:pPr>
    </w:p>
    <w:p w14:paraId="6872B2AD" w14:textId="77777777" w:rsidR="006D4C67" w:rsidRPr="009E49F8" w:rsidRDefault="006D4C67" w:rsidP="007128C2">
      <w:pPr>
        <w:ind w:left="851"/>
        <w:rPr>
          <w:sz w:val="24"/>
          <w:szCs w:val="24"/>
        </w:rPr>
      </w:pPr>
      <w:r w:rsidRPr="009E49F8">
        <w:rPr>
          <w:sz w:val="24"/>
          <w:szCs w:val="24"/>
        </w:rPr>
        <w:t>Yderligere analyser af de kliniske forsøgsdata viser konsekvent behandlingseffekt hos yderst aktive undergrupper af recidiverende-remitterende multipel sklerose.</w:t>
      </w:r>
    </w:p>
    <w:p w14:paraId="133D8F09" w14:textId="77777777" w:rsidR="006D4C67" w:rsidRPr="009E49F8" w:rsidRDefault="006D4C67" w:rsidP="007128C2">
      <w:pPr>
        <w:ind w:left="851"/>
        <w:rPr>
          <w:sz w:val="24"/>
          <w:szCs w:val="24"/>
        </w:rPr>
      </w:pPr>
    </w:p>
    <w:p w14:paraId="3BA50D3C" w14:textId="77777777" w:rsidR="006D4C67" w:rsidRPr="009E49F8" w:rsidRDefault="006D4C67" w:rsidP="007128C2">
      <w:pPr>
        <w:ind w:left="851"/>
        <w:rPr>
          <w:sz w:val="24"/>
          <w:szCs w:val="24"/>
          <w:u w:val="single"/>
        </w:rPr>
      </w:pPr>
      <w:r w:rsidRPr="009E49F8">
        <w:rPr>
          <w:sz w:val="24"/>
          <w:szCs w:val="24"/>
          <w:u w:val="single"/>
        </w:rPr>
        <w:t xml:space="preserve">Pædiatrisk population </w:t>
      </w:r>
    </w:p>
    <w:p w14:paraId="45F97CC8" w14:textId="77777777" w:rsidR="006D4C67" w:rsidRPr="009E49F8" w:rsidRDefault="006D4C67" w:rsidP="007128C2">
      <w:pPr>
        <w:ind w:left="851"/>
        <w:rPr>
          <w:sz w:val="24"/>
          <w:szCs w:val="24"/>
        </w:rPr>
      </w:pPr>
      <w:r w:rsidRPr="009E49F8">
        <w:rPr>
          <w:sz w:val="24"/>
          <w:szCs w:val="24"/>
        </w:rPr>
        <w:t xml:space="preserve">Virkningen og sikkerheden af </w:t>
      </w:r>
      <w:proofErr w:type="spellStart"/>
      <w:r w:rsidRPr="009E49F8">
        <w:rPr>
          <w:sz w:val="24"/>
          <w:szCs w:val="24"/>
        </w:rPr>
        <w:t>fingolimod</w:t>
      </w:r>
      <w:proofErr w:type="spellEnd"/>
      <w:r w:rsidRPr="009E49F8">
        <w:rPr>
          <w:sz w:val="24"/>
          <w:szCs w:val="24"/>
        </w:rPr>
        <w:t xml:space="preserve"> i doser på 0,25 mg eller 0,5 mg én gang dagligt (dosis udvalgt ud fra kropsvægt og måling af eksponering) er blevet undersøgt hos pædiatriske patienter i alderen 10 til &lt;18 år med recidiverende-remitterende multipel sklerose. </w:t>
      </w:r>
    </w:p>
    <w:p w14:paraId="0F34D129" w14:textId="77777777" w:rsidR="006D4C67" w:rsidRPr="009E49F8" w:rsidRDefault="006D4C67" w:rsidP="007128C2">
      <w:pPr>
        <w:ind w:left="851"/>
        <w:rPr>
          <w:sz w:val="24"/>
          <w:szCs w:val="24"/>
        </w:rPr>
      </w:pPr>
      <w:r w:rsidRPr="009E49F8">
        <w:rPr>
          <w:sz w:val="24"/>
          <w:szCs w:val="24"/>
        </w:rPr>
        <w:t xml:space="preserve"> </w:t>
      </w:r>
    </w:p>
    <w:p w14:paraId="7848D6D3" w14:textId="77777777" w:rsidR="006D4C67" w:rsidRPr="009E49F8" w:rsidRDefault="006D4C67" w:rsidP="007128C2">
      <w:pPr>
        <w:ind w:left="851"/>
        <w:rPr>
          <w:sz w:val="24"/>
          <w:szCs w:val="24"/>
        </w:rPr>
      </w:pPr>
      <w:r w:rsidRPr="009E49F8">
        <w:rPr>
          <w:sz w:val="24"/>
          <w:szCs w:val="24"/>
        </w:rPr>
        <w:t xml:space="preserve">Studie D2311 (PARADIGMS) var et dobbeltblindet, dobbelt-dummy, aktivkontrolleret studie med fleksibel varighed op til 24 måneder og med 215 patienter i alderen 10 til &lt;18 år (n=107 på </w:t>
      </w:r>
      <w:proofErr w:type="spellStart"/>
      <w:r w:rsidRPr="009E49F8">
        <w:rPr>
          <w:sz w:val="24"/>
          <w:szCs w:val="24"/>
        </w:rPr>
        <w:t>fingolimod</w:t>
      </w:r>
      <w:proofErr w:type="spellEnd"/>
      <w:r w:rsidRPr="009E49F8">
        <w:rPr>
          <w:sz w:val="24"/>
          <w:szCs w:val="24"/>
        </w:rPr>
        <w:t xml:space="preserve">, 108 på interferon beta-1a 30 µg ved intramuskulær injektion en gang ugentligt). </w:t>
      </w:r>
    </w:p>
    <w:p w14:paraId="1D66610E" w14:textId="77777777" w:rsidR="006D4C67" w:rsidRPr="009E49F8" w:rsidRDefault="006D4C67" w:rsidP="007128C2">
      <w:pPr>
        <w:ind w:left="851"/>
        <w:rPr>
          <w:sz w:val="24"/>
          <w:szCs w:val="24"/>
        </w:rPr>
      </w:pPr>
      <w:r w:rsidRPr="009E49F8">
        <w:rPr>
          <w:sz w:val="24"/>
          <w:szCs w:val="24"/>
        </w:rPr>
        <w:t xml:space="preserve"> </w:t>
      </w:r>
    </w:p>
    <w:p w14:paraId="7BA6080F" w14:textId="050F161E" w:rsidR="006D4C67" w:rsidRPr="009E49F8" w:rsidRDefault="006D4C67" w:rsidP="007128C2">
      <w:pPr>
        <w:ind w:left="851"/>
        <w:rPr>
          <w:sz w:val="24"/>
          <w:szCs w:val="24"/>
        </w:rPr>
      </w:pPr>
      <w:r w:rsidRPr="009E49F8">
        <w:rPr>
          <w:sz w:val="24"/>
          <w:szCs w:val="24"/>
        </w:rPr>
        <w:t xml:space="preserve">Medianværdier for baseline karakteristika var: alder 16 år, median sygdomsvarighed 1,5 år og </w:t>
      </w:r>
      <w:proofErr w:type="spellStart"/>
      <w:r w:rsidRPr="009E49F8">
        <w:rPr>
          <w:sz w:val="24"/>
          <w:szCs w:val="24"/>
        </w:rPr>
        <w:t>EDSSscore</w:t>
      </w:r>
      <w:proofErr w:type="spellEnd"/>
      <w:r w:rsidRPr="009E49F8">
        <w:rPr>
          <w:sz w:val="24"/>
          <w:szCs w:val="24"/>
        </w:rPr>
        <w:t xml:space="preserve"> 1,5. Størstedelen af patienterne var på </w:t>
      </w:r>
      <w:proofErr w:type="spellStart"/>
      <w:r w:rsidRPr="009E49F8">
        <w:rPr>
          <w:sz w:val="24"/>
          <w:szCs w:val="24"/>
        </w:rPr>
        <w:t>Tanners</w:t>
      </w:r>
      <w:proofErr w:type="spellEnd"/>
      <w:r w:rsidRPr="009E49F8">
        <w:rPr>
          <w:sz w:val="24"/>
          <w:szCs w:val="24"/>
        </w:rPr>
        <w:t xml:space="preserve"> stadium 2 eller mere (94,4</w:t>
      </w:r>
      <w:r w:rsidR="001C5480" w:rsidRPr="009E49F8">
        <w:rPr>
          <w:sz w:val="24"/>
          <w:szCs w:val="24"/>
        </w:rPr>
        <w:t> </w:t>
      </w:r>
      <w:r w:rsidRPr="009E49F8">
        <w:rPr>
          <w:sz w:val="24"/>
          <w:szCs w:val="24"/>
        </w:rPr>
        <w:t xml:space="preserve">%) og vejede &gt;40 kg (95,3 %). Samlet set gennemførte 180 (84 %) af patienterne hovedfasen af studiet på studielægemidlet (n=99 [92,5 %] på </w:t>
      </w:r>
      <w:proofErr w:type="spellStart"/>
      <w:r w:rsidRPr="009E49F8">
        <w:rPr>
          <w:sz w:val="24"/>
          <w:szCs w:val="24"/>
        </w:rPr>
        <w:t>fingolimod</w:t>
      </w:r>
      <w:proofErr w:type="spellEnd"/>
      <w:r w:rsidRPr="009E49F8">
        <w:rPr>
          <w:sz w:val="24"/>
          <w:szCs w:val="24"/>
        </w:rPr>
        <w:t xml:space="preserve">, 81 [75 %] på interferon beta-1a). Studiets resultater er vist i Tabel 4. </w:t>
      </w:r>
    </w:p>
    <w:p w14:paraId="2B902D93" w14:textId="77777777" w:rsidR="006D4C67" w:rsidRPr="009E49F8" w:rsidRDefault="006D4C67" w:rsidP="006D4C67">
      <w:pPr>
        <w:rPr>
          <w:sz w:val="24"/>
          <w:szCs w:val="24"/>
        </w:rPr>
      </w:pPr>
    </w:p>
    <w:p w14:paraId="55311946" w14:textId="2ED03C70" w:rsidR="006D4C67" w:rsidRPr="009E49F8" w:rsidRDefault="006D4C67" w:rsidP="006D4C67">
      <w:pPr>
        <w:rPr>
          <w:b/>
          <w:bCs/>
          <w:sz w:val="24"/>
          <w:szCs w:val="24"/>
        </w:rPr>
      </w:pPr>
      <w:r w:rsidRPr="009E49F8">
        <w:rPr>
          <w:b/>
          <w:bCs/>
          <w:sz w:val="24"/>
          <w:szCs w:val="24"/>
        </w:rPr>
        <w:t>Tabel 4</w:t>
      </w:r>
      <w:r w:rsidR="001C5480" w:rsidRPr="009E49F8">
        <w:rPr>
          <w:b/>
          <w:bCs/>
          <w:sz w:val="24"/>
          <w:szCs w:val="24"/>
        </w:rPr>
        <w:t>.</w:t>
      </w:r>
      <w:r w:rsidRPr="009E49F8">
        <w:rPr>
          <w:b/>
          <w:bCs/>
          <w:sz w:val="24"/>
          <w:szCs w:val="24"/>
        </w:rPr>
        <w:t xml:space="preserve"> Studie D2311 (PARADIGMS): hovedresultater</w:t>
      </w:r>
    </w:p>
    <w:p w14:paraId="57A36719" w14:textId="77777777" w:rsidR="006D4C67" w:rsidRPr="009E49F8" w:rsidRDefault="006D4C67" w:rsidP="006D4C67">
      <w:pPr>
        <w:rPr>
          <w:sz w:val="24"/>
          <w:szCs w:val="24"/>
        </w:rPr>
      </w:pPr>
    </w:p>
    <w:tbl>
      <w:tblPr>
        <w:tblStyle w:val="Tabel-Gitter"/>
        <w:tblW w:w="5000" w:type="pct"/>
        <w:tblInd w:w="0" w:type="dxa"/>
        <w:tblLook w:val="04A0" w:firstRow="1" w:lastRow="0" w:firstColumn="1" w:lastColumn="0" w:noHBand="0" w:noVBand="1"/>
      </w:tblPr>
      <w:tblGrid>
        <w:gridCol w:w="6020"/>
        <w:gridCol w:w="2016"/>
        <w:gridCol w:w="1592"/>
      </w:tblGrid>
      <w:tr w:rsidR="006D4C67" w:rsidRPr="009E49F8" w14:paraId="1B7FD457" w14:textId="77777777" w:rsidTr="007128C2">
        <w:tc>
          <w:tcPr>
            <w:tcW w:w="3126" w:type="pct"/>
            <w:tcBorders>
              <w:top w:val="single" w:sz="4" w:space="0" w:color="auto"/>
              <w:left w:val="single" w:sz="4" w:space="0" w:color="auto"/>
              <w:bottom w:val="single" w:sz="4" w:space="0" w:color="auto"/>
              <w:right w:val="single" w:sz="4" w:space="0" w:color="auto"/>
            </w:tcBorders>
          </w:tcPr>
          <w:p w14:paraId="32B70DAA" w14:textId="77777777" w:rsidR="006D4C67" w:rsidRPr="009E49F8" w:rsidRDefault="006D4C67" w:rsidP="00524361">
            <w:pPr>
              <w:jc w:val="left"/>
              <w:rPr>
                <w:rStyle w:val="Strk"/>
                <w:rFonts w:ascii="Times New Roman" w:hAnsi="Times New Roman" w:cs="Times New Roman"/>
                <w:bCs w:val="0"/>
                <w:sz w:val="22"/>
                <w:lang w:val="da-DK"/>
              </w:rPr>
            </w:pPr>
          </w:p>
        </w:tc>
        <w:tc>
          <w:tcPr>
            <w:tcW w:w="1047" w:type="pct"/>
            <w:tcBorders>
              <w:top w:val="single" w:sz="4" w:space="0" w:color="auto"/>
              <w:left w:val="single" w:sz="4" w:space="0" w:color="auto"/>
              <w:bottom w:val="single" w:sz="4" w:space="0" w:color="auto"/>
              <w:right w:val="single" w:sz="4" w:space="0" w:color="auto"/>
            </w:tcBorders>
            <w:hideMark/>
          </w:tcPr>
          <w:p w14:paraId="3393F598" w14:textId="77777777" w:rsidR="006D4C67" w:rsidRPr="009E49F8" w:rsidRDefault="006D4C67" w:rsidP="00524361">
            <w:pPr>
              <w:jc w:val="left"/>
              <w:rPr>
                <w:rStyle w:val="Strk"/>
                <w:rFonts w:ascii="Times New Roman" w:hAnsi="Times New Roman" w:cs="Times New Roman"/>
                <w:sz w:val="22"/>
                <w:lang w:val="da-DK"/>
              </w:rPr>
            </w:pPr>
            <w:proofErr w:type="spellStart"/>
            <w:r w:rsidRPr="009E49F8">
              <w:rPr>
                <w:rStyle w:val="Strk"/>
                <w:rFonts w:ascii="Times New Roman" w:hAnsi="Times New Roman" w:cs="Times New Roman"/>
                <w:sz w:val="22"/>
                <w:lang w:val="da-DK"/>
              </w:rPr>
              <w:t>Fingolimod</w:t>
            </w:r>
            <w:proofErr w:type="spellEnd"/>
          </w:p>
          <w:p w14:paraId="4E41A2F5" w14:textId="77777777" w:rsidR="006D4C67" w:rsidRPr="009E49F8" w:rsidRDefault="006D4C67" w:rsidP="00524361">
            <w:pPr>
              <w:jc w:val="left"/>
              <w:rPr>
                <w:rStyle w:val="Strk"/>
                <w:rFonts w:ascii="Times New Roman" w:hAnsi="Times New Roman" w:cs="Times New Roman"/>
                <w:bCs w:val="0"/>
                <w:sz w:val="22"/>
                <w:lang w:val="da-DK"/>
              </w:rPr>
            </w:pPr>
            <w:r w:rsidRPr="009E49F8">
              <w:rPr>
                <w:rStyle w:val="Strk"/>
                <w:rFonts w:ascii="Times New Roman" w:hAnsi="Times New Roman" w:cs="Times New Roman"/>
                <w:sz w:val="22"/>
                <w:lang w:val="da-DK"/>
              </w:rPr>
              <w:t>0,25 mg eller 0,5 mg</w:t>
            </w:r>
          </w:p>
        </w:tc>
        <w:tc>
          <w:tcPr>
            <w:tcW w:w="827" w:type="pct"/>
            <w:tcBorders>
              <w:top w:val="single" w:sz="4" w:space="0" w:color="auto"/>
              <w:left w:val="single" w:sz="4" w:space="0" w:color="auto"/>
              <w:bottom w:val="single" w:sz="4" w:space="0" w:color="auto"/>
              <w:right w:val="single" w:sz="4" w:space="0" w:color="auto"/>
            </w:tcBorders>
            <w:hideMark/>
          </w:tcPr>
          <w:p w14:paraId="47156992" w14:textId="77777777" w:rsidR="006D4C67" w:rsidRPr="009E49F8" w:rsidRDefault="006D4C67" w:rsidP="00524361">
            <w:pPr>
              <w:jc w:val="left"/>
              <w:rPr>
                <w:rStyle w:val="Strk"/>
                <w:rFonts w:ascii="Times New Roman" w:hAnsi="Times New Roman" w:cs="Times New Roman"/>
                <w:sz w:val="22"/>
                <w:lang w:val="da-DK"/>
              </w:rPr>
            </w:pPr>
            <w:r w:rsidRPr="009E49F8">
              <w:rPr>
                <w:rStyle w:val="Strk"/>
                <w:rFonts w:ascii="Times New Roman" w:hAnsi="Times New Roman" w:cs="Times New Roman"/>
                <w:sz w:val="22"/>
                <w:lang w:val="da-DK"/>
              </w:rPr>
              <w:t>Interferon beta-1a, 30 µg</w:t>
            </w:r>
          </w:p>
        </w:tc>
      </w:tr>
      <w:tr w:rsidR="006D4C67" w:rsidRPr="009E49F8" w14:paraId="0EAC0DB8" w14:textId="77777777" w:rsidTr="007128C2">
        <w:tc>
          <w:tcPr>
            <w:tcW w:w="3126" w:type="pct"/>
            <w:tcBorders>
              <w:top w:val="single" w:sz="4" w:space="0" w:color="auto"/>
              <w:left w:val="single" w:sz="4" w:space="0" w:color="auto"/>
              <w:bottom w:val="single" w:sz="4" w:space="0" w:color="auto"/>
              <w:right w:val="single" w:sz="4" w:space="0" w:color="auto"/>
            </w:tcBorders>
            <w:hideMark/>
          </w:tcPr>
          <w:p w14:paraId="1201E054" w14:textId="77777777" w:rsidR="006D4C67" w:rsidRPr="009E49F8" w:rsidRDefault="006D4C67" w:rsidP="00524361">
            <w:pPr>
              <w:jc w:val="left"/>
              <w:rPr>
                <w:rStyle w:val="Strk"/>
                <w:rFonts w:ascii="Times New Roman" w:hAnsi="Times New Roman" w:cs="Times New Roman"/>
                <w:sz w:val="22"/>
                <w:lang w:val="da-DK"/>
              </w:rPr>
            </w:pPr>
            <w:r w:rsidRPr="009E49F8">
              <w:rPr>
                <w:rStyle w:val="Strk"/>
                <w:rFonts w:ascii="Times New Roman" w:hAnsi="Times New Roman" w:cs="Times New Roman"/>
                <w:sz w:val="22"/>
                <w:lang w:val="da-DK"/>
              </w:rPr>
              <w:t>Kliniske endepunkter</w:t>
            </w:r>
          </w:p>
        </w:tc>
        <w:tc>
          <w:tcPr>
            <w:tcW w:w="1047" w:type="pct"/>
            <w:tcBorders>
              <w:top w:val="single" w:sz="4" w:space="0" w:color="auto"/>
              <w:left w:val="single" w:sz="4" w:space="0" w:color="auto"/>
              <w:bottom w:val="single" w:sz="4" w:space="0" w:color="auto"/>
              <w:right w:val="single" w:sz="4" w:space="0" w:color="auto"/>
            </w:tcBorders>
            <w:hideMark/>
          </w:tcPr>
          <w:p w14:paraId="6D07BE5F"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n=107</w:t>
            </w:r>
          </w:p>
        </w:tc>
        <w:tc>
          <w:tcPr>
            <w:tcW w:w="827" w:type="pct"/>
            <w:tcBorders>
              <w:top w:val="single" w:sz="4" w:space="0" w:color="auto"/>
              <w:left w:val="single" w:sz="4" w:space="0" w:color="auto"/>
              <w:bottom w:val="single" w:sz="4" w:space="0" w:color="auto"/>
              <w:right w:val="single" w:sz="4" w:space="0" w:color="auto"/>
            </w:tcBorders>
            <w:hideMark/>
          </w:tcPr>
          <w:p w14:paraId="5D1F23C4"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n=107 </w:t>
            </w:r>
            <w:r w:rsidRPr="009E49F8">
              <w:rPr>
                <w:rStyle w:val="Strk"/>
                <w:rFonts w:ascii="Times New Roman" w:hAnsi="Times New Roman" w:cs="Times New Roman"/>
                <w:b w:val="0"/>
                <w:sz w:val="22"/>
                <w:vertAlign w:val="superscript"/>
                <w:lang w:val="da-DK"/>
              </w:rPr>
              <w:t>#</w:t>
            </w:r>
          </w:p>
        </w:tc>
      </w:tr>
      <w:tr w:rsidR="006D4C67" w:rsidRPr="009E49F8" w14:paraId="17F7BAAD" w14:textId="77777777" w:rsidTr="007128C2">
        <w:tc>
          <w:tcPr>
            <w:tcW w:w="3126" w:type="pct"/>
            <w:tcBorders>
              <w:top w:val="single" w:sz="4" w:space="0" w:color="auto"/>
              <w:left w:val="single" w:sz="4" w:space="0" w:color="auto"/>
              <w:bottom w:val="single" w:sz="4" w:space="0" w:color="auto"/>
              <w:right w:val="single" w:sz="4" w:space="0" w:color="auto"/>
            </w:tcBorders>
            <w:hideMark/>
          </w:tcPr>
          <w:p w14:paraId="7996F474"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Årlig relapsrate (primært endepunkt)</w:t>
            </w:r>
          </w:p>
        </w:tc>
        <w:tc>
          <w:tcPr>
            <w:tcW w:w="1047" w:type="pct"/>
            <w:tcBorders>
              <w:top w:val="single" w:sz="4" w:space="0" w:color="auto"/>
              <w:left w:val="single" w:sz="4" w:space="0" w:color="auto"/>
              <w:bottom w:val="single" w:sz="4" w:space="0" w:color="auto"/>
              <w:right w:val="single" w:sz="4" w:space="0" w:color="auto"/>
            </w:tcBorders>
            <w:hideMark/>
          </w:tcPr>
          <w:p w14:paraId="2F2CF137"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0,122 **</w:t>
            </w:r>
          </w:p>
        </w:tc>
        <w:tc>
          <w:tcPr>
            <w:tcW w:w="827" w:type="pct"/>
            <w:tcBorders>
              <w:top w:val="single" w:sz="4" w:space="0" w:color="auto"/>
              <w:left w:val="single" w:sz="4" w:space="0" w:color="auto"/>
              <w:bottom w:val="single" w:sz="4" w:space="0" w:color="auto"/>
              <w:right w:val="single" w:sz="4" w:space="0" w:color="auto"/>
            </w:tcBorders>
            <w:hideMark/>
          </w:tcPr>
          <w:p w14:paraId="6A2E942F"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0,675</w:t>
            </w:r>
          </w:p>
        </w:tc>
      </w:tr>
      <w:tr w:rsidR="006D4C67" w:rsidRPr="009E49F8" w14:paraId="7BA2BE2F" w14:textId="77777777" w:rsidTr="007128C2">
        <w:tc>
          <w:tcPr>
            <w:tcW w:w="3126" w:type="pct"/>
            <w:tcBorders>
              <w:top w:val="single" w:sz="4" w:space="0" w:color="auto"/>
              <w:left w:val="single" w:sz="4" w:space="0" w:color="auto"/>
              <w:bottom w:val="single" w:sz="4" w:space="0" w:color="auto"/>
              <w:right w:val="single" w:sz="4" w:space="0" w:color="auto"/>
            </w:tcBorders>
            <w:hideMark/>
          </w:tcPr>
          <w:p w14:paraId="15C12C08"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Procentdel af patienter, som forblev relapsfrie ved 24 måneder</w:t>
            </w:r>
          </w:p>
        </w:tc>
        <w:tc>
          <w:tcPr>
            <w:tcW w:w="1047" w:type="pct"/>
            <w:tcBorders>
              <w:top w:val="single" w:sz="4" w:space="0" w:color="auto"/>
              <w:left w:val="single" w:sz="4" w:space="0" w:color="auto"/>
              <w:bottom w:val="single" w:sz="4" w:space="0" w:color="auto"/>
              <w:right w:val="single" w:sz="4" w:space="0" w:color="auto"/>
            </w:tcBorders>
            <w:hideMark/>
          </w:tcPr>
          <w:p w14:paraId="2EC2F6B0"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85,7 **</w:t>
            </w:r>
          </w:p>
        </w:tc>
        <w:tc>
          <w:tcPr>
            <w:tcW w:w="827" w:type="pct"/>
            <w:tcBorders>
              <w:top w:val="single" w:sz="4" w:space="0" w:color="auto"/>
              <w:left w:val="single" w:sz="4" w:space="0" w:color="auto"/>
              <w:bottom w:val="single" w:sz="4" w:space="0" w:color="auto"/>
              <w:right w:val="single" w:sz="4" w:space="0" w:color="auto"/>
            </w:tcBorders>
            <w:hideMark/>
          </w:tcPr>
          <w:p w14:paraId="087E983B"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38,8</w:t>
            </w:r>
          </w:p>
        </w:tc>
      </w:tr>
      <w:tr w:rsidR="006D4C67" w:rsidRPr="009E49F8" w14:paraId="02F29792" w14:textId="77777777" w:rsidTr="007128C2">
        <w:tc>
          <w:tcPr>
            <w:tcW w:w="3126" w:type="pct"/>
            <w:tcBorders>
              <w:top w:val="single" w:sz="4" w:space="0" w:color="auto"/>
              <w:left w:val="single" w:sz="4" w:space="0" w:color="auto"/>
              <w:bottom w:val="single" w:sz="4" w:space="0" w:color="auto"/>
              <w:right w:val="single" w:sz="4" w:space="0" w:color="auto"/>
            </w:tcBorders>
            <w:hideMark/>
          </w:tcPr>
          <w:p w14:paraId="2D671E77" w14:textId="71E9D63A" w:rsidR="006D4C67" w:rsidRPr="009E49F8" w:rsidRDefault="003D41D0" w:rsidP="00524361">
            <w:pPr>
              <w:jc w:val="left"/>
              <w:rPr>
                <w:rStyle w:val="Strk"/>
                <w:rFonts w:ascii="Times New Roman" w:hAnsi="Times New Roman" w:cs="Times New Roman"/>
                <w:sz w:val="22"/>
                <w:lang w:val="da-DK"/>
              </w:rPr>
            </w:pPr>
            <w:r w:rsidRPr="009E49F8">
              <w:rPr>
                <w:rStyle w:val="Strk"/>
                <w:rFonts w:ascii="Times New Roman" w:hAnsi="Times New Roman" w:cs="Times New Roman"/>
                <w:sz w:val="22"/>
                <w:lang w:val="da-DK"/>
              </w:rPr>
              <w:t>MRI-endepunkter</w:t>
            </w:r>
          </w:p>
        </w:tc>
        <w:tc>
          <w:tcPr>
            <w:tcW w:w="1047" w:type="pct"/>
            <w:tcBorders>
              <w:top w:val="single" w:sz="4" w:space="0" w:color="auto"/>
              <w:left w:val="single" w:sz="4" w:space="0" w:color="auto"/>
              <w:bottom w:val="single" w:sz="4" w:space="0" w:color="auto"/>
              <w:right w:val="single" w:sz="4" w:space="0" w:color="auto"/>
            </w:tcBorders>
          </w:tcPr>
          <w:p w14:paraId="68088BC7" w14:textId="77777777" w:rsidR="006D4C67" w:rsidRPr="009E49F8" w:rsidRDefault="006D4C67" w:rsidP="00524361">
            <w:pPr>
              <w:jc w:val="left"/>
              <w:rPr>
                <w:rStyle w:val="Strk"/>
                <w:rFonts w:ascii="Times New Roman" w:hAnsi="Times New Roman" w:cs="Times New Roman"/>
                <w:bCs w:val="0"/>
                <w:sz w:val="22"/>
                <w:lang w:val="da-DK"/>
              </w:rPr>
            </w:pPr>
          </w:p>
        </w:tc>
        <w:tc>
          <w:tcPr>
            <w:tcW w:w="827" w:type="pct"/>
            <w:tcBorders>
              <w:top w:val="single" w:sz="4" w:space="0" w:color="auto"/>
              <w:left w:val="single" w:sz="4" w:space="0" w:color="auto"/>
              <w:bottom w:val="single" w:sz="4" w:space="0" w:color="auto"/>
              <w:right w:val="single" w:sz="4" w:space="0" w:color="auto"/>
            </w:tcBorders>
          </w:tcPr>
          <w:p w14:paraId="2AE73540" w14:textId="77777777" w:rsidR="006D4C67" w:rsidRPr="009E49F8" w:rsidRDefault="006D4C67" w:rsidP="00524361">
            <w:pPr>
              <w:jc w:val="left"/>
              <w:rPr>
                <w:rStyle w:val="Strk"/>
                <w:rFonts w:ascii="Times New Roman" w:hAnsi="Times New Roman" w:cs="Times New Roman"/>
                <w:bCs w:val="0"/>
                <w:sz w:val="22"/>
                <w:lang w:val="da-DK"/>
              </w:rPr>
            </w:pPr>
          </w:p>
        </w:tc>
      </w:tr>
      <w:tr w:rsidR="006D4C67" w:rsidRPr="009E49F8" w14:paraId="7D879C25" w14:textId="77777777" w:rsidTr="007128C2">
        <w:tc>
          <w:tcPr>
            <w:tcW w:w="3126" w:type="pct"/>
            <w:tcBorders>
              <w:top w:val="single" w:sz="4" w:space="0" w:color="auto"/>
              <w:left w:val="single" w:sz="4" w:space="0" w:color="auto"/>
              <w:bottom w:val="single" w:sz="4" w:space="0" w:color="auto"/>
              <w:right w:val="single" w:sz="4" w:space="0" w:color="auto"/>
            </w:tcBorders>
            <w:hideMark/>
          </w:tcPr>
          <w:p w14:paraId="2FAD5BCF"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Årlig rate af antal nye eller nyligt forstørrede T2læsioner</w:t>
            </w:r>
          </w:p>
        </w:tc>
        <w:tc>
          <w:tcPr>
            <w:tcW w:w="1047" w:type="pct"/>
            <w:tcBorders>
              <w:top w:val="single" w:sz="4" w:space="0" w:color="auto"/>
              <w:left w:val="single" w:sz="4" w:space="0" w:color="auto"/>
              <w:bottom w:val="single" w:sz="4" w:space="0" w:color="auto"/>
              <w:right w:val="single" w:sz="4" w:space="0" w:color="auto"/>
            </w:tcBorders>
            <w:hideMark/>
          </w:tcPr>
          <w:p w14:paraId="28A7EEA4"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n=106</w:t>
            </w:r>
          </w:p>
        </w:tc>
        <w:tc>
          <w:tcPr>
            <w:tcW w:w="827" w:type="pct"/>
            <w:tcBorders>
              <w:top w:val="single" w:sz="4" w:space="0" w:color="auto"/>
              <w:left w:val="single" w:sz="4" w:space="0" w:color="auto"/>
              <w:bottom w:val="single" w:sz="4" w:space="0" w:color="auto"/>
              <w:right w:val="single" w:sz="4" w:space="0" w:color="auto"/>
            </w:tcBorders>
            <w:hideMark/>
          </w:tcPr>
          <w:p w14:paraId="4D7ADD46"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n=102</w:t>
            </w:r>
          </w:p>
        </w:tc>
      </w:tr>
      <w:tr w:rsidR="006D4C67" w:rsidRPr="009E49F8" w14:paraId="52620EA0" w14:textId="77777777" w:rsidTr="007128C2">
        <w:tc>
          <w:tcPr>
            <w:tcW w:w="3126" w:type="pct"/>
            <w:tcBorders>
              <w:top w:val="single" w:sz="4" w:space="0" w:color="auto"/>
              <w:left w:val="single" w:sz="4" w:space="0" w:color="auto"/>
              <w:bottom w:val="single" w:sz="4" w:space="0" w:color="auto"/>
              <w:right w:val="single" w:sz="4" w:space="0" w:color="auto"/>
            </w:tcBorders>
            <w:hideMark/>
          </w:tcPr>
          <w:p w14:paraId="567E2FDA"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Justeret gennemsnit</w:t>
            </w:r>
          </w:p>
        </w:tc>
        <w:tc>
          <w:tcPr>
            <w:tcW w:w="1047" w:type="pct"/>
            <w:tcBorders>
              <w:top w:val="single" w:sz="4" w:space="0" w:color="auto"/>
              <w:left w:val="single" w:sz="4" w:space="0" w:color="auto"/>
              <w:bottom w:val="single" w:sz="4" w:space="0" w:color="auto"/>
              <w:right w:val="single" w:sz="4" w:space="0" w:color="auto"/>
            </w:tcBorders>
            <w:hideMark/>
          </w:tcPr>
          <w:p w14:paraId="41FE9423"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4,393 **</w:t>
            </w:r>
          </w:p>
        </w:tc>
        <w:tc>
          <w:tcPr>
            <w:tcW w:w="827" w:type="pct"/>
            <w:tcBorders>
              <w:top w:val="single" w:sz="4" w:space="0" w:color="auto"/>
              <w:left w:val="single" w:sz="4" w:space="0" w:color="auto"/>
              <w:bottom w:val="single" w:sz="4" w:space="0" w:color="auto"/>
              <w:right w:val="single" w:sz="4" w:space="0" w:color="auto"/>
            </w:tcBorders>
            <w:hideMark/>
          </w:tcPr>
          <w:p w14:paraId="5E85E9AA"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9,269</w:t>
            </w:r>
          </w:p>
        </w:tc>
      </w:tr>
      <w:tr w:rsidR="006D4C67" w:rsidRPr="009E49F8" w14:paraId="21AD293F" w14:textId="77777777" w:rsidTr="007128C2">
        <w:tc>
          <w:tcPr>
            <w:tcW w:w="3126" w:type="pct"/>
            <w:tcBorders>
              <w:top w:val="single" w:sz="4" w:space="0" w:color="auto"/>
              <w:left w:val="single" w:sz="4" w:space="0" w:color="auto"/>
              <w:bottom w:val="single" w:sz="4" w:space="0" w:color="auto"/>
              <w:right w:val="single" w:sz="4" w:space="0" w:color="auto"/>
            </w:tcBorders>
            <w:hideMark/>
          </w:tcPr>
          <w:p w14:paraId="16D7F13C"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 xml:space="preserve">Antal </w:t>
            </w:r>
            <w:proofErr w:type="spellStart"/>
            <w:r w:rsidRPr="009E49F8">
              <w:rPr>
                <w:rStyle w:val="Strk"/>
                <w:rFonts w:ascii="Times New Roman" w:hAnsi="Times New Roman" w:cs="Times New Roman"/>
                <w:b w:val="0"/>
                <w:sz w:val="22"/>
                <w:lang w:val="da-DK"/>
              </w:rPr>
              <w:t>Gd</w:t>
            </w:r>
            <w:proofErr w:type="spellEnd"/>
            <w:r w:rsidRPr="009E49F8">
              <w:rPr>
                <w:rStyle w:val="Strk"/>
                <w:rFonts w:ascii="Times New Roman" w:hAnsi="Times New Roman" w:cs="Times New Roman"/>
                <w:b w:val="0"/>
                <w:sz w:val="22"/>
                <w:lang w:val="da-DK"/>
              </w:rPr>
              <w:t>-opladende T1-læsioner pr. scanning indtil måned 24</w:t>
            </w:r>
          </w:p>
        </w:tc>
        <w:tc>
          <w:tcPr>
            <w:tcW w:w="1047" w:type="pct"/>
            <w:tcBorders>
              <w:top w:val="single" w:sz="4" w:space="0" w:color="auto"/>
              <w:left w:val="single" w:sz="4" w:space="0" w:color="auto"/>
              <w:bottom w:val="single" w:sz="4" w:space="0" w:color="auto"/>
              <w:right w:val="single" w:sz="4" w:space="0" w:color="auto"/>
            </w:tcBorders>
            <w:hideMark/>
          </w:tcPr>
          <w:p w14:paraId="754E4DDB"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n=105</w:t>
            </w:r>
          </w:p>
        </w:tc>
        <w:tc>
          <w:tcPr>
            <w:tcW w:w="827" w:type="pct"/>
            <w:tcBorders>
              <w:top w:val="single" w:sz="4" w:space="0" w:color="auto"/>
              <w:left w:val="single" w:sz="4" w:space="0" w:color="auto"/>
              <w:bottom w:val="single" w:sz="4" w:space="0" w:color="auto"/>
              <w:right w:val="single" w:sz="4" w:space="0" w:color="auto"/>
            </w:tcBorders>
            <w:hideMark/>
          </w:tcPr>
          <w:p w14:paraId="580DBA33"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n=95</w:t>
            </w:r>
          </w:p>
        </w:tc>
      </w:tr>
      <w:tr w:rsidR="006D4C67" w:rsidRPr="009E49F8" w14:paraId="638BCBF2" w14:textId="77777777" w:rsidTr="007128C2">
        <w:tc>
          <w:tcPr>
            <w:tcW w:w="3126" w:type="pct"/>
            <w:tcBorders>
              <w:top w:val="single" w:sz="4" w:space="0" w:color="auto"/>
              <w:left w:val="single" w:sz="4" w:space="0" w:color="auto"/>
              <w:bottom w:val="single" w:sz="4" w:space="0" w:color="auto"/>
              <w:right w:val="single" w:sz="4" w:space="0" w:color="auto"/>
            </w:tcBorders>
            <w:hideMark/>
          </w:tcPr>
          <w:p w14:paraId="0B140CE3"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Justeret gennemsnit</w:t>
            </w:r>
          </w:p>
        </w:tc>
        <w:tc>
          <w:tcPr>
            <w:tcW w:w="1047" w:type="pct"/>
            <w:tcBorders>
              <w:top w:val="single" w:sz="4" w:space="0" w:color="auto"/>
              <w:left w:val="single" w:sz="4" w:space="0" w:color="auto"/>
              <w:bottom w:val="single" w:sz="4" w:space="0" w:color="auto"/>
              <w:right w:val="single" w:sz="4" w:space="0" w:color="auto"/>
            </w:tcBorders>
            <w:hideMark/>
          </w:tcPr>
          <w:p w14:paraId="1B3F2062"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0,436 **</w:t>
            </w:r>
          </w:p>
        </w:tc>
        <w:tc>
          <w:tcPr>
            <w:tcW w:w="827" w:type="pct"/>
            <w:tcBorders>
              <w:top w:val="single" w:sz="4" w:space="0" w:color="auto"/>
              <w:left w:val="single" w:sz="4" w:space="0" w:color="auto"/>
              <w:bottom w:val="single" w:sz="4" w:space="0" w:color="auto"/>
              <w:right w:val="single" w:sz="4" w:space="0" w:color="auto"/>
            </w:tcBorders>
            <w:hideMark/>
          </w:tcPr>
          <w:p w14:paraId="5FCA00C1"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1,282</w:t>
            </w:r>
          </w:p>
        </w:tc>
      </w:tr>
      <w:tr w:rsidR="006D4C67" w:rsidRPr="009E49F8" w14:paraId="4CD9646C" w14:textId="77777777" w:rsidTr="007128C2">
        <w:tc>
          <w:tcPr>
            <w:tcW w:w="3126" w:type="pct"/>
            <w:tcBorders>
              <w:top w:val="single" w:sz="4" w:space="0" w:color="auto"/>
              <w:left w:val="single" w:sz="4" w:space="0" w:color="auto"/>
              <w:bottom w:val="single" w:sz="4" w:space="0" w:color="auto"/>
              <w:right w:val="single" w:sz="4" w:space="0" w:color="auto"/>
            </w:tcBorders>
            <w:hideMark/>
          </w:tcPr>
          <w:p w14:paraId="051BE8F8"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Årlig rate af hjerneatrofi fra udgangspunktet indtil måned 24</w:t>
            </w:r>
          </w:p>
        </w:tc>
        <w:tc>
          <w:tcPr>
            <w:tcW w:w="1047" w:type="pct"/>
            <w:tcBorders>
              <w:top w:val="single" w:sz="4" w:space="0" w:color="auto"/>
              <w:left w:val="single" w:sz="4" w:space="0" w:color="auto"/>
              <w:bottom w:val="single" w:sz="4" w:space="0" w:color="auto"/>
              <w:right w:val="single" w:sz="4" w:space="0" w:color="auto"/>
            </w:tcBorders>
            <w:hideMark/>
          </w:tcPr>
          <w:p w14:paraId="1AC534B5"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n=96</w:t>
            </w:r>
          </w:p>
        </w:tc>
        <w:tc>
          <w:tcPr>
            <w:tcW w:w="827" w:type="pct"/>
            <w:tcBorders>
              <w:top w:val="single" w:sz="4" w:space="0" w:color="auto"/>
              <w:left w:val="single" w:sz="4" w:space="0" w:color="auto"/>
              <w:bottom w:val="single" w:sz="4" w:space="0" w:color="auto"/>
              <w:right w:val="single" w:sz="4" w:space="0" w:color="auto"/>
            </w:tcBorders>
            <w:hideMark/>
          </w:tcPr>
          <w:p w14:paraId="1A83C997"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n=89</w:t>
            </w:r>
          </w:p>
        </w:tc>
      </w:tr>
      <w:tr w:rsidR="006D4C67" w:rsidRPr="009E49F8" w14:paraId="72D3F2B3" w14:textId="77777777" w:rsidTr="007128C2">
        <w:tc>
          <w:tcPr>
            <w:tcW w:w="3126" w:type="pct"/>
            <w:tcBorders>
              <w:top w:val="single" w:sz="4" w:space="0" w:color="auto"/>
              <w:left w:val="single" w:sz="4" w:space="0" w:color="auto"/>
              <w:bottom w:val="single" w:sz="4" w:space="0" w:color="auto"/>
              <w:right w:val="single" w:sz="4" w:space="0" w:color="auto"/>
            </w:tcBorders>
            <w:hideMark/>
          </w:tcPr>
          <w:p w14:paraId="4AEE5069"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Mindste kvadraters gennemsnit</w:t>
            </w:r>
          </w:p>
        </w:tc>
        <w:tc>
          <w:tcPr>
            <w:tcW w:w="1047" w:type="pct"/>
            <w:tcBorders>
              <w:top w:val="single" w:sz="4" w:space="0" w:color="auto"/>
              <w:left w:val="single" w:sz="4" w:space="0" w:color="auto"/>
              <w:bottom w:val="single" w:sz="4" w:space="0" w:color="auto"/>
              <w:right w:val="single" w:sz="4" w:space="0" w:color="auto"/>
            </w:tcBorders>
            <w:hideMark/>
          </w:tcPr>
          <w:p w14:paraId="338FA96E"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-0,48 *</w:t>
            </w:r>
          </w:p>
        </w:tc>
        <w:tc>
          <w:tcPr>
            <w:tcW w:w="827" w:type="pct"/>
            <w:tcBorders>
              <w:top w:val="single" w:sz="4" w:space="0" w:color="auto"/>
              <w:left w:val="single" w:sz="4" w:space="0" w:color="auto"/>
              <w:bottom w:val="single" w:sz="4" w:space="0" w:color="auto"/>
              <w:right w:val="single" w:sz="4" w:space="0" w:color="auto"/>
            </w:tcBorders>
            <w:hideMark/>
          </w:tcPr>
          <w:p w14:paraId="2963C045"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-0,80</w:t>
            </w:r>
          </w:p>
        </w:tc>
      </w:tr>
      <w:tr w:rsidR="006D4C67" w:rsidRPr="009E49F8" w14:paraId="71EA58BD" w14:textId="77777777" w:rsidTr="007128C2">
        <w:tc>
          <w:tcPr>
            <w:tcW w:w="5000" w:type="pct"/>
            <w:gridSpan w:val="3"/>
            <w:tcBorders>
              <w:top w:val="single" w:sz="4" w:space="0" w:color="auto"/>
              <w:left w:val="single" w:sz="4" w:space="0" w:color="auto"/>
              <w:bottom w:val="single" w:sz="4" w:space="0" w:color="auto"/>
              <w:right w:val="single" w:sz="4" w:space="0" w:color="auto"/>
            </w:tcBorders>
            <w:hideMark/>
          </w:tcPr>
          <w:p w14:paraId="4812C2D9" w14:textId="09BFE8EF"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vertAlign w:val="superscript"/>
                <w:lang w:val="da-DK"/>
              </w:rPr>
              <w:t>#</w:t>
            </w:r>
            <w:r w:rsidR="00693226" w:rsidRPr="009E49F8">
              <w:rPr>
                <w:rStyle w:val="Strk"/>
                <w:rFonts w:ascii="Times New Roman" w:hAnsi="Times New Roman" w:cs="Times New Roman"/>
                <w:b w:val="0"/>
                <w:sz w:val="22"/>
                <w:vertAlign w:val="superscript"/>
                <w:lang w:val="da-DK"/>
              </w:rPr>
              <w:t xml:space="preserve"> </w:t>
            </w:r>
            <w:r w:rsidRPr="009E49F8">
              <w:rPr>
                <w:rStyle w:val="Strk"/>
                <w:rFonts w:ascii="Times New Roman" w:hAnsi="Times New Roman" w:cs="Times New Roman"/>
                <w:b w:val="0"/>
                <w:sz w:val="22"/>
                <w:lang w:val="da-DK"/>
              </w:rPr>
              <w:t>Én patient, som blev randomiseret til at få interferon beta-1a ved intramuskulær injektion, kunne ikke synke double-dummy medicinen og ophørte i studiet. Patienten blev ekskluderet fra det komplette analyse- og sikkerhedssæt.</w:t>
            </w:r>
          </w:p>
          <w:p w14:paraId="12C9E88F" w14:textId="3C4B9611"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w:t>
            </w:r>
            <w:r w:rsidR="00693226" w:rsidRPr="009E49F8">
              <w:rPr>
                <w:rStyle w:val="Strk"/>
                <w:rFonts w:ascii="Times New Roman" w:hAnsi="Times New Roman" w:cs="Times New Roman"/>
                <w:b w:val="0"/>
                <w:sz w:val="22"/>
                <w:lang w:val="da-DK"/>
              </w:rPr>
              <w:t xml:space="preserve"> </w:t>
            </w:r>
            <w:r w:rsidRPr="009E49F8">
              <w:rPr>
                <w:rStyle w:val="Strk"/>
                <w:rFonts w:ascii="Times New Roman" w:hAnsi="Times New Roman" w:cs="Times New Roman"/>
                <w:b w:val="0"/>
                <w:sz w:val="22"/>
                <w:lang w:val="da-DK"/>
              </w:rPr>
              <w:t>p &lt; 0,05, ** p &lt; 0,001, sammenlignet med interferon beta-1a</w:t>
            </w:r>
          </w:p>
          <w:p w14:paraId="66EB74BD" w14:textId="77777777" w:rsidR="006D4C67" w:rsidRPr="009E49F8" w:rsidRDefault="006D4C67" w:rsidP="00524361">
            <w:pPr>
              <w:jc w:val="left"/>
              <w:rPr>
                <w:rStyle w:val="Strk"/>
                <w:rFonts w:ascii="Times New Roman" w:hAnsi="Times New Roman" w:cs="Times New Roman"/>
                <w:b w:val="0"/>
                <w:bCs w:val="0"/>
                <w:sz w:val="22"/>
                <w:lang w:val="da-DK"/>
              </w:rPr>
            </w:pPr>
            <w:r w:rsidRPr="009E49F8">
              <w:rPr>
                <w:rStyle w:val="Strk"/>
                <w:rFonts w:ascii="Times New Roman" w:hAnsi="Times New Roman" w:cs="Times New Roman"/>
                <w:b w:val="0"/>
                <w:sz w:val="22"/>
                <w:lang w:val="da-DK"/>
              </w:rPr>
              <w:t>Alle analyser af kliniske endepunkter blev foretaget på hele analysesættet.</w:t>
            </w:r>
          </w:p>
        </w:tc>
      </w:tr>
    </w:tbl>
    <w:p w14:paraId="73779F61" w14:textId="77777777" w:rsidR="009260DE" w:rsidRPr="009E49F8" w:rsidRDefault="009260DE" w:rsidP="009260DE">
      <w:pPr>
        <w:tabs>
          <w:tab w:val="left" w:pos="851"/>
        </w:tabs>
        <w:ind w:left="851"/>
        <w:rPr>
          <w:sz w:val="24"/>
          <w:szCs w:val="24"/>
        </w:rPr>
      </w:pPr>
    </w:p>
    <w:p w14:paraId="4F2A47DF" w14:textId="77777777" w:rsidR="009260DE" w:rsidRPr="009E49F8" w:rsidRDefault="009260DE" w:rsidP="009260DE">
      <w:pPr>
        <w:tabs>
          <w:tab w:val="left" w:pos="851"/>
        </w:tabs>
        <w:ind w:left="851" w:hanging="851"/>
        <w:rPr>
          <w:b/>
          <w:sz w:val="24"/>
          <w:szCs w:val="24"/>
        </w:rPr>
      </w:pPr>
      <w:r w:rsidRPr="009E49F8">
        <w:rPr>
          <w:b/>
          <w:sz w:val="24"/>
          <w:szCs w:val="24"/>
        </w:rPr>
        <w:t>5.2</w:t>
      </w:r>
      <w:r w:rsidRPr="009E49F8">
        <w:rPr>
          <w:b/>
          <w:sz w:val="24"/>
          <w:szCs w:val="24"/>
        </w:rPr>
        <w:tab/>
      </w:r>
      <w:proofErr w:type="spellStart"/>
      <w:r w:rsidRPr="009E49F8">
        <w:rPr>
          <w:b/>
          <w:sz w:val="24"/>
          <w:szCs w:val="24"/>
        </w:rPr>
        <w:t>Farmakokinetiske</w:t>
      </w:r>
      <w:proofErr w:type="spellEnd"/>
      <w:r w:rsidRPr="009E49F8">
        <w:rPr>
          <w:b/>
          <w:sz w:val="24"/>
          <w:szCs w:val="24"/>
        </w:rPr>
        <w:t xml:space="preserve"> egenskaber</w:t>
      </w:r>
    </w:p>
    <w:p w14:paraId="4F29DC5C" w14:textId="77777777" w:rsidR="006D4C67" w:rsidRPr="009E49F8" w:rsidRDefault="006D4C67" w:rsidP="002B5AAA">
      <w:pPr>
        <w:suppressAutoHyphens/>
        <w:ind w:left="851"/>
        <w:rPr>
          <w:sz w:val="24"/>
          <w:szCs w:val="24"/>
        </w:rPr>
      </w:pPr>
      <w:proofErr w:type="spellStart"/>
      <w:r w:rsidRPr="009E49F8">
        <w:rPr>
          <w:sz w:val="24"/>
          <w:szCs w:val="24"/>
        </w:rPr>
        <w:t>Farmakokinetiske</w:t>
      </w:r>
      <w:proofErr w:type="spellEnd"/>
      <w:r w:rsidRPr="009E49F8">
        <w:rPr>
          <w:sz w:val="24"/>
          <w:szCs w:val="24"/>
        </w:rPr>
        <w:t xml:space="preserve"> data er indhentet fra voksne, raske frivillige, nyretransplanterede voksne patienter og voksne patienter med multipel sklerose. </w:t>
      </w:r>
    </w:p>
    <w:p w14:paraId="13F79076" w14:textId="1880C095" w:rsidR="006D4C67" w:rsidRPr="009E49F8" w:rsidRDefault="006D4C67" w:rsidP="002B5AAA">
      <w:pPr>
        <w:suppressAutoHyphens/>
        <w:ind w:left="851"/>
        <w:rPr>
          <w:sz w:val="24"/>
          <w:szCs w:val="24"/>
        </w:rPr>
      </w:pPr>
      <w:r w:rsidRPr="009E49F8">
        <w:rPr>
          <w:sz w:val="24"/>
          <w:szCs w:val="24"/>
        </w:rPr>
        <w:t xml:space="preserve">Den farmakologisk aktive metabolit som er ansvarlig for virkningen er </w:t>
      </w:r>
      <w:proofErr w:type="spellStart"/>
      <w:r w:rsidRPr="009E49F8">
        <w:rPr>
          <w:sz w:val="24"/>
          <w:szCs w:val="24"/>
        </w:rPr>
        <w:t>fingolimod</w:t>
      </w:r>
      <w:r w:rsidR="009C06D4" w:rsidRPr="009E49F8">
        <w:rPr>
          <w:sz w:val="24"/>
          <w:szCs w:val="24"/>
        </w:rPr>
        <w:softHyphen/>
      </w:r>
      <w:r w:rsidRPr="009E49F8">
        <w:rPr>
          <w:sz w:val="24"/>
          <w:szCs w:val="24"/>
        </w:rPr>
        <w:t>phosphat</w:t>
      </w:r>
      <w:proofErr w:type="spellEnd"/>
      <w:r w:rsidRPr="009E49F8">
        <w:rPr>
          <w:sz w:val="24"/>
          <w:szCs w:val="24"/>
        </w:rPr>
        <w:t xml:space="preserve">. </w:t>
      </w:r>
    </w:p>
    <w:p w14:paraId="1B6DCCF2" w14:textId="77777777" w:rsidR="006D4C67" w:rsidRPr="009E49F8" w:rsidRDefault="006D4C67" w:rsidP="002B5AAA">
      <w:pPr>
        <w:suppressAutoHyphens/>
        <w:ind w:left="851"/>
        <w:rPr>
          <w:sz w:val="24"/>
          <w:szCs w:val="24"/>
        </w:rPr>
      </w:pPr>
    </w:p>
    <w:p w14:paraId="5E5C1DBA" w14:textId="77777777" w:rsidR="006D4C67" w:rsidRPr="009E49F8" w:rsidRDefault="006D4C67" w:rsidP="002B5AAA">
      <w:pPr>
        <w:suppressAutoHyphens/>
        <w:ind w:left="851"/>
        <w:rPr>
          <w:sz w:val="24"/>
          <w:szCs w:val="24"/>
          <w:u w:val="single"/>
        </w:rPr>
      </w:pPr>
      <w:r w:rsidRPr="009E49F8">
        <w:rPr>
          <w:sz w:val="24"/>
          <w:szCs w:val="24"/>
          <w:u w:val="single"/>
        </w:rPr>
        <w:lastRenderedPageBreak/>
        <w:t xml:space="preserve">Absorption </w:t>
      </w:r>
    </w:p>
    <w:p w14:paraId="0EED6328" w14:textId="67D5A22D" w:rsidR="006D4C67" w:rsidRPr="009E49F8" w:rsidRDefault="006D4C67" w:rsidP="002B5AAA">
      <w:pPr>
        <w:suppressAutoHyphens/>
        <w:ind w:left="851"/>
        <w:rPr>
          <w:sz w:val="24"/>
          <w:szCs w:val="24"/>
        </w:rPr>
      </w:pPr>
      <w:r w:rsidRPr="009E49F8">
        <w:rPr>
          <w:sz w:val="24"/>
          <w:szCs w:val="24"/>
        </w:rPr>
        <w:t xml:space="preserve">Absorptionen af </w:t>
      </w:r>
      <w:proofErr w:type="spellStart"/>
      <w:r w:rsidRPr="009E49F8">
        <w:rPr>
          <w:sz w:val="24"/>
          <w:szCs w:val="24"/>
        </w:rPr>
        <w:t>fingolimod</w:t>
      </w:r>
      <w:proofErr w:type="spellEnd"/>
      <w:r w:rsidRPr="009E49F8">
        <w:rPr>
          <w:sz w:val="24"/>
          <w:szCs w:val="24"/>
        </w:rPr>
        <w:t xml:space="preserve"> er langsom (</w:t>
      </w:r>
      <w:proofErr w:type="spellStart"/>
      <w:r w:rsidRPr="009E49F8">
        <w:rPr>
          <w:sz w:val="24"/>
          <w:szCs w:val="24"/>
        </w:rPr>
        <w:t>t</w:t>
      </w:r>
      <w:r w:rsidRPr="009E49F8">
        <w:rPr>
          <w:sz w:val="24"/>
          <w:szCs w:val="24"/>
          <w:vertAlign w:val="subscript"/>
        </w:rPr>
        <w:t>max</w:t>
      </w:r>
      <w:proofErr w:type="spellEnd"/>
      <w:r w:rsidRPr="009E49F8">
        <w:rPr>
          <w:sz w:val="24"/>
          <w:szCs w:val="24"/>
        </w:rPr>
        <w:t xml:space="preserve"> på 12-16 timer) og omfattende (≥85 %). Den tilsyneladende absolutte orale biotilgængelighed er 93 % (95 % konfidensinterval: 79-111</w:t>
      </w:r>
      <w:r w:rsidR="003D41D0" w:rsidRPr="009E49F8">
        <w:rPr>
          <w:sz w:val="24"/>
          <w:szCs w:val="24"/>
        </w:rPr>
        <w:t> </w:t>
      </w:r>
      <w:r w:rsidRPr="009E49F8">
        <w:rPr>
          <w:sz w:val="24"/>
          <w:szCs w:val="24"/>
        </w:rPr>
        <w:t xml:space="preserve">%). </w:t>
      </w:r>
      <w:proofErr w:type="spellStart"/>
      <w:r w:rsidRPr="009E49F8">
        <w:rPr>
          <w:sz w:val="24"/>
          <w:szCs w:val="24"/>
        </w:rPr>
        <w:t>Steady</w:t>
      </w:r>
      <w:proofErr w:type="spellEnd"/>
      <w:r w:rsidRPr="009E49F8">
        <w:rPr>
          <w:sz w:val="24"/>
          <w:szCs w:val="24"/>
        </w:rPr>
        <w:t xml:space="preserve"> </w:t>
      </w:r>
      <w:proofErr w:type="spellStart"/>
      <w:r w:rsidRPr="009E49F8">
        <w:rPr>
          <w:sz w:val="24"/>
          <w:szCs w:val="24"/>
        </w:rPr>
        <w:t>state</w:t>
      </w:r>
      <w:proofErr w:type="spellEnd"/>
      <w:r w:rsidRPr="009E49F8">
        <w:rPr>
          <w:sz w:val="24"/>
          <w:szCs w:val="24"/>
        </w:rPr>
        <w:t xml:space="preserve">-blodkoncentrationerne nås i løbet af 1-2 måneder efter indtagelse én gang dagligt, og </w:t>
      </w:r>
      <w:proofErr w:type="spellStart"/>
      <w:r w:rsidRPr="009E49F8">
        <w:rPr>
          <w:sz w:val="24"/>
          <w:szCs w:val="24"/>
        </w:rPr>
        <w:t>steady</w:t>
      </w:r>
      <w:proofErr w:type="spellEnd"/>
      <w:r w:rsidRPr="009E49F8">
        <w:rPr>
          <w:sz w:val="24"/>
          <w:szCs w:val="24"/>
        </w:rPr>
        <w:t xml:space="preserve"> state-niveauerne er cirka det 10-dobbelte af initial dosis. </w:t>
      </w:r>
    </w:p>
    <w:p w14:paraId="4401AF4D" w14:textId="77777777" w:rsidR="006D4C67" w:rsidRPr="009E49F8" w:rsidRDefault="006D4C67" w:rsidP="002B5AAA">
      <w:pPr>
        <w:suppressAutoHyphens/>
        <w:ind w:left="851"/>
        <w:rPr>
          <w:sz w:val="24"/>
          <w:szCs w:val="24"/>
        </w:rPr>
      </w:pPr>
      <w:r w:rsidRPr="009E49F8">
        <w:rPr>
          <w:sz w:val="24"/>
          <w:szCs w:val="24"/>
        </w:rPr>
        <w:t xml:space="preserve"> </w:t>
      </w:r>
    </w:p>
    <w:p w14:paraId="0FAEF88A" w14:textId="77777777" w:rsidR="006D4C67" w:rsidRPr="009E49F8" w:rsidRDefault="006D4C67" w:rsidP="002B5AAA">
      <w:pPr>
        <w:suppressAutoHyphens/>
        <w:ind w:left="851"/>
        <w:rPr>
          <w:sz w:val="24"/>
          <w:szCs w:val="24"/>
        </w:rPr>
      </w:pPr>
      <w:r w:rsidRPr="009E49F8">
        <w:rPr>
          <w:sz w:val="24"/>
          <w:szCs w:val="24"/>
        </w:rPr>
        <w:t xml:space="preserve">Fødeindtagelse ændrer ikke </w:t>
      </w:r>
      <w:proofErr w:type="spellStart"/>
      <w:r w:rsidRPr="009E49F8">
        <w:rPr>
          <w:sz w:val="24"/>
          <w:szCs w:val="24"/>
        </w:rPr>
        <w:t>C</w:t>
      </w:r>
      <w:r w:rsidRPr="009E49F8">
        <w:rPr>
          <w:sz w:val="24"/>
          <w:szCs w:val="24"/>
          <w:vertAlign w:val="subscript"/>
        </w:rPr>
        <w:t>max</w:t>
      </w:r>
      <w:proofErr w:type="spellEnd"/>
      <w:r w:rsidRPr="009E49F8">
        <w:rPr>
          <w:sz w:val="24"/>
          <w:szCs w:val="24"/>
        </w:rPr>
        <w:t xml:space="preserve"> eller eksponeringen (AUC) for </w:t>
      </w:r>
      <w:proofErr w:type="spellStart"/>
      <w:r w:rsidRPr="009E49F8">
        <w:rPr>
          <w:sz w:val="24"/>
          <w:szCs w:val="24"/>
        </w:rPr>
        <w:t>fingolimod</w:t>
      </w:r>
      <w:proofErr w:type="spellEnd"/>
      <w:r w:rsidRPr="009E49F8">
        <w:rPr>
          <w:sz w:val="24"/>
          <w:szCs w:val="24"/>
        </w:rPr>
        <w:t xml:space="preserve">. </w:t>
      </w:r>
      <w:proofErr w:type="spellStart"/>
      <w:r w:rsidRPr="009E49F8">
        <w:rPr>
          <w:sz w:val="24"/>
          <w:szCs w:val="24"/>
        </w:rPr>
        <w:t>Fingolimodphosphat</w:t>
      </w:r>
      <w:proofErr w:type="spellEnd"/>
      <w:r w:rsidRPr="009E49F8">
        <w:rPr>
          <w:sz w:val="24"/>
          <w:szCs w:val="24"/>
        </w:rPr>
        <w:t xml:space="preserve"> </w:t>
      </w:r>
      <w:proofErr w:type="spellStart"/>
      <w:r w:rsidRPr="009E49F8">
        <w:rPr>
          <w:sz w:val="24"/>
          <w:szCs w:val="24"/>
        </w:rPr>
        <w:t>C</w:t>
      </w:r>
      <w:r w:rsidRPr="009E49F8">
        <w:rPr>
          <w:sz w:val="24"/>
          <w:szCs w:val="24"/>
          <w:vertAlign w:val="subscript"/>
        </w:rPr>
        <w:t>max</w:t>
      </w:r>
      <w:proofErr w:type="spellEnd"/>
      <w:r w:rsidRPr="009E49F8">
        <w:rPr>
          <w:sz w:val="24"/>
          <w:szCs w:val="24"/>
        </w:rPr>
        <w:t xml:space="preserve"> var lettere nedsat med 34 % men AUC var uændret. </w:t>
      </w:r>
      <w:proofErr w:type="spellStart"/>
      <w:r w:rsidRPr="009E49F8">
        <w:rPr>
          <w:sz w:val="24"/>
          <w:szCs w:val="24"/>
        </w:rPr>
        <w:t>Fingolimod</w:t>
      </w:r>
      <w:proofErr w:type="spellEnd"/>
      <w:r w:rsidRPr="009E49F8">
        <w:rPr>
          <w:sz w:val="24"/>
          <w:szCs w:val="24"/>
        </w:rPr>
        <w:t xml:space="preserve"> kan derfor tages uafhængigt af måltiderne (se pkt. 4.2).</w:t>
      </w:r>
    </w:p>
    <w:p w14:paraId="46817843" w14:textId="77777777" w:rsidR="006D4C67" w:rsidRPr="009E49F8" w:rsidRDefault="006D4C67" w:rsidP="006D4C67">
      <w:pPr>
        <w:suppressAutoHyphens/>
        <w:rPr>
          <w:sz w:val="24"/>
          <w:szCs w:val="24"/>
        </w:rPr>
      </w:pPr>
    </w:p>
    <w:p w14:paraId="6FEF69AB" w14:textId="77777777" w:rsidR="006D4C67" w:rsidRPr="009E49F8" w:rsidRDefault="006D4C67" w:rsidP="002B5AAA">
      <w:pPr>
        <w:suppressAutoHyphens/>
        <w:ind w:left="851"/>
        <w:rPr>
          <w:sz w:val="24"/>
          <w:szCs w:val="24"/>
          <w:u w:val="single"/>
        </w:rPr>
      </w:pPr>
      <w:r w:rsidRPr="009E49F8">
        <w:rPr>
          <w:sz w:val="24"/>
          <w:szCs w:val="24"/>
          <w:u w:val="single"/>
        </w:rPr>
        <w:t xml:space="preserve">Fordeling </w:t>
      </w:r>
    </w:p>
    <w:p w14:paraId="4EB5C253" w14:textId="77777777" w:rsidR="006D4C67" w:rsidRPr="009E49F8" w:rsidRDefault="006D4C67" w:rsidP="002B5AAA">
      <w:pPr>
        <w:suppressAutoHyphens/>
        <w:ind w:left="851"/>
        <w:rPr>
          <w:sz w:val="24"/>
          <w:szCs w:val="24"/>
        </w:rPr>
      </w:pPr>
      <w:proofErr w:type="spellStart"/>
      <w:r w:rsidRPr="009E49F8">
        <w:rPr>
          <w:sz w:val="24"/>
          <w:szCs w:val="24"/>
        </w:rPr>
        <w:t>Fingolimod</w:t>
      </w:r>
      <w:proofErr w:type="spellEnd"/>
      <w:r w:rsidRPr="009E49F8">
        <w:rPr>
          <w:sz w:val="24"/>
          <w:szCs w:val="24"/>
        </w:rPr>
        <w:t xml:space="preserve"> fordeles i høj grad i de røde blodceller med en fraktion i blodcellerne på 86 %. </w:t>
      </w:r>
      <w:proofErr w:type="spellStart"/>
      <w:r w:rsidRPr="009E49F8">
        <w:rPr>
          <w:sz w:val="24"/>
          <w:szCs w:val="24"/>
        </w:rPr>
        <w:t>Fingolimodphosphat</w:t>
      </w:r>
      <w:proofErr w:type="spellEnd"/>
      <w:r w:rsidRPr="009E49F8">
        <w:rPr>
          <w:sz w:val="24"/>
          <w:szCs w:val="24"/>
        </w:rPr>
        <w:t xml:space="preserve"> har en lavere optagelsesgrad i blodcellerne på &lt;17 %. </w:t>
      </w:r>
      <w:proofErr w:type="spellStart"/>
      <w:r w:rsidRPr="009E49F8">
        <w:rPr>
          <w:sz w:val="24"/>
          <w:szCs w:val="24"/>
        </w:rPr>
        <w:t>Fingolimod</w:t>
      </w:r>
      <w:proofErr w:type="spellEnd"/>
      <w:r w:rsidRPr="009E49F8">
        <w:rPr>
          <w:sz w:val="24"/>
          <w:szCs w:val="24"/>
        </w:rPr>
        <w:t xml:space="preserve"> og </w:t>
      </w:r>
      <w:proofErr w:type="spellStart"/>
      <w:r w:rsidRPr="009E49F8">
        <w:rPr>
          <w:sz w:val="24"/>
          <w:szCs w:val="24"/>
        </w:rPr>
        <w:t>fingolimodphosphat</w:t>
      </w:r>
      <w:proofErr w:type="spellEnd"/>
      <w:r w:rsidRPr="009E49F8">
        <w:rPr>
          <w:sz w:val="24"/>
          <w:szCs w:val="24"/>
        </w:rPr>
        <w:t xml:space="preserve"> er stærkt proteinbundne (&gt;99 %). </w:t>
      </w:r>
    </w:p>
    <w:p w14:paraId="2DECD813" w14:textId="77777777" w:rsidR="006D4C67" w:rsidRPr="009E49F8" w:rsidRDefault="006D4C67" w:rsidP="002B5AAA">
      <w:pPr>
        <w:suppressAutoHyphens/>
        <w:ind w:left="851"/>
        <w:rPr>
          <w:sz w:val="24"/>
          <w:szCs w:val="24"/>
        </w:rPr>
      </w:pPr>
      <w:r w:rsidRPr="009E49F8">
        <w:rPr>
          <w:sz w:val="24"/>
          <w:szCs w:val="24"/>
        </w:rPr>
        <w:t xml:space="preserve"> </w:t>
      </w:r>
    </w:p>
    <w:p w14:paraId="722A1649" w14:textId="77777777" w:rsidR="006D4C67" w:rsidRPr="009E49F8" w:rsidRDefault="006D4C67" w:rsidP="002B5AAA">
      <w:pPr>
        <w:suppressAutoHyphens/>
        <w:ind w:left="851"/>
        <w:rPr>
          <w:sz w:val="24"/>
          <w:szCs w:val="24"/>
        </w:rPr>
      </w:pPr>
      <w:proofErr w:type="spellStart"/>
      <w:r w:rsidRPr="009E49F8">
        <w:rPr>
          <w:sz w:val="24"/>
          <w:szCs w:val="24"/>
        </w:rPr>
        <w:t>Fingolimod</w:t>
      </w:r>
      <w:proofErr w:type="spellEnd"/>
      <w:r w:rsidRPr="009E49F8">
        <w:rPr>
          <w:sz w:val="24"/>
          <w:szCs w:val="24"/>
        </w:rPr>
        <w:t xml:space="preserve"> fordeles i stort omfang i kroppens væv og har en fordelingsvolumen på omkring 1.200±260 liter. Et studie hos fire raske forsøgspersoner, som fik en enkelt intravenøs dosis af en radioaktivt mærket </w:t>
      </w:r>
      <w:proofErr w:type="spellStart"/>
      <w:r w:rsidRPr="009E49F8">
        <w:rPr>
          <w:sz w:val="24"/>
          <w:szCs w:val="24"/>
        </w:rPr>
        <w:t>fingolimod</w:t>
      </w:r>
      <w:proofErr w:type="spellEnd"/>
      <w:r w:rsidRPr="009E49F8">
        <w:rPr>
          <w:sz w:val="24"/>
          <w:szCs w:val="24"/>
        </w:rPr>
        <w:t xml:space="preserve">-analog, viste, at </w:t>
      </w:r>
      <w:proofErr w:type="spellStart"/>
      <w:r w:rsidRPr="009E49F8">
        <w:rPr>
          <w:sz w:val="24"/>
          <w:szCs w:val="24"/>
        </w:rPr>
        <w:t>fingolimod</w:t>
      </w:r>
      <w:proofErr w:type="spellEnd"/>
      <w:r w:rsidRPr="009E49F8">
        <w:rPr>
          <w:sz w:val="24"/>
          <w:szCs w:val="24"/>
        </w:rPr>
        <w:t xml:space="preserve"> penetrerer ind i hjernen. I et studie hos 13 mandlige patienter med multipel sklerose, som fik </w:t>
      </w:r>
      <w:proofErr w:type="spellStart"/>
      <w:r w:rsidRPr="009E49F8">
        <w:rPr>
          <w:sz w:val="24"/>
          <w:szCs w:val="24"/>
        </w:rPr>
        <w:t>fingolimod</w:t>
      </w:r>
      <w:proofErr w:type="spellEnd"/>
      <w:r w:rsidRPr="009E49F8">
        <w:rPr>
          <w:sz w:val="24"/>
          <w:szCs w:val="24"/>
        </w:rPr>
        <w:t xml:space="preserve"> 0,5 mg/dag, var den gennemsnitlige mængde af </w:t>
      </w:r>
      <w:proofErr w:type="spellStart"/>
      <w:r w:rsidRPr="009E49F8">
        <w:rPr>
          <w:sz w:val="24"/>
          <w:szCs w:val="24"/>
        </w:rPr>
        <w:t>fingolimod</w:t>
      </w:r>
      <w:proofErr w:type="spellEnd"/>
      <w:r w:rsidRPr="009E49F8">
        <w:rPr>
          <w:sz w:val="24"/>
          <w:szCs w:val="24"/>
        </w:rPr>
        <w:t xml:space="preserve"> (og </w:t>
      </w:r>
      <w:proofErr w:type="spellStart"/>
      <w:r w:rsidRPr="009E49F8">
        <w:rPr>
          <w:sz w:val="24"/>
          <w:szCs w:val="24"/>
        </w:rPr>
        <w:t>fingolimodphosphat</w:t>
      </w:r>
      <w:proofErr w:type="spellEnd"/>
      <w:r w:rsidRPr="009E49F8">
        <w:rPr>
          <w:sz w:val="24"/>
          <w:szCs w:val="24"/>
        </w:rPr>
        <w:t xml:space="preserve">) i </w:t>
      </w:r>
      <w:proofErr w:type="spellStart"/>
      <w:r w:rsidRPr="009E49F8">
        <w:rPr>
          <w:sz w:val="24"/>
          <w:szCs w:val="24"/>
        </w:rPr>
        <w:t>sædejakulat</w:t>
      </w:r>
      <w:proofErr w:type="spellEnd"/>
      <w:r w:rsidRPr="009E49F8">
        <w:rPr>
          <w:sz w:val="24"/>
          <w:szCs w:val="24"/>
        </w:rPr>
        <w:t xml:space="preserve"> ved </w:t>
      </w:r>
      <w:proofErr w:type="spellStart"/>
      <w:r w:rsidRPr="009E49F8">
        <w:rPr>
          <w:sz w:val="24"/>
          <w:szCs w:val="24"/>
        </w:rPr>
        <w:t>steady</w:t>
      </w:r>
      <w:proofErr w:type="spellEnd"/>
      <w:r w:rsidRPr="009E49F8">
        <w:rPr>
          <w:sz w:val="24"/>
          <w:szCs w:val="24"/>
        </w:rPr>
        <w:t xml:space="preserve"> </w:t>
      </w:r>
      <w:proofErr w:type="spellStart"/>
      <w:r w:rsidRPr="009E49F8">
        <w:rPr>
          <w:sz w:val="24"/>
          <w:szCs w:val="24"/>
        </w:rPr>
        <w:t>state</w:t>
      </w:r>
      <w:proofErr w:type="spellEnd"/>
      <w:r w:rsidRPr="009E49F8">
        <w:rPr>
          <w:sz w:val="24"/>
          <w:szCs w:val="24"/>
        </w:rPr>
        <w:t xml:space="preserve"> omtrent 10.000 gange lavere end den oralt administrerede dosis (0,5 mg). </w:t>
      </w:r>
    </w:p>
    <w:p w14:paraId="53A5D000" w14:textId="77777777" w:rsidR="006D4C67" w:rsidRPr="009E49F8" w:rsidRDefault="006D4C67" w:rsidP="002B5AAA">
      <w:pPr>
        <w:suppressAutoHyphens/>
        <w:ind w:left="851"/>
        <w:rPr>
          <w:sz w:val="24"/>
          <w:szCs w:val="24"/>
        </w:rPr>
      </w:pPr>
    </w:p>
    <w:p w14:paraId="1B2975FB" w14:textId="77777777" w:rsidR="006D4C67" w:rsidRPr="009E49F8" w:rsidRDefault="006D4C67" w:rsidP="002B5AAA">
      <w:pPr>
        <w:suppressAutoHyphens/>
        <w:ind w:left="851"/>
        <w:rPr>
          <w:sz w:val="24"/>
          <w:szCs w:val="24"/>
          <w:u w:val="single"/>
        </w:rPr>
      </w:pPr>
      <w:r w:rsidRPr="009E49F8">
        <w:rPr>
          <w:sz w:val="24"/>
          <w:szCs w:val="24"/>
          <w:u w:val="single"/>
        </w:rPr>
        <w:t xml:space="preserve">Biotransformation </w:t>
      </w:r>
    </w:p>
    <w:p w14:paraId="209FD9D4" w14:textId="77777777" w:rsidR="006D4C67" w:rsidRPr="009E49F8" w:rsidRDefault="006D4C67" w:rsidP="002B5AAA">
      <w:pPr>
        <w:suppressAutoHyphens/>
        <w:ind w:left="851"/>
        <w:rPr>
          <w:sz w:val="24"/>
          <w:szCs w:val="24"/>
        </w:rPr>
      </w:pPr>
      <w:proofErr w:type="spellStart"/>
      <w:r w:rsidRPr="009E49F8">
        <w:rPr>
          <w:sz w:val="24"/>
          <w:szCs w:val="24"/>
        </w:rPr>
        <w:t>Fingolimod</w:t>
      </w:r>
      <w:proofErr w:type="spellEnd"/>
      <w:r w:rsidRPr="009E49F8">
        <w:rPr>
          <w:sz w:val="24"/>
          <w:szCs w:val="24"/>
        </w:rPr>
        <w:t xml:space="preserve"> omdannes hos mennesker ved en reversibel, stereoselektiv </w:t>
      </w:r>
      <w:proofErr w:type="spellStart"/>
      <w:r w:rsidRPr="009E49F8">
        <w:rPr>
          <w:sz w:val="24"/>
          <w:szCs w:val="24"/>
        </w:rPr>
        <w:t>fosforylering</w:t>
      </w:r>
      <w:proofErr w:type="spellEnd"/>
      <w:r w:rsidRPr="009E49F8">
        <w:rPr>
          <w:sz w:val="24"/>
          <w:szCs w:val="24"/>
        </w:rPr>
        <w:t xml:space="preserve"> til den farmakologisk aktive (S)-</w:t>
      </w:r>
      <w:proofErr w:type="spellStart"/>
      <w:r w:rsidRPr="009E49F8">
        <w:rPr>
          <w:sz w:val="24"/>
          <w:szCs w:val="24"/>
        </w:rPr>
        <w:t>enantiomer</w:t>
      </w:r>
      <w:proofErr w:type="spellEnd"/>
      <w:r w:rsidRPr="009E49F8">
        <w:rPr>
          <w:sz w:val="24"/>
          <w:szCs w:val="24"/>
        </w:rPr>
        <w:t xml:space="preserve"> </w:t>
      </w:r>
      <w:proofErr w:type="spellStart"/>
      <w:r w:rsidRPr="009E49F8">
        <w:rPr>
          <w:sz w:val="24"/>
          <w:szCs w:val="24"/>
        </w:rPr>
        <w:t>fingolimodphosphat</w:t>
      </w:r>
      <w:proofErr w:type="spellEnd"/>
      <w:r w:rsidRPr="009E49F8">
        <w:rPr>
          <w:sz w:val="24"/>
          <w:szCs w:val="24"/>
        </w:rPr>
        <w:t xml:space="preserve">. </w:t>
      </w:r>
      <w:proofErr w:type="spellStart"/>
      <w:r w:rsidRPr="009E49F8">
        <w:rPr>
          <w:sz w:val="24"/>
          <w:szCs w:val="24"/>
        </w:rPr>
        <w:t>Fingolimod</w:t>
      </w:r>
      <w:proofErr w:type="spellEnd"/>
      <w:r w:rsidRPr="009E49F8">
        <w:rPr>
          <w:sz w:val="24"/>
          <w:szCs w:val="24"/>
        </w:rPr>
        <w:t xml:space="preserve"> elimineres ved </w:t>
      </w:r>
      <w:proofErr w:type="spellStart"/>
      <w:r w:rsidRPr="009E49F8">
        <w:rPr>
          <w:sz w:val="24"/>
          <w:szCs w:val="24"/>
        </w:rPr>
        <w:t>oxidativ</w:t>
      </w:r>
      <w:proofErr w:type="spellEnd"/>
      <w:r w:rsidRPr="009E49F8">
        <w:rPr>
          <w:sz w:val="24"/>
          <w:szCs w:val="24"/>
        </w:rPr>
        <w:t xml:space="preserve"> biotransformation, hovedsageligt katalyseret af CYP4F2 og muligvis andre </w:t>
      </w:r>
      <w:proofErr w:type="spellStart"/>
      <w:r w:rsidRPr="009E49F8">
        <w:rPr>
          <w:sz w:val="24"/>
          <w:szCs w:val="24"/>
        </w:rPr>
        <w:t>isoenzymer</w:t>
      </w:r>
      <w:proofErr w:type="spellEnd"/>
      <w:r w:rsidRPr="009E49F8">
        <w:rPr>
          <w:sz w:val="24"/>
          <w:szCs w:val="24"/>
        </w:rPr>
        <w:t xml:space="preserve">, og efterfølgende fedtsyrelignende nedbrydning til inaktive metabolitter. Dannelse af farmakologisk inaktive, ikke-polære </w:t>
      </w:r>
      <w:proofErr w:type="spellStart"/>
      <w:r w:rsidRPr="009E49F8">
        <w:rPr>
          <w:sz w:val="24"/>
          <w:szCs w:val="24"/>
        </w:rPr>
        <w:t>ceramidanaloger</w:t>
      </w:r>
      <w:proofErr w:type="spellEnd"/>
      <w:r w:rsidRPr="009E49F8">
        <w:rPr>
          <w:sz w:val="24"/>
          <w:szCs w:val="24"/>
        </w:rPr>
        <w:t xml:space="preserve"> til </w:t>
      </w:r>
      <w:proofErr w:type="spellStart"/>
      <w:r w:rsidRPr="009E49F8">
        <w:rPr>
          <w:sz w:val="24"/>
          <w:szCs w:val="24"/>
        </w:rPr>
        <w:t>fingolimod</w:t>
      </w:r>
      <w:proofErr w:type="spellEnd"/>
      <w:r w:rsidRPr="009E49F8">
        <w:rPr>
          <w:sz w:val="24"/>
          <w:szCs w:val="24"/>
        </w:rPr>
        <w:t xml:space="preserve"> blev også observeret. Det enzym, der </w:t>
      </w:r>
      <w:proofErr w:type="spellStart"/>
      <w:r w:rsidRPr="009E49F8">
        <w:rPr>
          <w:sz w:val="24"/>
          <w:szCs w:val="24"/>
        </w:rPr>
        <w:t>hovedsagligt</w:t>
      </w:r>
      <w:proofErr w:type="spellEnd"/>
      <w:r w:rsidRPr="009E49F8">
        <w:rPr>
          <w:sz w:val="24"/>
          <w:szCs w:val="24"/>
        </w:rPr>
        <w:t xml:space="preserve"> er involveret i </w:t>
      </w:r>
      <w:proofErr w:type="spellStart"/>
      <w:r w:rsidRPr="009E49F8">
        <w:rPr>
          <w:sz w:val="24"/>
          <w:szCs w:val="24"/>
        </w:rPr>
        <w:t>metaboliseringen</w:t>
      </w:r>
      <w:proofErr w:type="spellEnd"/>
      <w:r w:rsidRPr="009E49F8">
        <w:rPr>
          <w:sz w:val="24"/>
          <w:szCs w:val="24"/>
        </w:rPr>
        <w:t xml:space="preserve"> af </w:t>
      </w:r>
      <w:proofErr w:type="spellStart"/>
      <w:r w:rsidRPr="009E49F8">
        <w:rPr>
          <w:sz w:val="24"/>
          <w:szCs w:val="24"/>
        </w:rPr>
        <w:t>fingolimod</w:t>
      </w:r>
      <w:proofErr w:type="spellEnd"/>
      <w:r w:rsidRPr="009E49F8">
        <w:rPr>
          <w:sz w:val="24"/>
          <w:szCs w:val="24"/>
        </w:rPr>
        <w:t xml:space="preserve">, er delvis identificeret og kan være enten CYP4F2 eller CYP3A4. </w:t>
      </w:r>
    </w:p>
    <w:p w14:paraId="2F7463F9" w14:textId="77777777" w:rsidR="006D4C67" w:rsidRPr="009E49F8" w:rsidRDefault="006D4C67" w:rsidP="002B5AAA">
      <w:pPr>
        <w:suppressAutoHyphens/>
        <w:ind w:left="851"/>
        <w:rPr>
          <w:sz w:val="24"/>
          <w:szCs w:val="24"/>
        </w:rPr>
      </w:pPr>
      <w:r w:rsidRPr="009E49F8">
        <w:rPr>
          <w:sz w:val="24"/>
          <w:szCs w:val="24"/>
        </w:rPr>
        <w:t xml:space="preserve"> </w:t>
      </w:r>
    </w:p>
    <w:p w14:paraId="1F2C05A6" w14:textId="09BB78B6" w:rsidR="006D4C67" w:rsidRPr="009E49F8" w:rsidRDefault="006D4C67" w:rsidP="002B5AAA">
      <w:pPr>
        <w:suppressAutoHyphens/>
        <w:ind w:left="851"/>
        <w:rPr>
          <w:sz w:val="24"/>
          <w:szCs w:val="24"/>
        </w:rPr>
      </w:pPr>
      <w:r w:rsidRPr="009E49F8">
        <w:rPr>
          <w:sz w:val="24"/>
          <w:szCs w:val="24"/>
        </w:rPr>
        <w:t>Efter en enkelt oral administration af [</w:t>
      </w:r>
      <w:r w:rsidRPr="009E49F8">
        <w:rPr>
          <w:sz w:val="24"/>
          <w:szCs w:val="24"/>
          <w:vertAlign w:val="superscript"/>
        </w:rPr>
        <w:t>14</w:t>
      </w:r>
      <w:r w:rsidRPr="009E49F8">
        <w:rPr>
          <w:sz w:val="24"/>
          <w:szCs w:val="24"/>
        </w:rPr>
        <w:t xml:space="preserve">C] </w:t>
      </w:r>
      <w:proofErr w:type="spellStart"/>
      <w:r w:rsidRPr="009E49F8">
        <w:rPr>
          <w:sz w:val="24"/>
          <w:szCs w:val="24"/>
        </w:rPr>
        <w:t>fingolimod</w:t>
      </w:r>
      <w:proofErr w:type="spellEnd"/>
      <w:r w:rsidRPr="009E49F8">
        <w:rPr>
          <w:sz w:val="24"/>
          <w:szCs w:val="24"/>
        </w:rPr>
        <w:t xml:space="preserve"> er de vigtigste </w:t>
      </w:r>
      <w:proofErr w:type="spellStart"/>
      <w:r w:rsidRPr="009E49F8">
        <w:rPr>
          <w:sz w:val="24"/>
          <w:szCs w:val="24"/>
        </w:rPr>
        <w:t>fingolimod</w:t>
      </w:r>
      <w:proofErr w:type="spellEnd"/>
      <w:r w:rsidRPr="009E49F8">
        <w:rPr>
          <w:sz w:val="24"/>
          <w:szCs w:val="24"/>
        </w:rPr>
        <w:t xml:space="preserve">-relaterede komponenter i blodet, bedømt ud fra deres bidrag til AUC op til 34 dage efter dosering for samlet antal radioaktivt mærkede komponenter, </w:t>
      </w:r>
      <w:proofErr w:type="spellStart"/>
      <w:r w:rsidRPr="009E49F8">
        <w:rPr>
          <w:sz w:val="24"/>
          <w:szCs w:val="24"/>
        </w:rPr>
        <w:t>fingolimod</w:t>
      </w:r>
      <w:proofErr w:type="spellEnd"/>
      <w:r w:rsidRPr="009E49F8">
        <w:rPr>
          <w:sz w:val="24"/>
          <w:szCs w:val="24"/>
        </w:rPr>
        <w:t xml:space="preserve"> selv (23 %) </w:t>
      </w:r>
      <w:proofErr w:type="spellStart"/>
      <w:r w:rsidRPr="009E49F8">
        <w:rPr>
          <w:sz w:val="24"/>
          <w:szCs w:val="24"/>
        </w:rPr>
        <w:t>fingolimod</w:t>
      </w:r>
      <w:r w:rsidR="003D41D0" w:rsidRPr="009E49F8">
        <w:rPr>
          <w:sz w:val="24"/>
          <w:szCs w:val="24"/>
        </w:rPr>
        <w:softHyphen/>
      </w:r>
      <w:r w:rsidRPr="009E49F8">
        <w:rPr>
          <w:sz w:val="24"/>
          <w:szCs w:val="24"/>
        </w:rPr>
        <w:t>phosphat</w:t>
      </w:r>
      <w:proofErr w:type="spellEnd"/>
      <w:r w:rsidRPr="009E49F8">
        <w:rPr>
          <w:sz w:val="24"/>
          <w:szCs w:val="24"/>
        </w:rPr>
        <w:t xml:space="preserve"> (10 %) samt inaktive metabolitter (M3 karboxylsyremetabolit (8 %), M29 </w:t>
      </w:r>
      <w:proofErr w:type="spellStart"/>
      <w:r w:rsidRPr="009E49F8">
        <w:rPr>
          <w:sz w:val="24"/>
          <w:szCs w:val="24"/>
        </w:rPr>
        <w:t>ceramidmetabolit</w:t>
      </w:r>
      <w:proofErr w:type="spellEnd"/>
      <w:r w:rsidRPr="009E49F8">
        <w:rPr>
          <w:sz w:val="24"/>
          <w:szCs w:val="24"/>
        </w:rPr>
        <w:t xml:space="preserve"> (9 %) og M30 </w:t>
      </w:r>
      <w:proofErr w:type="spellStart"/>
      <w:r w:rsidRPr="009E49F8">
        <w:rPr>
          <w:sz w:val="24"/>
          <w:szCs w:val="24"/>
        </w:rPr>
        <w:t>ceramidmetabolit</w:t>
      </w:r>
      <w:proofErr w:type="spellEnd"/>
      <w:r w:rsidRPr="009E49F8">
        <w:rPr>
          <w:sz w:val="24"/>
          <w:szCs w:val="24"/>
        </w:rPr>
        <w:t xml:space="preserve"> (7 %)).</w:t>
      </w:r>
    </w:p>
    <w:p w14:paraId="76E18200" w14:textId="77777777" w:rsidR="006D4C67" w:rsidRPr="009E49F8" w:rsidRDefault="006D4C67" w:rsidP="002B5AAA">
      <w:pPr>
        <w:suppressAutoHyphens/>
        <w:ind w:left="851"/>
        <w:rPr>
          <w:sz w:val="24"/>
          <w:szCs w:val="24"/>
        </w:rPr>
      </w:pPr>
    </w:p>
    <w:p w14:paraId="44452BE4" w14:textId="77777777" w:rsidR="006D4C67" w:rsidRPr="009E49F8" w:rsidRDefault="006D4C67" w:rsidP="002B5AAA">
      <w:pPr>
        <w:suppressAutoHyphens/>
        <w:ind w:left="851"/>
        <w:rPr>
          <w:sz w:val="24"/>
          <w:szCs w:val="24"/>
          <w:u w:val="single"/>
        </w:rPr>
      </w:pPr>
      <w:r w:rsidRPr="009E49F8">
        <w:rPr>
          <w:sz w:val="24"/>
          <w:szCs w:val="24"/>
          <w:u w:val="single"/>
        </w:rPr>
        <w:t xml:space="preserve">Elimination </w:t>
      </w:r>
    </w:p>
    <w:p w14:paraId="2CB1A744" w14:textId="77777777" w:rsidR="006D4C67" w:rsidRPr="009E49F8" w:rsidRDefault="006D4C67" w:rsidP="002B5AAA">
      <w:pPr>
        <w:suppressAutoHyphens/>
        <w:ind w:left="851"/>
        <w:rPr>
          <w:sz w:val="24"/>
          <w:szCs w:val="24"/>
        </w:rPr>
      </w:pPr>
      <w:proofErr w:type="spellStart"/>
      <w:r w:rsidRPr="009E49F8">
        <w:rPr>
          <w:sz w:val="24"/>
          <w:szCs w:val="24"/>
        </w:rPr>
        <w:t>Fingolimods</w:t>
      </w:r>
      <w:proofErr w:type="spellEnd"/>
      <w:r w:rsidRPr="009E49F8">
        <w:rPr>
          <w:sz w:val="24"/>
          <w:szCs w:val="24"/>
        </w:rPr>
        <w:t xml:space="preserve"> blod-</w:t>
      </w:r>
      <w:proofErr w:type="spellStart"/>
      <w:r w:rsidRPr="009E49F8">
        <w:rPr>
          <w:sz w:val="24"/>
          <w:szCs w:val="24"/>
        </w:rPr>
        <w:t>clearance</w:t>
      </w:r>
      <w:proofErr w:type="spellEnd"/>
      <w:r w:rsidRPr="009E49F8">
        <w:rPr>
          <w:sz w:val="24"/>
          <w:szCs w:val="24"/>
        </w:rPr>
        <w:t xml:space="preserve"> er 6,3±2,3 l/h, og den gennemsnitlige tilsyneladende terminale halveringstid (t</w:t>
      </w:r>
      <w:r w:rsidRPr="009E49F8">
        <w:rPr>
          <w:sz w:val="24"/>
          <w:szCs w:val="24"/>
          <w:vertAlign w:val="subscript"/>
        </w:rPr>
        <w:t>1/2</w:t>
      </w:r>
      <w:r w:rsidRPr="009E49F8">
        <w:rPr>
          <w:sz w:val="24"/>
          <w:szCs w:val="24"/>
        </w:rPr>
        <w:t xml:space="preserve">) er 6-9 dage. </w:t>
      </w:r>
      <w:proofErr w:type="spellStart"/>
      <w:r w:rsidRPr="009E49F8">
        <w:rPr>
          <w:sz w:val="24"/>
          <w:szCs w:val="24"/>
        </w:rPr>
        <w:t>Fingolimod</w:t>
      </w:r>
      <w:proofErr w:type="spellEnd"/>
      <w:r w:rsidRPr="009E49F8">
        <w:rPr>
          <w:sz w:val="24"/>
          <w:szCs w:val="24"/>
        </w:rPr>
        <w:t xml:space="preserve">- og </w:t>
      </w:r>
      <w:proofErr w:type="spellStart"/>
      <w:r w:rsidRPr="009E49F8">
        <w:rPr>
          <w:sz w:val="24"/>
          <w:szCs w:val="24"/>
        </w:rPr>
        <w:t>fingolimodphosphat</w:t>
      </w:r>
      <w:proofErr w:type="spellEnd"/>
      <w:r w:rsidRPr="009E49F8">
        <w:rPr>
          <w:sz w:val="24"/>
          <w:szCs w:val="24"/>
        </w:rPr>
        <w:t xml:space="preserve">-niveauet i blodet falder parallelt i den terminale fase, således at begge har omtrent samme halveringstid. </w:t>
      </w:r>
    </w:p>
    <w:p w14:paraId="366AA296" w14:textId="77777777" w:rsidR="006D4C67" w:rsidRPr="009E49F8" w:rsidRDefault="006D4C67" w:rsidP="002B5AAA">
      <w:pPr>
        <w:suppressAutoHyphens/>
        <w:ind w:left="851"/>
        <w:rPr>
          <w:sz w:val="24"/>
          <w:szCs w:val="24"/>
        </w:rPr>
      </w:pPr>
      <w:r w:rsidRPr="009E49F8">
        <w:rPr>
          <w:sz w:val="24"/>
          <w:szCs w:val="24"/>
        </w:rPr>
        <w:t xml:space="preserve"> </w:t>
      </w:r>
    </w:p>
    <w:p w14:paraId="33EC27E3" w14:textId="77777777" w:rsidR="006D4C67" w:rsidRPr="009E49F8" w:rsidRDefault="006D4C67" w:rsidP="002B5AAA">
      <w:pPr>
        <w:suppressAutoHyphens/>
        <w:ind w:left="851"/>
        <w:rPr>
          <w:sz w:val="24"/>
          <w:szCs w:val="24"/>
        </w:rPr>
      </w:pPr>
      <w:r w:rsidRPr="009E49F8">
        <w:rPr>
          <w:sz w:val="24"/>
          <w:szCs w:val="24"/>
        </w:rPr>
        <w:t xml:space="preserve">Efter oral administration udskiltes ca. 81 % af dosis langsomt i urinen som inaktive metabolitter. </w:t>
      </w:r>
      <w:proofErr w:type="spellStart"/>
      <w:r w:rsidRPr="009E49F8">
        <w:rPr>
          <w:sz w:val="24"/>
          <w:szCs w:val="24"/>
        </w:rPr>
        <w:t>Fingolimod</w:t>
      </w:r>
      <w:proofErr w:type="spellEnd"/>
      <w:r w:rsidRPr="009E49F8">
        <w:rPr>
          <w:sz w:val="24"/>
          <w:szCs w:val="24"/>
        </w:rPr>
        <w:t xml:space="preserve"> og </w:t>
      </w:r>
      <w:proofErr w:type="spellStart"/>
      <w:r w:rsidRPr="009E49F8">
        <w:rPr>
          <w:sz w:val="24"/>
          <w:szCs w:val="24"/>
        </w:rPr>
        <w:t>fingolimodphosphat</w:t>
      </w:r>
      <w:proofErr w:type="spellEnd"/>
      <w:r w:rsidRPr="009E49F8">
        <w:rPr>
          <w:sz w:val="24"/>
          <w:szCs w:val="24"/>
        </w:rPr>
        <w:t xml:space="preserve"> udskilles ikke intakt i urinen, men er de største bestanddele i </w:t>
      </w:r>
      <w:proofErr w:type="spellStart"/>
      <w:r w:rsidRPr="009E49F8">
        <w:rPr>
          <w:sz w:val="24"/>
          <w:szCs w:val="24"/>
        </w:rPr>
        <w:t>faeces</w:t>
      </w:r>
      <w:proofErr w:type="spellEnd"/>
      <w:r w:rsidRPr="009E49F8">
        <w:rPr>
          <w:sz w:val="24"/>
          <w:szCs w:val="24"/>
        </w:rPr>
        <w:t xml:space="preserve"> med mængder, som repræsenterer mindre end 2,5 % af dosis hver. Efter 34 dage er 89 % af den indgivne dosis udskilt.</w:t>
      </w:r>
    </w:p>
    <w:p w14:paraId="05C30FAD" w14:textId="77777777" w:rsidR="006D4C67" w:rsidRPr="009E49F8" w:rsidRDefault="006D4C67" w:rsidP="002B5AAA">
      <w:pPr>
        <w:suppressAutoHyphens/>
        <w:ind w:left="851"/>
        <w:rPr>
          <w:sz w:val="24"/>
          <w:szCs w:val="24"/>
        </w:rPr>
      </w:pPr>
    </w:p>
    <w:p w14:paraId="273D1C04" w14:textId="77777777" w:rsidR="006D4C67" w:rsidRPr="009E49F8" w:rsidRDefault="006D4C67" w:rsidP="002B5AAA">
      <w:pPr>
        <w:suppressAutoHyphens/>
        <w:ind w:left="851"/>
        <w:rPr>
          <w:sz w:val="24"/>
          <w:szCs w:val="24"/>
          <w:u w:val="single"/>
        </w:rPr>
      </w:pPr>
      <w:r w:rsidRPr="009E49F8">
        <w:rPr>
          <w:sz w:val="24"/>
          <w:szCs w:val="24"/>
          <w:u w:val="single"/>
        </w:rPr>
        <w:t xml:space="preserve">Linearitet </w:t>
      </w:r>
    </w:p>
    <w:p w14:paraId="6E6899D2" w14:textId="77777777" w:rsidR="006D4C67" w:rsidRPr="009E49F8" w:rsidRDefault="006D4C67" w:rsidP="002B5AAA">
      <w:pPr>
        <w:suppressAutoHyphens/>
        <w:ind w:left="851"/>
        <w:rPr>
          <w:sz w:val="24"/>
          <w:szCs w:val="24"/>
        </w:rPr>
      </w:pPr>
      <w:proofErr w:type="spellStart"/>
      <w:r w:rsidRPr="009E49F8">
        <w:rPr>
          <w:sz w:val="24"/>
          <w:szCs w:val="24"/>
        </w:rPr>
        <w:t>Fingolimod</w:t>
      </w:r>
      <w:proofErr w:type="spellEnd"/>
      <w:r w:rsidRPr="009E49F8">
        <w:rPr>
          <w:sz w:val="24"/>
          <w:szCs w:val="24"/>
        </w:rPr>
        <w:t xml:space="preserve">- og </w:t>
      </w:r>
      <w:proofErr w:type="spellStart"/>
      <w:r w:rsidRPr="009E49F8">
        <w:rPr>
          <w:sz w:val="24"/>
          <w:szCs w:val="24"/>
        </w:rPr>
        <w:t>fingolimodphosphat</w:t>
      </w:r>
      <w:proofErr w:type="spellEnd"/>
      <w:r w:rsidRPr="009E49F8">
        <w:rPr>
          <w:sz w:val="24"/>
          <w:szCs w:val="24"/>
        </w:rPr>
        <w:t xml:space="preserve">-koncentrationen stiger tilsyneladende proportionalt med dosis efter multiple doser på 0,5 mg eller 1,25 mg en gang dagligt. </w:t>
      </w:r>
    </w:p>
    <w:p w14:paraId="3DE1FB5C" w14:textId="77777777" w:rsidR="006D4C67" w:rsidRPr="009E49F8" w:rsidRDefault="006D4C67" w:rsidP="002B5AAA">
      <w:pPr>
        <w:suppressAutoHyphens/>
        <w:ind w:left="851"/>
        <w:rPr>
          <w:sz w:val="24"/>
          <w:szCs w:val="24"/>
        </w:rPr>
      </w:pPr>
    </w:p>
    <w:p w14:paraId="11BBBEA3" w14:textId="77777777" w:rsidR="00AF54E1" w:rsidRDefault="00AF54E1" w:rsidP="00AF54E1">
      <w:pPr>
        <w:suppressAutoHyphens/>
        <w:ind w:left="851"/>
        <w:rPr>
          <w:sz w:val="24"/>
          <w:szCs w:val="24"/>
          <w:u w:val="single"/>
        </w:rPr>
      </w:pPr>
      <w:r w:rsidRPr="009E49F8">
        <w:rPr>
          <w:sz w:val="24"/>
          <w:szCs w:val="24"/>
          <w:u w:val="single"/>
        </w:rPr>
        <w:lastRenderedPageBreak/>
        <w:t xml:space="preserve">Karakteristika hos specifikke patientgrupper </w:t>
      </w:r>
    </w:p>
    <w:p w14:paraId="6A8D3201" w14:textId="77777777" w:rsidR="00AF54E1" w:rsidRDefault="00AF54E1" w:rsidP="00AF54E1">
      <w:pPr>
        <w:suppressAutoHyphens/>
        <w:ind w:left="851"/>
        <w:rPr>
          <w:sz w:val="24"/>
          <w:szCs w:val="24"/>
          <w:u w:val="single"/>
        </w:rPr>
      </w:pPr>
    </w:p>
    <w:p w14:paraId="45C43272" w14:textId="77777777" w:rsidR="00AF54E1" w:rsidRPr="006E453D" w:rsidRDefault="00AF54E1" w:rsidP="00AF54E1">
      <w:pPr>
        <w:suppressAutoHyphens/>
        <w:ind w:left="851"/>
        <w:rPr>
          <w:sz w:val="24"/>
          <w:szCs w:val="24"/>
          <w:u w:val="single"/>
        </w:rPr>
      </w:pPr>
      <w:r w:rsidRPr="00A22361">
        <w:rPr>
          <w:sz w:val="24"/>
          <w:szCs w:val="24"/>
          <w:u w:val="single"/>
        </w:rPr>
        <w:t>Køn, etnicitet og nedsat nyrefunktion</w:t>
      </w:r>
    </w:p>
    <w:p w14:paraId="12D01057" w14:textId="77777777" w:rsidR="00AF54E1" w:rsidRDefault="00AF54E1" w:rsidP="00AF54E1">
      <w:pPr>
        <w:suppressAutoHyphens/>
        <w:ind w:left="851"/>
        <w:rPr>
          <w:sz w:val="24"/>
          <w:szCs w:val="24"/>
        </w:rPr>
      </w:pPr>
      <w:r w:rsidRPr="009E49F8">
        <w:rPr>
          <w:sz w:val="24"/>
          <w:szCs w:val="24"/>
        </w:rPr>
        <w:t xml:space="preserve">Farmakokinetikken for </w:t>
      </w:r>
      <w:proofErr w:type="spellStart"/>
      <w:r w:rsidRPr="009E49F8">
        <w:rPr>
          <w:sz w:val="24"/>
          <w:szCs w:val="24"/>
        </w:rPr>
        <w:t>fingolimod</w:t>
      </w:r>
      <w:proofErr w:type="spellEnd"/>
      <w:r w:rsidRPr="009E49F8">
        <w:rPr>
          <w:sz w:val="24"/>
          <w:szCs w:val="24"/>
        </w:rPr>
        <w:t xml:space="preserve"> eller </w:t>
      </w:r>
      <w:proofErr w:type="spellStart"/>
      <w:r w:rsidRPr="009E49F8">
        <w:rPr>
          <w:sz w:val="24"/>
          <w:szCs w:val="24"/>
        </w:rPr>
        <w:t>fingolimodphosphat</w:t>
      </w:r>
      <w:proofErr w:type="spellEnd"/>
      <w:r w:rsidRPr="009E49F8">
        <w:rPr>
          <w:sz w:val="24"/>
          <w:szCs w:val="24"/>
        </w:rPr>
        <w:t xml:space="preserve"> er den samme hos mænd og kvinder, hos patienter af forskellig etnisk oprindelse, og hos patienter med let til svært nedsat nyrefunktion. </w:t>
      </w:r>
    </w:p>
    <w:p w14:paraId="530F93AD" w14:textId="77777777" w:rsidR="00AF54E1" w:rsidRDefault="00AF54E1" w:rsidP="00AF54E1">
      <w:pPr>
        <w:suppressAutoHyphens/>
        <w:ind w:left="851"/>
        <w:rPr>
          <w:sz w:val="24"/>
          <w:szCs w:val="24"/>
        </w:rPr>
      </w:pPr>
    </w:p>
    <w:p w14:paraId="17A124EC" w14:textId="77777777" w:rsidR="00AF54E1" w:rsidRPr="00A22361" w:rsidRDefault="00AF54E1" w:rsidP="00AF54E1">
      <w:pPr>
        <w:suppressAutoHyphens/>
        <w:ind w:left="851"/>
        <w:rPr>
          <w:u w:val="single"/>
        </w:rPr>
      </w:pPr>
      <w:r w:rsidRPr="00A22361">
        <w:rPr>
          <w:u w:val="single"/>
        </w:rPr>
        <w:t xml:space="preserve">Nedsat leverfunktion </w:t>
      </w:r>
    </w:p>
    <w:p w14:paraId="1C1239BE" w14:textId="77777777" w:rsidR="00AF54E1" w:rsidRPr="009E49F8" w:rsidRDefault="00AF54E1" w:rsidP="00AF54E1">
      <w:pPr>
        <w:suppressAutoHyphens/>
        <w:ind w:left="851"/>
        <w:rPr>
          <w:sz w:val="24"/>
          <w:szCs w:val="24"/>
        </w:rPr>
      </w:pPr>
      <w:r w:rsidRPr="009E49F8">
        <w:rPr>
          <w:sz w:val="24"/>
          <w:szCs w:val="24"/>
        </w:rPr>
        <w:t xml:space="preserve">Der blev ikke observeret ændring i </w:t>
      </w:r>
      <w:proofErr w:type="spellStart"/>
      <w:r w:rsidRPr="009E49F8">
        <w:rPr>
          <w:sz w:val="24"/>
          <w:szCs w:val="24"/>
        </w:rPr>
        <w:t>fingolimod</w:t>
      </w:r>
      <w:proofErr w:type="spellEnd"/>
      <w:r w:rsidRPr="009E49F8">
        <w:rPr>
          <w:sz w:val="24"/>
          <w:szCs w:val="24"/>
        </w:rPr>
        <w:t xml:space="preserve"> </w:t>
      </w:r>
      <w:proofErr w:type="spellStart"/>
      <w:r w:rsidRPr="009E49F8">
        <w:rPr>
          <w:sz w:val="24"/>
          <w:szCs w:val="24"/>
        </w:rPr>
        <w:t>C</w:t>
      </w:r>
      <w:r w:rsidRPr="009E49F8">
        <w:rPr>
          <w:sz w:val="24"/>
          <w:szCs w:val="24"/>
          <w:vertAlign w:val="subscript"/>
        </w:rPr>
        <w:t>max</w:t>
      </w:r>
      <w:proofErr w:type="spellEnd"/>
      <w:r w:rsidRPr="009E49F8">
        <w:rPr>
          <w:sz w:val="24"/>
          <w:szCs w:val="24"/>
        </w:rPr>
        <w:t xml:space="preserve"> hos patienter med mild, moderat eller svært nedsat leverfunktion (Child-</w:t>
      </w:r>
      <w:proofErr w:type="spellStart"/>
      <w:r w:rsidRPr="009E49F8">
        <w:rPr>
          <w:sz w:val="24"/>
          <w:szCs w:val="24"/>
        </w:rPr>
        <w:t>Pugh</w:t>
      </w:r>
      <w:proofErr w:type="spellEnd"/>
      <w:r w:rsidRPr="009E49F8">
        <w:rPr>
          <w:sz w:val="24"/>
          <w:szCs w:val="24"/>
        </w:rPr>
        <w:t xml:space="preserve"> klasse A, B eller C), men </w:t>
      </w:r>
      <w:proofErr w:type="spellStart"/>
      <w:r w:rsidRPr="009E49F8">
        <w:rPr>
          <w:sz w:val="24"/>
          <w:szCs w:val="24"/>
        </w:rPr>
        <w:t>fingolimid</w:t>
      </w:r>
      <w:proofErr w:type="spellEnd"/>
      <w:r w:rsidRPr="009E49F8">
        <w:rPr>
          <w:sz w:val="24"/>
          <w:szCs w:val="24"/>
        </w:rPr>
        <w:t xml:space="preserve"> AUC var forøget med hhv. 12 %, 44 % og 103 %. Hos patienter med svært nedsat leverfunktion (Child-</w:t>
      </w:r>
      <w:proofErr w:type="spellStart"/>
      <w:r w:rsidRPr="009E49F8">
        <w:rPr>
          <w:sz w:val="24"/>
          <w:szCs w:val="24"/>
        </w:rPr>
        <w:t>Pugh</w:t>
      </w:r>
      <w:proofErr w:type="spellEnd"/>
      <w:r w:rsidRPr="009E49F8">
        <w:rPr>
          <w:sz w:val="24"/>
          <w:szCs w:val="24"/>
        </w:rPr>
        <w:t xml:space="preserve"> klasse C) mindskedes </w:t>
      </w:r>
      <w:proofErr w:type="spellStart"/>
      <w:r w:rsidRPr="009E49F8">
        <w:rPr>
          <w:sz w:val="24"/>
          <w:szCs w:val="24"/>
        </w:rPr>
        <w:t>C</w:t>
      </w:r>
      <w:r w:rsidRPr="009E49F8">
        <w:rPr>
          <w:sz w:val="24"/>
          <w:szCs w:val="24"/>
          <w:vertAlign w:val="subscript"/>
        </w:rPr>
        <w:t>max</w:t>
      </w:r>
      <w:proofErr w:type="spellEnd"/>
      <w:r w:rsidRPr="009E49F8">
        <w:rPr>
          <w:sz w:val="24"/>
          <w:szCs w:val="24"/>
        </w:rPr>
        <w:t xml:space="preserve"> med 22 % mens AUC ikke ændredes væsentligt. Farmakokinetikken af </w:t>
      </w:r>
      <w:proofErr w:type="spellStart"/>
      <w:r w:rsidRPr="009E49F8">
        <w:rPr>
          <w:sz w:val="24"/>
          <w:szCs w:val="24"/>
        </w:rPr>
        <w:t>fingolimod</w:t>
      </w:r>
      <w:proofErr w:type="spellEnd"/>
      <w:r w:rsidRPr="009E49F8">
        <w:rPr>
          <w:sz w:val="24"/>
          <w:szCs w:val="24"/>
        </w:rPr>
        <w:t xml:space="preserve"> blev ikke vurderet hos patienter med let eller moderat nedsat leverfunktion. Eliminationshalveringstiden for </w:t>
      </w:r>
      <w:proofErr w:type="spellStart"/>
      <w:r w:rsidRPr="009E49F8">
        <w:rPr>
          <w:sz w:val="24"/>
          <w:szCs w:val="24"/>
        </w:rPr>
        <w:t>fingolimod</w:t>
      </w:r>
      <w:proofErr w:type="spellEnd"/>
      <w:r w:rsidRPr="009E49F8">
        <w:rPr>
          <w:sz w:val="24"/>
          <w:szCs w:val="24"/>
        </w:rPr>
        <w:t xml:space="preserve"> er uforandret hos patienter med let nedsat leverfunktion men forlænges med ca. 50 % hos patienter med moderat til svært nedsat leverfunktion.</w:t>
      </w:r>
    </w:p>
    <w:p w14:paraId="023DF6DC" w14:textId="77777777" w:rsidR="00AF54E1" w:rsidRPr="009E49F8" w:rsidRDefault="00AF54E1" w:rsidP="00AF54E1">
      <w:pPr>
        <w:suppressAutoHyphens/>
        <w:ind w:left="851"/>
        <w:rPr>
          <w:sz w:val="24"/>
          <w:szCs w:val="24"/>
        </w:rPr>
      </w:pPr>
    </w:p>
    <w:p w14:paraId="1E33F851" w14:textId="77777777" w:rsidR="00AF54E1" w:rsidRPr="009E49F8" w:rsidRDefault="00AF54E1" w:rsidP="00AF54E1">
      <w:pPr>
        <w:suppressAutoHyphens/>
        <w:ind w:left="851"/>
        <w:rPr>
          <w:sz w:val="24"/>
          <w:szCs w:val="24"/>
        </w:rPr>
      </w:pPr>
      <w:proofErr w:type="spellStart"/>
      <w:r w:rsidRPr="009E49F8">
        <w:rPr>
          <w:sz w:val="24"/>
          <w:szCs w:val="24"/>
        </w:rPr>
        <w:t>Fingolimod</w:t>
      </w:r>
      <w:proofErr w:type="spellEnd"/>
      <w:r w:rsidRPr="009E49F8">
        <w:rPr>
          <w:sz w:val="24"/>
          <w:szCs w:val="24"/>
        </w:rPr>
        <w:t xml:space="preserve"> bør ikke bruges hos patienter med svært nedsat leverfunktion (Child-</w:t>
      </w:r>
      <w:proofErr w:type="spellStart"/>
      <w:r w:rsidRPr="009E49F8">
        <w:rPr>
          <w:sz w:val="24"/>
          <w:szCs w:val="24"/>
        </w:rPr>
        <w:t>Pugh</w:t>
      </w:r>
      <w:proofErr w:type="spellEnd"/>
      <w:r w:rsidRPr="009E49F8">
        <w:rPr>
          <w:sz w:val="24"/>
          <w:szCs w:val="24"/>
        </w:rPr>
        <w:t xml:space="preserve"> klasse C) (se pkt. 4.3). </w:t>
      </w:r>
      <w:proofErr w:type="spellStart"/>
      <w:r w:rsidRPr="009E49F8">
        <w:rPr>
          <w:sz w:val="24"/>
          <w:szCs w:val="24"/>
        </w:rPr>
        <w:t>Fingolimod</w:t>
      </w:r>
      <w:proofErr w:type="spellEnd"/>
      <w:r w:rsidRPr="009E49F8">
        <w:rPr>
          <w:sz w:val="24"/>
          <w:szCs w:val="24"/>
        </w:rPr>
        <w:t xml:space="preserve"> bør initieres med forsigtighed hos patienter med let og moderat nedsat leverfunktion (se pkt. 4.2). </w:t>
      </w:r>
    </w:p>
    <w:p w14:paraId="4AC9FD37" w14:textId="77777777" w:rsidR="00AF54E1" w:rsidRDefault="00AF54E1" w:rsidP="00AF54E1">
      <w:pPr>
        <w:suppressAutoHyphens/>
        <w:ind w:left="851"/>
        <w:rPr>
          <w:sz w:val="24"/>
          <w:szCs w:val="24"/>
        </w:rPr>
      </w:pPr>
      <w:r w:rsidRPr="009E49F8">
        <w:rPr>
          <w:sz w:val="24"/>
          <w:szCs w:val="24"/>
        </w:rPr>
        <w:t xml:space="preserve"> </w:t>
      </w:r>
    </w:p>
    <w:p w14:paraId="420403E4" w14:textId="77777777" w:rsidR="00AF54E1" w:rsidRPr="00A22361" w:rsidRDefault="00AF54E1" w:rsidP="00AF54E1">
      <w:pPr>
        <w:suppressAutoHyphens/>
        <w:ind w:left="851"/>
        <w:rPr>
          <w:sz w:val="24"/>
          <w:szCs w:val="24"/>
          <w:u w:val="single"/>
        </w:rPr>
      </w:pPr>
      <w:r w:rsidRPr="00A22361">
        <w:rPr>
          <w:sz w:val="24"/>
          <w:szCs w:val="24"/>
          <w:u w:val="single"/>
        </w:rPr>
        <w:t>Ældre</w:t>
      </w:r>
    </w:p>
    <w:p w14:paraId="2F1624A9" w14:textId="77777777" w:rsidR="00AF54E1" w:rsidRPr="009E49F8" w:rsidRDefault="00AF54E1" w:rsidP="00AF54E1">
      <w:pPr>
        <w:suppressAutoHyphens/>
        <w:ind w:left="851"/>
        <w:rPr>
          <w:sz w:val="24"/>
          <w:szCs w:val="24"/>
        </w:rPr>
      </w:pPr>
      <w:r w:rsidRPr="009E49F8">
        <w:rPr>
          <w:sz w:val="24"/>
          <w:szCs w:val="24"/>
        </w:rPr>
        <w:t xml:space="preserve">Kliniske erfaring og viden om farmakokinetik hos patienter, som er over 65 år gamle, er begrænset. </w:t>
      </w:r>
      <w:proofErr w:type="spellStart"/>
      <w:r w:rsidRPr="009E49F8">
        <w:rPr>
          <w:sz w:val="24"/>
          <w:szCs w:val="24"/>
        </w:rPr>
        <w:t>fingolimod</w:t>
      </w:r>
      <w:proofErr w:type="spellEnd"/>
      <w:r w:rsidRPr="009E49F8">
        <w:rPr>
          <w:sz w:val="24"/>
          <w:szCs w:val="24"/>
        </w:rPr>
        <w:t xml:space="preserve"> skal anvendes med forsigtighed til patienter på 65 år og derover (se pkt. 4.2). </w:t>
      </w:r>
    </w:p>
    <w:p w14:paraId="7F893145" w14:textId="77777777" w:rsidR="00AF54E1" w:rsidRPr="009E49F8" w:rsidRDefault="00AF54E1" w:rsidP="00AF54E1">
      <w:pPr>
        <w:suppressAutoHyphens/>
        <w:ind w:left="851"/>
        <w:rPr>
          <w:sz w:val="24"/>
          <w:szCs w:val="24"/>
        </w:rPr>
      </w:pPr>
    </w:p>
    <w:p w14:paraId="4D342804" w14:textId="77777777" w:rsidR="00AF54E1" w:rsidRPr="009E49F8" w:rsidRDefault="00AF54E1" w:rsidP="00AF54E1">
      <w:pPr>
        <w:suppressAutoHyphens/>
        <w:ind w:left="851"/>
        <w:rPr>
          <w:sz w:val="24"/>
          <w:szCs w:val="24"/>
          <w:u w:val="single"/>
        </w:rPr>
      </w:pPr>
      <w:r w:rsidRPr="009E49F8">
        <w:rPr>
          <w:sz w:val="24"/>
          <w:szCs w:val="24"/>
          <w:u w:val="single"/>
        </w:rPr>
        <w:t xml:space="preserve">Pædiatrisk population </w:t>
      </w:r>
    </w:p>
    <w:p w14:paraId="64EFF658" w14:textId="77777777" w:rsidR="00AF54E1" w:rsidRPr="009E49F8" w:rsidRDefault="00AF54E1" w:rsidP="00AF54E1">
      <w:pPr>
        <w:suppressAutoHyphens/>
        <w:ind w:left="851"/>
        <w:rPr>
          <w:sz w:val="24"/>
          <w:szCs w:val="24"/>
        </w:rPr>
      </w:pPr>
      <w:r w:rsidRPr="009E49F8">
        <w:rPr>
          <w:sz w:val="24"/>
          <w:szCs w:val="24"/>
        </w:rPr>
        <w:t xml:space="preserve">Hos pædiatriske patienter (10 år og derover) stiger </w:t>
      </w:r>
      <w:proofErr w:type="spellStart"/>
      <w:r w:rsidRPr="009E49F8">
        <w:rPr>
          <w:sz w:val="24"/>
          <w:szCs w:val="24"/>
        </w:rPr>
        <w:t>fingolimodphosphat</w:t>
      </w:r>
      <w:proofErr w:type="spellEnd"/>
      <w:r w:rsidRPr="009E49F8">
        <w:rPr>
          <w:sz w:val="24"/>
          <w:szCs w:val="24"/>
        </w:rPr>
        <w:t xml:space="preserve">-koncentrationen tilsyneladende proportionalt med dosis mellem 0,25 mg og 0,5 mg. </w:t>
      </w:r>
    </w:p>
    <w:p w14:paraId="64CA8674" w14:textId="77777777" w:rsidR="00AF54E1" w:rsidRPr="009E49F8" w:rsidRDefault="00AF54E1" w:rsidP="00AF54E1">
      <w:pPr>
        <w:suppressAutoHyphens/>
        <w:ind w:left="851"/>
        <w:rPr>
          <w:sz w:val="24"/>
          <w:szCs w:val="24"/>
        </w:rPr>
      </w:pPr>
      <w:r w:rsidRPr="009E49F8">
        <w:rPr>
          <w:sz w:val="24"/>
          <w:szCs w:val="24"/>
        </w:rPr>
        <w:t xml:space="preserve"> </w:t>
      </w:r>
    </w:p>
    <w:p w14:paraId="4894ECFA" w14:textId="77777777" w:rsidR="00AF54E1" w:rsidRPr="009E49F8" w:rsidRDefault="00AF54E1" w:rsidP="00AF54E1">
      <w:pPr>
        <w:suppressAutoHyphens/>
        <w:ind w:left="851"/>
        <w:rPr>
          <w:sz w:val="24"/>
          <w:szCs w:val="24"/>
        </w:rPr>
      </w:pPr>
      <w:proofErr w:type="spellStart"/>
      <w:r w:rsidRPr="009E49F8">
        <w:rPr>
          <w:sz w:val="24"/>
          <w:szCs w:val="24"/>
        </w:rPr>
        <w:t>Fingolimodphosphat</w:t>
      </w:r>
      <w:proofErr w:type="spellEnd"/>
      <w:r w:rsidRPr="009E49F8">
        <w:rPr>
          <w:sz w:val="24"/>
          <w:szCs w:val="24"/>
        </w:rPr>
        <w:t xml:space="preserve">-koncentrationen ved </w:t>
      </w:r>
      <w:proofErr w:type="spellStart"/>
      <w:r w:rsidRPr="009E49F8">
        <w:rPr>
          <w:sz w:val="24"/>
          <w:szCs w:val="24"/>
        </w:rPr>
        <w:t>steady</w:t>
      </w:r>
      <w:proofErr w:type="spellEnd"/>
      <w:r w:rsidRPr="009E49F8">
        <w:rPr>
          <w:sz w:val="24"/>
          <w:szCs w:val="24"/>
        </w:rPr>
        <w:t xml:space="preserve"> </w:t>
      </w:r>
      <w:proofErr w:type="spellStart"/>
      <w:r w:rsidRPr="009E49F8">
        <w:rPr>
          <w:sz w:val="24"/>
          <w:szCs w:val="24"/>
        </w:rPr>
        <w:t>state</w:t>
      </w:r>
      <w:proofErr w:type="spellEnd"/>
      <w:r w:rsidRPr="009E49F8">
        <w:rPr>
          <w:sz w:val="24"/>
          <w:szCs w:val="24"/>
        </w:rPr>
        <w:t xml:space="preserve"> er ca. 25 % lavere hos pædiatriske patienter (10 år og derover) efter daglig administration af 0,25 mg eller 0,5 mg </w:t>
      </w:r>
      <w:proofErr w:type="spellStart"/>
      <w:r w:rsidRPr="009E49F8">
        <w:rPr>
          <w:sz w:val="24"/>
          <w:szCs w:val="24"/>
        </w:rPr>
        <w:t>fingolimod</w:t>
      </w:r>
      <w:proofErr w:type="spellEnd"/>
      <w:r w:rsidRPr="009E49F8">
        <w:rPr>
          <w:sz w:val="24"/>
          <w:szCs w:val="24"/>
        </w:rPr>
        <w:t xml:space="preserve"> sammenlignet med koncentrationen hos voksne patienter behandlet med </w:t>
      </w:r>
      <w:proofErr w:type="spellStart"/>
      <w:r w:rsidRPr="009E49F8">
        <w:rPr>
          <w:sz w:val="24"/>
          <w:szCs w:val="24"/>
        </w:rPr>
        <w:t>fingolimod</w:t>
      </w:r>
      <w:proofErr w:type="spellEnd"/>
      <w:r w:rsidRPr="009E49F8">
        <w:rPr>
          <w:sz w:val="24"/>
          <w:szCs w:val="24"/>
        </w:rPr>
        <w:t xml:space="preserve"> 0,5 mg én gang dagligt. </w:t>
      </w:r>
    </w:p>
    <w:p w14:paraId="14540EAF" w14:textId="77777777" w:rsidR="00AF54E1" w:rsidRPr="009E49F8" w:rsidRDefault="00AF54E1" w:rsidP="00AF54E1">
      <w:pPr>
        <w:suppressAutoHyphens/>
        <w:ind w:left="851"/>
        <w:rPr>
          <w:sz w:val="24"/>
          <w:szCs w:val="24"/>
        </w:rPr>
      </w:pPr>
      <w:r w:rsidRPr="009E49F8">
        <w:rPr>
          <w:sz w:val="24"/>
          <w:szCs w:val="24"/>
        </w:rPr>
        <w:t xml:space="preserve"> </w:t>
      </w:r>
    </w:p>
    <w:p w14:paraId="77C41D92" w14:textId="77777777" w:rsidR="00AF54E1" w:rsidRPr="009E49F8" w:rsidRDefault="00AF54E1" w:rsidP="00AF54E1">
      <w:pPr>
        <w:suppressAutoHyphens/>
        <w:ind w:left="851"/>
        <w:rPr>
          <w:sz w:val="24"/>
          <w:szCs w:val="24"/>
        </w:rPr>
      </w:pPr>
      <w:r w:rsidRPr="009E49F8">
        <w:rPr>
          <w:sz w:val="24"/>
          <w:szCs w:val="24"/>
        </w:rPr>
        <w:t xml:space="preserve">Der er ingen tilgængelige data for pædiatriske patienter under 10 år. </w:t>
      </w:r>
    </w:p>
    <w:p w14:paraId="2F078302" w14:textId="77777777" w:rsidR="009260DE" w:rsidRPr="009E49F8" w:rsidRDefault="009260DE" w:rsidP="009260DE">
      <w:pPr>
        <w:tabs>
          <w:tab w:val="left" w:pos="851"/>
        </w:tabs>
        <w:ind w:left="851"/>
        <w:rPr>
          <w:sz w:val="24"/>
          <w:szCs w:val="24"/>
        </w:rPr>
      </w:pPr>
    </w:p>
    <w:p w14:paraId="4E39B938" w14:textId="26F1EEDD" w:rsidR="009260DE" w:rsidRPr="009E49F8" w:rsidRDefault="009260DE" w:rsidP="009260DE">
      <w:pPr>
        <w:tabs>
          <w:tab w:val="left" w:pos="851"/>
        </w:tabs>
        <w:ind w:left="851" w:hanging="851"/>
        <w:rPr>
          <w:b/>
          <w:sz w:val="24"/>
          <w:szCs w:val="24"/>
        </w:rPr>
      </w:pPr>
      <w:r w:rsidRPr="009E49F8">
        <w:rPr>
          <w:b/>
          <w:sz w:val="24"/>
          <w:szCs w:val="24"/>
        </w:rPr>
        <w:t>5.3</w:t>
      </w:r>
      <w:r w:rsidRPr="009E49F8">
        <w:rPr>
          <w:b/>
          <w:sz w:val="24"/>
          <w:szCs w:val="24"/>
        </w:rPr>
        <w:tab/>
      </w:r>
      <w:r w:rsidR="008F4B68">
        <w:rPr>
          <w:b/>
          <w:sz w:val="24"/>
          <w:szCs w:val="24"/>
        </w:rPr>
        <w:t>Non-</w:t>
      </w:r>
      <w:r w:rsidRPr="009E49F8">
        <w:rPr>
          <w:b/>
          <w:sz w:val="24"/>
          <w:szCs w:val="24"/>
        </w:rPr>
        <w:t>kliniske sikkerhedsdata</w:t>
      </w:r>
    </w:p>
    <w:p w14:paraId="192A5810" w14:textId="77777777" w:rsidR="006D4C67" w:rsidRPr="009E49F8" w:rsidRDefault="006D4C67" w:rsidP="002B5AAA">
      <w:pPr>
        <w:ind w:left="851"/>
        <w:rPr>
          <w:sz w:val="24"/>
          <w:szCs w:val="24"/>
        </w:rPr>
      </w:pPr>
      <w:r w:rsidRPr="009E49F8">
        <w:rPr>
          <w:sz w:val="24"/>
          <w:szCs w:val="24"/>
        </w:rPr>
        <w:t xml:space="preserve">Den prækliniske sikkerhedsprofil for </w:t>
      </w:r>
      <w:proofErr w:type="spellStart"/>
      <w:r w:rsidRPr="009E49F8">
        <w:rPr>
          <w:sz w:val="24"/>
          <w:szCs w:val="24"/>
        </w:rPr>
        <w:t>fingolimod</w:t>
      </w:r>
      <w:proofErr w:type="spellEnd"/>
      <w:r w:rsidRPr="009E49F8">
        <w:rPr>
          <w:sz w:val="24"/>
          <w:szCs w:val="24"/>
        </w:rPr>
        <w:t xml:space="preserve"> er vurderet hos mus, rotter, hunde og aber. De større målorganer var lymfesystemet (</w:t>
      </w:r>
      <w:proofErr w:type="spellStart"/>
      <w:r w:rsidRPr="009E49F8">
        <w:rPr>
          <w:sz w:val="24"/>
          <w:szCs w:val="24"/>
        </w:rPr>
        <w:t>lymfopeni</w:t>
      </w:r>
      <w:proofErr w:type="spellEnd"/>
      <w:r w:rsidRPr="009E49F8">
        <w:rPr>
          <w:sz w:val="24"/>
          <w:szCs w:val="24"/>
        </w:rPr>
        <w:t xml:space="preserve"> og lymfeatrofi), lunger (vægtforøgelse, hypertrofi af den glatte muskulatur ved overgangen mellem bronkier og alveoler) og hjerte (negativ </w:t>
      </w:r>
      <w:proofErr w:type="spellStart"/>
      <w:r w:rsidRPr="009E49F8">
        <w:rPr>
          <w:sz w:val="24"/>
          <w:szCs w:val="24"/>
        </w:rPr>
        <w:t>kronotrop</w:t>
      </w:r>
      <w:proofErr w:type="spellEnd"/>
      <w:r w:rsidRPr="009E49F8">
        <w:rPr>
          <w:sz w:val="24"/>
          <w:szCs w:val="24"/>
        </w:rPr>
        <w:t xml:space="preserve"> effekt, blodtryksstigning, </w:t>
      </w:r>
      <w:proofErr w:type="spellStart"/>
      <w:r w:rsidRPr="009E49F8">
        <w:rPr>
          <w:sz w:val="24"/>
          <w:szCs w:val="24"/>
        </w:rPr>
        <w:t>perivaskulære</w:t>
      </w:r>
      <w:proofErr w:type="spellEnd"/>
      <w:r w:rsidRPr="009E49F8">
        <w:rPr>
          <w:sz w:val="24"/>
          <w:szCs w:val="24"/>
        </w:rPr>
        <w:t xml:space="preserve"> forandringer og </w:t>
      </w:r>
      <w:proofErr w:type="spellStart"/>
      <w:r w:rsidRPr="009E49F8">
        <w:rPr>
          <w:sz w:val="24"/>
          <w:szCs w:val="24"/>
        </w:rPr>
        <w:t>myokardiel</w:t>
      </w:r>
      <w:proofErr w:type="spellEnd"/>
      <w:r w:rsidRPr="009E49F8">
        <w:rPr>
          <w:sz w:val="24"/>
          <w:szCs w:val="24"/>
        </w:rPr>
        <w:t xml:space="preserve"> degeneration) hos flere arter; blodkar (</w:t>
      </w:r>
      <w:proofErr w:type="spellStart"/>
      <w:r w:rsidRPr="009E49F8">
        <w:rPr>
          <w:sz w:val="24"/>
          <w:szCs w:val="24"/>
        </w:rPr>
        <w:t>vaskulopati</w:t>
      </w:r>
      <w:proofErr w:type="spellEnd"/>
      <w:r w:rsidRPr="009E49F8">
        <w:rPr>
          <w:sz w:val="24"/>
          <w:szCs w:val="24"/>
        </w:rPr>
        <w:t>) kun hos rotter i et 2-års studie i doser på 0,15 mg/kg og højere, hvilket repræsenterer en margen på ca. 4 gange baseret på human systemisk eksposition (AUC) ved en daglig dosis på 0,5 mg.</w:t>
      </w:r>
    </w:p>
    <w:p w14:paraId="08811A5C" w14:textId="77777777" w:rsidR="006D4C67" w:rsidRPr="009E49F8" w:rsidRDefault="006D4C67" w:rsidP="002B5AAA">
      <w:pPr>
        <w:ind w:left="851"/>
        <w:rPr>
          <w:sz w:val="24"/>
          <w:szCs w:val="24"/>
        </w:rPr>
      </w:pPr>
    </w:p>
    <w:p w14:paraId="5BDCE5E8" w14:textId="77777777" w:rsidR="006D4C67" w:rsidRPr="009E49F8" w:rsidRDefault="006D4C67" w:rsidP="002B5AAA">
      <w:pPr>
        <w:ind w:left="851"/>
        <w:rPr>
          <w:sz w:val="24"/>
          <w:szCs w:val="24"/>
        </w:rPr>
      </w:pPr>
      <w:r w:rsidRPr="009E49F8">
        <w:rPr>
          <w:sz w:val="24"/>
          <w:szCs w:val="24"/>
        </w:rPr>
        <w:t xml:space="preserve">Der observeredes ingen evidens for </w:t>
      </w:r>
      <w:proofErr w:type="spellStart"/>
      <w:r w:rsidRPr="009E49F8">
        <w:rPr>
          <w:sz w:val="24"/>
          <w:szCs w:val="24"/>
        </w:rPr>
        <w:t>karcinogenicitet</w:t>
      </w:r>
      <w:proofErr w:type="spellEnd"/>
      <w:r w:rsidRPr="009E49F8">
        <w:rPr>
          <w:sz w:val="24"/>
          <w:szCs w:val="24"/>
        </w:rPr>
        <w:t xml:space="preserve"> i et 2-årigt </w:t>
      </w:r>
      <w:proofErr w:type="spellStart"/>
      <w:r w:rsidRPr="009E49F8">
        <w:rPr>
          <w:sz w:val="24"/>
          <w:szCs w:val="24"/>
        </w:rPr>
        <w:t>bioassay</w:t>
      </w:r>
      <w:proofErr w:type="spellEnd"/>
      <w:r w:rsidRPr="009E49F8">
        <w:rPr>
          <w:sz w:val="24"/>
          <w:szCs w:val="24"/>
        </w:rPr>
        <w:t xml:space="preserve"> med rotter ved orale doser af </w:t>
      </w:r>
      <w:proofErr w:type="spellStart"/>
      <w:r w:rsidRPr="009E49F8">
        <w:rPr>
          <w:sz w:val="24"/>
          <w:szCs w:val="24"/>
        </w:rPr>
        <w:t>fingolimod</w:t>
      </w:r>
      <w:proofErr w:type="spellEnd"/>
      <w:r w:rsidRPr="009E49F8">
        <w:rPr>
          <w:sz w:val="24"/>
          <w:szCs w:val="24"/>
        </w:rPr>
        <w:t xml:space="preserve"> op til den maksimalt tålte dosis på 2,5 mg/kg, hvilket svarer til en omtrentlig margen på det 50-dobbelte baseret på human systemisk eksponering (AUC) ved en dosis på 0,5 mg. I et 2-årigt studie med mus sås dog øget forekomst af malignt </w:t>
      </w:r>
      <w:proofErr w:type="spellStart"/>
      <w:r w:rsidRPr="009E49F8">
        <w:rPr>
          <w:sz w:val="24"/>
          <w:szCs w:val="24"/>
        </w:rPr>
        <w:t>lymfom</w:t>
      </w:r>
      <w:proofErr w:type="spellEnd"/>
      <w:r w:rsidRPr="009E49F8">
        <w:rPr>
          <w:sz w:val="24"/>
          <w:szCs w:val="24"/>
        </w:rPr>
        <w:t xml:space="preserve"> ved doser på 0,25 mg/kg og derover, hvilket svarer til en omtrentlig margen på det 6-dobbelte baseret på human systemisk eksponering (AUC) ved en daglig dosis på 0,5 mg.</w:t>
      </w:r>
    </w:p>
    <w:p w14:paraId="446CCEBF" w14:textId="77777777" w:rsidR="006D4C67" w:rsidRPr="009E49F8" w:rsidRDefault="006D4C67" w:rsidP="002B5AAA">
      <w:pPr>
        <w:ind w:left="851"/>
        <w:rPr>
          <w:sz w:val="24"/>
          <w:szCs w:val="24"/>
        </w:rPr>
      </w:pPr>
    </w:p>
    <w:p w14:paraId="1D444A95" w14:textId="77777777" w:rsidR="006D4C67" w:rsidRPr="009E49F8" w:rsidRDefault="006D4C67" w:rsidP="002B5AAA">
      <w:pPr>
        <w:ind w:left="851"/>
        <w:rPr>
          <w:sz w:val="24"/>
          <w:szCs w:val="24"/>
        </w:rPr>
      </w:pPr>
      <w:proofErr w:type="spellStart"/>
      <w:r w:rsidRPr="009E49F8">
        <w:rPr>
          <w:sz w:val="24"/>
          <w:szCs w:val="24"/>
        </w:rPr>
        <w:t>Fingolimod</w:t>
      </w:r>
      <w:proofErr w:type="spellEnd"/>
      <w:r w:rsidRPr="009E49F8">
        <w:rPr>
          <w:sz w:val="24"/>
          <w:szCs w:val="24"/>
        </w:rPr>
        <w:t xml:space="preserve"> var hverken mutagent eller </w:t>
      </w:r>
      <w:proofErr w:type="spellStart"/>
      <w:r w:rsidRPr="009E49F8">
        <w:rPr>
          <w:sz w:val="24"/>
          <w:szCs w:val="24"/>
        </w:rPr>
        <w:t>klastogent</w:t>
      </w:r>
      <w:proofErr w:type="spellEnd"/>
      <w:r w:rsidRPr="009E49F8">
        <w:rPr>
          <w:sz w:val="24"/>
          <w:szCs w:val="24"/>
        </w:rPr>
        <w:t xml:space="preserve"> i dyrestudierne.</w:t>
      </w:r>
    </w:p>
    <w:p w14:paraId="5FEDFDC2" w14:textId="77777777" w:rsidR="006D4C67" w:rsidRPr="009E49F8" w:rsidRDefault="006D4C67" w:rsidP="002B5AAA">
      <w:pPr>
        <w:ind w:left="851"/>
        <w:rPr>
          <w:sz w:val="24"/>
          <w:szCs w:val="24"/>
        </w:rPr>
      </w:pPr>
    </w:p>
    <w:p w14:paraId="482CEE31" w14:textId="77777777" w:rsidR="006D4C67" w:rsidRPr="009E49F8" w:rsidRDefault="006D4C67" w:rsidP="002B5AAA">
      <w:pPr>
        <w:ind w:left="851"/>
        <w:rPr>
          <w:sz w:val="24"/>
          <w:szCs w:val="24"/>
        </w:rPr>
      </w:pPr>
      <w:proofErr w:type="spellStart"/>
      <w:r w:rsidRPr="009E49F8">
        <w:rPr>
          <w:sz w:val="24"/>
          <w:szCs w:val="24"/>
        </w:rPr>
        <w:t>Fingolimod</w:t>
      </w:r>
      <w:proofErr w:type="spellEnd"/>
      <w:r w:rsidRPr="009E49F8">
        <w:rPr>
          <w:sz w:val="24"/>
          <w:szCs w:val="24"/>
        </w:rPr>
        <w:t xml:space="preserve"> havde ingen effekt på </w:t>
      </w:r>
      <w:proofErr w:type="spellStart"/>
      <w:r w:rsidRPr="009E49F8">
        <w:rPr>
          <w:sz w:val="24"/>
          <w:szCs w:val="24"/>
        </w:rPr>
        <w:t>spermatozot</w:t>
      </w:r>
      <w:proofErr w:type="spellEnd"/>
      <w:r w:rsidRPr="009E49F8">
        <w:rPr>
          <w:sz w:val="24"/>
          <w:szCs w:val="24"/>
        </w:rPr>
        <w:t xml:space="preserve"> tælling/</w:t>
      </w:r>
      <w:proofErr w:type="spellStart"/>
      <w:r w:rsidRPr="009E49F8">
        <w:rPr>
          <w:sz w:val="24"/>
          <w:szCs w:val="24"/>
        </w:rPr>
        <w:t>motilitet</w:t>
      </w:r>
      <w:proofErr w:type="spellEnd"/>
      <w:r w:rsidRPr="009E49F8">
        <w:rPr>
          <w:sz w:val="24"/>
          <w:szCs w:val="24"/>
        </w:rPr>
        <w:t xml:space="preserve"> eller på fertilitet hos han- og hunrotter op til den højeste afprøvede dosis (10 mg/kg), hvilket svarer til 150 gange så stor en margen ved systemisk eksponering (AUC) hos mennesker med en daglig dosis på 0,5 mg.</w:t>
      </w:r>
    </w:p>
    <w:p w14:paraId="7EBAAB28" w14:textId="77777777" w:rsidR="006D4C67" w:rsidRPr="009E49F8" w:rsidRDefault="006D4C67" w:rsidP="002B5AAA">
      <w:pPr>
        <w:ind w:left="851"/>
        <w:rPr>
          <w:sz w:val="24"/>
          <w:szCs w:val="24"/>
        </w:rPr>
      </w:pPr>
    </w:p>
    <w:p w14:paraId="5A452A2C" w14:textId="77777777" w:rsidR="006D4C67" w:rsidRPr="009E49F8" w:rsidRDefault="006D4C67" w:rsidP="002B5AAA">
      <w:pPr>
        <w:ind w:left="851"/>
        <w:rPr>
          <w:sz w:val="24"/>
          <w:szCs w:val="24"/>
        </w:rPr>
      </w:pPr>
      <w:proofErr w:type="spellStart"/>
      <w:r w:rsidRPr="009E49F8">
        <w:rPr>
          <w:sz w:val="24"/>
          <w:szCs w:val="24"/>
        </w:rPr>
        <w:t>Fingolimod</w:t>
      </w:r>
      <w:proofErr w:type="spellEnd"/>
      <w:r w:rsidRPr="009E49F8">
        <w:rPr>
          <w:sz w:val="24"/>
          <w:szCs w:val="24"/>
        </w:rPr>
        <w:t xml:space="preserve"> var </w:t>
      </w:r>
      <w:proofErr w:type="spellStart"/>
      <w:r w:rsidRPr="009E49F8">
        <w:rPr>
          <w:sz w:val="24"/>
          <w:szCs w:val="24"/>
        </w:rPr>
        <w:t>teratogent</w:t>
      </w:r>
      <w:proofErr w:type="spellEnd"/>
      <w:r w:rsidRPr="009E49F8">
        <w:rPr>
          <w:sz w:val="24"/>
          <w:szCs w:val="24"/>
        </w:rPr>
        <w:t xml:space="preserve"> hos rotter ved doser på 0,1 mg/kg eller derover. Eksponering i rotter ved denne dosis var sammenlignelig med eksponeringen hos patienter ved terapeutisk dosis (0,5 mg). Blandt de mest almindelige </w:t>
      </w:r>
      <w:proofErr w:type="spellStart"/>
      <w:r w:rsidRPr="009E49F8">
        <w:rPr>
          <w:sz w:val="24"/>
          <w:szCs w:val="24"/>
        </w:rPr>
        <w:t>føtale</w:t>
      </w:r>
      <w:proofErr w:type="spellEnd"/>
      <w:r w:rsidRPr="009E49F8">
        <w:rPr>
          <w:sz w:val="24"/>
          <w:szCs w:val="24"/>
        </w:rPr>
        <w:t xml:space="preserve"> misdannelser af indvolde var persisterende </w:t>
      </w:r>
      <w:proofErr w:type="spellStart"/>
      <w:r w:rsidRPr="009E49F8">
        <w:rPr>
          <w:sz w:val="24"/>
          <w:szCs w:val="24"/>
        </w:rPr>
        <w:t>truncus</w:t>
      </w:r>
      <w:proofErr w:type="spellEnd"/>
      <w:r w:rsidRPr="009E49F8">
        <w:rPr>
          <w:sz w:val="24"/>
          <w:szCs w:val="24"/>
        </w:rPr>
        <w:t xml:space="preserve"> </w:t>
      </w:r>
      <w:proofErr w:type="spellStart"/>
      <w:r w:rsidRPr="009E49F8">
        <w:rPr>
          <w:sz w:val="24"/>
          <w:szCs w:val="24"/>
        </w:rPr>
        <w:t>arteriosus</w:t>
      </w:r>
      <w:proofErr w:type="spellEnd"/>
      <w:r w:rsidRPr="009E49F8">
        <w:rPr>
          <w:sz w:val="24"/>
          <w:szCs w:val="24"/>
        </w:rPr>
        <w:t xml:space="preserve"> og </w:t>
      </w:r>
      <w:proofErr w:type="spellStart"/>
      <w:r w:rsidRPr="009E49F8">
        <w:rPr>
          <w:sz w:val="24"/>
          <w:szCs w:val="24"/>
        </w:rPr>
        <w:t>ventrikulær</w:t>
      </w:r>
      <w:proofErr w:type="spellEnd"/>
      <w:r w:rsidRPr="009E49F8">
        <w:rPr>
          <w:sz w:val="24"/>
          <w:szCs w:val="24"/>
        </w:rPr>
        <w:t xml:space="preserve"> septumdefekt. Det </w:t>
      </w:r>
      <w:proofErr w:type="spellStart"/>
      <w:r w:rsidRPr="009E49F8">
        <w:rPr>
          <w:sz w:val="24"/>
          <w:szCs w:val="24"/>
        </w:rPr>
        <w:t>teratogene</w:t>
      </w:r>
      <w:proofErr w:type="spellEnd"/>
      <w:r w:rsidRPr="009E49F8">
        <w:rPr>
          <w:sz w:val="24"/>
          <w:szCs w:val="24"/>
        </w:rPr>
        <w:t xml:space="preserve"> potentiale hos kaniner kunne ikke vurderes fuldstændigt, dog blev der observeret øget embryo-</w:t>
      </w:r>
      <w:proofErr w:type="spellStart"/>
      <w:r w:rsidRPr="009E49F8">
        <w:rPr>
          <w:sz w:val="24"/>
          <w:szCs w:val="24"/>
        </w:rPr>
        <w:t>føtal</w:t>
      </w:r>
      <w:proofErr w:type="spellEnd"/>
      <w:r w:rsidRPr="009E49F8">
        <w:rPr>
          <w:sz w:val="24"/>
          <w:szCs w:val="24"/>
        </w:rPr>
        <w:t xml:space="preserve"> dødelighed ved doser på 1,5 mg/kg og højere, og nedsættelse af levedygtighed hos fostre såvel som hæmmet fostervækst ved 5 mg/kg. Eksponering i kaniner ved disse doser var sammenlignelig med eksponeringen hos patienter.</w:t>
      </w:r>
    </w:p>
    <w:p w14:paraId="2A6FB194" w14:textId="77777777" w:rsidR="006D4C67" w:rsidRPr="009E49F8" w:rsidRDefault="006D4C67" w:rsidP="002B5AAA">
      <w:pPr>
        <w:ind w:left="851"/>
        <w:rPr>
          <w:sz w:val="24"/>
          <w:szCs w:val="24"/>
        </w:rPr>
      </w:pPr>
    </w:p>
    <w:p w14:paraId="19FC3B35" w14:textId="77777777" w:rsidR="006D4C67" w:rsidRPr="009E49F8" w:rsidRDefault="006D4C67" w:rsidP="002B5AAA">
      <w:pPr>
        <w:ind w:left="851"/>
        <w:rPr>
          <w:sz w:val="24"/>
          <w:szCs w:val="24"/>
        </w:rPr>
      </w:pPr>
      <w:r w:rsidRPr="009E49F8">
        <w:rPr>
          <w:sz w:val="24"/>
          <w:szCs w:val="24"/>
        </w:rPr>
        <w:t xml:space="preserve">Hos rotter faldt overlevelsen for unger af F1-generationen i den tidlige post </w:t>
      </w:r>
      <w:proofErr w:type="spellStart"/>
      <w:r w:rsidRPr="009E49F8">
        <w:rPr>
          <w:sz w:val="24"/>
          <w:szCs w:val="24"/>
        </w:rPr>
        <w:t>partum</w:t>
      </w:r>
      <w:proofErr w:type="spellEnd"/>
      <w:r w:rsidRPr="009E49F8">
        <w:rPr>
          <w:sz w:val="24"/>
          <w:szCs w:val="24"/>
        </w:rPr>
        <w:t xml:space="preserve">-periode ved doser, som ikke forårsagede </w:t>
      </w:r>
      <w:proofErr w:type="spellStart"/>
      <w:r w:rsidRPr="009E49F8">
        <w:rPr>
          <w:sz w:val="24"/>
          <w:szCs w:val="24"/>
        </w:rPr>
        <w:t>maternel</w:t>
      </w:r>
      <w:proofErr w:type="spellEnd"/>
      <w:r w:rsidRPr="009E49F8">
        <w:rPr>
          <w:sz w:val="24"/>
          <w:szCs w:val="24"/>
        </w:rPr>
        <w:t xml:space="preserve"> toksicitet. Kropsvægt, udvikling, adfærd og fertilitet påvirkedes dog ikke af behandlingen med </w:t>
      </w:r>
      <w:proofErr w:type="spellStart"/>
      <w:r w:rsidRPr="009E49F8">
        <w:rPr>
          <w:sz w:val="24"/>
          <w:szCs w:val="24"/>
        </w:rPr>
        <w:t>fingolimod</w:t>
      </w:r>
      <w:proofErr w:type="spellEnd"/>
      <w:r w:rsidRPr="009E49F8">
        <w:rPr>
          <w:sz w:val="24"/>
          <w:szCs w:val="24"/>
        </w:rPr>
        <w:t xml:space="preserve"> hos F1.</w:t>
      </w:r>
    </w:p>
    <w:p w14:paraId="7C781BD2" w14:textId="77777777" w:rsidR="006D4C67" w:rsidRPr="009E49F8" w:rsidRDefault="006D4C67" w:rsidP="002B5AAA">
      <w:pPr>
        <w:ind w:left="851"/>
        <w:rPr>
          <w:sz w:val="24"/>
          <w:szCs w:val="24"/>
        </w:rPr>
      </w:pPr>
    </w:p>
    <w:p w14:paraId="26D030A4" w14:textId="77777777" w:rsidR="006D4C67" w:rsidRPr="009E49F8" w:rsidRDefault="006D4C67" w:rsidP="002B5AAA">
      <w:pPr>
        <w:ind w:left="851"/>
        <w:rPr>
          <w:sz w:val="24"/>
          <w:szCs w:val="24"/>
        </w:rPr>
      </w:pPr>
      <w:proofErr w:type="spellStart"/>
      <w:r w:rsidRPr="009E49F8">
        <w:rPr>
          <w:sz w:val="24"/>
          <w:szCs w:val="24"/>
        </w:rPr>
        <w:t>Fingolimod</w:t>
      </w:r>
      <w:proofErr w:type="spellEnd"/>
      <w:r w:rsidRPr="009E49F8">
        <w:rPr>
          <w:sz w:val="24"/>
          <w:szCs w:val="24"/>
        </w:rPr>
        <w:t xml:space="preserve"> blev udskilt i mælken hos behandlede dyr under laktation, i koncentrationer, der er 2-3 gange højere end dem, der er fundet i </w:t>
      </w:r>
      <w:proofErr w:type="spellStart"/>
      <w:r w:rsidRPr="009E49F8">
        <w:rPr>
          <w:sz w:val="24"/>
          <w:szCs w:val="24"/>
        </w:rPr>
        <w:t>maternel</w:t>
      </w:r>
      <w:proofErr w:type="spellEnd"/>
      <w:r w:rsidRPr="009E49F8">
        <w:rPr>
          <w:sz w:val="24"/>
          <w:szCs w:val="24"/>
        </w:rPr>
        <w:t xml:space="preserve"> plasma. </w:t>
      </w:r>
      <w:proofErr w:type="spellStart"/>
      <w:r w:rsidRPr="009E49F8">
        <w:rPr>
          <w:sz w:val="24"/>
          <w:szCs w:val="24"/>
        </w:rPr>
        <w:t>Fingolimod</w:t>
      </w:r>
      <w:proofErr w:type="spellEnd"/>
      <w:r w:rsidRPr="009E49F8">
        <w:rPr>
          <w:sz w:val="24"/>
          <w:szCs w:val="24"/>
        </w:rPr>
        <w:t xml:space="preserve"> og dets metabolitter krydsede placentabarrieren hos drægtige kaniner. </w:t>
      </w:r>
    </w:p>
    <w:p w14:paraId="1BE6C60B" w14:textId="77777777" w:rsidR="006D4C67" w:rsidRPr="009E49F8" w:rsidRDefault="006D4C67" w:rsidP="002B5AAA">
      <w:pPr>
        <w:ind w:left="851"/>
        <w:rPr>
          <w:sz w:val="24"/>
          <w:szCs w:val="24"/>
        </w:rPr>
      </w:pPr>
    </w:p>
    <w:p w14:paraId="7F484BE4" w14:textId="77777777" w:rsidR="006D4C67" w:rsidRPr="009E49F8" w:rsidRDefault="006D4C67" w:rsidP="009C06D4">
      <w:pPr>
        <w:ind w:left="851"/>
        <w:rPr>
          <w:sz w:val="24"/>
          <w:szCs w:val="24"/>
          <w:u w:val="single"/>
        </w:rPr>
      </w:pPr>
      <w:r w:rsidRPr="009E49F8">
        <w:rPr>
          <w:sz w:val="24"/>
          <w:szCs w:val="24"/>
          <w:u w:val="single"/>
        </w:rPr>
        <w:t xml:space="preserve">Juvenile dyrestudier </w:t>
      </w:r>
    </w:p>
    <w:p w14:paraId="13945700" w14:textId="77777777" w:rsidR="006D4C67" w:rsidRPr="009E49F8" w:rsidRDefault="006D4C67" w:rsidP="002B5AAA">
      <w:pPr>
        <w:ind w:left="851"/>
        <w:rPr>
          <w:sz w:val="24"/>
          <w:szCs w:val="24"/>
        </w:rPr>
      </w:pPr>
      <w:r w:rsidRPr="009E49F8">
        <w:rPr>
          <w:sz w:val="24"/>
          <w:szCs w:val="24"/>
        </w:rPr>
        <w:t xml:space="preserve">Resultater fra to </w:t>
      </w:r>
      <w:proofErr w:type="spellStart"/>
      <w:r w:rsidRPr="009E49F8">
        <w:rPr>
          <w:sz w:val="24"/>
          <w:szCs w:val="24"/>
        </w:rPr>
        <w:t>toxicitetsstudier</w:t>
      </w:r>
      <w:proofErr w:type="spellEnd"/>
      <w:r w:rsidRPr="009E49F8">
        <w:rPr>
          <w:sz w:val="24"/>
          <w:szCs w:val="24"/>
        </w:rPr>
        <w:t xml:space="preserve"> med juvenile rotter viste en svag virkning på </w:t>
      </w:r>
      <w:proofErr w:type="spellStart"/>
      <w:r w:rsidRPr="009E49F8">
        <w:rPr>
          <w:sz w:val="24"/>
          <w:szCs w:val="24"/>
        </w:rPr>
        <w:t>neuroadfærdsrespons</w:t>
      </w:r>
      <w:proofErr w:type="spellEnd"/>
      <w:r w:rsidRPr="009E49F8">
        <w:rPr>
          <w:sz w:val="24"/>
          <w:szCs w:val="24"/>
        </w:rPr>
        <w:t xml:space="preserve">, forsinket kønsmodenhed og nedsat immunrespons på gentagne stimuleringer med </w:t>
      </w:r>
      <w:proofErr w:type="spellStart"/>
      <w:r w:rsidRPr="009E49F8">
        <w:rPr>
          <w:sz w:val="24"/>
          <w:szCs w:val="24"/>
        </w:rPr>
        <w:t>keyhole</w:t>
      </w:r>
      <w:proofErr w:type="spellEnd"/>
      <w:r w:rsidRPr="009E49F8">
        <w:rPr>
          <w:sz w:val="24"/>
          <w:szCs w:val="24"/>
        </w:rPr>
        <w:t xml:space="preserve"> </w:t>
      </w:r>
      <w:proofErr w:type="spellStart"/>
      <w:r w:rsidRPr="009E49F8">
        <w:rPr>
          <w:sz w:val="24"/>
          <w:szCs w:val="24"/>
        </w:rPr>
        <w:t>limpet</w:t>
      </w:r>
      <w:proofErr w:type="spellEnd"/>
      <w:r w:rsidRPr="009E49F8">
        <w:rPr>
          <w:sz w:val="24"/>
          <w:szCs w:val="24"/>
        </w:rPr>
        <w:t xml:space="preserve"> </w:t>
      </w:r>
      <w:proofErr w:type="spellStart"/>
      <w:r w:rsidRPr="009E49F8">
        <w:rPr>
          <w:sz w:val="24"/>
          <w:szCs w:val="24"/>
        </w:rPr>
        <w:t>hæmocyanin</w:t>
      </w:r>
      <w:proofErr w:type="spellEnd"/>
      <w:r w:rsidRPr="009E49F8">
        <w:rPr>
          <w:sz w:val="24"/>
          <w:szCs w:val="24"/>
        </w:rPr>
        <w:t xml:space="preserve"> (KLH), som ikke blev betragtet som uønskede. Generelt var virkningerne i relation til behandling med </w:t>
      </w:r>
      <w:proofErr w:type="spellStart"/>
      <w:r w:rsidRPr="009E49F8">
        <w:rPr>
          <w:sz w:val="24"/>
          <w:szCs w:val="24"/>
        </w:rPr>
        <w:t>fingolimod</w:t>
      </w:r>
      <w:proofErr w:type="spellEnd"/>
      <w:r w:rsidRPr="009E49F8">
        <w:rPr>
          <w:sz w:val="24"/>
          <w:szCs w:val="24"/>
        </w:rPr>
        <w:t xml:space="preserve"> hos juvenile dyr sammenlignelige med de virkninger, som man så hos voksne rotter ved lignende dosisniveauer med undtagelse af ændringer i knoglemineraldensitet og svækket </w:t>
      </w:r>
      <w:proofErr w:type="spellStart"/>
      <w:r w:rsidRPr="009E49F8">
        <w:rPr>
          <w:sz w:val="24"/>
          <w:szCs w:val="24"/>
        </w:rPr>
        <w:t>neuroadfærd</w:t>
      </w:r>
      <w:proofErr w:type="spellEnd"/>
      <w:r w:rsidRPr="009E49F8">
        <w:rPr>
          <w:sz w:val="24"/>
          <w:szCs w:val="24"/>
        </w:rPr>
        <w:t xml:space="preserve"> (svækket akustiskforskrækkelsesrespons), som blev observeret ved en dosis på 1,5 mg/kg og højere hos juvenile dyr, og manglende hypertrofi i den glatte muskulatur i lungerne hos juvenile rotter.</w:t>
      </w:r>
    </w:p>
    <w:p w14:paraId="2A597311" w14:textId="77777777" w:rsidR="009260DE" w:rsidRPr="009E49F8" w:rsidRDefault="009260DE" w:rsidP="009260DE">
      <w:pPr>
        <w:tabs>
          <w:tab w:val="left" w:pos="851"/>
        </w:tabs>
        <w:ind w:left="851"/>
        <w:rPr>
          <w:sz w:val="24"/>
          <w:szCs w:val="24"/>
        </w:rPr>
      </w:pPr>
    </w:p>
    <w:p w14:paraId="44A00BAC" w14:textId="77777777" w:rsidR="009260DE" w:rsidRPr="009E49F8" w:rsidRDefault="009260DE" w:rsidP="009260DE">
      <w:pPr>
        <w:tabs>
          <w:tab w:val="left" w:pos="851"/>
        </w:tabs>
        <w:ind w:left="851"/>
        <w:rPr>
          <w:sz w:val="24"/>
          <w:szCs w:val="24"/>
        </w:rPr>
      </w:pPr>
    </w:p>
    <w:p w14:paraId="4AEC9DAD" w14:textId="77777777" w:rsidR="009260DE" w:rsidRPr="009E49F8" w:rsidRDefault="009260DE" w:rsidP="009260DE">
      <w:pPr>
        <w:tabs>
          <w:tab w:val="left" w:pos="851"/>
        </w:tabs>
        <w:ind w:left="851" w:hanging="851"/>
        <w:rPr>
          <w:b/>
          <w:sz w:val="24"/>
          <w:szCs w:val="24"/>
        </w:rPr>
      </w:pPr>
      <w:r w:rsidRPr="009E49F8">
        <w:rPr>
          <w:b/>
          <w:sz w:val="24"/>
          <w:szCs w:val="24"/>
        </w:rPr>
        <w:t>6.</w:t>
      </w:r>
      <w:r w:rsidRPr="009E49F8">
        <w:rPr>
          <w:b/>
          <w:sz w:val="24"/>
          <w:szCs w:val="24"/>
        </w:rPr>
        <w:tab/>
        <w:t>FARMACEUTISKE OPLYSNINGER</w:t>
      </w:r>
    </w:p>
    <w:p w14:paraId="7269C7AB" w14:textId="77777777" w:rsidR="009260DE" w:rsidRPr="009E49F8" w:rsidRDefault="009260DE" w:rsidP="009260DE">
      <w:pPr>
        <w:tabs>
          <w:tab w:val="left" w:pos="851"/>
        </w:tabs>
        <w:ind w:left="851"/>
        <w:rPr>
          <w:sz w:val="24"/>
          <w:szCs w:val="24"/>
        </w:rPr>
      </w:pPr>
    </w:p>
    <w:p w14:paraId="5F1DD272" w14:textId="77777777" w:rsidR="009260DE" w:rsidRPr="009E49F8" w:rsidRDefault="009260DE" w:rsidP="009260DE">
      <w:pPr>
        <w:tabs>
          <w:tab w:val="left" w:pos="851"/>
        </w:tabs>
        <w:ind w:left="851" w:hanging="851"/>
        <w:rPr>
          <w:b/>
          <w:sz w:val="24"/>
          <w:szCs w:val="24"/>
        </w:rPr>
      </w:pPr>
      <w:r w:rsidRPr="009E49F8">
        <w:rPr>
          <w:b/>
          <w:sz w:val="24"/>
          <w:szCs w:val="24"/>
        </w:rPr>
        <w:t>6.1</w:t>
      </w:r>
      <w:r w:rsidRPr="009E49F8">
        <w:rPr>
          <w:b/>
          <w:sz w:val="24"/>
          <w:szCs w:val="24"/>
        </w:rPr>
        <w:tab/>
        <w:t>Hjælpestoffer</w:t>
      </w:r>
    </w:p>
    <w:p w14:paraId="68974878" w14:textId="77777777" w:rsidR="005C2022" w:rsidRPr="009E49F8" w:rsidRDefault="005C2022" w:rsidP="002B5AAA">
      <w:pPr>
        <w:ind w:left="851"/>
        <w:rPr>
          <w:sz w:val="24"/>
          <w:szCs w:val="24"/>
          <w:u w:val="single"/>
        </w:rPr>
      </w:pPr>
    </w:p>
    <w:p w14:paraId="0890326C" w14:textId="7C8A8182" w:rsidR="006D4C67" w:rsidRPr="009E49F8" w:rsidRDefault="006D4C67" w:rsidP="002B5AAA">
      <w:pPr>
        <w:ind w:left="851"/>
        <w:rPr>
          <w:sz w:val="24"/>
          <w:szCs w:val="24"/>
        </w:rPr>
      </w:pPr>
      <w:r w:rsidRPr="009E49F8">
        <w:rPr>
          <w:sz w:val="24"/>
          <w:szCs w:val="24"/>
          <w:u w:val="single"/>
        </w:rPr>
        <w:t>Kapselindhold</w:t>
      </w:r>
    </w:p>
    <w:p w14:paraId="1EEB1A93" w14:textId="77777777" w:rsidR="006D4C67" w:rsidRPr="009E49F8" w:rsidRDefault="006D4C67" w:rsidP="002B5AAA">
      <w:pPr>
        <w:ind w:left="851"/>
        <w:rPr>
          <w:sz w:val="24"/>
          <w:szCs w:val="24"/>
        </w:rPr>
      </w:pPr>
      <w:r w:rsidRPr="009E49F8">
        <w:rPr>
          <w:sz w:val="24"/>
          <w:szCs w:val="24"/>
        </w:rPr>
        <w:t>Cellulose, mikrokrystallinsk</w:t>
      </w:r>
    </w:p>
    <w:p w14:paraId="3C673BDD" w14:textId="77777777" w:rsidR="006D4C67" w:rsidRPr="009E49F8" w:rsidRDefault="006D4C67" w:rsidP="002B5AAA">
      <w:pPr>
        <w:ind w:left="851"/>
        <w:rPr>
          <w:sz w:val="24"/>
          <w:szCs w:val="24"/>
        </w:rPr>
      </w:pPr>
      <w:proofErr w:type="spellStart"/>
      <w:r w:rsidRPr="009E49F8">
        <w:rPr>
          <w:sz w:val="24"/>
          <w:szCs w:val="24"/>
        </w:rPr>
        <w:t>Silica</w:t>
      </w:r>
      <w:proofErr w:type="spellEnd"/>
      <w:r w:rsidRPr="009E49F8">
        <w:rPr>
          <w:sz w:val="24"/>
          <w:szCs w:val="24"/>
        </w:rPr>
        <w:t>, kolloid vandfri</w:t>
      </w:r>
    </w:p>
    <w:p w14:paraId="5F706B8B" w14:textId="77777777" w:rsidR="006D4C67" w:rsidRPr="009E49F8" w:rsidRDefault="006D4C67" w:rsidP="002B5AAA">
      <w:pPr>
        <w:ind w:left="851"/>
        <w:rPr>
          <w:sz w:val="24"/>
          <w:szCs w:val="24"/>
        </w:rPr>
      </w:pPr>
      <w:proofErr w:type="spellStart"/>
      <w:r w:rsidRPr="009E49F8">
        <w:rPr>
          <w:sz w:val="24"/>
          <w:szCs w:val="24"/>
        </w:rPr>
        <w:t>Magnesiumstearat</w:t>
      </w:r>
      <w:proofErr w:type="spellEnd"/>
    </w:p>
    <w:p w14:paraId="76DAA0AA" w14:textId="77777777" w:rsidR="006D4C67" w:rsidRPr="009E49F8" w:rsidRDefault="006D4C67" w:rsidP="002B5AAA">
      <w:pPr>
        <w:ind w:left="851"/>
        <w:rPr>
          <w:sz w:val="24"/>
          <w:szCs w:val="24"/>
        </w:rPr>
      </w:pPr>
    </w:p>
    <w:p w14:paraId="3C528C8C" w14:textId="77777777" w:rsidR="006D4C67" w:rsidRPr="009E49F8" w:rsidRDefault="006D4C67" w:rsidP="002B5AAA">
      <w:pPr>
        <w:ind w:left="851"/>
        <w:rPr>
          <w:sz w:val="24"/>
          <w:szCs w:val="24"/>
        </w:rPr>
      </w:pPr>
      <w:r w:rsidRPr="009E49F8">
        <w:rPr>
          <w:sz w:val="24"/>
          <w:szCs w:val="24"/>
          <w:u w:val="single"/>
        </w:rPr>
        <w:t>Gul uigennemsigtig overdel</w:t>
      </w:r>
    </w:p>
    <w:p w14:paraId="45E6BB30" w14:textId="77777777" w:rsidR="006D4C67" w:rsidRPr="009E49F8" w:rsidRDefault="006D4C67" w:rsidP="002B5AAA">
      <w:pPr>
        <w:ind w:left="851"/>
        <w:rPr>
          <w:sz w:val="24"/>
          <w:szCs w:val="24"/>
        </w:rPr>
      </w:pPr>
      <w:r w:rsidRPr="009E49F8">
        <w:rPr>
          <w:sz w:val="24"/>
          <w:szCs w:val="24"/>
        </w:rPr>
        <w:t>Titandioxid (E171)</w:t>
      </w:r>
    </w:p>
    <w:p w14:paraId="3FA80298" w14:textId="77777777" w:rsidR="006D4C67" w:rsidRPr="009E49F8" w:rsidRDefault="006D4C67" w:rsidP="002B5AAA">
      <w:pPr>
        <w:ind w:left="851"/>
        <w:rPr>
          <w:sz w:val="24"/>
          <w:szCs w:val="24"/>
        </w:rPr>
      </w:pPr>
      <w:r w:rsidRPr="009E49F8">
        <w:rPr>
          <w:sz w:val="24"/>
          <w:szCs w:val="24"/>
        </w:rPr>
        <w:t>Gul jernoxid (E172)</w:t>
      </w:r>
    </w:p>
    <w:p w14:paraId="2B78591C" w14:textId="77777777" w:rsidR="006D4C67" w:rsidRPr="009E49F8" w:rsidRDefault="006D4C67" w:rsidP="002B5AAA">
      <w:pPr>
        <w:ind w:left="851"/>
        <w:rPr>
          <w:sz w:val="24"/>
          <w:szCs w:val="24"/>
        </w:rPr>
      </w:pPr>
      <w:r w:rsidRPr="009E49F8">
        <w:rPr>
          <w:sz w:val="24"/>
          <w:szCs w:val="24"/>
        </w:rPr>
        <w:t>Gelatine</w:t>
      </w:r>
    </w:p>
    <w:p w14:paraId="42FF637C" w14:textId="77777777" w:rsidR="006D4C67" w:rsidRPr="009E49F8" w:rsidRDefault="006D4C67" w:rsidP="002B5AAA">
      <w:pPr>
        <w:ind w:left="851"/>
        <w:rPr>
          <w:sz w:val="24"/>
          <w:szCs w:val="24"/>
        </w:rPr>
      </w:pPr>
    </w:p>
    <w:p w14:paraId="11BD36B2" w14:textId="77777777" w:rsidR="00AF54E1" w:rsidRDefault="00AF54E1" w:rsidP="002B5AAA">
      <w:pPr>
        <w:ind w:left="851"/>
        <w:rPr>
          <w:sz w:val="24"/>
          <w:szCs w:val="24"/>
          <w:u w:val="single"/>
        </w:rPr>
      </w:pPr>
    </w:p>
    <w:p w14:paraId="5A985D7E" w14:textId="30FDC00B" w:rsidR="006D4C67" w:rsidRPr="009E49F8" w:rsidRDefault="006D4C67" w:rsidP="002B5AAA">
      <w:pPr>
        <w:ind w:left="851"/>
        <w:rPr>
          <w:sz w:val="24"/>
          <w:szCs w:val="24"/>
        </w:rPr>
      </w:pPr>
      <w:r w:rsidRPr="009E49F8">
        <w:rPr>
          <w:sz w:val="24"/>
          <w:szCs w:val="24"/>
          <w:u w:val="single"/>
        </w:rPr>
        <w:lastRenderedPageBreak/>
        <w:t>Hvid uigennemsigtig underdel</w:t>
      </w:r>
    </w:p>
    <w:p w14:paraId="224795A0" w14:textId="77777777" w:rsidR="006D4C67" w:rsidRPr="009E49F8" w:rsidRDefault="006D4C67" w:rsidP="002B5AAA">
      <w:pPr>
        <w:ind w:left="851"/>
        <w:rPr>
          <w:sz w:val="24"/>
          <w:szCs w:val="24"/>
        </w:rPr>
      </w:pPr>
      <w:r w:rsidRPr="009E49F8">
        <w:rPr>
          <w:sz w:val="24"/>
          <w:szCs w:val="24"/>
        </w:rPr>
        <w:t>Titandioxid (E171)</w:t>
      </w:r>
    </w:p>
    <w:p w14:paraId="2F43CF5A" w14:textId="77777777" w:rsidR="006D4C67" w:rsidRPr="009E49F8" w:rsidRDefault="006D4C67" w:rsidP="002B5AAA">
      <w:pPr>
        <w:ind w:left="851"/>
        <w:rPr>
          <w:sz w:val="24"/>
          <w:szCs w:val="24"/>
        </w:rPr>
      </w:pPr>
      <w:r w:rsidRPr="009E49F8">
        <w:rPr>
          <w:sz w:val="24"/>
          <w:szCs w:val="24"/>
        </w:rPr>
        <w:t>Gelatine</w:t>
      </w:r>
    </w:p>
    <w:p w14:paraId="49AD2436" w14:textId="77777777" w:rsidR="009260DE" w:rsidRPr="009E49F8" w:rsidRDefault="009260DE" w:rsidP="009260DE">
      <w:pPr>
        <w:tabs>
          <w:tab w:val="left" w:pos="851"/>
        </w:tabs>
        <w:ind w:left="851"/>
        <w:rPr>
          <w:sz w:val="24"/>
          <w:szCs w:val="24"/>
        </w:rPr>
      </w:pPr>
    </w:p>
    <w:p w14:paraId="125312CC" w14:textId="77777777" w:rsidR="009260DE" w:rsidRPr="009E49F8" w:rsidRDefault="009260DE" w:rsidP="009260DE">
      <w:pPr>
        <w:tabs>
          <w:tab w:val="left" w:pos="851"/>
        </w:tabs>
        <w:ind w:left="851" w:hanging="851"/>
        <w:rPr>
          <w:b/>
          <w:sz w:val="24"/>
          <w:szCs w:val="24"/>
        </w:rPr>
      </w:pPr>
      <w:r w:rsidRPr="009E49F8">
        <w:rPr>
          <w:b/>
          <w:sz w:val="24"/>
          <w:szCs w:val="24"/>
        </w:rPr>
        <w:t>6.2</w:t>
      </w:r>
      <w:r w:rsidRPr="009E49F8">
        <w:rPr>
          <w:b/>
          <w:sz w:val="24"/>
          <w:szCs w:val="24"/>
        </w:rPr>
        <w:tab/>
        <w:t>Uforligeligheder</w:t>
      </w:r>
    </w:p>
    <w:p w14:paraId="1804D429" w14:textId="4991D2E9" w:rsidR="009260DE" w:rsidRPr="009E49F8" w:rsidRDefault="006D4C67" w:rsidP="009C06D4">
      <w:pPr>
        <w:ind w:left="851"/>
        <w:rPr>
          <w:sz w:val="24"/>
          <w:szCs w:val="24"/>
        </w:rPr>
      </w:pPr>
      <w:r w:rsidRPr="009E49F8">
        <w:rPr>
          <w:sz w:val="24"/>
          <w:szCs w:val="24"/>
        </w:rPr>
        <w:t>Ikke relevant.</w:t>
      </w:r>
    </w:p>
    <w:p w14:paraId="0C4BD747" w14:textId="77777777" w:rsidR="009260DE" w:rsidRPr="009E49F8" w:rsidRDefault="009260DE" w:rsidP="009260DE">
      <w:pPr>
        <w:tabs>
          <w:tab w:val="left" w:pos="851"/>
        </w:tabs>
        <w:ind w:left="851"/>
        <w:rPr>
          <w:sz w:val="24"/>
          <w:szCs w:val="24"/>
        </w:rPr>
      </w:pPr>
    </w:p>
    <w:p w14:paraId="548E82FA" w14:textId="77777777" w:rsidR="009260DE" w:rsidRPr="009E49F8" w:rsidRDefault="009260DE" w:rsidP="009260DE">
      <w:pPr>
        <w:tabs>
          <w:tab w:val="left" w:pos="851"/>
        </w:tabs>
        <w:ind w:left="851" w:hanging="851"/>
        <w:rPr>
          <w:b/>
          <w:sz w:val="24"/>
          <w:szCs w:val="24"/>
        </w:rPr>
      </w:pPr>
      <w:r w:rsidRPr="009E49F8">
        <w:rPr>
          <w:b/>
          <w:sz w:val="24"/>
          <w:szCs w:val="24"/>
        </w:rPr>
        <w:t>6.3</w:t>
      </w:r>
      <w:r w:rsidRPr="009E49F8">
        <w:rPr>
          <w:b/>
          <w:sz w:val="24"/>
          <w:szCs w:val="24"/>
        </w:rPr>
        <w:tab/>
        <w:t>Opbevaringstid</w:t>
      </w:r>
    </w:p>
    <w:p w14:paraId="7A4395E5" w14:textId="7A55191F" w:rsidR="009260DE" w:rsidRPr="009E49F8" w:rsidRDefault="00865662" w:rsidP="009C06D4">
      <w:pPr>
        <w:ind w:left="851"/>
        <w:rPr>
          <w:sz w:val="24"/>
          <w:szCs w:val="24"/>
        </w:rPr>
      </w:pPr>
      <w:r w:rsidRPr="009E49F8">
        <w:rPr>
          <w:sz w:val="24"/>
          <w:szCs w:val="24"/>
        </w:rPr>
        <w:t>2 år.</w:t>
      </w:r>
    </w:p>
    <w:p w14:paraId="0DDA73AC" w14:textId="77777777" w:rsidR="009260DE" w:rsidRPr="009E49F8" w:rsidRDefault="009260DE" w:rsidP="009260DE">
      <w:pPr>
        <w:tabs>
          <w:tab w:val="left" w:pos="851"/>
        </w:tabs>
        <w:ind w:left="851"/>
        <w:rPr>
          <w:sz w:val="24"/>
          <w:szCs w:val="24"/>
        </w:rPr>
      </w:pPr>
    </w:p>
    <w:p w14:paraId="10943C2B" w14:textId="77777777" w:rsidR="009260DE" w:rsidRPr="009E49F8" w:rsidRDefault="009260DE" w:rsidP="009260DE">
      <w:pPr>
        <w:tabs>
          <w:tab w:val="left" w:pos="851"/>
        </w:tabs>
        <w:ind w:left="851" w:hanging="851"/>
        <w:rPr>
          <w:b/>
          <w:sz w:val="24"/>
          <w:szCs w:val="24"/>
        </w:rPr>
      </w:pPr>
      <w:r w:rsidRPr="009E49F8">
        <w:rPr>
          <w:b/>
          <w:sz w:val="24"/>
          <w:szCs w:val="24"/>
        </w:rPr>
        <w:t>6.4</w:t>
      </w:r>
      <w:r w:rsidRPr="009E49F8">
        <w:rPr>
          <w:b/>
          <w:sz w:val="24"/>
          <w:szCs w:val="24"/>
        </w:rPr>
        <w:tab/>
        <w:t>Særlige opbevaringsforhold</w:t>
      </w:r>
    </w:p>
    <w:p w14:paraId="2456058D" w14:textId="77777777" w:rsidR="00865662" w:rsidRPr="009E49F8" w:rsidRDefault="00865662" w:rsidP="002B5AAA">
      <w:pPr>
        <w:ind w:left="851"/>
        <w:rPr>
          <w:noProof/>
          <w:sz w:val="24"/>
          <w:szCs w:val="24"/>
        </w:rPr>
      </w:pPr>
      <w:r w:rsidRPr="009E49F8">
        <w:rPr>
          <w:noProof/>
          <w:sz w:val="24"/>
          <w:szCs w:val="24"/>
        </w:rPr>
        <w:t>Må ikke opbevares over 25°C.</w:t>
      </w:r>
    </w:p>
    <w:p w14:paraId="0220B306" w14:textId="77777777" w:rsidR="009260DE" w:rsidRPr="009E49F8" w:rsidRDefault="009260DE" w:rsidP="009260DE">
      <w:pPr>
        <w:tabs>
          <w:tab w:val="left" w:pos="851"/>
        </w:tabs>
        <w:ind w:left="851"/>
        <w:rPr>
          <w:sz w:val="24"/>
          <w:szCs w:val="24"/>
        </w:rPr>
      </w:pPr>
    </w:p>
    <w:p w14:paraId="3B80A36E" w14:textId="2A656416" w:rsidR="009260DE" w:rsidRPr="009E49F8" w:rsidRDefault="009260DE" w:rsidP="009260DE">
      <w:pPr>
        <w:tabs>
          <w:tab w:val="left" w:pos="851"/>
        </w:tabs>
        <w:ind w:left="851" w:hanging="851"/>
        <w:rPr>
          <w:b/>
          <w:sz w:val="24"/>
          <w:szCs w:val="24"/>
        </w:rPr>
      </w:pPr>
      <w:r w:rsidRPr="009E49F8">
        <w:rPr>
          <w:b/>
          <w:sz w:val="24"/>
          <w:szCs w:val="24"/>
        </w:rPr>
        <w:t>6.5</w:t>
      </w:r>
      <w:r w:rsidRPr="009E49F8">
        <w:rPr>
          <w:b/>
          <w:sz w:val="24"/>
          <w:szCs w:val="24"/>
        </w:rPr>
        <w:tab/>
        <w:t>Emballagetype og pakningsstørrelser</w:t>
      </w:r>
    </w:p>
    <w:p w14:paraId="6380FCC0" w14:textId="77777777" w:rsidR="00865662" w:rsidRPr="009E49F8" w:rsidRDefault="00865662" w:rsidP="002B5AAA">
      <w:pPr>
        <w:suppressAutoHyphens/>
        <w:ind w:left="851"/>
        <w:rPr>
          <w:sz w:val="24"/>
          <w:szCs w:val="24"/>
        </w:rPr>
      </w:pPr>
      <w:r w:rsidRPr="009E49F8">
        <w:rPr>
          <w:sz w:val="24"/>
          <w:szCs w:val="24"/>
        </w:rPr>
        <w:t>Blisterpakninger af PVC/PVDC/aluminium indeholdende 7, 28, 30, 56, 84, 98, 100 hårde kapsler.</w:t>
      </w:r>
    </w:p>
    <w:p w14:paraId="666D30D5" w14:textId="38599577" w:rsidR="00865662" w:rsidRPr="009E49F8" w:rsidRDefault="00865662" w:rsidP="002B5AAA">
      <w:pPr>
        <w:suppressAutoHyphens/>
        <w:ind w:left="851"/>
        <w:rPr>
          <w:sz w:val="24"/>
          <w:szCs w:val="24"/>
        </w:rPr>
      </w:pPr>
      <w:r w:rsidRPr="009E49F8">
        <w:rPr>
          <w:sz w:val="24"/>
          <w:szCs w:val="24"/>
        </w:rPr>
        <w:t>Perforerede enkeltdosis blisterpakninger af PVC/PVDC/aluminium indeholdende 7</w:t>
      </w:r>
      <w:r w:rsidR="006547BE" w:rsidRPr="009E49F8">
        <w:rPr>
          <w:sz w:val="24"/>
          <w:szCs w:val="24"/>
        </w:rPr>
        <w:t>×</w:t>
      </w:r>
      <w:r w:rsidRPr="009E49F8">
        <w:rPr>
          <w:sz w:val="24"/>
          <w:szCs w:val="24"/>
        </w:rPr>
        <w:t>1, 28</w:t>
      </w:r>
      <w:r w:rsidR="006547BE" w:rsidRPr="009E49F8">
        <w:rPr>
          <w:sz w:val="24"/>
          <w:szCs w:val="24"/>
        </w:rPr>
        <w:t>×</w:t>
      </w:r>
      <w:r w:rsidRPr="009E49F8">
        <w:rPr>
          <w:sz w:val="24"/>
          <w:szCs w:val="24"/>
        </w:rPr>
        <w:t>1, 30</w:t>
      </w:r>
      <w:r w:rsidR="006547BE" w:rsidRPr="009E49F8">
        <w:rPr>
          <w:sz w:val="24"/>
          <w:szCs w:val="24"/>
        </w:rPr>
        <w:t>×</w:t>
      </w:r>
      <w:r w:rsidRPr="009E49F8">
        <w:rPr>
          <w:sz w:val="24"/>
          <w:szCs w:val="24"/>
        </w:rPr>
        <w:t>1, 56</w:t>
      </w:r>
      <w:r w:rsidR="006547BE" w:rsidRPr="009E49F8">
        <w:rPr>
          <w:sz w:val="24"/>
          <w:szCs w:val="24"/>
        </w:rPr>
        <w:t>×</w:t>
      </w:r>
      <w:r w:rsidRPr="009E49F8">
        <w:rPr>
          <w:sz w:val="24"/>
          <w:szCs w:val="24"/>
        </w:rPr>
        <w:t>1, 84</w:t>
      </w:r>
      <w:r w:rsidR="006547BE" w:rsidRPr="009E49F8">
        <w:rPr>
          <w:sz w:val="24"/>
          <w:szCs w:val="24"/>
        </w:rPr>
        <w:t>×</w:t>
      </w:r>
      <w:r w:rsidRPr="009E49F8">
        <w:rPr>
          <w:sz w:val="24"/>
          <w:szCs w:val="24"/>
        </w:rPr>
        <w:t>1, 98</w:t>
      </w:r>
      <w:r w:rsidR="006547BE" w:rsidRPr="009E49F8">
        <w:rPr>
          <w:sz w:val="24"/>
          <w:szCs w:val="24"/>
        </w:rPr>
        <w:t>×</w:t>
      </w:r>
      <w:r w:rsidRPr="009E49F8">
        <w:rPr>
          <w:sz w:val="24"/>
          <w:szCs w:val="24"/>
        </w:rPr>
        <w:t>1, 100</w:t>
      </w:r>
      <w:r w:rsidR="006547BE" w:rsidRPr="009E49F8">
        <w:rPr>
          <w:sz w:val="24"/>
          <w:szCs w:val="24"/>
        </w:rPr>
        <w:t>×</w:t>
      </w:r>
      <w:r w:rsidRPr="009E49F8">
        <w:rPr>
          <w:sz w:val="24"/>
          <w:szCs w:val="24"/>
        </w:rPr>
        <w:t>1 hårde kapsler.</w:t>
      </w:r>
    </w:p>
    <w:p w14:paraId="05F7487A" w14:textId="77777777" w:rsidR="00865662" w:rsidRPr="009E49F8" w:rsidRDefault="00865662" w:rsidP="002B5AAA">
      <w:pPr>
        <w:suppressAutoHyphens/>
        <w:ind w:left="851"/>
        <w:rPr>
          <w:sz w:val="24"/>
          <w:szCs w:val="24"/>
        </w:rPr>
      </w:pPr>
    </w:p>
    <w:p w14:paraId="7AA435C7" w14:textId="77777777" w:rsidR="00865662" w:rsidRPr="009E49F8" w:rsidRDefault="00865662" w:rsidP="002B5AAA">
      <w:pPr>
        <w:suppressAutoHyphens/>
        <w:ind w:left="851"/>
        <w:rPr>
          <w:sz w:val="24"/>
          <w:szCs w:val="24"/>
        </w:rPr>
      </w:pPr>
      <w:r w:rsidRPr="009E49F8">
        <w:rPr>
          <w:sz w:val="24"/>
          <w:szCs w:val="24"/>
        </w:rPr>
        <w:t>Ikke alle pakningsstørrelser er nødvendigvis markedsført.</w:t>
      </w:r>
    </w:p>
    <w:p w14:paraId="19F41DBE" w14:textId="77777777" w:rsidR="009260DE" w:rsidRPr="009E49F8" w:rsidRDefault="009260DE" w:rsidP="009260DE">
      <w:pPr>
        <w:tabs>
          <w:tab w:val="left" w:pos="851"/>
        </w:tabs>
        <w:ind w:left="851"/>
        <w:rPr>
          <w:sz w:val="24"/>
          <w:szCs w:val="24"/>
        </w:rPr>
      </w:pPr>
    </w:p>
    <w:p w14:paraId="4525AEAE" w14:textId="6565417E" w:rsidR="009260DE" w:rsidRPr="009E49F8" w:rsidRDefault="009260DE" w:rsidP="009260DE">
      <w:pPr>
        <w:tabs>
          <w:tab w:val="left" w:pos="851"/>
        </w:tabs>
        <w:ind w:left="851" w:hanging="851"/>
        <w:rPr>
          <w:b/>
          <w:sz w:val="24"/>
          <w:szCs w:val="24"/>
        </w:rPr>
      </w:pPr>
      <w:r w:rsidRPr="009E49F8">
        <w:rPr>
          <w:b/>
          <w:sz w:val="24"/>
          <w:szCs w:val="24"/>
        </w:rPr>
        <w:t>6.6</w:t>
      </w:r>
      <w:r w:rsidRPr="009E49F8">
        <w:rPr>
          <w:b/>
          <w:sz w:val="24"/>
          <w:szCs w:val="24"/>
        </w:rPr>
        <w:tab/>
        <w:t xml:space="preserve">Regler for </w:t>
      </w:r>
      <w:r w:rsidR="008F4B68">
        <w:rPr>
          <w:b/>
          <w:sz w:val="24"/>
          <w:szCs w:val="24"/>
        </w:rPr>
        <w:t>bortskaffelse</w:t>
      </w:r>
      <w:r w:rsidRPr="009E49F8">
        <w:rPr>
          <w:b/>
          <w:sz w:val="24"/>
          <w:szCs w:val="24"/>
        </w:rPr>
        <w:t xml:space="preserve"> og anden håndtering</w:t>
      </w:r>
    </w:p>
    <w:p w14:paraId="11F1B493" w14:textId="77777777" w:rsidR="00865662" w:rsidRPr="009E49F8" w:rsidRDefault="00865662" w:rsidP="002B5AAA">
      <w:pPr>
        <w:ind w:left="851"/>
        <w:rPr>
          <w:sz w:val="24"/>
          <w:szCs w:val="24"/>
        </w:rPr>
      </w:pPr>
      <w:r w:rsidRPr="009E49F8">
        <w:rPr>
          <w:sz w:val="24"/>
          <w:szCs w:val="24"/>
        </w:rPr>
        <w:t>Ikke anvendt lægemiddel samt affald heraf skal bortskaffes i henhold til lokale retningslinjer.</w:t>
      </w:r>
    </w:p>
    <w:p w14:paraId="2EE7EA53" w14:textId="77777777" w:rsidR="009260DE" w:rsidRPr="009E49F8" w:rsidRDefault="009260DE" w:rsidP="009260DE">
      <w:pPr>
        <w:tabs>
          <w:tab w:val="left" w:pos="851"/>
        </w:tabs>
        <w:ind w:left="851"/>
        <w:jc w:val="both"/>
        <w:rPr>
          <w:sz w:val="24"/>
          <w:szCs w:val="24"/>
        </w:rPr>
      </w:pPr>
    </w:p>
    <w:p w14:paraId="121544A7" w14:textId="77777777" w:rsidR="009260DE" w:rsidRPr="009E49F8" w:rsidRDefault="009260DE" w:rsidP="009260DE">
      <w:pPr>
        <w:tabs>
          <w:tab w:val="left" w:pos="851"/>
        </w:tabs>
        <w:ind w:left="851" w:hanging="851"/>
        <w:rPr>
          <w:b/>
          <w:sz w:val="24"/>
          <w:szCs w:val="24"/>
        </w:rPr>
      </w:pPr>
      <w:r w:rsidRPr="009E49F8">
        <w:rPr>
          <w:b/>
          <w:sz w:val="24"/>
          <w:szCs w:val="24"/>
        </w:rPr>
        <w:t>7.</w:t>
      </w:r>
      <w:r w:rsidRPr="009E49F8">
        <w:rPr>
          <w:b/>
          <w:sz w:val="24"/>
          <w:szCs w:val="24"/>
        </w:rPr>
        <w:tab/>
        <w:t>INDEHAVER AF MARKEDSFØRINGSTILLADELSEN</w:t>
      </w:r>
    </w:p>
    <w:p w14:paraId="044C199D" w14:textId="77777777" w:rsidR="00865662" w:rsidRPr="009E49F8" w:rsidRDefault="00865662" w:rsidP="002B5AAA">
      <w:pPr>
        <w:ind w:left="851"/>
        <w:rPr>
          <w:spacing w:val="-3"/>
          <w:sz w:val="24"/>
          <w:szCs w:val="24"/>
        </w:rPr>
      </w:pPr>
      <w:proofErr w:type="spellStart"/>
      <w:r w:rsidRPr="009E49F8">
        <w:rPr>
          <w:spacing w:val="-3"/>
          <w:sz w:val="24"/>
          <w:szCs w:val="24"/>
        </w:rPr>
        <w:t>Stada</w:t>
      </w:r>
      <w:proofErr w:type="spellEnd"/>
      <w:r w:rsidRPr="009E49F8">
        <w:rPr>
          <w:spacing w:val="-3"/>
          <w:sz w:val="24"/>
          <w:szCs w:val="24"/>
        </w:rPr>
        <w:t xml:space="preserve"> </w:t>
      </w:r>
      <w:proofErr w:type="spellStart"/>
      <w:r w:rsidRPr="009E49F8">
        <w:rPr>
          <w:spacing w:val="-3"/>
          <w:sz w:val="24"/>
          <w:szCs w:val="24"/>
        </w:rPr>
        <w:t>Arzneimittel</w:t>
      </w:r>
      <w:proofErr w:type="spellEnd"/>
      <w:r w:rsidRPr="009E49F8">
        <w:rPr>
          <w:spacing w:val="-3"/>
          <w:sz w:val="24"/>
          <w:szCs w:val="24"/>
        </w:rPr>
        <w:t xml:space="preserve"> AG</w:t>
      </w:r>
    </w:p>
    <w:p w14:paraId="767F4997" w14:textId="77777777" w:rsidR="00865662" w:rsidRPr="009E49F8" w:rsidRDefault="00865662" w:rsidP="002B5AAA">
      <w:pPr>
        <w:ind w:left="851"/>
        <w:rPr>
          <w:spacing w:val="-3"/>
          <w:sz w:val="24"/>
          <w:szCs w:val="24"/>
        </w:rPr>
      </w:pPr>
      <w:proofErr w:type="spellStart"/>
      <w:r w:rsidRPr="009E49F8">
        <w:rPr>
          <w:spacing w:val="-3"/>
          <w:sz w:val="24"/>
          <w:szCs w:val="24"/>
        </w:rPr>
        <w:t>Stadastrasse</w:t>
      </w:r>
      <w:proofErr w:type="spellEnd"/>
      <w:r w:rsidRPr="009E49F8">
        <w:rPr>
          <w:spacing w:val="-3"/>
          <w:sz w:val="24"/>
          <w:szCs w:val="24"/>
        </w:rPr>
        <w:t xml:space="preserve"> 2-18</w:t>
      </w:r>
    </w:p>
    <w:p w14:paraId="0C37107B" w14:textId="77777777" w:rsidR="00865662" w:rsidRPr="009E49F8" w:rsidRDefault="00865662" w:rsidP="002B5AAA">
      <w:pPr>
        <w:ind w:left="851"/>
        <w:rPr>
          <w:spacing w:val="-3"/>
          <w:sz w:val="24"/>
          <w:szCs w:val="24"/>
        </w:rPr>
      </w:pPr>
      <w:r w:rsidRPr="009E49F8">
        <w:rPr>
          <w:spacing w:val="-3"/>
          <w:sz w:val="24"/>
          <w:szCs w:val="24"/>
        </w:rPr>
        <w:t xml:space="preserve">61118 Bad </w:t>
      </w:r>
      <w:proofErr w:type="spellStart"/>
      <w:r w:rsidRPr="009E49F8">
        <w:rPr>
          <w:spacing w:val="-3"/>
          <w:sz w:val="24"/>
          <w:szCs w:val="24"/>
        </w:rPr>
        <w:t>Vilbel</w:t>
      </w:r>
      <w:proofErr w:type="spellEnd"/>
    </w:p>
    <w:p w14:paraId="37800471" w14:textId="77777777" w:rsidR="00865662" w:rsidRPr="009E49F8" w:rsidRDefault="00865662" w:rsidP="002B5AAA">
      <w:pPr>
        <w:ind w:left="851"/>
        <w:rPr>
          <w:spacing w:val="-3"/>
          <w:sz w:val="24"/>
          <w:szCs w:val="24"/>
        </w:rPr>
      </w:pPr>
      <w:r w:rsidRPr="009E49F8">
        <w:rPr>
          <w:spacing w:val="-3"/>
          <w:sz w:val="24"/>
          <w:szCs w:val="24"/>
        </w:rPr>
        <w:t>Tyskland</w:t>
      </w:r>
    </w:p>
    <w:p w14:paraId="45374103" w14:textId="77777777" w:rsidR="00865662" w:rsidRPr="009E49F8" w:rsidRDefault="00865662" w:rsidP="002B5AAA">
      <w:pPr>
        <w:ind w:left="851"/>
        <w:rPr>
          <w:spacing w:val="-3"/>
          <w:sz w:val="24"/>
          <w:szCs w:val="24"/>
        </w:rPr>
      </w:pPr>
    </w:p>
    <w:p w14:paraId="73C5E162" w14:textId="77777777" w:rsidR="00865662" w:rsidRPr="009E49F8" w:rsidRDefault="00865662" w:rsidP="002B5AAA">
      <w:pPr>
        <w:ind w:left="851"/>
        <w:rPr>
          <w:b/>
          <w:spacing w:val="-3"/>
          <w:sz w:val="24"/>
          <w:szCs w:val="24"/>
        </w:rPr>
      </w:pPr>
      <w:r w:rsidRPr="009E49F8">
        <w:rPr>
          <w:b/>
          <w:spacing w:val="-3"/>
          <w:sz w:val="24"/>
          <w:szCs w:val="24"/>
        </w:rPr>
        <w:t>Repræsentant</w:t>
      </w:r>
    </w:p>
    <w:p w14:paraId="09646FE1" w14:textId="77777777" w:rsidR="00865662" w:rsidRPr="009E49F8" w:rsidRDefault="00865662" w:rsidP="002B5AAA">
      <w:pPr>
        <w:ind w:left="851"/>
        <w:rPr>
          <w:spacing w:val="-3"/>
          <w:sz w:val="24"/>
          <w:szCs w:val="24"/>
        </w:rPr>
      </w:pPr>
      <w:r w:rsidRPr="009E49F8">
        <w:rPr>
          <w:spacing w:val="-3"/>
          <w:sz w:val="24"/>
          <w:szCs w:val="24"/>
        </w:rPr>
        <w:t>STADA Nordic ApS</w:t>
      </w:r>
    </w:p>
    <w:p w14:paraId="6D24C734" w14:textId="77777777" w:rsidR="00865662" w:rsidRPr="009E49F8" w:rsidRDefault="00865662" w:rsidP="002B5AAA">
      <w:pPr>
        <w:ind w:left="851"/>
        <w:rPr>
          <w:spacing w:val="-3"/>
          <w:sz w:val="24"/>
          <w:szCs w:val="24"/>
        </w:rPr>
      </w:pPr>
      <w:r w:rsidRPr="009E49F8">
        <w:rPr>
          <w:spacing w:val="-3"/>
          <w:sz w:val="24"/>
          <w:szCs w:val="24"/>
        </w:rPr>
        <w:t>Marielundvej 46A</w:t>
      </w:r>
    </w:p>
    <w:p w14:paraId="36FB0622" w14:textId="77777777" w:rsidR="00865662" w:rsidRPr="009E49F8" w:rsidRDefault="00865662" w:rsidP="002B5AAA">
      <w:pPr>
        <w:ind w:left="851"/>
        <w:rPr>
          <w:sz w:val="24"/>
          <w:szCs w:val="24"/>
        </w:rPr>
      </w:pPr>
      <w:r w:rsidRPr="009E49F8">
        <w:rPr>
          <w:spacing w:val="-3"/>
          <w:sz w:val="24"/>
          <w:szCs w:val="24"/>
        </w:rPr>
        <w:t>2730 Herlev</w:t>
      </w:r>
    </w:p>
    <w:p w14:paraId="33353405" w14:textId="77777777" w:rsidR="009260DE" w:rsidRPr="009E49F8" w:rsidRDefault="009260DE" w:rsidP="009260DE">
      <w:pPr>
        <w:tabs>
          <w:tab w:val="left" w:pos="851"/>
        </w:tabs>
        <w:ind w:left="851"/>
        <w:rPr>
          <w:sz w:val="24"/>
          <w:szCs w:val="24"/>
        </w:rPr>
      </w:pPr>
    </w:p>
    <w:p w14:paraId="1B1973B1" w14:textId="788E6965" w:rsidR="009260DE" w:rsidRPr="009E49F8" w:rsidRDefault="009260DE" w:rsidP="009260DE">
      <w:pPr>
        <w:tabs>
          <w:tab w:val="left" w:pos="851"/>
        </w:tabs>
        <w:ind w:left="851" w:hanging="851"/>
        <w:rPr>
          <w:b/>
          <w:sz w:val="24"/>
          <w:szCs w:val="24"/>
        </w:rPr>
      </w:pPr>
      <w:r w:rsidRPr="009E49F8">
        <w:rPr>
          <w:b/>
          <w:sz w:val="24"/>
          <w:szCs w:val="24"/>
        </w:rPr>
        <w:t>8.</w:t>
      </w:r>
      <w:r w:rsidRPr="009E49F8">
        <w:rPr>
          <w:b/>
          <w:sz w:val="24"/>
          <w:szCs w:val="24"/>
        </w:rPr>
        <w:tab/>
        <w:t>MARKEDSFØRINGSTILLADELSESNUMMER (</w:t>
      </w:r>
      <w:r w:rsidR="008F4B68">
        <w:rPr>
          <w:b/>
          <w:sz w:val="24"/>
          <w:szCs w:val="24"/>
        </w:rPr>
        <w:t>-</w:t>
      </w:r>
      <w:r w:rsidRPr="009E49F8">
        <w:rPr>
          <w:b/>
          <w:sz w:val="24"/>
          <w:szCs w:val="24"/>
        </w:rPr>
        <w:t>NUMRE)</w:t>
      </w:r>
    </w:p>
    <w:p w14:paraId="3A7818E7" w14:textId="4F4C5581" w:rsidR="009260DE" w:rsidRPr="009E49F8" w:rsidRDefault="00865662" w:rsidP="009260DE">
      <w:pPr>
        <w:tabs>
          <w:tab w:val="left" w:pos="851"/>
        </w:tabs>
        <w:ind w:left="851"/>
        <w:rPr>
          <w:sz w:val="24"/>
          <w:szCs w:val="24"/>
        </w:rPr>
      </w:pPr>
      <w:r w:rsidRPr="009E49F8">
        <w:rPr>
          <w:sz w:val="24"/>
          <w:szCs w:val="24"/>
        </w:rPr>
        <w:t>62507</w:t>
      </w:r>
    </w:p>
    <w:p w14:paraId="2C603A53" w14:textId="77777777" w:rsidR="009260DE" w:rsidRPr="009E49F8" w:rsidRDefault="009260DE" w:rsidP="009260DE">
      <w:pPr>
        <w:tabs>
          <w:tab w:val="left" w:pos="851"/>
        </w:tabs>
        <w:ind w:left="851"/>
        <w:jc w:val="both"/>
        <w:rPr>
          <w:sz w:val="24"/>
          <w:szCs w:val="24"/>
        </w:rPr>
      </w:pPr>
    </w:p>
    <w:p w14:paraId="02AA44EB" w14:textId="77777777" w:rsidR="009260DE" w:rsidRPr="009E49F8" w:rsidRDefault="009260DE" w:rsidP="009260DE">
      <w:pPr>
        <w:tabs>
          <w:tab w:val="left" w:pos="851"/>
        </w:tabs>
        <w:ind w:left="851" w:hanging="851"/>
        <w:rPr>
          <w:b/>
          <w:sz w:val="24"/>
          <w:szCs w:val="24"/>
        </w:rPr>
      </w:pPr>
      <w:r w:rsidRPr="009E49F8">
        <w:rPr>
          <w:b/>
          <w:sz w:val="24"/>
          <w:szCs w:val="24"/>
        </w:rPr>
        <w:t>9.</w:t>
      </w:r>
      <w:r w:rsidRPr="009E49F8">
        <w:rPr>
          <w:b/>
          <w:sz w:val="24"/>
          <w:szCs w:val="24"/>
        </w:rPr>
        <w:tab/>
        <w:t>DATO FOR FØRSTE MARKEDSFØRINGSTILLADELSE</w:t>
      </w:r>
    </w:p>
    <w:p w14:paraId="592298C7" w14:textId="48A3DD35" w:rsidR="009260DE" w:rsidRPr="009E49F8" w:rsidRDefault="00D74F45" w:rsidP="009260DE">
      <w:pPr>
        <w:tabs>
          <w:tab w:val="left" w:pos="851"/>
        </w:tabs>
        <w:ind w:left="851"/>
        <w:rPr>
          <w:sz w:val="24"/>
          <w:szCs w:val="24"/>
        </w:rPr>
      </w:pPr>
      <w:r>
        <w:rPr>
          <w:sz w:val="24"/>
          <w:szCs w:val="24"/>
        </w:rPr>
        <w:t>17. september 2020</w:t>
      </w:r>
    </w:p>
    <w:p w14:paraId="1F4BE6FC" w14:textId="77777777" w:rsidR="009260DE" w:rsidRPr="009E49F8" w:rsidRDefault="009260DE" w:rsidP="009260DE">
      <w:pPr>
        <w:tabs>
          <w:tab w:val="left" w:pos="851"/>
        </w:tabs>
        <w:ind w:left="851"/>
        <w:rPr>
          <w:sz w:val="24"/>
          <w:szCs w:val="24"/>
        </w:rPr>
      </w:pPr>
    </w:p>
    <w:p w14:paraId="3DE9101D" w14:textId="77777777" w:rsidR="009260DE" w:rsidRPr="009E49F8" w:rsidRDefault="009260DE" w:rsidP="009260DE">
      <w:pPr>
        <w:tabs>
          <w:tab w:val="left" w:pos="851"/>
        </w:tabs>
        <w:ind w:left="851" w:hanging="851"/>
        <w:rPr>
          <w:b/>
          <w:sz w:val="24"/>
          <w:szCs w:val="24"/>
        </w:rPr>
      </w:pPr>
      <w:r w:rsidRPr="009E49F8">
        <w:rPr>
          <w:b/>
          <w:sz w:val="24"/>
          <w:szCs w:val="24"/>
        </w:rPr>
        <w:t>10.</w:t>
      </w:r>
      <w:r w:rsidRPr="009E49F8">
        <w:rPr>
          <w:b/>
          <w:sz w:val="24"/>
          <w:szCs w:val="24"/>
        </w:rPr>
        <w:tab/>
        <w:t>DATO FOR ÆNDRING AF TEKSTEN</w:t>
      </w:r>
    </w:p>
    <w:p w14:paraId="311BF5B6" w14:textId="2A745C3C" w:rsidR="009260DE" w:rsidRPr="009E49F8" w:rsidRDefault="002E351F" w:rsidP="009260DE">
      <w:pPr>
        <w:tabs>
          <w:tab w:val="left" w:pos="851"/>
        </w:tabs>
        <w:ind w:left="851"/>
        <w:rPr>
          <w:sz w:val="24"/>
          <w:szCs w:val="24"/>
        </w:rPr>
      </w:pPr>
      <w:r>
        <w:rPr>
          <w:sz w:val="24"/>
          <w:szCs w:val="24"/>
        </w:rPr>
        <w:t>8</w:t>
      </w:r>
      <w:bookmarkStart w:id="0" w:name="_GoBack"/>
      <w:bookmarkEnd w:id="0"/>
      <w:r w:rsidR="00BA2C82">
        <w:rPr>
          <w:sz w:val="24"/>
          <w:szCs w:val="24"/>
        </w:rPr>
        <w:t>. april 2025</w:t>
      </w:r>
    </w:p>
    <w:sectPr w:rsidR="009260DE" w:rsidRPr="009E49F8" w:rsidSect="00982FDD">
      <w:footerReference w:type="default" r:id="rId9"/>
      <w:pgSz w:w="11906" w:h="16838" w:code="9"/>
      <w:pgMar w:top="851"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F2514" w14:textId="77777777" w:rsidR="007F793B" w:rsidRDefault="007F793B">
      <w:r>
        <w:separator/>
      </w:r>
    </w:p>
  </w:endnote>
  <w:endnote w:type="continuationSeparator" w:id="0">
    <w:p w14:paraId="46C959EB" w14:textId="77777777" w:rsidR="007F793B" w:rsidRDefault="007F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C3ED9" w14:textId="77777777" w:rsidR="007F793B" w:rsidRDefault="007F793B">
    <w:pPr>
      <w:pStyle w:val="Sidefod"/>
      <w:pBdr>
        <w:bottom w:val="single" w:sz="6" w:space="1" w:color="auto"/>
      </w:pBdr>
    </w:pPr>
  </w:p>
  <w:p w14:paraId="0503D89D" w14:textId="77777777" w:rsidR="007F793B" w:rsidRDefault="007F793B" w:rsidP="00C42586">
    <w:pPr>
      <w:pStyle w:val="Sidefod"/>
      <w:tabs>
        <w:tab w:val="clear" w:pos="4819"/>
        <w:tab w:val="left" w:pos="8505"/>
      </w:tabs>
      <w:rPr>
        <w:i/>
        <w:sz w:val="18"/>
        <w:szCs w:val="18"/>
      </w:rPr>
    </w:pPr>
  </w:p>
  <w:p w14:paraId="7F99A0F9" w14:textId="5BCC4C0B" w:rsidR="007F793B" w:rsidRPr="00B373D7" w:rsidRDefault="007F793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Fingolimod Stada, hårde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2B689" w14:textId="77777777" w:rsidR="007F793B" w:rsidRDefault="007F793B">
      <w:r>
        <w:separator/>
      </w:r>
    </w:p>
  </w:footnote>
  <w:footnote w:type="continuationSeparator" w:id="0">
    <w:p w14:paraId="02F6A53D" w14:textId="77777777" w:rsidR="007F793B" w:rsidRDefault="007F7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1854"/>
    <w:multiLevelType w:val="hybridMultilevel"/>
    <w:tmpl w:val="E980764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 w15:restartNumberingAfterBreak="0">
    <w:nsid w:val="09C04995"/>
    <w:multiLevelType w:val="hybridMultilevel"/>
    <w:tmpl w:val="3A66D63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 w15:restartNumberingAfterBreak="0">
    <w:nsid w:val="110B0A22"/>
    <w:multiLevelType w:val="hybridMultilevel"/>
    <w:tmpl w:val="9F6A2B8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CA1161D"/>
    <w:multiLevelType w:val="hybridMultilevel"/>
    <w:tmpl w:val="39E43BE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D2554CF"/>
    <w:multiLevelType w:val="hybridMultilevel"/>
    <w:tmpl w:val="BCB28A1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1EDF1971"/>
    <w:multiLevelType w:val="hybridMultilevel"/>
    <w:tmpl w:val="4FC49B2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28D52AC4"/>
    <w:multiLevelType w:val="hybridMultilevel"/>
    <w:tmpl w:val="D138F0B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0E044B0"/>
    <w:multiLevelType w:val="hybridMultilevel"/>
    <w:tmpl w:val="C1B83EF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9" w15:restartNumberingAfterBreak="0">
    <w:nsid w:val="31682F82"/>
    <w:multiLevelType w:val="hybridMultilevel"/>
    <w:tmpl w:val="8724020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0"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64E256E"/>
    <w:multiLevelType w:val="hybridMultilevel"/>
    <w:tmpl w:val="5B4A8BE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731D7622"/>
    <w:multiLevelType w:val="hybridMultilevel"/>
    <w:tmpl w:val="9CBA271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6" w15:restartNumberingAfterBreak="0">
    <w:nsid w:val="7C7B57FB"/>
    <w:multiLevelType w:val="hybridMultilevel"/>
    <w:tmpl w:val="E2F2E8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DCE1D2D"/>
    <w:multiLevelType w:val="hybridMultilevel"/>
    <w:tmpl w:val="08B09D6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7E683BC7"/>
    <w:multiLevelType w:val="hybridMultilevel"/>
    <w:tmpl w:val="F1EEEAD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8"/>
  </w:num>
  <w:num w:numId="9">
    <w:abstractNumId w:val="1"/>
  </w:num>
  <w:num w:numId="10">
    <w:abstractNumId w:val="18"/>
  </w:num>
  <w:num w:numId="11">
    <w:abstractNumId w:val="2"/>
  </w:num>
  <w:num w:numId="12">
    <w:abstractNumId w:val="9"/>
  </w:num>
  <w:num w:numId="13">
    <w:abstractNumId w:val="0"/>
  </w:num>
  <w:num w:numId="14">
    <w:abstractNumId w:val="16"/>
  </w:num>
  <w:num w:numId="15">
    <w:abstractNumId w:val="6"/>
  </w:num>
  <w:num w:numId="16">
    <w:abstractNumId w:val="4"/>
  </w:num>
  <w:num w:numId="17">
    <w:abstractNumId w:val="14"/>
  </w:num>
  <w:num w:numId="18">
    <w:abstractNumId w:val="5"/>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B71"/>
    <w:rsid w:val="000128B6"/>
    <w:rsid w:val="000259B9"/>
    <w:rsid w:val="00041491"/>
    <w:rsid w:val="00041B79"/>
    <w:rsid w:val="00050D16"/>
    <w:rsid w:val="00055F35"/>
    <w:rsid w:val="00056426"/>
    <w:rsid w:val="00074F2A"/>
    <w:rsid w:val="000A1CA8"/>
    <w:rsid w:val="000A466B"/>
    <w:rsid w:val="000A5B18"/>
    <w:rsid w:val="000B058C"/>
    <w:rsid w:val="000B6E89"/>
    <w:rsid w:val="000C446F"/>
    <w:rsid w:val="000E4EE6"/>
    <w:rsid w:val="00141E10"/>
    <w:rsid w:val="001454E2"/>
    <w:rsid w:val="00155E83"/>
    <w:rsid w:val="00193231"/>
    <w:rsid w:val="001C5480"/>
    <w:rsid w:val="001D2ABD"/>
    <w:rsid w:val="00206CE8"/>
    <w:rsid w:val="0021526C"/>
    <w:rsid w:val="00283A2B"/>
    <w:rsid w:val="002B30AD"/>
    <w:rsid w:val="002B5AAA"/>
    <w:rsid w:val="002C2C01"/>
    <w:rsid w:val="002E351F"/>
    <w:rsid w:val="00384650"/>
    <w:rsid w:val="0039094F"/>
    <w:rsid w:val="00394A69"/>
    <w:rsid w:val="003A29AE"/>
    <w:rsid w:val="003A32D7"/>
    <w:rsid w:val="003B4074"/>
    <w:rsid w:val="003C769A"/>
    <w:rsid w:val="003D41D0"/>
    <w:rsid w:val="003F1838"/>
    <w:rsid w:val="003F3238"/>
    <w:rsid w:val="00404762"/>
    <w:rsid w:val="00442016"/>
    <w:rsid w:val="004464F7"/>
    <w:rsid w:val="004522F1"/>
    <w:rsid w:val="0045746C"/>
    <w:rsid w:val="00474236"/>
    <w:rsid w:val="0049104B"/>
    <w:rsid w:val="004E3B12"/>
    <w:rsid w:val="00520D70"/>
    <w:rsid w:val="00524361"/>
    <w:rsid w:val="00532310"/>
    <w:rsid w:val="00551AD8"/>
    <w:rsid w:val="00565F0F"/>
    <w:rsid w:val="00594A86"/>
    <w:rsid w:val="00596D86"/>
    <w:rsid w:val="005C2022"/>
    <w:rsid w:val="005F0E16"/>
    <w:rsid w:val="00637F5A"/>
    <w:rsid w:val="006526D7"/>
    <w:rsid w:val="006547BE"/>
    <w:rsid w:val="006560B1"/>
    <w:rsid w:val="00664C68"/>
    <w:rsid w:val="006756DD"/>
    <w:rsid w:val="00693226"/>
    <w:rsid w:val="006A17DF"/>
    <w:rsid w:val="006B6DC1"/>
    <w:rsid w:val="006D4C67"/>
    <w:rsid w:val="006D7ABF"/>
    <w:rsid w:val="006F694E"/>
    <w:rsid w:val="007128C2"/>
    <w:rsid w:val="00737275"/>
    <w:rsid w:val="00740EEC"/>
    <w:rsid w:val="00766FA3"/>
    <w:rsid w:val="0078011A"/>
    <w:rsid w:val="00781893"/>
    <w:rsid w:val="00782AF4"/>
    <w:rsid w:val="00790EE7"/>
    <w:rsid w:val="00796751"/>
    <w:rsid w:val="007A6CC0"/>
    <w:rsid w:val="007B1C8E"/>
    <w:rsid w:val="007B6649"/>
    <w:rsid w:val="007F793B"/>
    <w:rsid w:val="00814399"/>
    <w:rsid w:val="0082576E"/>
    <w:rsid w:val="00865662"/>
    <w:rsid w:val="008C13DE"/>
    <w:rsid w:val="008F4B68"/>
    <w:rsid w:val="00907F75"/>
    <w:rsid w:val="0092126A"/>
    <w:rsid w:val="00922B71"/>
    <w:rsid w:val="00925892"/>
    <w:rsid w:val="009260DE"/>
    <w:rsid w:val="0093258A"/>
    <w:rsid w:val="00935793"/>
    <w:rsid w:val="00960FB9"/>
    <w:rsid w:val="00982FDD"/>
    <w:rsid w:val="009C06D4"/>
    <w:rsid w:val="009C7BA3"/>
    <w:rsid w:val="009D0CD1"/>
    <w:rsid w:val="009D1F5A"/>
    <w:rsid w:val="009E37DB"/>
    <w:rsid w:val="009E49F8"/>
    <w:rsid w:val="009F6B67"/>
    <w:rsid w:val="00AF54E1"/>
    <w:rsid w:val="00B003BF"/>
    <w:rsid w:val="00B373D7"/>
    <w:rsid w:val="00B922BA"/>
    <w:rsid w:val="00BA2C82"/>
    <w:rsid w:val="00BF387F"/>
    <w:rsid w:val="00C10D9D"/>
    <w:rsid w:val="00C36276"/>
    <w:rsid w:val="00C42586"/>
    <w:rsid w:val="00C60CCD"/>
    <w:rsid w:val="00C84483"/>
    <w:rsid w:val="00C95551"/>
    <w:rsid w:val="00CB20D7"/>
    <w:rsid w:val="00CB74FD"/>
    <w:rsid w:val="00CE7533"/>
    <w:rsid w:val="00CF35AD"/>
    <w:rsid w:val="00D020B0"/>
    <w:rsid w:val="00D11748"/>
    <w:rsid w:val="00D366CF"/>
    <w:rsid w:val="00D74F45"/>
    <w:rsid w:val="00DA49F8"/>
    <w:rsid w:val="00E03630"/>
    <w:rsid w:val="00E108AA"/>
    <w:rsid w:val="00E3749A"/>
    <w:rsid w:val="00E7437F"/>
    <w:rsid w:val="00E865B8"/>
    <w:rsid w:val="00EC0B9B"/>
    <w:rsid w:val="00ED5E9F"/>
    <w:rsid w:val="00F4010C"/>
    <w:rsid w:val="00F432B8"/>
    <w:rsid w:val="00F641D1"/>
    <w:rsid w:val="00F66D4F"/>
    <w:rsid w:val="00FB6D01"/>
    <w:rsid w:val="00FC2F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CE473"/>
  <w15:chartTrackingRefBased/>
  <w15:docId w15:val="{A87ACD01-465C-42BB-8851-9FF276BA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6D7ABF"/>
    <w:pPr>
      <w:spacing w:before="120" w:after="120"/>
      <w:jc w:val="both"/>
    </w:pPr>
    <w:rPr>
      <w:sz w:val="22"/>
      <w:lang w:val="en-US"/>
    </w:rPr>
  </w:style>
  <w:style w:type="paragraph" w:styleId="Listeafsnit">
    <w:name w:val="List Paragraph"/>
    <w:basedOn w:val="Normal"/>
    <w:uiPriority w:val="34"/>
    <w:qFormat/>
    <w:rsid w:val="00C10D9D"/>
    <w:pPr>
      <w:ind w:left="720"/>
      <w:contextualSpacing/>
    </w:pPr>
    <w:rPr>
      <w:sz w:val="22"/>
    </w:rPr>
  </w:style>
  <w:style w:type="character" w:styleId="Strk">
    <w:name w:val="Strong"/>
    <w:basedOn w:val="Standardskrifttypeiafsnit"/>
    <w:uiPriority w:val="22"/>
    <w:qFormat/>
    <w:rsid w:val="00C10D9D"/>
    <w:rPr>
      <w:b/>
      <w:bCs/>
    </w:rPr>
  </w:style>
  <w:style w:type="character" w:styleId="Hyperlink">
    <w:name w:val="Hyperlink"/>
    <w:basedOn w:val="Standardskrifttypeiafsnit"/>
    <w:uiPriority w:val="99"/>
    <w:semiHidden/>
    <w:unhideWhenUsed/>
    <w:rsid w:val="00C10D9D"/>
    <w:rPr>
      <w:color w:val="0000FF"/>
      <w:u w:val="single"/>
    </w:rPr>
  </w:style>
  <w:style w:type="table" w:styleId="Tabel-Gitter">
    <w:name w:val="Table Grid"/>
    <w:basedOn w:val="Tabel-Normal"/>
    <w:uiPriority w:val="59"/>
    <w:rsid w:val="006D4C67"/>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750">
      <w:bodyDiv w:val="1"/>
      <w:marLeft w:val="0"/>
      <w:marRight w:val="0"/>
      <w:marTop w:val="0"/>
      <w:marBottom w:val="0"/>
      <w:divBdr>
        <w:top w:val="none" w:sz="0" w:space="0" w:color="auto"/>
        <w:left w:val="none" w:sz="0" w:space="0" w:color="auto"/>
        <w:bottom w:val="none" w:sz="0" w:space="0" w:color="auto"/>
        <w:right w:val="none" w:sz="0" w:space="0" w:color="auto"/>
      </w:divBdr>
    </w:div>
    <w:div w:id="20590472">
      <w:bodyDiv w:val="1"/>
      <w:marLeft w:val="0"/>
      <w:marRight w:val="0"/>
      <w:marTop w:val="0"/>
      <w:marBottom w:val="0"/>
      <w:divBdr>
        <w:top w:val="none" w:sz="0" w:space="0" w:color="auto"/>
        <w:left w:val="none" w:sz="0" w:space="0" w:color="auto"/>
        <w:bottom w:val="none" w:sz="0" w:space="0" w:color="auto"/>
        <w:right w:val="none" w:sz="0" w:space="0" w:color="auto"/>
      </w:divBdr>
    </w:div>
    <w:div w:id="66077295">
      <w:bodyDiv w:val="1"/>
      <w:marLeft w:val="0"/>
      <w:marRight w:val="0"/>
      <w:marTop w:val="0"/>
      <w:marBottom w:val="0"/>
      <w:divBdr>
        <w:top w:val="none" w:sz="0" w:space="0" w:color="auto"/>
        <w:left w:val="none" w:sz="0" w:space="0" w:color="auto"/>
        <w:bottom w:val="none" w:sz="0" w:space="0" w:color="auto"/>
        <w:right w:val="none" w:sz="0" w:space="0" w:color="auto"/>
      </w:divBdr>
    </w:div>
    <w:div w:id="79565481">
      <w:bodyDiv w:val="1"/>
      <w:marLeft w:val="0"/>
      <w:marRight w:val="0"/>
      <w:marTop w:val="0"/>
      <w:marBottom w:val="0"/>
      <w:divBdr>
        <w:top w:val="none" w:sz="0" w:space="0" w:color="auto"/>
        <w:left w:val="none" w:sz="0" w:space="0" w:color="auto"/>
        <w:bottom w:val="none" w:sz="0" w:space="0" w:color="auto"/>
        <w:right w:val="none" w:sz="0" w:space="0" w:color="auto"/>
      </w:divBdr>
    </w:div>
    <w:div w:id="14570691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2928434">
      <w:bodyDiv w:val="1"/>
      <w:marLeft w:val="0"/>
      <w:marRight w:val="0"/>
      <w:marTop w:val="0"/>
      <w:marBottom w:val="0"/>
      <w:divBdr>
        <w:top w:val="none" w:sz="0" w:space="0" w:color="auto"/>
        <w:left w:val="none" w:sz="0" w:space="0" w:color="auto"/>
        <w:bottom w:val="none" w:sz="0" w:space="0" w:color="auto"/>
        <w:right w:val="none" w:sz="0" w:space="0" w:color="auto"/>
      </w:divBdr>
    </w:div>
    <w:div w:id="384916883">
      <w:bodyDiv w:val="1"/>
      <w:marLeft w:val="0"/>
      <w:marRight w:val="0"/>
      <w:marTop w:val="0"/>
      <w:marBottom w:val="0"/>
      <w:divBdr>
        <w:top w:val="none" w:sz="0" w:space="0" w:color="auto"/>
        <w:left w:val="none" w:sz="0" w:space="0" w:color="auto"/>
        <w:bottom w:val="none" w:sz="0" w:space="0" w:color="auto"/>
        <w:right w:val="none" w:sz="0" w:space="0" w:color="auto"/>
      </w:divBdr>
    </w:div>
    <w:div w:id="403720159">
      <w:bodyDiv w:val="1"/>
      <w:marLeft w:val="0"/>
      <w:marRight w:val="0"/>
      <w:marTop w:val="0"/>
      <w:marBottom w:val="0"/>
      <w:divBdr>
        <w:top w:val="none" w:sz="0" w:space="0" w:color="auto"/>
        <w:left w:val="none" w:sz="0" w:space="0" w:color="auto"/>
        <w:bottom w:val="none" w:sz="0" w:space="0" w:color="auto"/>
        <w:right w:val="none" w:sz="0" w:space="0" w:color="auto"/>
      </w:divBdr>
    </w:div>
    <w:div w:id="476337272">
      <w:bodyDiv w:val="1"/>
      <w:marLeft w:val="0"/>
      <w:marRight w:val="0"/>
      <w:marTop w:val="0"/>
      <w:marBottom w:val="0"/>
      <w:divBdr>
        <w:top w:val="none" w:sz="0" w:space="0" w:color="auto"/>
        <w:left w:val="none" w:sz="0" w:space="0" w:color="auto"/>
        <w:bottom w:val="none" w:sz="0" w:space="0" w:color="auto"/>
        <w:right w:val="none" w:sz="0" w:space="0" w:color="auto"/>
      </w:divBdr>
    </w:div>
    <w:div w:id="537746835">
      <w:bodyDiv w:val="1"/>
      <w:marLeft w:val="0"/>
      <w:marRight w:val="0"/>
      <w:marTop w:val="0"/>
      <w:marBottom w:val="0"/>
      <w:divBdr>
        <w:top w:val="none" w:sz="0" w:space="0" w:color="auto"/>
        <w:left w:val="none" w:sz="0" w:space="0" w:color="auto"/>
        <w:bottom w:val="none" w:sz="0" w:space="0" w:color="auto"/>
        <w:right w:val="none" w:sz="0" w:space="0" w:color="auto"/>
      </w:divBdr>
    </w:div>
    <w:div w:id="644433270">
      <w:bodyDiv w:val="1"/>
      <w:marLeft w:val="0"/>
      <w:marRight w:val="0"/>
      <w:marTop w:val="0"/>
      <w:marBottom w:val="0"/>
      <w:divBdr>
        <w:top w:val="none" w:sz="0" w:space="0" w:color="auto"/>
        <w:left w:val="none" w:sz="0" w:space="0" w:color="auto"/>
        <w:bottom w:val="none" w:sz="0" w:space="0" w:color="auto"/>
        <w:right w:val="none" w:sz="0" w:space="0" w:color="auto"/>
      </w:divBdr>
    </w:div>
    <w:div w:id="669410455">
      <w:bodyDiv w:val="1"/>
      <w:marLeft w:val="0"/>
      <w:marRight w:val="0"/>
      <w:marTop w:val="0"/>
      <w:marBottom w:val="0"/>
      <w:divBdr>
        <w:top w:val="none" w:sz="0" w:space="0" w:color="auto"/>
        <w:left w:val="none" w:sz="0" w:space="0" w:color="auto"/>
        <w:bottom w:val="none" w:sz="0" w:space="0" w:color="auto"/>
        <w:right w:val="none" w:sz="0" w:space="0" w:color="auto"/>
      </w:divBdr>
    </w:div>
    <w:div w:id="673604856">
      <w:bodyDiv w:val="1"/>
      <w:marLeft w:val="0"/>
      <w:marRight w:val="0"/>
      <w:marTop w:val="0"/>
      <w:marBottom w:val="0"/>
      <w:divBdr>
        <w:top w:val="none" w:sz="0" w:space="0" w:color="auto"/>
        <w:left w:val="none" w:sz="0" w:space="0" w:color="auto"/>
        <w:bottom w:val="none" w:sz="0" w:space="0" w:color="auto"/>
        <w:right w:val="none" w:sz="0" w:space="0" w:color="auto"/>
      </w:divBdr>
    </w:div>
    <w:div w:id="831681282">
      <w:bodyDiv w:val="1"/>
      <w:marLeft w:val="0"/>
      <w:marRight w:val="0"/>
      <w:marTop w:val="0"/>
      <w:marBottom w:val="0"/>
      <w:divBdr>
        <w:top w:val="none" w:sz="0" w:space="0" w:color="auto"/>
        <w:left w:val="none" w:sz="0" w:space="0" w:color="auto"/>
        <w:bottom w:val="none" w:sz="0" w:space="0" w:color="auto"/>
        <w:right w:val="none" w:sz="0" w:space="0" w:color="auto"/>
      </w:divBdr>
    </w:div>
    <w:div w:id="843787973">
      <w:bodyDiv w:val="1"/>
      <w:marLeft w:val="0"/>
      <w:marRight w:val="0"/>
      <w:marTop w:val="0"/>
      <w:marBottom w:val="0"/>
      <w:divBdr>
        <w:top w:val="none" w:sz="0" w:space="0" w:color="auto"/>
        <w:left w:val="none" w:sz="0" w:space="0" w:color="auto"/>
        <w:bottom w:val="none" w:sz="0" w:space="0" w:color="auto"/>
        <w:right w:val="none" w:sz="0" w:space="0" w:color="auto"/>
      </w:divBdr>
    </w:div>
    <w:div w:id="888223248">
      <w:bodyDiv w:val="1"/>
      <w:marLeft w:val="0"/>
      <w:marRight w:val="0"/>
      <w:marTop w:val="0"/>
      <w:marBottom w:val="0"/>
      <w:divBdr>
        <w:top w:val="none" w:sz="0" w:space="0" w:color="auto"/>
        <w:left w:val="none" w:sz="0" w:space="0" w:color="auto"/>
        <w:bottom w:val="none" w:sz="0" w:space="0" w:color="auto"/>
        <w:right w:val="none" w:sz="0" w:space="0" w:color="auto"/>
      </w:divBdr>
    </w:div>
    <w:div w:id="946545991">
      <w:bodyDiv w:val="1"/>
      <w:marLeft w:val="0"/>
      <w:marRight w:val="0"/>
      <w:marTop w:val="0"/>
      <w:marBottom w:val="0"/>
      <w:divBdr>
        <w:top w:val="none" w:sz="0" w:space="0" w:color="auto"/>
        <w:left w:val="none" w:sz="0" w:space="0" w:color="auto"/>
        <w:bottom w:val="none" w:sz="0" w:space="0" w:color="auto"/>
        <w:right w:val="none" w:sz="0" w:space="0" w:color="auto"/>
      </w:divBdr>
    </w:div>
    <w:div w:id="961962631">
      <w:bodyDiv w:val="1"/>
      <w:marLeft w:val="0"/>
      <w:marRight w:val="0"/>
      <w:marTop w:val="0"/>
      <w:marBottom w:val="0"/>
      <w:divBdr>
        <w:top w:val="none" w:sz="0" w:space="0" w:color="auto"/>
        <w:left w:val="none" w:sz="0" w:space="0" w:color="auto"/>
        <w:bottom w:val="none" w:sz="0" w:space="0" w:color="auto"/>
        <w:right w:val="none" w:sz="0" w:space="0" w:color="auto"/>
      </w:divBdr>
    </w:div>
    <w:div w:id="991758360">
      <w:bodyDiv w:val="1"/>
      <w:marLeft w:val="0"/>
      <w:marRight w:val="0"/>
      <w:marTop w:val="0"/>
      <w:marBottom w:val="0"/>
      <w:divBdr>
        <w:top w:val="none" w:sz="0" w:space="0" w:color="auto"/>
        <w:left w:val="none" w:sz="0" w:space="0" w:color="auto"/>
        <w:bottom w:val="none" w:sz="0" w:space="0" w:color="auto"/>
        <w:right w:val="none" w:sz="0" w:space="0" w:color="auto"/>
      </w:divBdr>
    </w:div>
    <w:div w:id="1108692732">
      <w:bodyDiv w:val="1"/>
      <w:marLeft w:val="0"/>
      <w:marRight w:val="0"/>
      <w:marTop w:val="0"/>
      <w:marBottom w:val="0"/>
      <w:divBdr>
        <w:top w:val="none" w:sz="0" w:space="0" w:color="auto"/>
        <w:left w:val="none" w:sz="0" w:space="0" w:color="auto"/>
        <w:bottom w:val="none" w:sz="0" w:space="0" w:color="auto"/>
        <w:right w:val="none" w:sz="0" w:space="0" w:color="auto"/>
      </w:divBdr>
    </w:div>
    <w:div w:id="1202476915">
      <w:bodyDiv w:val="1"/>
      <w:marLeft w:val="0"/>
      <w:marRight w:val="0"/>
      <w:marTop w:val="0"/>
      <w:marBottom w:val="0"/>
      <w:divBdr>
        <w:top w:val="none" w:sz="0" w:space="0" w:color="auto"/>
        <w:left w:val="none" w:sz="0" w:space="0" w:color="auto"/>
        <w:bottom w:val="none" w:sz="0" w:space="0" w:color="auto"/>
        <w:right w:val="none" w:sz="0" w:space="0" w:color="auto"/>
      </w:divBdr>
    </w:div>
    <w:div w:id="1573933400">
      <w:bodyDiv w:val="1"/>
      <w:marLeft w:val="0"/>
      <w:marRight w:val="0"/>
      <w:marTop w:val="0"/>
      <w:marBottom w:val="0"/>
      <w:divBdr>
        <w:top w:val="none" w:sz="0" w:space="0" w:color="auto"/>
        <w:left w:val="none" w:sz="0" w:space="0" w:color="auto"/>
        <w:bottom w:val="none" w:sz="0" w:space="0" w:color="auto"/>
        <w:right w:val="none" w:sz="0" w:space="0" w:color="auto"/>
      </w:divBdr>
    </w:div>
    <w:div w:id="1741632386">
      <w:bodyDiv w:val="1"/>
      <w:marLeft w:val="0"/>
      <w:marRight w:val="0"/>
      <w:marTop w:val="0"/>
      <w:marBottom w:val="0"/>
      <w:divBdr>
        <w:top w:val="none" w:sz="0" w:space="0" w:color="auto"/>
        <w:left w:val="none" w:sz="0" w:space="0" w:color="auto"/>
        <w:bottom w:val="none" w:sz="0" w:space="0" w:color="auto"/>
        <w:right w:val="none" w:sz="0" w:space="0" w:color="auto"/>
      </w:divBdr>
    </w:div>
    <w:div w:id="1806198583">
      <w:bodyDiv w:val="1"/>
      <w:marLeft w:val="0"/>
      <w:marRight w:val="0"/>
      <w:marTop w:val="0"/>
      <w:marBottom w:val="0"/>
      <w:divBdr>
        <w:top w:val="none" w:sz="0" w:space="0" w:color="auto"/>
        <w:left w:val="none" w:sz="0" w:space="0" w:color="auto"/>
        <w:bottom w:val="none" w:sz="0" w:space="0" w:color="auto"/>
        <w:right w:val="none" w:sz="0" w:space="0" w:color="auto"/>
      </w:divBdr>
    </w:div>
    <w:div w:id="200523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10886</Words>
  <Characters>68985</Characters>
  <Application>Microsoft Office Word</Application>
  <DocSecurity>0</DocSecurity>
  <Lines>574</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2024072007 pkt. 4.4, 5.1</dc:description>
  <cp:lastModifiedBy>Lea Daugaard Kristiansen</cp:lastModifiedBy>
  <cp:revision>7</cp:revision>
  <cp:lastPrinted>2012-08-22T08:53:00Z</cp:lastPrinted>
  <dcterms:created xsi:type="dcterms:W3CDTF">2025-04-02T09:07:00Z</dcterms:created>
  <dcterms:modified xsi:type="dcterms:W3CDTF">2025-04-08T12:12:00Z</dcterms:modified>
</cp:coreProperties>
</file>