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077" w:rsidRPr="009369B9" w:rsidRDefault="00034077" w:rsidP="00034077">
      <w:pPr>
        <w:rPr>
          <w:sz w:val="24"/>
          <w:szCs w:val="24"/>
        </w:rPr>
      </w:pPr>
      <w:r w:rsidRPr="009369B9">
        <w:rPr>
          <w:noProof/>
          <w:sz w:val="24"/>
          <w:szCs w:val="24"/>
          <w:lang w:eastAsia="da-DK"/>
        </w:rPr>
        <w:drawing>
          <wp:anchor distT="0" distB="0" distL="114300" distR="114300" simplePos="0" relativeHeight="251659264" behindDoc="0" locked="0" layoutInCell="1" allowOverlap="1" wp14:anchorId="534E4CC6" wp14:editId="7DE41E7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369B9">
        <w:rPr>
          <w:sz w:val="24"/>
          <w:szCs w:val="24"/>
        </w:rPr>
        <w:br w:type="textWrapping" w:clear="all"/>
      </w:r>
    </w:p>
    <w:p w:rsidR="00034077" w:rsidRPr="009369B9" w:rsidRDefault="00034077" w:rsidP="00034077">
      <w:pPr>
        <w:pStyle w:val="Titel"/>
        <w:tabs>
          <w:tab w:val="right" w:pos="9356"/>
        </w:tabs>
        <w:jc w:val="left"/>
        <w:rPr>
          <w:b w:val="0"/>
          <w:szCs w:val="24"/>
          <w:lang w:eastAsia="en-US"/>
        </w:rPr>
      </w:pPr>
    </w:p>
    <w:p w:rsidR="00034077" w:rsidRPr="009369B9" w:rsidRDefault="00034077" w:rsidP="00034077">
      <w:pPr>
        <w:pStyle w:val="Titel"/>
        <w:tabs>
          <w:tab w:val="right" w:pos="9356"/>
        </w:tabs>
        <w:jc w:val="left"/>
        <w:rPr>
          <w:b w:val="0"/>
          <w:szCs w:val="24"/>
          <w:lang w:eastAsia="en-US"/>
        </w:rPr>
      </w:pPr>
      <w:r w:rsidRPr="009369B9">
        <w:rPr>
          <w:b w:val="0"/>
          <w:szCs w:val="24"/>
          <w:lang w:eastAsia="en-US"/>
        </w:rPr>
        <w:tab/>
      </w:r>
      <w:r w:rsidR="00020D1E">
        <w:rPr>
          <w:szCs w:val="24"/>
        </w:rPr>
        <w:t>11</w:t>
      </w:r>
      <w:r>
        <w:rPr>
          <w:szCs w:val="24"/>
        </w:rPr>
        <w:t xml:space="preserve">. </w:t>
      </w:r>
      <w:r w:rsidR="00020D1E">
        <w:rPr>
          <w:szCs w:val="24"/>
        </w:rPr>
        <w:t>april</w:t>
      </w:r>
      <w:r>
        <w:rPr>
          <w:szCs w:val="24"/>
        </w:rPr>
        <w:t xml:space="preserve"> 20</w:t>
      </w:r>
      <w:r w:rsidR="00020D1E">
        <w:rPr>
          <w:szCs w:val="24"/>
        </w:rPr>
        <w:t>23</w:t>
      </w:r>
    </w:p>
    <w:p w:rsidR="00034077" w:rsidRPr="009369B9" w:rsidRDefault="00034077" w:rsidP="00034077">
      <w:pPr>
        <w:pStyle w:val="Titel"/>
        <w:tabs>
          <w:tab w:val="left" w:pos="8222"/>
        </w:tabs>
        <w:jc w:val="left"/>
        <w:rPr>
          <w:b w:val="0"/>
          <w:szCs w:val="24"/>
        </w:rPr>
      </w:pPr>
    </w:p>
    <w:p w:rsidR="00034077" w:rsidRPr="009369B9" w:rsidRDefault="00034077" w:rsidP="00034077">
      <w:pPr>
        <w:pStyle w:val="Titel"/>
        <w:jc w:val="left"/>
        <w:rPr>
          <w:b w:val="0"/>
          <w:szCs w:val="24"/>
        </w:rPr>
      </w:pPr>
    </w:p>
    <w:p w:rsidR="00034077" w:rsidRPr="009369B9" w:rsidRDefault="00034077" w:rsidP="00034077">
      <w:pPr>
        <w:pStyle w:val="Titel"/>
        <w:jc w:val="left"/>
        <w:rPr>
          <w:b w:val="0"/>
          <w:szCs w:val="24"/>
        </w:rPr>
      </w:pPr>
    </w:p>
    <w:p w:rsidR="00034077" w:rsidRPr="009369B9" w:rsidRDefault="00034077" w:rsidP="00034077">
      <w:pPr>
        <w:jc w:val="center"/>
        <w:rPr>
          <w:b/>
          <w:sz w:val="24"/>
          <w:szCs w:val="24"/>
        </w:rPr>
      </w:pPr>
      <w:r w:rsidRPr="009369B9">
        <w:rPr>
          <w:b/>
          <w:sz w:val="24"/>
          <w:szCs w:val="24"/>
        </w:rPr>
        <w:t>PRODUKTRESUMÉ</w:t>
      </w:r>
    </w:p>
    <w:p w:rsidR="00034077" w:rsidRPr="009369B9" w:rsidRDefault="00034077" w:rsidP="00034077">
      <w:pPr>
        <w:jc w:val="center"/>
        <w:rPr>
          <w:b/>
          <w:sz w:val="24"/>
          <w:szCs w:val="24"/>
        </w:rPr>
      </w:pPr>
    </w:p>
    <w:p w:rsidR="00034077" w:rsidRPr="009369B9" w:rsidRDefault="00034077" w:rsidP="00034077">
      <w:pPr>
        <w:jc w:val="center"/>
        <w:rPr>
          <w:b/>
          <w:sz w:val="24"/>
          <w:szCs w:val="24"/>
        </w:rPr>
      </w:pPr>
      <w:r w:rsidRPr="009369B9">
        <w:rPr>
          <w:b/>
          <w:sz w:val="24"/>
          <w:szCs w:val="24"/>
        </w:rPr>
        <w:t>for</w:t>
      </w:r>
    </w:p>
    <w:p w:rsidR="00034077" w:rsidRPr="009369B9" w:rsidRDefault="00034077" w:rsidP="00034077">
      <w:pPr>
        <w:jc w:val="center"/>
        <w:rPr>
          <w:b/>
          <w:sz w:val="24"/>
          <w:szCs w:val="24"/>
        </w:rPr>
      </w:pPr>
    </w:p>
    <w:p w:rsidR="00034077" w:rsidRPr="009369B9" w:rsidRDefault="00034077" w:rsidP="00034077">
      <w:pPr>
        <w:jc w:val="center"/>
        <w:rPr>
          <w:b/>
          <w:sz w:val="24"/>
          <w:szCs w:val="24"/>
        </w:rPr>
      </w:pPr>
      <w:proofErr w:type="spellStart"/>
      <w:r>
        <w:rPr>
          <w:b/>
          <w:sz w:val="24"/>
          <w:szCs w:val="24"/>
        </w:rPr>
        <w:t>Finomel</w:t>
      </w:r>
      <w:proofErr w:type="spellEnd"/>
      <w:r w:rsidRPr="009369B9">
        <w:rPr>
          <w:b/>
          <w:sz w:val="24"/>
          <w:szCs w:val="24"/>
        </w:rPr>
        <w:t>, infusionsvæske, emulsion</w:t>
      </w:r>
    </w:p>
    <w:p w:rsidR="00034077" w:rsidRPr="009369B9" w:rsidRDefault="00034077" w:rsidP="00034077">
      <w:pPr>
        <w:jc w:val="both"/>
        <w:rPr>
          <w:sz w:val="24"/>
          <w:szCs w:val="24"/>
        </w:rPr>
      </w:pPr>
    </w:p>
    <w:p w:rsidR="00034077" w:rsidRPr="009369B9" w:rsidRDefault="00034077" w:rsidP="00034077">
      <w:pPr>
        <w:jc w:val="both"/>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0.</w:t>
      </w:r>
      <w:r w:rsidRPr="009369B9">
        <w:rPr>
          <w:b/>
          <w:sz w:val="24"/>
          <w:szCs w:val="24"/>
        </w:rPr>
        <w:tab/>
        <w:t>D.SP.NR.</w:t>
      </w:r>
    </w:p>
    <w:p w:rsidR="00034077" w:rsidRPr="009369B9" w:rsidRDefault="00034077" w:rsidP="00034077">
      <w:pPr>
        <w:tabs>
          <w:tab w:val="left" w:pos="851"/>
        </w:tabs>
        <w:ind w:left="851"/>
        <w:rPr>
          <w:sz w:val="24"/>
          <w:szCs w:val="24"/>
        </w:rPr>
      </w:pPr>
      <w:r w:rsidRPr="009369B9">
        <w:rPr>
          <w:sz w:val="24"/>
          <w:szCs w:val="24"/>
        </w:rPr>
        <w:t>30909</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1.</w:t>
      </w:r>
      <w:r w:rsidRPr="009369B9">
        <w:rPr>
          <w:b/>
          <w:sz w:val="24"/>
          <w:szCs w:val="24"/>
        </w:rPr>
        <w:tab/>
        <w:t>LÆGEMIDLETS NAVN</w:t>
      </w:r>
    </w:p>
    <w:p w:rsidR="00034077" w:rsidRPr="009369B9" w:rsidRDefault="00034077" w:rsidP="00034077">
      <w:pPr>
        <w:tabs>
          <w:tab w:val="left" w:pos="851"/>
        </w:tabs>
        <w:ind w:left="851"/>
        <w:rPr>
          <w:sz w:val="24"/>
          <w:szCs w:val="24"/>
        </w:rPr>
      </w:pPr>
      <w:proofErr w:type="spellStart"/>
      <w:r>
        <w:rPr>
          <w:sz w:val="24"/>
          <w:szCs w:val="24"/>
        </w:rPr>
        <w:t>Finomel</w:t>
      </w:r>
      <w:proofErr w:type="spellEnd"/>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2.</w:t>
      </w:r>
      <w:r w:rsidRPr="009369B9">
        <w:rPr>
          <w:b/>
          <w:sz w:val="24"/>
          <w:szCs w:val="24"/>
        </w:rPr>
        <w:tab/>
        <w:t>KVALITATIV OG KVANTITATIV SAMMENSÆTNING</w:t>
      </w:r>
    </w:p>
    <w:p w:rsidR="00034077" w:rsidRPr="009369B9" w:rsidRDefault="00034077" w:rsidP="00034077">
      <w:pPr>
        <w:tabs>
          <w:tab w:val="left" w:pos="851"/>
        </w:tabs>
        <w:ind w:left="851"/>
        <w:rPr>
          <w:sz w:val="24"/>
          <w:szCs w:val="24"/>
        </w:rPr>
      </w:pPr>
      <w:proofErr w:type="spellStart"/>
      <w:r>
        <w:rPr>
          <w:sz w:val="24"/>
          <w:szCs w:val="24"/>
        </w:rPr>
        <w:t>Finomel</w:t>
      </w:r>
      <w:proofErr w:type="spellEnd"/>
      <w:r w:rsidRPr="009369B9">
        <w:rPr>
          <w:sz w:val="24"/>
          <w:szCs w:val="24"/>
        </w:rPr>
        <w:t xml:space="preserve"> leveres i en trekammerpose. Hver pose indeholder en steril </w:t>
      </w:r>
      <w:proofErr w:type="spellStart"/>
      <w:r w:rsidRPr="009369B9">
        <w:rPr>
          <w:sz w:val="24"/>
          <w:szCs w:val="24"/>
        </w:rPr>
        <w:t>pyrogenfri</w:t>
      </w:r>
      <w:proofErr w:type="spellEnd"/>
      <w:r w:rsidRPr="009369B9">
        <w:rPr>
          <w:sz w:val="24"/>
          <w:szCs w:val="24"/>
        </w:rPr>
        <w:t xml:space="preserve"> kombination af </w:t>
      </w:r>
      <w:r>
        <w:rPr>
          <w:sz w:val="24"/>
          <w:szCs w:val="24"/>
        </w:rPr>
        <w:t>42 %</w:t>
      </w:r>
      <w:r w:rsidRPr="009369B9">
        <w:rPr>
          <w:sz w:val="24"/>
          <w:szCs w:val="24"/>
        </w:rPr>
        <w:t xml:space="preserve"> </w:t>
      </w:r>
      <w:proofErr w:type="spellStart"/>
      <w:r w:rsidRPr="009369B9">
        <w:rPr>
          <w:sz w:val="24"/>
          <w:szCs w:val="24"/>
        </w:rPr>
        <w:t>glucoseopløsning</w:t>
      </w:r>
      <w:proofErr w:type="spellEnd"/>
      <w:r w:rsidRPr="009369B9">
        <w:rPr>
          <w:sz w:val="24"/>
          <w:szCs w:val="24"/>
        </w:rPr>
        <w:t>, en 10</w:t>
      </w:r>
      <w:r>
        <w:rPr>
          <w:sz w:val="24"/>
          <w:szCs w:val="24"/>
        </w:rPr>
        <w:t xml:space="preserve"> %</w:t>
      </w:r>
      <w:r w:rsidRPr="009369B9">
        <w:rPr>
          <w:sz w:val="24"/>
          <w:szCs w:val="24"/>
        </w:rPr>
        <w:t xml:space="preserve"> aminosyreopløsning med elektrolytter og en 20</w:t>
      </w:r>
      <w:r>
        <w:rPr>
          <w:sz w:val="24"/>
          <w:szCs w:val="24"/>
        </w:rPr>
        <w:t xml:space="preserve"> %</w:t>
      </w:r>
      <w:r w:rsidRPr="009369B9">
        <w:rPr>
          <w:sz w:val="24"/>
          <w:szCs w:val="24"/>
        </w:rPr>
        <w:t xml:space="preserve"> fedtstofemulsion.</w:t>
      </w:r>
    </w:p>
    <w:p w:rsidR="00034077" w:rsidRPr="009369B9" w:rsidRDefault="00034077" w:rsidP="00034077">
      <w:pPr>
        <w:tabs>
          <w:tab w:val="left" w:pos="851"/>
        </w:tabs>
        <w:ind w:left="851"/>
        <w:rPr>
          <w:sz w:val="24"/>
          <w:szCs w:val="24"/>
        </w:rPr>
      </w:pPr>
    </w:p>
    <w:p w:rsidR="00034077" w:rsidRPr="006D4010" w:rsidRDefault="00034077" w:rsidP="00034077">
      <w:pPr>
        <w:tabs>
          <w:tab w:val="left" w:pos="851"/>
        </w:tabs>
        <w:ind w:left="851"/>
        <w:rPr>
          <w:sz w:val="24"/>
          <w:szCs w:val="24"/>
        </w:rPr>
      </w:pPr>
      <w:r w:rsidRPr="009369B9">
        <w:rPr>
          <w:sz w:val="24"/>
          <w:szCs w:val="24"/>
        </w:rPr>
        <w:t xml:space="preserve">Når de 3 kamres indhold er blandet, er sammensætningen af den </w:t>
      </w:r>
      <w:proofErr w:type="spellStart"/>
      <w:r w:rsidRPr="009369B9">
        <w:rPr>
          <w:sz w:val="24"/>
          <w:szCs w:val="24"/>
        </w:rPr>
        <w:t>rekonstituerede</w:t>
      </w:r>
      <w:proofErr w:type="spellEnd"/>
      <w:r w:rsidRPr="009369B9">
        <w:rPr>
          <w:sz w:val="24"/>
          <w:szCs w:val="24"/>
        </w:rPr>
        <w:t xml:space="preserve"> emulsion </w:t>
      </w:r>
      <w:r w:rsidRPr="006D4010">
        <w:rPr>
          <w:sz w:val="24"/>
          <w:szCs w:val="24"/>
        </w:rPr>
        <w:t>angivet for hver posestørrelse i følgende tabel:</w:t>
      </w:r>
    </w:p>
    <w:p w:rsidR="00034077" w:rsidRPr="006D4010" w:rsidRDefault="00034077" w:rsidP="00034077">
      <w:pPr>
        <w:tabs>
          <w:tab w:val="left" w:pos="851"/>
        </w:tabs>
        <w:ind w:left="851"/>
        <w:rPr>
          <w:sz w:val="24"/>
          <w:szCs w:val="24"/>
        </w:rPr>
      </w:pPr>
    </w:p>
    <w:tbl>
      <w:tblPr>
        <w:tblW w:w="451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03"/>
        <w:gridCol w:w="2056"/>
        <w:gridCol w:w="1954"/>
        <w:gridCol w:w="2072"/>
      </w:tblGrid>
      <w:tr w:rsidR="00034077" w:rsidRPr="00C356DC" w:rsidTr="00020D1E">
        <w:trPr>
          <w:trHeight w:val="150"/>
          <w:tblHeader/>
          <w:jc w:val="center"/>
        </w:trPr>
        <w:tc>
          <w:tcPr>
            <w:tcW w:w="1498" w:type="pct"/>
            <w:shd w:val="clear" w:color="auto" w:fill="auto"/>
            <w:vAlign w:val="bottom"/>
          </w:tcPr>
          <w:p w:rsidR="00034077" w:rsidRPr="00C356DC" w:rsidRDefault="00034077" w:rsidP="00020D1E">
            <w:pPr>
              <w:pStyle w:val="TableHead"/>
            </w:pPr>
            <w:r w:rsidRPr="00C356DC">
              <w:t>Aktivt stof</w:t>
            </w:r>
          </w:p>
        </w:tc>
        <w:tc>
          <w:tcPr>
            <w:tcW w:w="1183" w:type="pct"/>
            <w:tcBorders>
              <w:top w:val="single" w:sz="4" w:space="0" w:color="auto"/>
            </w:tcBorders>
            <w:shd w:val="clear" w:color="auto" w:fill="auto"/>
            <w:vAlign w:val="bottom"/>
          </w:tcPr>
          <w:p w:rsidR="00034077" w:rsidRPr="00C356DC" w:rsidRDefault="00034077" w:rsidP="00020D1E">
            <w:pPr>
              <w:pStyle w:val="TableHead"/>
            </w:pPr>
            <w:r w:rsidRPr="00C356DC">
              <w:t>1085 ml</w:t>
            </w:r>
          </w:p>
        </w:tc>
        <w:tc>
          <w:tcPr>
            <w:tcW w:w="1125" w:type="pct"/>
            <w:tcBorders>
              <w:top w:val="single" w:sz="4" w:space="0" w:color="auto"/>
            </w:tcBorders>
            <w:shd w:val="clear" w:color="auto" w:fill="auto"/>
            <w:vAlign w:val="bottom"/>
          </w:tcPr>
          <w:p w:rsidR="00034077" w:rsidRPr="00C356DC" w:rsidRDefault="00034077" w:rsidP="00020D1E">
            <w:pPr>
              <w:pStyle w:val="TableHead"/>
            </w:pPr>
            <w:r w:rsidRPr="00C356DC">
              <w:t>1435 ml</w:t>
            </w:r>
          </w:p>
        </w:tc>
        <w:tc>
          <w:tcPr>
            <w:tcW w:w="1193" w:type="pct"/>
            <w:tcBorders>
              <w:top w:val="single" w:sz="4" w:space="0" w:color="auto"/>
            </w:tcBorders>
            <w:shd w:val="clear" w:color="auto" w:fill="auto"/>
            <w:vAlign w:val="bottom"/>
          </w:tcPr>
          <w:p w:rsidR="00034077" w:rsidRPr="00C356DC" w:rsidRDefault="00034077" w:rsidP="00020D1E">
            <w:pPr>
              <w:pStyle w:val="TableHead"/>
            </w:pPr>
            <w:r w:rsidRPr="00C356DC">
              <w:t>1820 ml</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r w:rsidRPr="00C356DC">
              <w:t>Fiskeolie, rig på omega-3-syrer</w:t>
            </w:r>
          </w:p>
        </w:tc>
        <w:tc>
          <w:tcPr>
            <w:tcW w:w="1183" w:type="pct"/>
            <w:shd w:val="clear" w:color="auto" w:fill="auto"/>
          </w:tcPr>
          <w:p w:rsidR="00034077" w:rsidRPr="00C356DC" w:rsidRDefault="00034077" w:rsidP="00020D1E">
            <w:pPr>
              <w:pStyle w:val="TableCenter"/>
            </w:pPr>
            <w:r w:rsidRPr="00C356DC">
              <w:t>8,24 g</w:t>
            </w:r>
          </w:p>
        </w:tc>
        <w:tc>
          <w:tcPr>
            <w:tcW w:w="1125" w:type="pct"/>
            <w:shd w:val="clear" w:color="auto" w:fill="auto"/>
          </w:tcPr>
          <w:p w:rsidR="00034077" w:rsidRPr="00C356DC" w:rsidRDefault="00034077" w:rsidP="00020D1E">
            <w:pPr>
              <w:pStyle w:val="TableCenter"/>
            </w:pPr>
            <w:r w:rsidRPr="00C356DC">
              <w:t>10,92 g</w:t>
            </w:r>
          </w:p>
        </w:tc>
        <w:tc>
          <w:tcPr>
            <w:tcW w:w="1193" w:type="pct"/>
            <w:shd w:val="clear" w:color="auto" w:fill="auto"/>
          </w:tcPr>
          <w:p w:rsidR="00034077" w:rsidRPr="00C356DC" w:rsidRDefault="00034077" w:rsidP="00020D1E">
            <w:pPr>
              <w:pStyle w:val="TableCenter"/>
            </w:pPr>
            <w:r w:rsidRPr="00C356DC">
              <w:t>13,84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r w:rsidRPr="00C356DC">
              <w:t>Olivenolie, renset</w:t>
            </w:r>
          </w:p>
        </w:tc>
        <w:tc>
          <w:tcPr>
            <w:tcW w:w="1183" w:type="pct"/>
            <w:shd w:val="clear" w:color="auto" w:fill="auto"/>
          </w:tcPr>
          <w:p w:rsidR="00034077" w:rsidRPr="00C356DC" w:rsidRDefault="00034077" w:rsidP="00020D1E">
            <w:pPr>
              <w:pStyle w:val="TableCenter"/>
            </w:pPr>
            <w:r w:rsidRPr="00C356DC">
              <w:t>10,30 g</w:t>
            </w:r>
          </w:p>
        </w:tc>
        <w:tc>
          <w:tcPr>
            <w:tcW w:w="1125" w:type="pct"/>
            <w:shd w:val="clear" w:color="auto" w:fill="auto"/>
          </w:tcPr>
          <w:p w:rsidR="00034077" w:rsidRPr="00C356DC" w:rsidRDefault="00034077" w:rsidP="00020D1E">
            <w:pPr>
              <w:pStyle w:val="TableCenter"/>
            </w:pPr>
            <w:r w:rsidRPr="00C356DC">
              <w:t>13,65 g</w:t>
            </w:r>
          </w:p>
        </w:tc>
        <w:tc>
          <w:tcPr>
            <w:tcW w:w="1193" w:type="pct"/>
            <w:shd w:val="clear" w:color="auto" w:fill="auto"/>
          </w:tcPr>
          <w:p w:rsidR="00034077" w:rsidRPr="00C356DC" w:rsidRDefault="00034077" w:rsidP="00020D1E">
            <w:pPr>
              <w:pStyle w:val="TableCenter"/>
            </w:pPr>
            <w:r w:rsidRPr="00C356DC">
              <w:t>17,30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r w:rsidRPr="00C356DC">
              <w:t>Sojabønneolie, renset</w:t>
            </w:r>
          </w:p>
        </w:tc>
        <w:tc>
          <w:tcPr>
            <w:tcW w:w="1183" w:type="pct"/>
            <w:shd w:val="clear" w:color="auto" w:fill="auto"/>
          </w:tcPr>
          <w:p w:rsidR="00034077" w:rsidRPr="00C356DC" w:rsidRDefault="00034077" w:rsidP="00020D1E">
            <w:pPr>
              <w:pStyle w:val="TableCenter"/>
            </w:pPr>
            <w:r w:rsidRPr="00C356DC">
              <w:t>12,36 g</w:t>
            </w:r>
          </w:p>
        </w:tc>
        <w:tc>
          <w:tcPr>
            <w:tcW w:w="1125" w:type="pct"/>
            <w:shd w:val="clear" w:color="auto" w:fill="auto"/>
          </w:tcPr>
          <w:p w:rsidR="00034077" w:rsidRPr="00C356DC" w:rsidRDefault="00034077" w:rsidP="00020D1E">
            <w:pPr>
              <w:pStyle w:val="TableCenter"/>
            </w:pPr>
            <w:r w:rsidRPr="00C356DC">
              <w:t>16,38 g</w:t>
            </w:r>
          </w:p>
        </w:tc>
        <w:tc>
          <w:tcPr>
            <w:tcW w:w="1193" w:type="pct"/>
            <w:shd w:val="clear" w:color="auto" w:fill="auto"/>
          </w:tcPr>
          <w:p w:rsidR="00034077" w:rsidRPr="00C356DC" w:rsidRDefault="00034077" w:rsidP="00020D1E">
            <w:pPr>
              <w:pStyle w:val="TableCenter"/>
            </w:pPr>
            <w:r w:rsidRPr="00C356DC">
              <w:t>20,76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r w:rsidRPr="00C356DC">
              <w:t>Mellemkædede triglycerider</w:t>
            </w:r>
          </w:p>
        </w:tc>
        <w:tc>
          <w:tcPr>
            <w:tcW w:w="1183" w:type="pct"/>
            <w:shd w:val="clear" w:color="auto" w:fill="auto"/>
          </w:tcPr>
          <w:p w:rsidR="00034077" w:rsidRPr="00C356DC" w:rsidRDefault="00034077" w:rsidP="00020D1E">
            <w:pPr>
              <w:pStyle w:val="TableCenter"/>
            </w:pPr>
            <w:r w:rsidRPr="00C356DC">
              <w:t>10,30 g</w:t>
            </w:r>
          </w:p>
        </w:tc>
        <w:tc>
          <w:tcPr>
            <w:tcW w:w="1125" w:type="pct"/>
            <w:shd w:val="clear" w:color="auto" w:fill="auto"/>
          </w:tcPr>
          <w:p w:rsidR="00034077" w:rsidRPr="00C356DC" w:rsidRDefault="00034077" w:rsidP="00020D1E">
            <w:pPr>
              <w:pStyle w:val="TableCenter"/>
            </w:pPr>
            <w:r w:rsidRPr="00C356DC">
              <w:t>13,65 g</w:t>
            </w:r>
          </w:p>
        </w:tc>
        <w:tc>
          <w:tcPr>
            <w:tcW w:w="1193" w:type="pct"/>
            <w:shd w:val="clear" w:color="auto" w:fill="auto"/>
          </w:tcPr>
          <w:p w:rsidR="00034077" w:rsidRPr="00C356DC" w:rsidRDefault="00034077" w:rsidP="00020D1E">
            <w:pPr>
              <w:pStyle w:val="TableCenter"/>
            </w:pPr>
            <w:r w:rsidRPr="00C356DC">
              <w:t>17,30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Alanin</w:t>
            </w:r>
            <w:proofErr w:type="spellEnd"/>
          </w:p>
        </w:tc>
        <w:tc>
          <w:tcPr>
            <w:tcW w:w="1183" w:type="pct"/>
            <w:shd w:val="clear" w:color="auto" w:fill="auto"/>
          </w:tcPr>
          <w:p w:rsidR="00034077" w:rsidRPr="00C356DC" w:rsidRDefault="00034077" w:rsidP="00020D1E">
            <w:pPr>
              <w:pStyle w:val="TableCenter"/>
            </w:pPr>
            <w:r w:rsidRPr="00C356DC">
              <w:t>11,41 g</w:t>
            </w:r>
          </w:p>
        </w:tc>
        <w:tc>
          <w:tcPr>
            <w:tcW w:w="1125" w:type="pct"/>
            <w:shd w:val="clear" w:color="auto" w:fill="auto"/>
          </w:tcPr>
          <w:p w:rsidR="00034077" w:rsidRPr="00C356DC" w:rsidRDefault="00034077" w:rsidP="00020D1E">
            <w:pPr>
              <w:pStyle w:val="TableCenter"/>
            </w:pPr>
            <w:r w:rsidRPr="00C356DC">
              <w:t>15,09 g</w:t>
            </w:r>
          </w:p>
        </w:tc>
        <w:tc>
          <w:tcPr>
            <w:tcW w:w="1193" w:type="pct"/>
            <w:shd w:val="clear" w:color="auto" w:fill="auto"/>
          </w:tcPr>
          <w:p w:rsidR="00034077" w:rsidRPr="00C356DC" w:rsidRDefault="00034077" w:rsidP="00020D1E">
            <w:pPr>
              <w:pStyle w:val="TableCenter"/>
            </w:pPr>
            <w:r w:rsidRPr="00C356DC">
              <w:t>19,13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Arginin</w:t>
            </w:r>
            <w:proofErr w:type="spellEnd"/>
          </w:p>
        </w:tc>
        <w:tc>
          <w:tcPr>
            <w:tcW w:w="1183" w:type="pct"/>
            <w:shd w:val="clear" w:color="auto" w:fill="auto"/>
          </w:tcPr>
          <w:p w:rsidR="00034077" w:rsidRPr="00C356DC" w:rsidRDefault="00034077" w:rsidP="00020D1E">
            <w:pPr>
              <w:pStyle w:val="TableCenter"/>
            </w:pPr>
            <w:r w:rsidRPr="00C356DC">
              <w:t>6,34 g</w:t>
            </w:r>
          </w:p>
        </w:tc>
        <w:tc>
          <w:tcPr>
            <w:tcW w:w="1125" w:type="pct"/>
            <w:shd w:val="clear" w:color="auto" w:fill="auto"/>
          </w:tcPr>
          <w:p w:rsidR="00034077" w:rsidRPr="00C356DC" w:rsidRDefault="00034077" w:rsidP="00020D1E">
            <w:pPr>
              <w:pStyle w:val="TableCenter"/>
            </w:pPr>
            <w:r w:rsidRPr="00C356DC">
              <w:t>8,38 g</w:t>
            </w:r>
          </w:p>
        </w:tc>
        <w:tc>
          <w:tcPr>
            <w:tcW w:w="1193" w:type="pct"/>
            <w:shd w:val="clear" w:color="auto" w:fill="auto"/>
          </w:tcPr>
          <w:p w:rsidR="00034077" w:rsidRPr="00C356DC" w:rsidRDefault="00034077" w:rsidP="00020D1E">
            <w:pPr>
              <w:pStyle w:val="TableCenter"/>
            </w:pPr>
            <w:r w:rsidRPr="00C356DC">
              <w:t>10,63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Glycin</w:t>
            </w:r>
            <w:proofErr w:type="spellEnd"/>
          </w:p>
        </w:tc>
        <w:tc>
          <w:tcPr>
            <w:tcW w:w="1183" w:type="pct"/>
            <w:shd w:val="clear" w:color="auto" w:fill="auto"/>
          </w:tcPr>
          <w:p w:rsidR="00034077" w:rsidRPr="00C356DC" w:rsidRDefault="00034077" w:rsidP="00020D1E">
            <w:pPr>
              <w:pStyle w:val="TableCenter"/>
            </w:pPr>
            <w:r w:rsidRPr="00C356DC">
              <w:t>5,68 g</w:t>
            </w:r>
          </w:p>
        </w:tc>
        <w:tc>
          <w:tcPr>
            <w:tcW w:w="1125" w:type="pct"/>
            <w:shd w:val="clear" w:color="auto" w:fill="auto"/>
          </w:tcPr>
          <w:p w:rsidR="00034077" w:rsidRPr="00C356DC" w:rsidRDefault="00034077" w:rsidP="00020D1E">
            <w:pPr>
              <w:pStyle w:val="TableCenter"/>
            </w:pPr>
            <w:r w:rsidRPr="00C356DC">
              <w:t>7,51 g</w:t>
            </w:r>
          </w:p>
        </w:tc>
        <w:tc>
          <w:tcPr>
            <w:tcW w:w="1193" w:type="pct"/>
            <w:shd w:val="clear" w:color="auto" w:fill="auto"/>
          </w:tcPr>
          <w:p w:rsidR="00034077" w:rsidRPr="00C356DC" w:rsidRDefault="00034077" w:rsidP="00020D1E">
            <w:pPr>
              <w:pStyle w:val="TableCenter"/>
            </w:pPr>
            <w:r w:rsidRPr="00C356DC">
              <w:t>9,52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Histidin</w:t>
            </w:r>
            <w:proofErr w:type="spellEnd"/>
          </w:p>
        </w:tc>
        <w:tc>
          <w:tcPr>
            <w:tcW w:w="1183" w:type="pct"/>
            <w:shd w:val="clear" w:color="auto" w:fill="auto"/>
          </w:tcPr>
          <w:p w:rsidR="00034077" w:rsidRPr="00C356DC" w:rsidRDefault="00034077" w:rsidP="00020D1E">
            <w:pPr>
              <w:pStyle w:val="TableCenter"/>
            </w:pPr>
            <w:r w:rsidRPr="00C356DC">
              <w:t>2,64 g</w:t>
            </w:r>
          </w:p>
        </w:tc>
        <w:tc>
          <w:tcPr>
            <w:tcW w:w="1125" w:type="pct"/>
            <w:shd w:val="clear" w:color="auto" w:fill="auto"/>
          </w:tcPr>
          <w:p w:rsidR="00034077" w:rsidRPr="00C356DC" w:rsidRDefault="00034077" w:rsidP="00020D1E">
            <w:pPr>
              <w:pStyle w:val="TableCenter"/>
            </w:pPr>
            <w:r w:rsidRPr="00C356DC">
              <w:t>3,50 g</w:t>
            </w:r>
          </w:p>
        </w:tc>
        <w:tc>
          <w:tcPr>
            <w:tcW w:w="1193" w:type="pct"/>
            <w:shd w:val="clear" w:color="auto" w:fill="auto"/>
          </w:tcPr>
          <w:p w:rsidR="00034077" w:rsidRPr="00C356DC" w:rsidRDefault="00034077" w:rsidP="00020D1E">
            <w:pPr>
              <w:pStyle w:val="TableCenter"/>
            </w:pPr>
            <w:r w:rsidRPr="00C356DC">
              <w:t>4,44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Isoleucin</w:t>
            </w:r>
            <w:proofErr w:type="spellEnd"/>
          </w:p>
        </w:tc>
        <w:tc>
          <w:tcPr>
            <w:tcW w:w="1183" w:type="pct"/>
            <w:shd w:val="clear" w:color="auto" w:fill="auto"/>
          </w:tcPr>
          <w:p w:rsidR="00034077" w:rsidRPr="00C356DC" w:rsidRDefault="00034077" w:rsidP="00020D1E">
            <w:pPr>
              <w:pStyle w:val="TableCenter"/>
            </w:pPr>
            <w:r w:rsidRPr="00C356DC">
              <w:t>3,31 g</w:t>
            </w:r>
          </w:p>
        </w:tc>
        <w:tc>
          <w:tcPr>
            <w:tcW w:w="1125" w:type="pct"/>
            <w:shd w:val="clear" w:color="auto" w:fill="auto"/>
          </w:tcPr>
          <w:p w:rsidR="00034077" w:rsidRPr="00C356DC" w:rsidRDefault="00034077" w:rsidP="00020D1E">
            <w:pPr>
              <w:pStyle w:val="TableCenter"/>
            </w:pPr>
            <w:r w:rsidRPr="00C356DC">
              <w:t>4,37 g</w:t>
            </w:r>
          </w:p>
        </w:tc>
        <w:tc>
          <w:tcPr>
            <w:tcW w:w="1193" w:type="pct"/>
            <w:shd w:val="clear" w:color="auto" w:fill="auto"/>
          </w:tcPr>
          <w:p w:rsidR="00034077" w:rsidRPr="00C356DC" w:rsidRDefault="00034077" w:rsidP="00020D1E">
            <w:pPr>
              <w:pStyle w:val="TableCenter"/>
            </w:pPr>
            <w:r w:rsidRPr="00C356DC">
              <w:t>5,54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r w:rsidRPr="00C356DC">
              <w:t>Leucin</w:t>
            </w:r>
          </w:p>
        </w:tc>
        <w:tc>
          <w:tcPr>
            <w:tcW w:w="1183" w:type="pct"/>
            <w:shd w:val="clear" w:color="auto" w:fill="auto"/>
          </w:tcPr>
          <w:p w:rsidR="00034077" w:rsidRPr="00C356DC" w:rsidRDefault="00034077" w:rsidP="00020D1E">
            <w:pPr>
              <w:pStyle w:val="TableCenter"/>
            </w:pPr>
            <w:r w:rsidRPr="00C356DC">
              <w:t>4,02 g</w:t>
            </w:r>
          </w:p>
        </w:tc>
        <w:tc>
          <w:tcPr>
            <w:tcW w:w="1125" w:type="pct"/>
            <w:shd w:val="clear" w:color="auto" w:fill="auto"/>
          </w:tcPr>
          <w:p w:rsidR="00034077" w:rsidRPr="00C356DC" w:rsidRDefault="00034077" w:rsidP="00020D1E">
            <w:pPr>
              <w:pStyle w:val="TableCenter"/>
            </w:pPr>
            <w:r w:rsidRPr="00C356DC">
              <w:t>5,32 g</w:t>
            </w:r>
          </w:p>
        </w:tc>
        <w:tc>
          <w:tcPr>
            <w:tcW w:w="1193" w:type="pct"/>
            <w:shd w:val="clear" w:color="auto" w:fill="auto"/>
          </w:tcPr>
          <w:p w:rsidR="00034077" w:rsidRPr="00C356DC" w:rsidRDefault="00034077" w:rsidP="00020D1E">
            <w:pPr>
              <w:pStyle w:val="TableCenter"/>
            </w:pPr>
            <w:r w:rsidRPr="00C356DC">
              <w:t>6,75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rPr>
                <w:i/>
              </w:rPr>
            </w:pPr>
            <w:r w:rsidRPr="00C356DC">
              <w:t>Lysin</w:t>
            </w:r>
            <w:r w:rsidRPr="00C356DC">
              <w:br/>
            </w:r>
            <w:r w:rsidRPr="00C356DC">
              <w:rPr>
                <w:i/>
              </w:rPr>
              <w:t xml:space="preserve">(som </w:t>
            </w:r>
            <w:proofErr w:type="spellStart"/>
            <w:r w:rsidRPr="00C356DC">
              <w:rPr>
                <w:i/>
              </w:rPr>
              <w:t>lysinhydrochlorid</w:t>
            </w:r>
            <w:proofErr w:type="spellEnd"/>
            <w:r w:rsidRPr="00C356DC">
              <w:rPr>
                <w:i/>
              </w:rPr>
              <w:t>)</w:t>
            </w:r>
          </w:p>
        </w:tc>
        <w:tc>
          <w:tcPr>
            <w:tcW w:w="1183" w:type="pct"/>
            <w:shd w:val="clear" w:color="auto" w:fill="auto"/>
          </w:tcPr>
          <w:p w:rsidR="00034077" w:rsidRPr="00C356DC" w:rsidRDefault="00034077" w:rsidP="00020D1E">
            <w:pPr>
              <w:pStyle w:val="TableCenter"/>
              <w:rPr>
                <w:i/>
              </w:rPr>
            </w:pPr>
            <w:r w:rsidRPr="00C356DC">
              <w:t>3,20 g</w:t>
            </w:r>
            <w:r w:rsidRPr="00C356DC">
              <w:br/>
            </w:r>
            <w:r w:rsidRPr="00C356DC">
              <w:rPr>
                <w:i/>
              </w:rPr>
              <w:t>(3,99 g)</w:t>
            </w:r>
          </w:p>
        </w:tc>
        <w:tc>
          <w:tcPr>
            <w:tcW w:w="1125" w:type="pct"/>
            <w:shd w:val="clear" w:color="auto" w:fill="auto"/>
          </w:tcPr>
          <w:p w:rsidR="00034077" w:rsidRPr="00C356DC" w:rsidRDefault="00034077" w:rsidP="00020D1E">
            <w:pPr>
              <w:pStyle w:val="TableCenter"/>
              <w:rPr>
                <w:i/>
              </w:rPr>
            </w:pPr>
            <w:r w:rsidRPr="00C356DC">
              <w:t>4,23 g</w:t>
            </w:r>
            <w:r w:rsidRPr="00C356DC">
              <w:br/>
            </w:r>
            <w:r w:rsidRPr="00C356DC">
              <w:rPr>
                <w:i/>
              </w:rPr>
              <w:t>(5,29 g)</w:t>
            </w:r>
          </w:p>
        </w:tc>
        <w:tc>
          <w:tcPr>
            <w:tcW w:w="1193" w:type="pct"/>
            <w:shd w:val="clear" w:color="auto" w:fill="auto"/>
          </w:tcPr>
          <w:p w:rsidR="00034077" w:rsidRPr="00C356DC" w:rsidRDefault="00034077" w:rsidP="00020D1E">
            <w:pPr>
              <w:pStyle w:val="TableCenter"/>
              <w:rPr>
                <w:i/>
              </w:rPr>
            </w:pPr>
            <w:r w:rsidRPr="00C356DC">
              <w:t>5,36 g</w:t>
            </w:r>
            <w:r w:rsidRPr="00C356DC">
              <w:br/>
            </w:r>
            <w:r w:rsidRPr="00C356DC">
              <w:rPr>
                <w:i/>
              </w:rPr>
              <w:t>(6,70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Methionin</w:t>
            </w:r>
            <w:proofErr w:type="spellEnd"/>
          </w:p>
        </w:tc>
        <w:tc>
          <w:tcPr>
            <w:tcW w:w="1183" w:type="pct"/>
            <w:shd w:val="clear" w:color="auto" w:fill="auto"/>
          </w:tcPr>
          <w:p w:rsidR="00034077" w:rsidRPr="00C356DC" w:rsidRDefault="00034077" w:rsidP="00020D1E">
            <w:pPr>
              <w:pStyle w:val="TableCenter"/>
            </w:pPr>
            <w:r w:rsidRPr="00C356DC">
              <w:t>2,20 g</w:t>
            </w:r>
          </w:p>
        </w:tc>
        <w:tc>
          <w:tcPr>
            <w:tcW w:w="1125" w:type="pct"/>
            <w:shd w:val="clear" w:color="auto" w:fill="auto"/>
          </w:tcPr>
          <w:p w:rsidR="00034077" w:rsidRPr="00C356DC" w:rsidRDefault="00034077" w:rsidP="00020D1E">
            <w:pPr>
              <w:pStyle w:val="TableCenter"/>
            </w:pPr>
            <w:r w:rsidRPr="00C356DC">
              <w:t>2,92 g</w:t>
            </w:r>
          </w:p>
        </w:tc>
        <w:tc>
          <w:tcPr>
            <w:tcW w:w="1193" w:type="pct"/>
            <w:shd w:val="clear" w:color="auto" w:fill="auto"/>
          </w:tcPr>
          <w:p w:rsidR="00034077" w:rsidRPr="00C356DC" w:rsidRDefault="00034077" w:rsidP="00020D1E">
            <w:pPr>
              <w:pStyle w:val="TableCenter"/>
            </w:pPr>
            <w:r w:rsidRPr="00C356DC">
              <w:t>3,70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Phenylalanin</w:t>
            </w:r>
            <w:proofErr w:type="spellEnd"/>
          </w:p>
        </w:tc>
        <w:tc>
          <w:tcPr>
            <w:tcW w:w="1183" w:type="pct"/>
            <w:shd w:val="clear" w:color="auto" w:fill="auto"/>
          </w:tcPr>
          <w:p w:rsidR="00034077" w:rsidRPr="00C356DC" w:rsidRDefault="00034077" w:rsidP="00020D1E">
            <w:pPr>
              <w:pStyle w:val="TableCenter"/>
            </w:pPr>
            <w:r w:rsidRPr="00C356DC">
              <w:t>3,09 g</w:t>
            </w:r>
          </w:p>
        </w:tc>
        <w:tc>
          <w:tcPr>
            <w:tcW w:w="1125" w:type="pct"/>
            <w:shd w:val="clear" w:color="auto" w:fill="auto"/>
          </w:tcPr>
          <w:p w:rsidR="00034077" w:rsidRPr="00C356DC" w:rsidRDefault="00034077" w:rsidP="00020D1E">
            <w:pPr>
              <w:pStyle w:val="TableCenter"/>
            </w:pPr>
            <w:r w:rsidRPr="00C356DC">
              <w:t>4,08 g</w:t>
            </w:r>
          </w:p>
        </w:tc>
        <w:tc>
          <w:tcPr>
            <w:tcW w:w="1193" w:type="pct"/>
            <w:shd w:val="clear" w:color="auto" w:fill="auto"/>
          </w:tcPr>
          <w:p w:rsidR="00034077" w:rsidRPr="00C356DC" w:rsidRDefault="00034077" w:rsidP="00020D1E">
            <w:pPr>
              <w:pStyle w:val="TableCenter"/>
            </w:pPr>
            <w:r w:rsidRPr="00C356DC">
              <w:t>5,17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lastRenderedPageBreak/>
              <w:t>Prolin</w:t>
            </w:r>
            <w:proofErr w:type="spellEnd"/>
          </w:p>
        </w:tc>
        <w:tc>
          <w:tcPr>
            <w:tcW w:w="1183" w:type="pct"/>
            <w:shd w:val="clear" w:color="auto" w:fill="auto"/>
          </w:tcPr>
          <w:p w:rsidR="00034077" w:rsidRPr="00C356DC" w:rsidRDefault="00034077" w:rsidP="00020D1E">
            <w:pPr>
              <w:pStyle w:val="TableCenter"/>
            </w:pPr>
            <w:r w:rsidRPr="00C356DC">
              <w:t>3,75 g</w:t>
            </w:r>
          </w:p>
        </w:tc>
        <w:tc>
          <w:tcPr>
            <w:tcW w:w="1125" w:type="pct"/>
            <w:shd w:val="clear" w:color="auto" w:fill="auto"/>
          </w:tcPr>
          <w:p w:rsidR="00034077" w:rsidRPr="00C356DC" w:rsidRDefault="00034077" w:rsidP="00020D1E">
            <w:pPr>
              <w:pStyle w:val="TableCenter"/>
            </w:pPr>
            <w:r w:rsidRPr="00C356DC">
              <w:t>4,96 g</w:t>
            </w:r>
          </w:p>
        </w:tc>
        <w:tc>
          <w:tcPr>
            <w:tcW w:w="1193" w:type="pct"/>
            <w:shd w:val="clear" w:color="auto" w:fill="auto"/>
          </w:tcPr>
          <w:p w:rsidR="00034077" w:rsidRPr="00C356DC" w:rsidRDefault="00034077" w:rsidP="00020D1E">
            <w:pPr>
              <w:pStyle w:val="TableCenter"/>
            </w:pPr>
            <w:r w:rsidRPr="00C356DC">
              <w:t>6,28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Serin</w:t>
            </w:r>
            <w:proofErr w:type="spellEnd"/>
          </w:p>
        </w:tc>
        <w:tc>
          <w:tcPr>
            <w:tcW w:w="1183" w:type="pct"/>
            <w:shd w:val="clear" w:color="auto" w:fill="auto"/>
          </w:tcPr>
          <w:p w:rsidR="00034077" w:rsidRPr="00C356DC" w:rsidRDefault="00034077" w:rsidP="00020D1E">
            <w:pPr>
              <w:pStyle w:val="TableCenter"/>
            </w:pPr>
            <w:r w:rsidRPr="00C356DC">
              <w:t>2,76 g</w:t>
            </w:r>
          </w:p>
        </w:tc>
        <w:tc>
          <w:tcPr>
            <w:tcW w:w="1125" w:type="pct"/>
            <w:shd w:val="clear" w:color="auto" w:fill="auto"/>
          </w:tcPr>
          <w:p w:rsidR="00034077" w:rsidRPr="00C356DC" w:rsidRDefault="00034077" w:rsidP="00020D1E">
            <w:pPr>
              <w:pStyle w:val="TableCenter"/>
            </w:pPr>
            <w:r w:rsidRPr="00C356DC">
              <w:t>3,65 g</w:t>
            </w:r>
          </w:p>
        </w:tc>
        <w:tc>
          <w:tcPr>
            <w:tcW w:w="1193" w:type="pct"/>
            <w:shd w:val="clear" w:color="auto" w:fill="auto"/>
          </w:tcPr>
          <w:p w:rsidR="00034077" w:rsidRPr="00C356DC" w:rsidRDefault="00034077" w:rsidP="00020D1E">
            <w:pPr>
              <w:pStyle w:val="TableCenter"/>
            </w:pPr>
            <w:r w:rsidRPr="00C356DC">
              <w:t>4,62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Threonin</w:t>
            </w:r>
            <w:proofErr w:type="spellEnd"/>
          </w:p>
        </w:tc>
        <w:tc>
          <w:tcPr>
            <w:tcW w:w="1183" w:type="pct"/>
            <w:shd w:val="clear" w:color="auto" w:fill="auto"/>
          </w:tcPr>
          <w:p w:rsidR="00034077" w:rsidRPr="00C356DC" w:rsidRDefault="00034077" w:rsidP="00020D1E">
            <w:pPr>
              <w:pStyle w:val="TableCenter"/>
            </w:pPr>
            <w:r w:rsidRPr="00C356DC">
              <w:t>2,31 g</w:t>
            </w:r>
          </w:p>
        </w:tc>
        <w:tc>
          <w:tcPr>
            <w:tcW w:w="1125" w:type="pct"/>
            <w:shd w:val="clear" w:color="auto" w:fill="auto"/>
          </w:tcPr>
          <w:p w:rsidR="00034077" w:rsidRPr="00C356DC" w:rsidRDefault="00034077" w:rsidP="00020D1E">
            <w:pPr>
              <w:pStyle w:val="TableCenter"/>
            </w:pPr>
            <w:r w:rsidRPr="00C356DC">
              <w:t>3,06 g</w:t>
            </w:r>
          </w:p>
        </w:tc>
        <w:tc>
          <w:tcPr>
            <w:tcW w:w="1193" w:type="pct"/>
            <w:shd w:val="clear" w:color="auto" w:fill="auto"/>
          </w:tcPr>
          <w:p w:rsidR="00034077" w:rsidRPr="00C356DC" w:rsidRDefault="00034077" w:rsidP="00020D1E">
            <w:pPr>
              <w:pStyle w:val="TableCenter"/>
            </w:pPr>
            <w:r w:rsidRPr="00C356DC">
              <w:t>3,88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r w:rsidRPr="00C356DC">
              <w:t>Tryptophan</w:t>
            </w:r>
          </w:p>
        </w:tc>
        <w:tc>
          <w:tcPr>
            <w:tcW w:w="1183" w:type="pct"/>
            <w:shd w:val="clear" w:color="auto" w:fill="auto"/>
          </w:tcPr>
          <w:p w:rsidR="00034077" w:rsidRPr="00C356DC" w:rsidRDefault="00034077" w:rsidP="00020D1E">
            <w:pPr>
              <w:pStyle w:val="TableCenter"/>
            </w:pPr>
            <w:r w:rsidRPr="00C356DC">
              <w:t>0,99 g</w:t>
            </w:r>
          </w:p>
        </w:tc>
        <w:tc>
          <w:tcPr>
            <w:tcW w:w="1125" w:type="pct"/>
            <w:shd w:val="clear" w:color="auto" w:fill="auto"/>
          </w:tcPr>
          <w:p w:rsidR="00034077" w:rsidRPr="00C356DC" w:rsidRDefault="00034077" w:rsidP="00020D1E">
            <w:pPr>
              <w:pStyle w:val="TableCenter"/>
            </w:pPr>
            <w:r w:rsidRPr="00C356DC">
              <w:t>1,31 g</w:t>
            </w:r>
          </w:p>
        </w:tc>
        <w:tc>
          <w:tcPr>
            <w:tcW w:w="1193" w:type="pct"/>
            <w:shd w:val="clear" w:color="auto" w:fill="auto"/>
          </w:tcPr>
          <w:p w:rsidR="00034077" w:rsidRPr="00C356DC" w:rsidRDefault="00034077" w:rsidP="00020D1E">
            <w:pPr>
              <w:pStyle w:val="TableCenter"/>
            </w:pPr>
            <w:r w:rsidRPr="00C356DC">
              <w:t>1,66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Tyrosin</w:t>
            </w:r>
            <w:proofErr w:type="spellEnd"/>
          </w:p>
        </w:tc>
        <w:tc>
          <w:tcPr>
            <w:tcW w:w="1183" w:type="pct"/>
            <w:shd w:val="clear" w:color="auto" w:fill="auto"/>
          </w:tcPr>
          <w:p w:rsidR="00034077" w:rsidRPr="00C356DC" w:rsidRDefault="00034077" w:rsidP="00020D1E">
            <w:pPr>
              <w:pStyle w:val="TableCenter"/>
            </w:pPr>
            <w:r w:rsidRPr="00C356DC">
              <w:t>0,22 g</w:t>
            </w:r>
          </w:p>
        </w:tc>
        <w:tc>
          <w:tcPr>
            <w:tcW w:w="1125" w:type="pct"/>
            <w:shd w:val="clear" w:color="auto" w:fill="auto"/>
          </w:tcPr>
          <w:p w:rsidR="00034077" w:rsidRPr="00C356DC" w:rsidRDefault="00034077" w:rsidP="00020D1E">
            <w:pPr>
              <w:pStyle w:val="TableCenter"/>
            </w:pPr>
            <w:r w:rsidRPr="00C356DC">
              <w:t>0,29 g</w:t>
            </w:r>
          </w:p>
        </w:tc>
        <w:tc>
          <w:tcPr>
            <w:tcW w:w="1193" w:type="pct"/>
            <w:shd w:val="clear" w:color="auto" w:fill="auto"/>
          </w:tcPr>
          <w:p w:rsidR="00034077" w:rsidRPr="00C356DC" w:rsidRDefault="00034077" w:rsidP="00020D1E">
            <w:pPr>
              <w:pStyle w:val="TableCenter"/>
            </w:pPr>
            <w:r w:rsidRPr="00C356DC">
              <w:t>0,37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Valin</w:t>
            </w:r>
            <w:proofErr w:type="spellEnd"/>
          </w:p>
        </w:tc>
        <w:tc>
          <w:tcPr>
            <w:tcW w:w="1183" w:type="pct"/>
            <w:shd w:val="clear" w:color="auto" w:fill="auto"/>
          </w:tcPr>
          <w:p w:rsidR="00034077" w:rsidRPr="00C356DC" w:rsidRDefault="00034077" w:rsidP="00020D1E">
            <w:pPr>
              <w:pStyle w:val="TableCenter"/>
            </w:pPr>
            <w:r w:rsidRPr="00C356DC">
              <w:t>3,20 g</w:t>
            </w:r>
          </w:p>
        </w:tc>
        <w:tc>
          <w:tcPr>
            <w:tcW w:w="1125" w:type="pct"/>
            <w:shd w:val="clear" w:color="auto" w:fill="auto"/>
          </w:tcPr>
          <w:p w:rsidR="00034077" w:rsidRPr="00C356DC" w:rsidRDefault="00034077" w:rsidP="00020D1E">
            <w:pPr>
              <w:pStyle w:val="TableCenter"/>
            </w:pPr>
            <w:r w:rsidRPr="00C356DC">
              <w:t>4,23 g</w:t>
            </w:r>
          </w:p>
        </w:tc>
        <w:tc>
          <w:tcPr>
            <w:tcW w:w="1193" w:type="pct"/>
            <w:shd w:val="clear" w:color="auto" w:fill="auto"/>
          </w:tcPr>
          <w:p w:rsidR="00034077" w:rsidRPr="00C356DC" w:rsidRDefault="00034077" w:rsidP="00020D1E">
            <w:pPr>
              <w:pStyle w:val="TableCenter"/>
            </w:pPr>
            <w:r w:rsidRPr="00C356DC">
              <w:t>5,36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Natriumacetattrihydrat</w:t>
            </w:r>
            <w:proofErr w:type="spellEnd"/>
          </w:p>
        </w:tc>
        <w:tc>
          <w:tcPr>
            <w:tcW w:w="1183" w:type="pct"/>
            <w:shd w:val="clear" w:color="auto" w:fill="auto"/>
          </w:tcPr>
          <w:p w:rsidR="00034077" w:rsidRPr="00C356DC" w:rsidRDefault="00034077" w:rsidP="00020D1E">
            <w:pPr>
              <w:pStyle w:val="TableCenter"/>
            </w:pPr>
            <w:r w:rsidRPr="00C356DC">
              <w:t>3,10 g</w:t>
            </w:r>
          </w:p>
        </w:tc>
        <w:tc>
          <w:tcPr>
            <w:tcW w:w="1125" w:type="pct"/>
            <w:shd w:val="clear" w:color="auto" w:fill="auto"/>
          </w:tcPr>
          <w:p w:rsidR="00034077" w:rsidRPr="00C356DC" w:rsidRDefault="00034077" w:rsidP="00020D1E">
            <w:pPr>
              <w:pStyle w:val="TableCenter"/>
            </w:pPr>
            <w:r w:rsidRPr="00C356DC">
              <w:t>4,10 g</w:t>
            </w:r>
          </w:p>
        </w:tc>
        <w:tc>
          <w:tcPr>
            <w:tcW w:w="1193" w:type="pct"/>
            <w:shd w:val="clear" w:color="auto" w:fill="auto"/>
          </w:tcPr>
          <w:p w:rsidR="00034077" w:rsidRPr="00C356DC" w:rsidRDefault="00034077" w:rsidP="00020D1E">
            <w:pPr>
              <w:pStyle w:val="TableCenter"/>
            </w:pPr>
            <w:r w:rsidRPr="00C356DC">
              <w:t>5,19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Kaliumchlorid</w:t>
            </w:r>
            <w:proofErr w:type="spellEnd"/>
          </w:p>
        </w:tc>
        <w:tc>
          <w:tcPr>
            <w:tcW w:w="1183" w:type="pct"/>
            <w:shd w:val="clear" w:color="auto" w:fill="auto"/>
          </w:tcPr>
          <w:p w:rsidR="00034077" w:rsidRPr="00C356DC" w:rsidRDefault="00034077" w:rsidP="00020D1E">
            <w:pPr>
              <w:pStyle w:val="TableCenter"/>
            </w:pPr>
            <w:r w:rsidRPr="00C356DC">
              <w:t>2,47 g</w:t>
            </w:r>
          </w:p>
        </w:tc>
        <w:tc>
          <w:tcPr>
            <w:tcW w:w="1125" w:type="pct"/>
            <w:shd w:val="clear" w:color="auto" w:fill="auto"/>
          </w:tcPr>
          <w:p w:rsidR="00034077" w:rsidRPr="00C356DC" w:rsidRDefault="00034077" w:rsidP="00020D1E">
            <w:pPr>
              <w:pStyle w:val="TableCenter"/>
            </w:pPr>
            <w:r w:rsidRPr="00C356DC">
              <w:t>3,27 g</w:t>
            </w:r>
          </w:p>
        </w:tc>
        <w:tc>
          <w:tcPr>
            <w:tcW w:w="1193" w:type="pct"/>
            <w:shd w:val="clear" w:color="auto" w:fill="auto"/>
          </w:tcPr>
          <w:p w:rsidR="00034077" w:rsidRPr="00C356DC" w:rsidRDefault="00034077" w:rsidP="00020D1E">
            <w:pPr>
              <w:pStyle w:val="TableCenter"/>
            </w:pPr>
            <w:r w:rsidRPr="00C356DC">
              <w:t>4,14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Calciumchloriddihydrat</w:t>
            </w:r>
            <w:proofErr w:type="spellEnd"/>
          </w:p>
        </w:tc>
        <w:tc>
          <w:tcPr>
            <w:tcW w:w="1183" w:type="pct"/>
            <w:shd w:val="clear" w:color="auto" w:fill="auto"/>
          </w:tcPr>
          <w:p w:rsidR="00034077" w:rsidRPr="00C356DC" w:rsidRDefault="00034077" w:rsidP="00020D1E">
            <w:pPr>
              <w:pStyle w:val="TableCenter"/>
            </w:pPr>
            <w:r w:rsidRPr="00C356DC">
              <w:t>0,41 g</w:t>
            </w:r>
          </w:p>
        </w:tc>
        <w:tc>
          <w:tcPr>
            <w:tcW w:w="1125" w:type="pct"/>
            <w:shd w:val="clear" w:color="auto" w:fill="auto"/>
          </w:tcPr>
          <w:p w:rsidR="00034077" w:rsidRPr="00C356DC" w:rsidRDefault="00034077" w:rsidP="00020D1E">
            <w:pPr>
              <w:pStyle w:val="TableCenter"/>
            </w:pPr>
            <w:r w:rsidRPr="00C356DC">
              <w:t>0,54 g</w:t>
            </w:r>
          </w:p>
        </w:tc>
        <w:tc>
          <w:tcPr>
            <w:tcW w:w="1193" w:type="pct"/>
            <w:shd w:val="clear" w:color="auto" w:fill="auto"/>
          </w:tcPr>
          <w:p w:rsidR="00034077" w:rsidRPr="00C356DC" w:rsidRDefault="00034077" w:rsidP="00020D1E">
            <w:pPr>
              <w:pStyle w:val="TableCenter"/>
            </w:pPr>
            <w:r w:rsidRPr="00C356DC">
              <w:t>0,68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Magnesiumsulfatheptahydrat</w:t>
            </w:r>
            <w:proofErr w:type="spellEnd"/>
          </w:p>
        </w:tc>
        <w:tc>
          <w:tcPr>
            <w:tcW w:w="1183" w:type="pct"/>
            <w:shd w:val="clear" w:color="auto" w:fill="auto"/>
          </w:tcPr>
          <w:p w:rsidR="00034077" w:rsidRPr="00C356DC" w:rsidRDefault="00034077" w:rsidP="00020D1E">
            <w:pPr>
              <w:pStyle w:val="TableCenter"/>
            </w:pPr>
            <w:r w:rsidRPr="00C356DC">
              <w:t>1,36 g</w:t>
            </w:r>
          </w:p>
        </w:tc>
        <w:tc>
          <w:tcPr>
            <w:tcW w:w="1125" w:type="pct"/>
            <w:shd w:val="clear" w:color="auto" w:fill="auto"/>
          </w:tcPr>
          <w:p w:rsidR="00034077" w:rsidRPr="00C356DC" w:rsidRDefault="00034077" w:rsidP="00020D1E">
            <w:pPr>
              <w:pStyle w:val="TableCenter"/>
            </w:pPr>
            <w:r w:rsidRPr="00C356DC">
              <w:t>1,80 g</w:t>
            </w:r>
          </w:p>
        </w:tc>
        <w:tc>
          <w:tcPr>
            <w:tcW w:w="1193" w:type="pct"/>
            <w:shd w:val="clear" w:color="auto" w:fill="auto"/>
          </w:tcPr>
          <w:p w:rsidR="00034077" w:rsidRPr="00C356DC" w:rsidRDefault="00034077" w:rsidP="00020D1E">
            <w:pPr>
              <w:pStyle w:val="TableCenter"/>
            </w:pPr>
            <w:r w:rsidRPr="00C356DC">
              <w:t>2,28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Natriumglycerophosphat</w:t>
            </w:r>
            <w:proofErr w:type="spellEnd"/>
            <w:r w:rsidRPr="00C356DC">
              <w:t>, hydreret</w:t>
            </w:r>
          </w:p>
        </w:tc>
        <w:tc>
          <w:tcPr>
            <w:tcW w:w="1183" w:type="pct"/>
            <w:shd w:val="clear" w:color="auto" w:fill="auto"/>
          </w:tcPr>
          <w:p w:rsidR="00034077" w:rsidRPr="00C356DC" w:rsidRDefault="00034077" w:rsidP="00020D1E">
            <w:pPr>
              <w:pStyle w:val="TableCenter"/>
            </w:pPr>
            <w:r w:rsidRPr="00C356DC">
              <w:t>3,26 g</w:t>
            </w:r>
          </w:p>
        </w:tc>
        <w:tc>
          <w:tcPr>
            <w:tcW w:w="1125" w:type="pct"/>
            <w:shd w:val="clear" w:color="auto" w:fill="auto"/>
          </w:tcPr>
          <w:p w:rsidR="00034077" w:rsidRPr="00C356DC" w:rsidRDefault="00034077" w:rsidP="00020D1E">
            <w:pPr>
              <w:pStyle w:val="TableCenter"/>
            </w:pPr>
            <w:r w:rsidRPr="00C356DC">
              <w:t>4,32 g</w:t>
            </w:r>
          </w:p>
        </w:tc>
        <w:tc>
          <w:tcPr>
            <w:tcW w:w="1193" w:type="pct"/>
            <w:shd w:val="clear" w:color="auto" w:fill="auto"/>
          </w:tcPr>
          <w:p w:rsidR="00034077" w:rsidRPr="00C356DC" w:rsidRDefault="00034077" w:rsidP="00020D1E">
            <w:pPr>
              <w:pStyle w:val="TableCenter"/>
            </w:pPr>
            <w:r w:rsidRPr="00C356DC">
              <w:t>5,47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pPr>
            <w:proofErr w:type="spellStart"/>
            <w:r w:rsidRPr="00C356DC">
              <w:t>Zinksulfatheptahydrat</w:t>
            </w:r>
            <w:proofErr w:type="spellEnd"/>
          </w:p>
        </w:tc>
        <w:tc>
          <w:tcPr>
            <w:tcW w:w="1183" w:type="pct"/>
            <w:shd w:val="clear" w:color="auto" w:fill="auto"/>
          </w:tcPr>
          <w:p w:rsidR="00034077" w:rsidRPr="00C356DC" w:rsidRDefault="00034077" w:rsidP="00020D1E">
            <w:pPr>
              <w:pStyle w:val="TableCenter"/>
            </w:pPr>
            <w:r w:rsidRPr="00C356DC">
              <w:t>0,013 g</w:t>
            </w:r>
          </w:p>
        </w:tc>
        <w:tc>
          <w:tcPr>
            <w:tcW w:w="1125" w:type="pct"/>
            <w:shd w:val="clear" w:color="auto" w:fill="auto"/>
          </w:tcPr>
          <w:p w:rsidR="00034077" w:rsidRPr="00C356DC" w:rsidRDefault="00034077" w:rsidP="00020D1E">
            <w:pPr>
              <w:pStyle w:val="TableCenter"/>
            </w:pPr>
            <w:r w:rsidRPr="00C356DC">
              <w:t>0,017 g</w:t>
            </w:r>
          </w:p>
        </w:tc>
        <w:tc>
          <w:tcPr>
            <w:tcW w:w="1193" w:type="pct"/>
            <w:shd w:val="clear" w:color="auto" w:fill="auto"/>
          </w:tcPr>
          <w:p w:rsidR="00034077" w:rsidRPr="00C356DC" w:rsidRDefault="00034077" w:rsidP="00020D1E">
            <w:pPr>
              <w:pStyle w:val="TableCenter"/>
            </w:pPr>
            <w:r w:rsidRPr="00C356DC">
              <w:t>0,021 g</w:t>
            </w:r>
          </w:p>
        </w:tc>
      </w:tr>
      <w:tr w:rsidR="00034077" w:rsidRPr="00C356DC" w:rsidTr="00020D1E">
        <w:trPr>
          <w:jc w:val="center"/>
        </w:trPr>
        <w:tc>
          <w:tcPr>
            <w:tcW w:w="1498" w:type="pct"/>
            <w:shd w:val="clear" w:color="auto" w:fill="auto"/>
            <w:vAlign w:val="center"/>
          </w:tcPr>
          <w:p w:rsidR="00034077" w:rsidRPr="00C356DC" w:rsidRDefault="00034077" w:rsidP="00020D1E">
            <w:pPr>
              <w:pStyle w:val="TableCenter"/>
              <w:jc w:val="left"/>
              <w:rPr>
                <w:i/>
              </w:rPr>
            </w:pPr>
            <w:proofErr w:type="spellStart"/>
            <w:r w:rsidRPr="00C356DC">
              <w:t>Glucose</w:t>
            </w:r>
            <w:proofErr w:type="spellEnd"/>
            <w:r w:rsidRPr="00C356DC">
              <w:br/>
            </w:r>
            <w:r w:rsidRPr="00C356DC">
              <w:rPr>
                <w:i/>
              </w:rPr>
              <w:t xml:space="preserve">(som </w:t>
            </w:r>
            <w:proofErr w:type="spellStart"/>
            <w:r w:rsidRPr="00C356DC">
              <w:rPr>
                <w:i/>
              </w:rPr>
              <w:t>glucosemonohydrat</w:t>
            </w:r>
            <w:proofErr w:type="spellEnd"/>
            <w:r w:rsidRPr="00C356DC">
              <w:rPr>
                <w:i/>
              </w:rPr>
              <w:t>)</w:t>
            </w:r>
          </w:p>
        </w:tc>
        <w:tc>
          <w:tcPr>
            <w:tcW w:w="1183" w:type="pct"/>
            <w:shd w:val="clear" w:color="auto" w:fill="auto"/>
          </w:tcPr>
          <w:p w:rsidR="00034077" w:rsidRPr="00C356DC" w:rsidRDefault="00034077" w:rsidP="00020D1E">
            <w:pPr>
              <w:pStyle w:val="TableCenter"/>
              <w:rPr>
                <w:i/>
              </w:rPr>
            </w:pPr>
            <w:r w:rsidRPr="00C356DC">
              <w:t>137,8 g</w:t>
            </w:r>
            <w:r w:rsidRPr="00C356DC">
              <w:br/>
            </w:r>
            <w:r w:rsidRPr="00C356DC">
              <w:rPr>
                <w:i/>
              </w:rPr>
              <w:t>(151,5 g)</w:t>
            </w:r>
          </w:p>
        </w:tc>
        <w:tc>
          <w:tcPr>
            <w:tcW w:w="1125" w:type="pct"/>
            <w:shd w:val="clear" w:color="auto" w:fill="auto"/>
          </w:tcPr>
          <w:p w:rsidR="00034077" w:rsidRPr="00C356DC" w:rsidRDefault="00034077" w:rsidP="00020D1E">
            <w:pPr>
              <w:pStyle w:val="TableCenter"/>
              <w:rPr>
                <w:i/>
              </w:rPr>
            </w:pPr>
            <w:r w:rsidRPr="00C356DC">
              <w:t>181,9 g</w:t>
            </w:r>
            <w:r w:rsidRPr="00C356DC">
              <w:br/>
            </w:r>
            <w:r w:rsidRPr="00C356DC">
              <w:rPr>
                <w:i/>
              </w:rPr>
              <w:t>(200,0 g)</w:t>
            </w:r>
          </w:p>
        </w:tc>
        <w:tc>
          <w:tcPr>
            <w:tcW w:w="1193" w:type="pct"/>
            <w:shd w:val="clear" w:color="auto" w:fill="auto"/>
          </w:tcPr>
          <w:p w:rsidR="00034077" w:rsidRPr="00C356DC" w:rsidRDefault="00034077" w:rsidP="00020D1E">
            <w:pPr>
              <w:pStyle w:val="TableCenter"/>
              <w:rPr>
                <w:i/>
              </w:rPr>
            </w:pPr>
            <w:r w:rsidRPr="00C356DC">
              <w:t>231,0 g</w:t>
            </w:r>
            <w:r w:rsidRPr="00C356DC">
              <w:br/>
            </w:r>
            <w:r w:rsidRPr="00C356DC">
              <w:rPr>
                <w:i/>
              </w:rPr>
              <w:t>(254,1 g)</w:t>
            </w:r>
          </w:p>
        </w:tc>
      </w:tr>
    </w:tbl>
    <w:p w:rsidR="00034077" w:rsidRPr="006D4010" w:rsidRDefault="00034077" w:rsidP="00034077">
      <w:pPr>
        <w:tabs>
          <w:tab w:val="left" w:pos="851"/>
        </w:tabs>
        <w:ind w:left="851"/>
        <w:rPr>
          <w:sz w:val="24"/>
          <w:szCs w:val="24"/>
        </w:rPr>
      </w:pPr>
    </w:p>
    <w:p w:rsidR="00034077" w:rsidRPr="006D4010" w:rsidRDefault="00034077" w:rsidP="00034077">
      <w:pPr>
        <w:tabs>
          <w:tab w:val="left" w:pos="851"/>
        </w:tabs>
        <w:ind w:left="851"/>
        <w:rPr>
          <w:sz w:val="24"/>
          <w:szCs w:val="24"/>
        </w:rPr>
      </w:pPr>
      <w:r w:rsidRPr="006D4010">
        <w:rPr>
          <w:sz w:val="24"/>
          <w:szCs w:val="24"/>
        </w:rPr>
        <w:t xml:space="preserve">Ernæringstilførsel for </w:t>
      </w:r>
      <w:proofErr w:type="spellStart"/>
      <w:r w:rsidRPr="006D4010">
        <w:rPr>
          <w:sz w:val="24"/>
          <w:szCs w:val="24"/>
        </w:rPr>
        <w:t>rekonstitueret</w:t>
      </w:r>
      <w:proofErr w:type="spellEnd"/>
      <w:r w:rsidRPr="006D4010">
        <w:rPr>
          <w:sz w:val="24"/>
          <w:szCs w:val="24"/>
        </w:rPr>
        <w:t xml:space="preserve"> emulsion for hver posestørrelse</w:t>
      </w:r>
    </w:p>
    <w:p w:rsidR="00034077" w:rsidRPr="006D4010" w:rsidRDefault="00034077" w:rsidP="00034077">
      <w:pPr>
        <w:tabs>
          <w:tab w:val="left" w:pos="851"/>
        </w:tabs>
        <w:ind w:left="851"/>
        <w:rPr>
          <w:sz w:val="24"/>
          <w:szCs w:val="24"/>
        </w:rPr>
      </w:pPr>
    </w:p>
    <w:tbl>
      <w:tblPr>
        <w:tblW w:w="450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5"/>
        <w:gridCol w:w="1677"/>
        <w:gridCol w:w="1923"/>
        <w:gridCol w:w="1927"/>
      </w:tblGrid>
      <w:tr w:rsidR="00034077" w:rsidRPr="00C356DC" w:rsidTr="00020D1E">
        <w:trPr>
          <w:trHeight w:val="180"/>
          <w:tblHeader/>
          <w:jc w:val="center"/>
        </w:trPr>
        <w:tc>
          <w:tcPr>
            <w:tcW w:w="1813" w:type="pct"/>
            <w:tcBorders>
              <w:top w:val="single" w:sz="4" w:space="0" w:color="auto"/>
              <w:left w:val="single" w:sz="4" w:space="0" w:color="auto"/>
            </w:tcBorders>
            <w:shd w:val="clear" w:color="auto" w:fill="auto"/>
            <w:vAlign w:val="bottom"/>
          </w:tcPr>
          <w:p w:rsidR="00034077" w:rsidRPr="00C356DC" w:rsidRDefault="00034077" w:rsidP="00020D1E">
            <w:pPr>
              <w:pStyle w:val="TableHead"/>
            </w:pPr>
          </w:p>
        </w:tc>
        <w:tc>
          <w:tcPr>
            <w:tcW w:w="967" w:type="pct"/>
            <w:tcBorders>
              <w:top w:val="single" w:sz="4" w:space="0" w:color="auto"/>
            </w:tcBorders>
            <w:shd w:val="clear" w:color="auto" w:fill="auto"/>
            <w:vAlign w:val="bottom"/>
          </w:tcPr>
          <w:p w:rsidR="00034077" w:rsidRPr="00C356DC" w:rsidRDefault="00034077" w:rsidP="00020D1E">
            <w:pPr>
              <w:pStyle w:val="TableHead"/>
            </w:pPr>
            <w:r w:rsidRPr="00C356DC">
              <w:t>1085 ml</w:t>
            </w:r>
          </w:p>
        </w:tc>
        <w:tc>
          <w:tcPr>
            <w:tcW w:w="1109" w:type="pct"/>
            <w:tcBorders>
              <w:top w:val="single" w:sz="4" w:space="0" w:color="auto"/>
            </w:tcBorders>
            <w:shd w:val="clear" w:color="auto" w:fill="auto"/>
            <w:vAlign w:val="bottom"/>
          </w:tcPr>
          <w:p w:rsidR="00034077" w:rsidRPr="00C356DC" w:rsidRDefault="00034077" w:rsidP="00020D1E">
            <w:pPr>
              <w:pStyle w:val="TableHead"/>
            </w:pPr>
            <w:r w:rsidRPr="00C356DC">
              <w:t>1435 ml</w:t>
            </w:r>
          </w:p>
        </w:tc>
        <w:tc>
          <w:tcPr>
            <w:tcW w:w="1111" w:type="pct"/>
            <w:tcBorders>
              <w:top w:val="single" w:sz="4" w:space="0" w:color="auto"/>
            </w:tcBorders>
            <w:shd w:val="clear" w:color="auto" w:fill="auto"/>
            <w:vAlign w:val="bottom"/>
          </w:tcPr>
          <w:p w:rsidR="00034077" w:rsidRPr="00C356DC" w:rsidRDefault="00034077" w:rsidP="00020D1E">
            <w:pPr>
              <w:pStyle w:val="TableHead"/>
            </w:pPr>
            <w:r w:rsidRPr="00C356DC">
              <w:t>1820 ml</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Nitrogen (g)</w:t>
            </w:r>
          </w:p>
        </w:tc>
        <w:tc>
          <w:tcPr>
            <w:tcW w:w="967" w:type="pct"/>
            <w:shd w:val="clear" w:color="auto" w:fill="auto"/>
          </w:tcPr>
          <w:p w:rsidR="00034077" w:rsidRPr="00C356DC" w:rsidRDefault="00034077" w:rsidP="00020D1E">
            <w:pPr>
              <w:pStyle w:val="TableCenter"/>
            </w:pPr>
            <w:r w:rsidRPr="00C356DC">
              <w:t xml:space="preserve">9,1 </w:t>
            </w:r>
          </w:p>
        </w:tc>
        <w:tc>
          <w:tcPr>
            <w:tcW w:w="1109" w:type="pct"/>
            <w:shd w:val="clear" w:color="auto" w:fill="auto"/>
          </w:tcPr>
          <w:p w:rsidR="00034077" w:rsidRPr="00C356DC" w:rsidRDefault="00034077" w:rsidP="00020D1E">
            <w:pPr>
              <w:pStyle w:val="TableCenter"/>
            </w:pPr>
            <w:r w:rsidRPr="00C356DC">
              <w:t>12,0</w:t>
            </w:r>
          </w:p>
        </w:tc>
        <w:tc>
          <w:tcPr>
            <w:tcW w:w="1111" w:type="pct"/>
            <w:shd w:val="clear" w:color="auto" w:fill="auto"/>
          </w:tcPr>
          <w:p w:rsidR="00034077" w:rsidRPr="00C356DC" w:rsidRDefault="00034077" w:rsidP="00020D1E">
            <w:pPr>
              <w:pStyle w:val="TableCenter"/>
            </w:pPr>
            <w:r w:rsidRPr="00C356DC">
              <w:t>15,3</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Aminosyrer (g)</w:t>
            </w:r>
          </w:p>
        </w:tc>
        <w:tc>
          <w:tcPr>
            <w:tcW w:w="967" w:type="pct"/>
            <w:shd w:val="clear" w:color="auto" w:fill="auto"/>
          </w:tcPr>
          <w:p w:rsidR="00034077" w:rsidRPr="00C356DC" w:rsidRDefault="00034077" w:rsidP="00020D1E">
            <w:pPr>
              <w:pStyle w:val="TableCenter"/>
            </w:pPr>
            <w:r w:rsidRPr="00C356DC">
              <w:t>55</w:t>
            </w:r>
          </w:p>
        </w:tc>
        <w:tc>
          <w:tcPr>
            <w:tcW w:w="1109" w:type="pct"/>
            <w:shd w:val="clear" w:color="auto" w:fill="auto"/>
          </w:tcPr>
          <w:p w:rsidR="00034077" w:rsidRPr="00C356DC" w:rsidRDefault="00034077" w:rsidP="00020D1E">
            <w:pPr>
              <w:pStyle w:val="TableCenter"/>
            </w:pPr>
            <w:r w:rsidRPr="00C356DC">
              <w:t>73</w:t>
            </w:r>
          </w:p>
        </w:tc>
        <w:tc>
          <w:tcPr>
            <w:tcW w:w="1111" w:type="pct"/>
            <w:shd w:val="clear" w:color="auto" w:fill="auto"/>
          </w:tcPr>
          <w:p w:rsidR="00034077" w:rsidRPr="00C356DC" w:rsidRDefault="00034077" w:rsidP="00020D1E">
            <w:pPr>
              <w:pStyle w:val="TableCenter"/>
            </w:pPr>
            <w:r w:rsidRPr="00C356DC">
              <w:t>92</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proofErr w:type="spellStart"/>
            <w:r w:rsidRPr="00C356DC">
              <w:t>Glucose</w:t>
            </w:r>
            <w:proofErr w:type="spellEnd"/>
            <w:r w:rsidRPr="00C356DC">
              <w:t xml:space="preserve"> (g)</w:t>
            </w:r>
          </w:p>
        </w:tc>
        <w:tc>
          <w:tcPr>
            <w:tcW w:w="967" w:type="pct"/>
            <w:shd w:val="clear" w:color="auto" w:fill="auto"/>
          </w:tcPr>
          <w:p w:rsidR="00034077" w:rsidRPr="00C356DC" w:rsidRDefault="00034077" w:rsidP="00020D1E">
            <w:pPr>
              <w:pStyle w:val="TableCenter"/>
            </w:pPr>
            <w:r w:rsidRPr="00C356DC">
              <w:t>138</w:t>
            </w:r>
          </w:p>
        </w:tc>
        <w:tc>
          <w:tcPr>
            <w:tcW w:w="1109" w:type="pct"/>
            <w:shd w:val="clear" w:color="auto" w:fill="auto"/>
          </w:tcPr>
          <w:p w:rsidR="00034077" w:rsidRPr="00C356DC" w:rsidRDefault="00034077" w:rsidP="00020D1E">
            <w:pPr>
              <w:pStyle w:val="TableCenter"/>
            </w:pPr>
            <w:r w:rsidRPr="00C356DC">
              <w:t>182</w:t>
            </w:r>
          </w:p>
        </w:tc>
        <w:tc>
          <w:tcPr>
            <w:tcW w:w="1111" w:type="pct"/>
            <w:shd w:val="clear" w:color="auto" w:fill="auto"/>
          </w:tcPr>
          <w:p w:rsidR="00034077" w:rsidRPr="00C356DC" w:rsidRDefault="00034077" w:rsidP="00020D1E">
            <w:pPr>
              <w:pStyle w:val="TableCenter"/>
            </w:pPr>
            <w:r w:rsidRPr="00C356DC">
              <w:t>231</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proofErr w:type="spellStart"/>
            <w:r w:rsidRPr="00C356DC">
              <w:t>Fedtstoffer</w:t>
            </w:r>
            <w:r w:rsidRPr="00C356DC">
              <w:rPr>
                <w:vertAlign w:val="superscript"/>
              </w:rPr>
              <w:t>a</w:t>
            </w:r>
            <w:proofErr w:type="spellEnd"/>
            <w:r w:rsidRPr="00C356DC">
              <w:rPr>
                <w:vertAlign w:val="superscript"/>
              </w:rPr>
              <w:t xml:space="preserve"> </w:t>
            </w:r>
            <w:r w:rsidRPr="00C356DC">
              <w:t>(g)</w:t>
            </w:r>
          </w:p>
        </w:tc>
        <w:tc>
          <w:tcPr>
            <w:tcW w:w="967" w:type="pct"/>
            <w:shd w:val="clear" w:color="auto" w:fill="auto"/>
          </w:tcPr>
          <w:p w:rsidR="00034077" w:rsidRPr="00C356DC" w:rsidRDefault="00034077" w:rsidP="00020D1E">
            <w:pPr>
              <w:pStyle w:val="TableCenter"/>
            </w:pPr>
            <w:r w:rsidRPr="00C356DC">
              <w:t>44</w:t>
            </w:r>
          </w:p>
        </w:tc>
        <w:tc>
          <w:tcPr>
            <w:tcW w:w="1109" w:type="pct"/>
            <w:shd w:val="clear" w:color="auto" w:fill="auto"/>
          </w:tcPr>
          <w:p w:rsidR="00034077" w:rsidRPr="00C356DC" w:rsidRDefault="00034077" w:rsidP="00020D1E">
            <w:pPr>
              <w:pStyle w:val="TableCenter"/>
            </w:pPr>
            <w:r w:rsidRPr="00C356DC">
              <w:t>58</w:t>
            </w:r>
          </w:p>
        </w:tc>
        <w:tc>
          <w:tcPr>
            <w:tcW w:w="1111" w:type="pct"/>
            <w:shd w:val="clear" w:color="auto" w:fill="auto"/>
          </w:tcPr>
          <w:p w:rsidR="00034077" w:rsidRPr="00C356DC" w:rsidRDefault="00034077" w:rsidP="00020D1E">
            <w:pPr>
              <w:pStyle w:val="TableCenter"/>
            </w:pPr>
            <w:r w:rsidRPr="00C356DC">
              <w:t>73</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rPr>
                <w:b/>
              </w:rPr>
            </w:pPr>
            <w:r w:rsidRPr="00C356DC">
              <w:rPr>
                <w:b/>
                <w:i/>
              </w:rPr>
              <w:t>Energi:</w:t>
            </w:r>
          </w:p>
        </w:tc>
        <w:tc>
          <w:tcPr>
            <w:tcW w:w="967" w:type="pct"/>
            <w:shd w:val="clear" w:color="auto" w:fill="auto"/>
          </w:tcPr>
          <w:p w:rsidR="00034077" w:rsidRPr="00C356DC" w:rsidRDefault="00034077" w:rsidP="00020D1E">
            <w:pPr>
              <w:pStyle w:val="TableCenter"/>
            </w:pPr>
          </w:p>
        </w:tc>
        <w:tc>
          <w:tcPr>
            <w:tcW w:w="1109" w:type="pct"/>
            <w:shd w:val="clear" w:color="auto" w:fill="auto"/>
          </w:tcPr>
          <w:p w:rsidR="00034077" w:rsidRPr="00C356DC" w:rsidRDefault="00034077" w:rsidP="00020D1E">
            <w:pPr>
              <w:pStyle w:val="TableCenter"/>
            </w:pPr>
          </w:p>
        </w:tc>
        <w:tc>
          <w:tcPr>
            <w:tcW w:w="1111" w:type="pct"/>
            <w:shd w:val="clear" w:color="auto" w:fill="auto"/>
          </w:tcPr>
          <w:p w:rsidR="00034077" w:rsidRPr="00C356DC" w:rsidRDefault="00034077" w:rsidP="00020D1E">
            <w:pPr>
              <w:pStyle w:val="TableCenter"/>
            </w:pP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Kalorier i alt (kcal)</w:t>
            </w:r>
          </w:p>
        </w:tc>
        <w:tc>
          <w:tcPr>
            <w:tcW w:w="967" w:type="pct"/>
            <w:shd w:val="clear" w:color="auto" w:fill="auto"/>
          </w:tcPr>
          <w:p w:rsidR="00034077" w:rsidRPr="00C356DC" w:rsidRDefault="00034077" w:rsidP="00020D1E">
            <w:pPr>
              <w:pStyle w:val="TableCenter"/>
            </w:pPr>
            <w:r w:rsidRPr="00C356DC">
              <w:t>1184</w:t>
            </w:r>
          </w:p>
        </w:tc>
        <w:tc>
          <w:tcPr>
            <w:tcW w:w="1109" w:type="pct"/>
            <w:shd w:val="clear" w:color="auto" w:fill="auto"/>
          </w:tcPr>
          <w:p w:rsidR="00034077" w:rsidRPr="00C356DC" w:rsidRDefault="00034077" w:rsidP="00020D1E">
            <w:pPr>
              <w:pStyle w:val="TableCenter"/>
            </w:pPr>
            <w:r w:rsidRPr="00C356DC">
              <w:t>1567</w:t>
            </w:r>
          </w:p>
        </w:tc>
        <w:tc>
          <w:tcPr>
            <w:tcW w:w="1111" w:type="pct"/>
            <w:shd w:val="clear" w:color="auto" w:fill="auto"/>
          </w:tcPr>
          <w:p w:rsidR="00034077" w:rsidRPr="00C356DC" w:rsidRDefault="00034077" w:rsidP="00020D1E">
            <w:pPr>
              <w:pStyle w:val="TableCenter"/>
            </w:pPr>
            <w:r w:rsidRPr="00C356DC">
              <w:t>1988</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Non-proteinkalorier (kcal)</w:t>
            </w:r>
          </w:p>
        </w:tc>
        <w:tc>
          <w:tcPr>
            <w:tcW w:w="967" w:type="pct"/>
            <w:shd w:val="clear" w:color="auto" w:fill="auto"/>
          </w:tcPr>
          <w:p w:rsidR="00034077" w:rsidRPr="00C356DC" w:rsidRDefault="00034077" w:rsidP="00020D1E">
            <w:pPr>
              <w:pStyle w:val="TableCenter"/>
            </w:pPr>
            <w:r w:rsidRPr="00C356DC">
              <w:t>964</w:t>
            </w:r>
          </w:p>
        </w:tc>
        <w:tc>
          <w:tcPr>
            <w:tcW w:w="1109" w:type="pct"/>
            <w:shd w:val="clear" w:color="auto" w:fill="auto"/>
          </w:tcPr>
          <w:p w:rsidR="00034077" w:rsidRPr="00C356DC" w:rsidRDefault="00034077" w:rsidP="00020D1E">
            <w:pPr>
              <w:pStyle w:val="TableCenter"/>
            </w:pPr>
            <w:r w:rsidRPr="00C356DC">
              <w:t>1276</w:t>
            </w:r>
          </w:p>
        </w:tc>
        <w:tc>
          <w:tcPr>
            <w:tcW w:w="1111" w:type="pct"/>
            <w:shd w:val="clear" w:color="auto" w:fill="auto"/>
          </w:tcPr>
          <w:p w:rsidR="00034077" w:rsidRPr="00C356DC" w:rsidRDefault="00034077" w:rsidP="00020D1E">
            <w:pPr>
              <w:pStyle w:val="TableCenter"/>
            </w:pPr>
            <w:r w:rsidRPr="00C356DC">
              <w:t>1619</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proofErr w:type="spellStart"/>
            <w:r w:rsidRPr="00C356DC">
              <w:t>Glucosekalorier</w:t>
            </w:r>
            <w:proofErr w:type="spellEnd"/>
            <w:r w:rsidRPr="00C356DC">
              <w:t xml:space="preserve"> (kcal)</w:t>
            </w:r>
            <w:r w:rsidRPr="00C356DC">
              <w:rPr>
                <w:vertAlign w:val="superscript"/>
              </w:rPr>
              <w:t>b</w:t>
            </w:r>
          </w:p>
        </w:tc>
        <w:tc>
          <w:tcPr>
            <w:tcW w:w="967" w:type="pct"/>
            <w:shd w:val="clear" w:color="auto" w:fill="auto"/>
          </w:tcPr>
          <w:p w:rsidR="00034077" w:rsidRPr="00C356DC" w:rsidRDefault="00034077" w:rsidP="00020D1E">
            <w:pPr>
              <w:pStyle w:val="TableCenter"/>
            </w:pPr>
            <w:r w:rsidRPr="00C356DC">
              <w:t>571</w:t>
            </w:r>
          </w:p>
        </w:tc>
        <w:tc>
          <w:tcPr>
            <w:tcW w:w="1109" w:type="pct"/>
            <w:shd w:val="clear" w:color="auto" w:fill="auto"/>
          </w:tcPr>
          <w:p w:rsidR="00034077" w:rsidRPr="00C356DC" w:rsidRDefault="00034077" w:rsidP="00020D1E">
            <w:pPr>
              <w:pStyle w:val="TableCenter"/>
            </w:pPr>
            <w:r w:rsidRPr="00C356DC">
              <w:t>755</w:t>
            </w:r>
          </w:p>
        </w:tc>
        <w:tc>
          <w:tcPr>
            <w:tcW w:w="1111" w:type="pct"/>
            <w:shd w:val="clear" w:color="auto" w:fill="auto"/>
          </w:tcPr>
          <w:p w:rsidR="00034077" w:rsidRPr="00C356DC" w:rsidRDefault="00034077" w:rsidP="00020D1E">
            <w:pPr>
              <w:pStyle w:val="TableCenter"/>
            </w:pPr>
            <w:r w:rsidRPr="00C356DC">
              <w:t>958</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Fedtstofkalorier (kcal)</w:t>
            </w:r>
            <w:r w:rsidRPr="00C356DC">
              <w:rPr>
                <w:vertAlign w:val="superscript"/>
              </w:rPr>
              <w:t>c</w:t>
            </w:r>
            <w:r w:rsidRPr="00C356DC">
              <w:t xml:space="preserve"> </w:t>
            </w:r>
          </w:p>
        </w:tc>
        <w:tc>
          <w:tcPr>
            <w:tcW w:w="967" w:type="pct"/>
            <w:shd w:val="clear" w:color="auto" w:fill="auto"/>
          </w:tcPr>
          <w:p w:rsidR="00034077" w:rsidRPr="00C356DC" w:rsidRDefault="00034077" w:rsidP="00020D1E">
            <w:pPr>
              <w:pStyle w:val="TableCenter"/>
            </w:pPr>
            <w:r w:rsidRPr="00C356DC">
              <w:t>393</w:t>
            </w:r>
          </w:p>
        </w:tc>
        <w:tc>
          <w:tcPr>
            <w:tcW w:w="1109" w:type="pct"/>
            <w:shd w:val="clear" w:color="auto" w:fill="auto"/>
          </w:tcPr>
          <w:p w:rsidR="00034077" w:rsidRPr="00C356DC" w:rsidRDefault="00034077" w:rsidP="00020D1E">
            <w:pPr>
              <w:pStyle w:val="TableCenter"/>
            </w:pPr>
            <w:r w:rsidRPr="00C356DC">
              <w:t>521</w:t>
            </w:r>
          </w:p>
        </w:tc>
        <w:tc>
          <w:tcPr>
            <w:tcW w:w="1111" w:type="pct"/>
            <w:shd w:val="clear" w:color="auto" w:fill="auto"/>
          </w:tcPr>
          <w:p w:rsidR="00034077" w:rsidRPr="00C356DC" w:rsidRDefault="00034077" w:rsidP="00020D1E">
            <w:pPr>
              <w:pStyle w:val="TableCenter"/>
            </w:pPr>
            <w:r w:rsidRPr="00C356DC">
              <w:t>661</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rPr>
                <w:lang w:val="nb-NO"/>
              </w:rPr>
            </w:pPr>
            <w:r w:rsidRPr="00C356DC">
              <w:rPr>
                <w:lang w:val="nb-NO"/>
              </w:rPr>
              <w:t>Forhold non-proteinkalorier/nitrogen (kcal/g)</w:t>
            </w:r>
          </w:p>
        </w:tc>
        <w:tc>
          <w:tcPr>
            <w:tcW w:w="967" w:type="pct"/>
            <w:shd w:val="clear" w:color="auto" w:fill="auto"/>
          </w:tcPr>
          <w:p w:rsidR="00034077" w:rsidRPr="00C356DC" w:rsidRDefault="00034077" w:rsidP="00020D1E">
            <w:pPr>
              <w:pStyle w:val="TableCenter"/>
            </w:pPr>
            <w:r w:rsidRPr="00C356DC">
              <w:t>106</w:t>
            </w:r>
            <w:bookmarkStart w:id="0" w:name="_GoBack"/>
            <w:bookmarkEnd w:id="0"/>
          </w:p>
        </w:tc>
        <w:tc>
          <w:tcPr>
            <w:tcW w:w="1109" w:type="pct"/>
            <w:shd w:val="clear" w:color="auto" w:fill="auto"/>
          </w:tcPr>
          <w:p w:rsidR="00034077" w:rsidRPr="00C356DC" w:rsidRDefault="00034077" w:rsidP="00020D1E">
            <w:pPr>
              <w:pStyle w:val="TableCenter"/>
            </w:pPr>
            <w:r w:rsidRPr="00C356DC">
              <w:t>106</w:t>
            </w:r>
          </w:p>
        </w:tc>
        <w:tc>
          <w:tcPr>
            <w:tcW w:w="1111" w:type="pct"/>
            <w:shd w:val="clear" w:color="auto" w:fill="auto"/>
          </w:tcPr>
          <w:p w:rsidR="00034077" w:rsidRPr="00C356DC" w:rsidRDefault="00034077" w:rsidP="00020D1E">
            <w:pPr>
              <w:pStyle w:val="TableCenter"/>
            </w:pPr>
            <w:r w:rsidRPr="00C356DC">
              <w:t>106</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 xml:space="preserve">Forhold </w:t>
            </w:r>
            <w:proofErr w:type="spellStart"/>
            <w:r w:rsidRPr="00C356DC">
              <w:t>glucose</w:t>
            </w:r>
            <w:proofErr w:type="spellEnd"/>
            <w:r w:rsidRPr="00C356DC">
              <w:t>/fedtstofkalorier</w:t>
            </w:r>
          </w:p>
        </w:tc>
        <w:tc>
          <w:tcPr>
            <w:tcW w:w="967" w:type="pct"/>
            <w:shd w:val="clear" w:color="auto" w:fill="auto"/>
          </w:tcPr>
          <w:p w:rsidR="00034077" w:rsidRPr="00C356DC" w:rsidRDefault="00034077" w:rsidP="00020D1E">
            <w:pPr>
              <w:pStyle w:val="TableCenter"/>
            </w:pPr>
            <w:r w:rsidRPr="00C356DC">
              <w:t>59/41</w:t>
            </w:r>
          </w:p>
        </w:tc>
        <w:tc>
          <w:tcPr>
            <w:tcW w:w="1109" w:type="pct"/>
            <w:shd w:val="clear" w:color="auto" w:fill="auto"/>
          </w:tcPr>
          <w:p w:rsidR="00034077" w:rsidRPr="00C356DC" w:rsidRDefault="00034077" w:rsidP="00020D1E">
            <w:pPr>
              <w:pStyle w:val="TableCenter"/>
            </w:pPr>
            <w:r w:rsidRPr="00C356DC">
              <w:t>59/41</w:t>
            </w:r>
          </w:p>
        </w:tc>
        <w:tc>
          <w:tcPr>
            <w:tcW w:w="1111" w:type="pct"/>
            <w:shd w:val="clear" w:color="auto" w:fill="auto"/>
          </w:tcPr>
          <w:p w:rsidR="00034077" w:rsidRPr="00C356DC" w:rsidRDefault="00034077" w:rsidP="00020D1E">
            <w:pPr>
              <w:pStyle w:val="TableCenter"/>
            </w:pPr>
            <w:r w:rsidRPr="00C356DC">
              <w:t>59/41</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Fedtstofkalorier/kalorier i alt</w:t>
            </w:r>
          </w:p>
        </w:tc>
        <w:tc>
          <w:tcPr>
            <w:tcW w:w="967" w:type="pct"/>
            <w:shd w:val="clear" w:color="auto" w:fill="auto"/>
          </w:tcPr>
          <w:p w:rsidR="00034077" w:rsidRPr="00C356DC" w:rsidRDefault="00034077" w:rsidP="00020D1E">
            <w:pPr>
              <w:pStyle w:val="TableCenter"/>
            </w:pPr>
            <w:r w:rsidRPr="00C356DC">
              <w:t>33%</w:t>
            </w:r>
          </w:p>
        </w:tc>
        <w:tc>
          <w:tcPr>
            <w:tcW w:w="1109" w:type="pct"/>
            <w:shd w:val="clear" w:color="auto" w:fill="auto"/>
          </w:tcPr>
          <w:p w:rsidR="00034077" w:rsidRPr="00C356DC" w:rsidRDefault="00034077" w:rsidP="00020D1E">
            <w:pPr>
              <w:pStyle w:val="TableCenter"/>
            </w:pPr>
            <w:r w:rsidRPr="00C356DC">
              <w:t>33%</w:t>
            </w:r>
          </w:p>
        </w:tc>
        <w:tc>
          <w:tcPr>
            <w:tcW w:w="1111" w:type="pct"/>
            <w:shd w:val="clear" w:color="auto" w:fill="auto"/>
          </w:tcPr>
          <w:p w:rsidR="00034077" w:rsidRPr="00C356DC" w:rsidRDefault="00034077" w:rsidP="00020D1E">
            <w:pPr>
              <w:pStyle w:val="TableCenter"/>
            </w:pPr>
            <w:r w:rsidRPr="00C356DC">
              <w:t>33%</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keepNext/>
              <w:jc w:val="left"/>
              <w:rPr>
                <w:b/>
              </w:rPr>
            </w:pPr>
            <w:r w:rsidRPr="00C356DC">
              <w:rPr>
                <w:b/>
                <w:i/>
              </w:rPr>
              <w:t>Elektrolytter:</w:t>
            </w:r>
          </w:p>
        </w:tc>
        <w:tc>
          <w:tcPr>
            <w:tcW w:w="967" w:type="pct"/>
            <w:shd w:val="clear" w:color="auto" w:fill="auto"/>
          </w:tcPr>
          <w:p w:rsidR="00034077" w:rsidRPr="00C356DC" w:rsidRDefault="00034077" w:rsidP="00020D1E">
            <w:pPr>
              <w:pStyle w:val="TableCenter"/>
              <w:keepNext/>
            </w:pPr>
          </w:p>
        </w:tc>
        <w:tc>
          <w:tcPr>
            <w:tcW w:w="1109" w:type="pct"/>
            <w:shd w:val="clear" w:color="auto" w:fill="auto"/>
          </w:tcPr>
          <w:p w:rsidR="00034077" w:rsidRPr="00C356DC" w:rsidRDefault="00034077" w:rsidP="00020D1E">
            <w:pPr>
              <w:pStyle w:val="TableCenter"/>
              <w:keepNext/>
            </w:pPr>
          </w:p>
        </w:tc>
        <w:tc>
          <w:tcPr>
            <w:tcW w:w="1111" w:type="pct"/>
            <w:shd w:val="clear" w:color="auto" w:fill="auto"/>
          </w:tcPr>
          <w:p w:rsidR="00034077" w:rsidRPr="00C356DC" w:rsidRDefault="00034077" w:rsidP="00020D1E">
            <w:pPr>
              <w:pStyle w:val="TableCenter"/>
              <w:keepNext/>
            </w:pP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keepNext/>
              <w:jc w:val="left"/>
            </w:pPr>
            <w:r w:rsidRPr="00C356DC">
              <w:t>Natrium (mmol)</w:t>
            </w:r>
          </w:p>
        </w:tc>
        <w:tc>
          <w:tcPr>
            <w:tcW w:w="967" w:type="pct"/>
            <w:shd w:val="clear" w:color="auto" w:fill="auto"/>
          </w:tcPr>
          <w:p w:rsidR="00034077" w:rsidRPr="00C356DC" w:rsidRDefault="00034077" w:rsidP="00020D1E">
            <w:pPr>
              <w:pStyle w:val="TableCenter"/>
              <w:keepNext/>
            </w:pPr>
            <w:r w:rsidRPr="00C356DC">
              <w:t>44,1</w:t>
            </w:r>
          </w:p>
        </w:tc>
        <w:tc>
          <w:tcPr>
            <w:tcW w:w="1109" w:type="pct"/>
            <w:shd w:val="clear" w:color="auto" w:fill="auto"/>
          </w:tcPr>
          <w:p w:rsidR="00034077" w:rsidRPr="00C356DC" w:rsidRDefault="00034077" w:rsidP="00020D1E">
            <w:pPr>
              <w:pStyle w:val="TableCenter"/>
              <w:keepNext/>
            </w:pPr>
            <w:r w:rsidRPr="00C356DC">
              <w:t>58,3</w:t>
            </w:r>
          </w:p>
        </w:tc>
        <w:tc>
          <w:tcPr>
            <w:tcW w:w="1111" w:type="pct"/>
            <w:shd w:val="clear" w:color="auto" w:fill="auto"/>
          </w:tcPr>
          <w:p w:rsidR="00034077" w:rsidRPr="00C356DC" w:rsidRDefault="00034077" w:rsidP="00020D1E">
            <w:pPr>
              <w:pStyle w:val="TableCenter"/>
              <w:keepNext/>
            </w:pPr>
            <w:r w:rsidRPr="00C356DC">
              <w:t>73,9</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Kalium (mmol)</w:t>
            </w:r>
          </w:p>
        </w:tc>
        <w:tc>
          <w:tcPr>
            <w:tcW w:w="967" w:type="pct"/>
            <w:shd w:val="clear" w:color="auto" w:fill="auto"/>
          </w:tcPr>
          <w:p w:rsidR="00034077" w:rsidRPr="00C356DC" w:rsidRDefault="00034077" w:rsidP="00020D1E">
            <w:pPr>
              <w:pStyle w:val="TableCenter"/>
            </w:pPr>
            <w:r w:rsidRPr="00C356DC">
              <w:t>33,1</w:t>
            </w:r>
          </w:p>
        </w:tc>
        <w:tc>
          <w:tcPr>
            <w:tcW w:w="1109" w:type="pct"/>
            <w:shd w:val="clear" w:color="auto" w:fill="auto"/>
          </w:tcPr>
          <w:p w:rsidR="00034077" w:rsidRPr="00C356DC" w:rsidRDefault="00034077" w:rsidP="00020D1E">
            <w:pPr>
              <w:pStyle w:val="TableCenter"/>
            </w:pPr>
            <w:r w:rsidRPr="00C356DC">
              <w:t>43,8</w:t>
            </w:r>
          </w:p>
        </w:tc>
        <w:tc>
          <w:tcPr>
            <w:tcW w:w="1111" w:type="pct"/>
            <w:shd w:val="clear" w:color="auto" w:fill="auto"/>
          </w:tcPr>
          <w:p w:rsidR="00034077" w:rsidRPr="00C356DC" w:rsidRDefault="00034077" w:rsidP="00020D1E">
            <w:pPr>
              <w:pStyle w:val="TableCenter"/>
            </w:pPr>
            <w:r w:rsidRPr="00C356DC">
              <w:t>55,5</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Magnesium (mmol)</w:t>
            </w:r>
          </w:p>
        </w:tc>
        <w:tc>
          <w:tcPr>
            <w:tcW w:w="967" w:type="pct"/>
            <w:shd w:val="clear" w:color="auto" w:fill="auto"/>
          </w:tcPr>
          <w:p w:rsidR="00034077" w:rsidRPr="00C356DC" w:rsidRDefault="00034077" w:rsidP="00020D1E">
            <w:pPr>
              <w:pStyle w:val="TableCenter"/>
            </w:pPr>
            <w:r w:rsidRPr="00C356DC">
              <w:t xml:space="preserve">5,5  </w:t>
            </w:r>
          </w:p>
        </w:tc>
        <w:tc>
          <w:tcPr>
            <w:tcW w:w="1109" w:type="pct"/>
            <w:shd w:val="clear" w:color="auto" w:fill="auto"/>
          </w:tcPr>
          <w:p w:rsidR="00034077" w:rsidRPr="00C356DC" w:rsidRDefault="00034077" w:rsidP="00020D1E">
            <w:pPr>
              <w:pStyle w:val="TableCenter"/>
            </w:pPr>
            <w:r w:rsidRPr="00C356DC">
              <w:t>7,3</w:t>
            </w:r>
          </w:p>
        </w:tc>
        <w:tc>
          <w:tcPr>
            <w:tcW w:w="1111" w:type="pct"/>
            <w:shd w:val="clear" w:color="auto" w:fill="auto"/>
          </w:tcPr>
          <w:p w:rsidR="00034077" w:rsidRPr="00C356DC" w:rsidRDefault="00034077" w:rsidP="00020D1E">
            <w:pPr>
              <w:pStyle w:val="TableCenter"/>
            </w:pPr>
            <w:r w:rsidRPr="00C356DC">
              <w:t>9,3</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Calcium (mmol)</w:t>
            </w:r>
          </w:p>
        </w:tc>
        <w:tc>
          <w:tcPr>
            <w:tcW w:w="967" w:type="pct"/>
            <w:shd w:val="clear" w:color="auto" w:fill="auto"/>
          </w:tcPr>
          <w:p w:rsidR="00034077" w:rsidRPr="00C356DC" w:rsidRDefault="00034077" w:rsidP="00020D1E">
            <w:pPr>
              <w:pStyle w:val="TableCenter"/>
            </w:pPr>
            <w:r w:rsidRPr="00C356DC">
              <w:t>2,8</w:t>
            </w:r>
          </w:p>
        </w:tc>
        <w:tc>
          <w:tcPr>
            <w:tcW w:w="1109" w:type="pct"/>
            <w:shd w:val="clear" w:color="auto" w:fill="auto"/>
          </w:tcPr>
          <w:p w:rsidR="00034077" w:rsidRPr="00C356DC" w:rsidRDefault="00034077" w:rsidP="00020D1E">
            <w:pPr>
              <w:pStyle w:val="TableCenter"/>
            </w:pPr>
            <w:r w:rsidRPr="00C356DC">
              <w:t>3,7</w:t>
            </w:r>
          </w:p>
        </w:tc>
        <w:tc>
          <w:tcPr>
            <w:tcW w:w="1111" w:type="pct"/>
            <w:shd w:val="clear" w:color="auto" w:fill="auto"/>
          </w:tcPr>
          <w:p w:rsidR="00034077" w:rsidRPr="00C356DC" w:rsidRDefault="00034077" w:rsidP="00020D1E">
            <w:pPr>
              <w:pStyle w:val="TableCenter"/>
            </w:pPr>
            <w:r w:rsidRPr="00C356DC">
              <w:t>4,7</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proofErr w:type="spellStart"/>
            <w:r w:rsidRPr="00C356DC">
              <w:t>Phosphor</w:t>
            </w:r>
            <w:proofErr w:type="spellEnd"/>
            <w:r w:rsidRPr="00C356DC">
              <w:t xml:space="preserve"> (mmol)</w:t>
            </w:r>
          </w:p>
        </w:tc>
        <w:tc>
          <w:tcPr>
            <w:tcW w:w="967" w:type="pct"/>
            <w:shd w:val="clear" w:color="auto" w:fill="auto"/>
          </w:tcPr>
          <w:p w:rsidR="00034077" w:rsidRPr="00C356DC" w:rsidRDefault="00034077" w:rsidP="00020D1E">
            <w:pPr>
              <w:pStyle w:val="TableCenter"/>
            </w:pPr>
            <w:r w:rsidRPr="00C356DC">
              <w:t>10,7/13,8</w:t>
            </w:r>
            <w:r w:rsidRPr="00C356DC">
              <w:rPr>
                <w:vertAlign w:val="superscript"/>
              </w:rPr>
              <w:t>d</w:t>
            </w:r>
          </w:p>
        </w:tc>
        <w:tc>
          <w:tcPr>
            <w:tcW w:w="1109" w:type="pct"/>
            <w:shd w:val="clear" w:color="auto" w:fill="auto"/>
          </w:tcPr>
          <w:p w:rsidR="00034077" w:rsidRPr="00C356DC" w:rsidRDefault="00034077" w:rsidP="00020D1E">
            <w:pPr>
              <w:pStyle w:val="TableCenter"/>
            </w:pPr>
            <w:r w:rsidRPr="00C356DC">
              <w:t>14,1/18,3</w:t>
            </w:r>
            <w:r w:rsidRPr="00C356DC">
              <w:rPr>
                <w:vertAlign w:val="superscript"/>
              </w:rPr>
              <w:t>d</w:t>
            </w:r>
          </w:p>
        </w:tc>
        <w:tc>
          <w:tcPr>
            <w:tcW w:w="1111" w:type="pct"/>
            <w:shd w:val="clear" w:color="auto" w:fill="auto"/>
          </w:tcPr>
          <w:p w:rsidR="00034077" w:rsidRPr="00C356DC" w:rsidRDefault="00034077" w:rsidP="00020D1E">
            <w:pPr>
              <w:pStyle w:val="TableCenter"/>
            </w:pPr>
            <w:r w:rsidRPr="00C356DC">
              <w:t>17,9/23,1</w:t>
            </w:r>
            <w:r w:rsidRPr="00C356DC">
              <w:rPr>
                <w:vertAlign w:val="superscript"/>
              </w:rPr>
              <w:t>d</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Acetat (mmol)</w:t>
            </w:r>
          </w:p>
        </w:tc>
        <w:tc>
          <w:tcPr>
            <w:tcW w:w="967" w:type="pct"/>
            <w:shd w:val="clear" w:color="auto" w:fill="auto"/>
          </w:tcPr>
          <w:p w:rsidR="00034077" w:rsidRPr="00C356DC" w:rsidRDefault="00034077" w:rsidP="00020D1E">
            <w:pPr>
              <w:pStyle w:val="TableCenter"/>
            </w:pPr>
            <w:r w:rsidRPr="00C356DC">
              <w:t>79,5</w:t>
            </w:r>
          </w:p>
        </w:tc>
        <w:tc>
          <w:tcPr>
            <w:tcW w:w="1109" w:type="pct"/>
            <w:shd w:val="clear" w:color="auto" w:fill="auto"/>
          </w:tcPr>
          <w:p w:rsidR="00034077" w:rsidRPr="00C356DC" w:rsidRDefault="00034077" w:rsidP="00020D1E">
            <w:pPr>
              <w:pStyle w:val="TableCenter"/>
            </w:pPr>
            <w:r w:rsidRPr="00C356DC">
              <w:t>105</w:t>
            </w:r>
          </w:p>
        </w:tc>
        <w:tc>
          <w:tcPr>
            <w:tcW w:w="1111" w:type="pct"/>
            <w:shd w:val="clear" w:color="auto" w:fill="auto"/>
          </w:tcPr>
          <w:p w:rsidR="00034077" w:rsidRPr="00C356DC" w:rsidRDefault="00034077" w:rsidP="00020D1E">
            <w:pPr>
              <w:pStyle w:val="TableCenter"/>
            </w:pPr>
            <w:r w:rsidRPr="00C356DC">
              <w:t>133</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proofErr w:type="spellStart"/>
            <w:r w:rsidRPr="00C356DC">
              <w:lastRenderedPageBreak/>
              <w:t>Chlorid</w:t>
            </w:r>
            <w:proofErr w:type="spellEnd"/>
            <w:r w:rsidRPr="00C356DC">
              <w:t xml:space="preserve"> (mmol)</w:t>
            </w:r>
          </w:p>
        </w:tc>
        <w:tc>
          <w:tcPr>
            <w:tcW w:w="967" w:type="pct"/>
            <w:shd w:val="clear" w:color="auto" w:fill="auto"/>
          </w:tcPr>
          <w:p w:rsidR="00034077" w:rsidRPr="00C356DC" w:rsidRDefault="00034077" w:rsidP="00020D1E">
            <w:pPr>
              <w:pStyle w:val="TableCenter"/>
            </w:pPr>
            <w:r w:rsidRPr="00C356DC">
              <w:t>60,5</w:t>
            </w:r>
          </w:p>
        </w:tc>
        <w:tc>
          <w:tcPr>
            <w:tcW w:w="1109" w:type="pct"/>
            <w:shd w:val="clear" w:color="auto" w:fill="auto"/>
          </w:tcPr>
          <w:p w:rsidR="00034077" w:rsidRPr="00C356DC" w:rsidRDefault="00034077" w:rsidP="00020D1E">
            <w:pPr>
              <w:pStyle w:val="TableCenter"/>
            </w:pPr>
            <w:r w:rsidRPr="00C356DC">
              <w:t>80,1</w:t>
            </w:r>
          </w:p>
        </w:tc>
        <w:tc>
          <w:tcPr>
            <w:tcW w:w="1111" w:type="pct"/>
            <w:shd w:val="clear" w:color="auto" w:fill="auto"/>
          </w:tcPr>
          <w:p w:rsidR="00034077" w:rsidRPr="00C356DC" w:rsidRDefault="00034077" w:rsidP="00020D1E">
            <w:pPr>
              <w:pStyle w:val="TableCenter"/>
            </w:pPr>
            <w:r w:rsidRPr="00C356DC">
              <w:t>102</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Sulfat (mmol)</w:t>
            </w:r>
          </w:p>
        </w:tc>
        <w:tc>
          <w:tcPr>
            <w:tcW w:w="967" w:type="pct"/>
            <w:shd w:val="clear" w:color="auto" w:fill="auto"/>
          </w:tcPr>
          <w:p w:rsidR="00034077" w:rsidRPr="00C356DC" w:rsidRDefault="00034077" w:rsidP="00020D1E">
            <w:pPr>
              <w:pStyle w:val="TableCenter"/>
            </w:pPr>
            <w:r w:rsidRPr="00C356DC">
              <w:t>5,6</w:t>
            </w:r>
          </w:p>
        </w:tc>
        <w:tc>
          <w:tcPr>
            <w:tcW w:w="1109" w:type="pct"/>
            <w:shd w:val="clear" w:color="auto" w:fill="auto"/>
          </w:tcPr>
          <w:p w:rsidR="00034077" w:rsidRPr="00C356DC" w:rsidRDefault="00034077" w:rsidP="00020D1E">
            <w:pPr>
              <w:pStyle w:val="TableCenter"/>
            </w:pPr>
            <w:r w:rsidRPr="00C356DC">
              <w:t>7,4</w:t>
            </w:r>
          </w:p>
        </w:tc>
        <w:tc>
          <w:tcPr>
            <w:tcW w:w="1111" w:type="pct"/>
            <w:shd w:val="clear" w:color="auto" w:fill="auto"/>
          </w:tcPr>
          <w:p w:rsidR="00034077" w:rsidRPr="00C356DC" w:rsidRDefault="00034077" w:rsidP="00020D1E">
            <w:pPr>
              <w:pStyle w:val="TableCenter"/>
            </w:pPr>
            <w:r w:rsidRPr="00C356DC">
              <w:t>9,3</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Zink (mmol)</w:t>
            </w:r>
          </w:p>
        </w:tc>
        <w:tc>
          <w:tcPr>
            <w:tcW w:w="967" w:type="pct"/>
            <w:shd w:val="clear" w:color="auto" w:fill="auto"/>
          </w:tcPr>
          <w:p w:rsidR="00034077" w:rsidRPr="00C356DC" w:rsidRDefault="00034077" w:rsidP="00020D1E">
            <w:pPr>
              <w:pStyle w:val="TableCenter"/>
            </w:pPr>
            <w:r w:rsidRPr="00C356DC">
              <w:t>0,04</w:t>
            </w:r>
          </w:p>
        </w:tc>
        <w:tc>
          <w:tcPr>
            <w:tcW w:w="1109" w:type="pct"/>
            <w:shd w:val="clear" w:color="auto" w:fill="auto"/>
          </w:tcPr>
          <w:p w:rsidR="00034077" w:rsidRPr="00C356DC" w:rsidRDefault="00034077" w:rsidP="00020D1E">
            <w:pPr>
              <w:pStyle w:val="TableCenter"/>
            </w:pPr>
            <w:r w:rsidRPr="00C356DC">
              <w:t>0,06</w:t>
            </w:r>
          </w:p>
        </w:tc>
        <w:tc>
          <w:tcPr>
            <w:tcW w:w="1111" w:type="pct"/>
            <w:shd w:val="clear" w:color="auto" w:fill="auto"/>
          </w:tcPr>
          <w:p w:rsidR="00034077" w:rsidRPr="00C356DC" w:rsidRDefault="00034077" w:rsidP="00020D1E">
            <w:pPr>
              <w:pStyle w:val="TableCenter"/>
            </w:pPr>
            <w:r w:rsidRPr="00C356DC">
              <w:t>0,07</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r w:rsidRPr="00C356DC">
              <w:t>pH (ca.)</w:t>
            </w:r>
          </w:p>
        </w:tc>
        <w:tc>
          <w:tcPr>
            <w:tcW w:w="967" w:type="pct"/>
            <w:shd w:val="clear" w:color="auto" w:fill="auto"/>
          </w:tcPr>
          <w:p w:rsidR="00034077" w:rsidRPr="00C356DC" w:rsidRDefault="00034077" w:rsidP="00020D1E">
            <w:pPr>
              <w:pStyle w:val="TableCenter"/>
            </w:pPr>
            <w:r w:rsidRPr="00C356DC">
              <w:t>6,0</w:t>
            </w:r>
          </w:p>
        </w:tc>
        <w:tc>
          <w:tcPr>
            <w:tcW w:w="1109" w:type="pct"/>
            <w:shd w:val="clear" w:color="auto" w:fill="auto"/>
          </w:tcPr>
          <w:p w:rsidR="00034077" w:rsidRPr="00C356DC" w:rsidRDefault="00034077" w:rsidP="00020D1E">
            <w:pPr>
              <w:pStyle w:val="TableCenter"/>
            </w:pPr>
            <w:r w:rsidRPr="00C356DC">
              <w:t>6,0</w:t>
            </w:r>
          </w:p>
        </w:tc>
        <w:tc>
          <w:tcPr>
            <w:tcW w:w="1111" w:type="pct"/>
            <w:shd w:val="clear" w:color="auto" w:fill="auto"/>
          </w:tcPr>
          <w:p w:rsidR="00034077" w:rsidRPr="00C356DC" w:rsidRDefault="00034077" w:rsidP="00020D1E">
            <w:pPr>
              <w:pStyle w:val="TableCenter"/>
            </w:pPr>
            <w:r w:rsidRPr="00C356DC">
              <w:t>6,0</w:t>
            </w:r>
          </w:p>
        </w:tc>
      </w:tr>
      <w:tr w:rsidR="00034077" w:rsidRPr="00C356DC" w:rsidTr="00020D1E">
        <w:trPr>
          <w:jc w:val="center"/>
        </w:trPr>
        <w:tc>
          <w:tcPr>
            <w:tcW w:w="1813" w:type="pct"/>
            <w:tcBorders>
              <w:left w:val="single" w:sz="4" w:space="0" w:color="auto"/>
            </w:tcBorders>
            <w:shd w:val="clear" w:color="auto" w:fill="auto"/>
            <w:vAlign w:val="center"/>
          </w:tcPr>
          <w:p w:rsidR="00034077" w:rsidRPr="00C356DC" w:rsidRDefault="00034077" w:rsidP="00020D1E">
            <w:pPr>
              <w:pStyle w:val="TableCenter"/>
              <w:jc w:val="left"/>
            </w:pPr>
            <w:proofErr w:type="spellStart"/>
            <w:r w:rsidRPr="00C356DC">
              <w:t>Osmolaritet</w:t>
            </w:r>
            <w:proofErr w:type="spellEnd"/>
            <w:r w:rsidRPr="00C356DC">
              <w:t xml:space="preserve"> (ca.) (</w:t>
            </w:r>
            <w:proofErr w:type="spellStart"/>
            <w:r w:rsidRPr="00C356DC">
              <w:t>mOsmol</w:t>
            </w:r>
            <w:proofErr w:type="spellEnd"/>
            <w:r w:rsidRPr="00C356DC">
              <w:t>/l)</w:t>
            </w:r>
          </w:p>
        </w:tc>
        <w:tc>
          <w:tcPr>
            <w:tcW w:w="967" w:type="pct"/>
            <w:shd w:val="clear" w:color="auto" w:fill="auto"/>
          </w:tcPr>
          <w:p w:rsidR="00034077" w:rsidRPr="00C356DC" w:rsidRDefault="00034077" w:rsidP="00020D1E">
            <w:pPr>
              <w:pStyle w:val="TableCenter"/>
            </w:pPr>
            <w:r w:rsidRPr="00C356DC">
              <w:t>1440</w:t>
            </w:r>
          </w:p>
        </w:tc>
        <w:tc>
          <w:tcPr>
            <w:tcW w:w="1109" w:type="pct"/>
            <w:shd w:val="clear" w:color="auto" w:fill="auto"/>
          </w:tcPr>
          <w:p w:rsidR="00034077" w:rsidRPr="00C356DC" w:rsidRDefault="00034077" w:rsidP="00020D1E">
            <w:pPr>
              <w:pStyle w:val="TableCenter"/>
            </w:pPr>
            <w:r w:rsidRPr="00C356DC">
              <w:t>1440</w:t>
            </w:r>
          </w:p>
        </w:tc>
        <w:tc>
          <w:tcPr>
            <w:tcW w:w="1111" w:type="pct"/>
            <w:shd w:val="clear" w:color="auto" w:fill="auto"/>
          </w:tcPr>
          <w:p w:rsidR="00034077" w:rsidRPr="00C356DC" w:rsidRDefault="00034077" w:rsidP="00020D1E">
            <w:pPr>
              <w:pStyle w:val="TableCenter"/>
            </w:pPr>
            <w:r w:rsidRPr="00C356DC">
              <w:t>1440</w:t>
            </w:r>
          </w:p>
        </w:tc>
      </w:tr>
      <w:tr w:rsidR="00034077" w:rsidRPr="00C356DC" w:rsidTr="00020D1E">
        <w:trPr>
          <w:jc w:val="center"/>
        </w:trPr>
        <w:tc>
          <w:tcPr>
            <w:tcW w:w="5000" w:type="pct"/>
            <w:gridSpan w:val="4"/>
            <w:tcBorders>
              <w:left w:val="nil"/>
              <w:bottom w:val="nil"/>
              <w:right w:val="nil"/>
            </w:tcBorders>
            <w:shd w:val="clear" w:color="auto" w:fill="auto"/>
          </w:tcPr>
          <w:p w:rsidR="00034077" w:rsidRPr="00C356DC" w:rsidRDefault="00034077" w:rsidP="00034077">
            <w:pPr>
              <w:pStyle w:val="TableFootnoteLetter"/>
              <w:numPr>
                <w:ilvl w:val="0"/>
                <w:numId w:val="6"/>
              </w:numPr>
              <w:spacing w:before="0"/>
            </w:pPr>
            <w:r w:rsidRPr="00C356DC">
              <w:t xml:space="preserve">Som sum af olie- og </w:t>
            </w:r>
            <w:proofErr w:type="spellStart"/>
            <w:r w:rsidRPr="00C356DC">
              <w:t>phospholipidindhold</w:t>
            </w:r>
            <w:proofErr w:type="spellEnd"/>
          </w:p>
          <w:p w:rsidR="00034077" w:rsidRPr="00C356DC" w:rsidRDefault="00034077" w:rsidP="00034077">
            <w:pPr>
              <w:pStyle w:val="TableFootnoteLetter"/>
              <w:numPr>
                <w:ilvl w:val="0"/>
                <w:numId w:val="8"/>
              </w:numPr>
              <w:spacing w:before="0"/>
            </w:pPr>
            <w:r w:rsidRPr="00C356DC">
              <w:t xml:space="preserve">Som sum af </w:t>
            </w:r>
            <w:proofErr w:type="spellStart"/>
            <w:r w:rsidRPr="00C356DC">
              <w:t>glucose</w:t>
            </w:r>
            <w:proofErr w:type="spellEnd"/>
            <w:r w:rsidRPr="00C356DC">
              <w:t>- og glycerolindhold i g x 4 kcal/g</w:t>
            </w:r>
          </w:p>
          <w:p w:rsidR="00034077" w:rsidRPr="00C356DC" w:rsidRDefault="00034077" w:rsidP="00034077">
            <w:pPr>
              <w:pStyle w:val="TableFootnoteLetter"/>
              <w:numPr>
                <w:ilvl w:val="0"/>
                <w:numId w:val="8"/>
              </w:numPr>
              <w:spacing w:before="0"/>
            </w:pPr>
            <w:r w:rsidRPr="00C356DC">
              <w:t xml:space="preserve">Som sum af olie- og </w:t>
            </w:r>
            <w:proofErr w:type="spellStart"/>
            <w:r w:rsidRPr="00C356DC">
              <w:t>phospholipidindhold</w:t>
            </w:r>
            <w:proofErr w:type="spellEnd"/>
            <w:r w:rsidRPr="00C356DC">
              <w:t xml:space="preserve"> i g x 9 kcal/g</w:t>
            </w:r>
          </w:p>
          <w:p w:rsidR="00034077" w:rsidRPr="00C356DC" w:rsidRDefault="00034077" w:rsidP="00034077">
            <w:pPr>
              <w:pStyle w:val="TableFootnoteLetter"/>
              <w:numPr>
                <w:ilvl w:val="0"/>
                <w:numId w:val="8"/>
              </w:numPr>
              <w:spacing w:before="0"/>
            </w:pPr>
            <w:r w:rsidRPr="00C356DC">
              <w:t xml:space="preserve">Uden </w:t>
            </w:r>
            <w:proofErr w:type="spellStart"/>
            <w:r w:rsidRPr="00C356DC">
              <w:t>phosphor</w:t>
            </w:r>
            <w:proofErr w:type="spellEnd"/>
            <w:r w:rsidRPr="00C356DC">
              <w:t xml:space="preserve"> fra fedtstofemulsion / med </w:t>
            </w:r>
            <w:proofErr w:type="spellStart"/>
            <w:r w:rsidRPr="00C356DC">
              <w:t>phosphor</w:t>
            </w:r>
            <w:proofErr w:type="spellEnd"/>
            <w:r w:rsidRPr="00C356DC">
              <w:t xml:space="preserve"> fra fedtstofemulsion.</w:t>
            </w:r>
          </w:p>
        </w:tc>
      </w:tr>
    </w:tbl>
    <w:p w:rsidR="00034077" w:rsidRPr="006D4010" w:rsidRDefault="00034077" w:rsidP="00034077">
      <w:pPr>
        <w:tabs>
          <w:tab w:val="left" w:pos="851"/>
        </w:tabs>
        <w:ind w:left="851"/>
        <w:rPr>
          <w:sz w:val="24"/>
          <w:szCs w:val="24"/>
        </w:rPr>
      </w:pPr>
    </w:p>
    <w:p w:rsidR="00034077" w:rsidRPr="009369B9" w:rsidRDefault="00034077" w:rsidP="00034077">
      <w:pPr>
        <w:tabs>
          <w:tab w:val="left" w:pos="851"/>
        </w:tabs>
        <w:ind w:left="851"/>
        <w:rPr>
          <w:sz w:val="24"/>
          <w:szCs w:val="24"/>
        </w:rPr>
      </w:pPr>
      <w:r w:rsidRPr="009369B9">
        <w:rPr>
          <w:sz w:val="24"/>
          <w:szCs w:val="24"/>
        </w:rPr>
        <w:t>Alle hjælpestoffer er anført under pkt. 6.1.</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3.</w:t>
      </w:r>
      <w:r w:rsidRPr="009369B9">
        <w:rPr>
          <w:b/>
          <w:sz w:val="24"/>
          <w:szCs w:val="24"/>
        </w:rPr>
        <w:tab/>
        <w:t>LÆGEMIDDELFORM</w:t>
      </w:r>
    </w:p>
    <w:p w:rsidR="00034077" w:rsidRPr="009369B9" w:rsidRDefault="00034077" w:rsidP="00034077">
      <w:pPr>
        <w:tabs>
          <w:tab w:val="left" w:pos="851"/>
        </w:tabs>
        <w:ind w:left="851"/>
        <w:rPr>
          <w:sz w:val="24"/>
          <w:szCs w:val="24"/>
          <w:lang w:eastAsia="da-DK"/>
        </w:rPr>
      </w:pPr>
      <w:r w:rsidRPr="009369B9">
        <w:rPr>
          <w:sz w:val="24"/>
          <w:szCs w:val="24"/>
          <w:lang w:eastAsia="da-DK"/>
        </w:rPr>
        <w:t>Infusionsvæske, emulsion</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 xml:space="preserve">Lægemidlets udseende inden </w:t>
      </w:r>
      <w:proofErr w:type="spellStart"/>
      <w:r w:rsidRPr="009369B9">
        <w:rPr>
          <w:sz w:val="24"/>
          <w:szCs w:val="24"/>
          <w:u w:val="single"/>
          <w:lang w:eastAsia="da-DK"/>
        </w:rPr>
        <w:t>rekonstitution</w:t>
      </w:r>
      <w:proofErr w:type="spellEnd"/>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r>
      <w:proofErr w:type="spellStart"/>
      <w:r w:rsidRPr="009369B9">
        <w:rPr>
          <w:sz w:val="24"/>
          <w:szCs w:val="24"/>
          <w:lang w:eastAsia="da-DK"/>
        </w:rPr>
        <w:t>Glucose</w:t>
      </w:r>
      <w:proofErr w:type="spellEnd"/>
      <w:r w:rsidRPr="009369B9">
        <w:rPr>
          <w:sz w:val="24"/>
          <w:szCs w:val="24"/>
          <w:lang w:eastAsia="da-DK"/>
        </w:rPr>
        <w:t>- og aminosyreopløsningerne er klare og farveløse til svagt gule og fri for partikler.</w:t>
      </w:r>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Fedtstofemulsionen er hvid og homogen.</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Efter blanding af de 3 kamre er produktets udseende en hvid emulsion.</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proofErr w:type="spellStart"/>
      <w:r w:rsidRPr="009369B9">
        <w:rPr>
          <w:sz w:val="24"/>
          <w:szCs w:val="24"/>
          <w:lang w:eastAsia="da-DK"/>
        </w:rPr>
        <w:t>Osmolaritet</w:t>
      </w:r>
      <w:proofErr w:type="spellEnd"/>
      <w:r w:rsidRPr="009369B9">
        <w:rPr>
          <w:sz w:val="24"/>
          <w:szCs w:val="24"/>
          <w:lang w:eastAsia="da-DK"/>
        </w:rPr>
        <w:t xml:space="preserve">: ca. </w:t>
      </w:r>
      <w:r>
        <w:rPr>
          <w:sz w:val="24"/>
          <w:szCs w:val="24"/>
          <w:lang w:eastAsia="da-DK"/>
        </w:rPr>
        <w:t>1440</w:t>
      </w:r>
      <w:r w:rsidRPr="009369B9">
        <w:rPr>
          <w:sz w:val="24"/>
          <w:szCs w:val="24"/>
          <w:lang w:eastAsia="da-DK"/>
        </w:rPr>
        <w:t> </w:t>
      </w:r>
      <w:proofErr w:type="spellStart"/>
      <w:r w:rsidRPr="009369B9">
        <w:rPr>
          <w:sz w:val="24"/>
          <w:szCs w:val="24"/>
          <w:lang w:eastAsia="da-DK"/>
        </w:rPr>
        <w:t>mOsmol</w:t>
      </w:r>
      <w:proofErr w:type="spellEnd"/>
      <w:r w:rsidRPr="009369B9">
        <w:rPr>
          <w:sz w:val="24"/>
          <w:szCs w:val="24"/>
          <w:lang w:eastAsia="da-DK"/>
        </w:rPr>
        <w:t>/l.</w:t>
      </w:r>
    </w:p>
    <w:p w:rsidR="00034077" w:rsidRPr="009369B9" w:rsidRDefault="00034077" w:rsidP="00034077">
      <w:pPr>
        <w:tabs>
          <w:tab w:val="left" w:pos="851"/>
        </w:tabs>
        <w:ind w:left="851"/>
        <w:rPr>
          <w:sz w:val="24"/>
          <w:szCs w:val="24"/>
          <w:lang w:eastAsia="da-DK"/>
        </w:rPr>
      </w:pPr>
      <w:r w:rsidRPr="009369B9">
        <w:rPr>
          <w:sz w:val="24"/>
          <w:szCs w:val="24"/>
          <w:lang w:eastAsia="da-DK"/>
        </w:rPr>
        <w:t>pH efter blanding: ca. 6,0.</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4.</w:t>
      </w:r>
      <w:r w:rsidRPr="009369B9">
        <w:rPr>
          <w:b/>
          <w:sz w:val="24"/>
          <w:szCs w:val="24"/>
        </w:rPr>
        <w:tab/>
        <w:t>KLINISKE OPLYSNINGER</w:t>
      </w:r>
    </w:p>
    <w:p w:rsidR="00034077" w:rsidRPr="009369B9" w:rsidRDefault="00034077" w:rsidP="00034077">
      <w:pPr>
        <w:tabs>
          <w:tab w:val="left" w:pos="851"/>
        </w:tabs>
        <w:ind w:left="851"/>
        <w:rPr>
          <w:b/>
          <w:sz w:val="24"/>
          <w:szCs w:val="24"/>
        </w:rPr>
      </w:pPr>
    </w:p>
    <w:p w:rsidR="00034077" w:rsidRPr="009369B9" w:rsidRDefault="00034077" w:rsidP="00034077">
      <w:pPr>
        <w:tabs>
          <w:tab w:val="left" w:pos="851"/>
        </w:tabs>
        <w:ind w:left="851" w:hanging="851"/>
        <w:rPr>
          <w:b/>
          <w:sz w:val="24"/>
          <w:szCs w:val="24"/>
          <w:u w:val="single"/>
        </w:rPr>
      </w:pPr>
      <w:r w:rsidRPr="009369B9">
        <w:rPr>
          <w:b/>
          <w:sz w:val="24"/>
          <w:szCs w:val="24"/>
        </w:rPr>
        <w:t>4.1</w:t>
      </w:r>
      <w:r w:rsidRPr="009369B9">
        <w:rPr>
          <w:b/>
          <w:sz w:val="24"/>
          <w:szCs w:val="24"/>
        </w:rPr>
        <w:tab/>
        <w:t>Terapeutiske indikationer</w:t>
      </w:r>
    </w:p>
    <w:p w:rsidR="00034077" w:rsidRPr="009369B9" w:rsidRDefault="00034077" w:rsidP="00034077">
      <w:pPr>
        <w:tabs>
          <w:tab w:val="left" w:pos="851"/>
        </w:tabs>
        <w:ind w:left="851"/>
        <w:rPr>
          <w:sz w:val="24"/>
          <w:szCs w:val="24"/>
          <w:lang w:eastAsia="da-DK"/>
        </w:rPr>
      </w:pPr>
      <w:proofErr w:type="spellStart"/>
      <w:r>
        <w:rPr>
          <w:sz w:val="24"/>
          <w:szCs w:val="24"/>
          <w:lang w:eastAsia="da-DK"/>
        </w:rPr>
        <w:t>Finomel</w:t>
      </w:r>
      <w:proofErr w:type="spellEnd"/>
      <w:r w:rsidRPr="009369B9">
        <w:rPr>
          <w:sz w:val="24"/>
          <w:szCs w:val="24"/>
          <w:lang w:eastAsia="da-DK"/>
        </w:rPr>
        <w:t xml:space="preserve"> er indiceret til parenteral ernæring til voksne, når oral eller </w:t>
      </w:r>
      <w:proofErr w:type="spellStart"/>
      <w:r w:rsidRPr="009369B9">
        <w:rPr>
          <w:sz w:val="24"/>
          <w:szCs w:val="24"/>
          <w:lang w:eastAsia="da-DK"/>
        </w:rPr>
        <w:t>enteral</w:t>
      </w:r>
      <w:proofErr w:type="spellEnd"/>
      <w:r w:rsidRPr="009369B9">
        <w:rPr>
          <w:sz w:val="24"/>
          <w:szCs w:val="24"/>
          <w:lang w:eastAsia="da-DK"/>
        </w:rPr>
        <w:t xml:space="preserve"> ernæring er umulig, utilstrækkelig eller kontraindiceret.</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4.2</w:t>
      </w:r>
      <w:r w:rsidRPr="009369B9">
        <w:rPr>
          <w:b/>
          <w:sz w:val="24"/>
          <w:szCs w:val="24"/>
        </w:rPr>
        <w:tab/>
        <w:t xml:space="preserve">Dosering og </w:t>
      </w:r>
      <w:r w:rsidR="00020D1E">
        <w:rPr>
          <w:b/>
          <w:sz w:val="24"/>
          <w:szCs w:val="24"/>
        </w:rPr>
        <w:t>administration</w:t>
      </w:r>
    </w:p>
    <w:p w:rsidR="00034077" w:rsidRPr="009369B9" w:rsidRDefault="00034077" w:rsidP="00034077">
      <w:pPr>
        <w:tabs>
          <w:tab w:val="left" w:pos="851"/>
        </w:tabs>
        <w:ind w:left="851"/>
        <w:rPr>
          <w:sz w:val="24"/>
          <w:szCs w:val="24"/>
          <w:lang w:eastAsia="da-DK"/>
        </w:rPr>
      </w:pPr>
      <w:r w:rsidRPr="009369B9">
        <w:rPr>
          <w:sz w:val="24"/>
          <w:szCs w:val="24"/>
          <w:lang w:eastAsia="da-DK"/>
        </w:rPr>
        <w:t>Udelukkende til engangsbrug.</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Det anbefales at bruge indholdet med det samme efter åbning af posen og ikke opbevare det til senere infusion.</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Se pkt. 6.6 for instruktioner vedrørende administration, forberedelse og håndtering af produktet.</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Dosering</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Dosis bør individualiseres afhængigt af energiforbrug, patientens kliniske tilstand, kropsvægt og evnen til at fordøje </w:t>
      </w:r>
      <w:proofErr w:type="spellStart"/>
      <w:r>
        <w:rPr>
          <w:sz w:val="24"/>
          <w:szCs w:val="24"/>
          <w:lang w:eastAsia="da-DK"/>
        </w:rPr>
        <w:t>Finomel</w:t>
      </w:r>
      <w:r w:rsidRPr="009369B9">
        <w:rPr>
          <w:sz w:val="24"/>
          <w:szCs w:val="24"/>
          <w:lang w:eastAsia="da-DK"/>
        </w:rPr>
        <w:t>s</w:t>
      </w:r>
      <w:proofErr w:type="spellEnd"/>
      <w:r w:rsidRPr="009369B9">
        <w:rPr>
          <w:sz w:val="24"/>
          <w:szCs w:val="24"/>
          <w:lang w:eastAsia="da-DK"/>
        </w:rPr>
        <w:t xml:space="preserve"> indholdsstoffer samt yderligere energi eller proteiner, der gives oralt/enteralt. Derfor bør posestørrelsen vælges i henhold hertil.</w:t>
      </w:r>
    </w:p>
    <w:p w:rsidR="00034077" w:rsidRDefault="00034077" w:rsidP="00034077">
      <w:pPr>
        <w:rPr>
          <w:sz w:val="24"/>
          <w:szCs w:val="24"/>
          <w:lang w:eastAsia="da-DK"/>
        </w:rPr>
      </w:pPr>
      <w:r>
        <w:rPr>
          <w:sz w:val="24"/>
          <w:szCs w:val="24"/>
          <w:lang w:eastAsia="da-DK"/>
        </w:rPr>
        <w:br w:type="page"/>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i/>
          <w:sz w:val="24"/>
          <w:szCs w:val="24"/>
          <w:lang w:eastAsia="da-DK"/>
        </w:rPr>
      </w:pPr>
      <w:r w:rsidRPr="009369B9">
        <w:rPr>
          <w:i/>
          <w:sz w:val="24"/>
          <w:szCs w:val="24"/>
          <w:lang w:eastAsia="da-DK"/>
        </w:rPr>
        <w:t>De gennemsnitlige daglige behov for voksne er</w:t>
      </w:r>
    </w:p>
    <w:p w:rsidR="00034077" w:rsidRPr="009369B9" w:rsidRDefault="00034077" w:rsidP="00034077">
      <w:pPr>
        <w:tabs>
          <w:tab w:val="left" w:pos="851"/>
        </w:tabs>
        <w:ind w:left="1301" w:hanging="450"/>
        <w:rPr>
          <w:sz w:val="24"/>
          <w:szCs w:val="24"/>
          <w:lang w:eastAsia="da-DK"/>
        </w:rPr>
      </w:pPr>
      <w:r w:rsidRPr="009369B9">
        <w:rPr>
          <w:sz w:val="24"/>
          <w:szCs w:val="24"/>
          <w:lang w:eastAsia="da-DK"/>
        </w:rPr>
        <w:t>-</w:t>
      </w:r>
      <w:r w:rsidRPr="009369B9">
        <w:rPr>
          <w:sz w:val="24"/>
          <w:szCs w:val="24"/>
          <w:lang w:eastAsia="da-DK"/>
        </w:rPr>
        <w:tab/>
        <w:t xml:space="preserve">For patienter med normal ernæringstilstand eller i en tilstand med mildt </w:t>
      </w:r>
      <w:proofErr w:type="spellStart"/>
      <w:r w:rsidRPr="009369B9">
        <w:rPr>
          <w:sz w:val="24"/>
          <w:szCs w:val="24"/>
          <w:lang w:eastAsia="da-DK"/>
        </w:rPr>
        <w:t>katabolisk</w:t>
      </w:r>
      <w:proofErr w:type="spellEnd"/>
      <w:r w:rsidRPr="009369B9">
        <w:rPr>
          <w:sz w:val="24"/>
          <w:szCs w:val="24"/>
          <w:lang w:eastAsia="da-DK"/>
        </w:rPr>
        <w:t xml:space="preserve"> stress: 0,6-0,9 g aminosyrer/kg kropsvægt/dag (0,10-0,15 g nitrogen/kg kropsvægt/dag).</w:t>
      </w:r>
    </w:p>
    <w:p w:rsidR="00034077" w:rsidRPr="009369B9" w:rsidRDefault="00034077" w:rsidP="00034077">
      <w:pPr>
        <w:tabs>
          <w:tab w:val="left" w:pos="851"/>
        </w:tabs>
        <w:ind w:left="1301" w:hanging="450"/>
        <w:rPr>
          <w:sz w:val="24"/>
          <w:szCs w:val="24"/>
          <w:lang w:eastAsia="da-DK"/>
        </w:rPr>
      </w:pPr>
      <w:r w:rsidRPr="009369B9">
        <w:rPr>
          <w:sz w:val="24"/>
          <w:szCs w:val="24"/>
          <w:lang w:eastAsia="da-DK"/>
        </w:rPr>
        <w:t>-</w:t>
      </w:r>
      <w:r w:rsidRPr="009369B9">
        <w:rPr>
          <w:sz w:val="24"/>
          <w:szCs w:val="24"/>
          <w:lang w:eastAsia="da-DK"/>
        </w:rPr>
        <w:tab/>
        <w:t>For patienter med moderat til højt metabolisk stress med eller uden fejlernæring: 0,9-1,6 g aminosyrer/kg kropsvægt/dag (0,15-0,25 g nitrogen/kg kropsvægt/dag).</w:t>
      </w:r>
    </w:p>
    <w:p w:rsidR="00034077" w:rsidRPr="009369B9" w:rsidRDefault="00034077" w:rsidP="00034077">
      <w:pPr>
        <w:tabs>
          <w:tab w:val="left" w:pos="851"/>
        </w:tabs>
        <w:ind w:left="1301" w:hanging="450"/>
        <w:rPr>
          <w:sz w:val="24"/>
          <w:szCs w:val="24"/>
          <w:lang w:eastAsia="da-DK"/>
        </w:rPr>
      </w:pPr>
      <w:r w:rsidRPr="009369B9">
        <w:rPr>
          <w:sz w:val="24"/>
          <w:szCs w:val="24"/>
          <w:lang w:eastAsia="da-DK"/>
        </w:rPr>
        <w:t>-</w:t>
      </w:r>
      <w:r w:rsidRPr="009369B9">
        <w:rPr>
          <w:sz w:val="24"/>
          <w:szCs w:val="24"/>
          <w:lang w:eastAsia="da-DK"/>
        </w:rPr>
        <w:tab/>
        <w:t>For patienter med særlige tilstande (f.eks. forbrændinger eller markant anabolisme) kan nitrogenbehovet være endnu højere.</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Den maksimale daglige dosis varierer med patientens tilstand og kan ændres fra dag til dag. </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Indgivelseshastigheden bør øges gradvist i løbet af den første time. </w:t>
      </w:r>
    </w:p>
    <w:p w:rsidR="00034077" w:rsidRPr="009369B9" w:rsidRDefault="00034077" w:rsidP="00034077">
      <w:pPr>
        <w:tabs>
          <w:tab w:val="left" w:pos="851"/>
        </w:tabs>
        <w:ind w:left="851"/>
        <w:rPr>
          <w:sz w:val="24"/>
          <w:szCs w:val="24"/>
          <w:lang w:eastAsia="da-DK"/>
        </w:rPr>
      </w:pPr>
      <w:r w:rsidRPr="009369B9">
        <w:rPr>
          <w:sz w:val="24"/>
          <w:szCs w:val="24"/>
          <w:lang w:eastAsia="da-DK"/>
        </w:rPr>
        <w:t>Indgivelseshastigheden ved administrationen skal justeres i forhold til den indgivne dosis, den daglige indgivne mængde og infusionens varighed. (se pkt. 4.9).</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Den anbefalede infusionstid er 14-24 timer.</w:t>
      </w:r>
    </w:p>
    <w:p w:rsidR="00034077" w:rsidRPr="009369B9" w:rsidRDefault="00034077" w:rsidP="00034077">
      <w:pPr>
        <w:tabs>
          <w:tab w:val="left" w:pos="851"/>
        </w:tabs>
        <w:ind w:left="851"/>
        <w:rPr>
          <w:sz w:val="24"/>
          <w:szCs w:val="24"/>
          <w:lang w:eastAsia="da-DK"/>
        </w:rPr>
      </w:pPr>
    </w:p>
    <w:p w:rsidR="00034077" w:rsidRPr="00731123" w:rsidRDefault="00034077" w:rsidP="00034077">
      <w:pPr>
        <w:tabs>
          <w:tab w:val="left" w:pos="851"/>
        </w:tabs>
        <w:ind w:left="851"/>
        <w:rPr>
          <w:sz w:val="24"/>
          <w:szCs w:val="24"/>
          <w:lang w:eastAsia="da-DK"/>
        </w:rPr>
      </w:pPr>
      <w:r w:rsidRPr="00731123">
        <w:rPr>
          <w:sz w:val="24"/>
          <w:szCs w:val="24"/>
          <w:lang w:eastAsia="da-DK"/>
        </w:rPr>
        <w:t>Doseringsområdet på 13-31 ml/kg kropsvægt/dag vil bidrage med 0,7-1,6 g aminosyrer/kg kropsvægt/dag (svarende til 0,11-0,26 g nitrogen/kg kropsvægt/dag) og 14-33 kcal/kg kropsvægt/dag af samlet energi (11-27 kcal/kg kropsvægt/dag af non-protein-energi).</w:t>
      </w:r>
    </w:p>
    <w:p w:rsidR="00034077" w:rsidRPr="00731123" w:rsidRDefault="00034077" w:rsidP="00034077">
      <w:pPr>
        <w:tabs>
          <w:tab w:val="left" w:pos="851"/>
        </w:tabs>
        <w:ind w:left="851"/>
        <w:rPr>
          <w:sz w:val="24"/>
          <w:szCs w:val="24"/>
          <w:lang w:eastAsia="da-DK"/>
        </w:rPr>
      </w:pPr>
    </w:p>
    <w:p w:rsidR="00034077" w:rsidRPr="00731123" w:rsidRDefault="00034077" w:rsidP="00034077">
      <w:pPr>
        <w:tabs>
          <w:tab w:val="left" w:pos="851"/>
        </w:tabs>
        <w:ind w:left="851"/>
        <w:rPr>
          <w:sz w:val="24"/>
          <w:szCs w:val="24"/>
          <w:lang w:eastAsia="da-DK"/>
        </w:rPr>
      </w:pPr>
      <w:r w:rsidRPr="00731123">
        <w:rPr>
          <w:sz w:val="24"/>
          <w:szCs w:val="24"/>
          <w:lang w:eastAsia="da-DK"/>
        </w:rPr>
        <w:t xml:space="preserve">Den maksimale infusionshastighed for </w:t>
      </w:r>
      <w:proofErr w:type="spellStart"/>
      <w:r w:rsidRPr="00731123">
        <w:rPr>
          <w:sz w:val="24"/>
          <w:szCs w:val="24"/>
          <w:lang w:eastAsia="da-DK"/>
        </w:rPr>
        <w:t>glucose</w:t>
      </w:r>
      <w:proofErr w:type="spellEnd"/>
      <w:r w:rsidRPr="00731123">
        <w:rPr>
          <w:sz w:val="24"/>
          <w:szCs w:val="24"/>
          <w:lang w:eastAsia="da-DK"/>
        </w:rPr>
        <w:t xml:space="preserve"> er 0,25 g/kg kropsvægt/time, for aminosyrer 0,1 g/kg kropsvægt/time, og for fedtstoffer 0,15 g/kg kropsvægt/time.</w:t>
      </w:r>
    </w:p>
    <w:p w:rsidR="00034077" w:rsidRPr="00731123" w:rsidRDefault="00034077" w:rsidP="00034077">
      <w:pPr>
        <w:tabs>
          <w:tab w:val="left" w:pos="851"/>
        </w:tabs>
        <w:ind w:left="851"/>
        <w:rPr>
          <w:sz w:val="24"/>
          <w:szCs w:val="24"/>
          <w:lang w:eastAsia="da-DK"/>
        </w:rPr>
      </w:pPr>
    </w:p>
    <w:p w:rsidR="00034077" w:rsidRPr="00731123" w:rsidRDefault="00034077" w:rsidP="00034077">
      <w:pPr>
        <w:tabs>
          <w:tab w:val="left" w:pos="851"/>
        </w:tabs>
        <w:ind w:left="851"/>
        <w:rPr>
          <w:sz w:val="24"/>
          <w:szCs w:val="24"/>
          <w:lang w:eastAsia="da-DK"/>
        </w:rPr>
      </w:pPr>
      <w:r w:rsidRPr="00731123">
        <w:rPr>
          <w:sz w:val="24"/>
          <w:szCs w:val="24"/>
          <w:lang w:eastAsia="da-DK"/>
        </w:rPr>
        <w:t xml:space="preserve">Infusionshastigheden bør ikke overskride 2,0 ml/kg kropsvægt/time (svarende til 0,10 g aminosyrer, 0,25 g </w:t>
      </w:r>
      <w:proofErr w:type="spellStart"/>
      <w:r w:rsidRPr="00731123">
        <w:rPr>
          <w:sz w:val="24"/>
          <w:szCs w:val="24"/>
          <w:lang w:eastAsia="da-DK"/>
        </w:rPr>
        <w:t>glucose</w:t>
      </w:r>
      <w:proofErr w:type="spellEnd"/>
      <w:r w:rsidRPr="00731123">
        <w:rPr>
          <w:sz w:val="24"/>
          <w:szCs w:val="24"/>
          <w:lang w:eastAsia="da-DK"/>
        </w:rPr>
        <w:t xml:space="preserve"> og 0,08 g fedtstof/kg kropsvægt/time). </w:t>
      </w:r>
    </w:p>
    <w:p w:rsidR="00034077" w:rsidRPr="00731123" w:rsidRDefault="00034077" w:rsidP="00034077">
      <w:pPr>
        <w:tabs>
          <w:tab w:val="left" w:pos="851"/>
        </w:tabs>
        <w:ind w:left="851"/>
        <w:rPr>
          <w:sz w:val="24"/>
          <w:szCs w:val="24"/>
          <w:lang w:eastAsia="da-DK"/>
        </w:rPr>
      </w:pPr>
    </w:p>
    <w:p w:rsidR="00034077" w:rsidRPr="00731123" w:rsidRDefault="00034077" w:rsidP="00034077">
      <w:pPr>
        <w:tabs>
          <w:tab w:val="left" w:pos="851"/>
        </w:tabs>
        <w:ind w:left="851"/>
        <w:rPr>
          <w:sz w:val="24"/>
          <w:szCs w:val="24"/>
          <w:lang w:eastAsia="da-DK"/>
        </w:rPr>
      </w:pPr>
      <w:r w:rsidRPr="00731123">
        <w:rPr>
          <w:sz w:val="24"/>
          <w:szCs w:val="24"/>
          <w:lang w:eastAsia="da-DK"/>
        </w:rPr>
        <w:t xml:space="preserve">Den anbefalede maksimale daglige dosis er 35 ml/kg kropsvægt/dag, hvilket vil bidrage med 1,8 g aminosyrer/kg kropsvægt/dag (svarende til 0,29 g nitrogen/kg kropsvægt/dag), 4,5 g </w:t>
      </w:r>
      <w:proofErr w:type="spellStart"/>
      <w:r w:rsidRPr="00731123">
        <w:rPr>
          <w:sz w:val="24"/>
          <w:szCs w:val="24"/>
          <w:lang w:eastAsia="da-DK"/>
        </w:rPr>
        <w:t>glucose</w:t>
      </w:r>
      <w:proofErr w:type="spellEnd"/>
      <w:r w:rsidRPr="00731123">
        <w:rPr>
          <w:sz w:val="24"/>
          <w:szCs w:val="24"/>
          <w:lang w:eastAsia="da-DK"/>
        </w:rPr>
        <w:t>/kg kropsvægt/dag, 1,40 g fedtstof/kg kropsvægt/dag og et totalt energiindhold på 38 kcal/kg kropsvægt/dag (svarende til 30 kcal/kg kropsvægt/dag af non-protein-energi).</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i/>
          <w:sz w:val="24"/>
          <w:szCs w:val="24"/>
          <w:lang w:eastAsia="da-DK"/>
        </w:rPr>
      </w:pPr>
      <w:r w:rsidRPr="009369B9">
        <w:rPr>
          <w:i/>
          <w:sz w:val="24"/>
          <w:szCs w:val="24"/>
          <w:lang w:eastAsia="da-DK"/>
        </w:rPr>
        <w:t>Pædiatrisk population</w:t>
      </w:r>
    </w:p>
    <w:p w:rsidR="00034077" w:rsidRPr="009369B9" w:rsidRDefault="00034077" w:rsidP="00034077">
      <w:pPr>
        <w:tabs>
          <w:tab w:val="left" w:pos="851"/>
        </w:tabs>
        <w:ind w:left="851"/>
        <w:rPr>
          <w:sz w:val="24"/>
          <w:szCs w:val="24"/>
          <w:lang w:eastAsia="da-DK"/>
        </w:rPr>
      </w:pPr>
      <w:proofErr w:type="spellStart"/>
      <w:r>
        <w:rPr>
          <w:sz w:val="24"/>
          <w:szCs w:val="24"/>
          <w:lang w:eastAsia="da-DK"/>
        </w:rPr>
        <w:t>Finomel</w:t>
      </w:r>
      <w:r w:rsidRPr="009369B9">
        <w:rPr>
          <w:sz w:val="24"/>
          <w:szCs w:val="24"/>
          <w:lang w:eastAsia="da-DK"/>
        </w:rPr>
        <w:t>s</w:t>
      </w:r>
      <w:proofErr w:type="spellEnd"/>
      <w:r w:rsidRPr="009369B9">
        <w:rPr>
          <w:sz w:val="24"/>
          <w:szCs w:val="24"/>
          <w:lang w:eastAsia="da-DK"/>
        </w:rPr>
        <w:t xml:space="preserve"> sikkerhed og virkning hos børn og unge i alderen under 18 år er ikke klarlagt.</w:t>
      </w:r>
    </w:p>
    <w:p w:rsidR="00034077" w:rsidRPr="009369B9" w:rsidRDefault="00034077" w:rsidP="00034077">
      <w:pPr>
        <w:tabs>
          <w:tab w:val="left" w:pos="851"/>
        </w:tabs>
        <w:ind w:left="851"/>
        <w:rPr>
          <w:sz w:val="24"/>
          <w:szCs w:val="24"/>
          <w:lang w:eastAsia="da-DK"/>
        </w:rPr>
      </w:pPr>
      <w:r w:rsidRPr="009369B9">
        <w:rPr>
          <w:sz w:val="24"/>
          <w:szCs w:val="24"/>
          <w:lang w:eastAsia="da-DK"/>
        </w:rPr>
        <w:t>Der foreligger ingen data.</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i/>
          <w:sz w:val="24"/>
          <w:szCs w:val="24"/>
          <w:lang w:eastAsia="da-DK"/>
        </w:rPr>
      </w:pPr>
      <w:r w:rsidRPr="009369B9">
        <w:rPr>
          <w:i/>
          <w:sz w:val="24"/>
          <w:szCs w:val="24"/>
          <w:lang w:eastAsia="da-DK"/>
        </w:rPr>
        <w:t xml:space="preserve">Patienter med nedsat nyre-/leverfunktion </w:t>
      </w:r>
    </w:p>
    <w:p w:rsidR="00034077" w:rsidRPr="009369B9" w:rsidRDefault="00034077" w:rsidP="00034077">
      <w:pPr>
        <w:tabs>
          <w:tab w:val="left" w:pos="851"/>
        </w:tabs>
        <w:ind w:left="851"/>
        <w:rPr>
          <w:sz w:val="24"/>
          <w:szCs w:val="24"/>
          <w:lang w:eastAsia="da-DK"/>
        </w:rPr>
      </w:pPr>
      <w:r w:rsidRPr="009369B9">
        <w:rPr>
          <w:sz w:val="24"/>
          <w:szCs w:val="24"/>
          <w:lang w:eastAsia="da-DK"/>
        </w:rPr>
        <w:t>Dosis bør tilpasses i henhold til patientens kliniske tilstand (se pkt. 4.4).</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 xml:space="preserve">Administration </w:t>
      </w:r>
    </w:p>
    <w:p w:rsidR="00034077" w:rsidRPr="009369B9" w:rsidRDefault="00034077" w:rsidP="00034077">
      <w:pPr>
        <w:tabs>
          <w:tab w:val="left" w:pos="851"/>
        </w:tabs>
        <w:ind w:left="851"/>
        <w:rPr>
          <w:sz w:val="24"/>
          <w:szCs w:val="24"/>
          <w:lang w:eastAsia="da-DK"/>
        </w:rPr>
      </w:pPr>
      <w:r w:rsidRPr="009369B9">
        <w:rPr>
          <w:sz w:val="24"/>
          <w:szCs w:val="24"/>
          <w:lang w:eastAsia="da-DK"/>
        </w:rPr>
        <w:t>Intravenøs a</w:t>
      </w:r>
      <w:r>
        <w:rPr>
          <w:sz w:val="24"/>
          <w:szCs w:val="24"/>
          <w:lang w:eastAsia="da-DK"/>
        </w:rPr>
        <w:t xml:space="preserve">nvendelse, infusion ind i en </w:t>
      </w:r>
      <w:r w:rsidRPr="009369B9">
        <w:rPr>
          <w:sz w:val="24"/>
          <w:szCs w:val="24"/>
          <w:lang w:eastAsia="da-DK"/>
        </w:rPr>
        <w:t>central vene.</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For instruktioner om </w:t>
      </w:r>
      <w:proofErr w:type="spellStart"/>
      <w:r w:rsidRPr="009369B9">
        <w:rPr>
          <w:sz w:val="24"/>
          <w:szCs w:val="24"/>
          <w:lang w:eastAsia="da-DK"/>
        </w:rPr>
        <w:t>rekonstitution</w:t>
      </w:r>
      <w:proofErr w:type="spellEnd"/>
      <w:r w:rsidRPr="009369B9">
        <w:rPr>
          <w:sz w:val="24"/>
          <w:szCs w:val="24"/>
          <w:lang w:eastAsia="da-DK"/>
        </w:rPr>
        <w:t xml:space="preserve"> af lægemidlet før administration, se pkt. 6.6.</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For information omkring blanding med andre infusioner/blod før eller under administration, se pkt. 4.5 og 6.6.</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lastRenderedPageBreak/>
        <w:t>4.3</w:t>
      </w:r>
      <w:r w:rsidRPr="009369B9">
        <w:rPr>
          <w:b/>
          <w:sz w:val="24"/>
          <w:szCs w:val="24"/>
        </w:rPr>
        <w:tab/>
        <w:t>Kontraindikationer</w:t>
      </w:r>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Overfølsomhed over for proteiner fra fisk, æg, sojabønner, peanuts, over for majs/majsprodukter (se pkt. 4.4) eller over for et eller flere af de aktive stoffer eller hjælpestoffer anført i pkt. 6.1</w:t>
      </w:r>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Alvorlig </w:t>
      </w:r>
      <w:proofErr w:type="spellStart"/>
      <w:r w:rsidRPr="009369B9">
        <w:rPr>
          <w:sz w:val="24"/>
          <w:szCs w:val="24"/>
          <w:lang w:eastAsia="da-DK"/>
        </w:rPr>
        <w:t>hyperlipidæmi</w:t>
      </w:r>
      <w:proofErr w:type="spellEnd"/>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Stærkt nedsat leverfunktion</w:t>
      </w:r>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Alvorlige blodkoaguleringsforstyrrelser</w:t>
      </w:r>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Medfødte anomalier i </w:t>
      </w:r>
      <w:proofErr w:type="spellStart"/>
      <w:r w:rsidRPr="009369B9">
        <w:rPr>
          <w:sz w:val="24"/>
          <w:szCs w:val="24"/>
          <w:lang w:eastAsia="da-DK"/>
        </w:rPr>
        <w:t>metaboliseringen</w:t>
      </w:r>
      <w:proofErr w:type="spellEnd"/>
      <w:r w:rsidRPr="009369B9">
        <w:rPr>
          <w:sz w:val="24"/>
          <w:szCs w:val="24"/>
          <w:lang w:eastAsia="da-DK"/>
        </w:rPr>
        <w:t xml:space="preserve"> af aminosyrer</w:t>
      </w:r>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Stærkt nedsat nyrefunktion uden adgang til </w:t>
      </w:r>
      <w:proofErr w:type="spellStart"/>
      <w:r w:rsidRPr="009369B9">
        <w:rPr>
          <w:sz w:val="24"/>
          <w:szCs w:val="24"/>
          <w:lang w:eastAsia="da-DK"/>
        </w:rPr>
        <w:t>hæmofiltrering</w:t>
      </w:r>
      <w:proofErr w:type="spellEnd"/>
      <w:r w:rsidRPr="009369B9">
        <w:rPr>
          <w:sz w:val="24"/>
          <w:szCs w:val="24"/>
          <w:lang w:eastAsia="da-DK"/>
        </w:rPr>
        <w:t xml:space="preserve"> eller dialyse</w:t>
      </w:r>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Ukontrolleret </w:t>
      </w:r>
      <w:proofErr w:type="spellStart"/>
      <w:r w:rsidRPr="009369B9">
        <w:rPr>
          <w:sz w:val="24"/>
          <w:szCs w:val="24"/>
          <w:lang w:eastAsia="da-DK"/>
        </w:rPr>
        <w:t>hyperglykæmi</w:t>
      </w:r>
      <w:proofErr w:type="spellEnd"/>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Patologisk forhøjede serumniveauer for alle de inkluderede elektrolytter</w:t>
      </w:r>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Generelle kontraindikationer for infusionsbehandling: akut </w:t>
      </w:r>
      <w:proofErr w:type="spellStart"/>
      <w:r w:rsidRPr="009369B9">
        <w:rPr>
          <w:sz w:val="24"/>
          <w:szCs w:val="24"/>
          <w:lang w:eastAsia="da-DK"/>
        </w:rPr>
        <w:t>pulmonalt</w:t>
      </w:r>
      <w:proofErr w:type="spellEnd"/>
      <w:r w:rsidRPr="009369B9">
        <w:rPr>
          <w:sz w:val="24"/>
          <w:szCs w:val="24"/>
          <w:lang w:eastAsia="da-DK"/>
        </w:rPr>
        <w:t xml:space="preserve"> ødem, </w:t>
      </w:r>
      <w:proofErr w:type="spellStart"/>
      <w:r w:rsidRPr="009369B9">
        <w:rPr>
          <w:sz w:val="24"/>
          <w:szCs w:val="24"/>
          <w:lang w:eastAsia="da-DK"/>
        </w:rPr>
        <w:t>hyperhydration</w:t>
      </w:r>
      <w:proofErr w:type="spellEnd"/>
      <w:r w:rsidRPr="009369B9">
        <w:rPr>
          <w:sz w:val="24"/>
          <w:szCs w:val="24"/>
          <w:lang w:eastAsia="da-DK"/>
        </w:rPr>
        <w:t xml:space="preserve"> og </w:t>
      </w:r>
      <w:proofErr w:type="spellStart"/>
      <w:r w:rsidRPr="009369B9">
        <w:rPr>
          <w:sz w:val="24"/>
          <w:szCs w:val="24"/>
          <w:lang w:eastAsia="da-DK"/>
        </w:rPr>
        <w:t>dekompenseret</w:t>
      </w:r>
      <w:proofErr w:type="spellEnd"/>
      <w:r w:rsidRPr="009369B9">
        <w:rPr>
          <w:sz w:val="24"/>
          <w:szCs w:val="24"/>
          <w:lang w:eastAsia="da-DK"/>
        </w:rPr>
        <w:t xml:space="preserve"> hjerteinsufficiens</w:t>
      </w:r>
    </w:p>
    <w:p w:rsidR="00034077" w:rsidRPr="009369B9" w:rsidRDefault="00034077" w:rsidP="00034077">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Ustabile tilstande (f.eks. alvorlige </w:t>
      </w:r>
      <w:proofErr w:type="spellStart"/>
      <w:r w:rsidRPr="009369B9">
        <w:rPr>
          <w:sz w:val="24"/>
          <w:szCs w:val="24"/>
          <w:lang w:eastAsia="da-DK"/>
        </w:rPr>
        <w:t>post-traumatiske</w:t>
      </w:r>
      <w:proofErr w:type="spellEnd"/>
      <w:r w:rsidRPr="009369B9">
        <w:rPr>
          <w:sz w:val="24"/>
          <w:szCs w:val="24"/>
          <w:lang w:eastAsia="da-DK"/>
        </w:rPr>
        <w:t xml:space="preserve"> tilstande, </w:t>
      </w:r>
      <w:proofErr w:type="spellStart"/>
      <w:r w:rsidRPr="009369B9">
        <w:rPr>
          <w:sz w:val="24"/>
          <w:szCs w:val="24"/>
          <w:lang w:eastAsia="da-DK"/>
        </w:rPr>
        <w:t>ukompenseret</w:t>
      </w:r>
      <w:proofErr w:type="spellEnd"/>
      <w:r w:rsidRPr="009369B9">
        <w:rPr>
          <w:sz w:val="24"/>
          <w:szCs w:val="24"/>
          <w:lang w:eastAsia="da-DK"/>
        </w:rPr>
        <w:t xml:space="preserve"> diabetes mellitus, akut myokardieinfarkt, slagtilfælde, </w:t>
      </w:r>
      <w:proofErr w:type="spellStart"/>
      <w:r w:rsidRPr="009369B9">
        <w:rPr>
          <w:sz w:val="24"/>
          <w:szCs w:val="24"/>
          <w:lang w:eastAsia="da-DK"/>
        </w:rPr>
        <w:t>embolisme</w:t>
      </w:r>
      <w:proofErr w:type="spellEnd"/>
      <w:r w:rsidRPr="009369B9">
        <w:rPr>
          <w:sz w:val="24"/>
          <w:szCs w:val="24"/>
          <w:lang w:eastAsia="da-DK"/>
        </w:rPr>
        <w:t xml:space="preserve">, metabolisk </w:t>
      </w:r>
      <w:proofErr w:type="spellStart"/>
      <w:r w:rsidRPr="009369B9">
        <w:rPr>
          <w:sz w:val="24"/>
          <w:szCs w:val="24"/>
          <w:lang w:eastAsia="da-DK"/>
        </w:rPr>
        <w:t>acidose</w:t>
      </w:r>
      <w:proofErr w:type="spellEnd"/>
      <w:r w:rsidRPr="009369B9">
        <w:rPr>
          <w:sz w:val="24"/>
          <w:szCs w:val="24"/>
          <w:lang w:eastAsia="da-DK"/>
        </w:rPr>
        <w:t xml:space="preserve">, alvorlig sepsis, </w:t>
      </w:r>
      <w:proofErr w:type="spellStart"/>
      <w:r w:rsidRPr="009369B9">
        <w:rPr>
          <w:sz w:val="24"/>
          <w:szCs w:val="24"/>
          <w:lang w:eastAsia="da-DK"/>
        </w:rPr>
        <w:t>hypotonisk</w:t>
      </w:r>
      <w:proofErr w:type="spellEnd"/>
      <w:r w:rsidRPr="009369B9">
        <w:rPr>
          <w:sz w:val="24"/>
          <w:szCs w:val="24"/>
          <w:lang w:eastAsia="da-DK"/>
        </w:rPr>
        <w:t xml:space="preserve"> dehydrering og </w:t>
      </w:r>
      <w:proofErr w:type="spellStart"/>
      <w:r w:rsidRPr="009369B9">
        <w:rPr>
          <w:sz w:val="24"/>
          <w:szCs w:val="24"/>
          <w:lang w:eastAsia="da-DK"/>
        </w:rPr>
        <w:t>hyperosmolær</w:t>
      </w:r>
      <w:proofErr w:type="spellEnd"/>
      <w:r w:rsidRPr="009369B9">
        <w:rPr>
          <w:sz w:val="24"/>
          <w:szCs w:val="24"/>
          <w:lang w:eastAsia="da-DK"/>
        </w:rPr>
        <w:t xml:space="preserve"> koma)</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4.4</w:t>
      </w:r>
      <w:r w:rsidRPr="009369B9">
        <w:rPr>
          <w:b/>
          <w:sz w:val="24"/>
          <w:szCs w:val="24"/>
        </w:rPr>
        <w:tab/>
        <w:t>Særlige advarsler og forsigtighedsregler vedrørende brugen</w:t>
      </w:r>
    </w:p>
    <w:p w:rsidR="00034077" w:rsidRPr="00A04C1C" w:rsidRDefault="00034077" w:rsidP="00034077">
      <w:pPr>
        <w:tabs>
          <w:tab w:val="left" w:pos="851"/>
        </w:tabs>
        <w:ind w:left="851"/>
        <w:rPr>
          <w:sz w:val="24"/>
          <w:szCs w:val="24"/>
          <w:lang w:eastAsia="da-DK"/>
        </w:rPr>
      </w:pPr>
      <w:r w:rsidRPr="00A04C1C">
        <w:rPr>
          <w:sz w:val="24"/>
          <w:szCs w:val="24"/>
          <w:lang w:eastAsia="da-DK"/>
        </w:rPr>
        <w:t>Må kun blive administreret gennem en centralvene.</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 xml:space="preserve">Overfølsomhed eller </w:t>
      </w:r>
      <w:proofErr w:type="spellStart"/>
      <w:r w:rsidRPr="009369B9">
        <w:rPr>
          <w:sz w:val="24"/>
          <w:szCs w:val="24"/>
          <w:u w:val="single"/>
          <w:lang w:eastAsia="da-DK"/>
        </w:rPr>
        <w:t>anafylaktisk</w:t>
      </w:r>
      <w:proofErr w:type="spellEnd"/>
      <w:r w:rsidRPr="009369B9">
        <w:rPr>
          <w:sz w:val="24"/>
          <w:szCs w:val="24"/>
          <w:u w:val="single"/>
          <w:lang w:eastAsia="da-DK"/>
        </w:rPr>
        <w:t xml:space="preserve"> reaktion</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Infusionen skal straks afbrydes, hvis der opstår tegn eller symptomer på en allergisk reaktion (såsom feber, kulderystelser, hududslæt eller dyspnø). </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proofErr w:type="spellStart"/>
      <w:r>
        <w:rPr>
          <w:sz w:val="24"/>
          <w:szCs w:val="24"/>
          <w:lang w:eastAsia="da-DK"/>
        </w:rPr>
        <w:t>Finomel</w:t>
      </w:r>
      <w:proofErr w:type="spellEnd"/>
      <w:r w:rsidRPr="009369B9">
        <w:rPr>
          <w:sz w:val="24"/>
          <w:szCs w:val="24"/>
          <w:lang w:eastAsia="da-DK"/>
        </w:rPr>
        <w:t xml:space="preserve"> indeholder sojabønneolie, fiskeolie og </w:t>
      </w:r>
      <w:proofErr w:type="spellStart"/>
      <w:r w:rsidRPr="009369B9">
        <w:rPr>
          <w:sz w:val="24"/>
          <w:szCs w:val="24"/>
          <w:lang w:eastAsia="da-DK"/>
        </w:rPr>
        <w:t>phospholipider</w:t>
      </w:r>
      <w:proofErr w:type="spellEnd"/>
      <w:r w:rsidRPr="009369B9">
        <w:rPr>
          <w:sz w:val="24"/>
          <w:szCs w:val="24"/>
          <w:lang w:eastAsia="da-DK"/>
        </w:rPr>
        <w:t xml:space="preserve"> fra æg, der i sjældne tilfælde kan give allergiske reaktioner. Krydsallergiske reaktioner er blevet observeret mellem sojabønner og peanuts.</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proofErr w:type="spellStart"/>
      <w:r>
        <w:rPr>
          <w:sz w:val="24"/>
          <w:szCs w:val="24"/>
          <w:lang w:eastAsia="da-DK"/>
        </w:rPr>
        <w:t>Finomel</w:t>
      </w:r>
      <w:proofErr w:type="spellEnd"/>
      <w:r w:rsidRPr="009369B9">
        <w:rPr>
          <w:sz w:val="24"/>
          <w:szCs w:val="24"/>
          <w:lang w:eastAsia="da-DK"/>
        </w:rPr>
        <w:t xml:space="preserve"> indeholder </w:t>
      </w:r>
      <w:proofErr w:type="spellStart"/>
      <w:r w:rsidRPr="009369B9">
        <w:rPr>
          <w:sz w:val="24"/>
          <w:szCs w:val="24"/>
          <w:lang w:eastAsia="da-DK"/>
        </w:rPr>
        <w:t>glucose</w:t>
      </w:r>
      <w:proofErr w:type="spellEnd"/>
      <w:r w:rsidRPr="009369B9">
        <w:rPr>
          <w:sz w:val="24"/>
          <w:szCs w:val="24"/>
          <w:lang w:eastAsia="da-DK"/>
        </w:rPr>
        <w:t xml:space="preserve"> udvundet fra majs, som kan forårsage en allergisk reaktion hos patienter med allergi over for majs/majsprodukter (se pkt. 4.3).</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proofErr w:type="spellStart"/>
      <w:r w:rsidRPr="009369B9">
        <w:rPr>
          <w:sz w:val="24"/>
          <w:szCs w:val="24"/>
          <w:u w:val="single"/>
          <w:lang w:eastAsia="da-DK"/>
        </w:rPr>
        <w:t>Pulmonale</w:t>
      </w:r>
      <w:proofErr w:type="spellEnd"/>
      <w:r w:rsidRPr="009369B9">
        <w:rPr>
          <w:sz w:val="24"/>
          <w:szCs w:val="24"/>
          <w:u w:val="single"/>
          <w:lang w:eastAsia="da-DK"/>
        </w:rPr>
        <w:t xml:space="preserve"> </w:t>
      </w:r>
      <w:proofErr w:type="spellStart"/>
      <w:r w:rsidRPr="009369B9">
        <w:rPr>
          <w:sz w:val="24"/>
          <w:szCs w:val="24"/>
          <w:u w:val="single"/>
          <w:lang w:eastAsia="da-DK"/>
        </w:rPr>
        <w:t>vaskulære</w:t>
      </w:r>
      <w:proofErr w:type="spellEnd"/>
      <w:r w:rsidRPr="009369B9">
        <w:rPr>
          <w:sz w:val="24"/>
          <w:szCs w:val="24"/>
          <w:u w:val="single"/>
          <w:lang w:eastAsia="da-DK"/>
        </w:rPr>
        <w:t xml:space="preserve"> udfældninger</w:t>
      </w:r>
    </w:p>
    <w:p w:rsidR="00034077" w:rsidRPr="009369B9" w:rsidRDefault="00034077" w:rsidP="00034077">
      <w:pPr>
        <w:tabs>
          <w:tab w:val="left" w:pos="851"/>
        </w:tabs>
        <w:ind w:left="851"/>
        <w:rPr>
          <w:sz w:val="24"/>
          <w:szCs w:val="24"/>
          <w:lang w:eastAsia="da-DK"/>
        </w:rPr>
      </w:pPr>
      <w:proofErr w:type="spellStart"/>
      <w:r w:rsidRPr="009369B9">
        <w:rPr>
          <w:sz w:val="24"/>
          <w:szCs w:val="24"/>
          <w:lang w:eastAsia="da-DK"/>
        </w:rPr>
        <w:t>Pulmonale</w:t>
      </w:r>
      <w:proofErr w:type="spellEnd"/>
      <w:r w:rsidRPr="009369B9">
        <w:rPr>
          <w:sz w:val="24"/>
          <w:szCs w:val="24"/>
          <w:lang w:eastAsia="da-DK"/>
        </w:rPr>
        <w:t xml:space="preserve"> </w:t>
      </w:r>
      <w:proofErr w:type="spellStart"/>
      <w:r w:rsidRPr="009369B9">
        <w:rPr>
          <w:sz w:val="24"/>
          <w:szCs w:val="24"/>
          <w:lang w:eastAsia="da-DK"/>
        </w:rPr>
        <w:t>vaskulære</w:t>
      </w:r>
      <w:proofErr w:type="spellEnd"/>
      <w:r w:rsidRPr="009369B9">
        <w:rPr>
          <w:sz w:val="24"/>
          <w:szCs w:val="24"/>
          <w:lang w:eastAsia="da-DK"/>
        </w:rPr>
        <w:t xml:space="preserve"> udfældninger, som medførte </w:t>
      </w:r>
      <w:proofErr w:type="spellStart"/>
      <w:r w:rsidRPr="009369B9">
        <w:rPr>
          <w:sz w:val="24"/>
          <w:szCs w:val="24"/>
          <w:lang w:eastAsia="da-DK"/>
        </w:rPr>
        <w:t>pulmonal</w:t>
      </w:r>
      <w:proofErr w:type="spellEnd"/>
      <w:r w:rsidRPr="009369B9">
        <w:rPr>
          <w:sz w:val="24"/>
          <w:szCs w:val="24"/>
          <w:lang w:eastAsia="da-DK"/>
        </w:rPr>
        <w:t xml:space="preserve"> </w:t>
      </w:r>
      <w:proofErr w:type="spellStart"/>
      <w:r w:rsidRPr="009369B9">
        <w:rPr>
          <w:sz w:val="24"/>
          <w:szCs w:val="24"/>
          <w:lang w:eastAsia="da-DK"/>
        </w:rPr>
        <w:t>vaskulær</w:t>
      </w:r>
      <w:proofErr w:type="spellEnd"/>
      <w:r w:rsidRPr="009369B9">
        <w:rPr>
          <w:sz w:val="24"/>
          <w:szCs w:val="24"/>
          <w:lang w:eastAsia="da-DK"/>
        </w:rPr>
        <w:t xml:space="preserve"> </w:t>
      </w:r>
      <w:proofErr w:type="spellStart"/>
      <w:r w:rsidRPr="009369B9">
        <w:rPr>
          <w:sz w:val="24"/>
          <w:szCs w:val="24"/>
          <w:lang w:eastAsia="da-DK"/>
        </w:rPr>
        <w:t>emboli</w:t>
      </w:r>
      <w:proofErr w:type="spellEnd"/>
      <w:r w:rsidRPr="009369B9">
        <w:rPr>
          <w:sz w:val="24"/>
          <w:szCs w:val="24"/>
          <w:lang w:eastAsia="da-DK"/>
        </w:rPr>
        <w:t xml:space="preserve"> og </w:t>
      </w:r>
      <w:proofErr w:type="spellStart"/>
      <w:r w:rsidRPr="009369B9">
        <w:rPr>
          <w:sz w:val="24"/>
          <w:szCs w:val="24"/>
          <w:lang w:eastAsia="da-DK"/>
        </w:rPr>
        <w:t>pulmonær</w:t>
      </w:r>
      <w:proofErr w:type="spellEnd"/>
      <w:r w:rsidRPr="009369B9">
        <w:rPr>
          <w:sz w:val="24"/>
          <w:szCs w:val="24"/>
          <w:lang w:eastAsia="da-DK"/>
        </w:rPr>
        <w:t xml:space="preserve"> </w:t>
      </w:r>
      <w:proofErr w:type="spellStart"/>
      <w:r w:rsidRPr="009369B9">
        <w:rPr>
          <w:sz w:val="24"/>
          <w:szCs w:val="24"/>
          <w:lang w:eastAsia="da-DK"/>
        </w:rPr>
        <w:t>distress</w:t>
      </w:r>
      <w:proofErr w:type="spellEnd"/>
      <w:r w:rsidRPr="009369B9">
        <w:rPr>
          <w:sz w:val="24"/>
          <w:szCs w:val="24"/>
          <w:lang w:eastAsia="da-DK"/>
        </w:rPr>
        <w:t xml:space="preserve">, er blevet rapporteret hos patienter, som modtog parenteral ernæring. I nogle tilfælde har det haft dødelig udgang. Uforholdsmæssig tilsætning af calcium og </w:t>
      </w:r>
      <w:proofErr w:type="spellStart"/>
      <w:r w:rsidRPr="009369B9">
        <w:rPr>
          <w:sz w:val="24"/>
          <w:szCs w:val="24"/>
          <w:lang w:eastAsia="da-DK"/>
        </w:rPr>
        <w:t>phosphat</w:t>
      </w:r>
      <w:proofErr w:type="spellEnd"/>
      <w:r w:rsidRPr="009369B9">
        <w:rPr>
          <w:sz w:val="24"/>
          <w:szCs w:val="24"/>
          <w:lang w:eastAsia="da-DK"/>
        </w:rPr>
        <w:t xml:space="preserve"> øger risikoen for dannelsen af </w:t>
      </w:r>
      <w:proofErr w:type="spellStart"/>
      <w:r w:rsidRPr="009369B9">
        <w:rPr>
          <w:sz w:val="24"/>
          <w:szCs w:val="24"/>
          <w:lang w:eastAsia="da-DK"/>
        </w:rPr>
        <w:t>calciumphosphat</w:t>
      </w:r>
      <w:proofErr w:type="spellEnd"/>
      <w:r w:rsidRPr="009369B9">
        <w:rPr>
          <w:sz w:val="24"/>
          <w:szCs w:val="24"/>
          <w:lang w:eastAsia="da-DK"/>
        </w:rPr>
        <w:t xml:space="preserve">-udfældninger. Udfældninger er rapporteret selv i opløsninger uden </w:t>
      </w:r>
      <w:proofErr w:type="spellStart"/>
      <w:r w:rsidRPr="009369B9">
        <w:rPr>
          <w:sz w:val="24"/>
          <w:szCs w:val="24"/>
          <w:lang w:eastAsia="da-DK"/>
        </w:rPr>
        <w:t>phosphatsalte</w:t>
      </w:r>
      <w:proofErr w:type="spellEnd"/>
      <w:r w:rsidRPr="009369B9">
        <w:rPr>
          <w:sz w:val="24"/>
          <w:szCs w:val="24"/>
          <w:lang w:eastAsia="da-DK"/>
        </w:rPr>
        <w:t xml:space="preserve">. Mistanke om dannelse af udfældninger </w:t>
      </w:r>
      <w:r w:rsidRPr="009369B9">
        <w:rPr>
          <w:i/>
          <w:sz w:val="24"/>
          <w:szCs w:val="24"/>
          <w:lang w:eastAsia="da-DK"/>
        </w:rPr>
        <w:t xml:space="preserve">in </w:t>
      </w:r>
      <w:proofErr w:type="spellStart"/>
      <w:r w:rsidRPr="009369B9">
        <w:rPr>
          <w:i/>
          <w:sz w:val="24"/>
          <w:szCs w:val="24"/>
          <w:lang w:eastAsia="da-DK"/>
        </w:rPr>
        <w:t>vivo</w:t>
      </w:r>
      <w:proofErr w:type="spellEnd"/>
      <w:r w:rsidRPr="009369B9">
        <w:rPr>
          <w:sz w:val="24"/>
          <w:szCs w:val="24"/>
          <w:lang w:eastAsia="da-DK"/>
        </w:rPr>
        <w:t xml:space="preserve"> er også blevet rapporteret. </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Ud over at kontrollere opløsningen skal infusionssættet og kateteret også kontrolleres regelmæssigt for udfældninger.</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Hvis der kommer tegn på </w:t>
      </w:r>
      <w:proofErr w:type="spellStart"/>
      <w:r w:rsidRPr="009369B9">
        <w:rPr>
          <w:sz w:val="24"/>
          <w:szCs w:val="24"/>
          <w:lang w:eastAsia="da-DK"/>
        </w:rPr>
        <w:t>pulmonær</w:t>
      </w:r>
      <w:proofErr w:type="spellEnd"/>
      <w:r w:rsidRPr="009369B9">
        <w:rPr>
          <w:sz w:val="24"/>
          <w:szCs w:val="24"/>
          <w:lang w:eastAsia="da-DK"/>
        </w:rPr>
        <w:t xml:space="preserve"> </w:t>
      </w:r>
      <w:proofErr w:type="spellStart"/>
      <w:r w:rsidRPr="009369B9">
        <w:rPr>
          <w:sz w:val="24"/>
          <w:szCs w:val="24"/>
          <w:lang w:eastAsia="da-DK"/>
        </w:rPr>
        <w:t>distress</w:t>
      </w:r>
      <w:proofErr w:type="spellEnd"/>
      <w:r w:rsidRPr="009369B9">
        <w:rPr>
          <w:sz w:val="24"/>
          <w:szCs w:val="24"/>
          <w:lang w:eastAsia="da-DK"/>
        </w:rPr>
        <w:t>, skal infusionen afbrydes, og medicinsk evaluering initieres.</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Infektion og sepsis</w:t>
      </w:r>
    </w:p>
    <w:p w:rsidR="00034077" w:rsidRPr="009369B9" w:rsidRDefault="00034077" w:rsidP="00034077">
      <w:pPr>
        <w:tabs>
          <w:tab w:val="left" w:pos="851"/>
        </w:tabs>
        <w:ind w:left="851"/>
        <w:rPr>
          <w:sz w:val="24"/>
          <w:szCs w:val="24"/>
          <w:lang w:eastAsia="da-DK"/>
        </w:rPr>
      </w:pPr>
      <w:r w:rsidRPr="009369B9">
        <w:rPr>
          <w:sz w:val="24"/>
          <w:szCs w:val="24"/>
          <w:lang w:eastAsia="da-DK"/>
        </w:rPr>
        <w:t>Siden en øget risiko for infektion er associeret med brug af vener, bør der tages strenge aseptiske forholdsregler for at undgå kontaminering under indsættelse og pleje af kateteret.</w:t>
      </w:r>
    </w:p>
    <w:p w:rsidR="00034077" w:rsidRDefault="00034077" w:rsidP="00034077">
      <w:pPr>
        <w:rPr>
          <w:sz w:val="24"/>
          <w:szCs w:val="24"/>
          <w:lang w:eastAsia="da-DK"/>
        </w:rPr>
      </w:pPr>
      <w:r>
        <w:rPr>
          <w:sz w:val="24"/>
          <w:szCs w:val="24"/>
          <w:lang w:eastAsia="da-DK"/>
        </w:rPr>
        <w:br w:type="page"/>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Fedtoverbelastningssyndrom</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Fedtoverbelastningssyndrom er rapporteret med lignende produkter. Dette kan skyldes en ukorrekt administration (f.eks. overdosis og/eller en infusionshastighed, som er højere end anbefalet). Tegn og symptomer på syndromet kan imidlertid også opstå, når produktet indgives i henhold til instruktionerne. Den reducerede eller begrænsede evne til at </w:t>
      </w:r>
      <w:proofErr w:type="spellStart"/>
      <w:r w:rsidRPr="009369B9">
        <w:rPr>
          <w:sz w:val="24"/>
          <w:szCs w:val="24"/>
          <w:lang w:eastAsia="da-DK"/>
        </w:rPr>
        <w:t>metabolisere</w:t>
      </w:r>
      <w:proofErr w:type="spellEnd"/>
      <w:r w:rsidRPr="009369B9">
        <w:rPr>
          <w:sz w:val="24"/>
          <w:szCs w:val="24"/>
          <w:lang w:eastAsia="da-DK"/>
        </w:rPr>
        <w:t xml:space="preserve"> fedtstofferne i </w:t>
      </w:r>
      <w:proofErr w:type="spellStart"/>
      <w:r>
        <w:rPr>
          <w:sz w:val="24"/>
          <w:szCs w:val="24"/>
          <w:lang w:eastAsia="da-DK"/>
        </w:rPr>
        <w:t>Finomel</w:t>
      </w:r>
      <w:proofErr w:type="spellEnd"/>
      <w:r w:rsidRPr="009369B9">
        <w:rPr>
          <w:sz w:val="24"/>
          <w:szCs w:val="24"/>
          <w:lang w:eastAsia="da-DK"/>
        </w:rPr>
        <w:t xml:space="preserve"> kan sammen med forlænget </w:t>
      </w:r>
      <w:proofErr w:type="spellStart"/>
      <w:r w:rsidRPr="009369B9">
        <w:rPr>
          <w:sz w:val="24"/>
          <w:szCs w:val="24"/>
          <w:lang w:eastAsia="da-DK"/>
        </w:rPr>
        <w:t>plasmaclearance</w:t>
      </w:r>
      <w:proofErr w:type="spellEnd"/>
      <w:r w:rsidRPr="009369B9">
        <w:rPr>
          <w:sz w:val="24"/>
          <w:szCs w:val="24"/>
          <w:lang w:eastAsia="da-DK"/>
        </w:rPr>
        <w:t xml:space="preserve"> medføre et fedtoverbelastningssyndrom. Syndromet er knyttet til en pludselig forværring i patientens kliniske tilstand og er karakteriseret ved feber, anæmi, </w:t>
      </w:r>
      <w:proofErr w:type="spellStart"/>
      <w:r w:rsidRPr="009369B9">
        <w:rPr>
          <w:sz w:val="24"/>
          <w:szCs w:val="24"/>
          <w:lang w:eastAsia="da-DK"/>
        </w:rPr>
        <w:t>leukopeni</w:t>
      </w:r>
      <w:proofErr w:type="spellEnd"/>
      <w:r w:rsidRPr="009369B9">
        <w:rPr>
          <w:sz w:val="24"/>
          <w:szCs w:val="24"/>
          <w:lang w:eastAsia="da-DK"/>
        </w:rPr>
        <w:t xml:space="preserve">, </w:t>
      </w:r>
      <w:proofErr w:type="spellStart"/>
      <w:r w:rsidRPr="009369B9">
        <w:rPr>
          <w:sz w:val="24"/>
          <w:szCs w:val="24"/>
          <w:lang w:eastAsia="da-DK"/>
        </w:rPr>
        <w:t>trombocytopeni</w:t>
      </w:r>
      <w:proofErr w:type="spellEnd"/>
      <w:r w:rsidRPr="009369B9">
        <w:rPr>
          <w:sz w:val="24"/>
          <w:szCs w:val="24"/>
          <w:lang w:eastAsia="da-DK"/>
        </w:rPr>
        <w:t xml:space="preserve">, koagulationsforstyrrelser, </w:t>
      </w:r>
      <w:proofErr w:type="spellStart"/>
      <w:r w:rsidRPr="009369B9">
        <w:rPr>
          <w:sz w:val="24"/>
          <w:szCs w:val="24"/>
          <w:lang w:eastAsia="da-DK"/>
        </w:rPr>
        <w:t>hyperlipidæmi</w:t>
      </w:r>
      <w:proofErr w:type="spellEnd"/>
      <w:r w:rsidRPr="009369B9">
        <w:rPr>
          <w:sz w:val="24"/>
          <w:szCs w:val="24"/>
          <w:lang w:eastAsia="da-DK"/>
        </w:rPr>
        <w:t>, leverfedtinfiltration (</w:t>
      </w:r>
      <w:proofErr w:type="spellStart"/>
      <w:r w:rsidRPr="009369B9">
        <w:rPr>
          <w:sz w:val="24"/>
          <w:szCs w:val="24"/>
          <w:lang w:eastAsia="da-DK"/>
        </w:rPr>
        <w:t>hepatomegali</w:t>
      </w:r>
      <w:proofErr w:type="spellEnd"/>
      <w:r w:rsidRPr="009369B9">
        <w:rPr>
          <w:sz w:val="24"/>
          <w:szCs w:val="24"/>
          <w:lang w:eastAsia="da-DK"/>
        </w:rPr>
        <w:t xml:space="preserve">), nedsat leverfunktion og manifestationer i centralnervesystemet (f.eks. koma). Syndromet er som regel reversibelt, når infusionen af fedtstofemulsionen stoppes. </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Brug hos patienter med nedsat fedtstofmetabolisme</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Overvåg patientens evne til at eliminere fedtstoffer ved at kontrollere niveauet af triglycerider. Koncentrationen af triglycerider i serum bør ikke overstige 4,6 mmol/l under infusion. </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Udvis forsigtighed ved tilfælde af nedsat fedtstofmetabolisme, som kan opstå hos patienter med nyresvigt, diabetes mellitus, </w:t>
      </w:r>
      <w:proofErr w:type="spellStart"/>
      <w:r w:rsidRPr="009369B9">
        <w:rPr>
          <w:sz w:val="24"/>
          <w:szCs w:val="24"/>
          <w:lang w:eastAsia="da-DK"/>
        </w:rPr>
        <w:t>pankreatitis</w:t>
      </w:r>
      <w:proofErr w:type="spellEnd"/>
      <w:r w:rsidRPr="009369B9">
        <w:rPr>
          <w:sz w:val="24"/>
          <w:szCs w:val="24"/>
          <w:lang w:eastAsia="da-DK"/>
        </w:rPr>
        <w:t xml:space="preserve">, nedsat leverfunktion, </w:t>
      </w:r>
      <w:proofErr w:type="spellStart"/>
      <w:r w:rsidRPr="009369B9">
        <w:rPr>
          <w:sz w:val="24"/>
          <w:szCs w:val="24"/>
          <w:lang w:eastAsia="da-DK"/>
        </w:rPr>
        <w:t>hypotyreoidisme</w:t>
      </w:r>
      <w:proofErr w:type="spellEnd"/>
      <w:r w:rsidRPr="009369B9">
        <w:rPr>
          <w:sz w:val="24"/>
          <w:szCs w:val="24"/>
          <w:lang w:eastAsia="da-DK"/>
        </w:rPr>
        <w:t xml:space="preserve"> og sepsis. </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proofErr w:type="spellStart"/>
      <w:r w:rsidRPr="009369B9">
        <w:rPr>
          <w:sz w:val="24"/>
          <w:szCs w:val="24"/>
          <w:lang w:eastAsia="da-DK"/>
        </w:rPr>
        <w:t>Serumglucose</w:t>
      </w:r>
      <w:proofErr w:type="spellEnd"/>
      <w:r w:rsidRPr="009369B9">
        <w:rPr>
          <w:sz w:val="24"/>
          <w:szCs w:val="24"/>
          <w:lang w:eastAsia="da-DK"/>
        </w:rPr>
        <w:t xml:space="preserve">, elektrolytter og </w:t>
      </w:r>
      <w:proofErr w:type="spellStart"/>
      <w:r w:rsidRPr="009369B9">
        <w:rPr>
          <w:sz w:val="24"/>
          <w:szCs w:val="24"/>
          <w:lang w:eastAsia="da-DK"/>
        </w:rPr>
        <w:t>osmolaritet</w:t>
      </w:r>
      <w:proofErr w:type="spellEnd"/>
      <w:r w:rsidRPr="009369B9">
        <w:rPr>
          <w:sz w:val="24"/>
          <w:szCs w:val="24"/>
          <w:lang w:eastAsia="da-DK"/>
        </w:rPr>
        <w:t xml:space="preserve"> samt væskebalance, syre-base-status og leverenzymprøver bør overvåges.</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proofErr w:type="spellStart"/>
      <w:r w:rsidRPr="009369B9">
        <w:rPr>
          <w:sz w:val="24"/>
          <w:szCs w:val="24"/>
          <w:u w:val="single"/>
          <w:lang w:eastAsia="da-DK"/>
        </w:rPr>
        <w:t>Refeeding</w:t>
      </w:r>
      <w:proofErr w:type="spellEnd"/>
      <w:r w:rsidRPr="009369B9">
        <w:rPr>
          <w:sz w:val="24"/>
          <w:szCs w:val="24"/>
          <w:u w:val="single"/>
          <w:lang w:eastAsia="da-DK"/>
        </w:rPr>
        <w:t>-syndrom</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At give ernæring til alvorligt underernærede patienter kan resultere i </w:t>
      </w:r>
      <w:proofErr w:type="spellStart"/>
      <w:r w:rsidRPr="009369B9">
        <w:rPr>
          <w:i/>
          <w:sz w:val="24"/>
          <w:szCs w:val="24"/>
          <w:lang w:eastAsia="da-DK"/>
        </w:rPr>
        <w:t>refeeding</w:t>
      </w:r>
      <w:proofErr w:type="spellEnd"/>
      <w:r w:rsidRPr="009369B9">
        <w:rPr>
          <w:sz w:val="24"/>
          <w:szCs w:val="24"/>
          <w:lang w:eastAsia="da-DK"/>
        </w:rPr>
        <w:t xml:space="preserve">-syndromet, som er karakteriseret ved et intracellulært skift i kalium, </w:t>
      </w:r>
      <w:proofErr w:type="spellStart"/>
      <w:r w:rsidRPr="009369B9">
        <w:rPr>
          <w:sz w:val="24"/>
          <w:szCs w:val="24"/>
          <w:lang w:eastAsia="da-DK"/>
        </w:rPr>
        <w:t>phosphor</w:t>
      </w:r>
      <w:proofErr w:type="spellEnd"/>
      <w:r w:rsidRPr="009369B9">
        <w:rPr>
          <w:sz w:val="24"/>
          <w:szCs w:val="24"/>
          <w:lang w:eastAsia="da-DK"/>
        </w:rPr>
        <w:t xml:space="preserve"> og magnesium, når patienten bliver anabolsk. Der kan også udvikles </w:t>
      </w:r>
      <w:proofErr w:type="spellStart"/>
      <w:r w:rsidRPr="009369B9">
        <w:rPr>
          <w:sz w:val="24"/>
          <w:szCs w:val="24"/>
          <w:lang w:eastAsia="da-DK"/>
        </w:rPr>
        <w:t>tiaminmangel</w:t>
      </w:r>
      <w:proofErr w:type="spellEnd"/>
      <w:r w:rsidRPr="009369B9">
        <w:rPr>
          <w:sz w:val="24"/>
          <w:szCs w:val="24"/>
          <w:lang w:eastAsia="da-DK"/>
        </w:rPr>
        <w:t xml:space="preserve"> og væskeretention. Nøje overvågning og langsom øgning af næringsindtag samtidig med at undgå overfodring kan forebygge disse komplikationer. Dette syndrom er rapporteret ved lignende produkter.</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Hos fejlernærede patienter kan initiering af parenteral ernæring fremskynde væskeskift, som kan fremkalde lungeødem og kongestiv hjertefejl samt reduktion af serumkoncentrationen af kalium, </w:t>
      </w:r>
      <w:proofErr w:type="spellStart"/>
      <w:r w:rsidRPr="009369B9">
        <w:rPr>
          <w:sz w:val="24"/>
          <w:szCs w:val="24"/>
          <w:lang w:eastAsia="da-DK"/>
        </w:rPr>
        <w:t>phosphor</w:t>
      </w:r>
      <w:proofErr w:type="spellEnd"/>
      <w:r w:rsidRPr="009369B9">
        <w:rPr>
          <w:sz w:val="24"/>
          <w:szCs w:val="24"/>
          <w:lang w:eastAsia="da-DK"/>
        </w:rPr>
        <w:t>, magnesium og vandopløselige vitaminer. Disse forandringer kan forekomme i løbet af 24 til 48 timer. Forsigtig og langsom initiering af parenteral ernæring anbefales derfor for denne patientgruppe med en nøje overvågning og passende justeringer af væske, elektrolytter, mineraler og vitaminer.</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Leversygdom associeret med parenteral næring</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Anvendes med forsigtighed til patienter med nedsat leverfunktion, herunder </w:t>
      </w:r>
      <w:proofErr w:type="spellStart"/>
      <w:r w:rsidRPr="009369B9">
        <w:rPr>
          <w:sz w:val="24"/>
          <w:szCs w:val="24"/>
          <w:lang w:eastAsia="da-DK"/>
        </w:rPr>
        <w:t>cholestase</w:t>
      </w:r>
      <w:proofErr w:type="spellEnd"/>
      <w:r w:rsidRPr="009369B9">
        <w:rPr>
          <w:sz w:val="24"/>
          <w:szCs w:val="24"/>
          <w:lang w:eastAsia="da-DK"/>
        </w:rPr>
        <w:t xml:space="preserve"> og/eller forhøjede leverenzymer. Leverfunktionsværdier skal overvåges nøje.</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proofErr w:type="spellStart"/>
      <w:r w:rsidRPr="009369B9">
        <w:rPr>
          <w:sz w:val="24"/>
          <w:szCs w:val="24"/>
          <w:u w:val="single"/>
          <w:lang w:eastAsia="da-DK"/>
        </w:rPr>
        <w:t>Hyperglykæmi</w:t>
      </w:r>
      <w:proofErr w:type="spellEnd"/>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Hvis der opstår </w:t>
      </w:r>
      <w:proofErr w:type="spellStart"/>
      <w:r w:rsidRPr="009369B9">
        <w:rPr>
          <w:sz w:val="24"/>
          <w:szCs w:val="24"/>
          <w:lang w:eastAsia="da-DK"/>
        </w:rPr>
        <w:t>hyperglykæmi</w:t>
      </w:r>
      <w:proofErr w:type="spellEnd"/>
      <w:r w:rsidRPr="009369B9">
        <w:rPr>
          <w:sz w:val="24"/>
          <w:szCs w:val="24"/>
          <w:lang w:eastAsia="da-DK"/>
        </w:rPr>
        <w:t>, bør den behandles i henhold til den kliniske situation med passende insulin-administration og/eller justering af infusionshastigheden (se pkt. 4.9).</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Nedsat nyrefunktion</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Anvendes med forsigtighed til patienter med nedsat nyrefunktion. </w:t>
      </w:r>
      <w:proofErr w:type="spellStart"/>
      <w:r w:rsidRPr="009369B9">
        <w:rPr>
          <w:sz w:val="24"/>
          <w:szCs w:val="24"/>
          <w:lang w:eastAsia="da-DK"/>
        </w:rPr>
        <w:t>Phosphat</w:t>
      </w:r>
      <w:proofErr w:type="spellEnd"/>
      <w:r w:rsidRPr="009369B9">
        <w:rPr>
          <w:sz w:val="24"/>
          <w:szCs w:val="24"/>
          <w:lang w:eastAsia="da-DK"/>
        </w:rPr>
        <w:t xml:space="preserve">-, magnesium- og kaliumindtaget bør kontrolleres nøje for at forebygge </w:t>
      </w:r>
      <w:proofErr w:type="spellStart"/>
      <w:r w:rsidRPr="009369B9">
        <w:rPr>
          <w:sz w:val="24"/>
          <w:szCs w:val="24"/>
          <w:lang w:eastAsia="da-DK"/>
        </w:rPr>
        <w:t>hyperphosphatæmi</w:t>
      </w:r>
      <w:proofErr w:type="spellEnd"/>
      <w:r w:rsidRPr="009369B9">
        <w:rPr>
          <w:sz w:val="24"/>
          <w:szCs w:val="24"/>
          <w:lang w:eastAsia="da-DK"/>
        </w:rPr>
        <w:t xml:space="preserve">, </w:t>
      </w:r>
      <w:proofErr w:type="spellStart"/>
      <w:r w:rsidRPr="009369B9">
        <w:rPr>
          <w:sz w:val="24"/>
          <w:szCs w:val="24"/>
          <w:lang w:eastAsia="da-DK"/>
        </w:rPr>
        <w:t>hypermagnesiæmi</w:t>
      </w:r>
      <w:proofErr w:type="spellEnd"/>
      <w:r w:rsidRPr="009369B9">
        <w:rPr>
          <w:sz w:val="24"/>
          <w:szCs w:val="24"/>
          <w:lang w:eastAsia="da-DK"/>
        </w:rPr>
        <w:t xml:space="preserve"> og/eller </w:t>
      </w:r>
      <w:proofErr w:type="spellStart"/>
      <w:r w:rsidRPr="009369B9">
        <w:rPr>
          <w:sz w:val="24"/>
          <w:szCs w:val="24"/>
          <w:lang w:eastAsia="da-DK"/>
        </w:rPr>
        <w:t>hyperkaliæmi</w:t>
      </w:r>
      <w:proofErr w:type="spellEnd"/>
      <w:r w:rsidRPr="009369B9">
        <w:rPr>
          <w:sz w:val="24"/>
          <w:szCs w:val="24"/>
          <w:lang w:eastAsia="da-DK"/>
        </w:rPr>
        <w:t>.</w:t>
      </w:r>
    </w:p>
    <w:p w:rsidR="00034077" w:rsidRPr="009369B9" w:rsidRDefault="00034077" w:rsidP="00034077">
      <w:pPr>
        <w:tabs>
          <w:tab w:val="left" w:pos="851"/>
        </w:tabs>
        <w:ind w:left="851"/>
        <w:rPr>
          <w:sz w:val="24"/>
          <w:szCs w:val="24"/>
          <w:lang w:eastAsia="da-DK"/>
        </w:rPr>
      </w:pPr>
      <w:r w:rsidRPr="009369B9">
        <w:rPr>
          <w:sz w:val="24"/>
          <w:szCs w:val="24"/>
          <w:lang w:eastAsia="da-DK"/>
        </w:rPr>
        <w:lastRenderedPageBreak/>
        <w:t>Forstyrrelser af elektrolyt- og væskebalancen (f.eks. unormalt høje eller lave elektrolyt-serumværdier) bør rettes, før behandlingen starter.</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Vand- og elektrolytbalance</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Under hele behandlingen skal vand- og elektrolytbalancen, </w:t>
      </w:r>
      <w:proofErr w:type="spellStart"/>
      <w:r w:rsidRPr="009369B9">
        <w:rPr>
          <w:sz w:val="24"/>
          <w:szCs w:val="24"/>
          <w:lang w:eastAsia="da-DK"/>
        </w:rPr>
        <w:t>serumosmolaritet</w:t>
      </w:r>
      <w:proofErr w:type="spellEnd"/>
      <w:r w:rsidRPr="009369B9">
        <w:rPr>
          <w:sz w:val="24"/>
          <w:szCs w:val="24"/>
          <w:lang w:eastAsia="da-DK"/>
        </w:rPr>
        <w:t xml:space="preserve">, serumtriglycerider, syre/base-balancen, </w:t>
      </w:r>
      <w:proofErr w:type="spellStart"/>
      <w:r w:rsidRPr="009369B9">
        <w:rPr>
          <w:sz w:val="24"/>
          <w:szCs w:val="24"/>
          <w:lang w:eastAsia="da-DK"/>
        </w:rPr>
        <w:t>blodglucose</w:t>
      </w:r>
      <w:proofErr w:type="spellEnd"/>
      <w:r w:rsidRPr="009369B9">
        <w:rPr>
          <w:sz w:val="24"/>
          <w:szCs w:val="24"/>
          <w:lang w:eastAsia="da-DK"/>
        </w:rPr>
        <w:t>, lever- og nyrefunktion samt blodtal, herunder blodplader og koagulationsparametre, overvåges.</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proofErr w:type="spellStart"/>
      <w:r w:rsidRPr="009369B9">
        <w:rPr>
          <w:sz w:val="24"/>
          <w:szCs w:val="24"/>
          <w:u w:val="single"/>
          <w:lang w:eastAsia="da-DK"/>
        </w:rPr>
        <w:t>Lactatacidose</w:t>
      </w:r>
      <w:proofErr w:type="spellEnd"/>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Anvendes med forsigtighed til patienter med </w:t>
      </w:r>
      <w:proofErr w:type="spellStart"/>
      <w:r w:rsidRPr="009369B9">
        <w:rPr>
          <w:sz w:val="24"/>
          <w:szCs w:val="24"/>
          <w:lang w:eastAsia="da-DK"/>
        </w:rPr>
        <w:t>lactatacidose</w:t>
      </w:r>
      <w:proofErr w:type="spellEnd"/>
      <w:r w:rsidRPr="009369B9">
        <w:rPr>
          <w:sz w:val="24"/>
          <w:szCs w:val="24"/>
          <w:lang w:eastAsia="da-DK"/>
        </w:rPr>
        <w:t xml:space="preserve">, utilstrækkelig cellulær oxygen forsyning og/eller øget </w:t>
      </w:r>
      <w:proofErr w:type="spellStart"/>
      <w:r w:rsidRPr="009369B9">
        <w:rPr>
          <w:sz w:val="24"/>
          <w:szCs w:val="24"/>
          <w:lang w:eastAsia="da-DK"/>
        </w:rPr>
        <w:t>serumosmolaritet</w:t>
      </w:r>
      <w:proofErr w:type="spellEnd"/>
      <w:r w:rsidRPr="009369B9">
        <w:rPr>
          <w:sz w:val="24"/>
          <w:szCs w:val="24"/>
          <w:lang w:eastAsia="da-DK"/>
        </w:rPr>
        <w:t>.</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Langtidsbehandling</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Intravenøs infusion af aminosyrer ledsages af øget urinudskillelse af sporstoffer, især kobber og zink. Dette bør tages i betragtning ved dosering af sporstoffer, især hvor der gives intravenøs ernæring gennem længere tid. Mængden af zink administreret sammen med </w:t>
      </w:r>
      <w:proofErr w:type="spellStart"/>
      <w:r>
        <w:rPr>
          <w:sz w:val="24"/>
          <w:szCs w:val="24"/>
          <w:lang w:eastAsia="da-DK"/>
        </w:rPr>
        <w:t>Finomel</w:t>
      </w:r>
      <w:proofErr w:type="spellEnd"/>
      <w:r w:rsidRPr="009369B9">
        <w:rPr>
          <w:sz w:val="24"/>
          <w:szCs w:val="24"/>
          <w:lang w:eastAsia="da-DK"/>
        </w:rPr>
        <w:t xml:space="preserve"> bør tages i betragtning.</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proofErr w:type="spellStart"/>
      <w:r w:rsidRPr="009369B9">
        <w:rPr>
          <w:sz w:val="24"/>
          <w:szCs w:val="24"/>
          <w:u w:val="single"/>
          <w:lang w:eastAsia="da-DK"/>
        </w:rPr>
        <w:t>Kardiovaskulær</w:t>
      </w:r>
      <w:proofErr w:type="spellEnd"/>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Anvendes med forsigtighed til patienter med </w:t>
      </w:r>
      <w:proofErr w:type="spellStart"/>
      <w:r w:rsidRPr="009369B9">
        <w:rPr>
          <w:sz w:val="24"/>
          <w:szCs w:val="24"/>
          <w:lang w:eastAsia="da-DK"/>
        </w:rPr>
        <w:t>pulmonalt</w:t>
      </w:r>
      <w:proofErr w:type="spellEnd"/>
      <w:r w:rsidRPr="009369B9">
        <w:rPr>
          <w:sz w:val="24"/>
          <w:szCs w:val="24"/>
          <w:lang w:eastAsia="da-DK"/>
        </w:rPr>
        <w:t xml:space="preserve"> ødem eller hjertesvigt. Væskestatus bør overvåges nøje hos alle patienter, som modtager parenteral ernæring.</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Infusion af for meget aminosyre</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Som med andre aminosyreopløsninger kan indholdet af aminosyre i </w:t>
      </w:r>
      <w:proofErr w:type="spellStart"/>
      <w:r>
        <w:rPr>
          <w:sz w:val="24"/>
          <w:szCs w:val="24"/>
          <w:lang w:eastAsia="da-DK"/>
        </w:rPr>
        <w:t>Finomel</w:t>
      </w:r>
      <w:proofErr w:type="spellEnd"/>
      <w:r w:rsidRPr="009369B9">
        <w:rPr>
          <w:sz w:val="24"/>
          <w:szCs w:val="24"/>
          <w:lang w:eastAsia="da-DK"/>
        </w:rPr>
        <w:t xml:space="preserve"> forårsage bivirkninger, når den anbefalede infusionshastighed bliver overskredet. Disse bivirkninger er kvalme, opkastning, kulderystninger og svedtendens. Aminosyreinfusion kan også forårsage en stigning i kropstemperatur. Ved nedsat nyrefunktion kan øgede niveauer af nitrogen-indeholdende metabolitter (f.eks. </w:t>
      </w:r>
      <w:proofErr w:type="spellStart"/>
      <w:r w:rsidRPr="009369B9">
        <w:rPr>
          <w:sz w:val="24"/>
          <w:szCs w:val="24"/>
          <w:lang w:eastAsia="da-DK"/>
        </w:rPr>
        <w:t>kreatinin</w:t>
      </w:r>
      <w:proofErr w:type="spellEnd"/>
      <w:r w:rsidRPr="009369B9">
        <w:rPr>
          <w:sz w:val="24"/>
          <w:szCs w:val="24"/>
          <w:lang w:eastAsia="da-DK"/>
        </w:rPr>
        <w:t>, urinstof) forekomme.</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Elektrolytretention</w:t>
      </w:r>
    </w:p>
    <w:p w:rsidR="00034077" w:rsidRPr="009369B9" w:rsidRDefault="00034077" w:rsidP="00034077">
      <w:pPr>
        <w:tabs>
          <w:tab w:val="left" w:pos="851"/>
        </w:tabs>
        <w:ind w:left="851"/>
        <w:rPr>
          <w:sz w:val="24"/>
          <w:szCs w:val="24"/>
          <w:lang w:eastAsia="da-DK"/>
        </w:rPr>
      </w:pPr>
      <w:proofErr w:type="spellStart"/>
      <w:r>
        <w:rPr>
          <w:sz w:val="24"/>
          <w:szCs w:val="24"/>
          <w:lang w:eastAsia="da-DK"/>
        </w:rPr>
        <w:t>Finomel</w:t>
      </w:r>
      <w:proofErr w:type="spellEnd"/>
      <w:r w:rsidRPr="009369B9">
        <w:rPr>
          <w:sz w:val="24"/>
          <w:szCs w:val="24"/>
          <w:lang w:eastAsia="da-DK"/>
        </w:rPr>
        <w:t xml:space="preserve"> bør gives med forsigtighed til patienter med en tilbøjelighed til elektrolytretention. Særlig klinisk monitorering er påkrævet ved begyndelsen af enhver intravenøs infusion. Ved ethvert abnormt tegn bør infusionen stoppes.</w:t>
      </w:r>
    </w:p>
    <w:p w:rsidR="00034077" w:rsidRPr="009369B9" w:rsidRDefault="00034077" w:rsidP="00034077">
      <w:pPr>
        <w:tabs>
          <w:tab w:val="left" w:pos="851"/>
        </w:tabs>
        <w:ind w:left="851"/>
        <w:rPr>
          <w:sz w:val="24"/>
          <w:szCs w:val="24"/>
          <w:lang w:eastAsia="da-DK"/>
        </w:rPr>
      </w:pPr>
    </w:p>
    <w:p w:rsidR="00034077" w:rsidRPr="00261071" w:rsidRDefault="00034077" w:rsidP="00034077">
      <w:pPr>
        <w:tabs>
          <w:tab w:val="left" w:pos="851"/>
        </w:tabs>
        <w:ind w:left="851"/>
        <w:rPr>
          <w:sz w:val="24"/>
          <w:szCs w:val="24"/>
          <w:u w:val="single"/>
          <w:lang w:eastAsia="da-DK"/>
        </w:rPr>
      </w:pPr>
      <w:r w:rsidRPr="00261071">
        <w:rPr>
          <w:sz w:val="24"/>
          <w:szCs w:val="24"/>
          <w:u w:val="single"/>
          <w:lang w:eastAsia="da-DK"/>
        </w:rPr>
        <w:t>Overdreven PN-administration</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For at undgå de risici, som er forbundet med for hurtige infusionshastigheder, anbefales det at bruge en kontinuerlig og velkontrolleret infusion, om muligt med en </w:t>
      </w:r>
      <w:proofErr w:type="spellStart"/>
      <w:r w:rsidRPr="009369B9">
        <w:rPr>
          <w:sz w:val="24"/>
          <w:szCs w:val="24"/>
          <w:lang w:eastAsia="da-DK"/>
        </w:rPr>
        <w:t>volumetrisk</w:t>
      </w:r>
      <w:proofErr w:type="spellEnd"/>
      <w:r w:rsidRPr="009369B9">
        <w:rPr>
          <w:sz w:val="24"/>
          <w:szCs w:val="24"/>
          <w:lang w:eastAsia="da-DK"/>
        </w:rPr>
        <w:t xml:space="preserve"> pumpe (se også pkt. 4.9).</w:t>
      </w:r>
    </w:p>
    <w:p w:rsidR="00034077" w:rsidRPr="009369B9" w:rsidRDefault="00034077" w:rsidP="00034077">
      <w:pPr>
        <w:tabs>
          <w:tab w:val="left" w:pos="851"/>
        </w:tabs>
        <w:ind w:left="851"/>
        <w:rPr>
          <w:sz w:val="24"/>
          <w:szCs w:val="24"/>
          <w:lang w:eastAsia="da-DK"/>
        </w:rPr>
      </w:pPr>
    </w:p>
    <w:p w:rsidR="00034077" w:rsidRPr="00261071" w:rsidRDefault="00034077" w:rsidP="00034077">
      <w:pPr>
        <w:tabs>
          <w:tab w:val="left" w:pos="851"/>
        </w:tabs>
        <w:ind w:left="851"/>
        <w:rPr>
          <w:sz w:val="24"/>
          <w:szCs w:val="24"/>
          <w:u w:val="single"/>
          <w:lang w:eastAsia="da-DK"/>
        </w:rPr>
      </w:pPr>
      <w:r w:rsidRPr="00261071">
        <w:rPr>
          <w:sz w:val="24"/>
          <w:szCs w:val="24"/>
          <w:u w:val="single"/>
          <w:lang w:eastAsia="da-DK"/>
        </w:rPr>
        <w:t>Interferens med laboratorieundersøgelser</w:t>
      </w:r>
    </w:p>
    <w:p w:rsidR="00034077" w:rsidRPr="009369B9" w:rsidRDefault="00034077" w:rsidP="00034077">
      <w:pPr>
        <w:tabs>
          <w:tab w:val="left" w:pos="851"/>
        </w:tabs>
        <w:ind w:left="851"/>
        <w:rPr>
          <w:sz w:val="24"/>
          <w:szCs w:val="24"/>
          <w:lang w:eastAsia="da-DK"/>
        </w:rPr>
      </w:pPr>
      <w:r w:rsidRPr="009369B9">
        <w:rPr>
          <w:sz w:val="24"/>
          <w:szCs w:val="24"/>
          <w:lang w:eastAsia="da-DK"/>
        </w:rPr>
        <w:t>Fedtstofferne i denne emulsion kan påvirke resultaterne af visse laboratorieundersøgelser (se pkt. 4.5).</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i/>
          <w:sz w:val="24"/>
          <w:szCs w:val="24"/>
          <w:u w:val="single"/>
          <w:lang w:eastAsia="da-DK"/>
        </w:rPr>
      </w:pPr>
      <w:r w:rsidRPr="009369B9">
        <w:rPr>
          <w:i/>
          <w:sz w:val="24"/>
          <w:szCs w:val="24"/>
          <w:u w:val="single"/>
          <w:lang w:eastAsia="da-DK"/>
        </w:rPr>
        <w:t>Pædiatrisk population</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Der er ikke foretaget undersøgelser med </w:t>
      </w:r>
      <w:proofErr w:type="spellStart"/>
      <w:r>
        <w:rPr>
          <w:sz w:val="24"/>
          <w:szCs w:val="24"/>
          <w:lang w:eastAsia="da-DK"/>
        </w:rPr>
        <w:t>Finomel</w:t>
      </w:r>
      <w:proofErr w:type="spellEnd"/>
      <w:r w:rsidRPr="009369B9">
        <w:rPr>
          <w:sz w:val="24"/>
          <w:szCs w:val="24"/>
          <w:lang w:eastAsia="da-DK"/>
        </w:rPr>
        <w:t xml:space="preserve"> hos pædiatriske patienter. </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4.5</w:t>
      </w:r>
      <w:r w:rsidRPr="009369B9">
        <w:rPr>
          <w:b/>
          <w:sz w:val="24"/>
          <w:szCs w:val="24"/>
        </w:rPr>
        <w:tab/>
        <w:t>Interaktion med andre lægemidler og andre former for interaktion</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Der er ikke foretaget interaktionsundersøgelser for </w:t>
      </w:r>
      <w:proofErr w:type="spellStart"/>
      <w:r>
        <w:rPr>
          <w:sz w:val="24"/>
          <w:szCs w:val="24"/>
          <w:lang w:eastAsia="da-DK"/>
        </w:rPr>
        <w:t>Finomel</w:t>
      </w:r>
      <w:proofErr w:type="spellEnd"/>
      <w:r w:rsidRPr="009369B9">
        <w:rPr>
          <w:sz w:val="24"/>
          <w:szCs w:val="24"/>
          <w:lang w:eastAsia="da-DK"/>
        </w:rPr>
        <w:t>.</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proofErr w:type="spellStart"/>
      <w:r>
        <w:rPr>
          <w:sz w:val="24"/>
          <w:szCs w:val="24"/>
          <w:lang w:eastAsia="da-DK"/>
        </w:rPr>
        <w:t>Finomel</w:t>
      </w:r>
      <w:proofErr w:type="spellEnd"/>
      <w:r w:rsidRPr="009369B9">
        <w:rPr>
          <w:sz w:val="24"/>
          <w:szCs w:val="24"/>
          <w:lang w:eastAsia="da-DK"/>
        </w:rPr>
        <w:t xml:space="preserve"> bør ikke indgives samtidig med blod via samme infusionsudstyr på grund af risikoen for pseudoagglutination.</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proofErr w:type="spellStart"/>
      <w:r w:rsidRPr="009369B9">
        <w:rPr>
          <w:sz w:val="24"/>
          <w:szCs w:val="24"/>
          <w:lang w:eastAsia="da-DK"/>
        </w:rPr>
        <w:t>Ceftriaxon</w:t>
      </w:r>
      <w:proofErr w:type="spellEnd"/>
      <w:r w:rsidRPr="009369B9">
        <w:rPr>
          <w:sz w:val="24"/>
          <w:szCs w:val="24"/>
          <w:lang w:eastAsia="da-DK"/>
        </w:rPr>
        <w:t xml:space="preserve"> må ikke indgives samtidig med intravenøse calciumholdige opløsninger, herunder </w:t>
      </w:r>
      <w:proofErr w:type="spellStart"/>
      <w:r>
        <w:rPr>
          <w:sz w:val="24"/>
          <w:szCs w:val="24"/>
          <w:lang w:eastAsia="da-DK"/>
        </w:rPr>
        <w:t>Finomel</w:t>
      </w:r>
      <w:proofErr w:type="spellEnd"/>
      <w:r w:rsidRPr="009369B9">
        <w:rPr>
          <w:sz w:val="24"/>
          <w:szCs w:val="24"/>
          <w:lang w:eastAsia="da-DK"/>
        </w:rPr>
        <w:t>, gennem den samme infusionsslange (f.eks. Y-</w:t>
      </w:r>
      <w:proofErr w:type="spellStart"/>
      <w:r w:rsidRPr="009369B9">
        <w:rPr>
          <w:sz w:val="24"/>
          <w:szCs w:val="24"/>
          <w:lang w:eastAsia="da-DK"/>
        </w:rPr>
        <w:t>connector</w:t>
      </w:r>
      <w:proofErr w:type="spellEnd"/>
      <w:r w:rsidRPr="009369B9">
        <w:rPr>
          <w:sz w:val="24"/>
          <w:szCs w:val="24"/>
          <w:lang w:eastAsia="da-DK"/>
        </w:rPr>
        <w:t xml:space="preserve">) pga. risikoen for udfældning af </w:t>
      </w:r>
      <w:proofErr w:type="spellStart"/>
      <w:r w:rsidRPr="009369B9">
        <w:rPr>
          <w:sz w:val="24"/>
          <w:szCs w:val="24"/>
          <w:lang w:eastAsia="da-DK"/>
        </w:rPr>
        <w:t>ceftriaxon</w:t>
      </w:r>
      <w:proofErr w:type="spellEnd"/>
      <w:r w:rsidRPr="009369B9">
        <w:rPr>
          <w:sz w:val="24"/>
          <w:szCs w:val="24"/>
          <w:lang w:eastAsia="da-DK"/>
        </w:rPr>
        <w:t xml:space="preserve">-calciumsalt. </w:t>
      </w:r>
    </w:p>
    <w:p w:rsidR="00034077" w:rsidRPr="009369B9" w:rsidRDefault="00034077" w:rsidP="00034077">
      <w:pPr>
        <w:tabs>
          <w:tab w:val="left" w:pos="851"/>
        </w:tabs>
        <w:ind w:left="851"/>
        <w:rPr>
          <w:sz w:val="24"/>
          <w:szCs w:val="24"/>
          <w:lang w:eastAsia="da-DK"/>
        </w:rPr>
      </w:pPr>
      <w:r w:rsidRPr="009369B9">
        <w:rPr>
          <w:sz w:val="24"/>
          <w:szCs w:val="24"/>
          <w:lang w:eastAsia="da-DK"/>
        </w:rPr>
        <w:t>Hvis den samme infusionsslange er brugt til på hinanden følgende indgivelser, skal slangen skylles grundigt mellem infusionerne med en kompatibel væske.</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Sojabønneolie har et naturligt indhold af vitamin K</w:t>
      </w:r>
      <w:r w:rsidRPr="009369B9">
        <w:rPr>
          <w:sz w:val="24"/>
          <w:szCs w:val="24"/>
          <w:vertAlign w:val="subscript"/>
          <w:lang w:eastAsia="da-DK"/>
        </w:rPr>
        <w:t>1</w:t>
      </w:r>
      <w:r w:rsidRPr="009369B9">
        <w:rPr>
          <w:sz w:val="24"/>
          <w:szCs w:val="24"/>
          <w:lang w:eastAsia="da-DK"/>
        </w:rPr>
        <w:t xml:space="preserve">. Koncentrationen i </w:t>
      </w:r>
      <w:proofErr w:type="spellStart"/>
      <w:r>
        <w:rPr>
          <w:sz w:val="24"/>
          <w:szCs w:val="24"/>
          <w:lang w:eastAsia="da-DK"/>
        </w:rPr>
        <w:t>Finomel</w:t>
      </w:r>
      <w:proofErr w:type="spellEnd"/>
      <w:r w:rsidRPr="009369B9">
        <w:rPr>
          <w:sz w:val="24"/>
          <w:szCs w:val="24"/>
          <w:lang w:eastAsia="da-DK"/>
        </w:rPr>
        <w:t xml:space="preserve"> er imidlertid så lav, at den ikke forventes at have en signifikant indflydelse på koagulationsprocessen hos patienter, som behandles med </w:t>
      </w:r>
      <w:proofErr w:type="spellStart"/>
      <w:r w:rsidRPr="009369B9">
        <w:rPr>
          <w:sz w:val="24"/>
          <w:szCs w:val="24"/>
          <w:lang w:eastAsia="da-DK"/>
        </w:rPr>
        <w:t>coumarinderivater</w:t>
      </w:r>
      <w:proofErr w:type="spellEnd"/>
      <w:r w:rsidRPr="009369B9">
        <w:rPr>
          <w:sz w:val="24"/>
          <w:szCs w:val="24"/>
          <w:lang w:eastAsia="da-DK"/>
        </w:rPr>
        <w:t>.</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Fedtstofferne i denne emulsion kan påvirke resultaterne af visse laboratorieprøver (for eksempel bilirubin, </w:t>
      </w:r>
      <w:proofErr w:type="spellStart"/>
      <w:r w:rsidRPr="009369B9">
        <w:rPr>
          <w:sz w:val="24"/>
          <w:szCs w:val="24"/>
          <w:lang w:eastAsia="da-DK"/>
        </w:rPr>
        <w:t>lactatdehydrogenase</w:t>
      </w:r>
      <w:proofErr w:type="spellEnd"/>
      <w:r w:rsidRPr="009369B9">
        <w:rPr>
          <w:sz w:val="24"/>
          <w:szCs w:val="24"/>
          <w:lang w:eastAsia="da-DK"/>
        </w:rPr>
        <w:t>, iltmætning, blodets hæmoglobin), hvis blodprøven tages, før fedtstofferne er elimineret (disse elimineres normalt efter en periode på 5-6 timer uden tilførsel af fedtstoffer) (se pkt. 4.4).</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4.6</w:t>
      </w:r>
      <w:r w:rsidRPr="009369B9">
        <w:rPr>
          <w:b/>
          <w:sz w:val="24"/>
          <w:szCs w:val="24"/>
        </w:rPr>
        <w:tab/>
      </w:r>
      <w:r w:rsidR="00020D1E">
        <w:rPr>
          <w:b/>
          <w:sz w:val="24"/>
          <w:szCs w:val="24"/>
        </w:rPr>
        <w:t>fertilitet, g</w:t>
      </w:r>
      <w:r w:rsidRPr="009369B9">
        <w:rPr>
          <w:b/>
          <w:sz w:val="24"/>
          <w:szCs w:val="24"/>
        </w:rPr>
        <w:t>raviditet og amning</w:t>
      </w:r>
    </w:p>
    <w:p w:rsidR="00034077" w:rsidRPr="009369B9" w:rsidRDefault="00034077" w:rsidP="00034077">
      <w:pPr>
        <w:tabs>
          <w:tab w:val="left" w:pos="851"/>
        </w:tabs>
        <w:ind w:left="851"/>
        <w:rPr>
          <w:sz w:val="24"/>
          <w:szCs w:val="24"/>
          <w:u w:val="single"/>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Graviditet</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Der foreligger ingen data om anvendelse af </w:t>
      </w:r>
      <w:proofErr w:type="spellStart"/>
      <w:r>
        <w:rPr>
          <w:sz w:val="24"/>
          <w:szCs w:val="24"/>
          <w:lang w:eastAsia="da-DK"/>
        </w:rPr>
        <w:t>Finomel</w:t>
      </w:r>
      <w:proofErr w:type="spellEnd"/>
      <w:r w:rsidRPr="009369B9">
        <w:rPr>
          <w:sz w:val="24"/>
          <w:szCs w:val="24"/>
          <w:lang w:eastAsia="da-DK"/>
        </w:rPr>
        <w:t xml:space="preserve"> til gravide kvinder. Parenteral ernæring kan blive nødvendig under graviditet. </w:t>
      </w:r>
      <w:proofErr w:type="spellStart"/>
      <w:r>
        <w:rPr>
          <w:sz w:val="24"/>
          <w:szCs w:val="24"/>
          <w:lang w:eastAsia="da-DK"/>
        </w:rPr>
        <w:t>Finomel</w:t>
      </w:r>
      <w:proofErr w:type="spellEnd"/>
      <w:r w:rsidRPr="009369B9">
        <w:rPr>
          <w:sz w:val="24"/>
          <w:szCs w:val="24"/>
          <w:lang w:eastAsia="da-DK"/>
        </w:rPr>
        <w:t xml:space="preserve"> bør kun gives til gravide kvinder efter nøje overvejelser.</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Amning</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Data for udskillelse af </w:t>
      </w:r>
      <w:proofErr w:type="spellStart"/>
      <w:r>
        <w:rPr>
          <w:sz w:val="24"/>
          <w:szCs w:val="24"/>
          <w:lang w:eastAsia="da-DK"/>
        </w:rPr>
        <w:t>Finomel</w:t>
      </w:r>
      <w:proofErr w:type="spellEnd"/>
      <w:r w:rsidRPr="009369B9">
        <w:rPr>
          <w:sz w:val="24"/>
          <w:szCs w:val="24"/>
          <w:lang w:eastAsia="da-DK"/>
        </w:rPr>
        <w:t xml:space="preserve">-komponenter/metabolitter i human mælk er utilstrækkelige. Parenteral ernæring kan blive nødvendig under amning. </w:t>
      </w:r>
      <w:proofErr w:type="spellStart"/>
      <w:r>
        <w:rPr>
          <w:sz w:val="24"/>
          <w:szCs w:val="24"/>
          <w:lang w:eastAsia="da-DK"/>
        </w:rPr>
        <w:t>Finomel</w:t>
      </w:r>
      <w:proofErr w:type="spellEnd"/>
      <w:r w:rsidRPr="009369B9">
        <w:rPr>
          <w:sz w:val="24"/>
          <w:szCs w:val="24"/>
          <w:lang w:eastAsia="da-DK"/>
        </w:rPr>
        <w:t xml:space="preserve"> bør kun gives til ammende kvinder efter nøje overvejelser.</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u w:val="single"/>
          <w:lang w:eastAsia="da-DK"/>
        </w:rPr>
      </w:pPr>
      <w:r w:rsidRPr="009369B9">
        <w:rPr>
          <w:sz w:val="24"/>
          <w:szCs w:val="24"/>
          <w:u w:val="single"/>
          <w:lang w:eastAsia="da-DK"/>
        </w:rPr>
        <w:t>Fertilitet</w:t>
      </w:r>
    </w:p>
    <w:p w:rsidR="00034077" w:rsidRPr="009369B9" w:rsidRDefault="00034077" w:rsidP="00034077">
      <w:pPr>
        <w:tabs>
          <w:tab w:val="left" w:pos="851"/>
        </w:tabs>
        <w:ind w:left="851"/>
        <w:rPr>
          <w:sz w:val="24"/>
          <w:szCs w:val="24"/>
          <w:lang w:eastAsia="da-DK"/>
        </w:rPr>
      </w:pPr>
      <w:r w:rsidRPr="009369B9">
        <w:rPr>
          <w:sz w:val="24"/>
          <w:szCs w:val="24"/>
          <w:lang w:eastAsia="da-DK"/>
        </w:rPr>
        <w:t>Der foreligger ingen relevante data.</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4.7</w:t>
      </w:r>
      <w:r w:rsidRPr="009369B9">
        <w:rPr>
          <w:b/>
          <w:sz w:val="24"/>
          <w:szCs w:val="24"/>
        </w:rPr>
        <w:tab/>
        <w:t xml:space="preserve">Virkninger på evnen til at føre motorkøretøj </w:t>
      </w:r>
      <w:r w:rsidR="00020D1E">
        <w:rPr>
          <w:b/>
          <w:sz w:val="24"/>
          <w:szCs w:val="24"/>
        </w:rPr>
        <w:t>og</w:t>
      </w:r>
      <w:r w:rsidRPr="009369B9">
        <w:rPr>
          <w:b/>
          <w:sz w:val="24"/>
          <w:szCs w:val="24"/>
        </w:rPr>
        <w:t xml:space="preserve"> betjene maskiner</w:t>
      </w:r>
    </w:p>
    <w:p w:rsidR="00034077" w:rsidRPr="009369B9" w:rsidRDefault="00034077" w:rsidP="00034077">
      <w:pPr>
        <w:tabs>
          <w:tab w:val="left" w:pos="851"/>
        </w:tabs>
        <w:ind w:left="851"/>
        <w:rPr>
          <w:sz w:val="24"/>
          <w:szCs w:val="24"/>
          <w:lang w:eastAsia="da-DK"/>
        </w:rPr>
      </w:pPr>
      <w:r w:rsidRPr="009369B9">
        <w:rPr>
          <w:sz w:val="24"/>
          <w:szCs w:val="24"/>
          <w:lang w:eastAsia="da-DK"/>
        </w:rPr>
        <w:t>Ikke mærkning.</w:t>
      </w:r>
    </w:p>
    <w:p w:rsidR="00034077" w:rsidRPr="009369B9" w:rsidRDefault="00034077" w:rsidP="00034077">
      <w:pPr>
        <w:tabs>
          <w:tab w:val="left" w:pos="851"/>
        </w:tabs>
        <w:ind w:left="851"/>
        <w:rPr>
          <w:sz w:val="24"/>
          <w:szCs w:val="24"/>
          <w:lang w:eastAsia="da-DK"/>
        </w:rPr>
      </w:pPr>
      <w:r w:rsidRPr="009369B9">
        <w:rPr>
          <w:sz w:val="24"/>
          <w:szCs w:val="24"/>
          <w:lang w:eastAsia="da-DK"/>
        </w:rPr>
        <w:t>Ikke relevant.</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4.8</w:t>
      </w:r>
      <w:r w:rsidRPr="009369B9">
        <w:rPr>
          <w:b/>
          <w:sz w:val="24"/>
          <w:szCs w:val="24"/>
        </w:rPr>
        <w:tab/>
        <w:t>Bivirkninger</w:t>
      </w:r>
    </w:p>
    <w:p w:rsidR="00034077" w:rsidRPr="009369B9" w:rsidRDefault="00034077" w:rsidP="00034077">
      <w:pPr>
        <w:tabs>
          <w:tab w:val="left" w:pos="851"/>
        </w:tabs>
        <w:ind w:left="851"/>
        <w:rPr>
          <w:sz w:val="24"/>
          <w:szCs w:val="24"/>
          <w:lang w:eastAsia="da-DK"/>
        </w:rPr>
      </w:pPr>
      <w:r w:rsidRPr="009369B9">
        <w:rPr>
          <w:sz w:val="24"/>
          <w:szCs w:val="24"/>
          <w:lang w:eastAsia="da-DK"/>
        </w:rPr>
        <w:t>Følgende bivirkninger er rapporteret i forbindelse med andre lignende produkter. Hyppigheden kan ikke estimeres ud fra forhåndenværende data:</w:t>
      </w:r>
    </w:p>
    <w:p w:rsidR="00034077" w:rsidRPr="009369B9" w:rsidRDefault="00034077" w:rsidP="00034077">
      <w:pPr>
        <w:tabs>
          <w:tab w:val="left" w:pos="851"/>
        </w:tabs>
        <w:ind w:left="851"/>
        <w:rPr>
          <w:sz w:val="24"/>
          <w:szCs w:val="24"/>
          <w:lang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4161"/>
      </w:tblGrid>
      <w:tr w:rsidR="00034077" w:rsidRPr="009369B9" w:rsidTr="00020D1E">
        <w:trPr>
          <w:jc w:val="center"/>
        </w:trPr>
        <w:tc>
          <w:tcPr>
            <w:tcW w:w="4147" w:type="dxa"/>
          </w:tcPr>
          <w:p w:rsidR="00034077" w:rsidRPr="009369B9" w:rsidRDefault="00034077" w:rsidP="00020D1E">
            <w:pPr>
              <w:rPr>
                <w:b/>
                <w:sz w:val="24"/>
                <w:szCs w:val="24"/>
                <w:lang w:eastAsia="da-DK"/>
              </w:rPr>
            </w:pPr>
            <w:r w:rsidRPr="009369B9">
              <w:rPr>
                <w:b/>
                <w:sz w:val="24"/>
                <w:szCs w:val="24"/>
                <w:lang w:eastAsia="da-DK"/>
              </w:rPr>
              <w:t>Systemorganklasse (</w:t>
            </w:r>
            <w:proofErr w:type="spellStart"/>
            <w:r w:rsidRPr="009369B9">
              <w:rPr>
                <w:b/>
                <w:sz w:val="24"/>
                <w:szCs w:val="24"/>
                <w:lang w:eastAsia="da-DK"/>
              </w:rPr>
              <w:t>MedDRA</w:t>
            </w:r>
            <w:proofErr w:type="spellEnd"/>
            <w:r w:rsidRPr="009369B9">
              <w:rPr>
                <w:b/>
                <w:sz w:val="24"/>
                <w:szCs w:val="24"/>
                <w:lang w:eastAsia="da-DK"/>
              </w:rPr>
              <w:t>)</w:t>
            </w:r>
          </w:p>
        </w:tc>
        <w:tc>
          <w:tcPr>
            <w:tcW w:w="4161" w:type="dxa"/>
          </w:tcPr>
          <w:p w:rsidR="00034077" w:rsidRPr="009369B9" w:rsidRDefault="00034077" w:rsidP="00020D1E">
            <w:pPr>
              <w:rPr>
                <w:b/>
                <w:sz w:val="24"/>
                <w:szCs w:val="24"/>
                <w:lang w:eastAsia="da-DK"/>
              </w:rPr>
            </w:pPr>
            <w:r w:rsidRPr="009369B9">
              <w:rPr>
                <w:b/>
                <w:sz w:val="24"/>
                <w:szCs w:val="24"/>
                <w:lang w:eastAsia="da-DK"/>
              </w:rPr>
              <w:t xml:space="preserve">Foretrukket </w:t>
            </w:r>
            <w:proofErr w:type="spellStart"/>
            <w:r w:rsidRPr="009369B9">
              <w:rPr>
                <w:b/>
                <w:sz w:val="24"/>
                <w:szCs w:val="24"/>
                <w:lang w:eastAsia="da-DK"/>
              </w:rPr>
              <w:t>MedDRA</w:t>
            </w:r>
            <w:proofErr w:type="spellEnd"/>
            <w:r w:rsidRPr="009369B9">
              <w:rPr>
                <w:b/>
                <w:sz w:val="24"/>
                <w:szCs w:val="24"/>
                <w:lang w:eastAsia="da-DK"/>
              </w:rPr>
              <w:t>-term</w:t>
            </w:r>
          </w:p>
        </w:tc>
      </w:tr>
      <w:tr w:rsidR="00034077" w:rsidRPr="009369B9" w:rsidTr="00020D1E">
        <w:trPr>
          <w:jc w:val="center"/>
        </w:trPr>
        <w:tc>
          <w:tcPr>
            <w:tcW w:w="4147" w:type="dxa"/>
          </w:tcPr>
          <w:p w:rsidR="00034077" w:rsidRPr="009369B9" w:rsidRDefault="00034077" w:rsidP="00020D1E">
            <w:pPr>
              <w:rPr>
                <w:sz w:val="24"/>
                <w:szCs w:val="24"/>
                <w:lang w:eastAsia="da-DK"/>
              </w:rPr>
            </w:pPr>
            <w:r w:rsidRPr="009369B9">
              <w:rPr>
                <w:sz w:val="24"/>
                <w:szCs w:val="24"/>
                <w:lang w:eastAsia="da-DK"/>
              </w:rPr>
              <w:t>Immunsystemet</w:t>
            </w:r>
          </w:p>
        </w:tc>
        <w:tc>
          <w:tcPr>
            <w:tcW w:w="4161" w:type="dxa"/>
          </w:tcPr>
          <w:p w:rsidR="00034077" w:rsidRPr="009369B9" w:rsidRDefault="00034077" w:rsidP="00020D1E">
            <w:pPr>
              <w:rPr>
                <w:sz w:val="24"/>
                <w:szCs w:val="24"/>
                <w:lang w:eastAsia="da-DK"/>
              </w:rPr>
            </w:pPr>
            <w:r w:rsidRPr="009369B9">
              <w:rPr>
                <w:sz w:val="24"/>
                <w:szCs w:val="24"/>
                <w:lang w:eastAsia="da-DK"/>
              </w:rPr>
              <w:t>Hypersensitivitet</w:t>
            </w:r>
          </w:p>
        </w:tc>
      </w:tr>
      <w:tr w:rsidR="00034077" w:rsidRPr="009369B9" w:rsidTr="00020D1E">
        <w:trPr>
          <w:jc w:val="center"/>
        </w:trPr>
        <w:tc>
          <w:tcPr>
            <w:tcW w:w="4147" w:type="dxa"/>
          </w:tcPr>
          <w:p w:rsidR="00034077" w:rsidRPr="009369B9" w:rsidRDefault="00034077" w:rsidP="00020D1E">
            <w:pPr>
              <w:rPr>
                <w:sz w:val="24"/>
                <w:szCs w:val="24"/>
                <w:lang w:eastAsia="da-DK"/>
              </w:rPr>
            </w:pPr>
            <w:r w:rsidRPr="009369B9">
              <w:rPr>
                <w:sz w:val="24"/>
                <w:szCs w:val="24"/>
                <w:lang w:eastAsia="da-DK"/>
              </w:rPr>
              <w:t>Metabolisme og ernæring</w:t>
            </w:r>
          </w:p>
        </w:tc>
        <w:tc>
          <w:tcPr>
            <w:tcW w:w="4161" w:type="dxa"/>
          </w:tcPr>
          <w:p w:rsidR="00034077" w:rsidRPr="009369B9" w:rsidRDefault="00034077" w:rsidP="00020D1E">
            <w:pPr>
              <w:rPr>
                <w:sz w:val="24"/>
                <w:szCs w:val="24"/>
                <w:lang w:eastAsia="da-DK"/>
              </w:rPr>
            </w:pPr>
            <w:proofErr w:type="spellStart"/>
            <w:r w:rsidRPr="009369B9">
              <w:rPr>
                <w:i/>
                <w:iCs/>
                <w:sz w:val="24"/>
                <w:szCs w:val="24"/>
                <w:lang w:eastAsia="da-DK"/>
              </w:rPr>
              <w:t>Refeeding</w:t>
            </w:r>
            <w:proofErr w:type="spellEnd"/>
            <w:r w:rsidRPr="009369B9">
              <w:rPr>
                <w:i/>
                <w:iCs/>
                <w:sz w:val="24"/>
                <w:szCs w:val="24"/>
                <w:lang w:eastAsia="da-DK"/>
              </w:rPr>
              <w:t>-</w:t>
            </w:r>
            <w:r w:rsidRPr="009369B9">
              <w:rPr>
                <w:sz w:val="24"/>
                <w:szCs w:val="24"/>
                <w:lang w:eastAsia="da-DK"/>
              </w:rPr>
              <w:t xml:space="preserve">syndrom, </w:t>
            </w:r>
            <w:proofErr w:type="spellStart"/>
            <w:r w:rsidRPr="009369B9">
              <w:rPr>
                <w:sz w:val="24"/>
                <w:szCs w:val="24"/>
                <w:lang w:eastAsia="da-DK"/>
              </w:rPr>
              <w:t>Hyperglykæmi</w:t>
            </w:r>
            <w:proofErr w:type="spellEnd"/>
          </w:p>
        </w:tc>
      </w:tr>
      <w:tr w:rsidR="00034077" w:rsidRPr="009369B9" w:rsidTr="00020D1E">
        <w:trPr>
          <w:jc w:val="center"/>
        </w:trPr>
        <w:tc>
          <w:tcPr>
            <w:tcW w:w="4147" w:type="dxa"/>
          </w:tcPr>
          <w:p w:rsidR="00034077" w:rsidRPr="009369B9" w:rsidRDefault="00034077" w:rsidP="00020D1E">
            <w:pPr>
              <w:rPr>
                <w:sz w:val="24"/>
                <w:szCs w:val="24"/>
                <w:lang w:eastAsia="da-DK"/>
              </w:rPr>
            </w:pPr>
            <w:r w:rsidRPr="009369B9">
              <w:rPr>
                <w:sz w:val="24"/>
                <w:szCs w:val="24"/>
                <w:lang w:eastAsia="da-DK"/>
              </w:rPr>
              <w:t>Nervesystemet</w:t>
            </w:r>
          </w:p>
        </w:tc>
        <w:tc>
          <w:tcPr>
            <w:tcW w:w="4161" w:type="dxa"/>
          </w:tcPr>
          <w:p w:rsidR="00034077" w:rsidRPr="009369B9" w:rsidRDefault="00034077" w:rsidP="00020D1E">
            <w:pPr>
              <w:rPr>
                <w:sz w:val="24"/>
                <w:szCs w:val="24"/>
                <w:lang w:eastAsia="da-DK"/>
              </w:rPr>
            </w:pPr>
            <w:r w:rsidRPr="009369B9">
              <w:rPr>
                <w:sz w:val="24"/>
                <w:szCs w:val="24"/>
                <w:lang w:eastAsia="da-DK"/>
              </w:rPr>
              <w:t>Svimmelhed, Hovedpine</w:t>
            </w:r>
          </w:p>
        </w:tc>
      </w:tr>
      <w:tr w:rsidR="00034077" w:rsidRPr="009369B9" w:rsidTr="00020D1E">
        <w:trPr>
          <w:jc w:val="center"/>
        </w:trPr>
        <w:tc>
          <w:tcPr>
            <w:tcW w:w="4147" w:type="dxa"/>
          </w:tcPr>
          <w:p w:rsidR="00034077" w:rsidRPr="009369B9" w:rsidRDefault="00034077" w:rsidP="00020D1E">
            <w:pPr>
              <w:rPr>
                <w:sz w:val="24"/>
                <w:szCs w:val="24"/>
                <w:lang w:eastAsia="da-DK"/>
              </w:rPr>
            </w:pPr>
            <w:proofErr w:type="spellStart"/>
            <w:r w:rsidRPr="009369B9">
              <w:rPr>
                <w:sz w:val="24"/>
                <w:szCs w:val="24"/>
                <w:lang w:eastAsia="da-DK"/>
              </w:rPr>
              <w:t>Vaskulære</w:t>
            </w:r>
            <w:proofErr w:type="spellEnd"/>
            <w:r w:rsidRPr="009369B9">
              <w:rPr>
                <w:sz w:val="24"/>
                <w:szCs w:val="24"/>
                <w:lang w:eastAsia="da-DK"/>
              </w:rPr>
              <w:t xml:space="preserve"> sygdomme</w:t>
            </w:r>
          </w:p>
        </w:tc>
        <w:tc>
          <w:tcPr>
            <w:tcW w:w="4161" w:type="dxa"/>
          </w:tcPr>
          <w:p w:rsidR="00034077" w:rsidRPr="009369B9" w:rsidRDefault="00034077" w:rsidP="00020D1E">
            <w:pPr>
              <w:rPr>
                <w:sz w:val="24"/>
                <w:szCs w:val="24"/>
                <w:lang w:eastAsia="da-DK"/>
              </w:rPr>
            </w:pPr>
            <w:proofErr w:type="spellStart"/>
            <w:r w:rsidRPr="009369B9">
              <w:rPr>
                <w:sz w:val="24"/>
                <w:szCs w:val="24"/>
                <w:lang w:eastAsia="da-DK"/>
              </w:rPr>
              <w:t>Tromboflebit</w:t>
            </w:r>
            <w:proofErr w:type="spellEnd"/>
          </w:p>
        </w:tc>
      </w:tr>
      <w:tr w:rsidR="00034077" w:rsidRPr="009369B9" w:rsidTr="00020D1E">
        <w:trPr>
          <w:jc w:val="center"/>
        </w:trPr>
        <w:tc>
          <w:tcPr>
            <w:tcW w:w="4147" w:type="dxa"/>
          </w:tcPr>
          <w:p w:rsidR="00034077" w:rsidRPr="009369B9" w:rsidRDefault="00034077" w:rsidP="00020D1E">
            <w:pPr>
              <w:rPr>
                <w:sz w:val="24"/>
                <w:szCs w:val="24"/>
                <w:lang w:eastAsia="da-DK"/>
              </w:rPr>
            </w:pPr>
            <w:r w:rsidRPr="009369B9">
              <w:rPr>
                <w:sz w:val="24"/>
                <w:szCs w:val="24"/>
                <w:lang w:eastAsia="da-DK"/>
              </w:rPr>
              <w:t xml:space="preserve">Luftveje, thorax og </w:t>
            </w:r>
            <w:proofErr w:type="spellStart"/>
            <w:r w:rsidRPr="009369B9">
              <w:rPr>
                <w:sz w:val="24"/>
                <w:szCs w:val="24"/>
                <w:lang w:eastAsia="da-DK"/>
              </w:rPr>
              <w:t>mediastinum</w:t>
            </w:r>
            <w:proofErr w:type="spellEnd"/>
          </w:p>
        </w:tc>
        <w:tc>
          <w:tcPr>
            <w:tcW w:w="4161" w:type="dxa"/>
          </w:tcPr>
          <w:p w:rsidR="00034077" w:rsidRPr="009369B9" w:rsidRDefault="00034077" w:rsidP="00020D1E">
            <w:pPr>
              <w:rPr>
                <w:sz w:val="24"/>
                <w:szCs w:val="24"/>
                <w:lang w:eastAsia="da-DK"/>
              </w:rPr>
            </w:pPr>
            <w:proofErr w:type="spellStart"/>
            <w:r w:rsidRPr="009369B9">
              <w:rPr>
                <w:sz w:val="24"/>
                <w:szCs w:val="24"/>
                <w:lang w:eastAsia="da-DK"/>
              </w:rPr>
              <w:t>Lungeemboli</w:t>
            </w:r>
            <w:proofErr w:type="spellEnd"/>
            <w:r w:rsidRPr="009369B9">
              <w:rPr>
                <w:sz w:val="24"/>
                <w:szCs w:val="24"/>
                <w:lang w:eastAsia="da-DK"/>
              </w:rPr>
              <w:t xml:space="preserve"> (se pkt. 4.4)</w:t>
            </w:r>
          </w:p>
          <w:p w:rsidR="00034077" w:rsidRPr="009369B9" w:rsidRDefault="00034077" w:rsidP="00020D1E">
            <w:pPr>
              <w:rPr>
                <w:sz w:val="24"/>
                <w:szCs w:val="24"/>
                <w:lang w:eastAsia="da-DK"/>
              </w:rPr>
            </w:pPr>
            <w:r w:rsidRPr="009369B9">
              <w:rPr>
                <w:sz w:val="24"/>
                <w:szCs w:val="24"/>
                <w:lang w:eastAsia="da-DK"/>
              </w:rPr>
              <w:t>Åndedrætsbesvær (se pkt. 4.4)</w:t>
            </w:r>
          </w:p>
          <w:p w:rsidR="00034077" w:rsidRPr="009369B9" w:rsidRDefault="00034077" w:rsidP="00020D1E">
            <w:pPr>
              <w:rPr>
                <w:sz w:val="24"/>
                <w:szCs w:val="24"/>
                <w:lang w:eastAsia="da-DK"/>
              </w:rPr>
            </w:pPr>
            <w:r w:rsidRPr="009369B9">
              <w:rPr>
                <w:sz w:val="24"/>
                <w:szCs w:val="24"/>
                <w:lang w:eastAsia="da-DK"/>
              </w:rPr>
              <w:t>Dyspnø</w:t>
            </w:r>
          </w:p>
        </w:tc>
      </w:tr>
      <w:tr w:rsidR="00034077" w:rsidRPr="009369B9" w:rsidTr="00020D1E">
        <w:trPr>
          <w:jc w:val="center"/>
        </w:trPr>
        <w:tc>
          <w:tcPr>
            <w:tcW w:w="4147" w:type="dxa"/>
          </w:tcPr>
          <w:p w:rsidR="00034077" w:rsidRPr="009369B9" w:rsidRDefault="00034077" w:rsidP="00020D1E">
            <w:pPr>
              <w:rPr>
                <w:sz w:val="24"/>
                <w:szCs w:val="24"/>
                <w:lang w:eastAsia="da-DK"/>
              </w:rPr>
            </w:pPr>
            <w:r w:rsidRPr="009369B9">
              <w:rPr>
                <w:sz w:val="24"/>
                <w:szCs w:val="24"/>
                <w:lang w:eastAsia="da-DK"/>
              </w:rPr>
              <w:t>Mave-tarm-kanalen</w:t>
            </w:r>
          </w:p>
        </w:tc>
        <w:tc>
          <w:tcPr>
            <w:tcW w:w="4161" w:type="dxa"/>
          </w:tcPr>
          <w:p w:rsidR="00034077" w:rsidRPr="009369B9" w:rsidRDefault="00034077" w:rsidP="00020D1E">
            <w:pPr>
              <w:rPr>
                <w:sz w:val="24"/>
                <w:szCs w:val="24"/>
                <w:lang w:eastAsia="da-DK"/>
              </w:rPr>
            </w:pPr>
            <w:r w:rsidRPr="009369B9">
              <w:rPr>
                <w:sz w:val="24"/>
                <w:szCs w:val="24"/>
                <w:lang w:eastAsia="da-DK"/>
              </w:rPr>
              <w:t>Kvalme, Opkastning</w:t>
            </w:r>
          </w:p>
        </w:tc>
      </w:tr>
      <w:tr w:rsidR="00034077" w:rsidRPr="009369B9" w:rsidTr="00020D1E">
        <w:trPr>
          <w:jc w:val="center"/>
        </w:trPr>
        <w:tc>
          <w:tcPr>
            <w:tcW w:w="4147" w:type="dxa"/>
          </w:tcPr>
          <w:p w:rsidR="00034077" w:rsidRPr="009369B9" w:rsidRDefault="00034077" w:rsidP="00020D1E">
            <w:pPr>
              <w:rPr>
                <w:sz w:val="24"/>
                <w:szCs w:val="24"/>
                <w:lang w:eastAsia="da-DK"/>
              </w:rPr>
            </w:pPr>
            <w:r w:rsidRPr="009369B9">
              <w:rPr>
                <w:sz w:val="24"/>
                <w:szCs w:val="24"/>
                <w:lang w:eastAsia="da-DK"/>
              </w:rPr>
              <w:t>Almene symptomer og reaktioner på administrationsstedet</w:t>
            </w:r>
          </w:p>
        </w:tc>
        <w:tc>
          <w:tcPr>
            <w:tcW w:w="4161" w:type="dxa"/>
          </w:tcPr>
          <w:p w:rsidR="00034077" w:rsidRPr="009369B9" w:rsidRDefault="00034077" w:rsidP="00020D1E">
            <w:pPr>
              <w:rPr>
                <w:sz w:val="24"/>
                <w:szCs w:val="24"/>
                <w:lang w:eastAsia="da-DK"/>
              </w:rPr>
            </w:pPr>
            <w:proofErr w:type="spellStart"/>
            <w:r w:rsidRPr="009369B9">
              <w:rPr>
                <w:sz w:val="24"/>
                <w:szCs w:val="24"/>
                <w:lang w:eastAsia="da-DK"/>
              </w:rPr>
              <w:t>Pyreksi</w:t>
            </w:r>
            <w:proofErr w:type="spellEnd"/>
            <w:r w:rsidRPr="009369B9">
              <w:rPr>
                <w:sz w:val="24"/>
                <w:szCs w:val="24"/>
                <w:lang w:eastAsia="da-DK"/>
              </w:rPr>
              <w:t xml:space="preserve">, </w:t>
            </w:r>
            <w:proofErr w:type="spellStart"/>
            <w:r w:rsidRPr="009369B9">
              <w:rPr>
                <w:sz w:val="24"/>
                <w:szCs w:val="24"/>
                <w:lang w:eastAsia="da-DK"/>
              </w:rPr>
              <w:t>Ekstravasation</w:t>
            </w:r>
            <w:proofErr w:type="spellEnd"/>
          </w:p>
        </w:tc>
      </w:tr>
      <w:tr w:rsidR="00034077" w:rsidRPr="009369B9" w:rsidTr="00020D1E">
        <w:trPr>
          <w:jc w:val="center"/>
        </w:trPr>
        <w:tc>
          <w:tcPr>
            <w:tcW w:w="4147" w:type="dxa"/>
          </w:tcPr>
          <w:p w:rsidR="00034077" w:rsidRPr="009369B9" w:rsidRDefault="00034077" w:rsidP="00020D1E">
            <w:pPr>
              <w:rPr>
                <w:sz w:val="24"/>
                <w:szCs w:val="24"/>
                <w:lang w:eastAsia="da-DK"/>
              </w:rPr>
            </w:pPr>
            <w:r w:rsidRPr="009369B9">
              <w:rPr>
                <w:sz w:val="24"/>
                <w:szCs w:val="24"/>
                <w:lang w:eastAsia="da-DK"/>
              </w:rPr>
              <w:t>Undersøgelser</w:t>
            </w:r>
          </w:p>
        </w:tc>
        <w:tc>
          <w:tcPr>
            <w:tcW w:w="4161" w:type="dxa"/>
          </w:tcPr>
          <w:p w:rsidR="00034077" w:rsidRPr="009369B9" w:rsidDel="007179D9" w:rsidRDefault="00034077" w:rsidP="00020D1E">
            <w:pPr>
              <w:rPr>
                <w:sz w:val="24"/>
                <w:szCs w:val="24"/>
                <w:lang w:eastAsia="da-DK"/>
              </w:rPr>
            </w:pPr>
            <w:r w:rsidRPr="009369B9">
              <w:rPr>
                <w:sz w:val="24"/>
                <w:szCs w:val="24"/>
                <w:lang w:eastAsia="da-DK"/>
              </w:rPr>
              <w:t>Forhøjede leverenzymer</w:t>
            </w:r>
          </w:p>
        </w:tc>
      </w:tr>
      <w:tr w:rsidR="00034077" w:rsidRPr="009369B9" w:rsidTr="00020D1E">
        <w:trPr>
          <w:jc w:val="center"/>
        </w:trPr>
        <w:tc>
          <w:tcPr>
            <w:tcW w:w="4147" w:type="dxa"/>
          </w:tcPr>
          <w:p w:rsidR="00034077" w:rsidRPr="009369B9" w:rsidRDefault="00034077" w:rsidP="00020D1E">
            <w:pPr>
              <w:rPr>
                <w:sz w:val="24"/>
                <w:szCs w:val="24"/>
                <w:lang w:eastAsia="da-DK"/>
              </w:rPr>
            </w:pPr>
            <w:r w:rsidRPr="009369B9">
              <w:rPr>
                <w:sz w:val="24"/>
                <w:szCs w:val="24"/>
                <w:lang w:eastAsia="da-DK"/>
              </w:rPr>
              <w:lastRenderedPageBreak/>
              <w:t>Traumer, forgiftninger og behandlingskomplikationer</w:t>
            </w:r>
          </w:p>
        </w:tc>
        <w:tc>
          <w:tcPr>
            <w:tcW w:w="4161" w:type="dxa"/>
          </w:tcPr>
          <w:p w:rsidR="00034077" w:rsidRPr="009369B9" w:rsidRDefault="00034077" w:rsidP="00020D1E">
            <w:pPr>
              <w:rPr>
                <w:sz w:val="24"/>
                <w:szCs w:val="24"/>
                <w:lang w:eastAsia="da-DK"/>
              </w:rPr>
            </w:pPr>
            <w:r w:rsidRPr="009369B9">
              <w:rPr>
                <w:sz w:val="24"/>
                <w:szCs w:val="24"/>
                <w:lang w:eastAsia="da-DK"/>
              </w:rPr>
              <w:t>Fedtoverbelastningssyndrom, Leversygdom associeret med parenteral ernæring</w:t>
            </w:r>
          </w:p>
        </w:tc>
      </w:tr>
    </w:tbl>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 w:val="center" w:pos="4819"/>
          <w:tab w:val="right" w:pos="9638"/>
        </w:tabs>
        <w:ind w:left="851"/>
        <w:rPr>
          <w:sz w:val="24"/>
          <w:szCs w:val="24"/>
          <w:u w:val="single"/>
          <w:lang w:eastAsia="da-DK"/>
        </w:rPr>
      </w:pPr>
      <w:r w:rsidRPr="009369B9">
        <w:rPr>
          <w:sz w:val="24"/>
          <w:szCs w:val="24"/>
          <w:u w:val="single"/>
          <w:lang w:eastAsia="da-DK"/>
        </w:rPr>
        <w:t>Beskrivelse af udvalgte bivirkninger</w:t>
      </w:r>
    </w:p>
    <w:p w:rsidR="00034077" w:rsidRPr="009369B9" w:rsidRDefault="00034077" w:rsidP="00034077">
      <w:pPr>
        <w:tabs>
          <w:tab w:val="left" w:pos="851"/>
          <w:tab w:val="center" w:pos="4819"/>
          <w:tab w:val="right" w:pos="9638"/>
        </w:tabs>
        <w:ind w:left="851"/>
        <w:rPr>
          <w:sz w:val="24"/>
          <w:szCs w:val="24"/>
          <w:lang w:eastAsia="da-DK"/>
        </w:rPr>
      </w:pPr>
    </w:p>
    <w:p w:rsidR="00034077" w:rsidRPr="009369B9" w:rsidRDefault="00034077" w:rsidP="00034077">
      <w:pPr>
        <w:tabs>
          <w:tab w:val="left" w:pos="851"/>
          <w:tab w:val="right" w:pos="9638"/>
        </w:tabs>
        <w:ind w:left="851"/>
        <w:rPr>
          <w:i/>
          <w:sz w:val="24"/>
          <w:szCs w:val="24"/>
          <w:lang w:eastAsia="da-DK"/>
        </w:rPr>
      </w:pPr>
      <w:r w:rsidRPr="009369B9">
        <w:rPr>
          <w:i/>
          <w:sz w:val="24"/>
          <w:szCs w:val="24"/>
          <w:lang w:eastAsia="da-DK"/>
        </w:rPr>
        <w:t>Fedtoverbelastningssyndrom</w:t>
      </w:r>
    </w:p>
    <w:p w:rsidR="00034077" w:rsidRPr="009369B9" w:rsidRDefault="00034077" w:rsidP="00034077">
      <w:pPr>
        <w:tabs>
          <w:tab w:val="left" w:pos="851"/>
          <w:tab w:val="center" w:pos="4819"/>
          <w:tab w:val="right" w:pos="9638"/>
        </w:tabs>
        <w:ind w:left="851"/>
        <w:rPr>
          <w:sz w:val="24"/>
          <w:szCs w:val="24"/>
          <w:lang w:eastAsia="da-DK"/>
        </w:rPr>
      </w:pPr>
      <w:r w:rsidRPr="009369B9">
        <w:rPr>
          <w:sz w:val="24"/>
          <w:szCs w:val="24"/>
          <w:lang w:eastAsia="da-DK"/>
        </w:rPr>
        <w:tab/>
        <w:t xml:space="preserve">Fedtoverbelastningssyndrom er rapporteret med lignende produkter. Dette kan skyldes en ukorrekt administration (f.eks. overdosis og/eller en infusionshastighed, som er højere end anbefalet, se pkt. 4.9). Tegn og symptomer på syndromet kan imidlertid også opstå ved begyndelsen af en infusion, når produktet indgives i henhold til instruktionerne. Den reducerede eller begrænsede evne til at </w:t>
      </w:r>
      <w:proofErr w:type="spellStart"/>
      <w:r w:rsidRPr="009369B9">
        <w:rPr>
          <w:sz w:val="24"/>
          <w:szCs w:val="24"/>
          <w:lang w:eastAsia="da-DK"/>
        </w:rPr>
        <w:t>metabolisere</w:t>
      </w:r>
      <w:proofErr w:type="spellEnd"/>
      <w:r w:rsidRPr="009369B9">
        <w:rPr>
          <w:sz w:val="24"/>
          <w:szCs w:val="24"/>
          <w:lang w:eastAsia="da-DK"/>
        </w:rPr>
        <w:t xml:space="preserve"> fedtstofindholdet i </w:t>
      </w:r>
      <w:proofErr w:type="spellStart"/>
      <w:r>
        <w:rPr>
          <w:sz w:val="24"/>
          <w:szCs w:val="24"/>
          <w:lang w:eastAsia="da-DK"/>
        </w:rPr>
        <w:t>Finomel</w:t>
      </w:r>
      <w:proofErr w:type="spellEnd"/>
      <w:r w:rsidRPr="009369B9">
        <w:rPr>
          <w:sz w:val="24"/>
          <w:szCs w:val="24"/>
          <w:lang w:eastAsia="da-DK"/>
        </w:rPr>
        <w:t xml:space="preserve"> kan sammen med forlænget </w:t>
      </w:r>
      <w:proofErr w:type="spellStart"/>
      <w:r w:rsidRPr="009369B9">
        <w:rPr>
          <w:sz w:val="24"/>
          <w:szCs w:val="24"/>
          <w:lang w:eastAsia="da-DK"/>
        </w:rPr>
        <w:t>plasmaclearance</w:t>
      </w:r>
      <w:proofErr w:type="spellEnd"/>
      <w:r w:rsidRPr="009369B9">
        <w:rPr>
          <w:sz w:val="24"/>
          <w:szCs w:val="24"/>
          <w:lang w:eastAsia="da-DK"/>
        </w:rPr>
        <w:t xml:space="preserve"> medføre et fedtoverbelastningssyndrom (se pkt. 4.4).</w:t>
      </w:r>
    </w:p>
    <w:p w:rsidR="00034077" w:rsidRPr="009369B9" w:rsidRDefault="00034077" w:rsidP="00034077">
      <w:pPr>
        <w:tabs>
          <w:tab w:val="left" w:pos="851"/>
          <w:tab w:val="center" w:pos="4819"/>
          <w:tab w:val="right" w:pos="9638"/>
        </w:tabs>
        <w:ind w:left="851"/>
        <w:rPr>
          <w:sz w:val="24"/>
          <w:szCs w:val="24"/>
          <w:lang w:eastAsia="da-DK"/>
        </w:rPr>
      </w:pPr>
    </w:p>
    <w:p w:rsidR="00034077" w:rsidRPr="009369B9" w:rsidRDefault="00034077" w:rsidP="00034077">
      <w:pPr>
        <w:tabs>
          <w:tab w:val="left" w:pos="851"/>
          <w:tab w:val="right" w:pos="9638"/>
        </w:tabs>
        <w:ind w:left="851"/>
        <w:rPr>
          <w:sz w:val="24"/>
          <w:szCs w:val="24"/>
          <w:lang w:eastAsia="da-DK"/>
        </w:rPr>
      </w:pPr>
      <w:proofErr w:type="spellStart"/>
      <w:r w:rsidRPr="009369B9">
        <w:rPr>
          <w:i/>
          <w:sz w:val="24"/>
          <w:szCs w:val="24"/>
          <w:lang w:eastAsia="da-DK"/>
        </w:rPr>
        <w:t>Refeeding</w:t>
      </w:r>
      <w:proofErr w:type="spellEnd"/>
      <w:r w:rsidRPr="009369B9">
        <w:rPr>
          <w:sz w:val="24"/>
          <w:szCs w:val="24"/>
          <w:lang w:eastAsia="da-DK"/>
        </w:rPr>
        <w:t>-syndrom</w:t>
      </w:r>
    </w:p>
    <w:p w:rsidR="00034077" w:rsidRPr="009369B9" w:rsidRDefault="00034077" w:rsidP="00034077">
      <w:pPr>
        <w:tabs>
          <w:tab w:val="left" w:pos="851"/>
          <w:tab w:val="center" w:pos="4819"/>
          <w:tab w:val="right" w:pos="9638"/>
        </w:tabs>
        <w:ind w:left="851"/>
        <w:rPr>
          <w:sz w:val="24"/>
          <w:szCs w:val="24"/>
          <w:lang w:eastAsia="da-DK"/>
        </w:rPr>
      </w:pPr>
      <w:r w:rsidRPr="009369B9">
        <w:rPr>
          <w:sz w:val="24"/>
          <w:szCs w:val="24"/>
          <w:lang w:eastAsia="da-DK"/>
        </w:rPr>
        <w:t xml:space="preserve">At give ernæring til alvorligt underernærede patienter kan resultere i </w:t>
      </w:r>
      <w:proofErr w:type="spellStart"/>
      <w:r w:rsidRPr="009369B9">
        <w:rPr>
          <w:i/>
          <w:sz w:val="24"/>
          <w:szCs w:val="24"/>
          <w:lang w:eastAsia="da-DK"/>
        </w:rPr>
        <w:t>refeeding</w:t>
      </w:r>
      <w:proofErr w:type="spellEnd"/>
      <w:r w:rsidRPr="009369B9">
        <w:rPr>
          <w:sz w:val="24"/>
          <w:szCs w:val="24"/>
          <w:lang w:eastAsia="da-DK"/>
        </w:rPr>
        <w:t xml:space="preserve">-syndromet, som er karakteriseret ved et intracellulært skift i kalium, </w:t>
      </w:r>
      <w:proofErr w:type="spellStart"/>
      <w:r w:rsidRPr="009369B9">
        <w:rPr>
          <w:sz w:val="24"/>
          <w:szCs w:val="24"/>
          <w:lang w:eastAsia="da-DK"/>
        </w:rPr>
        <w:t>phosphor</w:t>
      </w:r>
      <w:proofErr w:type="spellEnd"/>
      <w:r w:rsidRPr="009369B9">
        <w:rPr>
          <w:sz w:val="24"/>
          <w:szCs w:val="24"/>
          <w:lang w:eastAsia="da-DK"/>
        </w:rPr>
        <w:t xml:space="preserve"> og magnesium, når patienten bliver anabolsk. Der kan også udvikles </w:t>
      </w:r>
      <w:proofErr w:type="spellStart"/>
      <w:r w:rsidRPr="009369B9">
        <w:rPr>
          <w:sz w:val="24"/>
          <w:szCs w:val="24"/>
          <w:lang w:eastAsia="da-DK"/>
        </w:rPr>
        <w:t>tiaminmangel</w:t>
      </w:r>
      <w:proofErr w:type="spellEnd"/>
      <w:r w:rsidRPr="009369B9">
        <w:rPr>
          <w:sz w:val="24"/>
          <w:szCs w:val="24"/>
          <w:lang w:eastAsia="da-DK"/>
        </w:rPr>
        <w:t xml:space="preserve"> og væskeretention. </w:t>
      </w:r>
    </w:p>
    <w:p w:rsidR="00034077" w:rsidRPr="009369B9" w:rsidRDefault="00034077" w:rsidP="00034077">
      <w:pPr>
        <w:tabs>
          <w:tab w:val="left" w:pos="851"/>
          <w:tab w:val="center" w:pos="4819"/>
          <w:tab w:val="right" w:pos="9638"/>
        </w:tabs>
        <w:ind w:left="851"/>
        <w:rPr>
          <w:sz w:val="24"/>
          <w:szCs w:val="24"/>
          <w:lang w:eastAsia="da-DK"/>
        </w:rPr>
      </w:pPr>
      <w:r w:rsidRPr="009369B9">
        <w:rPr>
          <w:sz w:val="24"/>
          <w:szCs w:val="24"/>
          <w:lang w:eastAsia="da-DK"/>
        </w:rPr>
        <w:t xml:space="preserve">Hos fejlernærede patienter kan initiering af parenteral ernæring fremskynde væskeskift, som kan fremkalde lungeødem og kongestiv hjertefejl samt reduktion af serumkoncentrationen af kalium, </w:t>
      </w:r>
      <w:proofErr w:type="spellStart"/>
      <w:r w:rsidRPr="009369B9">
        <w:rPr>
          <w:sz w:val="24"/>
          <w:szCs w:val="24"/>
          <w:lang w:eastAsia="da-DK"/>
        </w:rPr>
        <w:t>phosphor</w:t>
      </w:r>
      <w:proofErr w:type="spellEnd"/>
      <w:r w:rsidRPr="009369B9">
        <w:rPr>
          <w:sz w:val="24"/>
          <w:szCs w:val="24"/>
          <w:lang w:eastAsia="da-DK"/>
        </w:rPr>
        <w:t>, magnesium eller vandopløselige vitaminer. Disse ændringer kan forekomme inden for 24 til 48 timer.</w:t>
      </w:r>
    </w:p>
    <w:p w:rsidR="00034077" w:rsidRPr="009369B9" w:rsidRDefault="00034077" w:rsidP="00034077">
      <w:pPr>
        <w:tabs>
          <w:tab w:val="left" w:pos="851"/>
        </w:tabs>
        <w:ind w:left="851"/>
        <w:rPr>
          <w:sz w:val="24"/>
          <w:szCs w:val="24"/>
          <w:lang w:eastAsia="da-DK"/>
        </w:rPr>
      </w:pPr>
      <w:r w:rsidRPr="009369B9">
        <w:rPr>
          <w:sz w:val="24"/>
          <w:szCs w:val="24"/>
          <w:lang w:eastAsia="da-DK"/>
        </w:rPr>
        <w:t>For specifikke anbefalinger henvises til pkt. 4.4.</w:t>
      </w:r>
    </w:p>
    <w:p w:rsidR="00034077" w:rsidRPr="009369B9" w:rsidRDefault="00034077" w:rsidP="00034077">
      <w:pPr>
        <w:tabs>
          <w:tab w:val="left" w:pos="851"/>
        </w:tabs>
        <w:ind w:left="851"/>
        <w:rPr>
          <w:sz w:val="24"/>
          <w:szCs w:val="24"/>
          <w:lang w:eastAsia="da-DK"/>
        </w:rPr>
      </w:pPr>
    </w:p>
    <w:p w:rsidR="00034077" w:rsidRPr="009369B9" w:rsidRDefault="00034077" w:rsidP="00034077">
      <w:pPr>
        <w:autoSpaceDE w:val="0"/>
        <w:autoSpaceDN w:val="0"/>
        <w:ind w:left="851"/>
        <w:rPr>
          <w:sz w:val="24"/>
          <w:szCs w:val="24"/>
          <w:u w:val="single"/>
          <w:lang w:eastAsia="da-DK"/>
        </w:rPr>
      </w:pPr>
      <w:r w:rsidRPr="009369B9">
        <w:rPr>
          <w:sz w:val="24"/>
          <w:szCs w:val="24"/>
          <w:u w:val="single"/>
          <w:lang w:eastAsia="da-DK"/>
        </w:rPr>
        <w:t>Indberetning af formodede bivirkninger</w:t>
      </w:r>
    </w:p>
    <w:p w:rsidR="00034077" w:rsidRPr="009369B9" w:rsidRDefault="00034077" w:rsidP="00034077">
      <w:pPr>
        <w:ind w:left="851"/>
        <w:rPr>
          <w:sz w:val="24"/>
          <w:szCs w:val="24"/>
          <w:lang w:eastAsia="da-DK"/>
        </w:rPr>
      </w:pPr>
      <w:r w:rsidRPr="009369B9">
        <w:rPr>
          <w:sz w:val="24"/>
          <w:szCs w:val="24"/>
          <w:lang w:eastAsia="da-DK"/>
        </w:rPr>
        <w:t>Når lægemidlet er godkendt, er indberetning af formodede bivirkninger vigtig. Det muliggør løbende overvågning af benefit/</w:t>
      </w:r>
      <w:proofErr w:type="spellStart"/>
      <w:r w:rsidRPr="009369B9">
        <w:rPr>
          <w:sz w:val="24"/>
          <w:szCs w:val="24"/>
          <w:lang w:eastAsia="da-DK"/>
        </w:rPr>
        <w:t>risk</w:t>
      </w:r>
      <w:proofErr w:type="spellEnd"/>
      <w:r w:rsidRPr="009369B9">
        <w:rPr>
          <w:sz w:val="24"/>
          <w:szCs w:val="24"/>
          <w:lang w:eastAsia="da-DK"/>
        </w:rPr>
        <w:t xml:space="preserve">-forholdet for lægemidlet. </w:t>
      </w:r>
      <w:r w:rsidR="00020D1E">
        <w:rPr>
          <w:sz w:val="24"/>
          <w:szCs w:val="24"/>
          <w:lang w:eastAsia="da-DK"/>
        </w:rPr>
        <w:t>S</w:t>
      </w:r>
      <w:r w:rsidRPr="009369B9">
        <w:rPr>
          <w:sz w:val="24"/>
          <w:szCs w:val="24"/>
          <w:lang w:eastAsia="da-DK"/>
        </w:rPr>
        <w:t>undhedsperson</w:t>
      </w:r>
      <w:r w:rsidR="00020D1E">
        <w:rPr>
          <w:sz w:val="24"/>
          <w:szCs w:val="24"/>
          <w:lang w:eastAsia="da-DK"/>
        </w:rPr>
        <w:t>er</w:t>
      </w:r>
      <w:r w:rsidRPr="009369B9">
        <w:rPr>
          <w:sz w:val="24"/>
          <w:szCs w:val="24"/>
          <w:lang w:eastAsia="da-DK"/>
        </w:rPr>
        <w:t xml:space="preserve"> anmodes om at indberette alle formodede bivirkninger via:</w:t>
      </w:r>
    </w:p>
    <w:p w:rsidR="00034077" w:rsidRPr="009369B9" w:rsidRDefault="00034077" w:rsidP="00034077">
      <w:pPr>
        <w:ind w:left="851"/>
        <w:rPr>
          <w:sz w:val="24"/>
          <w:szCs w:val="24"/>
          <w:lang w:eastAsia="da-DK"/>
        </w:rPr>
      </w:pPr>
    </w:p>
    <w:p w:rsidR="00034077" w:rsidRPr="009369B9" w:rsidRDefault="00034077" w:rsidP="00034077">
      <w:pPr>
        <w:ind w:left="851"/>
        <w:rPr>
          <w:sz w:val="24"/>
          <w:szCs w:val="24"/>
          <w:lang w:eastAsia="da-DK"/>
        </w:rPr>
      </w:pPr>
      <w:r w:rsidRPr="009369B9">
        <w:rPr>
          <w:sz w:val="24"/>
          <w:szCs w:val="24"/>
          <w:lang w:eastAsia="da-DK"/>
        </w:rPr>
        <w:t>Lægemiddelstyrelsen</w:t>
      </w:r>
    </w:p>
    <w:p w:rsidR="00034077" w:rsidRPr="009369B9" w:rsidRDefault="00034077" w:rsidP="00034077">
      <w:pPr>
        <w:ind w:left="851"/>
        <w:rPr>
          <w:sz w:val="24"/>
          <w:szCs w:val="24"/>
          <w:lang w:eastAsia="da-DK"/>
        </w:rPr>
      </w:pPr>
      <w:r w:rsidRPr="009369B9">
        <w:rPr>
          <w:sz w:val="24"/>
          <w:szCs w:val="24"/>
          <w:lang w:eastAsia="da-DK"/>
        </w:rPr>
        <w:t>Axel Heides Gade 1</w:t>
      </w:r>
    </w:p>
    <w:p w:rsidR="00034077" w:rsidRPr="009369B9" w:rsidRDefault="00034077" w:rsidP="00034077">
      <w:pPr>
        <w:ind w:left="851"/>
        <w:rPr>
          <w:sz w:val="24"/>
          <w:szCs w:val="24"/>
          <w:lang w:eastAsia="da-DK"/>
        </w:rPr>
      </w:pPr>
      <w:r w:rsidRPr="009369B9">
        <w:rPr>
          <w:sz w:val="24"/>
          <w:szCs w:val="24"/>
          <w:lang w:eastAsia="da-DK"/>
        </w:rPr>
        <w:t>DK-2300 København S</w:t>
      </w:r>
    </w:p>
    <w:p w:rsidR="00034077" w:rsidRPr="00D16C4B" w:rsidRDefault="00034077" w:rsidP="00020D1E">
      <w:pPr>
        <w:ind w:left="851"/>
        <w:rPr>
          <w:sz w:val="24"/>
          <w:szCs w:val="24"/>
          <w:lang w:eastAsia="da-DK"/>
        </w:rPr>
      </w:pPr>
      <w:r w:rsidRPr="00D16C4B">
        <w:rPr>
          <w:sz w:val="24"/>
          <w:szCs w:val="24"/>
          <w:lang w:eastAsia="da-DK"/>
        </w:rPr>
        <w:t>Websted: www.meldenbivirkning.dk</w:t>
      </w:r>
    </w:p>
    <w:p w:rsidR="00034077" w:rsidRPr="00D16C4B" w:rsidRDefault="00034077" w:rsidP="00034077">
      <w:pPr>
        <w:pStyle w:val="Sidehoved"/>
        <w:tabs>
          <w:tab w:val="left" w:pos="851"/>
        </w:tabs>
        <w:ind w:left="851"/>
        <w:rPr>
          <w:szCs w:val="24"/>
        </w:rPr>
      </w:pPr>
    </w:p>
    <w:p w:rsidR="00034077" w:rsidRPr="009369B9" w:rsidRDefault="00034077" w:rsidP="00034077">
      <w:pPr>
        <w:tabs>
          <w:tab w:val="left" w:pos="851"/>
        </w:tabs>
        <w:ind w:left="851" w:hanging="851"/>
        <w:rPr>
          <w:b/>
          <w:sz w:val="24"/>
          <w:szCs w:val="24"/>
        </w:rPr>
      </w:pPr>
      <w:r w:rsidRPr="009369B9">
        <w:rPr>
          <w:b/>
          <w:sz w:val="24"/>
          <w:szCs w:val="24"/>
        </w:rPr>
        <w:t>4.9</w:t>
      </w:r>
      <w:r w:rsidRPr="009369B9">
        <w:rPr>
          <w:b/>
          <w:sz w:val="24"/>
          <w:szCs w:val="24"/>
        </w:rPr>
        <w:tab/>
        <w:t>Overdosering</w:t>
      </w: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I tilfælde af overdosering kan der forekomme kvalme, opkastning, kuldegysninger, </w:t>
      </w:r>
      <w:proofErr w:type="spellStart"/>
      <w:r w:rsidRPr="009369B9">
        <w:rPr>
          <w:sz w:val="24"/>
          <w:szCs w:val="24"/>
          <w:lang w:eastAsia="da-DK"/>
        </w:rPr>
        <w:t>hyperglykæmi</w:t>
      </w:r>
      <w:proofErr w:type="spellEnd"/>
      <w:r w:rsidRPr="009369B9">
        <w:rPr>
          <w:sz w:val="24"/>
          <w:szCs w:val="24"/>
          <w:lang w:eastAsia="da-DK"/>
        </w:rPr>
        <w:t xml:space="preserve"> og elektrolytforstyrrelser og tegn på </w:t>
      </w:r>
      <w:proofErr w:type="spellStart"/>
      <w:r w:rsidRPr="009369B9">
        <w:rPr>
          <w:sz w:val="24"/>
          <w:szCs w:val="24"/>
          <w:lang w:eastAsia="da-DK"/>
        </w:rPr>
        <w:t>hypervolæmi</w:t>
      </w:r>
      <w:proofErr w:type="spellEnd"/>
      <w:r w:rsidRPr="009369B9">
        <w:rPr>
          <w:sz w:val="24"/>
          <w:szCs w:val="24"/>
          <w:lang w:eastAsia="da-DK"/>
        </w:rPr>
        <w:t xml:space="preserve"> eller </w:t>
      </w:r>
      <w:proofErr w:type="spellStart"/>
      <w:r w:rsidRPr="009369B9">
        <w:rPr>
          <w:sz w:val="24"/>
          <w:szCs w:val="24"/>
          <w:lang w:eastAsia="da-DK"/>
        </w:rPr>
        <w:t>acidose</w:t>
      </w:r>
      <w:proofErr w:type="spellEnd"/>
      <w:r w:rsidRPr="009369B9">
        <w:rPr>
          <w:sz w:val="24"/>
          <w:szCs w:val="24"/>
          <w:lang w:eastAsia="da-DK"/>
        </w:rPr>
        <w:t xml:space="preserve">. I sådanne situationer skal infusionen afbrydes straks (se pkt. 4.4). </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Hvis der opstår </w:t>
      </w:r>
      <w:proofErr w:type="spellStart"/>
      <w:r w:rsidRPr="009369B9">
        <w:rPr>
          <w:sz w:val="24"/>
          <w:szCs w:val="24"/>
          <w:lang w:eastAsia="da-DK"/>
        </w:rPr>
        <w:t>hyperglykæmi</w:t>
      </w:r>
      <w:proofErr w:type="spellEnd"/>
      <w:r w:rsidRPr="009369B9">
        <w:rPr>
          <w:sz w:val="24"/>
          <w:szCs w:val="24"/>
          <w:lang w:eastAsia="da-DK"/>
        </w:rPr>
        <w:t xml:space="preserve">, bør den behandles i henhold til den kliniske situation med passende insulin-administration og/eller justering af infusionshastigheden. Overdosering kan desuden forårsage væskeophobning, elektrolytubalance og </w:t>
      </w:r>
      <w:proofErr w:type="spellStart"/>
      <w:r w:rsidRPr="009369B9">
        <w:rPr>
          <w:sz w:val="24"/>
          <w:szCs w:val="24"/>
          <w:lang w:eastAsia="da-DK"/>
        </w:rPr>
        <w:t>hyperosmolalitet</w:t>
      </w:r>
      <w:proofErr w:type="spellEnd"/>
      <w:r w:rsidRPr="009369B9">
        <w:rPr>
          <w:sz w:val="24"/>
          <w:szCs w:val="24"/>
          <w:lang w:eastAsia="da-DK"/>
        </w:rPr>
        <w:t xml:space="preserve">. </w:t>
      </w:r>
    </w:p>
    <w:p w:rsidR="00034077" w:rsidRPr="009369B9" w:rsidRDefault="00034077" w:rsidP="00034077">
      <w:pPr>
        <w:tabs>
          <w:tab w:val="left" w:pos="851"/>
        </w:tabs>
        <w:ind w:left="851"/>
        <w:rPr>
          <w:sz w:val="24"/>
          <w:szCs w:val="24"/>
          <w:lang w:eastAsia="da-DK"/>
        </w:rPr>
      </w:pPr>
    </w:p>
    <w:p w:rsidR="00034077" w:rsidRPr="009369B9" w:rsidRDefault="00034077" w:rsidP="00034077">
      <w:pPr>
        <w:tabs>
          <w:tab w:val="left" w:pos="851"/>
        </w:tabs>
        <w:ind w:left="851"/>
        <w:rPr>
          <w:sz w:val="24"/>
          <w:szCs w:val="24"/>
          <w:lang w:eastAsia="da-DK"/>
        </w:rPr>
      </w:pPr>
      <w:r w:rsidRPr="009369B9">
        <w:rPr>
          <w:sz w:val="24"/>
          <w:szCs w:val="24"/>
          <w:lang w:eastAsia="da-DK"/>
        </w:rPr>
        <w:t xml:space="preserve">Hvis symptomerne varer ved efter ophør med infusionen, kan hæmodialyse, </w:t>
      </w:r>
      <w:proofErr w:type="spellStart"/>
      <w:r w:rsidRPr="009369B9">
        <w:rPr>
          <w:sz w:val="24"/>
          <w:szCs w:val="24"/>
          <w:lang w:eastAsia="da-DK"/>
        </w:rPr>
        <w:t>hæmofiltrering</w:t>
      </w:r>
      <w:proofErr w:type="spellEnd"/>
      <w:r w:rsidRPr="009369B9">
        <w:rPr>
          <w:sz w:val="24"/>
          <w:szCs w:val="24"/>
          <w:lang w:eastAsia="da-DK"/>
        </w:rPr>
        <w:t xml:space="preserve"> eller </w:t>
      </w:r>
      <w:proofErr w:type="spellStart"/>
      <w:r w:rsidRPr="009369B9">
        <w:rPr>
          <w:sz w:val="24"/>
          <w:szCs w:val="24"/>
          <w:lang w:eastAsia="da-DK"/>
        </w:rPr>
        <w:t>hæmodiafiltrering</w:t>
      </w:r>
      <w:proofErr w:type="spellEnd"/>
      <w:r w:rsidRPr="009369B9">
        <w:rPr>
          <w:sz w:val="24"/>
          <w:szCs w:val="24"/>
          <w:lang w:eastAsia="da-DK"/>
        </w:rPr>
        <w:t xml:space="preserve"> overvejes.</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4.10</w:t>
      </w:r>
      <w:r w:rsidRPr="009369B9">
        <w:rPr>
          <w:b/>
          <w:sz w:val="24"/>
          <w:szCs w:val="24"/>
        </w:rPr>
        <w:tab/>
        <w:t>Udlevering</w:t>
      </w:r>
    </w:p>
    <w:p w:rsidR="00034077" w:rsidRPr="009369B9" w:rsidRDefault="00034077" w:rsidP="00034077">
      <w:pPr>
        <w:tabs>
          <w:tab w:val="left" w:pos="851"/>
        </w:tabs>
        <w:ind w:left="851"/>
        <w:rPr>
          <w:sz w:val="24"/>
          <w:szCs w:val="24"/>
        </w:rPr>
      </w:pPr>
      <w:r w:rsidRPr="009369B9">
        <w:rPr>
          <w:sz w:val="24"/>
          <w:szCs w:val="24"/>
        </w:rPr>
        <w:t>B</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lastRenderedPageBreak/>
        <w:t>5.</w:t>
      </w:r>
      <w:r w:rsidRPr="009369B9">
        <w:rPr>
          <w:b/>
          <w:sz w:val="24"/>
          <w:szCs w:val="24"/>
        </w:rPr>
        <w:tab/>
        <w:t>FARMAKOLOGISKE EGENSKABER</w:t>
      </w:r>
    </w:p>
    <w:p w:rsidR="00034077" w:rsidRPr="009369B9" w:rsidRDefault="00034077" w:rsidP="00034077">
      <w:pPr>
        <w:tabs>
          <w:tab w:val="left" w:pos="851"/>
        </w:tabs>
        <w:ind w:left="851"/>
        <w:rPr>
          <w:sz w:val="24"/>
          <w:szCs w:val="24"/>
        </w:rPr>
      </w:pPr>
    </w:p>
    <w:p w:rsidR="00034077" w:rsidRPr="009369B9" w:rsidRDefault="00034077" w:rsidP="00034077">
      <w:pPr>
        <w:tabs>
          <w:tab w:val="num" w:pos="851"/>
        </w:tabs>
        <w:ind w:left="851" w:hanging="851"/>
        <w:rPr>
          <w:b/>
          <w:sz w:val="24"/>
          <w:szCs w:val="24"/>
        </w:rPr>
      </w:pPr>
      <w:r w:rsidRPr="009369B9">
        <w:rPr>
          <w:b/>
          <w:sz w:val="24"/>
          <w:szCs w:val="24"/>
        </w:rPr>
        <w:t>5.1</w:t>
      </w:r>
      <w:r w:rsidRPr="009369B9">
        <w:rPr>
          <w:b/>
          <w:sz w:val="24"/>
          <w:szCs w:val="24"/>
        </w:rPr>
        <w:tab/>
      </w:r>
      <w:proofErr w:type="spellStart"/>
      <w:r w:rsidRPr="009369B9">
        <w:rPr>
          <w:b/>
          <w:sz w:val="24"/>
          <w:szCs w:val="24"/>
        </w:rPr>
        <w:t>Farmakodynamiske</w:t>
      </w:r>
      <w:proofErr w:type="spellEnd"/>
      <w:r w:rsidRPr="009369B9">
        <w:rPr>
          <w:b/>
          <w:sz w:val="24"/>
          <w:szCs w:val="24"/>
        </w:rPr>
        <w:t xml:space="preserve"> egenskaber</w:t>
      </w:r>
    </w:p>
    <w:p w:rsidR="00020D1E" w:rsidRPr="009369B9" w:rsidRDefault="00020D1E" w:rsidP="00020D1E">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9369B9">
        <w:rPr>
          <w:sz w:val="24"/>
          <w:szCs w:val="24"/>
        </w:rPr>
        <w:t>Opløsninger til parenteral ernæring, kombinationer.</w:t>
      </w:r>
    </w:p>
    <w:p w:rsidR="00034077" w:rsidRDefault="00F8625A" w:rsidP="00034077">
      <w:pPr>
        <w:tabs>
          <w:tab w:val="left" w:pos="851"/>
        </w:tabs>
        <w:ind w:left="851"/>
        <w:rPr>
          <w:sz w:val="24"/>
          <w:szCs w:val="24"/>
          <w:lang w:eastAsia="da-DK"/>
        </w:rPr>
      </w:pPr>
      <w:r w:rsidRPr="009369B9">
        <w:rPr>
          <w:sz w:val="24"/>
          <w:szCs w:val="24"/>
        </w:rPr>
        <w:t>ATC-kode: B 05 BA 10.</w:t>
      </w:r>
    </w:p>
    <w:p w:rsidR="00020D1E" w:rsidRPr="004254D1" w:rsidRDefault="00020D1E" w:rsidP="00034077">
      <w:pPr>
        <w:tabs>
          <w:tab w:val="left" w:pos="851"/>
        </w:tabs>
        <w:ind w:left="851"/>
        <w:rPr>
          <w:sz w:val="24"/>
          <w:szCs w:val="24"/>
          <w:lang w:eastAsia="da-DK"/>
        </w:rPr>
      </w:pPr>
    </w:p>
    <w:p w:rsidR="00034077" w:rsidRPr="004254D1" w:rsidRDefault="00034077" w:rsidP="00034077">
      <w:pPr>
        <w:tabs>
          <w:tab w:val="left" w:pos="851"/>
        </w:tabs>
        <w:ind w:left="851"/>
        <w:rPr>
          <w:sz w:val="24"/>
          <w:szCs w:val="24"/>
          <w:u w:val="single"/>
          <w:lang w:eastAsia="da-DK"/>
        </w:rPr>
      </w:pPr>
      <w:r w:rsidRPr="004254D1">
        <w:rPr>
          <w:sz w:val="24"/>
          <w:szCs w:val="24"/>
          <w:u w:val="single"/>
          <w:lang w:eastAsia="da-DK"/>
        </w:rPr>
        <w:t>Virkningsmekanisme</w:t>
      </w:r>
    </w:p>
    <w:p w:rsidR="00034077" w:rsidRPr="004254D1" w:rsidRDefault="00034077" w:rsidP="00034077">
      <w:pPr>
        <w:tabs>
          <w:tab w:val="left" w:pos="851"/>
        </w:tabs>
        <w:ind w:left="851"/>
        <w:rPr>
          <w:sz w:val="24"/>
          <w:szCs w:val="24"/>
          <w:lang w:eastAsia="da-DK"/>
        </w:rPr>
      </w:pPr>
    </w:p>
    <w:p w:rsidR="00034077" w:rsidRPr="004254D1" w:rsidRDefault="00034077" w:rsidP="00034077">
      <w:pPr>
        <w:tabs>
          <w:tab w:val="left" w:pos="851"/>
        </w:tabs>
        <w:ind w:left="851"/>
        <w:rPr>
          <w:i/>
          <w:sz w:val="24"/>
          <w:szCs w:val="24"/>
          <w:lang w:eastAsia="da-DK"/>
        </w:rPr>
      </w:pPr>
      <w:r w:rsidRPr="004254D1">
        <w:rPr>
          <w:i/>
          <w:sz w:val="24"/>
          <w:szCs w:val="24"/>
          <w:lang w:eastAsia="da-DK"/>
        </w:rPr>
        <w:t>Fedtstofemulsion</w:t>
      </w:r>
    </w:p>
    <w:p w:rsidR="00034077" w:rsidRPr="004254D1" w:rsidRDefault="00034077" w:rsidP="00034077">
      <w:pPr>
        <w:tabs>
          <w:tab w:val="left" w:pos="851"/>
        </w:tabs>
        <w:ind w:left="851"/>
        <w:rPr>
          <w:sz w:val="24"/>
          <w:szCs w:val="24"/>
          <w:lang w:eastAsia="da-DK"/>
        </w:rPr>
      </w:pPr>
      <w:proofErr w:type="spellStart"/>
      <w:r w:rsidRPr="004254D1">
        <w:rPr>
          <w:sz w:val="24"/>
          <w:szCs w:val="24"/>
          <w:lang w:eastAsia="da-DK"/>
        </w:rPr>
        <w:t>Fedtstofkomponentet</w:t>
      </w:r>
      <w:proofErr w:type="spellEnd"/>
      <w:r w:rsidRPr="004254D1">
        <w:rPr>
          <w:sz w:val="24"/>
          <w:szCs w:val="24"/>
          <w:lang w:eastAsia="da-DK"/>
        </w:rPr>
        <w:t xml:space="preserve"> i </w:t>
      </w:r>
      <w:proofErr w:type="spellStart"/>
      <w:r>
        <w:rPr>
          <w:sz w:val="24"/>
          <w:szCs w:val="24"/>
          <w:lang w:eastAsia="da-DK"/>
        </w:rPr>
        <w:t>Finomel</w:t>
      </w:r>
      <w:proofErr w:type="spellEnd"/>
      <w:r w:rsidRPr="004254D1">
        <w:rPr>
          <w:sz w:val="24"/>
          <w:szCs w:val="24"/>
          <w:lang w:eastAsia="da-DK"/>
        </w:rPr>
        <w:t xml:space="preserve"> er en fedtstofblanding bestående af en kombination af fire forskellige oliekilder: sojabønneolie (30</w:t>
      </w:r>
      <w:r>
        <w:rPr>
          <w:sz w:val="24"/>
          <w:szCs w:val="24"/>
          <w:lang w:eastAsia="da-DK"/>
        </w:rPr>
        <w:t xml:space="preserve"> %</w:t>
      </w:r>
      <w:r w:rsidRPr="004254D1">
        <w:rPr>
          <w:sz w:val="24"/>
          <w:szCs w:val="24"/>
          <w:lang w:eastAsia="da-DK"/>
        </w:rPr>
        <w:t xml:space="preserve">), </w:t>
      </w:r>
      <w:proofErr w:type="spellStart"/>
      <w:r w:rsidRPr="004254D1">
        <w:rPr>
          <w:sz w:val="24"/>
          <w:szCs w:val="24"/>
          <w:lang w:eastAsia="da-DK"/>
        </w:rPr>
        <w:t>mellemkædet</w:t>
      </w:r>
      <w:proofErr w:type="spellEnd"/>
      <w:r w:rsidRPr="004254D1">
        <w:rPr>
          <w:sz w:val="24"/>
          <w:szCs w:val="24"/>
          <w:lang w:eastAsia="da-DK"/>
        </w:rPr>
        <w:t xml:space="preserve"> triglycerid-olie (25</w:t>
      </w:r>
      <w:r>
        <w:rPr>
          <w:sz w:val="24"/>
          <w:szCs w:val="24"/>
          <w:lang w:eastAsia="da-DK"/>
        </w:rPr>
        <w:t xml:space="preserve"> %</w:t>
      </w:r>
      <w:r w:rsidRPr="004254D1">
        <w:rPr>
          <w:sz w:val="24"/>
          <w:szCs w:val="24"/>
          <w:lang w:eastAsia="da-DK"/>
        </w:rPr>
        <w:t>), olivenolie (25</w:t>
      </w:r>
      <w:r>
        <w:rPr>
          <w:sz w:val="24"/>
          <w:szCs w:val="24"/>
          <w:lang w:eastAsia="da-DK"/>
        </w:rPr>
        <w:t xml:space="preserve"> %</w:t>
      </w:r>
      <w:r w:rsidRPr="004254D1">
        <w:rPr>
          <w:sz w:val="24"/>
          <w:szCs w:val="24"/>
          <w:lang w:eastAsia="da-DK"/>
        </w:rPr>
        <w:t>) og fiskeolie (20</w:t>
      </w:r>
      <w:r>
        <w:rPr>
          <w:sz w:val="24"/>
          <w:szCs w:val="24"/>
          <w:lang w:eastAsia="da-DK"/>
        </w:rPr>
        <w:t xml:space="preserve"> %</w:t>
      </w:r>
      <w:r w:rsidRPr="004254D1">
        <w:rPr>
          <w:sz w:val="24"/>
          <w:szCs w:val="24"/>
          <w:lang w:eastAsia="da-DK"/>
        </w:rPr>
        <w:t>).</w:t>
      </w:r>
    </w:p>
    <w:p w:rsidR="00034077" w:rsidRPr="004254D1" w:rsidRDefault="00034077" w:rsidP="00034077">
      <w:pPr>
        <w:tabs>
          <w:tab w:val="left" w:pos="851"/>
        </w:tabs>
        <w:ind w:left="1134" w:hanging="283"/>
        <w:rPr>
          <w:sz w:val="24"/>
          <w:szCs w:val="24"/>
          <w:lang w:eastAsia="da-DK"/>
        </w:rPr>
      </w:pPr>
      <w:r w:rsidRPr="004254D1">
        <w:rPr>
          <w:sz w:val="24"/>
          <w:szCs w:val="24"/>
          <w:lang w:eastAsia="da-DK"/>
        </w:rPr>
        <w:t>•</w:t>
      </w:r>
      <w:r w:rsidRPr="004254D1">
        <w:rPr>
          <w:sz w:val="24"/>
          <w:szCs w:val="24"/>
          <w:lang w:eastAsia="da-DK"/>
        </w:rPr>
        <w:tab/>
        <w:t xml:space="preserve">Sojabønneolie har et højt indhold af essentielle fedtsyrer. Omega-6-fedtsyren </w:t>
      </w:r>
      <w:proofErr w:type="spellStart"/>
      <w:r w:rsidRPr="004254D1">
        <w:rPr>
          <w:sz w:val="24"/>
          <w:szCs w:val="24"/>
          <w:lang w:eastAsia="da-DK"/>
        </w:rPr>
        <w:t>linolensyre</w:t>
      </w:r>
      <w:proofErr w:type="spellEnd"/>
      <w:r w:rsidRPr="004254D1">
        <w:rPr>
          <w:sz w:val="24"/>
          <w:szCs w:val="24"/>
          <w:lang w:eastAsia="da-DK"/>
        </w:rPr>
        <w:t xml:space="preserve"> er den mest fremherskende (ca. 55-60</w:t>
      </w:r>
      <w:r>
        <w:rPr>
          <w:sz w:val="24"/>
          <w:szCs w:val="24"/>
          <w:lang w:eastAsia="da-DK"/>
        </w:rPr>
        <w:t xml:space="preserve"> %</w:t>
      </w:r>
      <w:r w:rsidRPr="004254D1">
        <w:rPr>
          <w:sz w:val="24"/>
          <w:szCs w:val="24"/>
          <w:lang w:eastAsia="da-DK"/>
        </w:rPr>
        <w:t>). Alfa-</w:t>
      </w:r>
      <w:proofErr w:type="spellStart"/>
      <w:r w:rsidRPr="004254D1">
        <w:rPr>
          <w:sz w:val="24"/>
          <w:szCs w:val="24"/>
          <w:lang w:eastAsia="da-DK"/>
        </w:rPr>
        <w:t>linolensyre</w:t>
      </w:r>
      <w:proofErr w:type="spellEnd"/>
      <w:r w:rsidRPr="004254D1">
        <w:rPr>
          <w:sz w:val="24"/>
          <w:szCs w:val="24"/>
          <w:lang w:eastAsia="da-DK"/>
        </w:rPr>
        <w:t>, en omega-3-fedtsyre, udgør omkring 8</w:t>
      </w:r>
      <w:r>
        <w:rPr>
          <w:sz w:val="24"/>
          <w:szCs w:val="24"/>
          <w:lang w:eastAsia="da-DK"/>
        </w:rPr>
        <w:t xml:space="preserve"> %</w:t>
      </w:r>
      <w:r w:rsidRPr="004254D1">
        <w:rPr>
          <w:sz w:val="24"/>
          <w:szCs w:val="24"/>
          <w:lang w:eastAsia="da-DK"/>
        </w:rPr>
        <w:t xml:space="preserve">. Denne del af </w:t>
      </w:r>
      <w:proofErr w:type="spellStart"/>
      <w:r>
        <w:rPr>
          <w:sz w:val="24"/>
          <w:szCs w:val="24"/>
          <w:lang w:eastAsia="da-DK"/>
        </w:rPr>
        <w:t>Finomel</w:t>
      </w:r>
      <w:proofErr w:type="spellEnd"/>
      <w:r w:rsidRPr="004254D1">
        <w:rPr>
          <w:sz w:val="24"/>
          <w:szCs w:val="24"/>
          <w:lang w:eastAsia="da-DK"/>
        </w:rPr>
        <w:t xml:space="preserve"> sørger for den nødvendige mængde af essentielle fedtsyrer.</w:t>
      </w:r>
    </w:p>
    <w:p w:rsidR="00034077" w:rsidRPr="004254D1" w:rsidRDefault="00034077" w:rsidP="00034077">
      <w:pPr>
        <w:tabs>
          <w:tab w:val="left" w:pos="851"/>
        </w:tabs>
        <w:ind w:left="1134" w:hanging="283"/>
        <w:rPr>
          <w:sz w:val="24"/>
          <w:szCs w:val="24"/>
          <w:lang w:eastAsia="da-DK"/>
        </w:rPr>
      </w:pPr>
      <w:r w:rsidRPr="004254D1">
        <w:rPr>
          <w:sz w:val="24"/>
          <w:szCs w:val="24"/>
          <w:lang w:eastAsia="da-DK"/>
        </w:rPr>
        <w:t>•</w:t>
      </w:r>
      <w:r w:rsidRPr="004254D1">
        <w:rPr>
          <w:sz w:val="24"/>
          <w:szCs w:val="24"/>
          <w:lang w:eastAsia="da-DK"/>
        </w:rPr>
        <w:tab/>
        <w:t>Mellemkædede fedtsyrer oxideres hurtigt giver kroppen en form for øjeblikkelig tilgængelig energi.</w:t>
      </w:r>
    </w:p>
    <w:p w:rsidR="00034077" w:rsidRPr="004254D1" w:rsidRDefault="00034077" w:rsidP="00034077">
      <w:pPr>
        <w:tabs>
          <w:tab w:val="left" w:pos="851"/>
        </w:tabs>
        <w:ind w:left="1134" w:hanging="283"/>
        <w:rPr>
          <w:sz w:val="24"/>
          <w:szCs w:val="24"/>
          <w:lang w:eastAsia="da-DK"/>
        </w:rPr>
      </w:pPr>
      <w:r w:rsidRPr="004254D1">
        <w:rPr>
          <w:sz w:val="24"/>
          <w:szCs w:val="24"/>
          <w:lang w:eastAsia="da-DK"/>
        </w:rPr>
        <w:t>•</w:t>
      </w:r>
      <w:r w:rsidRPr="004254D1">
        <w:rPr>
          <w:sz w:val="24"/>
          <w:szCs w:val="24"/>
          <w:lang w:eastAsia="da-DK"/>
        </w:rPr>
        <w:tab/>
        <w:t>Olivenolie sørger hovedsageligt for energi i form af enkeltumættede fedtsyrer, som er langt mindre tilbøjelige til peroxidation end den tilsvarende mængde flerumættede fedtsyrer.</w:t>
      </w:r>
    </w:p>
    <w:p w:rsidR="00034077" w:rsidRPr="004254D1" w:rsidRDefault="00034077" w:rsidP="00034077">
      <w:pPr>
        <w:tabs>
          <w:tab w:val="left" w:pos="851"/>
        </w:tabs>
        <w:ind w:left="1134" w:hanging="283"/>
        <w:rPr>
          <w:sz w:val="24"/>
          <w:szCs w:val="24"/>
          <w:lang w:eastAsia="da-DK"/>
        </w:rPr>
      </w:pPr>
      <w:r w:rsidRPr="004254D1">
        <w:rPr>
          <w:sz w:val="24"/>
          <w:szCs w:val="24"/>
          <w:lang w:eastAsia="da-DK"/>
        </w:rPr>
        <w:t>•</w:t>
      </w:r>
      <w:r w:rsidRPr="004254D1">
        <w:rPr>
          <w:sz w:val="24"/>
          <w:szCs w:val="24"/>
          <w:lang w:eastAsia="da-DK"/>
        </w:rPr>
        <w:tab/>
        <w:t xml:space="preserve">Fiskeolie er karakteriseret ved et højt indhold af </w:t>
      </w:r>
      <w:proofErr w:type="spellStart"/>
      <w:r w:rsidRPr="004254D1">
        <w:rPr>
          <w:sz w:val="24"/>
          <w:szCs w:val="24"/>
          <w:lang w:eastAsia="da-DK"/>
        </w:rPr>
        <w:t>eicosapentaensyre</w:t>
      </w:r>
      <w:proofErr w:type="spellEnd"/>
      <w:r w:rsidRPr="004254D1">
        <w:rPr>
          <w:sz w:val="24"/>
          <w:szCs w:val="24"/>
          <w:lang w:eastAsia="da-DK"/>
        </w:rPr>
        <w:t xml:space="preserve"> (EPA) og </w:t>
      </w:r>
      <w:proofErr w:type="spellStart"/>
      <w:r w:rsidRPr="004254D1">
        <w:rPr>
          <w:sz w:val="24"/>
          <w:szCs w:val="24"/>
          <w:lang w:eastAsia="da-DK"/>
        </w:rPr>
        <w:t>docosahexaensyre</w:t>
      </w:r>
      <w:proofErr w:type="spellEnd"/>
      <w:r w:rsidRPr="004254D1">
        <w:rPr>
          <w:sz w:val="24"/>
          <w:szCs w:val="24"/>
          <w:lang w:eastAsia="da-DK"/>
        </w:rPr>
        <w:t xml:space="preserve"> (DHA). DHA er en vigtig strukturel komponent i cellemembraner, hvorimod EPA er et udgangsstof for </w:t>
      </w:r>
      <w:proofErr w:type="spellStart"/>
      <w:r w:rsidRPr="004254D1">
        <w:rPr>
          <w:sz w:val="24"/>
          <w:szCs w:val="24"/>
          <w:lang w:eastAsia="da-DK"/>
        </w:rPr>
        <w:t>eicosanoider</w:t>
      </w:r>
      <w:proofErr w:type="spellEnd"/>
      <w:r w:rsidRPr="004254D1">
        <w:rPr>
          <w:sz w:val="24"/>
          <w:szCs w:val="24"/>
          <w:lang w:eastAsia="da-DK"/>
        </w:rPr>
        <w:t xml:space="preserve"> såsom </w:t>
      </w:r>
      <w:proofErr w:type="spellStart"/>
      <w:r w:rsidRPr="004254D1">
        <w:rPr>
          <w:sz w:val="24"/>
          <w:szCs w:val="24"/>
          <w:lang w:eastAsia="da-DK"/>
        </w:rPr>
        <w:t>prostaglandiner</w:t>
      </w:r>
      <w:proofErr w:type="spellEnd"/>
      <w:r w:rsidRPr="004254D1">
        <w:rPr>
          <w:sz w:val="24"/>
          <w:szCs w:val="24"/>
          <w:lang w:eastAsia="da-DK"/>
        </w:rPr>
        <w:t xml:space="preserve">, </w:t>
      </w:r>
      <w:proofErr w:type="spellStart"/>
      <w:r w:rsidRPr="004254D1">
        <w:rPr>
          <w:sz w:val="24"/>
          <w:szCs w:val="24"/>
          <w:lang w:eastAsia="da-DK"/>
        </w:rPr>
        <w:t>tromboxaner</w:t>
      </w:r>
      <w:proofErr w:type="spellEnd"/>
      <w:r w:rsidRPr="004254D1">
        <w:rPr>
          <w:sz w:val="24"/>
          <w:szCs w:val="24"/>
          <w:lang w:eastAsia="da-DK"/>
        </w:rPr>
        <w:t xml:space="preserve"> og </w:t>
      </w:r>
      <w:proofErr w:type="spellStart"/>
      <w:r w:rsidRPr="004254D1">
        <w:rPr>
          <w:sz w:val="24"/>
          <w:szCs w:val="24"/>
          <w:lang w:eastAsia="da-DK"/>
        </w:rPr>
        <w:t>leukotriener</w:t>
      </w:r>
      <w:proofErr w:type="spellEnd"/>
      <w:r w:rsidRPr="004254D1">
        <w:rPr>
          <w:sz w:val="24"/>
          <w:szCs w:val="24"/>
          <w:lang w:eastAsia="da-DK"/>
        </w:rPr>
        <w:t>.</w:t>
      </w:r>
    </w:p>
    <w:p w:rsidR="00034077" w:rsidRPr="004254D1" w:rsidRDefault="00034077" w:rsidP="00034077">
      <w:pPr>
        <w:tabs>
          <w:tab w:val="left" w:pos="851"/>
        </w:tabs>
        <w:ind w:left="851"/>
        <w:rPr>
          <w:sz w:val="24"/>
          <w:szCs w:val="24"/>
          <w:lang w:eastAsia="da-DK"/>
        </w:rPr>
      </w:pPr>
    </w:p>
    <w:p w:rsidR="00034077" w:rsidRPr="004254D1" w:rsidRDefault="00034077" w:rsidP="00034077">
      <w:pPr>
        <w:tabs>
          <w:tab w:val="left" w:pos="851"/>
        </w:tabs>
        <w:ind w:left="851"/>
        <w:rPr>
          <w:i/>
          <w:sz w:val="24"/>
          <w:szCs w:val="24"/>
          <w:lang w:eastAsia="da-DK"/>
        </w:rPr>
      </w:pPr>
      <w:r w:rsidRPr="004254D1">
        <w:rPr>
          <w:i/>
          <w:sz w:val="24"/>
          <w:szCs w:val="24"/>
          <w:lang w:eastAsia="da-DK"/>
        </w:rPr>
        <w:t>Aminosyrer og elektrolytter</w:t>
      </w:r>
    </w:p>
    <w:p w:rsidR="00034077" w:rsidRPr="004254D1" w:rsidRDefault="00034077" w:rsidP="00034077">
      <w:pPr>
        <w:tabs>
          <w:tab w:val="left" w:pos="851"/>
        </w:tabs>
        <w:ind w:left="851"/>
        <w:rPr>
          <w:sz w:val="24"/>
          <w:szCs w:val="24"/>
          <w:lang w:eastAsia="da-DK"/>
        </w:rPr>
      </w:pPr>
      <w:r w:rsidRPr="004254D1">
        <w:rPr>
          <w:sz w:val="24"/>
          <w:szCs w:val="24"/>
          <w:lang w:eastAsia="da-DK"/>
        </w:rPr>
        <w:t xml:space="preserve">Aminosyrer, som er grundbestanddelen i proteiner i almindelig mad, bruges i vævenes proteinsyntese, og et eventuelt overskud kanaliseres til en række metaboliske </w:t>
      </w:r>
      <w:proofErr w:type="spellStart"/>
      <w:r w:rsidRPr="004254D1">
        <w:rPr>
          <w:sz w:val="24"/>
          <w:szCs w:val="24"/>
          <w:lang w:eastAsia="da-DK"/>
        </w:rPr>
        <w:t>pathways</w:t>
      </w:r>
      <w:proofErr w:type="spellEnd"/>
      <w:r w:rsidRPr="004254D1">
        <w:rPr>
          <w:sz w:val="24"/>
          <w:szCs w:val="24"/>
          <w:lang w:eastAsia="da-DK"/>
        </w:rPr>
        <w:t>. Studier har vist en termogenetisk effekt af infusion af aminosyrer.</w:t>
      </w:r>
    </w:p>
    <w:p w:rsidR="00034077" w:rsidRPr="004254D1" w:rsidRDefault="00034077" w:rsidP="00034077">
      <w:pPr>
        <w:tabs>
          <w:tab w:val="left" w:pos="851"/>
        </w:tabs>
        <w:ind w:left="851"/>
        <w:rPr>
          <w:sz w:val="24"/>
          <w:szCs w:val="24"/>
          <w:lang w:eastAsia="da-DK"/>
        </w:rPr>
      </w:pPr>
    </w:p>
    <w:p w:rsidR="00034077" w:rsidRPr="004254D1" w:rsidRDefault="00034077" w:rsidP="00034077">
      <w:pPr>
        <w:tabs>
          <w:tab w:val="left" w:pos="851"/>
        </w:tabs>
        <w:ind w:left="851"/>
        <w:rPr>
          <w:i/>
          <w:sz w:val="24"/>
          <w:szCs w:val="24"/>
          <w:lang w:eastAsia="da-DK"/>
        </w:rPr>
      </w:pPr>
      <w:proofErr w:type="spellStart"/>
      <w:r w:rsidRPr="004254D1">
        <w:rPr>
          <w:i/>
          <w:sz w:val="24"/>
          <w:szCs w:val="24"/>
          <w:lang w:eastAsia="da-DK"/>
        </w:rPr>
        <w:t>Glucose</w:t>
      </w:r>
      <w:proofErr w:type="spellEnd"/>
    </w:p>
    <w:p w:rsidR="00034077" w:rsidRPr="004254D1" w:rsidRDefault="00034077" w:rsidP="00034077">
      <w:pPr>
        <w:tabs>
          <w:tab w:val="left" w:pos="851"/>
        </w:tabs>
        <w:ind w:left="851"/>
        <w:rPr>
          <w:sz w:val="24"/>
          <w:szCs w:val="24"/>
          <w:lang w:eastAsia="da-DK"/>
        </w:rPr>
      </w:pPr>
      <w:proofErr w:type="spellStart"/>
      <w:r w:rsidRPr="004254D1">
        <w:rPr>
          <w:sz w:val="24"/>
          <w:szCs w:val="24"/>
          <w:lang w:eastAsia="da-DK"/>
        </w:rPr>
        <w:t>Glucose</w:t>
      </w:r>
      <w:proofErr w:type="spellEnd"/>
      <w:r w:rsidRPr="004254D1">
        <w:rPr>
          <w:sz w:val="24"/>
          <w:szCs w:val="24"/>
          <w:lang w:eastAsia="da-DK"/>
        </w:rPr>
        <w:t xml:space="preserve"> bør tjene som en energikilde og bidrage til vedligeholdelsen af den normale ernæringstilstand.</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5.2</w:t>
      </w:r>
      <w:r w:rsidRPr="009369B9">
        <w:rPr>
          <w:b/>
          <w:sz w:val="24"/>
          <w:szCs w:val="24"/>
        </w:rPr>
        <w:tab/>
      </w:r>
      <w:proofErr w:type="spellStart"/>
      <w:r w:rsidRPr="009369B9">
        <w:rPr>
          <w:b/>
          <w:sz w:val="24"/>
          <w:szCs w:val="24"/>
        </w:rPr>
        <w:t>Farmakokinetiske</w:t>
      </w:r>
      <w:proofErr w:type="spellEnd"/>
      <w:r w:rsidRPr="009369B9">
        <w:rPr>
          <w:b/>
          <w:sz w:val="24"/>
          <w:szCs w:val="24"/>
        </w:rPr>
        <w:t xml:space="preserve"> egenskaber</w:t>
      </w:r>
    </w:p>
    <w:p w:rsidR="00034077" w:rsidRPr="000B3803" w:rsidRDefault="00034077" w:rsidP="00034077">
      <w:pPr>
        <w:tabs>
          <w:tab w:val="left" w:pos="851"/>
        </w:tabs>
        <w:ind w:left="851"/>
        <w:rPr>
          <w:sz w:val="24"/>
          <w:szCs w:val="24"/>
          <w:lang w:eastAsia="da-DK"/>
        </w:rPr>
      </w:pPr>
    </w:p>
    <w:p w:rsidR="00034077" w:rsidRPr="000B3803" w:rsidRDefault="00034077" w:rsidP="00034077">
      <w:pPr>
        <w:tabs>
          <w:tab w:val="left" w:pos="851"/>
        </w:tabs>
        <w:ind w:left="851"/>
        <w:rPr>
          <w:sz w:val="24"/>
          <w:szCs w:val="24"/>
          <w:u w:val="single"/>
          <w:lang w:eastAsia="da-DK"/>
        </w:rPr>
      </w:pPr>
      <w:r w:rsidRPr="000B3803">
        <w:rPr>
          <w:sz w:val="24"/>
          <w:szCs w:val="24"/>
          <w:u w:val="single"/>
          <w:lang w:eastAsia="da-DK"/>
        </w:rPr>
        <w:t>Fedtstofemulsion</w:t>
      </w:r>
    </w:p>
    <w:p w:rsidR="00034077" w:rsidRPr="000B3803" w:rsidRDefault="00034077" w:rsidP="00034077">
      <w:pPr>
        <w:tabs>
          <w:tab w:val="left" w:pos="851"/>
        </w:tabs>
        <w:ind w:left="851"/>
        <w:rPr>
          <w:sz w:val="24"/>
          <w:szCs w:val="24"/>
          <w:lang w:eastAsia="da-DK"/>
        </w:rPr>
      </w:pPr>
      <w:r w:rsidRPr="000B3803">
        <w:rPr>
          <w:sz w:val="24"/>
          <w:szCs w:val="24"/>
          <w:lang w:eastAsia="da-DK"/>
        </w:rPr>
        <w:t xml:space="preserve">De individuelle triglycerider i kombinationsfedtstofemulsioner har forskellige </w:t>
      </w:r>
      <w:proofErr w:type="spellStart"/>
      <w:r w:rsidRPr="000B3803">
        <w:rPr>
          <w:sz w:val="24"/>
          <w:szCs w:val="24"/>
          <w:lang w:eastAsia="da-DK"/>
        </w:rPr>
        <w:t>clearence</w:t>
      </w:r>
      <w:proofErr w:type="spellEnd"/>
      <w:r w:rsidRPr="000B3803">
        <w:rPr>
          <w:sz w:val="24"/>
          <w:szCs w:val="24"/>
          <w:lang w:eastAsia="da-DK"/>
        </w:rPr>
        <w:t xml:space="preserve">-hastigheder, men data for lignende kombinationsfedtstofemulsioner har vist, at disse blandinger elimineres hurtigere end langkædede triglyceridemulsioner (LCT). Olivenolie har den langsomste </w:t>
      </w:r>
      <w:proofErr w:type="spellStart"/>
      <w:r w:rsidRPr="000B3803">
        <w:rPr>
          <w:sz w:val="24"/>
          <w:szCs w:val="24"/>
          <w:lang w:eastAsia="da-DK"/>
        </w:rPr>
        <w:t>clearence</w:t>
      </w:r>
      <w:proofErr w:type="spellEnd"/>
      <w:r w:rsidRPr="000B3803">
        <w:rPr>
          <w:sz w:val="24"/>
          <w:szCs w:val="24"/>
          <w:lang w:eastAsia="da-DK"/>
        </w:rPr>
        <w:t xml:space="preserve">-hastighed af komponenterne (noget langsommere end LCT), og mellemkædede triglycerider har den hurtigste. Fiskeolie i en blanding med LCT har den samme </w:t>
      </w:r>
      <w:proofErr w:type="spellStart"/>
      <w:r w:rsidRPr="000B3803">
        <w:rPr>
          <w:sz w:val="24"/>
          <w:szCs w:val="24"/>
          <w:lang w:eastAsia="da-DK"/>
        </w:rPr>
        <w:t>clearence</w:t>
      </w:r>
      <w:proofErr w:type="spellEnd"/>
      <w:r w:rsidRPr="000B3803">
        <w:rPr>
          <w:sz w:val="24"/>
          <w:szCs w:val="24"/>
          <w:lang w:eastAsia="da-DK"/>
        </w:rPr>
        <w:t>-hastighed som LCT alene.</w:t>
      </w:r>
    </w:p>
    <w:p w:rsidR="00034077" w:rsidRPr="000B3803" w:rsidRDefault="00034077" w:rsidP="00034077">
      <w:pPr>
        <w:tabs>
          <w:tab w:val="left" w:pos="851"/>
        </w:tabs>
        <w:ind w:left="851"/>
        <w:rPr>
          <w:sz w:val="24"/>
          <w:szCs w:val="24"/>
          <w:lang w:eastAsia="da-DK"/>
        </w:rPr>
      </w:pPr>
    </w:p>
    <w:p w:rsidR="00034077" w:rsidRPr="000B3803" w:rsidRDefault="00034077" w:rsidP="00034077">
      <w:pPr>
        <w:tabs>
          <w:tab w:val="left" w:pos="851"/>
        </w:tabs>
        <w:ind w:left="851"/>
        <w:rPr>
          <w:sz w:val="24"/>
          <w:szCs w:val="24"/>
          <w:u w:val="single"/>
          <w:lang w:eastAsia="da-DK"/>
        </w:rPr>
      </w:pPr>
      <w:r w:rsidRPr="000B3803">
        <w:rPr>
          <w:sz w:val="24"/>
          <w:szCs w:val="24"/>
          <w:u w:val="single"/>
          <w:lang w:eastAsia="da-DK"/>
        </w:rPr>
        <w:t>Aminosyrer og elektrolytter</w:t>
      </w:r>
    </w:p>
    <w:p w:rsidR="00034077" w:rsidRPr="000B3803" w:rsidRDefault="00034077" w:rsidP="00034077">
      <w:pPr>
        <w:tabs>
          <w:tab w:val="left" w:pos="851"/>
        </w:tabs>
        <w:ind w:left="851"/>
        <w:rPr>
          <w:sz w:val="24"/>
          <w:szCs w:val="24"/>
          <w:lang w:eastAsia="da-DK"/>
        </w:rPr>
      </w:pPr>
      <w:r w:rsidRPr="000B3803">
        <w:rPr>
          <w:sz w:val="24"/>
          <w:szCs w:val="24"/>
          <w:lang w:eastAsia="da-DK"/>
        </w:rPr>
        <w:t xml:space="preserve">De vigtigste </w:t>
      </w:r>
      <w:proofErr w:type="spellStart"/>
      <w:r w:rsidRPr="000B3803">
        <w:rPr>
          <w:sz w:val="24"/>
          <w:szCs w:val="24"/>
          <w:lang w:eastAsia="da-DK"/>
        </w:rPr>
        <w:t>farmakokinetiske</w:t>
      </w:r>
      <w:proofErr w:type="spellEnd"/>
      <w:r w:rsidRPr="000B3803">
        <w:rPr>
          <w:sz w:val="24"/>
          <w:szCs w:val="24"/>
          <w:lang w:eastAsia="da-DK"/>
        </w:rPr>
        <w:t xml:space="preserve"> egenskaber for de </w:t>
      </w:r>
      <w:proofErr w:type="spellStart"/>
      <w:r w:rsidRPr="000B3803">
        <w:rPr>
          <w:sz w:val="24"/>
          <w:szCs w:val="24"/>
          <w:lang w:eastAsia="da-DK"/>
        </w:rPr>
        <w:t>infunderede</w:t>
      </w:r>
      <w:proofErr w:type="spellEnd"/>
      <w:r w:rsidRPr="000B3803">
        <w:rPr>
          <w:sz w:val="24"/>
          <w:szCs w:val="24"/>
          <w:lang w:eastAsia="da-DK"/>
        </w:rPr>
        <w:t xml:space="preserve"> aminosyrer og elektrolytter er essentielt set de samme som for aminosyrer og elektrolytter fra almindelig mad. Dog kommer aminosyrer fra proteiner fra kosten først ind i portalvenen og så i den systemiske cirkulation, imens intravenøst </w:t>
      </w:r>
      <w:proofErr w:type="spellStart"/>
      <w:r w:rsidRPr="000B3803">
        <w:rPr>
          <w:sz w:val="24"/>
          <w:szCs w:val="24"/>
          <w:lang w:eastAsia="da-DK"/>
        </w:rPr>
        <w:t>infunderede</w:t>
      </w:r>
      <w:proofErr w:type="spellEnd"/>
      <w:r w:rsidRPr="000B3803">
        <w:rPr>
          <w:sz w:val="24"/>
          <w:szCs w:val="24"/>
          <w:lang w:eastAsia="da-DK"/>
        </w:rPr>
        <w:t xml:space="preserve"> aminosyrer når den systemiske cirkulation direkte.</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5.3</w:t>
      </w:r>
      <w:r w:rsidRPr="009369B9">
        <w:rPr>
          <w:b/>
          <w:sz w:val="24"/>
          <w:szCs w:val="24"/>
        </w:rPr>
        <w:tab/>
      </w:r>
      <w:r w:rsidR="00F8625A">
        <w:rPr>
          <w:b/>
          <w:sz w:val="24"/>
          <w:szCs w:val="24"/>
        </w:rPr>
        <w:t>Non-</w:t>
      </w:r>
      <w:r w:rsidRPr="009369B9">
        <w:rPr>
          <w:b/>
          <w:sz w:val="24"/>
          <w:szCs w:val="24"/>
        </w:rPr>
        <w:t>kliniske sikkerhedsdata</w:t>
      </w:r>
    </w:p>
    <w:p w:rsidR="00034077" w:rsidRPr="00565354" w:rsidRDefault="00034077" w:rsidP="00034077">
      <w:pPr>
        <w:tabs>
          <w:tab w:val="left" w:pos="851"/>
        </w:tabs>
        <w:ind w:left="851"/>
        <w:rPr>
          <w:sz w:val="24"/>
          <w:szCs w:val="24"/>
          <w:lang w:eastAsia="da-DK"/>
        </w:rPr>
      </w:pPr>
      <w:r w:rsidRPr="00565354">
        <w:rPr>
          <w:sz w:val="24"/>
          <w:szCs w:val="24"/>
          <w:lang w:eastAsia="da-DK"/>
        </w:rPr>
        <w:t xml:space="preserve">Der er ikke foretaget konventionelle studier af sikkerhedsfarmakologi, toksicitet efter gentagne doser, genotoksicitet, </w:t>
      </w:r>
      <w:proofErr w:type="spellStart"/>
      <w:r w:rsidRPr="00565354">
        <w:rPr>
          <w:sz w:val="24"/>
          <w:szCs w:val="24"/>
          <w:lang w:eastAsia="da-DK"/>
        </w:rPr>
        <w:t>karcinogenicitet</w:t>
      </w:r>
      <w:proofErr w:type="spellEnd"/>
      <w:r w:rsidRPr="00565354">
        <w:rPr>
          <w:sz w:val="24"/>
          <w:szCs w:val="24"/>
          <w:lang w:eastAsia="da-DK"/>
        </w:rPr>
        <w:t xml:space="preserve"> samt reproduktions- og udviklingstoksicitet med </w:t>
      </w:r>
      <w:proofErr w:type="spellStart"/>
      <w:r>
        <w:rPr>
          <w:sz w:val="24"/>
          <w:szCs w:val="24"/>
          <w:lang w:eastAsia="da-DK"/>
        </w:rPr>
        <w:t>Finomel</w:t>
      </w:r>
      <w:proofErr w:type="spellEnd"/>
      <w:r w:rsidRPr="00565354">
        <w:rPr>
          <w:sz w:val="24"/>
          <w:szCs w:val="24"/>
          <w:lang w:eastAsia="da-DK"/>
        </w:rPr>
        <w:t>.</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6.</w:t>
      </w:r>
      <w:r w:rsidRPr="009369B9">
        <w:rPr>
          <w:b/>
          <w:sz w:val="24"/>
          <w:szCs w:val="24"/>
        </w:rPr>
        <w:tab/>
        <w:t>FARMACEUTISKE OPLYSNINGER</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6.1</w:t>
      </w:r>
      <w:r w:rsidRPr="009369B9">
        <w:rPr>
          <w:b/>
          <w:sz w:val="24"/>
          <w:szCs w:val="24"/>
        </w:rPr>
        <w:tab/>
        <w:t>Hjælpestoffer</w:t>
      </w:r>
    </w:p>
    <w:p w:rsidR="00034077" w:rsidRPr="009369B9" w:rsidRDefault="00034077" w:rsidP="00034077">
      <w:pPr>
        <w:ind w:left="851"/>
        <w:rPr>
          <w:sz w:val="24"/>
          <w:szCs w:val="24"/>
        </w:rPr>
      </w:pPr>
      <w:r w:rsidRPr="009369B9">
        <w:rPr>
          <w:sz w:val="24"/>
          <w:szCs w:val="24"/>
        </w:rPr>
        <w:t>Iseddikesyre (til pH-justering)</w:t>
      </w:r>
    </w:p>
    <w:p w:rsidR="00034077" w:rsidRPr="009369B9" w:rsidRDefault="00034077" w:rsidP="00034077">
      <w:pPr>
        <w:ind w:left="851"/>
        <w:rPr>
          <w:sz w:val="24"/>
          <w:szCs w:val="24"/>
        </w:rPr>
      </w:pPr>
      <w:r w:rsidRPr="009369B9">
        <w:rPr>
          <w:sz w:val="24"/>
          <w:szCs w:val="24"/>
        </w:rPr>
        <w:t>Saltsyre (til pH-justering)</w:t>
      </w:r>
    </w:p>
    <w:p w:rsidR="00034077" w:rsidRPr="006C38EA" w:rsidRDefault="00034077" w:rsidP="00034077">
      <w:pPr>
        <w:ind w:left="851"/>
        <w:rPr>
          <w:sz w:val="24"/>
          <w:szCs w:val="24"/>
        </w:rPr>
      </w:pPr>
      <w:r w:rsidRPr="006C38EA">
        <w:rPr>
          <w:sz w:val="24"/>
          <w:szCs w:val="24"/>
        </w:rPr>
        <w:t>Æg-</w:t>
      </w:r>
      <w:proofErr w:type="spellStart"/>
      <w:r w:rsidRPr="006C38EA">
        <w:rPr>
          <w:sz w:val="24"/>
          <w:szCs w:val="24"/>
        </w:rPr>
        <w:t>phospholipider</w:t>
      </w:r>
      <w:proofErr w:type="spellEnd"/>
      <w:r w:rsidRPr="006C38EA">
        <w:rPr>
          <w:sz w:val="24"/>
          <w:szCs w:val="24"/>
        </w:rPr>
        <w:t xml:space="preserve"> til injektion</w:t>
      </w:r>
    </w:p>
    <w:p w:rsidR="00034077" w:rsidRPr="009369B9" w:rsidRDefault="00034077" w:rsidP="00034077">
      <w:pPr>
        <w:ind w:left="851"/>
        <w:rPr>
          <w:sz w:val="24"/>
          <w:szCs w:val="24"/>
          <w:lang w:val="en-US"/>
        </w:rPr>
      </w:pPr>
      <w:r w:rsidRPr="009369B9">
        <w:rPr>
          <w:sz w:val="24"/>
          <w:szCs w:val="24"/>
          <w:lang w:val="en-US"/>
        </w:rPr>
        <w:t xml:space="preserve">Glycerol </w:t>
      </w:r>
    </w:p>
    <w:p w:rsidR="00034077" w:rsidRPr="009369B9" w:rsidRDefault="00034077" w:rsidP="00034077">
      <w:pPr>
        <w:ind w:left="851"/>
        <w:rPr>
          <w:sz w:val="24"/>
          <w:szCs w:val="24"/>
          <w:lang w:val="en-US"/>
        </w:rPr>
      </w:pPr>
      <w:proofErr w:type="spellStart"/>
      <w:r w:rsidRPr="009369B9">
        <w:rPr>
          <w:sz w:val="24"/>
          <w:szCs w:val="24"/>
          <w:lang w:val="en-US"/>
        </w:rPr>
        <w:t>Natriumoleat</w:t>
      </w:r>
      <w:proofErr w:type="spellEnd"/>
      <w:r w:rsidRPr="009369B9">
        <w:rPr>
          <w:sz w:val="24"/>
          <w:szCs w:val="24"/>
          <w:lang w:val="en-US"/>
        </w:rPr>
        <w:t xml:space="preserve"> </w:t>
      </w:r>
    </w:p>
    <w:p w:rsidR="00034077" w:rsidRPr="009369B9" w:rsidRDefault="00034077" w:rsidP="00034077">
      <w:pPr>
        <w:ind w:left="851"/>
        <w:rPr>
          <w:sz w:val="24"/>
          <w:szCs w:val="24"/>
          <w:lang w:val="en-US"/>
        </w:rPr>
      </w:pPr>
      <w:r w:rsidRPr="009369B9">
        <w:rPr>
          <w:sz w:val="24"/>
          <w:szCs w:val="24"/>
          <w:lang w:val="en-US"/>
        </w:rPr>
        <w:t>All-</w:t>
      </w:r>
      <w:proofErr w:type="spellStart"/>
      <w:r w:rsidRPr="009369B9">
        <w:rPr>
          <w:sz w:val="24"/>
          <w:szCs w:val="24"/>
          <w:lang w:val="en-US"/>
        </w:rPr>
        <w:t>rac</w:t>
      </w:r>
      <w:proofErr w:type="spellEnd"/>
      <w:r w:rsidRPr="009369B9">
        <w:rPr>
          <w:sz w:val="24"/>
          <w:szCs w:val="24"/>
          <w:lang w:val="en-US"/>
        </w:rPr>
        <w:t>-</w:t>
      </w:r>
      <w:r w:rsidRPr="009369B9">
        <w:rPr>
          <w:sz w:val="24"/>
          <w:szCs w:val="24"/>
        </w:rPr>
        <w:t>α</w:t>
      </w:r>
      <w:r w:rsidRPr="009369B9">
        <w:rPr>
          <w:sz w:val="24"/>
          <w:szCs w:val="24"/>
          <w:lang w:val="en-US"/>
        </w:rPr>
        <w:t>-Tocopherol</w:t>
      </w:r>
    </w:p>
    <w:p w:rsidR="00034077" w:rsidRPr="009369B9" w:rsidRDefault="00034077" w:rsidP="00034077">
      <w:pPr>
        <w:ind w:left="851"/>
        <w:rPr>
          <w:sz w:val="24"/>
          <w:szCs w:val="24"/>
        </w:rPr>
      </w:pPr>
      <w:r w:rsidRPr="009369B9">
        <w:rPr>
          <w:sz w:val="24"/>
          <w:szCs w:val="24"/>
        </w:rPr>
        <w:t xml:space="preserve">Natriumhydroxid (til pH-justering) </w:t>
      </w:r>
    </w:p>
    <w:p w:rsidR="00034077" w:rsidRPr="009369B9" w:rsidRDefault="00034077" w:rsidP="00034077">
      <w:pPr>
        <w:ind w:left="851"/>
        <w:rPr>
          <w:sz w:val="24"/>
          <w:szCs w:val="24"/>
        </w:rPr>
      </w:pPr>
      <w:r w:rsidRPr="009369B9">
        <w:rPr>
          <w:sz w:val="24"/>
          <w:szCs w:val="24"/>
        </w:rPr>
        <w:t>Vand til injektionsvæsker</w:t>
      </w:r>
    </w:p>
    <w:p w:rsidR="00034077" w:rsidRPr="009369B9" w:rsidRDefault="00034077" w:rsidP="00034077">
      <w:pPr>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6.2</w:t>
      </w:r>
      <w:r w:rsidRPr="009369B9">
        <w:rPr>
          <w:b/>
          <w:sz w:val="24"/>
          <w:szCs w:val="24"/>
        </w:rPr>
        <w:tab/>
        <w:t>Uforligeligheder</w:t>
      </w:r>
    </w:p>
    <w:p w:rsidR="00034077" w:rsidRPr="009369B9" w:rsidRDefault="00034077" w:rsidP="00034077">
      <w:pPr>
        <w:tabs>
          <w:tab w:val="left" w:pos="851"/>
        </w:tabs>
        <w:ind w:left="851"/>
        <w:rPr>
          <w:sz w:val="24"/>
          <w:lang w:eastAsia="da-DK"/>
        </w:rPr>
      </w:pPr>
      <w:r w:rsidRPr="009369B9">
        <w:rPr>
          <w:sz w:val="24"/>
          <w:lang w:eastAsia="da-DK"/>
        </w:rPr>
        <w:t>Dette lægemiddel må ikke blandes med andre lægemidler, uden at forligeligheden er kontrolleret (se pkt. 6.6).</w:t>
      </w:r>
    </w:p>
    <w:p w:rsidR="00034077" w:rsidRPr="009369B9" w:rsidRDefault="00034077" w:rsidP="00034077">
      <w:pPr>
        <w:tabs>
          <w:tab w:val="left" w:pos="851"/>
        </w:tabs>
        <w:ind w:left="851"/>
        <w:rPr>
          <w:sz w:val="24"/>
          <w:lang w:eastAsia="da-DK"/>
        </w:rPr>
      </w:pPr>
    </w:p>
    <w:p w:rsidR="00034077" w:rsidRPr="009369B9" w:rsidRDefault="00034077" w:rsidP="00034077">
      <w:pPr>
        <w:tabs>
          <w:tab w:val="left" w:pos="851"/>
        </w:tabs>
        <w:ind w:left="851"/>
        <w:rPr>
          <w:sz w:val="24"/>
          <w:lang w:eastAsia="da-DK"/>
        </w:rPr>
      </w:pPr>
      <w:proofErr w:type="spellStart"/>
      <w:r w:rsidRPr="009369B9">
        <w:rPr>
          <w:sz w:val="24"/>
          <w:lang w:eastAsia="da-DK"/>
        </w:rPr>
        <w:t>Ceftriaxon</w:t>
      </w:r>
      <w:proofErr w:type="spellEnd"/>
      <w:r w:rsidRPr="009369B9">
        <w:rPr>
          <w:sz w:val="24"/>
          <w:lang w:eastAsia="da-DK"/>
        </w:rPr>
        <w:t xml:space="preserve"> må ikke blandes eller indgives samtidig med intravenøse opløsninger, der indeholder calcium, inklusive </w:t>
      </w:r>
      <w:proofErr w:type="spellStart"/>
      <w:r>
        <w:rPr>
          <w:sz w:val="24"/>
          <w:lang w:eastAsia="da-DK"/>
        </w:rPr>
        <w:t>Finomel</w:t>
      </w:r>
      <w:proofErr w:type="spellEnd"/>
      <w:r w:rsidRPr="009369B9">
        <w:rPr>
          <w:sz w:val="24"/>
          <w:lang w:eastAsia="da-DK"/>
        </w:rPr>
        <w:t xml:space="preserve"> (se pkt. 4.5). </w:t>
      </w:r>
    </w:p>
    <w:p w:rsidR="00034077" w:rsidRPr="009369B9" w:rsidRDefault="00034077" w:rsidP="00034077">
      <w:pPr>
        <w:tabs>
          <w:tab w:val="left" w:pos="851"/>
        </w:tabs>
        <w:ind w:left="851"/>
        <w:rPr>
          <w:sz w:val="24"/>
          <w:lang w:eastAsia="da-DK"/>
        </w:rPr>
      </w:pPr>
    </w:p>
    <w:p w:rsidR="00034077" w:rsidRPr="002E1EC0" w:rsidRDefault="00034077" w:rsidP="00034077">
      <w:pPr>
        <w:tabs>
          <w:tab w:val="left" w:pos="851"/>
        </w:tabs>
        <w:ind w:left="851"/>
        <w:rPr>
          <w:sz w:val="24"/>
          <w:lang w:eastAsia="da-DK"/>
        </w:rPr>
      </w:pPr>
      <w:proofErr w:type="spellStart"/>
      <w:r>
        <w:rPr>
          <w:sz w:val="24"/>
          <w:lang w:eastAsia="da-DK"/>
        </w:rPr>
        <w:t>Finomel</w:t>
      </w:r>
      <w:proofErr w:type="spellEnd"/>
      <w:r w:rsidRPr="009369B9">
        <w:rPr>
          <w:sz w:val="24"/>
          <w:lang w:eastAsia="da-DK"/>
        </w:rPr>
        <w:t xml:space="preserve"> må ikke indgives samtidig med blod via samme infusionsslanger (se pkt. 4.5).</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6.3</w:t>
      </w:r>
      <w:r w:rsidRPr="009369B9">
        <w:rPr>
          <w:b/>
          <w:sz w:val="24"/>
          <w:szCs w:val="24"/>
        </w:rPr>
        <w:tab/>
        <w:t>Opbevaringstid</w:t>
      </w:r>
    </w:p>
    <w:p w:rsidR="00034077" w:rsidRPr="00500A78" w:rsidRDefault="00034077" w:rsidP="00034077">
      <w:pPr>
        <w:tabs>
          <w:tab w:val="left" w:pos="851"/>
        </w:tabs>
        <w:ind w:left="851"/>
        <w:rPr>
          <w:sz w:val="24"/>
          <w:lang w:eastAsia="da-DK"/>
        </w:rPr>
      </w:pPr>
      <w:r w:rsidRPr="00500A78">
        <w:rPr>
          <w:sz w:val="24"/>
          <w:lang w:eastAsia="da-DK"/>
        </w:rPr>
        <w:t>2 år.</w:t>
      </w:r>
    </w:p>
    <w:p w:rsidR="00034077" w:rsidRPr="00500A78" w:rsidRDefault="00034077" w:rsidP="00034077">
      <w:pPr>
        <w:tabs>
          <w:tab w:val="left" w:pos="851"/>
        </w:tabs>
        <w:ind w:left="851"/>
        <w:rPr>
          <w:sz w:val="24"/>
          <w:lang w:eastAsia="da-DK"/>
        </w:rPr>
      </w:pPr>
    </w:p>
    <w:p w:rsidR="00034077" w:rsidRPr="00500A78" w:rsidRDefault="00034077" w:rsidP="00034077">
      <w:pPr>
        <w:tabs>
          <w:tab w:val="left" w:pos="851"/>
        </w:tabs>
        <w:ind w:left="851"/>
        <w:rPr>
          <w:sz w:val="24"/>
          <w:lang w:eastAsia="da-DK"/>
        </w:rPr>
      </w:pPr>
      <w:r w:rsidRPr="00500A78">
        <w:rPr>
          <w:sz w:val="24"/>
          <w:u w:val="single"/>
          <w:lang w:eastAsia="da-DK"/>
        </w:rPr>
        <w:t xml:space="preserve">Efter </w:t>
      </w:r>
      <w:proofErr w:type="spellStart"/>
      <w:r w:rsidRPr="00500A78">
        <w:rPr>
          <w:sz w:val="24"/>
          <w:u w:val="single"/>
          <w:lang w:eastAsia="da-DK"/>
        </w:rPr>
        <w:t>rekonstitution</w:t>
      </w:r>
      <w:proofErr w:type="spellEnd"/>
    </w:p>
    <w:p w:rsidR="00034077" w:rsidRPr="00500A78" w:rsidRDefault="00034077" w:rsidP="00034077">
      <w:pPr>
        <w:tabs>
          <w:tab w:val="left" w:pos="851"/>
        </w:tabs>
        <w:ind w:left="851"/>
        <w:rPr>
          <w:sz w:val="24"/>
          <w:lang w:eastAsia="da-DK"/>
        </w:rPr>
      </w:pPr>
      <w:r w:rsidRPr="00500A78">
        <w:rPr>
          <w:sz w:val="24"/>
          <w:lang w:eastAsia="da-DK"/>
        </w:rPr>
        <w:t xml:space="preserve">Det anbefales at anvende produktet umiddelbart efter, at de ikke-permanente forseglinger mellem de 3 kamre er blevet åbnet. Stabilitetsdata understøtter dog opbevaring af de </w:t>
      </w:r>
      <w:proofErr w:type="spellStart"/>
      <w:r w:rsidRPr="00500A78">
        <w:rPr>
          <w:sz w:val="24"/>
          <w:lang w:eastAsia="da-DK"/>
        </w:rPr>
        <w:t>rekonstituerede</w:t>
      </w:r>
      <w:proofErr w:type="spellEnd"/>
      <w:r w:rsidRPr="00500A78">
        <w:rPr>
          <w:sz w:val="24"/>
          <w:lang w:eastAsia="da-DK"/>
        </w:rPr>
        <w:t xml:space="preserve"> blandinger i 7 dage mellem 2 °C og 8 °C efterfulgt af 48 timer ved 25 °C. </w:t>
      </w:r>
    </w:p>
    <w:p w:rsidR="00034077" w:rsidRPr="00500A78" w:rsidRDefault="00034077" w:rsidP="00034077">
      <w:pPr>
        <w:tabs>
          <w:tab w:val="left" w:pos="851"/>
        </w:tabs>
        <w:ind w:left="851"/>
        <w:rPr>
          <w:sz w:val="24"/>
          <w:lang w:eastAsia="da-DK"/>
        </w:rPr>
      </w:pPr>
    </w:p>
    <w:p w:rsidR="00034077" w:rsidRPr="00500A78" w:rsidRDefault="00034077" w:rsidP="00034077">
      <w:pPr>
        <w:tabs>
          <w:tab w:val="left" w:pos="851"/>
        </w:tabs>
        <w:ind w:left="851"/>
        <w:rPr>
          <w:sz w:val="24"/>
          <w:u w:val="single"/>
          <w:lang w:eastAsia="da-DK"/>
        </w:rPr>
      </w:pPr>
      <w:r w:rsidRPr="00500A78">
        <w:rPr>
          <w:sz w:val="24"/>
          <w:u w:val="single"/>
          <w:lang w:eastAsia="da-DK"/>
        </w:rPr>
        <w:t>Opbevaringstid efter tilsætning af supplementer (elektrolytter, sporstoffer, vitaminer, se pkt. 6.6)</w:t>
      </w:r>
    </w:p>
    <w:p w:rsidR="00034077" w:rsidRPr="00500A78" w:rsidRDefault="00034077" w:rsidP="00034077">
      <w:pPr>
        <w:tabs>
          <w:tab w:val="left" w:pos="851"/>
        </w:tabs>
        <w:ind w:left="851"/>
        <w:rPr>
          <w:sz w:val="24"/>
          <w:lang w:eastAsia="da-DK"/>
        </w:rPr>
      </w:pPr>
      <w:r w:rsidRPr="00500A78">
        <w:rPr>
          <w:sz w:val="24"/>
          <w:lang w:eastAsia="da-DK"/>
        </w:rPr>
        <w:t xml:space="preserve">Ved specifikke iblandinger er stabiliteten efter </w:t>
      </w:r>
      <w:proofErr w:type="spellStart"/>
      <w:r w:rsidRPr="00500A78">
        <w:rPr>
          <w:sz w:val="24"/>
          <w:lang w:eastAsia="da-DK"/>
        </w:rPr>
        <w:t>rekonstitution</w:t>
      </w:r>
      <w:proofErr w:type="spellEnd"/>
      <w:r w:rsidRPr="00500A78">
        <w:rPr>
          <w:sz w:val="24"/>
          <w:lang w:eastAsia="da-DK"/>
        </w:rPr>
        <w:t xml:space="preserve"> blevet påvist for 7 dage mellem 2 °C og 8 °C efterfulgt af 48 timer ved 25 °C. </w:t>
      </w:r>
    </w:p>
    <w:p w:rsidR="00034077" w:rsidRPr="00500A78" w:rsidRDefault="00034077" w:rsidP="00034077">
      <w:pPr>
        <w:tabs>
          <w:tab w:val="left" w:pos="851"/>
        </w:tabs>
        <w:ind w:left="851"/>
        <w:rPr>
          <w:sz w:val="24"/>
          <w:lang w:eastAsia="da-DK"/>
        </w:rPr>
      </w:pPr>
    </w:p>
    <w:p w:rsidR="00034077" w:rsidRPr="00500A78" w:rsidRDefault="00034077" w:rsidP="00034077">
      <w:pPr>
        <w:tabs>
          <w:tab w:val="left" w:pos="851"/>
        </w:tabs>
        <w:ind w:left="851"/>
        <w:rPr>
          <w:sz w:val="24"/>
          <w:lang w:eastAsia="da-DK"/>
        </w:rPr>
      </w:pPr>
      <w:r w:rsidRPr="00500A78">
        <w:rPr>
          <w:sz w:val="24"/>
          <w:lang w:eastAsia="da-DK"/>
        </w:rPr>
        <w:t>Ud fra et mikrobiologisk synspunkt bør enhver blanding anvendes straks. Hvis produktet ikke bruges med det samme, er opbevaringstiden samt betingelser under anvendelse brugerens ansvar og vil normalt ikke være længere end 24 timer ved 2-8 °C, med mindre tilsætning af supplementer er foretaget under kontrollerede og validerede aseptiske forhold.</w:t>
      </w:r>
    </w:p>
    <w:p w:rsidR="00034077" w:rsidRDefault="00034077" w:rsidP="00034077">
      <w:pPr>
        <w:rPr>
          <w:sz w:val="24"/>
          <w:szCs w:val="24"/>
        </w:rPr>
      </w:pPr>
      <w:r>
        <w:rPr>
          <w:sz w:val="24"/>
          <w:szCs w:val="24"/>
        </w:rPr>
        <w:br w:type="page"/>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6.4</w:t>
      </w:r>
      <w:r w:rsidRPr="009369B9">
        <w:rPr>
          <w:b/>
          <w:sz w:val="24"/>
          <w:szCs w:val="24"/>
        </w:rPr>
        <w:tab/>
        <w:t>Særlige opbevaringsforhold</w:t>
      </w:r>
    </w:p>
    <w:p w:rsidR="00034077" w:rsidRPr="00C97CEC" w:rsidRDefault="00034077" w:rsidP="00034077">
      <w:pPr>
        <w:tabs>
          <w:tab w:val="left" w:pos="851"/>
        </w:tabs>
        <w:ind w:left="851"/>
        <w:rPr>
          <w:sz w:val="24"/>
          <w:lang w:eastAsia="da-DK"/>
        </w:rPr>
      </w:pPr>
      <w:r w:rsidRPr="00C97CEC">
        <w:rPr>
          <w:sz w:val="24"/>
          <w:lang w:eastAsia="da-DK"/>
        </w:rPr>
        <w:t>Må ikke nedfryses.</w:t>
      </w:r>
    </w:p>
    <w:p w:rsidR="00034077" w:rsidRPr="00C97CEC" w:rsidRDefault="00034077" w:rsidP="00034077">
      <w:pPr>
        <w:tabs>
          <w:tab w:val="left" w:pos="851"/>
        </w:tabs>
        <w:ind w:left="851"/>
        <w:rPr>
          <w:sz w:val="24"/>
          <w:lang w:eastAsia="da-DK"/>
        </w:rPr>
      </w:pPr>
      <w:r w:rsidRPr="00C97CEC">
        <w:rPr>
          <w:sz w:val="24"/>
          <w:lang w:eastAsia="da-DK"/>
        </w:rPr>
        <w:t>Opbevares i yderposen.</w:t>
      </w:r>
    </w:p>
    <w:p w:rsidR="00034077" w:rsidRPr="00C97CEC" w:rsidRDefault="00034077" w:rsidP="00034077">
      <w:pPr>
        <w:tabs>
          <w:tab w:val="left" w:pos="851"/>
        </w:tabs>
        <w:ind w:left="851"/>
        <w:rPr>
          <w:sz w:val="24"/>
          <w:lang w:eastAsia="da-DK"/>
        </w:rPr>
      </w:pPr>
    </w:p>
    <w:p w:rsidR="00034077" w:rsidRPr="00C97CEC" w:rsidRDefault="00034077" w:rsidP="00034077">
      <w:pPr>
        <w:tabs>
          <w:tab w:val="left" w:pos="851"/>
        </w:tabs>
        <w:ind w:left="851"/>
        <w:rPr>
          <w:sz w:val="24"/>
          <w:lang w:eastAsia="da-DK"/>
        </w:rPr>
      </w:pPr>
      <w:r w:rsidRPr="00C97CEC">
        <w:rPr>
          <w:sz w:val="24"/>
          <w:lang w:eastAsia="da-DK"/>
        </w:rPr>
        <w:t xml:space="preserve">Opbevaringsforhold efter </w:t>
      </w:r>
      <w:proofErr w:type="spellStart"/>
      <w:r w:rsidRPr="00C97CEC">
        <w:rPr>
          <w:sz w:val="24"/>
          <w:lang w:eastAsia="da-DK"/>
        </w:rPr>
        <w:t>rekonstitution</w:t>
      </w:r>
      <w:proofErr w:type="spellEnd"/>
      <w:r w:rsidRPr="00C97CEC">
        <w:rPr>
          <w:sz w:val="24"/>
          <w:lang w:eastAsia="da-DK"/>
        </w:rPr>
        <w:t xml:space="preserve"> af lægemidlet, se pkt. 6.3.</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6.5</w:t>
      </w:r>
      <w:r w:rsidRPr="009369B9">
        <w:rPr>
          <w:b/>
          <w:sz w:val="24"/>
          <w:szCs w:val="24"/>
        </w:rPr>
        <w:tab/>
        <w:t>Emballagetype og pakningsstørrelser</w:t>
      </w:r>
    </w:p>
    <w:p w:rsidR="00034077" w:rsidRPr="00C97CEC" w:rsidRDefault="00034077" w:rsidP="00034077">
      <w:pPr>
        <w:tabs>
          <w:tab w:val="left" w:pos="851"/>
        </w:tabs>
        <w:ind w:left="851"/>
        <w:rPr>
          <w:sz w:val="24"/>
          <w:lang w:eastAsia="da-DK"/>
        </w:rPr>
      </w:pPr>
      <w:r w:rsidRPr="00C97CEC">
        <w:rPr>
          <w:sz w:val="24"/>
          <w:lang w:eastAsia="da-DK"/>
        </w:rPr>
        <w:t>Posen med 3 kamre er en ikke-PVC-flerlags-plastikpose med 3 studser:</w:t>
      </w:r>
    </w:p>
    <w:p w:rsidR="00034077" w:rsidRPr="00C97CEC" w:rsidRDefault="00034077" w:rsidP="00034077">
      <w:pPr>
        <w:tabs>
          <w:tab w:val="left" w:pos="851"/>
        </w:tabs>
        <w:ind w:left="851"/>
        <w:rPr>
          <w:sz w:val="24"/>
          <w:lang w:eastAsia="da-DK"/>
        </w:rPr>
      </w:pPr>
      <w:proofErr w:type="spellStart"/>
      <w:r w:rsidRPr="00C97CEC">
        <w:rPr>
          <w:sz w:val="24"/>
          <w:lang w:eastAsia="da-DK"/>
        </w:rPr>
        <w:t>Glucosekammeret</w:t>
      </w:r>
      <w:proofErr w:type="spellEnd"/>
      <w:r w:rsidRPr="00C97CEC">
        <w:rPr>
          <w:sz w:val="24"/>
          <w:lang w:eastAsia="da-DK"/>
        </w:rPr>
        <w:t xml:space="preserve"> er udstyret med en tilsætningsstuds, aminosyrekammeret er udstyret med en tilkoblingsstuds, og fedtstofkammeret er udstyret med en forseglet ventilåbning for at forhindre indgivelse til dette kammer.</w:t>
      </w:r>
    </w:p>
    <w:p w:rsidR="00034077" w:rsidRPr="00C97CEC" w:rsidRDefault="00034077" w:rsidP="00034077">
      <w:pPr>
        <w:tabs>
          <w:tab w:val="left" w:pos="851"/>
        </w:tabs>
        <w:ind w:left="851"/>
        <w:rPr>
          <w:sz w:val="24"/>
          <w:highlight w:val="yellow"/>
          <w:lang w:eastAsia="da-DK"/>
        </w:rPr>
      </w:pPr>
    </w:p>
    <w:p w:rsidR="00034077" w:rsidRPr="00C97CEC" w:rsidRDefault="00034077" w:rsidP="00034077">
      <w:pPr>
        <w:tabs>
          <w:tab w:val="left" w:pos="851"/>
        </w:tabs>
        <w:ind w:left="851"/>
        <w:rPr>
          <w:sz w:val="24"/>
          <w:lang w:eastAsia="da-DK"/>
        </w:rPr>
      </w:pPr>
      <w:r w:rsidRPr="00C97CEC">
        <w:rPr>
          <w:sz w:val="24"/>
          <w:lang w:eastAsia="da-DK"/>
        </w:rPr>
        <w:t xml:space="preserve">Posens indvendige lag, der er i kontakt med opløsningen, er fremstillet af en blanding af </w:t>
      </w:r>
      <w:proofErr w:type="spellStart"/>
      <w:r w:rsidRPr="00C97CEC">
        <w:rPr>
          <w:sz w:val="24"/>
          <w:lang w:eastAsia="da-DK"/>
        </w:rPr>
        <w:t>polyolefinelastomer-copolymerer</w:t>
      </w:r>
      <w:proofErr w:type="spellEnd"/>
      <w:r w:rsidRPr="00C97CEC">
        <w:rPr>
          <w:sz w:val="24"/>
          <w:lang w:eastAsia="da-DK"/>
        </w:rPr>
        <w:t xml:space="preserve">. Andre lag er fremstillet af polypropylen og en blanding af </w:t>
      </w:r>
      <w:proofErr w:type="spellStart"/>
      <w:r w:rsidRPr="00C97CEC">
        <w:rPr>
          <w:sz w:val="24"/>
          <w:lang w:eastAsia="da-DK"/>
        </w:rPr>
        <w:t>polyolefinelastomer-copolymerer</w:t>
      </w:r>
      <w:proofErr w:type="spellEnd"/>
      <w:r w:rsidRPr="00C97CEC">
        <w:rPr>
          <w:sz w:val="24"/>
          <w:lang w:eastAsia="da-DK"/>
        </w:rPr>
        <w:t>.</w:t>
      </w:r>
    </w:p>
    <w:p w:rsidR="00034077" w:rsidRPr="00C97CEC" w:rsidRDefault="00034077" w:rsidP="00034077">
      <w:pPr>
        <w:tabs>
          <w:tab w:val="left" w:pos="851"/>
        </w:tabs>
        <w:ind w:left="851"/>
        <w:rPr>
          <w:sz w:val="24"/>
          <w:lang w:eastAsia="da-DK"/>
        </w:rPr>
      </w:pPr>
    </w:p>
    <w:p w:rsidR="00034077" w:rsidRPr="00C97CEC" w:rsidRDefault="00034077" w:rsidP="00034077">
      <w:pPr>
        <w:tabs>
          <w:tab w:val="left" w:pos="851"/>
        </w:tabs>
        <w:ind w:left="851"/>
        <w:rPr>
          <w:sz w:val="24"/>
          <w:lang w:eastAsia="da-DK"/>
        </w:rPr>
      </w:pPr>
      <w:r w:rsidRPr="00C97CEC">
        <w:rPr>
          <w:sz w:val="24"/>
          <w:lang w:eastAsia="da-DK"/>
        </w:rPr>
        <w:t>Pakningstørrelser:</w:t>
      </w:r>
      <w:r>
        <w:rPr>
          <w:sz w:val="24"/>
          <w:lang w:eastAsia="da-DK"/>
        </w:rPr>
        <w:t xml:space="preserve"> </w:t>
      </w:r>
      <w:r w:rsidRPr="00C97CEC">
        <w:rPr>
          <w:sz w:val="24"/>
          <w:lang w:eastAsia="da-DK"/>
        </w:rPr>
        <w:t>4</w:t>
      </w:r>
      <w:r>
        <w:rPr>
          <w:sz w:val="24"/>
          <w:lang w:eastAsia="da-DK"/>
        </w:rPr>
        <w:t>×</w:t>
      </w:r>
      <w:r w:rsidRPr="00C97CEC">
        <w:rPr>
          <w:sz w:val="24"/>
          <w:lang w:eastAsia="da-DK"/>
        </w:rPr>
        <w:t>1085 ml, 4</w:t>
      </w:r>
      <w:r>
        <w:rPr>
          <w:sz w:val="24"/>
          <w:lang w:eastAsia="da-DK"/>
        </w:rPr>
        <w:t>×1435</w:t>
      </w:r>
      <w:r w:rsidRPr="00C97CEC">
        <w:rPr>
          <w:sz w:val="24"/>
          <w:lang w:eastAsia="da-DK"/>
        </w:rPr>
        <w:t xml:space="preserve"> ml</w:t>
      </w:r>
      <w:r>
        <w:rPr>
          <w:sz w:val="24"/>
          <w:lang w:eastAsia="da-DK"/>
        </w:rPr>
        <w:t xml:space="preserve"> og</w:t>
      </w:r>
      <w:r w:rsidRPr="00C97CEC">
        <w:rPr>
          <w:sz w:val="24"/>
          <w:lang w:eastAsia="da-DK"/>
        </w:rPr>
        <w:t xml:space="preserve"> 4</w:t>
      </w:r>
      <w:r>
        <w:rPr>
          <w:sz w:val="24"/>
          <w:lang w:eastAsia="da-DK"/>
        </w:rPr>
        <w:t>×1820</w:t>
      </w:r>
      <w:r w:rsidRPr="00C97CEC">
        <w:rPr>
          <w:sz w:val="24"/>
          <w:lang w:eastAsia="da-DK"/>
        </w:rPr>
        <w:t xml:space="preserve"> ml</w:t>
      </w:r>
      <w:r>
        <w:rPr>
          <w:sz w:val="24"/>
          <w:lang w:eastAsia="da-DK"/>
        </w:rPr>
        <w:t>.</w:t>
      </w:r>
    </w:p>
    <w:p w:rsidR="00034077" w:rsidRPr="00C97CEC" w:rsidRDefault="00034077" w:rsidP="00034077">
      <w:pPr>
        <w:tabs>
          <w:tab w:val="left" w:pos="851"/>
        </w:tabs>
        <w:ind w:left="851"/>
        <w:rPr>
          <w:sz w:val="24"/>
          <w:lang w:eastAsia="da-DK"/>
        </w:rPr>
      </w:pPr>
      <w:r w:rsidRPr="00C97CEC">
        <w:rPr>
          <w:sz w:val="24"/>
          <w:lang w:eastAsia="da-DK"/>
        </w:rPr>
        <w:t>Ikke alle pakningsstørrelser er nødvendigvis markedsført.</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6.6</w:t>
      </w:r>
      <w:r w:rsidRPr="009369B9">
        <w:rPr>
          <w:b/>
          <w:sz w:val="24"/>
          <w:szCs w:val="24"/>
        </w:rPr>
        <w:tab/>
        <w:t xml:space="preserve">Regler for </w:t>
      </w:r>
      <w:r w:rsidR="00F8625A">
        <w:rPr>
          <w:b/>
          <w:sz w:val="24"/>
          <w:szCs w:val="24"/>
        </w:rPr>
        <w:t>bortskaffelse</w:t>
      </w:r>
      <w:r w:rsidRPr="009369B9">
        <w:rPr>
          <w:b/>
          <w:sz w:val="24"/>
          <w:szCs w:val="24"/>
        </w:rPr>
        <w:t xml:space="preserve"> og anden håndtering</w:t>
      </w:r>
    </w:p>
    <w:p w:rsidR="0003407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u w:val="single"/>
          <w:lang w:eastAsia="da-DK"/>
        </w:rPr>
      </w:pPr>
      <w:r>
        <w:rPr>
          <w:sz w:val="24"/>
          <w:u w:val="single"/>
          <w:lang w:eastAsia="da-DK"/>
        </w:rPr>
        <w:t>Sådan åbnes pakningen</w:t>
      </w:r>
    </w:p>
    <w:p w:rsidR="00034077" w:rsidRPr="00A83FA7" w:rsidRDefault="00034077" w:rsidP="00034077">
      <w:pPr>
        <w:tabs>
          <w:tab w:val="left" w:pos="1134"/>
        </w:tabs>
        <w:ind w:left="1134" w:hanging="283"/>
        <w:rPr>
          <w:sz w:val="24"/>
          <w:lang w:eastAsia="da-DK"/>
        </w:rPr>
      </w:pPr>
      <w:r w:rsidRPr="00A83FA7">
        <w:rPr>
          <w:sz w:val="24"/>
          <w:lang w:eastAsia="da-DK"/>
        </w:rPr>
        <w:t>•</w:t>
      </w:r>
      <w:r w:rsidRPr="00A83FA7">
        <w:rPr>
          <w:sz w:val="24"/>
          <w:lang w:eastAsia="da-DK"/>
        </w:rPr>
        <w:tab/>
        <w:t xml:space="preserve">Fjern den beskyttende yderpose. </w:t>
      </w:r>
    </w:p>
    <w:p w:rsidR="00034077" w:rsidRPr="00A83FA7" w:rsidRDefault="00034077" w:rsidP="00034077">
      <w:pPr>
        <w:tabs>
          <w:tab w:val="left" w:pos="1134"/>
        </w:tabs>
        <w:ind w:left="1134" w:hanging="283"/>
        <w:rPr>
          <w:sz w:val="24"/>
          <w:lang w:eastAsia="da-DK"/>
        </w:rPr>
      </w:pPr>
      <w:r w:rsidRPr="00A83FA7">
        <w:rPr>
          <w:sz w:val="24"/>
          <w:lang w:eastAsia="da-DK"/>
        </w:rPr>
        <w:t>•</w:t>
      </w:r>
      <w:r w:rsidRPr="00A83FA7">
        <w:rPr>
          <w:sz w:val="24"/>
          <w:lang w:eastAsia="da-DK"/>
        </w:rPr>
        <w:tab/>
        <w:t xml:space="preserve">Fjern iltabsorberen. </w:t>
      </w:r>
    </w:p>
    <w:p w:rsidR="00034077" w:rsidRPr="00A83FA7" w:rsidRDefault="00034077" w:rsidP="00034077">
      <w:pPr>
        <w:tabs>
          <w:tab w:val="left" w:pos="1134"/>
        </w:tabs>
        <w:ind w:left="1134" w:hanging="283"/>
        <w:rPr>
          <w:sz w:val="24"/>
          <w:lang w:eastAsia="da-DK"/>
        </w:rPr>
      </w:pPr>
      <w:r w:rsidRPr="00A83FA7">
        <w:rPr>
          <w:sz w:val="24"/>
          <w:lang w:eastAsia="da-DK"/>
        </w:rPr>
        <w:t>•</w:t>
      </w:r>
      <w:r w:rsidRPr="00A83FA7">
        <w:rPr>
          <w:sz w:val="24"/>
          <w:lang w:eastAsia="da-DK"/>
        </w:rPr>
        <w:tab/>
        <w:t xml:space="preserve">Må kun anvendes, hvis posen ikke er beskadiget, hvis de ikke-permanente forseglinger er intakte (dvs. uden at indholdet af de tre kamre er blandet), hvis aminosyreopløsningen og </w:t>
      </w:r>
      <w:proofErr w:type="spellStart"/>
      <w:r w:rsidRPr="00A83FA7">
        <w:rPr>
          <w:sz w:val="24"/>
          <w:lang w:eastAsia="da-DK"/>
        </w:rPr>
        <w:t>glucoseopløsningen</w:t>
      </w:r>
      <w:proofErr w:type="spellEnd"/>
      <w:r w:rsidRPr="00A83FA7">
        <w:rPr>
          <w:sz w:val="24"/>
          <w:lang w:eastAsia="da-DK"/>
        </w:rPr>
        <w:t xml:space="preserve"> er klare, farveløse eller svagt gule, fri for synlige partikler, og hvis fedtstofemulsionen er en homogen væske med et mælkeagtigt udseende.</w:t>
      </w:r>
    </w:p>
    <w:p w:rsidR="00034077" w:rsidRPr="00A83FA7" w:rsidRDefault="00034077" w:rsidP="00034077">
      <w:pPr>
        <w:tabs>
          <w:tab w:val="left" w:pos="851"/>
        </w:tabs>
        <w:ind w:left="851"/>
        <w:rPr>
          <w:sz w:val="24"/>
          <w:lang w:eastAsia="da-DK"/>
        </w:rPr>
      </w:pPr>
      <w:r w:rsidRPr="00A83FA7">
        <w:rPr>
          <w:sz w:val="24"/>
          <w:lang w:eastAsia="da-DK"/>
        </w:rPr>
        <w:t xml:space="preserve"> </w:t>
      </w:r>
    </w:p>
    <w:p w:rsidR="00034077" w:rsidRPr="00A83FA7" w:rsidRDefault="00034077" w:rsidP="00034077">
      <w:pPr>
        <w:tabs>
          <w:tab w:val="left" w:pos="851"/>
        </w:tabs>
        <w:ind w:left="851"/>
        <w:rPr>
          <w:sz w:val="24"/>
          <w:u w:val="single"/>
          <w:lang w:eastAsia="da-DK"/>
        </w:rPr>
      </w:pPr>
      <w:r>
        <w:rPr>
          <w:sz w:val="24"/>
          <w:u w:val="single"/>
          <w:lang w:eastAsia="da-DK"/>
        </w:rPr>
        <w:t>Sådan blandes kamrene</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 xml:space="preserve">Sørg for, at produktet har stuetemperatur, når de ikke-permanente forseglinger brydes. </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 xml:space="preserve">Rul posen sammen manuelt, idet du begynder foroven på posen (ophængningsenden). De ikke-permanente forseglinger forsvinder fra siden i nærheden af portene. Fortsæt med at rulle, indtil forseglingerne er halvvejs åbne. </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 xml:space="preserve">Bland ved at vende posen mindst 3 gange. </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 xml:space="preserve">Efter </w:t>
      </w:r>
      <w:proofErr w:type="spellStart"/>
      <w:r w:rsidRPr="00A83FA7">
        <w:rPr>
          <w:sz w:val="24"/>
          <w:lang w:eastAsia="da-DK"/>
        </w:rPr>
        <w:t>rekonstitution</w:t>
      </w:r>
      <w:proofErr w:type="spellEnd"/>
      <w:r w:rsidRPr="00A83FA7">
        <w:rPr>
          <w:sz w:val="24"/>
          <w:lang w:eastAsia="da-DK"/>
        </w:rPr>
        <w:t xml:space="preserve"> fremtræder blandingen som en homogen mælkeagtig emulsion.</w:t>
      </w:r>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t>Når beskyttelseshætten er fjernet fra tilsætningsstudsen, kan der tilsættes kompatible tilsætningsstoffer via tilsætningsstudsen.</w:t>
      </w:r>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t xml:space="preserve">Ingen tilsætning til posen bør finde sted uden først at sikre sig kompatibiliteten, da dannelsen af udfældninger eller destabilisering af fedtstofemulsionen kan føre til </w:t>
      </w:r>
      <w:proofErr w:type="spellStart"/>
      <w:r w:rsidRPr="00A83FA7">
        <w:rPr>
          <w:sz w:val="24"/>
          <w:lang w:eastAsia="da-DK"/>
        </w:rPr>
        <w:t>vaskulær</w:t>
      </w:r>
      <w:proofErr w:type="spellEnd"/>
      <w:r w:rsidRPr="00A83FA7">
        <w:rPr>
          <w:sz w:val="24"/>
          <w:lang w:eastAsia="da-DK"/>
        </w:rPr>
        <w:t xml:space="preserve"> </w:t>
      </w:r>
      <w:proofErr w:type="spellStart"/>
      <w:r w:rsidRPr="00A83FA7">
        <w:rPr>
          <w:sz w:val="24"/>
          <w:lang w:eastAsia="da-DK"/>
        </w:rPr>
        <w:t>okklusion</w:t>
      </w:r>
      <w:proofErr w:type="spellEnd"/>
      <w:r w:rsidRPr="00A83FA7">
        <w:rPr>
          <w:sz w:val="24"/>
          <w:lang w:eastAsia="da-DK"/>
        </w:rPr>
        <w:t>.</w:t>
      </w:r>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t xml:space="preserve">Tilsætning skal foretages under aseptiske forhold. </w:t>
      </w:r>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u w:val="single"/>
          <w:lang w:eastAsia="da-DK"/>
        </w:rPr>
      </w:pPr>
      <w:proofErr w:type="spellStart"/>
      <w:r>
        <w:rPr>
          <w:sz w:val="24"/>
          <w:u w:val="single"/>
          <w:lang w:eastAsia="da-DK"/>
        </w:rPr>
        <w:t>Finomel</w:t>
      </w:r>
      <w:proofErr w:type="spellEnd"/>
      <w:r w:rsidRPr="00A83FA7">
        <w:rPr>
          <w:sz w:val="24"/>
          <w:u w:val="single"/>
          <w:lang w:eastAsia="da-DK"/>
        </w:rPr>
        <w:t xml:space="preserve"> kan blandes med følgende tilsætn</w:t>
      </w:r>
      <w:r>
        <w:rPr>
          <w:sz w:val="24"/>
          <w:u w:val="single"/>
          <w:lang w:eastAsia="da-DK"/>
        </w:rPr>
        <w:t>ingsstoffer</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Multivitaminpræparater</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 xml:space="preserve">Multisporstofpræparater </w:t>
      </w:r>
    </w:p>
    <w:p w:rsidR="00034077" w:rsidRPr="00A83FA7" w:rsidRDefault="00034077" w:rsidP="00034077">
      <w:pPr>
        <w:tabs>
          <w:tab w:val="left" w:pos="851"/>
        </w:tabs>
        <w:ind w:left="1134" w:hanging="283"/>
        <w:rPr>
          <w:sz w:val="24"/>
          <w:lang w:eastAsia="da-DK"/>
        </w:rPr>
      </w:pPr>
      <w:r w:rsidRPr="00A83FA7">
        <w:rPr>
          <w:sz w:val="24"/>
          <w:lang w:eastAsia="da-DK"/>
        </w:rPr>
        <w:lastRenderedPageBreak/>
        <w:t>•</w:t>
      </w:r>
      <w:r w:rsidRPr="00A83FA7">
        <w:rPr>
          <w:sz w:val="24"/>
          <w:lang w:eastAsia="da-DK"/>
        </w:rPr>
        <w:tab/>
        <w:t>Selen</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Zink</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Natriumsalt</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Kaliumsalt</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Magnesiumsalt</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t>Calciumsalt</w:t>
      </w:r>
    </w:p>
    <w:p w:rsidR="00034077" w:rsidRPr="00A83FA7" w:rsidRDefault="00034077" w:rsidP="00034077">
      <w:pPr>
        <w:tabs>
          <w:tab w:val="left" w:pos="851"/>
        </w:tabs>
        <w:ind w:left="1134" w:hanging="283"/>
        <w:rPr>
          <w:sz w:val="24"/>
          <w:lang w:eastAsia="da-DK"/>
        </w:rPr>
      </w:pPr>
      <w:r w:rsidRPr="00A83FA7">
        <w:rPr>
          <w:sz w:val="24"/>
          <w:lang w:eastAsia="da-DK"/>
        </w:rPr>
        <w:t>•</w:t>
      </w:r>
      <w:r w:rsidRPr="00A83FA7">
        <w:rPr>
          <w:sz w:val="24"/>
          <w:lang w:eastAsia="da-DK"/>
        </w:rPr>
        <w:tab/>
      </w:r>
      <w:proofErr w:type="spellStart"/>
      <w:r w:rsidRPr="00A83FA7">
        <w:rPr>
          <w:sz w:val="24"/>
          <w:lang w:eastAsia="da-DK"/>
        </w:rPr>
        <w:t>Phosphatsalt</w:t>
      </w:r>
      <w:proofErr w:type="spellEnd"/>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t xml:space="preserve">Den vejledende kompatibilitetstabel nedenfor viser mulige tilsætninger af multisporstoffer såsom </w:t>
      </w:r>
      <w:proofErr w:type="spellStart"/>
      <w:r w:rsidRPr="00A83FA7">
        <w:rPr>
          <w:sz w:val="24"/>
          <w:lang w:eastAsia="da-DK"/>
        </w:rPr>
        <w:t>Nutryelt</w:t>
      </w:r>
      <w:proofErr w:type="spellEnd"/>
      <w:r w:rsidRPr="00A83FA7">
        <w:rPr>
          <w:sz w:val="24"/>
          <w:lang w:eastAsia="da-DK"/>
        </w:rPr>
        <w:t xml:space="preserve"> og multivitaminprodukter såsom </w:t>
      </w:r>
      <w:proofErr w:type="spellStart"/>
      <w:r w:rsidRPr="00A83FA7">
        <w:rPr>
          <w:sz w:val="24"/>
          <w:lang w:eastAsia="da-DK"/>
        </w:rPr>
        <w:t>Cernevit</w:t>
      </w:r>
      <w:proofErr w:type="spellEnd"/>
      <w:r w:rsidRPr="00A83FA7">
        <w:rPr>
          <w:sz w:val="24"/>
          <w:lang w:eastAsia="da-DK"/>
        </w:rPr>
        <w:t xml:space="preserve"> og generika af elektrolytter og sporstoffer i definerede mængder. Når der tilsættes klinisk nødvendige elektrolytter og sporstoffer, skal der tages højde for de mængder, der allerede findes i posen.</w:t>
      </w:r>
    </w:p>
    <w:tbl>
      <w:tblPr>
        <w:tblpPr w:leftFromText="141" w:rightFromText="141"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3945"/>
      </w:tblGrid>
      <w:tr w:rsidR="00034077" w:rsidRPr="00A83FA7" w:rsidTr="00020D1E">
        <w:tc>
          <w:tcPr>
            <w:tcW w:w="4952" w:type="dxa"/>
          </w:tcPr>
          <w:p w:rsidR="00034077" w:rsidRPr="00A83FA7" w:rsidRDefault="00034077" w:rsidP="00020D1E">
            <w:pPr>
              <w:autoSpaceDE w:val="0"/>
              <w:autoSpaceDN w:val="0"/>
              <w:adjustRightInd w:val="0"/>
              <w:jc w:val="center"/>
              <w:rPr>
                <w:b/>
                <w:iCs/>
                <w:sz w:val="24"/>
                <w:szCs w:val="22"/>
                <w:lang w:eastAsia="da-DK"/>
              </w:rPr>
            </w:pPr>
            <w:r w:rsidRPr="00A83FA7">
              <w:rPr>
                <w:b/>
                <w:iCs/>
                <w:sz w:val="24"/>
                <w:szCs w:val="22"/>
                <w:lang w:eastAsia="da-DK"/>
              </w:rPr>
              <w:t>Tilsætningsstof</w:t>
            </w:r>
          </w:p>
        </w:tc>
        <w:tc>
          <w:tcPr>
            <w:tcW w:w="3945" w:type="dxa"/>
          </w:tcPr>
          <w:p w:rsidR="00034077" w:rsidRPr="00A83FA7" w:rsidRDefault="00034077" w:rsidP="00020D1E">
            <w:pPr>
              <w:autoSpaceDE w:val="0"/>
              <w:autoSpaceDN w:val="0"/>
              <w:adjustRightInd w:val="0"/>
              <w:jc w:val="center"/>
              <w:rPr>
                <w:b/>
                <w:iCs/>
                <w:sz w:val="24"/>
                <w:szCs w:val="22"/>
                <w:lang w:eastAsia="da-DK"/>
              </w:rPr>
            </w:pPr>
            <w:r w:rsidRPr="00A83FA7">
              <w:rPr>
                <w:b/>
                <w:iCs/>
                <w:sz w:val="24"/>
                <w:szCs w:val="22"/>
                <w:lang w:eastAsia="da-DK"/>
              </w:rPr>
              <w:t xml:space="preserve">Samlet indhold efter tilsætning for alle posestørrelser af </w:t>
            </w:r>
            <w:proofErr w:type="spellStart"/>
            <w:r>
              <w:rPr>
                <w:b/>
                <w:iCs/>
                <w:sz w:val="24"/>
                <w:szCs w:val="22"/>
                <w:lang w:eastAsia="da-DK"/>
              </w:rPr>
              <w:t>Finomel</w:t>
            </w:r>
            <w:proofErr w:type="spellEnd"/>
          </w:p>
        </w:tc>
      </w:tr>
      <w:tr w:rsidR="00034077" w:rsidRPr="00A83FA7" w:rsidTr="00020D1E">
        <w:tc>
          <w:tcPr>
            <w:tcW w:w="4952" w:type="dxa"/>
          </w:tcPr>
          <w:p w:rsidR="00034077" w:rsidRPr="00A83FA7" w:rsidRDefault="00034077" w:rsidP="00020D1E">
            <w:pPr>
              <w:autoSpaceDE w:val="0"/>
              <w:autoSpaceDN w:val="0"/>
              <w:adjustRightInd w:val="0"/>
              <w:rPr>
                <w:iCs/>
                <w:sz w:val="24"/>
                <w:szCs w:val="22"/>
                <w:lang w:eastAsia="da-DK"/>
              </w:rPr>
            </w:pPr>
            <w:proofErr w:type="spellStart"/>
            <w:r w:rsidRPr="00A83FA7">
              <w:rPr>
                <w:sz w:val="24"/>
                <w:lang w:eastAsia="da-DK"/>
              </w:rPr>
              <w:t>Nutryelt</w:t>
            </w:r>
            <w:proofErr w:type="spellEnd"/>
            <w:r w:rsidRPr="00A83FA7">
              <w:rPr>
                <w:sz w:val="24"/>
                <w:lang w:eastAsia="da-DK"/>
              </w:rPr>
              <w:t xml:space="preserve"> </w:t>
            </w:r>
            <w:r w:rsidRPr="00A83FA7">
              <w:rPr>
                <w:sz w:val="18"/>
                <w:szCs w:val="18"/>
                <w:lang w:eastAsia="da-DK"/>
              </w:rPr>
              <w:t xml:space="preserve">(sammensætning pr. hætteglas: Zink 153 µmol; Kobber 4,7 µmol; Mangan 1,0 µmol; </w:t>
            </w:r>
            <w:proofErr w:type="spellStart"/>
            <w:r w:rsidRPr="00A83FA7">
              <w:rPr>
                <w:sz w:val="18"/>
                <w:szCs w:val="18"/>
                <w:lang w:eastAsia="da-DK"/>
              </w:rPr>
              <w:t>Flourin</w:t>
            </w:r>
            <w:proofErr w:type="spellEnd"/>
            <w:r w:rsidRPr="00A83FA7">
              <w:rPr>
                <w:sz w:val="18"/>
                <w:szCs w:val="18"/>
                <w:lang w:eastAsia="da-DK"/>
              </w:rPr>
              <w:t xml:space="preserve"> 50 µmol; Jod 1,0 µmol; Selen 0,9 µmol; Molybdæn 0,21 µmol; </w:t>
            </w:r>
            <w:proofErr w:type="spellStart"/>
            <w:r w:rsidRPr="00A83FA7">
              <w:rPr>
                <w:sz w:val="18"/>
                <w:szCs w:val="18"/>
                <w:lang w:eastAsia="da-DK"/>
              </w:rPr>
              <w:t>Chrom</w:t>
            </w:r>
            <w:proofErr w:type="spellEnd"/>
            <w:r w:rsidRPr="00A83FA7">
              <w:rPr>
                <w:sz w:val="18"/>
                <w:szCs w:val="18"/>
                <w:lang w:eastAsia="da-DK"/>
              </w:rPr>
              <w:t xml:space="preserve"> 0,19 µmol; Jern 18 µmol)</w:t>
            </w:r>
          </w:p>
        </w:tc>
        <w:tc>
          <w:tcPr>
            <w:tcW w:w="3945" w:type="dxa"/>
          </w:tcPr>
          <w:p w:rsidR="00034077" w:rsidRPr="00A83FA7" w:rsidRDefault="00034077" w:rsidP="00020D1E">
            <w:pPr>
              <w:autoSpaceDE w:val="0"/>
              <w:autoSpaceDN w:val="0"/>
              <w:adjustRightInd w:val="0"/>
              <w:jc w:val="center"/>
              <w:rPr>
                <w:iCs/>
                <w:sz w:val="24"/>
                <w:szCs w:val="22"/>
                <w:lang w:eastAsia="da-DK"/>
              </w:rPr>
            </w:pPr>
            <w:r w:rsidRPr="00A83FA7">
              <w:rPr>
                <w:sz w:val="24"/>
                <w:lang w:eastAsia="da-DK"/>
              </w:rPr>
              <w:t xml:space="preserve">2 </w:t>
            </w:r>
            <w:proofErr w:type="spellStart"/>
            <w:r w:rsidRPr="00A83FA7">
              <w:rPr>
                <w:sz w:val="24"/>
                <w:lang w:eastAsia="da-DK"/>
              </w:rPr>
              <w:t>hætteglas</w:t>
            </w:r>
            <w:r w:rsidRPr="00A83FA7">
              <w:rPr>
                <w:iCs/>
                <w:sz w:val="24"/>
                <w:szCs w:val="22"/>
                <w:vertAlign w:val="superscript"/>
                <w:lang w:eastAsia="da-DK"/>
              </w:rPr>
              <w:fldChar w:fldCharType="begin"/>
            </w:r>
            <w:r w:rsidRPr="00A83FA7">
              <w:rPr>
                <w:iCs/>
                <w:sz w:val="24"/>
                <w:szCs w:val="22"/>
                <w:vertAlign w:val="superscript"/>
                <w:lang w:eastAsia="da-DK"/>
              </w:rPr>
              <w:instrText xml:space="preserve"> REF _Ref510182955 \r \h  \* MERGEFORMAT </w:instrText>
            </w:r>
            <w:r w:rsidRPr="00A83FA7">
              <w:rPr>
                <w:iCs/>
                <w:sz w:val="24"/>
                <w:szCs w:val="22"/>
                <w:vertAlign w:val="superscript"/>
                <w:lang w:eastAsia="da-DK"/>
              </w:rPr>
            </w:r>
            <w:r w:rsidRPr="00A83FA7">
              <w:rPr>
                <w:iCs/>
                <w:sz w:val="24"/>
                <w:szCs w:val="22"/>
                <w:vertAlign w:val="superscript"/>
                <w:lang w:eastAsia="da-DK"/>
              </w:rPr>
              <w:fldChar w:fldCharType="separate"/>
            </w:r>
            <w:r>
              <w:rPr>
                <w:iCs/>
                <w:sz w:val="24"/>
                <w:szCs w:val="22"/>
                <w:vertAlign w:val="superscript"/>
                <w:lang w:eastAsia="da-DK"/>
              </w:rPr>
              <w:t>a</w:t>
            </w:r>
            <w:proofErr w:type="spellEnd"/>
            <w:r w:rsidRPr="00A83FA7">
              <w:rPr>
                <w:iCs/>
                <w:sz w:val="24"/>
                <w:szCs w:val="22"/>
                <w:vertAlign w:val="superscript"/>
                <w:lang w:eastAsia="da-DK"/>
              </w:rPr>
              <w:fldChar w:fldCharType="end"/>
            </w:r>
            <w:r w:rsidRPr="00A83FA7">
              <w:rPr>
                <w:sz w:val="24"/>
                <w:lang w:eastAsia="da-DK"/>
              </w:rPr>
              <w:t>/pose</w:t>
            </w:r>
          </w:p>
        </w:tc>
      </w:tr>
      <w:tr w:rsidR="00034077" w:rsidRPr="00A83FA7" w:rsidTr="00020D1E">
        <w:tc>
          <w:tcPr>
            <w:tcW w:w="4952" w:type="dxa"/>
            <w:tcBorders>
              <w:bottom w:val="single" w:sz="12" w:space="0" w:color="auto"/>
            </w:tcBorders>
          </w:tcPr>
          <w:p w:rsidR="00034077" w:rsidRPr="00A83FA7" w:rsidRDefault="00034077" w:rsidP="00020D1E">
            <w:pPr>
              <w:autoSpaceDE w:val="0"/>
              <w:autoSpaceDN w:val="0"/>
              <w:adjustRightInd w:val="0"/>
              <w:rPr>
                <w:iCs/>
                <w:sz w:val="24"/>
                <w:szCs w:val="22"/>
                <w:lang w:eastAsia="da-DK"/>
              </w:rPr>
            </w:pPr>
            <w:proofErr w:type="spellStart"/>
            <w:r w:rsidRPr="00A83FA7">
              <w:rPr>
                <w:sz w:val="24"/>
                <w:lang w:eastAsia="da-DK"/>
              </w:rPr>
              <w:t>Cernevit</w:t>
            </w:r>
            <w:proofErr w:type="spellEnd"/>
            <w:r w:rsidRPr="00A83FA7">
              <w:rPr>
                <w:sz w:val="24"/>
                <w:lang w:eastAsia="da-DK"/>
              </w:rPr>
              <w:t xml:space="preserve"> </w:t>
            </w:r>
            <w:r w:rsidRPr="00A83FA7">
              <w:rPr>
                <w:sz w:val="18"/>
                <w:szCs w:val="18"/>
                <w:lang w:eastAsia="da-DK"/>
              </w:rPr>
              <w:t>(sammensætning pr. hætteglas:</w:t>
            </w:r>
            <w:r w:rsidRPr="00A83FA7">
              <w:rPr>
                <w:iCs/>
                <w:sz w:val="18"/>
                <w:szCs w:val="18"/>
                <w:lang w:eastAsia="da-DK"/>
              </w:rPr>
              <w:t xml:space="preserve"> </w:t>
            </w:r>
            <w:r w:rsidRPr="00A83FA7">
              <w:rPr>
                <w:sz w:val="18"/>
                <w:szCs w:val="18"/>
                <w:lang w:eastAsia="da-DK"/>
              </w:rPr>
              <w:t xml:space="preserve">Vitamin A (som </w:t>
            </w:r>
            <w:proofErr w:type="spellStart"/>
            <w:r w:rsidRPr="00A83FA7">
              <w:rPr>
                <w:sz w:val="18"/>
                <w:szCs w:val="18"/>
                <w:lang w:eastAsia="da-DK"/>
              </w:rPr>
              <w:t>Retinylpalmitat</w:t>
            </w:r>
            <w:proofErr w:type="spellEnd"/>
            <w:r w:rsidRPr="00A83FA7">
              <w:rPr>
                <w:sz w:val="18"/>
                <w:szCs w:val="18"/>
                <w:lang w:eastAsia="da-DK"/>
              </w:rPr>
              <w:t>) 3500 IE, vitamin D3 (</w:t>
            </w:r>
            <w:proofErr w:type="spellStart"/>
            <w:r w:rsidRPr="00A83FA7">
              <w:rPr>
                <w:sz w:val="18"/>
                <w:szCs w:val="18"/>
                <w:lang w:eastAsia="da-DK"/>
              </w:rPr>
              <w:t>Cholecalciferol</w:t>
            </w:r>
            <w:proofErr w:type="spellEnd"/>
            <w:r w:rsidRPr="00A83FA7">
              <w:rPr>
                <w:sz w:val="18"/>
                <w:szCs w:val="18"/>
                <w:lang w:eastAsia="da-DK"/>
              </w:rPr>
              <w:t>) 220 IE, vitamin E (Alfa-</w:t>
            </w:r>
            <w:proofErr w:type="spellStart"/>
            <w:r w:rsidRPr="00A83FA7">
              <w:rPr>
                <w:sz w:val="18"/>
                <w:szCs w:val="18"/>
                <w:lang w:eastAsia="da-DK"/>
              </w:rPr>
              <w:t>tokoferol</w:t>
            </w:r>
            <w:proofErr w:type="spellEnd"/>
            <w:r w:rsidRPr="00A83FA7">
              <w:rPr>
                <w:sz w:val="18"/>
                <w:szCs w:val="18"/>
                <w:lang w:eastAsia="da-DK"/>
              </w:rPr>
              <w:t>) 11,2 IE, vitamin C (Askorbinsyre) 125 mg, vitamin B1 (</w:t>
            </w:r>
            <w:proofErr w:type="spellStart"/>
            <w:r w:rsidRPr="00A83FA7">
              <w:rPr>
                <w:sz w:val="18"/>
                <w:szCs w:val="18"/>
                <w:lang w:eastAsia="da-DK"/>
              </w:rPr>
              <w:t>Thiamin</w:t>
            </w:r>
            <w:proofErr w:type="spellEnd"/>
            <w:r w:rsidRPr="00A83FA7">
              <w:rPr>
                <w:sz w:val="18"/>
                <w:szCs w:val="18"/>
                <w:lang w:eastAsia="da-DK"/>
              </w:rPr>
              <w:t>) 3,51 mg, vitamin B2 (</w:t>
            </w:r>
            <w:proofErr w:type="spellStart"/>
            <w:r w:rsidRPr="00A83FA7">
              <w:rPr>
                <w:sz w:val="18"/>
                <w:szCs w:val="18"/>
                <w:lang w:eastAsia="da-DK"/>
              </w:rPr>
              <w:t>Riboflavin</w:t>
            </w:r>
            <w:proofErr w:type="spellEnd"/>
            <w:r w:rsidRPr="00A83FA7">
              <w:rPr>
                <w:sz w:val="18"/>
                <w:szCs w:val="18"/>
                <w:lang w:eastAsia="da-DK"/>
              </w:rPr>
              <w:t>) 4,14 mg, vitamin B6 (</w:t>
            </w:r>
            <w:proofErr w:type="spellStart"/>
            <w:r w:rsidRPr="00A83FA7">
              <w:rPr>
                <w:sz w:val="18"/>
                <w:szCs w:val="18"/>
                <w:lang w:eastAsia="da-DK"/>
              </w:rPr>
              <w:t>Pyridoxin</w:t>
            </w:r>
            <w:proofErr w:type="spellEnd"/>
            <w:r w:rsidRPr="00A83FA7">
              <w:rPr>
                <w:sz w:val="18"/>
                <w:szCs w:val="18"/>
                <w:lang w:eastAsia="da-DK"/>
              </w:rPr>
              <w:t>) 4,53 mg, vitamin B12 (</w:t>
            </w:r>
            <w:proofErr w:type="spellStart"/>
            <w:r w:rsidRPr="00A83FA7">
              <w:rPr>
                <w:sz w:val="18"/>
                <w:szCs w:val="18"/>
                <w:lang w:eastAsia="da-DK"/>
              </w:rPr>
              <w:t>Cyanocobalamin</w:t>
            </w:r>
            <w:proofErr w:type="spellEnd"/>
            <w:r w:rsidRPr="00A83FA7">
              <w:rPr>
                <w:sz w:val="18"/>
                <w:szCs w:val="18"/>
                <w:lang w:eastAsia="da-DK"/>
              </w:rPr>
              <w:t>) 6 µg, vitamin B9 (</w:t>
            </w:r>
            <w:proofErr w:type="spellStart"/>
            <w:r w:rsidRPr="00A83FA7">
              <w:rPr>
                <w:sz w:val="18"/>
                <w:szCs w:val="18"/>
                <w:lang w:eastAsia="da-DK"/>
              </w:rPr>
              <w:t>Folinsyre</w:t>
            </w:r>
            <w:proofErr w:type="spellEnd"/>
            <w:r w:rsidRPr="00A83FA7">
              <w:rPr>
                <w:sz w:val="18"/>
                <w:szCs w:val="18"/>
                <w:lang w:eastAsia="da-DK"/>
              </w:rPr>
              <w:t>) 414 µg, vitamin B5 (</w:t>
            </w:r>
            <w:proofErr w:type="spellStart"/>
            <w:r w:rsidRPr="00A83FA7">
              <w:rPr>
                <w:sz w:val="18"/>
                <w:szCs w:val="18"/>
                <w:lang w:eastAsia="da-DK"/>
              </w:rPr>
              <w:t>Pantotensyre</w:t>
            </w:r>
            <w:proofErr w:type="spellEnd"/>
            <w:r w:rsidRPr="00A83FA7">
              <w:rPr>
                <w:sz w:val="18"/>
                <w:szCs w:val="18"/>
                <w:lang w:eastAsia="da-DK"/>
              </w:rPr>
              <w:t>) 17,25 mg, vitamin B8 (Biotin) 69 µg, vitamin PP (</w:t>
            </w:r>
            <w:proofErr w:type="spellStart"/>
            <w:r w:rsidRPr="00A83FA7">
              <w:rPr>
                <w:sz w:val="18"/>
                <w:szCs w:val="18"/>
                <w:lang w:eastAsia="da-DK"/>
              </w:rPr>
              <w:t>Nicotinamid</w:t>
            </w:r>
            <w:proofErr w:type="spellEnd"/>
            <w:r w:rsidRPr="00A83FA7">
              <w:rPr>
                <w:sz w:val="18"/>
                <w:szCs w:val="18"/>
                <w:lang w:eastAsia="da-DK"/>
              </w:rPr>
              <w:t>) 46 mg)</w:t>
            </w:r>
          </w:p>
        </w:tc>
        <w:tc>
          <w:tcPr>
            <w:tcW w:w="3945" w:type="dxa"/>
            <w:tcBorders>
              <w:bottom w:val="single" w:sz="12" w:space="0" w:color="auto"/>
            </w:tcBorders>
          </w:tcPr>
          <w:p w:rsidR="00034077" w:rsidRPr="00A83FA7" w:rsidRDefault="00034077" w:rsidP="00020D1E">
            <w:pPr>
              <w:autoSpaceDE w:val="0"/>
              <w:autoSpaceDN w:val="0"/>
              <w:adjustRightInd w:val="0"/>
              <w:jc w:val="center"/>
              <w:rPr>
                <w:iCs/>
                <w:sz w:val="24"/>
                <w:szCs w:val="22"/>
                <w:lang w:eastAsia="da-DK"/>
              </w:rPr>
            </w:pPr>
            <w:r w:rsidRPr="00A83FA7">
              <w:rPr>
                <w:sz w:val="24"/>
                <w:lang w:eastAsia="da-DK"/>
              </w:rPr>
              <w:t xml:space="preserve">2 </w:t>
            </w:r>
            <w:proofErr w:type="spellStart"/>
            <w:r w:rsidRPr="00A83FA7">
              <w:rPr>
                <w:sz w:val="24"/>
                <w:lang w:eastAsia="da-DK"/>
              </w:rPr>
              <w:t>hætteglas</w:t>
            </w:r>
            <w:r w:rsidRPr="00A83FA7">
              <w:rPr>
                <w:iCs/>
                <w:sz w:val="24"/>
                <w:szCs w:val="22"/>
                <w:vertAlign w:val="superscript"/>
                <w:lang w:eastAsia="da-DK"/>
              </w:rPr>
              <w:fldChar w:fldCharType="begin"/>
            </w:r>
            <w:r w:rsidRPr="00A83FA7">
              <w:rPr>
                <w:iCs/>
                <w:sz w:val="24"/>
                <w:szCs w:val="22"/>
                <w:vertAlign w:val="superscript"/>
                <w:lang w:eastAsia="da-DK"/>
              </w:rPr>
              <w:instrText xml:space="preserve"> REF _Ref510182965 \r \h  \* MERGEFORMAT </w:instrText>
            </w:r>
            <w:r w:rsidRPr="00A83FA7">
              <w:rPr>
                <w:iCs/>
                <w:sz w:val="24"/>
                <w:szCs w:val="22"/>
                <w:vertAlign w:val="superscript"/>
                <w:lang w:eastAsia="da-DK"/>
              </w:rPr>
            </w:r>
            <w:r w:rsidRPr="00A83FA7">
              <w:rPr>
                <w:iCs/>
                <w:sz w:val="24"/>
                <w:szCs w:val="22"/>
                <w:vertAlign w:val="superscript"/>
                <w:lang w:eastAsia="da-DK"/>
              </w:rPr>
              <w:fldChar w:fldCharType="separate"/>
            </w:r>
            <w:r>
              <w:rPr>
                <w:iCs/>
                <w:sz w:val="24"/>
                <w:szCs w:val="22"/>
                <w:vertAlign w:val="superscript"/>
                <w:lang w:eastAsia="da-DK"/>
              </w:rPr>
              <w:t>b</w:t>
            </w:r>
            <w:proofErr w:type="spellEnd"/>
            <w:r w:rsidRPr="00A83FA7">
              <w:rPr>
                <w:iCs/>
                <w:sz w:val="24"/>
                <w:szCs w:val="22"/>
                <w:vertAlign w:val="superscript"/>
                <w:lang w:eastAsia="da-DK"/>
              </w:rPr>
              <w:fldChar w:fldCharType="end"/>
            </w:r>
            <w:r w:rsidRPr="00A83FA7">
              <w:rPr>
                <w:sz w:val="24"/>
                <w:lang w:eastAsia="da-DK"/>
              </w:rPr>
              <w:t>/pose</w:t>
            </w:r>
          </w:p>
        </w:tc>
      </w:tr>
      <w:tr w:rsidR="00034077" w:rsidRPr="00A83FA7" w:rsidTr="00020D1E">
        <w:tc>
          <w:tcPr>
            <w:tcW w:w="4952" w:type="dxa"/>
            <w:tcBorders>
              <w:top w:val="single" w:sz="12" w:space="0" w:color="auto"/>
            </w:tcBorders>
          </w:tcPr>
          <w:p w:rsidR="00034077" w:rsidRPr="00A83FA7" w:rsidRDefault="00034077" w:rsidP="00020D1E">
            <w:pPr>
              <w:autoSpaceDE w:val="0"/>
              <w:autoSpaceDN w:val="0"/>
              <w:adjustRightInd w:val="0"/>
              <w:rPr>
                <w:iCs/>
                <w:sz w:val="24"/>
                <w:szCs w:val="22"/>
                <w:lang w:eastAsia="da-DK"/>
              </w:rPr>
            </w:pPr>
            <w:r w:rsidRPr="00A83FA7">
              <w:rPr>
                <w:sz w:val="24"/>
                <w:lang w:eastAsia="da-DK"/>
              </w:rPr>
              <w:t>Natrium</w:t>
            </w:r>
          </w:p>
        </w:tc>
        <w:tc>
          <w:tcPr>
            <w:tcW w:w="3945" w:type="dxa"/>
            <w:tcBorders>
              <w:top w:val="single" w:sz="12" w:space="0" w:color="auto"/>
            </w:tcBorders>
          </w:tcPr>
          <w:p w:rsidR="00034077" w:rsidRPr="00A83FA7" w:rsidRDefault="00034077" w:rsidP="00020D1E">
            <w:pPr>
              <w:autoSpaceDE w:val="0"/>
              <w:autoSpaceDN w:val="0"/>
              <w:adjustRightInd w:val="0"/>
              <w:jc w:val="center"/>
              <w:rPr>
                <w:iCs/>
                <w:sz w:val="24"/>
                <w:szCs w:val="22"/>
                <w:lang w:eastAsia="da-DK"/>
              </w:rPr>
            </w:pPr>
            <w:r w:rsidRPr="00A83FA7">
              <w:rPr>
                <w:sz w:val="24"/>
                <w:lang w:eastAsia="da-DK"/>
              </w:rPr>
              <w:t>138 mmol/l</w:t>
            </w:r>
          </w:p>
        </w:tc>
      </w:tr>
      <w:tr w:rsidR="00034077" w:rsidRPr="00A83FA7" w:rsidTr="00020D1E">
        <w:tc>
          <w:tcPr>
            <w:tcW w:w="4952" w:type="dxa"/>
          </w:tcPr>
          <w:p w:rsidR="00034077" w:rsidRPr="00A83FA7" w:rsidRDefault="00034077" w:rsidP="00020D1E">
            <w:pPr>
              <w:autoSpaceDE w:val="0"/>
              <w:autoSpaceDN w:val="0"/>
              <w:adjustRightInd w:val="0"/>
              <w:rPr>
                <w:iCs/>
                <w:sz w:val="24"/>
                <w:szCs w:val="22"/>
                <w:lang w:eastAsia="da-DK"/>
              </w:rPr>
            </w:pPr>
            <w:r w:rsidRPr="00A83FA7">
              <w:rPr>
                <w:sz w:val="24"/>
                <w:lang w:eastAsia="da-DK"/>
              </w:rPr>
              <w:t>Kalium</w:t>
            </w:r>
          </w:p>
        </w:tc>
        <w:tc>
          <w:tcPr>
            <w:tcW w:w="3945" w:type="dxa"/>
          </w:tcPr>
          <w:p w:rsidR="00034077" w:rsidRPr="00A83FA7" w:rsidRDefault="00034077" w:rsidP="00020D1E">
            <w:pPr>
              <w:autoSpaceDE w:val="0"/>
              <w:autoSpaceDN w:val="0"/>
              <w:adjustRightInd w:val="0"/>
              <w:jc w:val="center"/>
              <w:rPr>
                <w:iCs/>
                <w:sz w:val="24"/>
                <w:szCs w:val="22"/>
                <w:lang w:eastAsia="da-DK"/>
              </w:rPr>
            </w:pPr>
            <w:r w:rsidRPr="00A83FA7">
              <w:rPr>
                <w:sz w:val="24"/>
                <w:lang w:eastAsia="da-DK"/>
              </w:rPr>
              <w:t>138 mmol/l</w:t>
            </w:r>
          </w:p>
        </w:tc>
      </w:tr>
      <w:tr w:rsidR="00034077" w:rsidRPr="00A83FA7" w:rsidTr="00020D1E">
        <w:tc>
          <w:tcPr>
            <w:tcW w:w="4952" w:type="dxa"/>
          </w:tcPr>
          <w:p w:rsidR="00034077" w:rsidRPr="00A83FA7" w:rsidRDefault="00034077" w:rsidP="00020D1E">
            <w:pPr>
              <w:autoSpaceDE w:val="0"/>
              <w:autoSpaceDN w:val="0"/>
              <w:adjustRightInd w:val="0"/>
              <w:rPr>
                <w:iCs/>
                <w:sz w:val="24"/>
                <w:szCs w:val="22"/>
                <w:lang w:eastAsia="da-DK"/>
              </w:rPr>
            </w:pPr>
            <w:r w:rsidRPr="00A83FA7">
              <w:rPr>
                <w:sz w:val="24"/>
                <w:lang w:eastAsia="da-DK"/>
              </w:rPr>
              <w:t>Magnesium</w:t>
            </w:r>
          </w:p>
        </w:tc>
        <w:tc>
          <w:tcPr>
            <w:tcW w:w="3945" w:type="dxa"/>
          </w:tcPr>
          <w:p w:rsidR="00034077" w:rsidRPr="00A83FA7" w:rsidRDefault="00034077" w:rsidP="00020D1E">
            <w:pPr>
              <w:autoSpaceDE w:val="0"/>
              <w:autoSpaceDN w:val="0"/>
              <w:adjustRightInd w:val="0"/>
              <w:jc w:val="center"/>
              <w:rPr>
                <w:iCs/>
                <w:sz w:val="24"/>
                <w:szCs w:val="22"/>
                <w:lang w:eastAsia="da-DK"/>
              </w:rPr>
            </w:pPr>
            <w:r w:rsidRPr="00A83FA7">
              <w:rPr>
                <w:sz w:val="24"/>
                <w:lang w:eastAsia="da-DK"/>
              </w:rPr>
              <w:t>5 mmol/l</w:t>
            </w:r>
          </w:p>
        </w:tc>
      </w:tr>
      <w:tr w:rsidR="00034077" w:rsidRPr="00A83FA7" w:rsidTr="00020D1E">
        <w:tc>
          <w:tcPr>
            <w:tcW w:w="4952" w:type="dxa"/>
          </w:tcPr>
          <w:p w:rsidR="00034077" w:rsidRPr="00A83FA7" w:rsidRDefault="00034077" w:rsidP="00020D1E">
            <w:pPr>
              <w:autoSpaceDE w:val="0"/>
              <w:autoSpaceDN w:val="0"/>
              <w:adjustRightInd w:val="0"/>
              <w:rPr>
                <w:iCs/>
                <w:sz w:val="24"/>
                <w:szCs w:val="22"/>
                <w:lang w:eastAsia="da-DK"/>
              </w:rPr>
            </w:pPr>
            <w:r w:rsidRPr="00A83FA7">
              <w:rPr>
                <w:sz w:val="24"/>
                <w:lang w:eastAsia="da-DK"/>
              </w:rPr>
              <w:t>Calcium</w:t>
            </w:r>
          </w:p>
        </w:tc>
        <w:tc>
          <w:tcPr>
            <w:tcW w:w="3945" w:type="dxa"/>
          </w:tcPr>
          <w:p w:rsidR="00034077" w:rsidRPr="00A83FA7" w:rsidRDefault="00034077" w:rsidP="00020D1E">
            <w:pPr>
              <w:autoSpaceDE w:val="0"/>
              <w:autoSpaceDN w:val="0"/>
              <w:adjustRightInd w:val="0"/>
              <w:jc w:val="center"/>
              <w:rPr>
                <w:iCs/>
                <w:sz w:val="24"/>
                <w:szCs w:val="22"/>
                <w:lang w:eastAsia="da-DK"/>
              </w:rPr>
            </w:pPr>
            <w:r w:rsidRPr="00A83FA7">
              <w:rPr>
                <w:sz w:val="24"/>
                <w:lang w:eastAsia="da-DK"/>
              </w:rPr>
              <w:t>4,6 mmol/l</w:t>
            </w:r>
          </w:p>
        </w:tc>
      </w:tr>
      <w:tr w:rsidR="00034077" w:rsidRPr="00A83FA7" w:rsidTr="00020D1E">
        <w:tc>
          <w:tcPr>
            <w:tcW w:w="4952" w:type="dxa"/>
          </w:tcPr>
          <w:p w:rsidR="00034077" w:rsidRPr="00A83FA7" w:rsidRDefault="00034077" w:rsidP="00020D1E">
            <w:pPr>
              <w:autoSpaceDE w:val="0"/>
              <w:autoSpaceDN w:val="0"/>
              <w:adjustRightInd w:val="0"/>
              <w:rPr>
                <w:iCs/>
                <w:sz w:val="24"/>
                <w:szCs w:val="22"/>
                <w:lang w:eastAsia="da-DK"/>
              </w:rPr>
            </w:pPr>
            <w:proofErr w:type="spellStart"/>
            <w:r w:rsidRPr="00A83FA7">
              <w:rPr>
                <w:sz w:val="24"/>
                <w:lang w:eastAsia="da-DK"/>
              </w:rPr>
              <w:t>Phosphat</w:t>
            </w:r>
            <w:proofErr w:type="spellEnd"/>
            <w:r w:rsidRPr="00A83FA7">
              <w:rPr>
                <w:sz w:val="24"/>
                <w:lang w:eastAsia="da-DK"/>
              </w:rPr>
              <w:t xml:space="preserve"> (organisk, såsom </w:t>
            </w:r>
            <w:proofErr w:type="spellStart"/>
            <w:r w:rsidRPr="00A83FA7">
              <w:rPr>
                <w:sz w:val="24"/>
                <w:lang w:eastAsia="da-DK"/>
              </w:rPr>
              <w:t>natriumglycerophosphat</w:t>
            </w:r>
            <w:proofErr w:type="spellEnd"/>
            <w:r w:rsidRPr="00A83FA7">
              <w:rPr>
                <w:sz w:val="24"/>
                <w:lang w:eastAsia="da-DK"/>
              </w:rPr>
              <w:t>)</w:t>
            </w:r>
          </w:p>
          <w:p w:rsidR="00034077" w:rsidRPr="00A83FA7" w:rsidRDefault="00034077" w:rsidP="00020D1E">
            <w:pPr>
              <w:autoSpaceDE w:val="0"/>
              <w:autoSpaceDN w:val="0"/>
              <w:adjustRightInd w:val="0"/>
              <w:rPr>
                <w:iCs/>
                <w:sz w:val="24"/>
                <w:szCs w:val="22"/>
                <w:lang w:eastAsia="da-DK"/>
              </w:rPr>
            </w:pPr>
            <w:r w:rsidRPr="00A83FA7">
              <w:rPr>
                <w:sz w:val="24"/>
                <w:lang w:eastAsia="da-DK"/>
              </w:rPr>
              <w:t>Eller</w:t>
            </w:r>
          </w:p>
          <w:p w:rsidR="00034077" w:rsidRPr="00A83FA7" w:rsidRDefault="00034077" w:rsidP="00020D1E">
            <w:pPr>
              <w:autoSpaceDE w:val="0"/>
              <w:autoSpaceDN w:val="0"/>
              <w:adjustRightInd w:val="0"/>
              <w:rPr>
                <w:iCs/>
                <w:sz w:val="24"/>
                <w:szCs w:val="22"/>
                <w:lang w:eastAsia="da-DK"/>
              </w:rPr>
            </w:pPr>
            <w:proofErr w:type="spellStart"/>
            <w:r w:rsidRPr="00A83FA7">
              <w:rPr>
                <w:sz w:val="24"/>
                <w:lang w:eastAsia="da-DK"/>
              </w:rPr>
              <w:t>Phosphat</w:t>
            </w:r>
            <w:proofErr w:type="spellEnd"/>
            <w:r w:rsidRPr="00A83FA7">
              <w:rPr>
                <w:sz w:val="24"/>
                <w:lang w:eastAsia="da-DK"/>
              </w:rPr>
              <w:t xml:space="preserve"> (mineralsk såsom </w:t>
            </w:r>
            <w:proofErr w:type="spellStart"/>
            <w:r w:rsidRPr="00A83FA7">
              <w:rPr>
                <w:sz w:val="24"/>
                <w:lang w:eastAsia="da-DK"/>
              </w:rPr>
              <w:t>kaliumphosphat</w:t>
            </w:r>
            <w:proofErr w:type="spellEnd"/>
            <w:r w:rsidRPr="00A83FA7">
              <w:rPr>
                <w:sz w:val="24"/>
                <w:lang w:eastAsia="da-DK"/>
              </w:rPr>
              <w:t>)</w:t>
            </w:r>
          </w:p>
        </w:tc>
        <w:tc>
          <w:tcPr>
            <w:tcW w:w="3945" w:type="dxa"/>
          </w:tcPr>
          <w:p w:rsidR="00034077" w:rsidRPr="00A83FA7" w:rsidRDefault="00034077" w:rsidP="00020D1E">
            <w:pPr>
              <w:autoSpaceDE w:val="0"/>
              <w:autoSpaceDN w:val="0"/>
              <w:adjustRightInd w:val="0"/>
              <w:jc w:val="center"/>
              <w:rPr>
                <w:iCs/>
                <w:sz w:val="24"/>
                <w:szCs w:val="22"/>
                <w:lang w:eastAsia="da-DK"/>
              </w:rPr>
            </w:pPr>
            <w:r w:rsidRPr="00A83FA7">
              <w:rPr>
                <w:sz w:val="24"/>
                <w:lang w:eastAsia="da-DK"/>
              </w:rPr>
              <w:t>18,5 mmol/l</w:t>
            </w:r>
          </w:p>
          <w:p w:rsidR="00034077" w:rsidRPr="00A83FA7" w:rsidRDefault="00034077" w:rsidP="00020D1E">
            <w:pPr>
              <w:autoSpaceDE w:val="0"/>
              <w:autoSpaceDN w:val="0"/>
              <w:adjustRightInd w:val="0"/>
              <w:jc w:val="center"/>
              <w:rPr>
                <w:iCs/>
                <w:sz w:val="24"/>
                <w:szCs w:val="22"/>
                <w:lang w:val="sv-SE" w:eastAsia="da-DK"/>
              </w:rPr>
            </w:pPr>
          </w:p>
          <w:p w:rsidR="00034077" w:rsidRPr="00A83FA7" w:rsidRDefault="00034077" w:rsidP="00020D1E">
            <w:pPr>
              <w:autoSpaceDE w:val="0"/>
              <w:autoSpaceDN w:val="0"/>
              <w:adjustRightInd w:val="0"/>
              <w:jc w:val="center"/>
              <w:rPr>
                <w:iCs/>
                <w:sz w:val="24"/>
                <w:szCs w:val="22"/>
                <w:lang w:val="sv-SE" w:eastAsia="da-DK"/>
              </w:rPr>
            </w:pPr>
          </w:p>
          <w:p w:rsidR="00034077" w:rsidRPr="00A83FA7" w:rsidRDefault="00034077" w:rsidP="00020D1E">
            <w:pPr>
              <w:autoSpaceDE w:val="0"/>
              <w:autoSpaceDN w:val="0"/>
              <w:adjustRightInd w:val="0"/>
              <w:jc w:val="center"/>
              <w:rPr>
                <w:iCs/>
                <w:sz w:val="24"/>
                <w:szCs w:val="22"/>
                <w:lang w:eastAsia="da-DK"/>
              </w:rPr>
            </w:pPr>
            <w:r>
              <w:rPr>
                <w:sz w:val="24"/>
                <w:lang w:eastAsia="da-DK"/>
              </w:rPr>
              <w:t xml:space="preserve">5,5 </w:t>
            </w:r>
            <w:r w:rsidRPr="00A83FA7">
              <w:rPr>
                <w:sz w:val="24"/>
                <w:lang w:eastAsia="da-DK"/>
              </w:rPr>
              <w:t>mmol/l</w:t>
            </w:r>
          </w:p>
        </w:tc>
      </w:tr>
      <w:tr w:rsidR="00034077" w:rsidRPr="00A83FA7" w:rsidTr="00020D1E">
        <w:tc>
          <w:tcPr>
            <w:tcW w:w="4952" w:type="dxa"/>
          </w:tcPr>
          <w:p w:rsidR="00034077" w:rsidRPr="00A83FA7" w:rsidRDefault="00034077" w:rsidP="00020D1E">
            <w:pPr>
              <w:autoSpaceDE w:val="0"/>
              <w:autoSpaceDN w:val="0"/>
              <w:adjustRightInd w:val="0"/>
              <w:rPr>
                <w:iCs/>
                <w:sz w:val="24"/>
                <w:szCs w:val="22"/>
                <w:lang w:eastAsia="da-DK"/>
              </w:rPr>
            </w:pPr>
            <w:r w:rsidRPr="00A83FA7">
              <w:rPr>
                <w:sz w:val="24"/>
                <w:lang w:eastAsia="da-DK"/>
              </w:rPr>
              <w:t>Selen</w:t>
            </w:r>
          </w:p>
        </w:tc>
        <w:tc>
          <w:tcPr>
            <w:tcW w:w="3945" w:type="dxa"/>
          </w:tcPr>
          <w:p w:rsidR="00034077" w:rsidRPr="00A83FA7" w:rsidRDefault="00034077" w:rsidP="00020D1E">
            <w:pPr>
              <w:autoSpaceDE w:val="0"/>
              <w:autoSpaceDN w:val="0"/>
              <w:adjustRightInd w:val="0"/>
              <w:jc w:val="center"/>
              <w:rPr>
                <w:iCs/>
                <w:sz w:val="24"/>
                <w:szCs w:val="22"/>
                <w:lang w:eastAsia="da-DK"/>
              </w:rPr>
            </w:pPr>
            <w:r w:rsidRPr="00A83FA7">
              <w:rPr>
                <w:sz w:val="24"/>
                <w:lang w:eastAsia="da-DK"/>
              </w:rPr>
              <w:t>7,6 µmol/l</w:t>
            </w:r>
          </w:p>
        </w:tc>
      </w:tr>
      <w:tr w:rsidR="00034077" w:rsidRPr="00A83FA7" w:rsidTr="00020D1E">
        <w:tc>
          <w:tcPr>
            <w:tcW w:w="4952" w:type="dxa"/>
          </w:tcPr>
          <w:p w:rsidR="00034077" w:rsidRPr="00A83FA7" w:rsidRDefault="00034077" w:rsidP="00020D1E">
            <w:pPr>
              <w:autoSpaceDE w:val="0"/>
              <w:autoSpaceDN w:val="0"/>
              <w:adjustRightInd w:val="0"/>
              <w:rPr>
                <w:iCs/>
                <w:sz w:val="24"/>
                <w:szCs w:val="22"/>
                <w:lang w:eastAsia="da-DK"/>
              </w:rPr>
            </w:pPr>
            <w:r w:rsidRPr="00A83FA7">
              <w:rPr>
                <w:sz w:val="24"/>
                <w:lang w:eastAsia="da-DK"/>
              </w:rPr>
              <w:t>Zink</w:t>
            </w:r>
          </w:p>
        </w:tc>
        <w:tc>
          <w:tcPr>
            <w:tcW w:w="3945" w:type="dxa"/>
          </w:tcPr>
          <w:p w:rsidR="00034077" w:rsidRPr="00A83FA7" w:rsidRDefault="00034077" w:rsidP="00020D1E">
            <w:pPr>
              <w:autoSpaceDE w:val="0"/>
              <w:autoSpaceDN w:val="0"/>
              <w:adjustRightInd w:val="0"/>
              <w:jc w:val="center"/>
              <w:rPr>
                <w:iCs/>
                <w:sz w:val="24"/>
                <w:szCs w:val="22"/>
                <w:lang w:eastAsia="da-DK"/>
              </w:rPr>
            </w:pPr>
            <w:r w:rsidRPr="00A83FA7">
              <w:rPr>
                <w:sz w:val="24"/>
                <w:lang w:eastAsia="da-DK"/>
              </w:rPr>
              <w:t>0,31 mmol/l</w:t>
            </w:r>
          </w:p>
        </w:tc>
      </w:tr>
    </w:tbl>
    <w:p w:rsidR="00034077" w:rsidRPr="00A83FA7" w:rsidRDefault="00034077" w:rsidP="00034077">
      <w:pPr>
        <w:numPr>
          <w:ilvl w:val="0"/>
          <w:numId w:val="7"/>
        </w:numPr>
        <w:tabs>
          <w:tab w:val="clear" w:pos="115"/>
          <w:tab w:val="num" w:pos="575"/>
        </w:tabs>
        <w:spacing w:before="60" w:after="60"/>
        <w:ind w:left="575"/>
        <w:rPr>
          <w:sz w:val="20"/>
          <w:lang w:eastAsia="ja-JP"/>
        </w:rPr>
      </w:pPr>
      <w:r w:rsidRPr="00A83FA7">
        <w:rPr>
          <w:sz w:val="20"/>
          <w:lang w:eastAsia="ja-JP"/>
        </w:rPr>
        <w:t xml:space="preserve">Volumen af hætteglas: </w:t>
      </w:r>
      <w:bookmarkStart w:id="1" w:name="_Ref510182955"/>
      <w:r w:rsidRPr="00A83FA7">
        <w:rPr>
          <w:sz w:val="20"/>
          <w:lang w:eastAsia="ja-JP"/>
        </w:rPr>
        <w:t>10 m</w:t>
      </w:r>
      <w:bookmarkEnd w:id="1"/>
      <w:r w:rsidRPr="00A83FA7">
        <w:rPr>
          <w:sz w:val="20"/>
          <w:lang w:eastAsia="ja-JP"/>
        </w:rPr>
        <w:t>l koncentreret opløsning</w:t>
      </w:r>
    </w:p>
    <w:p w:rsidR="00034077" w:rsidRPr="00A83FA7" w:rsidRDefault="00034077" w:rsidP="00034077">
      <w:pPr>
        <w:numPr>
          <w:ilvl w:val="0"/>
          <w:numId w:val="7"/>
        </w:numPr>
        <w:tabs>
          <w:tab w:val="clear" w:pos="115"/>
          <w:tab w:val="num" w:pos="575"/>
        </w:tabs>
        <w:spacing w:before="60" w:after="60"/>
        <w:ind w:left="575"/>
        <w:rPr>
          <w:sz w:val="20"/>
          <w:lang w:eastAsia="ja-JP"/>
        </w:rPr>
      </w:pPr>
      <w:r w:rsidRPr="00A83FA7">
        <w:rPr>
          <w:sz w:val="20"/>
          <w:lang w:eastAsia="ja-JP"/>
        </w:rPr>
        <w:t xml:space="preserve">Volumen af hætteglas: </w:t>
      </w:r>
      <w:bookmarkStart w:id="2" w:name="_Ref510182965"/>
      <w:r w:rsidRPr="00A83FA7">
        <w:rPr>
          <w:sz w:val="20"/>
          <w:lang w:eastAsia="ja-JP"/>
        </w:rPr>
        <w:t>5 m</w:t>
      </w:r>
      <w:bookmarkEnd w:id="2"/>
      <w:r w:rsidRPr="00A83FA7">
        <w:rPr>
          <w:sz w:val="20"/>
          <w:lang w:eastAsia="ja-JP"/>
        </w:rPr>
        <w:t xml:space="preserve">l </w:t>
      </w:r>
      <w:proofErr w:type="spellStart"/>
      <w:r w:rsidRPr="00A83FA7">
        <w:rPr>
          <w:sz w:val="20"/>
          <w:lang w:eastAsia="ja-JP"/>
        </w:rPr>
        <w:t>lyofilisat</w:t>
      </w:r>
      <w:proofErr w:type="spellEnd"/>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t xml:space="preserve">Kompatibiliteten kan variere mellem produkter fra forskellige kilder, og sundhedsfagligt personale tilrådes at udvise passende kontrol, når </w:t>
      </w:r>
      <w:proofErr w:type="spellStart"/>
      <w:r>
        <w:rPr>
          <w:sz w:val="24"/>
          <w:lang w:eastAsia="da-DK"/>
        </w:rPr>
        <w:t>Finomel</w:t>
      </w:r>
      <w:proofErr w:type="spellEnd"/>
      <w:r w:rsidRPr="00A83FA7">
        <w:rPr>
          <w:sz w:val="24"/>
          <w:lang w:eastAsia="da-DK"/>
        </w:rPr>
        <w:t xml:space="preserve"> blandes med andre parenterale opløsninger.</w:t>
      </w:r>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t>Bland indholdet af posen grundigt, og inspicér blandingen visuelt. Der bør ikke være tegn på separation i emulsionsfasen. Blandingen er en mælkehvid homogen emulsion.</w:t>
      </w:r>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t xml:space="preserve">Når der tilsættes additiver, skal blandingens endelige </w:t>
      </w:r>
      <w:proofErr w:type="spellStart"/>
      <w:r w:rsidRPr="00A83FA7">
        <w:rPr>
          <w:sz w:val="24"/>
          <w:lang w:eastAsia="da-DK"/>
        </w:rPr>
        <w:t>osmolaritet</w:t>
      </w:r>
      <w:proofErr w:type="spellEnd"/>
      <w:r w:rsidRPr="00A83FA7">
        <w:rPr>
          <w:sz w:val="24"/>
          <w:lang w:eastAsia="da-DK"/>
        </w:rPr>
        <w:t xml:space="preserve"> måles.</w:t>
      </w:r>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t>Fjern beskyttelseshætten fra tilkoblingsstudsen, og påsæt infusionssættet. Hæng posen på et infusionsstativ, og udfør infusionen ved brug af standardteknik.</w:t>
      </w:r>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lastRenderedPageBreak/>
        <w:t>Når posen er åbnet, skal indholdet bruges med det samme og ikke opbevares til senere infusion.</w:t>
      </w:r>
    </w:p>
    <w:p w:rsidR="00034077" w:rsidRPr="00A83FA7" w:rsidRDefault="00034077" w:rsidP="00034077">
      <w:pPr>
        <w:tabs>
          <w:tab w:val="left" w:pos="851"/>
        </w:tabs>
        <w:ind w:left="851"/>
        <w:rPr>
          <w:sz w:val="24"/>
          <w:lang w:eastAsia="da-DK"/>
        </w:rPr>
      </w:pPr>
    </w:p>
    <w:p w:rsidR="00034077" w:rsidRPr="00A83FA7" w:rsidRDefault="00034077" w:rsidP="00034077">
      <w:pPr>
        <w:tabs>
          <w:tab w:val="left" w:pos="851"/>
        </w:tabs>
        <w:ind w:left="851"/>
        <w:rPr>
          <w:sz w:val="24"/>
          <w:lang w:eastAsia="da-DK"/>
        </w:rPr>
      </w:pPr>
      <w:r w:rsidRPr="00A83FA7">
        <w:rPr>
          <w:sz w:val="24"/>
          <w:lang w:eastAsia="da-DK"/>
        </w:rPr>
        <w:t xml:space="preserve">En delvist brugt pose må ikke tilkobles. Posen må ikke serieforbindes, da dette kan medføre </w:t>
      </w:r>
      <w:proofErr w:type="spellStart"/>
      <w:r w:rsidRPr="00A83FA7">
        <w:rPr>
          <w:sz w:val="24"/>
          <w:lang w:eastAsia="da-DK"/>
        </w:rPr>
        <w:t>luftemboli</w:t>
      </w:r>
      <w:proofErr w:type="spellEnd"/>
      <w:r w:rsidRPr="00A83FA7">
        <w:rPr>
          <w:sz w:val="24"/>
          <w:lang w:eastAsia="da-DK"/>
        </w:rPr>
        <w:t>.</w:t>
      </w:r>
    </w:p>
    <w:p w:rsidR="00034077" w:rsidRPr="00A83FA7" w:rsidRDefault="00034077" w:rsidP="00034077">
      <w:pPr>
        <w:tabs>
          <w:tab w:val="left" w:pos="851"/>
        </w:tabs>
        <w:ind w:left="851"/>
        <w:rPr>
          <w:sz w:val="24"/>
          <w:lang w:eastAsia="da-DK"/>
        </w:rPr>
      </w:pPr>
    </w:p>
    <w:p w:rsidR="00034077" w:rsidRPr="00546D1C" w:rsidRDefault="00034077" w:rsidP="00034077">
      <w:pPr>
        <w:tabs>
          <w:tab w:val="left" w:pos="851"/>
        </w:tabs>
        <w:ind w:left="851"/>
        <w:rPr>
          <w:sz w:val="24"/>
          <w:lang w:eastAsia="da-DK"/>
        </w:rPr>
      </w:pPr>
      <w:r w:rsidRPr="00A83FA7">
        <w:rPr>
          <w:sz w:val="24"/>
          <w:lang w:eastAsia="da-DK"/>
        </w:rPr>
        <w:t>Ikke anvendt lægemiddel samt affald heraf skal bortskaffes i henhold til lokale retningslinjer.</w:t>
      </w:r>
    </w:p>
    <w:p w:rsidR="00034077" w:rsidRPr="009369B9" w:rsidRDefault="00034077" w:rsidP="00034077">
      <w:pPr>
        <w:tabs>
          <w:tab w:val="left" w:pos="851"/>
        </w:tabs>
        <w:ind w:left="851"/>
        <w:jc w:val="both"/>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7.</w:t>
      </w:r>
      <w:r w:rsidRPr="009369B9">
        <w:rPr>
          <w:b/>
          <w:sz w:val="24"/>
          <w:szCs w:val="24"/>
        </w:rPr>
        <w:tab/>
        <w:t>INDEHAVER AF MARKEDSFØRINGSTILLADELSEN</w:t>
      </w:r>
    </w:p>
    <w:p w:rsidR="00034077" w:rsidRPr="006C38EA" w:rsidRDefault="00034077" w:rsidP="00034077">
      <w:pPr>
        <w:tabs>
          <w:tab w:val="left" w:pos="851"/>
        </w:tabs>
        <w:ind w:left="851"/>
        <w:rPr>
          <w:sz w:val="24"/>
          <w:szCs w:val="24"/>
        </w:rPr>
      </w:pPr>
      <w:r w:rsidRPr="006C38EA">
        <w:rPr>
          <w:sz w:val="24"/>
          <w:szCs w:val="24"/>
        </w:rPr>
        <w:t>Baxter A/S</w:t>
      </w:r>
    </w:p>
    <w:p w:rsidR="00034077" w:rsidRPr="00C356DC" w:rsidRDefault="00034077" w:rsidP="00034077">
      <w:pPr>
        <w:tabs>
          <w:tab w:val="left" w:pos="851"/>
        </w:tabs>
        <w:ind w:left="851"/>
        <w:rPr>
          <w:sz w:val="24"/>
          <w:szCs w:val="24"/>
        </w:rPr>
      </w:pPr>
      <w:r w:rsidRPr="00C356DC">
        <w:rPr>
          <w:sz w:val="24"/>
          <w:szCs w:val="24"/>
        </w:rPr>
        <w:t>Tobaksvejen 2</w:t>
      </w:r>
      <w:r w:rsidR="00020D1E">
        <w:rPr>
          <w:sz w:val="24"/>
          <w:szCs w:val="24"/>
        </w:rPr>
        <w:t>3</w:t>
      </w:r>
      <w:r w:rsidRPr="00C356DC">
        <w:rPr>
          <w:sz w:val="24"/>
          <w:szCs w:val="24"/>
        </w:rPr>
        <w:t>A</w:t>
      </w:r>
    </w:p>
    <w:p w:rsidR="00034077" w:rsidRPr="00C356DC" w:rsidRDefault="00034077" w:rsidP="00034077">
      <w:pPr>
        <w:tabs>
          <w:tab w:val="left" w:pos="851"/>
        </w:tabs>
        <w:ind w:left="851"/>
        <w:rPr>
          <w:sz w:val="24"/>
          <w:szCs w:val="24"/>
        </w:rPr>
      </w:pPr>
      <w:r w:rsidRPr="00C356DC">
        <w:rPr>
          <w:sz w:val="24"/>
          <w:szCs w:val="24"/>
        </w:rPr>
        <w:t>2860 Søborg</w:t>
      </w:r>
    </w:p>
    <w:p w:rsidR="00034077" w:rsidRPr="00C356DC"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8.</w:t>
      </w:r>
      <w:r w:rsidRPr="009369B9">
        <w:rPr>
          <w:b/>
          <w:sz w:val="24"/>
          <w:szCs w:val="24"/>
        </w:rPr>
        <w:tab/>
        <w:t>MARKEDSFØRINGSTILLADELSESNUMMER (</w:t>
      </w:r>
      <w:r w:rsidR="00020D1E">
        <w:rPr>
          <w:b/>
          <w:sz w:val="24"/>
          <w:szCs w:val="24"/>
        </w:rPr>
        <w:t>-</w:t>
      </w:r>
      <w:r w:rsidRPr="009369B9">
        <w:rPr>
          <w:b/>
          <w:sz w:val="24"/>
          <w:szCs w:val="24"/>
        </w:rPr>
        <w:t>NUMRE)</w:t>
      </w:r>
    </w:p>
    <w:p w:rsidR="00034077" w:rsidRPr="009369B9" w:rsidRDefault="00034077" w:rsidP="00034077">
      <w:pPr>
        <w:tabs>
          <w:tab w:val="left" w:pos="851"/>
        </w:tabs>
        <w:ind w:left="851"/>
        <w:rPr>
          <w:sz w:val="24"/>
          <w:szCs w:val="24"/>
        </w:rPr>
      </w:pPr>
      <w:r>
        <w:rPr>
          <w:sz w:val="24"/>
          <w:szCs w:val="24"/>
        </w:rPr>
        <w:t>60160</w:t>
      </w:r>
    </w:p>
    <w:p w:rsidR="00034077" w:rsidRPr="009369B9" w:rsidRDefault="00034077" w:rsidP="00034077">
      <w:pPr>
        <w:tabs>
          <w:tab w:val="left" w:pos="851"/>
        </w:tabs>
        <w:ind w:left="851"/>
        <w:jc w:val="both"/>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9.</w:t>
      </w:r>
      <w:r w:rsidRPr="009369B9">
        <w:rPr>
          <w:b/>
          <w:sz w:val="24"/>
          <w:szCs w:val="24"/>
        </w:rPr>
        <w:tab/>
        <w:t>DATO FOR FØRSTE MARKEDSFØRINGSTILLADELSE</w:t>
      </w:r>
    </w:p>
    <w:p w:rsidR="00034077" w:rsidRPr="009369B9" w:rsidRDefault="00034077" w:rsidP="00034077">
      <w:pPr>
        <w:tabs>
          <w:tab w:val="left" w:pos="851"/>
        </w:tabs>
        <w:ind w:left="851"/>
        <w:rPr>
          <w:sz w:val="24"/>
          <w:szCs w:val="24"/>
        </w:rPr>
      </w:pPr>
      <w:r>
        <w:rPr>
          <w:sz w:val="24"/>
          <w:szCs w:val="24"/>
        </w:rPr>
        <w:t>18. december 2018</w:t>
      </w:r>
    </w:p>
    <w:p w:rsidR="00034077" w:rsidRPr="009369B9" w:rsidRDefault="00034077" w:rsidP="00034077">
      <w:pPr>
        <w:tabs>
          <w:tab w:val="left" w:pos="851"/>
        </w:tabs>
        <w:ind w:left="851"/>
        <w:rPr>
          <w:sz w:val="24"/>
          <w:szCs w:val="24"/>
        </w:rPr>
      </w:pPr>
    </w:p>
    <w:p w:rsidR="00034077" w:rsidRPr="009369B9" w:rsidRDefault="00034077" w:rsidP="00034077">
      <w:pPr>
        <w:tabs>
          <w:tab w:val="left" w:pos="851"/>
        </w:tabs>
        <w:ind w:left="851" w:hanging="851"/>
        <w:rPr>
          <w:b/>
          <w:sz w:val="24"/>
          <w:szCs w:val="24"/>
        </w:rPr>
      </w:pPr>
      <w:r w:rsidRPr="009369B9">
        <w:rPr>
          <w:b/>
          <w:sz w:val="24"/>
          <w:szCs w:val="24"/>
        </w:rPr>
        <w:t>10.</w:t>
      </w:r>
      <w:r w:rsidRPr="009369B9">
        <w:rPr>
          <w:b/>
          <w:sz w:val="24"/>
          <w:szCs w:val="24"/>
        </w:rPr>
        <w:tab/>
        <w:t>DATO FOR ÆNDRING AF TEKSTEN</w:t>
      </w:r>
    </w:p>
    <w:p w:rsidR="00034077" w:rsidRPr="009369B9" w:rsidRDefault="00020D1E" w:rsidP="00034077">
      <w:pPr>
        <w:tabs>
          <w:tab w:val="left" w:pos="851"/>
        </w:tabs>
        <w:ind w:left="851"/>
        <w:rPr>
          <w:sz w:val="24"/>
          <w:szCs w:val="24"/>
        </w:rPr>
      </w:pPr>
      <w:r>
        <w:rPr>
          <w:sz w:val="24"/>
          <w:szCs w:val="24"/>
        </w:rPr>
        <w:t>11. april 2023</w:t>
      </w:r>
    </w:p>
    <w:p w:rsidR="00034077" w:rsidRPr="000B6B74" w:rsidRDefault="00034077" w:rsidP="00034077"/>
    <w:p w:rsidR="00034077" w:rsidRPr="00F92278" w:rsidRDefault="00034077" w:rsidP="00034077"/>
    <w:p w:rsidR="009260DE" w:rsidRPr="00034077" w:rsidRDefault="009260DE" w:rsidP="00034077"/>
    <w:sectPr w:rsidR="009260DE" w:rsidRPr="0003407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D1E" w:rsidRDefault="00020D1E">
      <w:r>
        <w:separator/>
      </w:r>
    </w:p>
  </w:endnote>
  <w:endnote w:type="continuationSeparator" w:id="0">
    <w:p w:rsidR="00020D1E" w:rsidRDefault="0002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D1E" w:rsidRDefault="00020D1E">
    <w:pPr>
      <w:pStyle w:val="Sidefod"/>
      <w:pBdr>
        <w:bottom w:val="single" w:sz="6" w:space="1" w:color="auto"/>
      </w:pBdr>
    </w:pPr>
  </w:p>
  <w:p w:rsidR="00020D1E" w:rsidRDefault="00020D1E" w:rsidP="00C42586">
    <w:pPr>
      <w:pStyle w:val="Sidefod"/>
      <w:tabs>
        <w:tab w:val="clear" w:pos="4819"/>
        <w:tab w:val="left" w:pos="8505"/>
      </w:tabs>
      <w:rPr>
        <w:i/>
        <w:sz w:val="18"/>
        <w:szCs w:val="18"/>
      </w:rPr>
    </w:pPr>
  </w:p>
  <w:p w:rsidR="00020D1E" w:rsidRPr="00B373D7" w:rsidRDefault="00D16C4B" w:rsidP="00C42586">
    <w:pPr>
      <w:pStyle w:val="Sidefod"/>
      <w:tabs>
        <w:tab w:val="clear" w:pos="4819"/>
        <w:tab w:val="left" w:pos="8505"/>
      </w:tabs>
      <w:rPr>
        <w:i/>
        <w:sz w:val="18"/>
        <w:szCs w:val="18"/>
      </w:rPr>
    </w:pPr>
    <w:proofErr w:type="spellStart"/>
    <w:r w:rsidRPr="00D16C4B">
      <w:rPr>
        <w:i/>
        <w:sz w:val="18"/>
        <w:szCs w:val="18"/>
      </w:rPr>
      <w:t>Finomel</w:t>
    </w:r>
    <w:proofErr w:type="spellEnd"/>
    <w:r w:rsidRPr="00D16C4B">
      <w:rPr>
        <w:i/>
        <w:sz w:val="18"/>
        <w:szCs w:val="18"/>
      </w:rPr>
      <w:t>, infusionsvæske, emulsion</w:t>
    </w:r>
    <w:r w:rsidR="00020D1E" w:rsidRPr="00B373D7">
      <w:rPr>
        <w:i/>
        <w:sz w:val="18"/>
        <w:szCs w:val="18"/>
      </w:rPr>
      <w:tab/>
      <w:t xml:space="preserve">Side </w:t>
    </w:r>
    <w:r w:rsidR="00020D1E" w:rsidRPr="00B373D7">
      <w:rPr>
        <w:rStyle w:val="Sidetal"/>
        <w:i/>
        <w:sz w:val="18"/>
        <w:szCs w:val="18"/>
      </w:rPr>
      <w:fldChar w:fldCharType="begin"/>
    </w:r>
    <w:r w:rsidR="00020D1E" w:rsidRPr="00B373D7">
      <w:rPr>
        <w:rStyle w:val="Sidetal"/>
        <w:i/>
        <w:sz w:val="18"/>
        <w:szCs w:val="18"/>
      </w:rPr>
      <w:instrText xml:space="preserve"> PAGE </w:instrText>
    </w:r>
    <w:r w:rsidR="00020D1E" w:rsidRPr="00B373D7">
      <w:rPr>
        <w:rStyle w:val="Sidetal"/>
        <w:i/>
        <w:sz w:val="18"/>
        <w:szCs w:val="18"/>
      </w:rPr>
      <w:fldChar w:fldCharType="separate"/>
    </w:r>
    <w:r w:rsidR="00020D1E">
      <w:rPr>
        <w:rStyle w:val="Sidetal"/>
        <w:i/>
        <w:noProof/>
        <w:sz w:val="18"/>
        <w:szCs w:val="18"/>
      </w:rPr>
      <w:t>3</w:t>
    </w:r>
    <w:r w:rsidR="00020D1E" w:rsidRPr="00B373D7">
      <w:rPr>
        <w:rStyle w:val="Sidetal"/>
        <w:i/>
        <w:sz w:val="18"/>
        <w:szCs w:val="18"/>
      </w:rPr>
      <w:fldChar w:fldCharType="end"/>
    </w:r>
    <w:r w:rsidR="00020D1E" w:rsidRPr="00B373D7">
      <w:rPr>
        <w:rStyle w:val="Sidetal"/>
        <w:i/>
        <w:sz w:val="18"/>
        <w:szCs w:val="18"/>
      </w:rPr>
      <w:t xml:space="preserve"> af </w:t>
    </w:r>
    <w:r w:rsidR="00020D1E" w:rsidRPr="00B373D7">
      <w:rPr>
        <w:rStyle w:val="Sidetal"/>
        <w:i/>
        <w:sz w:val="18"/>
        <w:szCs w:val="18"/>
      </w:rPr>
      <w:fldChar w:fldCharType="begin"/>
    </w:r>
    <w:r w:rsidR="00020D1E" w:rsidRPr="00B373D7">
      <w:rPr>
        <w:rStyle w:val="Sidetal"/>
        <w:i/>
        <w:sz w:val="18"/>
        <w:szCs w:val="18"/>
      </w:rPr>
      <w:instrText xml:space="preserve"> NUMPAGES </w:instrText>
    </w:r>
    <w:r w:rsidR="00020D1E" w:rsidRPr="00B373D7">
      <w:rPr>
        <w:rStyle w:val="Sidetal"/>
        <w:i/>
        <w:sz w:val="18"/>
        <w:szCs w:val="18"/>
      </w:rPr>
      <w:fldChar w:fldCharType="separate"/>
    </w:r>
    <w:r w:rsidR="00020D1E">
      <w:rPr>
        <w:rStyle w:val="Sidetal"/>
        <w:i/>
        <w:noProof/>
        <w:sz w:val="18"/>
        <w:szCs w:val="18"/>
      </w:rPr>
      <w:t>3</w:t>
    </w:r>
    <w:r w:rsidR="00020D1E"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D1E" w:rsidRDefault="00020D1E">
      <w:r>
        <w:separator/>
      </w:r>
    </w:p>
  </w:footnote>
  <w:footnote w:type="continuationSeparator" w:id="0">
    <w:p w:rsidR="00020D1E" w:rsidRDefault="0002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3F4"/>
    <w:multiLevelType w:val="singleLevel"/>
    <w:tmpl w:val="695A10FA"/>
    <w:lvl w:ilvl="0">
      <w:start w:val="1"/>
      <w:numFmt w:val="lowerLetter"/>
      <w:lvlText w:val="%1"/>
      <w:lvlJc w:val="left"/>
      <w:pPr>
        <w:tabs>
          <w:tab w:val="num" w:pos="115"/>
        </w:tabs>
        <w:ind w:left="115" w:hanging="115"/>
      </w:pPr>
      <w:rPr>
        <w:rFonts w:ascii="Times New Roman" w:hAnsi="Times New Roman" w:cs="Times New Roman"/>
        <w:b w:val="0"/>
        <w:i w:val="0"/>
        <w:caps w:val="0"/>
        <w:strike w:val="0"/>
        <w:dstrike w:val="0"/>
        <w:sz w:val="20"/>
        <w:u w:val="none"/>
        <w:effect w:val="none"/>
        <w:vertAlign w:val="superscript"/>
      </w:rPr>
    </w:lvl>
  </w:abstractNum>
  <w:abstractNum w:abstractNumId="1" w15:restartNumberingAfterBreak="0">
    <w:nsid w:val="09E84AB7"/>
    <w:multiLevelType w:val="singleLevel"/>
    <w:tmpl w:val="E3F4A382"/>
    <w:name w:val="BXTFL"/>
    <w:lvl w:ilvl="0">
      <w:start w:val="1"/>
      <w:numFmt w:val="lowerLetter"/>
      <w:lvlText w:val="%1"/>
      <w:lvlJc w:val="left"/>
      <w:pPr>
        <w:tabs>
          <w:tab w:val="num" w:pos="115"/>
        </w:tabs>
        <w:ind w:left="115" w:hanging="115"/>
      </w:pPr>
      <w:rPr>
        <w:rFonts w:ascii="Times New Roman" w:hAnsi="Times New Roman" w:cs="Times New Roman"/>
        <w:b w:val="0"/>
        <w:i w:val="0"/>
        <w:caps w:val="0"/>
        <w:sz w:val="20"/>
        <w:u w:val="none"/>
        <w:vertAlign w:val="superscrip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77"/>
    <w:rsid w:val="00020D1E"/>
    <w:rsid w:val="000259B9"/>
    <w:rsid w:val="00034077"/>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16C4B"/>
    <w:rsid w:val="00D366CF"/>
    <w:rsid w:val="00D46C39"/>
    <w:rsid w:val="00E108AA"/>
    <w:rsid w:val="00E31812"/>
    <w:rsid w:val="00E3749A"/>
    <w:rsid w:val="00E7437F"/>
    <w:rsid w:val="00E865B8"/>
    <w:rsid w:val="00EC0B9B"/>
    <w:rsid w:val="00ED5E9F"/>
    <w:rsid w:val="00F66D4F"/>
    <w:rsid w:val="00F714AB"/>
    <w:rsid w:val="00F8625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CD22C4-FC5F-4E68-85D5-FD209EC5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D1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Center">
    <w:name w:val="Table Center"/>
    <w:rsid w:val="00034077"/>
    <w:pPr>
      <w:spacing w:before="60" w:after="60"/>
      <w:jc w:val="center"/>
    </w:pPr>
    <w:rPr>
      <w:lang w:eastAsia="ja-JP"/>
    </w:rPr>
  </w:style>
  <w:style w:type="paragraph" w:customStyle="1" w:styleId="TableHead">
    <w:name w:val="Table Head"/>
    <w:rsid w:val="00034077"/>
    <w:pPr>
      <w:keepNext/>
      <w:spacing w:before="60" w:after="60"/>
      <w:jc w:val="center"/>
    </w:pPr>
    <w:rPr>
      <w:rFonts w:eastAsia="MS Mincho"/>
      <w:b/>
      <w:lang w:eastAsia="ja-JP"/>
    </w:rPr>
  </w:style>
  <w:style w:type="paragraph" w:customStyle="1" w:styleId="TableFootnoteLetter">
    <w:name w:val="Table Footnote Letter"/>
    <w:rsid w:val="00034077"/>
    <w:pPr>
      <w:spacing w:before="60" w:after="6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14</Pages>
  <Words>3597</Words>
  <Characters>24307</Characters>
  <Application>Microsoft Office Word</Application>
  <DocSecurity>0</DocSecurity>
  <Lines>202</Lines>
  <Paragraphs>55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2023013315_x000d_
Ændring af MAH adresse</dc:description>
  <cp:lastModifiedBy>Marianne Ott Jensen</cp:lastModifiedBy>
  <cp:revision>4</cp:revision>
  <cp:lastPrinted>2012-08-22T08:53:00Z</cp:lastPrinted>
  <dcterms:created xsi:type="dcterms:W3CDTF">2023-04-11T11:47:00Z</dcterms:created>
  <dcterms:modified xsi:type="dcterms:W3CDTF">2023-04-11T11:52:00Z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