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E4C6" w14:textId="77777777" w:rsidR="00C96FD2" w:rsidRDefault="00DA44BC">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r w:rsidRPr="00925A84">
        <w:rPr>
          <w:noProof/>
          <w:szCs w:val="24"/>
        </w:rPr>
        <w:drawing>
          <wp:inline distT="0" distB="0" distL="0" distR="0" wp14:anchorId="5EF6B224" wp14:editId="391CFDD3">
            <wp:extent cx="2430780" cy="685800"/>
            <wp:effectExtent l="0" t="0" r="0"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14:paraId="77E25E5B" w14:textId="2959BCD9" w:rsidR="007E689E" w:rsidRDefault="00C4555F" w:rsidP="004B2294">
      <w:pPr>
        <w:tabs>
          <w:tab w:val="right" w:pos="9072"/>
        </w:tabs>
        <w:jc w:val="right"/>
        <w:rPr>
          <w:b/>
          <w:spacing w:val="-3"/>
        </w:rPr>
      </w:pPr>
      <w:r w:rsidRPr="00C4555F">
        <w:rPr>
          <w:b/>
          <w:spacing w:val="-3"/>
        </w:rPr>
        <w:t>10. februar 2023</w:t>
      </w:r>
    </w:p>
    <w:p w14:paraId="72AE983C" w14:textId="77777777" w:rsidR="00C4555F" w:rsidRPr="00C4555F" w:rsidRDefault="00C4555F" w:rsidP="004B2294">
      <w:pPr>
        <w:tabs>
          <w:tab w:val="right" w:pos="9072"/>
        </w:tabs>
        <w:jc w:val="right"/>
        <w:rPr>
          <w:b/>
          <w:spacing w:val="-3"/>
        </w:rPr>
      </w:pPr>
    </w:p>
    <w:p w14:paraId="424AD0FB" w14:textId="77777777" w:rsidR="005A0CC5" w:rsidRDefault="005A0CC5">
      <w:pPr>
        <w:tabs>
          <w:tab w:val="center" w:pos="4536"/>
        </w:tabs>
        <w:jc w:val="both"/>
        <w:rPr>
          <w:b/>
          <w:spacing w:val="-3"/>
        </w:rPr>
      </w:pPr>
    </w:p>
    <w:p w14:paraId="4B3FF3D7" w14:textId="77777777" w:rsidR="00C96FD2" w:rsidRDefault="00C96FD2">
      <w:pPr>
        <w:tabs>
          <w:tab w:val="center" w:pos="4536"/>
        </w:tabs>
        <w:jc w:val="both"/>
        <w:rPr>
          <w:b/>
          <w:spacing w:val="-3"/>
        </w:rPr>
      </w:pPr>
      <w:r>
        <w:rPr>
          <w:b/>
          <w:spacing w:val="-3"/>
        </w:rPr>
        <w:tab/>
        <w:t>PRODUKTRESUMÉ</w:t>
      </w:r>
    </w:p>
    <w:p w14:paraId="6F7A63F5" w14:textId="77777777" w:rsidR="00C96FD2" w:rsidRDefault="00C96FD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14:paraId="45599A93" w14:textId="77777777" w:rsidR="00C96FD2" w:rsidRDefault="00C96FD2">
      <w:pPr>
        <w:tabs>
          <w:tab w:val="center" w:pos="4536"/>
        </w:tabs>
        <w:jc w:val="both"/>
        <w:rPr>
          <w:b/>
          <w:spacing w:val="-3"/>
        </w:rPr>
      </w:pPr>
      <w:r>
        <w:rPr>
          <w:b/>
          <w:spacing w:val="-3"/>
        </w:rPr>
        <w:tab/>
        <w:t>for</w:t>
      </w:r>
    </w:p>
    <w:p w14:paraId="198BDAE3" w14:textId="77777777" w:rsidR="00C96FD2" w:rsidRDefault="00C96FD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rPr>
      </w:pPr>
    </w:p>
    <w:p w14:paraId="2558F602" w14:textId="77777777" w:rsidR="00C96FD2" w:rsidRDefault="00C96FD2">
      <w:pPr>
        <w:tabs>
          <w:tab w:val="center" w:pos="4536"/>
        </w:tabs>
        <w:jc w:val="both"/>
        <w:rPr>
          <w:spacing w:val="-3"/>
        </w:rPr>
      </w:pPr>
      <w:r>
        <w:rPr>
          <w:b/>
          <w:spacing w:val="-3"/>
        </w:rPr>
        <w:tab/>
      </w:r>
      <w:proofErr w:type="spellStart"/>
      <w:r>
        <w:rPr>
          <w:b/>
          <w:spacing w:val="-3"/>
        </w:rPr>
        <w:t>Flagyl</w:t>
      </w:r>
      <w:proofErr w:type="spellEnd"/>
      <w:r>
        <w:rPr>
          <w:b/>
          <w:spacing w:val="-3"/>
        </w:rPr>
        <w:t xml:space="preserve">, </w:t>
      </w:r>
      <w:r w:rsidR="00A7402A">
        <w:rPr>
          <w:b/>
          <w:spacing w:val="-3"/>
        </w:rPr>
        <w:t xml:space="preserve">filmovertrukne </w:t>
      </w:r>
      <w:r>
        <w:rPr>
          <w:b/>
          <w:spacing w:val="-3"/>
        </w:rPr>
        <w:t>tabletter</w:t>
      </w:r>
      <w:r w:rsidR="00925A84">
        <w:rPr>
          <w:b/>
          <w:spacing w:val="-3"/>
        </w:rPr>
        <w:t xml:space="preserve"> (</w:t>
      </w:r>
      <w:r w:rsidR="00925A84" w:rsidRPr="00925A84">
        <w:rPr>
          <w:b/>
          <w:spacing w:val="-3"/>
        </w:rPr>
        <w:t>2care4</w:t>
      </w:r>
      <w:r w:rsidR="00925A84">
        <w:rPr>
          <w:b/>
          <w:spacing w:val="-3"/>
        </w:rPr>
        <w:t>)</w:t>
      </w:r>
    </w:p>
    <w:p w14:paraId="60E25F66" w14:textId="77777777" w:rsidR="00C96FD2" w:rsidRDefault="00C96FD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14:paraId="6772C07E" w14:textId="77777777" w:rsidR="00C96FD2" w:rsidRPr="00C54F24" w:rsidRDefault="00C96FD2">
      <w:pPr>
        <w:tabs>
          <w:tab w:val="left" w:pos="0"/>
          <w:tab w:val="left" w:pos="851"/>
        </w:tabs>
        <w:ind w:left="850" w:hanging="850"/>
        <w:jc w:val="both"/>
        <w:rPr>
          <w:b/>
          <w:caps/>
          <w:spacing w:val="-3"/>
          <w:szCs w:val="24"/>
        </w:rPr>
      </w:pPr>
      <w:r w:rsidRPr="00C54F24">
        <w:rPr>
          <w:b/>
          <w:caps/>
          <w:spacing w:val="-3"/>
          <w:szCs w:val="24"/>
        </w:rPr>
        <w:t xml:space="preserve">0.  </w:t>
      </w:r>
      <w:r w:rsidRPr="00C54F24">
        <w:rPr>
          <w:b/>
          <w:caps/>
          <w:spacing w:val="-3"/>
          <w:szCs w:val="24"/>
        </w:rPr>
        <w:tab/>
        <w:t>D.sp.nr.</w:t>
      </w:r>
    </w:p>
    <w:p w14:paraId="384F85F4" w14:textId="77777777" w:rsidR="00501C94" w:rsidRDefault="00C96FD2" w:rsidP="00501C94">
      <w:pPr>
        <w:tabs>
          <w:tab w:val="left" w:pos="0"/>
          <w:tab w:val="left" w:pos="851"/>
        </w:tabs>
        <w:ind w:left="850" w:hanging="850"/>
        <w:jc w:val="both"/>
        <w:rPr>
          <w:spacing w:val="-3"/>
        </w:rPr>
      </w:pPr>
      <w:r>
        <w:tab/>
      </w:r>
      <w:r w:rsidR="00501C94">
        <w:rPr>
          <w:spacing w:val="-3"/>
        </w:rPr>
        <w:tab/>
        <w:t>2048</w:t>
      </w:r>
    </w:p>
    <w:p w14:paraId="5DD2B5DC" w14:textId="77777777" w:rsidR="00501C94" w:rsidRDefault="00501C94" w:rsidP="00501C94">
      <w:pPr>
        <w:tabs>
          <w:tab w:val="left" w:pos="0"/>
          <w:tab w:val="left" w:pos="851"/>
        </w:tabs>
        <w:jc w:val="both"/>
        <w:rPr>
          <w:spacing w:val="-3"/>
        </w:rPr>
      </w:pPr>
    </w:p>
    <w:p w14:paraId="7797990D" w14:textId="77777777" w:rsidR="00501C94" w:rsidRPr="00C54F24" w:rsidRDefault="00501C94" w:rsidP="00501C94">
      <w:pPr>
        <w:tabs>
          <w:tab w:val="left" w:pos="0"/>
          <w:tab w:val="left" w:pos="851"/>
        </w:tabs>
        <w:ind w:left="850" w:hanging="850"/>
        <w:jc w:val="both"/>
        <w:rPr>
          <w:b/>
          <w:caps/>
          <w:spacing w:val="-3"/>
          <w:szCs w:val="24"/>
        </w:rPr>
      </w:pPr>
      <w:r w:rsidRPr="00C54F24">
        <w:rPr>
          <w:b/>
          <w:caps/>
          <w:spacing w:val="-3"/>
          <w:szCs w:val="24"/>
        </w:rPr>
        <w:t>1.</w:t>
      </w:r>
      <w:r w:rsidRPr="00C54F24">
        <w:rPr>
          <w:b/>
          <w:caps/>
          <w:spacing w:val="-3"/>
          <w:szCs w:val="24"/>
        </w:rPr>
        <w:tab/>
        <w:t>Lægemidlets navn</w:t>
      </w:r>
    </w:p>
    <w:p w14:paraId="0DD789A7" w14:textId="77777777" w:rsidR="00501C94" w:rsidRDefault="00501C94" w:rsidP="00501C94">
      <w:pPr>
        <w:tabs>
          <w:tab w:val="left" w:pos="0"/>
          <w:tab w:val="left" w:pos="851"/>
        </w:tabs>
        <w:ind w:left="850" w:hanging="850"/>
        <w:jc w:val="both"/>
        <w:rPr>
          <w:spacing w:val="-3"/>
        </w:rPr>
      </w:pPr>
      <w:r>
        <w:rPr>
          <w:spacing w:val="-3"/>
        </w:rPr>
        <w:tab/>
      </w:r>
      <w:proofErr w:type="spellStart"/>
      <w:r>
        <w:rPr>
          <w:spacing w:val="-3"/>
        </w:rPr>
        <w:t>Flagyl</w:t>
      </w:r>
      <w:proofErr w:type="spellEnd"/>
    </w:p>
    <w:p w14:paraId="20C87DF2" w14:textId="77777777" w:rsidR="00501C94" w:rsidRDefault="00501C94" w:rsidP="00501C94">
      <w:pPr>
        <w:tabs>
          <w:tab w:val="left" w:pos="0"/>
          <w:tab w:val="left" w:pos="851"/>
        </w:tabs>
        <w:jc w:val="both"/>
        <w:rPr>
          <w:spacing w:val="-3"/>
        </w:rPr>
      </w:pPr>
    </w:p>
    <w:p w14:paraId="4694822F" w14:textId="77777777" w:rsidR="00501C94" w:rsidRPr="00C54F24" w:rsidRDefault="00501C94" w:rsidP="00501C94">
      <w:pPr>
        <w:tabs>
          <w:tab w:val="left" w:pos="0"/>
          <w:tab w:val="left" w:pos="851"/>
        </w:tabs>
        <w:ind w:left="850" w:hanging="850"/>
        <w:jc w:val="both"/>
        <w:rPr>
          <w:b/>
          <w:caps/>
          <w:spacing w:val="-3"/>
          <w:szCs w:val="24"/>
        </w:rPr>
      </w:pPr>
      <w:r w:rsidRPr="00C54F24">
        <w:rPr>
          <w:b/>
          <w:caps/>
          <w:spacing w:val="-3"/>
          <w:szCs w:val="24"/>
        </w:rPr>
        <w:t>2.</w:t>
      </w:r>
      <w:r w:rsidRPr="00C54F24">
        <w:rPr>
          <w:b/>
          <w:caps/>
          <w:spacing w:val="-3"/>
          <w:szCs w:val="24"/>
        </w:rPr>
        <w:tab/>
        <w:t>kvalitativ og kvantitativ sammensætning</w:t>
      </w:r>
    </w:p>
    <w:p w14:paraId="4A5313AC" w14:textId="77777777" w:rsidR="00501C94" w:rsidRDefault="00501C94" w:rsidP="00501C94">
      <w:pPr>
        <w:tabs>
          <w:tab w:val="left" w:pos="0"/>
          <w:tab w:val="left" w:pos="851"/>
        </w:tabs>
        <w:ind w:left="850" w:hanging="850"/>
        <w:jc w:val="both"/>
        <w:rPr>
          <w:spacing w:val="-3"/>
        </w:rPr>
      </w:pPr>
      <w:r>
        <w:rPr>
          <w:spacing w:val="-3"/>
        </w:rPr>
        <w:tab/>
      </w:r>
      <w:proofErr w:type="spellStart"/>
      <w:r>
        <w:rPr>
          <w:spacing w:val="-3"/>
        </w:rPr>
        <w:t>Metronidazol</w:t>
      </w:r>
      <w:proofErr w:type="spellEnd"/>
      <w:r>
        <w:rPr>
          <w:spacing w:val="-3"/>
        </w:rPr>
        <w:t xml:space="preserve"> 400 mg</w:t>
      </w:r>
    </w:p>
    <w:p w14:paraId="70269C13" w14:textId="77777777" w:rsidR="00501C94" w:rsidRDefault="00501C94" w:rsidP="00501C94">
      <w:pPr>
        <w:tabs>
          <w:tab w:val="left" w:pos="0"/>
          <w:tab w:val="left" w:pos="851"/>
        </w:tabs>
        <w:jc w:val="both"/>
        <w:rPr>
          <w:spacing w:val="-3"/>
        </w:rPr>
      </w:pPr>
    </w:p>
    <w:p w14:paraId="143E8901" w14:textId="77777777" w:rsidR="00507732" w:rsidRDefault="00507732" w:rsidP="00507732">
      <w:pPr>
        <w:tabs>
          <w:tab w:val="left" w:pos="0"/>
          <w:tab w:val="left" w:pos="851"/>
        </w:tabs>
        <w:jc w:val="both"/>
        <w:rPr>
          <w:spacing w:val="-3"/>
        </w:rPr>
      </w:pPr>
      <w:r>
        <w:rPr>
          <w:spacing w:val="-3"/>
        </w:rPr>
        <w:tab/>
        <w:t>Alle hjælpestoffer er anført under pkt. 6.1.</w:t>
      </w:r>
    </w:p>
    <w:p w14:paraId="3E1AA7D5" w14:textId="77777777" w:rsidR="00501C94" w:rsidRDefault="00501C94" w:rsidP="00501C94">
      <w:pPr>
        <w:tabs>
          <w:tab w:val="left" w:pos="0"/>
          <w:tab w:val="left" w:pos="851"/>
        </w:tabs>
        <w:jc w:val="both"/>
        <w:rPr>
          <w:spacing w:val="-3"/>
        </w:rPr>
      </w:pPr>
    </w:p>
    <w:p w14:paraId="1FA56043" w14:textId="77777777" w:rsidR="00501C94" w:rsidRPr="00C54F24" w:rsidRDefault="00501C94" w:rsidP="00501C94">
      <w:pPr>
        <w:tabs>
          <w:tab w:val="left" w:pos="0"/>
          <w:tab w:val="left" w:pos="851"/>
        </w:tabs>
        <w:ind w:left="850" w:hanging="850"/>
        <w:jc w:val="both"/>
        <w:rPr>
          <w:b/>
          <w:caps/>
          <w:spacing w:val="-3"/>
          <w:szCs w:val="24"/>
        </w:rPr>
      </w:pPr>
      <w:r w:rsidRPr="00C54F24">
        <w:rPr>
          <w:b/>
          <w:caps/>
          <w:spacing w:val="-3"/>
          <w:szCs w:val="24"/>
        </w:rPr>
        <w:t>3.</w:t>
      </w:r>
      <w:r w:rsidRPr="00C54F24">
        <w:rPr>
          <w:b/>
          <w:caps/>
          <w:spacing w:val="-3"/>
          <w:szCs w:val="24"/>
        </w:rPr>
        <w:tab/>
        <w:t>Lægemiddelform</w:t>
      </w:r>
    </w:p>
    <w:p w14:paraId="266AA190" w14:textId="77777777" w:rsidR="00501C94" w:rsidRDefault="00501C94" w:rsidP="00501C94">
      <w:pPr>
        <w:tabs>
          <w:tab w:val="left" w:pos="0"/>
          <w:tab w:val="left" w:pos="851"/>
        </w:tabs>
        <w:jc w:val="both"/>
        <w:rPr>
          <w:spacing w:val="-3"/>
        </w:rPr>
      </w:pPr>
      <w:r>
        <w:rPr>
          <w:spacing w:val="-3"/>
        </w:rPr>
        <w:tab/>
        <w:t>Filmovertrukne tabletter</w:t>
      </w:r>
      <w:r w:rsidR="00925A84">
        <w:rPr>
          <w:spacing w:val="-3"/>
        </w:rPr>
        <w:t xml:space="preserve"> (</w:t>
      </w:r>
      <w:r w:rsidR="00925A84" w:rsidRPr="00925A84">
        <w:rPr>
          <w:spacing w:val="-3"/>
        </w:rPr>
        <w:t>2care4</w:t>
      </w:r>
      <w:r w:rsidR="00925A84">
        <w:rPr>
          <w:spacing w:val="-3"/>
        </w:rPr>
        <w:t>).</w:t>
      </w:r>
    </w:p>
    <w:p w14:paraId="63C4E621" w14:textId="77777777" w:rsidR="00501C94" w:rsidRDefault="00501C94" w:rsidP="00501C94">
      <w:pPr>
        <w:tabs>
          <w:tab w:val="left" w:pos="0"/>
          <w:tab w:val="left" w:pos="851"/>
        </w:tabs>
        <w:jc w:val="both"/>
        <w:rPr>
          <w:spacing w:val="-3"/>
        </w:rPr>
      </w:pPr>
    </w:p>
    <w:p w14:paraId="13BD7182" w14:textId="77777777" w:rsidR="00501C94" w:rsidRDefault="00501C94" w:rsidP="00501C94">
      <w:pPr>
        <w:tabs>
          <w:tab w:val="left" w:pos="0"/>
          <w:tab w:val="left" w:pos="851"/>
        </w:tabs>
        <w:jc w:val="both"/>
        <w:rPr>
          <w:spacing w:val="-3"/>
        </w:rPr>
      </w:pPr>
    </w:p>
    <w:p w14:paraId="65B842D2" w14:textId="77777777" w:rsidR="00501C94" w:rsidRDefault="00501C94" w:rsidP="00501C94">
      <w:pPr>
        <w:tabs>
          <w:tab w:val="left" w:pos="0"/>
          <w:tab w:val="left" w:pos="851"/>
        </w:tabs>
        <w:ind w:left="850" w:hanging="850"/>
        <w:jc w:val="both"/>
        <w:rPr>
          <w:spacing w:val="-3"/>
        </w:rPr>
      </w:pPr>
      <w:r>
        <w:rPr>
          <w:b/>
          <w:spacing w:val="-3"/>
        </w:rPr>
        <w:t>4.</w:t>
      </w:r>
      <w:r>
        <w:rPr>
          <w:b/>
          <w:spacing w:val="-3"/>
        </w:rPr>
        <w:tab/>
        <w:t>KLINISKE OPLYSNINGER</w:t>
      </w:r>
    </w:p>
    <w:p w14:paraId="68E84DC6" w14:textId="77777777" w:rsidR="00501C94" w:rsidRDefault="00501C94" w:rsidP="00501C94">
      <w:pPr>
        <w:tabs>
          <w:tab w:val="left" w:pos="0"/>
          <w:tab w:val="left" w:pos="851"/>
        </w:tabs>
        <w:jc w:val="both"/>
        <w:rPr>
          <w:spacing w:val="-3"/>
        </w:rPr>
      </w:pPr>
    </w:p>
    <w:p w14:paraId="32FC9CD1" w14:textId="77777777" w:rsidR="00501C94" w:rsidRPr="00C54F24" w:rsidRDefault="00501C94" w:rsidP="00501C94">
      <w:pPr>
        <w:tabs>
          <w:tab w:val="left" w:pos="0"/>
          <w:tab w:val="left" w:pos="851"/>
        </w:tabs>
        <w:ind w:left="850" w:hanging="850"/>
        <w:jc w:val="both"/>
        <w:rPr>
          <w:b/>
          <w:spacing w:val="-3"/>
        </w:rPr>
      </w:pPr>
      <w:r w:rsidRPr="00C54F24">
        <w:rPr>
          <w:b/>
          <w:spacing w:val="-3"/>
        </w:rPr>
        <w:t>4.1</w:t>
      </w:r>
      <w:r w:rsidRPr="00C54F24">
        <w:rPr>
          <w:b/>
          <w:spacing w:val="-3"/>
        </w:rPr>
        <w:tab/>
        <w:t>Terapeutiske indikationer</w:t>
      </w:r>
    </w:p>
    <w:p w14:paraId="2018C961" w14:textId="77777777" w:rsidR="00920063" w:rsidRDefault="00501C94" w:rsidP="00501C94">
      <w:pPr>
        <w:tabs>
          <w:tab w:val="left" w:pos="0"/>
          <w:tab w:val="left" w:pos="851"/>
        </w:tabs>
        <w:ind w:left="850" w:hanging="850"/>
        <w:jc w:val="both"/>
        <w:rPr>
          <w:spacing w:val="-3"/>
        </w:rPr>
      </w:pPr>
      <w:r>
        <w:rPr>
          <w:spacing w:val="-3"/>
        </w:rPr>
        <w:tab/>
      </w:r>
      <w:proofErr w:type="spellStart"/>
      <w:r w:rsidR="00920063">
        <w:rPr>
          <w:spacing w:val="-3"/>
        </w:rPr>
        <w:t>Metronidazol</w:t>
      </w:r>
      <w:proofErr w:type="spellEnd"/>
      <w:r w:rsidR="00920063">
        <w:rPr>
          <w:spacing w:val="-3"/>
        </w:rPr>
        <w:t xml:space="preserve"> er indiceret til voksne og børn. </w:t>
      </w:r>
    </w:p>
    <w:p w14:paraId="71F264B4" w14:textId="77777777" w:rsidR="00920063" w:rsidRDefault="00920063" w:rsidP="00501C94">
      <w:pPr>
        <w:tabs>
          <w:tab w:val="left" w:pos="0"/>
          <w:tab w:val="left" w:pos="851"/>
        </w:tabs>
        <w:ind w:left="850" w:hanging="850"/>
        <w:jc w:val="both"/>
        <w:rPr>
          <w:spacing w:val="-3"/>
        </w:rPr>
      </w:pPr>
    </w:p>
    <w:p w14:paraId="7B0E3EC1" w14:textId="77777777" w:rsidR="00C31497" w:rsidRDefault="00501C94" w:rsidP="00C31497">
      <w:pPr>
        <w:tabs>
          <w:tab w:val="left" w:pos="0"/>
          <w:tab w:val="left" w:pos="851"/>
        </w:tabs>
        <w:ind w:left="850" w:firstLine="1"/>
      </w:pPr>
      <w:r>
        <w:rPr>
          <w:spacing w:val="-3"/>
        </w:rPr>
        <w:t xml:space="preserve">Forebyggelse og behandling af infektioner forårsaget af </w:t>
      </w:r>
      <w:proofErr w:type="spellStart"/>
      <w:r>
        <w:rPr>
          <w:spacing w:val="-3"/>
        </w:rPr>
        <w:t>metronidazolfølsomme</w:t>
      </w:r>
      <w:proofErr w:type="spellEnd"/>
      <w:r>
        <w:rPr>
          <w:spacing w:val="-3"/>
        </w:rPr>
        <w:t xml:space="preserve"> mikroorganismer. </w:t>
      </w:r>
      <w:r w:rsidR="00C31497">
        <w:t>Lokale retningslinj</w:t>
      </w:r>
      <w:r w:rsidR="00C31497" w:rsidRPr="00B2599C">
        <w:t>er vedrørende korrekt brug af antibiotika bør følges</w:t>
      </w:r>
      <w:r w:rsidR="00C31497">
        <w:t>.</w:t>
      </w:r>
    </w:p>
    <w:p w14:paraId="6C8A6B92" w14:textId="77777777" w:rsidR="00920063" w:rsidRDefault="00920063" w:rsidP="00501C94">
      <w:pPr>
        <w:tabs>
          <w:tab w:val="left" w:pos="0"/>
          <w:tab w:val="left" w:pos="851"/>
        </w:tabs>
        <w:ind w:left="850" w:hanging="850"/>
        <w:jc w:val="both"/>
        <w:rPr>
          <w:spacing w:val="-3"/>
        </w:rPr>
      </w:pPr>
    </w:p>
    <w:p w14:paraId="154DAAD1" w14:textId="77777777" w:rsidR="00501C94" w:rsidRDefault="00920063" w:rsidP="00501C94">
      <w:pPr>
        <w:tabs>
          <w:tab w:val="left" w:pos="0"/>
          <w:tab w:val="left" w:pos="851"/>
        </w:tabs>
        <w:ind w:left="850" w:hanging="850"/>
        <w:jc w:val="both"/>
        <w:rPr>
          <w:spacing w:val="-3"/>
        </w:rPr>
      </w:pPr>
      <w:r>
        <w:rPr>
          <w:spacing w:val="-3"/>
        </w:rPr>
        <w:tab/>
        <w:t xml:space="preserve">Aktiv </w:t>
      </w:r>
      <w:proofErr w:type="spellStart"/>
      <w:r w:rsidR="00501C94">
        <w:rPr>
          <w:spacing w:val="-3"/>
        </w:rPr>
        <w:t>Morbus</w:t>
      </w:r>
      <w:proofErr w:type="spellEnd"/>
      <w:r w:rsidR="00501C94">
        <w:rPr>
          <w:spacing w:val="-3"/>
        </w:rPr>
        <w:t xml:space="preserve"> </w:t>
      </w:r>
      <w:proofErr w:type="spellStart"/>
      <w:r w:rsidR="00501C94">
        <w:rPr>
          <w:spacing w:val="-3"/>
        </w:rPr>
        <w:t>Crohn</w:t>
      </w:r>
      <w:proofErr w:type="spellEnd"/>
      <w:r w:rsidR="00501C94">
        <w:rPr>
          <w:spacing w:val="-3"/>
        </w:rPr>
        <w:t>.</w:t>
      </w:r>
    </w:p>
    <w:p w14:paraId="5F9EC141" w14:textId="77777777" w:rsidR="00501C94" w:rsidRPr="00C31497" w:rsidRDefault="00501C94" w:rsidP="00501C94">
      <w:pPr>
        <w:tabs>
          <w:tab w:val="left" w:pos="0"/>
          <w:tab w:val="left" w:pos="851"/>
        </w:tabs>
        <w:jc w:val="both"/>
        <w:rPr>
          <w:spacing w:val="-3"/>
        </w:rPr>
      </w:pPr>
    </w:p>
    <w:p w14:paraId="6868D6B1" w14:textId="77777777" w:rsidR="00501C94" w:rsidRDefault="00501C94" w:rsidP="00501C94">
      <w:pPr>
        <w:tabs>
          <w:tab w:val="left" w:pos="0"/>
          <w:tab w:val="left" w:pos="851"/>
        </w:tabs>
        <w:ind w:left="850" w:hanging="850"/>
        <w:jc w:val="both"/>
        <w:rPr>
          <w:b/>
          <w:spacing w:val="-3"/>
        </w:rPr>
      </w:pPr>
      <w:r w:rsidRPr="00C54F24">
        <w:rPr>
          <w:b/>
          <w:spacing w:val="-3"/>
        </w:rPr>
        <w:t>4.2</w:t>
      </w:r>
      <w:r w:rsidRPr="00C54F24">
        <w:rPr>
          <w:b/>
          <w:spacing w:val="-3"/>
        </w:rPr>
        <w:tab/>
        <w:t xml:space="preserve">Dosering og </w:t>
      </w:r>
      <w:r w:rsidR="000619BF">
        <w:rPr>
          <w:b/>
          <w:spacing w:val="-3"/>
        </w:rPr>
        <w:t>indgivelsesmåde</w:t>
      </w:r>
    </w:p>
    <w:p w14:paraId="7C0AC507" w14:textId="77777777" w:rsidR="00501C94" w:rsidRPr="00AC045D" w:rsidRDefault="00501C94" w:rsidP="00501C94">
      <w:pPr>
        <w:tabs>
          <w:tab w:val="left" w:pos="0"/>
          <w:tab w:val="left" w:pos="851"/>
        </w:tabs>
        <w:ind w:left="850" w:hanging="850"/>
        <w:jc w:val="both"/>
        <w:rPr>
          <w:spacing w:val="-3"/>
        </w:rPr>
      </w:pPr>
      <w:r w:rsidRPr="00AC045D">
        <w:rPr>
          <w:spacing w:val="-3"/>
        </w:rPr>
        <w:tab/>
      </w:r>
    </w:p>
    <w:p w14:paraId="4435A4A4" w14:textId="77777777" w:rsidR="00C31497" w:rsidRDefault="00C31497" w:rsidP="00501C94">
      <w:pPr>
        <w:tabs>
          <w:tab w:val="left" w:pos="0"/>
          <w:tab w:val="left" w:pos="851"/>
        </w:tabs>
        <w:ind w:left="850" w:hanging="850"/>
        <w:jc w:val="both"/>
        <w:rPr>
          <w:spacing w:val="-3"/>
          <w:u w:val="single"/>
        </w:rPr>
      </w:pPr>
      <w:r w:rsidRPr="00AC045D">
        <w:rPr>
          <w:spacing w:val="-3"/>
        </w:rPr>
        <w:tab/>
      </w:r>
      <w:r w:rsidRPr="00C4555F">
        <w:rPr>
          <w:spacing w:val="-3"/>
          <w:u w:val="single"/>
        </w:rPr>
        <w:t>Do</w:t>
      </w:r>
      <w:r>
        <w:rPr>
          <w:spacing w:val="-3"/>
          <w:u w:val="single"/>
        </w:rPr>
        <w:t>sering</w:t>
      </w:r>
    </w:p>
    <w:p w14:paraId="58F9EE3C" w14:textId="77777777" w:rsidR="00C31497" w:rsidRPr="00C4555F" w:rsidRDefault="00C31497" w:rsidP="00501C94">
      <w:pPr>
        <w:tabs>
          <w:tab w:val="left" w:pos="0"/>
          <w:tab w:val="left" w:pos="851"/>
        </w:tabs>
        <w:ind w:left="850" w:hanging="850"/>
        <w:jc w:val="both"/>
        <w:rPr>
          <w:spacing w:val="-3"/>
          <w:u w:val="single"/>
        </w:rPr>
      </w:pPr>
    </w:p>
    <w:p w14:paraId="073558A7" w14:textId="77777777" w:rsidR="00501C94" w:rsidRDefault="00501C94" w:rsidP="00501C94">
      <w:pPr>
        <w:tabs>
          <w:tab w:val="left" w:pos="0"/>
          <w:tab w:val="left" w:pos="851"/>
        </w:tabs>
        <w:ind w:left="850" w:hanging="850"/>
        <w:jc w:val="both"/>
        <w:rPr>
          <w:spacing w:val="-3"/>
        </w:rPr>
      </w:pPr>
      <w:r w:rsidRPr="00C4555F">
        <w:rPr>
          <w:b/>
          <w:spacing w:val="-3"/>
        </w:rPr>
        <w:tab/>
      </w:r>
      <w:r>
        <w:rPr>
          <w:b/>
          <w:spacing w:val="-3"/>
        </w:rPr>
        <w:t>Infektioner med anaerobe bakterier</w:t>
      </w:r>
    </w:p>
    <w:p w14:paraId="2496C4E1" w14:textId="77777777" w:rsidR="00501C94" w:rsidRDefault="00501C94" w:rsidP="00501C94">
      <w:pPr>
        <w:tabs>
          <w:tab w:val="left" w:pos="0"/>
          <w:tab w:val="left" w:pos="851"/>
        </w:tabs>
        <w:ind w:left="850" w:hanging="850"/>
        <w:jc w:val="both"/>
        <w:rPr>
          <w:spacing w:val="-3"/>
        </w:rPr>
      </w:pPr>
      <w:r>
        <w:rPr>
          <w:spacing w:val="-3"/>
        </w:rPr>
        <w:tab/>
        <w:t>Voksne: 400 mg 3 gange daglig.</w:t>
      </w:r>
    </w:p>
    <w:p w14:paraId="470BA6C8" w14:textId="77777777" w:rsidR="00501C94" w:rsidRDefault="00501C94" w:rsidP="00501C94">
      <w:pPr>
        <w:tabs>
          <w:tab w:val="left" w:pos="0"/>
          <w:tab w:val="left" w:pos="851"/>
        </w:tabs>
        <w:ind w:left="850" w:hanging="850"/>
        <w:jc w:val="both"/>
        <w:rPr>
          <w:spacing w:val="-3"/>
        </w:rPr>
      </w:pPr>
      <w:r>
        <w:rPr>
          <w:spacing w:val="-3"/>
        </w:rPr>
        <w:tab/>
        <w:t>Børn: 30-50 mg/kg/døgn fordelt på 3 doser.</w:t>
      </w:r>
    </w:p>
    <w:p w14:paraId="250A2598" w14:textId="77777777" w:rsidR="00501C94" w:rsidRDefault="00501C94" w:rsidP="00501C94">
      <w:pPr>
        <w:tabs>
          <w:tab w:val="left" w:pos="0"/>
          <w:tab w:val="left" w:pos="851"/>
        </w:tabs>
        <w:ind w:left="850" w:hanging="850"/>
        <w:jc w:val="both"/>
        <w:rPr>
          <w:spacing w:val="-3"/>
        </w:rPr>
      </w:pPr>
      <w:r>
        <w:rPr>
          <w:spacing w:val="-3"/>
        </w:rPr>
        <w:tab/>
      </w:r>
    </w:p>
    <w:p w14:paraId="1150F104" w14:textId="77777777" w:rsidR="00501C94" w:rsidRDefault="00501C94" w:rsidP="00501C94">
      <w:pPr>
        <w:tabs>
          <w:tab w:val="left" w:pos="0"/>
          <w:tab w:val="left" w:pos="851"/>
        </w:tabs>
        <w:ind w:left="850" w:hanging="850"/>
        <w:jc w:val="both"/>
        <w:rPr>
          <w:spacing w:val="-3"/>
        </w:rPr>
      </w:pPr>
      <w:r>
        <w:rPr>
          <w:b/>
          <w:spacing w:val="-3"/>
        </w:rPr>
        <w:tab/>
        <w:t>Akut amøbedysenteri og amøbeleverabsces</w:t>
      </w:r>
    </w:p>
    <w:p w14:paraId="693AF427" w14:textId="77777777" w:rsidR="00501C94" w:rsidRDefault="00501C94" w:rsidP="00501C94">
      <w:pPr>
        <w:tabs>
          <w:tab w:val="left" w:pos="0"/>
          <w:tab w:val="left" w:pos="851"/>
        </w:tabs>
        <w:ind w:left="850" w:hanging="850"/>
        <w:jc w:val="both"/>
        <w:rPr>
          <w:spacing w:val="-3"/>
        </w:rPr>
      </w:pPr>
      <w:r>
        <w:rPr>
          <w:spacing w:val="-3"/>
        </w:rPr>
        <w:tab/>
        <w:t>Voksne: 2 g 1 gang daglig i 3 dage eller 600-800 mg 3 gange daglig i 5-10 dage.</w:t>
      </w:r>
    </w:p>
    <w:p w14:paraId="15B563DF" w14:textId="77777777" w:rsidR="00501C94" w:rsidRDefault="00501C94" w:rsidP="00501C94">
      <w:pPr>
        <w:tabs>
          <w:tab w:val="left" w:pos="0"/>
          <w:tab w:val="left" w:pos="851"/>
        </w:tabs>
        <w:ind w:left="850" w:hanging="850"/>
        <w:jc w:val="both"/>
        <w:rPr>
          <w:spacing w:val="-3"/>
        </w:rPr>
      </w:pPr>
      <w:r>
        <w:rPr>
          <w:spacing w:val="-3"/>
        </w:rPr>
        <w:tab/>
        <w:t>Børn: 35-50 mg/kg/døgn fordelt på 3 doser i 5 dage.</w:t>
      </w:r>
    </w:p>
    <w:p w14:paraId="6AC52479" w14:textId="77777777" w:rsidR="00501C94" w:rsidRDefault="00501C94" w:rsidP="00501C94">
      <w:pPr>
        <w:tabs>
          <w:tab w:val="left" w:pos="0"/>
          <w:tab w:val="left" w:pos="851"/>
        </w:tabs>
        <w:ind w:left="850" w:hanging="850"/>
        <w:jc w:val="both"/>
        <w:rPr>
          <w:spacing w:val="-3"/>
        </w:rPr>
      </w:pPr>
      <w:r>
        <w:rPr>
          <w:spacing w:val="-3"/>
        </w:rPr>
        <w:tab/>
      </w:r>
    </w:p>
    <w:p w14:paraId="28151438" w14:textId="77777777" w:rsidR="00501C94" w:rsidRDefault="00501C94" w:rsidP="00501C94">
      <w:pPr>
        <w:tabs>
          <w:tab w:val="left" w:pos="0"/>
          <w:tab w:val="left" w:pos="851"/>
        </w:tabs>
        <w:ind w:left="850" w:hanging="850"/>
        <w:jc w:val="both"/>
        <w:rPr>
          <w:spacing w:val="-3"/>
        </w:rPr>
      </w:pPr>
      <w:r>
        <w:rPr>
          <w:b/>
          <w:spacing w:val="-3"/>
        </w:rPr>
        <w:tab/>
        <w:t xml:space="preserve">Asymptomatisk </w:t>
      </w:r>
      <w:proofErr w:type="spellStart"/>
      <w:r>
        <w:rPr>
          <w:b/>
          <w:spacing w:val="-3"/>
        </w:rPr>
        <w:t>intestinal</w:t>
      </w:r>
      <w:proofErr w:type="spellEnd"/>
      <w:r>
        <w:rPr>
          <w:b/>
          <w:spacing w:val="-3"/>
        </w:rPr>
        <w:t xml:space="preserve"> </w:t>
      </w:r>
      <w:proofErr w:type="spellStart"/>
      <w:r>
        <w:rPr>
          <w:b/>
          <w:spacing w:val="-3"/>
        </w:rPr>
        <w:t>amøbiasis</w:t>
      </w:r>
      <w:proofErr w:type="spellEnd"/>
    </w:p>
    <w:p w14:paraId="4BB56F4D" w14:textId="77777777" w:rsidR="00501C94" w:rsidRDefault="00501C94" w:rsidP="00501C94">
      <w:pPr>
        <w:tabs>
          <w:tab w:val="left" w:pos="0"/>
          <w:tab w:val="left" w:pos="851"/>
        </w:tabs>
        <w:ind w:left="850" w:hanging="850"/>
        <w:jc w:val="both"/>
        <w:rPr>
          <w:spacing w:val="-3"/>
        </w:rPr>
      </w:pPr>
      <w:r>
        <w:rPr>
          <w:spacing w:val="-3"/>
        </w:rPr>
        <w:tab/>
        <w:t>Voksne: 600-800 mg 3 gange daglig i 10 dage.</w:t>
      </w:r>
    </w:p>
    <w:p w14:paraId="0A7BB757" w14:textId="77777777" w:rsidR="00501C94" w:rsidRDefault="00501C94" w:rsidP="00501C94">
      <w:pPr>
        <w:tabs>
          <w:tab w:val="left" w:pos="0"/>
          <w:tab w:val="left" w:pos="851"/>
        </w:tabs>
        <w:ind w:left="850" w:hanging="850"/>
        <w:jc w:val="both"/>
        <w:rPr>
          <w:spacing w:val="-3"/>
        </w:rPr>
      </w:pPr>
      <w:r>
        <w:rPr>
          <w:spacing w:val="-3"/>
        </w:rPr>
        <w:lastRenderedPageBreak/>
        <w:tab/>
        <w:t>Børn: 25-40 mg/kg/døgn fordelt på 2-4 doser i 5-10 dage.</w:t>
      </w:r>
    </w:p>
    <w:p w14:paraId="47353A54" w14:textId="77777777" w:rsidR="00622A4B" w:rsidRDefault="00501C94" w:rsidP="00501C94">
      <w:pPr>
        <w:tabs>
          <w:tab w:val="left" w:pos="0"/>
          <w:tab w:val="left" w:pos="851"/>
        </w:tabs>
        <w:ind w:left="850" w:hanging="850"/>
        <w:jc w:val="both"/>
        <w:rPr>
          <w:b/>
          <w:spacing w:val="-3"/>
        </w:rPr>
      </w:pPr>
      <w:r>
        <w:rPr>
          <w:b/>
          <w:spacing w:val="-3"/>
        </w:rPr>
        <w:tab/>
      </w:r>
    </w:p>
    <w:p w14:paraId="600B8B6B" w14:textId="77777777" w:rsidR="00501C94" w:rsidRDefault="00501C94" w:rsidP="00501C94">
      <w:pPr>
        <w:tabs>
          <w:tab w:val="left" w:pos="0"/>
          <w:tab w:val="left" w:pos="851"/>
        </w:tabs>
        <w:ind w:left="850" w:hanging="850"/>
        <w:jc w:val="both"/>
        <w:rPr>
          <w:spacing w:val="-3"/>
        </w:rPr>
      </w:pPr>
      <w:r>
        <w:rPr>
          <w:b/>
          <w:spacing w:val="-3"/>
        </w:rPr>
        <w:tab/>
      </w:r>
      <w:proofErr w:type="spellStart"/>
      <w:r>
        <w:rPr>
          <w:b/>
          <w:spacing w:val="-3"/>
        </w:rPr>
        <w:t>Giardiasis</w:t>
      </w:r>
      <w:proofErr w:type="spellEnd"/>
    </w:p>
    <w:p w14:paraId="35F07F15" w14:textId="77777777" w:rsidR="00501C94" w:rsidRDefault="00501C94" w:rsidP="00501C94">
      <w:pPr>
        <w:tabs>
          <w:tab w:val="left" w:pos="0"/>
          <w:tab w:val="left" w:pos="851"/>
        </w:tabs>
        <w:ind w:left="850" w:hanging="850"/>
        <w:jc w:val="both"/>
        <w:rPr>
          <w:spacing w:val="-3"/>
        </w:rPr>
      </w:pPr>
      <w:r>
        <w:rPr>
          <w:spacing w:val="-3"/>
        </w:rPr>
        <w:tab/>
        <w:t>Voksne: 2 g 1 gang daglig i 2-3 dage eller 200 mg 3 gange daglig i 7 dage.</w:t>
      </w:r>
    </w:p>
    <w:p w14:paraId="66482217" w14:textId="77777777" w:rsidR="00501C94" w:rsidRDefault="00501C94" w:rsidP="00501C94">
      <w:pPr>
        <w:tabs>
          <w:tab w:val="left" w:pos="0"/>
          <w:tab w:val="left" w:pos="851"/>
        </w:tabs>
        <w:ind w:left="850" w:hanging="850"/>
        <w:jc w:val="both"/>
        <w:rPr>
          <w:spacing w:val="-3"/>
        </w:rPr>
      </w:pPr>
      <w:r>
        <w:rPr>
          <w:spacing w:val="-3"/>
        </w:rPr>
        <w:tab/>
        <w:t>Børn: 25-40 mg/kg/døgn fordelt på 2 doser i 7 dage.</w:t>
      </w:r>
    </w:p>
    <w:p w14:paraId="7850C7E9" w14:textId="77777777" w:rsidR="00501C94" w:rsidRDefault="00501C94" w:rsidP="00501C94">
      <w:pPr>
        <w:tabs>
          <w:tab w:val="left" w:pos="0"/>
          <w:tab w:val="left" w:pos="851"/>
        </w:tabs>
        <w:ind w:left="850" w:hanging="850"/>
        <w:jc w:val="both"/>
        <w:rPr>
          <w:spacing w:val="-3"/>
        </w:rPr>
      </w:pPr>
      <w:r>
        <w:rPr>
          <w:spacing w:val="-3"/>
        </w:rPr>
        <w:tab/>
      </w:r>
    </w:p>
    <w:p w14:paraId="4E1223A4" w14:textId="77777777" w:rsidR="00501C94" w:rsidRDefault="00501C94" w:rsidP="00501C94">
      <w:pPr>
        <w:tabs>
          <w:tab w:val="left" w:pos="0"/>
          <w:tab w:val="left" w:pos="851"/>
        </w:tabs>
        <w:ind w:left="850" w:hanging="850"/>
        <w:jc w:val="both"/>
        <w:rPr>
          <w:b/>
          <w:spacing w:val="-3"/>
        </w:rPr>
      </w:pPr>
      <w:r>
        <w:rPr>
          <w:b/>
          <w:spacing w:val="-3"/>
        </w:rPr>
        <w:tab/>
      </w:r>
      <w:proofErr w:type="spellStart"/>
      <w:r>
        <w:rPr>
          <w:b/>
          <w:spacing w:val="-3"/>
        </w:rPr>
        <w:t>Trichomoniasis</w:t>
      </w:r>
      <w:proofErr w:type="spellEnd"/>
    </w:p>
    <w:p w14:paraId="28EE16EF" w14:textId="77777777" w:rsidR="00501C94" w:rsidRDefault="00501C94" w:rsidP="00501C94">
      <w:pPr>
        <w:tabs>
          <w:tab w:val="left" w:pos="0"/>
          <w:tab w:val="left" w:pos="851"/>
        </w:tabs>
        <w:ind w:left="850" w:hanging="850"/>
        <w:jc w:val="both"/>
        <w:rPr>
          <w:b/>
          <w:spacing w:val="-3"/>
        </w:rPr>
      </w:pPr>
      <w:r>
        <w:rPr>
          <w:spacing w:val="-3"/>
        </w:rPr>
        <w:tab/>
        <w:t>Voksne: 200 mg 2 gange daglig i 6 dage eller 2 g 1 gang.</w:t>
      </w:r>
    </w:p>
    <w:p w14:paraId="50F285D2" w14:textId="77777777" w:rsidR="00501C94" w:rsidRDefault="00501C94" w:rsidP="00501C94">
      <w:pPr>
        <w:tabs>
          <w:tab w:val="left" w:pos="0"/>
          <w:tab w:val="left" w:pos="851"/>
        </w:tabs>
        <w:jc w:val="both"/>
        <w:rPr>
          <w:spacing w:val="-3"/>
        </w:rPr>
      </w:pPr>
    </w:p>
    <w:p w14:paraId="0304AF92" w14:textId="77777777" w:rsidR="00501C94" w:rsidRDefault="00501C94" w:rsidP="00501C94">
      <w:pPr>
        <w:tabs>
          <w:tab w:val="left" w:pos="0"/>
          <w:tab w:val="left" w:pos="851"/>
        </w:tabs>
        <w:ind w:left="850" w:hanging="850"/>
        <w:jc w:val="both"/>
        <w:rPr>
          <w:spacing w:val="-3"/>
        </w:rPr>
      </w:pPr>
      <w:r>
        <w:rPr>
          <w:b/>
          <w:spacing w:val="-3"/>
        </w:rPr>
        <w:tab/>
        <w:t xml:space="preserve">Ulcerøs </w:t>
      </w:r>
      <w:proofErr w:type="spellStart"/>
      <w:r>
        <w:rPr>
          <w:b/>
          <w:spacing w:val="-3"/>
        </w:rPr>
        <w:t>gingivitis</w:t>
      </w:r>
      <w:proofErr w:type="spellEnd"/>
    </w:p>
    <w:p w14:paraId="65D02531" w14:textId="77777777" w:rsidR="00501C94" w:rsidRDefault="00501C94" w:rsidP="00501C94">
      <w:pPr>
        <w:tabs>
          <w:tab w:val="left" w:pos="0"/>
          <w:tab w:val="left" w:pos="851"/>
        </w:tabs>
        <w:ind w:left="850" w:hanging="850"/>
        <w:jc w:val="both"/>
        <w:rPr>
          <w:spacing w:val="-3"/>
        </w:rPr>
      </w:pPr>
      <w:r>
        <w:rPr>
          <w:spacing w:val="-3"/>
        </w:rPr>
        <w:tab/>
        <w:t>Voksne: 200 mg 3 gange daglig i 3 dage.</w:t>
      </w:r>
    </w:p>
    <w:p w14:paraId="7D2FA8A2" w14:textId="77777777" w:rsidR="00501C94" w:rsidRDefault="00501C94" w:rsidP="00501C94">
      <w:pPr>
        <w:tabs>
          <w:tab w:val="left" w:pos="0"/>
          <w:tab w:val="left" w:pos="851"/>
        </w:tabs>
        <w:jc w:val="both"/>
        <w:rPr>
          <w:spacing w:val="-3"/>
        </w:rPr>
      </w:pPr>
    </w:p>
    <w:p w14:paraId="28654BE9" w14:textId="77777777" w:rsidR="00501C94" w:rsidRDefault="00501C94" w:rsidP="00501C94">
      <w:pPr>
        <w:tabs>
          <w:tab w:val="left" w:pos="0"/>
          <w:tab w:val="left" w:pos="851"/>
        </w:tabs>
        <w:ind w:left="850" w:hanging="850"/>
        <w:jc w:val="both"/>
        <w:rPr>
          <w:spacing w:val="-3"/>
        </w:rPr>
      </w:pPr>
      <w:r>
        <w:rPr>
          <w:b/>
          <w:spacing w:val="-3"/>
        </w:rPr>
        <w:tab/>
        <w:t xml:space="preserve">Uspecifik </w:t>
      </w:r>
      <w:proofErr w:type="spellStart"/>
      <w:r>
        <w:rPr>
          <w:b/>
          <w:spacing w:val="-3"/>
        </w:rPr>
        <w:t>vaginitis</w:t>
      </w:r>
      <w:proofErr w:type="spellEnd"/>
    </w:p>
    <w:p w14:paraId="511DE344" w14:textId="77777777" w:rsidR="00501C94" w:rsidRDefault="00501C94" w:rsidP="00501C94">
      <w:pPr>
        <w:tabs>
          <w:tab w:val="left" w:pos="0"/>
          <w:tab w:val="left" w:pos="851"/>
        </w:tabs>
        <w:ind w:left="850" w:hanging="850"/>
        <w:jc w:val="both"/>
        <w:rPr>
          <w:spacing w:val="-3"/>
        </w:rPr>
      </w:pPr>
      <w:r>
        <w:rPr>
          <w:spacing w:val="-3"/>
        </w:rPr>
        <w:tab/>
        <w:t>Voksne: 2 g 1. og 3. dag eller 400 mg 2 gange daglig i 7 dage.</w:t>
      </w:r>
    </w:p>
    <w:p w14:paraId="02A47555" w14:textId="77777777" w:rsidR="00501C94" w:rsidRDefault="00501C94" w:rsidP="00501C94">
      <w:pPr>
        <w:tabs>
          <w:tab w:val="left" w:pos="0"/>
          <w:tab w:val="left" w:pos="851"/>
        </w:tabs>
        <w:jc w:val="both"/>
        <w:rPr>
          <w:spacing w:val="-3"/>
        </w:rPr>
      </w:pPr>
    </w:p>
    <w:p w14:paraId="7A35F83F" w14:textId="77777777" w:rsidR="00501C94" w:rsidRDefault="00501C94" w:rsidP="00501C94">
      <w:pPr>
        <w:tabs>
          <w:tab w:val="left" w:pos="0"/>
          <w:tab w:val="left" w:pos="851"/>
        </w:tabs>
        <w:ind w:left="850" w:hanging="850"/>
        <w:jc w:val="both"/>
        <w:rPr>
          <w:spacing w:val="-3"/>
        </w:rPr>
      </w:pPr>
      <w:r>
        <w:rPr>
          <w:b/>
          <w:spacing w:val="-3"/>
        </w:rPr>
        <w:tab/>
      </w:r>
      <w:proofErr w:type="spellStart"/>
      <w:r>
        <w:rPr>
          <w:b/>
          <w:spacing w:val="-3"/>
        </w:rPr>
        <w:t>Morbus</w:t>
      </w:r>
      <w:proofErr w:type="spellEnd"/>
      <w:r>
        <w:rPr>
          <w:b/>
          <w:spacing w:val="-3"/>
        </w:rPr>
        <w:t xml:space="preserve"> </w:t>
      </w:r>
      <w:proofErr w:type="spellStart"/>
      <w:r>
        <w:rPr>
          <w:b/>
          <w:spacing w:val="-3"/>
        </w:rPr>
        <w:t>Crohn</w:t>
      </w:r>
      <w:proofErr w:type="spellEnd"/>
    </w:p>
    <w:p w14:paraId="038175D7" w14:textId="77777777" w:rsidR="00501C94" w:rsidRDefault="00501C94" w:rsidP="00501C94">
      <w:pPr>
        <w:tabs>
          <w:tab w:val="left" w:pos="0"/>
          <w:tab w:val="left" w:pos="851"/>
        </w:tabs>
        <w:ind w:left="850" w:hanging="850"/>
        <w:jc w:val="both"/>
        <w:rPr>
          <w:spacing w:val="-3"/>
        </w:rPr>
      </w:pPr>
      <w:r>
        <w:rPr>
          <w:spacing w:val="-3"/>
        </w:rPr>
        <w:tab/>
        <w:t>Voksne: 400 mg 2 gange daglig.</w:t>
      </w:r>
    </w:p>
    <w:p w14:paraId="18926158" w14:textId="77777777" w:rsidR="00501C94" w:rsidRDefault="00501C94" w:rsidP="00501C94">
      <w:pPr>
        <w:tabs>
          <w:tab w:val="left" w:pos="0"/>
          <w:tab w:val="left" w:pos="851"/>
        </w:tabs>
        <w:ind w:left="850" w:hanging="850"/>
        <w:jc w:val="both"/>
        <w:rPr>
          <w:spacing w:val="-3"/>
        </w:rPr>
      </w:pPr>
      <w:r>
        <w:rPr>
          <w:spacing w:val="-3"/>
        </w:rPr>
        <w:tab/>
        <w:t>Børn: 15 mg/kg/døgn fordelt på 2 doser.</w:t>
      </w:r>
    </w:p>
    <w:p w14:paraId="42AD3533" w14:textId="77777777" w:rsidR="00501C94" w:rsidRDefault="00501C94" w:rsidP="00501C94">
      <w:pPr>
        <w:tabs>
          <w:tab w:val="left" w:pos="0"/>
          <w:tab w:val="left" w:pos="851"/>
        </w:tabs>
        <w:ind w:left="850" w:hanging="850"/>
        <w:jc w:val="both"/>
        <w:rPr>
          <w:spacing w:val="-3"/>
        </w:rPr>
      </w:pPr>
      <w:r>
        <w:rPr>
          <w:spacing w:val="-3"/>
        </w:rPr>
        <w:tab/>
      </w:r>
    </w:p>
    <w:p w14:paraId="09DEC344" w14:textId="77777777" w:rsidR="00501C94" w:rsidRDefault="00501C94" w:rsidP="00501C94">
      <w:pPr>
        <w:tabs>
          <w:tab w:val="left" w:pos="0"/>
          <w:tab w:val="left" w:pos="851"/>
        </w:tabs>
        <w:ind w:left="850" w:hanging="850"/>
        <w:jc w:val="both"/>
        <w:rPr>
          <w:spacing w:val="-3"/>
        </w:rPr>
      </w:pPr>
      <w:r>
        <w:rPr>
          <w:b/>
          <w:spacing w:val="-3"/>
        </w:rPr>
        <w:tab/>
        <w:t>Profylaktisk ved operationer med risiko for infektioner med anaerobe bakterier</w:t>
      </w:r>
    </w:p>
    <w:p w14:paraId="41F5C418" w14:textId="77777777" w:rsidR="00501C94" w:rsidRDefault="00501C94" w:rsidP="00501C94">
      <w:pPr>
        <w:tabs>
          <w:tab w:val="left" w:pos="0"/>
          <w:tab w:val="left" w:pos="851"/>
        </w:tabs>
        <w:ind w:left="851" w:hanging="851"/>
        <w:jc w:val="both"/>
        <w:rPr>
          <w:spacing w:val="-3"/>
        </w:rPr>
      </w:pPr>
      <w:r>
        <w:rPr>
          <w:spacing w:val="-3"/>
        </w:rPr>
        <w:tab/>
        <w:t>Voksne: 1 g som engangsdosis</w:t>
      </w:r>
      <w:r w:rsidR="00350C5F">
        <w:rPr>
          <w:spacing w:val="-3"/>
        </w:rPr>
        <w:t>.</w:t>
      </w:r>
    </w:p>
    <w:p w14:paraId="0C70B5FF" w14:textId="77777777" w:rsidR="00501C94" w:rsidRDefault="00501C94" w:rsidP="00501C94">
      <w:pPr>
        <w:tabs>
          <w:tab w:val="left" w:pos="0"/>
          <w:tab w:val="left" w:pos="851"/>
        </w:tabs>
        <w:ind w:left="850" w:hanging="850"/>
        <w:jc w:val="both"/>
        <w:rPr>
          <w:spacing w:val="-3"/>
        </w:rPr>
      </w:pPr>
      <w:r>
        <w:rPr>
          <w:spacing w:val="-3"/>
        </w:rPr>
        <w:tab/>
        <w:t>Børn: 25 mg/kg.</w:t>
      </w:r>
    </w:p>
    <w:p w14:paraId="5B02B2FB" w14:textId="77777777" w:rsidR="00501C94" w:rsidRDefault="00501C94" w:rsidP="00501C94">
      <w:pPr>
        <w:tabs>
          <w:tab w:val="left" w:pos="0"/>
          <w:tab w:val="left" w:pos="851"/>
        </w:tabs>
        <w:jc w:val="both"/>
        <w:rPr>
          <w:spacing w:val="-3"/>
        </w:rPr>
      </w:pPr>
    </w:p>
    <w:p w14:paraId="11991BA2" w14:textId="77777777" w:rsidR="00501C94" w:rsidRDefault="00501C94" w:rsidP="00501C94">
      <w:pPr>
        <w:tabs>
          <w:tab w:val="left" w:pos="0"/>
          <w:tab w:val="left" w:pos="851"/>
        </w:tabs>
        <w:ind w:left="850" w:hanging="850"/>
        <w:jc w:val="both"/>
        <w:rPr>
          <w:spacing w:val="-3"/>
        </w:rPr>
      </w:pPr>
      <w:r>
        <w:rPr>
          <w:b/>
          <w:spacing w:val="-3"/>
        </w:rPr>
        <w:tab/>
        <w:t>Eventuel postoperativ behandling</w:t>
      </w:r>
    </w:p>
    <w:p w14:paraId="39C5BE2A" w14:textId="77777777" w:rsidR="00501C94" w:rsidRDefault="00501C94" w:rsidP="00501C94">
      <w:pPr>
        <w:tabs>
          <w:tab w:val="left" w:pos="0"/>
          <w:tab w:val="left" w:pos="851"/>
        </w:tabs>
        <w:ind w:left="850" w:hanging="850"/>
        <w:jc w:val="both"/>
        <w:rPr>
          <w:spacing w:val="-3"/>
        </w:rPr>
      </w:pPr>
      <w:r>
        <w:rPr>
          <w:spacing w:val="-3"/>
        </w:rPr>
        <w:tab/>
        <w:t>Som angivet ovenfor under: Infektioner med anaerobe bakterier.</w:t>
      </w:r>
    </w:p>
    <w:p w14:paraId="721D2074" w14:textId="77777777" w:rsidR="00501C94" w:rsidRDefault="00501C94" w:rsidP="00501C94">
      <w:pPr>
        <w:tabs>
          <w:tab w:val="left" w:pos="0"/>
          <w:tab w:val="left" w:pos="851"/>
        </w:tabs>
        <w:jc w:val="both"/>
        <w:rPr>
          <w:spacing w:val="-3"/>
        </w:rPr>
      </w:pPr>
    </w:p>
    <w:p w14:paraId="6273021E" w14:textId="77777777" w:rsidR="00501C94" w:rsidRPr="0015286F" w:rsidRDefault="00501C94" w:rsidP="00501C94">
      <w:pPr>
        <w:tabs>
          <w:tab w:val="left" w:pos="0"/>
          <w:tab w:val="left" w:pos="851"/>
        </w:tabs>
        <w:jc w:val="both"/>
        <w:rPr>
          <w:b/>
          <w:spacing w:val="-3"/>
        </w:rPr>
      </w:pPr>
      <w:r w:rsidRPr="001E2E0D">
        <w:rPr>
          <w:spacing w:val="-3"/>
        </w:rPr>
        <w:tab/>
      </w:r>
      <w:r w:rsidRPr="001E2E0D">
        <w:rPr>
          <w:b/>
          <w:spacing w:val="-3"/>
        </w:rPr>
        <w:t>Nedsat leverfunktion</w:t>
      </w:r>
    </w:p>
    <w:p w14:paraId="71251C07" w14:textId="77777777" w:rsidR="00501C94" w:rsidRDefault="00501C94" w:rsidP="00501C94">
      <w:pPr>
        <w:tabs>
          <w:tab w:val="left" w:pos="0"/>
          <w:tab w:val="left" w:pos="851"/>
        </w:tabs>
        <w:ind w:left="850" w:hanging="850"/>
        <w:jc w:val="both"/>
        <w:rPr>
          <w:spacing w:val="-3"/>
        </w:rPr>
      </w:pPr>
      <w:r>
        <w:rPr>
          <w:spacing w:val="-3"/>
        </w:rPr>
        <w:tab/>
        <w:t>Dosisreduktion ved svær leverinsufficiens.</w:t>
      </w:r>
    </w:p>
    <w:p w14:paraId="37B11E4C" w14:textId="77777777" w:rsidR="009E51CA" w:rsidRDefault="009E51CA" w:rsidP="00501C94">
      <w:pPr>
        <w:tabs>
          <w:tab w:val="left" w:pos="0"/>
          <w:tab w:val="left" w:pos="851"/>
        </w:tabs>
        <w:ind w:left="850" w:hanging="850"/>
        <w:jc w:val="both"/>
        <w:rPr>
          <w:spacing w:val="-3"/>
        </w:rPr>
      </w:pPr>
    </w:p>
    <w:p w14:paraId="20E416DD" w14:textId="77777777" w:rsidR="00C017C5" w:rsidRPr="00C4555F" w:rsidRDefault="00C017C5" w:rsidP="00501C94">
      <w:pPr>
        <w:tabs>
          <w:tab w:val="left" w:pos="0"/>
          <w:tab w:val="left" w:pos="851"/>
        </w:tabs>
        <w:ind w:left="850" w:hanging="850"/>
        <w:jc w:val="both"/>
        <w:rPr>
          <w:spacing w:val="-3"/>
          <w:u w:val="single"/>
        </w:rPr>
      </w:pPr>
      <w:r>
        <w:rPr>
          <w:spacing w:val="-3"/>
        </w:rPr>
        <w:tab/>
      </w:r>
      <w:r w:rsidRPr="00C4555F">
        <w:rPr>
          <w:spacing w:val="-3"/>
          <w:u w:val="single"/>
        </w:rPr>
        <w:t>Administration</w:t>
      </w:r>
    </w:p>
    <w:p w14:paraId="694DDA2C" w14:textId="77777777" w:rsidR="00C017C5" w:rsidRDefault="00C017C5" w:rsidP="00501C94">
      <w:pPr>
        <w:tabs>
          <w:tab w:val="left" w:pos="0"/>
          <w:tab w:val="left" w:pos="851"/>
        </w:tabs>
        <w:ind w:left="850" w:hanging="850"/>
        <w:jc w:val="both"/>
        <w:rPr>
          <w:spacing w:val="-3"/>
        </w:rPr>
      </w:pPr>
    </w:p>
    <w:p w14:paraId="6AB7CB88" w14:textId="77777777" w:rsidR="00C017C5" w:rsidRPr="00C017C5" w:rsidRDefault="00C017C5" w:rsidP="00501C94">
      <w:pPr>
        <w:tabs>
          <w:tab w:val="left" w:pos="0"/>
          <w:tab w:val="left" w:pos="851"/>
        </w:tabs>
        <w:ind w:left="850" w:hanging="850"/>
        <w:jc w:val="both"/>
        <w:rPr>
          <w:spacing w:val="-3"/>
        </w:rPr>
      </w:pPr>
      <w:r>
        <w:rPr>
          <w:spacing w:val="-3"/>
        </w:rPr>
        <w:tab/>
        <w:t xml:space="preserve">Til oral anvendelse. </w:t>
      </w:r>
    </w:p>
    <w:p w14:paraId="280822C9" w14:textId="77777777" w:rsidR="00A70F54" w:rsidRDefault="00A70F54" w:rsidP="00A70F54">
      <w:pPr>
        <w:tabs>
          <w:tab w:val="left" w:pos="0"/>
          <w:tab w:val="left" w:pos="851"/>
        </w:tabs>
        <w:ind w:left="850" w:hanging="850"/>
        <w:jc w:val="both"/>
        <w:rPr>
          <w:spacing w:val="-3"/>
        </w:rPr>
      </w:pPr>
    </w:p>
    <w:p w14:paraId="5B2B2E98" w14:textId="77777777" w:rsidR="00501C94" w:rsidRPr="0075301C" w:rsidRDefault="00501C94" w:rsidP="00501C94">
      <w:pPr>
        <w:tabs>
          <w:tab w:val="left" w:pos="0"/>
          <w:tab w:val="left" w:pos="851"/>
        </w:tabs>
        <w:jc w:val="both"/>
        <w:rPr>
          <w:spacing w:val="-3"/>
          <w:highlight w:val="yellow"/>
        </w:rPr>
      </w:pPr>
    </w:p>
    <w:p w14:paraId="22A75231" w14:textId="77777777" w:rsidR="00501C94" w:rsidRPr="00C54F24" w:rsidRDefault="00501C94" w:rsidP="00501C94">
      <w:pPr>
        <w:tabs>
          <w:tab w:val="left" w:pos="0"/>
          <w:tab w:val="left" w:pos="851"/>
        </w:tabs>
        <w:ind w:left="850" w:hanging="850"/>
        <w:jc w:val="both"/>
        <w:rPr>
          <w:b/>
          <w:spacing w:val="-3"/>
        </w:rPr>
      </w:pPr>
      <w:r w:rsidRPr="00C54F24">
        <w:rPr>
          <w:b/>
          <w:spacing w:val="-3"/>
        </w:rPr>
        <w:t>4.3</w:t>
      </w:r>
      <w:r w:rsidRPr="00C54F24">
        <w:rPr>
          <w:b/>
          <w:spacing w:val="-3"/>
        </w:rPr>
        <w:tab/>
        <w:t>Kontraindikationer</w:t>
      </w:r>
    </w:p>
    <w:p w14:paraId="0808D488" w14:textId="77777777" w:rsidR="00501C94" w:rsidRDefault="00501C94" w:rsidP="00501C94">
      <w:pPr>
        <w:tabs>
          <w:tab w:val="left" w:pos="0"/>
          <w:tab w:val="left" w:pos="851"/>
        </w:tabs>
        <w:ind w:left="850" w:hanging="850"/>
      </w:pPr>
      <w:r>
        <w:rPr>
          <w:spacing w:val="-3"/>
        </w:rPr>
        <w:tab/>
      </w:r>
      <w:r>
        <w:rPr>
          <w:spacing w:val="-3"/>
        </w:rPr>
        <w:tab/>
      </w:r>
      <w:r w:rsidRPr="00807ED8">
        <w:t xml:space="preserve">Overfølsomhed over for </w:t>
      </w:r>
      <w:proofErr w:type="spellStart"/>
      <w:r w:rsidRPr="00807ED8">
        <w:t>me</w:t>
      </w:r>
      <w:r>
        <w:t>tronidazol</w:t>
      </w:r>
      <w:proofErr w:type="spellEnd"/>
      <w:r>
        <w:t xml:space="preserve">, andre </w:t>
      </w:r>
      <w:proofErr w:type="spellStart"/>
      <w:r>
        <w:t>nitroimidazol</w:t>
      </w:r>
      <w:r w:rsidRPr="00807ED8">
        <w:t>derivater</w:t>
      </w:r>
      <w:proofErr w:type="spellEnd"/>
      <w:r w:rsidRPr="00807ED8">
        <w:t xml:space="preserve"> eller over for et</w:t>
      </w:r>
      <w:r w:rsidR="00507732">
        <w:t xml:space="preserve"> eller flere af hjælpestofferne anført i pkt. 6.1</w:t>
      </w:r>
      <w:r w:rsidR="00507732" w:rsidRPr="00807ED8">
        <w:t>.</w:t>
      </w:r>
    </w:p>
    <w:p w14:paraId="55CE17C2" w14:textId="77777777" w:rsidR="00A70F54" w:rsidRDefault="00A70F54" w:rsidP="00A70F54">
      <w:pPr>
        <w:tabs>
          <w:tab w:val="left" w:pos="0"/>
          <w:tab w:val="left" w:pos="851"/>
        </w:tabs>
        <w:ind w:left="850" w:hanging="850"/>
        <w:jc w:val="both"/>
        <w:rPr>
          <w:spacing w:val="-3"/>
        </w:rPr>
      </w:pPr>
    </w:p>
    <w:p w14:paraId="5E7249B6" w14:textId="77777777" w:rsidR="00501C94" w:rsidRPr="00AC045D" w:rsidRDefault="00501C94" w:rsidP="00501C94">
      <w:pPr>
        <w:tabs>
          <w:tab w:val="left" w:pos="0"/>
          <w:tab w:val="left" w:pos="851"/>
        </w:tabs>
        <w:ind w:left="850" w:hanging="850"/>
        <w:jc w:val="both"/>
        <w:rPr>
          <w:spacing w:val="-3"/>
        </w:rPr>
      </w:pPr>
    </w:p>
    <w:p w14:paraId="6182BBF5" w14:textId="77777777" w:rsidR="00501C94" w:rsidRDefault="00501C94" w:rsidP="00501C94">
      <w:pPr>
        <w:tabs>
          <w:tab w:val="left" w:pos="0"/>
          <w:tab w:val="left" w:pos="851"/>
        </w:tabs>
        <w:ind w:left="850" w:hanging="850"/>
        <w:jc w:val="both"/>
        <w:rPr>
          <w:b/>
          <w:bCs/>
          <w:spacing w:val="-3"/>
        </w:rPr>
      </w:pPr>
      <w:r>
        <w:rPr>
          <w:b/>
          <w:bCs/>
          <w:spacing w:val="-3"/>
        </w:rPr>
        <w:t>4.4</w:t>
      </w:r>
      <w:r>
        <w:rPr>
          <w:b/>
          <w:bCs/>
          <w:spacing w:val="-3"/>
        </w:rPr>
        <w:tab/>
        <w:t>Særlige advarsler og forsigtighedsregler vedrørende brugen</w:t>
      </w:r>
    </w:p>
    <w:p w14:paraId="736CEEAB" w14:textId="77777777" w:rsidR="008128CD" w:rsidRPr="00C31497" w:rsidRDefault="008128CD" w:rsidP="00C31497">
      <w:pPr>
        <w:tabs>
          <w:tab w:val="left" w:pos="0"/>
          <w:tab w:val="left" w:pos="851"/>
        </w:tabs>
        <w:ind w:left="850" w:hanging="850"/>
        <w:jc w:val="both"/>
        <w:rPr>
          <w:spacing w:val="-3"/>
        </w:rPr>
      </w:pPr>
      <w:r>
        <w:tab/>
      </w:r>
    </w:p>
    <w:p w14:paraId="350D0AA3" w14:textId="77777777" w:rsidR="008128CD" w:rsidRDefault="008128CD" w:rsidP="008128CD">
      <w:pPr>
        <w:tabs>
          <w:tab w:val="left" w:pos="0"/>
          <w:tab w:val="left" w:pos="851"/>
        </w:tabs>
        <w:ind w:left="850" w:firstLine="1"/>
        <w:rPr>
          <w:i/>
        </w:rPr>
      </w:pPr>
      <w:proofErr w:type="spellStart"/>
      <w:r>
        <w:rPr>
          <w:i/>
        </w:rPr>
        <w:t>Cockaynes</w:t>
      </w:r>
      <w:proofErr w:type="spellEnd"/>
      <w:r>
        <w:rPr>
          <w:i/>
        </w:rPr>
        <w:t xml:space="preserve"> syndrom</w:t>
      </w:r>
    </w:p>
    <w:p w14:paraId="505DD413" w14:textId="77777777" w:rsidR="008128CD" w:rsidRDefault="008128CD" w:rsidP="008128CD">
      <w:pPr>
        <w:tabs>
          <w:tab w:val="left" w:pos="0"/>
          <w:tab w:val="left" w:pos="851"/>
        </w:tabs>
        <w:ind w:left="850" w:firstLine="1"/>
      </w:pPr>
      <w:r>
        <w:t xml:space="preserve">Der er rapporteret tilfælde af svær </w:t>
      </w:r>
      <w:proofErr w:type="spellStart"/>
      <w:r>
        <w:t>hepatotoksicitet</w:t>
      </w:r>
      <w:proofErr w:type="spellEnd"/>
      <w:r>
        <w:t xml:space="preserve">/akut leversvigt, herunder tilfælde med dødeligt udfald og meget hurtig symptomdebut, hos patienter med </w:t>
      </w:r>
      <w:proofErr w:type="spellStart"/>
      <w:r>
        <w:t>Cockaynes</w:t>
      </w:r>
      <w:proofErr w:type="spellEnd"/>
      <w:r>
        <w:t xml:space="preserve"> syndrom, der har fået systemisk behandling med </w:t>
      </w:r>
      <w:proofErr w:type="spellStart"/>
      <w:r>
        <w:t>metronidazol</w:t>
      </w:r>
      <w:proofErr w:type="spellEnd"/>
      <w:r>
        <w:t xml:space="preserve">. Hos denne population bør </w:t>
      </w:r>
      <w:proofErr w:type="spellStart"/>
      <w:r>
        <w:t>metronidazol</w:t>
      </w:r>
      <w:proofErr w:type="spellEnd"/>
      <w:r>
        <w:t xml:space="preserve"> derfor kun anvendes efter nøje vurdering af benefit/</w:t>
      </w:r>
      <w:proofErr w:type="spellStart"/>
      <w:r>
        <w:t>risk</w:t>
      </w:r>
      <w:proofErr w:type="spellEnd"/>
      <w:r>
        <w:t xml:space="preserve">-forholdet, og kun hvis der ikke foreligger en alternativ behandlingsmulighed. Der skal udføres leverfunktionstests umiddelbart før behandlingsstart, under hele behandlingen og efter afslutning af behandling, indtil leverfunktionstestene ligger inden for normalområderne, eller indtil </w:t>
      </w:r>
      <w:r>
        <w:rPr>
          <w:i/>
        </w:rPr>
        <w:t>baseline</w:t>
      </w:r>
      <w:r>
        <w:t>-værdierne er nået. Hvis leverfunktionstestene bliver markant forhøjede under behandlingen, bør lægemidlet seponeres.</w:t>
      </w:r>
    </w:p>
    <w:p w14:paraId="3A9DB3F8" w14:textId="77777777" w:rsidR="008128CD" w:rsidRDefault="008128CD" w:rsidP="008128CD">
      <w:pPr>
        <w:tabs>
          <w:tab w:val="left" w:pos="0"/>
          <w:tab w:val="left" w:pos="851"/>
        </w:tabs>
        <w:ind w:left="850" w:firstLine="1"/>
      </w:pPr>
    </w:p>
    <w:p w14:paraId="4F0E0D7B" w14:textId="77777777" w:rsidR="008128CD" w:rsidRDefault="008128CD" w:rsidP="008128CD">
      <w:pPr>
        <w:tabs>
          <w:tab w:val="left" w:pos="0"/>
          <w:tab w:val="left" w:pos="851"/>
        </w:tabs>
        <w:ind w:left="850" w:firstLine="1"/>
      </w:pPr>
      <w:r>
        <w:t xml:space="preserve">Patienter med </w:t>
      </w:r>
      <w:proofErr w:type="spellStart"/>
      <w:r>
        <w:t>Cockaynes</w:t>
      </w:r>
      <w:proofErr w:type="spellEnd"/>
      <w:r>
        <w:t xml:space="preserve"> syndrom skal informeres om øjeblikkeligt at kontakte lægen ved ethvert symptom på en mulig leverskade og ophøre med at tage </w:t>
      </w:r>
      <w:proofErr w:type="spellStart"/>
      <w:r>
        <w:t>metronidazol</w:t>
      </w:r>
      <w:proofErr w:type="spellEnd"/>
      <w:r>
        <w:t>.</w:t>
      </w:r>
    </w:p>
    <w:p w14:paraId="69280019" w14:textId="77777777" w:rsidR="008128CD" w:rsidRDefault="008128CD" w:rsidP="008128CD">
      <w:pPr>
        <w:tabs>
          <w:tab w:val="left" w:pos="851"/>
        </w:tabs>
        <w:ind w:firstLine="1"/>
      </w:pPr>
    </w:p>
    <w:p w14:paraId="3E98A5CF" w14:textId="6A2A3693" w:rsidR="008128CD" w:rsidRDefault="008128CD" w:rsidP="008128CD">
      <w:pPr>
        <w:tabs>
          <w:tab w:val="left" w:pos="851"/>
        </w:tabs>
        <w:ind w:left="851" w:firstLine="1"/>
      </w:pPr>
      <w:proofErr w:type="spellStart"/>
      <w:r>
        <w:rPr>
          <w:i/>
        </w:rPr>
        <w:t>Hæmatopoietiske</w:t>
      </w:r>
      <w:proofErr w:type="spellEnd"/>
      <w:r>
        <w:rPr>
          <w:i/>
        </w:rPr>
        <w:t xml:space="preserve"> sygdomme</w:t>
      </w:r>
    </w:p>
    <w:p w14:paraId="011DD12B" w14:textId="783D84BD" w:rsidR="00C31497" w:rsidRDefault="008128CD" w:rsidP="008128CD">
      <w:pPr>
        <w:tabs>
          <w:tab w:val="left" w:pos="851"/>
        </w:tabs>
        <w:ind w:left="851" w:firstLine="1"/>
      </w:pPr>
      <w:r>
        <w:t xml:space="preserve">Forsigtig dosering ved sygdomme i det </w:t>
      </w:r>
      <w:proofErr w:type="spellStart"/>
      <w:r>
        <w:t>hæmatopoietiske</w:t>
      </w:r>
      <w:proofErr w:type="spellEnd"/>
      <w:r>
        <w:t xml:space="preserve"> system og i centralnervesystemet. Ved behandling i længere tid end den sædvanligt anbefalede bør der monitoreres for hæmatologiske bivirkninger (specielt </w:t>
      </w:r>
      <w:proofErr w:type="spellStart"/>
      <w:r w:rsidR="00C31497">
        <w:t>leukopeni</w:t>
      </w:r>
      <w:proofErr w:type="spellEnd"/>
      <w:r>
        <w:t>)</w:t>
      </w:r>
      <w:r w:rsidR="00C31497">
        <w:t>.</w:t>
      </w:r>
    </w:p>
    <w:p w14:paraId="6FEDFF5D" w14:textId="77777777" w:rsidR="00C31497" w:rsidRDefault="00C31497" w:rsidP="008128CD">
      <w:pPr>
        <w:tabs>
          <w:tab w:val="left" w:pos="851"/>
        </w:tabs>
        <w:ind w:left="851" w:firstLine="1"/>
      </w:pPr>
    </w:p>
    <w:p w14:paraId="186A7B17" w14:textId="77777777" w:rsidR="00C31497" w:rsidRPr="00C4555F" w:rsidRDefault="00C31497" w:rsidP="008128CD">
      <w:pPr>
        <w:tabs>
          <w:tab w:val="left" w:pos="851"/>
        </w:tabs>
        <w:ind w:left="851" w:firstLine="1"/>
        <w:rPr>
          <w:i/>
        </w:rPr>
      </w:pPr>
      <w:r>
        <w:rPr>
          <w:i/>
        </w:rPr>
        <w:t>Neurologiske symptomer</w:t>
      </w:r>
    </w:p>
    <w:p w14:paraId="4800DA60" w14:textId="6B1A3148" w:rsidR="008128CD" w:rsidRDefault="00C31497" w:rsidP="008128CD">
      <w:pPr>
        <w:tabs>
          <w:tab w:val="left" w:pos="851"/>
        </w:tabs>
        <w:ind w:left="851" w:firstLine="1"/>
      </w:pPr>
      <w:r>
        <w:t>N</w:t>
      </w:r>
      <w:r w:rsidR="008128CD">
        <w:t xml:space="preserve">eurologiske bivirkninger som </w:t>
      </w:r>
      <w:r w:rsidR="008128CD">
        <w:rPr>
          <w:spacing w:val="-3"/>
        </w:rPr>
        <w:t xml:space="preserve">perifer eller central </w:t>
      </w:r>
      <w:proofErr w:type="spellStart"/>
      <w:r w:rsidR="008128CD">
        <w:rPr>
          <w:spacing w:val="-3"/>
        </w:rPr>
        <w:t>neuropati</w:t>
      </w:r>
      <w:proofErr w:type="spellEnd"/>
      <w:r w:rsidR="008128CD">
        <w:rPr>
          <w:spacing w:val="-3"/>
        </w:rPr>
        <w:t xml:space="preserve"> (såsom </w:t>
      </w:r>
      <w:proofErr w:type="spellStart"/>
      <w:r w:rsidR="008128CD">
        <w:rPr>
          <w:spacing w:val="-3"/>
        </w:rPr>
        <w:t>paræstesi</w:t>
      </w:r>
      <w:proofErr w:type="spellEnd"/>
      <w:r w:rsidR="008128CD">
        <w:rPr>
          <w:spacing w:val="-3"/>
        </w:rPr>
        <w:t xml:space="preserve">, </w:t>
      </w:r>
      <w:proofErr w:type="spellStart"/>
      <w:r w:rsidR="008128CD">
        <w:rPr>
          <w:spacing w:val="-3"/>
        </w:rPr>
        <w:t>ataksi</w:t>
      </w:r>
      <w:proofErr w:type="spellEnd"/>
      <w:r w:rsidR="008128CD">
        <w:rPr>
          <w:spacing w:val="-3"/>
        </w:rPr>
        <w:t>, svimmelhed, krampeanfald)</w:t>
      </w:r>
      <w:r w:rsidR="008128CD">
        <w:t>.</w:t>
      </w:r>
    </w:p>
    <w:p w14:paraId="63C6777B" w14:textId="77777777" w:rsidR="008128CD" w:rsidRPr="00E50EE3" w:rsidRDefault="008128CD" w:rsidP="00C31497">
      <w:pPr>
        <w:tabs>
          <w:tab w:val="left" w:pos="25"/>
          <w:tab w:val="left" w:pos="167"/>
          <w:tab w:val="left" w:pos="851"/>
        </w:tabs>
      </w:pPr>
    </w:p>
    <w:p w14:paraId="4FE28505" w14:textId="77777777" w:rsidR="008128CD" w:rsidRDefault="008128CD" w:rsidP="008128CD">
      <w:pPr>
        <w:tabs>
          <w:tab w:val="left" w:pos="25"/>
          <w:tab w:val="left" w:pos="167"/>
          <w:tab w:val="left" w:pos="851"/>
        </w:tabs>
        <w:ind w:left="851" w:firstLine="1"/>
        <w:rPr>
          <w:spacing w:val="-3"/>
        </w:rPr>
      </w:pPr>
      <w:r>
        <w:rPr>
          <w:i/>
        </w:rPr>
        <w:t>Leversygdomme</w:t>
      </w:r>
    </w:p>
    <w:p w14:paraId="4015FAC4" w14:textId="77777777" w:rsidR="008128CD" w:rsidRDefault="008128CD" w:rsidP="008128CD">
      <w:pPr>
        <w:tabs>
          <w:tab w:val="left" w:pos="851"/>
        </w:tabs>
        <w:ind w:left="851" w:firstLine="1"/>
      </w:pPr>
      <w:r>
        <w:t>Dosisreduktion hos patienter med svær leverinsufficiens</w:t>
      </w:r>
      <w:r w:rsidR="007B0E6B">
        <w:t xml:space="preserve"> (se pkt. 4.2)</w:t>
      </w:r>
      <w:r>
        <w:t xml:space="preserve">. Dette er specielt gældende ved </w:t>
      </w:r>
      <w:proofErr w:type="spellStart"/>
      <w:r>
        <w:t>hepatisk</w:t>
      </w:r>
      <w:proofErr w:type="spellEnd"/>
      <w:r>
        <w:t xml:space="preserve"> encefalopati, da </w:t>
      </w:r>
      <w:proofErr w:type="spellStart"/>
      <w:r>
        <w:t>metronidazols</w:t>
      </w:r>
      <w:proofErr w:type="spellEnd"/>
      <w:r>
        <w:t xml:space="preserve"> bivirkninger kan forstærke symptomerne herpå (se pkt. 4.8).</w:t>
      </w:r>
    </w:p>
    <w:p w14:paraId="264204E6" w14:textId="77777777" w:rsidR="008128CD" w:rsidRPr="00AC045D" w:rsidRDefault="008128CD" w:rsidP="007B0E6B">
      <w:pPr>
        <w:tabs>
          <w:tab w:val="left" w:pos="25"/>
          <w:tab w:val="left" w:pos="167"/>
          <w:tab w:val="left" w:pos="851"/>
        </w:tabs>
        <w:rPr>
          <w:spacing w:val="-3"/>
        </w:rPr>
      </w:pPr>
    </w:p>
    <w:p w14:paraId="4DC2C146" w14:textId="77777777" w:rsidR="008128CD" w:rsidRDefault="008128CD" w:rsidP="008128CD">
      <w:pPr>
        <w:tabs>
          <w:tab w:val="left" w:pos="25"/>
          <w:tab w:val="left" w:pos="167"/>
          <w:tab w:val="left" w:pos="851"/>
        </w:tabs>
        <w:ind w:left="851" w:firstLine="1"/>
        <w:rPr>
          <w:spacing w:val="-3"/>
        </w:rPr>
      </w:pPr>
      <w:r>
        <w:rPr>
          <w:i/>
        </w:rPr>
        <w:t>Alkohol inkl. alkohol i lægemidler</w:t>
      </w:r>
    </w:p>
    <w:p w14:paraId="437D6C7A" w14:textId="77777777" w:rsidR="008128CD" w:rsidRDefault="008128CD" w:rsidP="008128CD">
      <w:pPr>
        <w:tabs>
          <w:tab w:val="left" w:pos="25"/>
          <w:tab w:val="left" w:pos="167"/>
          <w:tab w:val="left" w:pos="851"/>
        </w:tabs>
        <w:ind w:left="851" w:firstLine="1"/>
        <w:rPr>
          <w:spacing w:val="-3"/>
        </w:rPr>
      </w:pPr>
      <w:r>
        <w:rPr>
          <w:spacing w:val="-3"/>
        </w:rPr>
        <w:t xml:space="preserve">Samtidig indtagelse af alkohol bør undgås under behandling med </w:t>
      </w:r>
      <w:proofErr w:type="spellStart"/>
      <w:r>
        <w:rPr>
          <w:spacing w:val="-3"/>
        </w:rPr>
        <w:t>metronidazol</w:t>
      </w:r>
      <w:proofErr w:type="spellEnd"/>
      <w:r>
        <w:rPr>
          <w:spacing w:val="-3"/>
        </w:rPr>
        <w:t xml:space="preserve"> og 3 dage efter </w:t>
      </w:r>
      <w:proofErr w:type="spellStart"/>
      <w:r>
        <w:rPr>
          <w:spacing w:val="-3"/>
        </w:rPr>
        <w:t>seponering</w:t>
      </w:r>
      <w:proofErr w:type="spellEnd"/>
      <w:r>
        <w:rPr>
          <w:spacing w:val="-3"/>
        </w:rPr>
        <w:t xml:space="preserve"> af denne på grund af risiko for en </w:t>
      </w:r>
      <w:proofErr w:type="spellStart"/>
      <w:r>
        <w:rPr>
          <w:spacing w:val="-3"/>
        </w:rPr>
        <w:t>disulfiramlignende</w:t>
      </w:r>
      <w:proofErr w:type="spellEnd"/>
      <w:r>
        <w:rPr>
          <w:spacing w:val="-3"/>
        </w:rPr>
        <w:t xml:space="preserve"> reaktion mellem </w:t>
      </w:r>
      <w:proofErr w:type="spellStart"/>
      <w:r>
        <w:rPr>
          <w:spacing w:val="-3"/>
        </w:rPr>
        <w:t>metronidazol</w:t>
      </w:r>
      <w:proofErr w:type="spellEnd"/>
      <w:r>
        <w:rPr>
          <w:spacing w:val="-3"/>
        </w:rPr>
        <w:t xml:space="preserve"> og alkohol (se pkt. 4.5). Dette gælder også for alkoholholdige lægemidler, både orale og parenterale lægemiddelformer.</w:t>
      </w:r>
    </w:p>
    <w:p w14:paraId="3DB75A30" w14:textId="77777777" w:rsidR="008128CD" w:rsidRDefault="008128CD" w:rsidP="008128CD">
      <w:pPr>
        <w:tabs>
          <w:tab w:val="left" w:pos="25"/>
          <w:tab w:val="left" w:pos="167"/>
          <w:tab w:val="left" w:pos="851"/>
        </w:tabs>
        <w:ind w:left="851" w:firstLine="1"/>
        <w:rPr>
          <w:i/>
        </w:rPr>
      </w:pPr>
    </w:p>
    <w:p w14:paraId="3E0BC36C" w14:textId="77777777" w:rsidR="008128CD" w:rsidRDefault="008128CD" w:rsidP="008128CD">
      <w:pPr>
        <w:tabs>
          <w:tab w:val="left" w:pos="25"/>
          <w:tab w:val="left" w:pos="167"/>
          <w:tab w:val="left" w:pos="851"/>
        </w:tabs>
        <w:ind w:left="851" w:firstLine="1"/>
        <w:rPr>
          <w:i/>
        </w:rPr>
      </w:pPr>
      <w:proofErr w:type="spellStart"/>
      <w:r>
        <w:rPr>
          <w:i/>
        </w:rPr>
        <w:t>Lithium</w:t>
      </w:r>
      <w:proofErr w:type="spellEnd"/>
    </w:p>
    <w:p w14:paraId="6454D3DC" w14:textId="77777777" w:rsidR="008128CD" w:rsidRDefault="008128CD" w:rsidP="008128CD">
      <w:pPr>
        <w:tabs>
          <w:tab w:val="left" w:pos="25"/>
          <w:tab w:val="left" w:pos="167"/>
          <w:tab w:val="left" w:pos="851"/>
        </w:tabs>
        <w:ind w:left="851" w:firstLine="1"/>
        <w:rPr>
          <w:spacing w:val="-3"/>
        </w:rPr>
      </w:pPr>
      <w:r>
        <w:rPr>
          <w:spacing w:val="-3"/>
        </w:rPr>
        <w:t xml:space="preserve">Ved samtidig behandling med </w:t>
      </w:r>
      <w:proofErr w:type="spellStart"/>
      <w:r>
        <w:rPr>
          <w:spacing w:val="-3"/>
        </w:rPr>
        <w:t>lithium</w:t>
      </w:r>
      <w:proofErr w:type="spellEnd"/>
      <w:r>
        <w:rPr>
          <w:spacing w:val="-3"/>
        </w:rPr>
        <w:t xml:space="preserve"> og </w:t>
      </w:r>
      <w:proofErr w:type="spellStart"/>
      <w:r>
        <w:rPr>
          <w:spacing w:val="-3"/>
        </w:rPr>
        <w:t>metronidazol</w:t>
      </w:r>
      <w:proofErr w:type="spellEnd"/>
      <w:r>
        <w:rPr>
          <w:spacing w:val="-3"/>
        </w:rPr>
        <w:t xml:space="preserve"> bør der under behandling og i 2-3 uger efter </w:t>
      </w:r>
      <w:proofErr w:type="spellStart"/>
      <w:r>
        <w:rPr>
          <w:spacing w:val="-3"/>
        </w:rPr>
        <w:t>seponering</w:t>
      </w:r>
      <w:proofErr w:type="spellEnd"/>
      <w:r>
        <w:rPr>
          <w:spacing w:val="-3"/>
        </w:rPr>
        <w:t xml:space="preserve"> af </w:t>
      </w:r>
      <w:proofErr w:type="spellStart"/>
      <w:r>
        <w:rPr>
          <w:spacing w:val="-3"/>
        </w:rPr>
        <w:t>metronidazol</w:t>
      </w:r>
      <w:proofErr w:type="spellEnd"/>
      <w:r>
        <w:rPr>
          <w:spacing w:val="-3"/>
        </w:rPr>
        <w:t xml:space="preserve"> foretages en nøje overvågning af S-</w:t>
      </w:r>
      <w:proofErr w:type="spellStart"/>
      <w:r>
        <w:rPr>
          <w:spacing w:val="-3"/>
        </w:rPr>
        <w:t>lithium</w:t>
      </w:r>
      <w:proofErr w:type="spellEnd"/>
      <w:r>
        <w:rPr>
          <w:spacing w:val="-3"/>
        </w:rPr>
        <w:t>, S-</w:t>
      </w:r>
      <w:proofErr w:type="spellStart"/>
      <w:r>
        <w:rPr>
          <w:spacing w:val="-3"/>
        </w:rPr>
        <w:t>creatinin</w:t>
      </w:r>
      <w:proofErr w:type="spellEnd"/>
      <w:r>
        <w:rPr>
          <w:spacing w:val="-3"/>
        </w:rPr>
        <w:t xml:space="preserve"> og serumelektrolytter (se pkt. 4.5).</w:t>
      </w:r>
    </w:p>
    <w:p w14:paraId="25507FA8" w14:textId="77777777" w:rsidR="008128CD" w:rsidRDefault="008128CD" w:rsidP="008128CD">
      <w:pPr>
        <w:tabs>
          <w:tab w:val="left" w:pos="851"/>
        </w:tabs>
        <w:ind w:left="851" w:firstLine="1"/>
      </w:pPr>
    </w:p>
    <w:p w14:paraId="14F662EC" w14:textId="747618D3" w:rsidR="008128CD" w:rsidRDefault="007B0E6B" w:rsidP="008128CD">
      <w:pPr>
        <w:tabs>
          <w:tab w:val="left" w:pos="851"/>
        </w:tabs>
        <w:ind w:left="851" w:firstLine="1"/>
      </w:pPr>
      <w:proofErr w:type="spellStart"/>
      <w:r>
        <w:rPr>
          <w:i/>
        </w:rPr>
        <w:t>Hæmodialyse</w:t>
      </w:r>
      <w:r w:rsidR="008128CD">
        <w:t>Metronidazol</w:t>
      </w:r>
      <w:proofErr w:type="spellEnd"/>
      <w:r w:rsidR="008128CD">
        <w:t xml:space="preserve"> fjernes under hæmodialyse og bør først indgives, når dialysen er afsluttet.</w:t>
      </w:r>
    </w:p>
    <w:p w14:paraId="4B3DC210" w14:textId="77777777" w:rsidR="00E50EE3" w:rsidRPr="00AC045D" w:rsidRDefault="00E50EE3" w:rsidP="007B0E6B">
      <w:pPr>
        <w:tabs>
          <w:tab w:val="left" w:pos="25"/>
          <w:tab w:val="left" w:pos="167"/>
          <w:tab w:val="left" w:pos="851"/>
        </w:tabs>
        <w:rPr>
          <w:i/>
        </w:rPr>
      </w:pPr>
    </w:p>
    <w:p w14:paraId="1B4AC0D9" w14:textId="77777777" w:rsidR="008128CD" w:rsidRDefault="008128CD" w:rsidP="008128CD">
      <w:pPr>
        <w:tabs>
          <w:tab w:val="left" w:pos="25"/>
          <w:tab w:val="left" w:pos="167"/>
          <w:tab w:val="left" w:pos="851"/>
        </w:tabs>
        <w:ind w:left="851" w:firstLine="1"/>
        <w:rPr>
          <w:i/>
        </w:rPr>
      </w:pPr>
      <w:r>
        <w:rPr>
          <w:i/>
        </w:rPr>
        <w:t>Hudreaktioner</w:t>
      </w:r>
    </w:p>
    <w:p w14:paraId="1DD500ED" w14:textId="77777777" w:rsidR="008128CD" w:rsidRDefault="008128CD" w:rsidP="008128CD">
      <w:pPr>
        <w:tabs>
          <w:tab w:val="left" w:pos="25"/>
          <w:tab w:val="left" w:pos="167"/>
          <w:tab w:val="left" w:pos="851"/>
        </w:tabs>
        <w:ind w:left="851" w:firstLine="1"/>
      </w:pPr>
      <w:r>
        <w:t xml:space="preserve">Der er rapporteret tilfælde af svære </w:t>
      </w:r>
      <w:proofErr w:type="spellStart"/>
      <w:r>
        <w:t>bulløse</w:t>
      </w:r>
      <w:proofErr w:type="spellEnd"/>
      <w:r>
        <w:t xml:space="preserve"> hudreaktioner såsom Stevens-Johnsons syndrom, toksisk </w:t>
      </w:r>
      <w:proofErr w:type="spellStart"/>
      <w:r>
        <w:t>epidermal</w:t>
      </w:r>
      <w:proofErr w:type="spellEnd"/>
      <w:r>
        <w:t xml:space="preserve"> </w:t>
      </w:r>
      <w:proofErr w:type="spellStart"/>
      <w:r>
        <w:t>nekrolyse</w:t>
      </w:r>
      <w:proofErr w:type="spellEnd"/>
      <w:r>
        <w:t xml:space="preserve"> eller akut generaliseret </w:t>
      </w:r>
      <w:proofErr w:type="spellStart"/>
      <w:r>
        <w:t>eksantematøs</w:t>
      </w:r>
      <w:proofErr w:type="spellEnd"/>
      <w:r>
        <w:t xml:space="preserve"> </w:t>
      </w:r>
      <w:proofErr w:type="spellStart"/>
      <w:r>
        <w:t>pustulose</w:t>
      </w:r>
      <w:proofErr w:type="spellEnd"/>
      <w:r>
        <w:t xml:space="preserve"> (AGEP) med </w:t>
      </w:r>
      <w:proofErr w:type="spellStart"/>
      <w:r>
        <w:t>metronidazol</w:t>
      </w:r>
      <w:proofErr w:type="spellEnd"/>
      <w:r>
        <w:t xml:space="preserve"> (se pkt. 4.8). Hvis der forekommer symptomer eller tegn på Stevens-Johnsons syndrom, toksisk </w:t>
      </w:r>
      <w:proofErr w:type="spellStart"/>
      <w:r>
        <w:t>epidermal</w:t>
      </w:r>
      <w:proofErr w:type="spellEnd"/>
      <w:r>
        <w:t xml:space="preserve"> </w:t>
      </w:r>
      <w:proofErr w:type="spellStart"/>
      <w:r>
        <w:t>nekrolyse</w:t>
      </w:r>
      <w:proofErr w:type="spellEnd"/>
      <w:r>
        <w:t xml:space="preserve"> eller AGEP, så skal behandlingen straks seponeres.</w:t>
      </w:r>
    </w:p>
    <w:p w14:paraId="0F915180" w14:textId="77777777" w:rsidR="008128CD" w:rsidRDefault="008128CD" w:rsidP="008128CD">
      <w:pPr>
        <w:tabs>
          <w:tab w:val="left" w:pos="851"/>
        </w:tabs>
        <w:ind w:left="851" w:firstLine="1"/>
      </w:pPr>
    </w:p>
    <w:p w14:paraId="54F06754" w14:textId="77777777" w:rsidR="008128CD" w:rsidRDefault="008128CD" w:rsidP="008128CD">
      <w:pPr>
        <w:tabs>
          <w:tab w:val="left" w:pos="851"/>
        </w:tabs>
        <w:ind w:left="851" w:firstLine="1"/>
        <w:rPr>
          <w:i/>
        </w:rPr>
      </w:pPr>
      <w:r>
        <w:rPr>
          <w:i/>
        </w:rPr>
        <w:t>Generelt</w:t>
      </w:r>
    </w:p>
    <w:p w14:paraId="25B8D477" w14:textId="77777777" w:rsidR="008128CD" w:rsidRDefault="008128CD" w:rsidP="008128CD">
      <w:pPr>
        <w:tabs>
          <w:tab w:val="left" w:pos="25"/>
          <w:tab w:val="left" w:pos="167"/>
          <w:tab w:val="left" w:pos="851"/>
        </w:tabs>
        <w:ind w:left="851" w:firstLine="1"/>
      </w:pPr>
      <w:r>
        <w:t xml:space="preserve">Patienter bør advares om, at </w:t>
      </w:r>
      <w:proofErr w:type="spellStart"/>
      <w:r>
        <w:t>metronidazol</w:t>
      </w:r>
      <w:proofErr w:type="spellEnd"/>
      <w:r>
        <w:t xml:space="preserve"> kan farve urinen mørk.</w:t>
      </w:r>
    </w:p>
    <w:p w14:paraId="3EBB8FA1" w14:textId="77777777" w:rsidR="008128CD" w:rsidRDefault="008128CD" w:rsidP="008128CD">
      <w:pPr>
        <w:tabs>
          <w:tab w:val="left" w:pos="25"/>
          <w:tab w:val="left" w:pos="167"/>
          <w:tab w:val="left" w:pos="851"/>
        </w:tabs>
        <w:ind w:left="851" w:firstLine="1"/>
      </w:pPr>
    </w:p>
    <w:p w14:paraId="3C81E862" w14:textId="77777777" w:rsidR="008128CD" w:rsidRDefault="008128CD" w:rsidP="008128CD">
      <w:pPr>
        <w:tabs>
          <w:tab w:val="left" w:pos="25"/>
          <w:tab w:val="left" w:pos="167"/>
          <w:tab w:val="left" w:pos="851"/>
        </w:tabs>
        <w:ind w:left="851" w:firstLine="1"/>
      </w:pPr>
      <w:r>
        <w:t xml:space="preserve">Brug af </w:t>
      </w:r>
      <w:proofErr w:type="spellStart"/>
      <w:r>
        <w:t>Flagyl</w:t>
      </w:r>
      <w:proofErr w:type="spellEnd"/>
      <w:r>
        <w:t xml:space="preserve"> til længerevarende behandling bør overvejes nøje (se pkt. 5.3).</w:t>
      </w:r>
    </w:p>
    <w:p w14:paraId="5EBCC9B9" w14:textId="77777777" w:rsidR="00A70F54" w:rsidRDefault="00A70F54" w:rsidP="00A70F54">
      <w:pPr>
        <w:tabs>
          <w:tab w:val="left" w:pos="0"/>
          <w:tab w:val="left" w:pos="851"/>
        </w:tabs>
        <w:ind w:left="850" w:hanging="850"/>
        <w:jc w:val="both"/>
        <w:rPr>
          <w:spacing w:val="-3"/>
        </w:rPr>
      </w:pPr>
    </w:p>
    <w:p w14:paraId="0B939B0C" w14:textId="77777777" w:rsidR="00501C94" w:rsidRPr="00AC045D" w:rsidRDefault="00501C94" w:rsidP="00501C94">
      <w:pPr>
        <w:tabs>
          <w:tab w:val="left" w:pos="0"/>
          <w:tab w:val="left" w:pos="851"/>
        </w:tabs>
        <w:jc w:val="both"/>
        <w:rPr>
          <w:spacing w:val="-3"/>
        </w:rPr>
      </w:pPr>
    </w:p>
    <w:p w14:paraId="38AFD0DC" w14:textId="77777777" w:rsidR="00501C94" w:rsidRDefault="00501C94" w:rsidP="00501C94">
      <w:pPr>
        <w:numPr>
          <w:ilvl w:val="1"/>
          <w:numId w:val="8"/>
        </w:numPr>
        <w:tabs>
          <w:tab w:val="left" w:pos="0"/>
        </w:tabs>
        <w:jc w:val="both"/>
        <w:rPr>
          <w:b/>
          <w:bCs/>
          <w:spacing w:val="-3"/>
        </w:rPr>
      </w:pPr>
      <w:r>
        <w:rPr>
          <w:b/>
          <w:bCs/>
          <w:spacing w:val="-3"/>
        </w:rPr>
        <w:t>Interaktion med andre lægemidler og andre former for interaktion</w:t>
      </w:r>
    </w:p>
    <w:p w14:paraId="4BEC55EC" w14:textId="77777777" w:rsidR="00501C94" w:rsidRPr="00CD42D8" w:rsidRDefault="00501C94" w:rsidP="00501C94">
      <w:pPr>
        <w:tabs>
          <w:tab w:val="left" w:pos="0"/>
          <w:tab w:val="left" w:pos="851"/>
        </w:tabs>
        <w:ind w:left="851"/>
        <w:rPr>
          <w:b/>
          <w:spacing w:val="-3"/>
        </w:rPr>
      </w:pPr>
      <w:r w:rsidRPr="00CD42D8">
        <w:rPr>
          <w:b/>
          <w:spacing w:val="-3"/>
        </w:rPr>
        <w:t>Samtidig anvendelse af følgende præparater kan ikke anbefales</w:t>
      </w:r>
    </w:p>
    <w:p w14:paraId="44A91BF2" w14:textId="77777777" w:rsidR="00501C94" w:rsidRPr="001053C9" w:rsidRDefault="00501C94" w:rsidP="00501C94">
      <w:pPr>
        <w:tabs>
          <w:tab w:val="left" w:pos="0"/>
          <w:tab w:val="left" w:pos="851"/>
        </w:tabs>
        <w:ind w:left="851"/>
        <w:rPr>
          <w:i/>
          <w:spacing w:val="-3"/>
        </w:rPr>
      </w:pPr>
      <w:r w:rsidRPr="001053C9">
        <w:rPr>
          <w:i/>
          <w:spacing w:val="-3"/>
        </w:rPr>
        <w:t>Alkohol, herunder alkohol i lægemidler</w:t>
      </w:r>
    </w:p>
    <w:p w14:paraId="26A1EB42" w14:textId="77777777" w:rsidR="00501C94" w:rsidRDefault="00501C94" w:rsidP="00501C94">
      <w:pPr>
        <w:tabs>
          <w:tab w:val="left" w:pos="0"/>
          <w:tab w:val="left" w:pos="851"/>
        </w:tabs>
        <w:ind w:left="851"/>
        <w:rPr>
          <w:spacing w:val="-3"/>
        </w:rPr>
      </w:pPr>
      <w:r>
        <w:rPr>
          <w:spacing w:val="-3"/>
        </w:rPr>
        <w:t xml:space="preserve">Mulig mekanisme: </w:t>
      </w:r>
      <w:proofErr w:type="spellStart"/>
      <w:r>
        <w:rPr>
          <w:spacing w:val="-3"/>
        </w:rPr>
        <w:t>Metronidazol</w:t>
      </w:r>
      <w:proofErr w:type="spellEnd"/>
      <w:r>
        <w:rPr>
          <w:spacing w:val="-3"/>
        </w:rPr>
        <w:t xml:space="preserve"> hæmmer </w:t>
      </w:r>
      <w:proofErr w:type="spellStart"/>
      <w:r>
        <w:rPr>
          <w:spacing w:val="-3"/>
        </w:rPr>
        <w:t>acetaldehydmetaboliseringen</w:t>
      </w:r>
      <w:proofErr w:type="spellEnd"/>
      <w:r>
        <w:rPr>
          <w:spacing w:val="-3"/>
        </w:rPr>
        <w:t>.</w:t>
      </w:r>
    </w:p>
    <w:p w14:paraId="2CCAFC60" w14:textId="77777777" w:rsidR="00501C94" w:rsidRDefault="00501C94" w:rsidP="00501C94">
      <w:pPr>
        <w:tabs>
          <w:tab w:val="left" w:pos="0"/>
          <w:tab w:val="left" w:pos="851"/>
        </w:tabs>
        <w:ind w:left="851"/>
        <w:rPr>
          <w:spacing w:val="-3"/>
        </w:rPr>
      </w:pPr>
      <w:r>
        <w:rPr>
          <w:spacing w:val="-3"/>
        </w:rPr>
        <w:t xml:space="preserve">Effekt: </w:t>
      </w:r>
      <w:proofErr w:type="spellStart"/>
      <w:r>
        <w:rPr>
          <w:spacing w:val="-3"/>
        </w:rPr>
        <w:t>Disulfiramlignende</w:t>
      </w:r>
      <w:proofErr w:type="spellEnd"/>
      <w:r>
        <w:rPr>
          <w:spacing w:val="-3"/>
        </w:rPr>
        <w:t xml:space="preserve"> reaktion (rødme, opkastning, varmefølelse, øget re</w:t>
      </w:r>
      <w:r w:rsidR="00350C5F">
        <w:rPr>
          <w:spacing w:val="-3"/>
        </w:rPr>
        <w:t>s</w:t>
      </w:r>
      <w:r>
        <w:rPr>
          <w:spacing w:val="-3"/>
        </w:rPr>
        <w:t xml:space="preserve">pirationsfrekvens, </w:t>
      </w:r>
      <w:proofErr w:type="spellStart"/>
      <w:r>
        <w:rPr>
          <w:spacing w:val="-3"/>
        </w:rPr>
        <w:t>takykardi</w:t>
      </w:r>
      <w:proofErr w:type="spellEnd"/>
      <w:r>
        <w:rPr>
          <w:spacing w:val="-3"/>
        </w:rPr>
        <w:t>). Samtidig brug bør undgås (se pkt. 4.4).</w:t>
      </w:r>
    </w:p>
    <w:p w14:paraId="0240A79A" w14:textId="77777777" w:rsidR="00501C94" w:rsidRDefault="00501C94" w:rsidP="00501C94">
      <w:pPr>
        <w:tabs>
          <w:tab w:val="left" w:pos="0"/>
          <w:tab w:val="left" w:pos="851"/>
        </w:tabs>
        <w:ind w:left="851"/>
        <w:rPr>
          <w:spacing w:val="-3"/>
        </w:rPr>
      </w:pPr>
    </w:p>
    <w:p w14:paraId="056A5F51" w14:textId="77777777" w:rsidR="00501C94" w:rsidRPr="001053C9" w:rsidRDefault="00501C94" w:rsidP="00501C94">
      <w:pPr>
        <w:tabs>
          <w:tab w:val="left" w:pos="0"/>
          <w:tab w:val="left" w:pos="851"/>
        </w:tabs>
        <w:ind w:left="851"/>
        <w:rPr>
          <w:i/>
          <w:spacing w:val="-3"/>
        </w:rPr>
      </w:pPr>
      <w:proofErr w:type="spellStart"/>
      <w:r w:rsidRPr="001053C9">
        <w:rPr>
          <w:i/>
          <w:spacing w:val="-3"/>
        </w:rPr>
        <w:t>Amiodaron</w:t>
      </w:r>
      <w:proofErr w:type="spellEnd"/>
    </w:p>
    <w:p w14:paraId="5CD76BE3" w14:textId="77777777" w:rsidR="00501C94" w:rsidRDefault="00501C94" w:rsidP="00501C94">
      <w:pPr>
        <w:tabs>
          <w:tab w:val="left" w:pos="0"/>
          <w:tab w:val="left" w:pos="851"/>
        </w:tabs>
        <w:ind w:left="851"/>
        <w:rPr>
          <w:spacing w:val="-3"/>
        </w:rPr>
      </w:pPr>
      <w:r w:rsidRPr="009500EF">
        <w:rPr>
          <w:spacing w:val="-3"/>
        </w:rPr>
        <w:t xml:space="preserve">Mulig mekanisme: </w:t>
      </w:r>
      <w:proofErr w:type="spellStart"/>
      <w:r w:rsidRPr="009500EF">
        <w:rPr>
          <w:spacing w:val="-3"/>
        </w:rPr>
        <w:t>Metronidazol</w:t>
      </w:r>
      <w:proofErr w:type="spellEnd"/>
      <w:r w:rsidRPr="009500EF">
        <w:rPr>
          <w:spacing w:val="-3"/>
        </w:rPr>
        <w:t xml:space="preserve"> hæmmer </w:t>
      </w:r>
      <w:proofErr w:type="spellStart"/>
      <w:r w:rsidRPr="009500EF">
        <w:rPr>
          <w:spacing w:val="-3"/>
        </w:rPr>
        <w:t>metabolis</w:t>
      </w:r>
      <w:r>
        <w:rPr>
          <w:spacing w:val="-3"/>
        </w:rPr>
        <w:t>eringe</w:t>
      </w:r>
      <w:r w:rsidRPr="009500EF">
        <w:rPr>
          <w:spacing w:val="-3"/>
        </w:rPr>
        <w:t>n</w:t>
      </w:r>
      <w:proofErr w:type="spellEnd"/>
      <w:r w:rsidRPr="009500EF">
        <w:rPr>
          <w:spacing w:val="-3"/>
        </w:rPr>
        <w:t xml:space="preserve"> af </w:t>
      </w:r>
      <w:proofErr w:type="spellStart"/>
      <w:r w:rsidRPr="009500EF">
        <w:rPr>
          <w:spacing w:val="-3"/>
        </w:rPr>
        <w:t>amiodaron</w:t>
      </w:r>
      <w:proofErr w:type="spellEnd"/>
      <w:r w:rsidRPr="009500EF">
        <w:rPr>
          <w:spacing w:val="-3"/>
        </w:rPr>
        <w:t>.</w:t>
      </w:r>
    </w:p>
    <w:p w14:paraId="4F52BC8B" w14:textId="77777777" w:rsidR="00501C94" w:rsidRPr="009500EF" w:rsidRDefault="00501C94" w:rsidP="00501C94">
      <w:pPr>
        <w:tabs>
          <w:tab w:val="left" w:pos="0"/>
        </w:tabs>
        <w:ind w:left="851"/>
        <w:rPr>
          <w:spacing w:val="-3"/>
        </w:rPr>
      </w:pPr>
      <w:r w:rsidRPr="009500EF">
        <w:rPr>
          <w:spacing w:val="-3"/>
        </w:rPr>
        <w:t xml:space="preserve">Effekt: Øget risiko for </w:t>
      </w:r>
      <w:proofErr w:type="spellStart"/>
      <w:r w:rsidRPr="009500EF">
        <w:rPr>
          <w:spacing w:val="-3"/>
        </w:rPr>
        <w:t>kardiotoksicitet</w:t>
      </w:r>
      <w:proofErr w:type="spellEnd"/>
      <w:r w:rsidRPr="009500EF">
        <w:rPr>
          <w:spacing w:val="-3"/>
        </w:rPr>
        <w:t xml:space="preserve"> (forlængelse af </w:t>
      </w:r>
      <w:proofErr w:type="spellStart"/>
      <w:r w:rsidRPr="009500EF">
        <w:rPr>
          <w:spacing w:val="-3"/>
        </w:rPr>
        <w:t>QTc</w:t>
      </w:r>
      <w:proofErr w:type="spellEnd"/>
      <w:r w:rsidRPr="009500EF">
        <w:rPr>
          <w:spacing w:val="-3"/>
        </w:rPr>
        <w:t xml:space="preserve"> intervallet, </w:t>
      </w:r>
      <w:proofErr w:type="spellStart"/>
      <w:r w:rsidRPr="001E2E0D">
        <w:rPr>
          <w:i/>
          <w:spacing w:val="-3"/>
        </w:rPr>
        <w:t>torsades</w:t>
      </w:r>
      <w:proofErr w:type="spellEnd"/>
      <w:r w:rsidRPr="001E2E0D">
        <w:rPr>
          <w:i/>
          <w:spacing w:val="-3"/>
        </w:rPr>
        <w:t xml:space="preserve"> de pointes</w:t>
      </w:r>
      <w:r w:rsidRPr="009500EF">
        <w:rPr>
          <w:spacing w:val="-3"/>
        </w:rPr>
        <w:t>, hjertestop).</w:t>
      </w:r>
    </w:p>
    <w:p w14:paraId="3418104A" w14:textId="77777777" w:rsidR="00501C94" w:rsidRDefault="00501C94" w:rsidP="00501C94">
      <w:pPr>
        <w:tabs>
          <w:tab w:val="left" w:pos="0"/>
          <w:tab w:val="left" w:pos="851"/>
        </w:tabs>
        <w:ind w:left="851"/>
        <w:rPr>
          <w:b/>
          <w:spacing w:val="-3"/>
        </w:rPr>
      </w:pPr>
    </w:p>
    <w:p w14:paraId="1A35C106" w14:textId="77777777" w:rsidR="00501C94" w:rsidRPr="001053C9" w:rsidRDefault="00501C94" w:rsidP="00501C94">
      <w:pPr>
        <w:tabs>
          <w:tab w:val="left" w:pos="0"/>
          <w:tab w:val="left" w:pos="851"/>
        </w:tabs>
        <w:ind w:left="851"/>
        <w:rPr>
          <w:i/>
          <w:spacing w:val="-3"/>
        </w:rPr>
      </w:pPr>
      <w:proofErr w:type="spellStart"/>
      <w:r w:rsidRPr="001053C9">
        <w:rPr>
          <w:i/>
          <w:spacing w:val="-3"/>
        </w:rPr>
        <w:t>Busulfan</w:t>
      </w:r>
      <w:proofErr w:type="spellEnd"/>
    </w:p>
    <w:p w14:paraId="1B3ACA5D" w14:textId="77777777" w:rsidR="00501C94" w:rsidRPr="001C14F1" w:rsidRDefault="00501C94" w:rsidP="00501C94">
      <w:pPr>
        <w:tabs>
          <w:tab w:val="left" w:pos="0"/>
          <w:tab w:val="left" w:pos="851"/>
        </w:tabs>
        <w:ind w:left="851"/>
        <w:rPr>
          <w:i/>
          <w:spacing w:val="-3"/>
        </w:rPr>
      </w:pPr>
      <w:proofErr w:type="spellStart"/>
      <w:r w:rsidRPr="006340D0">
        <w:rPr>
          <w:spacing w:val="-3"/>
        </w:rPr>
        <w:t>Metronidazol</w:t>
      </w:r>
      <w:proofErr w:type="spellEnd"/>
      <w:r w:rsidRPr="006340D0">
        <w:rPr>
          <w:spacing w:val="-3"/>
        </w:rPr>
        <w:t xml:space="preserve"> kan</w:t>
      </w:r>
      <w:r>
        <w:rPr>
          <w:spacing w:val="-3"/>
        </w:rPr>
        <w:t xml:space="preserve"> øge</w:t>
      </w:r>
      <w:r w:rsidRPr="006340D0">
        <w:rPr>
          <w:spacing w:val="-3"/>
        </w:rPr>
        <w:t xml:space="preserve"> plasmakoncentrationen </w:t>
      </w:r>
      <w:r>
        <w:rPr>
          <w:spacing w:val="-3"/>
        </w:rPr>
        <w:t xml:space="preserve">og dermed toksiciteten af </w:t>
      </w:r>
      <w:proofErr w:type="spellStart"/>
      <w:r w:rsidRPr="006340D0">
        <w:rPr>
          <w:spacing w:val="-3"/>
        </w:rPr>
        <w:t>busulfan</w:t>
      </w:r>
      <w:proofErr w:type="spellEnd"/>
      <w:r w:rsidRPr="006340D0">
        <w:rPr>
          <w:spacing w:val="-3"/>
        </w:rPr>
        <w:t>.</w:t>
      </w:r>
    </w:p>
    <w:p w14:paraId="39721AB1" w14:textId="77777777" w:rsidR="00501C94" w:rsidRDefault="00501C94" w:rsidP="00501C94">
      <w:pPr>
        <w:tabs>
          <w:tab w:val="left" w:pos="0"/>
          <w:tab w:val="left" w:pos="851"/>
        </w:tabs>
        <w:ind w:left="851"/>
        <w:rPr>
          <w:b/>
          <w:spacing w:val="-3"/>
        </w:rPr>
      </w:pPr>
    </w:p>
    <w:p w14:paraId="6976C806" w14:textId="77777777" w:rsidR="00501C94" w:rsidRDefault="00501C94" w:rsidP="00501C94">
      <w:pPr>
        <w:tabs>
          <w:tab w:val="left" w:pos="0"/>
          <w:tab w:val="left" w:pos="851"/>
        </w:tabs>
        <w:ind w:left="851"/>
        <w:rPr>
          <w:i/>
          <w:spacing w:val="-3"/>
        </w:rPr>
      </w:pPr>
      <w:proofErr w:type="spellStart"/>
      <w:r>
        <w:rPr>
          <w:i/>
          <w:spacing w:val="-3"/>
        </w:rPr>
        <w:t>Disulfiram</w:t>
      </w:r>
      <w:proofErr w:type="spellEnd"/>
    </w:p>
    <w:p w14:paraId="0CE47236" w14:textId="77777777" w:rsidR="00501C94" w:rsidRDefault="00501C94" w:rsidP="00501C94">
      <w:pPr>
        <w:tabs>
          <w:tab w:val="left" w:pos="0"/>
          <w:tab w:val="left" w:pos="851"/>
        </w:tabs>
        <w:ind w:left="851"/>
        <w:rPr>
          <w:spacing w:val="-3"/>
        </w:rPr>
      </w:pPr>
      <w:r>
        <w:rPr>
          <w:spacing w:val="-3"/>
        </w:rPr>
        <w:t>Mulig mekanisme: Ukendt.</w:t>
      </w:r>
    </w:p>
    <w:p w14:paraId="32FE47E7" w14:textId="77777777" w:rsidR="00501C94" w:rsidRDefault="00501C94" w:rsidP="00501C94">
      <w:pPr>
        <w:tabs>
          <w:tab w:val="left" w:pos="0"/>
          <w:tab w:val="left" w:pos="851"/>
        </w:tabs>
        <w:ind w:left="851"/>
        <w:rPr>
          <w:spacing w:val="-3"/>
        </w:rPr>
      </w:pPr>
      <w:r>
        <w:rPr>
          <w:spacing w:val="-3"/>
        </w:rPr>
        <w:t>Effekt: Psykotiske symptomer, konfusion.</w:t>
      </w:r>
    </w:p>
    <w:p w14:paraId="60192AEE" w14:textId="77777777" w:rsidR="00501C94" w:rsidRDefault="00501C94" w:rsidP="00501C94">
      <w:pPr>
        <w:tabs>
          <w:tab w:val="left" w:pos="0"/>
          <w:tab w:val="left" w:pos="851"/>
        </w:tabs>
        <w:ind w:left="851"/>
        <w:rPr>
          <w:spacing w:val="-3"/>
        </w:rPr>
      </w:pPr>
    </w:p>
    <w:p w14:paraId="4090C746" w14:textId="77777777" w:rsidR="00501C94" w:rsidRDefault="00501C94" w:rsidP="00501C94">
      <w:pPr>
        <w:tabs>
          <w:tab w:val="left" w:pos="0"/>
          <w:tab w:val="left" w:pos="851"/>
        </w:tabs>
        <w:ind w:left="851"/>
        <w:rPr>
          <w:b/>
          <w:spacing w:val="-3"/>
        </w:rPr>
      </w:pPr>
      <w:r>
        <w:rPr>
          <w:b/>
          <w:spacing w:val="-3"/>
        </w:rPr>
        <w:t>Samtidig anvendelse af følgende præparater kan medføre, at der skal iagttages forholdsregler</w:t>
      </w:r>
    </w:p>
    <w:p w14:paraId="0D39A7F7" w14:textId="77777777" w:rsidR="00501C94" w:rsidRDefault="00501C94" w:rsidP="00501C94">
      <w:pPr>
        <w:tabs>
          <w:tab w:val="left" w:pos="0"/>
          <w:tab w:val="left" w:pos="851"/>
        </w:tabs>
        <w:ind w:left="851"/>
        <w:rPr>
          <w:i/>
          <w:spacing w:val="-3"/>
        </w:rPr>
      </w:pPr>
      <w:proofErr w:type="spellStart"/>
      <w:r>
        <w:rPr>
          <w:i/>
          <w:spacing w:val="-3"/>
        </w:rPr>
        <w:t>Colestyramin</w:t>
      </w:r>
      <w:proofErr w:type="spellEnd"/>
    </w:p>
    <w:p w14:paraId="77ED78E8" w14:textId="77777777" w:rsidR="00501C94" w:rsidRDefault="00501C94" w:rsidP="00501C94">
      <w:pPr>
        <w:tabs>
          <w:tab w:val="left" w:pos="0"/>
          <w:tab w:val="left" w:pos="851"/>
        </w:tabs>
        <w:ind w:left="851"/>
        <w:rPr>
          <w:spacing w:val="-3"/>
        </w:rPr>
      </w:pPr>
      <w:r>
        <w:rPr>
          <w:spacing w:val="-3"/>
        </w:rPr>
        <w:t xml:space="preserve">Mulig mekanisme: Reduceret absorption af </w:t>
      </w:r>
      <w:proofErr w:type="spellStart"/>
      <w:r>
        <w:rPr>
          <w:spacing w:val="-3"/>
        </w:rPr>
        <w:t>metronidazol</w:t>
      </w:r>
      <w:proofErr w:type="spellEnd"/>
      <w:r>
        <w:rPr>
          <w:spacing w:val="-3"/>
        </w:rPr>
        <w:t>.</w:t>
      </w:r>
    </w:p>
    <w:p w14:paraId="6C4455BD" w14:textId="77777777" w:rsidR="00501C94" w:rsidRDefault="00501C94" w:rsidP="00501C94">
      <w:pPr>
        <w:tabs>
          <w:tab w:val="left" w:pos="0"/>
          <w:tab w:val="left" w:pos="851"/>
        </w:tabs>
        <w:ind w:left="851"/>
        <w:rPr>
          <w:spacing w:val="-3"/>
        </w:rPr>
      </w:pPr>
      <w:r>
        <w:rPr>
          <w:spacing w:val="-3"/>
        </w:rPr>
        <w:t xml:space="preserve">Effekt: Reduceret virkning af </w:t>
      </w:r>
      <w:proofErr w:type="spellStart"/>
      <w:r>
        <w:rPr>
          <w:spacing w:val="-3"/>
        </w:rPr>
        <w:t>metronidazol</w:t>
      </w:r>
      <w:proofErr w:type="spellEnd"/>
      <w:r>
        <w:rPr>
          <w:spacing w:val="-3"/>
        </w:rPr>
        <w:t>.</w:t>
      </w:r>
    </w:p>
    <w:p w14:paraId="149A1E70" w14:textId="77777777" w:rsidR="00925A84" w:rsidRDefault="00925A84" w:rsidP="00501C94">
      <w:pPr>
        <w:tabs>
          <w:tab w:val="left" w:pos="0"/>
          <w:tab w:val="left" w:pos="851"/>
        </w:tabs>
        <w:ind w:left="851"/>
        <w:rPr>
          <w:i/>
          <w:spacing w:val="-3"/>
        </w:rPr>
      </w:pPr>
    </w:p>
    <w:p w14:paraId="778E5C04" w14:textId="77777777" w:rsidR="00501C94" w:rsidRDefault="00501C94" w:rsidP="00501C94">
      <w:pPr>
        <w:tabs>
          <w:tab w:val="left" w:pos="0"/>
          <w:tab w:val="left" w:pos="851"/>
        </w:tabs>
        <w:ind w:left="851"/>
        <w:rPr>
          <w:spacing w:val="-3"/>
        </w:rPr>
      </w:pPr>
      <w:proofErr w:type="spellStart"/>
      <w:r>
        <w:rPr>
          <w:i/>
          <w:spacing w:val="-3"/>
        </w:rPr>
        <w:t>Phenobarbital</w:t>
      </w:r>
      <w:proofErr w:type="spellEnd"/>
    </w:p>
    <w:p w14:paraId="2B6D0189" w14:textId="77777777" w:rsidR="00501C94" w:rsidRDefault="00501C94" w:rsidP="00501C94">
      <w:pPr>
        <w:tabs>
          <w:tab w:val="left" w:pos="0"/>
          <w:tab w:val="left" w:pos="851"/>
        </w:tabs>
        <w:ind w:left="851"/>
        <w:rPr>
          <w:spacing w:val="-3"/>
        </w:rPr>
      </w:pPr>
      <w:r>
        <w:rPr>
          <w:spacing w:val="-3"/>
        </w:rPr>
        <w:t xml:space="preserve">Mulig mekanisme: Øget </w:t>
      </w:r>
      <w:proofErr w:type="spellStart"/>
      <w:r>
        <w:rPr>
          <w:spacing w:val="-3"/>
        </w:rPr>
        <w:t>hepatisk</w:t>
      </w:r>
      <w:proofErr w:type="spellEnd"/>
      <w:r>
        <w:rPr>
          <w:spacing w:val="-3"/>
        </w:rPr>
        <w:t xml:space="preserve"> </w:t>
      </w:r>
      <w:proofErr w:type="spellStart"/>
      <w:r>
        <w:rPr>
          <w:spacing w:val="-3"/>
        </w:rPr>
        <w:t>metabolisering</w:t>
      </w:r>
      <w:proofErr w:type="spellEnd"/>
      <w:r>
        <w:rPr>
          <w:spacing w:val="-3"/>
        </w:rPr>
        <w:t xml:space="preserve"> af </w:t>
      </w:r>
      <w:proofErr w:type="spellStart"/>
      <w:r>
        <w:rPr>
          <w:spacing w:val="-3"/>
        </w:rPr>
        <w:t>metronidazol</w:t>
      </w:r>
      <w:proofErr w:type="spellEnd"/>
      <w:r>
        <w:rPr>
          <w:spacing w:val="-3"/>
        </w:rPr>
        <w:t>.</w:t>
      </w:r>
    </w:p>
    <w:p w14:paraId="0FE0B6D2" w14:textId="77777777" w:rsidR="00501C94" w:rsidRDefault="00501C94" w:rsidP="00501C94">
      <w:pPr>
        <w:ind w:left="851"/>
        <w:rPr>
          <w:spacing w:val="-3"/>
        </w:rPr>
      </w:pPr>
      <w:r>
        <w:rPr>
          <w:spacing w:val="-3"/>
        </w:rPr>
        <w:t xml:space="preserve">Effekt: Nedsat plasmakoncentration af </w:t>
      </w:r>
      <w:proofErr w:type="spellStart"/>
      <w:r>
        <w:rPr>
          <w:spacing w:val="-3"/>
        </w:rPr>
        <w:t>metronidazol</w:t>
      </w:r>
      <w:proofErr w:type="spellEnd"/>
      <w:r>
        <w:rPr>
          <w:spacing w:val="-3"/>
        </w:rPr>
        <w:t>.</w:t>
      </w:r>
    </w:p>
    <w:p w14:paraId="3AD245CB" w14:textId="77777777" w:rsidR="00501C94" w:rsidRDefault="00501C94" w:rsidP="00501C94">
      <w:pPr>
        <w:tabs>
          <w:tab w:val="left" w:pos="0"/>
          <w:tab w:val="left" w:pos="851"/>
        </w:tabs>
        <w:ind w:left="851"/>
        <w:rPr>
          <w:spacing w:val="-3"/>
        </w:rPr>
      </w:pPr>
    </w:p>
    <w:p w14:paraId="2FCC5CBB" w14:textId="77777777" w:rsidR="00501C94" w:rsidRDefault="00501C94" w:rsidP="00501C94">
      <w:pPr>
        <w:tabs>
          <w:tab w:val="left" w:pos="0"/>
          <w:tab w:val="left" w:pos="851"/>
        </w:tabs>
        <w:ind w:left="851"/>
        <w:rPr>
          <w:spacing w:val="-3"/>
        </w:rPr>
      </w:pPr>
      <w:proofErr w:type="spellStart"/>
      <w:r>
        <w:rPr>
          <w:i/>
          <w:spacing w:val="-3"/>
        </w:rPr>
        <w:t>Phenytoin</w:t>
      </w:r>
      <w:proofErr w:type="spellEnd"/>
    </w:p>
    <w:p w14:paraId="4E0E3F8F" w14:textId="77777777" w:rsidR="00501C94" w:rsidRDefault="00501C94" w:rsidP="00501C94">
      <w:pPr>
        <w:tabs>
          <w:tab w:val="left" w:pos="0"/>
          <w:tab w:val="left" w:pos="851"/>
        </w:tabs>
        <w:ind w:left="851"/>
        <w:rPr>
          <w:spacing w:val="-3"/>
        </w:rPr>
      </w:pPr>
      <w:r>
        <w:rPr>
          <w:spacing w:val="-3"/>
        </w:rPr>
        <w:t xml:space="preserve">Mulig mekanisme: Hæmning af </w:t>
      </w:r>
      <w:proofErr w:type="spellStart"/>
      <w:r>
        <w:rPr>
          <w:spacing w:val="-3"/>
        </w:rPr>
        <w:t>phenytoinmetabolismen</w:t>
      </w:r>
      <w:proofErr w:type="spellEnd"/>
      <w:r>
        <w:rPr>
          <w:spacing w:val="-3"/>
        </w:rPr>
        <w:t xml:space="preserve"> eller </w:t>
      </w:r>
      <w:proofErr w:type="spellStart"/>
      <w:r>
        <w:rPr>
          <w:spacing w:val="-3"/>
        </w:rPr>
        <w:t>mikrosomal</w:t>
      </w:r>
      <w:proofErr w:type="spellEnd"/>
      <w:r>
        <w:rPr>
          <w:spacing w:val="-3"/>
        </w:rPr>
        <w:t xml:space="preserve"> induktion af </w:t>
      </w:r>
      <w:proofErr w:type="spellStart"/>
      <w:r>
        <w:rPr>
          <w:spacing w:val="-3"/>
        </w:rPr>
        <w:t>metronidazolmetabolismen</w:t>
      </w:r>
      <w:proofErr w:type="spellEnd"/>
      <w:r>
        <w:rPr>
          <w:spacing w:val="-3"/>
        </w:rPr>
        <w:t>.</w:t>
      </w:r>
    </w:p>
    <w:p w14:paraId="13A931AF" w14:textId="77777777" w:rsidR="00501C94" w:rsidRPr="00D21EAA" w:rsidRDefault="00501C94" w:rsidP="00501C94">
      <w:pPr>
        <w:tabs>
          <w:tab w:val="left" w:pos="0"/>
          <w:tab w:val="left" w:pos="851"/>
        </w:tabs>
        <w:ind w:left="851"/>
        <w:rPr>
          <w:spacing w:val="-3"/>
        </w:rPr>
      </w:pPr>
      <w:r>
        <w:rPr>
          <w:spacing w:val="-3"/>
        </w:rPr>
        <w:t xml:space="preserve">Effekt: Øget risiko for </w:t>
      </w:r>
      <w:proofErr w:type="spellStart"/>
      <w:r>
        <w:rPr>
          <w:spacing w:val="-3"/>
        </w:rPr>
        <w:t>phenytointoksicitet</w:t>
      </w:r>
      <w:proofErr w:type="spellEnd"/>
      <w:r>
        <w:rPr>
          <w:spacing w:val="-3"/>
        </w:rPr>
        <w:t xml:space="preserve"> eller nedsat plasmakoncentration af </w:t>
      </w:r>
      <w:proofErr w:type="spellStart"/>
      <w:r>
        <w:rPr>
          <w:spacing w:val="-3"/>
        </w:rPr>
        <w:t>metronidazol</w:t>
      </w:r>
      <w:proofErr w:type="spellEnd"/>
      <w:r>
        <w:rPr>
          <w:spacing w:val="-3"/>
        </w:rPr>
        <w:t>.</w:t>
      </w:r>
    </w:p>
    <w:p w14:paraId="5CE3CD28" w14:textId="77777777" w:rsidR="00501C94" w:rsidRDefault="00501C94" w:rsidP="00501C94">
      <w:pPr>
        <w:tabs>
          <w:tab w:val="left" w:pos="0"/>
          <w:tab w:val="left" w:pos="851"/>
        </w:tabs>
        <w:ind w:left="851"/>
        <w:rPr>
          <w:spacing w:val="-3"/>
        </w:rPr>
      </w:pPr>
    </w:p>
    <w:p w14:paraId="2A42556B" w14:textId="77777777" w:rsidR="00501C94" w:rsidRPr="00A117FE" w:rsidRDefault="00501C94" w:rsidP="00501C94">
      <w:pPr>
        <w:ind w:left="851"/>
        <w:rPr>
          <w:i/>
        </w:rPr>
      </w:pPr>
      <w:proofErr w:type="spellStart"/>
      <w:r w:rsidRPr="00A117FE">
        <w:rPr>
          <w:i/>
        </w:rPr>
        <w:t>Carbamazepin</w:t>
      </w:r>
      <w:proofErr w:type="spellEnd"/>
    </w:p>
    <w:p w14:paraId="4DD3B433" w14:textId="77777777" w:rsidR="00501C94" w:rsidRDefault="00501C94" w:rsidP="00501C94">
      <w:pPr>
        <w:tabs>
          <w:tab w:val="left" w:pos="0"/>
          <w:tab w:val="left" w:pos="851"/>
        </w:tabs>
        <w:ind w:left="851"/>
      </w:pPr>
      <w:r w:rsidRPr="006340D0">
        <w:t xml:space="preserve">Mulig mekanisme: </w:t>
      </w:r>
      <w:r>
        <w:t xml:space="preserve">Ukendt, men </w:t>
      </w:r>
      <w:proofErr w:type="spellStart"/>
      <w:r>
        <w:t>m</w:t>
      </w:r>
      <w:r w:rsidRPr="006340D0">
        <w:t>etronidazol</w:t>
      </w:r>
      <w:proofErr w:type="spellEnd"/>
      <w:r w:rsidRPr="006340D0">
        <w:t xml:space="preserve"> hæmmer </w:t>
      </w:r>
      <w:r>
        <w:t xml:space="preserve">muligvis </w:t>
      </w:r>
      <w:proofErr w:type="spellStart"/>
      <w:r w:rsidRPr="00664BED">
        <w:t>metabolisering</w:t>
      </w:r>
      <w:r>
        <w:t>en</w:t>
      </w:r>
      <w:proofErr w:type="spellEnd"/>
      <w:r w:rsidRPr="00664BED">
        <w:t xml:space="preserve"> </w:t>
      </w:r>
      <w:r w:rsidRPr="006340D0">
        <w:t xml:space="preserve">af </w:t>
      </w:r>
      <w:proofErr w:type="spellStart"/>
      <w:r>
        <w:t>carbamazepin</w:t>
      </w:r>
      <w:proofErr w:type="spellEnd"/>
      <w:r>
        <w:t>.</w:t>
      </w:r>
    </w:p>
    <w:p w14:paraId="4DB4E98F" w14:textId="77777777" w:rsidR="00501C94" w:rsidRDefault="00501C94" w:rsidP="00501C94">
      <w:pPr>
        <w:ind w:left="851"/>
      </w:pPr>
      <w:r w:rsidRPr="006340D0">
        <w:t xml:space="preserve">Effekt: </w:t>
      </w:r>
      <w:proofErr w:type="spellStart"/>
      <w:r w:rsidRPr="006340D0">
        <w:t>Metronidazol</w:t>
      </w:r>
      <w:proofErr w:type="spellEnd"/>
      <w:r w:rsidRPr="006340D0">
        <w:t xml:space="preserve"> kan øge serum</w:t>
      </w:r>
      <w:r>
        <w:t>koncentrationen</w:t>
      </w:r>
      <w:r w:rsidRPr="006340D0">
        <w:t xml:space="preserve"> af </w:t>
      </w:r>
      <w:proofErr w:type="spellStart"/>
      <w:r>
        <w:t>carbamazepin</w:t>
      </w:r>
      <w:proofErr w:type="spellEnd"/>
      <w:r w:rsidRPr="006340D0">
        <w:t xml:space="preserve"> og der</w:t>
      </w:r>
      <w:r>
        <w:t xml:space="preserve">ved øge risikoen for </w:t>
      </w:r>
      <w:proofErr w:type="spellStart"/>
      <w:r>
        <w:t>carbamazepin</w:t>
      </w:r>
      <w:r w:rsidRPr="006340D0">
        <w:t>toksicitet</w:t>
      </w:r>
      <w:proofErr w:type="spellEnd"/>
      <w:r>
        <w:t>.</w:t>
      </w:r>
    </w:p>
    <w:p w14:paraId="3070F568" w14:textId="77777777" w:rsidR="00B13FC9" w:rsidRDefault="00B13FC9" w:rsidP="00501C94">
      <w:pPr>
        <w:tabs>
          <w:tab w:val="left" w:pos="0"/>
          <w:tab w:val="left" w:pos="851"/>
        </w:tabs>
        <w:ind w:left="851"/>
        <w:rPr>
          <w:i/>
          <w:spacing w:val="-3"/>
        </w:rPr>
      </w:pPr>
    </w:p>
    <w:p w14:paraId="7883642E" w14:textId="77777777" w:rsidR="00501C94" w:rsidRPr="001053C9" w:rsidRDefault="00501C94" w:rsidP="00501C94">
      <w:pPr>
        <w:tabs>
          <w:tab w:val="left" w:pos="0"/>
          <w:tab w:val="left" w:pos="851"/>
        </w:tabs>
        <w:ind w:left="851"/>
        <w:rPr>
          <w:i/>
          <w:spacing w:val="-3"/>
        </w:rPr>
      </w:pPr>
      <w:proofErr w:type="spellStart"/>
      <w:r w:rsidRPr="001053C9">
        <w:rPr>
          <w:i/>
          <w:spacing w:val="-3"/>
        </w:rPr>
        <w:t>Ciclosporin</w:t>
      </w:r>
      <w:proofErr w:type="spellEnd"/>
    </w:p>
    <w:p w14:paraId="63A72AE6" w14:textId="77777777" w:rsidR="00501C94" w:rsidRDefault="00501C94" w:rsidP="00501C94">
      <w:pPr>
        <w:tabs>
          <w:tab w:val="left" w:pos="0"/>
          <w:tab w:val="left" w:pos="851"/>
        </w:tabs>
        <w:ind w:left="851"/>
        <w:rPr>
          <w:spacing w:val="-3"/>
          <w:szCs w:val="23"/>
        </w:rPr>
      </w:pPr>
      <w:r w:rsidRPr="007C4285">
        <w:rPr>
          <w:spacing w:val="-3"/>
          <w:szCs w:val="23"/>
        </w:rPr>
        <w:t xml:space="preserve">Mulig mekanisme: </w:t>
      </w:r>
      <w:proofErr w:type="spellStart"/>
      <w:r w:rsidRPr="007C4285">
        <w:rPr>
          <w:spacing w:val="-3"/>
          <w:szCs w:val="23"/>
        </w:rPr>
        <w:t>Metronidazol</w:t>
      </w:r>
      <w:proofErr w:type="spellEnd"/>
      <w:r w:rsidRPr="007C4285">
        <w:rPr>
          <w:spacing w:val="-3"/>
          <w:szCs w:val="23"/>
        </w:rPr>
        <w:t xml:space="preserve"> kan øge </w:t>
      </w:r>
      <w:r>
        <w:rPr>
          <w:spacing w:val="-3"/>
          <w:szCs w:val="23"/>
        </w:rPr>
        <w:t xml:space="preserve">serumkoncentrationen af </w:t>
      </w:r>
      <w:proofErr w:type="spellStart"/>
      <w:r w:rsidRPr="007C4285">
        <w:rPr>
          <w:spacing w:val="-3"/>
          <w:szCs w:val="23"/>
        </w:rPr>
        <w:t>ciclosporin</w:t>
      </w:r>
      <w:proofErr w:type="spellEnd"/>
      <w:r w:rsidRPr="007C4285">
        <w:rPr>
          <w:spacing w:val="-3"/>
          <w:szCs w:val="23"/>
        </w:rPr>
        <w:t>.</w:t>
      </w:r>
    </w:p>
    <w:p w14:paraId="1F25B2DE" w14:textId="77777777" w:rsidR="00501C94" w:rsidRDefault="00501C94" w:rsidP="00501C94">
      <w:pPr>
        <w:tabs>
          <w:tab w:val="left" w:pos="0"/>
          <w:tab w:val="left" w:pos="851"/>
        </w:tabs>
        <w:ind w:left="851"/>
        <w:rPr>
          <w:spacing w:val="-3"/>
          <w:szCs w:val="23"/>
        </w:rPr>
      </w:pPr>
      <w:r w:rsidRPr="007C4285">
        <w:rPr>
          <w:spacing w:val="-3"/>
          <w:szCs w:val="23"/>
        </w:rPr>
        <w:t>S</w:t>
      </w:r>
      <w:r>
        <w:rPr>
          <w:spacing w:val="-3"/>
          <w:szCs w:val="23"/>
        </w:rPr>
        <w:t>-</w:t>
      </w:r>
      <w:proofErr w:type="spellStart"/>
      <w:r w:rsidRPr="007C4285">
        <w:rPr>
          <w:spacing w:val="-3"/>
          <w:szCs w:val="23"/>
        </w:rPr>
        <w:t>ciclosporin</w:t>
      </w:r>
      <w:proofErr w:type="spellEnd"/>
      <w:r w:rsidRPr="007C4285">
        <w:rPr>
          <w:spacing w:val="-3"/>
          <w:szCs w:val="23"/>
        </w:rPr>
        <w:t xml:space="preserve"> </w:t>
      </w:r>
      <w:r>
        <w:rPr>
          <w:spacing w:val="-3"/>
          <w:szCs w:val="23"/>
        </w:rPr>
        <w:t>og S-</w:t>
      </w:r>
      <w:proofErr w:type="spellStart"/>
      <w:r>
        <w:rPr>
          <w:spacing w:val="-3"/>
          <w:szCs w:val="23"/>
        </w:rPr>
        <w:t>c</w:t>
      </w:r>
      <w:r w:rsidRPr="007C4285">
        <w:rPr>
          <w:spacing w:val="-3"/>
          <w:szCs w:val="23"/>
        </w:rPr>
        <w:t>reatinin</w:t>
      </w:r>
      <w:proofErr w:type="spellEnd"/>
      <w:r w:rsidRPr="007C4285">
        <w:rPr>
          <w:spacing w:val="-3"/>
          <w:szCs w:val="23"/>
        </w:rPr>
        <w:t xml:space="preserve"> bør kontrolleres hyppigt, når samtidig administration er nødvendig.</w:t>
      </w:r>
    </w:p>
    <w:p w14:paraId="044BA50D" w14:textId="77777777" w:rsidR="00501C94" w:rsidRDefault="00501C94" w:rsidP="00501C94">
      <w:pPr>
        <w:tabs>
          <w:tab w:val="left" w:pos="0"/>
          <w:tab w:val="left" w:pos="851"/>
        </w:tabs>
        <w:ind w:left="851"/>
        <w:rPr>
          <w:spacing w:val="-3"/>
        </w:rPr>
      </w:pPr>
    </w:p>
    <w:p w14:paraId="65079240" w14:textId="77777777" w:rsidR="00501C94" w:rsidRDefault="00501C94" w:rsidP="00501C94">
      <w:pPr>
        <w:tabs>
          <w:tab w:val="left" w:pos="0"/>
          <w:tab w:val="left" w:pos="851"/>
        </w:tabs>
        <w:ind w:left="851"/>
        <w:rPr>
          <w:i/>
          <w:spacing w:val="-3"/>
        </w:rPr>
      </w:pPr>
      <w:proofErr w:type="spellStart"/>
      <w:r>
        <w:rPr>
          <w:i/>
          <w:spacing w:val="-3"/>
        </w:rPr>
        <w:t>Fluorouracil</w:t>
      </w:r>
      <w:proofErr w:type="spellEnd"/>
    </w:p>
    <w:p w14:paraId="6E8299BB" w14:textId="77777777" w:rsidR="00501C94" w:rsidRDefault="00501C94" w:rsidP="00501C94">
      <w:pPr>
        <w:tabs>
          <w:tab w:val="left" w:pos="0"/>
          <w:tab w:val="left" w:pos="851"/>
        </w:tabs>
        <w:ind w:left="851"/>
        <w:rPr>
          <w:spacing w:val="-3"/>
        </w:rPr>
      </w:pPr>
      <w:r>
        <w:rPr>
          <w:spacing w:val="-3"/>
        </w:rPr>
        <w:t xml:space="preserve">Mulig mekanisme: Nedsat </w:t>
      </w:r>
      <w:proofErr w:type="spellStart"/>
      <w:r>
        <w:rPr>
          <w:spacing w:val="-3"/>
        </w:rPr>
        <w:t>clearance</w:t>
      </w:r>
      <w:proofErr w:type="spellEnd"/>
      <w:r>
        <w:rPr>
          <w:spacing w:val="-3"/>
        </w:rPr>
        <w:t xml:space="preserve"> af </w:t>
      </w:r>
      <w:proofErr w:type="spellStart"/>
      <w:r>
        <w:rPr>
          <w:spacing w:val="-3"/>
        </w:rPr>
        <w:t>fluorouracil</w:t>
      </w:r>
      <w:proofErr w:type="spellEnd"/>
      <w:r>
        <w:rPr>
          <w:spacing w:val="-3"/>
        </w:rPr>
        <w:t>.</w:t>
      </w:r>
    </w:p>
    <w:p w14:paraId="23509E23" w14:textId="77777777" w:rsidR="00501C94" w:rsidRDefault="00501C94" w:rsidP="00501C94">
      <w:pPr>
        <w:tabs>
          <w:tab w:val="left" w:pos="0"/>
          <w:tab w:val="left" w:pos="851"/>
        </w:tabs>
        <w:ind w:left="851"/>
        <w:rPr>
          <w:spacing w:val="-3"/>
        </w:rPr>
      </w:pPr>
      <w:r>
        <w:rPr>
          <w:spacing w:val="-3"/>
        </w:rPr>
        <w:t xml:space="preserve">Effekt: Forhøjede serumkoncentrationer af </w:t>
      </w:r>
      <w:proofErr w:type="spellStart"/>
      <w:r>
        <w:rPr>
          <w:spacing w:val="-3"/>
        </w:rPr>
        <w:t>fluorouracil</w:t>
      </w:r>
      <w:proofErr w:type="spellEnd"/>
      <w:r>
        <w:rPr>
          <w:spacing w:val="-3"/>
        </w:rPr>
        <w:t xml:space="preserve"> og øget risiko for </w:t>
      </w:r>
      <w:proofErr w:type="spellStart"/>
      <w:r>
        <w:rPr>
          <w:spacing w:val="-3"/>
        </w:rPr>
        <w:t>fluorouraciltoksicitet</w:t>
      </w:r>
      <w:proofErr w:type="spellEnd"/>
      <w:r>
        <w:rPr>
          <w:spacing w:val="-3"/>
        </w:rPr>
        <w:t xml:space="preserve"> (</w:t>
      </w:r>
      <w:proofErr w:type="spellStart"/>
      <w:r>
        <w:rPr>
          <w:spacing w:val="-3"/>
        </w:rPr>
        <w:t>granulocytopeni</w:t>
      </w:r>
      <w:proofErr w:type="spellEnd"/>
      <w:r>
        <w:rPr>
          <w:spacing w:val="-3"/>
        </w:rPr>
        <w:t xml:space="preserve">, anæmi, </w:t>
      </w:r>
      <w:proofErr w:type="spellStart"/>
      <w:r>
        <w:rPr>
          <w:spacing w:val="-3"/>
        </w:rPr>
        <w:t>trombocytopeni</w:t>
      </w:r>
      <w:proofErr w:type="spellEnd"/>
      <w:r>
        <w:rPr>
          <w:spacing w:val="-3"/>
        </w:rPr>
        <w:t xml:space="preserve">, </w:t>
      </w:r>
      <w:proofErr w:type="spellStart"/>
      <w:r>
        <w:rPr>
          <w:spacing w:val="-3"/>
        </w:rPr>
        <w:t>stomatit</w:t>
      </w:r>
      <w:proofErr w:type="spellEnd"/>
      <w:r>
        <w:rPr>
          <w:spacing w:val="-3"/>
        </w:rPr>
        <w:t>, opkastninger).</w:t>
      </w:r>
    </w:p>
    <w:p w14:paraId="66CF5A49" w14:textId="77777777" w:rsidR="00501C94" w:rsidRDefault="00501C94" w:rsidP="00501C94">
      <w:pPr>
        <w:tabs>
          <w:tab w:val="left" w:pos="0"/>
          <w:tab w:val="left" w:pos="851"/>
        </w:tabs>
        <w:ind w:left="851"/>
        <w:rPr>
          <w:spacing w:val="-3"/>
        </w:rPr>
      </w:pPr>
    </w:p>
    <w:p w14:paraId="3BC79DDA" w14:textId="77777777" w:rsidR="00501C94" w:rsidRDefault="00501C94" w:rsidP="00501C94">
      <w:pPr>
        <w:tabs>
          <w:tab w:val="left" w:pos="0"/>
          <w:tab w:val="left" w:pos="851"/>
        </w:tabs>
        <w:ind w:left="851"/>
        <w:rPr>
          <w:i/>
          <w:spacing w:val="-3"/>
        </w:rPr>
      </w:pPr>
      <w:proofErr w:type="spellStart"/>
      <w:r>
        <w:rPr>
          <w:i/>
          <w:spacing w:val="-3"/>
        </w:rPr>
        <w:t>Lithium</w:t>
      </w:r>
      <w:proofErr w:type="spellEnd"/>
    </w:p>
    <w:p w14:paraId="73FF8D48" w14:textId="77777777" w:rsidR="00501C94" w:rsidRDefault="00501C94" w:rsidP="00501C94">
      <w:pPr>
        <w:tabs>
          <w:tab w:val="left" w:pos="0"/>
          <w:tab w:val="left" w:pos="851"/>
        </w:tabs>
        <w:ind w:left="851"/>
        <w:rPr>
          <w:spacing w:val="-3"/>
        </w:rPr>
      </w:pPr>
      <w:r>
        <w:rPr>
          <w:spacing w:val="-3"/>
        </w:rPr>
        <w:t xml:space="preserve">Mulig mekanisme: Reduceret </w:t>
      </w:r>
      <w:proofErr w:type="spellStart"/>
      <w:r>
        <w:rPr>
          <w:spacing w:val="-3"/>
        </w:rPr>
        <w:t>renal</w:t>
      </w:r>
      <w:proofErr w:type="spellEnd"/>
      <w:r>
        <w:rPr>
          <w:spacing w:val="-3"/>
        </w:rPr>
        <w:t xml:space="preserve"> </w:t>
      </w:r>
      <w:proofErr w:type="spellStart"/>
      <w:r>
        <w:rPr>
          <w:spacing w:val="-3"/>
        </w:rPr>
        <w:t>clearance</w:t>
      </w:r>
      <w:proofErr w:type="spellEnd"/>
      <w:r>
        <w:rPr>
          <w:spacing w:val="-3"/>
        </w:rPr>
        <w:t xml:space="preserve"> af </w:t>
      </w:r>
      <w:proofErr w:type="spellStart"/>
      <w:r>
        <w:rPr>
          <w:spacing w:val="-3"/>
        </w:rPr>
        <w:t>lithium</w:t>
      </w:r>
      <w:proofErr w:type="spellEnd"/>
      <w:r>
        <w:rPr>
          <w:spacing w:val="-3"/>
        </w:rPr>
        <w:t>.</w:t>
      </w:r>
    </w:p>
    <w:p w14:paraId="2DDC023C" w14:textId="77777777" w:rsidR="00501C94" w:rsidRDefault="00501C94" w:rsidP="00501C94">
      <w:pPr>
        <w:tabs>
          <w:tab w:val="left" w:pos="0"/>
          <w:tab w:val="left" w:pos="851"/>
        </w:tabs>
        <w:ind w:left="851"/>
        <w:rPr>
          <w:spacing w:val="-3"/>
        </w:rPr>
      </w:pPr>
      <w:r>
        <w:rPr>
          <w:spacing w:val="-3"/>
        </w:rPr>
        <w:t xml:space="preserve">Effekt: Forhøjet plasmakoncentration af </w:t>
      </w:r>
      <w:proofErr w:type="spellStart"/>
      <w:r>
        <w:rPr>
          <w:spacing w:val="-3"/>
        </w:rPr>
        <w:t>lithium</w:t>
      </w:r>
      <w:proofErr w:type="spellEnd"/>
      <w:r>
        <w:rPr>
          <w:spacing w:val="-3"/>
        </w:rPr>
        <w:t xml:space="preserve"> og øget risiko for </w:t>
      </w:r>
      <w:proofErr w:type="spellStart"/>
      <w:r>
        <w:rPr>
          <w:spacing w:val="-3"/>
        </w:rPr>
        <w:t>lithiumtoksicitet</w:t>
      </w:r>
      <w:proofErr w:type="spellEnd"/>
      <w:r>
        <w:rPr>
          <w:spacing w:val="-3"/>
        </w:rPr>
        <w:t xml:space="preserve"> (svaghed, </w:t>
      </w:r>
      <w:proofErr w:type="spellStart"/>
      <w:r>
        <w:rPr>
          <w:spacing w:val="-3"/>
        </w:rPr>
        <w:t>tremor</w:t>
      </w:r>
      <w:proofErr w:type="spellEnd"/>
      <w:r>
        <w:rPr>
          <w:spacing w:val="-3"/>
        </w:rPr>
        <w:t>, udtalt tørst, konfusion).</w:t>
      </w:r>
    </w:p>
    <w:p w14:paraId="6C4E9408" w14:textId="77777777" w:rsidR="00501C94" w:rsidRDefault="00501C94" w:rsidP="00501C94">
      <w:pPr>
        <w:tabs>
          <w:tab w:val="left" w:pos="0"/>
          <w:tab w:val="left" w:pos="851"/>
        </w:tabs>
        <w:ind w:left="851"/>
        <w:rPr>
          <w:spacing w:val="-3"/>
        </w:rPr>
      </w:pPr>
      <w:r>
        <w:rPr>
          <w:spacing w:val="-3"/>
        </w:rPr>
        <w:t>Forholdsregler, se pkt. 4.4.</w:t>
      </w:r>
    </w:p>
    <w:p w14:paraId="1D91E7C0" w14:textId="77777777" w:rsidR="00501C94" w:rsidRDefault="00501C94" w:rsidP="00501C94">
      <w:pPr>
        <w:tabs>
          <w:tab w:val="left" w:pos="0"/>
          <w:tab w:val="left" w:pos="851"/>
        </w:tabs>
        <w:ind w:left="851"/>
        <w:rPr>
          <w:b/>
          <w:spacing w:val="-3"/>
        </w:rPr>
      </w:pPr>
    </w:p>
    <w:p w14:paraId="01747982" w14:textId="77777777" w:rsidR="00501C94" w:rsidRDefault="00501C94" w:rsidP="00501C94">
      <w:pPr>
        <w:tabs>
          <w:tab w:val="left" w:pos="0"/>
          <w:tab w:val="left" w:pos="851"/>
        </w:tabs>
        <w:ind w:left="851"/>
        <w:rPr>
          <w:i/>
          <w:spacing w:val="-3"/>
        </w:rPr>
      </w:pPr>
      <w:proofErr w:type="spellStart"/>
      <w:r>
        <w:rPr>
          <w:i/>
          <w:spacing w:val="-3"/>
        </w:rPr>
        <w:t>Sekalealkaloider</w:t>
      </w:r>
      <w:proofErr w:type="spellEnd"/>
      <w:r>
        <w:rPr>
          <w:i/>
          <w:spacing w:val="-3"/>
        </w:rPr>
        <w:t xml:space="preserve"> (f.eks. </w:t>
      </w:r>
      <w:proofErr w:type="spellStart"/>
      <w:r>
        <w:rPr>
          <w:i/>
          <w:spacing w:val="-3"/>
        </w:rPr>
        <w:t>ergotamin</w:t>
      </w:r>
      <w:proofErr w:type="spellEnd"/>
      <w:r>
        <w:rPr>
          <w:i/>
          <w:spacing w:val="-3"/>
        </w:rPr>
        <w:t>)</w:t>
      </w:r>
    </w:p>
    <w:p w14:paraId="6C663203" w14:textId="77777777" w:rsidR="00501C94" w:rsidRDefault="00501C94" w:rsidP="00501C94">
      <w:pPr>
        <w:tabs>
          <w:tab w:val="left" w:pos="0"/>
          <w:tab w:val="left" w:pos="851"/>
        </w:tabs>
        <w:ind w:left="851"/>
        <w:rPr>
          <w:spacing w:val="-3"/>
        </w:rPr>
      </w:pPr>
      <w:r>
        <w:rPr>
          <w:spacing w:val="-3"/>
        </w:rPr>
        <w:lastRenderedPageBreak/>
        <w:t xml:space="preserve">Mulig mekanisme: </w:t>
      </w:r>
      <w:proofErr w:type="spellStart"/>
      <w:r>
        <w:rPr>
          <w:spacing w:val="-3"/>
        </w:rPr>
        <w:t>Metronidazol</w:t>
      </w:r>
      <w:proofErr w:type="spellEnd"/>
      <w:r>
        <w:rPr>
          <w:spacing w:val="-3"/>
        </w:rPr>
        <w:t xml:space="preserve"> hæmmer </w:t>
      </w:r>
      <w:proofErr w:type="spellStart"/>
      <w:r>
        <w:rPr>
          <w:spacing w:val="-3"/>
        </w:rPr>
        <w:t>cytochrom</w:t>
      </w:r>
      <w:proofErr w:type="spellEnd"/>
      <w:r>
        <w:rPr>
          <w:spacing w:val="-3"/>
        </w:rPr>
        <w:t xml:space="preserve"> P450 3A4 og derved </w:t>
      </w:r>
      <w:proofErr w:type="spellStart"/>
      <w:r>
        <w:rPr>
          <w:spacing w:val="-3"/>
        </w:rPr>
        <w:t>metaboliseringen</w:t>
      </w:r>
      <w:proofErr w:type="spellEnd"/>
      <w:r>
        <w:rPr>
          <w:spacing w:val="-3"/>
        </w:rPr>
        <w:t xml:space="preserve"> af </w:t>
      </w:r>
      <w:proofErr w:type="spellStart"/>
      <w:r>
        <w:rPr>
          <w:spacing w:val="-3"/>
        </w:rPr>
        <w:t>sekalealkaloider</w:t>
      </w:r>
      <w:proofErr w:type="spellEnd"/>
      <w:r>
        <w:rPr>
          <w:spacing w:val="-3"/>
        </w:rPr>
        <w:t>.</w:t>
      </w:r>
    </w:p>
    <w:p w14:paraId="2799895D" w14:textId="77777777" w:rsidR="00501C94" w:rsidRDefault="00501C94" w:rsidP="00501C94">
      <w:pPr>
        <w:tabs>
          <w:tab w:val="left" w:pos="0"/>
          <w:tab w:val="left" w:pos="851"/>
        </w:tabs>
        <w:ind w:left="851"/>
        <w:rPr>
          <w:spacing w:val="-3"/>
        </w:rPr>
      </w:pPr>
      <w:r>
        <w:rPr>
          <w:spacing w:val="-3"/>
        </w:rPr>
        <w:t xml:space="preserve">Effekt: Øget risiko for </w:t>
      </w:r>
      <w:proofErr w:type="spellStart"/>
      <w:r>
        <w:rPr>
          <w:spacing w:val="-3"/>
        </w:rPr>
        <w:t>ergotisme</w:t>
      </w:r>
      <w:proofErr w:type="spellEnd"/>
      <w:r>
        <w:rPr>
          <w:spacing w:val="-3"/>
        </w:rPr>
        <w:t xml:space="preserve"> (kvalme, opkastninger, </w:t>
      </w:r>
      <w:proofErr w:type="spellStart"/>
      <w:r>
        <w:rPr>
          <w:spacing w:val="-3"/>
        </w:rPr>
        <w:t>vasospastisk</w:t>
      </w:r>
      <w:proofErr w:type="spellEnd"/>
      <w:r>
        <w:rPr>
          <w:spacing w:val="-3"/>
        </w:rPr>
        <w:t xml:space="preserve"> iskæmi).</w:t>
      </w:r>
    </w:p>
    <w:p w14:paraId="483785EF" w14:textId="77777777" w:rsidR="00501C94" w:rsidRDefault="00501C94" w:rsidP="00501C94">
      <w:pPr>
        <w:tabs>
          <w:tab w:val="left" w:pos="0"/>
          <w:tab w:val="left" w:pos="851"/>
        </w:tabs>
        <w:ind w:left="851"/>
        <w:rPr>
          <w:spacing w:val="-3"/>
        </w:rPr>
      </w:pPr>
    </w:p>
    <w:p w14:paraId="1519F0CD" w14:textId="77777777" w:rsidR="00501C94" w:rsidRPr="001053C9" w:rsidRDefault="00501C94" w:rsidP="00501C94">
      <w:pPr>
        <w:tabs>
          <w:tab w:val="left" w:pos="0"/>
          <w:tab w:val="left" w:pos="851"/>
        </w:tabs>
        <w:ind w:left="851"/>
        <w:rPr>
          <w:i/>
          <w:spacing w:val="-3"/>
        </w:rPr>
      </w:pPr>
      <w:proofErr w:type="spellStart"/>
      <w:r w:rsidRPr="001053C9">
        <w:rPr>
          <w:i/>
          <w:spacing w:val="-3"/>
        </w:rPr>
        <w:t>Tacrolimus</w:t>
      </w:r>
      <w:proofErr w:type="spellEnd"/>
    </w:p>
    <w:p w14:paraId="1F37AD2F" w14:textId="77777777" w:rsidR="00501C94" w:rsidRDefault="00501C94" w:rsidP="00501C94">
      <w:pPr>
        <w:tabs>
          <w:tab w:val="left" w:pos="0"/>
          <w:tab w:val="left" w:pos="851"/>
        </w:tabs>
        <w:ind w:left="851"/>
      </w:pPr>
      <w:r w:rsidRPr="006340D0">
        <w:t xml:space="preserve">Mulig mekanisme: </w:t>
      </w:r>
      <w:proofErr w:type="spellStart"/>
      <w:r w:rsidRPr="006340D0">
        <w:t>Metronidazol</w:t>
      </w:r>
      <w:proofErr w:type="spellEnd"/>
      <w:r w:rsidRPr="006340D0">
        <w:t xml:space="preserve"> hæmmer </w:t>
      </w:r>
      <w:proofErr w:type="spellStart"/>
      <w:r w:rsidRPr="00664BED">
        <w:t>metabolisering</w:t>
      </w:r>
      <w:proofErr w:type="spellEnd"/>
      <w:r w:rsidRPr="00664BED">
        <w:t xml:space="preserve"> og udskillelse</w:t>
      </w:r>
      <w:r w:rsidRPr="006340D0">
        <w:t xml:space="preserve"> af </w:t>
      </w:r>
      <w:proofErr w:type="spellStart"/>
      <w:r w:rsidRPr="006340D0">
        <w:t>tacrolimus</w:t>
      </w:r>
      <w:proofErr w:type="spellEnd"/>
      <w:r>
        <w:t>.</w:t>
      </w:r>
    </w:p>
    <w:p w14:paraId="35FBAD35" w14:textId="77777777" w:rsidR="00501C94" w:rsidRDefault="00501C94" w:rsidP="00501C94">
      <w:pPr>
        <w:tabs>
          <w:tab w:val="left" w:pos="0"/>
        </w:tabs>
        <w:ind w:left="851"/>
      </w:pPr>
      <w:r w:rsidRPr="006340D0">
        <w:t xml:space="preserve">Effekt: </w:t>
      </w:r>
      <w:proofErr w:type="spellStart"/>
      <w:r w:rsidRPr="006340D0">
        <w:t>Metronidazol</w:t>
      </w:r>
      <w:proofErr w:type="spellEnd"/>
      <w:r w:rsidRPr="006340D0">
        <w:t xml:space="preserve"> kan øge serum</w:t>
      </w:r>
      <w:r>
        <w:t>koncentrationen</w:t>
      </w:r>
      <w:r w:rsidRPr="006340D0">
        <w:t xml:space="preserve"> af </w:t>
      </w:r>
      <w:proofErr w:type="spellStart"/>
      <w:r w:rsidRPr="006340D0">
        <w:t>tacrolimus</w:t>
      </w:r>
      <w:proofErr w:type="spellEnd"/>
      <w:r w:rsidRPr="006340D0">
        <w:t xml:space="preserve"> og der</w:t>
      </w:r>
      <w:r>
        <w:t xml:space="preserve">ved øge risikoen for </w:t>
      </w:r>
      <w:proofErr w:type="spellStart"/>
      <w:r>
        <w:t>tacrolimus</w:t>
      </w:r>
      <w:r w:rsidRPr="006340D0">
        <w:t>toksicitet</w:t>
      </w:r>
      <w:proofErr w:type="spellEnd"/>
      <w:r w:rsidRPr="006340D0">
        <w:t xml:space="preserve"> (nyretoksicitet, </w:t>
      </w:r>
      <w:proofErr w:type="spellStart"/>
      <w:r w:rsidRPr="006340D0">
        <w:t>hyperglykæmi</w:t>
      </w:r>
      <w:proofErr w:type="spellEnd"/>
      <w:r w:rsidRPr="006340D0">
        <w:t xml:space="preserve">, </w:t>
      </w:r>
      <w:proofErr w:type="spellStart"/>
      <w:r w:rsidRPr="006340D0">
        <w:t>hyperkaliæmi</w:t>
      </w:r>
      <w:proofErr w:type="spellEnd"/>
      <w:r w:rsidRPr="006340D0">
        <w:t>).</w:t>
      </w:r>
    </w:p>
    <w:p w14:paraId="13308886" w14:textId="77777777" w:rsidR="00501C94" w:rsidRDefault="00501C94" w:rsidP="00501C94">
      <w:pPr>
        <w:tabs>
          <w:tab w:val="left" w:pos="0"/>
          <w:tab w:val="left" w:pos="851"/>
        </w:tabs>
        <w:ind w:left="851"/>
        <w:rPr>
          <w:spacing w:val="-3"/>
        </w:rPr>
      </w:pPr>
    </w:p>
    <w:p w14:paraId="47F22DFB" w14:textId="77777777" w:rsidR="00501C94" w:rsidRPr="001053C9" w:rsidRDefault="00501C94" w:rsidP="00501C94">
      <w:pPr>
        <w:tabs>
          <w:tab w:val="left" w:pos="0"/>
          <w:tab w:val="left" w:pos="851"/>
        </w:tabs>
        <w:ind w:left="851"/>
        <w:rPr>
          <w:i/>
          <w:spacing w:val="-3"/>
        </w:rPr>
      </w:pPr>
      <w:proofErr w:type="spellStart"/>
      <w:r w:rsidRPr="001053C9">
        <w:rPr>
          <w:i/>
          <w:spacing w:val="-3"/>
        </w:rPr>
        <w:t>Vecuronium</w:t>
      </w:r>
      <w:proofErr w:type="spellEnd"/>
    </w:p>
    <w:p w14:paraId="30DAE3F4" w14:textId="77777777" w:rsidR="00501C94" w:rsidRDefault="00501C94" w:rsidP="00501C94">
      <w:pPr>
        <w:ind w:left="851"/>
      </w:pPr>
      <w:r w:rsidRPr="006340D0">
        <w:t xml:space="preserve">Effekt: </w:t>
      </w:r>
      <w:proofErr w:type="spellStart"/>
      <w:r w:rsidRPr="006340D0">
        <w:t>Metronidazol</w:t>
      </w:r>
      <w:proofErr w:type="spellEnd"/>
      <w:r w:rsidRPr="006340D0">
        <w:t xml:space="preserve"> kan forstærke effekten af </w:t>
      </w:r>
      <w:proofErr w:type="spellStart"/>
      <w:r w:rsidRPr="006340D0">
        <w:t>vecuronium</w:t>
      </w:r>
      <w:proofErr w:type="spellEnd"/>
      <w:r w:rsidRPr="006340D0">
        <w:t>.</w:t>
      </w:r>
    </w:p>
    <w:p w14:paraId="5867E573" w14:textId="77777777" w:rsidR="00501C94" w:rsidRDefault="00501C94" w:rsidP="00501C94">
      <w:pPr>
        <w:ind w:left="851"/>
      </w:pPr>
    </w:p>
    <w:p w14:paraId="24DA5681" w14:textId="77777777" w:rsidR="00501C94" w:rsidRDefault="00501C94" w:rsidP="00501C94">
      <w:pPr>
        <w:tabs>
          <w:tab w:val="left" w:pos="0"/>
          <w:tab w:val="left" w:pos="851"/>
        </w:tabs>
        <w:ind w:left="851"/>
        <w:rPr>
          <w:i/>
          <w:spacing w:val="-3"/>
        </w:rPr>
      </w:pPr>
      <w:proofErr w:type="spellStart"/>
      <w:r>
        <w:rPr>
          <w:i/>
          <w:spacing w:val="-3"/>
        </w:rPr>
        <w:t>Warfarin</w:t>
      </w:r>
      <w:proofErr w:type="spellEnd"/>
    </w:p>
    <w:p w14:paraId="673551A7" w14:textId="77777777" w:rsidR="00501C94" w:rsidRDefault="00501C94" w:rsidP="00501C94">
      <w:pPr>
        <w:tabs>
          <w:tab w:val="left" w:pos="0"/>
          <w:tab w:val="left" w:pos="851"/>
        </w:tabs>
        <w:ind w:left="851"/>
        <w:rPr>
          <w:spacing w:val="-3"/>
        </w:rPr>
      </w:pPr>
      <w:r>
        <w:rPr>
          <w:spacing w:val="-3"/>
        </w:rPr>
        <w:t xml:space="preserve">Mulig mekanisme: </w:t>
      </w:r>
      <w:proofErr w:type="spellStart"/>
      <w:r>
        <w:rPr>
          <w:spacing w:val="-3"/>
        </w:rPr>
        <w:t>Metronidazol</w:t>
      </w:r>
      <w:proofErr w:type="spellEnd"/>
      <w:r>
        <w:rPr>
          <w:spacing w:val="-3"/>
        </w:rPr>
        <w:t xml:space="preserve"> hæmmer </w:t>
      </w:r>
      <w:proofErr w:type="spellStart"/>
      <w:r>
        <w:rPr>
          <w:spacing w:val="-3"/>
        </w:rPr>
        <w:t>metaboliseringen</w:t>
      </w:r>
      <w:proofErr w:type="spellEnd"/>
      <w:r>
        <w:rPr>
          <w:spacing w:val="-3"/>
        </w:rPr>
        <w:t xml:space="preserve"> af </w:t>
      </w:r>
      <w:proofErr w:type="spellStart"/>
      <w:r>
        <w:rPr>
          <w:spacing w:val="-3"/>
        </w:rPr>
        <w:t>warfarin</w:t>
      </w:r>
      <w:proofErr w:type="spellEnd"/>
      <w:r>
        <w:rPr>
          <w:spacing w:val="-3"/>
        </w:rPr>
        <w:t>.</w:t>
      </w:r>
    </w:p>
    <w:p w14:paraId="038A55C1" w14:textId="77777777" w:rsidR="00501C94" w:rsidRDefault="00501C94" w:rsidP="00501C94">
      <w:pPr>
        <w:tabs>
          <w:tab w:val="left" w:pos="0"/>
          <w:tab w:val="left" w:pos="851"/>
        </w:tabs>
        <w:ind w:left="851"/>
        <w:rPr>
          <w:spacing w:val="-3"/>
        </w:rPr>
      </w:pPr>
      <w:r>
        <w:rPr>
          <w:spacing w:val="-3"/>
        </w:rPr>
        <w:t xml:space="preserve">Effekt: Øget effekt af </w:t>
      </w:r>
      <w:proofErr w:type="spellStart"/>
      <w:r>
        <w:rPr>
          <w:spacing w:val="-3"/>
        </w:rPr>
        <w:t>warfarin</w:t>
      </w:r>
      <w:proofErr w:type="spellEnd"/>
      <w:r>
        <w:rPr>
          <w:spacing w:val="-3"/>
        </w:rPr>
        <w:t xml:space="preserve"> og derved øget blødningsrisiko.</w:t>
      </w:r>
    </w:p>
    <w:p w14:paraId="6D0877AC" w14:textId="77777777" w:rsidR="00501C94" w:rsidRPr="003F181A" w:rsidRDefault="00501C94" w:rsidP="00501C94">
      <w:pPr>
        <w:tabs>
          <w:tab w:val="left" w:pos="0"/>
          <w:tab w:val="left" w:pos="851"/>
        </w:tabs>
        <w:ind w:left="851"/>
        <w:rPr>
          <w:i/>
          <w:spacing w:val="-3"/>
        </w:rPr>
      </w:pPr>
      <w:r>
        <w:rPr>
          <w:spacing w:val="-3"/>
        </w:rPr>
        <w:t xml:space="preserve">Ved samtidig behandling bør </w:t>
      </w:r>
      <w:proofErr w:type="spellStart"/>
      <w:r>
        <w:rPr>
          <w:spacing w:val="-3"/>
        </w:rPr>
        <w:t>protrombintiden</w:t>
      </w:r>
      <w:proofErr w:type="spellEnd"/>
      <w:r>
        <w:rPr>
          <w:spacing w:val="-3"/>
        </w:rPr>
        <w:t xml:space="preserve"> kontrolleres hyppigt og </w:t>
      </w:r>
      <w:proofErr w:type="spellStart"/>
      <w:r>
        <w:rPr>
          <w:spacing w:val="-3"/>
        </w:rPr>
        <w:t>warfarindosis</w:t>
      </w:r>
      <w:proofErr w:type="spellEnd"/>
      <w:r>
        <w:rPr>
          <w:spacing w:val="-3"/>
        </w:rPr>
        <w:t xml:space="preserve"> evt. justeres.</w:t>
      </w:r>
    </w:p>
    <w:p w14:paraId="78E3E1EA" w14:textId="77777777" w:rsidR="00925A84" w:rsidRDefault="00925A84" w:rsidP="00501C94">
      <w:pPr>
        <w:ind w:left="851"/>
        <w:rPr>
          <w:i/>
        </w:rPr>
      </w:pPr>
    </w:p>
    <w:p w14:paraId="595EC584" w14:textId="77777777" w:rsidR="00501C94" w:rsidRPr="002C449A" w:rsidRDefault="00501C94" w:rsidP="00501C94">
      <w:pPr>
        <w:ind w:left="851"/>
        <w:rPr>
          <w:i/>
        </w:rPr>
      </w:pPr>
      <w:r w:rsidRPr="002C449A">
        <w:rPr>
          <w:i/>
        </w:rPr>
        <w:t>Laboratorieundersøgelser</w:t>
      </w:r>
    </w:p>
    <w:p w14:paraId="23CC4E5E" w14:textId="77777777" w:rsidR="00501C94" w:rsidRDefault="00501C94" w:rsidP="00501C94">
      <w:pPr>
        <w:tabs>
          <w:tab w:val="left" w:pos="0"/>
          <w:tab w:val="left" w:pos="851"/>
        </w:tabs>
        <w:ind w:left="851"/>
      </w:pPr>
      <w:proofErr w:type="spellStart"/>
      <w:r w:rsidRPr="00A117FE">
        <w:t>Metronidazol</w:t>
      </w:r>
      <w:proofErr w:type="spellEnd"/>
      <w:r w:rsidRPr="00A117FE">
        <w:t xml:space="preserve"> kan påvirke visse analyser af</w:t>
      </w:r>
      <w:r>
        <w:t xml:space="preserve"> </w:t>
      </w:r>
      <w:r w:rsidRPr="00A117FE">
        <w:t xml:space="preserve">blodprøver som </w:t>
      </w:r>
      <w:proofErr w:type="spellStart"/>
      <w:r w:rsidRPr="00A117FE">
        <w:t>aspartataminotransferase</w:t>
      </w:r>
      <w:proofErr w:type="spellEnd"/>
      <w:r w:rsidRPr="00A117FE">
        <w:t xml:space="preserve"> (ASAT), </w:t>
      </w:r>
      <w:proofErr w:type="spellStart"/>
      <w:r w:rsidRPr="00A117FE">
        <w:t>alaninaminotransferase</w:t>
      </w:r>
      <w:proofErr w:type="spellEnd"/>
      <w:r w:rsidRPr="00A117FE">
        <w:t xml:space="preserve"> (ALAT), </w:t>
      </w:r>
      <w:proofErr w:type="spellStart"/>
      <w:r w:rsidRPr="00A117FE">
        <w:t>laktatdehydrogenase</w:t>
      </w:r>
      <w:proofErr w:type="spellEnd"/>
      <w:r w:rsidRPr="00A117FE">
        <w:t xml:space="preserve"> (LDH), triglycerider og </w:t>
      </w:r>
      <w:proofErr w:type="spellStart"/>
      <w:r w:rsidRPr="00A117FE">
        <w:t>hexokinaseglucose</w:t>
      </w:r>
      <w:proofErr w:type="spellEnd"/>
      <w:r w:rsidRPr="00A117FE">
        <w:t>. Værdier på nul kan forekomme.</w:t>
      </w:r>
    </w:p>
    <w:p w14:paraId="6FE737D3" w14:textId="77777777" w:rsidR="007B0E6B" w:rsidRDefault="007B0E6B" w:rsidP="00501C94">
      <w:pPr>
        <w:tabs>
          <w:tab w:val="left" w:pos="0"/>
          <w:tab w:val="left" w:pos="851"/>
        </w:tabs>
        <w:ind w:left="851"/>
        <w:rPr>
          <w:spacing w:val="-3"/>
        </w:rPr>
      </w:pPr>
    </w:p>
    <w:p w14:paraId="14558507" w14:textId="77777777" w:rsidR="007B0E6B" w:rsidRDefault="007B0E6B" w:rsidP="00501C94">
      <w:pPr>
        <w:tabs>
          <w:tab w:val="left" w:pos="0"/>
          <w:tab w:val="left" w:pos="851"/>
        </w:tabs>
        <w:ind w:left="851"/>
        <w:rPr>
          <w:spacing w:val="-3"/>
        </w:rPr>
      </w:pPr>
      <w:r>
        <w:rPr>
          <w:i/>
          <w:spacing w:val="-3"/>
        </w:rPr>
        <w:t>Lægemidler der forlænger QT intervallet</w:t>
      </w:r>
    </w:p>
    <w:p w14:paraId="2FDD1C42" w14:textId="77777777" w:rsidR="007B0E6B" w:rsidRPr="007B0E6B" w:rsidRDefault="007B0E6B" w:rsidP="00501C94">
      <w:pPr>
        <w:tabs>
          <w:tab w:val="left" w:pos="0"/>
          <w:tab w:val="left" w:pos="851"/>
        </w:tabs>
        <w:ind w:left="851"/>
        <w:rPr>
          <w:spacing w:val="-3"/>
        </w:rPr>
      </w:pPr>
      <w:r>
        <w:rPr>
          <w:spacing w:val="-3"/>
        </w:rPr>
        <w:t xml:space="preserve">Der er rapporteret tilfælde af QT-forlængelse, især når </w:t>
      </w:r>
      <w:proofErr w:type="spellStart"/>
      <w:r>
        <w:rPr>
          <w:spacing w:val="-3"/>
        </w:rPr>
        <w:t>metronidazol</w:t>
      </w:r>
      <w:proofErr w:type="spellEnd"/>
      <w:r>
        <w:rPr>
          <w:spacing w:val="-3"/>
        </w:rPr>
        <w:t xml:space="preserve"> blev administreret samtidig med lægemidler, der har potentiale for at forlænge QT intervallet. </w:t>
      </w:r>
    </w:p>
    <w:p w14:paraId="5091EB17" w14:textId="77777777" w:rsidR="00501C94" w:rsidRDefault="00501C94" w:rsidP="007B0E6B">
      <w:pPr>
        <w:tabs>
          <w:tab w:val="left" w:pos="0"/>
          <w:tab w:val="left" w:pos="851"/>
        </w:tabs>
        <w:jc w:val="both"/>
        <w:rPr>
          <w:spacing w:val="-3"/>
        </w:rPr>
      </w:pPr>
    </w:p>
    <w:p w14:paraId="08F4A667" w14:textId="77777777" w:rsidR="007B0E6B" w:rsidRPr="007B0E6B" w:rsidRDefault="007B0E6B" w:rsidP="007B0E6B">
      <w:pPr>
        <w:tabs>
          <w:tab w:val="left" w:pos="0"/>
          <w:tab w:val="left" w:pos="851"/>
        </w:tabs>
        <w:jc w:val="both"/>
        <w:rPr>
          <w:spacing w:val="-3"/>
        </w:rPr>
      </w:pPr>
    </w:p>
    <w:p w14:paraId="2CA0771D" w14:textId="77777777" w:rsidR="00501C94" w:rsidRDefault="00501C94" w:rsidP="00501C94">
      <w:pPr>
        <w:tabs>
          <w:tab w:val="left" w:pos="0"/>
          <w:tab w:val="left" w:pos="851"/>
        </w:tabs>
        <w:ind w:left="850" w:hanging="850"/>
        <w:jc w:val="both"/>
        <w:rPr>
          <w:b/>
          <w:bCs/>
          <w:spacing w:val="-3"/>
        </w:rPr>
      </w:pPr>
      <w:r>
        <w:rPr>
          <w:b/>
          <w:bCs/>
          <w:spacing w:val="-3"/>
        </w:rPr>
        <w:t>4.6</w:t>
      </w:r>
      <w:r>
        <w:rPr>
          <w:b/>
          <w:bCs/>
          <w:spacing w:val="-3"/>
        </w:rPr>
        <w:tab/>
        <w:t>Graviditet og amning</w:t>
      </w:r>
    </w:p>
    <w:p w14:paraId="23066822" w14:textId="77777777" w:rsidR="00501C94" w:rsidRPr="00507732" w:rsidRDefault="00501C94" w:rsidP="00501C94">
      <w:pPr>
        <w:tabs>
          <w:tab w:val="left" w:pos="709"/>
          <w:tab w:val="left" w:pos="851"/>
          <w:tab w:val="left" w:pos="1985"/>
        </w:tabs>
        <w:ind w:left="851"/>
        <w:rPr>
          <w:i/>
          <w:spacing w:val="-3"/>
        </w:rPr>
      </w:pPr>
      <w:r w:rsidRPr="00507732">
        <w:rPr>
          <w:i/>
          <w:spacing w:val="-3"/>
        </w:rPr>
        <w:t>Graviditet</w:t>
      </w:r>
    </w:p>
    <w:p w14:paraId="67FF58E6" w14:textId="1C072546" w:rsidR="00501C94" w:rsidRDefault="00AE73F1" w:rsidP="00501C94">
      <w:pPr>
        <w:tabs>
          <w:tab w:val="left" w:pos="709"/>
          <w:tab w:val="left" w:pos="851"/>
          <w:tab w:val="left" w:pos="1985"/>
        </w:tabs>
        <w:ind w:left="851"/>
        <w:rPr>
          <w:spacing w:val="-3"/>
        </w:rPr>
      </w:pPr>
      <w:proofErr w:type="spellStart"/>
      <w:r w:rsidRPr="00AE73F1">
        <w:rPr>
          <w:spacing w:val="-3"/>
        </w:rPr>
        <w:t>Metronidazol</w:t>
      </w:r>
      <w:proofErr w:type="spellEnd"/>
      <w:r w:rsidRPr="00AE73F1">
        <w:rPr>
          <w:spacing w:val="-3"/>
        </w:rPr>
        <w:t xml:space="preserve"> bør kun anvendes under graviditet efter omhyggelig evaluering</w:t>
      </w:r>
      <w:r w:rsidR="008D18BC">
        <w:rPr>
          <w:spacing w:val="-3"/>
        </w:rPr>
        <w:t>,</w:t>
      </w:r>
      <w:r w:rsidRPr="00AE73F1">
        <w:rPr>
          <w:spacing w:val="-3"/>
        </w:rPr>
        <w:t xml:space="preserve"> og kun hvis lægen anser det for </w:t>
      </w:r>
      <w:proofErr w:type="spellStart"/>
      <w:proofErr w:type="gramStart"/>
      <w:r w:rsidRPr="00AE73F1">
        <w:rPr>
          <w:spacing w:val="-3"/>
        </w:rPr>
        <w:t>nødvendigt.</w:t>
      </w:r>
      <w:r w:rsidR="00501C94">
        <w:rPr>
          <w:spacing w:val="-3"/>
        </w:rPr>
        <w:t>Metronidazol</w:t>
      </w:r>
      <w:proofErr w:type="spellEnd"/>
      <w:proofErr w:type="gramEnd"/>
      <w:r w:rsidR="00501C94">
        <w:rPr>
          <w:spacing w:val="-3"/>
        </w:rPr>
        <w:t xml:space="preserve"> passerer placenta, og koncentrationen i navlestrengsblodet er den samme som koncentrationen i moderens blod.</w:t>
      </w:r>
    </w:p>
    <w:p w14:paraId="4A027048" w14:textId="77777777" w:rsidR="00501C94" w:rsidRDefault="00501C94" w:rsidP="00501C94">
      <w:pPr>
        <w:tabs>
          <w:tab w:val="left" w:pos="709"/>
          <w:tab w:val="left" w:pos="851"/>
          <w:tab w:val="left" w:pos="1985"/>
        </w:tabs>
        <w:ind w:left="851"/>
        <w:rPr>
          <w:spacing w:val="-3"/>
        </w:rPr>
      </w:pPr>
      <w:r>
        <w:rPr>
          <w:spacing w:val="-3"/>
        </w:rPr>
        <w:t xml:space="preserve">Metaanalyser har vist, at der ikke er en øget risiko for </w:t>
      </w:r>
      <w:proofErr w:type="spellStart"/>
      <w:r>
        <w:rPr>
          <w:spacing w:val="-3"/>
        </w:rPr>
        <w:t>teratogenicitet</w:t>
      </w:r>
      <w:proofErr w:type="spellEnd"/>
      <w:r>
        <w:rPr>
          <w:spacing w:val="-3"/>
        </w:rPr>
        <w:t xml:space="preserve"> ved brug af </w:t>
      </w:r>
      <w:proofErr w:type="spellStart"/>
      <w:r>
        <w:rPr>
          <w:spacing w:val="-3"/>
        </w:rPr>
        <w:t>metronidazol</w:t>
      </w:r>
      <w:proofErr w:type="spellEnd"/>
      <w:r>
        <w:rPr>
          <w:spacing w:val="-3"/>
        </w:rPr>
        <w:t xml:space="preserve"> i første trimester.</w:t>
      </w:r>
    </w:p>
    <w:p w14:paraId="5A9A563E" w14:textId="77777777" w:rsidR="00622A4B" w:rsidRDefault="00622A4B" w:rsidP="00501C94">
      <w:pPr>
        <w:tabs>
          <w:tab w:val="left" w:pos="709"/>
          <w:tab w:val="left" w:pos="851"/>
          <w:tab w:val="left" w:pos="1985"/>
        </w:tabs>
        <w:ind w:left="851"/>
        <w:rPr>
          <w:spacing w:val="-3"/>
        </w:rPr>
      </w:pPr>
    </w:p>
    <w:p w14:paraId="6DEB6B6D" w14:textId="77777777" w:rsidR="00501C94" w:rsidRPr="00507732" w:rsidRDefault="00501C94" w:rsidP="00501C94">
      <w:pPr>
        <w:tabs>
          <w:tab w:val="left" w:pos="709"/>
          <w:tab w:val="left" w:pos="851"/>
          <w:tab w:val="left" w:pos="1985"/>
        </w:tabs>
        <w:ind w:left="851"/>
        <w:rPr>
          <w:i/>
          <w:spacing w:val="-3"/>
        </w:rPr>
      </w:pPr>
      <w:r w:rsidRPr="00507732">
        <w:rPr>
          <w:i/>
          <w:spacing w:val="-3"/>
        </w:rPr>
        <w:t>Amning</w:t>
      </w:r>
    </w:p>
    <w:p w14:paraId="7B852BCE" w14:textId="77777777" w:rsidR="00501C94" w:rsidRDefault="00501C94" w:rsidP="00501C94">
      <w:pPr>
        <w:tabs>
          <w:tab w:val="left" w:pos="709"/>
        </w:tabs>
        <w:ind w:left="851"/>
        <w:rPr>
          <w:spacing w:val="-3"/>
        </w:rPr>
      </w:pPr>
      <w:r>
        <w:rPr>
          <w:spacing w:val="-3"/>
        </w:rPr>
        <w:t xml:space="preserve">Bør </w:t>
      </w:r>
      <w:r w:rsidR="007B0E6B">
        <w:rPr>
          <w:spacing w:val="-3"/>
        </w:rPr>
        <w:t xml:space="preserve">så vidt muligt </w:t>
      </w:r>
      <w:r>
        <w:rPr>
          <w:spacing w:val="-3"/>
        </w:rPr>
        <w:t xml:space="preserve">ikke anvendes i </w:t>
      </w:r>
      <w:proofErr w:type="spellStart"/>
      <w:r>
        <w:rPr>
          <w:spacing w:val="-3"/>
        </w:rPr>
        <w:t>ammeperioden</w:t>
      </w:r>
      <w:proofErr w:type="spellEnd"/>
      <w:r>
        <w:rPr>
          <w:spacing w:val="-3"/>
        </w:rPr>
        <w:t>.</w:t>
      </w:r>
      <w:r w:rsidR="007B0E6B">
        <w:rPr>
          <w:spacing w:val="-3"/>
        </w:rPr>
        <w:t xml:space="preserve"> </w:t>
      </w:r>
      <w:proofErr w:type="spellStart"/>
      <w:r w:rsidR="007B0E6B">
        <w:rPr>
          <w:spacing w:val="-3"/>
        </w:rPr>
        <w:t>Metronidazol</w:t>
      </w:r>
      <w:proofErr w:type="spellEnd"/>
      <w:r w:rsidR="007B0E6B">
        <w:rPr>
          <w:spacing w:val="-3"/>
        </w:rPr>
        <w:t xml:space="preserve"> bør kun anvendes under amning efter omhyggelig evaluering, og kun hvis lægen anser det for nødvendigt. </w:t>
      </w:r>
    </w:p>
    <w:p w14:paraId="3EEE7DBD" w14:textId="77777777" w:rsidR="00501C94" w:rsidRDefault="00501C94" w:rsidP="00501C94">
      <w:pPr>
        <w:tabs>
          <w:tab w:val="left" w:pos="709"/>
        </w:tabs>
        <w:ind w:left="851"/>
        <w:rPr>
          <w:spacing w:val="-3"/>
        </w:rPr>
      </w:pPr>
      <w:r>
        <w:rPr>
          <w:spacing w:val="-3"/>
        </w:rPr>
        <w:t>Hvis behandling er nødvendig, bør amning ophøre. Amningen kan genoptages 24 timer efter sidste dosering.</w:t>
      </w:r>
    </w:p>
    <w:p w14:paraId="5E5A97E5" w14:textId="592DB409" w:rsidR="00501C94" w:rsidRDefault="00501C94" w:rsidP="00501C94">
      <w:pPr>
        <w:tabs>
          <w:tab w:val="left" w:pos="709"/>
          <w:tab w:val="left" w:pos="851"/>
        </w:tabs>
        <w:ind w:left="851"/>
        <w:jc w:val="both"/>
        <w:rPr>
          <w:spacing w:val="-3"/>
        </w:rPr>
      </w:pPr>
      <w:proofErr w:type="spellStart"/>
      <w:r>
        <w:rPr>
          <w:spacing w:val="-3"/>
        </w:rPr>
        <w:t>Metronidazol</w:t>
      </w:r>
      <w:proofErr w:type="spellEnd"/>
      <w:r>
        <w:rPr>
          <w:spacing w:val="-3"/>
        </w:rPr>
        <w:t xml:space="preserve"> udskilles i modermælk. </w:t>
      </w:r>
      <w:proofErr w:type="spellStart"/>
      <w:r>
        <w:rPr>
          <w:spacing w:val="-3"/>
        </w:rPr>
        <w:t>Mælk:plasmakoncentrationsratio</w:t>
      </w:r>
      <w:proofErr w:type="spellEnd"/>
      <w:r>
        <w:rPr>
          <w:spacing w:val="-3"/>
        </w:rPr>
        <w:t xml:space="preserve"> er ca. 1:1.</w:t>
      </w:r>
    </w:p>
    <w:p w14:paraId="54821D08" w14:textId="77777777" w:rsidR="00A70F54" w:rsidRDefault="00A70F54" w:rsidP="00A70F54">
      <w:pPr>
        <w:tabs>
          <w:tab w:val="left" w:pos="0"/>
          <w:tab w:val="left" w:pos="851"/>
        </w:tabs>
        <w:ind w:left="850" w:hanging="850"/>
        <w:jc w:val="both"/>
        <w:rPr>
          <w:spacing w:val="-3"/>
        </w:rPr>
      </w:pPr>
    </w:p>
    <w:p w14:paraId="1EA0AAE1" w14:textId="77777777" w:rsidR="00501C94" w:rsidRPr="00DA44BC" w:rsidRDefault="00501C94" w:rsidP="00501C94">
      <w:pPr>
        <w:tabs>
          <w:tab w:val="left" w:pos="709"/>
          <w:tab w:val="left" w:pos="851"/>
        </w:tabs>
        <w:ind w:left="851" w:hanging="850"/>
        <w:jc w:val="both"/>
        <w:rPr>
          <w:spacing w:val="-3"/>
        </w:rPr>
      </w:pPr>
    </w:p>
    <w:p w14:paraId="14C82D97" w14:textId="77777777" w:rsidR="00501C94" w:rsidRDefault="00501C94" w:rsidP="00501C94">
      <w:pPr>
        <w:tabs>
          <w:tab w:val="left" w:pos="851"/>
        </w:tabs>
        <w:ind w:left="851" w:hanging="850"/>
        <w:jc w:val="both"/>
        <w:rPr>
          <w:b/>
          <w:bCs/>
          <w:spacing w:val="-3"/>
        </w:rPr>
      </w:pPr>
      <w:r>
        <w:rPr>
          <w:b/>
          <w:bCs/>
          <w:spacing w:val="-3"/>
        </w:rPr>
        <w:t>4.7</w:t>
      </w:r>
      <w:r>
        <w:rPr>
          <w:b/>
          <w:bCs/>
          <w:spacing w:val="-3"/>
        </w:rPr>
        <w:tab/>
        <w:t xml:space="preserve">Virkning på evnen til at føre motorkøretøj </w:t>
      </w:r>
      <w:r w:rsidR="00507732">
        <w:rPr>
          <w:b/>
          <w:bCs/>
          <w:spacing w:val="-3"/>
        </w:rPr>
        <w:t>og</w:t>
      </w:r>
      <w:r>
        <w:rPr>
          <w:b/>
          <w:bCs/>
          <w:spacing w:val="-3"/>
        </w:rPr>
        <w:t xml:space="preserve"> betjene maskiner</w:t>
      </w:r>
    </w:p>
    <w:p w14:paraId="5E89C801" w14:textId="77777777" w:rsidR="00501C94" w:rsidRDefault="00501C94" w:rsidP="00501C94">
      <w:pPr>
        <w:tabs>
          <w:tab w:val="left" w:pos="0"/>
          <w:tab w:val="left" w:pos="851"/>
        </w:tabs>
        <w:rPr>
          <w:spacing w:val="-3"/>
        </w:rPr>
      </w:pPr>
      <w:r>
        <w:rPr>
          <w:spacing w:val="-3"/>
        </w:rPr>
        <w:tab/>
        <w:t>Ikke mærkning.</w:t>
      </w:r>
    </w:p>
    <w:p w14:paraId="66CAB982" w14:textId="77777777" w:rsidR="00501C94" w:rsidRDefault="00501C94" w:rsidP="00501C94">
      <w:pPr>
        <w:tabs>
          <w:tab w:val="left" w:pos="0"/>
          <w:tab w:val="left" w:pos="851"/>
        </w:tabs>
        <w:ind w:left="850" w:firstLine="1"/>
        <w:rPr>
          <w:spacing w:val="-3"/>
        </w:rPr>
      </w:pPr>
    </w:p>
    <w:p w14:paraId="0A3BA6B1" w14:textId="2AEA7634" w:rsidR="004B2294" w:rsidRPr="004B2294" w:rsidRDefault="004B2294" w:rsidP="004B2294">
      <w:pPr>
        <w:tabs>
          <w:tab w:val="left" w:pos="0"/>
          <w:tab w:val="left" w:pos="851"/>
        </w:tabs>
        <w:ind w:left="850" w:hanging="850"/>
        <w:jc w:val="both"/>
        <w:rPr>
          <w:spacing w:val="-3"/>
        </w:rPr>
      </w:pPr>
      <w:r>
        <w:rPr>
          <w:spacing w:val="-3"/>
        </w:rPr>
        <w:tab/>
      </w:r>
      <w:proofErr w:type="spellStart"/>
      <w:r w:rsidRPr="004B2294">
        <w:rPr>
          <w:spacing w:val="-3"/>
        </w:rPr>
        <w:t>Flagyl</w:t>
      </w:r>
      <w:proofErr w:type="spellEnd"/>
      <w:r w:rsidRPr="004B2294">
        <w:rPr>
          <w:spacing w:val="-3"/>
        </w:rPr>
        <w:t xml:space="preserve"> kan på grund af bivirkninger (svimmelhed, konfusion, hallucinationer, kramper, synsforstyrrelser (se pkt. 4.8)) påvirke evnen til at føre motorkøretøj </w:t>
      </w:r>
      <w:r w:rsidR="007B0E6B">
        <w:rPr>
          <w:spacing w:val="-3"/>
        </w:rPr>
        <w:t>og</w:t>
      </w:r>
      <w:r w:rsidR="007B0E6B" w:rsidRPr="004B2294">
        <w:rPr>
          <w:spacing w:val="-3"/>
        </w:rPr>
        <w:t xml:space="preserve"> </w:t>
      </w:r>
      <w:r w:rsidRPr="004B2294">
        <w:rPr>
          <w:spacing w:val="-3"/>
        </w:rPr>
        <w:t xml:space="preserve">betjene maskiner i mindre eller moderat grad. </w:t>
      </w:r>
    </w:p>
    <w:p w14:paraId="2D768E72" w14:textId="77777777" w:rsidR="00A70F54" w:rsidRDefault="00A70F54" w:rsidP="00A70F54">
      <w:pPr>
        <w:tabs>
          <w:tab w:val="left" w:pos="0"/>
          <w:tab w:val="left" w:pos="851"/>
        </w:tabs>
        <w:ind w:left="850" w:hanging="850"/>
        <w:jc w:val="both"/>
        <w:rPr>
          <w:spacing w:val="-3"/>
        </w:rPr>
      </w:pPr>
    </w:p>
    <w:p w14:paraId="38438375" w14:textId="77777777" w:rsidR="00501C94" w:rsidRPr="008005E5" w:rsidRDefault="00501C94" w:rsidP="00501C94">
      <w:pPr>
        <w:tabs>
          <w:tab w:val="left" w:pos="0"/>
          <w:tab w:val="left" w:pos="851"/>
        </w:tabs>
        <w:ind w:left="850" w:hanging="850"/>
        <w:jc w:val="both"/>
        <w:rPr>
          <w:spacing w:val="-3"/>
        </w:rPr>
      </w:pPr>
    </w:p>
    <w:p w14:paraId="1116E364" w14:textId="77777777" w:rsidR="00501C94" w:rsidRDefault="00501C94" w:rsidP="00501C94">
      <w:pPr>
        <w:tabs>
          <w:tab w:val="left" w:pos="0"/>
          <w:tab w:val="left" w:pos="851"/>
        </w:tabs>
        <w:ind w:left="850" w:hanging="850"/>
        <w:jc w:val="both"/>
        <w:rPr>
          <w:b/>
          <w:bCs/>
          <w:spacing w:val="-3"/>
        </w:rPr>
      </w:pPr>
      <w:r>
        <w:rPr>
          <w:b/>
          <w:bCs/>
          <w:spacing w:val="-3"/>
        </w:rPr>
        <w:t>4.8</w:t>
      </w:r>
      <w:r>
        <w:rPr>
          <w:b/>
          <w:bCs/>
          <w:spacing w:val="-3"/>
        </w:rPr>
        <w:tab/>
        <w:t>Bivirkninger</w:t>
      </w:r>
    </w:p>
    <w:p w14:paraId="361E3C89" w14:textId="77777777" w:rsidR="008128CD" w:rsidRDefault="008128CD" w:rsidP="008128CD">
      <w:pPr>
        <w:ind w:left="851"/>
      </w:pPr>
      <w:proofErr w:type="spellStart"/>
      <w:r>
        <w:t>Gastro</w:t>
      </w:r>
      <w:r w:rsidRPr="00066A54">
        <w:t>intestinale</w:t>
      </w:r>
      <w:proofErr w:type="spellEnd"/>
      <w:r w:rsidRPr="00066A54">
        <w:t xml:space="preserve"> symptomer </w:t>
      </w:r>
      <w:r>
        <w:t xml:space="preserve">som </w:t>
      </w:r>
      <w:r>
        <w:rPr>
          <w:spacing w:val="-3"/>
        </w:rPr>
        <w:t>kvalme eller en metallisk smag i munden</w:t>
      </w:r>
      <w:r w:rsidRPr="00066A54">
        <w:t xml:space="preserve"> </w:t>
      </w:r>
      <w:r>
        <w:t xml:space="preserve">ses hos </w:t>
      </w:r>
      <w:r w:rsidRPr="00066A54">
        <w:t>ca</w:t>
      </w:r>
      <w:r>
        <w:t>.</w:t>
      </w:r>
      <w:r w:rsidRPr="00066A54">
        <w:t xml:space="preserve"> 5-</w:t>
      </w:r>
    </w:p>
    <w:p w14:paraId="41051901" w14:textId="7FC56C66" w:rsidR="008128CD" w:rsidRDefault="008128CD" w:rsidP="008128CD">
      <w:pPr>
        <w:ind w:left="851"/>
        <w:rPr>
          <w:spacing w:val="-3"/>
        </w:rPr>
      </w:pPr>
      <w:r w:rsidRPr="00066A54">
        <w:t>10%.</w:t>
      </w:r>
      <w:r>
        <w:t xml:space="preserve"> </w:t>
      </w:r>
      <w:r>
        <w:rPr>
          <w:spacing w:val="-3"/>
        </w:rPr>
        <w:t xml:space="preserve">Risiko for reversibel </w:t>
      </w:r>
      <w:proofErr w:type="spellStart"/>
      <w:r>
        <w:rPr>
          <w:spacing w:val="-3"/>
        </w:rPr>
        <w:t>neuropati</w:t>
      </w:r>
      <w:proofErr w:type="spellEnd"/>
      <w:r>
        <w:rPr>
          <w:spacing w:val="-3"/>
        </w:rPr>
        <w:t xml:space="preserve"> ved langtidsbehandling.</w:t>
      </w:r>
    </w:p>
    <w:p w14:paraId="7B9D0EE8" w14:textId="77777777" w:rsidR="008128CD" w:rsidRDefault="008128CD" w:rsidP="008128CD">
      <w:pPr>
        <w:rPr>
          <w:szCs w:val="24"/>
        </w:rPr>
      </w:pPr>
    </w:p>
    <w:p w14:paraId="5351C86D" w14:textId="77777777" w:rsidR="008128CD" w:rsidRDefault="008128CD" w:rsidP="008128CD">
      <w:pPr>
        <w:ind w:left="851"/>
        <w:jc w:val="both"/>
        <w:rPr>
          <w:spacing w:val="-3"/>
          <w:u w:val="single"/>
        </w:rPr>
      </w:pPr>
      <w:r>
        <w:rPr>
          <w:spacing w:val="-3"/>
          <w:u w:val="single"/>
        </w:rPr>
        <w:t>Liste over bivirkninger</w:t>
      </w:r>
    </w:p>
    <w:p w14:paraId="0382D80A" w14:textId="77777777" w:rsidR="008128CD" w:rsidRDefault="008128CD" w:rsidP="008128CD">
      <w:pPr>
        <w:ind w:left="851"/>
        <w:jc w:val="both"/>
        <w:rPr>
          <w:spacing w:val="-3"/>
        </w:rPr>
      </w:pPr>
      <w:r>
        <w:rPr>
          <w:spacing w:val="-3"/>
        </w:rPr>
        <w:t xml:space="preserve">Hyppigheder er defineret i henhold til følgende </w:t>
      </w:r>
      <w:proofErr w:type="spellStart"/>
      <w:r>
        <w:rPr>
          <w:spacing w:val="-3"/>
        </w:rPr>
        <w:t>MedDRA</w:t>
      </w:r>
      <w:proofErr w:type="spellEnd"/>
      <w:r>
        <w:rPr>
          <w:spacing w:val="-3"/>
        </w:rPr>
        <w:t>-konvention: Meget almindelig (&gt;1/10), almindelig (≥1/100 til &lt;1/10), ikke almindelig (≥1/1.000 til &lt;1/100), sjælden (≥1/10.000 til &lt;1/1.000), meget sjælden (&lt;1/10.000), ikke kendt (kan ikke estimeres ud fra forhåndenværende data).</w:t>
      </w:r>
    </w:p>
    <w:p w14:paraId="4DA6B453" w14:textId="77777777" w:rsidR="008128CD" w:rsidRPr="00BF5D71" w:rsidRDefault="008128CD" w:rsidP="008128CD">
      <w:pPr>
        <w:rPr>
          <w:szCs w:val="24"/>
        </w:rPr>
      </w:pPr>
    </w:p>
    <w:tbl>
      <w:tblPr>
        <w:tblW w:w="4529"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60"/>
        <w:gridCol w:w="4361"/>
      </w:tblGrid>
      <w:tr w:rsidR="008128CD" w:rsidRPr="00C4555F" w14:paraId="78926C0B"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0F60B2F1" w14:textId="77777777" w:rsidR="008128CD" w:rsidRDefault="008128CD" w:rsidP="00163759">
            <w:pPr>
              <w:rPr>
                <w:b/>
                <w:szCs w:val="23"/>
              </w:rPr>
            </w:pPr>
            <w:r>
              <w:rPr>
                <w:b/>
                <w:szCs w:val="23"/>
              </w:rPr>
              <w:t>Blod og lymfesystem</w:t>
            </w:r>
          </w:p>
          <w:p w14:paraId="0BBD726A" w14:textId="77777777" w:rsidR="008128CD" w:rsidRDefault="008128CD" w:rsidP="00163759">
            <w:pPr>
              <w:suppressAutoHyphens/>
              <w:rPr>
                <w:szCs w:val="23"/>
              </w:rPr>
            </w:pPr>
            <w:r>
              <w:rPr>
                <w:szCs w:val="23"/>
              </w:rPr>
              <w:t>Ikke almindelig</w:t>
            </w:r>
          </w:p>
          <w:p w14:paraId="7DDAFC15" w14:textId="77777777" w:rsidR="008128CD" w:rsidRDefault="008128CD" w:rsidP="00163759">
            <w:pPr>
              <w:suppressAutoHyphens/>
              <w:rPr>
                <w:szCs w:val="23"/>
              </w:rPr>
            </w:pPr>
          </w:p>
          <w:p w14:paraId="5505BEF1" w14:textId="77777777" w:rsidR="008128CD" w:rsidRDefault="008128CD" w:rsidP="00163759">
            <w:pPr>
              <w:suppressAutoHyphens/>
              <w:rPr>
                <w:szCs w:val="23"/>
              </w:rPr>
            </w:pPr>
            <w:r>
              <w:t>Sjælden</w:t>
            </w:r>
          </w:p>
          <w:p w14:paraId="587B1391" w14:textId="77777777" w:rsidR="008128CD" w:rsidRDefault="008128CD" w:rsidP="00163759">
            <w:pPr>
              <w:suppressAutoHyphens/>
              <w:rPr>
                <w:szCs w:val="23"/>
              </w:rPr>
            </w:pPr>
          </w:p>
          <w:p w14:paraId="04AA90B9" w14:textId="77777777" w:rsidR="008128CD" w:rsidRDefault="008128CD" w:rsidP="00163759">
            <w:pPr>
              <w:rPr>
                <w:szCs w:val="23"/>
              </w:rPr>
            </w:pPr>
            <w:r>
              <w:rPr>
                <w:szCs w:val="23"/>
              </w:rPr>
              <w:t>Meget sjælden</w:t>
            </w:r>
          </w:p>
        </w:tc>
        <w:tc>
          <w:tcPr>
            <w:tcW w:w="2500" w:type="pct"/>
            <w:tcBorders>
              <w:top w:val="single" w:sz="4" w:space="0" w:color="auto"/>
              <w:left w:val="single" w:sz="4" w:space="0" w:color="auto"/>
              <w:bottom w:val="single" w:sz="4" w:space="0" w:color="auto"/>
              <w:right w:val="single" w:sz="4" w:space="0" w:color="auto"/>
            </w:tcBorders>
          </w:tcPr>
          <w:p w14:paraId="1E7EC407" w14:textId="77777777" w:rsidR="008128CD" w:rsidRPr="00350C5F" w:rsidRDefault="008128CD" w:rsidP="00163759">
            <w:pPr>
              <w:ind w:right="2197"/>
              <w:rPr>
                <w:szCs w:val="23"/>
                <w:lang w:val="en-US"/>
              </w:rPr>
            </w:pPr>
          </w:p>
          <w:p w14:paraId="00330A94" w14:textId="77777777" w:rsidR="008128CD" w:rsidRDefault="008128CD" w:rsidP="00163759">
            <w:pPr>
              <w:rPr>
                <w:szCs w:val="23"/>
                <w:lang w:val="en-GB"/>
              </w:rPr>
            </w:pPr>
            <w:proofErr w:type="spellStart"/>
            <w:r>
              <w:rPr>
                <w:szCs w:val="23"/>
                <w:lang w:val="en-GB"/>
              </w:rPr>
              <w:t>Leukopeni</w:t>
            </w:r>
            <w:proofErr w:type="spellEnd"/>
            <w:r>
              <w:rPr>
                <w:szCs w:val="23"/>
                <w:lang w:val="en-GB"/>
              </w:rPr>
              <w:t>.</w:t>
            </w:r>
          </w:p>
          <w:p w14:paraId="41296E90" w14:textId="77777777" w:rsidR="008128CD" w:rsidRDefault="008128CD" w:rsidP="00163759">
            <w:pPr>
              <w:rPr>
                <w:spacing w:val="-3"/>
                <w:lang w:val="en-GB"/>
              </w:rPr>
            </w:pPr>
          </w:p>
          <w:p w14:paraId="6D8356E3" w14:textId="77777777" w:rsidR="008128CD" w:rsidRDefault="008128CD" w:rsidP="00163759">
            <w:pPr>
              <w:rPr>
                <w:spacing w:val="-3"/>
                <w:lang w:val="en-GB"/>
              </w:rPr>
            </w:pPr>
            <w:proofErr w:type="spellStart"/>
            <w:r>
              <w:rPr>
                <w:spacing w:val="-3"/>
                <w:lang w:val="en-GB"/>
              </w:rPr>
              <w:t>Trombocytopeni</w:t>
            </w:r>
            <w:proofErr w:type="spellEnd"/>
            <w:r>
              <w:rPr>
                <w:spacing w:val="-3"/>
                <w:lang w:val="en-GB"/>
              </w:rPr>
              <w:t>.</w:t>
            </w:r>
          </w:p>
          <w:p w14:paraId="62A9431D" w14:textId="77777777" w:rsidR="008128CD" w:rsidRDefault="008128CD" w:rsidP="00163759">
            <w:pPr>
              <w:rPr>
                <w:spacing w:val="-3"/>
                <w:lang w:val="en-GB"/>
              </w:rPr>
            </w:pPr>
          </w:p>
          <w:p w14:paraId="1280AB18" w14:textId="77777777" w:rsidR="008128CD" w:rsidRDefault="008128CD" w:rsidP="00163759">
            <w:pPr>
              <w:rPr>
                <w:spacing w:val="-3"/>
                <w:lang w:val="en-GB"/>
              </w:rPr>
            </w:pPr>
            <w:proofErr w:type="spellStart"/>
            <w:r>
              <w:rPr>
                <w:spacing w:val="-3"/>
                <w:lang w:val="en-GB"/>
              </w:rPr>
              <w:t>Agranulocytose</w:t>
            </w:r>
            <w:proofErr w:type="spellEnd"/>
            <w:r>
              <w:rPr>
                <w:spacing w:val="-3"/>
                <w:lang w:val="en-GB"/>
              </w:rPr>
              <w:t xml:space="preserve">, </w:t>
            </w:r>
            <w:proofErr w:type="spellStart"/>
            <w:r>
              <w:rPr>
                <w:spacing w:val="-3"/>
                <w:lang w:val="en-GB"/>
              </w:rPr>
              <w:t>aplastisk</w:t>
            </w:r>
            <w:proofErr w:type="spellEnd"/>
            <w:r>
              <w:rPr>
                <w:spacing w:val="-3"/>
                <w:lang w:val="en-GB"/>
              </w:rPr>
              <w:t xml:space="preserve"> </w:t>
            </w:r>
            <w:proofErr w:type="spellStart"/>
            <w:r>
              <w:rPr>
                <w:spacing w:val="-3"/>
                <w:lang w:val="en-GB"/>
              </w:rPr>
              <w:t>anæmi</w:t>
            </w:r>
            <w:proofErr w:type="spellEnd"/>
            <w:r>
              <w:rPr>
                <w:spacing w:val="-3"/>
                <w:lang w:val="en-GB"/>
              </w:rPr>
              <w:t xml:space="preserve">, </w:t>
            </w:r>
            <w:proofErr w:type="spellStart"/>
            <w:r>
              <w:rPr>
                <w:spacing w:val="-3"/>
                <w:lang w:val="en-GB"/>
              </w:rPr>
              <w:t>neutropeni</w:t>
            </w:r>
            <w:proofErr w:type="spellEnd"/>
            <w:r>
              <w:rPr>
                <w:spacing w:val="-3"/>
                <w:lang w:val="en-GB"/>
              </w:rPr>
              <w:t>.</w:t>
            </w:r>
          </w:p>
          <w:p w14:paraId="6D307F59" w14:textId="77777777" w:rsidR="008128CD" w:rsidRDefault="008128CD" w:rsidP="00163759">
            <w:pPr>
              <w:rPr>
                <w:szCs w:val="23"/>
                <w:lang w:val="en-GB"/>
              </w:rPr>
            </w:pPr>
          </w:p>
        </w:tc>
      </w:tr>
      <w:tr w:rsidR="008128CD" w14:paraId="2A0379F4"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2447E5CC" w14:textId="77777777" w:rsidR="008128CD" w:rsidRDefault="008128CD" w:rsidP="00163759">
            <w:pPr>
              <w:suppressAutoHyphens/>
              <w:rPr>
                <w:b/>
                <w:szCs w:val="23"/>
              </w:rPr>
            </w:pPr>
            <w:r>
              <w:rPr>
                <w:b/>
                <w:szCs w:val="23"/>
              </w:rPr>
              <w:t>Immunsystemet</w:t>
            </w:r>
          </w:p>
          <w:p w14:paraId="75478A10" w14:textId="77777777" w:rsidR="008128CD" w:rsidRDefault="008128CD" w:rsidP="00163759">
            <w:pPr>
              <w:suppressAutoHyphens/>
            </w:pPr>
            <w:r>
              <w:rPr>
                <w:szCs w:val="23"/>
              </w:rPr>
              <w:t>Meget sjælden</w:t>
            </w:r>
          </w:p>
          <w:p w14:paraId="5488888A" w14:textId="77777777" w:rsidR="008128CD" w:rsidRDefault="008128CD" w:rsidP="00163759">
            <w:pPr>
              <w:suppressAutoHyphens/>
              <w:rPr>
                <w:b/>
                <w:szCs w:val="23"/>
              </w:rPr>
            </w:pPr>
          </w:p>
        </w:tc>
        <w:tc>
          <w:tcPr>
            <w:tcW w:w="2500" w:type="pct"/>
            <w:tcBorders>
              <w:top w:val="single" w:sz="4" w:space="0" w:color="auto"/>
              <w:left w:val="single" w:sz="4" w:space="0" w:color="auto"/>
              <w:bottom w:val="single" w:sz="4" w:space="0" w:color="auto"/>
              <w:right w:val="single" w:sz="4" w:space="0" w:color="auto"/>
            </w:tcBorders>
          </w:tcPr>
          <w:p w14:paraId="14EAF25F" w14:textId="77777777" w:rsidR="008128CD" w:rsidRDefault="008128CD" w:rsidP="00163759">
            <w:pPr>
              <w:suppressAutoHyphens/>
              <w:ind w:right="2197"/>
              <w:rPr>
                <w:szCs w:val="23"/>
              </w:rPr>
            </w:pPr>
          </w:p>
          <w:p w14:paraId="1460F0FE" w14:textId="77777777" w:rsidR="008128CD" w:rsidRDefault="008128CD" w:rsidP="00163759">
            <w:pPr>
              <w:suppressAutoHyphens/>
              <w:rPr>
                <w:spacing w:val="-3"/>
              </w:rPr>
            </w:pPr>
            <w:proofErr w:type="spellStart"/>
            <w:r>
              <w:rPr>
                <w:spacing w:val="-3"/>
              </w:rPr>
              <w:t>Anafylaktisk</w:t>
            </w:r>
            <w:proofErr w:type="spellEnd"/>
            <w:r>
              <w:rPr>
                <w:spacing w:val="-3"/>
              </w:rPr>
              <w:t xml:space="preserve"> </w:t>
            </w:r>
            <w:proofErr w:type="spellStart"/>
            <w:r>
              <w:rPr>
                <w:spacing w:val="-3"/>
              </w:rPr>
              <w:t>shock</w:t>
            </w:r>
            <w:proofErr w:type="spellEnd"/>
            <w:r>
              <w:rPr>
                <w:spacing w:val="-3"/>
              </w:rPr>
              <w:t>.</w:t>
            </w:r>
          </w:p>
          <w:p w14:paraId="660A08E1" w14:textId="77777777" w:rsidR="008128CD" w:rsidRDefault="008128CD" w:rsidP="00163759">
            <w:pPr>
              <w:suppressAutoHyphens/>
              <w:ind w:right="2197"/>
              <w:rPr>
                <w:szCs w:val="23"/>
              </w:rPr>
            </w:pPr>
          </w:p>
        </w:tc>
      </w:tr>
      <w:tr w:rsidR="008128CD" w14:paraId="1A3DE879"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hideMark/>
          </w:tcPr>
          <w:p w14:paraId="626A53CA" w14:textId="77777777" w:rsidR="008128CD" w:rsidRDefault="008128CD" w:rsidP="00163759">
            <w:pPr>
              <w:rPr>
                <w:b/>
                <w:szCs w:val="23"/>
                <w:lang w:val="nb-NO"/>
              </w:rPr>
            </w:pPr>
            <w:r>
              <w:rPr>
                <w:b/>
                <w:szCs w:val="23"/>
                <w:lang w:val="nb-NO"/>
              </w:rPr>
              <w:t>Psykiske forstyrrelser</w:t>
            </w:r>
          </w:p>
          <w:p w14:paraId="241D5788" w14:textId="77777777" w:rsidR="008128CD" w:rsidRDefault="008128CD" w:rsidP="00163759">
            <w:pPr>
              <w:suppressAutoHyphens/>
              <w:rPr>
                <w:b/>
                <w:szCs w:val="23"/>
              </w:rPr>
            </w:pPr>
            <w:r>
              <w:t>Sjælden</w:t>
            </w:r>
          </w:p>
        </w:tc>
        <w:tc>
          <w:tcPr>
            <w:tcW w:w="2500" w:type="pct"/>
            <w:tcBorders>
              <w:top w:val="single" w:sz="4" w:space="0" w:color="auto"/>
              <w:left w:val="single" w:sz="4" w:space="0" w:color="auto"/>
              <w:bottom w:val="single" w:sz="4" w:space="0" w:color="auto"/>
              <w:right w:val="single" w:sz="4" w:space="0" w:color="auto"/>
            </w:tcBorders>
          </w:tcPr>
          <w:p w14:paraId="14B3CC82" w14:textId="77777777" w:rsidR="008128CD" w:rsidRDefault="008128CD" w:rsidP="00163759">
            <w:pPr>
              <w:rPr>
                <w:u w:val="single"/>
              </w:rPr>
            </w:pPr>
          </w:p>
          <w:p w14:paraId="50B9515F" w14:textId="77777777" w:rsidR="008128CD" w:rsidRDefault="008128CD" w:rsidP="00163759">
            <w:pPr>
              <w:rPr>
                <w:spacing w:val="-3"/>
              </w:rPr>
            </w:pPr>
            <w:r>
              <w:rPr>
                <w:spacing w:val="-3"/>
              </w:rPr>
              <w:t xml:space="preserve">Psykotiske lidelser inkl. konfusion, hallucinationer og manisk opførsel, specielt hos patienter med </w:t>
            </w:r>
            <w:proofErr w:type="spellStart"/>
            <w:r>
              <w:rPr>
                <w:spacing w:val="-3"/>
              </w:rPr>
              <w:t>hepatisk</w:t>
            </w:r>
            <w:proofErr w:type="spellEnd"/>
            <w:r>
              <w:rPr>
                <w:spacing w:val="-3"/>
              </w:rPr>
              <w:t xml:space="preserve"> encefalopati, nedtrykt sindstilstand.</w:t>
            </w:r>
          </w:p>
          <w:p w14:paraId="7073818D" w14:textId="77777777" w:rsidR="008128CD" w:rsidRDefault="008128CD" w:rsidP="00163759">
            <w:pPr>
              <w:suppressAutoHyphens/>
              <w:ind w:right="2197"/>
              <w:rPr>
                <w:szCs w:val="23"/>
              </w:rPr>
            </w:pPr>
          </w:p>
        </w:tc>
      </w:tr>
      <w:tr w:rsidR="008128CD" w14:paraId="43A24D3E"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540C3350" w14:textId="77777777" w:rsidR="008128CD" w:rsidRDefault="008128CD" w:rsidP="00163759">
            <w:pPr>
              <w:suppressAutoHyphens/>
              <w:rPr>
                <w:b/>
                <w:szCs w:val="23"/>
                <w:lang w:val="nb-NO"/>
              </w:rPr>
            </w:pPr>
            <w:r>
              <w:rPr>
                <w:b/>
                <w:szCs w:val="23"/>
                <w:lang w:val="nb-NO"/>
              </w:rPr>
              <w:t>Nervesystemet</w:t>
            </w:r>
          </w:p>
          <w:p w14:paraId="7319573B" w14:textId="77777777" w:rsidR="008128CD" w:rsidRDefault="008128CD" w:rsidP="00163759">
            <w:pPr>
              <w:suppressAutoHyphens/>
            </w:pPr>
            <w:r>
              <w:rPr>
                <w:szCs w:val="23"/>
              </w:rPr>
              <w:t>Ikke almindelig</w:t>
            </w:r>
          </w:p>
          <w:p w14:paraId="2E34641A" w14:textId="77777777" w:rsidR="008128CD" w:rsidRDefault="008128CD" w:rsidP="00163759">
            <w:pPr>
              <w:suppressAutoHyphens/>
            </w:pPr>
          </w:p>
          <w:p w14:paraId="2AF1020D" w14:textId="77777777" w:rsidR="008128CD" w:rsidRDefault="008128CD" w:rsidP="00163759">
            <w:pPr>
              <w:suppressAutoHyphens/>
            </w:pPr>
            <w:r>
              <w:t>Sjælden</w:t>
            </w:r>
          </w:p>
          <w:p w14:paraId="7AE886EF" w14:textId="77777777" w:rsidR="008128CD" w:rsidRDefault="008128CD" w:rsidP="00163759">
            <w:pPr>
              <w:suppressAutoHyphens/>
              <w:rPr>
                <w:szCs w:val="23"/>
              </w:rPr>
            </w:pPr>
          </w:p>
          <w:p w14:paraId="458D7356" w14:textId="77777777" w:rsidR="008128CD" w:rsidRDefault="008128CD" w:rsidP="00163759">
            <w:pPr>
              <w:suppressAutoHyphens/>
              <w:rPr>
                <w:szCs w:val="23"/>
              </w:rPr>
            </w:pPr>
          </w:p>
          <w:p w14:paraId="5E8E9577" w14:textId="77777777" w:rsidR="008128CD" w:rsidRDefault="008128CD" w:rsidP="00163759">
            <w:pPr>
              <w:suppressAutoHyphens/>
            </w:pPr>
            <w:r>
              <w:rPr>
                <w:szCs w:val="23"/>
              </w:rPr>
              <w:t>Meget sjælden</w:t>
            </w:r>
          </w:p>
          <w:p w14:paraId="1F08CD4D" w14:textId="77777777" w:rsidR="008128CD" w:rsidRDefault="008128CD" w:rsidP="00163759">
            <w:pPr>
              <w:suppressAutoHyphens/>
            </w:pPr>
          </w:p>
          <w:p w14:paraId="2FB8B8FF" w14:textId="77777777" w:rsidR="008128CD" w:rsidRDefault="008128CD" w:rsidP="00163759">
            <w:pPr>
              <w:suppressAutoHyphens/>
            </w:pPr>
          </w:p>
          <w:p w14:paraId="5C9DE70D" w14:textId="77777777" w:rsidR="008128CD" w:rsidRDefault="008128CD" w:rsidP="00163759">
            <w:pPr>
              <w:suppressAutoHyphens/>
            </w:pPr>
          </w:p>
          <w:p w14:paraId="30B5C473" w14:textId="77777777" w:rsidR="008128CD" w:rsidRDefault="008128CD" w:rsidP="00163759">
            <w:pPr>
              <w:suppressAutoHyphens/>
            </w:pPr>
          </w:p>
          <w:p w14:paraId="483E4ABD" w14:textId="77777777" w:rsidR="008128CD" w:rsidRDefault="008128CD" w:rsidP="00163759">
            <w:pPr>
              <w:suppressAutoHyphens/>
            </w:pPr>
            <w:r>
              <w:t>Ikke kendt</w:t>
            </w:r>
          </w:p>
          <w:p w14:paraId="18C62222" w14:textId="77777777" w:rsidR="008128CD" w:rsidRDefault="008128CD" w:rsidP="00163759">
            <w:pPr>
              <w:suppressAutoHyphens/>
              <w:rPr>
                <w:szCs w:val="23"/>
              </w:rPr>
            </w:pPr>
          </w:p>
        </w:tc>
        <w:tc>
          <w:tcPr>
            <w:tcW w:w="2500" w:type="pct"/>
            <w:tcBorders>
              <w:top w:val="single" w:sz="4" w:space="0" w:color="auto"/>
              <w:left w:val="single" w:sz="4" w:space="0" w:color="auto"/>
              <w:bottom w:val="single" w:sz="4" w:space="0" w:color="auto"/>
              <w:right w:val="single" w:sz="4" w:space="0" w:color="auto"/>
            </w:tcBorders>
          </w:tcPr>
          <w:p w14:paraId="0418344B" w14:textId="77777777" w:rsidR="008128CD" w:rsidRDefault="008128CD" w:rsidP="00163759">
            <w:pPr>
              <w:tabs>
                <w:tab w:val="left" w:pos="0"/>
                <w:tab w:val="left" w:pos="851"/>
              </w:tabs>
              <w:suppressAutoHyphens/>
              <w:rPr>
                <w:spacing w:val="-3"/>
              </w:rPr>
            </w:pPr>
          </w:p>
          <w:p w14:paraId="2F9ACEBB" w14:textId="77777777" w:rsidR="008128CD" w:rsidRDefault="008128CD" w:rsidP="00163759">
            <w:pPr>
              <w:tabs>
                <w:tab w:val="left" w:pos="0"/>
                <w:tab w:val="left" w:pos="851"/>
              </w:tabs>
              <w:suppressAutoHyphens/>
              <w:rPr>
                <w:spacing w:val="-3"/>
              </w:rPr>
            </w:pPr>
            <w:r>
              <w:rPr>
                <w:spacing w:val="-3"/>
              </w:rPr>
              <w:t>Hovedpine.</w:t>
            </w:r>
          </w:p>
          <w:p w14:paraId="60F99939" w14:textId="77777777" w:rsidR="008128CD" w:rsidRDefault="008128CD" w:rsidP="00163759">
            <w:pPr>
              <w:tabs>
                <w:tab w:val="left" w:pos="0"/>
                <w:tab w:val="left" w:pos="851"/>
              </w:tabs>
              <w:suppressAutoHyphens/>
              <w:rPr>
                <w:spacing w:val="-3"/>
              </w:rPr>
            </w:pPr>
          </w:p>
          <w:p w14:paraId="62780FDF" w14:textId="77777777" w:rsidR="008128CD" w:rsidRDefault="008128CD" w:rsidP="00163759">
            <w:pPr>
              <w:tabs>
                <w:tab w:val="left" w:pos="0"/>
                <w:tab w:val="left" w:pos="851"/>
              </w:tabs>
              <w:suppressAutoHyphens/>
              <w:rPr>
                <w:spacing w:val="-3"/>
              </w:rPr>
            </w:pPr>
            <w:r>
              <w:rPr>
                <w:spacing w:val="-3"/>
              </w:rPr>
              <w:t xml:space="preserve">Kramper, perifer sensorisk </w:t>
            </w:r>
            <w:proofErr w:type="spellStart"/>
            <w:r>
              <w:rPr>
                <w:spacing w:val="-3"/>
              </w:rPr>
              <w:t>neuropati</w:t>
            </w:r>
            <w:proofErr w:type="spellEnd"/>
            <w:r>
              <w:rPr>
                <w:spacing w:val="-3"/>
              </w:rPr>
              <w:t xml:space="preserve">*, </w:t>
            </w:r>
            <w:proofErr w:type="spellStart"/>
            <w:r>
              <w:rPr>
                <w:spacing w:val="-3"/>
              </w:rPr>
              <w:t>paræstesi</w:t>
            </w:r>
            <w:proofErr w:type="spellEnd"/>
            <w:r>
              <w:rPr>
                <w:spacing w:val="-3"/>
              </w:rPr>
              <w:t xml:space="preserve">, svimmelhed, træthed, </w:t>
            </w:r>
            <w:proofErr w:type="spellStart"/>
            <w:r>
              <w:rPr>
                <w:spacing w:val="-3"/>
              </w:rPr>
              <w:t>ataksi</w:t>
            </w:r>
            <w:proofErr w:type="spellEnd"/>
            <w:r>
              <w:rPr>
                <w:spacing w:val="-3"/>
              </w:rPr>
              <w:t>.</w:t>
            </w:r>
          </w:p>
          <w:p w14:paraId="3305DAFE" w14:textId="77777777" w:rsidR="008128CD" w:rsidRDefault="008128CD" w:rsidP="00163759">
            <w:pPr>
              <w:tabs>
                <w:tab w:val="left" w:pos="0"/>
                <w:tab w:val="left" w:pos="851"/>
              </w:tabs>
              <w:suppressAutoHyphens/>
              <w:rPr>
                <w:spacing w:val="-3"/>
              </w:rPr>
            </w:pPr>
          </w:p>
          <w:p w14:paraId="02AF1B38" w14:textId="77777777" w:rsidR="008128CD" w:rsidRDefault="008128CD" w:rsidP="00163759">
            <w:pPr>
              <w:suppressAutoHyphens/>
              <w:rPr>
                <w:spacing w:val="-3"/>
              </w:rPr>
            </w:pPr>
            <w:r>
              <w:rPr>
                <w:spacing w:val="-3"/>
              </w:rPr>
              <w:t xml:space="preserve">Encefalopati og </w:t>
            </w:r>
            <w:proofErr w:type="spellStart"/>
            <w:r>
              <w:rPr>
                <w:spacing w:val="-3"/>
              </w:rPr>
              <w:t>subakut</w:t>
            </w:r>
            <w:proofErr w:type="spellEnd"/>
            <w:r>
              <w:rPr>
                <w:spacing w:val="-3"/>
              </w:rPr>
              <w:t xml:space="preserve"> cerebralt syndrom (f.eks. </w:t>
            </w:r>
            <w:proofErr w:type="spellStart"/>
            <w:r>
              <w:rPr>
                <w:spacing w:val="-3"/>
              </w:rPr>
              <w:t>ataksi</w:t>
            </w:r>
            <w:proofErr w:type="spellEnd"/>
            <w:r>
              <w:rPr>
                <w:spacing w:val="-3"/>
              </w:rPr>
              <w:t xml:space="preserve">, </w:t>
            </w:r>
            <w:proofErr w:type="spellStart"/>
            <w:r>
              <w:rPr>
                <w:spacing w:val="-3"/>
              </w:rPr>
              <w:t>dysartri</w:t>
            </w:r>
            <w:proofErr w:type="spellEnd"/>
            <w:r>
              <w:rPr>
                <w:spacing w:val="-3"/>
              </w:rPr>
              <w:t xml:space="preserve">, nystagmus, usikker gang og rysten), som kan være reversible ved </w:t>
            </w:r>
            <w:proofErr w:type="spellStart"/>
            <w:r>
              <w:rPr>
                <w:spacing w:val="-3"/>
              </w:rPr>
              <w:t>seponering</w:t>
            </w:r>
            <w:proofErr w:type="spellEnd"/>
            <w:r>
              <w:rPr>
                <w:spacing w:val="-3"/>
              </w:rPr>
              <w:t xml:space="preserve"> af lægemidlet.</w:t>
            </w:r>
          </w:p>
          <w:p w14:paraId="12B3D7C3" w14:textId="77777777" w:rsidR="008128CD" w:rsidRDefault="008128CD" w:rsidP="00163759">
            <w:pPr>
              <w:suppressAutoHyphens/>
              <w:rPr>
                <w:u w:val="single"/>
              </w:rPr>
            </w:pPr>
          </w:p>
          <w:p w14:paraId="186911F6" w14:textId="77777777" w:rsidR="008128CD" w:rsidRDefault="008128CD" w:rsidP="00163759">
            <w:pPr>
              <w:suppressAutoHyphens/>
            </w:pPr>
            <w:r>
              <w:t>Aseptisk meningitis.</w:t>
            </w:r>
          </w:p>
          <w:p w14:paraId="11E2C4BD" w14:textId="77777777" w:rsidR="008128CD" w:rsidRDefault="008128CD" w:rsidP="00163759">
            <w:pPr>
              <w:suppressAutoHyphens/>
            </w:pPr>
          </w:p>
        </w:tc>
      </w:tr>
      <w:tr w:rsidR="008128CD" w14:paraId="3F388519"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447A2169" w14:textId="77777777" w:rsidR="008128CD" w:rsidRDefault="008128CD" w:rsidP="00163759">
            <w:pPr>
              <w:pStyle w:val="Overskrift2"/>
              <w:tabs>
                <w:tab w:val="left" w:pos="4536"/>
              </w:tabs>
              <w:suppressAutoHyphens/>
              <w:jc w:val="left"/>
              <w:rPr>
                <w:sz w:val="23"/>
                <w:szCs w:val="23"/>
              </w:rPr>
            </w:pPr>
            <w:r>
              <w:rPr>
                <w:sz w:val="23"/>
                <w:szCs w:val="23"/>
              </w:rPr>
              <w:t>Øjne</w:t>
            </w:r>
          </w:p>
          <w:p w14:paraId="1C60837A" w14:textId="77777777" w:rsidR="008128CD" w:rsidRDefault="008128CD" w:rsidP="00163759">
            <w:pPr>
              <w:suppressAutoHyphens/>
            </w:pPr>
            <w:r>
              <w:t>Sjælden</w:t>
            </w:r>
          </w:p>
          <w:p w14:paraId="3DA099FD" w14:textId="77777777" w:rsidR="008128CD" w:rsidRDefault="008128CD" w:rsidP="00163759">
            <w:pPr>
              <w:suppressAutoHyphens/>
            </w:pPr>
          </w:p>
          <w:p w14:paraId="5540615D" w14:textId="77777777" w:rsidR="008128CD" w:rsidRDefault="008128CD" w:rsidP="00163759">
            <w:pPr>
              <w:suppressAutoHyphens/>
            </w:pPr>
          </w:p>
          <w:p w14:paraId="21E4208D" w14:textId="77777777" w:rsidR="008128CD" w:rsidRDefault="008128CD" w:rsidP="00163759">
            <w:pPr>
              <w:suppressAutoHyphens/>
            </w:pPr>
          </w:p>
          <w:p w14:paraId="47C18D0D" w14:textId="77777777" w:rsidR="008128CD" w:rsidRDefault="008128CD" w:rsidP="00163759">
            <w:pPr>
              <w:suppressAutoHyphens/>
            </w:pPr>
            <w:r>
              <w:t>Ikke kendt</w:t>
            </w:r>
          </w:p>
          <w:p w14:paraId="674CFEAB" w14:textId="77777777" w:rsidR="008128CD" w:rsidRDefault="008128CD" w:rsidP="00163759">
            <w:pPr>
              <w:suppressAutoHyphens/>
              <w:rPr>
                <w:b/>
              </w:rPr>
            </w:pPr>
          </w:p>
        </w:tc>
        <w:tc>
          <w:tcPr>
            <w:tcW w:w="2500" w:type="pct"/>
            <w:tcBorders>
              <w:top w:val="single" w:sz="4" w:space="0" w:color="auto"/>
              <w:left w:val="single" w:sz="4" w:space="0" w:color="auto"/>
              <w:bottom w:val="single" w:sz="4" w:space="0" w:color="auto"/>
              <w:right w:val="single" w:sz="4" w:space="0" w:color="auto"/>
            </w:tcBorders>
          </w:tcPr>
          <w:p w14:paraId="0FD2C2E3" w14:textId="77777777" w:rsidR="008128CD" w:rsidRDefault="008128CD" w:rsidP="00163759">
            <w:pPr>
              <w:tabs>
                <w:tab w:val="left" w:pos="0"/>
                <w:tab w:val="left" w:pos="851"/>
              </w:tabs>
              <w:suppressAutoHyphens/>
              <w:rPr>
                <w:spacing w:val="-3"/>
              </w:rPr>
            </w:pPr>
          </w:p>
          <w:p w14:paraId="238B2CFF" w14:textId="77777777" w:rsidR="008128CD" w:rsidRDefault="008128CD" w:rsidP="00163759">
            <w:pPr>
              <w:suppressAutoHyphens/>
              <w:rPr>
                <w:spacing w:val="-3"/>
              </w:rPr>
            </w:pPr>
            <w:r>
              <w:rPr>
                <w:spacing w:val="-3"/>
              </w:rPr>
              <w:t xml:space="preserve">Forbigående synsforstyrrelser som </w:t>
            </w:r>
            <w:proofErr w:type="spellStart"/>
            <w:r>
              <w:rPr>
                <w:spacing w:val="-3"/>
              </w:rPr>
              <w:t>diplopi</w:t>
            </w:r>
            <w:proofErr w:type="spellEnd"/>
            <w:r>
              <w:rPr>
                <w:spacing w:val="-3"/>
              </w:rPr>
              <w:t xml:space="preserve"> og </w:t>
            </w:r>
            <w:proofErr w:type="spellStart"/>
            <w:r>
              <w:rPr>
                <w:spacing w:val="-3"/>
              </w:rPr>
              <w:t>myopi</w:t>
            </w:r>
            <w:proofErr w:type="spellEnd"/>
            <w:r>
              <w:rPr>
                <w:spacing w:val="-3"/>
              </w:rPr>
              <w:t>, sløret syn, nedsat synsskarphed, ændringer i farveopfattelsen.</w:t>
            </w:r>
          </w:p>
          <w:p w14:paraId="2D4A04C2" w14:textId="77777777" w:rsidR="008128CD" w:rsidRDefault="008128CD" w:rsidP="00163759">
            <w:pPr>
              <w:suppressAutoHyphens/>
              <w:rPr>
                <w:szCs w:val="23"/>
              </w:rPr>
            </w:pPr>
          </w:p>
          <w:p w14:paraId="0BA56351" w14:textId="77777777" w:rsidR="008128CD" w:rsidRDefault="008128CD" w:rsidP="00163759">
            <w:pPr>
              <w:suppressAutoHyphens/>
              <w:rPr>
                <w:spacing w:val="-3"/>
              </w:rPr>
            </w:pPr>
            <w:r>
              <w:rPr>
                <w:spacing w:val="-3"/>
              </w:rPr>
              <w:t xml:space="preserve">Optisk </w:t>
            </w:r>
            <w:proofErr w:type="spellStart"/>
            <w:r>
              <w:rPr>
                <w:spacing w:val="-3"/>
              </w:rPr>
              <w:t>neuropati</w:t>
            </w:r>
            <w:proofErr w:type="spellEnd"/>
            <w:r>
              <w:rPr>
                <w:spacing w:val="-3"/>
              </w:rPr>
              <w:t>/</w:t>
            </w:r>
            <w:proofErr w:type="spellStart"/>
            <w:r>
              <w:rPr>
                <w:spacing w:val="-3"/>
              </w:rPr>
              <w:t>neuritis</w:t>
            </w:r>
            <w:proofErr w:type="spellEnd"/>
            <w:r>
              <w:rPr>
                <w:spacing w:val="-3"/>
              </w:rPr>
              <w:t>.</w:t>
            </w:r>
          </w:p>
          <w:p w14:paraId="62DFCFEC" w14:textId="77777777" w:rsidR="008128CD" w:rsidRDefault="008128CD" w:rsidP="00163759">
            <w:pPr>
              <w:suppressAutoHyphens/>
              <w:rPr>
                <w:szCs w:val="23"/>
              </w:rPr>
            </w:pPr>
          </w:p>
        </w:tc>
      </w:tr>
      <w:tr w:rsidR="008128CD" w14:paraId="0AD7D894"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hideMark/>
          </w:tcPr>
          <w:p w14:paraId="7656ED4A" w14:textId="77777777" w:rsidR="008128CD" w:rsidRDefault="008128CD" w:rsidP="00163759">
            <w:pPr>
              <w:rPr>
                <w:b/>
                <w:szCs w:val="23"/>
              </w:rPr>
            </w:pPr>
            <w:r>
              <w:rPr>
                <w:b/>
                <w:szCs w:val="23"/>
              </w:rPr>
              <w:t>Øre og labyrint</w:t>
            </w:r>
          </w:p>
          <w:p w14:paraId="7FDA2E95" w14:textId="77777777" w:rsidR="008128CD" w:rsidRDefault="008128CD" w:rsidP="00163759">
            <w:pPr>
              <w:rPr>
                <w:szCs w:val="23"/>
              </w:rPr>
            </w:pPr>
            <w:r>
              <w:rPr>
                <w:szCs w:val="23"/>
              </w:rPr>
              <w:t>Ikke kendt</w:t>
            </w:r>
          </w:p>
        </w:tc>
        <w:tc>
          <w:tcPr>
            <w:tcW w:w="2500" w:type="pct"/>
            <w:tcBorders>
              <w:top w:val="single" w:sz="4" w:space="0" w:color="auto"/>
              <w:left w:val="single" w:sz="4" w:space="0" w:color="auto"/>
              <w:bottom w:val="single" w:sz="4" w:space="0" w:color="auto"/>
              <w:right w:val="single" w:sz="4" w:space="0" w:color="auto"/>
            </w:tcBorders>
          </w:tcPr>
          <w:p w14:paraId="703A1053" w14:textId="77777777" w:rsidR="008128CD" w:rsidRDefault="008128CD" w:rsidP="00163759">
            <w:pPr>
              <w:ind w:right="-1"/>
              <w:rPr>
                <w:szCs w:val="23"/>
              </w:rPr>
            </w:pPr>
          </w:p>
          <w:p w14:paraId="7E912647" w14:textId="77777777" w:rsidR="008128CD" w:rsidRDefault="008128CD" w:rsidP="00163759">
            <w:pPr>
              <w:ind w:right="-1"/>
              <w:rPr>
                <w:szCs w:val="23"/>
              </w:rPr>
            </w:pPr>
            <w:r>
              <w:rPr>
                <w:szCs w:val="23"/>
              </w:rPr>
              <w:t>Nedsat hørelse/tab af hørelse, tinnitus.</w:t>
            </w:r>
          </w:p>
          <w:p w14:paraId="217661D0" w14:textId="77777777" w:rsidR="008128CD" w:rsidRDefault="008128CD" w:rsidP="00163759">
            <w:pPr>
              <w:ind w:right="-1"/>
              <w:rPr>
                <w:szCs w:val="23"/>
              </w:rPr>
            </w:pPr>
          </w:p>
          <w:p w14:paraId="55933151" w14:textId="77777777" w:rsidR="008128CD" w:rsidRDefault="008128CD" w:rsidP="00163759">
            <w:pPr>
              <w:ind w:right="-1"/>
              <w:rPr>
                <w:szCs w:val="23"/>
              </w:rPr>
            </w:pPr>
          </w:p>
        </w:tc>
      </w:tr>
      <w:tr w:rsidR="008128CD" w14:paraId="26DE8866"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159C6BAD" w14:textId="77777777" w:rsidR="008128CD" w:rsidRDefault="008128CD" w:rsidP="00163759">
            <w:pPr>
              <w:rPr>
                <w:b/>
                <w:szCs w:val="23"/>
              </w:rPr>
            </w:pPr>
            <w:proofErr w:type="spellStart"/>
            <w:r>
              <w:rPr>
                <w:b/>
                <w:szCs w:val="23"/>
              </w:rPr>
              <w:lastRenderedPageBreak/>
              <w:t>Mave-tarmkanalen</w:t>
            </w:r>
            <w:proofErr w:type="spellEnd"/>
          </w:p>
          <w:p w14:paraId="2CDB9162" w14:textId="77777777" w:rsidR="008128CD" w:rsidRDefault="008128CD" w:rsidP="00163759">
            <w:pPr>
              <w:suppressAutoHyphens/>
              <w:rPr>
                <w:szCs w:val="23"/>
              </w:rPr>
            </w:pPr>
            <w:r>
              <w:rPr>
                <w:szCs w:val="23"/>
              </w:rPr>
              <w:t>Almindelig</w:t>
            </w:r>
          </w:p>
          <w:p w14:paraId="7E6525A7" w14:textId="77777777" w:rsidR="008128CD" w:rsidRDefault="008128CD" w:rsidP="00163759">
            <w:pPr>
              <w:rPr>
                <w:szCs w:val="23"/>
              </w:rPr>
            </w:pPr>
          </w:p>
          <w:p w14:paraId="09627BB2" w14:textId="77777777" w:rsidR="008128CD" w:rsidRDefault="008128CD" w:rsidP="00163759">
            <w:pPr>
              <w:rPr>
                <w:szCs w:val="23"/>
              </w:rPr>
            </w:pPr>
          </w:p>
          <w:p w14:paraId="2230113D" w14:textId="77777777" w:rsidR="008128CD" w:rsidRDefault="008128CD" w:rsidP="00163759"/>
          <w:p w14:paraId="29122621" w14:textId="77777777" w:rsidR="008128CD" w:rsidRDefault="008128CD" w:rsidP="00163759">
            <w:r>
              <w:t>Sjælden</w:t>
            </w:r>
          </w:p>
          <w:p w14:paraId="384D9914" w14:textId="77777777" w:rsidR="008128CD" w:rsidRDefault="008128CD" w:rsidP="00163759">
            <w:pPr>
              <w:rPr>
                <w:szCs w:val="23"/>
              </w:rPr>
            </w:pPr>
          </w:p>
          <w:p w14:paraId="13F66CFC" w14:textId="77777777" w:rsidR="008128CD" w:rsidRDefault="008128CD" w:rsidP="00163759">
            <w:r>
              <w:rPr>
                <w:szCs w:val="23"/>
              </w:rPr>
              <w:t>Meget sjælden</w:t>
            </w:r>
          </w:p>
          <w:p w14:paraId="6FBFB56B" w14:textId="77777777" w:rsidR="008128CD" w:rsidRDefault="008128CD" w:rsidP="00163759">
            <w:pPr>
              <w:suppressAutoHyphens/>
            </w:pPr>
            <w:r>
              <w:t>Ikke kendt</w:t>
            </w:r>
          </w:p>
          <w:p w14:paraId="289FBAB7" w14:textId="77777777" w:rsidR="008128CD" w:rsidRDefault="008128CD" w:rsidP="00163759">
            <w:pPr>
              <w:rPr>
                <w:szCs w:val="23"/>
              </w:rPr>
            </w:pPr>
          </w:p>
        </w:tc>
        <w:tc>
          <w:tcPr>
            <w:tcW w:w="2500" w:type="pct"/>
            <w:tcBorders>
              <w:top w:val="single" w:sz="4" w:space="0" w:color="auto"/>
              <w:left w:val="single" w:sz="4" w:space="0" w:color="auto"/>
              <w:bottom w:val="single" w:sz="4" w:space="0" w:color="auto"/>
              <w:right w:val="single" w:sz="4" w:space="0" w:color="auto"/>
            </w:tcBorders>
          </w:tcPr>
          <w:p w14:paraId="12CAC73D" w14:textId="77777777" w:rsidR="008128CD" w:rsidRDefault="008128CD" w:rsidP="00163759">
            <w:pPr>
              <w:tabs>
                <w:tab w:val="left" w:pos="0"/>
                <w:tab w:val="left" w:pos="851"/>
              </w:tabs>
              <w:rPr>
                <w:spacing w:val="-3"/>
              </w:rPr>
            </w:pPr>
          </w:p>
          <w:p w14:paraId="084A30F3" w14:textId="53DC7825" w:rsidR="008128CD" w:rsidRDefault="008128CD" w:rsidP="00163759">
            <w:pPr>
              <w:tabs>
                <w:tab w:val="left" w:pos="0"/>
                <w:tab w:val="left" w:pos="851"/>
              </w:tabs>
              <w:rPr>
                <w:spacing w:val="-3"/>
              </w:rPr>
            </w:pPr>
            <w:r>
              <w:rPr>
                <w:spacing w:val="-3"/>
              </w:rPr>
              <w:t xml:space="preserve">Smagsforstyrrelser (metalsmag), kvalme, opkastning, mavesmerter, diarré, obstipation, oral </w:t>
            </w:r>
            <w:proofErr w:type="spellStart"/>
            <w:r>
              <w:rPr>
                <w:spacing w:val="-3"/>
              </w:rPr>
              <w:t>mucositis</w:t>
            </w:r>
            <w:proofErr w:type="spellEnd"/>
            <w:r w:rsidR="00AE73F1">
              <w:rPr>
                <w:spacing w:val="-3"/>
              </w:rPr>
              <w:t>, mundtørhed</w:t>
            </w:r>
          </w:p>
          <w:p w14:paraId="2144A030" w14:textId="77777777" w:rsidR="008128CD" w:rsidRDefault="008128CD" w:rsidP="00163759">
            <w:pPr>
              <w:tabs>
                <w:tab w:val="left" w:pos="0"/>
                <w:tab w:val="left" w:pos="851"/>
              </w:tabs>
              <w:rPr>
                <w:spacing w:val="-3"/>
              </w:rPr>
            </w:pPr>
          </w:p>
          <w:p w14:paraId="60C216F8" w14:textId="77777777" w:rsidR="008128CD" w:rsidRDefault="008128CD" w:rsidP="00163759">
            <w:pPr>
              <w:tabs>
                <w:tab w:val="left" w:pos="0"/>
                <w:tab w:val="left" w:pos="851"/>
              </w:tabs>
              <w:rPr>
                <w:spacing w:val="-3"/>
              </w:rPr>
            </w:pPr>
            <w:proofErr w:type="spellStart"/>
            <w:r>
              <w:rPr>
                <w:spacing w:val="-3"/>
              </w:rPr>
              <w:t>Pankreatit</w:t>
            </w:r>
            <w:proofErr w:type="spellEnd"/>
            <w:r>
              <w:rPr>
                <w:spacing w:val="-3"/>
              </w:rPr>
              <w:t xml:space="preserve"> (reversibel), anoreksi.</w:t>
            </w:r>
          </w:p>
          <w:p w14:paraId="10F81784" w14:textId="77777777" w:rsidR="008128CD" w:rsidRDefault="008128CD" w:rsidP="00163759">
            <w:pPr>
              <w:tabs>
                <w:tab w:val="left" w:pos="567"/>
                <w:tab w:val="left" w:pos="851"/>
                <w:tab w:val="num" w:pos="1134"/>
                <w:tab w:val="left" w:pos="1418"/>
                <w:tab w:val="left" w:pos="5000"/>
                <w:tab w:val="left" w:pos="6680"/>
              </w:tabs>
            </w:pPr>
          </w:p>
          <w:p w14:paraId="18AADA41" w14:textId="77777777" w:rsidR="008128CD" w:rsidRDefault="008128CD" w:rsidP="00163759">
            <w:pPr>
              <w:tabs>
                <w:tab w:val="left" w:pos="567"/>
                <w:tab w:val="left" w:pos="851"/>
                <w:tab w:val="num" w:pos="1134"/>
                <w:tab w:val="left" w:pos="1418"/>
                <w:tab w:val="left" w:pos="5000"/>
                <w:tab w:val="left" w:pos="6680"/>
              </w:tabs>
            </w:pPr>
            <w:proofErr w:type="spellStart"/>
            <w:r>
              <w:t>Pseudomembranøs</w:t>
            </w:r>
            <w:proofErr w:type="spellEnd"/>
            <w:r>
              <w:t xml:space="preserve"> </w:t>
            </w:r>
            <w:proofErr w:type="spellStart"/>
            <w:r>
              <w:t>colit</w:t>
            </w:r>
            <w:proofErr w:type="spellEnd"/>
            <w:r>
              <w:t>.</w:t>
            </w:r>
          </w:p>
          <w:p w14:paraId="6D83A509" w14:textId="77777777" w:rsidR="008128CD" w:rsidRDefault="008128CD" w:rsidP="00163759">
            <w:pPr>
              <w:tabs>
                <w:tab w:val="left" w:pos="567"/>
                <w:tab w:val="left" w:pos="851"/>
                <w:tab w:val="num" w:pos="1134"/>
                <w:tab w:val="left" w:pos="1418"/>
                <w:tab w:val="left" w:pos="5000"/>
                <w:tab w:val="left" w:pos="6680"/>
              </w:tabs>
            </w:pPr>
          </w:p>
          <w:p w14:paraId="6E5F37AA" w14:textId="77777777" w:rsidR="008128CD" w:rsidRDefault="008128CD" w:rsidP="00163759">
            <w:pPr>
              <w:tabs>
                <w:tab w:val="left" w:pos="567"/>
                <w:tab w:val="left" w:pos="851"/>
                <w:tab w:val="num" w:pos="1134"/>
                <w:tab w:val="left" w:pos="1418"/>
                <w:tab w:val="left" w:pos="5000"/>
                <w:tab w:val="left" w:pos="6680"/>
              </w:tabs>
            </w:pPr>
            <w:r>
              <w:t>Misfarvning af tungen/lodden tunge (f.eks. som følge af svampevækst).</w:t>
            </w:r>
          </w:p>
          <w:p w14:paraId="55E75617" w14:textId="77777777" w:rsidR="008128CD" w:rsidRDefault="008128CD" w:rsidP="00163759">
            <w:pPr>
              <w:tabs>
                <w:tab w:val="left" w:pos="567"/>
                <w:tab w:val="left" w:pos="851"/>
                <w:tab w:val="num" w:pos="1134"/>
                <w:tab w:val="left" w:pos="1418"/>
                <w:tab w:val="left" w:pos="5000"/>
                <w:tab w:val="left" w:pos="6680"/>
              </w:tabs>
            </w:pPr>
          </w:p>
        </w:tc>
      </w:tr>
      <w:tr w:rsidR="008128CD" w14:paraId="0C968E18"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422374F1" w14:textId="77777777" w:rsidR="008128CD" w:rsidRDefault="008128CD" w:rsidP="00163759">
            <w:pPr>
              <w:rPr>
                <w:b/>
              </w:rPr>
            </w:pPr>
            <w:r>
              <w:rPr>
                <w:b/>
                <w:szCs w:val="23"/>
              </w:rPr>
              <w:t>Lever- og galdeveje</w:t>
            </w:r>
          </w:p>
          <w:p w14:paraId="654A0AC1" w14:textId="77777777" w:rsidR="008128CD" w:rsidRDefault="008128CD" w:rsidP="00163759">
            <w:pPr>
              <w:suppressAutoHyphens/>
              <w:rPr>
                <w:szCs w:val="23"/>
              </w:rPr>
            </w:pPr>
            <w:r>
              <w:t>Sjælden</w:t>
            </w:r>
          </w:p>
          <w:p w14:paraId="648B79B5" w14:textId="77777777" w:rsidR="008128CD" w:rsidRDefault="008128CD" w:rsidP="00163759">
            <w:pPr>
              <w:suppressAutoHyphens/>
              <w:rPr>
                <w:szCs w:val="23"/>
              </w:rPr>
            </w:pPr>
          </w:p>
          <w:p w14:paraId="55C90EA9" w14:textId="77777777" w:rsidR="008128CD" w:rsidRDefault="008128CD" w:rsidP="00163759">
            <w:r>
              <w:rPr>
                <w:szCs w:val="23"/>
              </w:rPr>
              <w:t>Meget sjælden</w:t>
            </w:r>
          </w:p>
          <w:p w14:paraId="1D44578B" w14:textId="77777777" w:rsidR="008128CD" w:rsidRDefault="008128CD" w:rsidP="00163759"/>
          <w:p w14:paraId="61DF236B" w14:textId="77777777" w:rsidR="008128CD" w:rsidRDefault="008128CD" w:rsidP="00163759"/>
          <w:p w14:paraId="485EBB5A" w14:textId="77777777" w:rsidR="008128CD" w:rsidRDefault="008128CD" w:rsidP="00163759"/>
          <w:p w14:paraId="754652B8" w14:textId="77777777" w:rsidR="008128CD" w:rsidRDefault="008128CD" w:rsidP="00163759">
            <w:pPr>
              <w:suppressAutoHyphens/>
            </w:pPr>
            <w:r>
              <w:t>Ikke kendt</w:t>
            </w:r>
          </w:p>
          <w:p w14:paraId="25E053AF" w14:textId="77777777" w:rsidR="008128CD" w:rsidRDefault="008128CD" w:rsidP="00163759">
            <w:pPr>
              <w:rPr>
                <w:b/>
                <w:szCs w:val="23"/>
              </w:rPr>
            </w:pPr>
          </w:p>
        </w:tc>
        <w:tc>
          <w:tcPr>
            <w:tcW w:w="2500" w:type="pct"/>
            <w:tcBorders>
              <w:top w:val="single" w:sz="4" w:space="0" w:color="auto"/>
              <w:left w:val="single" w:sz="4" w:space="0" w:color="auto"/>
              <w:bottom w:val="single" w:sz="4" w:space="0" w:color="auto"/>
              <w:right w:val="single" w:sz="4" w:space="0" w:color="auto"/>
            </w:tcBorders>
          </w:tcPr>
          <w:p w14:paraId="29F71759" w14:textId="77777777" w:rsidR="008128CD" w:rsidRDefault="008128CD" w:rsidP="00163759">
            <w:pPr>
              <w:tabs>
                <w:tab w:val="left" w:pos="0"/>
                <w:tab w:val="left" w:pos="851"/>
              </w:tabs>
              <w:rPr>
                <w:spacing w:val="-3"/>
              </w:rPr>
            </w:pPr>
          </w:p>
          <w:p w14:paraId="074782B5" w14:textId="77777777" w:rsidR="008128CD" w:rsidRDefault="008128CD" w:rsidP="00163759">
            <w:pPr>
              <w:tabs>
                <w:tab w:val="left" w:pos="0"/>
                <w:tab w:val="left" w:pos="851"/>
              </w:tabs>
              <w:rPr>
                <w:spacing w:val="-3"/>
              </w:rPr>
            </w:pPr>
            <w:proofErr w:type="spellStart"/>
            <w:r>
              <w:rPr>
                <w:spacing w:val="-3"/>
              </w:rPr>
              <w:t>Ikterus</w:t>
            </w:r>
            <w:proofErr w:type="spellEnd"/>
            <w:r>
              <w:rPr>
                <w:spacing w:val="-3"/>
              </w:rPr>
              <w:t>.</w:t>
            </w:r>
          </w:p>
          <w:p w14:paraId="5D6E1745" w14:textId="77777777" w:rsidR="008128CD" w:rsidRDefault="008128CD" w:rsidP="00163759">
            <w:pPr>
              <w:tabs>
                <w:tab w:val="left" w:pos="0"/>
                <w:tab w:val="left" w:pos="851"/>
              </w:tabs>
              <w:rPr>
                <w:spacing w:val="-3"/>
              </w:rPr>
            </w:pPr>
          </w:p>
          <w:p w14:paraId="637F90C6" w14:textId="77777777" w:rsidR="008128CD" w:rsidRDefault="008128CD" w:rsidP="00163759">
            <w:pPr>
              <w:tabs>
                <w:tab w:val="left" w:pos="567"/>
                <w:tab w:val="left" w:pos="851"/>
                <w:tab w:val="num" w:pos="1134"/>
                <w:tab w:val="left" w:pos="1418"/>
                <w:tab w:val="left" w:pos="5000"/>
                <w:tab w:val="left" w:pos="6680"/>
              </w:tabs>
              <w:rPr>
                <w:spacing w:val="-3"/>
              </w:rPr>
            </w:pPr>
            <w:r>
              <w:rPr>
                <w:spacing w:val="-3"/>
              </w:rPr>
              <w:t xml:space="preserve">Forhøjede leverenzymer, </w:t>
            </w:r>
            <w:proofErr w:type="spellStart"/>
            <w:r>
              <w:rPr>
                <w:spacing w:val="-3"/>
              </w:rPr>
              <w:t>kolestatisk</w:t>
            </w:r>
            <w:proofErr w:type="spellEnd"/>
            <w:r>
              <w:rPr>
                <w:spacing w:val="-3"/>
              </w:rPr>
              <w:t xml:space="preserve"> eller blandet </w:t>
            </w:r>
            <w:proofErr w:type="spellStart"/>
            <w:r>
              <w:rPr>
                <w:spacing w:val="-3"/>
              </w:rPr>
              <w:t>hepatit</w:t>
            </w:r>
            <w:proofErr w:type="spellEnd"/>
            <w:r>
              <w:rPr>
                <w:spacing w:val="-3"/>
              </w:rPr>
              <w:t xml:space="preserve"> og </w:t>
            </w:r>
            <w:proofErr w:type="spellStart"/>
            <w:r>
              <w:rPr>
                <w:spacing w:val="-3"/>
              </w:rPr>
              <w:t>hepatocellulær</w:t>
            </w:r>
            <w:proofErr w:type="spellEnd"/>
            <w:r>
              <w:rPr>
                <w:spacing w:val="-3"/>
              </w:rPr>
              <w:t xml:space="preserve"> leverskade, nogle gange med </w:t>
            </w:r>
            <w:proofErr w:type="spellStart"/>
            <w:r>
              <w:rPr>
                <w:spacing w:val="-3"/>
              </w:rPr>
              <w:t>ikterus</w:t>
            </w:r>
            <w:proofErr w:type="spellEnd"/>
            <w:r>
              <w:rPr>
                <w:spacing w:val="-3"/>
              </w:rPr>
              <w:t>.</w:t>
            </w:r>
          </w:p>
          <w:p w14:paraId="2FE1EC8C" w14:textId="77777777" w:rsidR="008128CD" w:rsidRDefault="008128CD" w:rsidP="00163759">
            <w:pPr>
              <w:tabs>
                <w:tab w:val="left" w:pos="567"/>
                <w:tab w:val="left" w:pos="851"/>
                <w:tab w:val="num" w:pos="1134"/>
                <w:tab w:val="left" w:pos="1418"/>
                <w:tab w:val="left" w:pos="5000"/>
                <w:tab w:val="left" w:pos="6680"/>
              </w:tabs>
              <w:rPr>
                <w:spacing w:val="-3"/>
              </w:rPr>
            </w:pPr>
          </w:p>
          <w:p w14:paraId="093C90ED" w14:textId="77777777" w:rsidR="008128CD" w:rsidRDefault="008128CD" w:rsidP="00163759">
            <w:pPr>
              <w:tabs>
                <w:tab w:val="left" w:pos="567"/>
                <w:tab w:val="left" w:pos="851"/>
                <w:tab w:val="num" w:pos="1134"/>
                <w:tab w:val="left" w:pos="1418"/>
                <w:tab w:val="left" w:pos="5000"/>
                <w:tab w:val="left" w:pos="6680"/>
              </w:tabs>
              <w:rPr>
                <w:spacing w:val="-3"/>
              </w:rPr>
            </w:pPr>
            <w:r>
              <w:rPr>
                <w:spacing w:val="-3"/>
              </w:rPr>
              <w:t xml:space="preserve">Tilfælde af transplantationskrævende leversvigt er rapporteret hos patienter behandlet med </w:t>
            </w:r>
            <w:proofErr w:type="spellStart"/>
            <w:r>
              <w:rPr>
                <w:spacing w:val="-3"/>
              </w:rPr>
              <w:t>metronidazol</w:t>
            </w:r>
            <w:proofErr w:type="spellEnd"/>
            <w:r>
              <w:rPr>
                <w:spacing w:val="-3"/>
              </w:rPr>
              <w:t xml:space="preserve"> i kombination med andre antibiotika.</w:t>
            </w:r>
          </w:p>
          <w:p w14:paraId="7390944F" w14:textId="77777777" w:rsidR="008128CD" w:rsidRDefault="008128CD" w:rsidP="00163759">
            <w:pPr>
              <w:tabs>
                <w:tab w:val="left" w:pos="0"/>
                <w:tab w:val="left" w:pos="851"/>
              </w:tabs>
              <w:rPr>
                <w:spacing w:val="-3"/>
              </w:rPr>
            </w:pPr>
          </w:p>
        </w:tc>
      </w:tr>
      <w:tr w:rsidR="008128CD" w14:paraId="7C35B6B4"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06D5D7B5" w14:textId="77777777" w:rsidR="008128CD" w:rsidRDefault="008128CD" w:rsidP="00163759">
            <w:pPr>
              <w:rPr>
                <w:b/>
                <w:szCs w:val="23"/>
              </w:rPr>
            </w:pPr>
            <w:r>
              <w:rPr>
                <w:b/>
                <w:szCs w:val="23"/>
              </w:rPr>
              <w:t>Hud og subkutane væv</w:t>
            </w:r>
          </w:p>
          <w:p w14:paraId="54C0FBF1" w14:textId="77777777" w:rsidR="008128CD" w:rsidRDefault="008128CD" w:rsidP="00163759">
            <w:r>
              <w:t>Sjælden</w:t>
            </w:r>
          </w:p>
          <w:p w14:paraId="0A8E2771" w14:textId="77777777" w:rsidR="008128CD" w:rsidRDefault="008128CD" w:rsidP="00163759">
            <w:pPr>
              <w:rPr>
                <w:szCs w:val="23"/>
              </w:rPr>
            </w:pPr>
          </w:p>
          <w:p w14:paraId="0A8BDA31" w14:textId="77777777" w:rsidR="008128CD" w:rsidRDefault="008128CD" w:rsidP="00163759">
            <w:pPr>
              <w:rPr>
                <w:szCs w:val="23"/>
              </w:rPr>
            </w:pPr>
          </w:p>
          <w:p w14:paraId="323E4FDC" w14:textId="77777777" w:rsidR="008128CD" w:rsidRDefault="008128CD" w:rsidP="00163759">
            <w:pPr>
              <w:rPr>
                <w:szCs w:val="23"/>
              </w:rPr>
            </w:pPr>
          </w:p>
          <w:p w14:paraId="1B8A7E65" w14:textId="77777777" w:rsidR="008128CD" w:rsidRDefault="008128CD" w:rsidP="00163759">
            <w:r>
              <w:rPr>
                <w:szCs w:val="23"/>
              </w:rPr>
              <w:t>Meget sjælden</w:t>
            </w:r>
          </w:p>
          <w:p w14:paraId="2B1FA982" w14:textId="77777777" w:rsidR="008128CD" w:rsidRDefault="008128CD" w:rsidP="00163759"/>
          <w:p w14:paraId="78B69845" w14:textId="77777777" w:rsidR="008128CD" w:rsidRDefault="008128CD" w:rsidP="00163759">
            <w:pPr>
              <w:suppressAutoHyphens/>
            </w:pPr>
            <w:r>
              <w:t>Ikke kendt</w:t>
            </w:r>
          </w:p>
          <w:p w14:paraId="0FFC8A2D" w14:textId="77777777" w:rsidR="008128CD" w:rsidRDefault="008128CD" w:rsidP="00163759">
            <w:pPr>
              <w:rPr>
                <w:szCs w:val="23"/>
              </w:rPr>
            </w:pPr>
          </w:p>
        </w:tc>
        <w:tc>
          <w:tcPr>
            <w:tcW w:w="2500" w:type="pct"/>
            <w:tcBorders>
              <w:top w:val="single" w:sz="4" w:space="0" w:color="auto"/>
              <w:left w:val="single" w:sz="4" w:space="0" w:color="auto"/>
              <w:bottom w:val="single" w:sz="4" w:space="0" w:color="auto"/>
              <w:right w:val="single" w:sz="4" w:space="0" w:color="auto"/>
            </w:tcBorders>
          </w:tcPr>
          <w:p w14:paraId="664DA49B" w14:textId="77777777" w:rsidR="008128CD" w:rsidRDefault="008128CD" w:rsidP="00163759">
            <w:pPr>
              <w:tabs>
                <w:tab w:val="left" w:pos="0"/>
                <w:tab w:val="left" w:pos="851"/>
              </w:tabs>
              <w:rPr>
                <w:spacing w:val="-3"/>
              </w:rPr>
            </w:pPr>
          </w:p>
          <w:p w14:paraId="4BB0BA5B" w14:textId="77777777" w:rsidR="008128CD" w:rsidRDefault="008128CD" w:rsidP="00163759">
            <w:r>
              <w:t xml:space="preserve">Allergiske hudreaktioner som </w:t>
            </w:r>
            <w:proofErr w:type="spellStart"/>
            <w:r>
              <w:t>angioødem</w:t>
            </w:r>
            <w:proofErr w:type="spellEnd"/>
            <w:r>
              <w:t xml:space="preserve">, </w:t>
            </w:r>
            <w:proofErr w:type="spellStart"/>
            <w:r>
              <w:t>eksantem</w:t>
            </w:r>
            <w:proofErr w:type="spellEnd"/>
            <w:r>
              <w:t xml:space="preserve">, </w:t>
            </w:r>
            <w:proofErr w:type="spellStart"/>
            <w:r>
              <w:t>pruritus</w:t>
            </w:r>
            <w:proofErr w:type="spellEnd"/>
            <w:r>
              <w:t xml:space="preserve">, </w:t>
            </w:r>
            <w:proofErr w:type="spellStart"/>
            <w:r>
              <w:t>erythema</w:t>
            </w:r>
            <w:proofErr w:type="spellEnd"/>
            <w:r>
              <w:t xml:space="preserve"> multiforme, </w:t>
            </w:r>
            <w:proofErr w:type="spellStart"/>
            <w:r>
              <w:t>urticaria</w:t>
            </w:r>
            <w:proofErr w:type="spellEnd"/>
            <w:r>
              <w:t>, rødme.</w:t>
            </w:r>
          </w:p>
          <w:p w14:paraId="55EA0C0D" w14:textId="77777777" w:rsidR="008128CD" w:rsidRDefault="008128CD" w:rsidP="00163759"/>
          <w:p w14:paraId="0EDD2425" w14:textId="77777777" w:rsidR="008128CD" w:rsidRDefault="008128CD" w:rsidP="00163759">
            <w:r>
              <w:t xml:space="preserve">Pustuløst udslæt, </w:t>
            </w:r>
            <w:proofErr w:type="spellStart"/>
            <w:r>
              <w:t>erythema</w:t>
            </w:r>
            <w:proofErr w:type="spellEnd"/>
            <w:r>
              <w:t xml:space="preserve"> </w:t>
            </w:r>
            <w:proofErr w:type="spellStart"/>
            <w:r>
              <w:t>fixum</w:t>
            </w:r>
            <w:proofErr w:type="spellEnd"/>
            <w:r>
              <w:t>.</w:t>
            </w:r>
          </w:p>
          <w:p w14:paraId="54C0559D" w14:textId="77777777" w:rsidR="008128CD" w:rsidRDefault="008128CD" w:rsidP="00163759"/>
          <w:p w14:paraId="71A14E62" w14:textId="77777777" w:rsidR="008128CD" w:rsidRDefault="008128CD" w:rsidP="00163759">
            <w:r>
              <w:rPr>
                <w:szCs w:val="23"/>
              </w:rPr>
              <w:t>Lokaliseret lægemiddelreaktion, S</w:t>
            </w:r>
            <w:r>
              <w:t xml:space="preserve">tevens-Johnsons syndrom, toksisk </w:t>
            </w:r>
          </w:p>
          <w:p w14:paraId="54490A73" w14:textId="77777777" w:rsidR="008128CD" w:rsidRDefault="008128CD" w:rsidP="00163759">
            <w:proofErr w:type="spellStart"/>
            <w:r>
              <w:t>epidermal</w:t>
            </w:r>
            <w:proofErr w:type="spellEnd"/>
            <w:r>
              <w:t xml:space="preserve"> </w:t>
            </w:r>
            <w:proofErr w:type="spellStart"/>
            <w:r>
              <w:t>nekrolyse</w:t>
            </w:r>
            <w:proofErr w:type="spellEnd"/>
            <w:r>
              <w:t xml:space="preserve">, akut generaliseret </w:t>
            </w:r>
            <w:proofErr w:type="spellStart"/>
            <w:r>
              <w:t>eksantematøs</w:t>
            </w:r>
            <w:proofErr w:type="spellEnd"/>
            <w:r>
              <w:t xml:space="preserve"> </w:t>
            </w:r>
            <w:proofErr w:type="spellStart"/>
            <w:r>
              <w:t>pustulose</w:t>
            </w:r>
            <w:proofErr w:type="spellEnd"/>
            <w:r>
              <w:t xml:space="preserve"> (AGEP).</w:t>
            </w:r>
          </w:p>
          <w:p w14:paraId="1122B991" w14:textId="77777777" w:rsidR="008128CD" w:rsidRDefault="008128CD" w:rsidP="00163759"/>
        </w:tc>
      </w:tr>
      <w:tr w:rsidR="008128CD" w14:paraId="39912871"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hideMark/>
          </w:tcPr>
          <w:p w14:paraId="33AF1F16" w14:textId="77777777" w:rsidR="008128CD" w:rsidRDefault="008128CD" w:rsidP="00163759">
            <w:pPr>
              <w:rPr>
                <w:b/>
                <w:szCs w:val="23"/>
              </w:rPr>
            </w:pPr>
            <w:r>
              <w:rPr>
                <w:b/>
                <w:szCs w:val="23"/>
              </w:rPr>
              <w:t>Nyrer og urinveje</w:t>
            </w:r>
          </w:p>
          <w:p w14:paraId="60486708" w14:textId="77777777" w:rsidR="008128CD" w:rsidRDefault="008128CD" w:rsidP="00163759">
            <w:pPr>
              <w:rPr>
                <w:b/>
                <w:szCs w:val="23"/>
              </w:rPr>
            </w:pPr>
            <w:r>
              <w:t>Sjælden</w:t>
            </w:r>
          </w:p>
        </w:tc>
        <w:tc>
          <w:tcPr>
            <w:tcW w:w="2500" w:type="pct"/>
            <w:tcBorders>
              <w:top w:val="single" w:sz="4" w:space="0" w:color="auto"/>
              <w:left w:val="single" w:sz="4" w:space="0" w:color="auto"/>
              <w:bottom w:val="single" w:sz="4" w:space="0" w:color="auto"/>
              <w:right w:val="single" w:sz="4" w:space="0" w:color="auto"/>
            </w:tcBorders>
          </w:tcPr>
          <w:p w14:paraId="54A58827" w14:textId="77777777" w:rsidR="008128CD" w:rsidRDefault="008128CD" w:rsidP="00163759">
            <w:pPr>
              <w:tabs>
                <w:tab w:val="left" w:pos="0"/>
                <w:tab w:val="left" w:pos="851"/>
              </w:tabs>
              <w:rPr>
                <w:spacing w:val="-3"/>
              </w:rPr>
            </w:pPr>
          </w:p>
          <w:p w14:paraId="6D652FBC" w14:textId="77777777" w:rsidR="008128CD" w:rsidRDefault="008128CD" w:rsidP="00163759">
            <w:pPr>
              <w:tabs>
                <w:tab w:val="left" w:pos="0"/>
                <w:tab w:val="left" w:pos="851"/>
              </w:tabs>
              <w:rPr>
                <w:spacing w:val="-3"/>
              </w:rPr>
            </w:pPr>
            <w:r>
              <w:rPr>
                <w:spacing w:val="-3"/>
              </w:rPr>
              <w:t>Mørkfarvning af urinen.</w:t>
            </w:r>
          </w:p>
          <w:p w14:paraId="5DE52AE4" w14:textId="77777777" w:rsidR="008128CD" w:rsidRDefault="008128CD" w:rsidP="00163759">
            <w:pPr>
              <w:tabs>
                <w:tab w:val="left" w:pos="0"/>
                <w:tab w:val="left" w:pos="851"/>
              </w:tabs>
              <w:rPr>
                <w:spacing w:val="-3"/>
              </w:rPr>
            </w:pPr>
          </w:p>
          <w:p w14:paraId="3BAB66BD" w14:textId="77777777" w:rsidR="008128CD" w:rsidRDefault="008128CD" w:rsidP="00163759">
            <w:pPr>
              <w:tabs>
                <w:tab w:val="left" w:pos="0"/>
                <w:tab w:val="left" w:pos="851"/>
              </w:tabs>
              <w:rPr>
                <w:spacing w:val="-3"/>
              </w:rPr>
            </w:pPr>
          </w:p>
        </w:tc>
      </w:tr>
      <w:tr w:rsidR="008128CD" w14:paraId="12C839A7"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10C95158" w14:textId="77777777" w:rsidR="008128CD" w:rsidRDefault="008128CD" w:rsidP="00163759">
            <w:pPr>
              <w:rPr>
                <w:b/>
                <w:szCs w:val="23"/>
              </w:rPr>
            </w:pPr>
            <w:r>
              <w:rPr>
                <w:b/>
                <w:szCs w:val="23"/>
              </w:rPr>
              <w:t>Almene symptomer og reaktioner på administrationsstedet</w:t>
            </w:r>
          </w:p>
          <w:p w14:paraId="16424BBA" w14:textId="77777777" w:rsidR="008128CD" w:rsidRDefault="008128CD" w:rsidP="00163759">
            <w:r>
              <w:t>Sjælden</w:t>
            </w:r>
          </w:p>
          <w:p w14:paraId="085FDF3D" w14:textId="77777777" w:rsidR="008128CD" w:rsidRDefault="008128CD" w:rsidP="00163759">
            <w:pPr>
              <w:rPr>
                <w:szCs w:val="23"/>
              </w:rPr>
            </w:pPr>
          </w:p>
        </w:tc>
        <w:tc>
          <w:tcPr>
            <w:tcW w:w="2500" w:type="pct"/>
            <w:tcBorders>
              <w:top w:val="single" w:sz="4" w:space="0" w:color="auto"/>
              <w:left w:val="single" w:sz="4" w:space="0" w:color="auto"/>
              <w:bottom w:val="single" w:sz="4" w:space="0" w:color="auto"/>
              <w:right w:val="single" w:sz="4" w:space="0" w:color="auto"/>
            </w:tcBorders>
          </w:tcPr>
          <w:p w14:paraId="6103D145" w14:textId="77777777" w:rsidR="008128CD" w:rsidRDefault="008128CD" w:rsidP="00163759">
            <w:pPr>
              <w:tabs>
                <w:tab w:val="left" w:pos="0"/>
                <w:tab w:val="left" w:pos="851"/>
              </w:tabs>
              <w:rPr>
                <w:spacing w:val="-3"/>
              </w:rPr>
            </w:pPr>
          </w:p>
          <w:p w14:paraId="6A80210D" w14:textId="77777777" w:rsidR="008128CD" w:rsidRDefault="008128CD" w:rsidP="00163759">
            <w:pPr>
              <w:tabs>
                <w:tab w:val="left" w:pos="0"/>
                <w:tab w:val="left" w:pos="851"/>
              </w:tabs>
              <w:rPr>
                <w:spacing w:val="-3"/>
              </w:rPr>
            </w:pPr>
          </w:p>
          <w:p w14:paraId="5080D985" w14:textId="77777777" w:rsidR="008128CD" w:rsidRDefault="008128CD" w:rsidP="00163759">
            <w:pPr>
              <w:tabs>
                <w:tab w:val="left" w:pos="0"/>
                <w:tab w:val="left" w:pos="851"/>
              </w:tabs>
              <w:rPr>
                <w:spacing w:val="-3"/>
              </w:rPr>
            </w:pPr>
            <w:r>
              <w:rPr>
                <w:spacing w:val="-3"/>
              </w:rPr>
              <w:t>Feber.</w:t>
            </w:r>
          </w:p>
          <w:p w14:paraId="7A25AF6F" w14:textId="77777777" w:rsidR="008128CD" w:rsidRDefault="008128CD" w:rsidP="00163759">
            <w:pPr>
              <w:rPr>
                <w:szCs w:val="23"/>
                <w:u w:val="single"/>
              </w:rPr>
            </w:pPr>
          </w:p>
        </w:tc>
      </w:tr>
      <w:tr w:rsidR="00AE73F1" w14:paraId="0C00B595" w14:textId="77777777" w:rsidTr="00163759">
        <w:trPr>
          <w:trHeight w:val="340"/>
        </w:trPr>
        <w:tc>
          <w:tcPr>
            <w:tcW w:w="2500" w:type="pct"/>
            <w:tcBorders>
              <w:top w:val="single" w:sz="4" w:space="0" w:color="auto"/>
              <w:left w:val="single" w:sz="4" w:space="0" w:color="auto"/>
              <w:bottom w:val="single" w:sz="4" w:space="0" w:color="auto"/>
              <w:right w:val="single" w:sz="4" w:space="0" w:color="auto"/>
            </w:tcBorders>
          </w:tcPr>
          <w:p w14:paraId="265866C1" w14:textId="77777777" w:rsidR="00AE73F1" w:rsidRDefault="00AE73F1" w:rsidP="00163759">
            <w:pPr>
              <w:rPr>
                <w:b/>
                <w:szCs w:val="23"/>
              </w:rPr>
            </w:pPr>
            <w:r>
              <w:rPr>
                <w:b/>
                <w:szCs w:val="23"/>
              </w:rPr>
              <w:t>Hjerte og kredsløb</w:t>
            </w:r>
          </w:p>
          <w:p w14:paraId="286ABE99" w14:textId="77777777" w:rsidR="00AE73F1" w:rsidRPr="00C4555F" w:rsidRDefault="00AE73F1" w:rsidP="00163759">
            <w:pPr>
              <w:rPr>
                <w:bCs/>
                <w:szCs w:val="23"/>
              </w:rPr>
            </w:pPr>
            <w:r>
              <w:rPr>
                <w:bCs/>
                <w:szCs w:val="23"/>
              </w:rPr>
              <w:t>Ikke kendt</w:t>
            </w:r>
          </w:p>
        </w:tc>
        <w:tc>
          <w:tcPr>
            <w:tcW w:w="2500" w:type="pct"/>
            <w:tcBorders>
              <w:top w:val="single" w:sz="4" w:space="0" w:color="auto"/>
              <w:left w:val="single" w:sz="4" w:space="0" w:color="auto"/>
              <w:bottom w:val="single" w:sz="4" w:space="0" w:color="auto"/>
              <w:right w:val="single" w:sz="4" w:space="0" w:color="auto"/>
            </w:tcBorders>
          </w:tcPr>
          <w:p w14:paraId="221ECE2C" w14:textId="77777777" w:rsidR="00AE73F1" w:rsidRDefault="00AE73F1" w:rsidP="00163759">
            <w:pPr>
              <w:tabs>
                <w:tab w:val="left" w:pos="0"/>
                <w:tab w:val="left" w:pos="851"/>
              </w:tabs>
              <w:rPr>
                <w:spacing w:val="-3"/>
              </w:rPr>
            </w:pPr>
          </w:p>
          <w:p w14:paraId="12D8389E" w14:textId="77777777" w:rsidR="00AE73F1" w:rsidRDefault="00AE73F1" w:rsidP="00163759">
            <w:pPr>
              <w:tabs>
                <w:tab w:val="left" w:pos="0"/>
                <w:tab w:val="left" w:pos="851"/>
              </w:tabs>
              <w:rPr>
                <w:spacing w:val="-3"/>
              </w:rPr>
            </w:pPr>
            <w:r>
              <w:rPr>
                <w:spacing w:val="-3"/>
              </w:rPr>
              <w:t>QT-forlængelse</w:t>
            </w:r>
          </w:p>
        </w:tc>
      </w:tr>
    </w:tbl>
    <w:p w14:paraId="1242C0BE" w14:textId="77777777" w:rsidR="008128CD" w:rsidRDefault="008128CD" w:rsidP="008128CD">
      <w:pPr>
        <w:ind w:left="851"/>
        <w:rPr>
          <w:spacing w:val="-3"/>
        </w:rPr>
      </w:pPr>
      <w:r>
        <w:rPr>
          <w:spacing w:val="-3"/>
        </w:rPr>
        <w:t xml:space="preserve">* Reversibel perifer sensorisk </w:t>
      </w:r>
      <w:proofErr w:type="spellStart"/>
      <w:r>
        <w:rPr>
          <w:spacing w:val="-3"/>
        </w:rPr>
        <w:t>neuropati</w:t>
      </w:r>
      <w:proofErr w:type="spellEnd"/>
      <w:r>
        <w:rPr>
          <w:spacing w:val="-3"/>
        </w:rPr>
        <w:t xml:space="preserve"> kan optræde ved intensiv langtidsbehandling med </w:t>
      </w:r>
    </w:p>
    <w:p w14:paraId="25E8E190" w14:textId="77777777" w:rsidR="008128CD" w:rsidRDefault="008128CD" w:rsidP="008128CD">
      <w:pPr>
        <w:ind w:left="851"/>
        <w:rPr>
          <w:spacing w:val="-3"/>
        </w:rPr>
      </w:pPr>
      <w:r>
        <w:rPr>
          <w:spacing w:val="-3"/>
        </w:rPr>
        <w:t>høje doser (totaldoser over 30 g).</w:t>
      </w:r>
    </w:p>
    <w:p w14:paraId="72220F0D" w14:textId="77777777" w:rsidR="008128CD" w:rsidRDefault="008128CD" w:rsidP="008128CD">
      <w:pPr>
        <w:ind w:left="851"/>
        <w:rPr>
          <w:spacing w:val="-3"/>
        </w:rPr>
      </w:pPr>
    </w:p>
    <w:p w14:paraId="6909FB41" w14:textId="77777777" w:rsidR="00C4555F" w:rsidRPr="008F49E1" w:rsidRDefault="00C4555F" w:rsidP="002A1420">
      <w:pPr>
        <w:autoSpaceDE w:val="0"/>
        <w:autoSpaceDN w:val="0"/>
        <w:ind w:left="851"/>
        <w:rPr>
          <w:szCs w:val="24"/>
          <w:u w:val="single"/>
        </w:rPr>
      </w:pPr>
      <w:r w:rsidRPr="008F49E1">
        <w:rPr>
          <w:szCs w:val="24"/>
          <w:u w:val="single"/>
        </w:rPr>
        <w:lastRenderedPageBreak/>
        <w:t>Indberetning af formodede bivirkninger</w:t>
      </w:r>
    </w:p>
    <w:p w14:paraId="3EF8CD0C" w14:textId="77777777" w:rsidR="00C4555F" w:rsidRPr="008F49E1" w:rsidRDefault="00C4555F" w:rsidP="002A1420">
      <w:pPr>
        <w:ind w:left="851"/>
        <w:rPr>
          <w:szCs w:val="24"/>
        </w:rPr>
      </w:pPr>
      <w:r w:rsidRPr="008F49E1">
        <w:rPr>
          <w:szCs w:val="24"/>
        </w:rPr>
        <w:t>Når lægemidlet er godkendt, er indberetning af formodede bivirkninger vigtig. Det muliggør løbende overvågning af benefit/</w:t>
      </w:r>
      <w:proofErr w:type="spellStart"/>
      <w:r w:rsidRPr="008F49E1">
        <w:rPr>
          <w:szCs w:val="24"/>
        </w:rPr>
        <w:t>risk</w:t>
      </w:r>
      <w:proofErr w:type="spellEnd"/>
      <w:r w:rsidRPr="008F49E1">
        <w:rPr>
          <w:szCs w:val="24"/>
        </w:rPr>
        <w:t xml:space="preserve">-forholdet for lægemidlet. </w:t>
      </w:r>
      <w:r>
        <w:rPr>
          <w:szCs w:val="24"/>
        </w:rPr>
        <w:t>Sundhedspersoner</w:t>
      </w:r>
      <w:r w:rsidRPr="008F49E1">
        <w:rPr>
          <w:szCs w:val="24"/>
        </w:rPr>
        <w:t xml:space="preserve"> anmodes om at indberette alle formodede bivirkninger via:</w:t>
      </w:r>
    </w:p>
    <w:p w14:paraId="69DF166E" w14:textId="77777777" w:rsidR="00C4555F" w:rsidRPr="008F49E1" w:rsidRDefault="00C4555F" w:rsidP="002A1420">
      <w:pPr>
        <w:ind w:left="851"/>
        <w:rPr>
          <w:szCs w:val="24"/>
        </w:rPr>
      </w:pPr>
    </w:p>
    <w:p w14:paraId="2E6C6855" w14:textId="77777777" w:rsidR="00C4555F" w:rsidRPr="007A276A" w:rsidRDefault="00C4555F" w:rsidP="002A1420">
      <w:pPr>
        <w:ind w:left="851"/>
        <w:rPr>
          <w:szCs w:val="24"/>
        </w:rPr>
      </w:pPr>
      <w:r w:rsidRPr="007A276A">
        <w:rPr>
          <w:szCs w:val="24"/>
        </w:rPr>
        <w:t>Lægemiddelstyrelsen</w:t>
      </w:r>
    </w:p>
    <w:p w14:paraId="0FEB4DB6" w14:textId="77777777" w:rsidR="00C4555F" w:rsidRPr="007A276A" w:rsidRDefault="00C4555F" w:rsidP="002A1420">
      <w:pPr>
        <w:ind w:left="851"/>
        <w:rPr>
          <w:szCs w:val="24"/>
        </w:rPr>
      </w:pPr>
      <w:r w:rsidRPr="007A276A">
        <w:rPr>
          <w:szCs w:val="24"/>
        </w:rPr>
        <w:t>Axel Heides Gade 1</w:t>
      </w:r>
    </w:p>
    <w:p w14:paraId="511107DF" w14:textId="77777777" w:rsidR="00C4555F" w:rsidRPr="007A276A" w:rsidRDefault="00C4555F" w:rsidP="002A1420">
      <w:pPr>
        <w:ind w:left="851"/>
        <w:rPr>
          <w:szCs w:val="24"/>
        </w:rPr>
      </w:pPr>
      <w:r w:rsidRPr="007A276A">
        <w:rPr>
          <w:szCs w:val="24"/>
        </w:rPr>
        <w:t>DK-2300 København S</w:t>
      </w:r>
    </w:p>
    <w:p w14:paraId="1567DE2A" w14:textId="759426D3" w:rsidR="00C4555F" w:rsidRPr="00C4555F" w:rsidRDefault="00C4555F" w:rsidP="002A1420">
      <w:pPr>
        <w:ind w:left="851"/>
        <w:rPr>
          <w:szCs w:val="24"/>
        </w:rPr>
      </w:pPr>
      <w:r w:rsidRPr="00C4555F">
        <w:rPr>
          <w:szCs w:val="24"/>
        </w:rPr>
        <w:t xml:space="preserve">Websted: </w:t>
      </w:r>
      <w:hyperlink r:id="rId8" w:history="1">
        <w:r w:rsidRPr="00440695">
          <w:rPr>
            <w:rStyle w:val="Hyperlink"/>
          </w:rPr>
          <w:t>www.meldenbivirkning.dk</w:t>
        </w:r>
      </w:hyperlink>
      <w:r>
        <w:t xml:space="preserve"> </w:t>
      </w:r>
    </w:p>
    <w:p w14:paraId="0E7FF1EC" w14:textId="77777777" w:rsidR="00A70F54" w:rsidRPr="00C4555F" w:rsidRDefault="00A70F54" w:rsidP="00A70F54">
      <w:pPr>
        <w:tabs>
          <w:tab w:val="left" w:pos="0"/>
          <w:tab w:val="left" w:pos="851"/>
        </w:tabs>
        <w:ind w:left="850" w:hanging="850"/>
        <w:jc w:val="both"/>
        <w:rPr>
          <w:spacing w:val="-3"/>
        </w:rPr>
      </w:pPr>
    </w:p>
    <w:p w14:paraId="5D70B55D" w14:textId="77777777" w:rsidR="00350C5F" w:rsidRPr="00C4555F" w:rsidRDefault="00350C5F" w:rsidP="00350C5F">
      <w:pPr>
        <w:tabs>
          <w:tab w:val="left" w:pos="0"/>
          <w:tab w:val="left" w:pos="851"/>
        </w:tabs>
        <w:ind w:left="850" w:hanging="850"/>
        <w:jc w:val="both"/>
        <w:rPr>
          <w:spacing w:val="-3"/>
        </w:rPr>
      </w:pPr>
    </w:p>
    <w:p w14:paraId="47EA8754" w14:textId="77777777" w:rsidR="00501C94" w:rsidRPr="00AC045D" w:rsidRDefault="00501C94" w:rsidP="00501C94">
      <w:pPr>
        <w:tabs>
          <w:tab w:val="left" w:pos="0"/>
          <w:tab w:val="left" w:pos="851"/>
        </w:tabs>
        <w:ind w:left="850" w:hanging="850"/>
        <w:jc w:val="both"/>
        <w:rPr>
          <w:b/>
          <w:spacing w:val="-3"/>
          <w:lang w:val="en-US"/>
        </w:rPr>
      </w:pPr>
      <w:r w:rsidRPr="00AC045D">
        <w:rPr>
          <w:b/>
          <w:spacing w:val="-3"/>
          <w:lang w:val="en-US"/>
        </w:rPr>
        <w:t>4.9</w:t>
      </w:r>
      <w:r w:rsidRPr="00AC045D">
        <w:rPr>
          <w:b/>
          <w:spacing w:val="-3"/>
          <w:lang w:val="en-US"/>
        </w:rPr>
        <w:tab/>
        <w:t>Overdosering</w:t>
      </w:r>
    </w:p>
    <w:p w14:paraId="0B56737E" w14:textId="77777777" w:rsidR="00501C94" w:rsidRPr="00AC045D" w:rsidRDefault="00501C94" w:rsidP="00501C94">
      <w:pPr>
        <w:tabs>
          <w:tab w:val="left" w:pos="851"/>
        </w:tabs>
        <w:ind w:left="851"/>
        <w:rPr>
          <w:i/>
          <w:spacing w:val="-3"/>
          <w:lang w:val="en-US"/>
        </w:rPr>
      </w:pPr>
      <w:r w:rsidRPr="00AC045D">
        <w:rPr>
          <w:i/>
          <w:spacing w:val="-3"/>
          <w:lang w:val="en-US"/>
        </w:rPr>
        <w:t>Symptomer</w:t>
      </w:r>
    </w:p>
    <w:p w14:paraId="0E995150" w14:textId="77777777" w:rsidR="00501C94" w:rsidRDefault="00501C94" w:rsidP="00501C94">
      <w:pPr>
        <w:tabs>
          <w:tab w:val="left" w:pos="851"/>
        </w:tabs>
        <w:ind w:left="851"/>
        <w:rPr>
          <w:spacing w:val="-3"/>
        </w:rPr>
      </w:pPr>
      <w:r>
        <w:rPr>
          <w:spacing w:val="-3"/>
        </w:rPr>
        <w:t xml:space="preserve">De hyppigst sete symptomer efter overdosering er kvalme, opkastninger, madlede, metallisk smag i munden, hovedpine og svimmelhed. Sjældnere ses søvnløshed, døsighed, CNS-hæmning, </w:t>
      </w:r>
      <w:proofErr w:type="spellStart"/>
      <w:r>
        <w:rPr>
          <w:spacing w:val="-3"/>
        </w:rPr>
        <w:t>oliguri</w:t>
      </w:r>
      <w:proofErr w:type="spellEnd"/>
      <w:r>
        <w:rPr>
          <w:spacing w:val="-3"/>
        </w:rPr>
        <w:t xml:space="preserve"> og mørkfarvning af urinen. </w:t>
      </w:r>
      <w:proofErr w:type="spellStart"/>
      <w:r>
        <w:rPr>
          <w:spacing w:val="-3"/>
        </w:rPr>
        <w:t>Ototoksicitet</w:t>
      </w:r>
      <w:proofErr w:type="spellEnd"/>
      <w:r>
        <w:rPr>
          <w:spacing w:val="-3"/>
        </w:rPr>
        <w:t xml:space="preserve"> og krampeanfald er rapporteret i enkeltstående tilfælde.</w:t>
      </w:r>
    </w:p>
    <w:p w14:paraId="2AD127CE" w14:textId="77777777" w:rsidR="00501C94" w:rsidRDefault="00501C94" w:rsidP="00501C94">
      <w:pPr>
        <w:tabs>
          <w:tab w:val="left" w:pos="851"/>
        </w:tabs>
        <w:ind w:left="851"/>
        <w:rPr>
          <w:spacing w:val="-3"/>
        </w:rPr>
      </w:pPr>
    </w:p>
    <w:p w14:paraId="34F0D717" w14:textId="77777777" w:rsidR="00501C94" w:rsidRPr="003D101B" w:rsidRDefault="00501C94" w:rsidP="00501C94">
      <w:pPr>
        <w:tabs>
          <w:tab w:val="left" w:pos="851"/>
        </w:tabs>
        <w:ind w:left="851"/>
        <w:rPr>
          <w:i/>
          <w:spacing w:val="-3"/>
        </w:rPr>
      </w:pPr>
      <w:r w:rsidRPr="003D101B">
        <w:rPr>
          <w:i/>
          <w:spacing w:val="-3"/>
        </w:rPr>
        <w:t>Behandling</w:t>
      </w:r>
    </w:p>
    <w:p w14:paraId="16784B40" w14:textId="77777777" w:rsidR="00501C94" w:rsidRDefault="00501C94" w:rsidP="00501C94">
      <w:pPr>
        <w:tabs>
          <w:tab w:val="left" w:pos="851"/>
        </w:tabs>
        <w:ind w:left="851"/>
        <w:jc w:val="both"/>
        <w:rPr>
          <w:spacing w:val="-3"/>
        </w:rPr>
      </w:pPr>
      <w:r>
        <w:rPr>
          <w:spacing w:val="-3"/>
        </w:rPr>
        <w:t xml:space="preserve">Der findes ingen specifik </w:t>
      </w:r>
      <w:proofErr w:type="spellStart"/>
      <w:r>
        <w:rPr>
          <w:spacing w:val="-3"/>
        </w:rPr>
        <w:t>antidot</w:t>
      </w:r>
      <w:proofErr w:type="spellEnd"/>
      <w:r>
        <w:rPr>
          <w:spacing w:val="-3"/>
        </w:rPr>
        <w:t xml:space="preserve">, hvorfor behandlingen typisk er symptomatisk og understøttende. </w:t>
      </w:r>
      <w:proofErr w:type="spellStart"/>
      <w:r>
        <w:rPr>
          <w:spacing w:val="-3"/>
        </w:rPr>
        <w:t>Metronidazol</w:t>
      </w:r>
      <w:proofErr w:type="spellEnd"/>
      <w:r>
        <w:rPr>
          <w:spacing w:val="-3"/>
        </w:rPr>
        <w:t xml:space="preserve"> kan fjernes ved hæmodialyse, men det er sjældent nødvendigt.</w:t>
      </w:r>
    </w:p>
    <w:p w14:paraId="1FEB8B14" w14:textId="77777777" w:rsidR="00A70F54" w:rsidRDefault="00A70F54" w:rsidP="00A70F54">
      <w:pPr>
        <w:tabs>
          <w:tab w:val="left" w:pos="0"/>
          <w:tab w:val="left" w:pos="851"/>
        </w:tabs>
        <w:ind w:left="850" w:hanging="850"/>
        <w:jc w:val="both"/>
        <w:rPr>
          <w:spacing w:val="-3"/>
        </w:rPr>
      </w:pPr>
    </w:p>
    <w:p w14:paraId="2A4333EA" w14:textId="77777777" w:rsidR="00501C94" w:rsidRPr="00AC045D" w:rsidRDefault="00501C94" w:rsidP="00501C94">
      <w:pPr>
        <w:tabs>
          <w:tab w:val="left" w:pos="0"/>
          <w:tab w:val="left" w:pos="851"/>
        </w:tabs>
        <w:jc w:val="both"/>
        <w:rPr>
          <w:spacing w:val="-3"/>
        </w:rPr>
      </w:pPr>
    </w:p>
    <w:p w14:paraId="6F2B73F1" w14:textId="77777777" w:rsidR="00501C94" w:rsidRPr="00370197" w:rsidRDefault="00501C94" w:rsidP="00501C94">
      <w:pPr>
        <w:tabs>
          <w:tab w:val="left" w:pos="0"/>
          <w:tab w:val="left" w:pos="851"/>
        </w:tabs>
        <w:ind w:left="850" w:hanging="850"/>
        <w:jc w:val="both"/>
        <w:rPr>
          <w:b/>
          <w:spacing w:val="-3"/>
        </w:rPr>
      </w:pPr>
      <w:r w:rsidRPr="00370197">
        <w:rPr>
          <w:b/>
          <w:spacing w:val="-3"/>
        </w:rPr>
        <w:t>4.10</w:t>
      </w:r>
      <w:r w:rsidRPr="00370197">
        <w:rPr>
          <w:b/>
          <w:spacing w:val="-3"/>
        </w:rPr>
        <w:tab/>
        <w:t>Udlevering</w:t>
      </w:r>
    </w:p>
    <w:p w14:paraId="710BDFE1" w14:textId="77777777" w:rsidR="00501C94" w:rsidRDefault="00501C94" w:rsidP="00501C94">
      <w:pPr>
        <w:tabs>
          <w:tab w:val="left" w:pos="0"/>
          <w:tab w:val="left" w:pos="851"/>
        </w:tabs>
        <w:ind w:left="850" w:hanging="850"/>
        <w:jc w:val="both"/>
        <w:rPr>
          <w:spacing w:val="-3"/>
        </w:rPr>
      </w:pPr>
      <w:r>
        <w:rPr>
          <w:spacing w:val="-3"/>
        </w:rPr>
        <w:tab/>
        <w:t>B</w:t>
      </w:r>
    </w:p>
    <w:p w14:paraId="6F98BA57" w14:textId="77777777" w:rsidR="00EC2B9E" w:rsidRDefault="00EC2B9E" w:rsidP="00501C94">
      <w:pPr>
        <w:tabs>
          <w:tab w:val="left" w:pos="0"/>
          <w:tab w:val="left" w:pos="851"/>
        </w:tabs>
        <w:ind w:left="850" w:hanging="850"/>
        <w:jc w:val="both"/>
        <w:rPr>
          <w:b/>
          <w:spacing w:val="-3"/>
        </w:rPr>
      </w:pPr>
    </w:p>
    <w:p w14:paraId="51318255" w14:textId="77777777" w:rsidR="00EC2B9E" w:rsidRDefault="00EC2B9E" w:rsidP="00501C94">
      <w:pPr>
        <w:tabs>
          <w:tab w:val="left" w:pos="0"/>
          <w:tab w:val="left" w:pos="851"/>
        </w:tabs>
        <w:ind w:left="850" w:hanging="850"/>
        <w:jc w:val="both"/>
        <w:rPr>
          <w:b/>
          <w:spacing w:val="-3"/>
        </w:rPr>
      </w:pPr>
    </w:p>
    <w:p w14:paraId="7361D1EA" w14:textId="77777777" w:rsidR="00501C94" w:rsidRDefault="00501C94" w:rsidP="00501C94">
      <w:pPr>
        <w:tabs>
          <w:tab w:val="left" w:pos="0"/>
          <w:tab w:val="left" w:pos="851"/>
        </w:tabs>
        <w:ind w:left="850" w:hanging="850"/>
        <w:jc w:val="both"/>
        <w:rPr>
          <w:b/>
          <w:spacing w:val="-3"/>
        </w:rPr>
      </w:pPr>
      <w:r>
        <w:rPr>
          <w:b/>
          <w:spacing w:val="-3"/>
        </w:rPr>
        <w:t>5.</w:t>
      </w:r>
      <w:r>
        <w:rPr>
          <w:b/>
          <w:spacing w:val="-3"/>
        </w:rPr>
        <w:tab/>
        <w:t>FARMAKOLOGISKE EGENSKABER</w:t>
      </w:r>
    </w:p>
    <w:p w14:paraId="0ABEF273" w14:textId="77777777" w:rsidR="00501C94" w:rsidRPr="009626A0" w:rsidRDefault="00501C94" w:rsidP="00501C94">
      <w:pPr>
        <w:tabs>
          <w:tab w:val="left" w:pos="0"/>
          <w:tab w:val="left" w:pos="851"/>
        </w:tabs>
        <w:jc w:val="both"/>
        <w:rPr>
          <w:spacing w:val="-3"/>
        </w:rPr>
      </w:pPr>
    </w:p>
    <w:p w14:paraId="5A67E3BE" w14:textId="77777777" w:rsidR="00501C94" w:rsidRPr="00370197" w:rsidRDefault="00501C94" w:rsidP="00501C94">
      <w:pPr>
        <w:tabs>
          <w:tab w:val="left" w:pos="0"/>
          <w:tab w:val="left" w:pos="851"/>
        </w:tabs>
        <w:ind w:left="850" w:hanging="850"/>
        <w:jc w:val="both"/>
        <w:rPr>
          <w:b/>
          <w:spacing w:val="-3"/>
        </w:rPr>
      </w:pPr>
      <w:r w:rsidRPr="00370197">
        <w:rPr>
          <w:b/>
          <w:spacing w:val="-3"/>
        </w:rPr>
        <w:t>5.0</w:t>
      </w:r>
      <w:r w:rsidRPr="00370197">
        <w:rPr>
          <w:b/>
          <w:spacing w:val="-3"/>
        </w:rPr>
        <w:tab/>
        <w:t>Terapeutisk klassifikation</w:t>
      </w:r>
    </w:p>
    <w:p w14:paraId="5E98D22E" w14:textId="77777777" w:rsidR="00501C94" w:rsidRDefault="00501C94" w:rsidP="00501C94">
      <w:pPr>
        <w:tabs>
          <w:tab w:val="left" w:pos="0"/>
          <w:tab w:val="left" w:pos="851"/>
        </w:tabs>
        <w:ind w:left="850" w:hanging="850"/>
        <w:jc w:val="both"/>
        <w:rPr>
          <w:spacing w:val="-3"/>
        </w:rPr>
      </w:pPr>
      <w:r>
        <w:rPr>
          <w:spacing w:val="-3"/>
        </w:rPr>
        <w:tab/>
      </w:r>
      <w:r w:rsidRPr="00DB6E95">
        <w:rPr>
          <w:spacing w:val="-3"/>
        </w:rPr>
        <w:t xml:space="preserve">P 01 AB 01 – Midler mod amøbe- og andre protozosygdomme, </w:t>
      </w:r>
      <w:proofErr w:type="spellStart"/>
      <w:r w:rsidRPr="00DB6E95">
        <w:rPr>
          <w:spacing w:val="-3"/>
        </w:rPr>
        <w:t>imidazolderivater</w:t>
      </w:r>
      <w:proofErr w:type="spellEnd"/>
      <w:r>
        <w:rPr>
          <w:spacing w:val="-3"/>
        </w:rPr>
        <w:t>.</w:t>
      </w:r>
    </w:p>
    <w:p w14:paraId="27C4069B" w14:textId="77777777" w:rsidR="00501C94" w:rsidRDefault="00501C94" w:rsidP="00501C94">
      <w:pPr>
        <w:tabs>
          <w:tab w:val="left" w:pos="0"/>
          <w:tab w:val="left" w:pos="851"/>
        </w:tabs>
        <w:jc w:val="both"/>
        <w:rPr>
          <w:spacing w:val="-3"/>
        </w:rPr>
      </w:pPr>
    </w:p>
    <w:p w14:paraId="263E1E42" w14:textId="77777777" w:rsidR="00501C94" w:rsidRPr="00370197" w:rsidRDefault="00501C94" w:rsidP="00501C94">
      <w:pPr>
        <w:tabs>
          <w:tab w:val="left" w:pos="0"/>
          <w:tab w:val="left" w:pos="851"/>
        </w:tabs>
        <w:ind w:left="850" w:hanging="850"/>
        <w:jc w:val="both"/>
        <w:rPr>
          <w:b/>
          <w:spacing w:val="-3"/>
        </w:rPr>
      </w:pPr>
      <w:r w:rsidRPr="00370197">
        <w:rPr>
          <w:b/>
          <w:spacing w:val="-3"/>
        </w:rPr>
        <w:t>5.1</w:t>
      </w:r>
      <w:r w:rsidRPr="00370197">
        <w:rPr>
          <w:b/>
          <w:spacing w:val="-3"/>
        </w:rPr>
        <w:tab/>
      </w:r>
      <w:proofErr w:type="spellStart"/>
      <w:r w:rsidRPr="00370197">
        <w:rPr>
          <w:b/>
          <w:spacing w:val="-3"/>
        </w:rPr>
        <w:t>Farmakodynamiske</w:t>
      </w:r>
      <w:proofErr w:type="spellEnd"/>
      <w:r w:rsidRPr="00370197">
        <w:rPr>
          <w:b/>
          <w:spacing w:val="-3"/>
        </w:rPr>
        <w:t xml:space="preserve"> egenskaber</w:t>
      </w:r>
    </w:p>
    <w:p w14:paraId="381B9B6D" w14:textId="77777777" w:rsidR="00501C94" w:rsidRDefault="00501C94" w:rsidP="00501C94">
      <w:pPr>
        <w:tabs>
          <w:tab w:val="left" w:pos="0"/>
          <w:tab w:val="left" w:pos="851"/>
        </w:tabs>
        <w:ind w:left="850" w:hanging="850"/>
        <w:jc w:val="both"/>
        <w:rPr>
          <w:i/>
          <w:spacing w:val="-3"/>
        </w:rPr>
      </w:pPr>
      <w:r>
        <w:rPr>
          <w:spacing w:val="-3"/>
        </w:rPr>
        <w:tab/>
      </w:r>
      <w:proofErr w:type="spellStart"/>
      <w:r>
        <w:rPr>
          <w:spacing w:val="-3"/>
        </w:rPr>
        <w:t>Metronidazol</w:t>
      </w:r>
      <w:proofErr w:type="spellEnd"/>
      <w:r>
        <w:rPr>
          <w:spacing w:val="-3"/>
        </w:rPr>
        <w:t xml:space="preserve"> er et antibiotikum med virkning på obligat anaerobe bakterier og protozoer som f.eks. </w:t>
      </w:r>
      <w:proofErr w:type="spellStart"/>
      <w:r w:rsidRPr="001E2E0D">
        <w:rPr>
          <w:i/>
          <w:spacing w:val="-3"/>
        </w:rPr>
        <w:t>Trichomonas</w:t>
      </w:r>
      <w:proofErr w:type="spellEnd"/>
      <w:r w:rsidRPr="001E2E0D">
        <w:rPr>
          <w:i/>
          <w:spacing w:val="-3"/>
        </w:rPr>
        <w:t xml:space="preserve"> </w:t>
      </w:r>
      <w:r w:rsidRPr="001E2E0D">
        <w:rPr>
          <w:spacing w:val="-3"/>
        </w:rPr>
        <w:t>og</w:t>
      </w:r>
      <w:r w:rsidRPr="001E2E0D">
        <w:rPr>
          <w:i/>
          <w:spacing w:val="-3"/>
        </w:rPr>
        <w:t xml:space="preserve"> </w:t>
      </w:r>
      <w:proofErr w:type="spellStart"/>
      <w:r w:rsidRPr="001E2E0D">
        <w:rPr>
          <w:i/>
          <w:spacing w:val="-3"/>
        </w:rPr>
        <w:t>Giardia</w:t>
      </w:r>
      <w:proofErr w:type="spellEnd"/>
      <w:r w:rsidRPr="001E2E0D">
        <w:rPr>
          <w:i/>
          <w:spacing w:val="-3"/>
        </w:rPr>
        <w:t>.</w:t>
      </w:r>
    </w:p>
    <w:p w14:paraId="16266916" w14:textId="77777777" w:rsidR="00A70F54" w:rsidRDefault="00A70F54" w:rsidP="00A70F54">
      <w:pPr>
        <w:tabs>
          <w:tab w:val="left" w:pos="0"/>
          <w:tab w:val="left" w:pos="851"/>
        </w:tabs>
        <w:ind w:left="850" w:hanging="850"/>
        <w:jc w:val="both"/>
        <w:rPr>
          <w:spacing w:val="-3"/>
        </w:rPr>
      </w:pPr>
    </w:p>
    <w:p w14:paraId="5A9A2537" w14:textId="77777777" w:rsidR="004B2294" w:rsidRPr="00AC045D" w:rsidRDefault="004B2294" w:rsidP="00501C94">
      <w:pPr>
        <w:tabs>
          <w:tab w:val="left" w:pos="0"/>
          <w:tab w:val="left" w:pos="851"/>
        </w:tabs>
        <w:ind w:left="850" w:hanging="850"/>
        <w:jc w:val="both"/>
        <w:rPr>
          <w:i/>
          <w:spacing w:val="-3"/>
        </w:rPr>
      </w:pPr>
    </w:p>
    <w:p w14:paraId="66929FF8" w14:textId="77777777" w:rsidR="00501C94" w:rsidRPr="00370197" w:rsidRDefault="00501C94" w:rsidP="00501C94">
      <w:pPr>
        <w:tabs>
          <w:tab w:val="left" w:pos="0"/>
          <w:tab w:val="left" w:pos="851"/>
        </w:tabs>
        <w:ind w:left="850" w:hanging="850"/>
        <w:jc w:val="both"/>
        <w:rPr>
          <w:b/>
          <w:spacing w:val="-3"/>
        </w:rPr>
      </w:pPr>
      <w:r w:rsidRPr="00370197">
        <w:rPr>
          <w:b/>
          <w:spacing w:val="-3"/>
        </w:rPr>
        <w:t>5.2</w:t>
      </w:r>
      <w:r w:rsidRPr="00370197">
        <w:rPr>
          <w:b/>
          <w:spacing w:val="-3"/>
        </w:rPr>
        <w:tab/>
      </w:r>
      <w:proofErr w:type="spellStart"/>
      <w:r w:rsidRPr="00370197">
        <w:rPr>
          <w:b/>
          <w:spacing w:val="-3"/>
        </w:rPr>
        <w:t>Farmakokinetiske</w:t>
      </w:r>
      <w:proofErr w:type="spellEnd"/>
      <w:r w:rsidRPr="00370197">
        <w:rPr>
          <w:b/>
          <w:spacing w:val="-3"/>
        </w:rPr>
        <w:t xml:space="preserve"> egenskaber</w:t>
      </w:r>
    </w:p>
    <w:p w14:paraId="220FEA00" w14:textId="77777777" w:rsidR="00501C94" w:rsidRDefault="00501C94" w:rsidP="00501C94">
      <w:pPr>
        <w:tabs>
          <w:tab w:val="left" w:pos="0"/>
          <w:tab w:val="left" w:pos="851"/>
        </w:tabs>
        <w:ind w:left="850" w:hanging="850"/>
        <w:rPr>
          <w:spacing w:val="-3"/>
        </w:rPr>
      </w:pPr>
      <w:r>
        <w:rPr>
          <w:spacing w:val="-3"/>
        </w:rPr>
        <w:tab/>
        <w:t xml:space="preserve">Oralt </w:t>
      </w:r>
      <w:proofErr w:type="spellStart"/>
      <w:r>
        <w:rPr>
          <w:spacing w:val="-3"/>
        </w:rPr>
        <w:t>metronidazol</w:t>
      </w:r>
      <w:proofErr w:type="spellEnd"/>
      <w:r>
        <w:rPr>
          <w:spacing w:val="-3"/>
        </w:rPr>
        <w:t xml:space="preserve"> absorberes næsten fuldstændigt, og maksimal plasmakon</w:t>
      </w:r>
      <w:r>
        <w:rPr>
          <w:spacing w:val="-3"/>
        </w:rPr>
        <w:softHyphen/>
        <w:t xml:space="preserve">centration opnås efter 1-3 timer. Ved indgift af enkeltdoser på 200 mg, 400 mg og 2 g opnås plasmakoncentrationer på 5, 10 og 40 </w:t>
      </w:r>
      <w:r>
        <w:rPr>
          <w:spacing w:val="-3"/>
        </w:rPr>
        <w:sym w:font="Symbol" w:char="F06D"/>
      </w:r>
      <w:r>
        <w:rPr>
          <w:spacing w:val="-3"/>
        </w:rPr>
        <w:t>g/ml. Maksimal serumkoncentra</w:t>
      </w:r>
      <w:r>
        <w:rPr>
          <w:spacing w:val="-3"/>
        </w:rPr>
        <w:softHyphen/>
        <w:t xml:space="preserve">tion på 10 </w:t>
      </w:r>
      <w:r>
        <w:rPr>
          <w:spacing w:val="-3"/>
        </w:rPr>
        <w:sym w:font="Symbol" w:char="F06D"/>
      </w:r>
      <w:r>
        <w:rPr>
          <w:spacing w:val="-3"/>
        </w:rPr>
        <w:t>g/ml efter enkeltdosis på 1000 mg opnås efter ca. 4 timer.</w:t>
      </w:r>
    </w:p>
    <w:p w14:paraId="5790D3F8" w14:textId="77777777" w:rsidR="00501C94" w:rsidRDefault="00501C94" w:rsidP="00501C94">
      <w:pPr>
        <w:tabs>
          <w:tab w:val="left" w:pos="0"/>
          <w:tab w:val="left" w:pos="851"/>
        </w:tabs>
        <w:ind w:left="851" w:hanging="851"/>
        <w:rPr>
          <w:spacing w:val="-3"/>
        </w:rPr>
      </w:pPr>
      <w:r>
        <w:rPr>
          <w:spacing w:val="-3"/>
        </w:rPr>
        <w:tab/>
      </w:r>
    </w:p>
    <w:p w14:paraId="6A20C65B" w14:textId="77777777" w:rsidR="00501C94" w:rsidRDefault="00501C94" w:rsidP="00501C94">
      <w:pPr>
        <w:tabs>
          <w:tab w:val="left" w:pos="0"/>
          <w:tab w:val="left" w:pos="851"/>
        </w:tabs>
        <w:ind w:left="851" w:hanging="851"/>
        <w:rPr>
          <w:spacing w:val="-3"/>
        </w:rPr>
      </w:pPr>
      <w:r>
        <w:rPr>
          <w:spacing w:val="-3"/>
        </w:rPr>
        <w:tab/>
      </w:r>
      <w:proofErr w:type="spellStart"/>
      <w:r>
        <w:rPr>
          <w:spacing w:val="-3"/>
        </w:rPr>
        <w:t>Metronidazol</w:t>
      </w:r>
      <w:proofErr w:type="spellEnd"/>
      <w:r>
        <w:rPr>
          <w:spacing w:val="-3"/>
        </w:rPr>
        <w:t xml:space="preserve"> distribueres jævnt i alle væv, intra- og ekstracellulærvæsken, inklusive cerebrospinalvæsken, i konc</w:t>
      </w:r>
      <w:r w:rsidR="00507732">
        <w:rPr>
          <w:spacing w:val="-3"/>
        </w:rPr>
        <w:t>entrationer, der overstiger MIC-</w:t>
      </w:r>
      <w:r>
        <w:rPr>
          <w:spacing w:val="-3"/>
        </w:rPr>
        <w:t>værdien for følsomme anaerobe bakterier.</w:t>
      </w:r>
    </w:p>
    <w:p w14:paraId="0666752B" w14:textId="77777777" w:rsidR="00501C94" w:rsidRDefault="00501C94" w:rsidP="00501C94">
      <w:pPr>
        <w:tabs>
          <w:tab w:val="left" w:pos="0"/>
          <w:tab w:val="left" w:pos="851"/>
        </w:tabs>
        <w:ind w:left="850" w:hanging="850"/>
        <w:rPr>
          <w:spacing w:val="-3"/>
        </w:rPr>
      </w:pPr>
      <w:r>
        <w:rPr>
          <w:spacing w:val="-3"/>
        </w:rPr>
        <w:tab/>
      </w:r>
    </w:p>
    <w:p w14:paraId="23A99983" w14:textId="77777777" w:rsidR="00501C94" w:rsidRDefault="00501C94" w:rsidP="00501C94">
      <w:pPr>
        <w:tabs>
          <w:tab w:val="left" w:pos="0"/>
          <w:tab w:val="left" w:pos="851"/>
        </w:tabs>
        <w:ind w:left="850" w:hanging="850"/>
        <w:rPr>
          <w:spacing w:val="-3"/>
        </w:rPr>
      </w:pPr>
      <w:r>
        <w:rPr>
          <w:spacing w:val="-3"/>
        </w:rPr>
        <w:tab/>
      </w:r>
      <w:proofErr w:type="spellStart"/>
      <w:r>
        <w:rPr>
          <w:spacing w:val="-3"/>
        </w:rPr>
        <w:t>Metronidazol</w:t>
      </w:r>
      <w:proofErr w:type="spellEnd"/>
      <w:r>
        <w:rPr>
          <w:spacing w:val="-3"/>
        </w:rPr>
        <w:t xml:space="preserve"> </w:t>
      </w:r>
      <w:proofErr w:type="spellStart"/>
      <w:r>
        <w:rPr>
          <w:spacing w:val="-3"/>
        </w:rPr>
        <w:t>metaboliseres</w:t>
      </w:r>
      <w:proofErr w:type="spellEnd"/>
      <w:r>
        <w:rPr>
          <w:spacing w:val="-3"/>
        </w:rPr>
        <w:t xml:space="preserve"> ved oxidation og hydrolyse samt </w:t>
      </w:r>
      <w:proofErr w:type="spellStart"/>
      <w:r>
        <w:rPr>
          <w:spacing w:val="-3"/>
        </w:rPr>
        <w:t>konjugering</w:t>
      </w:r>
      <w:proofErr w:type="spellEnd"/>
      <w:r>
        <w:rPr>
          <w:spacing w:val="-3"/>
        </w:rPr>
        <w:t xml:space="preserve"> med </w:t>
      </w:r>
      <w:proofErr w:type="spellStart"/>
      <w:r>
        <w:rPr>
          <w:spacing w:val="-3"/>
        </w:rPr>
        <w:t>glukoronsyre</w:t>
      </w:r>
      <w:proofErr w:type="spellEnd"/>
      <w:r>
        <w:rPr>
          <w:spacing w:val="-3"/>
        </w:rPr>
        <w:t>. Plasmahalveringstiden er ca. 8 timer hos voksne og børn ældre end 8 uger. Hos præmature og børn yngre end 8 uger er der påvist langsommere eliminering med en plasmahalveringstid på ca. 24 timer.</w:t>
      </w:r>
    </w:p>
    <w:p w14:paraId="3C72F47B" w14:textId="77777777" w:rsidR="00501C94" w:rsidRDefault="00501C94" w:rsidP="00501C94">
      <w:pPr>
        <w:tabs>
          <w:tab w:val="left" w:pos="0"/>
          <w:tab w:val="left" w:pos="851"/>
        </w:tabs>
        <w:ind w:left="850" w:hanging="850"/>
        <w:rPr>
          <w:spacing w:val="-3"/>
        </w:rPr>
      </w:pPr>
      <w:r>
        <w:rPr>
          <w:spacing w:val="-3"/>
        </w:rPr>
        <w:lastRenderedPageBreak/>
        <w:tab/>
        <w:t xml:space="preserve">Den aktive metabolit, </w:t>
      </w:r>
      <w:proofErr w:type="spellStart"/>
      <w:r>
        <w:rPr>
          <w:spacing w:val="-3"/>
        </w:rPr>
        <w:t>hydroxymetronidazol</w:t>
      </w:r>
      <w:proofErr w:type="spellEnd"/>
      <w:r>
        <w:rPr>
          <w:spacing w:val="-3"/>
        </w:rPr>
        <w:t xml:space="preserve">, har en plasmahalveringstid på 10-13 timer hos voksne. Udskillelse af </w:t>
      </w:r>
      <w:proofErr w:type="spellStart"/>
      <w:r>
        <w:rPr>
          <w:spacing w:val="-3"/>
        </w:rPr>
        <w:t>uomdannet</w:t>
      </w:r>
      <w:proofErr w:type="spellEnd"/>
      <w:r>
        <w:rPr>
          <w:spacing w:val="-3"/>
        </w:rPr>
        <w:t xml:space="preserve"> </w:t>
      </w:r>
      <w:proofErr w:type="spellStart"/>
      <w:r>
        <w:rPr>
          <w:spacing w:val="-3"/>
        </w:rPr>
        <w:t>metronidazol</w:t>
      </w:r>
      <w:proofErr w:type="spellEnd"/>
      <w:r>
        <w:rPr>
          <w:spacing w:val="-3"/>
        </w:rPr>
        <w:t xml:space="preserve"> sker hovedsagelig gennem urinen og for en mindre dels vedkommende gennem galden.</w:t>
      </w:r>
    </w:p>
    <w:p w14:paraId="2119EDE0" w14:textId="77777777" w:rsidR="00C51D81" w:rsidRDefault="00C51D81" w:rsidP="00C51D81">
      <w:pPr>
        <w:tabs>
          <w:tab w:val="left" w:pos="0"/>
          <w:tab w:val="left" w:pos="851"/>
        </w:tabs>
        <w:ind w:left="850" w:hanging="850"/>
        <w:jc w:val="both"/>
        <w:rPr>
          <w:spacing w:val="-3"/>
        </w:rPr>
      </w:pPr>
    </w:p>
    <w:p w14:paraId="7AC76005" w14:textId="77777777" w:rsidR="00350C5F" w:rsidRPr="00AC045D" w:rsidRDefault="00350C5F" w:rsidP="00501C94">
      <w:pPr>
        <w:tabs>
          <w:tab w:val="left" w:pos="0"/>
          <w:tab w:val="left" w:pos="851"/>
        </w:tabs>
        <w:ind w:left="850" w:hanging="850"/>
        <w:rPr>
          <w:spacing w:val="-3"/>
        </w:rPr>
      </w:pPr>
    </w:p>
    <w:p w14:paraId="4DBBA21E" w14:textId="77777777" w:rsidR="00501C94" w:rsidRPr="00370197" w:rsidRDefault="00501C94" w:rsidP="00501C94">
      <w:pPr>
        <w:tabs>
          <w:tab w:val="left" w:pos="0"/>
          <w:tab w:val="left" w:pos="851"/>
        </w:tabs>
        <w:jc w:val="both"/>
        <w:rPr>
          <w:b/>
          <w:spacing w:val="-3"/>
        </w:rPr>
      </w:pPr>
      <w:r w:rsidRPr="00370197">
        <w:rPr>
          <w:b/>
          <w:spacing w:val="-3"/>
        </w:rPr>
        <w:t>5.3</w:t>
      </w:r>
      <w:r w:rsidRPr="00370197">
        <w:rPr>
          <w:b/>
          <w:spacing w:val="-3"/>
        </w:rPr>
        <w:tab/>
        <w:t xml:space="preserve">Prækliniske </w:t>
      </w:r>
      <w:r w:rsidR="00507732" w:rsidRPr="00370197">
        <w:rPr>
          <w:b/>
          <w:spacing w:val="-3"/>
        </w:rPr>
        <w:t>sikkerhedsdata</w:t>
      </w:r>
    </w:p>
    <w:p w14:paraId="32472DF1" w14:textId="77777777" w:rsidR="004B2294" w:rsidRPr="004B2294" w:rsidRDefault="00501C94" w:rsidP="004B2294">
      <w:pPr>
        <w:tabs>
          <w:tab w:val="left" w:pos="0"/>
          <w:tab w:val="left" w:pos="851"/>
        </w:tabs>
        <w:ind w:left="851" w:hanging="851"/>
        <w:rPr>
          <w:spacing w:val="-3"/>
        </w:rPr>
      </w:pPr>
      <w:r>
        <w:rPr>
          <w:spacing w:val="-3"/>
        </w:rPr>
        <w:tab/>
      </w:r>
      <w:proofErr w:type="spellStart"/>
      <w:r w:rsidR="004B2294" w:rsidRPr="004B2294">
        <w:rPr>
          <w:spacing w:val="-3"/>
        </w:rPr>
        <w:t>Metronidazols</w:t>
      </w:r>
      <w:proofErr w:type="spellEnd"/>
      <w:r w:rsidR="004B2294" w:rsidRPr="004B2294">
        <w:rPr>
          <w:spacing w:val="-3"/>
        </w:rPr>
        <w:t xml:space="preserve"> sikkerhed er undersøgt hos mus, rotter, hunde og rhesusaber.</w:t>
      </w:r>
    </w:p>
    <w:p w14:paraId="6FBA569B" w14:textId="77777777" w:rsidR="004B2294" w:rsidRPr="004B2294" w:rsidRDefault="004B2294" w:rsidP="004B2294">
      <w:pPr>
        <w:tabs>
          <w:tab w:val="left" w:pos="0"/>
          <w:tab w:val="left" w:pos="851"/>
        </w:tabs>
        <w:ind w:left="851" w:hanging="851"/>
        <w:rPr>
          <w:spacing w:val="-3"/>
        </w:rPr>
      </w:pPr>
      <w:r w:rsidRPr="004B2294">
        <w:rPr>
          <w:spacing w:val="-3"/>
        </w:rPr>
        <w:tab/>
        <w:t>Hos rotter, behandlet med 75-100 mg i 26-80 uger, kunne der ikke påvises ændringer i adfærd, biokemiske parametre eller autopsifund. Ved doser på 300 mg/kg givet over samme periode blev der hos hanrotter påvist irreversibel testikeldystrofi. Ved doser på 600 mg/kg i 13 dage sås foruden mere udtalt testikeldystrofi også atrofi af prostata.</w:t>
      </w:r>
    </w:p>
    <w:p w14:paraId="5A997344" w14:textId="77777777" w:rsidR="004B2294" w:rsidRPr="004B2294" w:rsidRDefault="004B2294" w:rsidP="004B2294">
      <w:pPr>
        <w:tabs>
          <w:tab w:val="left" w:pos="0"/>
          <w:tab w:val="left" w:pos="851"/>
        </w:tabs>
        <w:ind w:left="851" w:hanging="851"/>
        <w:rPr>
          <w:spacing w:val="-3"/>
        </w:rPr>
      </w:pPr>
      <w:r w:rsidRPr="004B2294">
        <w:rPr>
          <w:spacing w:val="-3"/>
        </w:rPr>
        <w:tab/>
        <w:t xml:space="preserve">Hos hunde fremkalder doser på 75-225 mg/kg </w:t>
      </w:r>
      <w:proofErr w:type="gramStart"/>
      <w:r w:rsidRPr="004B2294">
        <w:rPr>
          <w:spacing w:val="-3"/>
        </w:rPr>
        <w:t>CNS påvirkning</w:t>
      </w:r>
      <w:proofErr w:type="gramEnd"/>
      <w:r w:rsidRPr="004B2294">
        <w:rPr>
          <w:spacing w:val="-3"/>
        </w:rPr>
        <w:t xml:space="preserve"> med </w:t>
      </w:r>
      <w:proofErr w:type="spellStart"/>
      <w:r w:rsidRPr="004B2294">
        <w:rPr>
          <w:spacing w:val="-3"/>
        </w:rPr>
        <w:t>ataksi</w:t>
      </w:r>
      <w:proofErr w:type="spellEnd"/>
      <w:r w:rsidRPr="004B2294">
        <w:rPr>
          <w:spacing w:val="-3"/>
        </w:rPr>
        <w:t xml:space="preserve">, rigiditet og </w:t>
      </w:r>
      <w:proofErr w:type="spellStart"/>
      <w:r w:rsidRPr="004B2294">
        <w:rPr>
          <w:spacing w:val="-3"/>
        </w:rPr>
        <w:t>tremor</w:t>
      </w:r>
      <w:proofErr w:type="spellEnd"/>
      <w:r w:rsidRPr="004B2294">
        <w:rPr>
          <w:spacing w:val="-3"/>
        </w:rPr>
        <w:t>.</w:t>
      </w:r>
    </w:p>
    <w:p w14:paraId="4BE7D464" w14:textId="77777777" w:rsidR="004B2294" w:rsidRPr="004B2294" w:rsidRDefault="004B2294" w:rsidP="004B2294">
      <w:pPr>
        <w:tabs>
          <w:tab w:val="left" w:pos="0"/>
          <w:tab w:val="left" w:pos="851"/>
        </w:tabs>
        <w:ind w:left="851" w:hanging="851"/>
        <w:rPr>
          <w:spacing w:val="-3"/>
        </w:rPr>
      </w:pPr>
      <w:r w:rsidRPr="004B2294">
        <w:rPr>
          <w:spacing w:val="-3"/>
        </w:rPr>
        <w:tab/>
        <w:t xml:space="preserve">Til aber er givet doser på 45 mg/kg, 100 mg/kg og 225 mg/kg i 10 uger. Eneste abnorme fund var uspecifikke forandringer i leveren ved </w:t>
      </w:r>
      <w:proofErr w:type="spellStart"/>
      <w:r w:rsidRPr="004B2294">
        <w:rPr>
          <w:spacing w:val="-3"/>
        </w:rPr>
        <w:t>postmortel</w:t>
      </w:r>
      <w:proofErr w:type="spellEnd"/>
      <w:r w:rsidRPr="004B2294">
        <w:rPr>
          <w:spacing w:val="-3"/>
        </w:rPr>
        <w:t xml:space="preserve"> histologisk undersøgelse hos enkelte af de aber, som havde fået den højeste dosis.</w:t>
      </w:r>
    </w:p>
    <w:p w14:paraId="17CBCE42" w14:textId="77777777" w:rsidR="00350C5F" w:rsidRDefault="00350C5F" w:rsidP="00350C5F">
      <w:pPr>
        <w:ind w:left="851"/>
        <w:rPr>
          <w:spacing w:val="-3"/>
        </w:rPr>
      </w:pPr>
      <w:r>
        <w:rPr>
          <w:spacing w:val="-3"/>
        </w:rPr>
        <w:t xml:space="preserve">Der er lavet embryotoksiske og </w:t>
      </w:r>
      <w:proofErr w:type="spellStart"/>
      <w:r>
        <w:rPr>
          <w:spacing w:val="-3"/>
        </w:rPr>
        <w:t>teratogenicitetsundersøgelser</w:t>
      </w:r>
      <w:proofErr w:type="spellEnd"/>
      <w:r>
        <w:rPr>
          <w:spacing w:val="-3"/>
        </w:rPr>
        <w:t xml:space="preserve"> på rotter og kaniner. Ved doser på 30 mg/kg-200 mg/kg givet fra 3-13 dage under graviditet, kunne ikke påvises embryotoksiske eller </w:t>
      </w:r>
      <w:proofErr w:type="spellStart"/>
      <w:r>
        <w:rPr>
          <w:spacing w:val="-3"/>
        </w:rPr>
        <w:t>teratogene</w:t>
      </w:r>
      <w:proofErr w:type="spellEnd"/>
      <w:r>
        <w:rPr>
          <w:spacing w:val="-3"/>
        </w:rPr>
        <w:t xml:space="preserve"> virkninger af </w:t>
      </w:r>
      <w:proofErr w:type="spellStart"/>
      <w:r>
        <w:rPr>
          <w:spacing w:val="-3"/>
        </w:rPr>
        <w:t>metronidazol</w:t>
      </w:r>
      <w:proofErr w:type="spellEnd"/>
      <w:r>
        <w:rPr>
          <w:spacing w:val="-3"/>
        </w:rPr>
        <w:t>.</w:t>
      </w:r>
    </w:p>
    <w:p w14:paraId="00B469DC" w14:textId="77777777" w:rsidR="004B2294" w:rsidRPr="004B2294" w:rsidRDefault="004B2294" w:rsidP="004B2294">
      <w:pPr>
        <w:tabs>
          <w:tab w:val="left" w:pos="0"/>
          <w:tab w:val="left" w:pos="851"/>
        </w:tabs>
        <w:ind w:left="851" w:hanging="851"/>
        <w:rPr>
          <w:spacing w:val="-3"/>
        </w:rPr>
      </w:pPr>
      <w:r w:rsidRPr="004B2294">
        <w:rPr>
          <w:spacing w:val="-3"/>
        </w:rPr>
        <w:tab/>
      </w:r>
    </w:p>
    <w:p w14:paraId="244DD306" w14:textId="77777777" w:rsidR="004B2294" w:rsidRPr="004B2294" w:rsidRDefault="004B2294" w:rsidP="004B2294">
      <w:pPr>
        <w:tabs>
          <w:tab w:val="left" w:pos="0"/>
          <w:tab w:val="left" w:pos="851"/>
        </w:tabs>
        <w:ind w:left="851" w:hanging="851"/>
        <w:rPr>
          <w:spacing w:val="-3"/>
        </w:rPr>
      </w:pPr>
      <w:r w:rsidRPr="004B2294">
        <w:rPr>
          <w:spacing w:val="-3"/>
        </w:rPr>
        <w:tab/>
        <w:t>Reproduktionsstudier på rotter og mus behandlet med doser på 50-100 mg/kg i indtil 65 dage før konception og indtil 19 dage efter kunne ikke påvise ændret fertilitet. Ved doser på 200 mg/kg blev der for hanrotter observeret nedsat fertilitet. Der kunne ikke påvises fertilitetsændringer hos hunrotter behandlet med samme dosis.</w:t>
      </w:r>
    </w:p>
    <w:p w14:paraId="58A54633" w14:textId="77777777" w:rsidR="004B2294" w:rsidRPr="004B2294" w:rsidRDefault="004B2294" w:rsidP="004B2294">
      <w:pPr>
        <w:tabs>
          <w:tab w:val="left" w:pos="0"/>
          <w:tab w:val="left" w:pos="851"/>
        </w:tabs>
        <w:ind w:left="851" w:hanging="851"/>
        <w:rPr>
          <w:spacing w:val="-3"/>
        </w:rPr>
      </w:pPr>
      <w:r w:rsidRPr="004B2294">
        <w:rPr>
          <w:spacing w:val="-3"/>
        </w:rPr>
        <w:tab/>
      </w:r>
    </w:p>
    <w:p w14:paraId="578300A2" w14:textId="77777777" w:rsidR="00350C5F" w:rsidRDefault="00350C5F" w:rsidP="00350C5F">
      <w:pPr>
        <w:ind w:left="851"/>
        <w:rPr>
          <w:spacing w:val="-3"/>
        </w:rPr>
      </w:pPr>
      <w:proofErr w:type="spellStart"/>
      <w:r>
        <w:rPr>
          <w:spacing w:val="-3"/>
        </w:rPr>
        <w:t>Metronidazol</w:t>
      </w:r>
      <w:proofErr w:type="spellEnd"/>
      <w:r>
        <w:rPr>
          <w:spacing w:val="-3"/>
        </w:rPr>
        <w:t xml:space="preserve"> har vist at være </w:t>
      </w:r>
      <w:proofErr w:type="spellStart"/>
      <w:r>
        <w:rPr>
          <w:spacing w:val="-3"/>
        </w:rPr>
        <w:t>tumorigent</w:t>
      </w:r>
      <w:proofErr w:type="spellEnd"/>
      <w:r>
        <w:rPr>
          <w:spacing w:val="-3"/>
        </w:rPr>
        <w:t xml:space="preserve"> hos mus og rotter.</w:t>
      </w:r>
    </w:p>
    <w:p w14:paraId="57BC30CD" w14:textId="77777777" w:rsidR="00350C5F" w:rsidRDefault="00350C5F" w:rsidP="00350C5F">
      <w:pPr>
        <w:ind w:left="851"/>
        <w:rPr>
          <w:spacing w:val="-3"/>
        </w:rPr>
      </w:pPr>
      <w:proofErr w:type="spellStart"/>
      <w:r>
        <w:rPr>
          <w:spacing w:val="-3"/>
        </w:rPr>
        <w:t>Tumorgenicitet</w:t>
      </w:r>
      <w:proofErr w:type="spellEnd"/>
      <w:r>
        <w:rPr>
          <w:spacing w:val="-3"/>
        </w:rPr>
        <w:t xml:space="preserve"> og </w:t>
      </w:r>
      <w:proofErr w:type="spellStart"/>
      <w:r>
        <w:rPr>
          <w:spacing w:val="-3"/>
        </w:rPr>
        <w:t>mutagenicitet</w:t>
      </w:r>
      <w:proofErr w:type="spellEnd"/>
      <w:r>
        <w:rPr>
          <w:spacing w:val="-3"/>
        </w:rPr>
        <w:t xml:space="preserve"> er undersøgt på rotter, mus og hamstere.</w:t>
      </w:r>
    </w:p>
    <w:p w14:paraId="69A8FC2A" w14:textId="77777777" w:rsidR="00350C5F" w:rsidRDefault="00350C5F" w:rsidP="00350C5F">
      <w:pPr>
        <w:ind w:left="851"/>
        <w:rPr>
          <w:spacing w:val="-3"/>
        </w:rPr>
      </w:pPr>
    </w:p>
    <w:p w14:paraId="12DED358" w14:textId="77777777" w:rsidR="00350C5F" w:rsidRDefault="00350C5F" w:rsidP="00350C5F">
      <w:pPr>
        <w:ind w:left="851"/>
        <w:rPr>
          <w:spacing w:val="-3"/>
        </w:rPr>
      </w:pPr>
      <w:r>
        <w:rPr>
          <w:spacing w:val="-3"/>
        </w:rPr>
        <w:t xml:space="preserve">En undersøgelse på mus, som gennem 18 måneder var blevet tilført </w:t>
      </w:r>
      <w:proofErr w:type="spellStart"/>
      <w:r>
        <w:rPr>
          <w:spacing w:val="-3"/>
        </w:rPr>
        <w:t>metronidazol</w:t>
      </w:r>
      <w:proofErr w:type="spellEnd"/>
      <w:r>
        <w:rPr>
          <w:spacing w:val="-3"/>
        </w:rPr>
        <w:t xml:space="preserve"> gennem kosten, kunne påvise øget </w:t>
      </w:r>
      <w:proofErr w:type="spellStart"/>
      <w:r>
        <w:rPr>
          <w:spacing w:val="-3"/>
        </w:rPr>
        <w:t>incidens</w:t>
      </w:r>
      <w:proofErr w:type="spellEnd"/>
      <w:r>
        <w:rPr>
          <w:spacing w:val="-3"/>
        </w:rPr>
        <w:t xml:space="preserve"> af lungetumorer og malignt </w:t>
      </w:r>
      <w:proofErr w:type="spellStart"/>
      <w:r>
        <w:rPr>
          <w:spacing w:val="-3"/>
        </w:rPr>
        <w:t>lymfom</w:t>
      </w:r>
      <w:proofErr w:type="spellEnd"/>
      <w:r>
        <w:rPr>
          <w:spacing w:val="-3"/>
        </w:rPr>
        <w:t xml:space="preserve">, mens to lignende studier ikke kunne bekræfte øget </w:t>
      </w:r>
      <w:proofErr w:type="spellStart"/>
      <w:r>
        <w:rPr>
          <w:spacing w:val="-3"/>
        </w:rPr>
        <w:t>incidens</w:t>
      </w:r>
      <w:proofErr w:type="spellEnd"/>
      <w:r>
        <w:rPr>
          <w:spacing w:val="-3"/>
        </w:rPr>
        <w:t xml:space="preserve"> af malignt </w:t>
      </w:r>
      <w:proofErr w:type="spellStart"/>
      <w:r>
        <w:rPr>
          <w:spacing w:val="-3"/>
        </w:rPr>
        <w:t>lymfom</w:t>
      </w:r>
      <w:proofErr w:type="spellEnd"/>
      <w:r>
        <w:rPr>
          <w:spacing w:val="-3"/>
        </w:rPr>
        <w:t>, men derimod af lungetumorer.</w:t>
      </w:r>
    </w:p>
    <w:p w14:paraId="095E82A8" w14:textId="77777777" w:rsidR="00350C5F" w:rsidRDefault="00350C5F" w:rsidP="00350C5F">
      <w:pPr>
        <w:ind w:left="851"/>
        <w:rPr>
          <w:spacing w:val="-3"/>
        </w:rPr>
      </w:pPr>
      <w:r>
        <w:rPr>
          <w:spacing w:val="-3"/>
        </w:rPr>
        <w:t xml:space="preserve">Undersøgelse på hamstere har ikke kunnet påvise </w:t>
      </w:r>
      <w:proofErr w:type="spellStart"/>
      <w:r>
        <w:rPr>
          <w:spacing w:val="-3"/>
        </w:rPr>
        <w:t>tumorgenicitet</w:t>
      </w:r>
      <w:proofErr w:type="spellEnd"/>
      <w:r>
        <w:rPr>
          <w:spacing w:val="-3"/>
        </w:rPr>
        <w:t xml:space="preserve"> eller </w:t>
      </w:r>
      <w:proofErr w:type="spellStart"/>
      <w:r>
        <w:rPr>
          <w:spacing w:val="-3"/>
        </w:rPr>
        <w:t>mutagenicitet</w:t>
      </w:r>
      <w:proofErr w:type="spellEnd"/>
      <w:r>
        <w:rPr>
          <w:spacing w:val="-3"/>
        </w:rPr>
        <w:t>.</w:t>
      </w:r>
    </w:p>
    <w:p w14:paraId="09C7168A" w14:textId="77777777" w:rsidR="004B2294" w:rsidRPr="004B2294" w:rsidRDefault="004B2294" w:rsidP="004B2294">
      <w:pPr>
        <w:tabs>
          <w:tab w:val="left" w:pos="0"/>
          <w:tab w:val="left" w:pos="851"/>
        </w:tabs>
        <w:ind w:left="851" w:hanging="851"/>
        <w:rPr>
          <w:spacing w:val="-3"/>
        </w:rPr>
      </w:pPr>
      <w:r w:rsidRPr="004B2294">
        <w:rPr>
          <w:spacing w:val="-3"/>
        </w:rPr>
        <w:tab/>
      </w:r>
    </w:p>
    <w:p w14:paraId="35B865C1" w14:textId="77777777" w:rsidR="004B2294" w:rsidRPr="004B2294" w:rsidRDefault="004B2294" w:rsidP="004B2294">
      <w:pPr>
        <w:tabs>
          <w:tab w:val="left" w:pos="0"/>
          <w:tab w:val="left" w:pos="851"/>
        </w:tabs>
        <w:ind w:left="851" w:hanging="851"/>
        <w:rPr>
          <w:spacing w:val="-3"/>
        </w:rPr>
      </w:pPr>
      <w:r w:rsidRPr="004B2294">
        <w:rPr>
          <w:spacing w:val="-3"/>
        </w:rPr>
        <w:tab/>
        <w:t xml:space="preserve">Omfattende epidemiologiske undersøgelser hos mennesker har ikke vist en øget risiko for </w:t>
      </w:r>
      <w:proofErr w:type="spellStart"/>
      <w:r w:rsidRPr="004B2294">
        <w:rPr>
          <w:spacing w:val="-3"/>
        </w:rPr>
        <w:t>carcinogenicitet</w:t>
      </w:r>
      <w:proofErr w:type="spellEnd"/>
      <w:r w:rsidRPr="004B2294">
        <w:rPr>
          <w:spacing w:val="-3"/>
        </w:rPr>
        <w:t xml:space="preserve"> hos mennesker. </w:t>
      </w:r>
    </w:p>
    <w:p w14:paraId="7E246ABC" w14:textId="77777777" w:rsidR="004B2294" w:rsidRPr="004B2294" w:rsidRDefault="004B2294" w:rsidP="004B2294">
      <w:pPr>
        <w:tabs>
          <w:tab w:val="left" w:pos="0"/>
          <w:tab w:val="left" w:pos="851"/>
        </w:tabs>
        <w:ind w:left="851" w:hanging="851"/>
        <w:rPr>
          <w:spacing w:val="-3"/>
        </w:rPr>
      </w:pPr>
      <w:r w:rsidRPr="004B2294">
        <w:rPr>
          <w:spacing w:val="-3"/>
        </w:rPr>
        <w:tab/>
      </w:r>
    </w:p>
    <w:p w14:paraId="561FB564" w14:textId="77777777" w:rsidR="004B2294" w:rsidRPr="004B2294" w:rsidRDefault="004B2294" w:rsidP="004B2294">
      <w:pPr>
        <w:tabs>
          <w:tab w:val="left" w:pos="0"/>
          <w:tab w:val="left" w:pos="851"/>
        </w:tabs>
        <w:ind w:left="851" w:hanging="851"/>
        <w:rPr>
          <w:spacing w:val="-3"/>
        </w:rPr>
      </w:pPr>
      <w:r w:rsidRPr="004B2294">
        <w:rPr>
          <w:spacing w:val="-3"/>
        </w:rPr>
        <w:tab/>
      </w:r>
      <w:proofErr w:type="spellStart"/>
      <w:r w:rsidRPr="004B2294">
        <w:rPr>
          <w:spacing w:val="-3"/>
        </w:rPr>
        <w:t>Metronidazol</w:t>
      </w:r>
      <w:proofErr w:type="spellEnd"/>
      <w:r w:rsidRPr="004B2294">
        <w:rPr>
          <w:spacing w:val="-3"/>
        </w:rPr>
        <w:t xml:space="preserve"> er påvist at være mutagent for bakterier </w:t>
      </w:r>
      <w:r w:rsidRPr="004B2294">
        <w:rPr>
          <w:i/>
          <w:spacing w:val="-3"/>
        </w:rPr>
        <w:t xml:space="preserve">in </w:t>
      </w:r>
      <w:proofErr w:type="spellStart"/>
      <w:r w:rsidRPr="004B2294">
        <w:rPr>
          <w:i/>
          <w:spacing w:val="-3"/>
        </w:rPr>
        <w:t>vitro</w:t>
      </w:r>
      <w:proofErr w:type="spellEnd"/>
      <w:r w:rsidRPr="004B2294">
        <w:rPr>
          <w:spacing w:val="-3"/>
        </w:rPr>
        <w:t xml:space="preserve">. I studier på pattedyrceller </w:t>
      </w:r>
      <w:r w:rsidRPr="004B2294">
        <w:rPr>
          <w:i/>
          <w:spacing w:val="-3"/>
        </w:rPr>
        <w:t xml:space="preserve">in </w:t>
      </w:r>
      <w:proofErr w:type="spellStart"/>
      <w:r w:rsidRPr="004B2294">
        <w:rPr>
          <w:i/>
          <w:spacing w:val="-3"/>
        </w:rPr>
        <w:t>vitro</w:t>
      </w:r>
      <w:proofErr w:type="spellEnd"/>
      <w:r w:rsidRPr="004B2294">
        <w:rPr>
          <w:spacing w:val="-3"/>
        </w:rPr>
        <w:t xml:space="preserve"> såvel som hos gnavere eller mennesker </w:t>
      </w:r>
      <w:r w:rsidRPr="004B2294">
        <w:rPr>
          <w:i/>
          <w:spacing w:val="-3"/>
        </w:rPr>
        <w:t xml:space="preserve">in </w:t>
      </w:r>
      <w:proofErr w:type="spellStart"/>
      <w:r w:rsidRPr="004B2294">
        <w:rPr>
          <w:i/>
          <w:spacing w:val="-3"/>
        </w:rPr>
        <w:t>vivo</w:t>
      </w:r>
      <w:proofErr w:type="spellEnd"/>
      <w:r w:rsidRPr="004B2294">
        <w:rPr>
          <w:spacing w:val="-3"/>
        </w:rPr>
        <w:t xml:space="preserve"> var der utilstrækkeligt bevis for, at </w:t>
      </w:r>
      <w:proofErr w:type="spellStart"/>
      <w:r w:rsidRPr="004B2294">
        <w:rPr>
          <w:spacing w:val="-3"/>
        </w:rPr>
        <w:t>metronidazol</w:t>
      </w:r>
      <w:proofErr w:type="spellEnd"/>
      <w:r w:rsidRPr="004B2294">
        <w:rPr>
          <w:spacing w:val="-3"/>
        </w:rPr>
        <w:t xml:space="preserve"> er mutagent, idet nogle studier rapporterer mutagene effekter mens andre studier var negative.</w:t>
      </w:r>
    </w:p>
    <w:p w14:paraId="197EAA5A" w14:textId="77777777" w:rsidR="004B2294" w:rsidRPr="004B2294" w:rsidRDefault="004B2294" w:rsidP="004B2294">
      <w:pPr>
        <w:tabs>
          <w:tab w:val="left" w:pos="0"/>
          <w:tab w:val="left" w:pos="851"/>
        </w:tabs>
        <w:ind w:left="851" w:hanging="851"/>
        <w:rPr>
          <w:spacing w:val="-3"/>
        </w:rPr>
      </w:pPr>
    </w:p>
    <w:p w14:paraId="2B59FD30" w14:textId="77777777" w:rsidR="004B2294" w:rsidRPr="004B2294" w:rsidRDefault="004B2294" w:rsidP="004B2294">
      <w:pPr>
        <w:tabs>
          <w:tab w:val="left" w:pos="0"/>
          <w:tab w:val="left" w:pos="851"/>
        </w:tabs>
        <w:ind w:left="851" w:hanging="851"/>
        <w:rPr>
          <w:spacing w:val="-3"/>
        </w:rPr>
      </w:pPr>
      <w:r w:rsidRPr="004B2294">
        <w:rPr>
          <w:spacing w:val="-3"/>
        </w:rPr>
        <w:tab/>
        <w:t xml:space="preserve">Brug af </w:t>
      </w:r>
      <w:proofErr w:type="spellStart"/>
      <w:r w:rsidRPr="004B2294">
        <w:rPr>
          <w:spacing w:val="-3"/>
        </w:rPr>
        <w:t>Flagyl</w:t>
      </w:r>
      <w:proofErr w:type="spellEnd"/>
      <w:r w:rsidRPr="004B2294">
        <w:rPr>
          <w:spacing w:val="-3"/>
        </w:rPr>
        <w:t xml:space="preserve"> til længerevarende behandling bør derfor overvejes nøje (se pkt. 4.4).</w:t>
      </w:r>
    </w:p>
    <w:p w14:paraId="3652E0A5" w14:textId="77777777" w:rsidR="00350C5F" w:rsidRDefault="00350C5F" w:rsidP="00501C94">
      <w:pPr>
        <w:tabs>
          <w:tab w:val="left" w:pos="0"/>
          <w:tab w:val="left" w:pos="851"/>
        </w:tabs>
        <w:jc w:val="both"/>
        <w:rPr>
          <w:spacing w:val="-3"/>
        </w:rPr>
      </w:pPr>
    </w:p>
    <w:p w14:paraId="2480FB5A" w14:textId="77777777" w:rsidR="00350C5F" w:rsidRDefault="00350C5F" w:rsidP="00501C94">
      <w:pPr>
        <w:tabs>
          <w:tab w:val="left" w:pos="0"/>
          <w:tab w:val="left" w:pos="851"/>
        </w:tabs>
        <w:jc w:val="both"/>
        <w:rPr>
          <w:spacing w:val="-3"/>
        </w:rPr>
      </w:pPr>
    </w:p>
    <w:p w14:paraId="03376445" w14:textId="77777777" w:rsidR="00501C94" w:rsidRDefault="00501C94" w:rsidP="00501C94">
      <w:pPr>
        <w:tabs>
          <w:tab w:val="left" w:pos="0"/>
          <w:tab w:val="left" w:pos="851"/>
        </w:tabs>
        <w:ind w:left="850" w:hanging="850"/>
        <w:jc w:val="both"/>
        <w:rPr>
          <w:spacing w:val="-3"/>
        </w:rPr>
      </w:pPr>
      <w:r>
        <w:rPr>
          <w:b/>
          <w:spacing w:val="-3"/>
        </w:rPr>
        <w:t>6.</w:t>
      </w:r>
      <w:r>
        <w:rPr>
          <w:b/>
          <w:spacing w:val="-3"/>
        </w:rPr>
        <w:tab/>
        <w:t>FARMACEUTISKE OPLYSNINGER</w:t>
      </w:r>
    </w:p>
    <w:p w14:paraId="7F0E63DC" w14:textId="77777777" w:rsidR="00501C94" w:rsidRDefault="00501C94" w:rsidP="00501C94">
      <w:pPr>
        <w:tabs>
          <w:tab w:val="left" w:pos="0"/>
          <w:tab w:val="left" w:pos="851"/>
        </w:tabs>
        <w:jc w:val="both"/>
        <w:rPr>
          <w:spacing w:val="-3"/>
        </w:rPr>
      </w:pPr>
    </w:p>
    <w:p w14:paraId="6619E2FC" w14:textId="77777777" w:rsidR="00501C94" w:rsidRPr="00370197" w:rsidRDefault="00501C94" w:rsidP="00501C94">
      <w:pPr>
        <w:tabs>
          <w:tab w:val="left" w:pos="0"/>
          <w:tab w:val="left" w:pos="851"/>
        </w:tabs>
        <w:ind w:left="850" w:hanging="850"/>
        <w:jc w:val="both"/>
        <w:rPr>
          <w:b/>
          <w:spacing w:val="-3"/>
        </w:rPr>
      </w:pPr>
      <w:r w:rsidRPr="00370197">
        <w:rPr>
          <w:b/>
          <w:spacing w:val="-3"/>
        </w:rPr>
        <w:t>6.1</w:t>
      </w:r>
      <w:r w:rsidRPr="00370197">
        <w:rPr>
          <w:b/>
          <w:spacing w:val="-3"/>
        </w:rPr>
        <w:tab/>
        <w:t>Hjælpestoffer</w:t>
      </w:r>
    </w:p>
    <w:p w14:paraId="0A25DC41" w14:textId="77777777" w:rsidR="00501C94" w:rsidRDefault="00501C94" w:rsidP="00501C94">
      <w:pPr>
        <w:tabs>
          <w:tab w:val="left" w:pos="0"/>
          <w:tab w:val="left" w:pos="851"/>
        </w:tabs>
        <w:ind w:left="850" w:hanging="850"/>
        <w:rPr>
          <w:spacing w:val="-3"/>
        </w:rPr>
      </w:pPr>
      <w:r>
        <w:rPr>
          <w:spacing w:val="-3"/>
        </w:rPr>
        <w:tab/>
      </w:r>
      <w:proofErr w:type="spellStart"/>
      <w:r>
        <w:rPr>
          <w:spacing w:val="-3"/>
        </w:rPr>
        <w:t>Calciumhydrogenphosphat</w:t>
      </w:r>
      <w:proofErr w:type="spellEnd"/>
      <w:r>
        <w:rPr>
          <w:spacing w:val="-3"/>
        </w:rPr>
        <w:t xml:space="preserve">, majsstivelse, </w:t>
      </w:r>
      <w:proofErr w:type="spellStart"/>
      <w:r>
        <w:rPr>
          <w:spacing w:val="-3"/>
        </w:rPr>
        <w:t>povidon</w:t>
      </w:r>
      <w:proofErr w:type="spellEnd"/>
      <w:r>
        <w:rPr>
          <w:spacing w:val="-3"/>
        </w:rPr>
        <w:t xml:space="preserve">, </w:t>
      </w:r>
      <w:proofErr w:type="spellStart"/>
      <w:r>
        <w:rPr>
          <w:spacing w:val="-3"/>
        </w:rPr>
        <w:t>magnesiumstearat</w:t>
      </w:r>
      <w:proofErr w:type="spellEnd"/>
      <w:r>
        <w:rPr>
          <w:spacing w:val="-3"/>
        </w:rPr>
        <w:t xml:space="preserve">, </w:t>
      </w:r>
      <w:proofErr w:type="spellStart"/>
      <w:r>
        <w:rPr>
          <w:spacing w:val="-3"/>
        </w:rPr>
        <w:t>hypromellose</w:t>
      </w:r>
      <w:proofErr w:type="spellEnd"/>
      <w:r>
        <w:rPr>
          <w:spacing w:val="-3"/>
        </w:rPr>
        <w:t xml:space="preserve">, </w:t>
      </w:r>
      <w:proofErr w:type="spellStart"/>
      <w:r>
        <w:rPr>
          <w:spacing w:val="-3"/>
        </w:rPr>
        <w:t>macrogol</w:t>
      </w:r>
      <w:proofErr w:type="spellEnd"/>
      <w:r>
        <w:rPr>
          <w:spacing w:val="-3"/>
        </w:rPr>
        <w:t xml:space="preserve"> 400, </w:t>
      </w:r>
      <w:proofErr w:type="spellStart"/>
      <w:r>
        <w:rPr>
          <w:spacing w:val="-3"/>
        </w:rPr>
        <w:t>talcum</w:t>
      </w:r>
      <w:proofErr w:type="spellEnd"/>
      <w:r>
        <w:rPr>
          <w:spacing w:val="-3"/>
        </w:rPr>
        <w:t xml:space="preserve"> (kun 400 mg).</w:t>
      </w:r>
    </w:p>
    <w:p w14:paraId="697F6302" w14:textId="77777777" w:rsidR="00501C94" w:rsidRDefault="00501C94" w:rsidP="00501C94">
      <w:pPr>
        <w:tabs>
          <w:tab w:val="left" w:pos="0"/>
          <w:tab w:val="left" w:pos="851"/>
        </w:tabs>
        <w:jc w:val="both"/>
        <w:rPr>
          <w:spacing w:val="-3"/>
        </w:rPr>
      </w:pPr>
    </w:p>
    <w:p w14:paraId="570622CF" w14:textId="77777777" w:rsidR="00501C94" w:rsidRPr="002568F7" w:rsidRDefault="00501C94" w:rsidP="00501C94">
      <w:pPr>
        <w:tabs>
          <w:tab w:val="left" w:pos="0"/>
          <w:tab w:val="left" w:pos="851"/>
        </w:tabs>
        <w:ind w:left="850" w:hanging="850"/>
        <w:jc w:val="both"/>
        <w:rPr>
          <w:b/>
          <w:spacing w:val="-3"/>
        </w:rPr>
      </w:pPr>
      <w:r w:rsidRPr="002568F7">
        <w:rPr>
          <w:b/>
          <w:spacing w:val="-3"/>
        </w:rPr>
        <w:t>6.2</w:t>
      </w:r>
      <w:r w:rsidRPr="002568F7">
        <w:rPr>
          <w:b/>
          <w:spacing w:val="-3"/>
        </w:rPr>
        <w:tab/>
        <w:t>Uforligeligheder</w:t>
      </w:r>
    </w:p>
    <w:p w14:paraId="21724C4C" w14:textId="77777777" w:rsidR="00501C94" w:rsidRDefault="00501C94" w:rsidP="00501C94">
      <w:pPr>
        <w:tabs>
          <w:tab w:val="left" w:pos="0"/>
          <w:tab w:val="left" w:pos="851"/>
        </w:tabs>
        <w:ind w:left="850" w:hanging="850"/>
        <w:jc w:val="both"/>
        <w:rPr>
          <w:spacing w:val="-3"/>
        </w:rPr>
      </w:pPr>
      <w:r>
        <w:rPr>
          <w:spacing w:val="-3"/>
        </w:rPr>
        <w:lastRenderedPageBreak/>
        <w:tab/>
        <w:t>Ikke relevant.</w:t>
      </w:r>
    </w:p>
    <w:p w14:paraId="38E5C512" w14:textId="77777777" w:rsidR="00501C94" w:rsidRDefault="00501C94" w:rsidP="00501C94">
      <w:pPr>
        <w:tabs>
          <w:tab w:val="left" w:pos="0"/>
          <w:tab w:val="left" w:pos="851"/>
        </w:tabs>
        <w:jc w:val="both"/>
        <w:rPr>
          <w:spacing w:val="-3"/>
        </w:rPr>
      </w:pPr>
    </w:p>
    <w:p w14:paraId="61C605A0" w14:textId="77777777" w:rsidR="00501C94" w:rsidRPr="002568F7" w:rsidRDefault="00501C94" w:rsidP="00501C94">
      <w:pPr>
        <w:tabs>
          <w:tab w:val="left" w:pos="0"/>
          <w:tab w:val="left" w:pos="851"/>
        </w:tabs>
        <w:ind w:left="850" w:hanging="850"/>
        <w:jc w:val="both"/>
        <w:rPr>
          <w:b/>
          <w:spacing w:val="-3"/>
        </w:rPr>
      </w:pPr>
      <w:r w:rsidRPr="002568F7">
        <w:rPr>
          <w:b/>
          <w:spacing w:val="-3"/>
        </w:rPr>
        <w:t>6.3</w:t>
      </w:r>
      <w:r w:rsidRPr="002568F7">
        <w:rPr>
          <w:b/>
          <w:spacing w:val="-3"/>
        </w:rPr>
        <w:tab/>
        <w:t>Opbevaringstid</w:t>
      </w:r>
    </w:p>
    <w:p w14:paraId="04D2ACE9" w14:textId="77777777" w:rsidR="00501C94" w:rsidRDefault="00501C94" w:rsidP="00501C94">
      <w:pPr>
        <w:tabs>
          <w:tab w:val="left" w:pos="0"/>
          <w:tab w:val="left" w:pos="851"/>
        </w:tabs>
        <w:ind w:left="850" w:hanging="850"/>
        <w:jc w:val="both"/>
        <w:rPr>
          <w:spacing w:val="-3"/>
        </w:rPr>
      </w:pPr>
      <w:r>
        <w:rPr>
          <w:spacing w:val="-3"/>
        </w:rPr>
        <w:tab/>
        <w:t>3 år.</w:t>
      </w:r>
    </w:p>
    <w:p w14:paraId="21401BB2" w14:textId="77777777" w:rsidR="00501C94" w:rsidRDefault="00501C94" w:rsidP="00501C94">
      <w:pPr>
        <w:tabs>
          <w:tab w:val="left" w:pos="0"/>
          <w:tab w:val="left" w:pos="851"/>
        </w:tabs>
        <w:jc w:val="both"/>
        <w:rPr>
          <w:spacing w:val="-3"/>
        </w:rPr>
      </w:pPr>
    </w:p>
    <w:p w14:paraId="33734638" w14:textId="77777777" w:rsidR="00501C94" w:rsidRPr="002568F7" w:rsidRDefault="00501C94" w:rsidP="00501C94">
      <w:pPr>
        <w:tabs>
          <w:tab w:val="left" w:pos="0"/>
          <w:tab w:val="left" w:pos="851"/>
        </w:tabs>
        <w:ind w:left="850" w:hanging="850"/>
        <w:jc w:val="both"/>
        <w:rPr>
          <w:b/>
          <w:spacing w:val="-3"/>
        </w:rPr>
      </w:pPr>
      <w:r w:rsidRPr="002568F7">
        <w:rPr>
          <w:b/>
          <w:spacing w:val="-3"/>
        </w:rPr>
        <w:t>6.4</w:t>
      </w:r>
      <w:r w:rsidRPr="002568F7">
        <w:rPr>
          <w:b/>
          <w:spacing w:val="-3"/>
        </w:rPr>
        <w:tab/>
        <w:t>Særlige opbevaringsforhold</w:t>
      </w:r>
    </w:p>
    <w:p w14:paraId="6859A1EA" w14:textId="77777777" w:rsidR="00925A84" w:rsidRDefault="00925A84" w:rsidP="00925A84">
      <w:pPr>
        <w:ind w:left="851"/>
        <w:rPr>
          <w:sz w:val="23"/>
          <w:szCs w:val="23"/>
        </w:rPr>
      </w:pPr>
      <w:r>
        <w:rPr>
          <w:szCs w:val="23"/>
        </w:rPr>
        <w:t>Må ikke opbevares over 30 °C.</w:t>
      </w:r>
    </w:p>
    <w:p w14:paraId="51A58A77" w14:textId="77777777" w:rsidR="00925A84" w:rsidRDefault="00925A84" w:rsidP="00925A84">
      <w:pPr>
        <w:tabs>
          <w:tab w:val="left" w:pos="0"/>
          <w:tab w:val="left" w:pos="571"/>
          <w:tab w:val="left" w:pos="1285"/>
        </w:tabs>
        <w:ind w:left="851"/>
        <w:rPr>
          <w:spacing w:val="-3"/>
          <w:szCs w:val="23"/>
        </w:rPr>
      </w:pPr>
      <w:r>
        <w:rPr>
          <w:szCs w:val="23"/>
        </w:rPr>
        <w:t>Opbevares i original emballage for at beskytte mod lys.</w:t>
      </w:r>
    </w:p>
    <w:p w14:paraId="56BDC5C1" w14:textId="77777777" w:rsidR="00D377F9" w:rsidRDefault="00D377F9" w:rsidP="00501C94">
      <w:pPr>
        <w:tabs>
          <w:tab w:val="left" w:pos="0"/>
          <w:tab w:val="left" w:pos="851"/>
        </w:tabs>
        <w:jc w:val="both"/>
        <w:rPr>
          <w:spacing w:val="-3"/>
        </w:rPr>
      </w:pPr>
    </w:p>
    <w:p w14:paraId="495864BD" w14:textId="77777777" w:rsidR="00501C94" w:rsidRPr="008D061E" w:rsidRDefault="00501C94" w:rsidP="00501C94">
      <w:pPr>
        <w:tabs>
          <w:tab w:val="left" w:pos="0"/>
          <w:tab w:val="left" w:pos="851"/>
        </w:tabs>
        <w:ind w:left="850" w:hanging="850"/>
        <w:jc w:val="both"/>
        <w:rPr>
          <w:b/>
          <w:spacing w:val="-3"/>
        </w:rPr>
      </w:pPr>
      <w:r w:rsidRPr="002568F7">
        <w:rPr>
          <w:b/>
          <w:spacing w:val="-3"/>
        </w:rPr>
        <w:t>6.5</w:t>
      </w:r>
      <w:r w:rsidRPr="002568F7">
        <w:rPr>
          <w:b/>
          <w:spacing w:val="-3"/>
        </w:rPr>
        <w:tab/>
        <w:t>E</w:t>
      </w:r>
      <w:r w:rsidRPr="00E211D9">
        <w:rPr>
          <w:b/>
        </w:rPr>
        <w:t xml:space="preserve">mballagetype </w:t>
      </w:r>
    </w:p>
    <w:p w14:paraId="5F1D8884" w14:textId="77777777" w:rsidR="00501C94" w:rsidRDefault="00501C94" w:rsidP="00501C94">
      <w:pPr>
        <w:tabs>
          <w:tab w:val="left" w:pos="0"/>
          <w:tab w:val="left" w:pos="851"/>
        </w:tabs>
        <w:ind w:left="850" w:hanging="850"/>
        <w:jc w:val="both"/>
        <w:rPr>
          <w:spacing w:val="-3"/>
        </w:rPr>
      </w:pPr>
      <w:r>
        <w:rPr>
          <w:spacing w:val="-3"/>
        </w:rPr>
        <w:tab/>
        <w:t>Blister.</w:t>
      </w:r>
    </w:p>
    <w:p w14:paraId="0B0B1256" w14:textId="77777777" w:rsidR="00501C94" w:rsidRDefault="00501C94" w:rsidP="00925A84">
      <w:pPr>
        <w:tabs>
          <w:tab w:val="left" w:pos="0"/>
          <w:tab w:val="left" w:pos="851"/>
        </w:tabs>
        <w:ind w:left="850" w:hanging="850"/>
        <w:jc w:val="both"/>
        <w:rPr>
          <w:spacing w:val="-3"/>
        </w:rPr>
      </w:pPr>
      <w:r>
        <w:rPr>
          <w:spacing w:val="-3"/>
        </w:rPr>
        <w:tab/>
      </w:r>
    </w:p>
    <w:p w14:paraId="42CB33AD" w14:textId="77777777" w:rsidR="00501C94" w:rsidRPr="008D061E" w:rsidRDefault="00501C94" w:rsidP="00501C94">
      <w:pPr>
        <w:tabs>
          <w:tab w:val="left" w:pos="0"/>
          <w:tab w:val="left" w:pos="851"/>
        </w:tabs>
        <w:ind w:left="850" w:hanging="850"/>
        <w:rPr>
          <w:b/>
          <w:spacing w:val="-3"/>
        </w:rPr>
      </w:pPr>
      <w:r w:rsidRPr="002568F7">
        <w:rPr>
          <w:b/>
          <w:spacing w:val="-3"/>
        </w:rPr>
        <w:t>6.6</w:t>
      </w:r>
      <w:r w:rsidRPr="002568F7">
        <w:rPr>
          <w:b/>
          <w:spacing w:val="-3"/>
        </w:rPr>
        <w:tab/>
      </w:r>
      <w:r>
        <w:rPr>
          <w:b/>
        </w:rPr>
        <w:t>Regler for destruktion og anden håndtering</w:t>
      </w:r>
    </w:p>
    <w:p w14:paraId="088A43CD" w14:textId="77777777" w:rsidR="00501C94" w:rsidRDefault="00501C94" w:rsidP="00501C94">
      <w:pPr>
        <w:tabs>
          <w:tab w:val="left" w:pos="1418"/>
          <w:tab w:val="left" w:pos="6096"/>
        </w:tabs>
        <w:ind w:left="851"/>
      </w:pPr>
      <w:r>
        <w:t>Ingen særlige forholdsregler.</w:t>
      </w:r>
    </w:p>
    <w:p w14:paraId="3B57BBAE" w14:textId="77777777" w:rsidR="00501C94" w:rsidRDefault="00501C94" w:rsidP="00501C94">
      <w:pPr>
        <w:tabs>
          <w:tab w:val="left" w:pos="1418"/>
          <w:tab w:val="left" w:pos="6096"/>
        </w:tabs>
        <w:ind w:left="851"/>
      </w:pPr>
    </w:p>
    <w:p w14:paraId="2FC7E27F" w14:textId="77777777" w:rsidR="00501C94" w:rsidRDefault="00507732" w:rsidP="00EC2B9E">
      <w:pPr>
        <w:ind w:left="851"/>
        <w:rPr>
          <w:spacing w:val="-3"/>
        </w:rPr>
      </w:pPr>
      <w:r w:rsidRPr="00CC2CED">
        <w:t>Ikke anvendt</w:t>
      </w:r>
      <w:r>
        <w:t xml:space="preserve"> lægemiddel </w:t>
      </w:r>
      <w:r w:rsidRPr="00CC2CED">
        <w:t xml:space="preserve">samt affald heraf </w:t>
      </w:r>
      <w:r>
        <w:t xml:space="preserve">skal bortskaffes </w:t>
      </w:r>
      <w:r w:rsidRPr="00CC2CED">
        <w:t>i henhold til lokale retningslinjer.</w:t>
      </w:r>
      <w:r w:rsidR="00EC2B9E">
        <w:rPr>
          <w:spacing w:val="-3"/>
        </w:rPr>
        <w:t xml:space="preserve"> </w:t>
      </w:r>
    </w:p>
    <w:p w14:paraId="2248E546" w14:textId="77777777" w:rsidR="00EC2B9E" w:rsidRDefault="00EC2B9E" w:rsidP="00501C94">
      <w:pPr>
        <w:tabs>
          <w:tab w:val="left" w:pos="0"/>
          <w:tab w:val="left" w:pos="851"/>
        </w:tabs>
        <w:jc w:val="both"/>
        <w:rPr>
          <w:spacing w:val="-3"/>
        </w:rPr>
      </w:pPr>
    </w:p>
    <w:p w14:paraId="61907EAD" w14:textId="77777777" w:rsidR="00501C94" w:rsidRPr="002568F7" w:rsidRDefault="00501C94" w:rsidP="00501C94">
      <w:pPr>
        <w:tabs>
          <w:tab w:val="left" w:pos="0"/>
          <w:tab w:val="left" w:pos="851"/>
        </w:tabs>
        <w:ind w:left="850" w:hanging="850"/>
        <w:jc w:val="both"/>
        <w:rPr>
          <w:b/>
          <w:caps/>
          <w:spacing w:val="-3"/>
          <w:szCs w:val="24"/>
        </w:rPr>
      </w:pPr>
      <w:r w:rsidRPr="002568F7">
        <w:rPr>
          <w:b/>
          <w:caps/>
          <w:spacing w:val="-3"/>
          <w:szCs w:val="24"/>
        </w:rPr>
        <w:t>7.</w:t>
      </w:r>
      <w:r w:rsidRPr="002568F7">
        <w:rPr>
          <w:b/>
          <w:caps/>
          <w:spacing w:val="-3"/>
          <w:szCs w:val="24"/>
        </w:rPr>
        <w:tab/>
        <w:t>indehaver af markedsføringstilladelsen</w:t>
      </w:r>
    </w:p>
    <w:p w14:paraId="7F58A14A" w14:textId="77777777" w:rsidR="00622A4B" w:rsidRDefault="00501C94" w:rsidP="00925A84">
      <w:pPr>
        <w:tabs>
          <w:tab w:val="left" w:pos="0"/>
          <w:tab w:val="left" w:pos="851"/>
        </w:tabs>
        <w:jc w:val="both"/>
        <w:rPr>
          <w:spacing w:val="-3"/>
        </w:rPr>
      </w:pPr>
      <w:r>
        <w:rPr>
          <w:spacing w:val="-3"/>
        </w:rPr>
        <w:tab/>
      </w:r>
      <w:r w:rsidR="00925A84">
        <w:rPr>
          <w:spacing w:val="-3"/>
        </w:rPr>
        <w:t>2care4 ApS</w:t>
      </w:r>
    </w:p>
    <w:p w14:paraId="06308A0C" w14:textId="77777777" w:rsidR="00925A84" w:rsidRDefault="00925A84" w:rsidP="00925A84">
      <w:pPr>
        <w:tabs>
          <w:tab w:val="left" w:pos="0"/>
          <w:tab w:val="left" w:pos="851"/>
        </w:tabs>
        <w:jc w:val="both"/>
        <w:rPr>
          <w:spacing w:val="-3"/>
        </w:rPr>
      </w:pPr>
      <w:r>
        <w:rPr>
          <w:spacing w:val="-3"/>
        </w:rPr>
        <w:tab/>
      </w:r>
      <w:r w:rsidR="005A0CC5">
        <w:rPr>
          <w:spacing w:val="-3"/>
        </w:rPr>
        <w:t>Stenhuggervej 12</w:t>
      </w:r>
    </w:p>
    <w:p w14:paraId="0F2CB312" w14:textId="77777777" w:rsidR="00925A84" w:rsidRDefault="00925A84" w:rsidP="00925A84">
      <w:pPr>
        <w:tabs>
          <w:tab w:val="left" w:pos="0"/>
          <w:tab w:val="left" w:pos="851"/>
        </w:tabs>
        <w:jc w:val="both"/>
        <w:rPr>
          <w:spacing w:val="-3"/>
        </w:rPr>
      </w:pPr>
      <w:r>
        <w:rPr>
          <w:spacing w:val="-3"/>
        </w:rPr>
        <w:tab/>
      </w:r>
      <w:r w:rsidRPr="00925A84">
        <w:rPr>
          <w:spacing w:val="-3"/>
        </w:rPr>
        <w:t>6710</w:t>
      </w:r>
      <w:r>
        <w:rPr>
          <w:spacing w:val="-3"/>
        </w:rPr>
        <w:t xml:space="preserve"> Esbjerg V</w:t>
      </w:r>
    </w:p>
    <w:p w14:paraId="40DE82AB" w14:textId="77777777" w:rsidR="00925A84" w:rsidRDefault="00925A84" w:rsidP="00501C94">
      <w:pPr>
        <w:tabs>
          <w:tab w:val="left" w:pos="0"/>
          <w:tab w:val="left" w:pos="851"/>
        </w:tabs>
        <w:ind w:left="850" w:hanging="850"/>
        <w:jc w:val="both"/>
        <w:rPr>
          <w:b/>
          <w:caps/>
          <w:spacing w:val="-3"/>
          <w:szCs w:val="24"/>
        </w:rPr>
      </w:pPr>
    </w:p>
    <w:p w14:paraId="3347BEC0" w14:textId="77777777" w:rsidR="00501C94" w:rsidRPr="002568F7" w:rsidRDefault="00501C94" w:rsidP="00501C94">
      <w:pPr>
        <w:tabs>
          <w:tab w:val="left" w:pos="0"/>
          <w:tab w:val="left" w:pos="851"/>
        </w:tabs>
        <w:ind w:left="850" w:hanging="850"/>
        <w:jc w:val="both"/>
        <w:rPr>
          <w:b/>
          <w:caps/>
          <w:spacing w:val="-3"/>
          <w:szCs w:val="24"/>
        </w:rPr>
      </w:pPr>
      <w:r w:rsidRPr="002568F7">
        <w:rPr>
          <w:b/>
          <w:caps/>
          <w:spacing w:val="-3"/>
          <w:szCs w:val="24"/>
        </w:rPr>
        <w:t>8.</w:t>
      </w:r>
      <w:r w:rsidRPr="002568F7">
        <w:rPr>
          <w:b/>
          <w:caps/>
          <w:spacing w:val="-3"/>
          <w:szCs w:val="24"/>
        </w:rPr>
        <w:tab/>
        <w:t>Markedsføringstilladelsesnummer</w:t>
      </w:r>
      <w:r>
        <w:rPr>
          <w:b/>
          <w:caps/>
          <w:spacing w:val="-3"/>
          <w:szCs w:val="24"/>
        </w:rPr>
        <w:t xml:space="preserve"> (NUMRE)</w:t>
      </w:r>
    </w:p>
    <w:p w14:paraId="626DA36A" w14:textId="77777777" w:rsidR="00501C94" w:rsidRDefault="00501C94" w:rsidP="00501C94">
      <w:pPr>
        <w:tabs>
          <w:tab w:val="left" w:pos="0"/>
          <w:tab w:val="left" w:pos="851"/>
          <w:tab w:val="left" w:pos="1701"/>
        </w:tabs>
        <w:ind w:left="850" w:hanging="850"/>
        <w:jc w:val="both"/>
        <w:rPr>
          <w:spacing w:val="-3"/>
        </w:rPr>
      </w:pPr>
      <w:r>
        <w:rPr>
          <w:spacing w:val="-3"/>
        </w:rPr>
        <w:tab/>
      </w:r>
      <w:r>
        <w:rPr>
          <w:spacing w:val="-3"/>
        </w:rPr>
        <w:tab/>
      </w:r>
      <w:r w:rsidR="00925A84" w:rsidRPr="00925A84">
        <w:rPr>
          <w:spacing w:val="-3"/>
        </w:rPr>
        <w:t>59291</w:t>
      </w:r>
    </w:p>
    <w:p w14:paraId="23230748" w14:textId="77777777" w:rsidR="00925A84" w:rsidRDefault="00925A84" w:rsidP="00501C94"/>
    <w:p w14:paraId="11DB0C9B" w14:textId="77777777" w:rsidR="00501C94" w:rsidRPr="002568F7" w:rsidRDefault="00501C94" w:rsidP="00501C94">
      <w:pPr>
        <w:ind w:left="851" w:hanging="851"/>
        <w:rPr>
          <w:b/>
          <w:caps/>
          <w:szCs w:val="24"/>
        </w:rPr>
      </w:pPr>
      <w:r w:rsidRPr="002568F7">
        <w:rPr>
          <w:b/>
          <w:caps/>
          <w:szCs w:val="24"/>
        </w:rPr>
        <w:t>9.</w:t>
      </w:r>
      <w:r w:rsidRPr="002568F7">
        <w:rPr>
          <w:b/>
          <w:caps/>
          <w:szCs w:val="24"/>
        </w:rPr>
        <w:tab/>
        <w:t>Dato for første markedsføringstilladelse</w:t>
      </w:r>
    </w:p>
    <w:p w14:paraId="1B7F59AC" w14:textId="77777777" w:rsidR="00501C94" w:rsidRDefault="00501C94" w:rsidP="00501C94">
      <w:pPr>
        <w:ind w:left="851" w:hanging="851"/>
      </w:pPr>
      <w:r>
        <w:tab/>
      </w:r>
      <w:r w:rsidR="00925A84">
        <w:t>18. maj 2017</w:t>
      </w:r>
    </w:p>
    <w:p w14:paraId="7F9FDA45" w14:textId="77777777" w:rsidR="00501C94" w:rsidRDefault="00501C94" w:rsidP="00501C94">
      <w:pPr>
        <w:ind w:left="851" w:hanging="851"/>
      </w:pPr>
    </w:p>
    <w:p w14:paraId="32859183" w14:textId="77777777" w:rsidR="00501C94" w:rsidRPr="002568F7" w:rsidRDefault="00501C94" w:rsidP="00501C94">
      <w:pPr>
        <w:ind w:left="851" w:hanging="851"/>
        <w:rPr>
          <w:b/>
          <w:caps/>
          <w:szCs w:val="24"/>
        </w:rPr>
      </w:pPr>
      <w:r w:rsidRPr="002568F7">
        <w:rPr>
          <w:b/>
          <w:caps/>
          <w:szCs w:val="24"/>
        </w:rPr>
        <w:t>10.</w:t>
      </w:r>
      <w:r w:rsidRPr="002568F7">
        <w:rPr>
          <w:b/>
          <w:caps/>
          <w:szCs w:val="24"/>
        </w:rPr>
        <w:tab/>
        <w:t>Dato for ændring af teksten</w:t>
      </w:r>
    </w:p>
    <w:p w14:paraId="492C1F96" w14:textId="2CC6EE59" w:rsidR="00501C94" w:rsidRDefault="00501C94" w:rsidP="00501C94">
      <w:pPr>
        <w:ind w:left="851" w:hanging="851"/>
      </w:pPr>
      <w:r>
        <w:tab/>
      </w:r>
      <w:bookmarkStart w:id="0" w:name="_GoBack"/>
      <w:bookmarkEnd w:id="0"/>
      <w:r w:rsidR="00C4555F">
        <w:t>10. februar 2023</w:t>
      </w:r>
    </w:p>
    <w:p w14:paraId="3CC4A4E5" w14:textId="77777777" w:rsidR="00C96FD2" w:rsidRDefault="00C96FD2" w:rsidP="00501C94">
      <w:pPr>
        <w:tabs>
          <w:tab w:val="left" w:pos="0"/>
          <w:tab w:val="left" w:pos="851"/>
        </w:tabs>
        <w:ind w:left="850" w:hanging="850"/>
        <w:jc w:val="both"/>
      </w:pPr>
    </w:p>
    <w:sectPr w:rsidR="00C96FD2">
      <w:headerReference w:type="default" r:id="rId9"/>
      <w:footerReference w:type="default" r:id="rId10"/>
      <w:footerReference w:type="first" r:id="rId11"/>
      <w:pgSz w:w="11906" w:h="16838" w:code="9"/>
      <w:pgMar w:top="709"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86A9F" w14:textId="77777777" w:rsidR="00FB0D38" w:rsidRDefault="00FB0D38">
      <w:r>
        <w:separator/>
      </w:r>
    </w:p>
  </w:endnote>
  <w:endnote w:type="continuationSeparator" w:id="0">
    <w:p w14:paraId="3B87EE46" w14:textId="77777777" w:rsidR="00FB0D38" w:rsidRDefault="00FB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341A" w14:textId="77777777" w:rsidR="0038588E" w:rsidRDefault="0038588E">
    <w:pPr>
      <w:pStyle w:val="Sidefod"/>
      <w:pBdr>
        <w:bottom w:val="single" w:sz="6" w:space="1" w:color="auto"/>
      </w:pBdr>
      <w:tabs>
        <w:tab w:val="clear" w:pos="4819"/>
        <w:tab w:val="left" w:pos="8647"/>
      </w:tabs>
      <w:rPr>
        <w:i/>
        <w:snapToGrid w:val="0"/>
        <w:sz w:val="18"/>
      </w:rPr>
    </w:pPr>
  </w:p>
  <w:p w14:paraId="76F07C3E" w14:textId="77777777" w:rsidR="0038588E" w:rsidRDefault="0038588E">
    <w:pPr>
      <w:pStyle w:val="Sidefod"/>
      <w:tabs>
        <w:tab w:val="clear" w:pos="4819"/>
        <w:tab w:val="left" w:pos="8647"/>
      </w:tabs>
      <w:rPr>
        <w:i/>
        <w:snapToGrid w:val="0"/>
        <w:sz w:val="18"/>
      </w:rPr>
    </w:pPr>
  </w:p>
  <w:p w14:paraId="02DB5C93" w14:textId="0AC830E1" w:rsidR="0038588E" w:rsidRDefault="0038588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1413A">
      <w:rPr>
        <w:i/>
        <w:noProof/>
        <w:snapToGrid w:val="0"/>
        <w:sz w:val="18"/>
      </w:rPr>
      <w:t>Flagyl (2care4), filmovertrukne tabletter 400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2469F0">
      <w:rPr>
        <w:i/>
        <w:noProof/>
        <w:snapToGrid w:val="0"/>
        <w:sz w:val="18"/>
      </w:rPr>
      <w:t>8</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2469F0">
      <w:rPr>
        <w:i/>
        <w:noProof/>
        <w:snapToGrid w:val="0"/>
        <w:sz w:val="18"/>
      </w:rPr>
      <w:t>10</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1A41" w14:textId="77777777" w:rsidR="0038588E" w:rsidRDefault="0038588E">
    <w:pPr>
      <w:pStyle w:val="Sidefod"/>
      <w:pBdr>
        <w:bottom w:val="single" w:sz="6" w:space="1" w:color="auto"/>
      </w:pBdr>
      <w:tabs>
        <w:tab w:val="clear" w:pos="4819"/>
        <w:tab w:val="left" w:pos="8647"/>
      </w:tabs>
      <w:rPr>
        <w:i/>
        <w:snapToGrid w:val="0"/>
        <w:sz w:val="18"/>
      </w:rPr>
    </w:pPr>
  </w:p>
  <w:p w14:paraId="630C2DF1" w14:textId="77777777" w:rsidR="0038588E" w:rsidRDefault="0038588E">
    <w:pPr>
      <w:pStyle w:val="Sidefod"/>
      <w:tabs>
        <w:tab w:val="clear" w:pos="4819"/>
        <w:tab w:val="left" w:pos="8647"/>
      </w:tabs>
      <w:rPr>
        <w:i/>
        <w:snapToGrid w:val="0"/>
        <w:sz w:val="18"/>
      </w:rPr>
    </w:pPr>
  </w:p>
  <w:p w14:paraId="654B59FB" w14:textId="740F6084" w:rsidR="0038588E" w:rsidRDefault="0038588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1413A">
      <w:rPr>
        <w:i/>
        <w:noProof/>
        <w:snapToGrid w:val="0"/>
        <w:sz w:val="18"/>
      </w:rPr>
      <w:t>Flagyl (2care4), filmovertrukne tabletter 400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2469F0">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2469F0">
      <w:rPr>
        <w:i/>
        <w:noProof/>
        <w:snapToGrid w:val="0"/>
        <w:sz w:val="18"/>
      </w:rPr>
      <w:t>10</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83860" w14:textId="77777777" w:rsidR="00FB0D38" w:rsidRDefault="00FB0D38">
      <w:r>
        <w:separator/>
      </w:r>
    </w:p>
  </w:footnote>
  <w:footnote w:type="continuationSeparator" w:id="0">
    <w:p w14:paraId="5091A3E4" w14:textId="77777777" w:rsidR="00FB0D38" w:rsidRDefault="00FB0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C435F" w14:textId="77777777" w:rsidR="0038588E" w:rsidRDefault="0038588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4EBE"/>
    <w:multiLevelType w:val="multilevel"/>
    <w:tmpl w:val="28603B3C"/>
    <w:lvl w:ilvl="0">
      <w:start w:val="4"/>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9E11C1"/>
    <w:multiLevelType w:val="hybridMultilevel"/>
    <w:tmpl w:val="FE28CDEE"/>
    <w:lvl w:ilvl="0" w:tplc="C48CA4C4">
      <w:start w:val="1"/>
      <w:numFmt w:val="decimal"/>
      <w:lvlText w:val="%1)"/>
      <w:lvlJc w:val="left"/>
      <w:pPr>
        <w:ind w:left="720" w:hanging="360"/>
      </w:pPr>
      <w:rPr>
        <w:rFonts w:hint="default"/>
        <w:b w:val="0"/>
        <w:i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5" w15:restartNumberingAfterBreak="0">
    <w:nsid w:val="39C444F8"/>
    <w:multiLevelType w:val="hybridMultilevel"/>
    <w:tmpl w:val="BE10EEFE"/>
    <w:lvl w:ilvl="0" w:tplc="04060001">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2830EF6"/>
    <w:multiLevelType w:val="hybridMultilevel"/>
    <w:tmpl w:val="A86A5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502"/>
        </w:tabs>
        <w:ind w:left="502"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DE36F2"/>
    <w:multiLevelType w:val="hybridMultilevel"/>
    <w:tmpl w:val="FE28CDEE"/>
    <w:lvl w:ilvl="0" w:tplc="C48CA4C4">
      <w:start w:val="1"/>
      <w:numFmt w:val="decimal"/>
      <w:lvlText w:val="%1)"/>
      <w:lvlJc w:val="left"/>
      <w:pPr>
        <w:ind w:left="720" w:hanging="360"/>
      </w:pPr>
      <w:rPr>
        <w:rFonts w:hint="default"/>
        <w:b w:val="0"/>
        <w:i w:val="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D3703F6"/>
    <w:multiLevelType w:val="hybridMultilevel"/>
    <w:tmpl w:val="007AC0A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1"/>
  </w:num>
  <w:num w:numId="6">
    <w:abstractNumId w:val="8"/>
  </w:num>
  <w:num w:numId="7">
    <w:abstractNumId w:val="10"/>
  </w:num>
  <w:num w:numId="8">
    <w:abstractNumId w:val="0"/>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a-DK"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E1"/>
    <w:rsid w:val="00015BB4"/>
    <w:rsid w:val="00043D90"/>
    <w:rsid w:val="000619BF"/>
    <w:rsid w:val="0006418F"/>
    <w:rsid w:val="000643D5"/>
    <w:rsid w:val="000A159A"/>
    <w:rsid w:val="000B61A6"/>
    <w:rsid w:val="00120377"/>
    <w:rsid w:val="0015286F"/>
    <w:rsid w:val="001565A3"/>
    <w:rsid w:val="00163759"/>
    <w:rsid w:val="001834E6"/>
    <w:rsid w:val="00187281"/>
    <w:rsid w:val="001E2E0D"/>
    <w:rsid w:val="001E59F8"/>
    <w:rsid w:val="001F509E"/>
    <w:rsid w:val="00236E08"/>
    <w:rsid w:val="002469F0"/>
    <w:rsid w:val="00254D55"/>
    <w:rsid w:val="002568F7"/>
    <w:rsid w:val="002C5820"/>
    <w:rsid w:val="002F4751"/>
    <w:rsid w:val="00307668"/>
    <w:rsid w:val="003242FA"/>
    <w:rsid w:val="00350C5F"/>
    <w:rsid w:val="00356CA5"/>
    <w:rsid w:val="00370197"/>
    <w:rsid w:val="0038588E"/>
    <w:rsid w:val="003B62B5"/>
    <w:rsid w:val="0041413A"/>
    <w:rsid w:val="00414EFA"/>
    <w:rsid w:val="0043196F"/>
    <w:rsid w:val="00483553"/>
    <w:rsid w:val="004B2294"/>
    <w:rsid w:val="004C4D86"/>
    <w:rsid w:val="00501C94"/>
    <w:rsid w:val="00507732"/>
    <w:rsid w:val="0053063E"/>
    <w:rsid w:val="00535BE1"/>
    <w:rsid w:val="005741B1"/>
    <w:rsid w:val="00595F68"/>
    <w:rsid w:val="005A0CC5"/>
    <w:rsid w:val="005E126C"/>
    <w:rsid w:val="005F34D8"/>
    <w:rsid w:val="00606A7E"/>
    <w:rsid w:val="00617F83"/>
    <w:rsid w:val="00622A4B"/>
    <w:rsid w:val="00633AD2"/>
    <w:rsid w:val="006369F5"/>
    <w:rsid w:val="0065414C"/>
    <w:rsid w:val="006A1018"/>
    <w:rsid w:val="00702B3B"/>
    <w:rsid w:val="0075301C"/>
    <w:rsid w:val="007804DE"/>
    <w:rsid w:val="00790C23"/>
    <w:rsid w:val="007B01AE"/>
    <w:rsid w:val="007B0E6B"/>
    <w:rsid w:val="007C2410"/>
    <w:rsid w:val="007C4856"/>
    <w:rsid w:val="007E20BC"/>
    <w:rsid w:val="007E3DD9"/>
    <w:rsid w:val="007E689E"/>
    <w:rsid w:val="008005E5"/>
    <w:rsid w:val="008128CD"/>
    <w:rsid w:val="00845D4A"/>
    <w:rsid w:val="00875D9A"/>
    <w:rsid w:val="00876190"/>
    <w:rsid w:val="00885A9E"/>
    <w:rsid w:val="008B1731"/>
    <w:rsid w:val="008C7182"/>
    <w:rsid w:val="008D061E"/>
    <w:rsid w:val="008D18BC"/>
    <w:rsid w:val="008F2118"/>
    <w:rsid w:val="008F33A6"/>
    <w:rsid w:val="00906873"/>
    <w:rsid w:val="00920063"/>
    <w:rsid w:val="009227BA"/>
    <w:rsid w:val="00925A84"/>
    <w:rsid w:val="009300ED"/>
    <w:rsid w:val="0093790E"/>
    <w:rsid w:val="009C457E"/>
    <w:rsid w:val="009C698B"/>
    <w:rsid w:val="009E51CA"/>
    <w:rsid w:val="00A64D8F"/>
    <w:rsid w:val="00A70F54"/>
    <w:rsid w:val="00A7402A"/>
    <w:rsid w:val="00AA1AAD"/>
    <w:rsid w:val="00AC045D"/>
    <w:rsid w:val="00AC1254"/>
    <w:rsid w:val="00AD64AA"/>
    <w:rsid w:val="00AE73F1"/>
    <w:rsid w:val="00AF4919"/>
    <w:rsid w:val="00B02B5A"/>
    <w:rsid w:val="00B13FC9"/>
    <w:rsid w:val="00B30729"/>
    <w:rsid w:val="00B4423D"/>
    <w:rsid w:val="00B65E28"/>
    <w:rsid w:val="00B94AAA"/>
    <w:rsid w:val="00BC2A4B"/>
    <w:rsid w:val="00BD578C"/>
    <w:rsid w:val="00BE5960"/>
    <w:rsid w:val="00C017C5"/>
    <w:rsid w:val="00C31497"/>
    <w:rsid w:val="00C34625"/>
    <w:rsid w:val="00C4555F"/>
    <w:rsid w:val="00C51D81"/>
    <w:rsid w:val="00C53DDE"/>
    <w:rsid w:val="00C54F24"/>
    <w:rsid w:val="00C83444"/>
    <w:rsid w:val="00C9337D"/>
    <w:rsid w:val="00C96FD2"/>
    <w:rsid w:val="00CC39A7"/>
    <w:rsid w:val="00CE0159"/>
    <w:rsid w:val="00CE4FE0"/>
    <w:rsid w:val="00CF60EA"/>
    <w:rsid w:val="00D06C1D"/>
    <w:rsid w:val="00D377F9"/>
    <w:rsid w:val="00D41F9D"/>
    <w:rsid w:val="00D57984"/>
    <w:rsid w:val="00D620B3"/>
    <w:rsid w:val="00D85FC6"/>
    <w:rsid w:val="00D9309B"/>
    <w:rsid w:val="00DA3E08"/>
    <w:rsid w:val="00DA44BC"/>
    <w:rsid w:val="00DB6E95"/>
    <w:rsid w:val="00DF5C54"/>
    <w:rsid w:val="00E15D1C"/>
    <w:rsid w:val="00E1635E"/>
    <w:rsid w:val="00E347E0"/>
    <w:rsid w:val="00E47F76"/>
    <w:rsid w:val="00E50EE3"/>
    <w:rsid w:val="00EA7297"/>
    <w:rsid w:val="00EB79EB"/>
    <w:rsid w:val="00EC2B9E"/>
    <w:rsid w:val="00EE5DE3"/>
    <w:rsid w:val="00EF4465"/>
    <w:rsid w:val="00F30DA3"/>
    <w:rsid w:val="00F44728"/>
    <w:rsid w:val="00F76BD4"/>
    <w:rsid w:val="00F86687"/>
    <w:rsid w:val="00FB0D38"/>
    <w:rsid w:val="00FC2091"/>
    <w:rsid w:val="00FD27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A50628"/>
  <w15:chartTrackingRefBased/>
  <w15:docId w15:val="{1980442A-3C41-4AEC-A282-FD97A53A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2">
    <w:name w:val="heading 2"/>
    <w:basedOn w:val="Normal"/>
    <w:next w:val="Normal"/>
    <w:link w:val="Overskrift2Tegn"/>
    <w:qFormat/>
    <w:rsid w:val="00E15D1C"/>
    <w:pPr>
      <w:keepNext/>
      <w:jc w:val="center"/>
      <w:outlineLvl w:val="1"/>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Markeringsbobletekst">
    <w:name w:val="Balloon Text"/>
    <w:basedOn w:val="Normal"/>
    <w:semiHidden/>
    <w:rsid w:val="00356CA5"/>
    <w:rPr>
      <w:rFonts w:ascii="Tahoma" w:hAnsi="Tahoma" w:cs="Tahoma"/>
      <w:sz w:val="16"/>
      <w:szCs w:val="16"/>
    </w:rPr>
  </w:style>
  <w:style w:type="character" w:customStyle="1" w:styleId="Overskrift2Tegn">
    <w:name w:val="Overskrift 2 Tegn"/>
    <w:link w:val="Overskrift2"/>
    <w:rsid w:val="00350C5F"/>
    <w:rPr>
      <w:b/>
      <w:sz w:val="22"/>
    </w:rPr>
  </w:style>
  <w:style w:type="character" w:styleId="Hyperlink">
    <w:name w:val="Hyperlink"/>
    <w:uiPriority w:val="99"/>
    <w:unhideWhenUsed/>
    <w:rsid w:val="00350C5F"/>
    <w:rPr>
      <w:color w:val="0563C1"/>
      <w:u w:val="single"/>
    </w:rPr>
  </w:style>
  <w:style w:type="table" w:styleId="Tabel-Gitter">
    <w:name w:val="Table Grid"/>
    <w:basedOn w:val="Tabel-Normal"/>
    <w:uiPriority w:val="59"/>
    <w:rsid w:val="00AA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FD279D"/>
    <w:rPr>
      <w:sz w:val="16"/>
      <w:szCs w:val="16"/>
    </w:rPr>
  </w:style>
  <w:style w:type="paragraph" w:styleId="Kommentartekst">
    <w:name w:val="annotation text"/>
    <w:basedOn w:val="Normal"/>
    <w:link w:val="KommentartekstTegn"/>
    <w:uiPriority w:val="99"/>
    <w:unhideWhenUsed/>
    <w:rsid w:val="00FD279D"/>
    <w:rPr>
      <w:sz w:val="20"/>
    </w:rPr>
  </w:style>
  <w:style w:type="character" w:customStyle="1" w:styleId="KommentartekstTegn">
    <w:name w:val="Kommentartekst Tegn"/>
    <w:basedOn w:val="Standardskrifttypeiafsnit"/>
    <w:link w:val="Kommentartekst"/>
    <w:uiPriority w:val="99"/>
    <w:rsid w:val="00FD279D"/>
  </w:style>
  <w:style w:type="paragraph" w:styleId="Kommentaremne">
    <w:name w:val="annotation subject"/>
    <w:basedOn w:val="Kommentartekst"/>
    <w:next w:val="Kommentartekst"/>
    <w:link w:val="KommentaremneTegn"/>
    <w:uiPriority w:val="99"/>
    <w:semiHidden/>
    <w:unhideWhenUsed/>
    <w:rsid w:val="00FD279D"/>
    <w:rPr>
      <w:b/>
      <w:bCs/>
    </w:rPr>
  </w:style>
  <w:style w:type="character" w:customStyle="1" w:styleId="KommentaremneTegn">
    <w:name w:val="Kommentaremne Tegn"/>
    <w:basedOn w:val="KommentartekstTegn"/>
    <w:link w:val="Kommentaremne"/>
    <w:uiPriority w:val="99"/>
    <w:semiHidden/>
    <w:rsid w:val="00FD279D"/>
    <w:rPr>
      <w:b/>
      <w:bCs/>
    </w:rPr>
  </w:style>
  <w:style w:type="character" w:styleId="Ulstomtale">
    <w:name w:val="Unresolved Mention"/>
    <w:basedOn w:val="Standardskrifttypeiafsnit"/>
    <w:uiPriority w:val="99"/>
    <w:semiHidden/>
    <w:unhideWhenUsed/>
    <w:rsid w:val="00C4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31517">
      <w:bodyDiv w:val="1"/>
      <w:marLeft w:val="0"/>
      <w:marRight w:val="0"/>
      <w:marTop w:val="0"/>
      <w:marBottom w:val="0"/>
      <w:divBdr>
        <w:top w:val="none" w:sz="0" w:space="0" w:color="auto"/>
        <w:left w:val="none" w:sz="0" w:space="0" w:color="auto"/>
        <w:bottom w:val="none" w:sz="0" w:space="0" w:color="auto"/>
        <w:right w:val="none" w:sz="0" w:space="0" w:color="auto"/>
      </w:divBdr>
    </w:div>
    <w:div w:id="1170413131">
      <w:bodyDiv w:val="1"/>
      <w:marLeft w:val="0"/>
      <w:marRight w:val="0"/>
      <w:marTop w:val="0"/>
      <w:marBottom w:val="0"/>
      <w:divBdr>
        <w:top w:val="none" w:sz="0" w:space="0" w:color="auto"/>
        <w:left w:val="none" w:sz="0" w:space="0" w:color="auto"/>
        <w:bottom w:val="none" w:sz="0" w:space="0" w:color="auto"/>
        <w:right w:val="none" w:sz="0" w:space="0" w:color="auto"/>
      </w:divBdr>
    </w:div>
    <w:div w:id="1181966390">
      <w:bodyDiv w:val="1"/>
      <w:marLeft w:val="0"/>
      <w:marRight w:val="0"/>
      <w:marTop w:val="0"/>
      <w:marBottom w:val="0"/>
      <w:divBdr>
        <w:top w:val="none" w:sz="0" w:space="0" w:color="auto"/>
        <w:left w:val="none" w:sz="0" w:space="0" w:color="auto"/>
        <w:bottom w:val="none" w:sz="0" w:space="0" w:color="auto"/>
        <w:right w:val="none" w:sz="0" w:space="0" w:color="auto"/>
      </w:divBdr>
    </w:div>
    <w:div w:id="1248149791">
      <w:bodyDiv w:val="1"/>
      <w:marLeft w:val="0"/>
      <w:marRight w:val="0"/>
      <w:marTop w:val="0"/>
      <w:marBottom w:val="0"/>
      <w:divBdr>
        <w:top w:val="none" w:sz="0" w:space="0" w:color="auto"/>
        <w:left w:val="none" w:sz="0" w:space="0" w:color="auto"/>
        <w:bottom w:val="none" w:sz="0" w:space="0" w:color="auto"/>
        <w:right w:val="none" w:sz="0" w:space="0" w:color="auto"/>
      </w:divBdr>
    </w:div>
    <w:div w:id="1336109781">
      <w:bodyDiv w:val="1"/>
      <w:marLeft w:val="0"/>
      <w:marRight w:val="0"/>
      <w:marTop w:val="0"/>
      <w:marBottom w:val="0"/>
      <w:divBdr>
        <w:top w:val="none" w:sz="0" w:space="0" w:color="auto"/>
        <w:left w:val="none" w:sz="0" w:space="0" w:color="auto"/>
        <w:bottom w:val="none" w:sz="0" w:space="0" w:color="auto"/>
        <w:right w:val="none" w:sz="0" w:space="0" w:color="auto"/>
      </w:divBdr>
    </w:div>
    <w:div w:id="1345590961">
      <w:bodyDiv w:val="1"/>
      <w:marLeft w:val="0"/>
      <w:marRight w:val="0"/>
      <w:marTop w:val="0"/>
      <w:marBottom w:val="0"/>
      <w:divBdr>
        <w:top w:val="none" w:sz="0" w:space="0" w:color="auto"/>
        <w:left w:val="none" w:sz="0" w:space="0" w:color="auto"/>
        <w:bottom w:val="none" w:sz="0" w:space="0" w:color="auto"/>
        <w:right w:val="none" w:sz="0" w:space="0" w:color="auto"/>
      </w:divBdr>
    </w:div>
    <w:div w:id="1426457112">
      <w:bodyDiv w:val="1"/>
      <w:marLeft w:val="0"/>
      <w:marRight w:val="0"/>
      <w:marTop w:val="0"/>
      <w:marBottom w:val="0"/>
      <w:divBdr>
        <w:top w:val="none" w:sz="0" w:space="0" w:color="auto"/>
        <w:left w:val="none" w:sz="0" w:space="0" w:color="auto"/>
        <w:bottom w:val="none" w:sz="0" w:space="0" w:color="auto"/>
        <w:right w:val="none" w:sz="0" w:space="0" w:color="auto"/>
      </w:divBdr>
    </w:div>
    <w:div w:id="1952004788">
      <w:bodyDiv w:val="1"/>
      <w:marLeft w:val="0"/>
      <w:marRight w:val="0"/>
      <w:marTop w:val="0"/>
      <w:marBottom w:val="0"/>
      <w:divBdr>
        <w:top w:val="none" w:sz="0" w:space="0" w:color="auto"/>
        <w:left w:val="none" w:sz="0" w:space="0" w:color="auto"/>
        <w:bottom w:val="none" w:sz="0" w:space="0" w:color="auto"/>
        <w:right w:val="none" w:sz="0" w:space="0" w:color="auto"/>
      </w:divBdr>
    </w:div>
    <w:div w:id="20861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2194</Words>
  <Characters>15137</Characters>
  <Application>Microsoft Office Word</Application>
  <DocSecurity>0</DocSecurity>
  <Lines>126</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17297</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2022113570 - NOR land 2 - opdatering af SPC (DI afreg. 26-12-2022)</dc:description>
  <cp:lastModifiedBy>Camilla Sværke Hansen</cp:lastModifiedBy>
  <cp:revision>3</cp:revision>
  <cp:lastPrinted>2011-09-16T06:52:00Z</cp:lastPrinted>
  <dcterms:created xsi:type="dcterms:W3CDTF">2023-02-10T11:35:00Z</dcterms:created>
  <dcterms:modified xsi:type="dcterms:W3CDTF">2023-02-10T11:37:00Z</dcterms:modified>
  <cp:category/>
</cp:coreProperties>
</file>