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D29" w:rsidRPr="00C54F0B" w:rsidRDefault="00D01D29" w:rsidP="00D01D29">
      <w:pPr>
        <w:rPr>
          <w:sz w:val="24"/>
          <w:szCs w:val="24"/>
        </w:rPr>
      </w:pPr>
      <w:bookmarkStart w:id="0" w:name="_GoBack"/>
      <w:bookmarkEnd w:id="0"/>
      <w:r>
        <w:rPr>
          <w:noProof/>
        </w:rPr>
        <w:drawing>
          <wp:inline distT="0" distB="0" distL="0" distR="0" wp14:anchorId="7948D272" wp14:editId="79BE5B91">
            <wp:extent cx="3040380" cy="861060"/>
            <wp:effectExtent l="0" t="0" r="0"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040380" cy="861060"/>
                    </a:xfrm>
                    <a:prstGeom prst="rect">
                      <a:avLst/>
                    </a:prstGeom>
                    <a:noFill/>
                    <a:ln>
                      <a:noFill/>
                    </a:ln>
                  </pic:spPr>
                </pic:pic>
              </a:graphicData>
            </a:graphic>
          </wp:inline>
        </w:drawing>
      </w:r>
    </w:p>
    <w:p w:rsidR="00D01D29" w:rsidRPr="00C51178" w:rsidRDefault="00D01D29" w:rsidP="00D01D29">
      <w:pPr>
        <w:rPr>
          <w:sz w:val="24"/>
          <w:szCs w:val="24"/>
          <w:lang w:val="en-US"/>
        </w:rPr>
      </w:pPr>
    </w:p>
    <w:p w:rsidR="00D01D29" w:rsidRPr="000C3846" w:rsidRDefault="00374845" w:rsidP="00D01D29">
      <w:pPr>
        <w:jc w:val="right"/>
        <w:rPr>
          <w:b/>
          <w:sz w:val="24"/>
          <w:szCs w:val="24"/>
          <w:lang w:val="en-GB"/>
        </w:rPr>
      </w:pPr>
      <w:r>
        <w:rPr>
          <w:b/>
          <w:sz w:val="24"/>
          <w:szCs w:val="24"/>
          <w:lang w:val="en-US"/>
        </w:rPr>
        <w:t>12</w:t>
      </w:r>
      <w:r w:rsidR="00D01D29">
        <w:rPr>
          <w:b/>
          <w:sz w:val="24"/>
          <w:szCs w:val="24"/>
          <w:lang w:val="en-US"/>
        </w:rPr>
        <w:t xml:space="preserve">. </w:t>
      </w:r>
      <w:r w:rsidR="00B3761E">
        <w:rPr>
          <w:b/>
          <w:sz w:val="24"/>
          <w:szCs w:val="24"/>
          <w:lang w:val="en-US"/>
        </w:rPr>
        <w:t>March</w:t>
      </w:r>
      <w:r w:rsidR="00D01D29" w:rsidRPr="0024600A">
        <w:rPr>
          <w:b/>
          <w:sz w:val="24"/>
          <w:szCs w:val="24"/>
          <w:lang w:val="en-US"/>
        </w:rPr>
        <w:t xml:space="preserve"> 20</w:t>
      </w:r>
      <w:r w:rsidR="00B3761E">
        <w:rPr>
          <w:b/>
          <w:sz w:val="24"/>
          <w:szCs w:val="24"/>
          <w:lang w:val="en-US"/>
        </w:rPr>
        <w:t>20</w:t>
      </w:r>
    </w:p>
    <w:p w:rsidR="00D01D29" w:rsidRPr="000C3846" w:rsidRDefault="00D01D29" w:rsidP="00D01D29">
      <w:pPr>
        <w:rPr>
          <w:sz w:val="24"/>
          <w:szCs w:val="24"/>
          <w:lang w:val="en-GB"/>
        </w:rPr>
      </w:pPr>
    </w:p>
    <w:p w:rsidR="00D01D29" w:rsidRDefault="00D01D29" w:rsidP="00D01D29">
      <w:pPr>
        <w:rPr>
          <w:sz w:val="24"/>
          <w:szCs w:val="24"/>
          <w:lang w:val="en-GB"/>
        </w:rPr>
      </w:pPr>
    </w:p>
    <w:p w:rsidR="00D01D29" w:rsidRPr="000C3846" w:rsidRDefault="00D01D29" w:rsidP="00D01D29">
      <w:pPr>
        <w:rPr>
          <w:sz w:val="24"/>
          <w:szCs w:val="24"/>
          <w:lang w:val="en-GB"/>
        </w:rPr>
      </w:pPr>
    </w:p>
    <w:p w:rsidR="00D01D29" w:rsidRPr="000C3846" w:rsidRDefault="00D01D29" w:rsidP="00D01D29">
      <w:pPr>
        <w:jc w:val="center"/>
        <w:rPr>
          <w:b/>
          <w:sz w:val="24"/>
          <w:szCs w:val="24"/>
          <w:lang w:val="en-GB"/>
        </w:rPr>
      </w:pPr>
      <w:r w:rsidRPr="000C3846">
        <w:rPr>
          <w:b/>
          <w:sz w:val="24"/>
          <w:szCs w:val="24"/>
          <w:lang w:val="en-GB"/>
        </w:rPr>
        <w:t>SUMMARY OF PRODUCT CHARACTERISTICS</w:t>
      </w:r>
    </w:p>
    <w:p w:rsidR="00D01D29" w:rsidRPr="000C3846" w:rsidRDefault="00D01D29" w:rsidP="00D01D29">
      <w:pPr>
        <w:jc w:val="center"/>
        <w:rPr>
          <w:sz w:val="24"/>
          <w:szCs w:val="24"/>
          <w:lang w:val="en-GB"/>
        </w:rPr>
      </w:pPr>
    </w:p>
    <w:p w:rsidR="00D01D29" w:rsidRPr="000C3846" w:rsidRDefault="00D01D29" w:rsidP="00D01D29">
      <w:pPr>
        <w:jc w:val="center"/>
        <w:rPr>
          <w:b/>
          <w:sz w:val="24"/>
          <w:szCs w:val="24"/>
          <w:lang w:val="en-GB"/>
        </w:rPr>
      </w:pPr>
      <w:r w:rsidRPr="000C3846">
        <w:rPr>
          <w:b/>
          <w:sz w:val="24"/>
          <w:szCs w:val="24"/>
          <w:lang w:val="en-GB"/>
        </w:rPr>
        <w:t>for</w:t>
      </w:r>
    </w:p>
    <w:p w:rsidR="00D01D29" w:rsidRPr="000C3846" w:rsidRDefault="00D01D29" w:rsidP="00D01D29">
      <w:pPr>
        <w:jc w:val="center"/>
        <w:rPr>
          <w:sz w:val="24"/>
          <w:szCs w:val="24"/>
          <w:lang w:val="en-GB"/>
        </w:rPr>
      </w:pPr>
    </w:p>
    <w:p w:rsidR="00D01D29" w:rsidRPr="0027791C" w:rsidRDefault="00D01D29" w:rsidP="00D01D29">
      <w:pPr>
        <w:jc w:val="center"/>
        <w:rPr>
          <w:b/>
          <w:sz w:val="24"/>
          <w:szCs w:val="24"/>
          <w:lang w:val="en-US"/>
        </w:rPr>
      </w:pPr>
      <w:proofErr w:type="spellStart"/>
      <w:r w:rsidRPr="0027791C">
        <w:rPr>
          <w:b/>
          <w:sz w:val="24"/>
          <w:szCs w:val="24"/>
          <w:lang w:val="en-US"/>
        </w:rPr>
        <w:t>FluCore</w:t>
      </w:r>
      <w:proofErr w:type="spellEnd"/>
      <w:r>
        <w:rPr>
          <w:b/>
          <w:sz w:val="24"/>
          <w:szCs w:val="24"/>
          <w:lang w:val="en-US"/>
        </w:rPr>
        <w:t>, solution for injection</w:t>
      </w:r>
    </w:p>
    <w:p w:rsidR="00D01D29" w:rsidRPr="000F0D47" w:rsidRDefault="00D01D29" w:rsidP="00D01D29">
      <w:pPr>
        <w:jc w:val="both"/>
        <w:rPr>
          <w:sz w:val="24"/>
          <w:szCs w:val="24"/>
          <w:lang w:val="en-US"/>
        </w:rPr>
      </w:pPr>
    </w:p>
    <w:p w:rsidR="00D01D29" w:rsidRPr="00656088" w:rsidRDefault="00D01D29" w:rsidP="00D01D29">
      <w:pPr>
        <w:ind w:left="851" w:hanging="851"/>
        <w:jc w:val="both"/>
        <w:rPr>
          <w:sz w:val="24"/>
          <w:szCs w:val="24"/>
          <w:lang w:val="en-US"/>
        </w:rPr>
      </w:pPr>
    </w:p>
    <w:p w:rsidR="00D01D29" w:rsidRPr="00656088" w:rsidRDefault="00D01D29" w:rsidP="00D01D29">
      <w:pPr>
        <w:ind w:left="851" w:hanging="851"/>
        <w:rPr>
          <w:sz w:val="24"/>
          <w:szCs w:val="24"/>
          <w:lang w:val="en-US"/>
        </w:rPr>
      </w:pPr>
      <w:r w:rsidRPr="00656088">
        <w:rPr>
          <w:b/>
          <w:sz w:val="24"/>
          <w:szCs w:val="24"/>
          <w:lang w:val="en-US"/>
        </w:rPr>
        <w:t xml:space="preserve">1. </w:t>
      </w:r>
      <w:r w:rsidRPr="00656088">
        <w:rPr>
          <w:b/>
          <w:sz w:val="24"/>
          <w:szCs w:val="24"/>
          <w:lang w:val="en-US"/>
        </w:rPr>
        <w:tab/>
        <w:t>NAME OF THE MEDICINAL PRODUCT</w:t>
      </w:r>
    </w:p>
    <w:p w:rsidR="00D01D29" w:rsidRPr="00656088" w:rsidRDefault="00D01D29" w:rsidP="00D01D29">
      <w:pPr>
        <w:ind w:left="851" w:hanging="851"/>
        <w:rPr>
          <w:sz w:val="24"/>
          <w:szCs w:val="24"/>
          <w:lang w:val="en-US"/>
        </w:rPr>
      </w:pPr>
      <w:r w:rsidRPr="00656088">
        <w:rPr>
          <w:sz w:val="24"/>
          <w:szCs w:val="24"/>
          <w:lang w:val="en-US"/>
        </w:rPr>
        <w:tab/>
      </w:r>
      <w:proofErr w:type="spellStart"/>
      <w:r w:rsidRPr="00656088">
        <w:rPr>
          <w:sz w:val="24"/>
          <w:szCs w:val="24"/>
          <w:lang w:val="en-US"/>
        </w:rPr>
        <w:t>FluCore</w:t>
      </w:r>
      <w:proofErr w:type="spellEnd"/>
    </w:p>
    <w:p w:rsidR="00D01D29" w:rsidRPr="00656088" w:rsidRDefault="00D01D29" w:rsidP="00D01D29">
      <w:pPr>
        <w:ind w:left="851" w:hanging="851"/>
        <w:rPr>
          <w:sz w:val="24"/>
          <w:szCs w:val="24"/>
          <w:lang w:val="en-US"/>
        </w:rPr>
      </w:pPr>
      <w:r w:rsidRPr="00656088">
        <w:rPr>
          <w:sz w:val="24"/>
          <w:szCs w:val="24"/>
          <w:lang w:val="en-US"/>
        </w:rPr>
        <w:tab/>
      </w:r>
    </w:p>
    <w:p w:rsidR="00D01D29" w:rsidRPr="0024600A" w:rsidRDefault="00D01D29" w:rsidP="00D01D29">
      <w:pPr>
        <w:ind w:left="851" w:hanging="851"/>
        <w:rPr>
          <w:b/>
          <w:sz w:val="24"/>
          <w:szCs w:val="24"/>
          <w:lang w:val="en-US"/>
        </w:rPr>
      </w:pPr>
      <w:r w:rsidRPr="00656088">
        <w:rPr>
          <w:b/>
          <w:sz w:val="24"/>
          <w:szCs w:val="24"/>
          <w:lang w:val="en-US"/>
        </w:rPr>
        <w:t xml:space="preserve">2. </w:t>
      </w:r>
      <w:r w:rsidRPr="00656088">
        <w:rPr>
          <w:b/>
          <w:sz w:val="24"/>
          <w:szCs w:val="24"/>
          <w:lang w:val="en-US"/>
        </w:rPr>
        <w:tab/>
        <w:t>QUALITATIVE AND QUANTITATIVE COMPOSIT</w:t>
      </w:r>
      <w:r w:rsidRPr="0024600A">
        <w:rPr>
          <w:b/>
          <w:sz w:val="24"/>
          <w:szCs w:val="24"/>
          <w:lang w:val="en-US"/>
        </w:rPr>
        <w:t>ION</w:t>
      </w:r>
    </w:p>
    <w:p w:rsidR="00D01D29" w:rsidRPr="00656088" w:rsidRDefault="00D01D29" w:rsidP="00D01D29">
      <w:pPr>
        <w:ind w:left="851" w:hanging="851"/>
        <w:rPr>
          <w:sz w:val="24"/>
          <w:szCs w:val="24"/>
          <w:lang w:val="en-GB"/>
        </w:rPr>
      </w:pPr>
      <w:r w:rsidRPr="0024600A">
        <w:rPr>
          <w:sz w:val="24"/>
          <w:szCs w:val="24"/>
          <w:lang w:val="en-US"/>
        </w:rPr>
        <w:tab/>
      </w:r>
      <w:r w:rsidRPr="00656088">
        <w:rPr>
          <w:sz w:val="24"/>
          <w:szCs w:val="24"/>
          <w:lang w:val="en-GB"/>
        </w:rPr>
        <w:t xml:space="preserve">1 ml contains 13.3 </w:t>
      </w:r>
      <w:proofErr w:type="spellStart"/>
      <w:r w:rsidRPr="00656088">
        <w:rPr>
          <w:sz w:val="24"/>
          <w:szCs w:val="24"/>
          <w:lang w:val="en-GB"/>
        </w:rPr>
        <w:t>MBq</w:t>
      </w:r>
      <w:proofErr w:type="spellEnd"/>
      <w:r w:rsidRPr="00656088">
        <w:rPr>
          <w:sz w:val="24"/>
          <w:szCs w:val="24"/>
          <w:lang w:val="en-GB"/>
        </w:rPr>
        <w:t xml:space="preserve"> to 6 </w:t>
      </w:r>
      <w:proofErr w:type="spellStart"/>
      <w:r w:rsidRPr="00656088">
        <w:rPr>
          <w:sz w:val="24"/>
          <w:szCs w:val="24"/>
          <w:lang w:val="en-GB"/>
        </w:rPr>
        <w:t>GBq</w:t>
      </w:r>
      <w:proofErr w:type="spellEnd"/>
      <w:r w:rsidRPr="00656088">
        <w:rPr>
          <w:sz w:val="24"/>
          <w:szCs w:val="24"/>
          <w:lang w:val="en-GB"/>
        </w:rPr>
        <w:t xml:space="preserve"> of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F) at the date and time of calibration.</w:t>
      </w:r>
    </w:p>
    <w:p w:rsidR="00D01D29" w:rsidRPr="00656088" w:rsidRDefault="00D01D29" w:rsidP="00D01D29">
      <w:pPr>
        <w:ind w:left="851"/>
        <w:rPr>
          <w:sz w:val="24"/>
          <w:szCs w:val="24"/>
          <w:lang w:val="en-GB"/>
        </w:rPr>
      </w:pPr>
      <w:r w:rsidRPr="00656088">
        <w:rPr>
          <w:sz w:val="24"/>
          <w:szCs w:val="24"/>
          <w:lang w:val="en-GB"/>
        </w:rPr>
        <w:t xml:space="preserve">The activity per vial ranges from 400 </w:t>
      </w:r>
      <w:proofErr w:type="spellStart"/>
      <w:r w:rsidRPr="00656088">
        <w:rPr>
          <w:sz w:val="24"/>
          <w:szCs w:val="24"/>
          <w:lang w:val="en-GB"/>
        </w:rPr>
        <w:t>MBq</w:t>
      </w:r>
      <w:proofErr w:type="spellEnd"/>
      <w:r w:rsidRPr="00656088">
        <w:rPr>
          <w:sz w:val="24"/>
          <w:szCs w:val="24"/>
          <w:lang w:val="en-GB"/>
        </w:rPr>
        <w:t xml:space="preserve"> to 180 </w:t>
      </w:r>
      <w:proofErr w:type="spellStart"/>
      <w:r w:rsidRPr="00656088">
        <w:rPr>
          <w:sz w:val="24"/>
          <w:szCs w:val="24"/>
          <w:lang w:val="en-GB"/>
        </w:rPr>
        <w:t>GBq</w:t>
      </w:r>
      <w:proofErr w:type="spellEnd"/>
      <w:r w:rsidRPr="00656088">
        <w:rPr>
          <w:sz w:val="24"/>
          <w:szCs w:val="24"/>
          <w:lang w:val="en-GB"/>
        </w:rPr>
        <w:t xml:space="preserve"> at the date and time of calibration.</w:t>
      </w:r>
    </w:p>
    <w:p w:rsidR="00D01D29" w:rsidRPr="00656088" w:rsidRDefault="00D01D29" w:rsidP="00D01D29">
      <w:pPr>
        <w:ind w:left="851"/>
        <w:rPr>
          <w:sz w:val="24"/>
          <w:szCs w:val="24"/>
          <w:lang w:val="en-GB"/>
        </w:rPr>
      </w:pPr>
      <w:r w:rsidRPr="00656088">
        <w:rPr>
          <w:sz w:val="24"/>
          <w:szCs w:val="24"/>
          <w:lang w:val="en-GB"/>
        </w:rPr>
        <w:t>Fluorine (</w:t>
      </w:r>
      <w:r w:rsidRPr="00656088">
        <w:rPr>
          <w:sz w:val="24"/>
          <w:szCs w:val="24"/>
          <w:vertAlign w:val="superscript"/>
          <w:lang w:val="en-GB"/>
        </w:rPr>
        <w:t>18</w:t>
      </w:r>
      <w:r w:rsidRPr="00656088">
        <w:rPr>
          <w:sz w:val="24"/>
          <w:szCs w:val="24"/>
          <w:lang w:val="en-GB"/>
        </w:rPr>
        <w:t>F) decays to stable oxygen (</w:t>
      </w:r>
      <w:r w:rsidRPr="00656088">
        <w:rPr>
          <w:sz w:val="24"/>
          <w:szCs w:val="24"/>
          <w:vertAlign w:val="superscript"/>
          <w:lang w:val="en-GB"/>
        </w:rPr>
        <w:t>18</w:t>
      </w:r>
      <w:r w:rsidRPr="00656088">
        <w:rPr>
          <w:sz w:val="24"/>
          <w:szCs w:val="24"/>
          <w:lang w:val="en-GB"/>
        </w:rPr>
        <w:t>O) with a half-life of 110 minutes by emitting a positronic radiation of maximum energy of 634 keV, followed by photonic annihilation radiations of 511keV.</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lang w:val="en-GB"/>
        </w:rPr>
      </w:pPr>
      <w:r w:rsidRPr="00656088">
        <w:rPr>
          <w:sz w:val="24"/>
          <w:szCs w:val="24"/>
          <w:lang w:val="en-GB"/>
        </w:rPr>
        <w:t xml:space="preserve">Excipients with known effects: </w:t>
      </w:r>
    </w:p>
    <w:p w:rsidR="00D01D29" w:rsidRPr="00656088" w:rsidRDefault="00D01D29" w:rsidP="00D01D29">
      <w:pPr>
        <w:ind w:left="851"/>
        <w:rPr>
          <w:sz w:val="24"/>
          <w:szCs w:val="24"/>
          <w:lang w:val="en-GB"/>
        </w:rPr>
      </w:pPr>
      <w:r w:rsidRPr="00656088">
        <w:rPr>
          <w:sz w:val="24"/>
          <w:szCs w:val="24"/>
          <w:lang w:val="en-GB"/>
        </w:rPr>
        <w:t xml:space="preserve">Each ml of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F) contains 9 mg of sodium chloride.</w:t>
      </w:r>
    </w:p>
    <w:p w:rsidR="00D01D29" w:rsidRPr="00656088" w:rsidRDefault="00D01D29" w:rsidP="00D01D29">
      <w:pPr>
        <w:ind w:left="851"/>
        <w:rPr>
          <w:sz w:val="24"/>
          <w:szCs w:val="24"/>
          <w:lang w:val="en-GB"/>
        </w:rPr>
      </w:pPr>
      <w:r w:rsidRPr="00656088">
        <w:rPr>
          <w:sz w:val="24"/>
          <w:szCs w:val="24"/>
          <w:lang w:val="en-GB"/>
        </w:rPr>
        <w:t xml:space="preserve">Each ml of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F) contains 5 mg of ethanol.</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lang w:val="en-GB"/>
        </w:rPr>
      </w:pPr>
      <w:r w:rsidRPr="00656088">
        <w:rPr>
          <w:sz w:val="24"/>
          <w:szCs w:val="24"/>
          <w:lang w:val="en-GB"/>
        </w:rPr>
        <w:t>For a full list of excipients, see section 6.1</w:t>
      </w:r>
    </w:p>
    <w:p w:rsidR="00D01D29" w:rsidRPr="00656088" w:rsidRDefault="00D01D29" w:rsidP="00D01D29">
      <w:pPr>
        <w:ind w:left="851" w:hanging="851"/>
        <w:rPr>
          <w:sz w:val="24"/>
          <w:szCs w:val="24"/>
          <w:lang w:val="en-US"/>
        </w:rPr>
      </w:pPr>
    </w:p>
    <w:p w:rsidR="00D01D29" w:rsidRPr="00656088" w:rsidRDefault="00D01D29" w:rsidP="00D01D29">
      <w:pPr>
        <w:ind w:left="851" w:hanging="851"/>
        <w:rPr>
          <w:b/>
          <w:sz w:val="24"/>
          <w:szCs w:val="24"/>
          <w:lang w:val="en-US"/>
        </w:rPr>
      </w:pPr>
      <w:r w:rsidRPr="00656088">
        <w:rPr>
          <w:b/>
          <w:sz w:val="24"/>
          <w:szCs w:val="24"/>
          <w:lang w:val="en-US"/>
        </w:rPr>
        <w:t>3.</w:t>
      </w:r>
      <w:r w:rsidRPr="00656088">
        <w:rPr>
          <w:b/>
          <w:sz w:val="24"/>
          <w:szCs w:val="24"/>
          <w:lang w:val="en-US"/>
        </w:rPr>
        <w:tab/>
        <w:t>PHARMACEUTICAL FORM</w:t>
      </w:r>
    </w:p>
    <w:p w:rsidR="00D01D29" w:rsidRPr="00656088" w:rsidRDefault="00D01D29" w:rsidP="00D01D29">
      <w:pPr>
        <w:ind w:left="851" w:hanging="851"/>
        <w:rPr>
          <w:sz w:val="24"/>
          <w:szCs w:val="24"/>
          <w:lang w:val="en-GB"/>
        </w:rPr>
      </w:pPr>
      <w:r w:rsidRPr="00656088">
        <w:rPr>
          <w:sz w:val="24"/>
          <w:szCs w:val="24"/>
          <w:lang w:val="en-US"/>
        </w:rPr>
        <w:tab/>
      </w:r>
      <w:r w:rsidRPr="00656088">
        <w:rPr>
          <w:sz w:val="24"/>
          <w:szCs w:val="24"/>
          <w:lang w:val="en-GB"/>
        </w:rPr>
        <w:t>Solution for injection.</w:t>
      </w:r>
    </w:p>
    <w:p w:rsidR="00D01D29" w:rsidRPr="00656088" w:rsidRDefault="00D01D29" w:rsidP="00D01D29">
      <w:pPr>
        <w:ind w:left="851"/>
        <w:rPr>
          <w:sz w:val="24"/>
          <w:szCs w:val="24"/>
          <w:lang w:val="en-GB"/>
        </w:rPr>
      </w:pPr>
      <w:r w:rsidRPr="00656088">
        <w:rPr>
          <w:sz w:val="24"/>
          <w:szCs w:val="24"/>
          <w:lang w:val="en-GB"/>
        </w:rPr>
        <w:t>Clear, colourless or slightly yellow solution</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lang w:val="en-GB"/>
        </w:rPr>
      </w:pPr>
      <w:r w:rsidRPr="00656088">
        <w:rPr>
          <w:sz w:val="24"/>
          <w:szCs w:val="24"/>
          <w:lang w:val="en-GB"/>
        </w:rPr>
        <w:t>The product is isotonic and has a pH between 4.5 and 8.5.</w:t>
      </w:r>
    </w:p>
    <w:p w:rsidR="00D01D29" w:rsidRPr="00656088" w:rsidRDefault="00D01D29" w:rsidP="00D01D29">
      <w:pPr>
        <w:ind w:left="851" w:hanging="851"/>
        <w:rPr>
          <w:sz w:val="24"/>
          <w:szCs w:val="24"/>
          <w:lang w:val="en-US"/>
        </w:rPr>
      </w:pPr>
    </w:p>
    <w:p w:rsidR="00D01D29" w:rsidRPr="00656088" w:rsidRDefault="00D01D29" w:rsidP="00D01D29">
      <w:pPr>
        <w:ind w:left="851" w:hanging="851"/>
        <w:rPr>
          <w:sz w:val="24"/>
          <w:szCs w:val="24"/>
          <w:lang w:val="en-US"/>
        </w:rPr>
      </w:pPr>
    </w:p>
    <w:p w:rsidR="00D01D29" w:rsidRPr="00656088" w:rsidRDefault="00D01D29" w:rsidP="00D01D29">
      <w:pPr>
        <w:ind w:left="851" w:hanging="851"/>
        <w:rPr>
          <w:b/>
          <w:sz w:val="24"/>
          <w:szCs w:val="24"/>
          <w:lang w:val="en-US"/>
        </w:rPr>
      </w:pPr>
      <w:r w:rsidRPr="00656088">
        <w:rPr>
          <w:b/>
          <w:sz w:val="24"/>
          <w:szCs w:val="24"/>
          <w:lang w:val="en-US"/>
        </w:rPr>
        <w:t>4.</w:t>
      </w:r>
      <w:r w:rsidRPr="00656088">
        <w:rPr>
          <w:b/>
          <w:sz w:val="24"/>
          <w:szCs w:val="24"/>
          <w:lang w:val="en-US"/>
        </w:rPr>
        <w:tab/>
        <w:t>CLINICAL PARTICULARS</w:t>
      </w:r>
    </w:p>
    <w:p w:rsidR="00D01D29" w:rsidRPr="00656088" w:rsidRDefault="00D01D29" w:rsidP="00D01D29">
      <w:pPr>
        <w:ind w:left="851" w:hanging="851"/>
        <w:rPr>
          <w:b/>
          <w:sz w:val="24"/>
          <w:szCs w:val="24"/>
          <w:lang w:val="en-US"/>
        </w:rPr>
      </w:pPr>
    </w:p>
    <w:p w:rsidR="00D01D29" w:rsidRPr="00656088" w:rsidRDefault="00D01D29" w:rsidP="00D01D29">
      <w:pPr>
        <w:ind w:left="851" w:hanging="851"/>
        <w:rPr>
          <w:b/>
          <w:sz w:val="24"/>
          <w:szCs w:val="24"/>
          <w:u w:val="single"/>
          <w:lang w:val="en-US"/>
        </w:rPr>
      </w:pPr>
      <w:r w:rsidRPr="00656088">
        <w:rPr>
          <w:b/>
          <w:sz w:val="24"/>
          <w:szCs w:val="24"/>
          <w:lang w:val="en-US"/>
        </w:rPr>
        <w:t>4.1</w:t>
      </w:r>
      <w:r w:rsidRPr="00656088">
        <w:rPr>
          <w:b/>
          <w:sz w:val="24"/>
          <w:szCs w:val="24"/>
          <w:lang w:val="en-US"/>
        </w:rPr>
        <w:tab/>
        <w:t>Therapeutic indications</w:t>
      </w:r>
    </w:p>
    <w:p w:rsidR="00D01D29" w:rsidRPr="00656088" w:rsidRDefault="00D01D29" w:rsidP="00D01D29">
      <w:pPr>
        <w:ind w:left="851" w:hanging="851"/>
        <w:rPr>
          <w:sz w:val="24"/>
          <w:szCs w:val="24"/>
          <w:lang w:val="en-GB"/>
        </w:rPr>
      </w:pPr>
      <w:r w:rsidRPr="00656088">
        <w:rPr>
          <w:sz w:val="24"/>
          <w:szCs w:val="24"/>
          <w:lang w:val="en-US"/>
        </w:rPr>
        <w:tab/>
      </w:r>
      <w:r w:rsidRPr="00656088">
        <w:rPr>
          <w:sz w:val="24"/>
          <w:szCs w:val="24"/>
          <w:lang w:val="en-GB"/>
        </w:rPr>
        <w:t>This medicinal product is for diagnostic use only.</w:t>
      </w:r>
    </w:p>
    <w:p w:rsidR="00D01D29" w:rsidRPr="00656088" w:rsidRDefault="00D01D29" w:rsidP="00D01D29">
      <w:pPr>
        <w:ind w:left="851"/>
        <w:rPr>
          <w:sz w:val="24"/>
          <w:szCs w:val="24"/>
          <w:lang w:val="en-GB"/>
        </w:rPr>
      </w:pP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F) is indicated for use with positron emission tomography (PET) in adults and paediatric population.</w:t>
      </w:r>
    </w:p>
    <w:p w:rsidR="00D01D29" w:rsidRDefault="00D01D29" w:rsidP="00D01D29">
      <w:pPr>
        <w:ind w:left="851" w:hanging="851"/>
        <w:rPr>
          <w:i/>
          <w:sz w:val="24"/>
          <w:szCs w:val="24"/>
          <w:u w:val="single"/>
          <w:lang w:val="en-GB"/>
        </w:rPr>
      </w:pPr>
    </w:p>
    <w:p w:rsidR="00B3761E" w:rsidRDefault="00B3761E" w:rsidP="00D01D29">
      <w:pPr>
        <w:ind w:left="851" w:hanging="851"/>
        <w:rPr>
          <w:i/>
          <w:sz w:val="24"/>
          <w:szCs w:val="24"/>
          <w:u w:val="single"/>
          <w:lang w:val="en-GB"/>
        </w:rPr>
      </w:pPr>
    </w:p>
    <w:p w:rsidR="00B3761E" w:rsidRDefault="00B3761E" w:rsidP="00D01D29">
      <w:pPr>
        <w:ind w:left="851" w:hanging="851"/>
        <w:rPr>
          <w:i/>
          <w:sz w:val="24"/>
          <w:szCs w:val="24"/>
          <w:u w:val="single"/>
          <w:lang w:val="en-GB"/>
        </w:rPr>
      </w:pPr>
    </w:p>
    <w:p w:rsidR="00B3761E" w:rsidRPr="00656088" w:rsidRDefault="00B3761E" w:rsidP="00D01D29">
      <w:pPr>
        <w:ind w:left="851" w:hanging="851"/>
        <w:rPr>
          <w:i/>
          <w:sz w:val="24"/>
          <w:szCs w:val="24"/>
          <w:u w:val="single"/>
          <w:lang w:val="en-GB"/>
        </w:rPr>
      </w:pPr>
    </w:p>
    <w:p w:rsidR="00D01D29" w:rsidRPr="00656088" w:rsidRDefault="00D01D29" w:rsidP="00D01D29">
      <w:pPr>
        <w:ind w:left="851"/>
        <w:rPr>
          <w:i/>
          <w:sz w:val="24"/>
          <w:szCs w:val="24"/>
          <w:u w:val="single"/>
          <w:lang w:val="en-GB"/>
        </w:rPr>
      </w:pPr>
      <w:r w:rsidRPr="00656088">
        <w:rPr>
          <w:i/>
          <w:sz w:val="24"/>
          <w:szCs w:val="24"/>
          <w:u w:val="single"/>
          <w:lang w:val="en-GB"/>
        </w:rPr>
        <w:lastRenderedPageBreak/>
        <w:t>Oncology</w:t>
      </w:r>
    </w:p>
    <w:p w:rsidR="00D01D29" w:rsidRPr="00656088" w:rsidRDefault="00D01D29" w:rsidP="00D01D29">
      <w:pPr>
        <w:ind w:left="851"/>
        <w:rPr>
          <w:sz w:val="24"/>
          <w:szCs w:val="24"/>
          <w:lang w:val="en-GB"/>
        </w:rPr>
      </w:pPr>
      <w:r w:rsidRPr="00656088">
        <w:rPr>
          <w:sz w:val="24"/>
          <w:szCs w:val="24"/>
          <w:lang w:val="en-GB"/>
        </w:rPr>
        <w:t>In patients undergoing oncologic diagnostic procedures describing function or diseases where enhanced glucose influx of specific organs or tissues is the diagnostic target. The following indications are sufficiently documented (see also section 4.4):</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u w:val="single"/>
          <w:lang w:val="en-GB"/>
        </w:rPr>
      </w:pPr>
      <w:r w:rsidRPr="00656088">
        <w:rPr>
          <w:sz w:val="24"/>
          <w:szCs w:val="24"/>
          <w:u w:val="single"/>
          <w:lang w:val="en-GB"/>
        </w:rPr>
        <w:t>Diagnosis</w:t>
      </w:r>
    </w:p>
    <w:p w:rsidR="00D01D29" w:rsidRPr="00656088" w:rsidRDefault="00D01D29" w:rsidP="00D01D29">
      <w:pPr>
        <w:numPr>
          <w:ilvl w:val="1"/>
          <w:numId w:val="6"/>
        </w:numPr>
        <w:tabs>
          <w:tab w:val="clear" w:pos="1364"/>
        </w:tabs>
        <w:ind w:left="1276" w:hanging="425"/>
        <w:rPr>
          <w:sz w:val="24"/>
          <w:szCs w:val="24"/>
          <w:lang w:val="en-GB"/>
        </w:rPr>
      </w:pPr>
      <w:r w:rsidRPr="00656088">
        <w:rPr>
          <w:sz w:val="24"/>
          <w:szCs w:val="24"/>
          <w:lang w:val="en-GB"/>
        </w:rPr>
        <w:t>Characterisation of solitary pulmonary nodule</w:t>
      </w:r>
    </w:p>
    <w:p w:rsidR="00D01D29" w:rsidRPr="00656088" w:rsidRDefault="00D01D29" w:rsidP="00D01D29">
      <w:pPr>
        <w:numPr>
          <w:ilvl w:val="1"/>
          <w:numId w:val="6"/>
        </w:numPr>
        <w:tabs>
          <w:tab w:val="clear" w:pos="1364"/>
        </w:tabs>
        <w:ind w:left="1276" w:hanging="425"/>
        <w:rPr>
          <w:sz w:val="24"/>
          <w:szCs w:val="24"/>
          <w:lang w:val="en-GB"/>
        </w:rPr>
      </w:pPr>
      <w:r w:rsidRPr="00656088">
        <w:rPr>
          <w:sz w:val="24"/>
          <w:szCs w:val="24"/>
          <w:lang w:val="en-GB"/>
        </w:rPr>
        <w:t>Detection of cancer of unknown origin revealed for example by cervical adenopathy, liver or bones metastases</w:t>
      </w:r>
    </w:p>
    <w:p w:rsidR="00D01D29" w:rsidRPr="00656088" w:rsidRDefault="00D01D29" w:rsidP="00D01D29">
      <w:pPr>
        <w:numPr>
          <w:ilvl w:val="1"/>
          <w:numId w:val="6"/>
        </w:numPr>
        <w:tabs>
          <w:tab w:val="clear" w:pos="1364"/>
        </w:tabs>
        <w:ind w:left="1276" w:hanging="425"/>
        <w:rPr>
          <w:sz w:val="24"/>
          <w:szCs w:val="24"/>
          <w:lang w:val="en-GB"/>
        </w:rPr>
      </w:pPr>
      <w:r w:rsidRPr="00656088">
        <w:rPr>
          <w:sz w:val="24"/>
          <w:szCs w:val="24"/>
          <w:lang w:val="en-GB"/>
        </w:rPr>
        <w:t>Characterisation of a pancreatic mass</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u w:val="single"/>
          <w:lang w:val="en-GB"/>
        </w:rPr>
      </w:pPr>
      <w:r w:rsidRPr="00656088">
        <w:rPr>
          <w:sz w:val="24"/>
          <w:szCs w:val="24"/>
          <w:u w:val="single"/>
          <w:lang w:val="en-GB"/>
        </w:rPr>
        <w:t>Staging:</w:t>
      </w:r>
    </w:p>
    <w:p w:rsidR="00D01D29" w:rsidRPr="00656088" w:rsidRDefault="00D01D29" w:rsidP="00D01D29">
      <w:pPr>
        <w:numPr>
          <w:ilvl w:val="1"/>
          <w:numId w:val="7"/>
        </w:numPr>
        <w:tabs>
          <w:tab w:val="clear" w:pos="1364"/>
        </w:tabs>
        <w:ind w:left="1276" w:hanging="425"/>
        <w:rPr>
          <w:sz w:val="24"/>
          <w:szCs w:val="24"/>
          <w:lang w:val="en-GB"/>
        </w:rPr>
      </w:pPr>
      <w:r w:rsidRPr="00656088">
        <w:rPr>
          <w:sz w:val="24"/>
          <w:szCs w:val="24"/>
          <w:lang w:val="en-GB"/>
        </w:rPr>
        <w:t>Head and neck cancers including assistance in guiding biopsy</w:t>
      </w:r>
    </w:p>
    <w:p w:rsidR="00D01D29" w:rsidRPr="00656088" w:rsidRDefault="00D01D29" w:rsidP="00D01D29">
      <w:pPr>
        <w:numPr>
          <w:ilvl w:val="1"/>
          <w:numId w:val="7"/>
        </w:numPr>
        <w:tabs>
          <w:tab w:val="clear" w:pos="1364"/>
        </w:tabs>
        <w:ind w:left="1276" w:hanging="425"/>
        <w:rPr>
          <w:sz w:val="24"/>
          <w:szCs w:val="24"/>
          <w:lang w:val="en-GB"/>
        </w:rPr>
      </w:pPr>
      <w:r w:rsidRPr="00656088">
        <w:rPr>
          <w:sz w:val="24"/>
          <w:szCs w:val="24"/>
          <w:lang w:val="en-GB"/>
        </w:rPr>
        <w:t>Primary lung cancer</w:t>
      </w:r>
    </w:p>
    <w:p w:rsidR="00D01D29" w:rsidRPr="00656088" w:rsidRDefault="00D01D29" w:rsidP="00D01D29">
      <w:pPr>
        <w:numPr>
          <w:ilvl w:val="1"/>
          <w:numId w:val="7"/>
        </w:numPr>
        <w:tabs>
          <w:tab w:val="clear" w:pos="1364"/>
        </w:tabs>
        <w:ind w:left="1276" w:hanging="425"/>
        <w:rPr>
          <w:sz w:val="24"/>
          <w:szCs w:val="24"/>
          <w:lang w:val="en-GB"/>
        </w:rPr>
      </w:pPr>
      <w:r w:rsidRPr="00656088">
        <w:rPr>
          <w:sz w:val="24"/>
          <w:szCs w:val="24"/>
          <w:lang w:val="en-GB"/>
        </w:rPr>
        <w:t>Locally advanced breast cancer</w:t>
      </w:r>
    </w:p>
    <w:p w:rsidR="00D01D29" w:rsidRPr="00656088" w:rsidRDefault="00D01D29" w:rsidP="00D01D29">
      <w:pPr>
        <w:numPr>
          <w:ilvl w:val="1"/>
          <w:numId w:val="7"/>
        </w:numPr>
        <w:tabs>
          <w:tab w:val="clear" w:pos="1364"/>
        </w:tabs>
        <w:ind w:left="1276" w:hanging="425"/>
        <w:rPr>
          <w:sz w:val="24"/>
          <w:szCs w:val="24"/>
          <w:lang w:val="en-GB"/>
        </w:rPr>
      </w:pPr>
      <w:r w:rsidRPr="00656088">
        <w:rPr>
          <w:sz w:val="24"/>
          <w:szCs w:val="24"/>
          <w:lang w:val="en-GB"/>
        </w:rPr>
        <w:t>Oesophageal cancer</w:t>
      </w:r>
    </w:p>
    <w:p w:rsidR="00D01D29" w:rsidRPr="00656088" w:rsidRDefault="00D01D29" w:rsidP="00D01D29">
      <w:pPr>
        <w:numPr>
          <w:ilvl w:val="1"/>
          <w:numId w:val="7"/>
        </w:numPr>
        <w:tabs>
          <w:tab w:val="clear" w:pos="1364"/>
        </w:tabs>
        <w:ind w:left="1276" w:hanging="425"/>
        <w:rPr>
          <w:sz w:val="24"/>
          <w:szCs w:val="24"/>
          <w:lang w:val="en-GB"/>
        </w:rPr>
      </w:pPr>
      <w:r w:rsidRPr="00656088">
        <w:rPr>
          <w:sz w:val="24"/>
          <w:szCs w:val="24"/>
          <w:lang w:val="en-GB"/>
        </w:rPr>
        <w:t>Carcinoma of the pancreas</w:t>
      </w:r>
    </w:p>
    <w:p w:rsidR="00D01D29" w:rsidRPr="00656088" w:rsidRDefault="00D01D29" w:rsidP="00D01D29">
      <w:pPr>
        <w:numPr>
          <w:ilvl w:val="1"/>
          <w:numId w:val="7"/>
        </w:numPr>
        <w:tabs>
          <w:tab w:val="clear" w:pos="1364"/>
        </w:tabs>
        <w:ind w:left="1276" w:hanging="425"/>
        <w:rPr>
          <w:sz w:val="24"/>
          <w:szCs w:val="24"/>
          <w:lang w:val="en-GB"/>
        </w:rPr>
      </w:pPr>
      <w:r w:rsidRPr="00656088">
        <w:rPr>
          <w:sz w:val="24"/>
          <w:szCs w:val="24"/>
          <w:lang w:val="en-GB"/>
        </w:rPr>
        <w:t>Colorectal cancer particularly in restaging recurrences</w:t>
      </w:r>
    </w:p>
    <w:p w:rsidR="00D01D29" w:rsidRPr="00656088" w:rsidRDefault="00D01D29" w:rsidP="00D01D29">
      <w:pPr>
        <w:numPr>
          <w:ilvl w:val="1"/>
          <w:numId w:val="7"/>
        </w:numPr>
        <w:tabs>
          <w:tab w:val="clear" w:pos="1364"/>
        </w:tabs>
        <w:ind w:left="1276" w:hanging="425"/>
        <w:rPr>
          <w:sz w:val="24"/>
          <w:szCs w:val="24"/>
          <w:lang w:val="en-GB"/>
        </w:rPr>
      </w:pPr>
      <w:r w:rsidRPr="00656088">
        <w:rPr>
          <w:sz w:val="24"/>
          <w:szCs w:val="24"/>
          <w:lang w:val="en-GB"/>
        </w:rPr>
        <w:t>Malignant lymphoma</w:t>
      </w:r>
    </w:p>
    <w:p w:rsidR="00D01D29" w:rsidRPr="00656088" w:rsidRDefault="00D01D29" w:rsidP="00D01D29">
      <w:pPr>
        <w:numPr>
          <w:ilvl w:val="1"/>
          <w:numId w:val="7"/>
        </w:numPr>
        <w:tabs>
          <w:tab w:val="clear" w:pos="1364"/>
        </w:tabs>
        <w:ind w:left="1276" w:hanging="425"/>
        <w:rPr>
          <w:sz w:val="24"/>
          <w:szCs w:val="24"/>
          <w:lang w:val="en-GB"/>
        </w:rPr>
      </w:pPr>
      <w:r w:rsidRPr="00656088">
        <w:rPr>
          <w:sz w:val="24"/>
          <w:szCs w:val="24"/>
          <w:lang w:val="en-GB"/>
        </w:rPr>
        <w:t>Malignant melanoma, Breslow &gt;</w:t>
      </w:r>
      <w:smartTag w:uri="urn:schemas-microsoft-com:office:smarttags" w:element="metricconverter">
        <w:smartTagPr>
          <w:attr w:name="ProductID" w:val="1.5 mm"/>
        </w:smartTagPr>
        <w:r w:rsidRPr="00656088">
          <w:rPr>
            <w:sz w:val="24"/>
            <w:szCs w:val="24"/>
            <w:lang w:val="en-GB"/>
          </w:rPr>
          <w:t>1.5 mm</w:t>
        </w:r>
      </w:smartTag>
      <w:r w:rsidRPr="00656088">
        <w:rPr>
          <w:sz w:val="24"/>
          <w:szCs w:val="24"/>
          <w:lang w:val="en-GB"/>
        </w:rPr>
        <w:t xml:space="preserve"> or lymph node metastasis at first diagnosis</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u w:val="single"/>
          <w:lang w:val="en-GB"/>
        </w:rPr>
      </w:pPr>
      <w:r w:rsidRPr="00656088">
        <w:rPr>
          <w:sz w:val="24"/>
          <w:szCs w:val="24"/>
          <w:u w:val="single"/>
          <w:lang w:val="en-GB"/>
        </w:rPr>
        <w:t>Monitoring of therapeutic response:</w:t>
      </w:r>
    </w:p>
    <w:p w:rsidR="00D01D29" w:rsidRPr="00656088" w:rsidRDefault="00D01D29" w:rsidP="00D01D29">
      <w:pPr>
        <w:numPr>
          <w:ilvl w:val="1"/>
          <w:numId w:val="8"/>
        </w:numPr>
        <w:tabs>
          <w:tab w:val="clear" w:pos="1364"/>
        </w:tabs>
        <w:ind w:left="1276" w:hanging="425"/>
        <w:rPr>
          <w:sz w:val="24"/>
          <w:szCs w:val="24"/>
          <w:lang w:val="en-GB"/>
        </w:rPr>
      </w:pPr>
      <w:r w:rsidRPr="00656088">
        <w:rPr>
          <w:sz w:val="24"/>
          <w:szCs w:val="24"/>
          <w:lang w:val="en-GB"/>
        </w:rPr>
        <w:t>Malignant lymphoma</w:t>
      </w:r>
    </w:p>
    <w:p w:rsidR="00D01D29" w:rsidRPr="00656088" w:rsidRDefault="00D01D29" w:rsidP="00D01D29">
      <w:pPr>
        <w:numPr>
          <w:ilvl w:val="1"/>
          <w:numId w:val="8"/>
        </w:numPr>
        <w:tabs>
          <w:tab w:val="clear" w:pos="1364"/>
        </w:tabs>
        <w:ind w:left="1276" w:hanging="425"/>
        <w:rPr>
          <w:sz w:val="24"/>
          <w:szCs w:val="24"/>
          <w:lang w:val="en-GB"/>
        </w:rPr>
      </w:pPr>
      <w:r w:rsidRPr="00656088">
        <w:rPr>
          <w:sz w:val="24"/>
          <w:szCs w:val="24"/>
          <w:lang w:val="en-GB"/>
        </w:rPr>
        <w:t>Head and neck cancers</w:t>
      </w:r>
    </w:p>
    <w:p w:rsidR="00D01D29" w:rsidRPr="00656088" w:rsidRDefault="00D01D29" w:rsidP="00D01D29">
      <w:pPr>
        <w:ind w:left="851" w:hanging="851"/>
        <w:rPr>
          <w:i/>
          <w:sz w:val="24"/>
          <w:szCs w:val="24"/>
          <w:lang w:val="en-GB"/>
        </w:rPr>
      </w:pPr>
    </w:p>
    <w:p w:rsidR="00D01D29" w:rsidRPr="00656088" w:rsidRDefault="00D01D29" w:rsidP="00D01D29">
      <w:pPr>
        <w:ind w:left="851"/>
        <w:rPr>
          <w:sz w:val="24"/>
          <w:szCs w:val="24"/>
          <w:u w:val="single"/>
          <w:lang w:val="en-GB"/>
        </w:rPr>
      </w:pPr>
      <w:r w:rsidRPr="00656088">
        <w:rPr>
          <w:sz w:val="24"/>
          <w:szCs w:val="24"/>
          <w:u w:val="single"/>
          <w:lang w:val="en-GB"/>
        </w:rPr>
        <w:t>Detection in case of reasonable suspicion of recurrences:</w:t>
      </w:r>
    </w:p>
    <w:p w:rsidR="00D01D29" w:rsidRPr="00656088" w:rsidRDefault="00D01D29" w:rsidP="00D01D29">
      <w:pPr>
        <w:numPr>
          <w:ilvl w:val="1"/>
          <w:numId w:val="9"/>
        </w:numPr>
        <w:tabs>
          <w:tab w:val="clear" w:pos="1364"/>
        </w:tabs>
        <w:ind w:left="1276" w:hanging="425"/>
        <w:rPr>
          <w:sz w:val="24"/>
          <w:szCs w:val="24"/>
          <w:lang w:val="en-GB"/>
        </w:rPr>
      </w:pPr>
      <w:r w:rsidRPr="00656088">
        <w:rPr>
          <w:sz w:val="24"/>
          <w:szCs w:val="24"/>
          <w:lang w:val="en-GB"/>
        </w:rPr>
        <w:t>Glioma with high grade of malignancy (III or IV)</w:t>
      </w:r>
    </w:p>
    <w:p w:rsidR="00D01D29" w:rsidRPr="00656088" w:rsidRDefault="00D01D29" w:rsidP="00D01D29">
      <w:pPr>
        <w:numPr>
          <w:ilvl w:val="1"/>
          <w:numId w:val="9"/>
        </w:numPr>
        <w:tabs>
          <w:tab w:val="clear" w:pos="1364"/>
        </w:tabs>
        <w:ind w:left="1276" w:hanging="425"/>
        <w:rPr>
          <w:sz w:val="24"/>
          <w:szCs w:val="24"/>
          <w:lang w:val="en-GB"/>
        </w:rPr>
      </w:pPr>
      <w:r w:rsidRPr="00656088">
        <w:rPr>
          <w:sz w:val="24"/>
          <w:szCs w:val="24"/>
          <w:lang w:val="en-GB"/>
        </w:rPr>
        <w:t>Head and neck cancers</w:t>
      </w:r>
    </w:p>
    <w:p w:rsidR="00D01D29" w:rsidRPr="00656088" w:rsidRDefault="00D01D29" w:rsidP="00D01D29">
      <w:pPr>
        <w:numPr>
          <w:ilvl w:val="1"/>
          <w:numId w:val="9"/>
        </w:numPr>
        <w:tabs>
          <w:tab w:val="clear" w:pos="1364"/>
        </w:tabs>
        <w:ind w:left="1276" w:hanging="425"/>
        <w:rPr>
          <w:sz w:val="24"/>
          <w:szCs w:val="24"/>
          <w:lang w:val="en-GB"/>
        </w:rPr>
      </w:pPr>
      <w:r w:rsidRPr="00656088">
        <w:rPr>
          <w:sz w:val="24"/>
          <w:szCs w:val="24"/>
          <w:lang w:val="en-GB"/>
        </w:rPr>
        <w:t>Thyroid cancer (non-medullary): patients with increased thyroglobulin serum levels and negative radioactive iodine whole body scintigraphy</w:t>
      </w:r>
    </w:p>
    <w:p w:rsidR="00D01D29" w:rsidRPr="00656088" w:rsidRDefault="00D01D29" w:rsidP="00D01D29">
      <w:pPr>
        <w:numPr>
          <w:ilvl w:val="1"/>
          <w:numId w:val="9"/>
        </w:numPr>
        <w:tabs>
          <w:tab w:val="clear" w:pos="1364"/>
        </w:tabs>
        <w:ind w:left="1276" w:hanging="425"/>
        <w:rPr>
          <w:sz w:val="24"/>
          <w:szCs w:val="24"/>
          <w:lang w:val="en-GB"/>
        </w:rPr>
      </w:pPr>
      <w:r w:rsidRPr="00656088">
        <w:rPr>
          <w:sz w:val="24"/>
          <w:szCs w:val="24"/>
          <w:lang w:val="en-GB"/>
        </w:rPr>
        <w:t>Primary lung cancer</w:t>
      </w:r>
    </w:p>
    <w:p w:rsidR="00D01D29" w:rsidRPr="00656088" w:rsidRDefault="00D01D29" w:rsidP="00D01D29">
      <w:pPr>
        <w:numPr>
          <w:ilvl w:val="1"/>
          <w:numId w:val="9"/>
        </w:numPr>
        <w:tabs>
          <w:tab w:val="clear" w:pos="1364"/>
        </w:tabs>
        <w:ind w:left="1276" w:hanging="425"/>
        <w:rPr>
          <w:sz w:val="24"/>
          <w:szCs w:val="24"/>
          <w:lang w:val="en-GB"/>
        </w:rPr>
      </w:pPr>
      <w:r w:rsidRPr="00656088">
        <w:rPr>
          <w:sz w:val="24"/>
          <w:szCs w:val="24"/>
          <w:lang w:val="en-GB"/>
        </w:rPr>
        <w:t>Breast cancer</w:t>
      </w:r>
    </w:p>
    <w:p w:rsidR="00D01D29" w:rsidRPr="00656088" w:rsidRDefault="00D01D29" w:rsidP="00D01D29">
      <w:pPr>
        <w:numPr>
          <w:ilvl w:val="1"/>
          <w:numId w:val="9"/>
        </w:numPr>
        <w:tabs>
          <w:tab w:val="clear" w:pos="1364"/>
        </w:tabs>
        <w:ind w:left="1276" w:hanging="425"/>
        <w:rPr>
          <w:sz w:val="24"/>
          <w:szCs w:val="24"/>
          <w:lang w:val="en-GB"/>
        </w:rPr>
      </w:pPr>
      <w:r w:rsidRPr="00656088">
        <w:rPr>
          <w:sz w:val="24"/>
          <w:szCs w:val="24"/>
          <w:lang w:val="en-GB"/>
        </w:rPr>
        <w:t>Carcinoma of the pancreas</w:t>
      </w:r>
    </w:p>
    <w:p w:rsidR="00D01D29" w:rsidRPr="00656088" w:rsidRDefault="00D01D29" w:rsidP="00D01D29">
      <w:pPr>
        <w:numPr>
          <w:ilvl w:val="1"/>
          <w:numId w:val="9"/>
        </w:numPr>
        <w:tabs>
          <w:tab w:val="clear" w:pos="1364"/>
        </w:tabs>
        <w:ind w:left="1276" w:hanging="425"/>
        <w:rPr>
          <w:sz w:val="24"/>
          <w:szCs w:val="24"/>
          <w:lang w:val="en-GB"/>
        </w:rPr>
      </w:pPr>
      <w:r w:rsidRPr="00656088">
        <w:rPr>
          <w:sz w:val="24"/>
          <w:szCs w:val="24"/>
          <w:lang w:val="en-GB"/>
        </w:rPr>
        <w:t>Colorectal cancer</w:t>
      </w:r>
    </w:p>
    <w:p w:rsidR="00D01D29" w:rsidRPr="00656088" w:rsidRDefault="00D01D29" w:rsidP="00D01D29">
      <w:pPr>
        <w:numPr>
          <w:ilvl w:val="1"/>
          <w:numId w:val="9"/>
        </w:numPr>
        <w:tabs>
          <w:tab w:val="clear" w:pos="1364"/>
        </w:tabs>
        <w:ind w:left="1276" w:hanging="425"/>
        <w:rPr>
          <w:sz w:val="24"/>
          <w:szCs w:val="24"/>
          <w:lang w:val="en-GB"/>
        </w:rPr>
      </w:pPr>
      <w:r w:rsidRPr="00656088">
        <w:rPr>
          <w:sz w:val="24"/>
          <w:szCs w:val="24"/>
          <w:lang w:val="en-GB"/>
        </w:rPr>
        <w:t>Ovarian cancer</w:t>
      </w:r>
    </w:p>
    <w:p w:rsidR="00D01D29" w:rsidRPr="00656088" w:rsidRDefault="00D01D29" w:rsidP="00D01D29">
      <w:pPr>
        <w:numPr>
          <w:ilvl w:val="1"/>
          <w:numId w:val="9"/>
        </w:numPr>
        <w:tabs>
          <w:tab w:val="clear" w:pos="1364"/>
        </w:tabs>
        <w:ind w:left="1276" w:hanging="425"/>
        <w:rPr>
          <w:sz w:val="24"/>
          <w:szCs w:val="24"/>
          <w:lang w:val="en-GB"/>
        </w:rPr>
      </w:pPr>
      <w:r w:rsidRPr="00656088">
        <w:rPr>
          <w:sz w:val="24"/>
          <w:szCs w:val="24"/>
          <w:lang w:val="en-GB"/>
        </w:rPr>
        <w:t>Malignant lymphoma</w:t>
      </w:r>
    </w:p>
    <w:p w:rsidR="00D01D29" w:rsidRPr="00656088" w:rsidRDefault="00D01D29" w:rsidP="00D01D29">
      <w:pPr>
        <w:numPr>
          <w:ilvl w:val="1"/>
          <w:numId w:val="9"/>
        </w:numPr>
        <w:tabs>
          <w:tab w:val="clear" w:pos="1364"/>
        </w:tabs>
        <w:ind w:left="1276" w:hanging="425"/>
        <w:rPr>
          <w:sz w:val="24"/>
          <w:szCs w:val="24"/>
          <w:lang w:val="en-GB"/>
        </w:rPr>
      </w:pPr>
      <w:r w:rsidRPr="00656088">
        <w:rPr>
          <w:sz w:val="24"/>
          <w:szCs w:val="24"/>
          <w:lang w:val="en-GB"/>
        </w:rPr>
        <w:t>Malignant melanoma</w:t>
      </w:r>
    </w:p>
    <w:p w:rsidR="00D01D29" w:rsidRPr="00656088" w:rsidRDefault="00D01D29" w:rsidP="00D01D29">
      <w:pPr>
        <w:ind w:left="851" w:hanging="851"/>
        <w:rPr>
          <w:sz w:val="24"/>
          <w:szCs w:val="24"/>
          <w:lang w:val="en-GB"/>
        </w:rPr>
      </w:pPr>
    </w:p>
    <w:p w:rsidR="00D01D29" w:rsidRPr="00656088" w:rsidRDefault="00D01D29" w:rsidP="00D01D29">
      <w:pPr>
        <w:ind w:left="851"/>
        <w:rPr>
          <w:i/>
          <w:sz w:val="24"/>
          <w:szCs w:val="24"/>
          <w:u w:val="single"/>
          <w:lang w:val="en-GB"/>
        </w:rPr>
      </w:pPr>
      <w:r w:rsidRPr="00656088">
        <w:rPr>
          <w:i/>
          <w:sz w:val="24"/>
          <w:szCs w:val="24"/>
          <w:u w:val="single"/>
          <w:lang w:val="en-GB"/>
        </w:rPr>
        <w:t>Cardiology</w:t>
      </w:r>
    </w:p>
    <w:p w:rsidR="00D01D29" w:rsidRPr="00656088" w:rsidRDefault="00D01D29" w:rsidP="00D01D29">
      <w:pPr>
        <w:ind w:left="851"/>
        <w:rPr>
          <w:sz w:val="24"/>
          <w:szCs w:val="24"/>
          <w:lang w:val="en-GB"/>
        </w:rPr>
      </w:pPr>
      <w:r w:rsidRPr="00656088">
        <w:rPr>
          <w:sz w:val="24"/>
          <w:szCs w:val="24"/>
          <w:lang w:val="en-GB"/>
        </w:rPr>
        <w:t>In the cardiologic indication, the diagnostic target is viable myocardial tissue that takes-up glucose but is hypo-perfused, as it must be assessed beforehand using appropriate blood-flow imaging techniques.</w:t>
      </w:r>
    </w:p>
    <w:p w:rsidR="00D01D29" w:rsidRPr="00656088" w:rsidRDefault="00D01D29" w:rsidP="00D01D29">
      <w:pPr>
        <w:numPr>
          <w:ilvl w:val="1"/>
          <w:numId w:val="10"/>
        </w:numPr>
        <w:tabs>
          <w:tab w:val="clear" w:pos="1364"/>
        </w:tabs>
        <w:ind w:left="1276" w:hanging="425"/>
        <w:rPr>
          <w:sz w:val="24"/>
          <w:szCs w:val="24"/>
          <w:lang w:val="en-GB"/>
        </w:rPr>
      </w:pPr>
      <w:r w:rsidRPr="00656088">
        <w:rPr>
          <w:sz w:val="24"/>
          <w:szCs w:val="24"/>
          <w:lang w:val="en-GB"/>
        </w:rPr>
        <w:t xml:space="preserve">Evaluation of myocardial viability in patients with severe impaired left ventricular function who are candidates for revascularisation when conventional imaging modalities are not </w:t>
      </w:r>
      <w:proofErr w:type="spellStart"/>
      <w:r w:rsidRPr="00656088">
        <w:rPr>
          <w:sz w:val="24"/>
          <w:szCs w:val="24"/>
          <w:lang w:val="en-GB"/>
        </w:rPr>
        <w:t>contributive</w:t>
      </w:r>
      <w:proofErr w:type="spellEnd"/>
      <w:r w:rsidRPr="00656088">
        <w:rPr>
          <w:sz w:val="24"/>
          <w:szCs w:val="24"/>
          <w:lang w:val="en-GB"/>
        </w:rPr>
        <w:t>.</w:t>
      </w:r>
    </w:p>
    <w:p w:rsidR="00D01D29" w:rsidRPr="00656088" w:rsidRDefault="00D01D29" w:rsidP="00D01D29">
      <w:pPr>
        <w:ind w:left="851" w:hanging="851"/>
        <w:rPr>
          <w:sz w:val="24"/>
          <w:szCs w:val="24"/>
          <w:lang w:val="en-GB"/>
        </w:rPr>
      </w:pPr>
    </w:p>
    <w:p w:rsidR="00D01D29" w:rsidRPr="00656088" w:rsidRDefault="00D01D29" w:rsidP="00D01D29">
      <w:pPr>
        <w:ind w:left="851"/>
        <w:rPr>
          <w:i/>
          <w:sz w:val="24"/>
          <w:szCs w:val="24"/>
          <w:u w:val="single"/>
          <w:lang w:val="en-GB"/>
        </w:rPr>
      </w:pPr>
      <w:r w:rsidRPr="00656088">
        <w:rPr>
          <w:i/>
          <w:sz w:val="24"/>
          <w:szCs w:val="24"/>
          <w:u w:val="single"/>
          <w:lang w:val="en-GB"/>
        </w:rPr>
        <w:t>Neurology</w:t>
      </w:r>
    </w:p>
    <w:p w:rsidR="00D01D29" w:rsidRPr="00656088" w:rsidRDefault="00D01D29" w:rsidP="00D01D29">
      <w:pPr>
        <w:ind w:left="851"/>
        <w:rPr>
          <w:sz w:val="24"/>
          <w:szCs w:val="24"/>
          <w:lang w:val="en-GB"/>
        </w:rPr>
      </w:pPr>
      <w:r w:rsidRPr="00656088">
        <w:rPr>
          <w:sz w:val="24"/>
          <w:szCs w:val="24"/>
          <w:lang w:val="en-GB"/>
        </w:rPr>
        <w:t>In the neurologic indication the interictal glucose hypometabolism is the diagnostic target.</w:t>
      </w:r>
    </w:p>
    <w:p w:rsidR="00D01D29" w:rsidRPr="00B3761E" w:rsidRDefault="00D01D29" w:rsidP="00D01D29">
      <w:pPr>
        <w:numPr>
          <w:ilvl w:val="1"/>
          <w:numId w:val="9"/>
        </w:numPr>
        <w:tabs>
          <w:tab w:val="clear" w:pos="1364"/>
        </w:tabs>
        <w:ind w:left="1276" w:hanging="425"/>
        <w:rPr>
          <w:sz w:val="24"/>
          <w:szCs w:val="24"/>
          <w:lang w:val="en-GB"/>
        </w:rPr>
      </w:pPr>
      <w:r w:rsidRPr="00656088">
        <w:rPr>
          <w:sz w:val="24"/>
          <w:szCs w:val="24"/>
          <w:lang w:val="en-GB"/>
        </w:rPr>
        <w:t>Localisation of epileptogenic foci in the presurgical evaluation of partial temporal epilepsy</w:t>
      </w:r>
    </w:p>
    <w:p w:rsidR="00D01D29" w:rsidRPr="00656088" w:rsidRDefault="00D01D29" w:rsidP="00D01D29">
      <w:pPr>
        <w:ind w:left="851" w:hanging="851"/>
        <w:rPr>
          <w:sz w:val="24"/>
          <w:szCs w:val="24"/>
          <w:lang w:val="en-GB"/>
        </w:rPr>
      </w:pPr>
    </w:p>
    <w:p w:rsidR="00D01D29" w:rsidRPr="00656088" w:rsidRDefault="00D01D29" w:rsidP="00D01D29">
      <w:pPr>
        <w:ind w:left="851"/>
        <w:rPr>
          <w:bCs/>
          <w:i/>
          <w:sz w:val="24"/>
          <w:szCs w:val="24"/>
          <w:u w:val="single"/>
          <w:lang w:val="en-GB"/>
        </w:rPr>
      </w:pPr>
      <w:r w:rsidRPr="00656088">
        <w:rPr>
          <w:bCs/>
          <w:i/>
          <w:sz w:val="24"/>
          <w:szCs w:val="24"/>
          <w:u w:val="single"/>
          <w:lang w:val="en-GB"/>
        </w:rPr>
        <w:t>Infectious or inflammatory diseases</w:t>
      </w:r>
    </w:p>
    <w:p w:rsidR="00D01D29" w:rsidRPr="00656088" w:rsidRDefault="00D01D29" w:rsidP="00D01D29">
      <w:pPr>
        <w:ind w:left="851"/>
        <w:rPr>
          <w:sz w:val="24"/>
          <w:szCs w:val="24"/>
          <w:lang w:val="en-GB"/>
        </w:rPr>
      </w:pPr>
      <w:r w:rsidRPr="00656088">
        <w:rPr>
          <w:sz w:val="24"/>
          <w:szCs w:val="24"/>
          <w:lang w:val="en-GB"/>
        </w:rPr>
        <w:t>In infectious or inflammatory diseases, the diagnostic target is tissue or structures with an abnormal content of activated white blood cells.</w:t>
      </w:r>
    </w:p>
    <w:p w:rsidR="00D01D29" w:rsidRPr="00656088" w:rsidRDefault="00D01D29" w:rsidP="00D01D29">
      <w:pPr>
        <w:ind w:left="851"/>
        <w:rPr>
          <w:sz w:val="24"/>
          <w:szCs w:val="24"/>
          <w:lang w:val="en-GB"/>
        </w:rPr>
      </w:pPr>
      <w:r w:rsidRPr="00656088">
        <w:rPr>
          <w:sz w:val="24"/>
          <w:szCs w:val="24"/>
          <w:lang w:val="en-GB"/>
        </w:rPr>
        <w:t>In infectious or inflammatory diseases, the following indications are sufficiently documented:</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u w:val="single"/>
          <w:lang w:val="en-GB"/>
        </w:rPr>
      </w:pPr>
      <w:r w:rsidRPr="00656088">
        <w:rPr>
          <w:sz w:val="24"/>
          <w:szCs w:val="24"/>
          <w:u w:val="single"/>
          <w:lang w:val="en-GB"/>
        </w:rPr>
        <w:t xml:space="preserve">Localisation of abnormal foci guiding the </w:t>
      </w:r>
      <w:proofErr w:type="spellStart"/>
      <w:r w:rsidRPr="00656088">
        <w:rPr>
          <w:sz w:val="24"/>
          <w:szCs w:val="24"/>
          <w:u w:val="single"/>
          <w:lang w:val="en-GB"/>
        </w:rPr>
        <w:t>aetiologic</w:t>
      </w:r>
      <w:proofErr w:type="spellEnd"/>
      <w:r w:rsidRPr="00656088">
        <w:rPr>
          <w:sz w:val="24"/>
          <w:szCs w:val="24"/>
          <w:u w:val="single"/>
          <w:lang w:val="en-GB"/>
        </w:rPr>
        <w:t xml:space="preserve"> diagnosis in case of fever of unknown origin</w:t>
      </w:r>
    </w:p>
    <w:p w:rsidR="00D01D29" w:rsidRPr="00656088" w:rsidRDefault="00D01D29" w:rsidP="00D01D29">
      <w:pPr>
        <w:ind w:left="851" w:hanging="851"/>
        <w:rPr>
          <w:sz w:val="24"/>
          <w:szCs w:val="24"/>
          <w:u w:val="single"/>
          <w:lang w:val="en-GB"/>
        </w:rPr>
      </w:pPr>
    </w:p>
    <w:p w:rsidR="00D01D29" w:rsidRPr="00656088" w:rsidRDefault="00D01D29" w:rsidP="00D01D29">
      <w:pPr>
        <w:ind w:left="851"/>
        <w:rPr>
          <w:sz w:val="24"/>
          <w:szCs w:val="24"/>
          <w:u w:val="single"/>
          <w:lang w:val="en-GB"/>
        </w:rPr>
      </w:pPr>
      <w:r w:rsidRPr="00656088">
        <w:rPr>
          <w:sz w:val="24"/>
          <w:szCs w:val="24"/>
          <w:u w:val="single"/>
          <w:lang w:val="en-GB"/>
        </w:rPr>
        <w:t>Diagnosis of infection in case of:</w:t>
      </w:r>
    </w:p>
    <w:p w:rsidR="00D01D29" w:rsidRPr="00656088" w:rsidRDefault="00D01D29" w:rsidP="00D01D29">
      <w:pPr>
        <w:numPr>
          <w:ilvl w:val="1"/>
          <w:numId w:val="11"/>
        </w:numPr>
        <w:tabs>
          <w:tab w:val="clear" w:pos="1440"/>
        </w:tabs>
        <w:ind w:left="1276" w:hanging="425"/>
        <w:rPr>
          <w:sz w:val="24"/>
          <w:szCs w:val="24"/>
          <w:lang w:val="en-GB"/>
        </w:rPr>
      </w:pPr>
      <w:r w:rsidRPr="00656088">
        <w:rPr>
          <w:sz w:val="24"/>
          <w:szCs w:val="24"/>
          <w:lang w:val="en-GB"/>
        </w:rPr>
        <w:t xml:space="preserve">Suspected chronic infection of bone and/or adjacent structures: osteomyelitis, </w:t>
      </w:r>
      <w:proofErr w:type="spellStart"/>
      <w:r w:rsidRPr="00656088">
        <w:rPr>
          <w:sz w:val="24"/>
          <w:szCs w:val="24"/>
          <w:lang w:val="en-GB"/>
        </w:rPr>
        <w:t>spondilitis</w:t>
      </w:r>
      <w:proofErr w:type="spellEnd"/>
      <w:r w:rsidRPr="00656088">
        <w:rPr>
          <w:sz w:val="24"/>
          <w:szCs w:val="24"/>
          <w:lang w:val="en-GB"/>
        </w:rPr>
        <w:t>, diskitis or osteitis including when metallic implants are present</w:t>
      </w:r>
    </w:p>
    <w:p w:rsidR="00D01D29" w:rsidRPr="00656088" w:rsidRDefault="00D01D29" w:rsidP="00D01D29">
      <w:pPr>
        <w:numPr>
          <w:ilvl w:val="1"/>
          <w:numId w:val="11"/>
        </w:numPr>
        <w:tabs>
          <w:tab w:val="clear" w:pos="1440"/>
        </w:tabs>
        <w:ind w:left="1276" w:hanging="425"/>
        <w:rPr>
          <w:sz w:val="24"/>
          <w:szCs w:val="24"/>
          <w:lang w:val="en-GB"/>
        </w:rPr>
      </w:pPr>
      <w:r w:rsidRPr="00656088">
        <w:rPr>
          <w:sz w:val="24"/>
          <w:szCs w:val="24"/>
          <w:lang w:val="en-GB"/>
        </w:rPr>
        <w:t>Diabetic patient with a foot suspicious of Charcot’s neuroarthropathy, osteomyelitis and/or soft tissue infection</w:t>
      </w:r>
    </w:p>
    <w:p w:rsidR="00D01D29" w:rsidRPr="00656088" w:rsidRDefault="00D01D29" w:rsidP="00D01D29">
      <w:pPr>
        <w:numPr>
          <w:ilvl w:val="1"/>
          <w:numId w:val="11"/>
        </w:numPr>
        <w:tabs>
          <w:tab w:val="clear" w:pos="1440"/>
        </w:tabs>
        <w:ind w:left="1276" w:hanging="425"/>
        <w:rPr>
          <w:sz w:val="24"/>
          <w:szCs w:val="24"/>
          <w:lang w:val="en-GB"/>
        </w:rPr>
      </w:pPr>
      <w:r w:rsidRPr="00656088">
        <w:rPr>
          <w:sz w:val="24"/>
          <w:szCs w:val="24"/>
          <w:lang w:val="en-GB"/>
        </w:rPr>
        <w:t>Painful hip prosthesis</w:t>
      </w:r>
    </w:p>
    <w:p w:rsidR="00D01D29" w:rsidRPr="00656088" w:rsidRDefault="00D01D29" w:rsidP="00D01D29">
      <w:pPr>
        <w:numPr>
          <w:ilvl w:val="1"/>
          <w:numId w:val="11"/>
        </w:numPr>
        <w:tabs>
          <w:tab w:val="clear" w:pos="1440"/>
        </w:tabs>
        <w:ind w:left="1276" w:hanging="425"/>
        <w:rPr>
          <w:sz w:val="24"/>
          <w:szCs w:val="24"/>
          <w:lang w:val="en-GB"/>
        </w:rPr>
      </w:pPr>
      <w:r w:rsidRPr="00656088">
        <w:rPr>
          <w:sz w:val="24"/>
          <w:szCs w:val="24"/>
          <w:lang w:val="en-GB"/>
        </w:rPr>
        <w:t>Vascular prosthesis</w:t>
      </w:r>
    </w:p>
    <w:p w:rsidR="00D01D29" w:rsidRPr="00656088" w:rsidRDefault="00D01D29" w:rsidP="00D01D29">
      <w:pPr>
        <w:numPr>
          <w:ilvl w:val="1"/>
          <w:numId w:val="11"/>
        </w:numPr>
        <w:tabs>
          <w:tab w:val="clear" w:pos="1440"/>
        </w:tabs>
        <w:ind w:left="1276" w:hanging="425"/>
        <w:rPr>
          <w:sz w:val="24"/>
          <w:szCs w:val="24"/>
          <w:lang w:val="en-GB"/>
        </w:rPr>
      </w:pPr>
      <w:r w:rsidRPr="00656088">
        <w:rPr>
          <w:sz w:val="24"/>
          <w:szCs w:val="24"/>
          <w:lang w:val="en-GB"/>
        </w:rPr>
        <w:t>Fever in an AIDS patient</w:t>
      </w:r>
    </w:p>
    <w:p w:rsidR="00D01D29" w:rsidRPr="00656088" w:rsidRDefault="00D01D29" w:rsidP="00D01D29">
      <w:pPr>
        <w:numPr>
          <w:ilvl w:val="1"/>
          <w:numId w:val="11"/>
        </w:numPr>
        <w:tabs>
          <w:tab w:val="clear" w:pos="1440"/>
        </w:tabs>
        <w:ind w:left="1276" w:hanging="425"/>
        <w:rPr>
          <w:sz w:val="24"/>
          <w:szCs w:val="24"/>
          <w:lang w:val="en-GB"/>
        </w:rPr>
      </w:pPr>
      <w:r w:rsidRPr="00656088">
        <w:rPr>
          <w:sz w:val="24"/>
          <w:szCs w:val="24"/>
          <w:lang w:val="en-GB"/>
        </w:rPr>
        <w:t>Detection of septic metastatic foci in case of bacteraemia or endocarditis (see also section 4.4)</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u w:val="single"/>
          <w:lang w:val="en-GB"/>
        </w:rPr>
      </w:pPr>
      <w:r w:rsidRPr="00656088">
        <w:rPr>
          <w:sz w:val="24"/>
          <w:szCs w:val="24"/>
          <w:u w:val="single"/>
          <w:lang w:val="en-GB"/>
        </w:rPr>
        <w:t>Detection of the extension of inflammation in case of:</w:t>
      </w:r>
    </w:p>
    <w:p w:rsidR="00D01D29" w:rsidRPr="00656088" w:rsidRDefault="00D01D29" w:rsidP="00D01D29">
      <w:pPr>
        <w:numPr>
          <w:ilvl w:val="1"/>
          <w:numId w:val="11"/>
        </w:numPr>
        <w:tabs>
          <w:tab w:val="clear" w:pos="1440"/>
        </w:tabs>
        <w:ind w:left="1276" w:hanging="425"/>
        <w:rPr>
          <w:sz w:val="24"/>
          <w:szCs w:val="24"/>
          <w:lang w:val="en-GB"/>
        </w:rPr>
      </w:pPr>
      <w:r w:rsidRPr="00656088">
        <w:rPr>
          <w:sz w:val="24"/>
          <w:szCs w:val="24"/>
          <w:lang w:val="en-GB"/>
        </w:rPr>
        <w:t>Sarcoidosis</w:t>
      </w:r>
    </w:p>
    <w:p w:rsidR="00D01D29" w:rsidRPr="00656088" w:rsidRDefault="00D01D29" w:rsidP="00D01D29">
      <w:pPr>
        <w:numPr>
          <w:ilvl w:val="1"/>
          <w:numId w:val="11"/>
        </w:numPr>
        <w:tabs>
          <w:tab w:val="clear" w:pos="1440"/>
        </w:tabs>
        <w:ind w:left="1276" w:hanging="425"/>
        <w:rPr>
          <w:sz w:val="24"/>
          <w:szCs w:val="24"/>
          <w:lang w:val="en-GB"/>
        </w:rPr>
      </w:pPr>
      <w:r w:rsidRPr="00656088">
        <w:rPr>
          <w:sz w:val="24"/>
          <w:szCs w:val="24"/>
          <w:lang w:val="en-GB"/>
        </w:rPr>
        <w:t>Inflammatory bowel disease</w:t>
      </w:r>
    </w:p>
    <w:p w:rsidR="00D01D29" w:rsidRPr="00656088" w:rsidRDefault="00D01D29" w:rsidP="00D01D29">
      <w:pPr>
        <w:numPr>
          <w:ilvl w:val="1"/>
          <w:numId w:val="11"/>
        </w:numPr>
        <w:tabs>
          <w:tab w:val="clear" w:pos="1440"/>
        </w:tabs>
        <w:ind w:left="1276" w:hanging="425"/>
        <w:rPr>
          <w:sz w:val="24"/>
          <w:szCs w:val="24"/>
          <w:lang w:val="en-GB"/>
        </w:rPr>
      </w:pPr>
      <w:r w:rsidRPr="00656088">
        <w:rPr>
          <w:sz w:val="24"/>
          <w:szCs w:val="24"/>
          <w:lang w:val="en-GB"/>
        </w:rPr>
        <w:t>Vasculitis involving the great vessels</w:t>
      </w:r>
    </w:p>
    <w:p w:rsidR="00D01D29" w:rsidRPr="00656088" w:rsidRDefault="00D01D29" w:rsidP="00D01D29">
      <w:pPr>
        <w:ind w:left="1276" w:hanging="425"/>
        <w:rPr>
          <w:sz w:val="24"/>
          <w:szCs w:val="24"/>
          <w:lang w:val="en-GB"/>
        </w:rPr>
      </w:pPr>
    </w:p>
    <w:p w:rsidR="00D01D29" w:rsidRPr="00656088" w:rsidRDefault="00D01D29" w:rsidP="00D01D29">
      <w:pPr>
        <w:ind w:left="851"/>
        <w:rPr>
          <w:sz w:val="24"/>
          <w:szCs w:val="24"/>
          <w:u w:val="single"/>
          <w:lang w:val="en-GB"/>
        </w:rPr>
      </w:pPr>
      <w:r w:rsidRPr="00656088">
        <w:rPr>
          <w:sz w:val="24"/>
          <w:szCs w:val="24"/>
          <w:u w:val="single"/>
          <w:lang w:val="en-GB"/>
        </w:rPr>
        <w:t>Therapy follow-up:</w:t>
      </w:r>
    </w:p>
    <w:p w:rsidR="00D01D29" w:rsidRPr="00656088" w:rsidRDefault="00D01D29" w:rsidP="00D01D29">
      <w:pPr>
        <w:ind w:left="851"/>
        <w:rPr>
          <w:sz w:val="24"/>
          <w:szCs w:val="24"/>
          <w:lang w:val="en-GB"/>
        </w:rPr>
      </w:pPr>
      <w:r w:rsidRPr="00656088">
        <w:rPr>
          <w:sz w:val="24"/>
          <w:szCs w:val="24"/>
          <w:lang w:val="en-GB"/>
        </w:rPr>
        <w:t>Unresectable alveolar echinococcosis, in search for active localisations of the parasite during medical treatment and after treatment discontinuation.</w:t>
      </w:r>
    </w:p>
    <w:p w:rsidR="00D01D29" w:rsidRPr="00656088" w:rsidRDefault="00D01D29" w:rsidP="00D01D29">
      <w:pPr>
        <w:ind w:left="851" w:hanging="851"/>
        <w:rPr>
          <w:sz w:val="24"/>
          <w:szCs w:val="24"/>
          <w:lang w:val="en-US"/>
        </w:rPr>
      </w:pPr>
    </w:p>
    <w:p w:rsidR="00D01D29" w:rsidRPr="00656088" w:rsidRDefault="00D01D29" w:rsidP="00D01D29">
      <w:pPr>
        <w:ind w:left="851" w:hanging="851"/>
        <w:rPr>
          <w:sz w:val="24"/>
          <w:szCs w:val="24"/>
          <w:lang w:val="en-US"/>
        </w:rPr>
      </w:pPr>
      <w:r w:rsidRPr="00656088">
        <w:rPr>
          <w:b/>
          <w:sz w:val="24"/>
          <w:szCs w:val="24"/>
          <w:lang w:val="en-US"/>
        </w:rPr>
        <w:t xml:space="preserve">4.2 </w:t>
      </w:r>
      <w:r w:rsidRPr="00656088">
        <w:rPr>
          <w:b/>
          <w:sz w:val="24"/>
          <w:szCs w:val="24"/>
          <w:lang w:val="en-US"/>
        </w:rPr>
        <w:tab/>
        <w:t>Posology and method of administration</w:t>
      </w:r>
    </w:p>
    <w:p w:rsidR="00D01D29" w:rsidRDefault="00D01D29" w:rsidP="00D01D29">
      <w:pPr>
        <w:ind w:left="851" w:hanging="851"/>
        <w:rPr>
          <w:sz w:val="24"/>
          <w:szCs w:val="24"/>
          <w:lang w:val="en-US"/>
        </w:rPr>
      </w:pPr>
    </w:p>
    <w:p w:rsidR="00D01D29" w:rsidRPr="00656088" w:rsidRDefault="00D01D29" w:rsidP="00D01D29">
      <w:pPr>
        <w:ind w:left="851" w:hanging="851"/>
        <w:rPr>
          <w:sz w:val="24"/>
          <w:szCs w:val="24"/>
          <w:u w:val="single"/>
          <w:lang w:val="en-GB"/>
        </w:rPr>
      </w:pPr>
      <w:r w:rsidRPr="00656088">
        <w:rPr>
          <w:sz w:val="24"/>
          <w:szCs w:val="24"/>
          <w:lang w:val="en-US"/>
        </w:rPr>
        <w:tab/>
      </w:r>
      <w:r w:rsidRPr="00656088">
        <w:rPr>
          <w:sz w:val="24"/>
          <w:szCs w:val="24"/>
          <w:u w:val="single"/>
          <w:lang w:val="en-GB"/>
        </w:rPr>
        <w:t>Posology</w:t>
      </w:r>
    </w:p>
    <w:p w:rsidR="00D01D29" w:rsidRPr="00656088" w:rsidRDefault="00D01D29" w:rsidP="00D01D29">
      <w:pPr>
        <w:ind w:left="851"/>
        <w:rPr>
          <w:sz w:val="24"/>
          <w:szCs w:val="24"/>
          <w:lang w:val="en-GB"/>
        </w:rPr>
      </w:pPr>
      <w:r w:rsidRPr="00656088">
        <w:rPr>
          <w:i/>
          <w:sz w:val="24"/>
          <w:szCs w:val="24"/>
          <w:lang w:val="en-GB"/>
        </w:rPr>
        <w:t>Adults and elderly population</w:t>
      </w:r>
      <w:r w:rsidRPr="00656088">
        <w:rPr>
          <w:sz w:val="24"/>
          <w:szCs w:val="24"/>
          <w:lang w:val="en-GB"/>
        </w:rPr>
        <w:br/>
        <w:t xml:space="preserve">The recommended activity for an adult weighing 70 kg is 100 to 400 </w:t>
      </w:r>
      <w:proofErr w:type="spellStart"/>
      <w:r w:rsidRPr="00656088">
        <w:rPr>
          <w:sz w:val="24"/>
          <w:szCs w:val="24"/>
          <w:lang w:val="en-GB"/>
        </w:rPr>
        <w:t>MBq</w:t>
      </w:r>
      <w:proofErr w:type="spellEnd"/>
      <w:r w:rsidRPr="00656088">
        <w:rPr>
          <w:sz w:val="24"/>
          <w:szCs w:val="24"/>
          <w:lang w:val="en-GB"/>
        </w:rPr>
        <w:t xml:space="preserve"> (this activity has to be adapted according to the body weight of the patient, the type of camera used and acquisition mode), administered by direct intravenous injection.</w:t>
      </w:r>
    </w:p>
    <w:p w:rsidR="00D01D29" w:rsidRPr="00656088" w:rsidRDefault="00D01D29" w:rsidP="00D01D29">
      <w:pPr>
        <w:ind w:left="851" w:hanging="851"/>
        <w:rPr>
          <w:sz w:val="24"/>
          <w:szCs w:val="24"/>
          <w:lang w:val="en-GB"/>
        </w:rPr>
      </w:pPr>
    </w:p>
    <w:p w:rsidR="00D01D29" w:rsidRPr="00656088" w:rsidRDefault="00D01D29" w:rsidP="00D01D29">
      <w:pPr>
        <w:ind w:left="851"/>
        <w:rPr>
          <w:i/>
          <w:sz w:val="24"/>
          <w:szCs w:val="24"/>
          <w:lang w:val="en-GB"/>
        </w:rPr>
      </w:pPr>
      <w:r w:rsidRPr="00656088">
        <w:rPr>
          <w:i/>
          <w:sz w:val="24"/>
          <w:szCs w:val="24"/>
          <w:lang w:val="en-GB"/>
        </w:rPr>
        <w:t>Renal and hepatic impairment</w:t>
      </w:r>
    </w:p>
    <w:p w:rsidR="00D01D29" w:rsidRPr="00656088" w:rsidRDefault="00D01D29" w:rsidP="00D01D29">
      <w:pPr>
        <w:ind w:left="851"/>
        <w:rPr>
          <w:sz w:val="24"/>
          <w:szCs w:val="24"/>
          <w:lang w:val="en-GB"/>
        </w:rPr>
      </w:pPr>
      <w:r w:rsidRPr="00656088">
        <w:rPr>
          <w:sz w:val="24"/>
          <w:szCs w:val="24"/>
          <w:lang w:val="en-GB"/>
        </w:rPr>
        <w:t>Careful consideration of the activity to be administered is required since an increased radiation exposure is possible in these patients.</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lang w:val="en-GB"/>
        </w:rPr>
      </w:pPr>
      <w:r w:rsidRPr="00656088">
        <w:rPr>
          <w:sz w:val="24"/>
          <w:szCs w:val="24"/>
          <w:lang w:val="en-GB"/>
        </w:rPr>
        <w:t xml:space="preserve">Extensive dose-range and adjustment studies with this medicinal product in normal and special populations have not been performed. </w:t>
      </w:r>
    </w:p>
    <w:p w:rsidR="00D01D29" w:rsidRPr="00656088" w:rsidRDefault="00D01D29" w:rsidP="00D01D29">
      <w:pPr>
        <w:ind w:left="851"/>
        <w:rPr>
          <w:sz w:val="24"/>
          <w:szCs w:val="24"/>
          <w:lang w:val="en-GB"/>
        </w:rPr>
      </w:pPr>
      <w:r w:rsidRPr="00656088">
        <w:rPr>
          <w:sz w:val="24"/>
          <w:szCs w:val="24"/>
          <w:lang w:val="en-GB"/>
        </w:rPr>
        <w:t xml:space="preserve">The pharmacokinetics of </w:t>
      </w:r>
      <w:proofErr w:type="spellStart"/>
      <w:r w:rsidRPr="00656088">
        <w:rPr>
          <w:sz w:val="24"/>
          <w:szCs w:val="24"/>
          <w:lang w:val="en-GB"/>
        </w:rPr>
        <w:t>fludeoxyglucose</w:t>
      </w:r>
      <w:proofErr w:type="spellEnd"/>
      <w:r w:rsidRPr="00656088">
        <w:rPr>
          <w:sz w:val="24"/>
          <w:szCs w:val="24"/>
          <w:lang w:val="en-GB"/>
        </w:rPr>
        <w:t xml:space="preserve"> (18F) in renally impaired patients has not been characterised.</w:t>
      </w:r>
    </w:p>
    <w:p w:rsidR="00D01D29" w:rsidRDefault="00D01D29" w:rsidP="00D01D29">
      <w:pPr>
        <w:rPr>
          <w:i/>
          <w:iCs/>
          <w:sz w:val="24"/>
          <w:szCs w:val="24"/>
          <w:lang w:val="en-GB"/>
        </w:rPr>
      </w:pPr>
      <w:r>
        <w:rPr>
          <w:i/>
          <w:iCs/>
          <w:sz w:val="24"/>
          <w:szCs w:val="24"/>
          <w:lang w:val="en-GB"/>
        </w:rPr>
        <w:br w:type="page"/>
      </w:r>
    </w:p>
    <w:p w:rsidR="00D01D29" w:rsidRDefault="00D01D29" w:rsidP="00D01D29">
      <w:pPr>
        <w:ind w:left="851" w:hanging="851"/>
        <w:rPr>
          <w:i/>
          <w:iCs/>
          <w:sz w:val="24"/>
          <w:szCs w:val="24"/>
          <w:lang w:val="en-GB"/>
        </w:rPr>
      </w:pPr>
    </w:p>
    <w:p w:rsidR="00D01D29" w:rsidRPr="00656088" w:rsidRDefault="00D01D29" w:rsidP="00D01D29">
      <w:pPr>
        <w:ind w:left="851"/>
        <w:rPr>
          <w:i/>
          <w:iCs/>
          <w:sz w:val="24"/>
          <w:szCs w:val="24"/>
          <w:lang w:val="en-GB"/>
        </w:rPr>
      </w:pPr>
      <w:r w:rsidRPr="00656088">
        <w:rPr>
          <w:i/>
          <w:iCs/>
          <w:sz w:val="24"/>
          <w:szCs w:val="24"/>
          <w:lang w:val="en-GB"/>
        </w:rPr>
        <w:t>Paediatric population</w:t>
      </w:r>
    </w:p>
    <w:p w:rsidR="00D01D29" w:rsidRPr="00656088" w:rsidRDefault="00D01D29" w:rsidP="00D01D29">
      <w:pPr>
        <w:ind w:left="851"/>
        <w:rPr>
          <w:i/>
          <w:sz w:val="24"/>
          <w:szCs w:val="24"/>
          <w:lang w:val="en-GB"/>
        </w:rPr>
      </w:pPr>
      <w:r w:rsidRPr="00656088">
        <w:rPr>
          <w:sz w:val="24"/>
          <w:szCs w:val="24"/>
          <w:lang w:val="en-GB"/>
        </w:rPr>
        <w:t>The use in children and adolescents has to be considered carefully, based upon clinical needs and assessing the risk/benefit ratio in this patient group. The activities to be administered to children and adolescents may be calculated according to the recommendations of the European Association of nuclear Medicine (EANM) paediatric dosage card; the activity administered to children and to adolescents may be calculated by multiplying a baseline activity (for calculation purposes) by the weight-dependent multiples given in the table below.</w:t>
      </w:r>
    </w:p>
    <w:p w:rsidR="00D01D29" w:rsidRPr="00656088" w:rsidRDefault="00D01D29" w:rsidP="00D01D29">
      <w:pPr>
        <w:ind w:left="851" w:hanging="851"/>
        <w:rPr>
          <w:sz w:val="24"/>
          <w:szCs w:val="24"/>
          <w:lang w:val="en-GB"/>
        </w:rPr>
      </w:pPr>
    </w:p>
    <w:p w:rsidR="00D01D29" w:rsidRPr="00656088" w:rsidRDefault="00D01D29" w:rsidP="00D01D29">
      <w:pPr>
        <w:ind w:left="851" w:hanging="851"/>
        <w:rPr>
          <w:sz w:val="24"/>
          <w:szCs w:val="24"/>
          <w:lang w:val="en-GB"/>
        </w:rPr>
      </w:pPr>
      <w:r w:rsidRPr="00656088">
        <w:rPr>
          <w:sz w:val="24"/>
          <w:szCs w:val="24"/>
          <w:lang w:val="en-GB"/>
        </w:rPr>
        <w:tab/>
        <w:t>A[</w:t>
      </w:r>
      <w:proofErr w:type="spellStart"/>
      <w:r w:rsidRPr="00656088">
        <w:rPr>
          <w:sz w:val="24"/>
          <w:szCs w:val="24"/>
          <w:lang w:val="en-GB"/>
        </w:rPr>
        <w:t>MBq</w:t>
      </w:r>
      <w:proofErr w:type="spellEnd"/>
      <w:r w:rsidRPr="00656088">
        <w:rPr>
          <w:sz w:val="24"/>
          <w:szCs w:val="24"/>
          <w:lang w:val="en-GB"/>
        </w:rPr>
        <w:t>]</w:t>
      </w:r>
      <w:r w:rsidRPr="00656088">
        <w:rPr>
          <w:sz w:val="24"/>
          <w:szCs w:val="24"/>
          <w:vertAlign w:val="subscript"/>
          <w:lang w:val="en-GB"/>
        </w:rPr>
        <w:t xml:space="preserve">Administered </w:t>
      </w:r>
      <w:r w:rsidRPr="00656088">
        <w:rPr>
          <w:sz w:val="24"/>
          <w:szCs w:val="24"/>
          <w:lang w:val="en-GB"/>
        </w:rPr>
        <w:t>= Baseline activity x Multiple</w:t>
      </w:r>
    </w:p>
    <w:p w:rsidR="00D01D29" w:rsidRPr="00656088" w:rsidRDefault="00D01D29" w:rsidP="00D01D29">
      <w:pPr>
        <w:ind w:left="851" w:hanging="851"/>
        <w:rPr>
          <w:sz w:val="24"/>
          <w:szCs w:val="24"/>
          <w:lang w:val="en-GB"/>
        </w:rPr>
      </w:pPr>
    </w:p>
    <w:p w:rsidR="00D01D29" w:rsidRDefault="00D01D29" w:rsidP="00D01D29">
      <w:pPr>
        <w:ind w:left="851"/>
        <w:rPr>
          <w:sz w:val="24"/>
          <w:szCs w:val="24"/>
          <w:lang w:val="en-GB"/>
        </w:rPr>
      </w:pPr>
      <w:r w:rsidRPr="00656088">
        <w:rPr>
          <w:sz w:val="24"/>
          <w:szCs w:val="24"/>
          <w:lang w:val="en-GB"/>
        </w:rPr>
        <w:t xml:space="preserve">The Baseline Activity for 2D imaging is 25.9 </w:t>
      </w:r>
      <w:proofErr w:type="spellStart"/>
      <w:r w:rsidRPr="00656088">
        <w:rPr>
          <w:sz w:val="24"/>
          <w:szCs w:val="24"/>
          <w:lang w:val="en-GB"/>
        </w:rPr>
        <w:t>MBq</w:t>
      </w:r>
      <w:proofErr w:type="spellEnd"/>
      <w:r w:rsidRPr="00656088">
        <w:rPr>
          <w:sz w:val="24"/>
          <w:szCs w:val="24"/>
          <w:lang w:val="en-GB"/>
        </w:rPr>
        <w:t xml:space="preserve"> and for 3D imaging 14.0 </w:t>
      </w:r>
      <w:proofErr w:type="spellStart"/>
      <w:r w:rsidRPr="00656088">
        <w:rPr>
          <w:sz w:val="24"/>
          <w:szCs w:val="24"/>
          <w:lang w:val="en-GB"/>
        </w:rPr>
        <w:t>MBq</w:t>
      </w:r>
      <w:proofErr w:type="spellEnd"/>
      <w:r w:rsidRPr="00656088">
        <w:rPr>
          <w:sz w:val="24"/>
          <w:szCs w:val="24"/>
          <w:lang w:val="en-GB"/>
        </w:rPr>
        <w:t xml:space="preserve"> (recommended in children).</w:t>
      </w:r>
    </w:p>
    <w:p w:rsidR="00D01D29" w:rsidRDefault="00D01D29" w:rsidP="00D01D29">
      <w:pPr>
        <w:ind w:left="851"/>
        <w:rPr>
          <w:sz w:val="24"/>
          <w:szCs w:val="24"/>
          <w:lang w:val="en-GB"/>
        </w:rPr>
      </w:pPr>
    </w:p>
    <w:tbl>
      <w:tblPr>
        <w:tblStyle w:val="Tabel-Gitter"/>
        <w:tblW w:w="0" w:type="auto"/>
        <w:tblInd w:w="851" w:type="dxa"/>
        <w:tblLook w:val="04A0" w:firstRow="1" w:lastRow="0" w:firstColumn="1" w:lastColumn="0" w:noHBand="0" w:noVBand="1"/>
      </w:tblPr>
      <w:tblGrid>
        <w:gridCol w:w="1403"/>
        <w:gridCol w:w="1522"/>
        <w:gridCol w:w="1403"/>
        <w:gridCol w:w="1523"/>
        <w:gridCol w:w="1403"/>
        <w:gridCol w:w="1523"/>
      </w:tblGrid>
      <w:tr w:rsidR="00D01D29" w:rsidTr="003B4BCE">
        <w:tc>
          <w:tcPr>
            <w:tcW w:w="1629" w:type="dxa"/>
          </w:tcPr>
          <w:p w:rsidR="00D01D29" w:rsidRPr="00656088" w:rsidRDefault="00D01D29" w:rsidP="003B4BCE">
            <w:pPr>
              <w:rPr>
                <w:sz w:val="24"/>
                <w:szCs w:val="24"/>
                <w:lang w:val="en-GB"/>
              </w:rPr>
            </w:pPr>
            <w:r w:rsidRPr="00656088">
              <w:rPr>
                <w:sz w:val="24"/>
                <w:szCs w:val="24"/>
                <w:lang w:val="en-GB"/>
              </w:rPr>
              <w:t>Weight</w:t>
            </w:r>
          </w:p>
          <w:p w:rsidR="00D01D29" w:rsidRDefault="00D01D29" w:rsidP="003B4BCE">
            <w:pPr>
              <w:rPr>
                <w:sz w:val="24"/>
                <w:szCs w:val="24"/>
                <w:lang w:val="en-GB"/>
              </w:rPr>
            </w:pPr>
            <w:r w:rsidRPr="00656088">
              <w:rPr>
                <w:sz w:val="24"/>
                <w:szCs w:val="24"/>
                <w:lang w:val="en-GB"/>
              </w:rPr>
              <w:t>[kg]</w:t>
            </w:r>
          </w:p>
        </w:tc>
        <w:tc>
          <w:tcPr>
            <w:tcW w:w="1629" w:type="dxa"/>
          </w:tcPr>
          <w:p w:rsidR="00D01D29" w:rsidRDefault="00D01D29" w:rsidP="003B4BCE">
            <w:pPr>
              <w:rPr>
                <w:sz w:val="24"/>
                <w:szCs w:val="24"/>
                <w:lang w:val="en-GB"/>
              </w:rPr>
            </w:pPr>
            <w:r w:rsidRPr="00656088">
              <w:rPr>
                <w:sz w:val="24"/>
                <w:szCs w:val="24"/>
                <w:lang w:val="en-GB"/>
              </w:rPr>
              <w:t>Coefficient</w:t>
            </w:r>
          </w:p>
        </w:tc>
        <w:tc>
          <w:tcPr>
            <w:tcW w:w="1630" w:type="dxa"/>
          </w:tcPr>
          <w:p w:rsidR="00D01D29" w:rsidRPr="00656088" w:rsidRDefault="00D01D29" w:rsidP="003B4BCE">
            <w:pPr>
              <w:rPr>
                <w:sz w:val="24"/>
                <w:szCs w:val="24"/>
                <w:lang w:val="en-GB"/>
              </w:rPr>
            </w:pPr>
            <w:r w:rsidRPr="00656088">
              <w:rPr>
                <w:sz w:val="24"/>
                <w:szCs w:val="24"/>
                <w:lang w:val="en-GB"/>
              </w:rPr>
              <w:t>Weight</w:t>
            </w:r>
          </w:p>
          <w:p w:rsidR="00D01D29" w:rsidRDefault="00D01D29" w:rsidP="003B4BCE">
            <w:pPr>
              <w:rPr>
                <w:sz w:val="24"/>
                <w:szCs w:val="24"/>
                <w:lang w:val="en-GB"/>
              </w:rPr>
            </w:pPr>
            <w:r w:rsidRPr="00656088">
              <w:rPr>
                <w:sz w:val="24"/>
                <w:szCs w:val="24"/>
                <w:lang w:val="en-GB"/>
              </w:rPr>
              <w:t>[kg]</w:t>
            </w:r>
          </w:p>
        </w:tc>
        <w:tc>
          <w:tcPr>
            <w:tcW w:w="1630" w:type="dxa"/>
          </w:tcPr>
          <w:p w:rsidR="00D01D29" w:rsidRDefault="00D01D29" w:rsidP="003B4BCE">
            <w:pPr>
              <w:rPr>
                <w:sz w:val="24"/>
                <w:szCs w:val="24"/>
                <w:lang w:val="en-GB"/>
              </w:rPr>
            </w:pPr>
            <w:r w:rsidRPr="00656088">
              <w:rPr>
                <w:sz w:val="24"/>
                <w:szCs w:val="24"/>
                <w:lang w:val="en-GB"/>
              </w:rPr>
              <w:t>Coefficient</w:t>
            </w:r>
          </w:p>
        </w:tc>
        <w:tc>
          <w:tcPr>
            <w:tcW w:w="1630" w:type="dxa"/>
          </w:tcPr>
          <w:p w:rsidR="00D01D29" w:rsidRPr="00656088" w:rsidRDefault="00D01D29" w:rsidP="003B4BCE">
            <w:pPr>
              <w:rPr>
                <w:sz w:val="24"/>
                <w:szCs w:val="24"/>
                <w:lang w:val="en-GB"/>
              </w:rPr>
            </w:pPr>
            <w:r w:rsidRPr="00656088">
              <w:rPr>
                <w:sz w:val="24"/>
                <w:szCs w:val="24"/>
                <w:lang w:val="en-GB"/>
              </w:rPr>
              <w:t>Weight</w:t>
            </w:r>
          </w:p>
          <w:p w:rsidR="00D01D29" w:rsidRDefault="00D01D29" w:rsidP="003B4BCE">
            <w:pPr>
              <w:rPr>
                <w:sz w:val="24"/>
                <w:szCs w:val="24"/>
                <w:lang w:val="en-GB"/>
              </w:rPr>
            </w:pPr>
            <w:r w:rsidRPr="00656088">
              <w:rPr>
                <w:sz w:val="24"/>
                <w:szCs w:val="24"/>
                <w:lang w:val="en-GB"/>
              </w:rPr>
              <w:t>[kg]</w:t>
            </w:r>
          </w:p>
        </w:tc>
        <w:tc>
          <w:tcPr>
            <w:tcW w:w="1630" w:type="dxa"/>
          </w:tcPr>
          <w:p w:rsidR="00D01D29" w:rsidRDefault="00D01D29" w:rsidP="003B4BCE">
            <w:pPr>
              <w:rPr>
                <w:sz w:val="24"/>
                <w:szCs w:val="24"/>
                <w:lang w:val="en-GB"/>
              </w:rPr>
            </w:pPr>
            <w:r w:rsidRPr="00656088">
              <w:rPr>
                <w:sz w:val="24"/>
                <w:szCs w:val="24"/>
                <w:lang w:val="en-GB"/>
              </w:rPr>
              <w:t>Coefficient</w:t>
            </w:r>
          </w:p>
        </w:tc>
      </w:tr>
      <w:tr w:rsidR="00D01D29" w:rsidTr="003B4BCE">
        <w:tc>
          <w:tcPr>
            <w:tcW w:w="1629" w:type="dxa"/>
          </w:tcPr>
          <w:p w:rsidR="00D01D29" w:rsidRDefault="00D01D29" w:rsidP="003B4BCE">
            <w:pPr>
              <w:rPr>
                <w:sz w:val="24"/>
                <w:szCs w:val="24"/>
                <w:lang w:val="en-GB"/>
              </w:rPr>
            </w:pPr>
            <w:r>
              <w:rPr>
                <w:sz w:val="24"/>
                <w:szCs w:val="24"/>
                <w:lang w:val="en-GB"/>
              </w:rPr>
              <w:t>3</w:t>
            </w:r>
          </w:p>
        </w:tc>
        <w:tc>
          <w:tcPr>
            <w:tcW w:w="1629" w:type="dxa"/>
          </w:tcPr>
          <w:p w:rsidR="00D01D29" w:rsidRDefault="00D01D29" w:rsidP="003B4BCE">
            <w:pPr>
              <w:rPr>
                <w:sz w:val="24"/>
                <w:szCs w:val="24"/>
                <w:lang w:val="en-GB"/>
              </w:rPr>
            </w:pPr>
            <w:r>
              <w:rPr>
                <w:sz w:val="24"/>
                <w:szCs w:val="24"/>
                <w:lang w:val="en-GB"/>
              </w:rPr>
              <w:t>1</w:t>
            </w:r>
          </w:p>
        </w:tc>
        <w:tc>
          <w:tcPr>
            <w:tcW w:w="1630" w:type="dxa"/>
          </w:tcPr>
          <w:p w:rsidR="00D01D29" w:rsidRDefault="00D01D29" w:rsidP="003B4BCE">
            <w:pPr>
              <w:rPr>
                <w:sz w:val="24"/>
                <w:szCs w:val="24"/>
                <w:lang w:val="en-GB"/>
              </w:rPr>
            </w:pPr>
            <w:r>
              <w:rPr>
                <w:sz w:val="24"/>
                <w:szCs w:val="24"/>
                <w:lang w:val="en-GB"/>
              </w:rPr>
              <w:t>22</w:t>
            </w:r>
          </w:p>
        </w:tc>
        <w:tc>
          <w:tcPr>
            <w:tcW w:w="1630" w:type="dxa"/>
          </w:tcPr>
          <w:p w:rsidR="00D01D29" w:rsidRDefault="00D01D29" w:rsidP="003B4BCE">
            <w:pPr>
              <w:rPr>
                <w:sz w:val="24"/>
                <w:szCs w:val="24"/>
                <w:lang w:val="en-GB"/>
              </w:rPr>
            </w:pPr>
            <w:r>
              <w:rPr>
                <w:sz w:val="24"/>
                <w:szCs w:val="24"/>
                <w:lang w:val="en-GB"/>
              </w:rPr>
              <w:t>5.29</w:t>
            </w:r>
          </w:p>
        </w:tc>
        <w:tc>
          <w:tcPr>
            <w:tcW w:w="1630" w:type="dxa"/>
          </w:tcPr>
          <w:p w:rsidR="00D01D29" w:rsidRDefault="00D01D29" w:rsidP="003B4BCE">
            <w:pPr>
              <w:rPr>
                <w:sz w:val="24"/>
                <w:szCs w:val="24"/>
                <w:lang w:val="en-GB"/>
              </w:rPr>
            </w:pPr>
            <w:r>
              <w:rPr>
                <w:sz w:val="24"/>
                <w:szCs w:val="24"/>
                <w:lang w:val="en-GB"/>
              </w:rPr>
              <w:t>42</w:t>
            </w:r>
          </w:p>
        </w:tc>
        <w:tc>
          <w:tcPr>
            <w:tcW w:w="1630" w:type="dxa"/>
          </w:tcPr>
          <w:p w:rsidR="00D01D29" w:rsidRDefault="00D01D29" w:rsidP="003B4BCE">
            <w:pPr>
              <w:rPr>
                <w:sz w:val="24"/>
                <w:szCs w:val="24"/>
                <w:lang w:val="en-GB"/>
              </w:rPr>
            </w:pPr>
            <w:r>
              <w:rPr>
                <w:sz w:val="24"/>
                <w:szCs w:val="24"/>
                <w:lang w:val="en-GB"/>
              </w:rPr>
              <w:t>9.14</w:t>
            </w:r>
          </w:p>
        </w:tc>
      </w:tr>
      <w:tr w:rsidR="00D01D29" w:rsidTr="003B4BCE">
        <w:tc>
          <w:tcPr>
            <w:tcW w:w="1629" w:type="dxa"/>
          </w:tcPr>
          <w:p w:rsidR="00D01D29" w:rsidRDefault="00D01D29" w:rsidP="003B4BCE">
            <w:pPr>
              <w:rPr>
                <w:sz w:val="24"/>
                <w:szCs w:val="24"/>
                <w:lang w:val="en-GB"/>
              </w:rPr>
            </w:pPr>
            <w:r>
              <w:rPr>
                <w:sz w:val="24"/>
                <w:szCs w:val="24"/>
                <w:lang w:val="en-GB"/>
              </w:rPr>
              <w:t>4</w:t>
            </w:r>
          </w:p>
        </w:tc>
        <w:tc>
          <w:tcPr>
            <w:tcW w:w="1629" w:type="dxa"/>
          </w:tcPr>
          <w:p w:rsidR="00D01D29" w:rsidRDefault="00D01D29" w:rsidP="003B4BCE">
            <w:pPr>
              <w:rPr>
                <w:sz w:val="24"/>
                <w:szCs w:val="24"/>
                <w:lang w:val="en-GB"/>
              </w:rPr>
            </w:pPr>
            <w:r>
              <w:rPr>
                <w:sz w:val="24"/>
                <w:szCs w:val="24"/>
                <w:lang w:val="en-GB"/>
              </w:rPr>
              <w:t>1.14</w:t>
            </w:r>
          </w:p>
        </w:tc>
        <w:tc>
          <w:tcPr>
            <w:tcW w:w="1630" w:type="dxa"/>
          </w:tcPr>
          <w:p w:rsidR="00D01D29" w:rsidRDefault="00D01D29" w:rsidP="003B4BCE">
            <w:pPr>
              <w:rPr>
                <w:sz w:val="24"/>
                <w:szCs w:val="24"/>
                <w:lang w:val="en-GB"/>
              </w:rPr>
            </w:pPr>
            <w:r>
              <w:rPr>
                <w:sz w:val="24"/>
                <w:szCs w:val="24"/>
                <w:lang w:val="en-GB"/>
              </w:rPr>
              <w:t>24</w:t>
            </w:r>
          </w:p>
        </w:tc>
        <w:tc>
          <w:tcPr>
            <w:tcW w:w="1630" w:type="dxa"/>
          </w:tcPr>
          <w:p w:rsidR="00D01D29" w:rsidRDefault="00D01D29" w:rsidP="003B4BCE">
            <w:pPr>
              <w:rPr>
                <w:sz w:val="24"/>
                <w:szCs w:val="24"/>
                <w:lang w:val="en-GB"/>
              </w:rPr>
            </w:pPr>
            <w:r>
              <w:rPr>
                <w:sz w:val="24"/>
                <w:szCs w:val="24"/>
                <w:lang w:val="en-GB"/>
              </w:rPr>
              <w:t>5.71</w:t>
            </w:r>
          </w:p>
        </w:tc>
        <w:tc>
          <w:tcPr>
            <w:tcW w:w="1630" w:type="dxa"/>
          </w:tcPr>
          <w:p w:rsidR="00D01D29" w:rsidRDefault="00D01D29" w:rsidP="003B4BCE">
            <w:pPr>
              <w:rPr>
                <w:sz w:val="24"/>
                <w:szCs w:val="24"/>
                <w:lang w:val="en-GB"/>
              </w:rPr>
            </w:pPr>
            <w:r>
              <w:rPr>
                <w:sz w:val="24"/>
                <w:szCs w:val="24"/>
                <w:lang w:val="en-GB"/>
              </w:rPr>
              <w:t>44</w:t>
            </w:r>
          </w:p>
        </w:tc>
        <w:tc>
          <w:tcPr>
            <w:tcW w:w="1630" w:type="dxa"/>
          </w:tcPr>
          <w:p w:rsidR="00D01D29" w:rsidRDefault="00D01D29" w:rsidP="003B4BCE">
            <w:pPr>
              <w:rPr>
                <w:sz w:val="24"/>
                <w:szCs w:val="24"/>
                <w:lang w:val="en-GB"/>
              </w:rPr>
            </w:pPr>
            <w:r>
              <w:rPr>
                <w:sz w:val="24"/>
                <w:szCs w:val="24"/>
                <w:lang w:val="en-GB"/>
              </w:rPr>
              <w:t>9.57</w:t>
            </w:r>
          </w:p>
        </w:tc>
      </w:tr>
      <w:tr w:rsidR="00D01D29" w:rsidTr="003B4BCE">
        <w:tc>
          <w:tcPr>
            <w:tcW w:w="1629" w:type="dxa"/>
          </w:tcPr>
          <w:p w:rsidR="00D01D29" w:rsidRDefault="00D01D29" w:rsidP="003B4BCE">
            <w:pPr>
              <w:rPr>
                <w:sz w:val="24"/>
                <w:szCs w:val="24"/>
                <w:lang w:val="en-GB"/>
              </w:rPr>
            </w:pPr>
            <w:r>
              <w:rPr>
                <w:sz w:val="24"/>
                <w:szCs w:val="24"/>
                <w:lang w:val="en-GB"/>
              </w:rPr>
              <w:t>6</w:t>
            </w:r>
          </w:p>
        </w:tc>
        <w:tc>
          <w:tcPr>
            <w:tcW w:w="1629" w:type="dxa"/>
          </w:tcPr>
          <w:p w:rsidR="00D01D29" w:rsidRDefault="00D01D29" w:rsidP="003B4BCE">
            <w:pPr>
              <w:rPr>
                <w:sz w:val="24"/>
                <w:szCs w:val="24"/>
                <w:lang w:val="en-GB"/>
              </w:rPr>
            </w:pPr>
            <w:r>
              <w:rPr>
                <w:sz w:val="24"/>
                <w:szCs w:val="24"/>
                <w:lang w:val="en-GB"/>
              </w:rPr>
              <w:t>1.71</w:t>
            </w:r>
          </w:p>
        </w:tc>
        <w:tc>
          <w:tcPr>
            <w:tcW w:w="1630" w:type="dxa"/>
          </w:tcPr>
          <w:p w:rsidR="00D01D29" w:rsidRDefault="00D01D29" w:rsidP="003B4BCE">
            <w:pPr>
              <w:rPr>
                <w:sz w:val="24"/>
                <w:szCs w:val="24"/>
                <w:lang w:val="en-GB"/>
              </w:rPr>
            </w:pPr>
            <w:r>
              <w:rPr>
                <w:sz w:val="24"/>
                <w:szCs w:val="24"/>
                <w:lang w:val="en-GB"/>
              </w:rPr>
              <w:t>26</w:t>
            </w:r>
          </w:p>
        </w:tc>
        <w:tc>
          <w:tcPr>
            <w:tcW w:w="1630" w:type="dxa"/>
          </w:tcPr>
          <w:p w:rsidR="00D01D29" w:rsidRDefault="00D01D29" w:rsidP="003B4BCE">
            <w:pPr>
              <w:rPr>
                <w:sz w:val="24"/>
                <w:szCs w:val="24"/>
                <w:lang w:val="en-GB"/>
              </w:rPr>
            </w:pPr>
            <w:r>
              <w:rPr>
                <w:sz w:val="24"/>
                <w:szCs w:val="24"/>
                <w:lang w:val="en-GB"/>
              </w:rPr>
              <w:t>6.14</w:t>
            </w:r>
          </w:p>
        </w:tc>
        <w:tc>
          <w:tcPr>
            <w:tcW w:w="1630" w:type="dxa"/>
          </w:tcPr>
          <w:p w:rsidR="00D01D29" w:rsidRDefault="00D01D29" w:rsidP="003B4BCE">
            <w:pPr>
              <w:rPr>
                <w:sz w:val="24"/>
                <w:szCs w:val="24"/>
                <w:lang w:val="en-GB"/>
              </w:rPr>
            </w:pPr>
            <w:r>
              <w:rPr>
                <w:sz w:val="24"/>
                <w:szCs w:val="24"/>
                <w:lang w:val="en-GB"/>
              </w:rPr>
              <w:t>46</w:t>
            </w:r>
          </w:p>
        </w:tc>
        <w:tc>
          <w:tcPr>
            <w:tcW w:w="1630" w:type="dxa"/>
          </w:tcPr>
          <w:p w:rsidR="00D01D29" w:rsidRDefault="00D01D29" w:rsidP="003B4BCE">
            <w:pPr>
              <w:rPr>
                <w:sz w:val="24"/>
                <w:szCs w:val="24"/>
                <w:lang w:val="en-GB"/>
              </w:rPr>
            </w:pPr>
            <w:r>
              <w:rPr>
                <w:sz w:val="24"/>
                <w:szCs w:val="24"/>
                <w:lang w:val="en-GB"/>
              </w:rPr>
              <w:t>10.00</w:t>
            </w:r>
          </w:p>
        </w:tc>
      </w:tr>
      <w:tr w:rsidR="00D01D29" w:rsidTr="003B4BCE">
        <w:tc>
          <w:tcPr>
            <w:tcW w:w="1629" w:type="dxa"/>
          </w:tcPr>
          <w:p w:rsidR="00D01D29" w:rsidRDefault="00D01D29" w:rsidP="003B4BCE">
            <w:pPr>
              <w:rPr>
                <w:sz w:val="24"/>
                <w:szCs w:val="24"/>
                <w:lang w:val="en-GB"/>
              </w:rPr>
            </w:pPr>
            <w:r>
              <w:rPr>
                <w:sz w:val="24"/>
                <w:szCs w:val="24"/>
                <w:lang w:val="en-GB"/>
              </w:rPr>
              <w:t>8</w:t>
            </w:r>
          </w:p>
        </w:tc>
        <w:tc>
          <w:tcPr>
            <w:tcW w:w="1629" w:type="dxa"/>
          </w:tcPr>
          <w:p w:rsidR="00D01D29" w:rsidRDefault="00D01D29" w:rsidP="003B4BCE">
            <w:pPr>
              <w:rPr>
                <w:sz w:val="24"/>
                <w:szCs w:val="24"/>
                <w:lang w:val="en-GB"/>
              </w:rPr>
            </w:pPr>
            <w:r>
              <w:rPr>
                <w:sz w:val="24"/>
                <w:szCs w:val="24"/>
                <w:lang w:val="en-GB"/>
              </w:rPr>
              <w:t>2.14</w:t>
            </w:r>
          </w:p>
        </w:tc>
        <w:tc>
          <w:tcPr>
            <w:tcW w:w="1630" w:type="dxa"/>
          </w:tcPr>
          <w:p w:rsidR="00D01D29" w:rsidRDefault="00D01D29" w:rsidP="003B4BCE">
            <w:pPr>
              <w:rPr>
                <w:sz w:val="24"/>
                <w:szCs w:val="24"/>
                <w:lang w:val="en-GB"/>
              </w:rPr>
            </w:pPr>
            <w:r>
              <w:rPr>
                <w:sz w:val="24"/>
                <w:szCs w:val="24"/>
                <w:lang w:val="en-GB"/>
              </w:rPr>
              <w:t>28</w:t>
            </w:r>
          </w:p>
        </w:tc>
        <w:tc>
          <w:tcPr>
            <w:tcW w:w="1630" w:type="dxa"/>
          </w:tcPr>
          <w:p w:rsidR="00D01D29" w:rsidRDefault="00D01D29" w:rsidP="003B4BCE">
            <w:pPr>
              <w:rPr>
                <w:sz w:val="24"/>
                <w:szCs w:val="24"/>
                <w:lang w:val="en-GB"/>
              </w:rPr>
            </w:pPr>
            <w:r>
              <w:rPr>
                <w:sz w:val="24"/>
                <w:szCs w:val="24"/>
                <w:lang w:val="en-GB"/>
              </w:rPr>
              <w:t>6.43</w:t>
            </w:r>
          </w:p>
        </w:tc>
        <w:tc>
          <w:tcPr>
            <w:tcW w:w="1630" w:type="dxa"/>
          </w:tcPr>
          <w:p w:rsidR="00D01D29" w:rsidRDefault="00D01D29" w:rsidP="003B4BCE">
            <w:pPr>
              <w:rPr>
                <w:sz w:val="24"/>
                <w:szCs w:val="24"/>
                <w:lang w:val="en-GB"/>
              </w:rPr>
            </w:pPr>
            <w:r>
              <w:rPr>
                <w:sz w:val="24"/>
                <w:szCs w:val="24"/>
                <w:lang w:val="en-GB"/>
              </w:rPr>
              <w:t>48</w:t>
            </w:r>
          </w:p>
        </w:tc>
        <w:tc>
          <w:tcPr>
            <w:tcW w:w="1630" w:type="dxa"/>
          </w:tcPr>
          <w:p w:rsidR="00D01D29" w:rsidRDefault="00D01D29" w:rsidP="003B4BCE">
            <w:pPr>
              <w:rPr>
                <w:sz w:val="24"/>
                <w:szCs w:val="24"/>
                <w:lang w:val="en-GB"/>
              </w:rPr>
            </w:pPr>
            <w:r>
              <w:rPr>
                <w:sz w:val="24"/>
                <w:szCs w:val="24"/>
                <w:lang w:val="en-GB"/>
              </w:rPr>
              <w:t>10.29</w:t>
            </w:r>
          </w:p>
        </w:tc>
      </w:tr>
      <w:tr w:rsidR="00D01D29" w:rsidTr="003B4BCE">
        <w:tc>
          <w:tcPr>
            <w:tcW w:w="1629" w:type="dxa"/>
          </w:tcPr>
          <w:p w:rsidR="00D01D29" w:rsidRDefault="00D01D29" w:rsidP="003B4BCE">
            <w:pPr>
              <w:rPr>
                <w:sz w:val="24"/>
                <w:szCs w:val="24"/>
                <w:lang w:val="en-GB"/>
              </w:rPr>
            </w:pPr>
            <w:r>
              <w:rPr>
                <w:sz w:val="24"/>
                <w:szCs w:val="24"/>
                <w:lang w:val="en-GB"/>
              </w:rPr>
              <w:t>10</w:t>
            </w:r>
          </w:p>
        </w:tc>
        <w:tc>
          <w:tcPr>
            <w:tcW w:w="1629" w:type="dxa"/>
          </w:tcPr>
          <w:p w:rsidR="00D01D29" w:rsidRDefault="00D01D29" w:rsidP="003B4BCE">
            <w:pPr>
              <w:rPr>
                <w:sz w:val="24"/>
                <w:szCs w:val="24"/>
                <w:lang w:val="en-GB"/>
              </w:rPr>
            </w:pPr>
            <w:r>
              <w:rPr>
                <w:sz w:val="24"/>
                <w:szCs w:val="24"/>
                <w:lang w:val="en-GB"/>
              </w:rPr>
              <w:t>2.71</w:t>
            </w:r>
          </w:p>
        </w:tc>
        <w:tc>
          <w:tcPr>
            <w:tcW w:w="1630" w:type="dxa"/>
          </w:tcPr>
          <w:p w:rsidR="00D01D29" w:rsidRDefault="00D01D29" w:rsidP="003B4BCE">
            <w:pPr>
              <w:rPr>
                <w:sz w:val="24"/>
                <w:szCs w:val="24"/>
                <w:lang w:val="en-GB"/>
              </w:rPr>
            </w:pPr>
            <w:r>
              <w:rPr>
                <w:sz w:val="24"/>
                <w:szCs w:val="24"/>
                <w:lang w:val="en-GB"/>
              </w:rPr>
              <w:t>30</w:t>
            </w:r>
          </w:p>
        </w:tc>
        <w:tc>
          <w:tcPr>
            <w:tcW w:w="1630" w:type="dxa"/>
          </w:tcPr>
          <w:p w:rsidR="00D01D29" w:rsidRDefault="00D01D29" w:rsidP="003B4BCE">
            <w:pPr>
              <w:rPr>
                <w:sz w:val="24"/>
                <w:szCs w:val="24"/>
                <w:lang w:val="en-GB"/>
              </w:rPr>
            </w:pPr>
            <w:r>
              <w:rPr>
                <w:sz w:val="24"/>
                <w:szCs w:val="24"/>
                <w:lang w:val="en-GB"/>
              </w:rPr>
              <w:t>6.86</w:t>
            </w:r>
          </w:p>
        </w:tc>
        <w:tc>
          <w:tcPr>
            <w:tcW w:w="1630" w:type="dxa"/>
          </w:tcPr>
          <w:p w:rsidR="00D01D29" w:rsidRDefault="00D01D29" w:rsidP="003B4BCE">
            <w:pPr>
              <w:rPr>
                <w:sz w:val="24"/>
                <w:szCs w:val="24"/>
                <w:lang w:val="en-GB"/>
              </w:rPr>
            </w:pPr>
            <w:r>
              <w:rPr>
                <w:sz w:val="24"/>
                <w:szCs w:val="24"/>
                <w:lang w:val="en-GB"/>
              </w:rPr>
              <w:t>50</w:t>
            </w:r>
          </w:p>
        </w:tc>
        <w:tc>
          <w:tcPr>
            <w:tcW w:w="1630" w:type="dxa"/>
          </w:tcPr>
          <w:p w:rsidR="00D01D29" w:rsidRDefault="00D01D29" w:rsidP="003B4BCE">
            <w:pPr>
              <w:rPr>
                <w:sz w:val="24"/>
                <w:szCs w:val="24"/>
                <w:lang w:val="en-GB"/>
              </w:rPr>
            </w:pPr>
            <w:r>
              <w:rPr>
                <w:sz w:val="24"/>
                <w:szCs w:val="24"/>
                <w:lang w:val="en-GB"/>
              </w:rPr>
              <w:t>10.71</w:t>
            </w:r>
          </w:p>
        </w:tc>
      </w:tr>
      <w:tr w:rsidR="00D01D29" w:rsidTr="003B4BCE">
        <w:tc>
          <w:tcPr>
            <w:tcW w:w="1629" w:type="dxa"/>
          </w:tcPr>
          <w:p w:rsidR="00D01D29" w:rsidRDefault="00D01D29" w:rsidP="003B4BCE">
            <w:pPr>
              <w:rPr>
                <w:sz w:val="24"/>
                <w:szCs w:val="24"/>
                <w:lang w:val="en-GB"/>
              </w:rPr>
            </w:pPr>
            <w:r>
              <w:rPr>
                <w:sz w:val="24"/>
                <w:szCs w:val="24"/>
                <w:lang w:val="en-GB"/>
              </w:rPr>
              <w:t>12</w:t>
            </w:r>
          </w:p>
        </w:tc>
        <w:tc>
          <w:tcPr>
            <w:tcW w:w="1629" w:type="dxa"/>
          </w:tcPr>
          <w:p w:rsidR="00D01D29" w:rsidRDefault="00D01D29" w:rsidP="003B4BCE">
            <w:pPr>
              <w:rPr>
                <w:sz w:val="24"/>
                <w:szCs w:val="24"/>
                <w:lang w:val="en-GB"/>
              </w:rPr>
            </w:pPr>
            <w:r>
              <w:rPr>
                <w:sz w:val="24"/>
                <w:szCs w:val="24"/>
                <w:lang w:val="en-GB"/>
              </w:rPr>
              <w:t>3.14</w:t>
            </w:r>
          </w:p>
        </w:tc>
        <w:tc>
          <w:tcPr>
            <w:tcW w:w="1630" w:type="dxa"/>
          </w:tcPr>
          <w:p w:rsidR="00D01D29" w:rsidRDefault="00D01D29" w:rsidP="003B4BCE">
            <w:pPr>
              <w:rPr>
                <w:sz w:val="24"/>
                <w:szCs w:val="24"/>
                <w:lang w:val="en-GB"/>
              </w:rPr>
            </w:pPr>
            <w:r>
              <w:rPr>
                <w:sz w:val="24"/>
                <w:szCs w:val="24"/>
                <w:lang w:val="en-GB"/>
              </w:rPr>
              <w:t>32</w:t>
            </w:r>
          </w:p>
        </w:tc>
        <w:tc>
          <w:tcPr>
            <w:tcW w:w="1630" w:type="dxa"/>
          </w:tcPr>
          <w:p w:rsidR="00D01D29" w:rsidRDefault="00D01D29" w:rsidP="003B4BCE">
            <w:pPr>
              <w:rPr>
                <w:sz w:val="24"/>
                <w:szCs w:val="24"/>
                <w:lang w:val="en-GB"/>
              </w:rPr>
            </w:pPr>
            <w:r>
              <w:rPr>
                <w:sz w:val="24"/>
                <w:szCs w:val="24"/>
                <w:lang w:val="en-GB"/>
              </w:rPr>
              <w:t>7.29</w:t>
            </w:r>
          </w:p>
        </w:tc>
        <w:tc>
          <w:tcPr>
            <w:tcW w:w="1630" w:type="dxa"/>
          </w:tcPr>
          <w:p w:rsidR="00D01D29" w:rsidRDefault="00D01D29" w:rsidP="003B4BCE">
            <w:pPr>
              <w:rPr>
                <w:sz w:val="24"/>
                <w:szCs w:val="24"/>
                <w:lang w:val="en-GB"/>
              </w:rPr>
            </w:pPr>
            <w:r>
              <w:rPr>
                <w:sz w:val="24"/>
                <w:szCs w:val="24"/>
                <w:lang w:val="en-GB"/>
              </w:rPr>
              <w:t>52-54</w:t>
            </w:r>
          </w:p>
        </w:tc>
        <w:tc>
          <w:tcPr>
            <w:tcW w:w="1630" w:type="dxa"/>
          </w:tcPr>
          <w:p w:rsidR="00D01D29" w:rsidRDefault="00D01D29" w:rsidP="003B4BCE">
            <w:pPr>
              <w:rPr>
                <w:sz w:val="24"/>
                <w:szCs w:val="24"/>
                <w:lang w:val="en-GB"/>
              </w:rPr>
            </w:pPr>
            <w:r>
              <w:rPr>
                <w:sz w:val="24"/>
                <w:szCs w:val="24"/>
                <w:lang w:val="en-GB"/>
              </w:rPr>
              <w:t>11.29</w:t>
            </w:r>
          </w:p>
        </w:tc>
      </w:tr>
      <w:tr w:rsidR="00D01D29" w:rsidTr="003B4BCE">
        <w:tc>
          <w:tcPr>
            <w:tcW w:w="1629" w:type="dxa"/>
          </w:tcPr>
          <w:p w:rsidR="00D01D29" w:rsidRDefault="00D01D29" w:rsidP="003B4BCE">
            <w:pPr>
              <w:rPr>
                <w:sz w:val="24"/>
                <w:szCs w:val="24"/>
                <w:lang w:val="en-GB"/>
              </w:rPr>
            </w:pPr>
            <w:r>
              <w:rPr>
                <w:sz w:val="24"/>
                <w:szCs w:val="24"/>
                <w:lang w:val="en-GB"/>
              </w:rPr>
              <w:t>14</w:t>
            </w:r>
          </w:p>
        </w:tc>
        <w:tc>
          <w:tcPr>
            <w:tcW w:w="1629" w:type="dxa"/>
          </w:tcPr>
          <w:p w:rsidR="00D01D29" w:rsidRDefault="00D01D29" w:rsidP="003B4BCE">
            <w:pPr>
              <w:rPr>
                <w:sz w:val="24"/>
                <w:szCs w:val="24"/>
                <w:lang w:val="en-GB"/>
              </w:rPr>
            </w:pPr>
            <w:r>
              <w:rPr>
                <w:sz w:val="24"/>
                <w:szCs w:val="24"/>
                <w:lang w:val="en-GB"/>
              </w:rPr>
              <w:t>3.57</w:t>
            </w:r>
          </w:p>
        </w:tc>
        <w:tc>
          <w:tcPr>
            <w:tcW w:w="1630" w:type="dxa"/>
          </w:tcPr>
          <w:p w:rsidR="00D01D29" w:rsidRDefault="00D01D29" w:rsidP="003B4BCE">
            <w:pPr>
              <w:rPr>
                <w:sz w:val="24"/>
                <w:szCs w:val="24"/>
                <w:lang w:val="en-GB"/>
              </w:rPr>
            </w:pPr>
            <w:r>
              <w:rPr>
                <w:sz w:val="24"/>
                <w:szCs w:val="24"/>
                <w:lang w:val="en-GB"/>
              </w:rPr>
              <w:t>34</w:t>
            </w:r>
          </w:p>
        </w:tc>
        <w:tc>
          <w:tcPr>
            <w:tcW w:w="1630" w:type="dxa"/>
          </w:tcPr>
          <w:p w:rsidR="00D01D29" w:rsidRDefault="00D01D29" w:rsidP="003B4BCE">
            <w:pPr>
              <w:rPr>
                <w:sz w:val="24"/>
                <w:szCs w:val="24"/>
                <w:lang w:val="en-GB"/>
              </w:rPr>
            </w:pPr>
            <w:r>
              <w:rPr>
                <w:sz w:val="24"/>
                <w:szCs w:val="24"/>
                <w:lang w:val="en-GB"/>
              </w:rPr>
              <w:t>7.72</w:t>
            </w:r>
          </w:p>
        </w:tc>
        <w:tc>
          <w:tcPr>
            <w:tcW w:w="1630" w:type="dxa"/>
          </w:tcPr>
          <w:p w:rsidR="00D01D29" w:rsidRDefault="00D01D29" w:rsidP="003B4BCE">
            <w:pPr>
              <w:rPr>
                <w:sz w:val="24"/>
                <w:szCs w:val="24"/>
                <w:lang w:val="en-GB"/>
              </w:rPr>
            </w:pPr>
            <w:r>
              <w:rPr>
                <w:sz w:val="24"/>
                <w:szCs w:val="24"/>
                <w:lang w:val="en-GB"/>
              </w:rPr>
              <w:t>56-58</w:t>
            </w:r>
          </w:p>
        </w:tc>
        <w:tc>
          <w:tcPr>
            <w:tcW w:w="1630" w:type="dxa"/>
          </w:tcPr>
          <w:p w:rsidR="00D01D29" w:rsidRDefault="00D01D29" w:rsidP="003B4BCE">
            <w:pPr>
              <w:rPr>
                <w:sz w:val="24"/>
                <w:szCs w:val="24"/>
                <w:lang w:val="en-GB"/>
              </w:rPr>
            </w:pPr>
            <w:r>
              <w:rPr>
                <w:sz w:val="24"/>
                <w:szCs w:val="24"/>
                <w:lang w:val="en-GB"/>
              </w:rPr>
              <w:t>12.00</w:t>
            </w:r>
          </w:p>
        </w:tc>
      </w:tr>
      <w:tr w:rsidR="00D01D29" w:rsidTr="003B4BCE">
        <w:tc>
          <w:tcPr>
            <w:tcW w:w="1629" w:type="dxa"/>
          </w:tcPr>
          <w:p w:rsidR="00D01D29" w:rsidRDefault="00D01D29" w:rsidP="003B4BCE">
            <w:pPr>
              <w:rPr>
                <w:sz w:val="24"/>
                <w:szCs w:val="24"/>
                <w:lang w:val="en-GB"/>
              </w:rPr>
            </w:pPr>
            <w:r>
              <w:rPr>
                <w:sz w:val="24"/>
                <w:szCs w:val="24"/>
                <w:lang w:val="en-GB"/>
              </w:rPr>
              <w:t>16</w:t>
            </w:r>
          </w:p>
        </w:tc>
        <w:tc>
          <w:tcPr>
            <w:tcW w:w="1629" w:type="dxa"/>
          </w:tcPr>
          <w:p w:rsidR="00D01D29" w:rsidRDefault="00D01D29" w:rsidP="003B4BCE">
            <w:pPr>
              <w:rPr>
                <w:sz w:val="24"/>
                <w:szCs w:val="24"/>
                <w:lang w:val="en-GB"/>
              </w:rPr>
            </w:pPr>
            <w:r>
              <w:rPr>
                <w:sz w:val="24"/>
                <w:szCs w:val="24"/>
                <w:lang w:val="en-GB"/>
              </w:rPr>
              <w:t>4.00</w:t>
            </w:r>
          </w:p>
        </w:tc>
        <w:tc>
          <w:tcPr>
            <w:tcW w:w="1630" w:type="dxa"/>
          </w:tcPr>
          <w:p w:rsidR="00D01D29" w:rsidRDefault="00D01D29" w:rsidP="003B4BCE">
            <w:pPr>
              <w:rPr>
                <w:sz w:val="24"/>
                <w:szCs w:val="24"/>
                <w:lang w:val="en-GB"/>
              </w:rPr>
            </w:pPr>
            <w:r>
              <w:rPr>
                <w:sz w:val="24"/>
                <w:szCs w:val="24"/>
                <w:lang w:val="en-GB"/>
              </w:rPr>
              <w:t>36</w:t>
            </w:r>
          </w:p>
        </w:tc>
        <w:tc>
          <w:tcPr>
            <w:tcW w:w="1630" w:type="dxa"/>
          </w:tcPr>
          <w:p w:rsidR="00D01D29" w:rsidRDefault="00D01D29" w:rsidP="003B4BCE">
            <w:pPr>
              <w:rPr>
                <w:sz w:val="24"/>
                <w:szCs w:val="24"/>
                <w:lang w:val="en-GB"/>
              </w:rPr>
            </w:pPr>
            <w:r>
              <w:rPr>
                <w:sz w:val="24"/>
                <w:szCs w:val="24"/>
                <w:lang w:val="en-GB"/>
              </w:rPr>
              <w:t>8.00</w:t>
            </w:r>
          </w:p>
        </w:tc>
        <w:tc>
          <w:tcPr>
            <w:tcW w:w="1630" w:type="dxa"/>
          </w:tcPr>
          <w:p w:rsidR="00D01D29" w:rsidRDefault="00D01D29" w:rsidP="003B4BCE">
            <w:pPr>
              <w:rPr>
                <w:sz w:val="24"/>
                <w:szCs w:val="24"/>
                <w:lang w:val="en-GB"/>
              </w:rPr>
            </w:pPr>
            <w:r>
              <w:rPr>
                <w:sz w:val="24"/>
                <w:szCs w:val="24"/>
                <w:lang w:val="en-GB"/>
              </w:rPr>
              <w:t>60-62</w:t>
            </w:r>
          </w:p>
        </w:tc>
        <w:tc>
          <w:tcPr>
            <w:tcW w:w="1630" w:type="dxa"/>
          </w:tcPr>
          <w:p w:rsidR="00D01D29" w:rsidRDefault="00D01D29" w:rsidP="003B4BCE">
            <w:pPr>
              <w:rPr>
                <w:sz w:val="24"/>
                <w:szCs w:val="24"/>
                <w:lang w:val="en-GB"/>
              </w:rPr>
            </w:pPr>
            <w:r>
              <w:rPr>
                <w:sz w:val="24"/>
                <w:szCs w:val="24"/>
                <w:lang w:val="en-GB"/>
              </w:rPr>
              <w:t>12.71</w:t>
            </w:r>
          </w:p>
        </w:tc>
      </w:tr>
      <w:tr w:rsidR="00D01D29" w:rsidTr="003B4BCE">
        <w:tc>
          <w:tcPr>
            <w:tcW w:w="1629" w:type="dxa"/>
          </w:tcPr>
          <w:p w:rsidR="00D01D29" w:rsidRDefault="00D01D29" w:rsidP="003B4BCE">
            <w:pPr>
              <w:rPr>
                <w:sz w:val="24"/>
                <w:szCs w:val="24"/>
                <w:lang w:val="en-GB"/>
              </w:rPr>
            </w:pPr>
            <w:r>
              <w:rPr>
                <w:sz w:val="24"/>
                <w:szCs w:val="24"/>
                <w:lang w:val="en-GB"/>
              </w:rPr>
              <w:t>18</w:t>
            </w:r>
          </w:p>
        </w:tc>
        <w:tc>
          <w:tcPr>
            <w:tcW w:w="1629" w:type="dxa"/>
          </w:tcPr>
          <w:p w:rsidR="00D01D29" w:rsidRDefault="00D01D29" w:rsidP="003B4BCE">
            <w:pPr>
              <w:rPr>
                <w:sz w:val="24"/>
                <w:szCs w:val="24"/>
                <w:lang w:val="en-GB"/>
              </w:rPr>
            </w:pPr>
            <w:r>
              <w:rPr>
                <w:sz w:val="24"/>
                <w:szCs w:val="24"/>
                <w:lang w:val="en-GB"/>
              </w:rPr>
              <w:t>4.43</w:t>
            </w:r>
          </w:p>
        </w:tc>
        <w:tc>
          <w:tcPr>
            <w:tcW w:w="1630" w:type="dxa"/>
          </w:tcPr>
          <w:p w:rsidR="00D01D29" w:rsidRDefault="00D01D29" w:rsidP="003B4BCE">
            <w:pPr>
              <w:rPr>
                <w:sz w:val="24"/>
                <w:szCs w:val="24"/>
                <w:lang w:val="en-GB"/>
              </w:rPr>
            </w:pPr>
            <w:r>
              <w:rPr>
                <w:sz w:val="24"/>
                <w:szCs w:val="24"/>
                <w:lang w:val="en-GB"/>
              </w:rPr>
              <w:t>38</w:t>
            </w:r>
          </w:p>
        </w:tc>
        <w:tc>
          <w:tcPr>
            <w:tcW w:w="1630" w:type="dxa"/>
          </w:tcPr>
          <w:p w:rsidR="00D01D29" w:rsidRDefault="00D01D29" w:rsidP="003B4BCE">
            <w:pPr>
              <w:rPr>
                <w:sz w:val="24"/>
                <w:szCs w:val="24"/>
                <w:lang w:val="en-GB"/>
              </w:rPr>
            </w:pPr>
            <w:r>
              <w:rPr>
                <w:sz w:val="24"/>
                <w:szCs w:val="24"/>
                <w:lang w:val="en-GB"/>
              </w:rPr>
              <w:t>8.43</w:t>
            </w:r>
          </w:p>
        </w:tc>
        <w:tc>
          <w:tcPr>
            <w:tcW w:w="1630" w:type="dxa"/>
          </w:tcPr>
          <w:p w:rsidR="00D01D29" w:rsidRDefault="00D01D29" w:rsidP="003B4BCE">
            <w:pPr>
              <w:rPr>
                <w:sz w:val="24"/>
                <w:szCs w:val="24"/>
                <w:lang w:val="en-GB"/>
              </w:rPr>
            </w:pPr>
            <w:r>
              <w:rPr>
                <w:sz w:val="24"/>
                <w:szCs w:val="24"/>
                <w:lang w:val="en-GB"/>
              </w:rPr>
              <w:t>64-66</w:t>
            </w:r>
          </w:p>
        </w:tc>
        <w:tc>
          <w:tcPr>
            <w:tcW w:w="1630" w:type="dxa"/>
          </w:tcPr>
          <w:p w:rsidR="00D01D29" w:rsidRDefault="00D01D29" w:rsidP="003B4BCE">
            <w:pPr>
              <w:rPr>
                <w:sz w:val="24"/>
                <w:szCs w:val="24"/>
                <w:lang w:val="en-GB"/>
              </w:rPr>
            </w:pPr>
            <w:r>
              <w:rPr>
                <w:sz w:val="24"/>
                <w:szCs w:val="24"/>
                <w:lang w:val="en-GB"/>
              </w:rPr>
              <w:t>13.43</w:t>
            </w:r>
          </w:p>
        </w:tc>
      </w:tr>
      <w:tr w:rsidR="00D01D29" w:rsidTr="003B4BCE">
        <w:tc>
          <w:tcPr>
            <w:tcW w:w="1629" w:type="dxa"/>
          </w:tcPr>
          <w:p w:rsidR="00D01D29" w:rsidRDefault="00D01D29" w:rsidP="003B4BCE">
            <w:pPr>
              <w:rPr>
                <w:sz w:val="24"/>
                <w:szCs w:val="24"/>
                <w:lang w:val="en-GB"/>
              </w:rPr>
            </w:pPr>
            <w:r>
              <w:rPr>
                <w:sz w:val="24"/>
                <w:szCs w:val="24"/>
                <w:lang w:val="en-GB"/>
              </w:rPr>
              <w:t>20</w:t>
            </w:r>
          </w:p>
        </w:tc>
        <w:tc>
          <w:tcPr>
            <w:tcW w:w="1629" w:type="dxa"/>
          </w:tcPr>
          <w:p w:rsidR="00D01D29" w:rsidRDefault="00D01D29" w:rsidP="003B4BCE">
            <w:pPr>
              <w:rPr>
                <w:sz w:val="24"/>
                <w:szCs w:val="24"/>
                <w:lang w:val="en-GB"/>
              </w:rPr>
            </w:pPr>
            <w:r>
              <w:rPr>
                <w:sz w:val="24"/>
                <w:szCs w:val="24"/>
                <w:lang w:val="en-GB"/>
              </w:rPr>
              <w:t>4.86</w:t>
            </w:r>
          </w:p>
        </w:tc>
        <w:tc>
          <w:tcPr>
            <w:tcW w:w="1630" w:type="dxa"/>
          </w:tcPr>
          <w:p w:rsidR="00D01D29" w:rsidRDefault="00D01D29" w:rsidP="003B4BCE">
            <w:pPr>
              <w:rPr>
                <w:sz w:val="24"/>
                <w:szCs w:val="24"/>
                <w:lang w:val="en-GB"/>
              </w:rPr>
            </w:pPr>
            <w:r>
              <w:rPr>
                <w:sz w:val="24"/>
                <w:szCs w:val="24"/>
                <w:lang w:val="en-GB"/>
              </w:rPr>
              <w:t>40</w:t>
            </w:r>
          </w:p>
        </w:tc>
        <w:tc>
          <w:tcPr>
            <w:tcW w:w="1630" w:type="dxa"/>
          </w:tcPr>
          <w:p w:rsidR="00D01D29" w:rsidRDefault="00D01D29" w:rsidP="003B4BCE">
            <w:pPr>
              <w:rPr>
                <w:sz w:val="24"/>
                <w:szCs w:val="24"/>
                <w:lang w:val="en-GB"/>
              </w:rPr>
            </w:pPr>
            <w:r>
              <w:rPr>
                <w:sz w:val="24"/>
                <w:szCs w:val="24"/>
                <w:lang w:val="en-GB"/>
              </w:rPr>
              <w:t>8.86</w:t>
            </w:r>
          </w:p>
        </w:tc>
        <w:tc>
          <w:tcPr>
            <w:tcW w:w="1630" w:type="dxa"/>
          </w:tcPr>
          <w:p w:rsidR="00D01D29" w:rsidRDefault="00D01D29" w:rsidP="003B4BCE">
            <w:pPr>
              <w:rPr>
                <w:sz w:val="24"/>
                <w:szCs w:val="24"/>
                <w:lang w:val="en-GB"/>
              </w:rPr>
            </w:pPr>
            <w:r>
              <w:rPr>
                <w:sz w:val="24"/>
                <w:szCs w:val="24"/>
                <w:lang w:val="en-GB"/>
              </w:rPr>
              <w:t>68</w:t>
            </w:r>
          </w:p>
        </w:tc>
        <w:tc>
          <w:tcPr>
            <w:tcW w:w="1630" w:type="dxa"/>
          </w:tcPr>
          <w:p w:rsidR="00D01D29" w:rsidRDefault="00D01D29" w:rsidP="003B4BCE">
            <w:pPr>
              <w:rPr>
                <w:sz w:val="24"/>
                <w:szCs w:val="24"/>
                <w:lang w:val="en-GB"/>
              </w:rPr>
            </w:pPr>
            <w:r>
              <w:rPr>
                <w:sz w:val="24"/>
                <w:szCs w:val="24"/>
                <w:lang w:val="en-GB"/>
              </w:rPr>
              <w:t>14.00</w:t>
            </w:r>
          </w:p>
        </w:tc>
      </w:tr>
    </w:tbl>
    <w:p w:rsidR="00D01D29" w:rsidRDefault="00D01D29" w:rsidP="00D01D29">
      <w:pPr>
        <w:rPr>
          <w:sz w:val="24"/>
          <w:szCs w:val="24"/>
          <w:u w:val="single"/>
          <w:lang w:val="en-GB"/>
        </w:rPr>
      </w:pPr>
    </w:p>
    <w:p w:rsidR="00D01D29" w:rsidRPr="00656088" w:rsidRDefault="00D01D29" w:rsidP="00D01D29">
      <w:pPr>
        <w:ind w:firstLine="851"/>
        <w:rPr>
          <w:sz w:val="24"/>
          <w:szCs w:val="24"/>
          <w:u w:val="single"/>
          <w:lang w:val="en-GB"/>
        </w:rPr>
      </w:pPr>
      <w:r w:rsidRPr="00656088">
        <w:rPr>
          <w:sz w:val="24"/>
          <w:szCs w:val="24"/>
          <w:u w:val="single"/>
          <w:lang w:val="en-GB"/>
        </w:rPr>
        <w:t>Method of administration</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lang w:val="en-GB"/>
        </w:rPr>
      </w:pPr>
      <w:r w:rsidRPr="00656088">
        <w:rPr>
          <w:sz w:val="24"/>
          <w:szCs w:val="24"/>
          <w:lang w:val="en-GB"/>
        </w:rPr>
        <w:t>For intravenous use.</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lang w:val="en-GB"/>
        </w:rPr>
      </w:pPr>
      <w:r w:rsidRPr="00656088">
        <w:rPr>
          <w:sz w:val="24"/>
          <w:szCs w:val="24"/>
          <w:lang w:val="en-GB"/>
        </w:rPr>
        <w:t>For multidose use.</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lang w:val="en-GB"/>
        </w:rPr>
      </w:pPr>
      <w:r w:rsidRPr="00656088">
        <w:rPr>
          <w:sz w:val="24"/>
          <w:szCs w:val="24"/>
          <w:lang w:val="en-GB"/>
        </w:rPr>
        <w:t>The maximum recommended daily dose is 10 ml.</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lang w:val="en-GB"/>
        </w:rPr>
      </w:pPr>
      <w:r w:rsidRPr="00656088">
        <w:rPr>
          <w:sz w:val="24"/>
          <w:szCs w:val="24"/>
          <w:lang w:val="en-GB"/>
        </w:rPr>
        <w:t xml:space="preserve">The activity of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 xml:space="preserve">F) has to be measured with </w:t>
      </w:r>
      <w:proofErr w:type="spellStart"/>
      <w:r w:rsidRPr="00656088">
        <w:rPr>
          <w:sz w:val="24"/>
          <w:szCs w:val="24"/>
          <w:lang w:val="en-GB"/>
        </w:rPr>
        <w:t>activimeter</w:t>
      </w:r>
      <w:proofErr w:type="spellEnd"/>
      <w:r w:rsidRPr="00656088">
        <w:rPr>
          <w:sz w:val="24"/>
          <w:szCs w:val="24"/>
          <w:lang w:val="en-GB"/>
        </w:rPr>
        <w:t xml:space="preserve"> immediately prior to injection.</w:t>
      </w:r>
    </w:p>
    <w:p w:rsidR="00D01D29" w:rsidRPr="00656088" w:rsidRDefault="00D01D29" w:rsidP="00D01D29">
      <w:pPr>
        <w:ind w:left="851"/>
        <w:rPr>
          <w:sz w:val="24"/>
          <w:szCs w:val="24"/>
          <w:lang w:val="en-GB"/>
        </w:rPr>
      </w:pPr>
      <w:r w:rsidRPr="00656088">
        <w:rPr>
          <w:sz w:val="24"/>
          <w:szCs w:val="24"/>
          <w:lang w:val="en-GB"/>
        </w:rPr>
        <w:t xml:space="preserve">The injection of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F) must be intravenous in order to avoid irradiation as a result of local extravasation, as well as imaging artefacts.</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lang w:val="en-GB"/>
        </w:rPr>
      </w:pPr>
      <w:r w:rsidRPr="00656088">
        <w:rPr>
          <w:sz w:val="24"/>
          <w:szCs w:val="24"/>
          <w:lang w:val="en-GB"/>
        </w:rPr>
        <w:t>For instructions on dilution of the medicinal product before administration, see section 12.</w:t>
      </w:r>
    </w:p>
    <w:p w:rsidR="00D01D29" w:rsidRPr="00656088" w:rsidRDefault="00D01D29" w:rsidP="00D01D29">
      <w:pPr>
        <w:ind w:left="851"/>
        <w:rPr>
          <w:sz w:val="24"/>
          <w:szCs w:val="24"/>
          <w:lang w:val="en-GB"/>
        </w:rPr>
      </w:pPr>
      <w:r w:rsidRPr="00656088">
        <w:rPr>
          <w:sz w:val="24"/>
          <w:szCs w:val="24"/>
          <w:lang w:val="en-GB"/>
        </w:rPr>
        <w:t>For patient preparation, see section 4.4.</w:t>
      </w:r>
    </w:p>
    <w:p w:rsidR="00D01D29" w:rsidRPr="00656088" w:rsidRDefault="00D01D29" w:rsidP="00D01D29">
      <w:pPr>
        <w:ind w:left="851" w:hanging="851"/>
        <w:rPr>
          <w:sz w:val="24"/>
          <w:szCs w:val="24"/>
          <w:lang w:val="en-GB"/>
        </w:rPr>
      </w:pPr>
    </w:p>
    <w:p w:rsidR="00D01D29" w:rsidRPr="00656088" w:rsidRDefault="00D01D29" w:rsidP="00D01D29">
      <w:pPr>
        <w:ind w:left="851"/>
        <w:rPr>
          <w:i/>
          <w:sz w:val="24"/>
          <w:szCs w:val="24"/>
          <w:lang w:val="en-GB"/>
        </w:rPr>
      </w:pPr>
      <w:r w:rsidRPr="00656088">
        <w:rPr>
          <w:i/>
          <w:sz w:val="24"/>
          <w:szCs w:val="24"/>
          <w:lang w:val="en-GB"/>
        </w:rPr>
        <w:t>Image acquisition</w:t>
      </w:r>
    </w:p>
    <w:p w:rsidR="00D01D29" w:rsidRPr="00656088" w:rsidRDefault="00D01D29" w:rsidP="00D01D29">
      <w:pPr>
        <w:ind w:left="851"/>
        <w:rPr>
          <w:sz w:val="24"/>
          <w:szCs w:val="24"/>
          <w:lang w:val="en-GB"/>
        </w:rPr>
      </w:pPr>
      <w:r w:rsidRPr="00656088">
        <w:rPr>
          <w:sz w:val="24"/>
          <w:szCs w:val="24"/>
          <w:lang w:val="en-GB"/>
        </w:rPr>
        <w:t xml:space="preserve">The emission scans are usually started 45 to 60 minutes after the injection of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 xml:space="preserve">F). Provided a sufficient activity remains for adequate counting statistics,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F)-PET can also be performed up to two or three hours after administration, thus reducing background activity.</w:t>
      </w:r>
      <w:r w:rsidRPr="00656088">
        <w:rPr>
          <w:sz w:val="24"/>
          <w:szCs w:val="24"/>
          <w:lang w:val="en-GB"/>
        </w:rPr>
        <w:br/>
      </w:r>
    </w:p>
    <w:p w:rsidR="00D01D29" w:rsidRPr="00656088" w:rsidRDefault="00D01D29" w:rsidP="00D01D29">
      <w:pPr>
        <w:ind w:left="851"/>
        <w:rPr>
          <w:sz w:val="24"/>
          <w:szCs w:val="24"/>
          <w:lang w:val="en-GB"/>
        </w:rPr>
      </w:pPr>
      <w:r w:rsidRPr="00656088">
        <w:rPr>
          <w:sz w:val="24"/>
          <w:szCs w:val="24"/>
          <w:lang w:val="en-GB"/>
        </w:rPr>
        <w:lastRenderedPageBreak/>
        <w:t xml:space="preserve">If required, repeated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F) PET examinations can be reiterated within a short period of time.</w:t>
      </w:r>
    </w:p>
    <w:p w:rsidR="00D01D29" w:rsidRPr="00656088" w:rsidRDefault="00D01D29" w:rsidP="00D01D29">
      <w:pPr>
        <w:ind w:left="851" w:hanging="851"/>
        <w:rPr>
          <w:sz w:val="24"/>
          <w:szCs w:val="24"/>
          <w:lang w:val="en-US"/>
        </w:rPr>
      </w:pPr>
    </w:p>
    <w:p w:rsidR="00D01D29" w:rsidRPr="0024600A" w:rsidRDefault="00D01D29" w:rsidP="00D01D29">
      <w:pPr>
        <w:ind w:left="851" w:hanging="851"/>
        <w:rPr>
          <w:b/>
          <w:sz w:val="24"/>
          <w:szCs w:val="24"/>
          <w:lang w:val="en-US"/>
        </w:rPr>
      </w:pPr>
      <w:r w:rsidRPr="00656088">
        <w:rPr>
          <w:b/>
          <w:sz w:val="24"/>
          <w:szCs w:val="24"/>
          <w:lang w:val="en-US"/>
        </w:rPr>
        <w:t>4.3</w:t>
      </w:r>
      <w:r w:rsidRPr="00656088">
        <w:rPr>
          <w:b/>
          <w:sz w:val="24"/>
          <w:szCs w:val="24"/>
          <w:lang w:val="en-US"/>
        </w:rPr>
        <w:tab/>
        <w:t>Contraindic</w:t>
      </w:r>
      <w:r w:rsidRPr="0024600A">
        <w:rPr>
          <w:b/>
          <w:sz w:val="24"/>
          <w:szCs w:val="24"/>
          <w:lang w:val="en-US"/>
        </w:rPr>
        <w:t>ations</w:t>
      </w:r>
    </w:p>
    <w:p w:rsidR="00D01D29" w:rsidRPr="00656088" w:rsidRDefault="00D01D29" w:rsidP="00D01D29">
      <w:pPr>
        <w:ind w:left="851" w:hanging="851"/>
        <w:rPr>
          <w:sz w:val="24"/>
          <w:szCs w:val="24"/>
          <w:lang w:val="en-GB"/>
        </w:rPr>
      </w:pPr>
      <w:r w:rsidRPr="0024600A">
        <w:rPr>
          <w:sz w:val="24"/>
          <w:szCs w:val="24"/>
          <w:lang w:val="en-US"/>
        </w:rPr>
        <w:tab/>
      </w:r>
      <w:r w:rsidRPr="00656088">
        <w:rPr>
          <w:sz w:val="24"/>
          <w:szCs w:val="24"/>
          <w:lang w:val="en-GB"/>
        </w:rPr>
        <w:t>Hypersensitivity to the active substance, to any of the excipients listed in section 6.1 or to any of the components of the labelled radiopharmaceutical.</w:t>
      </w:r>
    </w:p>
    <w:p w:rsidR="00D01D29" w:rsidRPr="00656088" w:rsidRDefault="00D01D29" w:rsidP="00D01D29">
      <w:pPr>
        <w:ind w:left="851" w:hanging="851"/>
        <w:rPr>
          <w:sz w:val="24"/>
          <w:szCs w:val="24"/>
          <w:lang w:val="en-US"/>
        </w:rPr>
      </w:pPr>
    </w:p>
    <w:p w:rsidR="00D01D29" w:rsidRPr="00656088" w:rsidRDefault="00D01D29" w:rsidP="00D01D29">
      <w:pPr>
        <w:ind w:left="851" w:hanging="851"/>
        <w:rPr>
          <w:b/>
          <w:sz w:val="24"/>
          <w:szCs w:val="24"/>
          <w:lang w:val="en-GB"/>
        </w:rPr>
      </w:pPr>
      <w:r w:rsidRPr="00656088">
        <w:rPr>
          <w:b/>
          <w:sz w:val="24"/>
          <w:szCs w:val="24"/>
          <w:lang w:val="en-GB"/>
        </w:rPr>
        <w:t>4.4</w:t>
      </w:r>
      <w:r w:rsidRPr="00656088">
        <w:rPr>
          <w:b/>
          <w:sz w:val="24"/>
          <w:szCs w:val="24"/>
          <w:lang w:val="en-GB"/>
        </w:rPr>
        <w:tab/>
        <w:t>Special warnings and precautions for use</w:t>
      </w:r>
    </w:p>
    <w:p w:rsidR="00D01D29" w:rsidRDefault="00D01D29" w:rsidP="00D01D29">
      <w:pPr>
        <w:ind w:left="851" w:hanging="851"/>
        <w:rPr>
          <w:sz w:val="24"/>
          <w:szCs w:val="24"/>
          <w:lang w:val="en-GB"/>
        </w:rPr>
      </w:pPr>
    </w:p>
    <w:p w:rsidR="00D01D29" w:rsidRPr="00656088" w:rsidRDefault="00D01D29" w:rsidP="00D01D29">
      <w:pPr>
        <w:ind w:left="851" w:hanging="851"/>
        <w:rPr>
          <w:sz w:val="24"/>
          <w:szCs w:val="24"/>
          <w:u w:val="single"/>
          <w:lang w:val="en-GB"/>
        </w:rPr>
      </w:pPr>
      <w:r w:rsidRPr="00656088">
        <w:rPr>
          <w:sz w:val="24"/>
          <w:szCs w:val="24"/>
          <w:lang w:val="en-GB"/>
        </w:rPr>
        <w:tab/>
      </w:r>
      <w:r w:rsidRPr="00656088">
        <w:rPr>
          <w:sz w:val="24"/>
          <w:szCs w:val="24"/>
          <w:u w:val="single"/>
          <w:lang w:val="en-GB"/>
        </w:rPr>
        <w:t>Potential for hypersensitivity or anaphylactic reactions</w:t>
      </w:r>
    </w:p>
    <w:p w:rsidR="00D01D29" w:rsidRPr="00656088" w:rsidRDefault="00D01D29" w:rsidP="00D01D29">
      <w:pPr>
        <w:ind w:left="851"/>
        <w:rPr>
          <w:sz w:val="24"/>
          <w:szCs w:val="24"/>
          <w:lang w:val="en-GB"/>
        </w:rPr>
      </w:pPr>
      <w:r w:rsidRPr="00656088">
        <w:rPr>
          <w:sz w:val="24"/>
          <w:szCs w:val="24"/>
          <w:lang w:val="en-GB"/>
        </w:rPr>
        <w:t>If hypersensitivity or anaphylactic reactions occur, the administration of the medicinal product must be discontinued immediately and intravenous treatment initiated, if necessary. To enable immediate action in emergencies, the necessary medicinal products and equipment such as endotracheal tube and ventilator must be immediately available.</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u w:val="single"/>
          <w:lang w:val="en-GB"/>
        </w:rPr>
      </w:pPr>
      <w:r w:rsidRPr="00656088">
        <w:rPr>
          <w:sz w:val="24"/>
          <w:szCs w:val="24"/>
          <w:u w:val="single"/>
          <w:lang w:val="en-GB"/>
        </w:rPr>
        <w:t>Individual benefit/risk justification</w:t>
      </w:r>
    </w:p>
    <w:p w:rsidR="00D01D29" w:rsidRPr="00656088" w:rsidRDefault="00D01D29" w:rsidP="00D01D29">
      <w:pPr>
        <w:ind w:left="851"/>
        <w:rPr>
          <w:sz w:val="24"/>
          <w:szCs w:val="24"/>
          <w:lang w:val="en-GB"/>
        </w:rPr>
      </w:pPr>
      <w:r w:rsidRPr="00656088">
        <w:rPr>
          <w:sz w:val="24"/>
          <w:szCs w:val="24"/>
          <w:lang w:val="en-GB"/>
        </w:rPr>
        <w:t>For each patient, the radiation exposure must be justifiable by the likely benefit. The activity administered should in every case be as low as reasonably achievable to obtain the required diagnostic information.</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u w:val="single"/>
          <w:lang w:val="en-GB"/>
        </w:rPr>
      </w:pPr>
      <w:r w:rsidRPr="00656088">
        <w:rPr>
          <w:sz w:val="24"/>
          <w:szCs w:val="24"/>
          <w:u w:val="single"/>
          <w:lang w:val="en-GB"/>
        </w:rPr>
        <w:t>Renal and hepatic impairment</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lang w:val="en-GB"/>
        </w:rPr>
      </w:pPr>
      <w:r w:rsidRPr="00656088">
        <w:rPr>
          <w:sz w:val="24"/>
          <w:szCs w:val="24"/>
          <w:lang w:val="en-GB"/>
        </w:rPr>
        <w:t xml:space="preserve">Due to the major renal excretion of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F), in patients with reduced kidney function, careful consideration of the benefit risk ratio in these patients is required since an increased radiation exposure is possible. Activity should be adjusted if necessary.</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u w:val="single"/>
          <w:lang w:val="en-GB"/>
        </w:rPr>
      </w:pPr>
      <w:r w:rsidRPr="00656088">
        <w:rPr>
          <w:sz w:val="24"/>
          <w:szCs w:val="24"/>
          <w:u w:val="single"/>
          <w:lang w:val="en-GB"/>
        </w:rPr>
        <w:t>Paediatric population</w:t>
      </w:r>
    </w:p>
    <w:p w:rsidR="00D01D29" w:rsidRPr="00656088" w:rsidRDefault="00D01D29" w:rsidP="00D01D29">
      <w:pPr>
        <w:ind w:left="851"/>
        <w:rPr>
          <w:sz w:val="24"/>
          <w:szCs w:val="24"/>
          <w:lang w:val="en-GB"/>
        </w:rPr>
      </w:pPr>
      <w:r w:rsidRPr="00656088">
        <w:rPr>
          <w:sz w:val="24"/>
          <w:szCs w:val="24"/>
          <w:lang w:val="en-GB"/>
        </w:rPr>
        <w:t>For information on the use in paediatric population, see sections 4.2 or 5.1.</w:t>
      </w:r>
    </w:p>
    <w:p w:rsidR="00D01D29" w:rsidRPr="00656088" w:rsidRDefault="00D01D29" w:rsidP="00D01D29">
      <w:pPr>
        <w:ind w:left="851"/>
        <w:rPr>
          <w:sz w:val="24"/>
          <w:szCs w:val="24"/>
          <w:lang w:val="en-GB"/>
        </w:rPr>
      </w:pPr>
      <w:r w:rsidRPr="00656088">
        <w:rPr>
          <w:sz w:val="24"/>
          <w:szCs w:val="24"/>
          <w:lang w:val="en-GB"/>
        </w:rPr>
        <w:t xml:space="preserve">Careful consideration of the indication is required since the effective dose per </w:t>
      </w:r>
      <w:proofErr w:type="spellStart"/>
      <w:r w:rsidRPr="00656088">
        <w:rPr>
          <w:sz w:val="24"/>
          <w:szCs w:val="24"/>
          <w:lang w:val="en-GB"/>
        </w:rPr>
        <w:t>MBq</w:t>
      </w:r>
      <w:proofErr w:type="spellEnd"/>
      <w:r w:rsidRPr="00656088">
        <w:rPr>
          <w:sz w:val="24"/>
          <w:szCs w:val="24"/>
          <w:lang w:val="en-GB"/>
        </w:rPr>
        <w:t xml:space="preserve"> is higher than in adults (see section 11).</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u w:val="single"/>
          <w:lang w:val="en-GB"/>
        </w:rPr>
      </w:pPr>
      <w:r w:rsidRPr="00656088">
        <w:rPr>
          <w:sz w:val="24"/>
          <w:szCs w:val="24"/>
          <w:u w:val="single"/>
          <w:lang w:val="en-GB"/>
        </w:rPr>
        <w:t>Patient preparation</w:t>
      </w:r>
    </w:p>
    <w:p w:rsidR="00D01D29" w:rsidRPr="00656088" w:rsidRDefault="00D01D29" w:rsidP="00D01D29">
      <w:pPr>
        <w:ind w:left="851"/>
        <w:rPr>
          <w:sz w:val="24"/>
          <w:szCs w:val="24"/>
          <w:lang w:val="en-GB"/>
        </w:rPr>
      </w:pPr>
      <w:proofErr w:type="spellStart"/>
      <w:r w:rsidRPr="00656088">
        <w:rPr>
          <w:sz w:val="24"/>
          <w:szCs w:val="24"/>
          <w:lang w:val="en-GB"/>
        </w:rPr>
        <w:t>FluCore</w:t>
      </w:r>
      <w:proofErr w:type="spellEnd"/>
      <w:r w:rsidRPr="00656088">
        <w:rPr>
          <w:sz w:val="24"/>
          <w:szCs w:val="24"/>
          <w:lang w:val="en-GB"/>
        </w:rPr>
        <w:t xml:space="preserve"> should be given to sufficiently hydrated patients fasting for a minimum of 4 hours, in order to obtain a maximum target activity, since glucose uptake in the cells is limited (“saturation kinetics”). The amount of liquid should not be limited (beverages containing glucose must be avoided).</w:t>
      </w:r>
    </w:p>
    <w:p w:rsidR="00D01D29" w:rsidRPr="00656088" w:rsidRDefault="00D01D29" w:rsidP="00D01D29">
      <w:pPr>
        <w:ind w:left="851"/>
        <w:rPr>
          <w:sz w:val="24"/>
          <w:szCs w:val="24"/>
          <w:lang w:val="en-GB"/>
        </w:rPr>
      </w:pPr>
      <w:r w:rsidRPr="00656088">
        <w:rPr>
          <w:sz w:val="24"/>
          <w:szCs w:val="24"/>
          <w:lang w:val="en-GB"/>
        </w:rPr>
        <w:t>In order to obtain images of best quality and to reduce the radiation exposure of the bladder, patients should be encouraged to drink sufficient amounts and to empty their bladder prior to and after the PET examination.</w:t>
      </w:r>
    </w:p>
    <w:p w:rsidR="00D01D29" w:rsidRPr="00656088" w:rsidRDefault="00D01D29" w:rsidP="00D01D29">
      <w:pPr>
        <w:ind w:left="851" w:hanging="851"/>
        <w:rPr>
          <w:sz w:val="24"/>
          <w:szCs w:val="24"/>
          <w:lang w:val="en-GB"/>
        </w:rPr>
      </w:pPr>
    </w:p>
    <w:p w:rsidR="00D01D29" w:rsidRPr="00656088" w:rsidRDefault="00D01D29" w:rsidP="00D01D29">
      <w:pPr>
        <w:ind w:left="1276" w:hanging="425"/>
        <w:rPr>
          <w:i/>
          <w:sz w:val="24"/>
          <w:szCs w:val="24"/>
          <w:lang w:val="en-GB"/>
        </w:rPr>
      </w:pPr>
      <w:r w:rsidRPr="00656088">
        <w:rPr>
          <w:i/>
          <w:sz w:val="24"/>
          <w:szCs w:val="24"/>
          <w:lang w:val="en-GB"/>
        </w:rPr>
        <w:t>-</w:t>
      </w:r>
      <w:r>
        <w:rPr>
          <w:i/>
          <w:sz w:val="24"/>
          <w:szCs w:val="24"/>
          <w:lang w:val="en-GB"/>
        </w:rPr>
        <w:tab/>
      </w:r>
      <w:r w:rsidRPr="00656088">
        <w:rPr>
          <w:i/>
          <w:sz w:val="24"/>
          <w:szCs w:val="24"/>
          <w:lang w:val="en-GB"/>
        </w:rPr>
        <w:t>Oncology and neurology and infectious diseases</w:t>
      </w:r>
    </w:p>
    <w:p w:rsidR="00D01D29" w:rsidRPr="00656088" w:rsidRDefault="00D01D29" w:rsidP="00D01D29">
      <w:pPr>
        <w:ind w:left="851"/>
        <w:rPr>
          <w:sz w:val="24"/>
          <w:szCs w:val="24"/>
          <w:lang w:val="en-GB"/>
        </w:rPr>
      </w:pPr>
      <w:r w:rsidRPr="00656088">
        <w:rPr>
          <w:sz w:val="24"/>
          <w:szCs w:val="24"/>
          <w:lang w:val="en-GB"/>
        </w:rPr>
        <w:t xml:space="preserve">In order to avoid </w:t>
      </w:r>
      <w:proofErr w:type="spellStart"/>
      <w:r w:rsidRPr="00656088">
        <w:rPr>
          <w:sz w:val="24"/>
          <w:szCs w:val="24"/>
          <w:lang w:val="en-GB"/>
        </w:rPr>
        <w:t>hyperfixation</w:t>
      </w:r>
      <w:proofErr w:type="spellEnd"/>
      <w:r w:rsidRPr="00656088">
        <w:rPr>
          <w:sz w:val="24"/>
          <w:szCs w:val="24"/>
          <w:lang w:val="en-GB"/>
        </w:rPr>
        <w:t xml:space="preserve"> of the tracer in muscle, it is advisable for patients to avoid all strenuous physical activity prior to the examination and to remain at rest between the injection and examination and during acquisition of images (patients should be comfortably lying down without reading or speaking).</w:t>
      </w:r>
    </w:p>
    <w:p w:rsidR="00D01D29" w:rsidRPr="00656088" w:rsidRDefault="00D01D29" w:rsidP="00D01D29">
      <w:pPr>
        <w:ind w:left="851"/>
        <w:rPr>
          <w:sz w:val="24"/>
          <w:szCs w:val="24"/>
          <w:lang w:val="en-GB"/>
        </w:rPr>
      </w:pPr>
      <w:r w:rsidRPr="00656088">
        <w:rPr>
          <w:sz w:val="24"/>
          <w:szCs w:val="24"/>
          <w:lang w:val="en-GB"/>
        </w:rPr>
        <w:t xml:space="preserve">The cerebral glucose metabolism depends on the brain activity. Thus, neurological examinations should be performed after a relaxation period in a darkened room and with low background noise. </w:t>
      </w:r>
    </w:p>
    <w:p w:rsidR="00D01D29" w:rsidRPr="00656088" w:rsidRDefault="00D01D29" w:rsidP="00D01D29">
      <w:pPr>
        <w:ind w:left="851"/>
        <w:rPr>
          <w:sz w:val="24"/>
          <w:szCs w:val="24"/>
          <w:lang w:val="en-GB"/>
        </w:rPr>
      </w:pPr>
      <w:r w:rsidRPr="00656088">
        <w:rPr>
          <w:sz w:val="24"/>
          <w:szCs w:val="24"/>
          <w:lang w:val="en-GB"/>
        </w:rPr>
        <w:t xml:space="preserve">A blood glucose test should be performed prior to administration since hyperglycaemia may result in a reduced sensitivity of </w:t>
      </w:r>
      <w:proofErr w:type="spellStart"/>
      <w:r w:rsidRPr="00656088">
        <w:rPr>
          <w:sz w:val="24"/>
          <w:szCs w:val="24"/>
          <w:lang w:val="en-GB"/>
        </w:rPr>
        <w:t>FluCore</w:t>
      </w:r>
      <w:proofErr w:type="spellEnd"/>
      <w:r w:rsidRPr="00656088">
        <w:rPr>
          <w:sz w:val="24"/>
          <w:szCs w:val="24"/>
          <w:lang w:val="en-GB"/>
        </w:rPr>
        <w:t xml:space="preserve">, especially when glycaemia is greater than 8 </w:t>
      </w:r>
      <w:r w:rsidRPr="00656088">
        <w:rPr>
          <w:sz w:val="24"/>
          <w:szCs w:val="24"/>
          <w:lang w:val="en-GB"/>
        </w:rPr>
        <w:lastRenderedPageBreak/>
        <w:t xml:space="preserve">mmol/L. Similarly, PET with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F) should be avoided in subjects presenting uncontrolled diabetes.</w:t>
      </w:r>
    </w:p>
    <w:p w:rsidR="00D01D29" w:rsidRPr="00656088" w:rsidRDefault="00D01D29" w:rsidP="00D01D29">
      <w:pPr>
        <w:ind w:left="851" w:hanging="851"/>
        <w:rPr>
          <w:sz w:val="24"/>
          <w:szCs w:val="24"/>
          <w:lang w:val="en-GB"/>
        </w:rPr>
      </w:pPr>
    </w:p>
    <w:p w:rsidR="00D01D29" w:rsidRPr="00656088" w:rsidRDefault="00D01D29" w:rsidP="00D01D29">
      <w:pPr>
        <w:ind w:left="1276" w:hanging="425"/>
        <w:rPr>
          <w:i/>
          <w:iCs/>
          <w:sz w:val="24"/>
          <w:szCs w:val="24"/>
          <w:lang w:val="en-GB"/>
        </w:rPr>
      </w:pPr>
      <w:r w:rsidRPr="00656088">
        <w:rPr>
          <w:i/>
          <w:iCs/>
          <w:sz w:val="24"/>
          <w:szCs w:val="24"/>
          <w:lang w:val="en-GB"/>
        </w:rPr>
        <w:t>-</w:t>
      </w:r>
      <w:r>
        <w:rPr>
          <w:i/>
          <w:iCs/>
          <w:sz w:val="24"/>
          <w:szCs w:val="24"/>
          <w:lang w:val="en-GB"/>
        </w:rPr>
        <w:tab/>
      </w:r>
      <w:r w:rsidRPr="00656088">
        <w:rPr>
          <w:i/>
          <w:iCs/>
          <w:sz w:val="24"/>
          <w:szCs w:val="24"/>
          <w:lang w:val="en-GB"/>
        </w:rPr>
        <w:t>Cardiology</w:t>
      </w:r>
    </w:p>
    <w:p w:rsidR="00D01D29" w:rsidRPr="00656088" w:rsidRDefault="00D01D29" w:rsidP="00D01D29">
      <w:pPr>
        <w:ind w:left="851"/>
        <w:rPr>
          <w:sz w:val="24"/>
          <w:szCs w:val="24"/>
          <w:lang w:val="en-GB"/>
        </w:rPr>
      </w:pPr>
      <w:r w:rsidRPr="00656088">
        <w:rPr>
          <w:sz w:val="24"/>
          <w:szCs w:val="24"/>
          <w:lang w:val="en-GB"/>
        </w:rPr>
        <w:t xml:space="preserve">Since glucose uptake in the myocardium is insulin-dependent, for a myocardial examination a glucose loading of 50 g approximately 1 hour prior to the administration of </w:t>
      </w:r>
      <w:proofErr w:type="spellStart"/>
      <w:r w:rsidRPr="00656088">
        <w:rPr>
          <w:sz w:val="24"/>
          <w:szCs w:val="24"/>
          <w:lang w:val="en-GB"/>
        </w:rPr>
        <w:t>FluCore</w:t>
      </w:r>
      <w:proofErr w:type="spellEnd"/>
      <w:r w:rsidRPr="00656088">
        <w:rPr>
          <w:sz w:val="24"/>
          <w:szCs w:val="24"/>
          <w:lang w:val="en-GB"/>
        </w:rPr>
        <w:t xml:space="preserve"> is recommended. Alternatively, especially for patients with diabetes mellitus, the blood sugar level can be adjusted by a combined infusion of insulin and glucose (Insulin-glucose-clamp) if needed.</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u w:val="single"/>
          <w:lang w:val="en-GB"/>
        </w:rPr>
      </w:pPr>
      <w:r w:rsidRPr="00656088">
        <w:rPr>
          <w:sz w:val="24"/>
          <w:szCs w:val="24"/>
          <w:u w:val="single"/>
          <w:lang w:val="en-GB"/>
        </w:rPr>
        <w:t xml:space="preserve">Interpretation of the PET with </w:t>
      </w:r>
      <w:proofErr w:type="spellStart"/>
      <w:r w:rsidRPr="00656088">
        <w:rPr>
          <w:sz w:val="24"/>
          <w:szCs w:val="24"/>
          <w:u w:val="single"/>
          <w:lang w:val="en-GB"/>
        </w:rPr>
        <w:t>fludeoxyglucose</w:t>
      </w:r>
      <w:proofErr w:type="spellEnd"/>
      <w:r w:rsidRPr="00656088">
        <w:rPr>
          <w:sz w:val="24"/>
          <w:szCs w:val="24"/>
          <w:u w:val="single"/>
          <w:lang w:val="en-GB"/>
        </w:rPr>
        <w:t xml:space="preserve"> (</w:t>
      </w:r>
      <w:r w:rsidRPr="00656088">
        <w:rPr>
          <w:sz w:val="24"/>
          <w:szCs w:val="24"/>
          <w:u w:val="single"/>
          <w:vertAlign w:val="superscript"/>
          <w:lang w:val="en-GB"/>
        </w:rPr>
        <w:t>18</w:t>
      </w:r>
      <w:r w:rsidRPr="00656088">
        <w:rPr>
          <w:sz w:val="24"/>
          <w:szCs w:val="24"/>
          <w:u w:val="single"/>
          <w:lang w:val="en-GB"/>
        </w:rPr>
        <w:t>F) images</w:t>
      </w:r>
    </w:p>
    <w:p w:rsidR="00D01D29" w:rsidRPr="00656088" w:rsidRDefault="00D01D29" w:rsidP="00D01D29">
      <w:pPr>
        <w:ind w:left="851"/>
        <w:rPr>
          <w:sz w:val="24"/>
          <w:szCs w:val="24"/>
          <w:lang w:val="en-GB"/>
        </w:rPr>
      </w:pPr>
      <w:r w:rsidRPr="00656088">
        <w:rPr>
          <w:sz w:val="24"/>
          <w:szCs w:val="24"/>
          <w:lang w:val="en-GB"/>
        </w:rPr>
        <w:t xml:space="preserve">In the exploration of inflammatory bowel diseases, diagnostic performance of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 xml:space="preserve">F) has not been directly compared with that of scintigraphy using labelled white blood cells which may be indicated prior to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 xml:space="preserve">F) PET or after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F) PET when inconclusive.</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lang w:val="en-GB"/>
        </w:rPr>
      </w:pPr>
      <w:r w:rsidRPr="00656088">
        <w:rPr>
          <w:sz w:val="24"/>
          <w:szCs w:val="24"/>
          <w:lang w:val="en-GB"/>
        </w:rPr>
        <w:t xml:space="preserve">Infectious and/or inflammatory diseases as well as regenerative processes after surgery can result in a significant uptake of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 xml:space="preserve">F) and therefore lead to false positive results, when search for infectious or inflammatory lesions is not the aim of the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 xml:space="preserve">F) PET. In cases where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 xml:space="preserve">F) accumulation can be caused by either cancer, infection or inflammation, additional diagnostic techniques for the determination of the causative pathologic alteration may be required to supplement the information obtained by PET with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 xml:space="preserve">F). In some settings e.g. staging of myeloma, both malignant and infectious foci are searched for and may be distinguished with a good accuracy on topographic criteria e.g. uptake at extramedullary sites and/or bone and joint lesions would be atypical for multiple myeloma lesions and identified cases associated with infection. There are currently no other criteria to distinguish infection and inflammation by means of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F) imaging.</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lang w:val="en-GB"/>
        </w:rPr>
      </w:pPr>
      <w:r w:rsidRPr="00656088">
        <w:rPr>
          <w:sz w:val="24"/>
          <w:szCs w:val="24"/>
          <w:lang w:val="en-GB"/>
        </w:rPr>
        <w:t xml:space="preserve">Because of the high physiologic uptake of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 xml:space="preserve">F) within the brain, heart and kidneys, PET/CT with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F) has not been evaluated for the detection of septic metastatic foci in these organs when the patient has been referred due to bacteraemia or endocarditis.</w:t>
      </w:r>
    </w:p>
    <w:p w:rsidR="00D01D29" w:rsidRPr="00656088" w:rsidRDefault="00D01D29" w:rsidP="00D01D29">
      <w:pPr>
        <w:ind w:left="851"/>
        <w:rPr>
          <w:sz w:val="24"/>
          <w:szCs w:val="24"/>
          <w:lang w:val="en-GB"/>
        </w:rPr>
      </w:pPr>
      <w:r w:rsidRPr="00656088">
        <w:rPr>
          <w:sz w:val="24"/>
          <w:szCs w:val="24"/>
          <w:lang w:val="en-GB"/>
        </w:rPr>
        <w:t xml:space="preserve">False positive or false negative PET with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 xml:space="preserve">F) results cannot be excluded after radiotherapy within the first 2-4 months. If the clinical indication is demanding an earlier diagnosis by PET with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 xml:space="preserve">F), the reason for earlier PET with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 xml:space="preserve">F) examination must be reasonably documented. </w:t>
      </w:r>
    </w:p>
    <w:p w:rsidR="00D01D29" w:rsidRPr="00656088" w:rsidRDefault="00D01D29" w:rsidP="00D01D29">
      <w:pPr>
        <w:ind w:left="851"/>
        <w:rPr>
          <w:sz w:val="24"/>
          <w:szCs w:val="24"/>
          <w:lang w:val="en-GB"/>
        </w:rPr>
      </w:pPr>
      <w:r w:rsidRPr="00656088">
        <w:rPr>
          <w:sz w:val="24"/>
          <w:szCs w:val="24"/>
          <w:lang w:val="en-GB"/>
        </w:rPr>
        <w:t xml:space="preserve">A delay of at least 4-6 weeks after the last administration of chemotherapy is optimal, in particular to avoid false negative results. If the clinical indication is demanding an earlier diagnosis by PET with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 xml:space="preserve">F), the reason for earlier PET with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 xml:space="preserve">F) examination must be reasonably documented. In case of chemotherapy regimen with cycles shorter than 4 weeks, the PET with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F) examination should be done just before re-starting a new cycle.</w:t>
      </w:r>
    </w:p>
    <w:p w:rsidR="00D01D29" w:rsidRPr="00656088" w:rsidRDefault="00D01D29" w:rsidP="00D01D29">
      <w:pPr>
        <w:ind w:left="851"/>
        <w:rPr>
          <w:sz w:val="24"/>
          <w:szCs w:val="24"/>
          <w:lang w:val="en-GB"/>
        </w:rPr>
      </w:pPr>
      <w:r w:rsidRPr="00656088">
        <w:rPr>
          <w:sz w:val="24"/>
          <w:szCs w:val="24"/>
          <w:lang w:val="en-GB"/>
        </w:rPr>
        <w:t xml:space="preserve">In low-grade lymphoma, lower oesophagus cancer and suspicion of recurrent ovarian cancer, only positive predictive values have to be considered because of a limited sensitivity of PET with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F).</w:t>
      </w:r>
    </w:p>
    <w:p w:rsidR="00D01D29" w:rsidRPr="00656088" w:rsidRDefault="00D01D29" w:rsidP="00D01D29">
      <w:pPr>
        <w:ind w:left="851"/>
        <w:rPr>
          <w:sz w:val="24"/>
          <w:szCs w:val="24"/>
          <w:lang w:val="en-GB"/>
        </w:rPr>
      </w:pP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F) is not effective in detecting brain metastases.</w:t>
      </w:r>
    </w:p>
    <w:p w:rsidR="00D01D29" w:rsidRPr="00656088" w:rsidRDefault="00D01D29" w:rsidP="00D01D29">
      <w:pPr>
        <w:ind w:left="851"/>
        <w:rPr>
          <w:sz w:val="24"/>
          <w:szCs w:val="24"/>
          <w:lang w:val="en-GB"/>
        </w:rPr>
      </w:pPr>
      <w:r w:rsidRPr="00656088">
        <w:rPr>
          <w:sz w:val="24"/>
          <w:szCs w:val="24"/>
          <w:lang w:val="en-GB"/>
        </w:rPr>
        <w:t xml:space="preserve">The accuracy of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F) PET imaging is better using PET/CT than PET cameras alone.</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lang w:val="en-GB"/>
        </w:rPr>
      </w:pPr>
      <w:r w:rsidRPr="00656088">
        <w:rPr>
          <w:sz w:val="24"/>
          <w:szCs w:val="24"/>
          <w:lang w:val="en-GB"/>
        </w:rPr>
        <w:lastRenderedPageBreak/>
        <w:t>When a hybrid PET-CT scanner is used with or without administration CT contrast media, some artefacts may occur on the attenuation-corrected PET images.</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u w:val="single"/>
          <w:lang w:val="en-GB"/>
        </w:rPr>
      </w:pPr>
      <w:r w:rsidRPr="00656088">
        <w:rPr>
          <w:sz w:val="24"/>
          <w:szCs w:val="24"/>
          <w:u w:val="single"/>
          <w:lang w:val="en-GB"/>
        </w:rPr>
        <w:t>After the procedure</w:t>
      </w:r>
    </w:p>
    <w:p w:rsidR="00D01D29" w:rsidRPr="00656088" w:rsidRDefault="00D01D29" w:rsidP="00D01D29">
      <w:pPr>
        <w:ind w:left="851"/>
        <w:rPr>
          <w:sz w:val="24"/>
          <w:szCs w:val="24"/>
          <w:lang w:val="en-GB"/>
        </w:rPr>
      </w:pPr>
      <w:r w:rsidRPr="00656088">
        <w:rPr>
          <w:sz w:val="24"/>
          <w:szCs w:val="24"/>
          <w:lang w:val="en-GB"/>
        </w:rPr>
        <w:t>Close contact with infants and pregnant women should be restricted during the initial 12 hours following the injection.</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lang w:val="en-GB"/>
        </w:rPr>
      </w:pPr>
      <w:r w:rsidRPr="00656088">
        <w:rPr>
          <w:sz w:val="24"/>
          <w:szCs w:val="24"/>
          <w:u w:val="single"/>
          <w:lang w:val="en-GB"/>
        </w:rPr>
        <w:t>Specific warnings</w:t>
      </w:r>
    </w:p>
    <w:p w:rsidR="00D01D29" w:rsidRPr="00656088" w:rsidRDefault="00D01D29" w:rsidP="00D01D29">
      <w:pPr>
        <w:ind w:left="851"/>
        <w:rPr>
          <w:sz w:val="24"/>
          <w:szCs w:val="24"/>
          <w:lang w:val="en-GB"/>
        </w:rPr>
      </w:pPr>
      <w:r w:rsidRPr="00656088">
        <w:rPr>
          <w:sz w:val="24"/>
          <w:szCs w:val="24"/>
          <w:lang w:val="en-GB"/>
        </w:rPr>
        <w:t>Depending on the time when you administer the injection, the content of sodium may in some cases be greater than 1 mmol (23 mg). This should be taken into account in patients on low sodium diet.</w:t>
      </w:r>
    </w:p>
    <w:p w:rsidR="00D01D29" w:rsidRPr="00656088" w:rsidRDefault="00D01D29" w:rsidP="00D01D29">
      <w:pPr>
        <w:ind w:left="851"/>
        <w:rPr>
          <w:sz w:val="24"/>
          <w:szCs w:val="24"/>
          <w:u w:val="single"/>
          <w:lang w:val="en-GB"/>
        </w:rPr>
      </w:pPr>
      <w:r w:rsidRPr="00656088">
        <w:rPr>
          <w:sz w:val="24"/>
          <w:szCs w:val="24"/>
          <w:u w:val="single"/>
          <w:lang w:val="en-GB"/>
        </w:rPr>
        <w:t>Precautions with respect to environmental hazard see section 6.6.</w:t>
      </w:r>
    </w:p>
    <w:p w:rsidR="00D01D29" w:rsidRPr="00656088" w:rsidRDefault="00D01D29" w:rsidP="00D01D29">
      <w:pPr>
        <w:ind w:left="851" w:hanging="851"/>
        <w:rPr>
          <w:sz w:val="24"/>
          <w:szCs w:val="24"/>
          <w:u w:val="single"/>
          <w:lang w:val="en-GB"/>
        </w:rPr>
      </w:pPr>
    </w:p>
    <w:p w:rsidR="00D01D29" w:rsidRPr="00656088" w:rsidRDefault="00D01D29" w:rsidP="00D01D29">
      <w:pPr>
        <w:ind w:left="851"/>
        <w:rPr>
          <w:sz w:val="24"/>
          <w:szCs w:val="24"/>
          <w:u w:val="single"/>
          <w:lang w:val="en-GB"/>
        </w:rPr>
      </w:pPr>
      <w:r w:rsidRPr="00656088">
        <w:rPr>
          <w:sz w:val="24"/>
          <w:szCs w:val="24"/>
          <w:u w:val="single"/>
          <w:lang w:val="en-GB"/>
        </w:rPr>
        <w:t>This medicinal product contains small amounts of ethanol (alcohol), less than 100 mg per dose.</w:t>
      </w:r>
    </w:p>
    <w:p w:rsidR="00D01D29" w:rsidRPr="00656088" w:rsidRDefault="00D01D29" w:rsidP="00D01D29">
      <w:pPr>
        <w:ind w:left="851" w:hanging="851"/>
        <w:rPr>
          <w:sz w:val="24"/>
          <w:szCs w:val="24"/>
          <w:lang w:val="en-US"/>
        </w:rPr>
      </w:pPr>
    </w:p>
    <w:p w:rsidR="00D01D29" w:rsidRPr="00656088" w:rsidRDefault="00D01D29" w:rsidP="00D01D29">
      <w:pPr>
        <w:ind w:left="851" w:hanging="851"/>
        <w:rPr>
          <w:b/>
          <w:sz w:val="24"/>
          <w:szCs w:val="24"/>
          <w:lang w:val="en-GB"/>
        </w:rPr>
      </w:pPr>
      <w:r w:rsidRPr="00656088">
        <w:rPr>
          <w:b/>
          <w:sz w:val="24"/>
          <w:szCs w:val="24"/>
          <w:lang w:val="en-GB"/>
        </w:rPr>
        <w:t>4.5</w:t>
      </w:r>
      <w:r w:rsidRPr="00656088">
        <w:rPr>
          <w:b/>
          <w:sz w:val="24"/>
          <w:szCs w:val="24"/>
          <w:lang w:val="en-GB"/>
        </w:rPr>
        <w:tab/>
        <w:t>Interaction with other medicinal products and other forms of interaction</w:t>
      </w:r>
    </w:p>
    <w:p w:rsidR="00D01D29" w:rsidRPr="00656088" w:rsidRDefault="00D01D29" w:rsidP="00D01D29">
      <w:pPr>
        <w:ind w:left="851" w:hanging="851"/>
        <w:rPr>
          <w:sz w:val="24"/>
          <w:szCs w:val="24"/>
          <w:lang w:val="en-GB"/>
        </w:rPr>
      </w:pPr>
      <w:r w:rsidRPr="00656088">
        <w:rPr>
          <w:sz w:val="24"/>
          <w:szCs w:val="24"/>
          <w:lang w:val="en-GB"/>
        </w:rPr>
        <w:tab/>
        <w:t>All medicinal products that modify blood glucose levels can affect the sensitivity of the examination (e.g. corticosteroids, valproate, carbamazepine, phenytoin, phenobarbital and catecholamines).</w:t>
      </w:r>
    </w:p>
    <w:p w:rsidR="00D01D29" w:rsidRPr="00656088" w:rsidRDefault="00D01D29" w:rsidP="00D01D29">
      <w:pPr>
        <w:ind w:left="851"/>
        <w:rPr>
          <w:sz w:val="24"/>
          <w:szCs w:val="24"/>
          <w:lang w:val="en-GB"/>
        </w:rPr>
      </w:pPr>
      <w:r w:rsidRPr="00656088">
        <w:rPr>
          <w:sz w:val="24"/>
          <w:szCs w:val="24"/>
          <w:lang w:val="en-GB"/>
        </w:rPr>
        <w:t xml:space="preserve">Under administration of colony-stimulating factors (CSFs), there is an increased uptake of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F) in the bone marrow and the spleen for several days. This must be taken into account for the interpretation of PET imaging. Separating CSF therapy from PET imaging by an interval of at least 5 days may diminish this interference.</w:t>
      </w:r>
    </w:p>
    <w:p w:rsidR="00D01D29" w:rsidRPr="00656088" w:rsidRDefault="00D01D29" w:rsidP="00D01D29">
      <w:pPr>
        <w:ind w:left="851" w:hanging="851"/>
        <w:rPr>
          <w:b/>
          <w:i/>
          <w:sz w:val="24"/>
          <w:szCs w:val="24"/>
          <w:lang w:val="en-GB"/>
        </w:rPr>
      </w:pPr>
    </w:p>
    <w:p w:rsidR="00D01D29" w:rsidRPr="00656088" w:rsidRDefault="00D01D29" w:rsidP="00D01D29">
      <w:pPr>
        <w:ind w:left="851"/>
        <w:rPr>
          <w:sz w:val="24"/>
          <w:szCs w:val="24"/>
          <w:lang w:val="en-GB"/>
        </w:rPr>
      </w:pPr>
      <w:r w:rsidRPr="00656088">
        <w:rPr>
          <w:sz w:val="24"/>
          <w:szCs w:val="24"/>
          <w:lang w:val="en-GB"/>
        </w:rPr>
        <w:t xml:space="preserve">The administration of glucose and insulin influences the influx of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 xml:space="preserve">F) into the cells. In the case of high blood glucose levels as well as low plasma insulin levels, the influx of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F) into organs and tumours is reduced.</w:t>
      </w:r>
    </w:p>
    <w:p w:rsidR="00D01D29" w:rsidRPr="00656088" w:rsidRDefault="00D01D29" w:rsidP="00D01D29">
      <w:pPr>
        <w:ind w:left="851"/>
        <w:rPr>
          <w:sz w:val="24"/>
          <w:szCs w:val="24"/>
          <w:lang w:val="en-GB"/>
        </w:rPr>
      </w:pPr>
      <w:r w:rsidRPr="00656088">
        <w:rPr>
          <w:sz w:val="24"/>
          <w:szCs w:val="24"/>
          <w:lang w:val="en-GB"/>
        </w:rPr>
        <w:t xml:space="preserve">No formal studies on the interaction between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F) and any contrast for computed tomography have been performed.</w:t>
      </w:r>
    </w:p>
    <w:p w:rsidR="00D01D29" w:rsidRPr="00656088" w:rsidRDefault="00D01D29" w:rsidP="00D01D29">
      <w:pPr>
        <w:ind w:left="851" w:hanging="851"/>
        <w:rPr>
          <w:sz w:val="24"/>
          <w:szCs w:val="24"/>
          <w:lang w:val="en-US"/>
        </w:rPr>
      </w:pPr>
    </w:p>
    <w:p w:rsidR="00D01D29" w:rsidRPr="0024600A" w:rsidRDefault="00D01D29" w:rsidP="00D01D29">
      <w:pPr>
        <w:ind w:left="851" w:hanging="851"/>
        <w:rPr>
          <w:b/>
          <w:sz w:val="24"/>
          <w:szCs w:val="24"/>
          <w:lang w:val="en-US"/>
        </w:rPr>
      </w:pPr>
      <w:r w:rsidRPr="0024600A">
        <w:rPr>
          <w:b/>
          <w:sz w:val="24"/>
          <w:szCs w:val="24"/>
          <w:lang w:val="en-US"/>
        </w:rPr>
        <w:t>4.6</w:t>
      </w:r>
      <w:r w:rsidRPr="0024600A">
        <w:rPr>
          <w:b/>
          <w:sz w:val="24"/>
          <w:szCs w:val="24"/>
          <w:lang w:val="en-US"/>
        </w:rPr>
        <w:tab/>
        <w:t>Pregnancy and lactation</w:t>
      </w:r>
    </w:p>
    <w:p w:rsidR="00D01D29" w:rsidRPr="0024600A" w:rsidRDefault="00D01D29" w:rsidP="00D01D29">
      <w:pPr>
        <w:ind w:left="851" w:hanging="851"/>
        <w:rPr>
          <w:sz w:val="24"/>
          <w:szCs w:val="24"/>
          <w:lang w:val="en-US"/>
        </w:rPr>
      </w:pPr>
    </w:p>
    <w:p w:rsidR="00D01D29" w:rsidRPr="00656088" w:rsidRDefault="00D01D29" w:rsidP="00D01D29">
      <w:pPr>
        <w:ind w:left="851" w:hanging="851"/>
        <w:rPr>
          <w:sz w:val="24"/>
          <w:szCs w:val="24"/>
          <w:u w:val="single"/>
          <w:lang w:val="en-GB"/>
        </w:rPr>
      </w:pPr>
      <w:r w:rsidRPr="0024600A">
        <w:rPr>
          <w:sz w:val="24"/>
          <w:szCs w:val="24"/>
          <w:lang w:val="en-US"/>
        </w:rPr>
        <w:tab/>
      </w:r>
      <w:r w:rsidRPr="00656088">
        <w:rPr>
          <w:sz w:val="24"/>
          <w:szCs w:val="24"/>
          <w:u w:val="single"/>
          <w:lang w:val="en-GB"/>
        </w:rPr>
        <w:t>Women of childbearing potential</w:t>
      </w:r>
    </w:p>
    <w:p w:rsidR="00D01D29" w:rsidRPr="00656088" w:rsidRDefault="00D01D29" w:rsidP="00D01D29">
      <w:pPr>
        <w:ind w:left="851"/>
        <w:rPr>
          <w:sz w:val="24"/>
          <w:szCs w:val="24"/>
          <w:lang w:val="en-GB"/>
        </w:rPr>
      </w:pPr>
      <w:r w:rsidRPr="00656088">
        <w:rPr>
          <w:sz w:val="24"/>
          <w:szCs w:val="24"/>
          <w:lang w:val="en-GB"/>
        </w:rPr>
        <w:t>When an administration of radiopharmaceuticals to a woman of childbearing potential is intended, it is important to determine whether or not she is pregnant. Any woman who has missed a period should be assumed to be pregnant until proven otherwise. If in doubt about her potential pregnancy (if the woman has missed a period, if the period is very irregular, etc.), alternative techniques not using ionising radiation (if there are any) should be offered to the patient.</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u w:val="single"/>
          <w:lang w:val="en-GB"/>
        </w:rPr>
      </w:pPr>
      <w:r w:rsidRPr="00656088">
        <w:rPr>
          <w:sz w:val="24"/>
          <w:szCs w:val="24"/>
          <w:u w:val="single"/>
          <w:lang w:val="en-GB"/>
        </w:rPr>
        <w:t>Pregnancy</w:t>
      </w:r>
    </w:p>
    <w:p w:rsidR="00D01D29" w:rsidRPr="00656088" w:rsidRDefault="00D01D29" w:rsidP="00D01D29">
      <w:pPr>
        <w:ind w:left="851"/>
        <w:rPr>
          <w:sz w:val="24"/>
          <w:szCs w:val="24"/>
          <w:lang w:val="en-GB"/>
        </w:rPr>
      </w:pPr>
      <w:r w:rsidRPr="00656088">
        <w:rPr>
          <w:sz w:val="24"/>
          <w:szCs w:val="24"/>
          <w:lang w:val="en-GB"/>
        </w:rPr>
        <w:t>Radionuclide procedures carried out on pregnant women also involve radiation dose to the foetus. Only essential investigations should therefore be carried out during pregnancy, when the likely benefit far exceeds the risk incurred by the mother and foetus.</w:t>
      </w:r>
    </w:p>
    <w:p w:rsidR="00D01D29" w:rsidRDefault="00D01D29" w:rsidP="00D01D29">
      <w:pPr>
        <w:rPr>
          <w:sz w:val="24"/>
          <w:szCs w:val="24"/>
          <w:lang w:val="en-GB"/>
        </w:rPr>
      </w:pPr>
      <w:r>
        <w:rPr>
          <w:sz w:val="24"/>
          <w:szCs w:val="24"/>
          <w:lang w:val="en-GB"/>
        </w:rPr>
        <w:br w:type="page"/>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u w:val="single"/>
          <w:lang w:val="en-GB"/>
        </w:rPr>
      </w:pPr>
      <w:r w:rsidRPr="00656088">
        <w:rPr>
          <w:sz w:val="24"/>
          <w:szCs w:val="24"/>
          <w:u w:val="single"/>
          <w:lang w:val="en-GB"/>
        </w:rPr>
        <w:t>Breast-feeding</w:t>
      </w:r>
    </w:p>
    <w:p w:rsidR="00D01D29" w:rsidRPr="00656088" w:rsidRDefault="00D01D29" w:rsidP="00D01D29">
      <w:pPr>
        <w:ind w:left="851"/>
        <w:rPr>
          <w:sz w:val="24"/>
          <w:szCs w:val="24"/>
          <w:lang w:val="en-GB"/>
        </w:rPr>
      </w:pPr>
      <w:r w:rsidRPr="00656088">
        <w:rPr>
          <w:sz w:val="24"/>
          <w:szCs w:val="24"/>
          <w:lang w:val="en-GB"/>
        </w:rPr>
        <w:t>Before administering radiopharmaceuticals to a mother who is breastfeeding consideration should be given to the possibility of delaying the administration of radionuclide until the mother has ceased breastfeeding, and to what is the most appropriate choice of radiopharmaceuticals, bearing in mind the secretion of activity in breast milk. If the administration is considered necessary, breastfeeding should be interrupted for 12 hours and the expressed feeds discarded.</w:t>
      </w:r>
    </w:p>
    <w:p w:rsidR="00D01D29" w:rsidRPr="00656088" w:rsidRDefault="00D01D29" w:rsidP="00D01D29">
      <w:pPr>
        <w:ind w:left="851"/>
        <w:rPr>
          <w:sz w:val="24"/>
          <w:szCs w:val="24"/>
          <w:lang w:val="en-GB"/>
        </w:rPr>
      </w:pPr>
      <w:r w:rsidRPr="00656088">
        <w:rPr>
          <w:sz w:val="24"/>
          <w:szCs w:val="24"/>
          <w:lang w:val="en-GB"/>
        </w:rPr>
        <w:t>Close contact with infants should be restricted during the initial 12 hours following injection.</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u w:val="single"/>
          <w:lang w:val="en-GB"/>
        </w:rPr>
      </w:pPr>
      <w:r w:rsidRPr="00656088">
        <w:rPr>
          <w:sz w:val="24"/>
          <w:szCs w:val="24"/>
          <w:u w:val="single"/>
          <w:lang w:val="en-GB"/>
        </w:rPr>
        <w:t>Fertility</w:t>
      </w:r>
    </w:p>
    <w:p w:rsidR="00D01D29" w:rsidRPr="00656088" w:rsidRDefault="00D01D29" w:rsidP="00D01D29">
      <w:pPr>
        <w:ind w:left="851"/>
        <w:rPr>
          <w:b/>
          <w:sz w:val="24"/>
          <w:szCs w:val="24"/>
          <w:lang w:val="en-GB"/>
        </w:rPr>
      </w:pPr>
      <w:r w:rsidRPr="00656088">
        <w:rPr>
          <w:sz w:val="24"/>
          <w:szCs w:val="24"/>
          <w:lang w:val="en-GB"/>
        </w:rPr>
        <w:t>No studies on fertility have been performed.</w:t>
      </w:r>
    </w:p>
    <w:p w:rsidR="00D01D29" w:rsidRPr="00656088" w:rsidRDefault="00D01D29" w:rsidP="00D01D29">
      <w:pPr>
        <w:ind w:left="851" w:hanging="851"/>
        <w:rPr>
          <w:sz w:val="24"/>
          <w:szCs w:val="24"/>
          <w:lang w:val="en-US"/>
        </w:rPr>
      </w:pPr>
    </w:p>
    <w:p w:rsidR="00D01D29" w:rsidRPr="00656088" w:rsidRDefault="00D01D29" w:rsidP="00D01D29">
      <w:pPr>
        <w:ind w:left="851" w:hanging="851"/>
        <w:rPr>
          <w:b/>
          <w:sz w:val="24"/>
          <w:szCs w:val="24"/>
          <w:lang w:val="en-GB"/>
        </w:rPr>
      </w:pPr>
      <w:r w:rsidRPr="00656088">
        <w:rPr>
          <w:b/>
          <w:sz w:val="24"/>
          <w:szCs w:val="24"/>
          <w:lang w:val="en-GB"/>
        </w:rPr>
        <w:t>4.7</w:t>
      </w:r>
      <w:r w:rsidRPr="00656088">
        <w:rPr>
          <w:b/>
          <w:sz w:val="24"/>
          <w:szCs w:val="24"/>
          <w:lang w:val="en-GB"/>
        </w:rPr>
        <w:tab/>
        <w:t>Effects on ability to drive and use machines</w:t>
      </w:r>
    </w:p>
    <w:p w:rsidR="00D01D29" w:rsidRPr="00656088" w:rsidRDefault="00D01D29" w:rsidP="00D01D29">
      <w:pPr>
        <w:ind w:left="851" w:hanging="851"/>
        <w:rPr>
          <w:sz w:val="24"/>
          <w:szCs w:val="24"/>
          <w:lang w:val="en-GB"/>
        </w:rPr>
      </w:pPr>
      <w:r w:rsidRPr="00656088">
        <w:rPr>
          <w:sz w:val="24"/>
          <w:szCs w:val="24"/>
          <w:lang w:val="en-GB"/>
        </w:rPr>
        <w:tab/>
        <w:t>Not relevant.</w:t>
      </w:r>
    </w:p>
    <w:p w:rsidR="00D01D29" w:rsidRPr="0024600A" w:rsidRDefault="00D01D29" w:rsidP="00D01D29">
      <w:pPr>
        <w:ind w:left="851" w:hanging="851"/>
        <w:rPr>
          <w:sz w:val="24"/>
          <w:szCs w:val="24"/>
          <w:lang w:val="en-US"/>
        </w:rPr>
      </w:pPr>
    </w:p>
    <w:p w:rsidR="00D01D29" w:rsidRPr="0024600A" w:rsidRDefault="00D01D29" w:rsidP="00D01D29">
      <w:pPr>
        <w:ind w:left="851" w:hanging="851"/>
        <w:rPr>
          <w:b/>
          <w:sz w:val="24"/>
          <w:szCs w:val="24"/>
          <w:lang w:val="en-US"/>
        </w:rPr>
      </w:pPr>
      <w:r w:rsidRPr="0024600A">
        <w:rPr>
          <w:b/>
          <w:sz w:val="24"/>
          <w:szCs w:val="24"/>
          <w:lang w:val="en-US"/>
        </w:rPr>
        <w:t>4.8</w:t>
      </w:r>
      <w:r w:rsidRPr="0024600A">
        <w:rPr>
          <w:b/>
          <w:sz w:val="24"/>
          <w:szCs w:val="24"/>
          <w:lang w:val="en-US"/>
        </w:rPr>
        <w:tab/>
        <w:t>Undesirable effects</w:t>
      </w:r>
    </w:p>
    <w:p w:rsidR="00D01D29" w:rsidRPr="00656088" w:rsidRDefault="00D01D29" w:rsidP="00D01D29">
      <w:pPr>
        <w:ind w:left="851" w:hanging="851"/>
        <w:rPr>
          <w:sz w:val="24"/>
          <w:szCs w:val="24"/>
          <w:lang w:val="en-GB"/>
        </w:rPr>
      </w:pPr>
      <w:r w:rsidRPr="0024600A">
        <w:rPr>
          <w:sz w:val="24"/>
          <w:szCs w:val="24"/>
          <w:lang w:val="en-US"/>
        </w:rPr>
        <w:tab/>
      </w:r>
      <w:r w:rsidRPr="00656088">
        <w:rPr>
          <w:sz w:val="24"/>
          <w:szCs w:val="24"/>
          <w:lang w:val="en-GB"/>
        </w:rPr>
        <w:t xml:space="preserve">Exposure to ionising radiation is linked with cancer induction and a potential for development of hereditary defects. As the effective dose is 7.6 mSv when the maximal recommended activity of 400 </w:t>
      </w:r>
      <w:proofErr w:type="spellStart"/>
      <w:r w:rsidRPr="00656088">
        <w:rPr>
          <w:sz w:val="24"/>
          <w:szCs w:val="24"/>
          <w:lang w:val="en-GB"/>
        </w:rPr>
        <w:t>MBq</w:t>
      </w:r>
      <w:proofErr w:type="spellEnd"/>
      <w:r w:rsidRPr="00656088">
        <w:rPr>
          <w:sz w:val="24"/>
          <w:szCs w:val="24"/>
          <w:lang w:val="en-GB"/>
        </w:rPr>
        <w:t xml:space="preserve"> is administered these adverse events are expected to occur with a low probability.</w:t>
      </w:r>
    </w:p>
    <w:p w:rsidR="00D01D29" w:rsidRPr="00656088" w:rsidRDefault="00D01D29" w:rsidP="00D01D29">
      <w:pPr>
        <w:pStyle w:val="Sidehoved"/>
        <w:tabs>
          <w:tab w:val="clear" w:pos="4819"/>
          <w:tab w:val="clear" w:pos="9638"/>
        </w:tabs>
        <w:ind w:left="851" w:hanging="851"/>
        <w:rPr>
          <w:szCs w:val="24"/>
          <w:lang w:val="en-US"/>
        </w:rPr>
      </w:pPr>
    </w:p>
    <w:p w:rsidR="00D01D29" w:rsidRPr="0024600A" w:rsidRDefault="00D01D29" w:rsidP="00D01D29">
      <w:pPr>
        <w:ind w:left="851" w:hanging="851"/>
        <w:rPr>
          <w:b/>
          <w:sz w:val="24"/>
          <w:szCs w:val="24"/>
          <w:lang w:val="en-US"/>
        </w:rPr>
      </w:pPr>
      <w:r w:rsidRPr="0024600A">
        <w:rPr>
          <w:b/>
          <w:sz w:val="24"/>
          <w:szCs w:val="24"/>
          <w:lang w:val="en-US"/>
        </w:rPr>
        <w:t>4.9</w:t>
      </w:r>
      <w:r w:rsidRPr="0024600A">
        <w:rPr>
          <w:b/>
          <w:sz w:val="24"/>
          <w:szCs w:val="24"/>
          <w:lang w:val="en-US"/>
        </w:rPr>
        <w:tab/>
        <w:t>Overdose</w:t>
      </w:r>
    </w:p>
    <w:p w:rsidR="00D01D29" w:rsidRPr="00656088" w:rsidRDefault="00D01D29" w:rsidP="00D01D29">
      <w:pPr>
        <w:ind w:left="851" w:hanging="851"/>
        <w:rPr>
          <w:sz w:val="24"/>
          <w:szCs w:val="24"/>
          <w:lang w:val="en-GB"/>
        </w:rPr>
      </w:pPr>
      <w:r w:rsidRPr="0024600A">
        <w:rPr>
          <w:sz w:val="24"/>
          <w:szCs w:val="24"/>
          <w:lang w:val="en-US"/>
        </w:rPr>
        <w:tab/>
      </w:r>
      <w:r w:rsidRPr="00656088">
        <w:rPr>
          <w:sz w:val="24"/>
          <w:szCs w:val="24"/>
          <w:lang w:val="en-GB"/>
        </w:rPr>
        <w:t xml:space="preserve">In the event of administration of a radiation overdose with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F) the absorbed dose to the patient should be reduced where possible by increasing the elimination of the radionuclide from the body by forced diuresis and frequent bladder voiding. It might be helpful to estimate the effective dose that was applied.</w:t>
      </w:r>
    </w:p>
    <w:p w:rsidR="00D01D29" w:rsidRPr="00656088" w:rsidRDefault="00D01D29" w:rsidP="00D01D29">
      <w:pPr>
        <w:ind w:left="851" w:hanging="851"/>
        <w:rPr>
          <w:sz w:val="24"/>
          <w:szCs w:val="24"/>
          <w:lang w:val="en-US"/>
        </w:rPr>
      </w:pPr>
    </w:p>
    <w:p w:rsidR="00D01D29" w:rsidRPr="00656088" w:rsidRDefault="00D01D29" w:rsidP="00D01D29">
      <w:pPr>
        <w:ind w:left="851" w:hanging="851"/>
        <w:rPr>
          <w:sz w:val="24"/>
          <w:szCs w:val="24"/>
          <w:lang w:val="en-US"/>
        </w:rPr>
      </w:pPr>
    </w:p>
    <w:p w:rsidR="00D01D29" w:rsidRPr="0024600A" w:rsidRDefault="00D01D29" w:rsidP="00D01D29">
      <w:pPr>
        <w:ind w:left="851" w:hanging="851"/>
        <w:rPr>
          <w:b/>
          <w:sz w:val="24"/>
          <w:szCs w:val="24"/>
          <w:lang w:val="en-US"/>
        </w:rPr>
      </w:pPr>
      <w:r w:rsidRPr="0024600A">
        <w:rPr>
          <w:b/>
          <w:sz w:val="24"/>
          <w:szCs w:val="24"/>
          <w:lang w:val="en-US"/>
        </w:rPr>
        <w:t>5.</w:t>
      </w:r>
      <w:r w:rsidRPr="0024600A">
        <w:rPr>
          <w:b/>
          <w:sz w:val="24"/>
          <w:szCs w:val="24"/>
          <w:lang w:val="en-US"/>
        </w:rPr>
        <w:tab/>
        <w:t>PHARMACOLOGICAL PROPERTIES</w:t>
      </w:r>
    </w:p>
    <w:p w:rsidR="00D01D29" w:rsidRPr="0024600A" w:rsidRDefault="00D01D29" w:rsidP="00D01D29">
      <w:pPr>
        <w:ind w:left="851" w:hanging="851"/>
        <w:rPr>
          <w:sz w:val="24"/>
          <w:szCs w:val="24"/>
          <w:lang w:val="en-US"/>
        </w:rPr>
      </w:pPr>
    </w:p>
    <w:p w:rsidR="00D01D29" w:rsidRPr="0024600A" w:rsidRDefault="00D01D29" w:rsidP="00D01D29">
      <w:pPr>
        <w:ind w:left="851" w:hanging="851"/>
        <w:rPr>
          <w:b/>
          <w:sz w:val="24"/>
          <w:szCs w:val="24"/>
          <w:lang w:val="en-US"/>
        </w:rPr>
      </w:pPr>
      <w:r w:rsidRPr="0024600A">
        <w:rPr>
          <w:b/>
          <w:sz w:val="24"/>
          <w:szCs w:val="24"/>
          <w:lang w:val="en-US"/>
        </w:rPr>
        <w:t>5.1</w:t>
      </w:r>
      <w:r w:rsidRPr="0024600A">
        <w:rPr>
          <w:b/>
          <w:sz w:val="24"/>
          <w:szCs w:val="24"/>
          <w:lang w:val="en-US"/>
        </w:rPr>
        <w:tab/>
        <w:t>Pharmacodynamic properties</w:t>
      </w:r>
      <w:r w:rsidRPr="0024600A">
        <w:rPr>
          <w:b/>
          <w:sz w:val="24"/>
          <w:szCs w:val="24"/>
          <w:lang w:val="en-US"/>
        </w:rPr>
        <w:tab/>
      </w:r>
    </w:p>
    <w:p w:rsidR="00D01D29" w:rsidRPr="00656088" w:rsidRDefault="00D01D29" w:rsidP="00D01D29">
      <w:pPr>
        <w:ind w:left="851" w:hanging="851"/>
        <w:rPr>
          <w:sz w:val="24"/>
          <w:szCs w:val="24"/>
          <w:lang w:val="en-GB"/>
        </w:rPr>
      </w:pPr>
      <w:r w:rsidRPr="0024600A">
        <w:rPr>
          <w:sz w:val="24"/>
          <w:szCs w:val="24"/>
          <w:lang w:val="en-US"/>
        </w:rPr>
        <w:tab/>
      </w:r>
      <w:r w:rsidRPr="00656088">
        <w:rPr>
          <w:sz w:val="24"/>
          <w:szCs w:val="24"/>
          <w:lang w:val="en-GB"/>
        </w:rPr>
        <w:t>Pharmacotherapeutic group: diagnostic radiopharmaceuticals, other diagnostic radiopharmaceuticals for tumour detection, ATC code: V09IX04</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lang w:val="en-GB"/>
        </w:rPr>
      </w:pPr>
      <w:r w:rsidRPr="00656088">
        <w:rPr>
          <w:sz w:val="24"/>
          <w:szCs w:val="24"/>
          <w:lang w:val="en-GB"/>
        </w:rPr>
        <w:t>Pharmacodynamic effects</w:t>
      </w:r>
    </w:p>
    <w:p w:rsidR="00D01D29" w:rsidRPr="00656088" w:rsidRDefault="00D01D29" w:rsidP="00D01D29">
      <w:pPr>
        <w:ind w:left="851"/>
        <w:rPr>
          <w:sz w:val="24"/>
          <w:szCs w:val="24"/>
          <w:lang w:val="en-GB"/>
        </w:rPr>
      </w:pPr>
      <w:r w:rsidRPr="00656088">
        <w:rPr>
          <w:sz w:val="24"/>
          <w:szCs w:val="24"/>
          <w:lang w:val="en-GB"/>
        </w:rPr>
        <w:t xml:space="preserve">At the chemical concentrations used for diagnostic examinations, </w:t>
      </w:r>
      <w:proofErr w:type="spellStart"/>
      <w:r w:rsidRPr="00656088">
        <w:rPr>
          <w:sz w:val="24"/>
          <w:szCs w:val="24"/>
          <w:lang w:val="en-GB"/>
        </w:rPr>
        <w:t>fludeoxyglucose</w:t>
      </w:r>
      <w:proofErr w:type="spellEnd"/>
      <w:r w:rsidRPr="00656088">
        <w:rPr>
          <w:sz w:val="24"/>
          <w:szCs w:val="24"/>
          <w:lang w:val="en-GB"/>
        </w:rPr>
        <w:t xml:space="preserve"> (</w:t>
      </w:r>
      <w:smartTag w:uri="urn:schemas-microsoft-com:office:smarttags" w:element="metricconverter">
        <w:smartTagPr>
          <w:attr w:name="ProductID" w:val="18F"/>
        </w:smartTagPr>
        <w:r w:rsidRPr="00656088">
          <w:rPr>
            <w:sz w:val="24"/>
            <w:szCs w:val="24"/>
            <w:vertAlign w:val="superscript"/>
            <w:lang w:val="en-GB"/>
          </w:rPr>
          <w:t>18</w:t>
        </w:r>
        <w:r w:rsidRPr="00656088">
          <w:rPr>
            <w:sz w:val="24"/>
            <w:szCs w:val="24"/>
            <w:lang w:val="en-GB"/>
          </w:rPr>
          <w:t>F</w:t>
        </w:r>
      </w:smartTag>
      <w:r w:rsidRPr="00656088">
        <w:rPr>
          <w:sz w:val="24"/>
          <w:szCs w:val="24"/>
          <w:lang w:val="en-GB"/>
        </w:rPr>
        <w:t>) does not appear to have any pharmacodynamic activity.</w:t>
      </w:r>
    </w:p>
    <w:p w:rsidR="00D01D29" w:rsidRPr="00656088" w:rsidRDefault="00D01D29" w:rsidP="00D01D29">
      <w:pPr>
        <w:ind w:left="851" w:hanging="851"/>
        <w:rPr>
          <w:sz w:val="24"/>
          <w:szCs w:val="24"/>
          <w:lang w:val="en-US"/>
        </w:rPr>
      </w:pPr>
    </w:p>
    <w:p w:rsidR="00D01D29" w:rsidRPr="0024600A" w:rsidRDefault="00D01D29" w:rsidP="00D01D29">
      <w:pPr>
        <w:ind w:left="851" w:hanging="851"/>
        <w:rPr>
          <w:b/>
          <w:sz w:val="24"/>
          <w:szCs w:val="24"/>
          <w:lang w:val="en-US"/>
        </w:rPr>
      </w:pPr>
      <w:r w:rsidRPr="0024600A">
        <w:rPr>
          <w:b/>
          <w:sz w:val="24"/>
          <w:szCs w:val="24"/>
          <w:lang w:val="en-US"/>
        </w:rPr>
        <w:t>5.2</w:t>
      </w:r>
      <w:r w:rsidRPr="0024600A">
        <w:rPr>
          <w:b/>
          <w:sz w:val="24"/>
          <w:szCs w:val="24"/>
          <w:lang w:val="en-US"/>
        </w:rPr>
        <w:tab/>
        <w:t>Pharmacokinetic properties</w:t>
      </w:r>
      <w:r w:rsidRPr="0024600A">
        <w:rPr>
          <w:b/>
          <w:sz w:val="24"/>
          <w:szCs w:val="24"/>
          <w:lang w:val="en-US"/>
        </w:rPr>
        <w:tab/>
      </w:r>
    </w:p>
    <w:p w:rsidR="00D01D29" w:rsidRPr="0024600A" w:rsidRDefault="00D01D29" w:rsidP="00D01D29">
      <w:pPr>
        <w:ind w:left="851" w:hanging="851"/>
        <w:rPr>
          <w:sz w:val="24"/>
          <w:szCs w:val="24"/>
          <w:lang w:val="en-US"/>
        </w:rPr>
      </w:pPr>
    </w:p>
    <w:p w:rsidR="00D01D29" w:rsidRPr="00656088" w:rsidRDefault="00D01D29" w:rsidP="00D01D29">
      <w:pPr>
        <w:ind w:left="851" w:hanging="851"/>
        <w:rPr>
          <w:sz w:val="24"/>
          <w:szCs w:val="24"/>
          <w:u w:val="single"/>
          <w:lang w:val="en-GB"/>
        </w:rPr>
      </w:pPr>
      <w:r w:rsidRPr="0024600A">
        <w:rPr>
          <w:sz w:val="24"/>
          <w:szCs w:val="24"/>
          <w:lang w:val="en-US"/>
        </w:rPr>
        <w:tab/>
      </w:r>
      <w:r w:rsidRPr="00656088">
        <w:rPr>
          <w:sz w:val="24"/>
          <w:szCs w:val="24"/>
          <w:u w:val="single"/>
          <w:lang w:val="en-GB"/>
        </w:rPr>
        <w:t>Distribution</w:t>
      </w:r>
    </w:p>
    <w:p w:rsidR="00D01D29" w:rsidRPr="00656088" w:rsidRDefault="00D01D29" w:rsidP="00D01D29">
      <w:pPr>
        <w:ind w:left="851"/>
        <w:rPr>
          <w:sz w:val="24"/>
          <w:szCs w:val="24"/>
          <w:lang w:val="en-GB"/>
        </w:rPr>
      </w:pPr>
      <w:proofErr w:type="spellStart"/>
      <w:r w:rsidRPr="00656088">
        <w:rPr>
          <w:sz w:val="24"/>
          <w:szCs w:val="24"/>
          <w:lang w:val="en-GB"/>
        </w:rPr>
        <w:t>Fludeoxyglucose</w:t>
      </w:r>
      <w:proofErr w:type="spellEnd"/>
      <w:r w:rsidRPr="00656088">
        <w:rPr>
          <w:sz w:val="24"/>
          <w:szCs w:val="24"/>
          <w:lang w:val="en-GB"/>
        </w:rPr>
        <w:t xml:space="preserve"> (</w:t>
      </w:r>
      <w:smartTag w:uri="urn:schemas-microsoft-com:office:smarttags" w:element="metricconverter">
        <w:smartTagPr>
          <w:attr w:name="ProductID" w:val="18F"/>
        </w:smartTagPr>
        <w:r w:rsidRPr="00656088">
          <w:rPr>
            <w:sz w:val="24"/>
            <w:szCs w:val="24"/>
            <w:vertAlign w:val="superscript"/>
            <w:lang w:val="en-GB"/>
          </w:rPr>
          <w:t>18</w:t>
        </w:r>
        <w:r w:rsidRPr="00656088">
          <w:rPr>
            <w:sz w:val="24"/>
            <w:szCs w:val="24"/>
            <w:lang w:val="en-GB"/>
          </w:rPr>
          <w:t>F</w:t>
        </w:r>
      </w:smartTag>
      <w:r w:rsidRPr="00656088">
        <w:rPr>
          <w:sz w:val="24"/>
          <w:szCs w:val="24"/>
          <w:lang w:val="en-GB"/>
        </w:rPr>
        <w:t xml:space="preserve">) is a glucose analogue which is accumulated in all cells using glucose as primary energy source.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 xml:space="preserve">F) is accumulated in tumours with a high glucose turnover. </w:t>
      </w:r>
    </w:p>
    <w:p w:rsidR="00D01D29" w:rsidRPr="00656088" w:rsidRDefault="00D01D29" w:rsidP="00D01D29">
      <w:pPr>
        <w:ind w:left="851"/>
        <w:rPr>
          <w:sz w:val="24"/>
          <w:szCs w:val="24"/>
          <w:lang w:val="en-GB"/>
        </w:rPr>
      </w:pPr>
      <w:r w:rsidRPr="00656088">
        <w:rPr>
          <w:sz w:val="24"/>
          <w:szCs w:val="24"/>
          <w:lang w:val="en-GB"/>
        </w:rPr>
        <w:t xml:space="preserve">Following intravenous injection, the pharmacokinetic profile of </w:t>
      </w:r>
      <w:proofErr w:type="spellStart"/>
      <w:r w:rsidRPr="00656088">
        <w:rPr>
          <w:sz w:val="24"/>
          <w:szCs w:val="24"/>
          <w:lang w:val="en-GB"/>
        </w:rPr>
        <w:t>fludeoxyglucose</w:t>
      </w:r>
      <w:proofErr w:type="spellEnd"/>
      <w:r w:rsidRPr="00656088">
        <w:rPr>
          <w:sz w:val="24"/>
          <w:szCs w:val="24"/>
          <w:lang w:val="en-GB"/>
        </w:rPr>
        <w:t xml:space="preserve"> (</w:t>
      </w:r>
      <w:smartTag w:uri="urn:schemas-microsoft-com:office:smarttags" w:element="metricconverter">
        <w:smartTagPr>
          <w:attr w:name="ProductID" w:val="18F"/>
        </w:smartTagPr>
        <w:r w:rsidRPr="00656088">
          <w:rPr>
            <w:sz w:val="24"/>
            <w:szCs w:val="24"/>
            <w:vertAlign w:val="superscript"/>
            <w:lang w:val="en-GB"/>
          </w:rPr>
          <w:t>18</w:t>
        </w:r>
        <w:r w:rsidRPr="00656088">
          <w:rPr>
            <w:sz w:val="24"/>
            <w:szCs w:val="24"/>
            <w:lang w:val="en-GB"/>
          </w:rPr>
          <w:t>F</w:t>
        </w:r>
      </w:smartTag>
      <w:r w:rsidRPr="00656088">
        <w:rPr>
          <w:sz w:val="24"/>
          <w:szCs w:val="24"/>
          <w:lang w:val="en-GB"/>
        </w:rPr>
        <w:t>) in the vascular compartment is biexponential. It has a distribution time of 1 minute and an elimination time of approximately 12 minutes.</w:t>
      </w:r>
    </w:p>
    <w:p w:rsidR="00D01D29" w:rsidRPr="00656088" w:rsidRDefault="00D01D29" w:rsidP="00D01D29">
      <w:pPr>
        <w:ind w:left="851"/>
        <w:rPr>
          <w:sz w:val="24"/>
          <w:szCs w:val="24"/>
          <w:lang w:val="en-GB"/>
        </w:rPr>
      </w:pPr>
      <w:r w:rsidRPr="00656088">
        <w:rPr>
          <w:sz w:val="24"/>
          <w:szCs w:val="24"/>
          <w:lang w:val="en-GB"/>
        </w:rPr>
        <w:t xml:space="preserve">In healthy subjects,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F) is widely distributed throughout the body, particularly in the brain and heart, and to a lesser degree in the lungs and liver.</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u w:val="single"/>
          <w:lang w:val="en-GB"/>
        </w:rPr>
      </w:pPr>
      <w:r w:rsidRPr="00656088">
        <w:rPr>
          <w:sz w:val="24"/>
          <w:szCs w:val="24"/>
          <w:u w:val="single"/>
          <w:lang w:val="en-GB"/>
        </w:rPr>
        <w:t>Organ uptake</w:t>
      </w:r>
    </w:p>
    <w:p w:rsidR="00D01D29" w:rsidRPr="00656088" w:rsidRDefault="00D01D29" w:rsidP="00D01D29">
      <w:pPr>
        <w:ind w:left="851"/>
        <w:rPr>
          <w:sz w:val="24"/>
          <w:szCs w:val="24"/>
          <w:lang w:val="en-GB"/>
        </w:rPr>
      </w:pPr>
      <w:r w:rsidRPr="00656088">
        <w:rPr>
          <w:sz w:val="24"/>
          <w:szCs w:val="24"/>
          <w:lang w:val="en-GB"/>
        </w:rPr>
        <w:t xml:space="preserve">The cellular uptake of </w:t>
      </w:r>
      <w:proofErr w:type="spellStart"/>
      <w:r w:rsidRPr="00656088">
        <w:rPr>
          <w:sz w:val="24"/>
          <w:szCs w:val="24"/>
          <w:lang w:val="en-GB"/>
        </w:rPr>
        <w:t>fludeoxyglucose</w:t>
      </w:r>
      <w:proofErr w:type="spellEnd"/>
      <w:r w:rsidRPr="00656088">
        <w:rPr>
          <w:sz w:val="24"/>
          <w:szCs w:val="24"/>
          <w:lang w:val="en-GB"/>
        </w:rPr>
        <w:t xml:space="preserve"> (</w:t>
      </w:r>
      <w:smartTag w:uri="urn:schemas-microsoft-com:office:smarttags" w:element="metricconverter">
        <w:smartTagPr>
          <w:attr w:name="ProductID" w:val="18F"/>
        </w:smartTagPr>
        <w:r w:rsidRPr="00656088">
          <w:rPr>
            <w:sz w:val="24"/>
            <w:szCs w:val="24"/>
            <w:vertAlign w:val="superscript"/>
            <w:lang w:val="en-GB"/>
          </w:rPr>
          <w:t>18</w:t>
        </w:r>
        <w:r w:rsidRPr="00656088">
          <w:rPr>
            <w:sz w:val="24"/>
            <w:szCs w:val="24"/>
            <w:lang w:val="en-GB"/>
          </w:rPr>
          <w:t>F</w:t>
        </w:r>
      </w:smartTag>
      <w:r w:rsidRPr="00656088">
        <w:rPr>
          <w:sz w:val="24"/>
          <w:szCs w:val="24"/>
          <w:lang w:val="en-GB"/>
        </w:rPr>
        <w:t xml:space="preserve">) is performed by tissue-specific carrier systems which are partly insulin-dependent and, thus, can be influenced by eating, nutritional condition and the existence of a diabetes mellitus. In patients with a diabetes mellitus a reduced uptake of </w:t>
      </w:r>
      <w:proofErr w:type="spellStart"/>
      <w:r w:rsidRPr="00656088">
        <w:rPr>
          <w:sz w:val="24"/>
          <w:szCs w:val="24"/>
          <w:lang w:val="en-GB"/>
        </w:rPr>
        <w:t>fludeoxyglucose</w:t>
      </w:r>
      <w:proofErr w:type="spellEnd"/>
      <w:r w:rsidRPr="00656088">
        <w:rPr>
          <w:sz w:val="24"/>
          <w:szCs w:val="24"/>
          <w:lang w:val="en-GB"/>
        </w:rPr>
        <w:t xml:space="preserve"> (</w:t>
      </w:r>
      <w:smartTag w:uri="urn:schemas-microsoft-com:office:smarttags" w:element="metricconverter">
        <w:smartTagPr>
          <w:attr w:name="ProductID" w:val="18F"/>
        </w:smartTagPr>
        <w:r w:rsidRPr="00656088">
          <w:rPr>
            <w:sz w:val="24"/>
            <w:szCs w:val="24"/>
            <w:vertAlign w:val="superscript"/>
            <w:lang w:val="en-GB"/>
          </w:rPr>
          <w:t>18</w:t>
        </w:r>
        <w:r w:rsidRPr="00656088">
          <w:rPr>
            <w:sz w:val="24"/>
            <w:szCs w:val="24"/>
            <w:lang w:val="en-GB"/>
          </w:rPr>
          <w:t>F</w:t>
        </w:r>
      </w:smartTag>
      <w:r w:rsidRPr="00656088">
        <w:rPr>
          <w:sz w:val="24"/>
          <w:szCs w:val="24"/>
          <w:lang w:val="en-GB"/>
        </w:rPr>
        <w:t>) into the cells occurs due to a changed tissue distribution and glucose metabolism.</w:t>
      </w:r>
    </w:p>
    <w:p w:rsidR="00D01D29" w:rsidRPr="00656088" w:rsidRDefault="00D01D29" w:rsidP="00D01D29">
      <w:pPr>
        <w:ind w:left="851"/>
        <w:rPr>
          <w:sz w:val="24"/>
          <w:szCs w:val="24"/>
          <w:lang w:val="en-GB"/>
        </w:rPr>
      </w:pPr>
      <w:proofErr w:type="spellStart"/>
      <w:r w:rsidRPr="00656088">
        <w:rPr>
          <w:sz w:val="24"/>
          <w:szCs w:val="24"/>
          <w:lang w:val="en-GB"/>
        </w:rPr>
        <w:t>Fludeoxyglucose</w:t>
      </w:r>
      <w:proofErr w:type="spellEnd"/>
      <w:r w:rsidRPr="00656088">
        <w:rPr>
          <w:sz w:val="24"/>
          <w:szCs w:val="24"/>
          <w:lang w:val="en-GB"/>
        </w:rPr>
        <w:t xml:space="preserve"> (</w:t>
      </w:r>
      <w:smartTag w:uri="urn:schemas-microsoft-com:office:smarttags" w:element="metricconverter">
        <w:smartTagPr>
          <w:attr w:name="ProductID" w:val="18F"/>
        </w:smartTagPr>
        <w:r w:rsidRPr="00656088">
          <w:rPr>
            <w:sz w:val="24"/>
            <w:szCs w:val="24"/>
            <w:vertAlign w:val="superscript"/>
            <w:lang w:val="en-GB"/>
          </w:rPr>
          <w:t>18</w:t>
        </w:r>
        <w:r w:rsidRPr="00656088">
          <w:rPr>
            <w:sz w:val="24"/>
            <w:szCs w:val="24"/>
            <w:lang w:val="en-GB"/>
          </w:rPr>
          <w:t>F</w:t>
        </w:r>
      </w:smartTag>
      <w:r w:rsidRPr="00656088">
        <w:rPr>
          <w:sz w:val="24"/>
          <w:szCs w:val="24"/>
          <w:lang w:val="en-GB"/>
        </w:rPr>
        <w:t xml:space="preserve">) is transported via the cell membrane in similar fashion to glucose, but only undergoes the first step of glycolysis resulting in formation of </w:t>
      </w:r>
      <w:proofErr w:type="spellStart"/>
      <w:r w:rsidRPr="00656088">
        <w:rPr>
          <w:sz w:val="24"/>
          <w:szCs w:val="24"/>
          <w:lang w:val="en-GB"/>
        </w:rPr>
        <w:t>fludeoxyglucose</w:t>
      </w:r>
      <w:proofErr w:type="spellEnd"/>
      <w:r w:rsidRPr="00656088">
        <w:rPr>
          <w:sz w:val="24"/>
          <w:szCs w:val="24"/>
          <w:lang w:val="en-GB"/>
        </w:rPr>
        <w:t xml:space="preserve"> (</w:t>
      </w:r>
      <w:smartTag w:uri="urn:schemas-microsoft-com:office:smarttags" w:element="metricconverter">
        <w:smartTagPr>
          <w:attr w:name="ProductID" w:val="18F"/>
        </w:smartTagPr>
        <w:r w:rsidRPr="00656088">
          <w:rPr>
            <w:sz w:val="24"/>
            <w:szCs w:val="24"/>
            <w:vertAlign w:val="superscript"/>
            <w:lang w:val="en-GB"/>
          </w:rPr>
          <w:t>18</w:t>
        </w:r>
        <w:r w:rsidRPr="00656088">
          <w:rPr>
            <w:sz w:val="24"/>
            <w:szCs w:val="24"/>
            <w:lang w:val="en-GB"/>
          </w:rPr>
          <w:t>F</w:t>
        </w:r>
      </w:smartTag>
      <w:r w:rsidRPr="00656088">
        <w:rPr>
          <w:sz w:val="24"/>
          <w:szCs w:val="24"/>
          <w:lang w:val="en-GB"/>
        </w:rPr>
        <w:t xml:space="preserve">) -6-phosphate, which remains trapped within the tumour cells and is not further metabolised. Since the following dephosphorylation by intracellular phosphatases is slow, </w:t>
      </w:r>
      <w:proofErr w:type="spellStart"/>
      <w:r w:rsidRPr="00656088">
        <w:rPr>
          <w:sz w:val="24"/>
          <w:szCs w:val="24"/>
          <w:lang w:val="en-GB"/>
        </w:rPr>
        <w:t>fludeoxyglucose</w:t>
      </w:r>
      <w:proofErr w:type="spellEnd"/>
      <w:r w:rsidRPr="00656088">
        <w:rPr>
          <w:sz w:val="24"/>
          <w:szCs w:val="24"/>
          <w:lang w:val="en-GB"/>
        </w:rPr>
        <w:t xml:space="preserve"> (</w:t>
      </w:r>
      <w:smartTag w:uri="urn:schemas-microsoft-com:office:smarttags" w:element="metricconverter">
        <w:smartTagPr>
          <w:attr w:name="ProductID" w:val="18F"/>
        </w:smartTagPr>
        <w:r w:rsidRPr="00656088">
          <w:rPr>
            <w:sz w:val="24"/>
            <w:szCs w:val="24"/>
            <w:vertAlign w:val="superscript"/>
            <w:lang w:val="en-GB"/>
          </w:rPr>
          <w:t>18</w:t>
        </w:r>
        <w:r w:rsidRPr="00656088">
          <w:rPr>
            <w:sz w:val="24"/>
            <w:szCs w:val="24"/>
            <w:lang w:val="en-GB"/>
          </w:rPr>
          <w:t>F</w:t>
        </w:r>
      </w:smartTag>
      <w:r w:rsidRPr="00656088">
        <w:rPr>
          <w:sz w:val="24"/>
          <w:szCs w:val="24"/>
          <w:lang w:val="en-GB"/>
        </w:rPr>
        <w:t>) -6-phosphate is retained in the tissue over several hours (trapping-mechanism).</w:t>
      </w:r>
    </w:p>
    <w:p w:rsidR="00D01D29" w:rsidRPr="00656088" w:rsidRDefault="00D01D29" w:rsidP="00D01D29">
      <w:pPr>
        <w:ind w:left="851"/>
        <w:rPr>
          <w:sz w:val="24"/>
          <w:szCs w:val="24"/>
          <w:lang w:val="en-GB"/>
        </w:rPr>
      </w:pP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F) passes the blood-brain barrier. Approximately 7 % of the injected dose is accumulated in the brain within 80-100 minutes after injection. Epileptogenic foci exhibit a reduced glucose metabolism in the seizure free phases.</w:t>
      </w:r>
    </w:p>
    <w:p w:rsidR="00D01D29" w:rsidRPr="00656088" w:rsidRDefault="00D01D29" w:rsidP="00D01D29">
      <w:pPr>
        <w:ind w:left="851"/>
        <w:rPr>
          <w:sz w:val="24"/>
          <w:szCs w:val="24"/>
          <w:lang w:val="en-GB"/>
        </w:rPr>
      </w:pPr>
      <w:r w:rsidRPr="00656088">
        <w:rPr>
          <w:sz w:val="24"/>
          <w:szCs w:val="24"/>
          <w:lang w:val="en-GB"/>
        </w:rPr>
        <w:t xml:space="preserve">Approximately 3 % of the injected activity is taken-up by the myocardium within 40 minutes. The distribution of </w:t>
      </w:r>
      <w:proofErr w:type="spellStart"/>
      <w:r w:rsidRPr="00656088">
        <w:rPr>
          <w:sz w:val="24"/>
          <w:szCs w:val="24"/>
          <w:lang w:val="en-GB"/>
        </w:rPr>
        <w:t>fludeoxyglucose</w:t>
      </w:r>
      <w:proofErr w:type="spellEnd"/>
      <w:r w:rsidRPr="00656088">
        <w:rPr>
          <w:sz w:val="24"/>
          <w:szCs w:val="24"/>
          <w:lang w:val="en-GB"/>
        </w:rPr>
        <w:t xml:space="preserve"> (</w:t>
      </w:r>
      <w:smartTag w:uri="urn:schemas-microsoft-com:office:smarttags" w:element="metricconverter">
        <w:smartTagPr>
          <w:attr w:name="ProductID" w:val="18F"/>
        </w:smartTagPr>
        <w:r w:rsidRPr="00656088">
          <w:rPr>
            <w:sz w:val="24"/>
            <w:szCs w:val="24"/>
            <w:vertAlign w:val="superscript"/>
            <w:lang w:val="en-GB"/>
          </w:rPr>
          <w:t>18</w:t>
        </w:r>
        <w:r w:rsidRPr="00656088">
          <w:rPr>
            <w:sz w:val="24"/>
            <w:szCs w:val="24"/>
            <w:lang w:val="en-GB"/>
          </w:rPr>
          <w:t>F</w:t>
        </w:r>
      </w:smartTag>
      <w:r w:rsidRPr="00656088">
        <w:rPr>
          <w:sz w:val="24"/>
          <w:szCs w:val="24"/>
          <w:lang w:val="en-GB"/>
        </w:rPr>
        <w:t xml:space="preserve">) in normal heart is mainly homogenous, however, regional differences of up to 15 % are described for the interventricular septum. During and after a reversible myocardial ischemia, an increased glucose uptake occurs into the myocardial cell. </w:t>
      </w:r>
    </w:p>
    <w:p w:rsidR="00D01D29" w:rsidRPr="00656088" w:rsidRDefault="00D01D29" w:rsidP="00D01D29">
      <w:pPr>
        <w:ind w:left="851"/>
        <w:rPr>
          <w:sz w:val="24"/>
          <w:szCs w:val="24"/>
          <w:lang w:val="en-GB"/>
        </w:rPr>
      </w:pPr>
      <w:r w:rsidRPr="00656088">
        <w:rPr>
          <w:sz w:val="24"/>
          <w:szCs w:val="24"/>
          <w:lang w:val="en-GB"/>
        </w:rPr>
        <w:t xml:space="preserve">0.3 % and 0.9 - 2.4 % of the injected activity are accumulated in pancreas and lung. </w:t>
      </w:r>
    </w:p>
    <w:p w:rsidR="00D01D29" w:rsidRPr="00656088" w:rsidRDefault="00D01D29" w:rsidP="00D01D29">
      <w:pPr>
        <w:ind w:left="851"/>
        <w:rPr>
          <w:sz w:val="24"/>
          <w:szCs w:val="24"/>
          <w:lang w:val="en-GB"/>
        </w:rPr>
      </w:pPr>
      <w:proofErr w:type="spellStart"/>
      <w:r w:rsidRPr="00656088">
        <w:rPr>
          <w:sz w:val="24"/>
          <w:szCs w:val="24"/>
          <w:lang w:val="en-GB"/>
        </w:rPr>
        <w:t>Fludeoxyglucose</w:t>
      </w:r>
      <w:proofErr w:type="spellEnd"/>
      <w:r w:rsidRPr="00656088">
        <w:rPr>
          <w:sz w:val="24"/>
          <w:szCs w:val="24"/>
          <w:lang w:val="en-GB"/>
        </w:rPr>
        <w:t xml:space="preserve"> (</w:t>
      </w:r>
      <w:smartTag w:uri="urn:schemas-microsoft-com:office:smarttags" w:element="metricconverter">
        <w:smartTagPr>
          <w:attr w:name="ProductID" w:val="18F"/>
        </w:smartTagPr>
        <w:r w:rsidRPr="00656088">
          <w:rPr>
            <w:sz w:val="24"/>
            <w:szCs w:val="24"/>
            <w:vertAlign w:val="superscript"/>
            <w:lang w:val="en-GB"/>
          </w:rPr>
          <w:t>18</w:t>
        </w:r>
        <w:r w:rsidRPr="00656088">
          <w:rPr>
            <w:sz w:val="24"/>
            <w:szCs w:val="24"/>
            <w:lang w:val="en-GB"/>
          </w:rPr>
          <w:t>F</w:t>
        </w:r>
      </w:smartTag>
      <w:r w:rsidRPr="00656088">
        <w:rPr>
          <w:sz w:val="24"/>
          <w:szCs w:val="24"/>
          <w:lang w:val="en-GB"/>
        </w:rPr>
        <w:t>) is also bound to a lesser extent to ocular muscle, pharynx and intestine. Binding to muscle may be seen following recent exertion and in the event of muscular effort during the examination.</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u w:val="single"/>
          <w:lang w:val="en-GB"/>
        </w:rPr>
      </w:pPr>
      <w:r w:rsidRPr="00656088">
        <w:rPr>
          <w:sz w:val="24"/>
          <w:szCs w:val="24"/>
          <w:u w:val="single"/>
          <w:lang w:val="en-GB"/>
        </w:rPr>
        <w:t>Elimination</w:t>
      </w:r>
    </w:p>
    <w:p w:rsidR="00D01D29" w:rsidRPr="00656088" w:rsidRDefault="00D01D29" w:rsidP="00D01D29">
      <w:pPr>
        <w:ind w:left="851"/>
        <w:rPr>
          <w:sz w:val="24"/>
          <w:szCs w:val="24"/>
          <w:lang w:val="en-GB"/>
        </w:rPr>
      </w:pPr>
      <w:r w:rsidRPr="00656088">
        <w:rPr>
          <w:sz w:val="24"/>
          <w:szCs w:val="24"/>
          <w:lang w:val="en-GB"/>
        </w:rPr>
        <w:t xml:space="preserve">Elimination of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F) is chiefly renal, with 20 % of activity being excreted in urine in the 2 hours following injection.</w:t>
      </w:r>
    </w:p>
    <w:p w:rsidR="00D01D29" w:rsidRPr="00656088" w:rsidRDefault="00D01D29" w:rsidP="00D01D29">
      <w:pPr>
        <w:ind w:left="851"/>
        <w:rPr>
          <w:sz w:val="24"/>
          <w:szCs w:val="24"/>
          <w:lang w:val="en-GB"/>
        </w:rPr>
      </w:pPr>
      <w:r w:rsidRPr="00656088">
        <w:rPr>
          <w:sz w:val="24"/>
          <w:szCs w:val="24"/>
          <w:lang w:val="en-GB"/>
        </w:rPr>
        <w:t xml:space="preserve">Binding to renal parenchyma is weak, but because of renal elimination of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F), the entire urinary system, particularly the bladder, exhibits marked activity.</w:t>
      </w:r>
    </w:p>
    <w:p w:rsidR="00D01D29" w:rsidRPr="00656088" w:rsidRDefault="00D01D29" w:rsidP="00D01D29">
      <w:pPr>
        <w:ind w:left="851" w:hanging="851"/>
        <w:rPr>
          <w:sz w:val="24"/>
          <w:szCs w:val="24"/>
          <w:lang w:val="en-US"/>
        </w:rPr>
      </w:pPr>
    </w:p>
    <w:p w:rsidR="00D01D29" w:rsidRPr="00DC0126" w:rsidRDefault="00D01D29" w:rsidP="00D01D29">
      <w:pPr>
        <w:ind w:left="851" w:hanging="851"/>
        <w:rPr>
          <w:b/>
          <w:sz w:val="24"/>
          <w:szCs w:val="24"/>
          <w:lang w:val="en-US"/>
        </w:rPr>
      </w:pPr>
      <w:r w:rsidRPr="00DC0126">
        <w:rPr>
          <w:b/>
          <w:sz w:val="24"/>
          <w:szCs w:val="24"/>
          <w:lang w:val="en-US"/>
        </w:rPr>
        <w:t>5.3</w:t>
      </w:r>
      <w:r w:rsidRPr="00DC0126">
        <w:rPr>
          <w:b/>
          <w:sz w:val="24"/>
          <w:szCs w:val="24"/>
          <w:lang w:val="en-US"/>
        </w:rPr>
        <w:tab/>
        <w:t>Preclinical safety data</w:t>
      </w:r>
    </w:p>
    <w:p w:rsidR="00D01D29" w:rsidRPr="00656088" w:rsidRDefault="00D01D29" w:rsidP="00D01D29">
      <w:pPr>
        <w:ind w:left="851" w:hanging="851"/>
        <w:rPr>
          <w:sz w:val="24"/>
          <w:szCs w:val="24"/>
          <w:lang w:val="en-GB"/>
        </w:rPr>
      </w:pPr>
      <w:r w:rsidRPr="00DC0126">
        <w:rPr>
          <w:sz w:val="24"/>
          <w:szCs w:val="24"/>
          <w:lang w:val="en-US"/>
        </w:rPr>
        <w:tab/>
      </w:r>
      <w:r w:rsidRPr="00656088">
        <w:rPr>
          <w:sz w:val="24"/>
          <w:szCs w:val="24"/>
          <w:lang w:val="en-GB"/>
        </w:rPr>
        <w:t>Toxicological studies</w:t>
      </w:r>
      <w:r>
        <w:rPr>
          <w:sz w:val="24"/>
          <w:szCs w:val="24"/>
          <w:lang w:val="en-GB"/>
        </w:rPr>
        <w:t xml:space="preserve"> </w:t>
      </w:r>
      <w:r w:rsidRPr="00656088">
        <w:rPr>
          <w:sz w:val="24"/>
          <w:szCs w:val="24"/>
          <w:lang w:val="en-GB"/>
        </w:rPr>
        <w:t>with mice and rats have demonstrated that with a single intravenous injection of fl0.0002 mg/kg no deaths were observed. Toxicity with repeated administration was not performed because X is administered in a single dose. This medicinal product is not intended for regular or continuous administration.</w:t>
      </w:r>
    </w:p>
    <w:p w:rsidR="00D01D29" w:rsidRPr="00656088" w:rsidRDefault="00D01D29" w:rsidP="00D01D29">
      <w:pPr>
        <w:ind w:left="851"/>
        <w:rPr>
          <w:sz w:val="24"/>
          <w:szCs w:val="24"/>
          <w:lang w:val="en-GB"/>
        </w:rPr>
      </w:pPr>
      <w:r w:rsidRPr="00656088">
        <w:rPr>
          <w:sz w:val="24"/>
          <w:szCs w:val="24"/>
          <w:lang w:val="en-GB"/>
        </w:rPr>
        <w:t>Mutagenicity studies and long-term carcinogenicity studies have not been carried out.</w:t>
      </w:r>
    </w:p>
    <w:p w:rsidR="00D01D29" w:rsidRPr="00656088" w:rsidRDefault="00D01D29" w:rsidP="00D01D29">
      <w:pPr>
        <w:ind w:left="851" w:hanging="851"/>
        <w:rPr>
          <w:sz w:val="24"/>
          <w:szCs w:val="24"/>
          <w:lang w:val="en-US"/>
        </w:rPr>
      </w:pPr>
    </w:p>
    <w:p w:rsidR="00D01D29" w:rsidRPr="00656088" w:rsidRDefault="00D01D29" w:rsidP="00D01D29">
      <w:pPr>
        <w:ind w:left="851" w:hanging="851"/>
        <w:rPr>
          <w:sz w:val="24"/>
          <w:szCs w:val="24"/>
          <w:lang w:val="en-US"/>
        </w:rPr>
      </w:pPr>
    </w:p>
    <w:p w:rsidR="00D01D29" w:rsidRPr="0024600A" w:rsidRDefault="00D01D29" w:rsidP="00D01D29">
      <w:pPr>
        <w:ind w:left="851" w:hanging="851"/>
        <w:rPr>
          <w:b/>
          <w:sz w:val="24"/>
          <w:szCs w:val="24"/>
          <w:lang w:val="en-US"/>
        </w:rPr>
      </w:pPr>
      <w:r w:rsidRPr="0024600A">
        <w:rPr>
          <w:b/>
          <w:sz w:val="24"/>
          <w:szCs w:val="24"/>
          <w:lang w:val="en-US"/>
        </w:rPr>
        <w:t xml:space="preserve">6. </w:t>
      </w:r>
      <w:r w:rsidRPr="0024600A">
        <w:rPr>
          <w:b/>
          <w:sz w:val="24"/>
          <w:szCs w:val="24"/>
          <w:lang w:val="en-US"/>
        </w:rPr>
        <w:tab/>
        <w:t>PHARMACEUTICAL PARTICULARS</w:t>
      </w:r>
    </w:p>
    <w:p w:rsidR="00D01D29" w:rsidRPr="0024600A" w:rsidRDefault="00D01D29" w:rsidP="00D01D29">
      <w:pPr>
        <w:ind w:left="851" w:hanging="851"/>
        <w:rPr>
          <w:b/>
          <w:sz w:val="24"/>
          <w:szCs w:val="24"/>
          <w:lang w:val="en-US"/>
        </w:rPr>
      </w:pPr>
    </w:p>
    <w:p w:rsidR="00D01D29" w:rsidRPr="00656088" w:rsidRDefault="00D01D29" w:rsidP="00D01D29">
      <w:pPr>
        <w:ind w:left="851" w:hanging="851"/>
        <w:rPr>
          <w:b/>
          <w:sz w:val="24"/>
          <w:szCs w:val="24"/>
          <w:lang w:val="en-US"/>
        </w:rPr>
      </w:pPr>
      <w:r w:rsidRPr="00656088">
        <w:rPr>
          <w:b/>
          <w:sz w:val="24"/>
          <w:szCs w:val="24"/>
          <w:lang w:val="en-US"/>
        </w:rPr>
        <w:t>6.1</w:t>
      </w:r>
      <w:r w:rsidRPr="00656088">
        <w:rPr>
          <w:b/>
          <w:sz w:val="24"/>
          <w:szCs w:val="24"/>
          <w:lang w:val="en-US"/>
        </w:rPr>
        <w:tab/>
        <w:t>List of excipients</w:t>
      </w:r>
    </w:p>
    <w:p w:rsidR="00D01D29" w:rsidRPr="00656088" w:rsidRDefault="00D01D29" w:rsidP="00D01D29">
      <w:pPr>
        <w:ind w:left="851" w:hanging="851"/>
        <w:rPr>
          <w:sz w:val="24"/>
          <w:szCs w:val="24"/>
          <w:lang w:val="en-GB"/>
        </w:rPr>
      </w:pPr>
      <w:r w:rsidRPr="00656088">
        <w:rPr>
          <w:sz w:val="24"/>
          <w:szCs w:val="24"/>
          <w:lang w:val="en-US"/>
        </w:rPr>
        <w:tab/>
      </w:r>
      <w:r w:rsidRPr="00656088">
        <w:rPr>
          <w:sz w:val="24"/>
          <w:szCs w:val="24"/>
          <w:lang w:val="en-GB"/>
        </w:rPr>
        <w:t>Sodium chloride 9 mg/ml</w:t>
      </w:r>
    </w:p>
    <w:p w:rsidR="00D01D29" w:rsidRPr="00656088" w:rsidRDefault="00D01D29" w:rsidP="00D01D29">
      <w:pPr>
        <w:ind w:left="851"/>
        <w:rPr>
          <w:sz w:val="24"/>
          <w:szCs w:val="24"/>
          <w:lang w:val="en-GB"/>
        </w:rPr>
      </w:pPr>
      <w:r w:rsidRPr="00656088">
        <w:rPr>
          <w:sz w:val="24"/>
          <w:szCs w:val="24"/>
          <w:lang w:val="en-GB"/>
        </w:rPr>
        <w:t>Ethanol</w:t>
      </w:r>
    </w:p>
    <w:p w:rsidR="00D01D29" w:rsidRPr="00656088" w:rsidRDefault="00D01D29" w:rsidP="00D01D29">
      <w:pPr>
        <w:ind w:left="851"/>
        <w:rPr>
          <w:sz w:val="24"/>
          <w:szCs w:val="24"/>
          <w:lang w:val="en-GB"/>
        </w:rPr>
      </w:pPr>
      <w:r w:rsidRPr="00656088">
        <w:rPr>
          <w:sz w:val="24"/>
          <w:szCs w:val="24"/>
          <w:lang w:val="en-GB"/>
        </w:rPr>
        <w:t>Water for injections</w:t>
      </w:r>
    </w:p>
    <w:p w:rsidR="00D01D29" w:rsidRDefault="00D01D29" w:rsidP="00D01D29">
      <w:pPr>
        <w:rPr>
          <w:sz w:val="24"/>
          <w:szCs w:val="24"/>
          <w:lang w:val="en-US"/>
        </w:rPr>
      </w:pPr>
      <w:r>
        <w:rPr>
          <w:sz w:val="24"/>
          <w:szCs w:val="24"/>
          <w:lang w:val="en-US"/>
        </w:rPr>
        <w:br w:type="page"/>
      </w:r>
    </w:p>
    <w:p w:rsidR="00D01D29" w:rsidRPr="00656088" w:rsidRDefault="00D01D29" w:rsidP="00D01D29">
      <w:pPr>
        <w:ind w:left="851" w:hanging="851"/>
        <w:rPr>
          <w:sz w:val="24"/>
          <w:szCs w:val="24"/>
          <w:lang w:val="en-US"/>
        </w:rPr>
      </w:pPr>
    </w:p>
    <w:p w:rsidR="00D01D29" w:rsidRPr="00656088" w:rsidRDefault="00D01D29" w:rsidP="00D01D29">
      <w:pPr>
        <w:ind w:left="851" w:hanging="851"/>
        <w:rPr>
          <w:b/>
          <w:sz w:val="24"/>
          <w:szCs w:val="24"/>
          <w:lang w:val="en-US"/>
        </w:rPr>
      </w:pPr>
      <w:r w:rsidRPr="00656088">
        <w:rPr>
          <w:b/>
          <w:sz w:val="24"/>
          <w:szCs w:val="24"/>
          <w:lang w:val="en-US"/>
        </w:rPr>
        <w:t>6.2</w:t>
      </w:r>
      <w:r w:rsidRPr="00656088">
        <w:rPr>
          <w:b/>
          <w:sz w:val="24"/>
          <w:szCs w:val="24"/>
          <w:lang w:val="en-US"/>
        </w:rPr>
        <w:tab/>
        <w:t>Incompatibilities</w:t>
      </w:r>
    </w:p>
    <w:p w:rsidR="00D01D29" w:rsidRPr="00656088" w:rsidRDefault="00D01D29" w:rsidP="00D01D29">
      <w:pPr>
        <w:ind w:left="851" w:hanging="851"/>
        <w:rPr>
          <w:sz w:val="24"/>
          <w:szCs w:val="24"/>
          <w:lang w:val="en-GB"/>
        </w:rPr>
      </w:pPr>
      <w:r w:rsidRPr="00656088">
        <w:rPr>
          <w:sz w:val="24"/>
          <w:szCs w:val="24"/>
          <w:lang w:val="en-US"/>
        </w:rPr>
        <w:tab/>
      </w:r>
      <w:r w:rsidRPr="00656088">
        <w:rPr>
          <w:sz w:val="24"/>
          <w:szCs w:val="24"/>
          <w:lang w:val="en-GB"/>
        </w:rPr>
        <w:t>This medicinal product must not be mixed with other medicinal products except those mentioned in section 6.6</w:t>
      </w:r>
    </w:p>
    <w:p w:rsidR="00D01D29" w:rsidRPr="00656088" w:rsidRDefault="00D01D29" w:rsidP="00D01D29">
      <w:pPr>
        <w:ind w:left="851" w:hanging="851"/>
        <w:rPr>
          <w:sz w:val="24"/>
          <w:szCs w:val="24"/>
          <w:lang w:val="en-US"/>
        </w:rPr>
      </w:pPr>
    </w:p>
    <w:p w:rsidR="00D01D29" w:rsidRPr="00656088" w:rsidRDefault="00D01D29" w:rsidP="00D01D29">
      <w:pPr>
        <w:ind w:left="851" w:hanging="851"/>
        <w:rPr>
          <w:b/>
          <w:sz w:val="24"/>
          <w:szCs w:val="24"/>
          <w:lang w:val="en-US"/>
        </w:rPr>
      </w:pPr>
      <w:r w:rsidRPr="00656088">
        <w:rPr>
          <w:b/>
          <w:sz w:val="24"/>
          <w:szCs w:val="24"/>
          <w:lang w:val="en-US"/>
        </w:rPr>
        <w:t>6.3</w:t>
      </w:r>
      <w:r w:rsidRPr="00656088">
        <w:rPr>
          <w:b/>
          <w:sz w:val="24"/>
          <w:szCs w:val="24"/>
          <w:lang w:val="en-US"/>
        </w:rPr>
        <w:tab/>
        <w:t>Shelf life</w:t>
      </w:r>
    </w:p>
    <w:p w:rsidR="00D01D29" w:rsidRPr="00656088" w:rsidRDefault="00D01D29" w:rsidP="00D01D29">
      <w:pPr>
        <w:ind w:left="851" w:hanging="851"/>
        <w:rPr>
          <w:sz w:val="24"/>
          <w:szCs w:val="24"/>
          <w:lang w:val="en-GB"/>
        </w:rPr>
      </w:pPr>
      <w:r w:rsidRPr="00656088">
        <w:rPr>
          <w:sz w:val="24"/>
          <w:szCs w:val="24"/>
          <w:lang w:val="en-US"/>
        </w:rPr>
        <w:tab/>
      </w:r>
      <w:r w:rsidRPr="00656088">
        <w:rPr>
          <w:sz w:val="24"/>
          <w:szCs w:val="24"/>
          <w:lang w:val="en-GB"/>
        </w:rPr>
        <w:t>10 hours after end of fabrication time.</w:t>
      </w:r>
    </w:p>
    <w:p w:rsidR="00D01D29" w:rsidRPr="00656088" w:rsidRDefault="00D01D29" w:rsidP="00D01D29">
      <w:pPr>
        <w:ind w:left="851" w:hanging="851"/>
        <w:rPr>
          <w:sz w:val="24"/>
          <w:szCs w:val="24"/>
          <w:lang w:val="en-US"/>
        </w:rPr>
      </w:pPr>
    </w:p>
    <w:p w:rsidR="00D01D29" w:rsidRPr="00656088" w:rsidRDefault="00D01D29" w:rsidP="00D01D29">
      <w:pPr>
        <w:ind w:left="851" w:hanging="851"/>
        <w:rPr>
          <w:b/>
          <w:sz w:val="24"/>
          <w:szCs w:val="24"/>
          <w:lang w:val="en-US"/>
        </w:rPr>
      </w:pPr>
      <w:r w:rsidRPr="00656088">
        <w:rPr>
          <w:b/>
          <w:sz w:val="24"/>
          <w:szCs w:val="24"/>
          <w:lang w:val="en-US"/>
        </w:rPr>
        <w:t>6.4</w:t>
      </w:r>
      <w:r w:rsidRPr="00656088">
        <w:rPr>
          <w:b/>
          <w:sz w:val="24"/>
          <w:szCs w:val="24"/>
          <w:lang w:val="en-US"/>
        </w:rPr>
        <w:tab/>
        <w:t>Special precautions for storage</w:t>
      </w:r>
    </w:p>
    <w:p w:rsidR="00D01D29" w:rsidRPr="00656088" w:rsidRDefault="00D01D29" w:rsidP="00D01D29">
      <w:pPr>
        <w:ind w:left="851" w:hanging="851"/>
        <w:rPr>
          <w:b/>
          <w:sz w:val="24"/>
          <w:szCs w:val="24"/>
          <w:lang w:val="en-GB"/>
        </w:rPr>
      </w:pPr>
      <w:r w:rsidRPr="00656088">
        <w:rPr>
          <w:sz w:val="24"/>
          <w:szCs w:val="24"/>
          <w:lang w:val="en-US"/>
        </w:rPr>
        <w:tab/>
      </w:r>
      <w:r w:rsidRPr="00656088">
        <w:rPr>
          <w:sz w:val="24"/>
          <w:szCs w:val="24"/>
          <w:lang w:val="en-GB"/>
        </w:rPr>
        <w:t xml:space="preserve">Do not store above </w:t>
      </w:r>
      <w:smartTag w:uri="urn:schemas-microsoft-com:office:smarttags" w:element="metricconverter">
        <w:smartTagPr>
          <w:attr w:name="ProductID" w:val="25ﾰC"/>
        </w:smartTagPr>
        <w:r w:rsidRPr="00656088">
          <w:rPr>
            <w:sz w:val="24"/>
            <w:szCs w:val="24"/>
            <w:lang w:val="en-GB"/>
          </w:rPr>
          <w:t>25°C</w:t>
        </w:r>
      </w:smartTag>
      <w:r w:rsidRPr="00656088">
        <w:rPr>
          <w:sz w:val="24"/>
          <w:szCs w:val="24"/>
          <w:lang w:val="en-GB"/>
        </w:rPr>
        <w:t>.</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lang w:val="en-GB"/>
        </w:rPr>
      </w:pPr>
      <w:r w:rsidRPr="00656088">
        <w:rPr>
          <w:sz w:val="24"/>
          <w:szCs w:val="24"/>
          <w:lang w:val="en-GB"/>
        </w:rPr>
        <w:t>Storage of radiopharmaceuticals should be in accordance with national regulation on radioactive materials.</w:t>
      </w:r>
    </w:p>
    <w:p w:rsidR="00D01D29" w:rsidRPr="00656088" w:rsidRDefault="00D01D29" w:rsidP="00D01D29">
      <w:pPr>
        <w:ind w:left="851" w:hanging="851"/>
        <w:rPr>
          <w:sz w:val="24"/>
          <w:szCs w:val="24"/>
          <w:lang w:val="en-US"/>
        </w:rPr>
      </w:pPr>
    </w:p>
    <w:p w:rsidR="00D01D29" w:rsidRPr="00656088" w:rsidRDefault="00D01D29" w:rsidP="00D01D29">
      <w:pPr>
        <w:ind w:left="851" w:hanging="851"/>
        <w:rPr>
          <w:b/>
          <w:sz w:val="24"/>
          <w:szCs w:val="24"/>
          <w:lang w:val="en-US"/>
        </w:rPr>
      </w:pPr>
      <w:r w:rsidRPr="00656088">
        <w:rPr>
          <w:b/>
          <w:sz w:val="24"/>
          <w:szCs w:val="24"/>
          <w:lang w:val="en-US"/>
        </w:rPr>
        <w:t>6.5</w:t>
      </w:r>
      <w:r w:rsidRPr="00656088">
        <w:rPr>
          <w:b/>
          <w:sz w:val="24"/>
          <w:szCs w:val="24"/>
          <w:lang w:val="en-US"/>
        </w:rPr>
        <w:tab/>
        <w:t>Nature and contents of container</w:t>
      </w:r>
    </w:p>
    <w:p w:rsidR="00D01D29" w:rsidRDefault="00D01D29" w:rsidP="00D01D29">
      <w:pPr>
        <w:ind w:left="851" w:hanging="851"/>
        <w:rPr>
          <w:sz w:val="24"/>
          <w:szCs w:val="24"/>
          <w:lang w:val="en-GB"/>
        </w:rPr>
      </w:pPr>
      <w:r w:rsidRPr="00656088">
        <w:rPr>
          <w:sz w:val="24"/>
          <w:szCs w:val="24"/>
          <w:lang w:val="en-US"/>
        </w:rPr>
        <w:tab/>
      </w:r>
      <w:r w:rsidRPr="00656088">
        <w:rPr>
          <w:sz w:val="24"/>
          <w:szCs w:val="24"/>
          <w:lang w:val="en-GB"/>
        </w:rPr>
        <w:t>Ph. Eur. Type I clear glass vials sealed with silicone</w:t>
      </w:r>
      <w:r>
        <w:rPr>
          <w:sz w:val="24"/>
          <w:szCs w:val="24"/>
          <w:lang w:val="en-GB"/>
        </w:rPr>
        <w:t xml:space="preserve"> or rubber</w:t>
      </w:r>
      <w:r w:rsidRPr="00656088">
        <w:rPr>
          <w:sz w:val="24"/>
          <w:szCs w:val="24"/>
          <w:lang w:val="en-GB"/>
        </w:rPr>
        <w:t xml:space="preserve"> stoppers and aluminium crimp cap. </w:t>
      </w:r>
    </w:p>
    <w:p w:rsidR="00D01D29" w:rsidRPr="00656088" w:rsidRDefault="00D01D29" w:rsidP="00D01D29">
      <w:pPr>
        <w:ind w:left="851"/>
        <w:rPr>
          <w:sz w:val="24"/>
          <w:szCs w:val="24"/>
          <w:lang w:val="en-GB"/>
        </w:rPr>
      </w:pPr>
      <w:r w:rsidRPr="00656088">
        <w:rPr>
          <w:sz w:val="24"/>
          <w:szCs w:val="24"/>
          <w:lang w:val="en-GB"/>
        </w:rPr>
        <w:t>The vial</w:t>
      </w:r>
      <w:r>
        <w:rPr>
          <w:sz w:val="24"/>
          <w:szCs w:val="24"/>
          <w:lang w:val="en-GB"/>
        </w:rPr>
        <w:t xml:space="preserve">s are placed in </w:t>
      </w:r>
      <w:r w:rsidRPr="00656088">
        <w:rPr>
          <w:sz w:val="24"/>
          <w:szCs w:val="24"/>
          <w:lang w:val="en-GB"/>
        </w:rPr>
        <w:t>Tungsten container</w:t>
      </w:r>
      <w:r>
        <w:rPr>
          <w:sz w:val="24"/>
          <w:szCs w:val="24"/>
          <w:lang w:val="en-GB"/>
        </w:rPr>
        <w:t>s</w:t>
      </w:r>
      <w:r w:rsidRPr="00656088">
        <w:rPr>
          <w:sz w:val="24"/>
          <w:szCs w:val="24"/>
          <w:lang w:val="en-GB"/>
        </w:rPr>
        <w:t>.</w:t>
      </w:r>
    </w:p>
    <w:p w:rsidR="00D01D29" w:rsidRPr="00656088" w:rsidRDefault="00D01D29" w:rsidP="00D01D29">
      <w:pPr>
        <w:ind w:left="851"/>
        <w:rPr>
          <w:sz w:val="24"/>
          <w:szCs w:val="24"/>
          <w:lang w:val="en-GB"/>
        </w:rPr>
      </w:pPr>
      <w:r>
        <w:rPr>
          <w:sz w:val="24"/>
          <w:szCs w:val="24"/>
          <w:lang w:val="en-GB"/>
        </w:rPr>
        <w:t>The</w:t>
      </w:r>
      <w:r w:rsidRPr="00656088">
        <w:rPr>
          <w:sz w:val="24"/>
          <w:szCs w:val="24"/>
          <w:lang w:val="en-GB"/>
        </w:rPr>
        <w:t xml:space="preserve"> vial</w:t>
      </w:r>
      <w:r>
        <w:rPr>
          <w:sz w:val="24"/>
          <w:szCs w:val="24"/>
          <w:lang w:val="en-GB"/>
        </w:rPr>
        <w:t>s contain</w:t>
      </w:r>
      <w:r w:rsidRPr="00656088">
        <w:rPr>
          <w:sz w:val="24"/>
          <w:szCs w:val="24"/>
          <w:lang w:val="en-GB"/>
        </w:rPr>
        <w:t xml:space="preserve"> up to 30</w:t>
      </w:r>
      <w:r w:rsidRPr="00656088">
        <w:rPr>
          <w:b/>
          <w:bCs/>
          <w:sz w:val="24"/>
          <w:szCs w:val="24"/>
          <w:lang w:val="en-GB"/>
        </w:rPr>
        <w:t xml:space="preserve"> </w:t>
      </w:r>
      <w:r w:rsidRPr="00656088">
        <w:rPr>
          <w:sz w:val="24"/>
          <w:szCs w:val="24"/>
          <w:lang w:val="en-GB"/>
        </w:rPr>
        <w:t xml:space="preserve">ml of solution, corresponding to 400 </w:t>
      </w:r>
      <w:proofErr w:type="spellStart"/>
      <w:r w:rsidRPr="00656088">
        <w:rPr>
          <w:sz w:val="24"/>
          <w:szCs w:val="24"/>
          <w:lang w:val="en-GB"/>
        </w:rPr>
        <w:t>MBq</w:t>
      </w:r>
      <w:proofErr w:type="spellEnd"/>
      <w:r w:rsidRPr="00656088">
        <w:rPr>
          <w:b/>
          <w:bCs/>
          <w:sz w:val="24"/>
          <w:szCs w:val="24"/>
          <w:lang w:val="en-GB"/>
        </w:rPr>
        <w:t xml:space="preserve">&gt; </w:t>
      </w:r>
      <w:r w:rsidRPr="00656088">
        <w:rPr>
          <w:sz w:val="24"/>
          <w:szCs w:val="24"/>
          <w:lang w:val="en-GB"/>
        </w:rPr>
        <w:t>to 180</w:t>
      </w:r>
      <w:r w:rsidRPr="00656088">
        <w:rPr>
          <w:b/>
          <w:bCs/>
          <w:sz w:val="24"/>
          <w:szCs w:val="24"/>
          <w:lang w:val="en-GB"/>
        </w:rPr>
        <w:t xml:space="preserve"> </w:t>
      </w:r>
      <w:proofErr w:type="spellStart"/>
      <w:r w:rsidRPr="00656088">
        <w:rPr>
          <w:sz w:val="24"/>
          <w:szCs w:val="24"/>
          <w:lang w:val="en-GB"/>
        </w:rPr>
        <w:t>GBq</w:t>
      </w:r>
      <w:proofErr w:type="spellEnd"/>
      <w:r w:rsidRPr="00656088">
        <w:rPr>
          <w:sz w:val="24"/>
          <w:szCs w:val="24"/>
          <w:lang w:val="en-GB"/>
        </w:rPr>
        <w:t xml:space="preserve"> at calibration time.</w:t>
      </w:r>
    </w:p>
    <w:p w:rsidR="00D01D29" w:rsidRPr="00656088" w:rsidRDefault="00D01D29" w:rsidP="00D01D29">
      <w:pPr>
        <w:ind w:left="851"/>
        <w:rPr>
          <w:sz w:val="24"/>
          <w:szCs w:val="24"/>
          <w:lang w:val="en-GB"/>
        </w:rPr>
      </w:pPr>
      <w:r w:rsidRPr="00656088">
        <w:rPr>
          <w:sz w:val="24"/>
          <w:szCs w:val="24"/>
          <w:lang w:val="en-GB"/>
        </w:rPr>
        <w:t>Not all pack sizes may be marketed</w:t>
      </w:r>
    </w:p>
    <w:p w:rsidR="00D01D29" w:rsidRPr="00656088" w:rsidRDefault="00D01D29" w:rsidP="00D01D29">
      <w:pPr>
        <w:ind w:left="851" w:hanging="851"/>
        <w:rPr>
          <w:sz w:val="24"/>
          <w:szCs w:val="24"/>
          <w:lang w:val="en-US"/>
        </w:rPr>
      </w:pPr>
    </w:p>
    <w:p w:rsidR="00D01D29" w:rsidRPr="00656088" w:rsidRDefault="00D01D29" w:rsidP="00D01D29">
      <w:pPr>
        <w:ind w:left="851" w:hanging="851"/>
        <w:rPr>
          <w:b/>
          <w:sz w:val="24"/>
          <w:szCs w:val="24"/>
          <w:lang w:val="en-GB"/>
        </w:rPr>
      </w:pPr>
      <w:r w:rsidRPr="00656088">
        <w:rPr>
          <w:b/>
          <w:sz w:val="24"/>
          <w:szCs w:val="24"/>
          <w:lang w:val="en-GB"/>
        </w:rPr>
        <w:t>6.6</w:t>
      </w:r>
      <w:r w:rsidRPr="00656088">
        <w:rPr>
          <w:b/>
          <w:sz w:val="24"/>
          <w:szCs w:val="24"/>
          <w:lang w:val="en-GB"/>
        </w:rPr>
        <w:tab/>
        <w:t>Special precautions for disposal and other handling</w:t>
      </w:r>
    </w:p>
    <w:p w:rsidR="00D01D29" w:rsidRPr="00656088" w:rsidRDefault="00D01D29" w:rsidP="00D01D29">
      <w:pPr>
        <w:ind w:left="851" w:hanging="851"/>
        <w:rPr>
          <w:sz w:val="24"/>
          <w:szCs w:val="24"/>
          <w:lang w:val="en-GB"/>
        </w:rPr>
      </w:pPr>
      <w:r w:rsidRPr="00656088">
        <w:rPr>
          <w:sz w:val="24"/>
          <w:szCs w:val="24"/>
          <w:lang w:val="en-GB"/>
        </w:rPr>
        <w:tab/>
        <w:t>Radiopharmaceuticals should be received, used and administered only by authorised persons in designated clinical settings. Their receipt, storage, use, transfer and disposal are subject to regulations and/or appropriate licenses of the competent official organisation.</w:t>
      </w:r>
    </w:p>
    <w:p w:rsidR="00D01D29" w:rsidRPr="00656088" w:rsidRDefault="00D01D29" w:rsidP="00D01D29">
      <w:pPr>
        <w:ind w:left="851"/>
        <w:rPr>
          <w:sz w:val="24"/>
          <w:szCs w:val="24"/>
          <w:lang w:val="en-GB"/>
        </w:rPr>
      </w:pPr>
      <w:r w:rsidRPr="00656088">
        <w:rPr>
          <w:sz w:val="24"/>
          <w:szCs w:val="24"/>
          <w:lang w:val="en-GB"/>
        </w:rPr>
        <w:t>Radiopharmaceuticals should be prepared in a manner which satisfies both radiation safety and pharmaceutical quality requirements. Appropriate aseptic precautions should be taken.</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lang w:val="en-GB"/>
        </w:rPr>
      </w:pPr>
      <w:r w:rsidRPr="00656088">
        <w:rPr>
          <w:sz w:val="24"/>
          <w:szCs w:val="24"/>
          <w:lang w:val="en-GB"/>
        </w:rPr>
        <w:t>The administration of radiopharmaceuticals creates risks for other persons from external radiation or contamination from spills of urine, vomiting, etc. Radiation protection precautions in accordance with national regulations must be taken.</w:t>
      </w:r>
    </w:p>
    <w:p w:rsidR="00D01D29" w:rsidRPr="00656088" w:rsidRDefault="00D01D29" w:rsidP="00D01D29">
      <w:pPr>
        <w:ind w:left="851" w:hanging="851"/>
        <w:rPr>
          <w:sz w:val="24"/>
          <w:szCs w:val="24"/>
          <w:lang w:val="en-GB"/>
        </w:rPr>
      </w:pPr>
    </w:p>
    <w:p w:rsidR="00D01D29" w:rsidRPr="00656088" w:rsidRDefault="00D01D29" w:rsidP="00D01D29">
      <w:pPr>
        <w:ind w:left="851"/>
        <w:rPr>
          <w:b/>
          <w:sz w:val="24"/>
          <w:szCs w:val="24"/>
          <w:lang w:val="en-GB"/>
        </w:rPr>
      </w:pPr>
      <w:r w:rsidRPr="00656088">
        <w:rPr>
          <w:sz w:val="24"/>
          <w:szCs w:val="24"/>
          <w:lang w:val="en-GB"/>
        </w:rPr>
        <w:t>Any unused product or waste material should be disposed of in accordance with local requirements.</w:t>
      </w:r>
    </w:p>
    <w:p w:rsidR="00D01D29" w:rsidRPr="00656088" w:rsidRDefault="00D01D29" w:rsidP="00D01D29">
      <w:pPr>
        <w:ind w:left="851" w:hanging="851"/>
        <w:jc w:val="both"/>
        <w:rPr>
          <w:b/>
          <w:sz w:val="24"/>
          <w:szCs w:val="24"/>
          <w:lang w:val="en-US"/>
        </w:rPr>
      </w:pPr>
    </w:p>
    <w:p w:rsidR="00D01D29" w:rsidRPr="0024600A" w:rsidRDefault="00D01D29" w:rsidP="00D01D29">
      <w:pPr>
        <w:ind w:left="851" w:hanging="851"/>
        <w:jc w:val="both"/>
        <w:rPr>
          <w:b/>
          <w:sz w:val="24"/>
          <w:szCs w:val="24"/>
          <w:lang w:val="en-US"/>
        </w:rPr>
      </w:pPr>
      <w:r w:rsidRPr="00656088">
        <w:rPr>
          <w:b/>
          <w:sz w:val="24"/>
          <w:szCs w:val="24"/>
          <w:lang w:val="en-US"/>
        </w:rPr>
        <w:t>7.</w:t>
      </w:r>
      <w:r w:rsidRPr="00656088">
        <w:rPr>
          <w:b/>
          <w:sz w:val="24"/>
          <w:szCs w:val="24"/>
          <w:lang w:val="en-US"/>
        </w:rPr>
        <w:tab/>
        <w:t>MARKETING AUTHORISATION HOLD</w:t>
      </w:r>
      <w:r w:rsidRPr="0024600A">
        <w:rPr>
          <w:b/>
          <w:sz w:val="24"/>
          <w:szCs w:val="24"/>
          <w:lang w:val="en-US"/>
        </w:rPr>
        <w:t>ER</w:t>
      </w:r>
    </w:p>
    <w:p w:rsidR="00D01D29" w:rsidRPr="00656088" w:rsidRDefault="00D01D29" w:rsidP="00D01D29">
      <w:pPr>
        <w:ind w:left="851" w:hanging="851"/>
        <w:jc w:val="both"/>
        <w:rPr>
          <w:sz w:val="24"/>
          <w:szCs w:val="24"/>
          <w:lang w:val="en-GB"/>
        </w:rPr>
      </w:pPr>
      <w:r w:rsidRPr="0024600A">
        <w:rPr>
          <w:sz w:val="24"/>
          <w:szCs w:val="24"/>
          <w:lang w:val="en-US"/>
        </w:rPr>
        <w:tab/>
      </w:r>
      <w:proofErr w:type="spellStart"/>
      <w:r w:rsidRPr="00656088">
        <w:rPr>
          <w:sz w:val="24"/>
          <w:szCs w:val="24"/>
          <w:lang w:val="en-GB"/>
        </w:rPr>
        <w:t>Herlev</w:t>
      </w:r>
      <w:proofErr w:type="spellEnd"/>
      <w:r w:rsidRPr="00656088">
        <w:rPr>
          <w:sz w:val="24"/>
          <w:szCs w:val="24"/>
          <w:lang w:val="en-GB"/>
        </w:rPr>
        <w:t xml:space="preserve"> Hospital, University of Copenhagen</w:t>
      </w:r>
    </w:p>
    <w:p w:rsidR="00374845" w:rsidRDefault="00374845" w:rsidP="00374845">
      <w:pPr>
        <w:ind w:left="851"/>
        <w:jc w:val="both"/>
        <w:rPr>
          <w:sz w:val="24"/>
          <w:szCs w:val="24"/>
          <w:lang w:val="en-GB"/>
        </w:rPr>
      </w:pPr>
      <w:r>
        <w:rPr>
          <w:sz w:val="24"/>
          <w:szCs w:val="24"/>
          <w:lang w:val="en-GB"/>
        </w:rPr>
        <w:t xml:space="preserve">Department </w:t>
      </w:r>
      <w:proofErr w:type="gramStart"/>
      <w:r>
        <w:rPr>
          <w:sz w:val="24"/>
          <w:szCs w:val="24"/>
          <w:lang w:val="en-GB"/>
        </w:rPr>
        <w:t>of  Nuclear</w:t>
      </w:r>
      <w:proofErr w:type="gramEnd"/>
      <w:r>
        <w:rPr>
          <w:sz w:val="24"/>
          <w:szCs w:val="24"/>
          <w:lang w:val="en-GB"/>
        </w:rPr>
        <w:t xml:space="preserve"> Medicine</w:t>
      </w:r>
    </w:p>
    <w:p w:rsidR="00B3761E" w:rsidRPr="00374845" w:rsidRDefault="00B3761E" w:rsidP="00D01D29">
      <w:pPr>
        <w:ind w:left="851"/>
        <w:jc w:val="both"/>
        <w:rPr>
          <w:sz w:val="24"/>
          <w:szCs w:val="24"/>
          <w:lang w:val="en-US"/>
        </w:rPr>
      </w:pPr>
      <w:r w:rsidRPr="00374845">
        <w:rPr>
          <w:sz w:val="24"/>
          <w:szCs w:val="24"/>
          <w:lang w:val="en-US"/>
        </w:rPr>
        <w:t>Borgmester Ib Juuls Vej 31</w:t>
      </w:r>
    </w:p>
    <w:p w:rsidR="00D01D29" w:rsidRPr="0024600A" w:rsidRDefault="00D01D29" w:rsidP="00D01D29">
      <w:pPr>
        <w:ind w:left="851"/>
        <w:jc w:val="both"/>
        <w:rPr>
          <w:sz w:val="24"/>
          <w:szCs w:val="24"/>
        </w:rPr>
      </w:pPr>
      <w:r w:rsidRPr="0024600A">
        <w:rPr>
          <w:sz w:val="24"/>
          <w:szCs w:val="24"/>
        </w:rPr>
        <w:t>DK-2730 Herlev</w:t>
      </w:r>
    </w:p>
    <w:p w:rsidR="00D01D29" w:rsidRPr="0024600A" w:rsidRDefault="00D01D29" w:rsidP="00D01D29">
      <w:pPr>
        <w:ind w:left="851" w:hanging="851"/>
        <w:jc w:val="both"/>
        <w:rPr>
          <w:sz w:val="24"/>
          <w:szCs w:val="24"/>
        </w:rPr>
      </w:pPr>
    </w:p>
    <w:p w:rsidR="00D01D29" w:rsidRPr="00103829" w:rsidRDefault="00D01D29" w:rsidP="00D01D29">
      <w:pPr>
        <w:ind w:left="851" w:hanging="851"/>
        <w:jc w:val="both"/>
        <w:rPr>
          <w:b/>
          <w:sz w:val="24"/>
          <w:szCs w:val="24"/>
          <w:lang w:val="en-US"/>
        </w:rPr>
      </w:pPr>
      <w:r w:rsidRPr="00103829">
        <w:rPr>
          <w:b/>
          <w:sz w:val="24"/>
          <w:szCs w:val="24"/>
          <w:lang w:val="en-US"/>
        </w:rPr>
        <w:t>8.</w:t>
      </w:r>
      <w:r w:rsidRPr="00103829">
        <w:rPr>
          <w:b/>
          <w:sz w:val="24"/>
          <w:szCs w:val="24"/>
          <w:lang w:val="en-US"/>
        </w:rPr>
        <w:tab/>
        <w:t>MARKETING AUTHORISATION NUMBER(S)</w:t>
      </w:r>
    </w:p>
    <w:p w:rsidR="00D01D29" w:rsidRPr="00656088" w:rsidRDefault="00D01D29" w:rsidP="00D01D29">
      <w:pPr>
        <w:ind w:left="851" w:hanging="851"/>
        <w:jc w:val="both"/>
        <w:rPr>
          <w:sz w:val="24"/>
          <w:szCs w:val="24"/>
          <w:lang w:val="en-US"/>
        </w:rPr>
      </w:pPr>
      <w:r w:rsidRPr="00103829">
        <w:rPr>
          <w:sz w:val="24"/>
          <w:szCs w:val="24"/>
          <w:lang w:val="en-US"/>
        </w:rPr>
        <w:tab/>
      </w:r>
      <w:r w:rsidRPr="00301027">
        <w:rPr>
          <w:sz w:val="24"/>
          <w:szCs w:val="24"/>
          <w:lang w:val="en-US"/>
        </w:rPr>
        <w:t>49384</w:t>
      </w:r>
    </w:p>
    <w:p w:rsidR="00D01D29" w:rsidRPr="00656088" w:rsidRDefault="00D01D29" w:rsidP="00D01D29">
      <w:pPr>
        <w:ind w:left="851" w:hanging="851"/>
        <w:jc w:val="both"/>
        <w:rPr>
          <w:sz w:val="24"/>
          <w:szCs w:val="24"/>
          <w:lang w:val="en-US"/>
        </w:rPr>
      </w:pPr>
    </w:p>
    <w:p w:rsidR="00D01D29" w:rsidRPr="00656088" w:rsidRDefault="00D01D29" w:rsidP="00D01D29">
      <w:pPr>
        <w:ind w:left="851" w:hanging="851"/>
        <w:jc w:val="both"/>
        <w:rPr>
          <w:sz w:val="24"/>
          <w:szCs w:val="24"/>
          <w:lang w:val="en-US"/>
        </w:rPr>
      </w:pPr>
      <w:r w:rsidRPr="00656088">
        <w:rPr>
          <w:b/>
          <w:sz w:val="24"/>
          <w:szCs w:val="24"/>
          <w:lang w:val="en-GB"/>
        </w:rPr>
        <w:t>9.</w:t>
      </w:r>
      <w:r w:rsidRPr="00656088">
        <w:rPr>
          <w:b/>
          <w:sz w:val="24"/>
          <w:szCs w:val="24"/>
          <w:lang w:val="en-GB"/>
        </w:rPr>
        <w:tab/>
        <w:t>DATE OF FIRST AUTHORISATION</w:t>
      </w:r>
    </w:p>
    <w:p w:rsidR="00D01D29" w:rsidRPr="00301027" w:rsidRDefault="00D01D29" w:rsidP="00D01D29">
      <w:pPr>
        <w:ind w:left="851"/>
        <w:jc w:val="both"/>
        <w:rPr>
          <w:sz w:val="24"/>
          <w:szCs w:val="24"/>
          <w:lang w:val="en-US"/>
        </w:rPr>
      </w:pPr>
      <w:r w:rsidRPr="00301027">
        <w:rPr>
          <w:sz w:val="24"/>
          <w:szCs w:val="24"/>
          <w:lang w:val="en-US"/>
        </w:rPr>
        <w:t>2</w:t>
      </w:r>
      <w:r>
        <w:rPr>
          <w:sz w:val="24"/>
          <w:szCs w:val="24"/>
          <w:lang w:val="en-US"/>
        </w:rPr>
        <w:t>6 November 2012</w:t>
      </w:r>
    </w:p>
    <w:p w:rsidR="00D01D29" w:rsidRPr="00656088" w:rsidRDefault="00D01D29" w:rsidP="00D01D29">
      <w:pPr>
        <w:ind w:left="851" w:hanging="851"/>
        <w:jc w:val="both"/>
        <w:rPr>
          <w:sz w:val="24"/>
          <w:szCs w:val="24"/>
          <w:lang w:val="en-GB"/>
        </w:rPr>
      </w:pPr>
    </w:p>
    <w:p w:rsidR="00D01D29" w:rsidRPr="00656088" w:rsidRDefault="00D01D29" w:rsidP="00D01D29">
      <w:pPr>
        <w:ind w:left="851" w:hanging="851"/>
        <w:jc w:val="both"/>
        <w:rPr>
          <w:sz w:val="24"/>
          <w:szCs w:val="24"/>
          <w:lang w:val="en-GB"/>
        </w:rPr>
      </w:pPr>
      <w:r w:rsidRPr="00656088">
        <w:rPr>
          <w:b/>
          <w:sz w:val="24"/>
          <w:szCs w:val="24"/>
          <w:lang w:val="en-GB"/>
        </w:rPr>
        <w:t>10.</w:t>
      </w:r>
      <w:r w:rsidRPr="00656088">
        <w:rPr>
          <w:b/>
          <w:sz w:val="24"/>
          <w:szCs w:val="24"/>
          <w:lang w:val="en-GB"/>
        </w:rPr>
        <w:tab/>
        <w:t>DATE OF REVISION OF THE TEXT</w:t>
      </w:r>
    </w:p>
    <w:p w:rsidR="00D01D29" w:rsidRPr="00656088" w:rsidRDefault="00D01D29" w:rsidP="00D01D29">
      <w:pPr>
        <w:ind w:left="851" w:hanging="851"/>
        <w:jc w:val="both"/>
        <w:rPr>
          <w:sz w:val="24"/>
          <w:szCs w:val="24"/>
          <w:lang w:val="en-GB"/>
        </w:rPr>
      </w:pPr>
      <w:r w:rsidRPr="00656088">
        <w:rPr>
          <w:sz w:val="24"/>
          <w:szCs w:val="24"/>
          <w:lang w:val="en-GB"/>
        </w:rPr>
        <w:tab/>
      </w:r>
      <w:r w:rsidR="00374845">
        <w:rPr>
          <w:sz w:val="24"/>
          <w:szCs w:val="24"/>
        </w:rPr>
        <w:t>12</w:t>
      </w:r>
      <w:r>
        <w:rPr>
          <w:sz w:val="24"/>
          <w:szCs w:val="24"/>
        </w:rPr>
        <w:t xml:space="preserve">. </w:t>
      </w:r>
      <w:r w:rsidR="00B3761E">
        <w:rPr>
          <w:sz w:val="24"/>
          <w:szCs w:val="24"/>
        </w:rPr>
        <w:t>March</w:t>
      </w:r>
      <w:r>
        <w:rPr>
          <w:sz w:val="24"/>
          <w:szCs w:val="24"/>
        </w:rPr>
        <w:t xml:space="preserve"> 20</w:t>
      </w:r>
      <w:r w:rsidR="00B3761E">
        <w:rPr>
          <w:sz w:val="24"/>
          <w:szCs w:val="24"/>
        </w:rPr>
        <w:t>20</w:t>
      </w:r>
    </w:p>
    <w:p w:rsidR="00D01D29" w:rsidRDefault="00D01D29" w:rsidP="00D01D29">
      <w:pPr>
        <w:rPr>
          <w:sz w:val="24"/>
          <w:szCs w:val="24"/>
          <w:lang w:val="en-GB"/>
        </w:rPr>
      </w:pPr>
      <w:r>
        <w:rPr>
          <w:sz w:val="24"/>
          <w:szCs w:val="24"/>
          <w:lang w:val="en-GB"/>
        </w:rPr>
        <w:br w:type="page"/>
      </w:r>
    </w:p>
    <w:p w:rsidR="00D01D29" w:rsidRPr="00656088" w:rsidRDefault="00D01D29" w:rsidP="00D01D29">
      <w:pPr>
        <w:ind w:left="851" w:hanging="851"/>
        <w:jc w:val="both"/>
        <w:rPr>
          <w:sz w:val="24"/>
          <w:szCs w:val="24"/>
          <w:lang w:val="en-GB"/>
        </w:rPr>
      </w:pPr>
    </w:p>
    <w:p w:rsidR="00D01D29" w:rsidRPr="00656088" w:rsidRDefault="00D01D29" w:rsidP="00D01D29">
      <w:pPr>
        <w:ind w:left="851" w:hanging="851"/>
        <w:jc w:val="both"/>
        <w:rPr>
          <w:b/>
          <w:sz w:val="24"/>
          <w:szCs w:val="24"/>
          <w:lang w:val="en-GB"/>
        </w:rPr>
      </w:pPr>
      <w:r w:rsidRPr="00656088">
        <w:rPr>
          <w:b/>
          <w:sz w:val="24"/>
          <w:szCs w:val="24"/>
          <w:lang w:val="en-GB"/>
        </w:rPr>
        <w:t>11.</w:t>
      </w:r>
      <w:r w:rsidRPr="00656088">
        <w:rPr>
          <w:b/>
          <w:sz w:val="24"/>
          <w:szCs w:val="24"/>
          <w:lang w:val="en-GB"/>
        </w:rPr>
        <w:tab/>
        <w:t>DOSIMETRY</w:t>
      </w:r>
    </w:p>
    <w:p w:rsidR="00D01D29" w:rsidRPr="00656088" w:rsidRDefault="00D01D29" w:rsidP="00D01D29">
      <w:pPr>
        <w:ind w:left="851" w:hanging="851"/>
        <w:jc w:val="both"/>
        <w:rPr>
          <w:sz w:val="24"/>
          <w:szCs w:val="24"/>
          <w:lang w:val="en-GB"/>
        </w:rPr>
      </w:pPr>
      <w:r w:rsidRPr="00656088">
        <w:rPr>
          <w:sz w:val="24"/>
          <w:szCs w:val="24"/>
          <w:lang w:val="en-GB"/>
        </w:rPr>
        <w:tab/>
      </w:r>
    </w:p>
    <w:tbl>
      <w:tblPr>
        <w:tblW w:w="9498" w:type="dxa"/>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500"/>
        <w:gridCol w:w="1323"/>
        <w:gridCol w:w="1429"/>
        <w:gridCol w:w="1429"/>
        <w:gridCol w:w="1429"/>
        <w:gridCol w:w="1388"/>
      </w:tblGrid>
      <w:tr w:rsidR="00D01D29" w:rsidRPr="00103829" w:rsidTr="003B4BCE">
        <w:tc>
          <w:tcPr>
            <w:tcW w:w="9498" w:type="dxa"/>
            <w:gridSpan w:val="6"/>
            <w:tcBorders>
              <w:top w:val="single" w:sz="12" w:space="0" w:color="auto"/>
              <w:left w:val="single" w:sz="12" w:space="0" w:color="auto"/>
              <w:bottom w:val="single" w:sz="12" w:space="0" w:color="008000"/>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The table below shows the dosimetry as calculated according to ICRP 106 Publication.</w:t>
            </w:r>
          </w:p>
        </w:tc>
      </w:tr>
      <w:tr w:rsidR="00D01D29" w:rsidRPr="00103829" w:rsidTr="003B4BCE">
        <w:tc>
          <w:tcPr>
            <w:tcW w:w="2660" w:type="dxa"/>
            <w:tcBorders>
              <w:top w:val="single" w:sz="12" w:space="0" w:color="008000"/>
              <w:left w:val="single" w:sz="12" w:space="0" w:color="auto"/>
              <w:bottom w:val="nil"/>
              <w:right w:val="nil"/>
            </w:tcBorders>
            <w:hideMark/>
          </w:tcPr>
          <w:p w:rsidR="00D01D29" w:rsidRPr="00656088" w:rsidRDefault="00D01D29" w:rsidP="003B4BCE">
            <w:pPr>
              <w:ind w:left="851" w:hanging="851"/>
              <w:jc w:val="both"/>
              <w:rPr>
                <w:b/>
                <w:sz w:val="24"/>
                <w:szCs w:val="24"/>
                <w:lang w:val="en-GB"/>
              </w:rPr>
            </w:pPr>
            <w:r w:rsidRPr="00656088">
              <w:rPr>
                <w:b/>
                <w:sz w:val="24"/>
                <w:szCs w:val="24"/>
                <w:lang w:val="en-GB"/>
              </w:rPr>
              <w:t>Organ</w:t>
            </w:r>
          </w:p>
        </w:tc>
        <w:tc>
          <w:tcPr>
            <w:tcW w:w="6838" w:type="dxa"/>
            <w:gridSpan w:val="5"/>
            <w:tcBorders>
              <w:top w:val="single" w:sz="12" w:space="0" w:color="008000"/>
              <w:left w:val="nil"/>
              <w:bottom w:val="nil"/>
              <w:right w:val="single" w:sz="12" w:space="0" w:color="auto"/>
            </w:tcBorders>
            <w:hideMark/>
          </w:tcPr>
          <w:p w:rsidR="00D01D29" w:rsidRPr="00656088" w:rsidRDefault="00D01D29" w:rsidP="003B4BCE">
            <w:pPr>
              <w:ind w:left="851" w:hanging="851"/>
              <w:jc w:val="both"/>
              <w:rPr>
                <w:b/>
                <w:sz w:val="24"/>
                <w:szCs w:val="24"/>
                <w:u w:val="single"/>
                <w:lang w:val="en-GB"/>
              </w:rPr>
            </w:pPr>
            <w:r w:rsidRPr="00656088">
              <w:rPr>
                <w:b/>
                <w:sz w:val="24"/>
                <w:szCs w:val="24"/>
                <w:u w:val="single"/>
                <w:lang w:val="en-GB"/>
              </w:rPr>
              <w:t>Dose absorbed pr. unit of activity administered (</w:t>
            </w:r>
            <w:proofErr w:type="spellStart"/>
            <w:r w:rsidRPr="00656088">
              <w:rPr>
                <w:b/>
                <w:sz w:val="24"/>
                <w:szCs w:val="24"/>
                <w:u w:val="single"/>
                <w:lang w:val="en-GB"/>
              </w:rPr>
              <w:t>mGy</w:t>
            </w:r>
            <w:proofErr w:type="spellEnd"/>
            <w:r w:rsidRPr="00656088">
              <w:rPr>
                <w:b/>
                <w:sz w:val="24"/>
                <w:szCs w:val="24"/>
                <w:u w:val="single"/>
                <w:lang w:val="en-GB"/>
              </w:rPr>
              <w:t>/</w:t>
            </w:r>
            <w:proofErr w:type="spellStart"/>
            <w:r w:rsidRPr="00656088">
              <w:rPr>
                <w:b/>
                <w:sz w:val="24"/>
                <w:szCs w:val="24"/>
                <w:u w:val="single"/>
                <w:lang w:val="en-GB"/>
              </w:rPr>
              <w:t>MBq</w:t>
            </w:r>
            <w:proofErr w:type="spellEnd"/>
            <w:r w:rsidRPr="00656088">
              <w:rPr>
                <w:b/>
                <w:sz w:val="24"/>
                <w:szCs w:val="24"/>
                <w:u w:val="single"/>
                <w:lang w:val="en-GB"/>
              </w:rPr>
              <w:t>)</w:t>
            </w:r>
          </w:p>
        </w:tc>
      </w:tr>
      <w:tr w:rsidR="00D01D29" w:rsidRPr="00656088" w:rsidTr="003B4BCE">
        <w:tc>
          <w:tcPr>
            <w:tcW w:w="2660" w:type="dxa"/>
            <w:tcBorders>
              <w:top w:val="nil"/>
              <w:left w:val="single" w:sz="12" w:space="0" w:color="auto"/>
              <w:bottom w:val="nil"/>
              <w:right w:val="nil"/>
            </w:tcBorders>
          </w:tcPr>
          <w:p w:rsidR="00D01D29" w:rsidRPr="00656088" w:rsidRDefault="00D01D29" w:rsidP="003B4BCE">
            <w:pPr>
              <w:ind w:left="851" w:hanging="851"/>
              <w:jc w:val="both"/>
              <w:rPr>
                <w:sz w:val="24"/>
                <w:szCs w:val="24"/>
                <w:lang w:val="en-GB"/>
              </w:rPr>
            </w:pPr>
          </w:p>
        </w:tc>
        <w:tc>
          <w:tcPr>
            <w:tcW w:w="1438" w:type="dxa"/>
            <w:tcBorders>
              <w:top w:val="nil"/>
              <w:left w:val="nil"/>
              <w:bottom w:val="nil"/>
              <w:right w:val="nil"/>
            </w:tcBorders>
            <w:hideMark/>
          </w:tcPr>
          <w:p w:rsidR="00D01D29" w:rsidRPr="00656088" w:rsidRDefault="00D01D29" w:rsidP="003B4BCE">
            <w:pPr>
              <w:ind w:left="851" w:hanging="851"/>
              <w:jc w:val="both"/>
              <w:rPr>
                <w:b/>
                <w:sz w:val="24"/>
                <w:szCs w:val="24"/>
                <w:lang w:val="en-GB"/>
              </w:rPr>
            </w:pPr>
            <w:r w:rsidRPr="00656088">
              <w:rPr>
                <w:b/>
                <w:sz w:val="24"/>
                <w:szCs w:val="24"/>
                <w:lang w:val="en-GB"/>
              </w:rPr>
              <w:t xml:space="preserve">Adult </w:t>
            </w:r>
          </w:p>
        </w:tc>
        <w:tc>
          <w:tcPr>
            <w:tcW w:w="1439" w:type="dxa"/>
            <w:tcBorders>
              <w:top w:val="nil"/>
              <w:left w:val="nil"/>
              <w:bottom w:val="nil"/>
              <w:right w:val="nil"/>
            </w:tcBorders>
            <w:hideMark/>
          </w:tcPr>
          <w:p w:rsidR="00D01D29" w:rsidRPr="00656088" w:rsidRDefault="00D01D29" w:rsidP="003B4BCE">
            <w:pPr>
              <w:ind w:left="851" w:hanging="851"/>
              <w:jc w:val="both"/>
              <w:rPr>
                <w:b/>
                <w:sz w:val="24"/>
                <w:szCs w:val="24"/>
                <w:lang w:val="en-GB"/>
              </w:rPr>
            </w:pPr>
            <w:r w:rsidRPr="00656088">
              <w:rPr>
                <w:b/>
                <w:sz w:val="24"/>
                <w:szCs w:val="24"/>
                <w:lang w:val="en-GB"/>
              </w:rPr>
              <w:t xml:space="preserve">15 </w:t>
            </w:r>
            <w:proofErr w:type="spellStart"/>
            <w:r w:rsidRPr="00656088">
              <w:rPr>
                <w:b/>
                <w:sz w:val="24"/>
                <w:szCs w:val="24"/>
                <w:lang w:val="en-GB"/>
              </w:rPr>
              <w:t>yrs</w:t>
            </w:r>
            <w:proofErr w:type="spellEnd"/>
            <w:r w:rsidRPr="00656088">
              <w:rPr>
                <w:b/>
                <w:sz w:val="24"/>
                <w:szCs w:val="24"/>
                <w:lang w:val="en-GB"/>
              </w:rPr>
              <w:t xml:space="preserve"> old</w:t>
            </w:r>
          </w:p>
        </w:tc>
        <w:tc>
          <w:tcPr>
            <w:tcW w:w="1439" w:type="dxa"/>
            <w:tcBorders>
              <w:top w:val="nil"/>
              <w:left w:val="nil"/>
              <w:bottom w:val="nil"/>
              <w:right w:val="nil"/>
            </w:tcBorders>
            <w:hideMark/>
          </w:tcPr>
          <w:p w:rsidR="00D01D29" w:rsidRPr="00656088" w:rsidRDefault="00D01D29" w:rsidP="003B4BCE">
            <w:pPr>
              <w:ind w:left="851" w:hanging="851"/>
              <w:jc w:val="both"/>
              <w:rPr>
                <w:b/>
                <w:sz w:val="24"/>
                <w:szCs w:val="24"/>
                <w:lang w:val="en-GB"/>
              </w:rPr>
            </w:pPr>
            <w:r w:rsidRPr="00656088">
              <w:rPr>
                <w:b/>
                <w:sz w:val="24"/>
                <w:szCs w:val="24"/>
                <w:lang w:val="en-GB"/>
              </w:rPr>
              <w:t xml:space="preserve">10 </w:t>
            </w:r>
            <w:proofErr w:type="spellStart"/>
            <w:r w:rsidRPr="00656088">
              <w:rPr>
                <w:b/>
                <w:sz w:val="24"/>
                <w:szCs w:val="24"/>
                <w:lang w:val="en-GB"/>
              </w:rPr>
              <w:t>yrs</w:t>
            </w:r>
            <w:proofErr w:type="spellEnd"/>
            <w:r w:rsidRPr="00656088">
              <w:rPr>
                <w:b/>
                <w:sz w:val="24"/>
                <w:szCs w:val="24"/>
                <w:lang w:val="en-GB"/>
              </w:rPr>
              <w:t xml:space="preserve"> old</w:t>
            </w:r>
          </w:p>
        </w:tc>
        <w:tc>
          <w:tcPr>
            <w:tcW w:w="1439" w:type="dxa"/>
            <w:tcBorders>
              <w:top w:val="nil"/>
              <w:left w:val="nil"/>
              <w:bottom w:val="nil"/>
              <w:right w:val="nil"/>
            </w:tcBorders>
            <w:hideMark/>
          </w:tcPr>
          <w:p w:rsidR="00D01D29" w:rsidRPr="00656088" w:rsidRDefault="00D01D29" w:rsidP="003B4BCE">
            <w:pPr>
              <w:ind w:left="851" w:hanging="851"/>
              <w:jc w:val="both"/>
              <w:rPr>
                <w:b/>
                <w:sz w:val="24"/>
                <w:szCs w:val="24"/>
                <w:lang w:val="en-GB"/>
              </w:rPr>
            </w:pPr>
            <w:r w:rsidRPr="00656088">
              <w:rPr>
                <w:b/>
                <w:sz w:val="24"/>
                <w:szCs w:val="24"/>
                <w:lang w:val="en-GB"/>
              </w:rPr>
              <w:t xml:space="preserve">5 </w:t>
            </w:r>
            <w:proofErr w:type="spellStart"/>
            <w:r w:rsidRPr="00656088">
              <w:rPr>
                <w:b/>
                <w:sz w:val="24"/>
                <w:szCs w:val="24"/>
                <w:lang w:val="en-GB"/>
              </w:rPr>
              <w:t>yrs</w:t>
            </w:r>
            <w:proofErr w:type="spellEnd"/>
            <w:r w:rsidRPr="00656088">
              <w:rPr>
                <w:b/>
                <w:sz w:val="24"/>
                <w:szCs w:val="24"/>
                <w:lang w:val="en-GB"/>
              </w:rPr>
              <w:t xml:space="preserve"> old</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b/>
                <w:sz w:val="24"/>
                <w:szCs w:val="24"/>
                <w:lang w:val="en-GB"/>
              </w:rPr>
            </w:pPr>
            <w:r w:rsidRPr="00656088">
              <w:rPr>
                <w:b/>
                <w:sz w:val="24"/>
                <w:szCs w:val="24"/>
                <w:lang w:val="en-GB"/>
              </w:rPr>
              <w:t xml:space="preserve">1 </w:t>
            </w:r>
            <w:proofErr w:type="spellStart"/>
            <w:r w:rsidRPr="00656088">
              <w:rPr>
                <w:b/>
                <w:sz w:val="24"/>
                <w:szCs w:val="24"/>
                <w:lang w:val="en-GB"/>
              </w:rPr>
              <w:t>yr</w:t>
            </w:r>
            <w:proofErr w:type="spellEnd"/>
            <w:r w:rsidRPr="00656088">
              <w:rPr>
                <w:b/>
                <w:sz w:val="24"/>
                <w:szCs w:val="24"/>
                <w:lang w:val="en-GB"/>
              </w:rPr>
              <w:t xml:space="preserve"> old</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Adrenals </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0.012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0.016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0.024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0.039 </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0.071</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Bladder </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0.13</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0.16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0.25</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0.34</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0.47</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Bone surfaces </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0.011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0.016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0.022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0.034 </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0.064</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Brain </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0.038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0.039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0.041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0.046 </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0.063</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Breasts </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0.0088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0.011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0.018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0.029 </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0.056</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Gallbladder</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0.013</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0.016</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0.024</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0.037</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0.070</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Gastrointestinal tract:</w:t>
            </w:r>
          </w:p>
        </w:tc>
        <w:tc>
          <w:tcPr>
            <w:tcW w:w="1438" w:type="dxa"/>
            <w:tcBorders>
              <w:top w:val="nil"/>
              <w:left w:val="nil"/>
              <w:bottom w:val="nil"/>
              <w:right w:val="nil"/>
            </w:tcBorders>
          </w:tcPr>
          <w:p w:rsidR="00D01D29" w:rsidRPr="00656088" w:rsidRDefault="00D01D29" w:rsidP="003B4BCE">
            <w:pPr>
              <w:ind w:left="851" w:hanging="851"/>
              <w:jc w:val="both"/>
              <w:rPr>
                <w:sz w:val="24"/>
                <w:szCs w:val="24"/>
                <w:lang w:val="en-GB"/>
              </w:rPr>
            </w:pPr>
          </w:p>
        </w:tc>
        <w:tc>
          <w:tcPr>
            <w:tcW w:w="1439" w:type="dxa"/>
            <w:tcBorders>
              <w:top w:val="nil"/>
              <w:left w:val="nil"/>
              <w:bottom w:val="nil"/>
              <w:right w:val="nil"/>
            </w:tcBorders>
          </w:tcPr>
          <w:p w:rsidR="00D01D29" w:rsidRPr="00656088" w:rsidRDefault="00D01D29" w:rsidP="003B4BCE">
            <w:pPr>
              <w:ind w:left="851" w:hanging="851"/>
              <w:jc w:val="both"/>
              <w:rPr>
                <w:sz w:val="24"/>
                <w:szCs w:val="24"/>
                <w:lang w:val="en-GB"/>
              </w:rPr>
            </w:pPr>
          </w:p>
        </w:tc>
        <w:tc>
          <w:tcPr>
            <w:tcW w:w="1439" w:type="dxa"/>
            <w:tcBorders>
              <w:top w:val="nil"/>
              <w:left w:val="nil"/>
              <w:bottom w:val="nil"/>
              <w:right w:val="nil"/>
            </w:tcBorders>
          </w:tcPr>
          <w:p w:rsidR="00D01D29" w:rsidRPr="00656088" w:rsidRDefault="00D01D29" w:rsidP="003B4BCE">
            <w:pPr>
              <w:ind w:left="851" w:hanging="851"/>
              <w:jc w:val="both"/>
              <w:rPr>
                <w:sz w:val="24"/>
                <w:szCs w:val="24"/>
                <w:lang w:val="en-GB"/>
              </w:rPr>
            </w:pPr>
          </w:p>
        </w:tc>
        <w:tc>
          <w:tcPr>
            <w:tcW w:w="1439" w:type="dxa"/>
            <w:tcBorders>
              <w:top w:val="nil"/>
              <w:left w:val="nil"/>
              <w:bottom w:val="nil"/>
              <w:right w:val="nil"/>
            </w:tcBorders>
          </w:tcPr>
          <w:p w:rsidR="00D01D29" w:rsidRPr="00656088" w:rsidRDefault="00D01D29" w:rsidP="003B4BCE">
            <w:pPr>
              <w:ind w:left="851" w:hanging="851"/>
              <w:jc w:val="both"/>
              <w:rPr>
                <w:sz w:val="24"/>
                <w:szCs w:val="24"/>
                <w:lang w:val="en-GB"/>
              </w:rPr>
            </w:pPr>
          </w:p>
        </w:tc>
        <w:tc>
          <w:tcPr>
            <w:tcW w:w="1083" w:type="dxa"/>
            <w:tcBorders>
              <w:top w:val="nil"/>
              <w:left w:val="nil"/>
              <w:bottom w:val="nil"/>
              <w:right w:val="single" w:sz="12" w:space="0" w:color="auto"/>
            </w:tcBorders>
          </w:tcPr>
          <w:p w:rsidR="00D01D29" w:rsidRPr="00656088" w:rsidRDefault="00D01D29" w:rsidP="003B4BCE">
            <w:pPr>
              <w:ind w:left="851" w:hanging="851"/>
              <w:jc w:val="both"/>
              <w:rPr>
                <w:sz w:val="24"/>
                <w:szCs w:val="24"/>
                <w:lang w:val="en-GB"/>
              </w:rPr>
            </w:pP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Stomach</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0.011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0.014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0.022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0.035 </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0.067</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Small intestine </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0.012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0.016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0.025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0.040 </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0.073</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Colon </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0.013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0.016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0.025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0.039 </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0.070</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Upper large intestine </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0.012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0.015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0.024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0.038 </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0.070)</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Lower large intestine </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0.014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0.017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0.027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0.041 </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0.070)</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Heart </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0.067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0.087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0.13</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0.210</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0.38</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Kidneys </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0.017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0.021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0.029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0.045 </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0.078</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Liver </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0.021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0.028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0.042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0.063 </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0.12</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Lungs </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0.020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0.029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0.041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0.062 </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0.12</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Muscles </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0.010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0.013</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0.020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0.033 </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0.062</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Oesophagus </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0.012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0.015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0.022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0.035 </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0.066</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Ovaries </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0.014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0.018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0.027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0.043 </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0.076</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Pancreas </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0.013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0.016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0.026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0.040 </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0.076</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Red marrow </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0.011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0.014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0.021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0.032 </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0.059</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Skin </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0.0078</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0.0096</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0.015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0.026 </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0.050</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Spleen </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0.011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0.014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0.021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0.035 </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0.066</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Testes </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0.011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0.014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0.024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0.037 </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0.066</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Thymus </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0.012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0.015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0.022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0.035 </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0.066</w:t>
            </w:r>
          </w:p>
        </w:tc>
      </w:tr>
      <w:tr w:rsidR="00D01D29" w:rsidRPr="00656088" w:rsidTr="003B4BCE">
        <w:tc>
          <w:tcPr>
            <w:tcW w:w="2660" w:type="dxa"/>
            <w:tcBorders>
              <w:top w:val="nil"/>
              <w:left w:val="single" w:sz="12" w:space="0" w:color="auto"/>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Thyroid </w:t>
            </w:r>
          </w:p>
        </w:tc>
        <w:tc>
          <w:tcPr>
            <w:tcW w:w="1438"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0.010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0.013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0.021 </w:t>
            </w:r>
          </w:p>
        </w:tc>
        <w:tc>
          <w:tcPr>
            <w:tcW w:w="1439" w:type="dxa"/>
            <w:tcBorders>
              <w:top w:val="nil"/>
              <w:left w:val="nil"/>
              <w:bottom w:val="nil"/>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0.034 </w:t>
            </w:r>
          </w:p>
        </w:tc>
        <w:tc>
          <w:tcPr>
            <w:tcW w:w="1083" w:type="dxa"/>
            <w:tcBorders>
              <w:top w:val="nil"/>
              <w:left w:val="nil"/>
              <w:bottom w:val="nil"/>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0.065</w:t>
            </w:r>
          </w:p>
        </w:tc>
      </w:tr>
      <w:tr w:rsidR="00D01D29" w:rsidRPr="00656088" w:rsidTr="003B4BCE">
        <w:tc>
          <w:tcPr>
            <w:tcW w:w="2660" w:type="dxa"/>
            <w:tcBorders>
              <w:top w:val="nil"/>
              <w:left w:val="single" w:sz="12" w:space="0" w:color="auto"/>
              <w:bottom w:val="single" w:sz="12" w:space="0" w:color="008000"/>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Uterus </w:t>
            </w:r>
          </w:p>
        </w:tc>
        <w:tc>
          <w:tcPr>
            <w:tcW w:w="1438" w:type="dxa"/>
            <w:tcBorders>
              <w:top w:val="nil"/>
              <w:left w:val="nil"/>
              <w:bottom w:val="single" w:sz="12" w:space="0" w:color="008000"/>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0.018 </w:t>
            </w:r>
          </w:p>
        </w:tc>
        <w:tc>
          <w:tcPr>
            <w:tcW w:w="1439" w:type="dxa"/>
            <w:tcBorders>
              <w:top w:val="nil"/>
              <w:left w:val="nil"/>
              <w:bottom w:val="single" w:sz="12" w:space="0" w:color="008000"/>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0.022 </w:t>
            </w:r>
          </w:p>
        </w:tc>
        <w:tc>
          <w:tcPr>
            <w:tcW w:w="1439" w:type="dxa"/>
            <w:tcBorders>
              <w:top w:val="nil"/>
              <w:left w:val="nil"/>
              <w:bottom w:val="single" w:sz="12" w:space="0" w:color="008000"/>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0.036 </w:t>
            </w:r>
          </w:p>
        </w:tc>
        <w:tc>
          <w:tcPr>
            <w:tcW w:w="1439" w:type="dxa"/>
            <w:tcBorders>
              <w:top w:val="nil"/>
              <w:left w:val="nil"/>
              <w:bottom w:val="single" w:sz="12" w:space="0" w:color="008000"/>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0.054 </w:t>
            </w:r>
          </w:p>
        </w:tc>
        <w:tc>
          <w:tcPr>
            <w:tcW w:w="1083" w:type="dxa"/>
            <w:tcBorders>
              <w:top w:val="nil"/>
              <w:left w:val="nil"/>
              <w:bottom w:val="single" w:sz="12" w:space="0" w:color="008000"/>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0.090</w:t>
            </w:r>
          </w:p>
        </w:tc>
      </w:tr>
      <w:tr w:rsidR="00D01D29" w:rsidRPr="00656088" w:rsidTr="003B4BCE">
        <w:tc>
          <w:tcPr>
            <w:tcW w:w="2660" w:type="dxa"/>
            <w:tcBorders>
              <w:top w:val="single" w:sz="12" w:space="0" w:color="008000"/>
              <w:left w:val="single" w:sz="12" w:space="0" w:color="auto"/>
              <w:bottom w:val="single" w:sz="12" w:space="0" w:color="008000"/>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Remaining organs </w:t>
            </w:r>
          </w:p>
        </w:tc>
        <w:tc>
          <w:tcPr>
            <w:tcW w:w="1438" w:type="dxa"/>
            <w:tcBorders>
              <w:top w:val="single" w:sz="12" w:space="0" w:color="008000"/>
              <w:left w:val="nil"/>
              <w:bottom w:val="single" w:sz="12" w:space="0" w:color="008000"/>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0.012 </w:t>
            </w:r>
          </w:p>
        </w:tc>
        <w:tc>
          <w:tcPr>
            <w:tcW w:w="1439" w:type="dxa"/>
            <w:tcBorders>
              <w:top w:val="single" w:sz="12" w:space="0" w:color="008000"/>
              <w:left w:val="nil"/>
              <w:bottom w:val="single" w:sz="12" w:space="0" w:color="008000"/>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0.015 </w:t>
            </w:r>
          </w:p>
        </w:tc>
        <w:tc>
          <w:tcPr>
            <w:tcW w:w="1439" w:type="dxa"/>
            <w:tcBorders>
              <w:top w:val="single" w:sz="12" w:space="0" w:color="008000"/>
              <w:left w:val="nil"/>
              <w:bottom w:val="single" w:sz="12" w:space="0" w:color="008000"/>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0.024 </w:t>
            </w:r>
          </w:p>
        </w:tc>
        <w:tc>
          <w:tcPr>
            <w:tcW w:w="1439" w:type="dxa"/>
            <w:tcBorders>
              <w:top w:val="single" w:sz="12" w:space="0" w:color="008000"/>
              <w:left w:val="nil"/>
              <w:bottom w:val="single" w:sz="12" w:space="0" w:color="008000"/>
              <w:right w:val="nil"/>
            </w:tcBorders>
            <w:hideMark/>
          </w:tcPr>
          <w:p w:rsidR="00D01D29" w:rsidRPr="00656088" w:rsidRDefault="00D01D29" w:rsidP="003B4BCE">
            <w:pPr>
              <w:ind w:left="851" w:hanging="851"/>
              <w:jc w:val="both"/>
              <w:rPr>
                <w:sz w:val="24"/>
                <w:szCs w:val="24"/>
                <w:lang w:val="en-GB"/>
              </w:rPr>
            </w:pPr>
            <w:r w:rsidRPr="00656088">
              <w:rPr>
                <w:sz w:val="24"/>
                <w:szCs w:val="24"/>
                <w:lang w:val="en-GB"/>
              </w:rPr>
              <w:t xml:space="preserve">0.038 </w:t>
            </w:r>
          </w:p>
        </w:tc>
        <w:tc>
          <w:tcPr>
            <w:tcW w:w="1083" w:type="dxa"/>
            <w:tcBorders>
              <w:top w:val="single" w:sz="12" w:space="0" w:color="008000"/>
              <w:left w:val="nil"/>
              <w:bottom w:val="single" w:sz="12" w:space="0" w:color="008000"/>
              <w:right w:val="single" w:sz="12" w:space="0" w:color="auto"/>
            </w:tcBorders>
            <w:hideMark/>
          </w:tcPr>
          <w:p w:rsidR="00D01D29" w:rsidRPr="00656088" w:rsidRDefault="00D01D29" w:rsidP="003B4BCE">
            <w:pPr>
              <w:ind w:left="851" w:hanging="851"/>
              <w:jc w:val="both"/>
              <w:rPr>
                <w:sz w:val="24"/>
                <w:szCs w:val="24"/>
                <w:lang w:val="en-GB"/>
              </w:rPr>
            </w:pPr>
            <w:r w:rsidRPr="00656088">
              <w:rPr>
                <w:sz w:val="24"/>
                <w:szCs w:val="24"/>
                <w:lang w:val="en-GB"/>
              </w:rPr>
              <w:t>0.064</w:t>
            </w:r>
          </w:p>
        </w:tc>
      </w:tr>
      <w:tr w:rsidR="00D01D29" w:rsidRPr="00656088" w:rsidTr="003B4BCE">
        <w:tc>
          <w:tcPr>
            <w:tcW w:w="2660" w:type="dxa"/>
            <w:tcBorders>
              <w:top w:val="single" w:sz="12" w:space="0" w:color="008000"/>
              <w:left w:val="single" w:sz="12" w:space="0" w:color="auto"/>
              <w:bottom w:val="single" w:sz="12" w:space="0" w:color="008000"/>
              <w:right w:val="nil"/>
            </w:tcBorders>
            <w:hideMark/>
          </w:tcPr>
          <w:p w:rsidR="00D01D29" w:rsidRPr="00656088" w:rsidRDefault="00D01D29" w:rsidP="003B4BCE">
            <w:pPr>
              <w:ind w:left="851" w:hanging="851"/>
              <w:jc w:val="both"/>
              <w:rPr>
                <w:b/>
                <w:sz w:val="24"/>
                <w:szCs w:val="24"/>
                <w:lang w:val="en-GB"/>
              </w:rPr>
            </w:pPr>
            <w:r w:rsidRPr="00656088">
              <w:rPr>
                <w:b/>
                <w:sz w:val="24"/>
                <w:szCs w:val="24"/>
                <w:lang w:val="en-GB"/>
              </w:rPr>
              <w:t>Effective dose</w:t>
            </w:r>
          </w:p>
          <w:p w:rsidR="00D01D29" w:rsidRPr="00656088" w:rsidRDefault="00D01D29" w:rsidP="003B4BCE">
            <w:pPr>
              <w:ind w:left="851" w:hanging="851"/>
              <w:jc w:val="both"/>
              <w:rPr>
                <w:b/>
                <w:sz w:val="24"/>
                <w:szCs w:val="24"/>
                <w:lang w:val="en-GB"/>
              </w:rPr>
            </w:pPr>
            <w:r w:rsidRPr="00656088">
              <w:rPr>
                <w:b/>
                <w:sz w:val="24"/>
                <w:szCs w:val="24"/>
                <w:lang w:val="en-GB"/>
              </w:rPr>
              <w:t>mSv/</w:t>
            </w:r>
            <w:proofErr w:type="spellStart"/>
            <w:r w:rsidRPr="00656088">
              <w:rPr>
                <w:b/>
                <w:sz w:val="24"/>
                <w:szCs w:val="24"/>
                <w:lang w:val="en-GB"/>
              </w:rPr>
              <w:t>MBq</w:t>
            </w:r>
            <w:proofErr w:type="spellEnd"/>
          </w:p>
        </w:tc>
        <w:tc>
          <w:tcPr>
            <w:tcW w:w="1438" w:type="dxa"/>
            <w:tcBorders>
              <w:top w:val="single" w:sz="12" w:space="0" w:color="008000"/>
              <w:left w:val="nil"/>
              <w:bottom w:val="single" w:sz="12" w:space="0" w:color="008000"/>
              <w:right w:val="nil"/>
            </w:tcBorders>
            <w:hideMark/>
          </w:tcPr>
          <w:p w:rsidR="00D01D29" w:rsidRPr="00656088" w:rsidRDefault="00D01D29" w:rsidP="003B4BCE">
            <w:pPr>
              <w:ind w:left="851" w:hanging="851"/>
              <w:jc w:val="both"/>
              <w:rPr>
                <w:b/>
                <w:sz w:val="24"/>
                <w:szCs w:val="24"/>
                <w:lang w:val="en-GB"/>
              </w:rPr>
            </w:pPr>
            <w:r w:rsidRPr="00656088">
              <w:rPr>
                <w:b/>
                <w:sz w:val="24"/>
                <w:szCs w:val="24"/>
                <w:lang w:val="en-GB"/>
              </w:rPr>
              <w:t>0.019</w:t>
            </w:r>
          </w:p>
        </w:tc>
        <w:tc>
          <w:tcPr>
            <w:tcW w:w="1439" w:type="dxa"/>
            <w:tcBorders>
              <w:top w:val="single" w:sz="12" w:space="0" w:color="008000"/>
              <w:left w:val="nil"/>
              <w:bottom w:val="single" w:sz="12" w:space="0" w:color="008000"/>
              <w:right w:val="nil"/>
            </w:tcBorders>
            <w:hideMark/>
          </w:tcPr>
          <w:p w:rsidR="00D01D29" w:rsidRPr="00656088" w:rsidRDefault="00D01D29" w:rsidP="003B4BCE">
            <w:pPr>
              <w:ind w:left="851" w:hanging="851"/>
              <w:jc w:val="both"/>
              <w:rPr>
                <w:b/>
                <w:sz w:val="24"/>
                <w:szCs w:val="24"/>
                <w:lang w:val="en-GB"/>
              </w:rPr>
            </w:pPr>
            <w:r w:rsidRPr="00656088">
              <w:rPr>
                <w:b/>
                <w:sz w:val="24"/>
                <w:szCs w:val="24"/>
                <w:lang w:val="en-GB"/>
              </w:rPr>
              <w:t>0.024</w:t>
            </w:r>
          </w:p>
        </w:tc>
        <w:tc>
          <w:tcPr>
            <w:tcW w:w="1439" w:type="dxa"/>
            <w:tcBorders>
              <w:top w:val="single" w:sz="12" w:space="0" w:color="008000"/>
              <w:left w:val="nil"/>
              <w:bottom w:val="single" w:sz="12" w:space="0" w:color="008000"/>
              <w:right w:val="nil"/>
            </w:tcBorders>
            <w:hideMark/>
          </w:tcPr>
          <w:p w:rsidR="00D01D29" w:rsidRPr="00656088" w:rsidRDefault="00D01D29" w:rsidP="003B4BCE">
            <w:pPr>
              <w:ind w:left="851" w:hanging="851"/>
              <w:jc w:val="both"/>
              <w:rPr>
                <w:b/>
                <w:sz w:val="24"/>
                <w:szCs w:val="24"/>
                <w:lang w:val="en-GB"/>
              </w:rPr>
            </w:pPr>
            <w:r w:rsidRPr="00656088">
              <w:rPr>
                <w:b/>
                <w:sz w:val="24"/>
                <w:szCs w:val="24"/>
                <w:lang w:val="en-GB"/>
              </w:rPr>
              <w:t>0.037</w:t>
            </w:r>
          </w:p>
        </w:tc>
        <w:tc>
          <w:tcPr>
            <w:tcW w:w="1439" w:type="dxa"/>
            <w:tcBorders>
              <w:top w:val="single" w:sz="12" w:space="0" w:color="008000"/>
              <w:left w:val="nil"/>
              <w:bottom w:val="single" w:sz="12" w:space="0" w:color="008000"/>
              <w:right w:val="nil"/>
            </w:tcBorders>
            <w:hideMark/>
          </w:tcPr>
          <w:p w:rsidR="00D01D29" w:rsidRPr="00656088" w:rsidRDefault="00D01D29" w:rsidP="003B4BCE">
            <w:pPr>
              <w:ind w:left="851" w:hanging="851"/>
              <w:jc w:val="both"/>
              <w:rPr>
                <w:b/>
                <w:sz w:val="24"/>
                <w:szCs w:val="24"/>
                <w:lang w:val="en-GB"/>
              </w:rPr>
            </w:pPr>
            <w:r w:rsidRPr="00656088">
              <w:rPr>
                <w:b/>
                <w:sz w:val="24"/>
                <w:szCs w:val="24"/>
                <w:lang w:val="en-GB"/>
              </w:rPr>
              <w:t>0.056</w:t>
            </w:r>
          </w:p>
        </w:tc>
        <w:tc>
          <w:tcPr>
            <w:tcW w:w="1083" w:type="dxa"/>
            <w:tcBorders>
              <w:top w:val="single" w:sz="12" w:space="0" w:color="008000"/>
              <w:left w:val="nil"/>
              <w:bottom w:val="single" w:sz="12" w:space="0" w:color="008000"/>
              <w:right w:val="single" w:sz="12" w:space="0" w:color="auto"/>
            </w:tcBorders>
            <w:hideMark/>
          </w:tcPr>
          <w:p w:rsidR="00D01D29" w:rsidRPr="00656088" w:rsidRDefault="00D01D29" w:rsidP="003B4BCE">
            <w:pPr>
              <w:ind w:left="851" w:hanging="851"/>
              <w:jc w:val="both"/>
              <w:rPr>
                <w:b/>
                <w:sz w:val="24"/>
                <w:szCs w:val="24"/>
                <w:lang w:val="en-GB"/>
              </w:rPr>
            </w:pPr>
            <w:r w:rsidRPr="00656088">
              <w:rPr>
                <w:b/>
                <w:sz w:val="24"/>
                <w:szCs w:val="24"/>
                <w:lang w:val="en-GB"/>
              </w:rPr>
              <w:t>0.095</w:t>
            </w:r>
          </w:p>
        </w:tc>
      </w:tr>
    </w:tbl>
    <w:p w:rsidR="00D01D29" w:rsidRPr="00656088" w:rsidRDefault="00D01D29" w:rsidP="00D01D29">
      <w:pPr>
        <w:ind w:left="851" w:hanging="851"/>
        <w:jc w:val="both"/>
        <w:rPr>
          <w:sz w:val="24"/>
          <w:szCs w:val="24"/>
          <w:lang w:val="en-GB"/>
        </w:rPr>
      </w:pPr>
    </w:p>
    <w:p w:rsidR="00D01D29" w:rsidRPr="00656088" w:rsidRDefault="00D01D29" w:rsidP="00D01D29">
      <w:pPr>
        <w:ind w:left="851"/>
        <w:rPr>
          <w:sz w:val="24"/>
          <w:szCs w:val="24"/>
          <w:lang w:val="en-GB"/>
        </w:rPr>
      </w:pPr>
      <w:r w:rsidRPr="00656088">
        <w:rPr>
          <w:sz w:val="24"/>
          <w:szCs w:val="24"/>
          <w:lang w:val="en-GB"/>
        </w:rPr>
        <w:t xml:space="preserve">The effective dose resulting from the administration of a maximal recommended activity of 400 </w:t>
      </w:r>
      <w:proofErr w:type="spellStart"/>
      <w:r w:rsidRPr="00656088">
        <w:rPr>
          <w:sz w:val="24"/>
          <w:szCs w:val="24"/>
          <w:lang w:val="en-GB"/>
        </w:rPr>
        <w:t>MBq</w:t>
      </w:r>
      <w:proofErr w:type="spellEnd"/>
      <w:r w:rsidRPr="00656088">
        <w:rPr>
          <w:sz w:val="24"/>
          <w:szCs w:val="24"/>
          <w:lang w:val="en-GB"/>
        </w:rPr>
        <w:t xml:space="preserve"> of </w:t>
      </w:r>
      <w:proofErr w:type="spellStart"/>
      <w:r w:rsidRPr="00656088">
        <w:rPr>
          <w:sz w:val="24"/>
          <w:szCs w:val="24"/>
          <w:lang w:val="en-GB"/>
        </w:rPr>
        <w:t>fludeoxyglucose</w:t>
      </w:r>
      <w:proofErr w:type="spellEnd"/>
      <w:r w:rsidRPr="00656088">
        <w:rPr>
          <w:sz w:val="24"/>
          <w:szCs w:val="24"/>
          <w:lang w:val="en-GB"/>
        </w:rPr>
        <w:t xml:space="preserve"> (</w:t>
      </w:r>
      <w:r w:rsidRPr="00656088">
        <w:rPr>
          <w:sz w:val="24"/>
          <w:szCs w:val="24"/>
          <w:vertAlign w:val="superscript"/>
          <w:lang w:val="en-GB"/>
        </w:rPr>
        <w:t>18</w:t>
      </w:r>
      <w:r w:rsidRPr="00656088">
        <w:rPr>
          <w:sz w:val="24"/>
          <w:szCs w:val="24"/>
          <w:lang w:val="en-GB"/>
        </w:rPr>
        <w:t xml:space="preserve">F) for an adult weighing 70 kg is about 7.6 mSv. </w:t>
      </w:r>
    </w:p>
    <w:p w:rsidR="00D01D29" w:rsidRPr="00656088" w:rsidRDefault="00D01D29" w:rsidP="00D01D29">
      <w:pPr>
        <w:ind w:left="851"/>
        <w:rPr>
          <w:sz w:val="24"/>
          <w:szCs w:val="24"/>
          <w:lang w:val="en-GB"/>
        </w:rPr>
      </w:pPr>
      <w:r w:rsidRPr="00656088">
        <w:rPr>
          <w:sz w:val="24"/>
          <w:szCs w:val="24"/>
          <w:lang w:val="en-GB"/>
        </w:rPr>
        <w:t xml:space="preserve">For an administered activity of 400 </w:t>
      </w:r>
      <w:proofErr w:type="spellStart"/>
      <w:r w:rsidRPr="00656088">
        <w:rPr>
          <w:sz w:val="24"/>
          <w:szCs w:val="24"/>
          <w:lang w:val="en-GB"/>
        </w:rPr>
        <w:t>MBq</w:t>
      </w:r>
      <w:proofErr w:type="spellEnd"/>
      <w:r w:rsidRPr="00656088">
        <w:rPr>
          <w:sz w:val="24"/>
          <w:szCs w:val="24"/>
          <w:lang w:val="en-GB"/>
        </w:rPr>
        <w:t xml:space="preserve">, the typical radiation doses delivered to the critical organs, bladder, heart and brain are 52 </w:t>
      </w:r>
      <w:proofErr w:type="spellStart"/>
      <w:r w:rsidRPr="00656088">
        <w:rPr>
          <w:sz w:val="24"/>
          <w:szCs w:val="24"/>
          <w:lang w:val="en-GB"/>
        </w:rPr>
        <w:t>mGy</w:t>
      </w:r>
      <w:proofErr w:type="spellEnd"/>
      <w:r w:rsidRPr="00656088">
        <w:rPr>
          <w:sz w:val="24"/>
          <w:szCs w:val="24"/>
          <w:lang w:val="en-GB"/>
        </w:rPr>
        <w:t xml:space="preserve">, 27 </w:t>
      </w:r>
      <w:proofErr w:type="spellStart"/>
      <w:r w:rsidRPr="00656088">
        <w:rPr>
          <w:sz w:val="24"/>
          <w:szCs w:val="24"/>
          <w:lang w:val="en-GB"/>
        </w:rPr>
        <w:t>mGy</w:t>
      </w:r>
      <w:proofErr w:type="spellEnd"/>
      <w:r w:rsidRPr="00656088">
        <w:rPr>
          <w:sz w:val="24"/>
          <w:szCs w:val="24"/>
          <w:lang w:val="en-GB"/>
        </w:rPr>
        <w:t xml:space="preserve"> and 15 </w:t>
      </w:r>
      <w:proofErr w:type="spellStart"/>
      <w:r w:rsidRPr="00656088">
        <w:rPr>
          <w:sz w:val="24"/>
          <w:szCs w:val="24"/>
          <w:lang w:val="en-GB"/>
        </w:rPr>
        <w:t>mGy</w:t>
      </w:r>
      <w:proofErr w:type="spellEnd"/>
      <w:r w:rsidRPr="00656088">
        <w:rPr>
          <w:sz w:val="24"/>
          <w:szCs w:val="24"/>
          <w:lang w:val="en-GB"/>
        </w:rPr>
        <w:t>, respectively.</w:t>
      </w:r>
    </w:p>
    <w:p w:rsidR="00D01D29" w:rsidRPr="00656088" w:rsidRDefault="00D01D29" w:rsidP="00D01D29">
      <w:pPr>
        <w:ind w:left="851" w:hanging="851"/>
        <w:jc w:val="both"/>
        <w:rPr>
          <w:sz w:val="24"/>
          <w:szCs w:val="24"/>
          <w:lang w:val="en-GB"/>
        </w:rPr>
      </w:pPr>
    </w:p>
    <w:p w:rsidR="00D01D29" w:rsidRPr="00301027" w:rsidRDefault="00D01D29" w:rsidP="00D01D29">
      <w:pPr>
        <w:ind w:left="851" w:hanging="851"/>
        <w:jc w:val="both"/>
        <w:rPr>
          <w:b/>
          <w:sz w:val="24"/>
          <w:szCs w:val="24"/>
          <w:lang w:val="en-US"/>
        </w:rPr>
      </w:pPr>
      <w:r w:rsidRPr="00656088">
        <w:rPr>
          <w:b/>
          <w:sz w:val="24"/>
          <w:szCs w:val="24"/>
          <w:lang w:val="en-GB"/>
        </w:rPr>
        <w:t>12.</w:t>
      </w:r>
      <w:r w:rsidRPr="00656088">
        <w:rPr>
          <w:b/>
          <w:sz w:val="24"/>
          <w:szCs w:val="24"/>
          <w:lang w:val="en-GB"/>
        </w:rPr>
        <w:tab/>
        <w:t>INSTRUCTION</w:t>
      </w:r>
      <w:r w:rsidRPr="00301027">
        <w:rPr>
          <w:b/>
          <w:sz w:val="24"/>
          <w:szCs w:val="24"/>
          <w:lang w:val="en-US"/>
        </w:rPr>
        <w:t>S FOR PREPARATION OF RADIOPHARMACEUTICALS</w:t>
      </w:r>
    </w:p>
    <w:p w:rsidR="00D01D29" w:rsidRDefault="00D01D29" w:rsidP="00D01D29">
      <w:pPr>
        <w:ind w:left="851" w:hanging="851"/>
        <w:jc w:val="both"/>
        <w:rPr>
          <w:b/>
          <w:sz w:val="24"/>
          <w:szCs w:val="24"/>
          <w:lang w:val="en-US"/>
        </w:rPr>
      </w:pPr>
    </w:p>
    <w:p w:rsidR="00D01D29" w:rsidRPr="00656088" w:rsidRDefault="00D01D29" w:rsidP="00D01D29">
      <w:pPr>
        <w:ind w:left="851" w:hanging="851"/>
        <w:rPr>
          <w:sz w:val="24"/>
          <w:szCs w:val="24"/>
          <w:u w:val="single"/>
          <w:lang w:val="en-GB"/>
        </w:rPr>
      </w:pPr>
      <w:r w:rsidRPr="00301027">
        <w:rPr>
          <w:b/>
          <w:sz w:val="24"/>
          <w:szCs w:val="24"/>
          <w:lang w:val="en-US"/>
        </w:rPr>
        <w:tab/>
      </w:r>
      <w:r w:rsidRPr="00656088">
        <w:rPr>
          <w:sz w:val="24"/>
          <w:szCs w:val="24"/>
          <w:u w:val="single"/>
          <w:lang w:val="en-GB"/>
        </w:rPr>
        <w:t>Method of preparation</w:t>
      </w:r>
    </w:p>
    <w:p w:rsidR="00D01D29" w:rsidRPr="00656088" w:rsidRDefault="00D01D29" w:rsidP="00D01D29">
      <w:pPr>
        <w:ind w:left="851"/>
        <w:rPr>
          <w:sz w:val="24"/>
          <w:szCs w:val="24"/>
          <w:lang w:val="en-GB"/>
        </w:rPr>
      </w:pPr>
      <w:r w:rsidRPr="00656088">
        <w:rPr>
          <w:sz w:val="24"/>
          <w:szCs w:val="24"/>
          <w:lang w:val="en-GB"/>
        </w:rPr>
        <w:t xml:space="preserve">The package must be checked before use and the activity measured using an </w:t>
      </w:r>
      <w:proofErr w:type="spellStart"/>
      <w:r w:rsidRPr="00656088">
        <w:rPr>
          <w:sz w:val="24"/>
          <w:szCs w:val="24"/>
          <w:lang w:val="en-GB"/>
        </w:rPr>
        <w:t>activimeter</w:t>
      </w:r>
      <w:proofErr w:type="spellEnd"/>
      <w:r w:rsidRPr="00656088">
        <w:rPr>
          <w:sz w:val="24"/>
          <w:szCs w:val="24"/>
          <w:lang w:val="en-GB"/>
        </w:rPr>
        <w:t xml:space="preserve">. The medicinal product may be diluted with sodium chloride 9 mg/ml (0.9 %) solution for injection. Withdrawals should be performed under aseptic conditions. The vials must not be opened before disinfecting the stopper; the solution should be withdrawn via the stopper using a single dose syringe fitted with suitable protective shielding and a disposable sterile needle or using an authorised automated application system. </w:t>
      </w:r>
    </w:p>
    <w:p w:rsidR="00D01D29" w:rsidRPr="00656088" w:rsidRDefault="00D01D29" w:rsidP="00D01D29">
      <w:pPr>
        <w:ind w:left="851"/>
        <w:rPr>
          <w:sz w:val="24"/>
          <w:szCs w:val="24"/>
          <w:lang w:val="en-GB"/>
        </w:rPr>
      </w:pPr>
      <w:r w:rsidRPr="00656088">
        <w:rPr>
          <w:sz w:val="24"/>
          <w:szCs w:val="24"/>
          <w:lang w:val="en-GB"/>
        </w:rPr>
        <w:lastRenderedPageBreak/>
        <w:t>If the integrity of this vial is compromised, the product should not be used.</w:t>
      </w:r>
    </w:p>
    <w:p w:rsidR="00D01D29" w:rsidRPr="00656088" w:rsidRDefault="00D01D29" w:rsidP="00D01D29">
      <w:pPr>
        <w:ind w:left="851" w:hanging="851"/>
        <w:rPr>
          <w:sz w:val="24"/>
          <w:szCs w:val="24"/>
          <w:lang w:val="en-GB"/>
        </w:rPr>
      </w:pPr>
    </w:p>
    <w:p w:rsidR="00D01D29" w:rsidRPr="00656088" w:rsidRDefault="00D01D29" w:rsidP="00D01D29">
      <w:pPr>
        <w:ind w:left="851"/>
        <w:rPr>
          <w:sz w:val="24"/>
          <w:szCs w:val="24"/>
          <w:u w:val="single"/>
          <w:lang w:val="en-GB"/>
        </w:rPr>
      </w:pPr>
      <w:r w:rsidRPr="00656088">
        <w:rPr>
          <w:sz w:val="24"/>
          <w:szCs w:val="24"/>
          <w:u w:val="single"/>
          <w:lang w:val="en-GB"/>
        </w:rPr>
        <w:t>Quality control</w:t>
      </w:r>
    </w:p>
    <w:p w:rsidR="00D01D29" w:rsidRPr="00656088" w:rsidRDefault="00D01D29" w:rsidP="00D01D29">
      <w:pPr>
        <w:ind w:left="851"/>
        <w:rPr>
          <w:sz w:val="24"/>
          <w:szCs w:val="24"/>
          <w:lang w:val="en-GB"/>
        </w:rPr>
      </w:pPr>
      <w:r w:rsidRPr="00656088">
        <w:rPr>
          <w:sz w:val="24"/>
          <w:szCs w:val="24"/>
          <w:lang w:val="en-GB"/>
        </w:rPr>
        <w:t>The solution should be inspected visually prior to use. Only clear solutions, free of visible particles should be used.</w:t>
      </w:r>
    </w:p>
    <w:p w:rsidR="00D01D29" w:rsidRPr="00FB35E1" w:rsidRDefault="00D01D29" w:rsidP="00D01D29">
      <w:pPr>
        <w:rPr>
          <w:lang w:val="en-US"/>
        </w:rPr>
      </w:pPr>
    </w:p>
    <w:p w:rsidR="00D01D29" w:rsidRPr="00FB35E1" w:rsidRDefault="00D01D29" w:rsidP="00D01D29">
      <w:pPr>
        <w:rPr>
          <w:lang w:val="en-US"/>
        </w:rPr>
      </w:pPr>
    </w:p>
    <w:p w:rsidR="009260DE" w:rsidRPr="00FB35E1" w:rsidRDefault="009260DE" w:rsidP="00D01D29">
      <w:pPr>
        <w:rPr>
          <w:lang w:val="en-US"/>
        </w:rPr>
      </w:pPr>
    </w:p>
    <w:sectPr w:rsidR="009260DE" w:rsidRPr="00FB35E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D29" w:rsidRDefault="00D01D29">
      <w:r>
        <w:separator/>
      </w:r>
    </w:p>
  </w:endnote>
  <w:endnote w:type="continuationSeparator" w:id="0">
    <w:p w:rsidR="00D01D29" w:rsidRDefault="00D0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03829">
      <w:rPr>
        <w:i/>
        <w:noProof/>
        <w:sz w:val="18"/>
        <w:szCs w:val="18"/>
      </w:rPr>
      <w:t>FluCore, solution for injection</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D29" w:rsidRDefault="00D01D29">
      <w:r>
        <w:separator/>
      </w:r>
    </w:p>
  </w:footnote>
  <w:footnote w:type="continuationSeparator" w:id="0">
    <w:p w:rsidR="00D01D29" w:rsidRDefault="00D01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E82"/>
    <w:multiLevelType w:val="hybridMultilevel"/>
    <w:tmpl w:val="607E59C0"/>
    <w:lvl w:ilvl="0" w:tplc="2872F844">
      <w:start w:val="1"/>
      <w:numFmt w:val="bullet"/>
      <w:lvlText w:val=""/>
      <w:lvlJc w:val="left"/>
      <w:pPr>
        <w:tabs>
          <w:tab w:val="num" w:pos="720"/>
        </w:tabs>
        <w:ind w:left="720" w:hanging="360"/>
      </w:pPr>
      <w:rPr>
        <w:rFonts w:ascii="Symbol" w:hAnsi="Symbol" w:hint="default"/>
      </w:rPr>
    </w:lvl>
    <w:lvl w:ilvl="1" w:tplc="2872F844">
      <w:start w:val="1"/>
      <w:numFmt w:val="bullet"/>
      <w:lvlText w:val=""/>
      <w:lvlJc w:val="left"/>
      <w:pPr>
        <w:tabs>
          <w:tab w:val="num" w:pos="1440"/>
        </w:tabs>
        <w:ind w:left="1440" w:hanging="360"/>
      </w:pPr>
      <w:rPr>
        <w:rFonts w:ascii="Symbol" w:hAnsi="Symbol"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CDF487E"/>
    <w:multiLevelType w:val="hybridMultilevel"/>
    <w:tmpl w:val="963ACCBC"/>
    <w:lvl w:ilvl="0" w:tplc="2872F844">
      <w:start w:val="1"/>
      <w:numFmt w:val="bullet"/>
      <w:lvlText w:val=""/>
      <w:lvlJc w:val="left"/>
      <w:pPr>
        <w:tabs>
          <w:tab w:val="num" w:pos="720"/>
        </w:tabs>
        <w:ind w:left="720" w:hanging="360"/>
      </w:pPr>
      <w:rPr>
        <w:rFonts w:ascii="Symbol" w:hAnsi="Symbol" w:hint="default"/>
      </w:rPr>
    </w:lvl>
    <w:lvl w:ilvl="1" w:tplc="BD6A0678">
      <w:start w:val="1"/>
      <w:numFmt w:val="bullet"/>
      <w:lvlText w:val=""/>
      <w:lvlJc w:val="left"/>
      <w:pPr>
        <w:tabs>
          <w:tab w:val="num" w:pos="1364"/>
        </w:tabs>
        <w:ind w:left="1364" w:hanging="284"/>
      </w:pPr>
      <w:rPr>
        <w:rFonts w:ascii="Symbol" w:hAnsi="Symbol"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2CA31F55"/>
    <w:multiLevelType w:val="hybridMultilevel"/>
    <w:tmpl w:val="65DC3DE0"/>
    <w:lvl w:ilvl="0" w:tplc="2872F844">
      <w:start w:val="1"/>
      <w:numFmt w:val="bullet"/>
      <w:lvlText w:val=""/>
      <w:lvlJc w:val="left"/>
      <w:pPr>
        <w:tabs>
          <w:tab w:val="num" w:pos="720"/>
        </w:tabs>
        <w:ind w:left="720" w:hanging="360"/>
      </w:pPr>
      <w:rPr>
        <w:rFonts w:ascii="Symbol" w:hAnsi="Symbol" w:hint="default"/>
      </w:rPr>
    </w:lvl>
    <w:lvl w:ilvl="1" w:tplc="BD6A0678">
      <w:start w:val="1"/>
      <w:numFmt w:val="bullet"/>
      <w:lvlText w:val=""/>
      <w:lvlJc w:val="left"/>
      <w:pPr>
        <w:tabs>
          <w:tab w:val="num" w:pos="1364"/>
        </w:tabs>
        <w:ind w:left="1364" w:hanging="284"/>
      </w:pPr>
      <w:rPr>
        <w:rFonts w:ascii="Symbol" w:hAnsi="Symbol"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 w15:restartNumberingAfterBreak="0">
    <w:nsid w:val="2D060521"/>
    <w:multiLevelType w:val="hybridMultilevel"/>
    <w:tmpl w:val="F4340290"/>
    <w:lvl w:ilvl="0" w:tplc="2872F844">
      <w:start w:val="1"/>
      <w:numFmt w:val="bullet"/>
      <w:lvlText w:val=""/>
      <w:lvlJc w:val="left"/>
      <w:pPr>
        <w:tabs>
          <w:tab w:val="num" w:pos="1571"/>
        </w:tabs>
        <w:ind w:left="1571" w:hanging="360"/>
      </w:pPr>
      <w:rPr>
        <w:rFonts w:ascii="Symbol" w:hAnsi="Symbol" w:hint="default"/>
      </w:rPr>
    </w:lvl>
    <w:lvl w:ilvl="1" w:tplc="BD6A0678">
      <w:start w:val="1"/>
      <w:numFmt w:val="bullet"/>
      <w:lvlText w:val=""/>
      <w:lvlJc w:val="left"/>
      <w:pPr>
        <w:tabs>
          <w:tab w:val="num" w:pos="1364"/>
        </w:tabs>
        <w:ind w:left="1364" w:hanging="284"/>
      </w:pPr>
      <w:rPr>
        <w:rFonts w:ascii="Symbol" w:hAnsi="Symbol"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F343899"/>
    <w:multiLevelType w:val="hybridMultilevel"/>
    <w:tmpl w:val="21BE00A0"/>
    <w:lvl w:ilvl="0" w:tplc="2872F844">
      <w:start w:val="1"/>
      <w:numFmt w:val="bullet"/>
      <w:lvlText w:val=""/>
      <w:lvlJc w:val="left"/>
      <w:pPr>
        <w:tabs>
          <w:tab w:val="num" w:pos="720"/>
        </w:tabs>
        <w:ind w:left="720" w:hanging="360"/>
      </w:pPr>
      <w:rPr>
        <w:rFonts w:ascii="Symbol" w:hAnsi="Symbol" w:hint="default"/>
      </w:rPr>
    </w:lvl>
    <w:lvl w:ilvl="1" w:tplc="BD6A0678">
      <w:start w:val="1"/>
      <w:numFmt w:val="bullet"/>
      <w:lvlText w:val=""/>
      <w:lvlJc w:val="left"/>
      <w:pPr>
        <w:tabs>
          <w:tab w:val="num" w:pos="1364"/>
        </w:tabs>
        <w:ind w:left="1364" w:hanging="284"/>
      </w:pPr>
      <w:rPr>
        <w:rFonts w:ascii="Symbol" w:hAnsi="Symbol"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BA77126"/>
    <w:multiLevelType w:val="hybridMultilevel"/>
    <w:tmpl w:val="10260210"/>
    <w:lvl w:ilvl="0" w:tplc="2872F844">
      <w:start w:val="1"/>
      <w:numFmt w:val="bullet"/>
      <w:lvlText w:val=""/>
      <w:lvlJc w:val="left"/>
      <w:pPr>
        <w:tabs>
          <w:tab w:val="num" w:pos="720"/>
        </w:tabs>
        <w:ind w:left="720" w:hanging="360"/>
      </w:pPr>
      <w:rPr>
        <w:rFonts w:ascii="Symbol" w:hAnsi="Symbol" w:hint="default"/>
      </w:rPr>
    </w:lvl>
    <w:lvl w:ilvl="1" w:tplc="BD6A0678">
      <w:start w:val="1"/>
      <w:numFmt w:val="bullet"/>
      <w:lvlText w:val=""/>
      <w:lvlJc w:val="left"/>
      <w:pPr>
        <w:tabs>
          <w:tab w:val="num" w:pos="1364"/>
        </w:tabs>
        <w:ind w:left="1364" w:hanging="284"/>
      </w:pPr>
      <w:rPr>
        <w:rFonts w:ascii="Symbol" w:hAnsi="Symbol"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D29"/>
    <w:rsid w:val="000259B9"/>
    <w:rsid w:val="00041491"/>
    <w:rsid w:val="00050D16"/>
    <w:rsid w:val="00074F2A"/>
    <w:rsid w:val="000A1CA8"/>
    <w:rsid w:val="000A466B"/>
    <w:rsid w:val="000B058C"/>
    <w:rsid w:val="000E4EE6"/>
    <w:rsid w:val="00103829"/>
    <w:rsid w:val="001454E2"/>
    <w:rsid w:val="00206CE8"/>
    <w:rsid w:val="0021526C"/>
    <w:rsid w:val="00283A2B"/>
    <w:rsid w:val="002B30AD"/>
    <w:rsid w:val="002C2C01"/>
    <w:rsid w:val="003619D0"/>
    <w:rsid w:val="00374845"/>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B3761E"/>
    <w:rsid w:val="00C36276"/>
    <w:rsid w:val="00C42586"/>
    <w:rsid w:val="00C60CCD"/>
    <w:rsid w:val="00C84483"/>
    <w:rsid w:val="00C95551"/>
    <w:rsid w:val="00CB20D7"/>
    <w:rsid w:val="00D01D29"/>
    <w:rsid w:val="00D020B0"/>
    <w:rsid w:val="00D11748"/>
    <w:rsid w:val="00D366CF"/>
    <w:rsid w:val="00E108AA"/>
    <w:rsid w:val="00E31812"/>
    <w:rsid w:val="00E3749A"/>
    <w:rsid w:val="00E7437F"/>
    <w:rsid w:val="00E865B8"/>
    <w:rsid w:val="00EC0B9B"/>
    <w:rsid w:val="00ED5E9F"/>
    <w:rsid w:val="00F66D4F"/>
    <w:rsid w:val="00FB35E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07E2BB5"/>
  <w15:chartTrackingRefBased/>
  <w15:docId w15:val="{7704B09D-A82F-402D-995F-57A6DD18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D01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7333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12</Pages>
  <Words>3655</Words>
  <Characters>21365</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2020024207_x000d_
Lille ændring i MAH navnet, som ved sidste opdatering blevet skrevt forkert</dc:description>
  <cp:lastModifiedBy>Marianne Ott Jensen</cp:lastModifiedBy>
  <cp:revision>3</cp:revision>
  <cp:lastPrinted>2012-08-22T08:53:00Z</cp:lastPrinted>
  <dcterms:created xsi:type="dcterms:W3CDTF">2020-03-12T10:34:00Z</dcterms:created>
  <dcterms:modified xsi:type="dcterms:W3CDTF">2020-03-12T10:36:00Z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