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60023" w14:textId="164172CF" w:rsidR="009260DE" w:rsidRPr="00D07529" w:rsidRDefault="0021526C" w:rsidP="00D07529">
      <w:pPr>
        <w:rPr>
          <w:b/>
          <w:sz w:val="24"/>
          <w:szCs w:val="24"/>
        </w:rPr>
      </w:pPr>
      <w:r w:rsidRPr="00D07529">
        <w:rPr>
          <w:noProof/>
          <w:sz w:val="24"/>
          <w:szCs w:val="24"/>
          <w:lang w:eastAsia="da-DK"/>
        </w:rPr>
        <w:drawing>
          <wp:anchor distT="0" distB="0" distL="114300" distR="114300" simplePos="0" relativeHeight="251658240" behindDoc="0" locked="0" layoutInCell="1" allowOverlap="1" wp14:anchorId="7328310D" wp14:editId="67EEA77F">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D07529">
        <w:rPr>
          <w:sz w:val="24"/>
          <w:szCs w:val="24"/>
        </w:rPr>
        <w:br w:type="textWrapping" w:clear="all"/>
      </w:r>
    </w:p>
    <w:p w14:paraId="00C00168" w14:textId="1D2E4AD9" w:rsidR="009260DE" w:rsidRPr="00D07529" w:rsidRDefault="009260DE" w:rsidP="009260DE">
      <w:pPr>
        <w:pStyle w:val="Titel"/>
        <w:tabs>
          <w:tab w:val="right" w:pos="9356"/>
        </w:tabs>
        <w:jc w:val="left"/>
        <w:rPr>
          <w:b w:val="0"/>
          <w:szCs w:val="24"/>
          <w:lang w:eastAsia="en-US"/>
        </w:rPr>
      </w:pPr>
      <w:r w:rsidRPr="00D07529">
        <w:rPr>
          <w:b w:val="0"/>
          <w:szCs w:val="24"/>
          <w:lang w:eastAsia="en-US"/>
        </w:rPr>
        <w:tab/>
      </w:r>
      <w:r w:rsidR="004B4BC9">
        <w:rPr>
          <w:szCs w:val="24"/>
        </w:rPr>
        <w:t>3</w:t>
      </w:r>
      <w:r w:rsidR="00D5459A">
        <w:rPr>
          <w:szCs w:val="24"/>
        </w:rPr>
        <w:t>1</w:t>
      </w:r>
      <w:r w:rsidR="004B4BC9">
        <w:rPr>
          <w:szCs w:val="24"/>
        </w:rPr>
        <w:t>. oktober 2025</w:t>
      </w:r>
    </w:p>
    <w:p w14:paraId="61029938" w14:textId="77777777" w:rsidR="009260DE" w:rsidRPr="00D07529" w:rsidRDefault="009260DE" w:rsidP="009260DE">
      <w:pPr>
        <w:pStyle w:val="Titel"/>
        <w:tabs>
          <w:tab w:val="left" w:pos="8222"/>
        </w:tabs>
        <w:jc w:val="left"/>
        <w:rPr>
          <w:b w:val="0"/>
          <w:szCs w:val="24"/>
        </w:rPr>
      </w:pPr>
    </w:p>
    <w:p w14:paraId="3BBCDA27" w14:textId="77777777" w:rsidR="009260DE" w:rsidRPr="00D07529" w:rsidRDefault="009260DE" w:rsidP="009260DE">
      <w:pPr>
        <w:pStyle w:val="Titel"/>
        <w:jc w:val="left"/>
        <w:rPr>
          <w:b w:val="0"/>
          <w:szCs w:val="24"/>
        </w:rPr>
      </w:pPr>
    </w:p>
    <w:p w14:paraId="5709E32F" w14:textId="77777777" w:rsidR="009260DE" w:rsidRPr="00D07529" w:rsidRDefault="009260DE" w:rsidP="009260DE">
      <w:pPr>
        <w:pStyle w:val="Titel"/>
        <w:jc w:val="left"/>
        <w:rPr>
          <w:b w:val="0"/>
          <w:szCs w:val="24"/>
        </w:rPr>
      </w:pPr>
    </w:p>
    <w:p w14:paraId="315D53D2" w14:textId="77777777" w:rsidR="009260DE" w:rsidRPr="00D07529" w:rsidRDefault="009260DE" w:rsidP="009260DE">
      <w:pPr>
        <w:jc w:val="center"/>
        <w:rPr>
          <w:b/>
          <w:sz w:val="24"/>
          <w:szCs w:val="24"/>
        </w:rPr>
      </w:pPr>
      <w:r w:rsidRPr="00D07529">
        <w:rPr>
          <w:b/>
          <w:sz w:val="24"/>
          <w:szCs w:val="24"/>
        </w:rPr>
        <w:t>PRODUKTRESUMÉ</w:t>
      </w:r>
    </w:p>
    <w:p w14:paraId="64657FA5" w14:textId="77777777" w:rsidR="009260DE" w:rsidRPr="00D07529" w:rsidRDefault="009260DE" w:rsidP="009260DE">
      <w:pPr>
        <w:jc w:val="center"/>
        <w:rPr>
          <w:b/>
          <w:sz w:val="24"/>
          <w:szCs w:val="24"/>
        </w:rPr>
      </w:pPr>
    </w:p>
    <w:p w14:paraId="24DECD69" w14:textId="77777777" w:rsidR="009260DE" w:rsidRPr="00D07529" w:rsidRDefault="009260DE" w:rsidP="009260DE">
      <w:pPr>
        <w:jc w:val="center"/>
        <w:rPr>
          <w:b/>
          <w:sz w:val="24"/>
          <w:szCs w:val="24"/>
        </w:rPr>
      </w:pPr>
      <w:r w:rsidRPr="00D07529">
        <w:rPr>
          <w:b/>
          <w:sz w:val="24"/>
          <w:szCs w:val="24"/>
        </w:rPr>
        <w:t>for</w:t>
      </w:r>
    </w:p>
    <w:p w14:paraId="127B0146" w14:textId="77777777" w:rsidR="000B058C" w:rsidRPr="00D07529" w:rsidRDefault="000B058C" w:rsidP="009260DE">
      <w:pPr>
        <w:jc w:val="center"/>
        <w:rPr>
          <w:b/>
          <w:sz w:val="24"/>
          <w:szCs w:val="24"/>
        </w:rPr>
      </w:pPr>
    </w:p>
    <w:p w14:paraId="13ECA2E3" w14:textId="6F9B4541" w:rsidR="009260DE" w:rsidRPr="00D07529" w:rsidRDefault="004B4BC9" w:rsidP="009260DE">
      <w:pPr>
        <w:jc w:val="center"/>
        <w:rPr>
          <w:b/>
          <w:sz w:val="24"/>
          <w:szCs w:val="24"/>
        </w:rPr>
      </w:pPr>
      <w:proofErr w:type="spellStart"/>
      <w:r>
        <w:rPr>
          <w:b/>
          <w:sz w:val="24"/>
          <w:szCs w:val="24"/>
        </w:rPr>
        <w:t>Flucloxacillin</w:t>
      </w:r>
      <w:proofErr w:type="spellEnd"/>
      <w:r>
        <w:rPr>
          <w:b/>
          <w:sz w:val="24"/>
          <w:szCs w:val="24"/>
        </w:rPr>
        <w:t xml:space="preserve"> ”Nordic Prime”</w:t>
      </w:r>
      <w:r w:rsidR="00D477BC" w:rsidRPr="00D07529">
        <w:rPr>
          <w:b/>
          <w:sz w:val="24"/>
          <w:szCs w:val="24"/>
        </w:rPr>
        <w:t>, pulver til oral opløsning</w:t>
      </w:r>
      <w:r>
        <w:rPr>
          <w:b/>
          <w:sz w:val="24"/>
          <w:szCs w:val="24"/>
        </w:rPr>
        <w:t xml:space="preserve"> (</w:t>
      </w:r>
      <w:r w:rsidRPr="004B4BC9">
        <w:rPr>
          <w:b/>
          <w:sz w:val="24"/>
          <w:szCs w:val="24"/>
        </w:rPr>
        <w:t>Nordic Prime</w:t>
      </w:r>
      <w:r>
        <w:rPr>
          <w:b/>
          <w:sz w:val="24"/>
          <w:szCs w:val="24"/>
        </w:rPr>
        <w:t>)</w:t>
      </w:r>
    </w:p>
    <w:p w14:paraId="7831AABD" w14:textId="77777777" w:rsidR="009260DE" w:rsidRPr="00D07529" w:rsidRDefault="009260DE" w:rsidP="009260DE">
      <w:pPr>
        <w:jc w:val="both"/>
        <w:rPr>
          <w:sz w:val="24"/>
          <w:szCs w:val="24"/>
        </w:rPr>
      </w:pPr>
    </w:p>
    <w:p w14:paraId="2470116B" w14:textId="77777777" w:rsidR="009260DE" w:rsidRPr="00D07529" w:rsidRDefault="009260DE" w:rsidP="009260DE">
      <w:pPr>
        <w:jc w:val="both"/>
        <w:rPr>
          <w:sz w:val="24"/>
          <w:szCs w:val="24"/>
        </w:rPr>
      </w:pPr>
    </w:p>
    <w:p w14:paraId="7A58F9FA" w14:textId="77777777" w:rsidR="009260DE" w:rsidRPr="00D07529" w:rsidRDefault="009260DE" w:rsidP="009260DE">
      <w:pPr>
        <w:tabs>
          <w:tab w:val="left" w:pos="851"/>
        </w:tabs>
        <w:ind w:left="851" w:hanging="851"/>
        <w:rPr>
          <w:b/>
          <w:sz w:val="24"/>
          <w:szCs w:val="24"/>
        </w:rPr>
      </w:pPr>
      <w:r w:rsidRPr="00D07529">
        <w:rPr>
          <w:b/>
          <w:sz w:val="24"/>
          <w:szCs w:val="24"/>
        </w:rPr>
        <w:t>0.</w:t>
      </w:r>
      <w:r w:rsidRPr="00D07529">
        <w:rPr>
          <w:b/>
          <w:sz w:val="24"/>
          <w:szCs w:val="24"/>
        </w:rPr>
        <w:tab/>
        <w:t>D.SP.NR.</w:t>
      </w:r>
    </w:p>
    <w:p w14:paraId="427AF04B" w14:textId="69B08092" w:rsidR="009260DE" w:rsidRPr="00D07529" w:rsidRDefault="00D477BC" w:rsidP="009260DE">
      <w:pPr>
        <w:tabs>
          <w:tab w:val="left" w:pos="851"/>
        </w:tabs>
        <w:ind w:left="851"/>
        <w:rPr>
          <w:sz w:val="24"/>
          <w:szCs w:val="24"/>
        </w:rPr>
      </w:pPr>
      <w:r w:rsidRPr="00D07529">
        <w:rPr>
          <w:sz w:val="24"/>
          <w:szCs w:val="24"/>
        </w:rPr>
        <w:t>34116</w:t>
      </w:r>
    </w:p>
    <w:p w14:paraId="01614C7C" w14:textId="77777777" w:rsidR="009260DE" w:rsidRPr="00D07529" w:rsidRDefault="009260DE" w:rsidP="009260DE">
      <w:pPr>
        <w:tabs>
          <w:tab w:val="left" w:pos="851"/>
        </w:tabs>
        <w:ind w:left="851"/>
        <w:rPr>
          <w:sz w:val="24"/>
          <w:szCs w:val="24"/>
        </w:rPr>
      </w:pPr>
    </w:p>
    <w:p w14:paraId="0CBFDF5B" w14:textId="77777777" w:rsidR="009260DE" w:rsidRPr="00D07529" w:rsidRDefault="009260DE" w:rsidP="009260DE">
      <w:pPr>
        <w:tabs>
          <w:tab w:val="left" w:pos="851"/>
        </w:tabs>
        <w:ind w:left="851" w:hanging="851"/>
        <w:rPr>
          <w:b/>
          <w:sz w:val="24"/>
          <w:szCs w:val="24"/>
        </w:rPr>
      </w:pPr>
      <w:r w:rsidRPr="00D07529">
        <w:rPr>
          <w:b/>
          <w:sz w:val="24"/>
          <w:szCs w:val="24"/>
        </w:rPr>
        <w:t>1.</w:t>
      </w:r>
      <w:r w:rsidRPr="00D07529">
        <w:rPr>
          <w:b/>
          <w:sz w:val="24"/>
          <w:szCs w:val="24"/>
        </w:rPr>
        <w:tab/>
        <w:t>LÆGEMIDLETS NAVN</w:t>
      </w:r>
    </w:p>
    <w:p w14:paraId="37E86347" w14:textId="4987A20F" w:rsidR="009260DE" w:rsidRPr="00D07529" w:rsidRDefault="004B4BC9" w:rsidP="009260DE">
      <w:pPr>
        <w:tabs>
          <w:tab w:val="left" w:pos="851"/>
        </w:tabs>
        <w:ind w:left="851"/>
        <w:rPr>
          <w:sz w:val="24"/>
          <w:szCs w:val="24"/>
        </w:rPr>
      </w:pPr>
      <w:proofErr w:type="spellStart"/>
      <w:r>
        <w:rPr>
          <w:sz w:val="24"/>
          <w:szCs w:val="24"/>
        </w:rPr>
        <w:t>Flucloxacillin</w:t>
      </w:r>
      <w:proofErr w:type="spellEnd"/>
      <w:r>
        <w:rPr>
          <w:sz w:val="24"/>
          <w:szCs w:val="24"/>
        </w:rPr>
        <w:t xml:space="preserve"> ”Nordic Prime”</w:t>
      </w:r>
    </w:p>
    <w:p w14:paraId="69356921" w14:textId="77777777" w:rsidR="009260DE" w:rsidRPr="00D07529" w:rsidRDefault="009260DE" w:rsidP="009260DE">
      <w:pPr>
        <w:tabs>
          <w:tab w:val="left" w:pos="851"/>
        </w:tabs>
        <w:ind w:left="851"/>
        <w:rPr>
          <w:sz w:val="24"/>
          <w:szCs w:val="24"/>
        </w:rPr>
      </w:pPr>
    </w:p>
    <w:p w14:paraId="410F0056" w14:textId="77777777" w:rsidR="009260DE" w:rsidRPr="00D07529" w:rsidRDefault="009260DE" w:rsidP="009260DE">
      <w:pPr>
        <w:tabs>
          <w:tab w:val="left" w:pos="851"/>
        </w:tabs>
        <w:ind w:left="851" w:hanging="851"/>
        <w:rPr>
          <w:b/>
          <w:sz w:val="24"/>
          <w:szCs w:val="24"/>
        </w:rPr>
      </w:pPr>
      <w:r w:rsidRPr="00D07529">
        <w:rPr>
          <w:b/>
          <w:sz w:val="24"/>
          <w:szCs w:val="24"/>
        </w:rPr>
        <w:t>2.</w:t>
      </w:r>
      <w:r w:rsidRPr="00D07529">
        <w:rPr>
          <w:b/>
          <w:sz w:val="24"/>
          <w:szCs w:val="24"/>
        </w:rPr>
        <w:tab/>
        <w:t>KVALITATIV OG KVANTITATIV SAMMENSÆTNING</w:t>
      </w:r>
    </w:p>
    <w:p w14:paraId="24E886F1" w14:textId="77777777" w:rsidR="00AB4CC5" w:rsidRPr="00D07529" w:rsidRDefault="00AB4CC5" w:rsidP="00D07529">
      <w:pPr>
        <w:ind w:left="851"/>
        <w:rPr>
          <w:sz w:val="24"/>
          <w:szCs w:val="24"/>
        </w:rPr>
      </w:pPr>
      <w:r w:rsidRPr="00D07529">
        <w:rPr>
          <w:sz w:val="24"/>
          <w:szCs w:val="24"/>
        </w:rPr>
        <w:t xml:space="preserve">1 ml </w:t>
      </w:r>
      <w:proofErr w:type="spellStart"/>
      <w:r w:rsidRPr="00D07529">
        <w:rPr>
          <w:sz w:val="24"/>
          <w:szCs w:val="24"/>
        </w:rPr>
        <w:t>rekonstitueret</w:t>
      </w:r>
      <w:proofErr w:type="spellEnd"/>
      <w:r w:rsidRPr="00D07529">
        <w:rPr>
          <w:sz w:val="24"/>
          <w:szCs w:val="24"/>
        </w:rPr>
        <w:t xml:space="preserve"> oral opløsning indeholder </w:t>
      </w:r>
      <w:proofErr w:type="spellStart"/>
      <w:r w:rsidRPr="00D07529">
        <w:rPr>
          <w:sz w:val="24"/>
          <w:szCs w:val="24"/>
        </w:rPr>
        <w:t>flucloxacillinnatrium</w:t>
      </w:r>
      <w:proofErr w:type="spellEnd"/>
      <w:r w:rsidRPr="00D07529">
        <w:rPr>
          <w:sz w:val="24"/>
          <w:szCs w:val="24"/>
        </w:rPr>
        <w:t xml:space="preserve"> svarende til 50 mg </w:t>
      </w:r>
      <w:proofErr w:type="spellStart"/>
      <w:r w:rsidRPr="00D07529">
        <w:rPr>
          <w:sz w:val="24"/>
          <w:szCs w:val="24"/>
        </w:rPr>
        <w:t>flucloxacillin</w:t>
      </w:r>
      <w:proofErr w:type="spellEnd"/>
      <w:r w:rsidRPr="00D07529">
        <w:rPr>
          <w:sz w:val="24"/>
          <w:szCs w:val="24"/>
        </w:rPr>
        <w:t>.</w:t>
      </w:r>
    </w:p>
    <w:p w14:paraId="078D90B7" w14:textId="77777777" w:rsidR="00AB4CC5" w:rsidRPr="00D07529" w:rsidRDefault="00AB4CC5" w:rsidP="00D07529">
      <w:pPr>
        <w:ind w:left="851"/>
        <w:rPr>
          <w:sz w:val="24"/>
          <w:szCs w:val="24"/>
          <w:u w:val="single"/>
        </w:rPr>
      </w:pPr>
    </w:p>
    <w:p w14:paraId="5CF562B1" w14:textId="77777777" w:rsidR="00AB4CC5" w:rsidRPr="00D07529" w:rsidRDefault="00AB4CC5" w:rsidP="00D07529">
      <w:pPr>
        <w:ind w:left="851"/>
        <w:rPr>
          <w:sz w:val="24"/>
          <w:szCs w:val="24"/>
          <w:u w:val="single"/>
        </w:rPr>
      </w:pPr>
      <w:r w:rsidRPr="00D07529">
        <w:rPr>
          <w:sz w:val="24"/>
          <w:szCs w:val="24"/>
          <w:u w:val="single"/>
        </w:rPr>
        <w:t>Hjælpestoffer, som behandleren skal være opmærksom på:</w:t>
      </w:r>
    </w:p>
    <w:p w14:paraId="4CD81291" w14:textId="77777777" w:rsidR="00AB4CC5" w:rsidRPr="00D07529" w:rsidRDefault="00AB4CC5" w:rsidP="00D07529">
      <w:pPr>
        <w:ind w:left="851"/>
        <w:rPr>
          <w:sz w:val="24"/>
          <w:szCs w:val="24"/>
        </w:rPr>
      </w:pPr>
      <w:r w:rsidRPr="00D07529">
        <w:rPr>
          <w:sz w:val="24"/>
          <w:szCs w:val="24"/>
        </w:rPr>
        <w:t xml:space="preserve">Dette lægemiddel indeholder 592 mg </w:t>
      </w:r>
      <w:proofErr w:type="spellStart"/>
      <w:r w:rsidRPr="00D07529">
        <w:rPr>
          <w:sz w:val="24"/>
          <w:szCs w:val="24"/>
        </w:rPr>
        <w:t>saccharose</w:t>
      </w:r>
      <w:proofErr w:type="spellEnd"/>
      <w:r w:rsidRPr="00D07529">
        <w:rPr>
          <w:sz w:val="24"/>
          <w:szCs w:val="24"/>
        </w:rPr>
        <w:t xml:space="preserve"> pr. ml, 4,8 mg natrium pr. ml og 1 mg natriumbenzoat pr. ml.</w:t>
      </w:r>
    </w:p>
    <w:p w14:paraId="184D1E98" w14:textId="77777777" w:rsidR="00AB4CC5" w:rsidRPr="00D07529" w:rsidRDefault="00AB4CC5" w:rsidP="00D07529">
      <w:pPr>
        <w:ind w:left="851"/>
        <w:rPr>
          <w:sz w:val="24"/>
          <w:szCs w:val="24"/>
        </w:rPr>
      </w:pPr>
    </w:p>
    <w:p w14:paraId="619B5F7E" w14:textId="77777777" w:rsidR="00AB4CC5" w:rsidRPr="00D07529" w:rsidRDefault="00AB4CC5" w:rsidP="00D07529">
      <w:pPr>
        <w:ind w:left="851"/>
        <w:rPr>
          <w:sz w:val="24"/>
          <w:szCs w:val="24"/>
        </w:rPr>
      </w:pPr>
      <w:r w:rsidRPr="00D07529">
        <w:rPr>
          <w:sz w:val="24"/>
          <w:szCs w:val="24"/>
        </w:rPr>
        <w:t>Alle hjælpestoffer er anført under pkt. 6.1.</w:t>
      </w:r>
    </w:p>
    <w:p w14:paraId="6F77C6B1" w14:textId="77777777" w:rsidR="009260DE" w:rsidRPr="00D07529" w:rsidRDefault="009260DE" w:rsidP="009260DE">
      <w:pPr>
        <w:tabs>
          <w:tab w:val="left" w:pos="851"/>
        </w:tabs>
        <w:ind w:left="851"/>
        <w:rPr>
          <w:sz w:val="24"/>
          <w:szCs w:val="24"/>
        </w:rPr>
      </w:pPr>
    </w:p>
    <w:p w14:paraId="610E69B6" w14:textId="77777777" w:rsidR="009260DE" w:rsidRPr="00D07529" w:rsidRDefault="009260DE" w:rsidP="009260DE">
      <w:pPr>
        <w:tabs>
          <w:tab w:val="left" w:pos="851"/>
        </w:tabs>
        <w:ind w:left="851" w:hanging="851"/>
        <w:rPr>
          <w:b/>
          <w:sz w:val="24"/>
          <w:szCs w:val="24"/>
        </w:rPr>
      </w:pPr>
      <w:r w:rsidRPr="00D07529">
        <w:rPr>
          <w:b/>
          <w:sz w:val="24"/>
          <w:szCs w:val="24"/>
        </w:rPr>
        <w:t>3.</w:t>
      </w:r>
      <w:r w:rsidRPr="00D07529">
        <w:rPr>
          <w:b/>
          <w:sz w:val="24"/>
          <w:szCs w:val="24"/>
        </w:rPr>
        <w:tab/>
        <w:t>LÆGEMIDDELFORM</w:t>
      </w:r>
    </w:p>
    <w:p w14:paraId="42118E28" w14:textId="35B16799" w:rsidR="00AB4CC5" w:rsidRPr="00D07529" w:rsidRDefault="00AB4CC5" w:rsidP="00D07529">
      <w:pPr>
        <w:ind w:left="851"/>
        <w:rPr>
          <w:sz w:val="24"/>
          <w:szCs w:val="24"/>
        </w:rPr>
      </w:pPr>
      <w:r w:rsidRPr="00D07529">
        <w:rPr>
          <w:sz w:val="24"/>
          <w:szCs w:val="24"/>
        </w:rPr>
        <w:t>Pulver til oral opløsning</w:t>
      </w:r>
      <w:r w:rsidR="004B4BC9">
        <w:rPr>
          <w:sz w:val="24"/>
          <w:szCs w:val="24"/>
        </w:rPr>
        <w:t xml:space="preserve"> (</w:t>
      </w:r>
      <w:r w:rsidR="004B4BC9" w:rsidRPr="004B4BC9">
        <w:rPr>
          <w:sz w:val="24"/>
          <w:szCs w:val="24"/>
        </w:rPr>
        <w:t>Nordic Prime</w:t>
      </w:r>
      <w:r w:rsidR="004B4BC9">
        <w:rPr>
          <w:sz w:val="24"/>
          <w:szCs w:val="24"/>
        </w:rPr>
        <w:t>)</w:t>
      </w:r>
    </w:p>
    <w:p w14:paraId="3687660E" w14:textId="77777777" w:rsidR="00AB4CC5" w:rsidRPr="00D07529" w:rsidRDefault="00AB4CC5" w:rsidP="00D07529">
      <w:pPr>
        <w:ind w:left="851"/>
        <w:rPr>
          <w:sz w:val="24"/>
          <w:szCs w:val="24"/>
        </w:rPr>
      </w:pPr>
    </w:p>
    <w:p w14:paraId="2C2696D1" w14:textId="77777777" w:rsidR="009260DE" w:rsidRPr="00D07529" w:rsidRDefault="009260DE" w:rsidP="009260DE">
      <w:pPr>
        <w:tabs>
          <w:tab w:val="left" w:pos="851"/>
        </w:tabs>
        <w:ind w:left="851"/>
        <w:rPr>
          <w:sz w:val="24"/>
          <w:szCs w:val="24"/>
        </w:rPr>
      </w:pPr>
    </w:p>
    <w:p w14:paraId="5F748995" w14:textId="77777777" w:rsidR="009260DE" w:rsidRPr="00D07529" w:rsidRDefault="009260DE" w:rsidP="009260DE">
      <w:pPr>
        <w:tabs>
          <w:tab w:val="left" w:pos="851"/>
        </w:tabs>
        <w:ind w:left="851" w:hanging="851"/>
        <w:rPr>
          <w:b/>
          <w:sz w:val="24"/>
          <w:szCs w:val="24"/>
        </w:rPr>
      </w:pPr>
      <w:r w:rsidRPr="00D07529">
        <w:rPr>
          <w:b/>
          <w:sz w:val="24"/>
          <w:szCs w:val="24"/>
        </w:rPr>
        <w:t>4.</w:t>
      </w:r>
      <w:r w:rsidRPr="00D07529">
        <w:rPr>
          <w:b/>
          <w:sz w:val="24"/>
          <w:szCs w:val="24"/>
        </w:rPr>
        <w:tab/>
        <w:t>KLINISKE OPLYSNINGER</w:t>
      </w:r>
    </w:p>
    <w:p w14:paraId="14CEFD6C" w14:textId="77777777" w:rsidR="009260DE" w:rsidRPr="00D07529" w:rsidRDefault="009260DE" w:rsidP="009260DE">
      <w:pPr>
        <w:tabs>
          <w:tab w:val="left" w:pos="851"/>
        </w:tabs>
        <w:ind w:left="851"/>
        <w:rPr>
          <w:b/>
          <w:sz w:val="24"/>
          <w:szCs w:val="24"/>
        </w:rPr>
      </w:pPr>
    </w:p>
    <w:p w14:paraId="63DCE3C3" w14:textId="77777777" w:rsidR="009260DE" w:rsidRPr="00D07529" w:rsidRDefault="009260DE" w:rsidP="009260DE">
      <w:pPr>
        <w:tabs>
          <w:tab w:val="left" w:pos="851"/>
        </w:tabs>
        <w:ind w:left="851" w:hanging="851"/>
        <w:rPr>
          <w:b/>
          <w:sz w:val="24"/>
          <w:szCs w:val="24"/>
          <w:u w:val="single"/>
        </w:rPr>
      </w:pPr>
      <w:r w:rsidRPr="00D07529">
        <w:rPr>
          <w:b/>
          <w:sz w:val="24"/>
          <w:szCs w:val="24"/>
        </w:rPr>
        <w:t>4.1</w:t>
      </w:r>
      <w:r w:rsidRPr="00D07529">
        <w:rPr>
          <w:b/>
          <w:sz w:val="24"/>
          <w:szCs w:val="24"/>
        </w:rPr>
        <w:tab/>
        <w:t>Terapeutiske indikationer</w:t>
      </w:r>
    </w:p>
    <w:p w14:paraId="35BE4555" w14:textId="2F805177" w:rsidR="00AB4CC5" w:rsidRPr="00D07529" w:rsidRDefault="004B4BC9" w:rsidP="00550391">
      <w:pPr>
        <w:ind w:left="851"/>
        <w:rPr>
          <w:sz w:val="24"/>
          <w:szCs w:val="24"/>
        </w:rPr>
      </w:pPr>
      <w:proofErr w:type="spellStart"/>
      <w:r>
        <w:rPr>
          <w:sz w:val="24"/>
          <w:szCs w:val="24"/>
        </w:rPr>
        <w:t>Flucloxacillin</w:t>
      </w:r>
      <w:proofErr w:type="spellEnd"/>
      <w:r>
        <w:rPr>
          <w:sz w:val="24"/>
          <w:szCs w:val="24"/>
        </w:rPr>
        <w:t xml:space="preserve"> ”Nordic Prime”</w:t>
      </w:r>
      <w:r w:rsidR="00AB4CC5" w:rsidRPr="00D07529">
        <w:rPr>
          <w:sz w:val="24"/>
          <w:szCs w:val="24"/>
        </w:rPr>
        <w:t xml:space="preserve"> er indiceret til behandling af følgende infektioner ved mistanke om eller bekræftet stafylokokætiologi:</w:t>
      </w:r>
    </w:p>
    <w:p w14:paraId="5F768D0B" w14:textId="77777777" w:rsidR="00AB4CC5" w:rsidRPr="00D07529" w:rsidRDefault="00AB4CC5" w:rsidP="00550391">
      <w:pPr>
        <w:pStyle w:val="Listeafsnit"/>
        <w:numPr>
          <w:ilvl w:val="0"/>
          <w:numId w:val="8"/>
        </w:numPr>
        <w:tabs>
          <w:tab w:val="clear" w:pos="567"/>
        </w:tabs>
        <w:spacing w:line="240" w:lineRule="auto"/>
        <w:ind w:left="1276" w:hanging="425"/>
        <w:rPr>
          <w:sz w:val="24"/>
          <w:szCs w:val="24"/>
        </w:rPr>
      </w:pPr>
      <w:r w:rsidRPr="00D07529">
        <w:rPr>
          <w:sz w:val="24"/>
          <w:szCs w:val="24"/>
        </w:rPr>
        <w:t>Hud- og bløddelsinfektioner.</w:t>
      </w:r>
    </w:p>
    <w:p w14:paraId="620DBD8E" w14:textId="77777777" w:rsidR="00AB4CC5" w:rsidRPr="00D07529" w:rsidRDefault="00AB4CC5" w:rsidP="00550391">
      <w:pPr>
        <w:pStyle w:val="Listeafsnit"/>
        <w:numPr>
          <w:ilvl w:val="0"/>
          <w:numId w:val="8"/>
        </w:numPr>
        <w:tabs>
          <w:tab w:val="clear" w:pos="567"/>
        </w:tabs>
        <w:spacing w:line="240" w:lineRule="auto"/>
        <w:ind w:left="1276" w:hanging="425"/>
        <w:rPr>
          <w:sz w:val="24"/>
          <w:szCs w:val="24"/>
        </w:rPr>
      </w:pPr>
      <w:r w:rsidRPr="00D07529">
        <w:rPr>
          <w:sz w:val="24"/>
          <w:szCs w:val="24"/>
        </w:rPr>
        <w:t>Infektioner i knogler og led.</w:t>
      </w:r>
    </w:p>
    <w:p w14:paraId="442DD344" w14:textId="77777777" w:rsidR="00AB4CC5" w:rsidRPr="00D07529" w:rsidRDefault="00AB4CC5" w:rsidP="00550391">
      <w:pPr>
        <w:pStyle w:val="Listeafsnit"/>
        <w:numPr>
          <w:ilvl w:val="0"/>
          <w:numId w:val="8"/>
        </w:numPr>
        <w:tabs>
          <w:tab w:val="clear" w:pos="567"/>
        </w:tabs>
        <w:spacing w:line="240" w:lineRule="auto"/>
        <w:ind w:left="1276" w:hanging="425"/>
        <w:rPr>
          <w:sz w:val="24"/>
          <w:szCs w:val="24"/>
        </w:rPr>
      </w:pPr>
      <w:r w:rsidRPr="00D07529">
        <w:rPr>
          <w:sz w:val="24"/>
          <w:szCs w:val="24"/>
        </w:rPr>
        <w:t xml:space="preserve">Infektioner i nedre luftveje, inklusive pneumoni og </w:t>
      </w:r>
      <w:proofErr w:type="spellStart"/>
      <w:r w:rsidRPr="00D07529">
        <w:rPr>
          <w:sz w:val="24"/>
          <w:szCs w:val="24"/>
        </w:rPr>
        <w:t>pulmonal</w:t>
      </w:r>
      <w:proofErr w:type="spellEnd"/>
      <w:r w:rsidRPr="00D07529">
        <w:rPr>
          <w:sz w:val="24"/>
          <w:szCs w:val="24"/>
        </w:rPr>
        <w:t xml:space="preserve"> forværring hos patienter med cystisk fibrose.</w:t>
      </w:r>
    </w:p>
    <w:p w14:paraId="2D0EBA03" w14:textId="77777777" w:rsidR="00AB4CC5" w:rsidRPr="00D07529" w:rsidRDefault="00AB4CC5" w:rsidP="00550391">
      <w:pPr>
        <w:ind w:left="851"/>
        <w:rPr>
          <w:sz w:val="24"/>
          <w:szCs w:val="24"/>
        </w:rPr>
      </w:pPr>
    </w:p>
    <w:p w14:paraId="2902C48E" w14:textId="20E9094D" w:rsidR="00AB4CC5" w:rsidRPr="00D07529" w:rsidRDefault="00AB4CC5" w:rsidP="00550391">
      <w:pPr>
        <w:ind w:left="851"/>
        <w:rPr>
          <w:color w:val="000000"/>
          <w:sz w:val="24"/>
          <w:szCs w:val="24"/>
        </w:rPr>
      </w:pPr>
      <w:r w:rsidRPr="00D07529">
        <w:rPr>
          <w:color w:val="000000"/>
          <w:sz w:val="24"/>
          <w:szCs w:val="24"/>
        </w:rPr>
        <w:t>Der bør tages hensyn til o</w:t>
      </w:r>
      <w:r w:rsidR="00FC3345">
        <w:rPr>
          <w:color w:val="000000"/>
          <w:sz w:val="24"/>
          <w:szCs w:val="24"/>
        </w:rPr>
        <w:t>f</w:t>
      </w:r>
      <w:r w:rsidRPr="00D07529">
        <w:rPr>
          <w:color w:val="000000"/>
          <w:sz w:val="24"/>
          <w:szCs w:val="24"/>
        </w:rPr>
        <w:t>ficiel vejledning vedrørende passende brug af antibakterielle midler.</w:t>
      </w:r>
    </w:p>
    <w:p w14:paraId="11AAA3AE" w14:textId="71E0236F" w:rsidR="009260DE" w:rsidRDefault="009260DE" w:rsidP="009260DE">
      <w:pPr>
        <w:tabs>
          <w:tab w:val="left" w:pos="851"/>
        </w:tabs>
        <w:ind w:left="851"/>
        <w:rPr>
          <w:sz w:val="24"/>
          <w:szCs w:val="24"/>
        </w:rPr>
      </w:pPr>
    </w:p>
    <w:p w14:paraId="3EBC44C6" w14:textId="57A725B0" w:rsidR="004B4BC9" w:rsidRDefault="004B4BC9" w:rsidP="009260DE">
      <w:pPr>
        <w:tabs>
          <w:tab w:val="left" w:pos="851"/>
        </w:tabs>
        <w:ind w:left="851"/>
        <w:rPr>
          <w:sz w:val="24"/>
          <w:szCs w:val="24"/>
        </w:rPr>
      </w:pPr>
    </w:p>
    <w:p w14:paraId="425DAEE6" w14:textId="77777777" w:rsidR="004B4BC9" w:rsidRPr="00D07529" w:rsidRDefault="004B4BC9" w:rsidP="009260DE">
      <w:pPr>
        <w:tabs>
          <w:tab w:val="left" w:pos="851"/>
        </w:tabs>
        <w:ind w:left="851"/>
        <w:rPr>
          <w:sz w:val="24"/>
          <w:szCs w:val="24"/>
        </w:rPr>
      </w:pPr>
    </w:p>
    <w:p w14:paraId="5A55F73E" w14:textId="77777777" w:rsidR="009260DE" w:rsidRPr="00D07529" w:rsidRDefault="009260DE" w:rsidP="009260DE">
      <w:pPr>
        <w:tabs>
          <w:tab w:val="left" w:pos="851"/>
        </w:tabs>
        <w:ind w:left="851" w:hanging="851"/>
        <w:rPr>
          <w:b/>
          <w:sz w:val="24"/>
          <w:szCs w:val="24"/>
        </w:rPr>
      </w:pPr>
      <w:r w:rsidRPr="00D07529">
        <w:rPr>
          <w:b/>
          <w:sz w:val="24"/>
          <w:szCs w:val="24"/>
        </w:rPr>
        <w:lastRenderedPageBreak/>
        <w:t>4.2</w:t>
      </w:r>
      <w:r w:rsidRPr="00D07529">
        <w:rPr>
          <w:b/>
          <w:sz w:val="24"/>
          <w:szCs w:val="24"/>
        </w:rPr>
        <w:tab/>
        <w:t xml:space="preserve">Dosering og </w:t>
      </w:r>
      <w:r w:rsidR="002C1EC0" w:rsidRPr="00D07529">
        <w:rPr>
          <w:b/>
          <w:sz w:val="24"/>
          <w:szCs w:val="24"/>
        </w:rPr>
        <w:t>administration</w:t>
      </w:r>
    </w:p>
    <w:p w14:paraId="290F70A4" w14:textId="77777777" w:rsidR="00AB4CC5" w:rsidRPr="00D07529" w:rsidRDefault="00AB4CC5" w:rsidP="00D07529"/>
    <w:p w14:paraId="5061085D" w14:textId="77777777" w:rsidR="00AB4CC5" w:rsidRPr="00D07529" w:rsidRDefault="00AB4CC5" w:rsidP="00D07529">
      <w:pPr>
        <w:ind w:left="851"/>
        <w:rPr>
          <w:sz w:val="24"/>
          <w:szCs w:val="24"/>
          <w:u w:val="single"/>
        </w:rPr>
      </w:pPr>
      <w:r w:rsidRPr="00D07529">
        <w:rPr>
          <w:sz w:val="24"/>
          <w:szCs w:val="24"/>
          <w:u w:val="single"/>
        </w:rPr>
        <w:t>Dosering</w:t>
      </w:r>
    </w:p>
    <w:p w14:paraId="358AA7E2" w14:textId="77777777" w:rsidR="00AB4CC5" w:rsidRPr="00D07529" w:rsidRDefault="00AB4CC5" w:rsidP="00D07529">
      <w:pPr>
        <w:ind w:left="851"/>
        <w:rPr>
          <w:sz w:val="24"/>
          <w:szCs w:val="24"/>
        </w:rPr>
      </w:pPr>
    </w:p>
    <w:p w14:paraId="2357699C" w14:textId="77777777" w:rsidR="00AB4CC5" w:rsidRPr="00D07529" w:rsidRDefault="00AB4CC5" w:rsidP="00D07529">
      <w:pPr>
        <w:ind w:left="851"/>
        <w:rPr>
          <w:i/>
          <w:iCs/>
          <w:sz w:val="24"/>
          <w:szCs w:val="24"/>
        </w:rPr>
      </w:pPr>
      <w:r w:rsidRPr="00D07529">
        <w:rPr>
          <w:i/>
          <w:sz w:val="24"/>
          <w:szCs w:val="24"/>
        </w:rPr>
        <w:t>Pædiatrisk population</w:t>
      </w:r>
    </w:p>
    <w:p w14:paraId="6B7B5DB6" w14:textId="77777777" w:rsidR="00AB4CC5" w:rsidRPr="00D07529" w:rsidRDefault="00AB4CC5" w:rsidP="00D07529">
      <w:pPr>
        <w:ind w:left="851"/>
        <w:rPr>
          <w:sz w:val="24"/>
          <w:szCs w:val="24"/>
        </w:rPr>
      </w:pPr>
    </w:p>
    <w:p w14:paraId="76C6F95D" w14:textId="77777777" w:rsidR="00AB4CC5" w:rsidRPr="00D07529" w:rsidRDefault="00AB4CC5" w:rsidP="00D07529">
      <w:pPr>
        <w:ind w:left="851"/>
        <w:rPr>
          <w:sz w:val="24"/>
          <w:szCs w:val="24"/>
        </w:rPr>
      </w:pPr>
      <w:r w:rsidRPr="00D07529">
        <w:rPr>
          <w:sz w:val="24"/>
          <w:szCs w:val="24"/>
        </w:rPr>
        <w:t>Doseringen afhænger af patientens alder og vægt samt infektionens alvorlighed.</w:t>
      </w:r>
    </w:p>
    <w:p w14:paraId="4A595481" w14:textId="77777777" w:rsidR="00AB4CC5" w:rsidRPr="00D07529" w:rsidRDefault="00AB4CC5" w:rsidP="00D07529">
      <w:pPr>
        <w:ind w:left="851"/>
        <w:rPr>
          <w:sz w:val="24"/>
          <w:szCs w:val="24"/>
        </w:rPr>
      </w:pPr>
    </w:p>
    <w:p w14:paraId="600BAC1B" w14:textId="77777777" w:rsidR="00AB4CC5" w:rsidRPr="00D07529" w:rsidRDefault="00AB4CC5" w:rsidP="00D07529">
      <w:pPr>
        <w:ind w:left="851"/>
        <w:rPr>
          <w:sz w:val="24"/>
          <w:szCs w:val="24"/>
        </w:rPr>
      </w:pPr>
      <w:r w:rsidRPr="00D07529">
        <w:rPr>
          <w:i/>
          <w:sz w:val="24"/>
          <w:szCs w:val="24"/>
        </w:rPr>
        <w:t>Bakterielle infektioner</w:t>
      </w:r>
    </w:p>
    <w:p w14:paraId="3AD68072" w14:textId="77777777" w:rsidR="00AB4CC5" w:rsidRPr="00D07529" w:rsidRDefault="00AB4CC5" w:rsidP="00D07529">
      <w:pPr>
        <w:ind w:left="851"/>
        <w:rPr>
          <w:sz w:val="24"/>
          <w:szCs w:val="24"/>
        </w:rPr>
      </w:pPr>
      <w:r w:rsidRPr="00D07529">
        <w:rPr>
          <w:sz w:val="24"/>
          <w:szCs w:val="24"/>
        </w:rPr>
        <w:t>25</w:t>
      </w:r>
      <w:r w:rsidRPr="00D07529">
        <w:rPr>
          <w:sz w:val="24"/>
          <w:szCs w:val="24"/>
        </w:rPr>
        <w:noBreakHyphen/>
        <w:t>50 mg/kg/dag fordelt på 3</w:t>
      </w:r>
      <w:r w:rsidRPr="00D07529">
        <w:rPr>
          <w:sz w:val="24"/>
          <w:szCs w:val="24"/>
        </w:rPr>
        <w:noBreakHyphen/>
        <w:t>4 doser.</w:t>
      </w:r>
    </w:p>
    <w:p w14:paraId="520A59D3" w14:textId="77777777" w:rsidR="00AB4CC5" w:rsidRPr="00D07529" w:rsidRDefault="00AB4CC5" w:rsidP="00D07529">
      <w:pPr>
        <w:ind w:left="851"/>
        <w:rPr>
          <w:sz w:val="24"/>
          <w:szCs w:val="24"/>
        </w:rPr>
      </w:pPr>
    </w:p>
    <w:p w14:paraId="7224C745" w14:textId="77777777" w:rsidR="00AB4CC5" w:rsidRPr="00D07529" w:rsidRDefault="00AB4CC5" w:rsidP="00D07529">
      <w:pPr>
        <w:ind w:left="851"/>
        <w:rPr>
          <w:sz w:val="24"/>
          <w:szCs w:val="24"/>
        </w:rPr>
      </w:pPr>
      <w:r w:rsidRPr="00D07529">
        <w:rPr>
          <w:i/>
          <w:sz w:val="24"/>
          <w:szCs w:val="24"/>
        </w:rPr>
        <w:t>Alvorlige bakterielle infektioner samt infektioner i knogler og led</w:t>
      </w:r>
    </w:p>
    <w:p w14:paraId="07FD972F" w14:textId="77777777" w:rsidR="00AB4CC5" w:rsidRPr="00D07529" w:rsidRDefault="00AB4CC5" w:rsidP="00D07529">
      <w:pPr>
        <w:ind w:left="851"/>
        <w:rPr>
          <w:sz w:val="24"/>
          <w:szCs w:val="24"/>
        </w:rPr>
      </w:pPr>
      <w:r w:rsidRPr="00D07529">
        <w:rPr>
          <w:sz w:val="24"/>
          <w:szCs w:val="24"/>
        </w:rPr>
        <w:t>Den daglige dosis kan fordobles hos børn &gt; 2 år, dvs. 60-100 mg/kg/dag fordelt på 3</w:t>
      </w:r>
      <w:r w:rsidRPr="00D07529">
        <w:rPr>
          <w:sz w:val="24"/>
          <w:szCs w:val="24"/>
        </w:rPr>
        <w:noBreakHyphen/>
        <w:t>4 doser. Den maksimale dosis er 6 g/24 timer.</w:t>
      </w:r>
    </w:p>
    <w:p w14:paraId="269D95F5" w14:textId="77777777" w:rsidR="00AB4CC5" w:rsidRPr="00D07529" w:rsidRDefault="00AB4CC5" w:rsidP="00D07529">
      <w:pPr>
        <w:ind w:left="851"/>
        <w:rPr>
          <w:sz w:val="24"/>
          <w:szCs w:val="24"/>
        </w:rPr>
      </w:pPr>
    </w:p>
    <w:p w14:paraId="068E8E1B" w14:textId="77777777" w:rsidR="00AB4CC5" w:rsidRPr="00D07529" w:rsidRDefault="00AB4CC5" w:rsidP="00D07529">
      <w:pPr>
        <w:ind w:left="851"/>
        <w:rPr>
          <w:i/>
          <w:iCs/>
          <w:sz w:val="24"/>
          <w:szCs w:val="24"/>
        </w:rPr>
      </w:pPr>
      <w:r w:rsidRPr="00D07529">
        <w:rPr>
          <w:i/>
          <w:sz w:val="24"/>
          <w:szCs w:val="24"/>
        </w:rPr>
        <w:t>Infektioner i forbindelse med cystisk fibrose</w:t>
      </w:r>
    </w:p>
    <w:p w14:paraId="25EE5AD5" w14:textId="77777777" w:rsidR="00AB4CC5" w:rsidRPr="00D07529" w:rsidRDefault="00AB4CC5" w:rsidP="00D07529">
      <w:pPr>
        <w:ind w:left="851"/>
        <w:rPr>
          <w:sz w:val="24"/>
          <w:szCs w:val="24"/>
        </w:rPr>
      </w:pPr>
      <w:r w:rsidRPr="00D07529">
        <w:rPr>
          <w:sz w:val="24"/>
          <w:szCs w:val="24"/>
        </w:rPr>
        <w:t>50–100 mg/kg/dag fordelt på 3</w:t>
      </w:r>
      <w:r w:rsidRPr="00D07529">
        <w:rPr>
          <w:sz w:val="24"/>
          <w:szCs w:val="24"/>
        </w:rPr>
        <w:noBreakHyphen/>
        <w:t>4 doser. Den maksimale dosis er 6 g/24 timer.</w:t>
      </w:r>
    </w:p>
    <w:p w14:paraId="441F599F" w14:textId="77777777" w:rsidR="00AB4CC5" w:rsidRPr="00D07529" w:rsidRDefault="00AB4CC5" w:rsidP="00D07529">
      <w:pPr>
        <w:ind w:left="851"/>
        <w:rPr>
          <w:sz w:val="24"/>
          <w:szCs w:val="24"/>
        </w:rPr>
      </w:pPr>
    </w:p>
    <w:p w14:paraId="01BE041A" w14:textId="77777777" w:rsidR="00AB4CC5" w:rsidRPr="00D07529" w:rsidRDefault="00AB4CC5" w:rsidP="00D07529">
      <w:pPr>
        <w:ind w:left="851"/>
        <w:rPr>
          <w:sz w:val="24"/>
          <w:szCs w:val="24"/>
          <w:u w:val="single"/>
        </w:rPr>
      </w:pPr>
      <w:r w:rsidRPr="00D07529">
        <w:rPr>
          <w:sz w:val="24"/>
          <w:szCs w:val="24"/>
          <w:u w:val="single"/>
        </w:rPr>
        <w:t>Nedsat nyrefunktion</w:t>
      </w:r>
    </w:p>
    <w:p w14:paraId="71B01D07" w14:textId="77777777" w:rsidR="00AB4CC5" w:rsidRPr="00D07529" w:rsidRDefault="00AB4CC5" w:rsidP="00D07529">
      <w:pPr>
        <w:ind w:left="851"/>
        <w:rPr>
          <w:sz w:val="24"/>
          <w:szCs w:val="24"/>
        </w:rPr>
      </w:pPr>
      <w:proofErr w:type="spellStart"/>
      <w:r w:rsidRPr="00D07529">
        <w:rPr>
          <w:sz w:val="24"/>
          <w:szCs w:val="24"/>
        </w:rPr>
        <w:t>Clearance</w:t>
      </w:r>
      <w:proofErr w:type="spellEnd"/>
      <w:r w:rsidRPr="00D07529">
        <w:rPr>
          <w:sz w:val="24"/>
          <w:szCs w:val="24"/>
        </w:rPr>
        <w:t xml:space="preserve"> af </w:t>
      </w:r>
      <w:proofErr w:type="spellStart"/>
      <w:r w:rsidRPr="00D07529">
        <w:rPr>
          <w:sz w:val="24"/>
          <w:szCs w:val="24"/>
        </w:rPr>
        <w:t>flucloxacillin</w:t>
      </w:r>
      <w:proofErr w:type="spellEnd"/>
      <w:r w:rsidRPr="00D07529">
        <w:rPr>
          <w:sz w:val="24"/>
          <w:szCs w:val="24"/>
        </w:rPr>
        <w:t xml:space="preserve"> reduceres hos patienter med nedsat nyrefunktion (se pkt. 5.2). Dosisjustering af oral </w:t>
      </w:r>
      <w:proofErr w:type="spellStart"/>
      <w:r w:rsidRPr="00D07529">
        <w:rPr>
          <w:sz w:val="24"/>
          <w:szCs w:val="24"/>
        </w:rPr>
        <w:t>flucloxacillin</w:t>
      </w:r>
      <w:proofErr w:type="spellEnd"/>
      <w:r w:rsidRPr="00D07529">
        <w:rPr>
          <w:sz w:val="24"/>
          <w:szCs w:val="24"/>
        </w:rPr>
        <w:t xml:space="preserve"> er normalt ikke nødvendig hos patienter med nedsat nyrefunktion.</w:t>
      </w:r>
    </w:p>
    <w:p w14:paraId="0C568F9B" w14:textId="77777777" w:rsidR="00AB4CC5" w:rsidRPr="00D07529" w:rsidRDefault="00AB4CC5" w:rsidP="00D07529">
      <w:pPr>
        <w:ind w:left="851"/>
        <w:rPr>
          <w:sz w:val="24"/>
          <w:szCs w:val="24"/>
        </w:rPr>
      </w:pPr>
    </w:p>
    <w:p w14:paraId="6FCFF3AA" w14:textId="77777777" w:rsidR="00AB4CC5" w:rsidRPr="00D07529" w:rsidRDefault="00AB4CC5" w:rsidP="00D07529">
      <w:pPr>
        <w:ind w:left="851"/>
        <w:rPr>
          <w:sz w:val="24"/>
          <w:szCs w:val="24"/>
          <w:u w:val="single"/>
        </w:rPr>
      </w:pPr>
      <w:r w:rsidRPr="00D07529">
        <w:rPr>
          <w:sz w:val="24"/>
          <w:szCs w:val="24"/>
          <w:u w:val="single"/>
        </w:rPr>
        <w:t>Administration</w:t>
      </w:r>
    </w:p>
    <w:p w14:paraId="17C3B01B" w14:textId="77777777" w:rsidR="00AB4CC5" w:rsidRPr="00D07529" w:rsidRDefault="00AB4CC5" w:rsidP="00D07529">
      <w:pPr>
        <w:ind w:left="851"/>
        <w:rPr>
          <w:sz w:val="24"/>
          <w:szCs w:val="24"/>
        </w:rPr>
      </w:pPr>
      <w:r w:rsidRPr="00D07529">
        <w:rPr>
          <w:sz w:val="24"/>
          <w:szCs w:val="24"/>
        </w:rPr>
        <w:t>Oral anvendelse.</w:t>
      </w:r>
    </w:p>
    <w:p w14:paraId="4947AC49" w14:textId="78DB7A4C" w:rsidR="00AB4CC5" w:rsidRPr="00D07529" w:rsidRDefault="004B4BC9" w:rsidP="00D07529">
      <w:pPr>
        <w:ind w:left="851"/>
        <w:rPr>
          <w:sz w:val="24"/>
          <w:szCs w:val="24"/>
        </w:rPr>
      </w:pPr>
      <w:proofErr w:type="spellStart"/>
      <w:r>
        <w:rPr>
          <w:sz w:val="24"/>
          <w:szCs w:val="24"/>
        </w:rPr>
        <w:t>Flucloxacillin</w:t>
      </w:r>
      <w:proofErr w:type="spellEnd"/>
      <w:r>
        <w:rPr>
          <w:sz w:val="24"/>
          <w:szCs w:val="24"/>
        </w:rPr>
        <w:t xml:space="preserve"> ”Nordic Prime”</w:t>
      </w:r>
      <w:r w:rsidR="00AB4CC5" w:rsidRPr="00D07529">
        <w:rPr>
          <w:sz w:val="24"/>
          <w:szCs w:val="24"/>
        </w:rPr>
        <w:t xml:space="preserve"> er mest effektivt, hvis det tages mellem måltider (se pkt. 5.2).</w:t>
      </w:r>
    </w:p>
    <w:p w14:paraId="5DA95A5D" w14:textId="017B6837" w:rsidR="00AB4CC5" w:rsidRPr="00D07529" w:rsidRDefault="004B4BC9" w:rsidP="00D07529">
      <w:pPr>
        <w:ind w:left="851"/>
        <w:rPr>
          <w:sz w:val="24"/>
          <w:szCs w:val="24"/>
        </w:rPr>
      </w:pPr>
      <w:proofErr w:type="spellStart"/>
      <w:r>
        <w:rPr>
          <w:sz w:val="24"/>
          <w:szCs w:val="24"/>
        </w:rPr>
        <w:t>Flucloxacillin</w:t>
      </w:r>
      <w:proofErr w:type="spellEnd"/>
      <w:r>
        <w:rPr>
          <w:sz w:val="24"/>
          <w:szCs w:val="24"/>
        </w:rPr>
        <w:t xml:space="preserve"> ”Nordic Prime”</w:t>
      </w:r>
      <w:r w:rsidR="00AB4CC5" w:rsidRPr="00D07529">
        <w:rPr>
          <w:sz w:val="24"/>
          <w:szCs w:val="24"/>
        </w:rPr>
        <w:t xml:space="preserve"> bør tages mindst 1 time før og senest 2 timer efter måltider.</w:t>
      </w:r>
    </w:p>
    <w:p w14:paraId="44FC8690" w14:textId="77777777" w:rsidR="00AB4CC5" w:rsidRPr="00D07529" w:rsidRDefault="00AB4CC5" w:rsidP="00D07529">
      <w:pPr>
        <w:ind w:left="851"/>
        <w:rPr>
          <w:sz w:val="24"/>
          <w:szCs w:val="24"/>
        </w:rPr>
      </w:pPr>
    </w:p>
    <w:p w14:paraId="26C327EB" w14:textId="6B0730DB" w:rsidR="00AB4CC5" w:rsidRPr="00D07529" w:rsidRDefault="00AB4CC5" w:rsidP="00D07529">
      <w:pPr>
        <w:ind w:left="851"/>
        <w:rPr>
          <w:sz w:val="24"/>
          <w:szCs w:val="24"/>
        </w:rPr>
      </w:pPr>
      <w:r w:rsidRPr="00D07529">
        <w:rPr>
          <w:sz w:val="24"/>
          <w:szCs w:val="24"/>
        </w:rPr>
        <w:t xml:space="preserve">Et helt glas vand (250 ml) bør tages bagefter for at reducere risikoen for </w:t>
      </w:r>
      <w:proofErr w:type="spellStart"/>
      <w:r w:rsidRPr="00D07529">
        <w:rPr>
          <w:rStyle w:val="Bodytext2"/>
          <w:rFonts w:ascii="Times New Roman" w:hAnsi="Times New Roman" w:cs="Times New Roman"/>
          <w:sz w:val="24"/>
          <w:szCs w:val="24"/>
        </w:rPr>
        <w:t>øsofageale</w:t>
      </w:r>
      <w:proofErr w:type="spellEnd"/>
      <w:r w:rsidRPr="00D07529">
        <w:rPr>
          <w:rStyle w:val="Bodytext2"/>
          <w:rFonts w:ascii="Times New Roman" w:hAnsi="Times New Roman" w:cs="Times New Roman"/>
          <w:sz w:val="24"/>
          <w:szCs w:val="24"/>
        </w:rPr>
        <w:t xml:space="preserve"> smerter</w:t>
      </w:r>
      <w:r w:rsidRPr="00D07529">
        <w:rPr>
          <w:sz w:val="24"/>
          <w:szCs w:val="24"/>
        </w:rPr>
        <w:t xml:space="preserve"> (se pkt. 4.8). Patienterne bør ikke ligge ned umiddelbart efter indtagelsen af </w:t>
      </w:r>
      <w:proofErr w:type="spellStart"/>
      <w:r w:rsidR="004B4BC9">
        <w:rPr>
          <w:sz w:val="24"/>
          <w:szCs w:val="24"/>
        </w:rPr>
        <w:t>Flucloxacillin</w:t>
      </w:r>
      <w:proofErr w:type="spellEnd"/>
      <w:r w:rsidR="004B4BC9">
        <w:rPr>
          <w:sz w:val="24"/>
          <w:szCs w:val="24"/>
        </w:rPr>
        <w:t xml:space="preserve"> ”Nordic Prime”</w:t>
      </w:r>
      <w:r w:rsidRPr="00D07529">
        <w:rPr>
          <w:sz w:val="24"/>
          <w:szCs w:val="24"/>
        </w:rPr>
        <w:t>.</w:t>
      </w:r>
    </w:p>
    <w:p w14:paraId="27DF218A" w14:textId="77777777" w:rsidR="00AB4CC5" w:rsidRPr="00D07529" w:rsidRDefault="00AB4CC5" w:rsidP="00D07529">
      <w:pPr>
        <w:ind w:left="851"/>
        <w:rPr>
          <w:sz w:val="24"/>
          <w:szCs w:val="24"/>
        </w:rPr>
      </w:pPr>
    </w:p>
    <w:p w14:paraId="36166354" w14:textId="6D1DBC47" w:rsidR="00AB4CC5" w:rsidRPr="00D07529" w:rsidRDefault="004B4BC9" w:rsidP="00D07529">
      <w:pPr>
        <w:ind w:left="851"/>
        <w:rPr>
          <w:sz w:val="24"/>
          <w:szCs w:val="24"/>
        </w:rPr>
      </w:pPr>
      <w:proofErr w:type="spellStart"/>
      <w:r>
        <w:rPr>
          <w:sz w:val="24"/>
          <w:szCs w:val="24"/>
        </w:rPr>
        <w:t>Flucloxacillin</w:t>
      </w:r>
      <w:proofErr w:type="spellEnd"/>
      <w:r>
        <w:rPr>
          <w:sz w:val="24"/>
          <w:szCs w:val="24"/>
        </w:rPr>
        <w:t xml:space="preserve"> ”Nordic Prime”</w:t>
      </w:r>
      <w:r w:rsidR="00AB4CC5" w:rsidRPr="00D07529">
        <w:rPr>
          <w:sz w:val="24"/>
          <w:szCs w:val="24"/>
        </w:rPr>
        <w:t xml:space="preserve"> er en vandig opløsning, som hovedsageligt er beregnet til børn.</w:t>
      </w:r>
    </w:p>
    <w:p w14:paraId="6A4C1976" w14:textId="77777777" w:rsidR="009260DE" w:rsidRPr="00D07529" w:rsidRDefault="009260DE" w:rsidP="009260DE">
      <w:pPr>
        <w:tabs>
          <w:tab w:val="left" w:pos="851"/>
        </w:tabs>
        <w:ind w:left="851"/>
        <w:rPr>
          <w:sz w:val="24"/>
          <w:szCs w:val="24"/>
        </w:rPr>
      </w:pPr>
    </w:p>
    <w:p w14:paraId="0479BE9B" w14:textId="77777777" w:rsidR="009260DE" w:rsidRPr="00D07529" w:rsidRDefault="009260DE" w:rsidP="009260DE">
      <w:pPr>
        <w:tabs>
          <w:tab w:val="left" w:pos="851"/>
        </w:tabs>
        <w:ind w:left="851" w:hanging="851"/>
        <w:rPr>
          <w:b/>
          <w:sz w:val="24"/>
          <w:szCs w:val="24"/>
        </w:rPr>
      </w:pPr>
      <w:r w:rsidRPr="00D07529">
        <w:rPr>
          <w:b/>
          <w:sz w:val="24"/>
          <w:szCs w:val="24"/>
        </w:rPr>
        <w:t>4.3</w:t>
      </w:r>
      <w:r w:rsidRPr="00D07529">
        <w:rPr>
          <w:b/>
          <w:sz w:val="24"/>
          <w:szCs w:val="24"/>
        </w:rPr>
        <w:tab/>
        <w:t>Kontraindikationer</w:t>
      </w:r>
    </w:p>
    <w:p w14:paraId="3CA96FC5" w14:textId="77777777" w:rsidR="00AB4CC5" w:rsidRPr="00D07529" w:rsidRDefault="00AB4CC5" w:rsidP="00550391">
      <w:pPr>
        <w:pStyle w:val="Listeafsnit"/>
        <w:numPr>
          <w:ilvl w:val="0"/>
          <w:numId w:val="9"/>
        </w:numPr>
        <w:tabs>
          <w:tab w:val="clear" w:pos="567"/>
        </w:tabs>
        <w:spacing w:line="240" w:lineRule="auto"/>
        <w:ind w:left="1276" w:hanging="425"/>
        <w:rPr>
          <w:sz w:val="24"/>
          <w:szCs w:val="24"/>
        </w:rPr>
      </w:pPr>
      <w:r w:rsidRPr="00D07529">
        <w:rPr>
          <w:sz w:val="24"/>
          <w:szCs w:val="24"/>
        </w:rPr>
        <w:t>Overfølsomhed over for det aktive stof eller over for et eller flere af hjælpestofferne anført i pkt. 6.1.</w:t>
      </w:r>
    </w:p>
    <w:p w14:paraId="4B31A511" w14:textId="77777777" w:rsidR="00AB4CC5" w:rsidRPr="00D07529" w:rsidRDefault="00AB4CC5" w:rsidP="00550391">
      <w:pPr>
        <w:pStyle w:val="Listeafsnit"/>
        <w:numPr>
          <w:ilvl w:val="0"/>
          <w:numId w:val="9"/>
        </w:numPr>
        <w:tabs>
          <w:tab w:val="clear" w:pos="567"/>
        </w:tabs>
        <w:spacing w:line="240" w:lineRule="auto"/>
        <w:ind w:left="1276" w:hanging="425"/>
        <w:rPr>
          <w:sz w:val="24"/>
          <w:szCs w:val="24"/>
        </w:rPr>
      </w:pPr>
      <w:r w:rsidRPr="00D07529">
        <w:rPr>
          <w:sz w:val="24"/>
          <w:szCs w:val="24"/>
        </w:rPr>
        <w:t>Tidligere tilfælde af overfølsomhed over for andre β-</w:t>
      </w:r>
      <w:proofErr w:type="spellStart"/>
      <w:r w:rsidRPr="00D07529">
        <w:rPr>
          <w:sz w:val="24"/>
          <w:szCs w:val="24"/>
        </w:rPr>
        <w:t>lactamantibiotika</w:t>
      </w:r>
      <w:proofErr w:type="spellEnd"/>
      <w:r w:rsidRPr="00D07529">
        <w:rPr>
          <w:sz w:val="24"/>
          <w:szCs w:val="24"/>
        </w:rPr>
        <w:t xml:space="preserve"> (f.eks. penicilliner, </w:t>
      </w:r>
      <w:proofErr w:type="spellStart"/>
      <w:r w:rsidRPr="00D07529">
        <w:rPr>
          <w:sz w:val="24"/>
          <w:szCs w:val="24"/>
        </w:rPr>
        <w:t>cefalosporiner</w:t>
      </w:r>
      <w:proofErr w:type="spellEnd"/>
      <w:r w:rsidRPr="00D07529">
        <w:rPr>
          <w:sz w:val="24"/>
          <w:szCs w:val="24"/>
        </w:rPr>
        <w:t>)</w:t>
      </w:r>
    </w:p>
    <w:p w14:paraId="4A966879" w14:textId="77777777" w:rsidR="00AB4CC5" w:rsidRPr="00D07529" w:rsidRDefault="00AB4CC5" w:rsidP="00550391">
      <w:pPr>
        <w:pStyle w:val="Listeafsnit"/>
        <w:numPr>
          <w:ilvl w:val="0"/>
          <w:numId w:val="9"/>
        </w:numPr>
        <w:tabs>
          <w:tab w:val="clear" w:pos="567"/>
        </w:tabs>
        <w:spacing w:line="240" w:lineRule="auto"/>
        <w:ind w:left="1276" w:hanging="425"/>
        <w:rPr>
          <w:sz w:val="24"/>
          <w:szCs w:val="24"/>
        </w:rPr>
      </w:pPr>
      <w:r w:rsidRPr="00D07529">
        <w:rPr>
          <w:sz w:val="24"/>
          <w:szCs w:val="24"/>
        </w:rPr>
        <w:t xml:space="preserve">Tidligere tilfælde af </w:t>
      </w:r>
      <w:proofErr w:type="spellStart"/>
      <w:r w:rsidRPr="00D07529">
        <w:rPr>
          <w:sz w:val="24"/>
          <w:szCs w:val="24"/>
        </w:rPr>
        <w:t>flucloxacillin</w:t>
      </w:r>
      <w:proofErr w:type="spellEnd"/>
      <w:r w:rsidRPr="00D07529">
        <w:rPr>
          <w:sz w:val="24"/>
          <w:szCs w:val="24"/>
        </w:rPr>
        <w:t>-associeret nedsat leverfunktion eller gulsot.</w:t>
      </w:r>
    </w:p>
    <w:p w14:paraId="708A96FC" w14:textId="77777777" w:rsidR="009260DE" w:rsidRPr="00D07529" w:rsidRDefault="009260DE" w:rsidP="009260DE">
      <w:pPr>
        <w:tabs>
          <w:tab w:val="left" w:pos="851"/>
        </w:tabs>
        <w:ind w:left="851"/>
        <w:rPr>
          <w:sz w:val="24"/>
          <w:szCs w:val="24"/>
        </w:rPr>
      </w:pPr>
    </w:p>
    <w:p w14:paraId="0FCF4127" w14:textId="77777777" w:rsidR="009260DE" w:rsidRPr="00D07529" w:rsidRDefault="009260DE" w:rsidP="009260DE">
      <w:pPr>
        <w:tabs>
          <w:tab w:val="left" w:pos="851"/>
        </w:tabs>
        <w:ind w:left="851" w:hanging="851"/>
        <w:rPr>
          <w:b/>
          <w:sz w:val="24"/>
          <w:szCs w:val="24"/>
        </w:rPr>
      </w:pPr>
      <w:r w:rsidRPr="00D07529">
        <w:rPr>
          <w:b/>
          <w:sz w:val="24"/>
          <w:szCs w:val="24"/>
        </w:rPr>
        <w:t>4.4</w:t>
      </w:r>
      <w:r w:rsidRPr="00D07529">
        <w:rPr>
          <w:b/>
          <w:sz w:val="24"/>
          <w:szCs w:val="24"/>
        </w:rPr>
        <w:tab/>
        <w:t>Særlige advarsler og forsigtighedsregler vedrørende brugen</w:t>
      </w:r>
    </w:p>
    <w:p w14:paraId="7806A1D9" w14:textId="77777777" w:rsidR="00D07529" w:rsidRDefault="00D07529" w:rsidP="00D07529">
      <w:pPr>
        <w:ind w:left="851"/>
        <w:rPr>
          <w:sz w:val="24"/>
          <w:szCs w:val="24"/>
        </w:rPr>
      </w:pPr>
    </w:p>
    <w:p w14:paraId="7F6CE14C" w14:textId="677E6C1E" w:rsidR="00AB4CC5" w:rsidRPr="00D07529" w:rsidRDefault="00AB4CC5" w:rsidP="00D07529">
      <w:pPr>
        <w:ind w:left="851"/>
        <w:rPr>
          <w:sz w:val="24"/>
          <w:szCs w:val="24"/>
          <w:u w:val="single"/>
        </w:rPr>
      </w:pPr>
      <w:r w:rsidRPr="00D07529">
        <w:rPr>
          <w:sz w:val="24"/>
          <w:szCs w:val="24"/>
          <w:u w:val="single"/>
        </w:rPr>
        <w:t>Overfølsomhedsreaktioner</w:t>
      </w:r>
    </w:p>
    <w:p w14:paraId="0F0C2396" w14:textId="77777777" w:rsidR="00AB4CC5" w:rsidRPr="00D07529" w:rsidRDefault="00AB4CC5" w:rsidP="00D07529">
      <w:pPr>
        <w:ind w:left="851"/>
        <w:rPr>
          <w:sz w:val="24"/>
          <w:szCs w:val="24"/>
        </w:rPr>
      </w:pPr>
      <w:r w:rsidRPr="00D07529">
        <w:rPr>
          <w:sz w:val="24"/>
          <w:szCs w:val="24"/>
        </w:rPr>
        <w:t xml:space="preserve">Før opstart af behandling med </w:t>
      </w:r>
      <w:proofErr w:type="spellStart"/>
      <w:r w:rsidRPr="00D07529">
        <w:rPr>
          <w:sz w:val="24"/>
          <w:szCs w:val="24"/>
        </w:rPr>
        <w:t>flucloxacillin</w:t>
      </w:r>
      <w:proofErr w:type="spellEnd"/>
      <w:r w:rsidRPr="00D07529">
        <w:rPr>
          <w:sz w:val="24"/>
          <w:szCs w:val="24"/>
        </w:rPr>
        <w:t xml:space="preserve"> skal patienten udredes grundigt i forhold til tidligere overfølsomhedsreaktioner mod β-</w:t>
      </w:r>
      <w:proofErr w:type="spellStart"/>
      <w:r w:rsidRPr="00D07529">
        <w:rPr>
          <w:sz w:val="24"/>
          <w:szCs w:val="24"/>
        </w:rPr>
        <w:t>lactamantibiotika</w:t>
      </w:r>
      <w:proofErr w:type="spellEnd"/>
      <w:r w:rsidRPr="00D07529">
        <w:rPr>
          <w:sz w:val="24"/>
          <w:szCs w:val="24"/>
        </w:rPr>
        <w:t xml:space="preserve">. Kryds-overfølsomhed mellem penicilliner og </w:t>
      </w:r>
      <w:proofErr w:type="spellStart"/>
      <w:r w:rsidRPr="00D07529">
        <w:rPr>
          <w:sz w:val="24"/>
          <w:szCs w:val="24"/>
        </w:rPr>
        <w:t>cefalosporiner</w:t>
      </w:r>
      <w:proofErr w:type="spellEnd"/>
      <w:r w:rsidRPr="00D07529">
        <w:rPr>
          <w:sz w:val="24"/>
          <w:szCs w:val="24"/>
        </w:rPr>
        <w:t xml:space="preserve"> er veldokumenteret.</w:t>
      </w:r>
    </w:p>
    <w:p w14:paraId="5FBDF873" w14:textId="77777777" w:rsidR="00AB4CC5" w:rsidRPr="00D07529" w:rsidRDefault="00AB4CC5" w:rsidP="00D07529">
      <w:pPr>
        <w:ind w:left="851"/>
        <w:rPr>
          <w:sz w:val="24"/>
          <w:szCs w:val="24"/>
        </w:rPr>
      </w:pPr>
      <w:r w:rsidRPr="00D07529">
        <w:rPr>
          <w:sz w:val="24"/>
          <w:szCs w:val="24"/>
        </w:rPr>
        <w:t>Alvorlige og af og til dødelige overfølsomhedsreaktioner (anafylaksi) er rapporteret hos patienter, som fik β-</w:t>
      </w:r>
      <w:proofErr w:type="spellStart"/>
      <w:r w:rsidRPr="00D07529">
        <w:rPr>
          <w:sz w:val="24"/>
          <w:szCs w:val="24"/>
        </w:rPr>
        <w:t>lactamantibiotika</w:t>
      </w:r>
      <w:proofErr w:type="spellEnd"/>
      <w:r w:rsidRPr="00D07529">
        <w:rPr>
          <w:sz w:val="24"/>
          <w:szCs w:val="24"/>
        </w:rPr>
        <w:t xml:space="preserve">. Selvom anafylaksi er hyppigere efter parenteral </w:t>
      </w:r>
      <w:r w:rsidRPr="00D07529">
        <w:rPr>
          <w:sz w:val="24"/>
          <w:szCs w:val="24"/>
        </w:rPr>
        <w:lastRenderedPageBreak/>
        <w:t xml:space="preserve">behandling, er det også forekommet hos </w:t>
      </w:r>
      <w:proofErr w:type="spellStart"/>
      <w:r w:rsidRPr="00D07529">
        <w:rPr>
          <w:sz w:val="24"/>
          <w:szCs w:val="24"/>
        </w:rPr>
        <w:t>patientersom</w:t>
      </w:r>
      <w:proofErr w:type="spellEnd"/>
      <w:r w:rsidRPr="00D07529">
        <w:rPr>
          <w:sz w:val="24"/>
          <w:szCs w:val="24"/>
        </w:rPr>
        <w:t xml:space="preserve"> modtog oral behandling. Sandsynligheden for sådanne reaktioner er større hos personer med tidligere tilfælde af overfølsomhed over for β-</w:t>
      </w:r>
      <w:proofErr w:type="spellStart"/>
      <w:r w:rsidRPr="00D07529">
        <w:rPr>
          <w:sz w:val="24"/>
          <w:szCs w:val="24"/>
        </w:rPr>
        <w:t>lactamantibiotika</w:t>
      </w:r>
      <w:proofErr w:type="spellEnd"/>
      <w:r w:rsidRPr="00D07529">
        <w:rPr>
          <w:sz w:val="24"/>
          <w:szCs w:val="24"/>
        </w:rPr>
        <w:t>.</w:t>
      </w:r>
    </w:p>
    <w:p w14:paraId="15F12E25" w14:textId="77777777" w:rsidR="00AB4CC5" w:rsidRPr="00D07529" w:rsidRDefault="00AB4CC5" w:rsidP="00D07529">
      <w:pPr>
        <w:ind w:left="851"/>
        <w:rPr>
          <w:sz w:val="24"/>
          <w:szCs w:val="24"/>
        </w:rPr>
      </w:pPr>
    </w:p>
    <w:p w14:paraId="6083F72A" w14:textId="77777777" w:rsidR="00AB4CC5" w:rsidRPr="00D07529" w:rsidRDefault="00AB4CC5" w:rsidP="00D07529">
      <w:pPr>
        <w:ind w:left="851"/>
        <w:rPr>
          <w:sz w:val="24"/>
          <w:szCs w:val="24"/>
        </w:rPr>
      </w:pPr>
      <w:r w:rsidRPr="00D07529">
        <w:rPr>
          <w:sz w:val="24"/>
          <w:szCs w:val="24"/>
        </w:rPr>
        <w:t xml:space="preserve">Hvis der opstår en allergisk reaktion, skal </w:t>
      </w:r>
      <w:proofErr w:type="spellStart"/>
      <w:r w:rsidRPr="00D07529">
        <w:rPr>
          <w:sz w:val="24"/>
          <w:szCs w:val="24"/>
        </w:rPr>
        <w:t>flucloxacillin</w:t>
      </w:r>
      <w:proofErr w:type="spellEnd"/>
      <w:r w:rsidRPr="00D07529">
        <w:rPr>
          <w:sz w:val="24"/>
          <w:szCs w:val="24"/>
        </w:rPr>
        <w:t xml:space="preserve"> seponeres og passende behandling iværksættes.</w:t>
      </w:r>
    </w:p>
    <w:p w14:paraId="41ADE92A" w14:textId="77777777" w:rsidR="00AB4CC5" w:rsidRPr="00D07529" w:rsidRDefault="00AB4CC5" w:rsidP="00D07529">
      <w:pPr>
        <w:ind w:left="851"/>
        <w:rPr>
          <w:sz w:val="24"/>
          <w:szCs w:val="24"/>
        </w:rPr>
      </w:pPr>
    </w:p>
    <w:p w14:paraId="47D6C11B" w14:textId="77777777" w:rsidR="00AB4CC5" w:rsidRPr="00D07529" w:rsidRDefault="00AB4CC5" w:rsidP="00D07529">
      <w:pPr>
        <w:ind w:left="851"/>
        <w:rPr>
          <w:sz w:val="24"/>
          <w:szCs w:val="24"/>
        </w:rPr>
      </w:pPr>
      <w:r w:rsidRPr="00D07529">
        <w:rPr>
          <w:sz w:val="24"/>
          <w:szCs w:val="24"/>
        </w:rPr>
        <w:t xml:space="preserve">Der er blevet rapporteret svære </w:t>
      </w:r>
      <w:proofErr w:type="spellStart"/>
      <w:r w:rsidRPr="00D07529">
        <w:rPr>
          <w:sz w:val="24"/>
          <w:szCs w:val="24"/>
        </w:rPr>
        <w:t>kutane</w:t>
      </w:r>
      <w:proofErr w:type="spellEnd"/>
      <w:r w:rsidRPr="00D07529">
        <w:rPr>
          <w:sz w:val="24"/>
          <w:szCs w:val="24"/>
        </w:rPr>
        <w:t xml:space="preserve"> bivirkninger (</w:t>
      </w:r>
      <w:proofErr w:type="spellStart"/>
      <w:r w:rsidRPr="00D07529">
        <w:rPr>
          <w:i/>
          <w:iCs/>
          <w:sz w:val="24"/>
          <w:szCs w:val="24"/>
        </w:rPr>
        <w:t>severe</w:t>
      </w:r>
      <w:proofErr w:type="spellEnd"/>
      <w:r w:rsidRPr="00D07529">
        <w:rPr>
          <w:i/>
          <w:iCs/>
          <w:sz w:val="24"/>
          <w:szCs w:val="24"/>
        </w:rPr>
        <w:t xml:space="preserve"> </w:t>
      </w:r>
      <w:proofErr w:type="spellStart"/>
      <w:r w:rsidRPr="00D07529">
        <w:rPr>
          <w:i/>
          <w:iCs/>
          <w:sz w:val="24"/>
          <w:szCs w:val="24"/>
        </w:rPr>
        <w:t>cutanous</w:t>
      </w:r>
      <w:proofErr w:type="spellEnd"/>
      <w:r w:rsidRPr="00D07529">
        <w:rPr>
          <w:i/>
          <w:iCs/>
          <w:sz w:val="24"/>
          <w:szCs w:val="24"/>
        </w:rPr>
        <w:t xml:space="preserve"> </w:t>
      </w:r>
      <w:proofErr w:type="spellStart"/>
      <w:r w:rsidRPr="00D07529">
        <w:rPr>
          <w:i/>
          <w:iCs/>
          <w:sz w:val="24"/>
          <w:szCs w:val="24"/>
        </w:rPr>
        <w:t>adverse</w:t>
      </w:r>
      <w:proofErr w:type="spellEnd"/>
      <w:r w:rsidRPr="00D07529">
        <w:rPr>
          <w:i/>
          <w:iCs/>
          <w:sz w:val="24"/>
          <w:szCs w:val="24"/>
        </w:rPr>
        <w:t xml:space="preserve"> </w:t>
      </w:r>
      <w:proofErr w:type="spellStart"/>
      <w:r w:rsidRPr="00D07529">
        <w:rPr>
          <w:i/>
          <w:iCs/>
          <w:sz w:val="24"/>
          <w:szCs w:val="24"/>
        </w:rPr>
        <w:t>reactions</w:t>
      </w:r>
      <w:proofErr w:type="spellEnd"/>
      <w:r w:rsidRPr="00D07529">
        <w:rPr>
          <w:sz w:val="24"/>
          <w:szCs w:val="24"/>
        </w:rPr>
        <w:t xml:space="preserve">, </w:t>
      </w:r>
      <w:proofErr w:type="spellStart"/>
      <w:r w:rsidRPr="00D07529">
        <w:rPr>
          <w:sz w:val="24"/>
          <w:szCs w:val="24"/>
        </w:rPr>
        <w:t>SCARs</w:t>
      </w:r>
      <w:proofErr w:type="spellEnd"/>
      <w:r w:rsidRPr="00D07529">
        <w:rPr>
          <w:sz w:val="24"/>
          <w:szCs w:val="24"/>
        </w:rPr>
        <w:t xml:space="preserve">), herunder Stevens-Johnsons syndrom (SJS), toksisk </w:t>
      </w:r>
      <w:proofErr w:type="spellStart"/>
      <w:r w:rsidRPr="00D07529">
        <w:rPr>
          <w:sz w:val="24"/>
          <w:szCs w:val="24"/>
        </w:rPr>
        <w:t>epidermal</w:t>
      </w:r>
      <w:proofErr w:type="spellEnd"/>
      <w:r w:rsidRPr="00D07529">
        <w:rPr>
          <w:sz w:val="24"/>
          <w:szCs w:val="24"/>
        </w:rPr>
        <w:t xml:space="preserve"> </w:t>
      </w:r>
      <w:proofErr w:type="spellStart"/>
      <w:r w:rsidRPr="00D07529">
        <w:rPr>
          <w:sz w:val="24"/>
          <w:szCs w:val="24"/>
        </w:rPr>
        <w:t>nekrolyse</w:t>
      </w:r>
      <w:proofErr w:type="spellEnd"/>
      <w:r w:rsidRPr="00D07529">
        <w:rPr>
          <w:sz w:val="24"/>
          <w:szCs w:val="24"/>
        </w:rPr>
        <w:t xml:space="preserve"> (TEN), lægemiddelreaktion med </w:t>
      </w:r>
      <w:proofErr w:type="spellStart"/>
      <w:r w:rsidRPr="00D07529">
        <w:rPr>
          <w:sz w:val="24"/>
          <w:szCs w:val="24"/>
        </w:rPr>
        <w:t>eosinifili</w:t>
      </w:r>
      <w:proofErr w:type="spellEnd"/>
      <w:r w:rsidRPr="00D07529">
        <w:rPr>
          <w:sz w:val="24"/>
          <w:szCs w:val="24"/>
        </w:rPr>
        <w:t xml:space="preserve"> og systemiske symptomer (</w:t>
      </w:r>
      <w:r w:rsidRPr="00D07529">
        <w:rPr>
          <w:i/>
          <w:iCs/>
          <w:sz w:val="24"/>
          <w:szCs w:val="24"/>
        </w:rPr>
        <w:t xml:space="preserve">drug </w:t>
      </w:r>
      <w:proofErr w:type="spellStart"/>
      <w:r w:rsidRPr="00D07529">
        <w:rPr>
          <w:i/>
          <w:iCs/>
          <w:sz w:val="24"/>
          <w:szCs w:val="24"/>
        </w:rPr>
        <w:t>reaction</w:t>
      </w:r>
      <w:proofErr w:type="spellEnd"/>
      <w:r w:rsidRPr="00D07529">
        <w:rPr>
          <w:i/>
          <w:iCs/>
          <w:sz w:val="24"/>
          <w:szCs w:val="24"/>
        </w:rPr>
        <w:t xml:space="preserve"> with </w:t>
      </w:r>
      <w:proofErr w:type="spellStart"/>
      <w:r w:rsidRPr="00D07529">
        <w:rPr>
          <w:i/>
          <w:iCs/>
          <w:sz w:val="24"/>
          <w:szCs w:val="24"/>
        </w:rPr>
        <w:t>eosinophilia</w:t>
      </w:r>
      <w:proofErr w:type="spellEnd"/>
      <w:r w:rsidRPr="00D07529">
        <w:rPr>
          <w:i/>
          <w:iCs/>
          <w:sz w:val="24"/>
          <w:szCs w:val="24"/>
        </w:rPr>
        <w:t xml:space="preserve"> and </w:t>
      </w:r>
      <w:proofErr w:type="spellStart"/>
      <w:r w:rsidRPr="00D07529">
        <w:rPr>
          <w:i/>
          <w:iCs/>
          <w:sz w:val="24"/>
          <w:szCs w:val="24"/>
        </w:rPr>
        <w:t>systemic</w:t>
      </w:r>
      <w:proofErr w:type="spellEnd"/>
      <w:r w:rsidRPr="00D07529">
        <w:rPr>
          <w:i/>
          <w:iCs/>
          <w:sz w:val="24"/>
          <w:szCs w:val="24"/>
        </w:rPr>
        <w:t xml:space="preserve"> symptoms</w:t>
      </w:r>
      <w:r w:rsidRPr="00D07529">
        <w:rPr>
          <w:sz w:val="24"/>
          <w:szCs w:val="24"/>
        </w:rPr>
        <w:t xml:space="preserve">, DRESS) og akut generaliseret </w:t>
      </w:r>
      <w:proofErr w:type="spellStart"/>
      <w:r w:rsidRPr="00D07529">
        <w:rPr>
          <w:sz w:val="24"/>
          <w:szCs w:val="24"/>
        </w:rPr>
        <w:t>eksantematøs</w:t>
      </w:r>
      <w:proofErr w:type="spellEnd"/>
      <w:r w:rsidRPr="00D07529">
        <w:rPr>
          <w:sz w:val="24"/>
          <w:szCs w:val="24"/>
        </w:rPr>
        <w:t xml:space="preserve"> </w:t>
      </w:r>
      <w:proofErr w:type="spellStart"/>
      <w:r w:rsidRPr="00D07529">
        <w:rPr>
          <w:sz w:val="24"/>
          <w:szCs w:val="24"/>
        </w:rPr>
        <w:t>pustulose</w:t>
      </w:r>
      <w:proofErr w:type="spellEnd"/>
      <w:r w:rsidRPr="00D07529">
        <w:rPr>
          <w:sz w:val="24"/>
          <w:szCs w:val="24"/>
        </w:rPr>
        <w:t xml:space="preserve"> (AGEP), som kan være livstruende eller dødelige hos patienter, der fik β-</w:t>
      </w:r>
      <w:proofErr w:type="spellStart"/>
      <w:r w:rsidRPr="00D07529">
        <w:rPr>
          <w:sz w:val="24"/>
          <w:szCs w:val="24"/>
        </w:rPr>
        <w:t>lactamantibiotika</w:t>
      </w:r>
      <w:proofErr w:type="spellEnd"/>
      <w:r w:rsidRPr="00D07529">
        <w:rPr>
          <w:sz w:val="24"/>
          <w:szCs w:val="24"/>
        </w:rPr>
        <w:t xml:space="preserve">. På ordinationstidspunktet skal patienten informeres om tegn og symptomer og overvåges nøje for hudreaktioner. Hvis der forekommer tegn og symptomer, der tyder på disse reaktioner, skal </w:t>
      </w:r>
      <w:proofErr w:type="spellStart"/>
      <w:r w:rsidRPr="00D07529">
        <w:rPr>
          <w:sz w:val="24"/>
          <w:szCs w:val="24"/>
        </w:rPr>
        <w:t>flucloxacillin</w:t>
      </w:r>
      <w:proofErr w:type="spellEnd"/>
      <w:r w:rsidRPr="00D07529">
        <w:rPr>
          <w:sz w:val="24"/>
          <w:szCs w:val="24"/>
        </w:rPr>
        <w:t xml:space="preserve"> omgående seponeres, og en alternativ behandling skal overvejes (se pkt. 4.8).</w:t>
      </w:r>
    </w:p>
    <w:p w14:paraId="14BB0247" w14:textId="77777777" w:rsidR="00AB4CC5" w:rsidRPr="00D07529" w:rsidRDefault="00AB4CC5" w:rsidP="00D07529">
      <w:pPr>
        <w:ind w:left="851"/>
        <w:rPr>
          <w:sz w:val="24"/>
          <w:szCs w:val="24"/>
        </w:rPr>
      </w:pPr>
    </w:p>
    <w:p w14:paraId="65530C9F" w14:textId="77777777" w:rsidR="00AB4CC5" w:rsidRPr="00D07529" w:rsidRDefault="00AB4CC5" w:rsidP="00D07529">
      <w:pPr>
        <w:ind w:left="851"/>
        <w:rPr>
          <w:sz w:val="24"/>
          <w:szCs w:val="24"/>
          <w:u w:val="single"/>
        </w:rPr>
      </w:pPr>
      <w:r w:rsidRPr="00D07529">
        <w:rPr>
          <w:sz w:val="24"/>
          <w:szCs w:val="24"/>
          <w:u w:val="single"/>
        </w:rPr>
        <w:t>Nedsat leverfunktion</w:t>
      </w:r>
    </w:p>
    <w:p w14:paraId="3E181DC2" w14:textId="77777777" w:rsidR="00AB4CC5" w:rsidRPr="00D07529" w:rsidRDefault="00AB4CC5" w:rsidP="00D07529">
      <w:pPr>
        <w:ind w:left="851"/>
        <w:rPr>
          <w:sz w:val="24"/>
          <w:szCs w:val="24"/>
        </w:rPr>
      </w:pPr>
      <w:r w:rsidRPr="00D07529">
        <w:rPr>
          <w:sz w:val="24"/>
          <w:szCs w:val="24"/>
        </w:rPr>
        <w:t xml:space="preserve">Der er rapporteret </w:t>
      </w:r>
      <w:proofErr w:type="spellStart"/>
      <w:r w:rsidRPr="00D07529">
        <w:rPr>
          <w:sz w:val="24"/>
          <w:szCs w:val="24"/>
        </w:rPr>
        <w:t>kolestatisk</w:t>
      </w:r>
      <w:proofErr w:type="spellEnd"/>
      <w:r w:rsidRPr="00D07529">
        <w:rPr>
          <w:sz w:val="24"/>
          <w:szCs w:val="24"/>
        </w:rPr>
        <w:t xml:space="preserve"> gulsot og leverskade (se pkt. 4.8). Der bør udvises forsigtighed ved brug af </w:t>
      </w:r>
      <w:proofErr w:type="spellStart"/>
      <w:r w:rsidRPr="00D07529">
        <w:rPr>
          <w:sz w:val="24"/>
          <w:szCs w:val="24"/>
        </w:rPr>
        <w:t>flucloxacillin</w:t>
      </w:r>
      <w:proofErr w:type="spellEnd"/>
      <w:r w:rsidRPr="00D07529">
        <w:rPr>
          <w:sz w:val="24"/>
          <w:szCs w:val="24"/>
        </w:rPr>
        <w:t xml:space="preserve"> hos patienter med tegn på nedsat leverfunktion, patienter over 50 år og patienter med alvorlig underliggende sygdom, da alle disse patienter har øget risiko for leverskade. Det er vigtigt at udvise særlig forsigtighed hos nyfødte på grund af risikoen for </w:t>
      </w:r>
      <w:proofErr w:type="spellStart"/>
      <w:r w:rsidRPr="00D07529">
        <w:rPr>
          <w:sz w:val="24"/>
          <w:szCs w:val="24"/>
        </w:rPr>
        <w:t>hyperbilirubinæmi</w:t>
      </w:r>
      <w:proofErr w:type="spellEnd"/>
      <w:r w:rsidRPr="00D07529">
        <w:rPr>
          <w:sz w:val="24"/>
          <w:szCs w:val="24"/>
        </w:rPr>
        <w:t>.</w:t>
      </w:r>
    </w:p>
    <w:p w14:paraId="3E3A67D4" w14:textId="77777777" w:rsidR="00AB4CC5" w:rsidRPr="00D07529" w:rsidRDefault="00AB4CC5" w:rsidP="00D07529">
      <w:pPr>
        <w:ind w:left="851"/>
        <w:rPr>
          <w:sz w:val="24"/>
          <w:szCs w:val="24"/>
        </w:rPr>
      </w:pPr>
      <w:r w:rsidRPr="00D07529">
        <w:rPr>
          <w:sz w:val="24"/>
          <w:szCs w:val="24"/>
        </w:rPr>
        <w:t>Under langtidsbehandling anbefales det at monitorere leverfunktionen jævnligt. Forekomsten af leverpåvirkninger kan være forsinket i op til to måneder efter behandling. I flere tilfælde har reaktionsforløbet været langvarigt og varet i flere måneder. I meget sjældne tilfælde er der rapporteret om dødelig udgang.</w:t>
      </w:r>
    </w:p>
    <w:p w14:paraId="61AE0D60" w14:textId="77777777" w:rsidR="00AB4CC5" w:rsidRPr="00D07529" w:rsidRDefault="00AB4CC5" w:rsidP="00D07529">
      <w:pPr>
        <w:ind w:left="851"/>
        <w:rPr>
          <w:sz w:val="24"/>
          <w:szCs w:val="24"/>
        </w:rPr>
      </w:pPr>
    </w:p>
    <w:p w14:paraId="6D440226" w14:textId="77777777" w:rsidR="00AB4CC5" w:rsidRPr="00D07529" w:rsidRDefault="00AB4CC5" w:rsidP="00D07529">
      <w:pPr>
        <w:ind w:left="851"/>
        <w:rPr>
          <w:sz w:val="24"/>
          <w:szCs w:val="24"/>
          <w:u w:val="single"/>
        </w:rPr>
      </w:pPr>
      <w:r w:rsidRPr="00D07529">
        <w:rPr>
          <w:sz w:val="24"/>
          <w:szCs w:val="24"/>
          <w:u w:val="single"/>
        </w:rPr>
        <w:t>Nedsat nyrefunktion</w:t>
      </w:r>
    </w:p>
    <w:p w14:paraId="651369AF" w14:textId="77777777" w:rsidR="00AB4CC5" w:rsidRPr="00D07529" w:rsidRDefault="00AB4CC5" w:rsidP="00D07529">
      <w:pPr>
        <w:ind w:left="851"/>
        <w:rPr>
          <w:sz w:val="24"/>
          <w:szCs w:val="24"/>
        </w:rPr>
      </w:pPr>
      <w:r w:rsidRPr="00D07529">
        <w:rPr>
          <w:sz w:val="24"/>
          <w:szCs w:val="24"/>
        </w:rPr>
        <w:t>Under langtidsbehandling anbefales det at monitorere nyrefunktionen jævnligt.</w:t>
      </w:r>
    </w:p>
    <w:p w14:paraId="34CA3E69" w14:textId="77777777" w:rsidR="00AB4CC5" w:rsidRPr="00D07529" w:rsidRDefault="00AB4CC5" w:rsidP="00D07529">
      <w:pPr>
        <w:ind w:left="851"/>
        <w:rPr>
          <w:sz w:val="24"/>
          <w:szCs w:val="24"/>
        </w:rPr>
      </w:pPr>
      <w:r w:rsidRPr="00D07529">
        <w:rPr>
          <w:sz w:val="24"/>
          <w:szCs w:val="24"/>
        </w:rPr>
        <w:t xml:space="preserve">Der skal udvises særlig forsigtighed hos nyfødte på grund af risikoen for høje serumniveauer af </w:t>
      </w:r>
      <w:proofErr w:type="spellStart"/>
      <w:r w:rsidRPr="00D07529">
        <w:rPr>
          <w:sz w:val="24"/>
          <w:szCs w:val="24"/>
        </w:rPr>
        <w:t>flucloxacillin</w:t>
      </w:r>
      <w:proofErr w:type="spellEnd"/>
      <w:r w:rsidRPr="00D07529">
        <w:rPr>
          <w:sz w:val="24"/>
          <w:szCs w:val="24"/>
        </w:rPr>
        <w:t xml:space="preserve"> på grund af nedsat udskillelseshastighed i nyrerne.</w:t>
      </w:r>
    </w:p>
    <w:p w14:paraId="4DC901D5" w14:textId="77777777" w:rsidR="00AB4CC5" w:rsidRPr="00D07529" w:rsidRDefault="00AB4CC5" w:rsidP="00D07529">
      <w:pPr>
        <w:ind w:left="851"/>
        <w:rPr>
          <w:sz w:val="24"/>
          <w:szCs w:val="24"/>
        </w:rPr>
      </w:pPr>
    </w:p>
    <w:p w14:paraId="3358315B" w14:textId="77777777" w:rsidR="00AB4CC5" w:rsidRPr="00D07529" w:rsidRDefault="00AB4CC5" w:rsidP="00D07529">
      <w:pPr>
        <w:ind w:left="851"/>
        <w:rPr>
          <w:sz w:val="24"/>
          <w:szCs w:val="24"/>
        </w:rPr>
      </w:pPr>
      <w:r w:rsidRPr="00D07529">
        <w:rPr>
          <w:sz w:val="24"/>
          <w:szCs w:val="24"/>
        </w:rPr>
        <w:t xml:space="preserve">Brug af </w:t>
      </w:r>
      <w:proofErr w:type="spellStart"/>
      <w:r w:rsidRPr="00D07529">
        <w:rPr>
          <w:sz w:val="24"/>
          <w:szCs w:val="24"/>
        </w:rPr>
        <w:t>flucloxacillin</w:t>
      </w:r>
      <w:proofErr w:type="spellEnd"/>
      <w:r w:rsidRPr="00D07529">
        <w:rPr>
          <w:sz w:val="24"/>
          <w:szCs w:val="24"/>
        </w:rPr>
        <w:t xml:space="preserve"> (som andre penicilliner) hos patienter med nedsat nyrefunktion kræver sædvanligvis ikke dosisreduktion. Men ved alvorligt nedsat nyrefunktion (</w:t>
      </w:r>
      <w:proofErr w:type="spellStart"/>
      <w:r w:rsidRPr="00D07529">
        <w:rPr>
          <w:sz w:val="24"/>
          <w:szCs w:val="24"/>
        </w:rPr>
        <w:t>kreatininclearance</w:t>
      </w:r>
      <w:proofErr w:type="spellEnd"/>
      <w:r w:rsidRPr="00D07529">
        <w:rPr>
          <w:sz w:val="24"/>
          <w:szCs w:val="24"/>
        </w:rPr>
        <w:t xml:space="preserve"> under 10 ml/min.) bør en dosisreduktion eller en forlængelse af dosisintervallet overvejes på grund af risikoen for </w:t>
      </w:r>
      <w:proofErr w:type="spellStart"/>
      <w:r w:rsidRPr="00D07529">
        <w:rPr>
          <w:sz w:val="24"/>
          <w:szCs w:val="24"/>
        </w:rPr>
        <w:t>neurotoksicitet</w:t>
      </w:r>
      <w:proofErr w:type="spellEnd"/>
      <w:r w:rsidRPr="00D07529">
        <w:rPr>
          <w:sz w:val="24"/>
          <w:szCs w:val="24"/>
        </w:rPr>
        <w:t>.</w:t>
      </w:r>
    </w:p>
    <w:p w14:paraId="596A35E4" w14:textId="77777777" w:rsidR="00AB4CC5" w:rsidRPr="00D07529" w:rsidRDefault="00AB4CC5" w:rsidP="00D07529">
      <w:pPr>
        <w:ind w:left="851"/>
        <w:rPr>
          <w:sz w:val="24"/>
          <w:szCs w:val="24"/>
        </w:rPr>
      </w:pPr>
    </w:p>
    <w:p w14:paraId="5AA250C1" w14:textId="77777777" w:rsidR="00AB4CC5" w:rsidRPr="00D07529" w:rsidRDefault="00AB4CC5" w:rsidP="00D07529">
      <w:pPr>
        <w:ind w:left="851"/>
        <w:rPr>
          <w:sz w:val="24"/>
          <w:szCs w:val="24"/>
        </w:rPr>
      </w:pPr>
      <w:proofErr w:type="spellStart"/>
      <w:r w:rsidRPr="00D07529">
        <w:rPr>
          <w:sz w:val="24"/>
          <w:szCs w:val="24"/>
        </w:rPr>
        <w:t>Flucloxacillin</w:t>
      </w:r>
      <w:proofErr w:type="spellEnd"/>
      <w:r w:rsidRPr="00D07529">
        <w:rPr>
          <w:sz w:val="24"/>
          <w:szCs w:val="24"/>
        </w:rPr>
        <w:t xml:space="preserve"> fjernes ikke signifikant ved dialyse, og der er derfor ikke behov for at give yderligere doser under eller efter afslutning af dialyseperioden.</w:t>
      </w:r>
    </w:p>
    <w:p w14:paraId="2000EFA8" w14:textId="77777777" w:rsidR="00AB4CC5" w:rsidRPr="00D07529" w:rsidRDefault="00AB4CC5" w:rsidP="00D07529">
      <w:pPr>
        <w:ind w:left="851"/>
        <w:rPr>
          <w:sz w:val="24"/>
          <w:szCs w:val="24"/>
        </w:rPr>
      </w:pPr>
    </w:p>
    <w:p w14:paraId="5EF6B6F4" w14:textId="77777777" w:rsidR="00AB4CC5" w:rsidRPr="00D07529" w:rsidRDefault="00AB4CC5" w:rsidP="00D07529">
      <w:pPr>
        <w:ind w:left="851"/>
        <w:rPr>
          <w:i/>
          <w:iCs/>
          <w:sz w:val="24"/>
          <w:szCs w:val="24"/>
          <w:u w:val="single"/>
        </w:rPr>
      </w:pPr>
      <w:proofErr w:type="spellStart"/>
      <w:r w:rsidRPr="00D07529">
        <w:rPr>
          <w:i/>
          <w:sz w:val="24"/>
          <w:szCs w:val="24"/>
          <w:u w:val="single"/>
        </w:rPr>
        <w:t>Clostridioides</w:t>
      </w:r>
      <w:proofErr w:type="spellEnd"/>
      <w:r w:rsidRPr="00D07529">
        <w:rPr>
          <w:i/>
          <w:sz w:val="24"/>
          <w:szCs w:val="24"/>
          <w:u w:val="single"/>
        </w:rPr>
        <w:t xml:space="preserve"> difficile</w:t>
      </w:r>
    </w:p>
    <w:p w14:paraId="39D58DF3" w14:textId="77777777" w:rsidR="00AB4CC5" w:rsidRPr="00D07529" w:rsidRDefault="00AB4CC5" w:rsidP="00D07529">
      <w:pPr>
        <w:ind w:left="851"/>
        <w:rPr>
          <w:sz w:val="24"/>
          <w:szCs w:val="24"/>
        </w:rPr>
      </w:pPr>
      <w:proofErr w:type="spellStart"/>
      <w:r w:rsidRPr="00D07529">
        <w:rPr>
          <w:sz w:val="24"/>
          <w:szCs w:val="24"/>
        </w:rPr>
        <w:t>Pseudomembranøs</w:t>
      </w:r>
      <w:proofErr w:type="spellEnd"/>
      <w:r w:rsidRPr="00D07529">
        <w:rPr>
          <w:sz w:val="24"/>
          <w:szCs w:val="24"/>
        </w:rPr>
        <w:t xml:space="preserve"> </w:t>
      </w:r>
      <w:proofErr w:type="spellStart"/>
      <w:r w:rsidRPr="00D07529">
        <w:rPr>
          <w:sz w:val="24"/>
          <w:szCs w:val="24"/>
        </w:rPr>
        <w:t>kolit</w:t>
      </w:r>
      <w:proofErr w:type="spellEnd"/>
      <w:r w:rsidRPr="00D07529">
        <w:rPr>
          <w:sz w:val="24"/>
          <w:szCs w:val="24"/>
        </w:rPr>
        <w:t xml:space="preserve"> er rapporteret med næsten alle antibakterielle midler. Det er vigtigt at overveje denne diagnose hos patienter, som får diarré, og iværksætte passende behandling, så snart diagnosen foreligger.</w:t>
      </w:r>
    </w:p>
    <w:p w14:paraId="50B37EEA" w14:textId="77777777" w:rsidR="00AB4CC5" w:rsidRPr="00D07529" w:rsidRDefault="00AB4CC5" w:rsidP="00D07529">
      <w:pPr>
        <w:ind w:left="851"/>
        <w:rPr>
          <w:sz w:val="24"/>
          <w:szCs w:val="24"/>
        </w:rPr>
      </w:pPr>
    </w:p>
    <w:p w14:paraId="1118B678" w14:textId="77777777" w:rsidR="00AB4CC5" w:rsidRPr="00D07529" w:rsidRDefault="00AB4CC5" w:rsidP="00D07529">
      <w:pPr>
        <w:ind w:left="851"/>
        <w:rPr>
          <w:sz w:val="24"/>
          <w:szCs w:val="24"/>
          <w:u w:val="single"/>
        </w:rPr>
      </w:pPr>
      <w:r w:rsidRPr="00D07529">
        <w:rPr>
          <w:sz w:val="24"/>
          <w:szCs w:val="24"/>
          <w:u w:val="single"/>
        </w:rPr>
        <w:t xml:space="preserve">Generaliseret </w:t>
      </w:r>
      <w:proofErr w:type="spellStart"/>
      <w:r w:rsidRPr="00D07529">
        <w:rPr>
          <w:sz w:val="24"/>
          <w:szCs w:val="24"/>
          <w:u w:val="single"/>
        </w:rPr>
        <w:t>eksantematøs</w:t>
      </w:r>
      <w:proofErr w:type="spellEnd"/>
      <w:r w:rsidRPr="00D07529">
        <w:rPr>
          <w:sz w:val="24"/>
          <w:szCs w:val="24"/>
          <w:u w:val="single"/>
        </w:rPr>
        <w:t xml:space="preserve"> </w:t>
      </w:r>
      <w:proofErr w:type="spellStart"/>
      <w:r w:rsidRPr="00D07529">
        <w:rPr>
          <w:sz w:val="24"/>
          <w:szCs w:val="24"/>
          <w:u w:val="single"/>
        </w:rPr>
        <w:t>pustulose</w:t>
      </w:r>
      <w:proofErr w:type="spellEnd"/>
    </w:p>
    <w:p w14:paraId="7C1CDCCD" w14:textId="77777777" w:rsidR="00AB4CC5" w:rsidRPr="00D07529" w:rsidRDefault="00AB4CC5" w:rsidP="00D07529">
      <w:pPr>
        <w:ind w:left="851"/>
        <w:rPr>
          <w:sz w:val="24"/>
          <w:szCs w:val="24"/>
        </w:rPr>
      </w:pPr>
      <w:r w:rsidRPr="00D07529">
        <w:rPr>
          <w:sz w:val="24"/>
          <w:szCs w:val="24"/>
        </w:rPr>
        <w:t xml:space="preserve">Hvis der ved behandlingsstart opstår febrilt generaliseret </w:t>
      </w:r>
      <w:proofErr w:type="spellStart"/>
      <w:r w:rsidRPr="00D07529">
        <w:rPr>
          <w:sz w:val="24"/>
          <w:szCs w:val="24"/>
        </w:rPr>
        <w:t>erytem</w:t>
      </w:r>
      <w:proofErr w:type="spellEnd"/>
      <w:r w:rsidRPr="00D07529">
        <w:rPr>
          <w:sz w:val="24"/>
          <w:szCs w:val="24"/>
        </w:rPr>
        <w:t xml:space="preserve"> med pustler, kan det være tegn på akut generaliseret </w:t>
      </w:r>
      <w:proofErr w:type="spellStart"/>
      <w:r w:rsidRPr="00D07529">
        <w:rPr>
          <w:sz w:val="24"/>
          <w:szCs w:val="24"/>
        </w:rPr>
        <w:t>eksantematøs</w:t>
      </w:r>
      <w:proofErr w:type="spellEnd"/>
      <w:r w:rsidRPr="00D07529">
        <w:rPr>
          <w:sz w:val="24"/>
          <w:szCs w:val="24"/>
        </w:rPr>
        <w:t xml:space="preserve"> </w:t>
      </w:r>
      <w:proofErr w:type="spellStart"/>
      <w:r w:rsidRPr="00D07529">
        <w:rPr>
          <w:sz w:val="24"/>
          <w:szCs w:val="24"/>
        </w:rPr>
        <w:t>pustulose</w:t>
      </w:r>
      <w:proofErr w:type="spellEnd"/>
      <w:r w:rsidRPr="00D07529">
        <w:rPr>
          <w:sz w:val="24"/>
          <w:szCs w:val="24"/>
        </w:rPr>
        <w:t xml:space="preserve"> (AGEP) (se pkt. 4.8). Hvis AGEP diagnosticeres, skal </w:t>
      </w:r>
      <w:proofErr w:type="spellStart"/>
      <w:r w:rsidRPr="00D07529">
        <w:rPr>
          <w:sz w:val="24"/>
          <w:szCs w:val="24"/>
        </w:rPr>
        <w:t>flucloxacillin</w:t>
      </w:r>
      <w:proofErr w:type="spellEnd"/>
      <w:r w:rsidRPr="00D07529">
        <w:rPr>
          <w:sz w:val="24"/>
          <w:szCs w:val="24"/>
        </w:rPr>
        <w:t xml:space="preserve"> seponeres, og senere behandling med </w:t>
      </w:r>
      <w:proofErr w:type="spellStart"/>
      <w:r w:rsidRPr="00D07529">
        <w:rPr>
          <w:sz w:val="24"/>
          <w:szCs w:val="24"/>
        </w:rPr>
        <w:t>flucloxacillin</w:t>
      </w:r>
      <w:proofErr w:type="spellEnd"/>
      <w:r w:rsidRPr="00D07529">
        <w:rPr>
          <w:sz w:val="24"/>
          <w:szCs w:val="24"/>
        </w:rPr>
        <w:t xml:space="preserve"> er kontraindiceret.</w:t>
      </w:r>
    </w:p>
    <w:p w14:paraId="5C08B70B" w14:textId="77777777" w:rsidR="00AB4CC5" w:rsidRPr="00D07529" w:rsidRDefault="00AB4CC5" w:rsidP="00D07529">
      <w:pPr>
        <w:ind w:left="851"/>
        <w:rPr>
          <w:sz w:val="24"/>
          <w:szCs w:val="24"/>
          <w:u w:val="single"/>
        </w:rPr>
      </w:pPr>
      <w:proofErr w:type="spellStart"/>
      <w:r w:rsidRPr="00D07529">
        <w:rPr>
          <w:sz w:val="24"/>
          <w:szCs w:val="24"/>
          <w:u w:val="single"/>
        </w:rPr>
        <w:lastRenderedPageBreak/>
        <w:t>Hypokaliæmi</w:t>
      </w:r>
      <w:proofErr w:type="spellEnd"/>
    </w:p>
    <w:p w14:paraId="5563179B" w14:textId="77777777" w:rsidR="00AB4CC5" w:rsidRPr="00D07529" w:rsidRDefault="00AB4CC5" w:rsidP="00D07529">
      <w:pPr>
        <w:ind w:left="851"/>
        <w:rPr>
          <w:sz w:val="24"/>
          <w:szCs w:val="24"/>
        </w:rPr>
      </w:pPr>
      <w:proofErr w:type="spellStart"/>
      <w:r w:rsidRPr="00D07529">
        <w:rPr>
          <w:sz w:val="24"/>
          <w:szCs w:val="24"/>
        </w:rPr>
        <w:t>Hypokaliæmi</w:t>
      </w:r>
      <w:proofErr w:type="spellEnd"/>
      <w:r w:rsidRPr="00D07529">
        <w:rPr>
          <w:sz w:val="24"/>
          <w:szCs w:val="24"/>
        </w:rPr>
        <w:t xml:space="preserve"> (potentielt livstruende) kan forekomme ved brug af </w:t>
      </w:r>
      <w:proofErr w:type="spellStart"/>
      <w:r w:rsidRPr="00D07529">
        <w:rPr>
          <w:sz w:val="24"/>
          <w:szCs w:val="24"/>
        </w:rPr>
        <w:t>flucloxacillin</w:t>
      </w:r>
      <w:proofErr w:type="spellEnd"/>
      <w:r w:rsidRPr="00D07529">
        <w:rPr>
          <w:sz w:val="24"/>
          <w:szCs w:val="24"/>
        </w:rPr>
        <w:t xml:space="preserve">, især i høje doser. </w:t>
      </w:r>
      <w:proofErr w:type="spellStart"/>
      <w:r w:rsidRPr="00D07529">
        <w:rPr>
          <w:sz w:val="24"/>
          <w:szCs w:val="24"/>
        </w:rPr>
        <w:t>Hypokaliæmi</w:t>
      </w:r>
      <w:proofErr w:type="spellEnd"/>
      <w:r w:rsidRPr="00D07529">
        <w:rPr>
          <w:sz w:val="24"/>
          <w:szCs w:val="24"/>
        </w:rPr>
        <w:t xml:space="preserve"> forårsaget af </w:t>
      </w:r>
      <w:proofErr w:type="spellStart"/>
      <w:r w:rsidRPr="00D07529">
        <w:rPr>
          <w:sz w:val="24"/>
          <w:szCs w:val="24"/>
        </w:rPr>
        <w:t>flucloxacillin</w:t>
      </w:r>
      <w:proofErr w:type="spellEnd"/>
      <w:r w:rsidRPr="00D07529">
        <w:rPr>
          <w:sz w:val="24"/>
          <w:szCs w:val="24"/>
        </w:rPr>
        <w:t xml:space="preserve"> kan være resistent overfor kaliumtilskud. Regelmæssig måling af kaliumniveauet anbefales under behandling med høje doser </w:t>
      </w:r>
      <w:proofErr w:type="spellStart"/>
      <w:r w:rsidRPr="00D07529">
        <w:rPr>
          <w:sz w:val="24"/>
          <w:szCs w:val="24"/>
        </w:rPr>
        <w:t>flucloxacillin</w:t>
      </w:r>
      <w:proofErr w:type="spellEnd"/>
      <w:r w:rsidRPr="00D07529">
        <w:rPr>
          <w:sz w:val="24"/>
          <w:szCs w:val="24"/>
        </w:rPr>
        <w:t xml:space="preserve">. Det er påkrævet, at være opmærksom på denne risiko ved kombination af </w:t>
      </w:r>
      <w:proofErr w:type="spellStart"/>
      <w:r w:rsidRPr="00D07529">
        <w:rPr>
          <w:sz w:val="24"/>
          <w:szCs w:val="24"/>
        </w:rPr>
        <w:t>flucloxacillin</w:t>
      </w:r>
      <w:proofErr w:type="spellEnd"/>
      <w:r w:rsidRPr="00D07529">
        <w:rPr>
          <w:sz w:val="24"/>
          <w:szCs w:val="24"/>
        </w:rPr>
        <w:t xml:space="preserve"> og </w:t>
      </w:r>
      <w:proofErr w:type="spellStart"/>
      <w:r w:rsidRPr="00D07529">
        <w:rPr>
          <w:sz w:val="24"/>
          <w:szCs w:val="24"/>
        </w:rPr>
        <w:t>hypokaliæmi</w:t>
      </w:r>
      <w:proofErr w:type="spellEnd"/>
      <w:r w:rsidRPr="00D07529">
        <w:rPr>
          <w:sz w:val="24"/>
          <w:szCs w:val="24"/>
        </w:rPr>
        <w:t xml:space="preserve">-inducerende </w:t>
      </w:r>
      <w:proofErr w:type="spellStart"/>
      <w:r w:rsidRPr="00D07529">
        <w:rPr>
          <w:sz w:val="24"/>
          <w:szCs w:val="24"/>
        </w:rPr>
        <w:t>diuretika</w:t>
      </w:r>
      <w:proofErr w:type="spellEnd"/>
      <w:r w:rsidRPr="00D07529">
        <w:rPr>
          <w:sz w:val="24"/>
          <w:szCs w:val="24"/>
        </w:rPr>
        <w:t xml:space="preserve">, eller når andre risikofaktorer for udvikling af </w:t>
      </w:r>
      <w:proofErr w:type="spellStart"/>
      <w:r w:rsidRPr="00D07529">
        <w:rPr>
          <w:sz w:val="24"/>
          <w:szCs w:val="24"/>
        </w:rPr>
        <w:t>hypokaliæmi</w:t>
      </w:r>
      <w:proofErr w:type="spellEnd"/>
      <w:r w:rsidRPr="00D07529">
        <w:rPr>
          <w:sz w:val="24"/>
          <w:szCs w:val="24"/>
        </w:rPr>
        <w:t xml:space="preserve"> er tilstede (f.eks. fejlernæring, dysfunktion af </w:t>
      </w:r>
      <w:proofErr w:type="spellStart"/>
      <w:r w:rsidRPr="00D07529">
        <w:rPr>
          <w:sz w:val="24"/>
          <w:szCs w:val="24"/>
        </w:rPr>
        <w:t>nyretubuli</w:t>
      </w:r>
      <w:proofErr w:type="spellEnd"/>
      <w:r w:rsidRPr="00D07529">
        <w:rPr>
          <w:sz w:val="24"/>
          <w:szCs w:val="24"/>
        </w:rPr>
        <w:t>).</w:t>
      </w:r>
    </w:p>
    <w:p w14:paraId="558D83C0" w14:textId="77777777" w:rsidR="00AB4CC5" w:rsidRPr="00D07529" w:rsidRDefault="00AB4CC5" w:rsidP="00D07529">
      <w:pPr>
        <w:ind w:left="851"/>
        <w:rPr>
          <w:sz w:val="24"/>
          <w:szCs w:val="24"/>
        </w:rPr>
      </w:pPr>
    </w:p>
    <w:p w14:paraId="310452EA" w14:textId="77777777" w:rsidR="00AB4CC5" w:rsidRPr="00D07529" w:rsidRDefault="00AB4CC5" w:rsidP="00D07529">
      <w:pPr>
        <w:ind w:left="851"/>
        <w:rPr>
          <w:sz w:val="24"/>
          <w:szCs w:val="24"/>
          <w:u w:val="single"/>
        </w:rPr>
      </w:pPr>
      <w:r w:rsidRPr="00D07529">
        <w:rPr>
          <w:sz w:val="24"/>
          <w:szCs w:val="24"/>
          <w:u w:val="single"/>
        </w:rPr>
        <w:t xml:space="preserve">Metabolisk </w:t>
      </w:r>
      <w:proofErr w:type="spellStart"/>
      <w:r w:rsidRPr="00D07529">
        <w:rPr>
          <w:sz w:val="24"/>
          <w:szCs w:val="24"/>
          <w:u w:val="single"/>
        </w:rPr>
        <w:t>acidose</w:t>
      </w:r>
      <w:proofErr w:type="spellEnd"/>
      <w:r w:rsidRPr="00D07529">
        <w:rPr>
          <w:sz w:val="24"/>
          <w:szCs w:val="24"/>
          <w:u w:val="single"/>
        </w:rPr>
        <w:t xml:space="preserve"> med højt </w:t>
      </w:r>
      <w:proofErr w:type="spellStart"/>
      <w:r w:rsidRPr="00D07529">
        <w:rPr>
          <w:sz w:val="24"/>
          <w:szCs w:val="24"/>
          <w:u w:val="single"/>
        </w:rPr>
        <w:t>aniongap</w:t>
      </w:r>
      <w:proofErr w:type="spellEnd"/>
      <w:r w:rsidRPr="00D07529">
        <w:rPr>
          <w:sz w:val="24"/>
          <w:szCs w:val="24"/>
          <w:u w:val="single"/>
        </w:rPr>
        <w:t xml:space="preserve"> (HAGMA)</w:t>
      </w:r>
    </w:p>
    <w:p w14:paraId="0DED9FA5" w14:textId="77777777" w:rsidR="00AB4CC5" w:rsidRPr="00D07529" w:rsidRDefault="00AB4CC5" w:rsidP="00D07529">
      <w:pPr>
        <w:ind w:left="851"/>
        <w:rPr>
          <w:sz w:val="24"/>
          <w:szCs w:val="24"/>
        </w:rPr>
      </w:pPr>
      <w:r w:rsidRPr="00D07529">
        <w:rPr>
          <w:sz w:val="24"/>
          <w:szCs w:val="24"/>
        </w:rPr>
        <w:t xml:space="preserve">Forsigtighed tilrådes, når </w:t>
      </w:r>
      <w:proofErr w:type="spellStart"/>
      <w:r w:rsidRPr="00D07529">
        <w:rPr>
          <w:sz w:val="24"/>
          <w:szCs w:val="24"/>
        </w:rPr>
        <w:t>flucloxacillin</w:t>
      </w:r>
      <w:proofErr w:type="spellEnd"/>
      <w:r w:rsidRPr="00D07529">
        <w:rPr>
          <w:sz w:val="24"/>
          <w:szCs w:val="24"/>
        </w:rPr>
        <w:t xml:space="preserve"> gives samtidigt med paracetamol på grund af den forhøjede risiko for metabolisk </w:t>
      </w:r>
      <w:proofErr w:type="spellStart"/>
      <w:r w:rsidRPr="00D07529">
        <w:rPr>
          <w:sz w:val="24"/>
          <w:szCs w:val="24"/>
        </w:rPr>
        <w:t>acidose</w:t>
      </w:r>
      <w:proofErr w:type="spellEnd"/>
      <w:r w:rsidRPr="00D07529">
        <w:rPr>
          <w:sz w:val="24"/>
          <w:szCs w:val="24"/>
        </w:rPr>
        <w:t xml:space="preserve"> med højt anion-</w:t>
      </w:r>
      <w:proofErr w:type="spellStart"/>
      <w:r w:rsidRPr="00D07529">
        <w:rPr>
          <w:sz w:val="24"/>
          <w:szCs w:val="24"/>
        </w:rPr>
        <w:t>gap</w:t>
      </w:r>
      <w:proofErr w:type="spellEnd"/>
      <w:r w:rsidRPr="00D07529">
        <w:rPr>
          <w:sz w:val="24"/>
          <w:szCs w:val="24"/>
        </w:rPr>
        <w:t xml:space="preserve"> (HAGMA). Patienter med høj risiko for HAGMA er især dem med svært nedsat nyrefunktion, sepsis eller fejlernæring, især hvis de anvender de daglige maksimumdoser af paracetamol. Efter samtidig administration af </w:t>
      </w:r>
      <w:proofErr w:type="spellStart"/>
      <w:r w:rsidRPr="00D07529">
        <w:rPr>
          <w:sz w:val="24"/>
          <w:szCs w:val="24"/>
        </w:rPr>
        <w:t>flucloxacillin</w:t>
      </w:r>
      <w:proofErr w:type="spellEnd"/>
      <w:r w:rsidRPr="00D07529">
        <w:rPr>
          <w:sz w:val="24"/>
          <w:szCs w:val="24"/>
        </w:rPr>
        <w:t xml:space="preserve"> og paracetamol anbefales nøje overvågning for at opdage forekomst af syrebaseforstyrrelser, især HAGMA, herunder analyse for 5-oxoprolin i urinen. Hvis behandling med </w:t>
      </w:r>
      <w:proofErr w:type="spellStart"/>
      <w:r w:rsidRPr="00D07529">
        <w:rPr>
          <w:sz w:val="24"/>
          <w:szCs w:val="24"/>
        </w:rPr>
        <w:t>flucloxacillin</w:t>
      </w:r>
      <w:proofErr w:type="spellEnd"/>
      <w:r w:rsidRPr="00D07529">
        <w:rPr>
          <w:sz w:val="24"/>
          <w:szCs w:val="24"/>
        </w:rPr>
        <w:t xml:space="preserve"> fortsættes efter </w:t>
      </w:r>
      <w:proofErr w:type="spellStart"/>
      <w:r w:rsidRPr="00D07529">
        <w:rPr>
          <w:sz w:val="24"/>
          <w:szCs w:val="24"/>
        </w:rPr>
        <w:t>seponering</w:t>
      </w:r>
      <w:proofErr w:type="spellEnd"/>
      <w:r w:rsidRPr="00D07529">
        <w:rPr>
          <w:sz w:val="24"/>
          <w:szCs w:val="24"/>
        </w:rPr>
        <w:t xml:space="preserve"> af paracetamol, tilrådes det at sikre, at der ikke er tegn på HAGMA, da </w:t>
      </w:r>
      <w:proofErr w:type="spellStart"/>
      <w:r w:rsidRPr="00D07529">
        <w:rPr>
          <w:sz w:val="24"/>
          <w:szCs w:val="24"/>
        </w:rPr>
        <w:t>flucloxacillin</w:t>
      </w:r>
      <w:proofErr w:type="spellEnd"/>
      <w:r w:rsidRPr="00D07529">
        <w:rPr>
          <w:sz w:val="24"/>
          <w:szCs w:val="24"/>
        </w:rPr>
        <w:t xml:space="preserve"> muligvis kan fastholde det kliniske billede for HAGMA (se pkt. 4.5).</w:t>
      </w:r>
    </w:p>
    <w:p w14:paraId="70123F1A" w14:textId="77777777" w:rsidR="00AB4CC5" w:rsidRPr="00D07529" w:rsidRDefault="00AB4CC5" w:rsidP="00D07529">
      <w:pPr>
        <w:ind w:left="851"/>
        <w:rPr>
          <w:sz w:val="24"/>
          <w:szCs w:val="24"/>
        </w:rPr>
      </w:pPr>
    </w:p>
    <w:p w14:paraId="070BB133" w14:textId="77777777" w:rsidR="00AB4CC5" w:rsidRPr="00D07529" w:rsidRDefault="00AB4CC5" w:rsidP="00D07529">
      <w:pPr>
        <w:ind w:left="851"/>
        <w:rPr>
          <w:sz w:val="24"/>
          <w:szCs w:val="24"/>
          <w:u w:val="single"/>
        </w:rPr>
      </w:pPr>
      <w:r w:rsidRPr="00D07529">
        <w:rPr>
          <w:sz w:val="24"/>
          <w:szCs w:val="24"/>
          <w:u w:val="single"/>
        </w:rPr>
        <w:t>Hjælpestoffer</w:t>
      </w:r>
    </w:p>
    <w:p w14:paraId="6699A29A" w14:textId="77777777" w:rsidR="00AB4CC5" w:rsidRPr="00D07529" w:rsidRDefault="00AB4CC5" w:rsidP="00D07529">
      <w:pPr>
        <w:ind w:left="851"/>
        <w:rPr>
          <w:sz w:val="24"/>
          <w:szCs w:val="24"/>
        </w:rPr>
      </w:pPr>
      <w:r w:rsidRPr="00D07529">
        <w:rPr>
          <w:sz w:val="24"/>
          <w:szCs w:val="24"/>
        </w:rPr>
        <w:t xml:space="preserve">Dette lægemiddel indeholder </w:t>
      </w:r>
      <w:proofErr w:type="spellStart"/>
      <w:r w:rsidRPr="00D07529">
        <w:rPr>
          <w:sz w:val="24"/>
          <w:szCs w:val="24"/>
        </w:rPr>
        <w:t>saccharose</w:t>
      </w:r>
      <w:proofErr w:type="spellEnd"/>
      <w:r w:rsidRPr="00D07529">
        <w:rPr>
          <w:sz w:val="24"/>
          <w:szCs w:val="24"/>
        </w:rPr>
        <w:t xml:space="preserve">. Bør ikke anvendes til patienter med hereditær </w:t>
      </w:r>
      <w:proofErr w:type="spellStart"/>
      <w:r w:rsidRPr="00D07529">
        <w:rPr>
          <w:sz w:val="24"/>
          <w:szCs w:val="24"/>
        </w:rPr>
        <w:t>fructoseintolerans</w:t>
      </w:r>
      <w:proofErr w:type="spellEnd"/>
      <w:r w:rsidRPr="00D07529">
        <w:rPr>
          <w:sz w:val="24"/>
          <w:szCs w:val="24"/>
        </w:rPr>
        <w:t xml:space="preserve">, </w:t>
      </w:r>
      <w:proofErr w:type="spellStart"/>
      <w:r w:rsidRPr="00D07529">
        <w:rPr>
          <w:sz w:val="24"/>
          <w:szCs w:val="24"/>
        </w:rPr>
        <w:t>glucose</w:t>
      </w:r>
      <w:proofErr w:type="spellEnd"/>
      <w:r w:rsidRPr="00D07529">
        <w:rPr>
          <w:sz w:val="24"/>
          <w:szCs w:val="24"/>
        </w:rPr>
        <w:t>/</w:t>
      </w:r>
      <w:proofErr w:type="spellStart"/>
      <w:r w:rsidRPr="00D07529">
        <w:rPr>
          <w:sz w:val="24"/>
          <w:szCs w:val="24"/>
        </w:rPr>
        <w:t>galactose-malabsorption</w:t>
      </w:r>
      <w:proofErr w:type="spellEnd"/>
      <w:r w:rsidRPr="00D07529">
        <w:rPr>
          <w:sz w:val="24"/>
          <w:szCs w:val="24"/>
        </w:rPr>
        <w:t xml:space="preserve"> eller </w:t>
      </w:r>
      <w:proofErr w:type="spellStart"/>
      <w:r w:rsidRPr="00D07529">
        <w:rPr>
          <w:sz w:val="24"/>
          <w:szCs w:val="24"/>
        </w:rPr>
        <w:t>sucrase</w:t>
      </w:r>
      <w:proofErr w:type="spellEnd"/>
      <w:r w:rsidRPr="00D07529">
        <w:rPr>
          <w:sz w:val="24"/>
          <w:szCs w:val="24"/>
        </w:rPr>
        <w:t>-</w:t>
      </w:r>
      <w:proofErr w:type="spellStart"/>
      <w:r w:rsidRPr="00D07529">
        <w:rPr>
          <w:sz w:val="24"/>
          <w:szCs w:val="24"/>
        </w:rPr>
        <w:t>isomaltase</w:t>
      </w:r>
      <w:proofErr w:type="spellEnd"/>
      <w:r w:rsidRPr="00D07529">
        <w:rPr>
          <w:sz w:val="24"/>
          <w:szCs w:val="24"/>
        </w:rPr>
        <w:t>-mangel.</w:t>
      </w:r>
    </w:p>
    <w:p w14:paraId="2EFFED2D" w14:textId="77777777" w:rsidR="00AB4CC5" w:rsidRPr="00D07529" w:rsidRDefault="00AB4CC5" w:rsidP="00D07529">
      <w:pPr>
        <w:ind w:left="851"/>
        <w:rPr>
          <w:sz w:val="24"/>
          <w:szCs w:val="24"/>
        </w:rPr>
      </w:pPr>
    </w:p>
    <w:p w14:paraId="2B3A9B29" w14:textId="77777777" w:rsidR="00AB4CC5" w:rsidRPr="00550391" w:rsidRDefault="00AB4CC5" w:rsidP="00D07529">
      <w:pPr>
        <w:ind w:left="851"/>
        <w:rPr>
          <w:sz w:val="24"/>
          <w:szCs w:val="24"/>
        </w:rPr>
      </w:pPr>
      <w:r w:rsidRPr="00550391">
        <w:rPr>
          <w:sz w:val="24"/>
          <w:szCs w:val="24"/>
        </w:rPr>
        <w:t xml:space="preserve">Dette lægemiddel indeholder 592 mg </w:t>
      </w:r>
      <w:proofErr w:type="spellStart"/>
      <w:r w:rsidRPr="00550391">
        <w:rPr>
          <w:sz w:val="24"/>
          <w:szCs w:val="24"/>
        </w:rPr>
        <w:t>saccharose</w:t>
      </w:r>
      <w:proofErr w:type="spellEnd"/>
      <w:r w:rsidRPr="00550391">
        <w:rPr>
          <w:sz w:val="24"/>
          <w:szCs w:val="24"/>
        </w:rPr>
        <w:t xml:space="preserve"> pr. ml. </w:t>
      </w:r>
      <w:r w:rsidRPr="00550391">
        <w:rPr>
          <w:sz w:val="24"/>
          <w:szCs w:val="24"/>
          <w:shd w:val="clear" w:color="auto" w:fill="FFFFFF"/>
        </w:rPr>
        <w:t>Diabetespatienter skal tage hensyn hertil.</w:t>
      </w:r>
      <w:r w:rsidRPr="00550391">
        <w:rPr>
          <w:sz w:val="24"/>
          <w:szCs w:val="24"/>
        </w:rPr>
        <w:t xml:space="preserve"> </w:t>
      </w:r>
      <w:r w:rsidRPr="00550391">
        <w:rPr>
          <w:sz w:val="24"/>
          <w:szCs w:val="24"/>
        </w:rPr>
        <w:br/>
      </w:r>
      <w:r w:rsidRPr="00550391">
        <w:rPr>
          <w:sz w:val="24"/>
          <w:szCs w:val="24"/>
          <w:shd w:val="clear" w:color="auto" w:fill="FFFFFF"/>
        </w:rPr>
        <w:t>Kan være skadeligt for tænderne</w:t>
      </w:r>
    </w:p>
    <w:p w14:paraId="025F3623" w14:textId="77777777" w:rsidR="00AB4CC5" w:rsidRPr="00550391" w:rsidRDefault="00AB4CC5" w:rsidP="00D07529">
      <w:pPr>
        <w:ind w:left="851"/>
        <w:rPr>
          <w:sz w:val="24"/>
          <w:szCs w:val="24"/>
        </w:rPr>
      </w:pPr>
    </w:p>
    <w:p w14:paraId="19AC7FB6" w14:textId="77777777" w:rsidR="00AB4CC5" w:rsidRPr="00D07529" w:rsidRDefault="00AB4CC5" w:rsidP="00D07529">
      <w:pPr>
        <w:ind w:left="851"/>
        <w:rPr>
          <w:sz w:val="24"/>
          <w:szCs w:val="24"/>
        </w:rPr>
      </w:pPr>
      <w:r w:rsidRPr="00D07529">
        <w:rPr>
          <w:sz w:val="24"/>
          <w:szCs w:val="24"/>
        </w:rPr>
        <w:t xml:space="preserve">Dette lægemiddel indeholder 1 mg natriumbenzoat (E 211) pr. ml. Forøgelse af </w:t>
      </w:r>
      <w:proofErr w:type="spellStart"/>
      <w:r w:rsidRPr="00D07529">
        <w:rPr>
          <w:sz w:val="24"/>
          <w:szCs w:val="24"/>
        </w:rPr>
        <w:t>bilirubinæmi</w:t>
      </w:r>
      <w:proofErr w:type="spellEnd"/>
      <w:r w:rsidRPr="00D07529">
        <w:rPr>
          <w:sz w:val="24"/>
          <w:szCs w:val="24"/>
        </w:rPr>
        <w:t xml:space="preserve"> efter dets forskydning fra albumin kan øge neonatal gulsot, der kan udvikle sig til </w:t>
      </w:r>
      <w:proofErr w:type="spellStart"/>
      <w:r w:rsidRPr="00D07529">
        <w:rPr>
          <w:sz w:val="24"/>
          <w:szCs w:val="24"/>
        </w:rPr>
        <w:t>kernicterus</w:t>
      </w:r>
      <w:proofErr w:type="spellEnd"/>
      <w:r w:rsidRPr="00D07529">
        <w:rPr>
          <w:sz w:val="24"/>
          <w:szCs w:val="24"/>
        </w:rPr>
        <w:t xml:space="preserve"> (</w:t>
      </w:r>
      <w:proofErr w:type="spellStart"/>
      <w:r w:rsidRPr="00D07529">
        <w:rPr>
          <w:sz w:val="24"/>
          <w:szCs w:val="24"/>
        </w:rPr>
        <w:t>ukonjugerede</w:t>
      </w:r>
      <w:proofErr w:type="spellEnd"/>
      <w:r w:rsidRPr="00D07529">
        <w:rPr>
          <w:sz w:val="24"/>
          <w:szCs w:val="24"/>
        </w:rPr>
        <w:t xml:space="preserve"> bilirubinaflejringer i hjernevæv).</w:t>
      </w:r>
    </w:p>
    <w:p w14:paraId="09AC15EE" w14:textId="77777777" w:rsidR="00AB4CC5" w:rsidRPr="00D07529" w:rsidRDefault="00AB4CC5" w:rsidP="00D07529">
      <w:pPr>
        <w:ind w:left="851"/>
        <w:rPr>
          <w:sz w:val="24"/>
          <w:szCs w:val="24"/>
        </w:rPr>
      </w:pPr>
    </w:p>
    <w:p w14:paraId="29D20768" w14:textId="77777777" w:rsidR="00AB4CC5" w:rsidRPr="00D07529" w:rsidRDefault="00AB4CC5" w:rsidP="00D07529">
      <w:pPr>
        <w:ind w:left="851"/>
        <w:rPr>
          <w:sz w:val="24"/>
          <w:szCs w:val="24"/>
        </w:rPr>
      </w:pPr>
      <w:r w:rsidRPr="00D07529">
        <w:rPr>
          <w:sz w:val="24"/>
          <w:szCs w:val="24"/>
        </w:rPr>
        <w:t>Dette lægemiddel indeholder 4,8 mg natrium pr. ml, svarende til 0,24 % af den WHO’s anbefalede maksimale daglige indtagelse af 2 g natrium for en voksen.</w:t>
      </w:r>
    </w:p>
    <w:p w14:paraId="1F297D5F" w14:textId="77777777" w:rsidR="009260DE" w:rsidRPr="00D07529" w:rsidRDefault="009260DE" w:rsidP="009260DE">
      <w:pPr>
        <w:tabs>
          <w:tab w:val="left" w:pos="851"/>
        </w:tabs>
        <w:ind w:left="851"/>
        <w:rPr>
          <w:sz w:val="24"/>
          <w:szCs w:val="24"/>
        </w:rPr>
      </w:pPr>
    </w:p>
    <w:p w14:paraId="15BB6C9F" w14:textId="77777777" w:rsidR="009260DE" w:rsidRPr="00D07529" w:rsidRDefault="009260DE" w:rsidP="009260DE">
      <w:pPr>
        <w:tabs>
          <w:tab w:val="left" w:pos="851"/>
        </w:tabs>
        <w:ind w:left="851" w:hanging="851"/>
        <w:rPr>
          <w:b/>
          <w:sz w:val="24"/>
          <w:szCs w:val="24"/>
        </w:rPr>
      </w:pPr>
      <w:r w:rsidRPr="00D07529">
        <w:rPr>
          <w:b/>
          <w:sz w:val="24"/>
          <w:szCs w:val="24"/>
        </w:rPr>
        <w:t>4.5</w:t>
      </w:r>
      <w:r w:rsidRPr="00D07529">
        <w:rPr>
          <w:b/>
          <w:sz w:val="24"/>
          <w:szCs w:val="24"/>
        </w:rPr>
        <w:tab/>
        <w:t>Interaktion med andre lægemidler og andre former for interaktion</w:t>
      </w:r>
    </w:p>
    <w:p w14:paraId="7AF44135" w14:textId="77777777" w:rsidR="00D07529" w:rsidRDefault="00D07529" w:rsidP="00D07529">
      <w:pPr>
        <w:ind w:left="851"/>
        <w:rPr>
          <w:sz w:val="24"/>
          <w:szCs w:val="24"/>
        </w:rPr>
      </w:pPr>
    </w:p>
    <w:p w14:paraId="3C317D02" w14:textId="317BF1B4" w:rsidR="00AB4CC5" w:rsidRPr="00D07529" w:rsidRDefault="00AB4CC5" w:rsidP="00D07529">
      <w:pPr>
        <w:ind w:left="851"/>
        <w:rPr>
          <w:sz w:val="24"/>
          <w:szCs w:val="24"/>
          <w:u w:val="single"/>
        </w:rPr>
      </w:pPr>
      <w:proofErr w:type="spellStart"/>
      <w:r w:rsidRPr="00D07529">
        <w:rPr>
          <w:sz w:val="24"/>
          <w:szCs w:val="24"/>
          <w:u w:val="single"/>
        </w:rPr>
        <w:t>Methotrexat</w:t>
      </w:r>
      <w:proofErr w:type="spellEnd"/>
    </w:p>
    <w:p w14:paraId="51958513" w14:textId="77777777" w:rsidR="00AB4CC5" w:rsidRPr="00D07529" w:rsidRDefault="00AB4CC5" w:rsidP="00D07529">
      <w:pPr>
        <w:ind w:left="851"/>
        <w:rPr>
          <w:sz w:val="24"/>
          <w:szCs w:val="24"/>
        </w:rPr>
      </w:pPr>
      <w:proofErr w:type="spellStart"/>
      <w:r w:rsidRPr="00D07529">
        <w:rPr>
          <w:sz w:val="24"/>
          <w:szCs w:val="24"/>
        </w:rPr>
        <w:t>Flucloxacillin</w:t>
      </w:r>
      <w:proofErr w:type="spellEnd"/>
      <w:r w:rsidRPr="00D07529">
        <w:rPr>
          <w:sz w:val="24"/>
          <w:szCs w:val="24"/>
        </w:rPr>
        <w:t xml:space="preserve"> kan reducere den </w:t>
      </w:r>
      <w:proofErr w:type="spellStart"/>
      <w:r w:rsidRPr="00D07529">
        <w:rPr>
          <w:sz w:val="24"/>
          <w:szCs w:val="24"/>
        </w:rPr>
        <w:t>tubulære</w:t>
      </w:r>
      <w:proofErr w:type="spellEnd"/>
      <w:r w:rsidRPr="00D07529">
        <w:rPr>
          <w:sz w:val="24"/>
          <w:szCs w:val="24"/>
        </w:rPr>
        <w:t xml:space="preserve"> sekretion af </w:t>
      </w:r>
      <w:proofErr w:type="spellStart"/>
      <w:r w:rsidRPr="00D07529">
        <w:rPr>
          <w:sz w:val="24"/>
          <w:szCs w:val="24"/>
        </w:rPr>
        <w:t>methotrexat</w:t>
      </w:r>
      <w:proofErr w:type="spellEnd"/>
      <w:r w:rsidRPr="00D07529">
        <w:rPr>
          <w:sz w:val="24"/>
          <w:szCs w:val="24"/>
        </w:rPr>
        <w:t xml:space="preserve">, hvilket kan medføre en øget risiko for </w:t>
      </w:r>
      <w:proofErr w:type="spellStart"/>
      <w:r w:rsidRPr="00D07529">
        <w:rPr>
          <w:sz w:val="24"/>
          <w:szCs w:val="24"/>
        </w:rPr>
        <w:t>methotrexattoksicitet</w:t>
      </w:r>
      <w:proofErr w:type="spellEnd"/>
      <w:r w:rsidRPr="00D07529">
        <w:rPr>
          <w:sz w:val="24"/>
          <w:szCs w:val="24"/>
        </w:rPr>
        <w:t>.</w:t>
      </w:r>
    </w:p>
    <w:p w14:paraId="701F1173" w14:textId="77777777" w:rsidR="00AB4CC5" w:rsidRPr="00D07529" w:rsidRDefault="00AB4CC5" w:rsidP="00D07529">
      <w:pPr>
        <w:ind w:left="851"/>
        <w:rPr>
          <w:sz w:val="24"/>
          <w:szCs w:val="24"/>
        </w:rPr>
      </w:pPr>
    </w:p>
    <w:p w14:paraId="72ED6A07" w14:textId="77777777" w:rsidR="00AB4CC5" w:rsidRPr="00D07529" w:rsidRDefault="00AB4CC5" w:rsidP="00D07529">
      <w:pPr>
        <w:ind w:left="851"/>
        <w:rPr>
          <w:sz w:val="24"/>
          <w:szCs w:val="24"/>
          <w:u w:val="single"/>
        </w:rPr>
      </w:pPr>
      <w:proofErr w:type="spellStart"/>
      <w:r w:rsidRPr="00D07529">
        <w:rPr>
          <w:sz w:val="24"/>
          <w:szCs w:val="24"/>
          <w:u w:val="single"/>
        </w:rPr>
        <w:t>Warfarin</w:t>
      </w:r>
      <w:proofErr w:type="spellEnd"/>
    </w:p>
    <w:p w14:paraId="1909751F" w14:textId="77777777" w:rsidR="00AB4CC5" w:rsidRPr="00D07529" w:rsidRDefault="00AB4CC5" w:rsidP="00D07529">
      <w:pPr>
        <w:ind w:left="851"/>
        <w:rPr>
          <w:sz w:val="24"/>
          <w:szCs w:val="24"/>
        </w:rPr>
      </w:pPr>
      <w:r w:rsidRPr="00D07529">
        <w:rPr>
          <w:sz w:val="24"/>
          <w:szCs w:val="24"/>
        </w:rPr>
        <w:t xml:space="preserve">Der er rapporteret flere tilfælde til sundhedsmyndighederne, hvor virkningen af </w:t>
      </w:r>
      <w:proofErr w:type="spellStart"/>
      <w:r w:rsidRPr="00D07529">
        <w:rPr>
          <w:rStyle w:val="Bodytext2Italic"/>
          <w:rFonts w:ascii="Times New Roman" w:hAnsi="Times New Roman" w:cs="Times New Roman"/>
          <w:sz w:val="24"/>
          <w:szCs w:val="24"/>
        </w:rPr>
        <w:t>warfarin</w:t>
      </w:r>
      <w:proofErr w:type="spellEnd"/>
      <w:r w:rsidRPr="00D07529">
        <w:rPr>
          <w:sz w:val="24"/>
          <w:szCs w:val="24"/>
        </w:rPr>
        <w:t xml:space="preserve"> blev reduceret ved samtidig oral behandling med </w:t>
      </w:r>
      <w:proofErr w:type="spellStart"/>
      <w:r w:rsidRPr="00D07529">
        <w:rPr>
          <w:sz w:val="24"/>
          <w:szCs w:val="24"/>
        </w:rPr>
        <w:t>flucloxacillin</w:t>
      </w:r>
      <w:proofErr w:type="spellEnd"/>
      <w:r w:rsidRPr="00D07529">
        <w:rPr>
          <w:sz w:val="24"/>
          <w:szCs w:val="24"/>
        </w:rPr>
        <w:t>. Mekanismen er uklar.</w:t>
      </w:r>
    </w:p>
    <w:p w14:paraId="1ADEF35E" w14:textId="77777777" w:rsidR="00AB4CC5" w:rsidRPr="00D07529" w:rsidRDefault="00AB4CC5" w:rsidP="00D07529">
      <w:pPr>
        <w:ind w:left="851"/>
        <w:rPr>
          <w:sz w:val="24"/>
          <w:szCs w:val="24"/>
        </w:rPr>
      </w:pPr>
      <w:r w:rsidRPr="00D07529">
        <w:rPr>
          <w:sz w:val="24"/>
          <w:szCs w:val="24"/>
        </w:rPr>
        <w:t xml:space="preserve">Hvis samtidig administration er nødvendig, bør </w:t>
      </w:r>
      <w:proofErr w:type="spellStart"/>
      <w:r w:rsidRPr="00D07529">
        <w:rPr>
          <w:sz w:val="24"/>
          <w:szCs w:val="24"/>
        </w:rPr>
        <w:t>protrombintiden</w:t>
      </w:r>
      <w:proofErr w:type="spellEnd"/>
      <w:r w:rsidRPr="00D07529">
        <w:rPr>
          <w:sz w:val="24"/>
          <w:szCs w:val="24"/>
        </w:rPr>
        <w:t xml:space="preserve"> eller International </w:t>
      </w:r>
      <w:proofErr w:type="spellStart"/>
      <w:r w:rsidRPr="00D07529">
        <w:rPr>
          <w:sz w:val="24"/>
          <w:szCs w:val="24"/>
        </w:rPr>
        <w:t>Normalised</w:t>
      </w:r>
      <w:proofErr w:type="spellEnd"/>
      <w:r w:rsidRPr="00D07529">
        <w:rPr>
          <w:sz w:val="24"/>
          <w:szCs w:val="24"/>
        </w:rPr>
        <w:t xml:space="preserve"> Ratio (INR) monitoreres nøje under tilføjelse eller </w:t>
      </w:r>
      <w:proofErr w:type="spellStart"/>
      <w:r w:rsidRPr="00D07529">
        <w:rPr>
          <w:sz w:val="24"/>
          <w:szCs w:val="24"/>
        </w:rPr>
        <w:t>seponering</w:t>
      </w:r>
      <w:proofErr w:type="spellEnd"/>
      <w:r w:rsidRPr="00D07529">
        <w:rPr>
          <w:sz w:val="24"/>
          <w:szCs w:val="24"/>
        </w:rPr>
        <w:t xml:space="preserve"> af </w:t>
      </w:r>
      <w:proofErr w:type="spellStart"/>
      <w:r w:rsidRPr="00D07529">
        <w:rPr>
          <w:sz w:val="24"/>
          <w:szCs w:val="24"/>
        </w:rPr>
        <w:t>flucloxacillin</w:t>
      </w:r>
      <w:proofErr w:type="spellEnd"/>
      <w:r w:rsidRPr="00D07529">
        <w:rPr>
          <w:sz w:val="24"/>
          <w:szCs w:val="24"/>
        </w:rPr>
        <w:t>.</w:t>
      </w:r>
    </w:p>
    <w:p w14:paraId="762B0D19" w14:textId="77777777" w:rsidR="00AB4CC5" w:rsidRPr="00D07529" w:rsidRDefault="00AB4CC5" w:rsidP="00D07529">
      <w:pPr>
        <w:ind w:left="851"/>
        <w:rPr>
          <w:rStyle w:val="Bodytext2Italic"/>
          <w:rFonts w:ascii="Times New Roman" w:hAnsi="Times New Roman" w:cs="Times New Roman"/>
          <w:sz w:val="24"/>
          <w:szCs w:val="24"/>
        </w:rPr>
      </w:pPr>
    </w:p>
    <w:p w14:paraId="6CA281DF" w14:textId="77777777" w:rsidR="00AB4CC5" w:rsidRPr="00D07529" w:rsidRDefault="00AB4CC5" w:rsidP="00D07529">
      <w:pPr>
        <w:ind w:left="851"/>
        <w:rPr>
          <w:rStyle w:val="Bodytext2Italic"/>
          <w:rFonts w:ascii="Times New Roman" w:hAnsi="Times New Roman" w:cs="Times New Roman"/>
          <w:i w:val="0"/>
          <w:iCs w:val="0"/>
          <w:sz w:val="24"/>
          <w:szCs w:val="24"/>
          <w:u w:val="single"/>
        </w:rPr>
      </w:pPr>
      <w:proofErr w:type="spellStart"/>
      <w:r w:rsidRPr="00D07529">
        <w:rPr>
          <w:rStyle w:val="Bodytext2Italic"/>
          <w:rFonts w:ascii="Times New Roman" w:hAnsi="Times New Roman" w:cs="Times New Roman"/>
          <w:i w:val="0"/>
          <w:sz w:val="24"/>
          <w:szCs w:val="24"/>
          <w:u w:val="single"/>
        </w:rPr>
        <w:t>Probenecid</w:t>
      </w:r>
      <w:proofErr w:type="spellEnd"/>
    </w:p>
    <w:p w14:paraId="315D49B7" w14:textId="77777777" w:rsidR="00AB4CC5" w:rsidRPr="00D07529" w:rsidRDefault="00AB4CC5" w:rsidP="00D07529">
      <w:pPr>
        <w:ind w:left="851"/>
        <w:rPr>
          <w:sz w:val="24"/>
          <w:szCs w:val="24"/>
        </w:rPr>
      </w:pPr>
      <w:proofErr w:type="spellStart"/>
      <w:r w:rsidRPr="00D07529">
        <w:rPr>
          <w:rStyle w:val="Bodytext2Italic"/>
          <w:rFonts w:ascii="Times New Roman" w:hAnsi="Times New Roman" w:cs="Times New Roman"/>
          <w:sz w:val="24"/>
          <w:szCs w:val="24"/>
        </w:rPr>
        <w:t>Probenecid</w:t>
      </w:r>
      <w:proofErr w:type="spellEnd"/>
      <w:r w:rsidRPr="00D07529">
        <w:rPr>
          <w:sz w:val="24"/>
          <w:szCs w:val="24"/>
        </w:rPr>
        <w:t xml:space="preserve"> forsinker udskillelsen af </w:t>
      </w:r>
      <w:proofErr w:type="spellStart"/>
      <w:r w:rsidRPr="00D07529">
        <w:rPr>
          <w:sz w:val="24"/>
          <w:szCs w:val="24"/>
        </w:rPr>
        <w:t>flucloxacillin</w:t>
      </w:r>
      <w:proofErr w:type="spellEnd"/>
      <w:r w:rsidRPr="00D07529">
        <w:rPr>
          <w:sz w:val="24"/>
          <w:szCs w:val="24"/>
        </w:rPr>
        <w:t xml:space="preserve"> i nyrerne ved at hæmme den </w:t>
      </w:r>
      <w:proofErr w:type="spellStart"/>
      <w:r w:rsidRPr="00D07529">
        <w:rPr>
          <w:sz w:val="24"/>
          <w:szCs w:val="24"/>
        </w:rPr>
        <w:t>tubulære</w:t>
      </w:r>
      <w:proofErr w:type="spellEnd"/>
      <w:r w:rsidRPr="00D07529">
        <w:rPr>
          <w:sz w:val="24"/>
          <w:szCs w:val="24"/>
        </w:rPr>
        <w:t xml:space="preserve"> sekretion, hvilket kan føre til højere serumkoncentration af </w:t>
      </w:r>
      <w:proofErr w:type="spellStart"/>
      <w:r w:rsidRPr="00D07529">
        <w:rPr>
          <w:sz w:val="24"/>
          <w:szCs w:val="24"/>
        </w:rPr>
        <w:t>flucloxacillin</w:t>
      </w:r>
      <w:proofErr w:type="spellEnd"/>
      <w:r w:rsidRPr="00D07529">
        <w:rPr>
          <w:sz w:val="24"/>
          <w:szCs w:val="24"/>
        </w:rPr>
        <w:t xml:space="preserve"> over en længere periode.</w:t>
      </w:r>
    </w:p>
    <w:p w14:paraId="62E1B524" w14:textId="77777777" w:rsidR="00AB4CC5" w:rsidRPr="00D07529" w:rsidRDefault="00AB4CC5" w:rsidP="00D07529">
      <w:pPr>
        <w:ind w:left="851"/>
        <w:rPr>
          <w:sz w:val="24"/>
          <w:szCs w:val="24"/>
        </w:rPr>
      </w:pPr>
    </w:p>
    <w:p w14:paraId="07EF00BF" w14:textId="77777777" w:rsidR="00AB4CC5" w:rsidRPr="00D07529" w:rsidRDefault="00AB4CC5" w:rsidP="00D07529">
      <w:pPr>
        <w:ind w:left="851"/>
        <w:rPr>
          <w:sz w:val="24"/>
          <w:szCs w:val="24"/>
          <w:u w:val="single"/>
        </w:rPr>
      </w:pPr>
      <w:r w:rsidRPr="00D07529">
        <w:rPr>
          <w:sz w:val="24"/>
          <w:szCs w:val="24"/>
          <w:u w:val="single"/>
        </w:rPr>
        <w:lastRenderedPageBreak/>
        <w:t xml:space="preserve">Penicilliner og </w:t>
      </w:r>
      <w:proofErr w:type="spellStart"/>
      <w:r w:rsidRPr="00D07529">
        <w:rPr>
          <w:sz w:val="24"/>
          <w:szCs w:val="24"/>
          <w:u w:val="single"/>
        </w:rPr>
        <w:t>cefalosporiner</w:t>
      </w:r>
      <w:proofErr w:type="spellEnd"/>
    </w:p>
    <w:p w14:paraId="76FC4A9E" w14:textId="77777777" w:rsidR="00AB4CC5" w:rsidRPr="00D07529" w:rsidRDefault="00AB4CC5" w:rsidP="00D07529">
      <w:pPr>
        <w:ind w:left="851"/>
        <w:rPr>
          <w:sz w:val="24"/>
          <w:szCs w:val="24"/>
        </w:rPr>
      </w:pPr>
      <w:r w:rsidRPr="00D07529">
        <w:rPr>
          <w:sz w:val="24"/>
          <w:szCs w:val="24"/>
        </w:rPr>
        <w:t xml:space="preserve">Der kan forekomme krydsallergi mellem penicilliner og </w:t>
      </w:r>
      <w:proofErr w:type="spellStart"/>
      <w:r w:rsidRPr="00D07529">
        <w:rPr>
          <w:sz w:val="24"/>
          <w:szCs w:val="24"/>
        </w:rPr>
        <w:t>cefalosporiner</w:t>
      </w:r>
      <w:proofErr w:type="spellEnd"/>
      <w:r w:rsidRPr="00D07529">
        <w:rPr>
          <w:sz w:val="24"/>
          <w:szCs w:val="24"/>
        </w:rPr>
        <w:t xml:space="preserve"> (se pkt. 4.4).</w:t>
      </w:r>
    </w:p>
    <w:p w14:paraId="47C7882F" w14:textId="77777777" w:rsidR="00AB4CC5" w:rsidRPr="00D07529" w:rsidRDefault="00AB4CC5" w:rsidP="00D07529">
      <w:pPr>
        <w:ind w:left="851"/>
        <w:rPr>
          <w:sz w:val="24"/>
          <w:szCs w:val="24"/>
        </w:rPr>
      </w:pPr>
    </w:p>
    <w:p w14:paraId="4CC0456C" w14:textId="77777777" w:rsidR="00AB4CC5" w:rsidRPr="00D07529" w:rsidRDefault="00AB4CC5" w:rsidP="00D07529">
      <w:pPr>
        <w:ind w:left="851"/>
        <w:rPr>
          <w:sz w:val="24"/>
          <w:szCs w:val="24"/>
          <w:u w:val="single"/>
        </w:rPr>
      </w:pPr>
      <w:r w:rsidRPr="00D07529">
        <w:rPr>
          <w:sz w:val="24"/>
          <w:szCs w:val="24"/>
          <w:u w:val="single"/>
        </w:rPr>
        <w:t>Paracetamol</w:t>
      </w:r>
    </w:p>
    <w:p w14:paraId="07340B9E" w14:textId="77777777" w:rsidR="00AB4CC5" w:rsidRPr="00D07529" w:rsidRDefault="00AB4CC5" w:rsidP="00D07529">
      <w:pPr>
        <w:ind w:left="851"/>
        <w:rPr>
          <w:sz w:val="24"/>
          <w:szCs w:val="24"/>
        </w:rPr>
      </w:pPr>
      <w:r w:rsidRPr="00D07529">
        <w:rPr>
          <w:sz w:val="24"/>
          <w:szCs w:val="24"/>
        </w:rPr>
        <w:t xml:space="preserve">Der bør udvises forsigtighed, når </w:t>
      </w:r>
      <w:proofErr w:type="spellStart"/>
      <w:r w:rsidRPr="00D07529">
        <w:rPr>
          <w:sz w:val="24"/>
          <w:szCs w:val="24"/>
        </w:rPr>
        <w:t>flucloxacillin</w:t>
      </w:r>
      <w:proofErr w:type="spellEnd"/>
      <w:r w:rsidRPr="00D07529">
        <w:rPr>
          <w:sz w:val="24"/>
          <w:szCs w:val="24"/>
        </w:rPr>
        <w:t xml:space="preserve"> anvendes samtidigt med paracetamol, da samtidig indtagelse kan være forbundet med metabolisk </w:t>
      </w:r>
      <w:proofErr w:type="spellStart"/>
      <w:r w:rsidRPr="00D07529">
        <w:rPr>
          <w:sz w:val="24"/>
          <w:szCs w:val="24"/>
        </w:rPr>
        <w:t>acidose</w:t>
      </w:r>
      <w:proofErr w:type="spellEnd"/>
      <w:r w:rsidRPr="00D07529">
        <w:rPr>
          <w:sz w:val="24"/>
          <w:szCs w:val="24"/>
        </w:rPr>
        <w:t xml:space="preserve"> med højt anion-</w:t>
      </w:r>
      <w:proofErr w:type="spellStart"/>
      <w:r w:rsidRPr="00D07529">
        <w:rPr>
          <w:sz w:val="24"/>
          <w:szCs w:val="24"/>
        </w:rPr>
        <w:t>gap</w:t>
      </w:r>
      <w:proofErr w:type="spellEnd"/>
      <w:r w:rsidRPr="00D07529">
        <w:rPr>
          <w:sz w:val="24"/>
          <w:szCs w:val="24"/>
        </w:rPr>
        <w:t>, især hos patienter med risikofaktorer. (se punkt 4.4).</w:t>
      </w:r>
    </w:p>
    <w:p w14:paraId="72AE5588" w14:textId="77777777" w:rsidR="00AB4CC5" w:rsidRPr="00D07529" w:rsidRDefault="00AB4CC5" w:rsidP="00D07529">
      <w:pPr>
        <w:ind w:left="851"/>
        <w:rPr>
          <w:sz w:val="24"/>
          <w:szCs w:val="24"/>
        </w:rPr>
      </w:pPr>
    </w:p>
    <w:p w14:paraId="251437E5" w14:textId="77777777" w:rsidR="00AB4CC5" w:rsidRPr="00D07529" w:rsidRDefault="00AB4CC5" w:rsidP="00D07529">
      <w:pPr>
        <w:ind w:left="851"/>
        <w:rPr>
          <w:sz w:val="24"/>
          <w:szCs w:val="24"/>
          <w:u w:val="single"/>
        </w:rPr>
      </w:pPr>
      <w:proofErr w:type="spellStart"/>
      <w:r w:rsidRPr="00D07529">
        <w:rPr>
          <w:sz w:val="24"/>
          <w:szCs w:val="24"/>
          <w:u w:val="single"/>
        </w:rPr>
        <w:t>Voriconazol</w:t>
      </w:r>
      <w:proofErr w:type="spellEnd"/>
    </w:p>
    <w:p w14:paraId="13B11ED7" w14:textId="77777777" w:rsidR="00AB4CC5" w:rsidRPr="00D07529" w:rsidRDefault="00AB4CC5" w:rsidP="00D07529">
      <w:pPr>
        <w:ind w:left="851"/>
        <w:rPr>
          <w:sz w:val="24"/>
          <w:szCs w:val="24"/>
        </w:rPr>
      </w:pPr>
      <w:r w:rsidRPr="00D07529">
        <w:rPr>
          <w:sz w:val="24"/>
          <w:szCs w:val="24"/>
        </w:rPr>
        <w:t xml:space="preserve">Der er rapporter om, at </w:t>
      </w:r>
      <w:proofErr w:type="spellStart"/>
      <w:r w:rsidRPr="00D07529">
        <w:rPr>
          <w:sz w:val="24"/>
          <w:szCs w:val="24"/>
        </w:rPr>
        <w:t>flucloxacillin</w:t>
      </w:r>
      <w:proofErr w:type="spellEnd"/>
      <w:r w:rsidRPr="00D07529">
        <w:rPr>
          <w:sz w:val="24"/>
          <w:szCs w:val="24"/>
        </w:rPr>
        <w:t xml:space="preserve"> (CYP450-inducer) reducerer plasmakoncentrationen af </w:t>
      </w:r>
      <w:proofErr w:type="spellStart"/>
      <w:r w:rsidRPr="00D07529">
        <w:rPr>
          <w:sz w:val="24"/>
          <w:szCs w:val="24"/>
        </w:rPr>
        <w:t>voriconazol</w:t>
      </w:r>
      <w:proofErr w:type="spellEnd"/>
      <w:r w:rsidRPr="00D07529">
        <w:rPr>
          <w:sz w:val="24"/>
          <w:szCs w:val="24"/>
        </w:rPr>
        <w:t xml:space="preserve"> signifikant. Såfremt samtidig administration af </w:t>
      </w:r>
      <w:proofErr w:type="spellStart"/>
      <w:r w:rsidRPr="00D07529">
        <w:rPr>
          <w:sz w:val="24"/>
          <w:szCs w:val="24"/>
        </w:rPr>
        <w:t>flucloxacillin</w:t>
      </w:r>
      <w:proofErr w:type="spellEnd"/>
      <w:r w:rsidRPr="00D07529">
        <w:rPr>
          <w:sz w:val="24"/>
          <w:szCs w:val="24"/>
        </w:rPr>
        <w:t xml:space="preserve"> og </w:t>
      </w:r>
      <w:proofErr w:type="spellStart"/>
      <w:r w:rsidRPr="00D07529">
        <w:rPr>
          <w:sz w:val="24"/>
          <w:szCs w:val="24"/>
        </w:rPr>
        <w:t>voriconazol</w:t>
      </w:r>
      <w:proofErr w:type="spellEnd"/>
      <w:r w:rsidRPr="00D07529">
        <w:rPr>
          <w:sz w:val="24"/>
          <w:szCs w:val="24"/>
        </w:rPr>
        <w:t xml:space="preserve"> ikke kan undgås, skal der monitoreres for potentielt tab af effekt af </w:t>
      </w:r>
      <w:proofErr w:type="spellStart"/>
      <w:r w:rsidRPr="00D07529">
        <w:rPr>
          <w:sz w:val="24"/>
          <w:szCs w:val="24"/>
        </w:rPr>
        <w:t>voriconazol</w:t>
      </w:r>
      <w:proofErr w:type="spellEnd"/>
      <w:r w:rsidRPr="00D07529">
        <w:rPr>
          <w:sz w:val="24"/>
          <w:szCs w:val="24"/>
        </w:rPr>
        <w:t xml:space="preserve"> (f.eks. ved terapeutisk lægemiddelmonitorering); en øgning af </w:t>
      </w:r>
      <w:proofErr w:type="spellStart"/>
      <w:r w:rsidRPr="00D07529">
        <w:rPr>
          <w:sz w:val="24"/>
          <w:szCs w:val="24"/>
        </w:rPr>
        <w:t>voriconazoldosis</w:t>
      </w:r>
      <w:proofErr w:type="spellEnd"/>
      <w:r w:rsidRPr="00D07529">
        <w:rPr>
          <w:sz w:val="24"/>
          <w:szCs w:val="24"/>
        </w:rPr>
        <w:t xml:space="preserve"> kan være nødvendig.</w:t>
      </w:r>
    </w:p>
    <w:p w14:paraId="0CF8DEFF" w14:textId="77777777" w:rsidR="00AB4CC5" w:rsidRPr="00D07529" w:rsidRDefault="00AB4CC5" w:rsidP="00D07529">
      <w:pPr>
        <w:ind w:left="851"/>
        <w:rPr>
          <w:sz w:val="24"/>
          <w:szCs w:val="24"/>
        </w:rPr>
      </w:pPr>
    </w:p>
    <w:p w14:paraId="428F9BA7" w14:textId="77777777" w:rsidR="00AB4CC5" w:rsidRPr="00D07529" w:rsidRDefault="00AB4CC5" w:rsidP="00D07529">
      <w:pPr>
        <w:ind w:left="851"/>
        <w:rPr>
          <w:sz w:val="24"/>
          <w:szCs w:val="24"/>
          <w:u w:val="single"/>
        </w:rPr>
      </w:pPr>
      <w:r w:rsidRPr="00D07529">
        <w:rPr>
          <w:sz w:val="24"/>
          <w:szCs w:val="24"/>
          <w:u w:val="single"/>
        </w:rPr>
        <w:t>Orale præventionsmidler</w:t>
      </w:r>
    </w:p>
    <w:p w14:paraId="1A53264B" w14:textId="77777777" w:rsidR="00AB4CC5" w:rsidRPr="00D07529" w:rsidRDefault="00AB4CC5" w:rsidP="00D07529">
      <w:pPr>
        <w:ind w:left="851"/>
        <w:rPr>
          <w:sz w:val="24"/>
          <w:szCs w:val="24"/>
        </w:rPr>
      </w:pPr>
      <w:proofErr w:type="spellStart"/>
      <w:r w:rsidRPr="00D07529">
        <w:rPr>
          <w:sz w:val="24"/>
          <w:szCs w:val="24"/>
        </w:rPr>
        <w:t>Flucloxacillin</w:t>
      </w:r>
      <w:proofErr w:type="spellEnd"/>
      <w:r w:rsidRPr="00D07529">
        <w:rPr>
          <w:sz w:val="24"/>
          <w:szCs w:val="24"/>
        </w:rPr>
        <w:t xml:space="preserve"> kan reducere virkningen af østrogenholdige orale præventionsmidler.</w:t>
      </w:r>
    </w:p>
    <w:p w14:paraId="687393DF" w14:textId="77777777" w:rsidR="009260DE" w:rsidRPr="00D07529" w:rsidRDefault="009260DE" w:rsidP="009260DE">
      <w:pPr>
        <w:tabs>
          <w:tab w:val="left" w:pos="851"/>
        </w:tabs>
        <w:ind w:left="851"/>
        <w:rPr>
          <w:sz w:val="24"/>
          <w:szCs w:val="24"/>
        </w:rPr>
      </w:pPr>
    </w:p>
    <w:p w14:paraId="34FCB5AB" w14:textId="77777777" w:rsidR="009260DE" w:rsidRPr="00D07529" w:rsidRDefault="009260DE" w:rsidP="009260DE">
      <w:pPr>
        <w:tabs>
          <w:tab w:val="left" w:pos="851"/>
        </w:tabs>
        <w:ind w:left="851" w:hanging="851"/>
        <w:rPr>
          <w:b/>
          <w:sz w:val="24"/>
          <w:szCs w:val="24"/>
        </w:rPr>
      </w:pPr>
      <w:r w:rsidRPr="00D07529">
        <w:rPr>
          <w:b/>
          <w:sz w:val="24"/>
          <w:szCs w:val="24"/>
        </w:rPr>
        <w:t>4.6</w:t>
      </w:r>
      <w:r w:rsidRPr="00D07529">
        <w:rPr>
          <w:b/>
          <w:sz w:val="24"/>
          <w:szCs w:val="24"/>
        </w:rPr>
        <w:tab/>
      </w:r>
      <w:r w:rsidR="0071241E" w:rsidRPr="00D07529">
        <w:rPr>
          <w:b/>
          <w:sz w:val="24"/>
          <w:szCs w:val="24"/>
        </w:rPr>
        <w:t>Fertilitet, g</w:t>
      </w:r>
      <w:r w:rsidRPr="00D07529">
        <w:rPr>
          <w:b/>
          <w:sz w:val="24"/>
          <w:szCs w:val="24"/>
        </w:rPr>
        <w:t>raviditet og amning</w:t>
      </w:r>
    </w:p>
    <w:p w14:paraId="67E56B76" w14:textId="77777777" w:rsidR="00D07529" w:rsidRDefault="00D07529" w:rsidP="00D07529">
      <w:pPr>
        <w:ind w:left="851"/>
        <w:rPr>
          <w:sz w:val="24"/>
          <w:szCs w:val="24"/>
        </w:rPr>
      </w:pPr>
    </w:p>
    <w:p w14:paraId="0D486712" w14:textId="07767EA6" w:rsidR="00AB4CC5" w:rsidRPr="00D07529" w:rsidRDefault="00AB4CC5" w:rsidP="00D07529">
      <w:pPr>
        <w:ind w:left="851"/>
        <w:rPr>
          <w:sz w:val="24"/>
          <w:szCs w:val="24"/>
          <w:u w:val="single"/>
        </w:rPr>
      </w:pPr>
      <w:r w:rsidRPr="00D07529">
        <w:rPr>
          <w:sz w:val="24"/>
          <w:szCs w:val="24"/>
          <w:u w:val="single"/>
        </w:rPr>
        <w:t>Graviditet</w:t>
      </w:r>
    </w:p>
    <w:p w14:paraId="2DA6D117" w14:textId="77777777" w:rsidR="00AB4CC5" w:rsidRPr="00D07529" w:rsidRDefault="00AB4CC5" w:rsidP="00D07529">
      <w:pPr>
        <w:ind w:left="851"/>
        <w:rPr>
          <w:sz w:val="24"/>
          <w:szCs w:val="24"/>
        </w:rPr>
      </w:pPr>
      <w:r w:rsidRPr="00D07529">
        <w:rPr>
          <w:sz w:val="24"/>
          <w:szCs w:val="24"/>
        </w:rPr>
        <w:t xml:space="preserve">Omfattende kliniske data viser at </w:t>
      </w:r>
      <w:proofErr w:type="spellStart"/>
      <w:r w:rsidRPr="00D07529">
        <w:rPr>
          <w:sz w:val="24"/>
          <w:szCs w:val="24"/>
        </w:rPr>
        <w:t>flucloxacillin</w:t>
      </w:r>
      <w:proofErr w:type="spellEnd"/>
      <w:r w:rsidRPr="00D07529">
        <w:rPr>
          <w:sz w:val="24"/>
          <w:szCs w:val="24"/>
        </w:rPr>
        <w:t xml:space="preserve"> ikke øger risikoen for fosterskader. </w:t>
      </w:r>
      <w:proofErr w:type="spellStart"/>
      <w:r w:rsidRPr="00D07529">
        <w:rPr>
          <w:sz w:val="24"/>
          <w:szCs w:val="24"/>
        </w:rPr>
        <w:t>Flucloxacillin</w:t>
      </w:r>
      <w:proofErr w:type="spellEnd"/>
      <w:r w:rsidRPr="00D07529">
        <w:rPr>
          <w:sz w:val="24"/>
          <w:szCs w:val="24"/>
        </w:rPr>
        <w:t xml:space="preserve"> bør imidlertid kun anvendes under graviditet, når den gavnlige virkning er større end den mulige risiko i forbindelse med behandlingen.</w:t>
      </w:r>
    </w:p>
    <w:p w14:paraId="73B037FE" w14:textId="77777777" w:rsidR="00AB4CC5" w:rsidRPr="00D07529" w:rsidRDefault="00AB4CC5" w:rsidP="00D07529">
      <w:pPr>
        <w:ind w:left="851"/>
        <w:rPr>
          <w:noProof/>
          <w:sz w:val="24"/>
          <w:szCs w:val="24"/>
        </w:rPr>
      </w:pPr>
    </w:p>
    <w:p w14:paraId="4A6106E8" w14:textId="77777777" w:rsidR="00AB4CC5" w:rsidRPr="00D07529" w:rsidRDefault="00AB4CC5" w:rsidP="00D07529">
      <w:pPr>
        <w:ind w:left="851"/>
        <w:rPr>
          <w:sz w:val="24"/>
          <w:szCs w:val="24"/>
          <w:u w:val="single"/>
        </w:rPr>
      </w:pPr>
      <w:r w:rsidRPr="00D07529">
        <w:rPr>
          <w:sz w:val="24"/>
          <w:szCs w:val="24"/>
          <w:u w:val="single"/>
        </w:rPr>
        <w:t>Amning</w:t>
      </w:r>
    </w:p>
    <w:p w14:paraId="0752C109" w14:textId="556E2601" w:rsidR="00AB4CC5" w:rsidRPr="00D07529" w:rsidRDefault="00AB4CC5" w:rsidP="00D07529">
      <w:pPr>
        <w:ind w:left="851"/>
        <w:rPr>
          <w:sz w:val="24"/>
          <w:szCs w:val="24"/>
        </w:rPr>
      </w:pPr>
      <w:proofErr w:type="spellStart"/>
      <w:r w:rsidRPr="00D07529">
        <w:rPr>
          <w:sz w:val="24"/>
          <w:szCs w:val="24"/>
        </w:rPr>
        <w:t>Flucloxacillin</w:t>
      </w:r>
      <w:proofErr w:type="spellEnd"/>
      <w:r w:rsidRPr="00D07529">
        <w:rPr>
          <w:sz w:val="24"/>
          <w:szCs w:val="24"/>
        </w:rPr>
        <w:t xml:space="preserve"> udskilles i modermælken, men risikoen for barnet betragtes som lav ved terapeutiske doser. </w:t>
      </w:r>
      <w:proofErr w:type="spellStart"/>
      <w:r w:rsidR="004B4BC9">
        <w:rPr>
          <w:sz w:val="24"/>
          <w:szCs w:val="24"/>
        </w:rPr>
        <w:t>Flucloxacillin</w:t>
      </w:r>
      <w:proofErr w:type="spellEnd"/>
      <w:r w:rsidR="004B4BC9">
        <w:rPr>
          <w:sz w:val="24"/>
          <w:szCs w:val="24"/>
        </w:rPr>
        <w:t xml:space="preserve"> ”Nordic Prime”</w:t>
      </w:r>
      <w:r w:rsidRPr="00D07529">
        <w:rPr>
          <w:sz w:val="24"/>
          <w:szCs w:val="24"/>
        </w:rPr>
        <w:t xml:space="preserve"> kan anvendes af ammende mødre.</w:t>
      </w:r>
    </w:p>
    <w:p w14:paraId="62C59CB7" w14:textId="77777777" w:rsidR="009260DE" w:rsidRPr="00D07529" w:rsidRDefault="009260DE" w:rsidP="009260DE">
      <w:pPr>
        <w:tabs>
          <w:tab w:val="left" w:pos="851"/>
        </w:tabs>
        <w:ind w:left="851"/>
        <w:rPr>
          <w:sz w:val="24"/>
          <w:szCs w:val="24"/>
        </w:rPr>
      </w:pPr>
    </w:p>
    <w:p w14:paraId="5219F16B" w14:textId="77777777" w:rsidR="009260DE" w:rsidRPr="00D07529" w:rsidRDefault="009260DE" w:rsidP="009260DE">
      <w:pPr>
        <w:tabs>
          <w:tab w:val="left" w:pos="851"/>
        </w:tabs>
        <w:ind w:left="851" w:hanging="851"/>
        <w:rPr>
          <w:b/>
          <w:sz w:val="24"/>
          <w:szCs w:val="24"/>
        </w:rPr>
      </w:pPr>
      <w:r w:rsidRPr="00D07529">
        <w:rPr>
          <w:b/>
          <w:sz w:val="24"/>
          <w:szCs w:val="24"/>
        </w:rPr>
        <w:t>4.7</w:t>
      </w:r>
      <w:r w:rsidRPr="00D07529">
        <w:rPr>
          <w:b/>
          <w:sz w:val="24"/>
          <w:szCs w:val="24"/>
        </w:rPr>
        <w:tab/>
        <w:t xml:space="preserve">Virkning på evnen til at føre motorkøretøj </w:t>
      </w:r>
      <w:r w:rsidR="0071241E" w:rsidRPr="00D07529">
        <w:rPr>
          <w:b/>
          <w:sz w:val="24"/>
          <w:szCs w:val="24"/>
        </w:rPr>
        <w:t>og</w:t>
      </w:r>
      <w:r w:rsidRPr="00D07529">
        <w:rPr>
          <w:b/>
          <w:sz w:val="24"/>
          <w:szCs w:val="24"/>
        </w:rPr>
        <w:t xml:space="preserve"> betjene maskiner</w:t>
      </w:r>
    </w:p>
    <w:p w14:paraId="3330CEE8" w14:textId="77777777" w:rsidR="00D07529" w:rsidRDefault="00D07529" w:rsidP="00D07529">
      <w:pPr>
        <w:ind w:left="851"/>
        <w:rPr>
          <w:sz w:val="24"/>
          <w:szCs w:val="24"/>
        </w:rPr>
      </w:pPr>
      <w:r>
        <w:rPr>
          <w:sz w:val="24"/>
          <w:szCs w:val="24"/>
        </w:rPr>
        <w:t>Ikke mærkning.</w:t>
      </w:r>
    </w:p>
    <w:p w14:paraId="0AB5C20C" w14:textId="2053E4A7" w:rsidR="00AB4CC5" w:rsidRPr="00D07529" w:rsidRDefault="004B4BC9" w:rsidP="00D07529">
      <w:pPr>
        <w:ind w:left="851"/>
        <w:rPr>
          <w:sz w:val="24"/>
          <w:szCs w:val="24"/>
        </w:rPr>
      </w:pPr>
      <w:proofErr w:type="spellStart"/>
      <w:r>
        <w:rPr>
          <w:sz w:val="24"/>
          <w:szCs w:val="24"/>
        </w:rPr>
        <w:t>Flucloxacillin</w:t>
      </w:r>
      <w:proofErr w:type="spellEnd"/>
      <w:r>
        <w:rPr>
          <w:sz w:val="24"/>
          <w:szCs w:val="24"/>
        </w:rPr>
        <w:t xml:space="preserve"> ”Nordic Prime”</w:t>
      </w:r>
      <w:r w:rsidR="00AB4CC5" w:rsidRPr="00D07529">
        <w:rPr>
          <w:sz w:val="24"/>
          <w:szCs w:val="24"/>
        </w:rPr>
        <w:t xml:space="preserve"> påvirker ikke eller kun i ubetydelig grad evnen til at føre motorkøretøj og betjene maskiner.</w:t>
      </w:r>
    </w:p>
    <w:p w14:paraId="2DFB6292" w14:textId="77777777" w:rsidR="009260DE" w:rsidRPr="00D07529" w:rsidRDefault="009260DE" w:rsidP="009260DE">
      <w:pPr>
        <w:tabs>
          <w:tab w:val="left" w:pos="851"/>
        </w:tabs>
        <w:ind w:left="851"/>
        <w:rPr>
          <w:sz w:val="24"/>
          <w:szCs w:val="24"/>
        </w:rPr>
      </w:pPr>
    </w:p>
    <w:p w14:paraId="200144C5" w14:textId="77777777" w:rsidR="009260DE" w:rsidRPr="00D07529" w:rsidRDefault="009260DE" w:rsidP="009260DE">
      <w:pPr>
        <w:tabs>
          <w:tab w:val="left" w:pos="851"/>
        </w:tabs>
        <w:ind w:left="851" w:hanging="851"/>
        <w:rPr>
          <w:b/>
          <w:sz w:val="24"/>
          <w:szCs w:val="24"/>
        </w:rPr>
      </w:pPr>
      <w:r w:rsidRPr="00D07529">
        <w:rPr>
          <w:b/>
          <w:sz w:val="24"/>
          <w:szCs w:val="24"/>
        </w:rPr>
        <w:t>4.8</w:t>
      </w:r>
      <w:r w:rsidRPr="00D07529">
        <w:rPr>
          <w:b/>
          <w:sz w:val="24"/>
          <w:szCs w:val="24"/>
        </w:rPr>
        <w:tab/>
        <w:t>Bivirkninger</w:t>
      </w:r>
    </w:p>
    <w:p w14:paraId="5663EBCD" w14:textId="77777777" w:rsidR="00AB4CC5" w:rsidRPr="00D07529" w:rsidRDefault="00AB4CC5" w:rsidP="00D07529">
      <w:pPr>
        <w:ind w:left="851"/>
        <w:rPr>
          <w:sz w:val="24"/>
          <w:szCs w:val="24"/>
        </w:rPr>
      </w:pPr>
      <w:r w:rsidRPr="00D07529">
        <w:rPr>
          <w:sz w:val="24"/>
          <w:szCs w:val="24"/>
        </w:rPr>
        <w:t xml:space="preserve">De mest almindelige bivirkninger er </w:t>
      </w:r>
      <w:proofErr w:type="spellStart"/>
      <w:r w:rsidRPr="00D07529">
        <w:rPr>
          <w:sz w:val="24"/>
          <w:szCs w:val="24"/>
        </w:rPr>
        <w:t>gastrointestinale</w:t>
      </w:r>
      <w:proofErr w:type="spellEnd"/>
      <w:r w:rsidRPr="00D07529">
        <w:rPr>
          <w:sz w:val="24"/>
          <w:szCs w:val="24"/>
        </w:rPr>
        <w:t xml:space="preserve"> bivirkninger, som forekommer hos ca. 5 % af alle behandlede patienter.</w:t>
      </w:r>
    </w:p>
    <w:p w14:paraId="5259F4E8" w14:textId="77777777" w:rsidR="00AB4CC5" w:rsidRPr="00D07529" w:rsidRDefault="00AB4CC5" w:rsidP="00D07529">
      <w:pPr>
        <w:ind w:left="851"/>
        <w:rPr>
          <w:sz w:val="24"/>
          <w:szCs w:val="24"/>
        </w:rPr>
      </w:pPr>
      <w:r w:rsidRPr="00D07529">
        <w:rPr>
          <w:sz w:val="24"/>
          <w:szCs w:val="24"/>
        </w:rPr>
        <w:t>De beregnede hyppigheder af bivirkninger er klassificeret som følger: Almindelig (&gt; 1/100 til &lt; 1/10), Ikke almindelig (&gt; 1/1.000 til &lt; 1/100), Sjælden (&gt; 1/10.000 til &lt; 1/1.000), Meget sjælden (&lt; 1/10.000); Ikke kendt (kan ikke estimeres ud fra forhåndenværende data). Medmindre andet er anført, er hyppigheden af bivirkningerne afledt af mere end 30 års rapporter efter markedsføring.</w:t>
      </w:r>
    </w:p>
    <w:p w14:paraId="60155586" w14:textId="77777777" w:rsidR="00AB4CC5" w:rsidRPr="00D07529" w:rsidRDefault="00AB4CC5" w:rsidP="00D07529">
      <w:pPr>
        <w:ind w:left="851"/>
        <w:rPr>
          <w:sz w:val="24"/>
          <w:szCs w:val="24"/>
        </w:rPr>
      </w:pPr>
    </w:p>
    <w:tbl>
      <w:tblPr>
        <w:tblW w:w="5000" w:type="pct"/>
        <w:tblCellMar>
          <w:left w:w="10" w:type="dxa"/>
          <w:right w:w="10" w:type="dxa"/>
        </w:tblCellMar>
        <w:tblLook w:val="04A0" w:firstRow="1" w:lastRow="0" w:firstColumn="1" w:lastColumn="0" w:noHBand="0" w:noVBand="1"/>
      </w:tblPr>
      <w:tblGrid>
        <w:gridCol w:w="3210"/>
        <w:gridCol w:w="1644"/>
        <w:gridCol w:w="4774"/>
      </w:tblGrid>
      <w:tr w:rsidR="00AB4CC5" w:rsidRPr="00D07529" w14:paraId="0F63A7A8" w14:textId="77777777" w:rsidTr="00D07529">
        <w:trPr>
          <w:trHeight w:val="20"/>
        </w:trPr>
        <w:tc>
          <w:tcPr>
            <w:tcW w:w="1667" w:type="pct"/>
            <w:tcBorders>
              <w:top w:val="single" w:sz="4" w:space="0" w:color="auto"/>
              <w:left w:val="single" w:sz="4" w:space="0" w:color="auto"/>
              <w:bottom w:val="nil"/>
              <w:right w:val="nil"/>
            </w:tcBorders>
            <w:shd w:val="clear" w:color="auto" w:fill="FFFFFF"/>
            <w:hideMark/>
          </w:tcPr>
          <w:p w14:paraId="2D7EEF71" w14:textId="77777777" w:rsidR="00AB4CC5" w:rsidRPr="00D07529" w:rsidRDefault="00AB4CC5" w:rsidP="00550391">
            <w:pPr>
              <w:keepNext/>
              <w:keepLines/>
              <w:tabs>
                <w:tab w:val="left" w:pos="1304"/>
              </w:tabs>
              <w:rPr>
                <w:rStyle w:val="Bodytext2Italic"/>
                <w:rFonts w:ascii="Times New Roman" w:hAnsi="Times New Roman" w:cs="Times New Roman"/>
                <w:sz w:val="24"/>
                <w:szCs w:val="24"/>
              </w:rPr>
            </w:pPr>
            <w:r w:rsidRPr="00D07529">
              <w:rPr>
                <w:rStyle w:val="Bodytext2Italic"/>
                <w:rFonts w:ascii="Times New Roman" w:hAnsi="Times New Roman" w:cs="Times New Roman"/>
                <w:sz w:val="24"/>
                <w:szCs w:val="24"/>
              </w:rPr>
              <w:t>Infektioner og parasitære sygdomme</w:t>
            </w:r>
          </w:p>
        </w:tc>
        <w:tc>
          <w:tcPr>
            <w:tcW w:w="854" w:type="pct"/>
            <w:tcBorders>
              <w:top w:val="single" w:sz="4" w:space="0" w:color="auto"/>
              <w:left w:val="single" w:sz="4" w:space="0" w:color="auto"/>
              <w:bottom w:val="nil"/>
              <w:right w:val="nil"/>
            </w:tcBorders>
            <w:shd w:val="clear" w:color="auto" w:fill="FFFFFF"/>
            <w:hideMark/>
          </w:tcPr>
          <w:p w14:paraId="79B47BE4" w14:textId="77777777" w:rsidR="00AB4CC5" w:rsidRPr="00D07529" w:rsidRDefault="00AB4CC5" w:rsidP="00550391">
            <w:pPr>
              <w:keepNext/>
              <w:keepLines/>
              <w:tabs>
                <w:tab w:val="left" w:pos="1304"/>
              </w:tabs>
              <w:rPr>
                <w:rStyle w:val="Bodytext2"/>
                <w:rFonts w:ascii="Times New Roman" w:hAnsi="Times New Roman" w:cs="Times New Roman"/>
                <w:sz w:val="24"/>
                <w:szCs w:val="24"/>
              </w:rPr>
            </w:pPr>
            <w:r w:rsidRPr="00D07529">
              <w:rPr>
                <w:rStyle w:val="Bodytext2"/>
                <w:rFonts w:ascii="Times New Roman" w:hAnsi="Times New Roman" w:cs="Times New Roman"/>
                <w:sz w:val="24"/>
                <w:szCs w:val="24"/>
              </w:rPr>
              <w:t>Sjælden</w:t>
            </w:r>
          </w:p>
        </w:tc>
        <w:tc>
          <w:tcPr>
            <w:tcW w:w="2479" w:type="pct"/>
            <w:tcBorders>
              <w:top w:val="single" w:sz="4" w:space="0" w:color="auto"/>
              <w:left w:val="single" w:sz="4" w:space="0" w:color="auto"/>
              <w:bottom w:val="nil"/>
              <w:right w:val="single" w:sz="4" w:space="0" w:color="auto"/>
            </w:tcBorders>
            <w:shd w:val="clear" w:color="auto" w:fill="FFFFFF"/>
            <w:hideMark/>
          </w:tcPr>
          <w:p w14:paraId="1C01E2BA" w14:textId="77777777" w:rsidR="00AB4CC5" w:rsidRPr="00D07529" w:rsidRDefault="00AB4CC5" w:rsidP="00550391">
            <w:pPr>
              <w:keepNext/>
              <w:keepLines/>
              <w:tabs>
                <w:tab w:val="left" w:pos="1304"/>
              </w:tabs>
              <w:rPr>
                <w:rStyle w:val="Bodytext2"/>
                <w:rFonts w:ascii="Times New Roman" w:hAnsi="Times New Roman" w:cs="Times New Roman"/>
                <w:sz w:val="24"/>
                <w:szCs w:val="24"/>
              </w:rPr>
            </w:pPr>
            <w:proofErr w:type="spellStart"/>
            <w:r w:rsidRPr="00D07529">
              <w:rPr>
                <w:rStyle w:val="Bodytext2"/>
                <w:rFonts w:ascii="Times New Roman" w:hAnsi="Times New Roman" w:cs="Times New Roman"/>
                <w:sz w:val="24"/>
                <w:szCs w:val="24"/>
              </w:rPr>
              <w:t>Pseudomembranøs</w:t>
            </w:r>
            <w:proofErr w:type="spellEnd"/>
            <w:r w:rsidRPr="00D07529">
              <w:rPr>
                <w:rStyle w:val="Bodytext2"/>
                <w:rFonts w:ascii="Times New Roman" w:hAnsi="Times New Roman" w:cs="Times New Roman"/>
                <w:sz w:val="24"/>
                <w:szCs w:val="24"/>
              </w:rPr>
              <w:t xml:space="preserve"> </w:t>
            </w:r>
            <w:proofErr w:type="spellStart"/>
            <w:r w:rsidRPr="00D07529">
              <w:rPr>
                <w:rStyle w:val="Bodytext2"/>
                <w:rFonts w:ascii="Times New Roman" w:hAnsi="Times New Roman" w:cs="Times New Roman"/>
                <w:sz w:val="24"/>
                <w:szCs w:val="24"/>
              </w:rPr>
              <w:t>kolit</w:t>
            </w:r>
            <w:proofErr w:type="spellEnd"/>
          </w:p>
        </w:tc>
      </w:tr>
      <w:tr w:rsidR="00AB4CC5" w:rsidRPr="00D07529" w14:paraId="359AB6CC" w14:textId="77777777" w:rsidTr="00D07529">
        <w:trPr>
          <w:trHeight w:val="20"/>
        </w:trPr>
        <w:tc>
          <w:tcPr>
            <w:tcW w:w="1667" w:type="pct"/>
            <w:vMerge w:val="restart"/>
            <w:tcBorders>
              <w:top w:val="single" w:sz="4" w:space="0" w:color="auto"/>
              <w:left w:val="single" w:sz="4" w:space="0" w:color="auto"/>
              <w:bottom w:val="nil"/>
              <w:right w:val="nil"/>
            </w:tcBorders>
            <w:shd w:val="clear" w:color="auto" w:fill="FFFFFF"/>
            <w:hideMark/>
          </w:tcPr>
          <w:p w14:paraId="7D238057" w14:textId="77777777" w:rsidR="00AB4CC5" w:rsidRPr="00D07529" w:rsidRDefault="00AB4CC5" w:rsidP="00550391">
            <w:pPr>
              <w:keepNext/>
              <w:keepLines/>
              <w:tabs>
                <w:tab w:val="left" w:pos="1304"/>
              </w:tabs>
              <w:rPr>
                <w:rStyle w:val="Bodytext2Italic"/>
                <w:rFonts w:ascii="Times New Roman" w:hAnsi="Times New Roman" w:cs="Times New Roman"/>
                <w:sz w:val="24"/>
                <w:szCs w:val="24"/>
              </w:rPr>
            </w:pPr>
            <w:r w:rsidRPr="00D07529">
              <w:rPr>
                <w:rStyle w:val="Bodytext2Italic"/>
                <w:rFonts w:ascii="Times New Roman" w:hAnsi="Times New Roman" w:cs="Times New Roman"/>
                <w:sz w:val="24"/>
                <w:szCs w:val="24"/>
              </w:rPr>
              <w:t>Blod og lymfesystem</w:t>
            </w:r>
          </w:p>
        </w:tc>
        <w:tc>
          <w:tcPr>
            <w:tcW w:w="854" w:type="pct"/>
            <w:tcBorders>
              <w:top w:val="single" w:sz="4" w:space="0" w:color="auto"/>
              <w:left w:val="single" w:sz="4" w:space="0" w:color="auto"/>
              <w:bottom w:val="nil"/>
              <w:right w:val="nil"/>
            </w:tcBorders>
            <w:shd w:val="clear" w:color="auto" w:fill="FFFFFF"/>
            <w:hideMark/>
          </w:tcPr>
          <w:p w14:paraId="55FF7F2B" w14:textId="77777777" w:rsidR="00AB4CC5" w:rsidRPr="00D07529" w:rsidRDefault="00AB4CC5" w:rsidP="00550391">
            <w:pPr>
              <w:keepNext/>
              <w:keepLines/>
              <w:tabs>
                <w:tab w:val="left" w:pos="1304"/>
              </w:tabs>
              <w:rPr>
                <w:rStyle w:val="Bodytext2"/>
                <w:rFonts w:ascii="Times New Roman" w:hAnsi="Times New Roman" w:cs="Times New Roman"/>
                <w:sz w:val="24"/>
                <w:szCs w:val="24"/>
              </w:rPr>
            </w:pPr>
            <w:r w:rsidRPr="00D07529">
              <w:rPr>
                <w:rStyle w:val="Bodytext2"/>
                <w:rFonts w:ascii="Times New Roman" w:hAnsi="Times New Roman" w:cs="Times New Roman"/>
                <w:sz w:val="24"/>
                <w:szCs w:val="24"/>
              </w:rPr>
              <w:t>Meget sjælden</w:t>
            </w:r>
          </w:p>
        </w:tc>
        <w:tc>
          <w:tcPr>
            <w:tcW w:w="2479" w:type="pct"/>
            <w:tcBorders>
              <w:top w:val="single" w:sz="4" w:space="0" w:color="auto"/>
              <w:left w:val="single" w:sz="4" w:space="0" w:color="auto"/>
              <w:bottom w:val="nil"/>
              <w:right w:val="single" w:sz="4" w:space="0" w:color="auto"/>
            </w:tcBorders>
            <w:shd w:val="clear" w:color="auto" w:fill="FFFFFF"/>
            <w:hideMark/>
          </w:tcPr>
          <w:p w14:paraId="45BE6E4F" w14:textId="77777777" w:rsidR="00AB4CC5" w:rsidRPr="00D07529" w:rsidRDefault="00AB4CC5" w:rsidP="00550391">
            <w:pPr>
              <w:keepNext/>
              <w:keepLines/>
              <w:tabs>
                <w:tab w:val="left" w:pos="1304"/>
              </w:tabs>
              <w:rPr>
                <w:rStyle w:val="Bodytext2"/>
                <w:rFonts w:ascii="Times New Roman" w:hAnsi="Times New Roman" w:cs="Times New Roman"/>
                <w:sz w:val="24"/>
                <w:szCs w:val="24"/>
              </w:rPr>
            </w:pPr>
            <w:r w:rsidRPr="00D07529">
              <w:rPr>
                <w:rStyle w:val="Bodytext2"/>
                <w:rFonts w:ascii="Times New Roman" w:hAnsi="Times New Roman" w:cs="Times New Roman"/>
                <w:sz w:val="24"/>
                <w:szCs w:val="24"/>
              </w:rPr>
              <w:t>Eosinofili</w:t>
            </w:r>
            <w:r w:rsidRPr="00D07529">
              <w:rPr>
                <w:rStyle w:val="Bodytext2"/>
                <w:rFonts w:ascii="Times New Roman" w:hAnsi="Times New Roman" w:cs="Times New Roman"/>
                <w:sz w:val="24"/>
                <w:szCs w:val="24"/>
                <w:vertAlign w:val="superscript"/>
              </w:rPr>
              <w:t>1</w:t>
            </w:r>
            <w:r w:rsidRPr="00D07529">
              <w:rPr>
                <w:rStyle w:val="Bodytext2"/>
                <w:rFonts w:ascii="Times New Roman" w:hAnsi="Times New Roman" w:cs="Times New Roman"/>
                <w:sz w:val="24"/>
                <w:szCs w:val="24"/>
              </w:rPr>
              <w:t xml:space="preserve">, </w:t>
            </w:r>
            <w:proofErr w:type="spellStart"/>
            <w:r w:rsidRPr="00D07529">
              <w:rPr>
                <w:rStyle w:val="Bodytext2"/>
                <w:rFonts w:ascii="Times New Roman" w:hAnsi="Times New Roman" w:cs="Times New Roman"/>
                <w:sz w:val="24"/>
                <w:szCs w:val="24"/>
              </w:rPr>
              <w:t>hæmolytisk</w:t>
            </w:r>
            <w:proofErr w:type="spellEnd"/>
            <w:r w:rsidRPr="00D07529">
              <w:rPr>
                <w:rStyle w:val="Bodytext2"/>
                <w:rFonts w:ascii="Times New Roman" w:hAnsi="Times New Roman" w:cs="Times New Roman"/>
                <w:sz w:val="24"/>
                <w:szCs w:val="24"/>
              </w:rPr>
              <w:t xml:space="preserve"> anæmi</w:t>
            </w:r>
            <w:r w:rsidRPr="00D07529">
              <w:rPr>
                <w:rStyle w:val="Bodytext2"/>
                <w:rFonts w:ascii="Times New Roman" w:hAnsi="Times New Roman" w:cs="Times New Roman"/>
                <w:sz w:val="24"/>
                <w:szCs w:val="24"/>
                <w:vertAlign w:val="superscript"/>
              </w:rPr>
              <w:t>1</w:t>
            </w:r>
            <w:r w:rsidRPr="00D07529">
              <w:rPr>
                <w:rStyle w:val="Bodytext2"/>
                <w:rFonts w:ascii="Times New Roman" w:hAnsi="Times New Roman" w:cs="Times New Roman"/>
                <w:sz w:val="24"/>
                <w:szCs w:val="24"/>
              </w:rPr>
              <w:t>,</w:t>
            </w:r>
            <w:r w:rsidRPr="00D07529">
              <w:rPr>
                <w:sz w:val="24"/>
                <w:szCs w:val="24"/>
              </w:rPr>
              <w:t xml:space="preserve"> </w:t>
            </w:r>
            <w:r w:rsidRPr="00D07529">
              <w:rPr>
                <w:rStyle w:val="Bodytext2"/>
                <w:rFonts w:ascii="Times New Roman" w:hAnsi="Times New Roman" w:cs="Times New Roman"/>
                <w:sz w:val="24"/>
                <w:szCs w:val="24"/>
              </w:rPr>
              <w:t>neutropeni</w:t>
            </w:r>
            <w:r w:rsidRPr="00D07529">
              <w:rPr>
                <w:rStyle w:val="Bodytext2"/>
                <w:rFonts w:ascii="Times New Roman" w:hAnsi="Times New Roman" w:cs="Times New Roman"/>
                <w:sz w:val="24"/>
                <w:szCs w:val="24"/>
                <w:vertAlign w:val="superscript"/>
              </w:rPr>
              <w:t>1</w:t>
            </w:r>
            <w:r w:rsidRPr="00D07529">
              <w:rPr>
                <w:rStyle w:val="Bodytext2"/>
                <w:rFonts w:ascii="Times New Roman" w:hAnsi="Times New Roman" w:cs="Times New Roman"/>
                <w:sz w:val="24"/>
                <w:szCs w:val="24"/>
              </w:rPr>
              <w:t xml:space="preserve"> (inklusive </w:t>
            </w:r>
            <w:proofErr w:type="spellStart"/>
            <w:r w:rsidRPr="00D07529">
              <w:rPr>
                <w:rStyle w:val="Bodytext2"/>
                <w:rFonts w:ascii="Times New Roman" w:hAnsi="Times New Roman" w:cs="Times New Roman"/>
                <w:sz w:val="24"/>
                <w:szCs w:val="24"/>
              </w:rPr>
              <w:t>agranulocytose</w:t>
            </w:r>
            <w:proofErr w:type="spellEnd"/>
            <w:r w:rsidRPr="00D07529">
              <w:rPr>
                <w:rStyle w:val="Bodytext2"/>
                <w:rFonts w:ascii="Times New Roman" w:hAnsi="Times New Roman" w:cs="Times New Roman"/>
                <w:sz w:val="24"/>
                <w:szCs w:val="24"/>
              </w:rPr>
              <w:t>) og trombocytopeni</w:t>
            </w:r>
            <w:r w:rsidRPr="00D07529">
              <w:rPr>
                <w:rStyle w:val="Bodytext2"/>
                <w:rFonts w:ascii="Times New Roman" w:hAnsi="Times New Roman" w:cs="Times New Roman"/>
                <w:sz w:val="24"/>
                <w:szCs w:val="24"/>
                <w:vertAlign w:val="superscript"/>
              </w:rPr>
              <w:t>1</w:t>
            </w:r>
          </w:p>
        </w:tc>
      </w:tr>
      <w:tr w:rsidR="00AB4CC5" w:rsidRPr="00D07529" w14:paraId="412E5A6F" w14:textId="77777777" w:rsidTr="00D07529">
        <w:trPr>
          <w:trHeight w:val="20"/>
        </w:trPr>
        <w:tc>
          <w:tcPr>
            <w:tcW w:w="1667" w:type="pct"/>
            <w:vMerge/>
            <w:tcBorders>
              <w:top w:val="single" w:sz="4" w:space="0" w:color="auto"/>
              <w:left w:val="single" w:sz="4" w:space="0" w:color="auto"/>
              <w:bottom w:val="nil"/>
              <w:right w:val="nil"/>
            </w:tcBorders>
            <w:vAlign w:val="center"/>
            <w:hideMark/>
          </w:tcPr>
          <w:p w14:paraId="0B6391BF" w14:textId="77777777" w:rsidR="00AB4CC5" w:rsidRPr="00D07529" w:rsidRDefault="00AB4CC5" w:rsidP="00550391">
            <w:pPr>
              <w:rPr>
                <w:rStyle w:val="Bodytext2Italic"/>
                <w:rFonts w:ascii="Times New Roman" w:hAnsi="Times New Roman" w:cs="Times New Roman"/>
                <w:sz w:val="24"/>
                <w:szCs w:val="24"/>
              </w:rPr>
            </w:pPr>
          </w:p>
        </w:tc>
        <w:tc>
          <w:tcPr>
            <w:tcW w:w="854" w:type="pct"/>
            <w:tcBorders>
              <w:top w:val="single" w:sz="4" w:space="0" w:color="auto"/>
              <w:left w:val="single" w:sz="4" w:space="0" w:color="auto"/>
              <w:bottom w:val="nil"/>
              <w:right w:val="nil"/>
            </w:tcBorders>
            <w:shd w:val="clear" w:color="auto" w:fill="FFFFFF"/>
            <w:hideMark/>
          </w:tcPr>
          <w:p w14:paraId="05DAF381" w14:textId="77777777" w:rsidR="00AB4CC5" w:rsidRPr="00D07529" w:rsidRDefault="00AB4CC5" w:rsidP="00550391">
            <w:pPr>
              <w:tabs>
                <w:tab w:val="left" w:pos="1304"/>
              </w:tabs>
              <w:rPr>
                <w:rStyle w:val="Bodytext2"/>
                <w:rFonts w:ascii="Times New Roman" w:hAnsi="Times New Roman" w:cs="Times New Roman"/>
                <w:sz w:val="24"/>
                <w:szCs w:val="24"/>
              </w:rPr>
            </w:pPr>
            <w:r w:rsidRPr="00D07529">
              <w:rPr>
                <w:rStyle w:val="Bodytext2"/>
                <w:rFonts w:ascii="Times New Roman" w:hAnsi="Times New Roman" w:cs="Times New Roman"/>
                <w:sz w:val="24"/>
                <w:szCs w:val="24"/>
              </w:rPr>
              <w:t>Sjælden</w:t>
            </w:r>
          </w:p>
        </w:tc>
        <w:tc>
          <w:tcPr>
            <w:tcW w:w="2479" w:type="pct"/>
            <w:tcBorders>
              <w:top w:val="single" w:sz="4" w:space="0" w:color="auto"/>
              <w:left w:val="single" w:sz="4" w:space="0" w:color="auto"/>
              <w:bottom w:val="nil"/>
              <w:right w:val="single" w:sz="4" w:space="0" w:color="auto"/>
            </w:tcBorders>
            <w:shd w:val="clear" w:color="auto" w:fill="FFFFFF"/>
            <w:hideMark/>
          </w:tcPr>
          <w:p w14:paraId="3BBC484C" w14:textId="77777777" w:rsidR="00AB4CC5" w:rsidRPr="00D07529" w:rsidRDefault="00AB4CC5" w:rsidP="00550391">
            <w:pPr>
              <w:tabs>
                <w:tab w:val="left" w:pos="1304"/>
              </w:tabs>
              <w:rPr>
                <w:rStyle w:val="Bodytext2"/>
                <w:rFonts w:ascii="Times New Roman" w:hAnsi="Times New Roman" w:cs="Times New Roman"/>
                <w:sz w:val="24"/>
                <w:szCs w:val="24"/>
              </w:rPr>
            </w:pPr>
            <w:proofErr w:type="spellStart"/>
            <w:r w:rsidRPr="00D07529">
              <w:rPr>
                <w:rStyle w:val="Bodytext2"/>
                <w:rFonts w:ascii="Times New Roman" w:hAnsi="Times New Roman" w:cs="Times New Roman"/>
                <w:sz w:val="24"/>
                <w:szCs w:val="24"/>
              </w:rPr>
              <w:t>Agranulocytose</w:t>
            </w:r>
            <w:proofErr w:type="spellEnd"/>
          </w:p>
        </w:tc>
      </w:tr>
      <w:tr w:rsidR="00AB4CC5" w:rsidRPr="00D07529" w14:paraId="638ABB57" w14:textId="77777777" w:rsidTr="00D07529">
        <w:trPr>
          <w:trHeight w:val="20"/>
        </w:trPr>
        <w:tc>
          <w:tcPr>
            <w:tcW w:w="1667" w:type="pct"/>
            <w:tcBorders>
              <w:top w:val="single" w:sz="4" w:space="0" w:color="auto"/>
              <w:left w:val="single" w:sz="4" w:space="0" w:color="auto"/>
              <w:bottom w:val="nil"/>
              <w:right w:val="nil"/>
            </w:tcBorders>
            <w:shd w:val="clear" w:color="auto" w:fill="FFFFFF"/>
            <w:hideMark/>
          </w:tcPr>
          <w:p w14:paraId="2A503176" w14:textId="77777777" w:rsidR="00AB4CC5" w:rsidRPr="00D07529" w:rsidRDefault="00AB4CC5" w:rsidP="00550391">
            <w:pPr>
              <w:tabs>
                <w:tab w:val="left" w:pos="1304"/>
              </w:tabs>
              <w:rPr>
                <w:sz w:val="24"/>
                <w:szCs w:val="24"/>
              </w:rPr>
            </w:pPr>
            <w:r w:rsidRPr="00D07529">
              <w:rPr>
                <w:rStyle w:val="Bodytext2Italic"/>
                <w:rFonts w:ascii="Times New Roman" w:hAnsi="Times New Roman" w:cs="Times New Roman"/>
                <w:sz w:val="24"/>
                <w:szCs w:val="24"/>
              </w:rPr>
              <w:t>Immunsystemet</w:t>
            </w:r>
          </w:p>
        </w:tc>
        <w:tc>
          <w:tcPr>
            <w:tcW w:w="854" w:type="pct"/>
            <w:tcBorders>
              <w:top w:val="single" w:sz="4" w:space="0" w:color="auto"/>
              <w:left w:val="single" w:sz="4" w:space="0" w:color="auto"/>
              <w:bottom w:val="nil"/>
              <w:right w:val="nil"/>
            </w:tcBorders>
            <w:shd w:val="clear" w:color="auto" w:fill="FFFFFF"/>
            <w:hideMark/>
          </w:tcPr>
          <w:p w14:paraId="61864D3D" w14:textId="77777777" w:rsidR="00AB4CC5" w:rsidRPr="00D07529" w:rsidRDefault="00AB4CC5" w:rsidP="00550391">
            <w:pPr>
              <w:tabs>
                <w:tab w:val="left" w:pos="1304"/>
              </w:tabs>
              <w:rPr>
                <w:rStyle w:val="Bodytext2"/>
                <w:rFonts w:ascii="Times New Roman" w:hAnsi="Times New Roman" w:cs="Times New Roman"/>
                <w:sz w:val="24"/>
                <w:szCs w:val="24"/>
              </w:rPr>
            </w:pPr>
            <w:r w:rsidRPr="00D07529">
              <w:rPr>
                <w:rStyle w:val="Bodytext2"/>
                <w:rFonts w:ascii="Times New Roman" w:hAnsi="Times New Roman" w:cs="Times New Roman"/>
                <w:sz w:val="24"/>
                <w:szCs w:val="24"/>
              </w:rPr>
              <w:t>Sjælden</w:t>
            </w:r>
          </w:p>
        </w:tc>
        <w:tc>
          <w:tcPr>
            <w:tcW w:w="2479" w:type="pct"/>
            <w:tcBorders>
              <w:top w:val="single" w:sz="4" w:space="0" w:color="auto"/>
              <w:left w:val="single" w:sz="4" w:space="0" w:color="auto"/>
              <w:bottom w:val="nil"/>
              <w:right w:val="single" w:sz="4" w:space="0" w:color="auto"/>
            </w:tcBorders>
            <w:shd w:val="clear" w:color="auto" w:fill="FFFFFF"/>
            <w:hideMark/>
          </w:tcPr>
          <w:p w14:paraId="784E0109" w14:textId="77777777" w:rsidR="00AB4CC5" w:rsidRPr="00D07529" w:rsidRDefault="00AB4CC5" w:rsidP="00550391">
            <w:pPr>
              <w:tabs>
                <w:tab w:val="left" w:pos="1304"/>
              </w:tabs>
              <w:rPr>
                <w:sz w:val="24"/>
                <w:szCs w:val="24"/>
              </w:rPr>
            </w:pPr>
            <w:proofErr w:type="spellStart"/>
            <w:r w:rsidRPr="00D07529">
              <w:rPr>
                <w:rStyle w:val="Bodytext2"/>
                <w:rFonts w:ascii="Times New Roman" w:hAnsi="Times New Roman" w:cs="Times New Roman"/>
                <w:sz w:val="24"/>
                <w:szCs w:val="24"/>
              </w:rPr>
              <w:t>Anafylaktiske</w:t>
            </w:r>
            <w:proofErr w:type="spellEnd"/>
            <w:r w:rsidRPr="00D07529">
              <w:rPr>
                <w:rStyle w:val="Bodytext2"/>
                <w:rFonts w:ascii="Times New Roman" w:hAnsi="Times New Roman" w:cs="Times New Roman"/>
                <w:sz w:val="24"/>
                <w:szCs w:val="24"/>
              </w:rPr>
              <w:t xml:space="preserve"> reaktioner, </w:t>
            </w:r>
            <w:proofErr w:type="spellStart"/>
            <w:r w:rsidRPr="00D07529">
              <w:rPr>
                <w:rStyle w:val="Bodytext2"/>
                <w:rFonts w:ascii="Times New Roman" w:hAnsi="Times New Roman" w:cs="Times New Roman"/>
                <w:sz w:val="24"/>
                <w:szCs w:val="24"/>
              </w:rPr>
              <w:t>angioødem</w:t>
            </w:r>
            <w:proofErr w:type="spellEnd"/>
          </w:p>
        </w:tc>
      </w:tr>
      <w:tr w:rsidR="00AB4CC5" w:rsidRPr="00D07529" w14:paraId="4674A578" w14:textId="77777777" w:rsidTr="00D07529">
        <w:trPr>
          <w:trHeight w:val="20"/>
        </w:trPr>
        <w:tc>
          <w:tcPr>
            <w:tcW w:w="1667" w:type="pct"/>
            <w:tcBorders>
              <w:top w:val="single" w:sz="4" w:space="0" w:color="auto"/>
              <w:left w:val="single" w:sz="4" w:space="0" w:color="auto"/>
              <w:bottom w:val="nil"/>
              <w:right w:val="nil"/>
            </w:tcBorders>
            <w:shd w:val="clear" w:color="auto" w:fill="FFFFFF"/>
            <w:hideMark/>
          </w:tcPr>
          <w:p w14:paraId="5C41E939" w14:textId="77777777" w:rsidR="00AB4CC5" w:rsidRPr="00D07529" w:rsidRDefault="00AB4CC5" w:rsidP="00550391">
            <w:pPr>
              <w:tabs>
                <w:tab w:val="left" w:pos="1304"/>
              </w:tabs>
              <w:rPr>
                <w:sz w:val="24"/>
                <w:szCs w:val="24"/>
              </w:rPr>
            </w:pPr>
            <w:r w:rsidRPr="00D07529">
              <w:rPr>
                <w:rStyle w:val="Bodytext2Italic"/>
                <w:rFonts w:ascii="Times New Roman" w:hAnsi="Times New Roman" w:cs="Times New Roman"/>
                <w:sz w:val="24"/>
                <w:szCs w:val="24"/>
              </w:rPr>
              <w:t>Metabolisme og ernæring</w:t>
            </w:r>
          </w:p>
        </w:tc>
        <w:tc>
          <w:tcPr>
            <w:tcW w:w="854" w:type="pct"/>
            <w:tcBorders>
              <w:top w:val="single" w:sz="4" w:space="0" w:color="auto"/>
              <w:left w:val="single" w:sz="4" w:space="0" w:color="auto"/>
              <w:bottom w:val="nil"/>
              <w:right w:val="nil"/>
            </w:tcBorders>
            <w:shd w:val="clear" w:color="auto" w:fill="FFFFFF"/>
            <w:hideMark/>
          </w:tcPr>
          <w:p w14:paraId="679D09C5" w14:textId="77777777" w:rsidR="00AB4CC5" w:rsidRPr="00D07529" w:rsidRDefault="00AB4CC5" w:rsidP="00550391">
            <w:pPr>
              <w:tabs>
                <w:tab w:val="left" w:pos="1304"/>
              </w:tabs>
              <w:rPr>
                <w:rStyle w:val="Bodytext2"/>
                <w:rFonts w:ascii="Times New Roman" w:hAnsi="Times New Roman" w:cs="Times New Roman"/>
                <w:sz w:val="24"/>
                <w:szCs w:val="24"/>
              </w:rPr>
            </w:pPr>
            <w:r w:rsidRPr="00D07529">
              <w:rPr>
                <w:rStyle w:val="Bodytext2"/>
                <w:rFonts w:ascii="Times New Roman" w:hAnsi="Times New Roman" w:cs="Times New Roman"/>
                <w:sz w:val="24"/>
                <w:szCs w:val="24"/>
              </w:rPr>
              <w:t>Ikke kendt</w:t>
            </w:r>
          </w:p>
        </w:tc>
        <w:tc>
          <w:tcPr>
            <w:tcW w:w="2479" w:type="pct"/>
            <w:tcBorders>
              <w:top w:val="single" w:sz="4" w:space="0" w:color="auto"/>
              <w:left w:val="single" w:sz="4" w:space="0" w:color="auto"/>
              <w:bottom w:val="nil"/>
              <w:right w:val="single" w:sz="4" w:space="0" w:color="auto"/>
            </w:tcBorders>
            <w:shd w:val="clear" w:color="auto" w:fill="FFFFFF"/>
            <w:hideMark/>
          </w:tcPr>
          <w:p w14:paraId="0E8CB126" w14:textId="77777777" w:rsidR="00AB4CC5" w:rsidRPr="00D07529" w:rsidRDefault="00AB4CC5" w:rsidP="00550391">
            <w:pPr>
              <w:tabs>
                <w:tab w:val="left" w:pos="1304"/>
              </w:tabs>
              <w:rPr>
                <w:sz w:val="24"/>
                <w:szCs w:val="24"/>
              </w:rPr>
            </w:pPr>
            <w:proofErr w:type="spellStart"/>
            <w:r w:rsidRPr="00D07529">
              <w:rPr>
                <w:rStyle w:val="Bodytext2"/>
                <w:rFonts w:ascii="Times New Roman" w:hAnsi="Times New Roman" w:cs="Times New Roman"/>
                <w:sz w:val="24"/>
                <w:szCs w:val="24"/>
              </w:rPr>
              <w:t>Hypokaliæmi</w:t>
            </w:r>
            <w:proofErr w:type="spellEnd"/>
          </w:p>
        </w:tc>
      </w:tr>
      <w:tr w:rsidR="00AB4CC5" w:rsidRPr="00D07529" w14:paraId="58E4F761" w14:textId="77777777" w:rsidTr="00D07529">
        <w:trPr>
          <w:trHeight w:val="20"/>
        </w:trPr>
        <w:tc>
          <w:tcPr>
            <w:tcW w:w="1667" w:type="pct"/>
            <w:tcBorders>
              <w:top w:val="single" w:sz="4" w:space="0" w:color="auto"/>
              <w:left w:val="single" w:sz="4" w:space="0" w:color="auto"/>
              <w:bottom w:val="nil"/>
              <w:right w:val="nil"/>
            </w:tcBorders>
            <w:shd w:val="clear" w:color="auto" w:fill="FFFFFF"/>
            <w:hideMark/>
          </w:tcPr>
          <w:p w14:paraId="03FCBBF2" w14:textId="77777777" w:rsidR="00AB4CC5" w:rsidRPr="00D07529" w:rsidRDefault="00AB4CC5" w:rsidP="00550391">
            <w:pPr>
              <w:tabs>
                <w:tab w:val="left" w:pos="1304"/>
              </w:tabs>
              <w:rPr>
                <w:sz w:val="24"/>
                <w:szCs w:val="24"/>
              </w:rPr>
            </w:pPr>
            <w:r w:rsidRPr="00D07529">
              <w:rPr>
                <w:rStyle w:val="Bodytext2Italic"/>
                <w:rFonts w:ascii="Times New Roman" w:hAnsi="Times New Roman" w:cs="Times New Roman"/>
                <w:sz w:val="24"/>
                <w:szCs w:val="24"/>
              </w:rPr>
              <w:t>Nervesystemet</w:t>
            </w:r>
          </w:p>
        </w:tc>
        <w:tc>
          <w:tcPr>
            <w:tcW w:w="854" w:type="pct"/>
            <w:tcBorders>
              <w:top w:val="single" w:sz="4" w:space="0" w:color="auto"/>
              <w:left w:val="single" w:sz="4" w:space="0" w:color="auto"/>
              <w:bottom w:val="nil"/>
              <w:right w:val="nil"/>
            </w:tcBorders>
            <w:shd w:val="clear" w:color="auto" w:fill="FFFFFF"/>
            <w:hideMark/>
          </w:tcPr>
          <w:p w14:paraId="11C2F41B" w14:textId="77777777" w:rsidR="00AB4CC5" w:rsidRPr="00D07529" w:rsidRDefault="00AB4CC5" w:rsidP="00550391">
            <w:pPr>
              <w:tabs>
                <w:tab w:val="left" w:pos="1304"/>
              </w:tabs>
              <w:rPr>
                <w:rStyle w:val="Bodytext2"/>
                <w:rFonts w:ascii="Times New Roman" w:hAnsi="Times New Roman" w:cs="Times New Roman"/>
                <w:sz w:val="24"/>
                <w:szCs w:val="24"/>
              </w:rPr>
            </w:pPr>
            <w:r w:rsidRPr="00D07529">
              <w:rPr>
                <w:rStyle w:val="Bodytext2"/>
                <w:rFonts w:ascii="Times New Roman" w:hAnsi="Times New Roman" w:cs="Times New Roman"/>
                <w:sz w:val="24"/>
                <w:szCs w:val="24"/>
              </w:rPr>
              <w:t>Ikke kendt</w:t>
            </w:r>
          </w:p>
        </w:tc>
        <w:tc>
          <w:tcPr>
            <w:tcW w:w="2479" w:type="pct"/>
            <w:tcBorders>
              <w:top w:val="single" w:sz="4" w:space="0" w:color="auto"/>
              <w:left w:val="single" w:sz="4" w:space="0" w:color="auto"/>
              <w:bottom w:val="nil"/>
              <w:right w:val="single" w:sz="4" w:space="0" w:color="auto"/>
            </w:tcBorders>
            <w:shd w:val="clear" w:color="auto" w:fill="FFFFFF"/>
            <w:hideMark/>
          </w:tcPr>
          <w:p w14:paraId="7F1B6454" w14:textId="77777777" w:rsidR="00AB4CC5" w:rsidRPr="00D07529" w:rsidRDefault="00AB4CC5" w:rsidP="00550391">
            <w:pPr>
              <w:tabs>
                <w:tab w:val="left" w:pos="1304"/>
              </w:tabs>
              <w:rPr>
                <w:sz w:val="24"/>
                <w:szCs w:val="24"/>
              </w:rPr>
            </w:pPr>
            <w:proofErr w:type="spellStart"/>
            <w:r w:rsidRPr="00D07529">
              <w:rPr>
                <w:rStyle w:val="Bodytext2"/>
                <w:rFonts w:ascii="Times New Roman" w:hAnsi="Times New Roman" w:cs="Times New Roman"/>
                <w:sz w:val="24"/>
                <w:szCs w:val="24"/>
              </w:rPr>
              <w:t>Ørhed</w:t>
            </w:r>
            <w:proofErr w:type="spellEnd"/>
          </w:p>
        </w:tc>
      </w:tr>
      <w:tr w:rsidR="00AB4CC5" w:rsidRPr="00D07529" w14:paraId="20D62447" w14:textId="77777777" w:rsidTr="00D07529">
        <w:trPr>
          <w:trHeight w:val="20"/>
        </w:trPr>
        <w:tc>
          <w:tcPr>
            <w:tcW w:w="1667" w:type="pct"/>
            <w:vMerge w:val="restart"/>
            <w:tcBorders>
              <w:top w:val="single" w:sz="4" w:space="0" w:color="auto"/>
              <w:left w:val="single" w:sz="4" w:space="0" w:color="auto"/>
              <w:bottom w:val="nil"/>
              <w:right w:val="nil"/>
            </w:tcBorders>
            <w:shd w:val="clear" w:color="auto" w:fill="FFFFFF"/>
            <w:hideMark/>
          </w:tcPr>
          <w:p w14:paraId="62F330A8" w14:textId="77777777" w:rsidR="00AB4CC5" w:rsidRPr="00D07529" w:rsidRDefault="00AB4CC5" w:rsidP="00550391">
            <w:pPr>
              <w:keepNext/>
              <w:keepLines/>
              <w:tabs>
                <w:tab w:val="left" w:pos="1304"/>
              </w:tabs>
              <w:rPr>
                <w:sz w:val="24"/>
                <w:szCs w:val="24"/>
              </w:rPr>
            </w:pPr>
            <w:r w:rsidRPr="00D07529">
              <w:rPr>
                <w:rStyle w:val="Bodytext2Italic"/>
                <w:rFonts w:ascii="Times New Roman" w:hAnsi="Times New Roman" w:cs="Times New Roman"/>
                <w:sz w:val="24"/>
                <w:szCs w:val="24"/>
              </w:rPr>
              <w:lastRenderedPageBreak/>
              <w:t>Mave-tarm-kanalen</w:t>
            </w:r>
          </w:p>
        </w:tc>
        <w:tc>
          <w:tcPr>
            <w:tcW w:w="854" w:type="pct"/>
            <w:tcBorders>
              <w:top w:val="single" w:sz="4" w:space="0" w:color="auto"/>
              <w:left w:val="single" w:sz="4" w:space="0" w:color="auto"/>
              <w:bottom w:val="nil"/>
              <w:right w:val="nil"/>
            </w:tcBorders>
            <w:shd w:val="clear" w:color="auto" w:fill="FFFFFF"/>
            <w:hideMark/>
          </w:tcPr>
          <w:p w14:paraId="269E96DE" w14:textId="77777777" w:rsidR="00AB4CC5" w:rsidRPr="00D07529" w:rsidRDefault="00AB4CC5" w:rsidP="00550391">
            <w:pPr>
              <w:keepNext/>
              <w:keepLines/>
              <w:tabs>
                <w:tab w:val="left" w:pos="1304"/>
              </w:tabs>
              <w:rPr>
                <w:rStyle w:val="Bodytext2"/>
                <w:rFonts w:ascii="Times New Roman" w:hAnsi="Times New Roman" w:cs="Times New Roman"/>
                <w:sz w:val="24"/>
                <w:szCs w:val="24"/>
              </w:rPr>
            </w:pPr>
            <w:r w:rsidRPr="00D07529">
              <w:rPr>
                <w:rStyle w:val="Bodytext2"/>
                <w:rFonts w:ascii="Times New Roman" w:hAnsi="Times New Roman" w:cs="Times New Roman"/>
                <w:sz w:val="24"/>
                <w:szCs w:val="24"/>
              </w:rPr>
              <w:t>Almindelig</w:t>
            </w:r>
          </w:p>
        </w:tc>
        <w:tc>
          <w:tcPr>
            <w:tcW w:w="2479" w:type="pct"/>
            <w:tcBorders>
              <w:top w:val="single" w:sz="4" w:space="0" w:color="auto"/>
              <w:left w:val="single" w:sz="4" w:space="0" w:color="auto"/>
              <w:bottom w:val="nil"/>
              <w:right w:val="single" w:sz="4" w:space="0" w:color="auto"/>
            </w:tcBorders>
            <w:shd w:val="clear" w:color="auto" w:fill="FFFFFF"/>
            <w:hideMark/>
          </w:tcPr>
          <w:p w14:paraId="2D0E8377" w14:textId="77777777" w:rsidR="00AB4CC5" w:rsidRPr="00D07529" w:rsidRDefault="00AB4CC5" w:rsidP="00550391">
            <w:pPr>
              <w:keepNext/>
              <w:keepLines/>
              <w:tabs>
                <w:tab w:val="left" w:pos="1304"/>
              </w:tabs>
              <w:rPr>
                <w:sz w:val="24"/>
                <w:szCs w:val="24"/>
              </w:rPr>
            </w:pPr>
            <w:r w:rsidRPr="00D07529">
              <w:rPr>
                <w:rStyle w:val="Bodytext2"/>
                <w:rFonts w:ascii="Times New Roman" w:hAnsi="Times New Roman" w:cs="Times New Roman"/>
                <w:sz w:val="24"/>
                <w:szCs w:val="24"/>
              </w:rPr>
              <w:t>Kvalme, diarré</w:t>
            </w:r>
          </w:p>
        </w:tc>
      </w:tr>
      <w:tr w:rsidR="00AB4CC5" w:rsidRPr="00D07529" w14:paraId="735955F9" w14:textId="77777777" w:rsidTr="00D07529">
        <w:trPr>
          <w:trHeight w:val="20"/>
        </w:trPr>
        <w:tc>
          <w:tcPr>
            <w:tcW w:w="1667" w:type="pct"/>
            <w:vMerge/>
            <w:tcBorders>
              <w:top w:val="single" w:sz="4" w:space="0" w:color="auto"/>
              <w:left w:val="single" w:sz="4" w:space="0" w:color="auto"/>
              <w:bottom w:val="nil"/>
              <w:right w:val="nil"/>
            </w:tcBorders>
            <w:vAlign w:val="center"/>
            <w:hideMark/>
          </w:tcPr>
          <w:p w14:paraId="523A8C89" w14:textId="77777777" w:rsidR="00AB4CC5" w:rsidRPr="00D07529" w:rsidRDefault="00AB4CC5" w:rsidP="00550391">
            <w:pPr>
              <w:rPr>
                <w:sz w:val="24"/>
                <w:szCs w:val="24"/>
              </w:rPr>
            </w:pPr>
          </w:p>
        </w:tc>
        <w:tc>
          <w:tcPr>
            <w:tcW w:w="854" w:type="pct"/>
            <w:tcBorders>
              <w:top w:val="single" w:sz="4" w:space="0" w:color="auto"/>
              <w:left w:val="single" w:sz="4" w:space="0" w:color="auto"/>
              <w:bottom w:val="nil"/>
              <w:right w:val="nil"/>
            </w:tcBorders>
            <w:shd w:val="clear" w:color="auto" w:fill="FFFFFF"/>
            <w:hideMark/>
          </w:tcPr>
          <w:p w14:paraId="2B2E4E52" w14:textId="77777777" w:rsidR="00AB4CC5" w:rsidRPr="00D07529" w:rsidRDefault="00AB4CC5" w:rsidP="00550391">
            <w:pPr>
              <w:tabs>
                <w:tab w:val="left" w:pos="1304"/>
              </w:tabs>
              <w:rPr>
                <w:rStyle w:val="Bodytext2"/>
                <w:rFonts w:ascii="Times New Roman" w:hAnsi="Times New Roman" w:cs="Times New Roman"/>
                <w:sz w:val="24"/>
                <w:szCs w:val="24"/>
              </w:rPr>
            </w:pPr>
            <w:r w:rsidRPr="00D07529">
              <w:rPr>
                <w:rStyle w:val="Bodytext2"/>
                <w:rFonts w:ascii="Times New Roman" w:hAnsi="Times New Roman" w:cs="Times New Roman"/>
                <w:sz w:val="24"/>
                <w:szCs w:val="24"/>
              </w:rPr>
              <w:t>Ikke kendt</w:t>
            </w:r>
          </w:p>
        </w:tc>
        <w:tc>
          <w:tcPr>
            <w:tcW w:w="2479" w:type="pct"/>
            <w:tcBorders>
              <w:top w:val="single" w:sz="4" w:space="0" w:color="auto"/>
              <w:left w:val="single" w:sz="4" w:space="0" w:color="auto"/>
              <w:bottom w:val="nil"/>
              <w:right w:val="single" w:sz="4" w:space="0" w:color="auto"/>
            </w:tcBorders>
            <w:shd w:val="clear" w:color="auto" w:fill="FFFFFF"/>
            <w:hideMark/>
          </w:tcPr>
          <w:p w14:paraId="2A7F5E81" w14:textId="77777777" w:rsidR="00AB4CC5" w:rsidRPr="00D07529" w:rsidRDefault="00AB4CC5" w:rsidP="00550391">
            <w:pPr>
              <w:tabs>
                <w:tab w:val="left" w:pos="1304"/>
              </w:tabs>
              <w:rPr>
                <w:sz w:val="24"/>
                <w:szCs w:val="24"/>
              </w:rPr>
            </w:pPr>
            <w:r w:rsidRPr="00D07529">
              <w:rPr>
                <w:rStyle w:val="Bodytext2"/>
                <w:rFonts w:ascii="Times New Roman" w:hAnsi="Times New Roman" w:cs="Times New Roman"/>
                <w:sz w:val="24"/>
                <w:szCs w:val="24"/>
              </w:rPr>
              <w:t xml:space="preserve">Mavesmerter, </w:t>
            </w:r>
            <w:r w:rsidRPr="00D07529">
              <w:rPr>
                <w:sz w:val="24"/>
                <w:szCs w:val="24"/>
              </w:rPr>
              <w:t>opkastning</w:t>
            </w:r>
            <w:r w:rsidRPr="00D07529">
              <w:rPr>
                <w:rStyle w:val="Bodytext2"/>
                <w:rFonts w:ascii="Times New Roman" w:hAnsi="Times New Roman" w:cs="Times New Roman"/>
                <w:sz w:val="24"/>
                <w:szCs w:val="24"/>
              </w:rPr>
              <w:t xml:space="preserve">, </w:t>
            </w:r>
            <w:proofErr w:type="spellStart"/>
            <w:r w:rsidRPr="00D07529">
              <w:rPr>
                <w:rStyle w:val="Bodytext2"/>
                <w:rFonts w:ascii="Times New Roman" w:hAnsi="Times New Roman" w:cs="Times New Roman"/>
                <w:sz w:val="24"/>
                <w:szCs w:val="24"/>
              </w:rPr>
              <w:t>øsofageale</w:t>
            </w:r>
            <w:proofErr w:type="spellEnd"/>
            <w:r w:rsidRPr="00D07529">
              <w:rPr>
                <w:rStyle w:val="Bodytext2"/>
                <w:rFonts w:ascii="Times New Roman" w:hAnsi="Times New Roman" w:cs="Times New Roman"/>
                <w:sz w:val="24"/>
                <w:szCs w:val="24"/>
              </w:rPr>
              <w:t xml:space="preserve"> smerter og relaterede uønskede hændelser</w:t>
            </w:r>
            <w:r w:rsidRPr="00D07529">
              <w:rPr>
                <w:rStyle w:val="Bodytext2"/>
                <w:rFonts w:ascii="Times New Roman" w:hAnsi="Times New Roman" w:cs="Times New Roman"/>
                <w:sz w:val="24"/>
                <w:szCs w:val="24"/>
                <w:vertAlign w:val="superscript"/>
              </w:rPr>
              <w:t>2</w:t>
            </w:r>
          </w:p>
        </w:tc>
      </w:tr>
      <w:tr w:rsidR="00AB4CC5" w:rsidRPr="00D07529" w14:paraId="6CCB98D0" w14:textId="77777777" w:rsidTr="00D07529">
        <w:trPr>
          <w:trHeight w:val="20"/>
        </w:trPr>
        <w:tc>
          <w:tcPr>
            <w:tcW w:w="1667" w:type="pct"/>
            <w:tcBorders>
              <w:top w:val="single" w:sz="4" w:space="0" w:color="auto"/>
              <w:left w:val="single" w:sz="4" w:space="0" w:color="auto"/>
              <w:bottom w:val="single" w:sz="4" w:space="0" w:color="auto"/>
              <w:right w:val="nil"/>
            </w:tcBorders>
            <w:shd w:val="clear" w:color="auto" w:fill="FFFFFF"/>
            <w:hideMark/>
          </w:tcPr>
          <w:p w14:paraId="45442CDD" w14:textId="77777777" w:rsidR="00AB4CC5" w:rsidRPr="00D07529" w:rsidRDefault="00AB4CC5" w:rsidP="00550391">
            <w:pPr>
              <w:tabs>
                <w:tab w:val="left" w:pos="1304"/>
              </w:tabs>
              <w:rPr>
                <w:sz w:val="24"/>
                <w:szCs w:val="24"/>
              </w:rPr>
            </w:pPr>
            <w:r w:rsidRPr="00D07529">
              <w:rPr>
                <w:rStyle w:val="Bodytext2Italic"/>
                <w:rFonts w:ascii="Times New Roman" w:hAnsi="Times New Roman" w:cs="Times New Roman"/>
                <w:sz w:val="24"/>
                <w:szCs w:val="24"/>
              </w:rPr>
              <w:t>Lever og galdeveje*</w:t>
            </w:r>
          </w:p>
        </w:tc>
        <w:tc>
          <w:tcPr>
            <w:tcW w:w="854" w:type="pct"/>
            <w:tcBorders>
              <w:top w:val="single" w:sz="4" w:space="0" w:color="auto"/>
              <w:left w:val="single" w:sz="4" w:space="0" w:color="auto"/>
              <w:bottom w:val="nil"/>
              <w:right w:val="nil"/>
            </w:tcBorders>
            <w:shd w:val="clear" w:color="auto" w:fill="FFFFFF"/>
            <w:hideMark/>
          </w:tcPr>
          <w:p w14:paraId="6379FA6B" w14:textId="77777777" w:rsidR="00AB4CC5" w:rsidRPr="00D07529" w:rsidRDefault="00AB4CC5" w:rsidP="00550391">
            <w:pPr>
              <w:tabs>
                <w:tab w:val="left" w:pos="1304"/>
              </w:tabs>
              <w:rPr>
                <w:rStyle w:val="Bodytext2"/>
                <w:rFonts w:ascii="Times New Roman" w:hAnsi="Times New Roman" w:cs="Times New Roman"/>
                <w:sz w:val="24"/>
                <w:szCs w:val="24"/>
              </w:rPr>
            </w:pPr>
            <w:r w:rsidRPr="00D07529">
              <w:rPr>
                <w:rStyle w:val="Bodytext2"/>
                <w:rFonts w:ascii="Times New Roman" w:hAnsi="Times New Roman" w:cs="Times New Roman"/>
                <w:sz w:val="24"/>
                <w:szCs w:val="24"/>
              </w:rPr>
              <w:t>Sjælden</w:t>
            </w:r>
          </w:p>
        </w:tc>
        <w:tc>
          <w:tcPr>
            <w:tcW w:w="2479" w:type="pct"/>
            <w:tcBorders>
              <w:top w:val="single" w:sz="4" w:space="0" w:color="auto"/>
              <w:left w:val="single" w:sz="4" w:space="0" w:color="auto"/>
              <w:bottom w:val="nil"/>
              <w:right w:val="single" w:sz="4" w:space="0" w:color="auto"/>
            </w:tcBorders>
            <w:shd w:val="clear" w:color="auto" w:fill="FFFFFF"/>
            <w:hideMark/>
          </w:tcPr>
          <w:p w14:paraId="5988B66F" w14:textId="47BCCCAA" w:rsidR="00AB4CC5" w:rsidRPr="00D07529" w:rsidRDefault="00AB4CC5" w:rsidP="00550391">
            <w:pPr>
              <w:tabs>
                <w:tab w:val="left" w:pos="1304"/>
              </w:tabs>
              <w:rPr>
                <w:sz w:val="24"/>
                <w:szCs w:val="24"/>
              </w:rPr>
            </w:pPr>
            <w:r w:rsidRPr="00D07529">
              <w:rPr>
                <w:rStyle w:val="Bodytext2"/>
                <w:rFonts w:ascii="Times New Roman" w:hAnsi="Times New Roman" w:cs="Times New Roman"/>
                <w:sz w:val="24"/>
                <w:szCs w:val="24"/>
              </w:rPr>
              <w:t>Leversygdomme,</w:t>
            </w:r>
            <w:r w:rsidR="00FC3345">
              <w:rPr>
                <w:rStyle w:val="Bodytext2"/>
                <w:rFonts w:ascii="Times New Roman" w:hAnsi="Times New Roman" w:cs="Times New Roman"/>
                <w:sz w:val="24"/>
                <w:szCs w:val="24"/>
              </w:rPr>
              <w:t xml:space="preserve"> </w:t>
            </w:r>
            <w:r w:rsidRPr="00D07529">
              <w:rPr>
                <w:rStyle w:val="Bodytext2"/>
                <w:rFonts w:ascii="Times New Roman" w:hAnsi="Times New Roman" w:cs="Times New Roman"/>
                <w:sz w:val="24"/>
                <w:szCs w:val="24"/>
              </w:rPr>
              <w:t xml:space="preserve">generelt </w:t>
            </w:r>
            <w:proofErr w:type="spellStart"/>
            <w:r w:rsidRPr="00D07529">
              <w:rPr>
                <w:rStyle w:val="Bodytext2"/>
                <w:rFonts w:ascii="Times New Roman" w:hAnsi="Times New Roman" w:cs="Times New Roman"/>
                <w:sz w:val="24"/>
                <w:szCs w:val="24"/>
              </w:rPr>
              <w:t>kolestatiske</w:t>
            </w:r>
            <w:proofErr w:type="spellEnd"/>
            <w:r w:rsidRPr="00D07529">
              <w:rPr>
                <w:rStyle w:val="Bodytext2"/>
                <w:rFonts w:ascii="Times New Roman" w:hAnsi="Times New Roman" w:cs="Times New Roman"/>
                <w:sz w:val="24"/>
                <w:szCs w:val="24"/>
              </w:rPr>
              <w:t>/</w:t>
            </w:r>
            <w:proofErr w:type="spellStart"/>
            <w:r w:rsidRPr="00D07529">
              <w:rPr>
                <w:rStyle w:val="Bodytext2"/>
                <w:rFonts w:ascii="Times New Roman" w:hAnsi="Times New Roman" w:cs="Times New Roman"/>
                <w:sz w:val="24"/>
                <w:szCs w:val="24"/>
              </w:rPr>
              <w:t>hepatocellulære</w:t>
            </w:r>
            <w:proofErr w:type="spellEnd"/>
            <w:r w:rsidRPr="00D07529">
              <w:rPr>
                <w:rStyle w:val="Bodytext2"/>
                <w:rFonts w:ascii="Times New Roman" w:hAnsi="Times New Roman" w:cs="Times New Roman"/>
                <w:sz w:val="24"/>
                <w:szCs w:val="24"/>
              </w:rPr>
              <w:t xml:space="preserve"> </w:t>
            </w:r>
          </w:p>
        </w:tc>
      </w:tr>
      <w:tr w:rsidR="00AB4CC5" w:rsidRPr="00D07529" w14:paraId="3084EC59" w14:textId="77777777" w:rsidTr="00D07529">
        <w:trPr>
          <w:trHeight w:val="20"/>
        </w:trPr>
        <w:tc>
          <w:tcPr>
            <w:tcW w:w="1667" w:type="pct"/>
            <w:vMerge w:val="restart"/>
            <w:tcBorders>
              <w:top w:val="single" w:sz="4" w:space="0" w:color="auto"/>
              <w:left w:val="single" w:sz="4" w:space="0" w:color="auto"/>
              <w:bottom w:val="single" w:sz="4" w:space="0" w:color="auto"/>
              <w:right w:val="nil"/>
            </w:tcBorders>
            <w:shd w:val="clear" w:color="auto" w:fill="FFFFFF"/>
            <w:hideMark/>
          </w:tcPr>
          <w:p w14:paraId="59B25142" w14:textId="77777777" w:rsidR="00AB4CC5" w:rsidRPr="00D07529" w:rsidRDefault="00AB4CC5" w:rsidP="00550391">
            <w:pPr>
              <w:keepNext/>
              <w:keepLines/>
              <w:tabs>
                <w:tab w:val="left" w:pos="1304"/>
              </w:tabs>
              <w:rPr>
                <w:sz w:val="24"/>
                <w:szCs w:val="24"/>
              </w:rPr>
            </w:pPr>
            <w:r w:rsidRPr="00D07529">
              <w:rPr>
                <w:rStyle w:val="Bodytext2Italic"/>
                <w:rFonts w:ascii="Times New Roman" w:hAnsi="Times New Roman" w:cs="Times New Roman"/>
                <w:sz w:val="24"/>
                <w:szCs w:val="24"/>
              </w:rPr>
              <w:t>Hud og subkutane væv</w:t>
            </w:r>
          </w:p>
        </w:tc>
        <w:tc>
          <w:tcPr>
            <w:tcW w:w="854" w:type="pct"/>
            <w:tcBorders>
              <w:top w:val="single" w:sz="4" w:space="0" w:color="auto"/>
              <w:left w:val="single" w:sz="4" w:space="0" w:color="auto"/>
              <w:bottom w:val="nil"/>
              <w:right w:val="nil"/>
            </w:tcBorders>
            <w:shd w:val="clear" w:color="auto" w:fill="FFFFFF"/>
            <w:hideMark/>
          </w:tcPr>
          <w:p w14:paraId="28E427D2" w14:textId="77777777" w:rsidR="00AB4CC5" w:rsidRPr="00D07529" w:rsidRDefault="00AB4CC5" w:rsidP="00550391">
            <w:pPr>
              <w:keepNext/>
              <w:keepLines/>
              <w:tabs>
                <w:tab w:val="left" w:pos="1304"/>
              </w:tabs>
              <w:rPr>
                <w:rStyle w:val="Bodytext2"/>
                <w:rFonts w:ascii="Times New Roman" w:hAnsi="Times New Roman" w:cs="Times New Roman"/>
                <w:sz w:val="24"/>
                <w:szCs w:val="24"/>
              </w:rPr>
            </w:pPr>
            <w:r w:rsidRPr="00D07529">
              <w:rPr>
                <w:rStyle w:val="Bodytext2"/>
                <w:rFonts w:ascii="Times New Roman" w:hAnsi="Times New Roman" w:cs="Times New Roman"/>
                <w:sz w:val="24"/>
                <w:szCs w:val="24"/>
              </w:rPr>
              <w:t>Almindelig</w:t>
            </w:r>
          </w:p>
        </w:tc>
        <w:tc>
          <w:tcPr>
            <w:tcW w:w="2479" w:type="pct"/>
            <w:tcBorders>
              <w:top w:val="single" w:sz="4" w:space="0" w:color="auto"/>
              <w:left w:val="single" w:sz="4" w:space="0" w:color="auto"/>
              <w:bottom w:val="nil"/>
              <w:right w:val="single" w:sz="4" w:space="0" w:color="auto"/>
            </w:tcBorders>
            <w:shd w:val="clear" w:color="auto" w:fill="FFFFFF"/>
            <w:hideMark/>
          </w:tcPr>
          <w:p w14:paraId="53D86AC5" w14:textId="77777777" w:rsidR="00AB4CC5" w:rsidRPr="00D07529" w:rsidRDefault="00AB4CC5" w:rsidP="00550391">
            <w:pPr>
              <w:keepNext/>
              <w:keepLines/>
              <w:tabs>
                <w:tab w:val="left" w:pos="1304"/>
              </w:tabs>
              <w:rPr>
                <w:sz w:val="24"/>
                <w:szCs w:val="24"/>
              </w:rPr>
            </w:pPr>
            <w:r w:rsidRPr="00D07529">
              <w:rPr>
                <w:rStyle w:val="Bodytext2"/>
                <w:rFonts w:ascii="Times New Roman" w:hAnsi="Times New Roman" w:cs="Times New Roman"/>
                <w:sz w:val="24"/>
                <w:szCs w:val="24"/>
              </w:rPr>
              <w:t>Udslæt</w:t>
            </w:r>
          </w:p>
        </w:tc>
      </w:tr>
      <w:tr w:rsidR="00AB4CC5" w:rsidRPr="00D07529" w14:paraId="1C3EE05A" w14:textId="77777777" w:rsidTr="00D07529">
        <w:trPr>
          <w:trHeight w:val="20"/>
        </w:trPr>
        <w:tc>
          <w:tcPr>
            <w:tcW w:w="1667" w:type="pct"/>
            <w:vMerge/>
            <w:tcBorders>
              <w:top w:val="single" w:sz="4" w:space="0" w:color="auto"/>
              <w:left w:val="single" w:sz="4" w:space="0" w:color="auto"/>
              <w:bottom w:val="single" w:sz="4" w:space="0" w:color="auto"/>
              <w:right w:val="nil"/>
            </w:tcBorders>
            <w:vAlign w:val="center"/>
            <w:hideMark/>
          </w:tcPr>
          <w:p w14:paraId="766BD192" w14:textId="77777777" w:rsidR="00AB4CC5" w:rsidRPr="00D07529" w:rsidRDefault="00AB4CC5" w:rsidP="00550391">
            <w:pPr>
              <w:rPr>
                <w:sz w:val="24"/>
                <w:szCs w:val="24"/>
              </w:rPr>
            </w:pPr>
          </w:p>
        </w:tc>
        <w:tc>
          <w:tcPr>
            <w:tcW w:w="854" w:type="pct"/>
            <w:tcBorders>
              <w:top w:val="single" w:sz="4" w:space="0" w:color="auto"/>
              <w:left w:val="single" w:sz="4" w:space="0" w:color="auto"/>
              <w:bottom w:val="nil"/>
              <w:right w:val="nil"/>
            </w:tcBorders>
            <w:shd w:val="clear" w:color="auto" w:fill="FFFFFF"/>
            <w:hideMark/>
          </w:tcPr>
          <w:p w14:paraId="2153B392" w14:textId="77777777" w:rsidR="00AB4CC5" w:rsidRPr="00D07529" w:rsidRDefault="00AB4CC5" w:rsidP="00550391">
            <w:pPr>
              <w:keepNext/>
              <w:keepLines/>
              <w:tabs>
                <w:tab w:val="left" w:pos="1304"/>
              </w:tabs>
              <w:rPr>
                <w:rStyle w:val="Bodytext2"/>
                <w:rFonts w:ascii="Times New Roman" w:hAnsi="Times New Roman" w:cs="Times New Roman"/>
                <w:sz w:val="24"/>
                <w:szCs w:val="24"/>
              </w:rPr>
            </w:pPr>
            <w:r w:rsidRPr="00D07529">
              <w:rPr>
                <w:rStyle w:val="Bodytext2"/>
                <w:rFonts w:ascii="Times New Roman" w:hAnsi="Times New Roman" w:cs="Times New Roman"/>
                <w:sz w:val="24"/>
                <w:szCs w:val="24"/>
              </w:rPr>
              <w:t>Ikke almindelig</w:t>
            </w:r>
          </w:p>
        </w:tc>
        <w:tc>
          <w:tcPr>
            <w:tcW w:w="2479" w:type="pct"/>
            <w:tcBorders>
              <w:top w:val="single" w:sz="4" w:space="0" w:color="auto"/>
              <w:left w:val="single" w:sz="4" w:space="0" w:color="auto"/>
              <w:bottom w:val="nil"/>
              <w:right w:val="single" w:sz="4" w:space="0" w:color="auto"/>
            </w:tcBorders>
            <w:shd w:val="clear" w:color="auto" w:fill="FFFFFF"/>
            <w:hideMark/>
          </w:tcPr>
          <w:p w14:paraId="231CA050" w14:textId="77777777" w:rsidR="00AB4CC5" w:rsidRPr="00D07529" w:rsidRDefault="00AB4CC5" w:rsidP="00550391">
            <w:pPr>
              <w:keepNext/>
              <w:keepLines/>
              <w:tabs>
                <w:tab w:val="left" w:pos="1304"/>
              </w:tabs>
              <w:rPr>
                <w:sz w:val="24"/>
                <w:szCs w:val="24"/>
              </w:rPr>
            </w:pPr>
            <w:r w:rsidRPr="00D07529">
              <w:rPr>
                <w:rStyle w:val="Bodytext2"/>
                <w:rFonts w:ascii="Times New Roman" w:hAnsi="Times New Roman" w:cs="Times New Roman"/>
                <w:sz w:val="24"/>
                <w:szCs w:val="24"/>
              </w:rPr>
              <w:t>Nældefeber</w:t>
            </w:r>
          </w:p>
        </w:tc>
      </w:tr>
      <w:tr w:rsidR="00AB4CC5" w:rsidRPr="00D07529" w14:paraId="32559839" w14:textId="77777777" w:rsidTr="00D07529">
        <w:trPr>
          <w:trHeight w:val="20"/>
        </w:trPr>
        <w:tc>
          <w:tcPr>
            <w:tcW w:w="1667" w:type="pct"/>
            <w:vMerge/>
            <w:tcBorders>
              <w:top w:val="single" w:sz="4" w:space="0" w:color="auto"/>
              <w:left w:val="single" w:sz="4" w:space="0" w:color="auto"/>
              <w:bottom w:val="single" w:sz="4" w:space="0" w:color="auto"/>
              <w:right w:val="nil"/>
            </w:tcBorders>
            <w:vAlign w:val="center"/>
            <w:hideMark/>
          </w:tcPr>
          <w:p w14:paraId="33319485" w14:textId="77777777" w:rsidR="00AB4CC5" w:rsidRPr="00D07529" w:rsidRDefault="00AB4CC5" w:rsidP="00550391">
            <w:pPr>
              <w:rPr>
                <w:sz w:val="24"/>
                <w:szCs w:val="24"/>
              </w:rPr>
            </w:pPr>
          </w:p>
        </w:tc>
        <w:tc>
          <w:tcPr>
            <w:tcW w:w="854" w:type="pct"/>
            <w:tcBorders>
              <w:top w:val="single" w:sz="4" w:space="0" w:color="auto"/>
              <w:left w:val="single" w:sz="4" w:space="0" w:color="auto"/>
              <w:bottom w:val="nil"/>
              <w:right w:val="nil"/>
            </w:tcBorders>
            <w:shd w:val="clear" w:color="auto" w:fill="FFFFFF"/>
            <w:hideMark/>
          </w:tcPr>
          <w:p w14:paraId="101B7229" w14:textId="77777777" w:rsidR="00AB4CC5" w:rsidRPr="00D07529" w:rsidRDefault="00AB4CC5" w:rsidP="00550391">
            <w:pPr>
              <w:keepNext/>
              <w:keepLines/>
              <w:tabs>
                <w:tab w:val="left" w:pos="1304"/>
              </w:tabs>
              <w:rPr>
                <w:rStyle w:val="Bodytext2"/>
                <w:rFonts w:ascii="Times New Roman" w:hAnsi="Times New Roman" w:cs="Times New Roman"/>
                <w:sz w:val="24"/>
                <w:szCs w:val="24"/>
              </w:rPr>
            </w:pPr>
            <w:r w:rsidRPr="00D07529">
              <w:rPr>
                <w:rStyle w:val="Bodytext2"/>
                <w:rFonts w:ascii="Times New Roman" w:hAnsi="Times New Roman" w:cs="Times New Roman"/>
                <w:sz w:val="24"/>
                <w:szCs w:val="24"/>
              </w:rPr>
              <w:t>Meget sjælden</w:t>
            </w:r>
          </w:p>
        </w:tc>
        <w:tc>
          <w:tcPr>
            <w:tcW w:w="2479" w:type="pct"/>
            <w:tcBorders>
              <w:top w:val="single" w:sz="4" w:space="0" w:color="auto"/>
              <w:left w:val="single" w:sz="4" w:space="0" w:color="auto"/>
              <w:bottom w:val="nil"/>
              <w:right w:val="single" w:sz="4" w:space="0" w:color="auto"/>
            </w:tcBorders>
            <w:shd w:val="clear" w:color="auto" w:fill="FFFFFF"/>
            <w:hideMark/>
          </w:tcPr>
          <w:p w14:paraId="07F73915" w14:textId="77777777" w:rsidR="00AB4CC5" w:rsidRPr="00D07529" w:rsidRDefault="00AB4CC5" w:rsidP="00550391">
            <w:pPr>
              <w:keepNext/>
              <w:keepLines/>
              <w:tabs>
                <w:tab w:val="left" w:pos="1304"/>
              </w:tabs>
              <w:rPr>
                <w:sz w:val="24"/>
                <w:szCs w:val="24"/>
                <w:lang w:val="nb-NO"/>
              </w:rPr>
            </w:pPr>
            <w:r w:rsidRPr="00D07529">
              <w:rPr>
                <w:rStyle w:val="Bodytext2"/>
                <w:rFonts w:ascii="Times New Roman" w:hAnsi="Times New Roman" w:cs="Times New Roman"/>
                <w:sz w:val="24"/>
                <w:szCs w:val="24"/>
                <w:lang w:val="nb-NO"/>
              </w:rPr>
              <w:t>Kløe,</w:t>
            </w:r>
            <w:r w:rsidRPr="00D07529">
              <w:rPr>
                <w:sz w:val="24"/>
                <w:szCs w:val="24"/>
                <w:lang w:val="nb-NO"/>
              </w:rPr>
              <w:t xml:space="preserve"> </w:t>
            </w:r>
            <w:r w:rsidRPr="00D07529">
              <w:rPr>
                <w:rStyle w:val="Bodytext2"/>
                <w:rFonts w:ascii="Times New Roman" w:hAnsi="Times New Roman" w:cs="Times New Roman"/>
                <w:sz w:val="24"/>
                <w:szCs w:val="24"/>
                <w:lang w:val="nb-NO"/>
              </w:rPr>
              <w:t>erythema multiforme, Stevens-Johnsons syndrom og toksisk epidermal nekrolyse</w:t>
            </w:r>
          </w:p>
        </w:tc>
      </w:tr>
      <w:tr w:rsidR="00AB4CC5" w:rsidRPr="00D07529" w14:paraId="7C0BC28D" w14:textId="77777777" w:rsidTr="00D07529">
        <w:trPr>
          <w:trHeight w:val="20"/>
        </w:trPr>
        <w:tc>
          <w:tcPr>
            <w:tcW w:w="1667" w:type="pct"/>
            <w:vMerge/>
            <w:tcBorders>
              <w:top w:val="single" w:sz="4" w:space="0" w:color="auto"/>
              <w:left w:val="single" w:sz="4" w:space="0" w:color="auto"/>
              <w:bottom w:val="single" w:sz="4" w:space="0" w:color="auto"/>
              <w:right w:val="nil"/>
            </w:tcBorders>
            <w:vAlign w:val="center"/>
            <w:hideMark/>
          </w:tcPr>
          <w:p w14:paraId="18BD8206" w14:textId="77777777" w:rsidR="00AB4CC5" w:rsidRPr="00D07529" w:rsidRDefault="00AB4CC5" w:rsidP="00550391">
            <w:pPr>
              <w:rPr>
                <w:sz w:val="24"/>
                <w:szCs w:val="24"/>
              </w:rPr>
            </w:pPr>
          </w:p>
        </w:tc>
        <w:tc>
          <w:tcPr>
            <w:tcW w:w="854" w:type="pct"/>
            <w:tcBorders>
              <w:top w:val="single" w:sz="4" w:space="0" w:color="auto"/>
              <w:left w:val="single" w:sz="4" w:space="0" w:color="auto"/>
              <w:bottom w:val="single" w:sz="4" w:space="0" w:color="auto"/>
              <w:right w:val="nil"/>
            </w:tcBorders>
            <w:shd w:val="clear" w:color="auto" w:fill="FFFFFF"/>
            <w:hideMark/>
          </w:tcPr>
          <w:p w14:paraId="3931E650" w14:textId="77777777" w:rsidR="00AB4CC5" w:rsidRPr="00D07529" w:rsidRDefault="00AB4CC5" w:rsidP="00550391">
            <w:pPr>
              <w:tabs>
                <w:tab w:val="left" w:pos="1304"/>
              </w:tabs>
              <w:rPr>
                <w:rStyle w:val="Bodytext2"/>
                <w:rFonts w:ascii="Times New Roman" w:hAnsi="Times New Roman" w:cs="Times New Roman"/>
                <w:sz w:val="24"/>
                <w:szCs w:val="24"/>
              </w:rPr>
            </w:pPr>
            <w:r w:rsidRPr="00D07529">
              <w:rPr>
                <w:rStyle w:val="Bodytext2"/>
                <w:rFonts w:ascii="Times New Roman" w:hAnsi="Times New Roman" w:cs="Times New Roman"/>
                <w:sz w:val="24"/>
                <w:szCs w:val="24"/>
              </w:rPr>
              <w:t>Ikke kendt</w:t>
            </w:r>
          </w:p>
        </w:tc>
        <w:tc>
          <w:tcPr>
            <w:tcW w:w="2479" w:type="pct"/>
            <w:tcBorders>
              <w:top w:val="single" w:sz="4" w:space="0" w:color="auto"/>
              <w:left w:val="single" w:sz="4" w:space="0" w:color="auto"/>
              <w:bottom w:val="single" w:sz="4" w:space="0" w:color="auto"/>
              <w:right w:val="single" w:sz="4" w:space="0" w:color="auto"/>
            </w:tcBorders>
            <w:shd w:val="clear" w:color="auto" w:fill="FFFFFF"/>
            <w:hideMark/>
          </w:tcPr>
          <w:p w14:paraId="4A5D6580" w14:textId="77777777" w:rsidR="00AB4CC5" w:rsidRPr="00D07529" w:rsidRDefault="00AB4CC5" w:rsidP="00550391">
            <w:pPr>
              <w:tabs>
                <w:tab w:val="left" w:pos="1304"/>
              </w:tabs>
              <w:rPr>
                <w:sz w:val="24"/>
                <w:szCs w:val="24"/>
              </w:rPr>
            </w:pPr>
            <w:r w:rsidRPr="00D07529">
              <w:rPr>
                <w:rStyle w:val="Bodytext2"/>
                <w:rFonts w:ascii="Times New Roman" w:hAnsi="Times New Roman" w:cs="Times New Roman"/>
                <w:sz w:val="24"/>
                <w:szCs w:val="24"/>
              </w:rPr>
              <w:t xml:space="preserve">AGEP - akut generaliseret </w:t>
            </w:r>
            <w:proofErr w:type="spellStart"/>
            <w:r w:rsidRPr="00D07529">
              <w:rPr>
                <w:rStyle w:val="Bodytext2"/>
                <w:rFonts w:ascii="Times New Roman" w:hAnsi="Times New Roman" w:cs="Times New Roman"/>
                <w:sz w:val="24"/>
                <w:szCs w:val="24"/>
              </w:rPr>
              <w:t>eksantematøs</w:t>
            </w:r>
            <w:proofErr w:type="spellEnd"/>
            <w:r w:rsidRPr="00D07529">
              <w:rPr>
                <w:rStyle w:val="Bodytext2"/>
                <w:rFonts w:ascii="Times New Roman" w:hAnsi="Times New Roman" w:cs="Times New Roman"/>
                <w:sz w:val="24"/>
                <w:szCs w:val="24"/>
              </w:rPr>
              <w:t xml:space="preserve"> </w:t>
            </w:r>
            <w:proofErr w:type="spellStart"/>
            <w:r w:rsidRPr="00D07529">
              <w:rPr>
                <w:rStyle w:val="Bodytext2"/>
                <w:rFonts w:ascii="Times New Roman" w:hAnsi="Times New Roman" w:cs="Times New Roman"/>
                <w:sz w:val="24"/>
                <w:szCs w:val="24"/>
              </w:rPr>
              <w:t>pustulose</w:t>
            </w:r>
            <w:proofErr w:type="spellEnd"/>
            <w:r w:rsidRPr="00D07529">
              <w:rPr>
                <w:rStyle w:val="Bodytext2"/>
                <w:rFonts w:ascii="Times New Roman" w:hAnsi="Times New Roman" w:cs="Times New Roman"/>
                <w:sz w:val="24"/>
                <w:szCs w:val="24"/>
              </w:rPr>
              <w:t xml:space="preserve"> (se pkt. 4.4), svampeinfektion i mundhulen og ved kønsorganerne</w:t>
            </w:r>
          </w:p>
        </w:tc>
      </w:tr>
      <w:tr w:rsidR="00AB4CC5" w:rsidRPr="00D07529" w14:paraId="39668401" w14:textId="77777777" w:rsidTr="00D07529">
        <w:trPr>
          <w:trHeight w:val="20"/>
        </w:trPr>
        <w:tc>
          <w:tcPr>
            <w:tcW w:w="1667" w:type="pct"/>
            <w:tcBorders>
              <w:top w:val="single" w:sz="4" w:space="0" w:color="auto"/>
              <w:left w:val="single" w:sz="4" w:space="0" w:color="auto"/>
              <w:bottom w:val="single" w:sz="4" w:space="0" w:color="auto"/>
              <w:right w:val="nil"/>
            </w:tcBorders>
            <w:shd w:val="clear" w:color="auto" w:fill="FFFFFF"/>
            <w:hideMark/>
          </w:tcPr>
          <w:p w14:paraId="6A33A05E" w14:textId="77777777" w:rsidR="00AB4CC5" w:rsidRPr="00D07529" w:rsidRDefault="00AB4CC5" w:rsidP="00550391">
            <w:pPr>
              <w:tabs>
                <w:tab w:val="left" w:pos="1304"/>
              </w:tabs>
              <w:rPr>
                <w:i/>
                <w:iCs/>
                <w:noProof/>
                <w:sz w:val="24"/>
                <w:szCs w:val="24"/>
              </w:rPr>
            </w:pPr>
            <w:r w:rsidRPr="00D07529">
              <w:rPr>
                <w:i/>
                <w:sz w:val="24"/>
                <w:szCs w:val="24"/>
              </w:rPr>
              <w:t>Knogler, led, muskler og bindevæv</w:t>
            </w:r>
          </w:p>
        </w:tc>
        <w:tc>
          <w:tcPr>
            <w:tcW w:w="854" w:type="pct"/>
            <w:tcBorders>
              <w:top w:val="single" w:sz="4" w:space="0" w:color="auto"/>
              <w:left w:val="single" w:sz="4" w:space="0" w:color="auto"/>
              <w:bottom w:val="single" w:sz="4" w:space="0" w:color="auto"/>
              <w:right w:val="nil"/>
            </w:tcBorders>
            <w:shd w:val="clear" w:color="auto" w:fill="FFFFFF"/>
            <w:hideMark/>
          </w:tcPr>
          <w:p w14:paraId="599C2DCF" w14:textId="77777777" w:rsidR="00AB4CC5" w:rsidRPr="00D07529" w:rsidRDefault="00AB4CC5" w:rsidP="00550391">
            <w:pPr>
              <w:tabs>
                <w:tab w:val="left" w:pos="1304"/>
              </w:tabs>
              <w:rPr>
                <w:rStyle w:val="Bodytext2"/>
                <w:rFonts w:ascii="Times New Roman" w:hAnsi="Times New Roman" w:cs="Times New Roman"/>
                <w:sz w:val="24"/>
                <w:szCs w:val="24"/>
              </w:rPr>
            </w:pPr>
            <w:r w:rsidRPr="00D07529">
              <w:rPr>
                <w:rStyle w:val="Bodytext2"/>
                <w:rFonts w:ascii="Times New Roman" w:hAnsi="Times New Roman" w:cs="Times New Roman"/>
                <w:sz w:val="24"/>
                <w:szCs w:val="24"/>
              </w:rPr>
              <w:t>Meget sjælden</w:t>
            </w:r>
          </w:p>
        </w:tc>
        <w:tc>
          <w:tcPr>
            <w:tcW w:w="2479" w:type="pct"/>
            <w:tcBorders>
              <w:top w:val="single" w:sz="4" w:space="0" w:color="auto"/>
              <w:left w:val="single" w:sz="4" w:space="0" w:color="auto"/>
              <w:bottom w:val="single" w:sz="4" w:space="0" w:color="auto"/>
              <w:right w:val="single" w:sz="4" w:space="0" w:color="auto"/>
            </w:tcBorders>
            <w:shd w:val="clear" w:color="auto" w:fill="FFFFFF"/>
            <w:hideMark/>
          </w:tcPr>
          <w:p w14:paraId="57963B1C" w14:textId="77777777" w:rsidR="00AB4CC5" w:rsidRPr="00D07529" w:rsidRDefault="00AB4CC5" w:rsidP="00550391">
            <w:pPr>
              <w:tabs>
                <w:tab w:val="left" w:pos="1304"/>
              </w:tabs>
              <w:rPr>
                <w:rStyle w:val="Bodytext2"/>
                <w:rFonts w:ascii="Times New Roman" w:hAnsi="Times New Roman" w:cs="Times New Roman"/>
                <w:sz w:val="24"/>
                <w:szCs w:val="24"/>
              </w:rPr>
            </w:pPr>
            <w:proofErr w:type="spellStart"/>
            <w:r w:rsidRPr="00D07529">
              <w:rPr>
                <w:rStyle w:val="Bodytext2"/>
                <w:rFonts w:ascii="Times New Roman" w:hAnsi="Times New Roman" w:cs="Times New Roman"/>
                <w:sz w:val="24"/>
                <w:szCs w:val="24"/>
              </w:rPr>
              <w:t>Artralgi</w:t>
            </w:r>
            <w:proofErr w:type="spellEnd"/>
            <w:r w:rsidRPr="00D07529">
              <w:rPr>
                <w:rStyle w:val="Bodytext2"/>
                <w:rFonts w:ascii="Times New Roman" w:hAnsi="Times New Roman" w:cs="Times New Roman"/>
                <w:sz w:val="24"/>
                <w:szCs w:val="24"/>
              </w:rPr>
              <w:t xml:space="preserve"> og myalgi</w:t>
            </w:r>
            <w:r w:rsidRPr="00D07529">
              <w:rPr>
                <w:rStyle w:val="Bodytext2"/>
                <w:rFonts w:ascii="Times New Roman" w:hAnsi="Times New Roman" w:cs="Times New Roman"/>
                <w:sz w:val="24"/>
                <w:szCs w:val="24"/>
                <w:vertAlign w:val="superscript"/>
              </w:rPr>
              <w:t>3</w:t>
            </w:r>
          </w:p>
        </w:tc>
      </w:tr>
      <w:tr w:rsidR="00AB4CC5" w:rsidRPr="00D07529" w14:paraId="7DC1E56C" w14:textId="77777777" w:rsidTr="00D07529">
        <w:trPr>
          <w:trHeight w:val="20"/>
        </w:trPr>
        <w:tc>
          <w:tcPr>
            <w:tcW w:w="1667" w:type="pct"/>
            <w:tcBorders>
              <w:top w:val="single" w:sz="4" w:space="0" w:color="auto"/>
              <w:left w:val="single" w:sz="4" w:space="0" w:color="auto"/>
              <w:bottom w:val="single" w:sz="4" w:space="0" w:color="auto"/>
              <w:right w:val="nil"/>
            </w:tcBorders>
            <w:shd w:val="clear" w:color="auto" w:fill="FFFFFF"/>
            <w:hideMark/>
          </w:tcPr>
          <w:p w14:paraId="2CE2E43E" w14:textId="77777777" w:rsidR="00AB4CC5" w:rsidRPr="00D07529" w:rsidRDefault="00AB4CC5" w:rsidP="00550391">
            <w:pPr>
              <w:tabs>
                <w:tab w:val="left" w:pos="1304"/>
              </w:tabs>
              <w:rPr>
                <w:i/>
                <w:iCs/>
                <w:noProof/>
                <w:sz w:val="24"/>
                <w:szCs w:val="24"/>
              </w:rPr>
            </w:pPr>
            <w:r w:rsidRPr="00D07529">
              <w:rPr>
                <w:i/>
                <w:sz w:val="24"/>
                <w:szCs w:val="24"/>
              </w:rPr>
              <w:t>Nyrer og urinveje</w:t>
            </w:r>
          </w:p>
        </w:tc>
        <w:tc>
          <w:tcPr>
            <w:tcW w:w="854" w:type="pct"/>
            <w:tcBorders>
              <w:top w:val="single" w:sz="4" w:space="0" w:color="auto"/>
              <w:left w:val="single" w:sz="4" w:space="0" w:color="auto"/>
              <w:bottom w:val="single" w:sz="4" w:space="0" w:color="auto"/>
              <w:right w:val="nil"/>
            </w:tcBorders>
            <w:shd w:val="clear" w:color="auto" w:fill="FFFFFF"/>
            <w:hideMark/>
          </w:tcPr>
          <w:p w14:paraId="175AFC1D" w14:textId="77777777" w:rsidR="00AB4CC5" w:rsidRPr="00D07529" w:rsidRDefault="00AB4CC5" w:rsidP="00550391">
            <w:pPr>
              <w:tabs>
                <w:tab w:val="left" w:pos="1304"/>
              </w:tabs>
              <w:rPr>
                <w:rStyle w:val="Bodytext2"/>
                <w:rFonts w:ascii="Times New Roman" w:hAnsi="Times New Roman" w:cs="Times New Roman"/>
                <w:sz w:val="24"/>
                <w:szCs w:val="24"/>
              </w:rPr>
            </w:pPr>
            <w:r w:rsidRPr="00D07529">
              <w:rPr>
                <w:rStyle w:val="Bodytext2"/>
                <w:rFonts w:ascii="Times New Roman" w:hAnsi="Times New Roman" w:cs="Times New Roman"/>
                <w:sz w:val="24"/>
                <w:szCs w:val="24"/>
              </w:rPr>
              <w:t>Meget sjælden</w:t>
            </w:r>
          </w:p>
        </w:tc>
        <w:tc>
          <w:tcPr>
            <w:tcW w:w="2479" w:type="pct"/>
            <w:tcBorders>
              <w:top w:val="single" w:sz="4" w:space="0" w:color="auto"/>
              <w:left w:val="single" w:sz="4" w:space="0" w:color="auto"/>
              <w:bottom w:val="single" w:sz="4" w:space="0" w:color="auto"/>
              <w:right w:val="single" w:sz="4" w:space="0" w:color="auto"/>
            </w:tcBorders>
            <w:shd w:val="clear" w:color="auto" w:fill="FFFFFF"/>
            <w:hideMark/>
          </w:tcPr>
          <w:p w14:paraId="188692FE" w14:textId="77777777" w:rsidR="00AB4CC5" w:rsidRPr="00D07529" w:rsidRDefault="00AB4CC5" w:rsidP="00550391">
            <w:pPr>
              <w:tabs>
                <w:tab w:val="left" w:pos="1304"/>
              </w:tabs>
              <w:rPr>
                <w:rStyle w:val="Bodytext2"/>
                <w:rFonts w:ascii="Times New Roman" w:hAnsi="Times New Roman" w:cs="Times New Roman"/>
                <w:sz w:val="24"/>
                <w:szCs w:val="24"/>
              </w:rPr>
            </w:pPr>
            <w:proofErr w:type="spellStart"/>
            <w:r w:rsidRPr="00D07529">
              <w:rPr>
                <w:rStyle w:val="Bodytext2"/>
                <w:rFonts w:ascii="Times New Roman" w:hAnsi="Times New Roman" w:cs="Times New Roman"/>
                <w:sz w:val="24"/>
                <w:szCs w:val="24"/>
              </w:rPr>
              <w:t>Interstitiel</w:t>
            </w:r>
            <w:proofErr w:type="spellEnd"/>
            <w:r w:rsidRPr="00D07529">
              <w:rPr>
                <w:rStyle w:val="Bodytext2"/>
                <w:rFonts w:ascii="Times New Roman" w:hAnsi="Times New Roman" w:cs="Times New Roman"/>
                <w:sz w:val="24"/>
                <w:szCs w:val="24"/>
              </w:rPr>
              <w:t xml:space="preserve"> nefrit</w:t>
            </w:r>
            <w:r w:rsidRPr="00D07529">
              <w:rPr>
                <w:rStyle w:val="Bodytext2"/>
                <w:rFonts w:ascii="Times New Roman" w:hAnsi="Times New Roman" w:cs="Times New Roman"/>
                <w:sz w:val="24"/>
                <w:szCs w:val="24"/>
                <w:vertAlign w:val="superscript"/>
              </w:rPr>
              <w:t>1</w:t>
            </w:r>
          </w:p>
        </w:tc>
      </w:tr>
      <w:tr w:rsidR="00AB4CC5" w:rsidRPr="00D07529" w14:paraId="686C34D4" w14:textId="77777777" w:rsidTr="00D07529">
        <w:trPr>
          <w:trHeight w:val="20"/>
        </w:trPr>
        <w:tc>
          <w:tcPr>
            <w:tcW w:w="1667" w:type="pct"/>
            <w:tcBorders>
              <w:top w:val="single" w:sz="4" w:space="0" w:color="auto"/>
              <w:left w:val="single" w:sz="4" w:space="0" w:color="auto"/>
              <w:bottom w:val="single" w:sz="4" w:space="0" w:color="auto"/>
              <w:right w:val="nil"/>
            </w:tcBorders>
            <w:shd w:val="clear" w:color="auto" w:fill="FFFFFF"/>
            <w:hideMark/>
          </w:tcPr>
          <w:p w14:paraId="128B678F" w14:textId="77777777" w:rsidR="00AB4CC5" w:rsidRPr="00D07529" w:rsidRDefault="00AB4CC5" w:rsidP="00550391">
            <w:pPr>
              <w:keepNext/>
              <w:keepLines/>
              <w:tabs>
                <w:tab w:val="left" w:pos="1304"/>
              </w:tabs>
              <w:rPr>
                <w:i/>
                <w:iCs/>
                <w:noProof/>
                <w:sz w:val="24"/>
                <w:szCs w:val="24"/>
              </w:rPr>
            </w:pPr>
            <w:r w:rsidRPr="00D07529">
              <w:rPr>
                <w:i/>
                <w:sz w:val="24"/>
                <w:szCs w:val="24"/>
              </w:rPr>
              <w:t>Almene symptomer og reaktioner på administrationsstedet</w:t>
            </w:r>
          </w:p>
        </w:tc>
        <w:tc>
          <w:tcPr>
            <w:tcW w:w="854" w:type="pct"/>
            <w:tcBorders>
              <w:top w:val="single" w:sz="4" w:space="0" w:color="auto"/>
              <w:left w:val="single" w:sz="4" w:space="0" w:color="auto"/>
              <w:bottom w:val="single" w:sz="4" w:space="0" w:color="auto"/>
              <w:right w:val="nil"/>
            </w:tcBorders>
            <w:shd w:val="clear" w:color="auto" w:fill="FFFFFF"/>
            <w:hideMark/>
          </w:tcPr>
          <w:p w14:paraId="09108E3A" w14:textId="77777777" w:rsidR="00AB4CC5" w:rsidRPr="00D07529" w:rsidRDefault="00AB4CC5" w:rsidP="00550391">
            <w:pPr>
              <w:keepNext/>
              <w:keepLines/>
              <w:tabs>
                <w:tab w:val="left" w:pos="1304"/>
              </w:tabs>
              <w:rPr>
                <w:rStyle w:val="Bodytext2"/>
                <w:rFonts w:ascii="Times New Roman" w:hAnsi="Times New Roman" w:cs="Times New Roman"/>
                <w:sz w:val="24"/>
                <w:szCs w:val="24"/>
              </w:rPr>
            </w:pPr>
            <w:r w:rsidRPr="00D07529">
              <w:rPr>
                <w:rStyle w:val="Bodytext2"/>
                <w:rFonts w:ascii="Times New Roman" w:hAnsi="Times New Roman" w:cs="Times New Roman"/>
                <w:sz w:val="24"/>
                <w:szCs w:val="24"/>
              </w:rPr>
              <w:t>Meget sjælden</w:t>
            </w:r>
          </w:p>
        </w:tc>
        <w:tc>
          <w:tcPr>
            <w:tcW w:w="2479" w:type="pct"/>
            <w:tcBorders>
              <w:top w:val="single" w:sz="4" w:space="0" w:color="auto"/>
              <w:left w:val="single" w:sz="4" w:space="0" w:color="auto"/>
              <w:bottom w:val="single" w:sz="4" w:space="0" w:color="auto"/>
              <w:right w:val="single" w:sz="4" w:space="0" w:color="auto"/>
            </w:tcBorders>
            <w:shd w:val="clear" w:color="auto" w:fill="FFFFFF"/>
            <w:hideMark/>
          </w:tcPr>
          <w:p w14:paraId="5B2D002A" w14:textId="77777777" w:rsidR="00AB4CC5" w:rsidRPr="00D07529" w:rsidRDefault="00AB4CC5" w:rsidP="00550391">
            <w:pPr>
              <w:keepNext/>
              <w:keepLines/>
              <w:tabs>
                <w:tab w:val="left" w:pos="1304"/>
              </w:tabs>
              <w:rPr>
                <w:rStyle w:val="Bodytext2"/>
                <w:rFonts w:ascii="Times New Roman" w:hAnsi="Times New Roman" w:cs="Times New Roman"/>
                <w:sz w:val="24"/>
                <w:szCs w:val="24"/>
              </w:rPr>
            </w:pPr>
            <w:r w:rsidRPr="00D07529">
              <w:rPr>
                <w:rStyle w:val="Bodytext2"/>
                <w:rFonts w:ascii="Times New Roman" w:hAnsi="Times New Roman" w:cs="Times New Roman"/>
                <w:sz w:val="24"/>
                <w:szCs w:val="24"/>
              </w:rPr>
              <w:t>Feber</w:t>
            </w:r>
            <w:r w:rsidRPr="00D07529">
              <w:rPr>
                <w:rStyle w:val="Bodytext2"/>
                <w:rFonts w:ascii="Times New Roman" w:hAnsi="Times New Roman" w:cs="Times New Roman"/>
                <w:sz w:val="24"/>
                <w:szCs w:val="24"/>
                <w:vertAlign w:val="superscript"/>
              </w:rPr>
              <w:t>3</w:t>
            </w:r>
          </w:p>
        </w:tc>
      </w:tr>
    </w:tbl>
    <w:p w14:paraId="517A47AB" w14:textId="77777777" w:rsidR="00AB4CC5" w:rsidRPr="00D07529" w:rsidRDefault="00AB4CC5" w:rsidP="00D07529">
      <w:r w:rsidRPr="00D07529">
        <w:rPr>
          <w:vertAlign w:val="superscript"/>
        </w:rPr>
        <w:t xml:space="preserve">1 </w:t>
      </w:r>
      <w:r w:rsidRPr="00D07529">
        <w:rPr>
          <w:rStyle w:val="Bodytext2"/>
          <w:rFonts w:ascii="Times New Roman" w:hAnsi="Times New Roman" w:cs="Times New Roman"/>
          <w:sz w:val="24"/>
          <w:szCs w:val="24"/>
        </w:rPr>
        <w:t>Disse er reversible, når behandlingen afbrydes</w:t>
      </w:r>
    </w:p>
    <w:p w14:paraId="5B1C5299" w14:textId="77777777" w:rsidR="00AB4CC5" w:rsidRPr="00D07529" w:rsidRDefault="00AB4CC5" w:rsidP="00D07529">
      <w:r w:rsidRPr="00D07529">
        <w:rPr>
          <w:vertAlign w:val="superscript"/>
        </w:rPr>
        <w:t>2</w:t>
      </w:r>
      <w:r w:rsidRPr="00D07529">
        <w:t xml:space="preserve"> </w:t>
      </w:r>
      <w:proofErr w:type="spellStart"/>
      <w:r w:rsidRPr="00D07529">
        <w:t>Øsofagit</w:t>
      </w:r>
      <w:proofErr w:type="spellEnd"/>
      <w:r w:rsidRPr="00D07529">
        <w:t xml:space="preserve">, halsbrand, irritation i svælget, </w:t>
      </w:r>
      <w:proofErr w:type="spellStart"/>
      <w:r w:rsidRPr="00D07529">
        <w:t>orofaryngeale</w:t>
      </w:r>
      <w:proofErr w:type="spellEnd"/>
      <w:r w:rsidRPr="00D07529">
        <w:t xml:space="preserve"> smerter eller smerter i munden.</w:t>
      </w:r>
    </w:p>
    <w:p w14:paraId="68998B80" w14:textId="77777777" w:rsidR="00AB4CC5" w:rsidRPr="00D07529" w:rsidRDefault="00AB4CC5" w:rsidP="00D07529">
      <w:r w:rsidRPr="00D07529">
        <w:rPr>
          <w:vertAlign w:val="superscript"/>
        </w:rPr>
        <w:t xml:space="preserve">3 </w:t>
      </w:r>
      <w:r w:rsidRPr="00D07529">
        <w:rPr>
          <w:rStyle w:val="Bodytext2"/>
          <w:rFonts w:ascii="Times New Roman" w:hAnsi="Times New Roman" w:cs="Times New Roman"/>
          <w:sz w:val="24"/>
          <w:szCs w:val="24"/>
        </w:rPr>
        <w:t>Udvikles af og til mere end 48 timer efter behandlingsstart.</w:t>
      </w:r>
    </w:p>
    <w:p w14:paraId="6589981F" w14:textId="77777777" w:rsidR="00AB4CC5" w:rsidRPr="00D07529" w:rsidRDefault="00AB4CC5" w:rsidP="00AB4CC5">
      <w:pPr>
        <w:tabs>
          <w:tab w:val="left" w:pos="1304"/>
        </w:tabs>
        <w:rPr>
          <w:sz w:val="24"/>
          <w:szCs w:val="24"/>
        </w:rPr>
      </w:pPr>
    </w:p>
    <w:p w14:paraId="6A9DC94E" w14:textId="77777777" w:rsidR="00AB4CC5" w:rsidRPr="00D07529" w:rsidRDefault="00AB4CC5" w:rsidP="00D07529">
      <w:pPr>
        <w:ind w:left="851"/>
        <w:rPr>
          <w:b/>
          <w:sz w:val="24"/>
          <w:szCs w:val="24"/>
        </w:rPr>
      </w:pPr>
      <w:r w:rsidRPr="00D07529">
        <w:rPr>
          <w:b/>
          <w:sz w:val="24"/>
          <w:szCs w:val="24"/>
        </w:rPr>
        <w:t>*Lever og galdeveje</w:t>
      </w:r>
    </w:p>
    <w:p w14:paraId="4240B2B1" w14:textId="77777777" w:rsidR="00AB4CC5" w:rsidRPr="00D07529" w:rsidRDefault="00AB4CC5" w:rsidP="00D07529">
      <w:pPr>
        <w:ind w:left="851"/>
        <w:rPr>
          <w:sz w:val="24"/>
          <w:szCs w:val="24"/>
        </w:rPr>
      </w:pPr>
      <w:r w:rsidRPr="00D07529">
        <w:rPr>
          <w:sz w:val="24"/>
          <w:szCs w:val="24"/>
        </w:rPr>
        <w:t xml:space="preserve">Brug af </w:t>
      </w:r>
      <w:proofErr w:type="spellStart"/>
      <w:r w:rsidRPr="00D07529">
        <w:rPr>
          <w:sz w:val="24"/>
          <w:szCs w:val="24"/>
        </w:rPr>
        <w:t>flucloxacillin</w:t>
      </w:r>
      <w:proofErr w:type="spellEnd"/>
      <w:r w:rsidRPr="00D07529">
        <w:rPr>
          <w:sz w:val="24"/>
          <w:szCs w:val="24"/>
        </w:rPr>
        <w:t xml:space="preserve"> medfører risiko for leverskade. Denne risiko er sjælden, men stiger sandsynligvis med alderen og ved langtidsbehandling (se pkt. 4.4).</w:t>
      </w:r>
    </w:p>
    <w:p w14:paraId="471405B8" w14:textId="77777777" w:rsidR="00AB4CC5" w:rsidRPr="00D07529" w:rsidRDefault="00AB4CC5" w:rsidP="00D07529">
      <w:pPr>
        <w:ind w:left="851"/>
        <w:rPr>
          <w:sz w:val="24"/>
          <w:szCs w:val="24"/>
        </w:rPr>
      </w:pPr>
    </w:p>
    <w:p w14:paraId="662C4061" w14:textId="77777777" w:rsidR="00AB4CC5" w:rsidRPr="00D07529" w:rsidRDefault="00AB4CC5" w:rsidP="00D07529">
      <w:pPr>
        <w:ind w:left="851"/>
        <w:rPr>
          <w:sz w:val="24"/>
          <w:szCs w:val="24"/>
        </w:rPr>
      </w:pPr>
      <w:r w:rsidRPr="00D07529">
        <w:rPr>
          <w:sz w:val="24"/>
          <w:szCs w:val="24"/>
        </w:rPr>
        <w:t xml:space="preserve">Der foreligger oplysninger, som indikerer, at risikoen for </w:t>
      </w:r>
      <w:proofErr w:type="spellStart"/>
      <w:r w:rsidRPr="00D07529">
        <w:rPr>
          <w:sz w:val="24"/>
          <w:szCs w:val="24"/>
        </w:rPr>
        <w:t>flucloxacillin</w:t>
      </w:r>
      <w:proofErr w:type="spellEnd"/>
      <w:r w:rsidRPr="00D07529">
        <w:rPr>
          <w:sz w:val="24"/>
          <w:szCs w:val="24"/>
        </w:rPr>
        <w:t xml:space="preserve">-udløst leverskade stiger hos patienter, som er bærer af HLA-B*5701-allelet. Trods denne signifikante forbindelse får kun 1 ud af 500–1000 bærere leverskade. Det betyder, at den positive prædiktive værdi af test for HLA-B*5701-allelet i forbindelse med leverskade er meget lav (0,12 %), og rutinemæssig screening for </w:t>
      </w:r>
      <w:proofErr w:type="gramStart"/>
      <w:r w:rsidRPr="00D07529">
        <w:rPr>
          <w:sz w:val="24"/>
          <w:szCs w:val="24"/>
        </w:rPr>
        <w:t>dette allel</w:t>
      </w:r>
      <w:proofErr w:type="gramEnd"/>
      <w:r w:rsidRPr="00D07529">
        <w:rPr>
          <w:sz w:val="24"/>
          <w:szCs w:val="24"/>
        </w:rPr>
        <w:t xml:space="preserve"> anbefales ikke.</w:t>
      </w:r>
    </w:p>
    <w:p w14:paraId="4AAEAF97" w14:textId="77777777" w:rsidR="00AB4CC5" w:rsidRPr="00D07529" w:rsidRDefault="00AB4CC5" w:rsidP="00D07529">
      <w:pPr>
        <w:ind w:left="851"/>
        <w:rPr>
          <w:sz w:val="24"/>
          <w:szCs w:val="24"/>
        </w:rPr>
      </w:pPr>
    </w:p>
    <w:p w14:paraId="2A931257" w14:textId="77777777" w:rsidR="00AB4CC5" w:rsidRPr="00D07529" w:rsidRDefault="00AB4CC5" w:rsidP="00D07529">
      <w:pPr>
        <w:ind w:left="851"/>
        <w:rPr>
          <w:b/>
          <w:sz w:val="24"/>
          <w:szCs w:val="24"/>
        </w:rPr>
      </w:pPr>
      <w:r w:rsidRPr="00D07529">
        <w:rPr>
          <w:b/>
          <w:sz w:val="24"/>
          <w:szCs w:val="24"/>
        </w:rPr>
        <w:t>Metabolisme og ernæring</w:t>
      </w:r>
    </w:p>
    <w:p w14:paraId="67336F51" w14:textId="77777777" w:rsidR="00AB4CC5" w:rsidRPr="00D07529" w:rsidRDefault="00AB4CC5" w:rsidP="00D07529">
      <w:pPr>
        <w:ind w:left="851"/>
        <w:rPr>
          <w:sz w:val="24"/>
          <w:szCs w:val="24"/>
        </w:rPr>
      </w:pPr>
      <w:r w:rsidRPr="00D07529">
        <w:rPr>
          <w:sz w:val="24"/>
          <w:szCs w:val="24"/>
        </w:rPr>
        <w:t xml:space="preserve">Erfaring efter markedsføring: Meget sjældne tilfælde af metabolisk </w:t>
      </w:r>
      <w:proofErr w:type="spellStart"/>
      <w:r w:rsidRPr="00D07529">
        <w:rPr>
          <w:sz w:val="24"/>
          <w:szCs w:val="24"/>
        </w:rPr>
        <w:t>acidose</w:t>
      </w:r>
      <w:proofErr w:type="spellEnd"/>
      <w:r w:rsidRPr="00D07529">
        <w:rPr>
          <w:sz w:val="24"/>
          <w:szCs w:val="24"/>
        </w:rPr>
        <w:t xml:space="preserve"> med højt anion-</w:t>
      </w:r>
      <w:proofErr w:type="spellStart"/>
      <w:r w:rsidRPr="00D07529">
        <w:rPr>
          <w:sz w:val="24"/>
          <w:szCs w:val="24"/>
        </w:rPr>
        <w:t>gap</w:t>
      </w:r>
      <w:proofErr w:type="spellEnd"/>
      <w:r w:rsidRPr="00D07529">
        <w:rPr>
          <w:sz w:val="24"/>
          <w:szCs w:val="24"/>
        </w:rPr>
        <w:t xml:space="preserve">, når </w:t>
      </w:r>
      <w:proofErr w:type="spellStart"/>
      <w:r w:rsidRPr="00D07529">
        <w:rPr>
          <w:sz w:val="24"/>
          <w:szCs w:val="24"/>
        </w:rPr>
        <w:t>flucloxacillin</w:t>
      </w:r>
      <w:proofErr w:type="spellEnd"/>
      <w:r w:rsidRPr="00D07529">
        <w:rPr>
          <w:sz w:val="24"/>
          <w:szCs w:val="24"/>
        </w:rPr>
        <w:t xml:space="preserve"> anvendes samtidigt med paracetamol, især ved tilstedeværelse af risikofaktorer (se pkt. 4.4.).</w:t>
      </w:r>
    </w:p>
    <w:p w14:paraId="3B425CDA" w14:textId="77777777" w:rsidR="00AB4CC5" w:rsidRPr="00D07529" w:rsidRDefault="00AB4CC5" w:rsidP="00D07529">
      <w:pPr>
        <w:ind w:left="851"/>
        <w:rPr>
          <w:sz w:val="24"/>
          <w:szCs w:val="24"/>
          <w:u w:val="single"/>
        </w:rPr>
      </w:pPr>
    </w:p>
    <w:p w14:paraId="7BF0FCA5" w14:textId="77777777" w:rsidR="00AB4CC5" w:rsidRPr="00D07529" w:rsidRDefault="00AB4CC5" w:rsidP="00D07529">
      <w:pPr>
        <w:ind w:left="851"/>
        <w:rPr>
          <w:sz w:val="24"/>
          <w:szCs w:val="24"/>
          <w:u w:val="single"/>
        </w:rPr>
      </w:pPr>
      <w:r w:rsidRPr="00D07529">
        <w:rPr>
          <w:sz w:val="24"/>
          <w:szCs w:val="24"/>
          <w:u w:val="single"/>
        </w:rPr>
        <w:t>Indberetning af formodede bivirkninger</w:t>
      </w:r>
    </w:p>
    <w:p w14:paraId="671943E5" w14:textId="77777777" w:rsidR="00AB4CC5" w:rsidRPr="00D07529" w:rsidRDefault="00AB4CC5" w:rsidP="00D07529">
      <w:pPr>
        <w:ind w:left="851"/>
        <w:rPr>
          <w:sz w:val="24"/>
          <w:szCs w:val="24"/>
        </w:rPr>
      </w:pPr>
      <w:r w:rsidRPr="00D07529">
        <w:rPr>
          <w:sz w:val="24"/>
          <w:szCs w:val="24"/>
        </w:rPr>
        <w:t>Når lægemidlet er godkendt, er indberetning af formodede bivirkninger vigtig. Det muliggør løbende overvågning af benefit/</w:t>
      </w:r>
      <w:proofErr w:type="spellStart"/>
      <w:r w:rsidRPr="00D07529">
        <w:rPr>
          <w:sz w:val="24"/>
          <w:szCs w:val="24"/>
        </w:rPr>
        <w:t>risk</w:t>
      </w:r>
      <w:proofErr w:type="spellEnd"/>
      <w:r w:rsidRPr="00D07529">
        <w:rPr>
          <w:sz w:val="24"/>
          <w:szCs w:val="24"/>
        </w:rPr>
        <w:t>-forholdet for lægemidlet. Sundhedspersoner anmodes om at indberette formodede bivirkninger via:</w:t>
      </w:r>
    </w:p>
    <w:p w14:paraId="4F4E8F11" w14:textId="77777777" w:rsidR="00AB4CC5" w:rsidRPr="00D07529" w:rsidRDefault="00AB4CC5" w:rsidP="00D07529">
      <w:pPr>
        <w:ind w:left="851"/>
        <w:rPr>
          <w:sz w:val="24"/>
          <w:szCs w:val="24"/>
        </w:rPr>
      </w:pPr>
    </w:p>
    <w:p w14:paraId="13D36814" w14:textId="77777777" w:rsidR="00AB4CC5" w:rsidRPr="00D07529" w:rsidRDefault="00AB4CC5" w:rsidP="00D07529">
      <w:pPr>
        <w:ind w:left="851"/>
        <w:rPr>
          <w:rFonts w:eastAsia="Calibri"/>
          <w:color w:val="000000"/>
          <w:sz w:val="24"/>
          <w:szCs w:val="24"/>
          <w:lang w:eastAsia="zh-CN"/>
        </w:rPr>
      </w:pPr>
      <w:r w:rsidRPr="00D07529">
        <w:rPr>
          <w:sz w:val="24"/>
          <w:szCs w:val="24"/>
        </w:rPr>
        <w:t>Lægemiddelstyrelsen</w:t>
      </w:r>
    </w:p>
    <w:p w14:paraId="304C8622" w14:textId="77777777" w:rsidR="00AB4CC5" w:rsidRPr="00D07529" w:rsidRDefault="00AB4CC5" w:rsidP="00D07529">
      <w:pPr>
        <w:ind w:left="851"/>
        <w:rPr>
          <w:rFonts w:eastAsia="Calibri"/>
          <w:noProof/>
          <w:sz w:val="24"/>
          <w:szCs w:val="24"/>
          <w:lang w:eastAsia="zh-CN"/>
        </w:rPr>
      </w:pPr>
      <w:r w:rsidRPr="00D07529">
        <w:rPr>
          <w:rFonts w:eastAsia="Calibri"/>
          <w:sz w:val="24"/>
          <w:szCs w:val="24"/>
          <w:lang w:eastAsia="zh-CN"/>
        </w:rPr>
        <w:t>Axel Heides Gade 1</w:t>
      </w:r>
    </w:p>
    <w:p w14:paraId="02C2890B" w14:textId="77777777" w:rsidR="00AB4CC5" w:rsidRPr="00D07529" w:rsidRDefault="00AB4CC5" w:rsidP="00D07529">
      <w:pPr>
        <w:ind w:left="851"/>
        <w:rPr>
          <w:rFonts w:eastAsia="Calibri"/>
          <w:noProof/>
          <w:sz w:val="24"/>
          <w:szCs w:val="24"/>
          <w:lang w:eastAsia="zh-CN"/>
        </w:rPr>
      </w:pPr>
      <w:r w:rsidRPr="00D07529">
        <w:rPr>
          <w:rFonts w:eastAsia="Calibri"/>
          <w:noProof/>
          <w:sz w:val="24"/>
          <w:szCs w:val="24"/>
          <w:lang w:eastAsia="zh-CN"/>
        </w:rPr>
        <w:t xml:space="preserve">DK-2300 </w:t>
      </w:r>
      <w:r w:rsidRPr="00D07529">
        <w:rPr>
          <w:rFonts w:eastAsia="Calibri"/>
          <w:sz w:val="24"/>
          <w:szCs w:val="24"/>
          <w:lang w:eastAsia="zh-CN"/>
        </w:rPr>
        <w:t>København S</w:t>
      </w:r>
    </w:p>
    <w:p w14:paraId="7C10116E" w14:textId="77777777" w:rsidR="00AB4CC5" w:rsidRPr="00D07529" w:rsidRDefault="00AB4CC5" w:rsidP="00D07529">
      <w:pPr>
        <w:ind w:left="851"/>
        <w:rPr>
          <w:rFonts w:eastAsia="Calibri"/>
          <w:noProof/>
          <w:sz w:val="24"/>
          <w:szCs w:val="24"/>
          <w:lang w:eastAsia="zh-CN"/>
        </w:rPr>
      </w:pPr>
      <w:r w:rsidRPr="00D07529">
        <w:rPr>
          <w:rFonts w:eastAsia="Calibri"/>
          <w:sz w:val="24"/>
          <w:szCs w:val="24"/>
          <w:lang w:eastAsia="zh-CN"/>
        </w:rPr>
        <w:t>Websted</w:t>
      </w:r>
      <w:r w:rsidRPr="00D07529">
        <w:rPr>
          <w:rFonts w:eastAsia="Calibri"/>
          <w:noProof/>
          <w:sz w:val="24"/>
          <w:szCs w:val="24"/>
          <w:lang w:eastAsia="zh-CN"/>
        </w:rPr>
        <w:t xml:space="preserve">: </w:t>
      </w:r>
      <w:hyperlink r:id="rId8" w:history="1">
        <w:r w:rsidRPr="00D07529">
          <w:rPr>
            <w:rStyle w:val="Hyperlink"/>
            <w:rFonts w:eastAsia="Calibri"/>
            <w:noProof/>
            <w:sz w:val="24"/>
            <w:szCs w:val="24"/>
            <w:lang w:eastAsia="zh-CN"/>
          </w:rPr>
          <w:t>www.meldenbivirkning.dk</w:t>
        </w:r>
      </w:hyperlink>
    </w:p>
    <w:p w14:paraId="0E46600B" w14:textId="56FE0C50" w:rsidR="00550391" w:rsidRDefault="00550391">
      <w:pPr>
        <w:rPr>
          <w:sz w:val="24"/>
          <w:szCs w:val="24"/>
        </w:rPr>
      </w:pPr>
      <w:r>
        <w:rPr>
          <w:sz w:val="24"/>
          <w:szCs w:val="24"/>
        </w:rPr>
        <w:br w:type="page"/>
      </w:r>
    </w:p>
    <w:p w14:paraId="6B2B31C6" w14:textId="77777777" w:rsidR="009260DE" w:rsidRPr="00D07529" w:rsidRDefault="009260DE" w:rsidP="00A10294">
      <w:pPr>
        <w:tabs>
          <w:tab w:val="left" w:pos="851"/>
        </w:tabs>
        <w:ind w:left="851"/>
        <w:rPr>
          <w:sz w:val="24"/>
          <w:szCs w:val="24"/>
        </w:rPr>
      </w:pPr>
    </w:p>
    <w:p w14:paraId="3CDF508D" w14:textId="77777777" w:rsidR="009260DE" w:rsidRPr="00D07529" w:rsidRDefault="009260DE" w:rsidP="009260DE">
      <w:pPr>
        <w:tabs>
          <w:tab w:val="left" w:pos="851"/>
        </w:tabs>
        <w:ind w:left="851" w:hanging="851"/>
        <w:rPr>
          <w:b/>
          <w:sz w:val="24"/>
          <w:szCs w:val="24"/>
        </w:rPr>
      </w:pPr>
      <w:r w:rsidRPr="00D07529">
        <w:rPr>
          <w:b/>
          <w:sz w:val="24"/>
          <w:szCs w:val="24"/>
        </w:rPr>
        <w:t>4.9</w:t>
      </w:r>
      <w:r w:rsidRPr="00D07529">
        <w:rPr>
          <w:b/>
          <w:sz w:val="24"/>
          <w:szCs w:val="24"/>
        </w:rPr>
        <w:tab/>
        <w:t>Overdosering</w:t>
      </w:r>
    </w:p>
    <w:p w14:paraId="760BF405" w14:textId="77777777" w:rsidR="00D07529" w:rsidRDefault="00D07529" w:rsidP="00D07529">
      <w:pPr>
        <w:ind w:left="851"/>
        <w:rPr>
          <w:rStyle w:val="Bodytext2Italic"/>
          <w:rFonts w:ascii="Times New Roman" w:hAnsi="Times New Roman" w:cs="Times New Roman"/>
          <w:sz w:val="24"/>
          <w:szCs w:val="24"/>
          <w:u w:val="single"/>
        </w:rPr>
      </w:pPr>
    </w:p>
    <w:p w14:paraId="7E4ECE30" w14:textId="727E6595" w:rsidR="00AB4CC5" w:rsidRPr="00D07529" w:rsidRDefault="00AB4CC5" w:rsidP="00D07529">
      <w:pPr>
        <w:ind w:left="851"/>
        <w:rPr>
          <w:i/>
          <w:sz w:val="24"/>
          <w:szCs w:val="24"/>
        </w:rPr>
      </w:pPr>
      <w:r w:rsidRPr="00D07529">
        <w:rPr>
          <w:rStyle w:val="Bodytext2Italic"/>
          <w:rFonts w:ascii="Times New Roman" w:hAnsi="Times New Roman" w:cs="Times New Roman"/>
          <w:i w:val="0"/>
          <w:sz w:val="24"/>
          <w:szCs w:val="24"/>
          <w:u w:val="single"/>
        </w:rPr>
        <w:t>Toksicitet</w:t>
      </w:r>
    </w:p>
    <w:p w14:paraId="304903BF" w14:textId="77777777" w:rsidR="00AB4CC5" w:rsidRPr="00D07529" w:rsidRDefault="00AB4CC5" w:rsidP="00D07529">
      <w:pPr>
        <w:ind w:left="851"/>
        <w:rPr>
          <w:sz w:val="24"/>
          <w:szCs w:val="24"/>
        </w:rPr>
      </w:pPr>
      <w:r w:rsidRPr="00D07529">
        <w:rPr>
          <w:sz w:val="24"/>
          <w:szCs w:val="24"/>
        </w:rPr>
        <w:t>Store doser tolereres sædvanligvis godt. Akutte reaktioner er sædvanligvis relateret til overfølsomhed.</w:t>
      </w:r>
    </w:p>
    <w:p w14:paraId="7C21770C" w14:textId="77777777" w:rsidR="00AB4CC5" w:rsidRPr="00D07529" w:rsidRDefault="00AB4CC5" w:rsidP="00D07529">
      <w:pPr>
        <w:ind w:left="851"/>
        <w:rPr>
          <w:sz w:val="24"/>
          <w:szCs w:val="24"/>
        </w:rPr>
      </w:pPr>
    </w:p>
    <w:p w14:paraId="2AE0FE33" w14:textId="77777777" w:rsidR="00AB4CC5" w:rsidRPr="00D07529" w:rsidRDefault="00AB4CC5" w:rsidP="00D07529">
      <w:pPr>
        <w:ind w:left="851"/>
        <w:rPr>
          <w:i/>
          <w:sz w:val="24"/>
          <w:szCs w:val="24"/>
        </w:rPr>
      </w:pPr>
      <w:r w:rsidRPr="00D07529">
        <w:rPr>
          <w:rStyle w:val="Bodytext2Italic"/>
          <w:rFonts w:ascii="Times New Roman" w:hAnsi="Times New Roman" w:cs="Times New Roman"/>
          <w:i w:val="0"/>
          <w:sz w:val="24"/>
          <w:szCs w:val="24"/>
          <w:u w:val="single"/>
        </w:rPr>
        <w:t>Symptomer</w:t>
      </w:r>
    </w:p>
    <w:p w14:paraId="1484A14E" w14:textId="77777777" w:rsidR="00AB4CC5" w:rsidRPr="00D07529" w:rsidRDefault="00AB4CC5" w:rsidP="00D07529">
      <w:pPr>
        <w:ind w:left="851"/>
        <w:rPr>
          <w:sz w:val="24"/>
          <w:szCs w:val="24"/>
        </w:rPr>
      </w:pPr>
      <w:r w:rsidRPr="00D07529">
        <w:rPr>
          <w:sz w:val="24"/>
          <w:szCs w:val="24"/>
        </w:rPr>
        <w:t xml:space="preserve">Toksiske reaktioner; kvalme, opkastning, diarré, elektrolytforstyrrelser, nedsat bevidsthedsniveau, </w:t>
      </w:r>
      <w:proofErr w:type="spellStart"/>
      <w:r w:rsidRPr="00D07529">
        <w:rPr>
          <w:sz w:val="24"/>
          <w:szCs w:val="24"/>
        </w:rPr>
        <w:t>muskelfascikulationer</w:t>
      </w:r>
      <w:proofErr w:type="spellEnd"/>
      <w:r w:rsidRPr="00D07529">
        <w:rPr>
          <w:sz w:val="24"/>
          <w:szCs w:val="24"/>
        </w:rPr>
        <w:t xml:space="preserve">, </w:t>
      </w:r>
      <w:proofErr w:type="spellStart"/>
      <w:r w:rsidRPr="00D07529">
        <w:rPr>
          <w:sz w:val="24"/>
          <w:szCs w:val="24"/>
        </w:rPr>
        <w:t>myoklonus</w:t>
      </w:r>
      <w:proofErr w:type="spellEnd"/>
      <w:r w:rsidRPr="00D07529">
        <w:rPr>
          <w:sz w:val="24"/>
          <w:szCs w:val="24"/>
        </w:rPr>
        <w:t xml:space="preserve">, kramper, koma, </w:t>
      </w:r>
      <w:proofErr w:type="spellStart"/>
      <w:r w:rsidRPr="00D07529">
        <w:rPr>
          <w:sz w:val="24"/>
          <w:szCs w:val="24"/>
        </w:rPr>
        <w:t>hæmolytiske</w:t>
      </w:r>
      <w:proofErr w:type="spellEnd"/>
      <w:r w:rsidRPr="00D07529">
        <w:rPr>
          <w:sz w:val="24"/>
          <w:szCs w:val="24"/>
        </w:rPr>
        <w:t xml:space="preserve"> reaktioner, nyresvigt, </w:t>
      </w:r>
      <w:proofErr w:type="spellStart"/>
      <w:r w:rsidRPr="00D07529">
        <w:rPr>
          <w:sz w:val="24"/>
          <w:szCs w:val="24"/>
        </w:rPr>
        <w:t>acidose</w:t>
      </w:r>
      <w:proofErr w:type="spellEnd"/>
      <w:r w:rsidRPr="00D07529">
        <w:rPr>
          <w:sz w:val="24"/>
          <w:szCs w:val="24"/>
        </w:rPr>
        <w:t>.</w:t>
      </w:r>
    </w:p>
    <w:p w14:paraId="3F2CD858" w14:textId="77777777" w:rsidR="00AB4CC5" w:rsidRPr="00D07529" w:rsidRDefault="00AB4CC5" w:rsidP="00D07529">
      <w:pPr>
        <w:ind w:left="851"/>
        <w:rPr>
          <w:sz w:val="24"/>
          <w:szCs w:val="24"/>
        </w:rPr>
      </w:pPr>
      <w:r w:rsidRPr="00D07529">
        <w:rPr>
          <w:sz w:val="24"/>
          <w:szCs w:val="24"/>
        </w:rPr>
        <w:t xml:space="preserve">I undtagelsestilfælde kan </w:t>
      </w:r>
      <w:proofErr w:type="spellStart"/>
      <w:r w:rsidRPr="00D07529">
        <w:rPr>
          <w:sz w:val="24"/>
          <w:szCs w:val="24"/>
        </w:rPr>
        <w:t>anafylaktisk</w:t>
      </w:r>
      <w:proofErr w:type="spellEnd"/>
      <w:r w:rsidRPr="00D07529">
        <w:rPr>
          <w:sz w:val="24"/>
          <w:szCs w:val="24"/>
        </w:rPr>
        <w:t xml:space="preserve"> </w:t>
      </w:r>
      <w:proofErr w:type="spellStart"/>
      <w:r w:rsidRPr="00D07529">
        <w:rPr>
          <w:sz w:val="24"/>
          <w:szCs w:val="24"/>
        </w:rPr>
        <w:t>shock</w:t>
      </w:r>
      <w:proofErr w:type="spellEnd"/>
      <w:r w:rsidRPr="00D07529">
        <w:rPr>
          <w:sz w:val="24"/>
          <w:szCs w:val="24"/>
        </w:rPr>
        <w:t xml:space="preserve"> forekomme inden for 20–40 minutter.</w:t>
      </w:r>
    </w:p>
    <w:p w14:paraId="36748BD9" w14:textId="77777777" w:rsidR="00AB4CC5" w:rsidRPr="00D07529" w:rsidRDefault="00AB4CC5" w:rsidP="00D07529">
      <w:pPr>
        <w:ind w:left="851"/>
        <w:rPr>
          <w:rStyle w:val="Bodytext2Italic"/>
          <w:rFonts w:ascii="Times New Roman" w:hAnsi="Times New Roman" w:cs="Times New Roman"/>
          <w:i w:val="0"/>
          <w:iCs w:val="0"/>
          <w:sz w:val="24"/>
          <w:szCs w:val="24"/>
          <w:u w:val="single"/>
        </w:rPr>
      </w:pPr>
    </w:p>
    <w:p w14:paraId="3025E28B" w14:textId="77777777" w:rsidR="00AB4CC5" w:rsidRPr="00D07529" w:rsidRDefault="00AB4CC5" w:rsidP="00D07529">
      <w:pPr>
        <w:ind w:left="851"/>
        <w:rPr>
          <w:i/>
          <w:sz w:val="24"/>
          <w:szCs w:val="24"/>
        </w:rPr>
      </w:pPr>
      <w:r w:rsidRPr="00D07529">
        <w:rPr>
          <w:rStyle w:val="Bodytext2Italic"/>
          <w:rFonts w:ascii="Times New Roman" w:hAnsi="Times New Roman" w:cs="Times New Roman"/>
          <w:i w:val="0"/>
          <w:sz w:val="24"/>
          <w:szCs w:val="24"/>
          <w:u w:val="single"/>
        </w:rPr>
        <w:t>Behandling</w:t>
      </w:r>
    </w:p>
    <w:p w14:paraId="3870B8C0" w14:textId="77777777" w:rsidR="00AB4CC5" w:rsidRPr="00D07529" w:rsidRDefault="00AB4CC5" w:rsidP="00D07529">
      <w:pPr>
        <w:ind w:left="851"/>
        <w:rPr>
          <w:sz w:val="24"/>
          <w:szCs w:val="24"/>
        </w:rPr>
      </w:pPr>
      <w:r w:rsidRPr="00D07529">
        <w:rPr>
          <w:sz w:val="24"/>
          <w:szCs w:val="24"/>
        </w:rPr>
        <w:t xml:space="preserve">Hvis det er relevant, ventrikelaspiration, </w:t>
      </w:r>
      <w:r w:rsidRPr="00D07529">
        <w:rPr>
          <w:rStyle w:val="Fremhv"/>
          <w:sz w:val="24"/>
          <w:szCs w:val="24"/>
        </w:rPr>
        <w:t>aktivt kul</w:t>
      </w:r>
      <w:r w:rsidRPr="00D07529">
        <w:rPr>
          <w:sz w:val="24"/>
          <w:szCs w:val="24"/>
        </w:rPr>
        <w:t>. Symptomatisk behandling.</w:t>
      </w:r>
    </w:p>
    <w:p w14:paraId="59856833" w14:textId="77777777" w:rsidR="009260DE" w:rsidRPr="00D07529" w:rsidRDefault="009260DE" w:rsidP="009260DE">
      <w:pPr>
        <w:tabs>
          <w:tab w:val="left" w:pos="851"/>
        </w:tabs>
        <w:ind w:left="851"/>
        <w:rPr>
          <w:sz w:val="24"/>
          <w:szCs w:val="24"/>
        </w:rPr>
      </w:pPr>
    </w:p>
    <w:p w14:paraId="6DFB616A" w14:textId="77777777" w:rsidR="009260DE" w:rsidRPr="00D07529" w:rsidRDefault="009260DE" w:rsidP="009260DE">
      <w:pPr>
        <w:tabs>
          <w:tab w:val="left" w:pos="851"/>
        </w:tabs>
        <w:ind w:left="851" w:hanging="851"/>
        <w:rPr>
          <w:b/>
          <w:sz w:val="24"/>
          <w:szCs w:val="24"/>
        </w:rPr>
      </w:pPr>
      <w:r w:rsidRPr="00D07529">
        <w:rPr>
          <w:b/>
          <w:sz w:val="24"/>
          <w:szCs w:val="24"/>
        </w:rPr>
        <w:t>4.10</w:t>
      </w:r>
      <w:r w:rsidRPr="00D07529">
        <w:rPr>
          <w:b/>
          <w:sz w:val="24"/>
          <w:szCs w:val="24"/>
        </w:rPr>
        <w:tab/>
        <w:t>Udlevering</w:t>
      </w:r>
    </w:p>
    <w:p w14:paraId="5FD50722" w14:textId="4B21C094" w:rsidR="009260DE" w:rsidRPr="00D07529" w:rsidRDefault="00D07529" w:rsidP="009260DE">
      <w:pPr>
        <w:tabs>
          <w:tab w:val="left" w:pos="851"/>
        </w:tabs>
        <w:ind w:left="851"/>
        <w:rPr>
          <w:sz w:val="24"/>
          <w:szCs w:val="24"/>
        </w:rPr>
      </w:pPr>
      <w:r w:rsidRPr="00D07529">
        <w:rPr>
          <w:sz w:val="24"/>
          <w:szCs w:val="24"/>
        </w:rPr>
        <w:t>B</w:t>
      </w:r>
    </w:p>
    <w:p w14:paraId="0A7F8549" w14:textId="77777777" w:rsidR="009260DE" w:rsidRPr="00D07529" w:rsidRDefault="009260DE" w:rsidP="009260DE">
      <w:pPr>
        <w:tabs>
          <w:tab w:val="left" w:pos="851"/>
        </w:tabs>
        <w:ind w:left="851"/>
        <w:rPr>
          <w:sz w:val="24"/>
          <w:szCs w:val="24"/>
        </w:rPr>
      </w:pPr>
    </w:p>
    <w:p w14:paraId="59290481" w14:textId="77777777" w:rsidR="009260DE" w:rsidRPr="00D07529" w:rsidRDefault="009260DE" w:rsidP="009260DE">
      <w:pPr>
        <w:tabs>
          <w:tab w:val="left" w:pos="851"/>
        </w:tabs>
        <w:ind w:left="851"/>
        <w:rPr>
          <w:sz w:val="24"/>
          <w:szCs w:val="24"/>
        </w:rPr>
      </w:pPr>
    </w:p>
    <w:p w14:paraId="159EB18B" w14:textId="77777777" w:rsidR="009260DE" w:rsidRPr="00D07529" w:rsidRDefault="009260DE" w:rsidP="009260DE">
      <w:pPr>
        <w:tabs>
          <w:tab w:val="left" w:pos="851"/>
        </w:tabs>
        <w:ind w:left="851" w:hanging="851"/>
        <w:rPr>
          <w:b/>
          <w:sz w:val="24"/>
          <w:szCs w:val="24"/>
        </w:rPr>
      </w:pPr>
      <w:r w:rsidRPr="00D07529">
        <w:rPr>
          <w:b/>
          <w:sz w:val="24"/>
          <w:szCs w:val="24"/>
        </w:rPr>
        <w:t>5.</w:t>
      </w:r>
      <w:r w:rsidRPr="00D07529">
        <w:rPr>
          <w:b/>
          <w:sz w:val="24"/>
          <w:szCs w:val="24"/>
        </w:rPr>
        <w:tab/>
        <w:t>FARMAKOLOGISKE EGENSKABER</w:t>
      </w:r>
    </w:p>
    <w:p w14:paraId="040DCB76" w14:textId="77777777" w:rsidR="009260DE" w:rsidRPr="00D07529" w:rsidRDefault="009260DE" w:rsidP="009260DE">
      <w:pPr>
        <w:tabs>
          <w:tab w:val="left" w:pos="851"/>
        </w:tabs>
        <w:ind w:left="851"/>
        <w:rPr>
          <w:sz w:val="24"/>
          <w:szCs w:val="24"/>
        </w:rPr>
      </w:pPr>
    </w:p>
    <w:p w14:paraId="2043168E" w14:textId="77777777" w:rsidR="009260DE" w:rsidRPr="00D07529" w:rsidRDefault="009260DE" w:rsidP="009260DE">
      <w:pPr>
        <w:tabs>
          <w:tab w:val="num" w:pos="851"/>
        </w:tabs>
        <w:ind w:left="851" w:hanging="851"/>
        <w:rPr>
          <w:b/>
          <w:sz w:val="24"/>
          <w:szCs w:val="24"/>
        </w:rPr>
      </w:pPr>
      <w:r w:rsidRPr="00D07529">
        <w:rPr>
          <w:b/>
          <w:sz w:val="24"/>
          <w:szCs w:val="24"/>
        </w:rPr>
        <w:t>5.1</w:t>
      </w:r>
      <w:r w:rsidRPr="00D07529">
        <w:rPr>
          <w:b/>
          <w:sz w:val="24"/>
          <w:szCs w:val="24"/>
        </w:rPr>
        <w:tab/>
      </w:r>
      <w:proofErr w:type="spellStart"/>
      <w:r w:rsidRPr="00D07529">
        <w:rPr>
          <w:b/>
          <w:sz w:val="24"/>
          <w:szCs w:val="24"/>
        </w:rPr>
        <w:t>Farmakodynamiske</w:t>
      </w:r>
      <w:proofErr w:type="spellEnd"/>
      <w:r w:rsidRPr="00D07529">
        <w:rPr>
          <w:b/>
          <w:sz w:val="24"/>
          <w:szCs w:val="24"/>
        </w:rPr>
        <w:t xml:space="preserve"> egenskaber</w:t>
      </w:r>
    </w:p>
    <w:p w14:paraId="7E1E3439" w14:textId="77777777" w:rsidR="00AB4CC5" w:rsidRPr="00D07529" w:rsidRDefault="00AB4CC5" w:rsidP="00D07529">
      <w:pPr>
        <w:ind w:left="851"/>
        <w:rPr>
          <w:sz w:val="24"/>
          <w:szCs w:val="24"/>
        </w:rPr>
      </w:pPr>
      <w:proofErr w:type="spellStart"/>
      <w:r w:rsidRPr="00D07529">
        <w:rPr>
          <w:sz w:val="24"/>
          <w:szCs w:val="24"/>
        </w:rPr>
        <w:t>Farmakoterapeutisk</w:t>
      </w:r>
      <w:proofErr w:type="spellEnd"/>
      <w:r w:rsidRPr="00D07529">
        <w:rPr>
          <w:sz w:val="24"/>
          <w:szCs w:val="24"/>
        </w:rPr>
        <w:t xml:space="preserve"> klassifikation: antibakterielle midler til systemisk brug, beta-</w:t>
      </w:r>
      <w:proofErr w:type="spellStart"/>
      <w:r w:rsidRPr="00D07529">
        <w:rPr>
          <w:sz w:val="24"/>
          <w:szCs w:val="24"/>
        </w:rPr>
        <w:t>lactamaseresistente</w:t>
      </w:r>
      <w:proofErr w:type="spellEnd"/>
      <w:r w:rsidRPr="00D07529">
        <w:rPr>
          <w:sz w:val="24"/>
          <w:szCs w:val="24"/>
        </w:rPr>
        <w:t xml:space="preserve"> penicilliner, </w:t>
      </w:r>
      <w:proofErr w:type="spellStart"/>
      <w:r w:rsidRPr="00D07529">
        <w:rPr>
          <w:sz w:val="24"/>
          <w:szCs w:val="24"/>
        </w:rPr>
        <w:t>ATC-kode</w:t>
      </w:r>
      <w:proofErr w:type="spellEnd"/>
      <w:r w:rsidRPr="00D07529">
        <w:rPr>
          <w:sz w:val="24"/>
          <w:szCs w:val="24"/>
        </w:rPr>
        <w:t>: J01CF05</w:t>
      </w:r>
    </w:p>
    <w:p w14:paraId="67C65894" w14:textId="77777777" w:rsidR="00AB4CC5" w:rsidRPr="00D07529" w:rsidRDefault="00AB4CC5" w:rsidP="00D07529">
      <w:pPr>
        <w:ind w:left="851"/>
        <w:rPr>
          <w:sz w:val="24"/>
          <w:szCs w:val="24"/>
        </w:rPr>
      </w:pPr>
    </w:p>
    <w:p w14:paraId="3F4118EE" w14:textId="77777777" w:rsidR="00AB4CC5" w:rsidRPr="00D07529" w:rsidRDefault="00AB4CC5" w:rsidP="00D07529">
      <w:pPr>
        <w:ind w:left="851"/>
        <w:rPr>
          <w:i/>
          <w:iCs/>
          <w:sz w:val="24"/>
          <w:szCs w:val="24"/>
        </w:rPr>
      </w:pPr>
      <w:r w:rsidRPr="00D07529">
        <w:rPr>
          <w:i/>
          <w:iCs/>
          <w:sz w:val="24"/>
          <w:szCs w:val="24"/>
        </w:rPr>
        <w:t>Virkningsmekanisme</w:t>
      </w:r>
    </w:p>
    <w:p w14:paraId="3F664345" w14:textId="77777777" w:rsidR="00AB4CC5" w:rsidRPr="00D07529" w:rsidRDefault="00AB4CC5" w:rsidP="00D07529">
      <w:pPr>
        <w:ind w:left="851"/>
        <w:rPr>
          <w:sz w:val="24"/>
          <w:szCs w:val="24"/>
        </w:rPr>
      </w:pPr>
      <w:proofErr w:type="spellStart"/>
      <w:r w:rsidRPr="00D07529">
        <w:rPr>
          <w:sz w:val="24"/>
          <w:szCs w:val="24"/>
        </w:rPr>
        <w:t>Flucloxacillin</w:t>
      </w:r>
      <w:proofErr w:type="spellEnd"/>
      <w:r w:rsidRPr="00D07529">
        <w:rPr>
          <w:sz w:val="24"/>
          <w:szCs w:val="24"/>
        </w:rPr>
        <w:t xml:space="preserve"> tilhører gruppen </w:t>
      </w:r>
      <w:proofErr w:type="spellStart"/>
      <w:r w:rsidRPr="00D07529">
        <w:rPr>
          <w:sz w:val="24"/>
          <w:szCs w:val="24"/>
        </w:rPr>
        <w:t>isoxazolylpenicilliner</w:t>
      </w:r>
      <w:proofErr w:type="spellEnd"/>
      <w:r w:rsidRPr="00D07529">
        <w:rPr>
          <w:sz w:val="24"/>
          <w:szCs w:val="24"/>
        </w:rPr>
        <w:t>. Den kombinerer høj aktivitet mod beta-</w:t>
      </w:r>
      <w:proofErr w:type="spellStart"/>
      <w:r w:rsidRPr="00D07529">
        <w:rPr>
          <w:sz w:val="24"/>
          <w:szCs w:val="24"/>
        </w:rPr>
        <w:t>lactamaseproducerende</w:t>
      </w:r>
      <w:proofErr w:type="spellEnd"/>
      <w:r w:rsidRPr="00D07529">
        <w:rPr>
          <w:sz w:val="24"/>
          <w:szCs w:val="24"/>
        </w:rPr>
        <w:t xml:space="preserve"> stafylokokker med god syrestabilitet. </w:t>
      </w:r>
      <w:proofErr w:type="spellStart"/>
      <w:r w:rsidRPr="00D07529">
        <w:rPr>
          <w:sz w:val="24"/>
          <w:szCs w:val="24"/>
        </w:rPr>
        <w:t>Flucloxacillin</w:t>
      </w:r>
      <w:proofErr w:type="spellEnd"/>
      <w:r w:rsidRPr="00D07529">
        <w:rPr>
          <w:sz w:val="24"/>
          <w:szCs w:val="24"/>
        </w:rPr>
        <w:t xml:space="preserve"> virker ved at hæmme bakteriel cellevægssyntese og har en baktericid virkning. </w:t>
      </w:r>
    </w:p>
    <w:p w14:paraId="512F7B9E" w14:textId="77777777" w:rsidR="00AB4CC5" w:rsidRPr="00D07529" w:rsidRDefault="00AB4CC5" w:rsidP="00D07529">
      <w:pPr>
        <w:ind w:left="851"/>
        <w:rPr>
          <w:sz w:val="24"/>
          <w:szCs w:val="24"/>
        </w:rPr>
      </w:pPr>
    </w:p>
    <w:p w14:paraId="25A6362A" w14:textId="77777777" w:rsidR="00AB4CC5" w:rsidRPr="00D07529" w:rsidRDefault="00AB4CC5" w:rsidP="00D07529">
      <w:pPr>
        <w:ind w:left="851"/>
        <w:rPr>
          <w:i/>
          <w:iCs/>
          <w:sz w:val="24"/>
          <w:szCs w:val="24"/>
        </w:rPr>
      </w:pPr>
      <w:r w:rsidRPr="00D07529">
        <w:rPr>
          <w:i/>
          <w:iCs/>
          <w:sz w:val="24"/>
          <w:szCs w:val="24"/>
        </w:rPr>
        <w:t>PK-PD-forhold</w:t>
      </w:r>
    </w:p>
    <w:p w14:paraId="7478B3F5" w14:textId="77777777" w:rsidR="00AB4CC5" w:rsidRPr="00D07529" w:rsidRDefault="00AB4CC5" w:rsidP="00D07529">
      <w:pPr>
        <w:ind w:left="851"/>
        <w:rPr>
          <w:sz w:val="24"/>
          <w:szCs w:val="24"/>
        </w:rPr>
      </w:pPr>
      <w:r w:rsidRPr="00D07529">
        <w:rPr>
          <w:sz w:val="24"/>
          <w:szCs w:val="24"/>
        </w:rPr>
        <w:t>Den antibakterielle virkning er bedst korreleret til det tidspunkt, hvor antibiotikakoncentrationen overskrider den minimale hæmningskoncentration (MIC-værdien).</w:t>
      </w:r>
    </w:p>
    <w:p w14:paraId="559CC1E0" w14:textId="77777777" w:rsidR="00AB4CC5" w:rsidRPr="00D07529" w:rsidRDefault="00AB4CC5" w:rsidP="00D07529">
      <w:pPr>
        <w:ind w:left="851"/>
        <w:rPr>
          <w:sz w:val="24"/>
          <w:szCs w:val="24"/>
        </w:rPr>
      </w:pPr>
    </w:p>
    <w:p w14:paraId="79C6A296" w14:textId="77777777" w:rsidR="00AB4CC5" w:rsidRPr="00550391" w:rsidRDefault="00AB4CC5" w:rsidP="00D07529">
      <w:pPr>
        <w:ind w:left="851"/>
        <w:rPr>
          <w:i/>
          <w:sz w:val="24"/>
          <w:szCs w:val="24"/>
        </w:rPr>
      </w:pPr>
      <w:r w:rsidRPr="00550391">
        <w:rPr>
          <w:i/>
          <w:sz w:val="24"/>
          <w:szCs w:val="24"/>
        </w:rPr>
        <w:t>Antibakterielt spektrum</w:t>
      </w:r>
    </w:p>
    <w:p w14:paraId="54584A21" w14:textId="77777777" w:rsidR="00AB4CC5" w:rsidRPr="00D07529" w:rsidRDefault="00AB4CC5" w:rsidP="00D07529">
      <w:pPr>
        <w:ind w:left="851"/>
        <w:rPr>
          <w:sz w:val="24"/>
          <w:szCs w:val="24"/>
        </w:rPr>
      </w:pPr>
    </w:p>
    <w:p w14:paraId="5A20B4B8" w14:textId="77777777" w:rsidR="00AB4CC5" w:rsidRPr="00550391" w:rsidRDefault="00AB4CC5" w:rsidP="00D07529">
      <w:pPr>
        <w:ind w:left="851"/>
        <w:rPr>
          <w:sz w:val="24"/>
          <w:szCs w:val="24"/>
        </w:rPr>
      </w:pPr>
      <w:r w:rsidRPr="00550391">
        <w:rPr>
          <w:i/>
          <w:sz w:val="24"/>
          <w:szCs w:val="24"/>
        </w:rPr>
        <w:t>In </w:t>
      </w:r>
      <w:proofErr w:type="spellStart"/>
      <w:r w:rsidRPr="00550391">
        <w:rPr>
          <w:i/>
          <w:sz w:val="24"/>
          <w:szCs w:val="24"/>
        </w:rPr>
        <w:t>vitro</w:t>
      </w:r>
      <w:proofErr w:type="spellEnd"/>
      <w:r w:rsidRPr="00550391">
        <w:rPr>
          <w:sz w:val="24"/>
          <w:szCs w:val="24"/>
        </w:rPr>
        <w:t xml:space="preserve">-modtagelighed hos mikroorganismer for </w:t>
      </w:r>
      <w:proofErr w:type="spellStart"/>
      <w:r w:rsidRPr="00550391">
        <w:rPr>
          <w:sz w:val="24"/>
          <w:szCs w:val="24"/>
        </w:rPr>
        <w:t>flucloxacillin</w:t>
      </w:r>
      <w:proofErr w:type="spellEnd"/>
      <w:r w:rsidRPr="00550391">
        <w:rPr>
          <w:sz w:val="24"/>
          <w:szCs w:val="24"/>
        </w:rPr>
        <w:t>:</w:t>
      </w:r>
    </w:p>
    <w:p w14:paraId="33C1E3CA" w14:textId="77777777" w:rsidR="00AB4CC5" w:rsidRPr="00D07529" w:rsidRDefault="00AB4CC5" w:rsidP="00AB4CC5">
      <w:pPr>
        <w:pStyle w:val="Bodytext50"/>
        <w:keepNext/>
        <w:keepLines/>
        <w:widowControl/>
        <w:shd w:val="clear" w:color="auto" w:fill="auto"/>
        <w:spacing w:before="0" w:line="240" w:lineRule="auto"/>
        <w:rPr>
          <w:rFonts w:ascii="Times New Roman" w:hAnsi="Times New Roman" w:cs="Times New Roman"/>
          <w:i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4"/>
        <w:gridCol w:w="4814"/>
      </w:tblGrid>
      <w:tr w:rsidR="00AB4CC5" w:rsidRPr="00D07529" w14:paraId="4C1C9DAA" w14:textId="77777777" w:rsidTr="00550391">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4C9A45" w14:textId="77777777" w:rsidR="00AB4CC5" w:rsidRPr="00D07529" w:rsidRDefault="00AB4CC5">
            <w:pPr>
              <w:tabs>
                <w:tab w:val="left" w:pos="1304"/>
              </w:tabs>
              <w:rPr>
                <w:color w:val="000000"/>
                <w:sz w:val="24"/>
                <w:szCs w:val="24"/>
              </w:rPr>
            </w:pPr>
            <w:r w:rsidRPr="00D07529">
              <w:rPr>
                <w:color w:val="000000"/>
                <w:sz w:val="24"/>
                <w:szCs w:val="24"/>
              </w:rPr>
              <w:t>Almindeligt følsomme arter</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C71366" w14:textId="77777777" w:rsidR="00AB4CC5" w:rsidRPr="00D07529" w:rsidRDefault="00AB4CC5">
            <w:pPr>
              <w:tabs>
                <w:tab w:val="left" w:pos="1304"/>
              </w:tabs>
              <w:rPr>
                <w:rFonts w:eastAsia="Calibri"/>
                <w:i/>
                <w:iCs/>
                <w:color w:val="000000"/>
                <w:sz w:val="24"/>
                <w:szCs w:val="24"/>
              </w:rPr>
            </w:pPr>
            <w:proofErr w:type="spellStart"/>
            <w:r w:rsidRPr="00D07529">
              <w:rPr>
                <w:rStyle w:val="Bodytext2Italic"/>
                <w:rFonts w:ascii="Times New Roman" w:hAnsi="Times New Roman" w:cs="Times New Roman"/>
                <w:sz w:val="24"/>
                <w:szCs w:val="24"/>
              </w:rPr>
              <w:t>Staphylococcus</w:t>
            </w:r>
            <w:proofErr w:type="spellEnd"/>
            <w:r w:rsidRPr="00D07529">
              <w:rPr>
                <w:rStyle w:val="Bodytext2Italic"/>
                <w:rFonts w:ascii="Times New Roman" w:hAnsi="Times New Roman" w:cs="Times New Roman"/>
                <w:sz w:val="24"/>
                <w:szCs w:val="24"/>
              </w:rPr>
              <w:t xml:space="preserve"> aureus</w:t>
            </w:r>
            <w:r w:rsidRPr="00D07529">
              <w:rPr>
                <w:rStyle w:val="Bodytext2"/>
                <w:rFonts w:ascii="Times New Roman" w:hAnsi="Times New Roman" w:cs="Times New Roman"/>
                <w:i/>
                <w:sz w:val="24"/>
                <w:szCs w:val="24"/>
              </w:rPr>
              <w:t xml:space="preserve"> og </w:t>
            </w:r>
            <w:proofErr w:type="spellStart"/>
            <w:r w:rsidRPr="00D07529">
              <w:rPr>
                <w:rStyle w:val="Bodytext2"/>
                <w:rFonts w:ascii="Times New Roman" w:hAnsi="Times New Roman" w:cs="Times New Roman"/>
                <w:iCs/>
                <w:sz w:val="24"/>
                <w:szCs w:val="24"/>
              </w:rPr>
              <w:t>koagulase</w:t>
            </w:r>
            <w:proofErr w:type="spellEnd"/>
            <w:r w:rsidRPr="00D07529">
              <w:rPr>
                <w:rStyle w:val="Bodytext2"/>
                <w:rFonts w:ascii="Times New Roman" w:hAnsi="Times New Roman" w:cs="Times New Roman"/>
                <w:iCs/>
                <w:sz w:val="24"/>
                <w:szCs w:val="24"/>
              </w:rPr>
              <w:t>-negative</w:t>
            </w:r>
            <w:r w:rsidRPr="00D07529">
              <w:rPr>
                <w:rStyle w:val="Bodytext2"/>
                <w:rFonts w:ascii="Times New Roman" w:hAnsi="Times New Roman" w:cs="Times New Roman"/>
                <w:i/>
                <w:sz w:val="24"/>
                <w:szCs w:val="24"/>
              </w:rPr>
              <w:t xml:space="preserve"> stafylokokker, </w:t>
            </w:r>
            <w:r w:rsidRPr="00D07529">
              <w:rPr>
                <w:rStyle w:val="Bodytext2"/>
                <w:rFonts w:ascii="Times New Roman" w:hAnsi="Times New Roman" w:cs="Times New Roman"/>
                <w:iCs/>
                <w:sz w:val="24"/>
                <w:szCs w:val="24"/>
              </w:rPr>
              <w:t>herunder beta-</w:t>
            </w:r>
            <w:proofErr w:type="spellStart"/>
            <w:r w:rsidRPr="00D07529">
              <w:rPr>
                <w:rStyle w:val="Bodytext2"/>
                <w:rFonts w:ascii="Times New Roman" w:hAnsi="Times New Roman" w:cs="Times New Roman"/>
                <w:iCs/>
                <w:sz w:val="24"/>
                <w:szCs w:val="24"/>
              </w:rPr>
              <w:t>lactamaseproducerende</w:t>
            </w:r>
            <w:proofErr w:type="spellEnd"/>
            <w:r w:rsidRPr="00D07529">
              <w:rPr>
                <w:rStyle w:val="Bodytext2"/>
                <w:rFonts w:ascii="Times New Roman" w:hAnsi="Times New Roman" w:cs="Times New Roman"/>
                <w:iCs/>
                <w:sz w:val="24"/>
                <w:szCs w:val="24"/>
              </w:rPr>
              <w:t xml:space="preserve"> stammer</w:t>
            </w:r>
          </w:p>
          <w:p w14:paraId="311FD252" w14:textId="77777777" w:rsidR="00AB4CC5" w:rsidRDefault="00AB4CC5">
            <w:pPr>
              <w:tabs>
                <w:tab w:val="left" w:pos="1304"/>
              </w:tabs>
              <w:rPr>
                <w:rStyle w:val="Bodytext2"/>
                <w:rFonts w:ascii="Times New Roman" w:hAnsi="Times New Roman" w:cs="Times New Roman"/>
                <w:i/>
                <w:sz w:val="24"/>
                <w:szCs w:val="24"/>
              </w:rPr>
            </w:pPr>
            <w:r w:rsidRPr="00D07529">
              <w:rPr>
                <w:rStyle w:val="Bodytext2"/>
                <w:rFonts w:ascii="Times New Roman" w:hAnsi="Times New Roman" w:cs="Times New Roman"/>
                <w:i/>
                <w:sz w:val="24"/>
                <w:szCs w:val="24"/>
              </w:rPr>
              <w:t xml:space="preserve">Streptokokker </w:t>
            </w:r>
            <w:r w:rsidRPr="00D07529">
              <w:rPr>
                <w:rStyle w:val="Bodytext2"/>
                <w:rFonts w:ascii="Times New Roman" w:hAnsi="Times New Roman" w:cs="Times New Roman"/>
                <w:iCs/>
                <w:sz w:val="24"/>
                <w:szCs w:val="24"/>
              </w:rPr>
              <w:t>og</w:t>
            </w:r>
            <w:r w:rsidRPr="00D07529">
              <w:rPr>
                <w:rStyle w:val="Bodytext2"/>
                <w:rFonts w:ascii="Times New Roman" w:hAnsi="Times New Roman" w:cs="Times New Roman"/>
                <w:i/>
                <w:sz w:val="24"/>
                <w:szCs w:val="24"/>
              </w:rPr>
              <w:t xml:space="preserve"> </w:t>
            </w:r>
            <w:proofErr w:type="spellStart"/>
            <w:r w:rsidRPr="00D07529">
              <w:rPr>
                <w:rStyle w:val="Bodytext2"/>
                <w:rFonts w:ascii="Times New Roman" w:hAnsi="Times New Roman" w:cs="Times New Roman"/>
                <w:i/>
                <w:sz w:val="24"/>
                <w:szCs w:val="24"/>
              </w:rPr>
              <w:t>pneumokokker</w:t>
            </w:r>
            <w:proofErr w:type="spellEnd"/>
          </w:p>
          <w:p w14:paraId="413FEAB9" w14:textId="730F6843" w:rsidR="00550391" w:rsidRPr="00D07529" w:rsidRDefault="00550391">
            <w:pPr>
              <w:tabs>
                <w:tab w:val="left" w:pos="1304"/>
              </w:tabs>
              <w:rPr>
                <w:rFonts w:eastAsia="Calibri"/>
                <w:i/>
                <w:iCs/>
                <w:color w:val="000000"/>
                <w:sz w:val="24"/>
                <w:szCs w:val="24"/>
              </w:rPr>
            </w:pPr>
          </w:p>
        </w:tc>
      </w:tr>
      <w:tr w:rsidR="00AB4CC5" w:rsidRPr="00D07529" w14:paraId="4E93E0AC" w14:textId="77777777" w:rsidTr="00550391">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D9502A" w14:textId="77777777" w:rsidR="00AB4CC5" w:rsidRPr="00D07529" w:rsidRDefault="00AB4CC5">
            <w:pPr>
              <w:tabs>
                <w:tab w:val="left" w:pos="1304"/>
              </w:tabs>
              <w:rPr>
                <w:color w:val="000000"/>
                <w:sz w:val="24"/>
                <w:szCs w:val="24"/>
              </w:rPr>
            </w:pPr>
            <w:r w:rsidRPr="00D07529">
              <w:rPr>
                <w:rStyle w:val="Bodytext2"/>
                <w:rFonts w:ascii="Times New Roman" w:hAnsi="Times New Roman" w:cs="Times New Roman"/>
                <w:sz w:val="24"/>
                <w:szCs w:val="24"/>
              </w:rPr>
              <w:t>Organismer med iboende resistens</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center"/>
          </w:tcPr>
          <w:p w14:paraId="2BE500B9" w14:textId="77777777" w:rsidR="00AB4CC5" w:rsidRPr="00D07529" w:rsidRDefault="00AB4CC5">
            <w:pPr>
              <w:tabs>
                <w:tab w:val="left" w:pos="1304"/>
              </w:tabs>
              <w:rPr>
                <w:rFonts w:eastAsia="Calibri"/>
                <w:iCs/>
                <w:color w:val="000000"/>
                <w:sz w:val="24"/>
                <w:szCs w:val="24"/>
              </w:rPr>
            </w:pPr>
            <w:proofErr w:type="spellStart"/>
            <w:r w:rsidRPr="00D07529">
              <w:rPr>
                <w:rStyle w:val="Bodytext2"/>
                <w:rFonts w:ascii="Times New Roman" w:hAnsi="Times New Roman" w:cs="Times New Roman"/>
                <w:iCs/>
                <w:sz w:val="24"/>
                <w:szCs w:val="24"/>
              </w:rPr>
              <w:t>Methicillin</w:t>
            </w:r>
            <w:proofErr w:type="spellEnd"/>
            <w:r w:rsidRPr="00D07529">
              <w:rPr>
                <w:rStyle w:val="Bodytext2"/>
                <w:rFonts w:ascii="Times New Roman" w:hAnsi="Times New Roman" w:cs="Times New Roman"/>
                <w:iCs/>
                <w:sz w:val="24"/>
                <w:szCs w:val="24"/>
              </w:rPr>
              <w:t>-resistente stafylokokker</w:t>
            </w:r>
          </w:p>
          <w:p w14:paraId="0B598C28" w14:textId="77777777" w:rsidR="00AB4CC5" w:rsidRPr="00D07529" w:rsidRDefault="00AB4CC5">
            <w:pPr>
              <w:tabs>
                <w:tab w:val="left" w:pos="1304"/>
              </w:tabs>
              <w:rPr>
                <w:rFonts w:eastAsia="Calibri"/>
                <w:iCs/>
                <w:color w:val="000000"/>
                <w:sz w:val="24"/>
                <w:szCs w:val="24"/>
              </w:rPr>
            </w:pPr>
            <w:proofErr w:type="spellStart"/>
            <w:r w:rsidRPr="00D07529">
              <w:rPr>
                <w:rStyle w:val="Bodytext2"/>
                <w:rFonts w:ascii="Times New Roman" w:hAnsi="Times New Roman" w:cs="Times New Roman"/>
                <w:iCs/>
                <w:sz w:val="24"/>
                <w:szCs w:val="24"/>
              </w:rPr>
              <w:t>Enterokokker</w:t>
            </w:r>
            <w:proofErr w:type="spellEnd"/>
          </w:p>
          <w:p w14:paraId="05629C6F" w14:textId="77777777" w:rsidR="00AB4CC5" w:rsidRPr="00D07529" w:rsidRDefault="00AB4CC5">
            <w:pPr>
              <w:tabs>
                <w:tab w:val="left" w:pos="1304"/>
              </w:tabs>
              <w:rPr>
                <w:rStyle w:val="Bodytext2"/>
                <w:rFonts w:ascii="Times New Roman" w:hAnsi="Times New Roman" w:cs="Times New Roman"/>
                <w:sz w:val="24"/>
                <w:szCs w:val="24"/>
              </w:rPr>
            </w:pPr>
            <w:r w:rsidRPr="00D07529">
              <w:rPr>
                <w:rStyle w:val="Bodytext2"/>
                <w:rFonts w:ascii="Times New Roman" w:hAnsi="Times New Roman" w:cs="Times New Roman"/>
                <w:iCs/>
                <w:sz w:val="24"/>
                <w:szCs w:val="24"/>
              </w:rPr>
              <w:t>Gramnegative bakterier</w:t>
            </w:r>
          </w:p>
          <w:p w14:paraId="33180B81" w14:textId="77777777" w:rsidR="00AB4CC5" w:rsidRPr="00D07529" w:rsidRDefault="00AB4CC5">
            <w:pPr>
              <w:tabs>
                <w:tab w:val="left" w:pos="1304"/>
              </w:tabs>
              <w:rPr>
                <w:sz w:val="24"/>
                <w:szCs w:val="24"/>
              </w:rPr>
            </w:pPr>
            <w:proofErr w:type="spellStart"/>
            <w:r w:rsidRPr="00D07529">
              <w:rPr>
                <w:i/>
                <w:iCs/>
                <w:sz w:val="24"/>
                <w:szCs w:val="24"/>
              </w:rPr>
              <w:t>Clostridioides</w:t>
            </w:r>
            <w:proofErr w:type="spellEnd"/>
            <w:r w:rsidRPr="00D07529">
              <w:rPr>
                <w:i/>
                <w:iCs/>
                <w:sz w:val="24"/>
                <w:szCs w:val="24"/>
              </w:rPr>
              <w:t xml:space="preserve"> difficile</w:t>
            </w:r>
          </w:p>
          <w:p w14:paraId="3C7E2666" w14:textId="77777777" w:rsidR="00AB4CC5" w:rsidRPr="00D07529" w:rsidRDefault="00AB4CC5">
            <w:pPr>
              <w:tabs>
                <w:tab w:val="left" w:pos="1304"/>
              </w:tabs>
              <w:rPr>
                <w:rFonts w:eastAsia="Calibri"/>
                <w:i/>
                <w:iCs/>
                <w:color w:val="000000"/>
                <w:sz w:val="24"/>
                <w:szCs w:val="24"/>
                <w:lang w:eastAsia="sv-SE" w:bidi="sv-SE"/>
              </w:rPr>
            </w:pPr>
          </w:p>
        </w:tc>
      </w:tr>
    </w:tbl>
    <w:p w14:paraId="3225A448" w14:textId="44B8DF04" w:rsidR="00550391" w:rsidRDefault="00550391" w:rsidP="00D07529">
      <w:pPr>
        <w:ind w:left="851"/>
        <w:rPr>
          <w:sz w:val="24"/>
          <w:szCs w:val="24"/>
        </w:rPr>
      </w:pPr>
    </w:p>
    <w:p w14:paraId="691C391E" w14:textId="77777777" w:rsidR="00AB4CC5" w:rsidRPr="00D07529" w:rsidRDefault="00AB4CC5" w:rsidP="00D07529">
      <w:pPr>
        <w:ind w:left="851"/>
        <w:rPr>
          <w:i/>
          <w:iCs/>
          <w:sz w:val="24"/>
          <w:szCs w:val="24"/>
        </w:rPr>
      </w:pPr>
      <w:r w:rsidRPr="00D07529">
        <w:rPr>
          <w:i/>
          <w:iCs/>
          <w:sz w:val="24"/>
          <w:szCs w:val="24"/>
        </w:rPr>
        <w:lastRenderedPageBreak/>
        <w:t>Resistens</w:t>
      </w:r>
    </w:p>
    <w:p w14:paraId="7AC8215E" w14:textId="77777777" w:rsidR="00AB4CC5" w:rsidRPr="00D07529" w:rsidRDefault="00AB4CC5" w:rsidP="00D07529">
      <w:pPr>
        <w:ind w:left="851"/>
        <w:rPr>
          <w:sz w:val="24"/>
          <w:szCs w:val="24"/>
        </w:rPr>
      </w:pPr>
      <w:r w:rsidRPr="00D07529">
        <w:rPr>
          <w:sz w:val="24"/>
          <w:szCs w:val="24"/>
        </w:rPr>
        <w:t xml:space="preserve">Resistens er almindelig (ca. 40 %) i </w:t>
      </w:r>
      <w:proofErr w:type="spellStart"/>
      <w:r w:rsidRPr="00D07529">
        <w:rPr>
          <w:sz w:val="24"/>
          <w:szCs w:val="24"/>
        </w:rPr>
        <w:t>koagulasenegative</w:t>
      </w:r>
      <w:proofErr w:type="spellEnd"/>
      <w:r w:rsidRPr="00D07529">
        <w:rPr>
          <w:sz w:val="24"/>
          <w:szCs w:val="24"/>
        </w:rPr>
        <w:t xml:space="preserve"> stafylokokker på grund af </w:t>
      </w:r>
      <w:proofErr w:type="spellStart"/>
      <w:r w:rsidRPr="00D07529">
        <w:rPr>
          <w:sz w:val="24"/>
          <w:szCs w:val="24"/>
        </w:rPr>
        <w:t>methicillinresistens</w:t>
      </w:r>
      <w:proofErr w:type="spellEnd"/>
      <w:r w:rsidRPr="00D07529">
        <w:rPr>
          <w:sz w:val="24"/>
          <w:szCs w:val="24"/>
        </w:rPr>
        <w:t>.</w:t>
      </w:r>
    </w:p>
    <w:p w14:paraId="6AB4FB72" w14:textId="77777777" w:rsidR="00AB4CC5" w:rsidRPr="00D07529" w:rsidRDefault="00AB4CC5" w:rsidP="00D07529">
      <w:pPr>
        <w:ind w:left="851"/>
        <w:rPr>
          <w:sz w:val="24"/>
          <w:szCs w:val="24"/>
        </w:rPr>
      </w:pPr>
      <w:r w:rsidRPr="00D07529">
        <w:rPr>
          <w:sz w:val="24"/>
          <w:szCs w:val="24"/>
        </w:rPr>
        <w:t xml:space="preserve">Streptokokker og </w:t>
      </w:r>
      <w:proofErr w:type="spellStart"/>
      <w:r w:rsidRPr="00D07529">
        <w:rPr>
          <w:sz w:val="24"/>
          <w:szCs w:val="24"/>
        </w:rPr>
        <w:t>pneumokokker</w:t>
      </w:r>
      <w:proofErr w:type="spellEnd"/>
      <w:r w:rsidRPr="00D07529">
        <w:rPr>
          <w:sz w:val="24"/>
          <w:szCs w:val="24"/>
        </w:rPr>
        <w:t xml:space="preserve"> er mere følsomme overfor </w:t>
      </w:r>
      <w:proofErr w:type="spellStart"/>
      <w:r w:rsidRPr="00D07529">
        <w:rPr>
          <w:sz w:val="24"/>
          <w:szCs w:val="24"/>
        </w:rPr>
        <w:t>benzylpenicillin</w:t>
      </w:r>
      <w:proofErr w:type="spellEnd"/>
      <w:r w:rsidRPr="00D07529">
        <w:rPr>
          <w:sz w:val="24"/>
          <w:szCs w:val="24"/>
        </w:rPr>
        <w:t xml:space="preserve"> og penicillin V end over for </w:t>
      </w:r>
      <w:proofErr w:type="spellStart"/>
      <w:r w:rsidRPr="00D07529">
        <w:rPr>
          <w:sz w:val="24"/>
          <w:szCs w:val="24"/>
        </w:rPr>
        <w:t>flucloxacillin</w:t>
      </w:r>
      <w:proofErr w:type="spellEnd"/>
      <w:r w:rsidRPr="00D07529">
        <w:rPr>
          <w:sz w:val="24"/>
          <w:szCs w:val="24"/>
        </w:rPr>
        <w:t>.</w:t>
      </w:r>
    </w:p>
    <w:p w14:paraId="3C1F3E9F" w14:textId="77777777" w:rsidR="00AB4CC5" w:rsidRPr="00D07529" w:rsidRDefault="00AB4CC5" w:rsidP="00D07529">
      <w:pPr>
        <w:ind w:left="851"/>
        <w:rPr>
          <w:sz w:val="24"/>
          <w:szCs w:val="24"/>
        </w:rPr>
      </w:pPr>
    </w:p>
    <w:p w14:paraId="15B23D6B" w14:textId="77777777" w:rsidR="00AB4CC5" w:rsidRPr="00D07529" w:rsidRDefault="00AB4CC5" w:rsidP="00D07529">
      <w:pPr>
        <w:ind w:left="851"/>
        <w:rPr>
          <w:sz w:val="24"/>
          <w:szCs w:val="24"/>
        </w:rPr>
      </w:pPr>
      <w:r w:rsidRPr="00D07529">
        <w:rPr>
          <w:sz w:val="24"/>
          <w:szCs w:val="24"/>
        </w:rPr>
        <w:t xml:space="preserve">Resistens overfor </w:t>
      </w:r>
      <w:proofErr w:type="spellStart"/>
      <w:r w:rsidRPr="00D07529">
        <w:rPr>
          <w:sz w:val="24"/>
          <w:szCs w:val="24"/>
        </w:rPr>
        <w:t>isoxazolylpenicilliner</w:t>
      </w:r>
      <w:proofErr w:type="spellEnd"/>
      <w:r w:rsidRPr="00D07529">
        <w:rPr>
          <w:sz w:val="24"/>
          <w:szCs w:val="24"/>
        </w:rPr>
        <w:t xml:space="preserve"> (</w:t>
      </w:r>
      <w:proofErr w:type="spellStart"/>
      <w:r w:rsidRPr="00D07529">
        <w:rPr>
          <w:sz w:val="24"/>
          <w:szCs w:val="24"/>
        </w:rPr>
        <w:t>methicillinresistens</w:t>
      </w:r>
      <w:proofErr w:type="spellEnd"/>
      <w:r w:rsidRPr="00D07529">
        <w:rPr>
          <w:sz w:val="24"/>
          <w:szCs w:val="24"/>
        </w:rPr>
        <w:t>) skyldes bakterien, som producerer et ændret penicillinbindende protein. Krydsresistens forekommer inden for beta-</w:t>
      </w:r>
      <w:proofErr w:type="spellStart"/>
      <w:r w:rsidRPr="00D07529">
        <w:rPr>
          <w:sz w:val="24"/>
          <w:szCs w:val="24"/>
        </w:rPr>
        <w:t>lactamgruppen</w:t>
      </w:r>
      <w:proofErr w:type="spellEnd"/>
      <w:r w:rsidRPr="00D07529">
        <w:rPr>
          <w:sz w:val="24"/>
          <w:szCs w:val="24"/>
        </w:rPr>
        <w:t xml:space="preserve"> (penicilliner og </w:t>
      </w:r>
      <w:proofErr w:type="spellStart"/>
      <w:r w:rsidRPr="00D07529">
        <w:rPr>
          <w:sz w:val="24"/>
          <w:szCs w:val="24"/>
        </w:rPr>
        <w:t>cefalosporiner</w:t>
      </w:r>
      <w:proofErr w:type="spellEnd"/>
      <w:r w:rsidRPr="00D07529">
        <w:rPr>
          <w:sz w:val="24"/>
          <w:szCs w:val="24"/>
        </w:rPr>
        <w:t xml:space="preserve">). </w:t>
      </w:r>
      <w:proofErr w:type="spellStart"/>
      <w:r w:rsidRPr="00D07529">
        <w:rPr>
          <w:sz w:val="24"/>
          <w:szCs w:val="24"/>
        </w:rPr>
        <w:t>Methicillinresistente</w:t>
      </w:r>
      <w:proofErr w:type="spellEnd"/>
      <w:r w:rsidRPr="00D07529">
        <w:rPr>
          <w:sz w:val="24"/>
          <w:szCs w:val="24"/>
        </w:rPr>
        <w:t xml:space="preserve"> stafylokokker har generelt lav modtagelighed over for alle beta-</w:t>
      </w:r>
      <w:proofErr w:type="spellStart"/>
      <w:r w:rsidRPr="00D07529">
        <w:rPr>
          <w:sz w:val="24"/>
          <w:szCs w:val="24"/>
        </w:rPr>
        <w:t>lactamantibiotika</w:t>
      </w:r>
      <w:proofErr w:type="spellEnd"/>
      <w:r w:rsidRPr="00D07529">
        <w:rPr>
          <w:sz w:val="24"/>
          <w:szCs w:val="24"/>
        </w:rPr>
        <w:t>.</w:t>
      </w:r>
    </w:p>
    <w:p w14:paraId="71EAFBAC" w14:textId="77777777" w:rsidR="00AB4CC5" w:rsidRPr="00D07529" w:rsidRDefault="00AB4CC5" w:rsidP="00D07529">
      <w:pPr>
        <w:ind w:left="851"/>
        <w:rPr>
          <w:sz w:val="24"/>
          <w:szCs w:val="24"/>
        </w:rPr>
      </w:pPr>
      <w:r w:rsidRPr="00D07529">
        <w:rPr>
          <w:sz w:val="24"/>
          <w:szCs w:val="24"/>
        </w:rPr>
        <w:t>Resistenssituationen varierer geografisk, og der bør indhentes information om den lokale resistenssituation fra et lokalt mikrobiologisk laboratorium.</w:t>
      </w:r>
    </w:p>
    <w:p w14:paraId="5EC5F277" w14:textId="77777777" w:rsidR="00AB4CC5" w:rsidRPr="00D07529" w:rsidRDefault="00AB4CC5" w:rsidP="00D07529">
      <w:pPr>
        <w:ind w:left="851"/>
        <w:rPr>
          <w:sz w:val="24"/>
          <w:szCs w:val="24"/>
        </w:rPr>
      </w:pPr>
    </w:p>
    <w:p w14:paraId="6AF3982B" w14:textId="77777777" w:rsidR="00AB4CC5" w:rsidRPr="00550391" w:rsidRDefault="00AB4CC5" w:rsidP="00D07529">
      <w:pPr>
        <w:ind w:left="851"/>
        <w:rPr>
          <w:sz w:val="24"/>
          <w:szCs w:val="24"/>
        </w:rPr>
      </w:pPr>
      <w:r w:rsidRPr="00550391">
        <w:rPr>
          <w:sz w:val="24"/>
          <w:szCs w:val="24"/>
        </w:rPr>
        <w:t xml:space="preserve">I Skandinavien er resistens overfor </w:t>
      </w:r>
      <w:proofErr w:type="spellStart"/>
      <w:r w:rsidRPr="00550391">
        <w:rPr>
          <w:sz w:val="24"/>
          <w:szCs w:val="24"/>
        </w:rPr>
        <w:t>isoxazolylpenicilliner</w:t>
      </w:r>
      <w:proofErr w:type="spellEnd"/>
      <w:r w:rsidRPr="00550391">
        <w:rPr>
          <w:sz w:val="24"/>
          <w:szCs w:val="24"/>
        </w:rPr>
        <w:t xml:space="preserve"> sjælden ved </w:t>
      </w:r>
      <w:proofErr w:type="spellStart"/>
      <w:r w:rsidRPr="00550391">
        <w:rPr>
          <w:i/>
          <w:sz w:val="24"/>
          <w:szCs w:val="24"/>
        </w:rPr>
        <w:t>Staphylococcus</w:t>
      </w:r>
      <w:proofErr w:type="spellEnd"/>
      <w:r w:rsidRPr="00550391">
        <w:rPr>
          <w:i/>
          <w:sz w:val="24"/>
          <w:szCs w:val="24"/>
        </w:rPr>
        <w:t xml:space="preserve"> aureus</w:t>
      </w:r>
      <w:r w:rsidRPr="00550391">
        <w:rPr>
          <w:sz w:val="24"/>
          <w:szCs w:val="24"/>
        </w:rPr>
        <w:t xml:space="preserve">, men almindelig ved </w:t>
      </w:r>
      <w:proofErr w:type="spellStart"/>
      <w:r w:rsidRPr="00550391">
        <w:rPr>
          <w:sz w:val="24"/>
          <w:szCs w:val="24"/>
        </w:rPr>
        <w:t>koagulasenegative</w:t>
      </w:r>
      <w:proofErr w:type="spellEnd"/>
      <w:r w:rsidRPr="00550391">
        <w:rPr>
          <w:sz w:val="24"/>
          <w:szCs w:val="24"/>
        </w:rPr>
        <w:t xml:space="preserve"> stafylokokker. </w:t>
      </w:r>
      <w:proofErr w:type="spellStart"/>
      <w:r w:rsidRPr="00550391">
        <w:rPr>
          <w:sz w:val="24"/>
          <w:szCs w:val="24"/>
        </w:rPr>
        <w:t>Methicillinresistent</w:t>
      </w:r>
      <w:proofErr w:type="spellEnd"/>
      <w:r w:rsidRPr="00550391">
        <w:rPr>
          <w:sz w:val="24"/>
          <w:szCs w:val="24"/>
        </w:rPr>
        <w:t xml:space="preserve"> </w:t>
      </w:r>
      <w:proofErr w:type="spellStart"/>
      <w:r w:rsidRPr="00550391">
        <w:rPr>
          <w:i/>
          <w:sz w:val="24"/>
          <w:szCs w:val="24"/>
        </w:rPr>
        <w:t>Staphylococcus</w:t>
      </w:r>
      <w:proofErr w:type="spellEnd"/>
      <w:r w:rsidRPr="00550391">
        <w:rPr>
          <w:i/>
          <w:sz w:val="24"/>
          <w:szCs w:val="24"/>
        </w:rPr>
        <w:t xml:space="preserve"> aureus</w:t>
      </w:r>
      <w:r w:rsidRPr="00550391">
        <w:rPr>
          <w:sz w:val="24"/>
          <w:szCs w:val="24"/>
        </w:rPr>
        <w:t xml:space="preserve"> (MRSA) er almindelig i visse dele af Europa. Penicillinresistente </w:t>
      </w:r>
      <w:proofErr w:type="spellStart"/>
      <w:r w:rsidRPr="00550391">
        <w:rPr>
          <w:sz w:val="24"/>
          <w:szCs w:val="24"/>
        </w:rPr>
        <w:t>pneumokokker</w:t>
      </w:r>
      <w:proofErr w:type="spellEnd"/>
      <w:r w:rsidRPr="00550391">
        <w:rPr>
          <w:sz w:val="24"/>
          <w:szCs w:val="24"/>
        </w:rPr>
        <w:t xml:space="preserve"> er mindre almindelige i Skandinavien. Disse stammer er resistente overfor </w:t>
      </w:r>
      <w:proofErr w:type="spellStart"/>
      <w:r w:rsidRPr="00550391">
        <w:rPr>
          <w:sz w:val="24"/>
          <w:szCs w:val="24"/>
        </w:rPr>
        <w:t>cloxacillin</w:t>
      </w:r>
      <w:proofErr w:type="spellEnd"/>
      <w:r w:rsidRPr="00550391">
        <w:rPr>
          <w:sz w:val="24"/>
          <w:szCs w:val="24"/>
        </w:rPr>
        <w:t>.</w:t>
      </w:r>
    </w:p>
    <w:p w14:paraId="1E219AC4" w14:textId="77777777" w:rsidR="00AB4CC5" w:rsidRPr="00D07529" w:rsidRDefault="00AB4CC5" w:rsidP="00D07529">
      <w:pPr>
        <w:ind w:left="851"/>
        <w:rPr>
          <w:i/>
          <w:iCs/>
          <w:sz w:val="24"/>
          <w:szCs w:val="24"/>
        </w:rPr>
      </w:pPr>
    </w:p>
    <w:p w14:paraId="0A3B0F79" w14:textId="77777777" w:rsidR="00AB4CC5" w:rsidRPr="00550391" w:rsidRDefault="00AB4CC5" w:rsidP="00D07529">
      <w:pPr>
        <w:ind w:left="851"/>
        <w:rPr>
          <w:i/>
          <w:iCs/>
          <w:sz w:val="24"/>
          <w:szCs w:val="24"/>
        </w:rPr>
      </w:pPr>
      <w:r w:rsidRPr="00550391">
        <w:rPr>
          <w:i/>
          <w:sz w:val="24"/>
          <w:szCs w:val="24"/>
        </w:rPr>
        <w:t>Leverskade</w:t>
      </w:r>
    </w:p>
    <w:p w14:paraId="16CD4643" w14:textId="77777777" w:rsidR="00AB4CC5" w:rsidRPr="00D07529" w:rsidRDefault="00AB4CC5" w:rsidP="00D07529">
      <w:pPr>
        <w:ind w:left="851"/>
        <w:rPr>
          <w:sz w:val="24"/>
          <w:szCs w:val="24"/>
        </w:rPr>
      </w:pPr>
      <w:r w:rsidRPr="00D07529">
        <w:rPr>
          <w:sz w:val="24"/>
          <w:szCs w:val="24"/>
        </w:rPr>
        <w:t xml:space="preserve">Der foreligger oplysninger som tyder på, at risikoen for </w:t>
      </w:r>
      <w:proofErr w:type="spellStart"/>
      <w:r w:rsidRPr="00D07529">
        <w:rPr>
          <w:sz w:val="24"/>
          <w:szCs w:val="24"/>
        </w:rPr>
        <w:t>flucloxacillinudløst</w:t>
      </w:r>
      <w:proofErr w:type="spellEnd"/>
      <w:r w:rsidRPr="00D07529">
        <w:rPr>
          <w:sz w:val="24"/>
          <w:szCs w:val="24"/>
        </w:rPr>
        <w:t xml:space="preserve"> leverskade stiger hos patienter, som er bærer af HLA-B*5701-allelet. Trods denne stærke forbindelse udvikler kun 1 ud af 500</w:t>
      </w:r>
      <w:r w:rsidRPr="00D07529">
        <w:rPr>
          <w:sz w:val="24"/>
          <w:szCs w:val="24"/>
        </w:rPr>
        <w:noBreakHyphen/>
        <w:t xml:space="preserve">1000 bærere leverskade. Derfor er den positive prædiktive værdi af test for HLA-B*5701-allelet i forbindelse med leverskade meget lav (0,12 %), og rutinemæssig screening for </w:t>
      </w:r>
      <w:proofErr w:type="gramStart"/>
      <w:r w:rsidRPr="00D07529">
        <w:rPr>
          <w:sz w:val="24"/>
          <w:szCs w:val="24"/>
        </w:rPr>
        <w:t>dette allel</w:t>
      </w:r>
      <w:proofErr w:type="gramEnd"/>
      <w:r w:rsidRPr="00D07529">
        <w:rPr>
          <w:sz w:val="24"/>
          <w:szCs w:val="24"/>
        </w:rPr>
        <w:t xml:space="preserve"> anbefales ikke.</w:t>
      </w:r>
    </w:p>
    <w:p w14:paraId="4B3422B6" w14:textId="77777777" w:rsidR="009260DE" w:rsidRPr="00D07529" w:rsidRDefault="009260DE" w:rsidP="009260DE">
      <w:pPr>
        <w:tabs>
          <w:tab w:val="left" w:pos="851"/>
        </w:tabs>
        <w:ind w:left="851"/>
        <w:rPr>
          <w:sz w:val="24"/>
          <w:szCs w:val="24"/>
        </w:rPr>
      </w:pPr>
    </w:p>
    <w:p w14:paraId="2A24851F" w14:textId="77777777" w:rsidR="009260DE" w:rsidRPr="00D07529" w:rsidRDefault="009260DE" w:rsidP="009260DE">
      <w:pPr>
        <w:tabs>
          <w:tab w:val="left" w:pos="851"/>
        </w:tabs>
        <w:ind w:left="851" w:hanging="851"/>
        <w:rPr>
          <w:b/>
          <w:sz w:val="24"/>
          <w:szCs w:val="24"/>
        </w:rPr>
      </w:pPr>
      <w:r w:rsidRPr="00D07529">
        <w:rPr>
          <w:b/>
          <w:sz w:val="24"/>
          <w:szCs w:val="24"/>
        </w:rPr>
        <w:t>5.2</w:t>
      </w:r>
      <w:r w:rsidRPr="00D07529">
        <w:rPr>
          <w:b/>
          <w:sz w:val="24"/>
          <w:szCs w:val="24"/>
        </w:rPr>
        <w:tab/>
      </w:r>
      <w:proofErr w:type="spellStart"/>
      <w:r w:rsidRPr="00D07529">
        <w:rPr>
          <w:b/>
          <w:sz w:val="24"/>
          <w:szCs w:val="24"/>
        </w:rPr>
        <w:t>Farmakokinetiske</w:t>
      </w:r>
      <w:proofErr w:type="spellEnd"/>
      <w:r w:rsidRPr="00D07529">
        <w:rPr>
          <w:b/>
          <w:sz w:val="24"/>
          <w:szCs w:val="24"/>
        </w:rPr>
        <w:t xml:space="preserve"> egenskaber</w:t>
      </w:r>
    </w:p>
    <w:p w14:paraId="68233D56" w14:textId="77777777" w:rsidR="00550391" w:rsidRDefault="00550391" w:rsidP="00D07529">
      <w:pPr>
        <w:ind w:left="851"/>
        <w:rPr>
          <w:sz w:val="24"/>
          <w:szCs w:val="24"/>
        </w:rPr>
      </w:pPr>
    </w:p>
    <w:p w14:paraId="3AFAD1C5" w14:textId="2CD4508F" w:rsidR="00387175" w:rsidRPr="00550391" w:rsidRDefault="00387175" w:rsidP="00D07529">
      <w:pPr>
        <w:ind w:left="851"/>
        <w:rPr>
          <w:iCs/>
          <w:sz w:val="24"/>
          <w:szCs w:val="24"/>
          <w:u w:val="single"/>
        </w:rPr>
      </w:pPr>
      <w:r w:rsidRPr="00550391">
        <w:rPr>
          <w:sz w:val="24"/>
          <w:szCs w:val="24"/>
          <w:u w:val="single"/>
        </w:rPr>
        <w:t>Absorption</w:t>
      </w:r>
    </w:p>
    <w:p w14:paraId="434E430A" w14:textId="77777777" w:rsidR="00387175" w:rsidRPr="00D07529" w:rsidRDefault="00387175" w:rsidP="00D07529">
      <w:pPr>
        <w:ind w:left="851"/>
        <w:rPr>
          <w:sz w:val="24"/>
          <w:szCs w:val="24"/>
        </w:rPr>
      </w:pPr>
      <w:proofErr w:type="spellStart"/>
      <w:r w:rsidRPr="00D07529">
        <w:rPr>
          <w:sz w:val="24"/>
          <w:szCs w:val="24"/>
        </w:rPr>
        <w:t>Flucloxacillin</w:t>
      </w:r>
      <w:proofErr w:type="spellEnd"/>
      <w:r w:rsidRPr="00D07529">
        <w:rPr>
          <w:sz w:val="24"/>
          <w:szCs w:val="24"/>
        </w:rPr>
        <w:t xml:space="preserve"> er syrestabilt og har god absorption efter oral administration. Maksimal plasmakoncentration (</w:t>
      </w:r>
      <w:proofErr w:type="spellStart"/>
      <w:r w:rsidRPr="00D07529">
        <w:rPr>
          <w:sz w:val="24"/>
          <w:szCs w:val="24"/>
        </w:rPr>
        <w:t>C</w:t>
      </w:r>
      <w:r w:rsidRPr="00D07529">
        <w:rPr>
          <w:sz w:val="24"/>
          <w:szCs w:val="24"/>
          <w:vertAlign w:val="subscript"/>
        </w:rPr>
        <w:t>max</w:t>
      </w:r>
      <w:proofErr w:type="spellEnd"/>
      <w:r w:rsidRPr="00D07529">
        <w:rPr>
          <w:sz w:val="24"/>
          <w:szCs w:val="24"/>
        </w:rPr>
        <w:t xml:space="preserve">) hos voksne efter indtag af 1 g </w:t>
      </w:r>
      <w:proofErr w:type="spellStart"/>
      <w:r w:rsidRPr="00D07529">
        <w:rPr>
          <w:sz w:val="24"/>
          <w:szCs w:val="24"/>
        </w:rPr>
        <w:t>flucloxacillin</w:t>
      </w:r>
      <w:proofErr w:type="spellEnd"/>
      <w:r w:rsidRPr="00D07529">
        <w:rPr>
          <w:sz w:val="24"/>
          <w:szCs w:val="24"/>
        </w:rPr>
        <w:t xml:space="preserve"> oralt er 31 mg/l. Tiden til maksimal plasmakoncentration (</w:t>
      </w:r>
      <w:proofErr w:type="spellStart"/>
      <w:r w:rsidRPr="00D07529">
        <w:rPr>
          <w:sz w:val="24"/>
          <w:szCs w:val="24"/>
        </w:rPr>
        <w:t>t</w:t>
      </w:r>
      <w:r w:rsidRPr="00D07529">
        <w:rPr>
          <w:sz w:val="24"/>
          <w:szCs w:val="24"/>
          <w:vertAlign w:val="subscript"/>
        </w:rPr>
        <w:t>max</w:t>
      </w:r>
      <w:proofErr w:type="spellEnd"/>
      <w:r w:rsidRPr="00D07529">
        <w:rPr>
          <w:sz w:val="24"/>
          <w:szCs w:val="24"/>
        </w:rPr>
        <w:t>) er ca. 1 time.</w:t>
      </w:r>
    </w:p>
    <w:p w14:paraId="2C6EB39F" w14:textId="77777777" w:rsidR="00387175" w:rsidRPr="00D07529" w:rsidRDefault="00387175" w:rsidP="00D07529">
      <w:pPr>
        <w:ind w:left="851"/>
        <w:rPr>
          <w:iCs/>
          <w:noProof/>
          <w:sz w:val="24"/>
          <w:szCs w:val="24"/>
        </w:rPr>
      </w:pPr>
    </w:p>
    <w:p w14:paraId="2DED9E33" w14:textId="77777777" w:rsidR="00387175" w:rsidRPr="00D07529" w:rsidRDefault="00387175" w:rsidP="00D07529">
      <w:pPr>
        <w:ind w:left="851"/>
        <w:rPr>
          <w:sz w:val="24"/>
          <w:szCs w:val="24"/>
        </w:rPr>
      </w:pPr>
      <w:r w:rsidRPr="00D07529">
        <w:rPr>
          <w:sz w:val="24"/>
          <w:szCs w:val="24"/>
        </w:rPr>
        <w:t>Samtidig indtagelse af mad nedsætter absorptionen og fører til lavere plasmakoncentration.</w:t>
      </w:r>
    </w:p>
    <w:p w14:paraId="0FDAD04A" w14:textId="77777777" w:rsidR="00387175" w:rsidRPr="00D07529" w:rsidRDefault="00387175" w:rsidP="00D07529">
      <w:pPr>
        <w:ind w:left="851"/>
        <w:rPr>
          <w:iCs/>
          <w:noProof/>
          <w:sz w:val="24"/>
          <w:szCs w:val="24"/>
        </w:rPr>
      </w:pPr>
    </w:p>
    <w:p w14:paraId="58755E7A" w14:textId="77777777" w:rsidR="00387175" w:rsidRPr="00550391" w:rsidRDefault="00387175" w:rsidP="00D07529">
      <w:pPr>
        <w:ind w:left="851"/>
        <w:rPr>
          <w:iCs/>
          <w:sz w:val="24"/>
          <w:szCs w:val="24"/>
          <w:u w:val="single"/>
        </w:rPr>
      </w:pPr>
      <w:r w:rsidRPr="00550391">
        <w:rPr>
          <w:sz w:val="24"/>
          <w:szCs w:val="24"/>
          <w:u w:val="single"/>
        </w:rPr>
        <w:t>Fordeling</w:t>
      </w:r>
    </w:p>
    <w:p w14:paraId="29B665FC" w14:textId="77777777" w:rsidR="00387175" w:rsidRPr="00D07529" w:rsidRDefault="00387175" w:rsidP="00D07529">
      <w:pPr>
        <w:ind w:left="851"/>
        <w:rPr>
          <w:sz w:val="24"/>
          <w:szCs w:val="24"/>
        </w:rPr>
      </w:pPr>
      <w:proofErr w:type="spellStart"/>
      <w:r w:rsidRPr="00D07529">
        <w:rPr>
          <w:sz w:val="24"/>
          <w:szCs w:val="24"/>
        </w:rPr>
        <w:t>Flucloxacillin</w:t>
      </w:r>
      <w:proofErr w:type="spellEnd"/>
      <w:r w:rsidRPr="00D07529">
        <w:rPr>
          <w:sz w:val="24"/>
          <w:szCs w:val="24"/>
        </w:rPr>
        <w:t xml:space="preserve"> diffunderer godt ind i de fleste væv. Fordeling til cerebrospinalvæske er lav hos personer uden hjernehindebetændelse.</w:t>
      </w:r>
    </w:p>
    <w:p w14:paraId="55732B18" w14:textId="77777777" w:rsidR="00387175" w:rsidRPr="00D07529" w:rsidRDefault="00387175" w:rsidP="00D07529">
      <w:pPr>
        <w:ind w:left="851"/>
        <w:rPr>
          <w:iCs/>
          <w:noProof/>
          <w:sz w:val="24"/>
          <w:szCs w:val="24"/>
        </w:rPr>
      </w:pPr>
    </w:p>
    <w:p w14:paraId="3E491A8D" w14:textId="77777777" w:rsidR="00387175" w:rsidRPr="00D07529" w:rsidRDefault="00387175" w:rsidP="00D07529">
      <w:pPr>
        <w:ind w:left="851"/>
        <w:rPr>
          <w:sz w:val="24"/>
          <w:szCs w:val="24"/>
          <w:lang w:val="nn-NO"/>
        </w:rPr>
      </w:pPr>
      <w:r w:rsidRPr="00D07529">
        <w:rPr>
          <w:sz w:val="24"/>
          <w:szCs w:val="24"/>
          <w:lang w:val="nn-NO"/>
        </w:rPr>
        <w:t>Proteinbindingsraten i serum er ca. 95 %.</w:t>
      </w:r>
    </w:p>
    <w:p w14:paraId="158C5D1B" w14:textId="77777777" w:rsidR="00387175" w:rsidRPr="00D07529" w:rsidRDefault="00387175" w:rsidP="00D07529">
      <w:pPr>
        <w:ind w:left="851"/>
        <w:rPr>
          <w:iCs/>
          <w:noProof/>
          <w:sz w:val="24"/>
          <w:szCs w:val="24"/>
          <w:lang w:val="nn-NO"/>
        </w:rPr>
      </w:pPr>
    </w:p>
    <w:p w14:paraId="44DC8C08" w14:textId="77777777" w:rsidR="00387175" w:rsidRPr="00D07529" w:rsidRDefault="00387175" w:rsidP="00D07529">
      <w:pPr>
        <w:ind w:left="851"/>
        <w:rPr>
          <w:sz w:val="24"/>
          <w:szCs w:val="24"/>
        </w:rPr>
      </w:pPr>
      <w:proofErr w:type="spellStart"/>
      <w:r w:rsidRPr="00D07529">
        <w:rPr>
          <w:sz w:val="24"/>
          <w:szCs w:val="24"/>
        </w:rPr>
        <w:t>Flucloxacillin</w:t>
      </w:r>
      <w:proofErr w:type="spellEnd"/>
      <w:r w:rsidRPr="00D07529">
        <w:rPr>
          <w:sz w:val="24"/>
          <w:szCs w:val="24"/>
        </w:rPr>
        <w:t xml:space="preserve"> udskilles i små mængder i modermælken (se pkt. 4.6).</w:t>
      </w:r>
    </w:p>
    <w:p w14:paraId="5BF4E3B9" w14:textId="77777777" w:rsidR="00387175" w:rsidRPr="00D07529" w:rsidRDefault="00387175" w:rsidP="00D07529">
      <w:pPr>
        <w:ind w:left="851"/>
        <w:rPr>
          <w:iCs/>
          <w:noProof/>
          <w:sz w:val="24"/>
          <w:szCs w:val="24"/>
        </w:rPr>
      </w:pPr>
    </w:p>
    <w:p w14:paraId="5CD121B9" w14:textId="77777777" w:rsidR="00387175" w:rsidRPr="00550391" w:rsidRDefault="00387175" w:rsidP="00D07529">
      <w:pPr>
        <w:ind w:left="851"/>
        <w:rPr>
          <w:iCs/>
          <w:sz w:val="24"/>
          <w:szCs w:val="24"/>
          <w:u w:val="single"/>
        </w:rPr>
      </w:pPr>
      <w:r w:rsidRPr="00550391">
        <w:rPr>
          <w:sz w:val="24"/>
          <w:szCs w:val="24"/>
          <w:u w:val="single"/>
        </w:rPr>
        <w:t>Biotransformation</w:t>
      </w:r>
    </w:p>
    <w:p w14:paraId="5E07972A" w14:textId="77777777" w:rsidR="00387175" w:rsidRPr="00D07529" w:rsidRDefault="00387175" w:rsidP="00D07529">
      <w:pPr>
        <w:ind w:left="851"/>
        <w:rPr>
          <w:sz w:val="24"/>
          <w:szCs w:val="24"/>
        </w:rPr>
      </w:pPr>
      <w:proofErr w:type="spellStart"/>
      <w:r w:rsidRPr="00D07529">
        <w:rPr>
          <w:sz w:val="24"/>
          <w:szCs w:val="24"/>
        </w:rPr>
        <w:t>Flucloxacillin</w:t>
      </w:r>
      <w:proofErr w:type="spellEnd"/>
      <w:r w:rsidRPr="00D07529">
        <w:rPr>
          <w:sz w:val="24"/>
          <w:szCs w:val="24"/>
        </w:rPr>
        <w:t xml:space="preserve"> </w:t>
      </w:r>
      <w:proofErr w:type="spellStart"/>
      <w:r w:rsidRPr="00D07529">
        <w:rPr>
          <w:sz w:val="24"/>
          <w:szCs w:val="24"/>
        </w:rPr>
        <w:t>metaboliseres</w:t>
      </w:r>
      <w:proofErr w:type="spellEnd"/>
      <w:r w:rsidRPr="00D07529">
        <w:rPr>
          <w:sz w:val="24"/>
          <w:szCs w:val="24"/>
        </w:rPr>
        <w:t xml:space="preserve"> af CYP450 til 5-hydroksymetylflucloxacillin (5-HMF). </w:t>
      </w:r>
      <w:proofErr w:type="spellStart"/>
      <w:r w:rsidRPr="00D07529">
        <w:rPr>
          <w:sz w:val="24"/>
          <w:szCs w:val="24"/>
        </w:rPr>
        <w:t>Flucloxacillin</w:t>
      </w:r>
      <w:proofErr w:type="spellEnd"/>
      <w:r w:rsidRPr="00D07529">
        <w:rPr>
          <w:sz w:val="24"/>
          <w:szCs w:val="24"/>
        </w:rPr>
        <w:t xml:space="preserve"> og 5-HMF hydrolyseres til </w:t>
      </w:r>
      <w:proofErr w:type="spellStart"/>
      <w:r w:rsidRPr="00D07529">
        <w:rPr>
          <w:sz w:val="24"/>
          <w:szCs w:val="24"/>
        </w:rPr>
        <w:t>penicilloidsyrer</w:t>
      </w:r>
      <w:proofErr w:type="spellEnd"/>
      <w:r w:rsidRPr="00D07529">
        <w:rPr>
          <w:sz w:val="24"/>
          <w:szCs w:val="24"/>
        </w:rPr>
        <w:t xml:space="preserve">. </w:t>
      </w:r>
      <w:proofErr w:type="spellStart"/>
      <w:r w:rsidRPr="00D07529">
        <w:rPr>
          <w:sz w:val="24"/>
          <w:szCs w:val="24"/>
        </w:rPr>
        <w:t>Flucloxacillin</w:t>
      </w:r>
      <w:proofErr w:type="spellEnd"/>
      <w:r w:rsidRPr="00D07529">
        <w:rPr>
          <w:sz w:val="24"/>
          <w:szCs w:val="24"/>
        </w:rPr>
        <w:t xml:space="preserve"> </w:t>
      </w:r>
      <w:proofErr w:type="spellStart"/>
      <w:r w:rsidRPr="00D07529">
        <w:rPr>
          <w:sz w:val="24"/>
          <w:szCs w:val="24"/>
        </w:rPr>
        <w:t>metaboliseres</w:t>
      </w:r>
      <w:proofErr w:type="spellEnd"/>
      <w:r w:rsidRPr="00D07529">
        <w:rPr>
          <w:sz w:val="24"/>
          <w:szCs w:val="24"/>
        </w:rPr>
        <w:t xml:space="preserve"> kun i ringe grad.</w:t>
      </w:r>
    </w:p>
    <w:p w14:paraId="643F01BE" w14:textId="4152875B" w:rsidR="00550391" w:rsidRDefault="00550391">
      <w:pPr>
        <w:rPr>
          <w:iCs/>
          <w:noProof/>
          <w:sz w:val="24"/>
          <w:szCs w:val="24"/>
        </w:rPr>
      </w:pPr>
      <w:r>
        <w:rPr>
          <w:iCs/>
          <w:noProof/>
          <w:sz w:val="24"/>
          <w:szCs w:val="24"/>
        </w:rPr>
        <w:br w:type="page"/>
      </w:r>
    </w:p>
    <w:p w14:paraId="161F9610" w14:textId="77777777" w:rsidR="00387175" w:rsidRPr="00D07529" w:rsidRDefault="00387175" w:rsidP="00D07529">
      <w:pPr>
        <w:ind w:left="851"/>
        <w:rPr>
          <w:iCs/>
          <w:noProof/>
          <w:sz w:val="24"/>
          <w:szCs w:val="24"/>
        </w:rPr>
      </w:pPr>
    </w:p>
    <w:p w14:paraId="6032CDE8" w14:textId="77777777" w:rsidR="00387175" w:rsidRPr="00550391" w:rsidRDefault="00387175" w:rsidP="00D07529">
      <w:pPr>
        <w:ind w:left="851"/>
        <w:rPr>
          <w:iCs/>
          <w:sz w:val="24"/>
          <w:szCs w:val="24"/>
          <w:u w:val="single"/>
        </w:rPr>
      </w:pPr>
      <w:r w:rsidRPr="00550391">
        <w:rPr>
          <w:sz w:val="24"/>
          <w:szCs w:val="24"/>
          <w:u w:val="single"/>
        </w:rPr>
        <w:t>Elimination</w:t>
      </w:r>
    </w:p>
    <w:p w14:paraId="18122F1A" w14:textId="77777777" w:rsidR="00387175" w:rsidRPr="00D07529" w:rsidRDefault="00387175" w:rsidP="00D07529">
      <w:pPr>
        <w:ind w:left="851"/>
        <w:rPr>
          <w:iCs/>
          <w:noProof/>
          <w:sz w:val="24"/>
          <w:szCs w:val="24"/>
        </w:rPr>
      </w:pPr>
      <w:r w:rsidRPr="00D07529">
        <w:rPr>
          <w:sz w:val="24"/>
          <w:szCs w:val="24"/>
        </w:rPr>
        <w:t xml:space="preserve">Halveringstiden af </w:t>
      </w:r>
      <w:proofErr w:type="spellStart"/>
      <w:r w:rsidRPr="00D07529">
        <w:rPr>
          <w:sz w:val="24"/>
          <w:szCs w:val="24"/>
        </w:rPr>
        <w:t>flucloxacillin</w:t>
      </w:r>
      <w:proofErr w:type="spellEnd"/>
      <w:r w:rsidRPr="00D07529">
        <w:rPr>
          <w:sz w:val="24"/>
          <w:szCs w:val="24"/>
        </w:rPr>
        <w:t xml:space="preserve"> efter oral administration af 1000 mg til raske voksne individer er omtrent 1,5 timer.</w:t>
      </w:r>
    </w:p>
    <w:p w14:paraId="0CA5A88E" w14:textId="77777777" w:rsidR="00387175" w:rsidRPr="00D07529" w:rsidRDefault="00387175" w:rsidP="00D07529">
      <w:pPr>
        <w:ind w:left="851"/>
        <w:rPr>
          <w:iCs/>
          <w:noProof/>
          <w:sz w:val="24"/>
          <w:szCs w:val="24"/>
        </w:rPr>
      </w:pPr>
    </w:p>
    <w:p w14:paraId="4A3FF43A" w14:textId="77777777" w:rsidR="00387175" w:rsidRPr="00D07529" w:rsidRDefault="00387175" w:rsidP="00D07529">
      <w:pPr>
        <w:ind w:left="851"/>
        <w:rPr>
          <w:iCs/>
          <w:noProof/>
          <w:sz w:val="24"/>
          <w:szCs w:val="24"/>
        </w:rPr>
      </w:pPr>
      <w:proofErr w:type="spellStart"/>
      <w:r w:rsidRPr="00D07529">
        <w:rPr>
          <w:sz w:val="24"/>
          <w:szCs w:val="24"/>
        </w:rPr>
        <w:t>Flucloxacillin</w:t>
      </w:r>
      <w:proofErr w:type="spellEnd"/>
      <w:r w:rsidRPr="00D07529">
        <w:rPr>
          <w:sz w:val="24"/>
          <w:szCs w:val="24"/>
        </w:rPr>
        <w:t xml:space="preserve"> elimineres primært i nyrerne via </w:t>
      </w:r>
      <w:proofErr w:type="spellStart"/>
      <w:r w:rsidRPr="00D07529">
        <w:rPr>
          <w:sz w:val="24"/>
          <w:szCs w:val="24"/>
        </w:rPr>
        <w:t>glomerulær</w:t>
      </w:r>
      <w:proofErr w:type="spellEnd"/>
      <w:r w:rsidRPr="00D07529">
        <w:rPr>
          <w:sz w:val="24"/>
          <w:szCs w:val="24"/>
        </w:rPr>
        <w:t xml:space="preserve"> filtration og aktiv </w:t>
      </w:r>
      <w:proofErr w:type="spellStart"/>
      <w:r w:rsidRPr="00D07529">
        <w:rPr>
          <w:sz w:val="24"/>
          <w:szCs w:val="24"/>
        </w:rPr>
        <w:t>tubulær</w:t>
      </w:r>
      <w:proofErr w:type="spellEnd"/>
      <w:r w:rsidRPr="00D07529">
        <w:rPr>
          <w:sz w:val="24"/>
          <w:szCs w:val="24"/>
        </w:rPr>
        <w:t xml:space="preserve"> sekretion. Cirka 50</w:t>
      </w:r>
      <w:r w:rsidRPr="00D07529">
        <w:rPr>
          <w:sz w:val="24"/>
          <w:szCs w:val="24"/>
        </w:rPr>
        <w:noBreakHyphen/>
        <w:t>55 % af den orale dosis genfindes i urinen efter 6 timer. En lille andel af dosen elimineres ved sekretion i galde.</w:t>
      </w:r>
    </w:p>
    <w:p w14:paraId="12892818" w14:textId="77777777" w:rsidR="00387175" w:rsidRPr="00D07529" w:rsidRDefault="00387175" w:rsidP="00D07529">
      <w:pPr>
        <w:ind w:left="851"/>
        <w:rPr>
          <w:iCs/>
          <w:noProof/>
          <w:sz w:val="24"/>
          <w:szCs w:val="24"/>
        </w:rPr>
      </w:pPr>
    </w:p>
    <w:p w14:paraId="32D3DE16" w14:textId="77777777" w:rsidR="00387175" w:rsidRPr="00D07529" w:rsidRDefault="00387175" w:rsidP="00D07529">
      <w:pPr>
        <w:ind w:left="851"/>
        <w:rPr>
          <w:iCs/>
          <w:noProof/>
          <w:sz w:val="24"/>
          <w:szCs w:val="24"/>
        </w:rPr>
      </w:pPr>
      <w:proofErr w:type="spellStart"/>
      <w:r w:rsidRPr="00D07529">
        <w:rPr>
          <w:sz w:val="24"/>
          <w:szCs w:val="24"/>
        </w:rPr>
        <w:t>Renal</w:t>
      </w:r>
      <w:proofErr w:type="spellEnd"/>
      <w:r w:rsidRPr="00D07529">
        <w:rPr>
          <w:sz w:val="24"/>
          <w:szCs w:val="24"/>
        </w:rPr>
        <w:t xml:space="preserve"> elimination reduceres ved nedsat nyrefunktion, og dosisjustering kan i nogle tilfælde være nødvendig (se pkt. 4.2).</w:t>
      </w:r>
    </w:p>
    <w:p w14:paraId="5048D0F2" w14:textId="77777777" w:rsidR="009260DE" w:rsidRPr="00D07529" w:rsidRDefault="009260DE" w:rsidP="009260DE">
      <w:pPr>
        <w:tabs>
          <w:tab w:val="left" w:pos="851"/>
        </w:tabs>
        <w:ind w:left="851"/>
        <w:rPr>
          <w:sz w:val="24"/>
          <w:szCs w:val="24"/>
        </w:rPr>
      </w:pPr>
    </w:p>
    <w:p w14:paraId="1484B39A" w14:textId="77777777" w:rsidR="009260DE" w:rsidRPr="00D07529" w:rsidRDefault="009260DE" w:rsidP="009260DE">
      <w:pPr>
        <w:tabs>
          <w:tab w:val="left" w:pos="851"/>
        </w:tabs>
        <w:ind w:left="851" w:hanging="851"/>
        <w:rPr>
          <w:b/>
          <w:sz w:val="24"/>
          <w:szCs w:val="24"/>
        </w:rPr>
      </w:pPr>
      <w:r w:rsidRPr="00D07529">
        <w:rPr>
          <w:b/>
          <w:sz w:val="24"/>
          <w:szCs w:val="24"/>
        </w:rPr>
        <w:t>5.3</w:t>
      </w:r>
      <w:r w:rsidRPr="00D07529">
        <w:rPr>
          <w:b/>
          <w:sz w:val="24"/>
          <w:szCs w:val="24"/>
        </w:rPr>
        <w:tab/>
      </w:r>
      <w:r w:rsidR="00BD7931" w:rsidRPr="00D07529">
        <w:rPr>
          <w:b/>
          <w:sz w:val="24"/>
          <w:szCs w:val="24"/>
        </w:rPr>
        <w:t>Non-</w:t>
      </w:r>
      <w:r w:rsidRPr="00D07529">
        <w:rPr>
          <w:b/>
          <w:sz w:val="24"/>
          <w:szCs w:val="24"/>
        </w:rPr>
        <w:t>kliniske sikkerhedsdata</w:t>
      </w:r>
    </w:p>
    <w:p w14:paraId="0395E530" w14:textId="77777777" w:rsidR="00387175" w:rsidRPr="00D07529" w:rsidRDefault="00387175" w:rsidP="00D07529">
      <w:pPr>
        <w:ind w:left="851"/>
        <w:rPr>
          <w:sz w:val="24"/>
          <w:szCs w:val="24"/>
        </w:rPr>
      </w:pPr>
      <w:r w:rsidRPr="00D07529">
        <w:rPr>
          <w:sz w:val="24"/>
          <w:szCs w:val="24"/>
        </w:rPr>
        <w:t>Der er ingen relevante non-kliniske sikkerhedsdata ud over det, der fremgår af produktresuméet.</w:t>
      </w:r>
    </w:p>
    <w:p w14:paraId="41EACCB3" w14:textId="32E12D5C" w:rsidR="009260DE" w:rsidRPr="00D07529" w:rsidRDefault="009260DE" w:rsidP="009260DE">
      <w:pPr>
        <w:tabs>
          <w:tab w:val="left" w:pos="851"/>
        </w:tabs>
        <w:ind w:left="851"/>
        <w:rPr>
          <w:sz w:val="24"/>
          <w:szCs w:val="24"/>
        </w:rPr>
      </w:pPr>
    </w:p>
    <w:p w14:paraId="27D6D830" w14:textId="77777777" w:rsidR="009260DE" w:rsidRPr="00D07529" w:rsidRDefault="009260DE" w:rsidP="009260DE">
      <w:pPr>
        <w:tabs>
          <w:tab w:val="left" w:pos="851"/>
        </w:tabs>
        <w:ind w:left="851"/>
        <w:rPr>
          <w:sz w:val="24"/>
          <w:szCs w:val="24"/>
        </w:rPr>
      </w:pPr>
    </w:p>
    <w:p w14:paraId="78306F0B" w14:textId="77777777" w:rsidR="009260DE" w:rsidRPr="00D07529" w:rsidRDefault="009260DE" w:rsidP="009260DE">
      <w:pPr>
        <w:tabs>
          <w:tab w:val="left" w:pos="851"/>
        </w:tabs>
        <w:ind w:left="851" w:hanging="851"/>
        <w:rPr>
          <w:b/>
          <w:sz w:val="24"/>
          <w:szCs w:val="24"/>
        </w:rPr>
      </w:pPr>
      <w:r w:rsidRPr="00D07529">
        <w:rPr>
          <w:b/>
          <w:sz w:val="24"/>
          <w:szCs w:val="24"/>
        </w:rPr>
        <w:t>6.</w:t>
      </w:r>
      <w:r w:rsidRPr="00D07529">
        <w:rPr>
          <w:b/>
          <w:sz w:val="24"/>
          <w:szCs w:val="24"/>
        </w:rPr>
        <w:tab/>
        <w:t>FARMACEUTISKE OPLYSNINGER</w:t>
      </w:r>
    </w:p>
    <w:p w14:paraId="7520EF61" w14:textId="77777777" w:rsidR="009260DE" w:rsidRPr="00D07529" w:rsidRDefault="009260DE" w:rsidP="009260DE">
      <w:pPr>
        <w:tabs>
          <w:tab w:val="left" w:pos="851"/>
        </w:tabs>
        <w:ind w:left="851"/>
        <w:rPr>
          <w:sz w:val="24"/>
          <w:szCs w:val="24"/>
        </w:rPr>
      </w:pPr>
    </w:p>
    <w:p w14:paraId="0B8C5C25" w14:textId="77777777" w:rsidR="009260DE" w:rsidRPr="00D07529" w:rsidRDefault="009260DE" w:rsidP="009260DE">
      <w:pPr>
        <w:tabs>
          <w:tab w:val="left" w:pos="851"/>
        </w:tabs>
        <w:ind w:left="851" w:hanging="851"/>
        <w:rPr>
          <w:b/>
          <w:sz w:val="24"/>
          <w:szCs w:val="24"/>
        </w:rPr>
      </w:pPr>
      <w:r w:rsidRPr="00D07529">
        <w:rPr>
          <w:b/>
          <w:sz w:val="24"/>
          <w:szCs w:val="24"/>
        </w:rPr>
        <w:t>6.1</w:t>
      </w:r>
      <w:r w:rsidRPr="00D07529">
        <w:rPr>
          <w:b/>
          <w:sz w:val="24"/>
          <w:szCs w:val="24"/>
        </w:rPr>
        <w:tab/>
        <w:t>Hjælpestoffer</w:t>
      </w:r>
    </w:p>
    <w:p w14:paraId="3EE2A4DC" w14:textId="77777777" w:rsidR="00975EA2" w:rsidRPr="00D07529" w:rsidRDefault="00975EA2" w:rsidP="00D07529">
      <w:pPr>
        <w:ind w:left="851"/>
        <w:rPr>
          <w:sz w:val="24"/>
          <w:szCs w:val="24"/>
        </w:rPr>
      </w:pPr>
      <w:r w:rsidRPr="00D07529">
        <w:rPr>
          <w:sz w:val="24"/>
          <w:szCs w:val="24"/>
        </w:rPr>
        <w:t>Natriumbenzoat (E 211)</w:t>
      </w:r>
    </w:p>
    <w:p w14:paraId="17DB5894" w14:textId="77777777" w:rsidR="00975EA2" w:rsidRPr="00D07529" w:rsidRDefault="00975EA2" w:rsidP="00D07529">
      <w:pPr>
        <w:ind w:left="851"/>
        <w:rPr>
          <w:sz w:val="24"/>
          <w:szCs w:val="24"/>
        </w:rPr>
      </w:pPr>
      <w:proofErr w:type="spellStart"/>
      <w:r w:rsidRPr="00D07529">
        <w:rPr>
          <w:sz w:val="24"/>
          <w:szCs w:val="24"/>
        </w:rPr>
        <w:t>Dinatriumedetat</w:t>
      </w:r>
      <w:proofErr w:type="spellEnd"/>
    </w:p>
    <w:p w14:paraId="54E1D246" w14:textId="77777777" w:rsidR="00975EA2" w:rsidRPr="00D07529" w:rsidRDefault="00975EA2" w:rsidP="00D07529">
      <w:pPr>
        <w:ind w:left="851"/>
        <w:rPr>
          <w:sz w:val="24"/>
          <w:szCs w:val="24"/>
        </w:rPr>
      </w:pPr>
      <w:proofErr w:type="spellStart"/>
      <w:r w:rsidRPr="00D07529">
        <w:rPr>
          <w:sz w:val="24"/>
          <w:szCs w:val="24"/>
        </w:rPr>
        <w:t>Saccharinnatrium</w:t>
      </w:r>
      <w:proofErr w:type="spellEnd"/>
      <w:r w:rsidRPr="00D07529">
        <w:rPr>
          <w:sz w:val="24"/>
          <w:szCs w:val="24"/>
        </w:rPr>
        <w:t xml:space="preserve"> (E 954)</w:t>
      </w:r>
    </w:p>
    <w:p w14:paraId="764C9D38" w14:textId="77777777" w:rsidR="00975EA2" w:rsidRPr="00D07529" w:rsidRDefault="00975EA2" w:rsidP="00D07529">
      <w:pPr>
        <w:ind w:left="851"/>
        <w:rPr>
          <w:sz w:val="24"/>
          <w:szCs w:val="24"/>
        </w:rPr>
      </w:pPr>
      <w:proofErr w:type="spellStart"/>
      <w:r w:rsidRPr="00D07529">
        <w:rPr>
          <w:sz w:val="24"/>
          <w:szCs w:val="24"/>
        </w:rPr>
        <w:t>Ammoniumglycyrrhizinat</w:t>
      </w:r>
      <w:proofErr w:type="spellEnd"/>
    </w:p>
    <w:p w14:paraId="74386CB8" w14:textId="77777777" w:rsidR="00975EA2" w:rsidRPr="00D07529" w:rsidRDefault="00975EA2" w:rsidP="00D07529">
      <w:pPr>
        <w:ind w:left="851"/>
        <w:rPr>
          <w:sz w:val="24"/>
          <w:szCs w:val="24"/>
        </w:rPr>
      </w:pPr>
      <w:r w:rsidRPr="00D07529">
        <w:rPr>
          <w:sz w:val="24"/>
          <w:szCs w:val="24"/>
        </w:rPr>
        <w:t>Natriumcitrat (E 331)</w:t>
      </w:r>
    </w:p>
    <w:p w14:paraId="33AFC6F4" w14:textId="77777777" w:rsidR="00975EA2" w:rsidRPr="00D07529" w:rsidRDefault="00975EA2" w:rsidP="00D07529">
      <w:pPr>
        <w:ind w:left="851"/>
        <w:rPr>
          <w:sz w:val="24"/>
          <w:szCs w:val="24"/>
        </w:rPr>
      </w:pPr>
      <w:r w:rsidRPr="00D07529">
        <w:rPr>
          <w:sz w:val="24"/>
          <w:szCs w:val="24"/>
        </w:rPr>
        <w:t>Ananassmag</w:t>
      </w:r>
    </w:p>
    <w:p w14:paraId="79705F12" w14:textId="77777777" w:rsidR="00975EA2" w:rsidRPr="00D07529" w:rsidRDefault="00975EA2" w:rsidP="00D07529">
      <w:pPr>
        <w:ind w:left="851"/>
        <w:rPr>
          <w:sz w:val="24"/>
          <w:szCs w:val="24"/>
        </w:rPr>
      </w:pPr>
      <w:r w:rsidRPr="00D07529">
        <w:rPr>
          <w:sz w:val="24"/>
          <w:szCs w:val="24"/>
        </w:rPr>
        <w:t>Mentolsmag</w:t>
      </w:r>
    </w:p>
    <w:p w14:paraId="66FC2CF9" w14:textId="77777777" w:rsidR="00975EA2" w:rsidRPr="00D07529" w:rsidRDefault="00975EA2" w:rsidP="00D07529">
      <w:pPr>
        <w:ind w:left="851"/>
        <w:rPr>
          <w:sz w:val="24"/>
          <w:szCs w:val="24"/>
        </w:rPr>
      </w:pPr>
      <w:proofErr w:type="spellStart"/>
      <w:r w:rsidRPr="00D07529">
        <w:rPr>
          <w:sz w:val="24"/>
          <w:szCs w:val="24"/>
        </w:rPr>
        <w:t>Erythrosin</w:t>
      </w:r>
      <w:proofErr w:type="spellEnd"/>
      <w:r w:rsidRPr="00D07529">
        <w:rPr>
          <w:sz w:val="24"/>
          <w:szCs w:val="24"/>
        </w:rPr>
        <w:t xml:space="preserve"> (E 127)</w:t>
      </w:r>
    </w:p>
    <w:p w14:paraId="73563AF9" w14:textId="77777777" w:rsidR="00975EA2" w:rsidRPr="00D07529" w:rsidRDefault="00975EA2" w:rsidP="00D07529">
      <w:pPr>
        <w:ind w:left="851"/>
        <w:rPr>
          <w:sz w:val="24"/>
          <w:szCs w:val="24"/>
        </w:rPr>
      </w:pPr>
      <w:proofErr w:type="spellStart"/>
      <w:r w:rsidRPr="00D07529">
        <w:rPr>
          <w:sz w:val="24"/>
          <w:szCs w:val="24"/>
        </w:rPr>
        <w:t>Saccharose</w:t>
      </w:r>
      <w:proofErr w:type="spellEnd"/>
    </w:p>
    <w:p w14:paraId="7B80C6E7" w14:textId="77777777" w:rsidR="009260DE" w:rsidRPr="00D07529" w:rsidRDefault="009260DE" w:rsidP="009260DE">
      <w:pPr>
        <w:tabs>
          <w:tab w:val="left" w:pos="851"/>
        </w:tabs>
        <w:ind w:left="851"/>
        <w:rPr>
          <w:sz w:val="24"/>
          <w:szCs w:val="24"/>
        </w:rPr>
      </w:pPr>
    </w:p>
    <w:p w14:paraId="165B7AE4" w14:textId="77777777" w:rsidR="009260DE" w:rsidRPr="00D07529" w:rsidRDefault="009260DE" w:rsidP="009260DE">
      <w:pPr>
        <w:tabs>
          <w:tab w:val="left" w:pos="851"/>
        </w:tabs>
        <w:ind w:left="851" w:hanging="851"/>
        <w:rPr>
          <w:b/>
          <w:sz w:val="24"/>
          <w:szCs w:val="24"/>
        </w:rPr>
      </w:pPr>
      <w:r w:rsidRPr="00D07529">
        <w:rPr>
          <w:b/>
          <w:sz w:val="24"/>
          <w:szCs w:val="24"/>
        </w:rPr>
        <w:t>6.2</w:t>
      </w:r>
      <w:r w:rsidRPr="00D07529">
        <w:rPr>
          <w:b/>
          <w:sz w:val="24"/>
          <w:szCs w:val="24"/>
        </w:rPr>
        <w:tab/>
        <w:t>Uforligeligheder</w:t>
      </w:r>
    </w:p>
    <w:p w14:paraId="4088D46D" w14:textId="77777777" w:rsidR="003313C2" w:rsidRPr="00D07529" w:rsidRDefault="003313C2" w:rsidP="00D07529">
      <w:pPr>
        <w:ind w:left="851"/>
        <w:rPr>
          <w:sz w:val="24"/>
          <w:szCs w:val="24"/>
        </w:rPr>
      </w:pPr>
      <w:r w:rsidRPr="00D07529">
        <w:rPr>
          <w:sz w:val="24"/>
          <w:szCs w:val="24"/>
        </w:rPr>
        <w:t>Ikke relevant.</w:t>
      </w:r>
    </w:p>
    <w:p w14:paraId="0D09313C" w14:textId="77777777" w:rsidR="009260DE" w:rsidRPr="00D07529" w:rsidRDefault="009260DE" w:rsidP="009260DE">
      <w:pPr>
        <w:tabs>
          <w:tab w:val="left" w:pos="851"/>
        </w:tabs>
        <w:ind w:left="851"/>
        <w:rPr>
          <w:sz w:val="24"/>
          <w:szCs w:val="24"/>
        </w:rPr>
      </w:pPr>
    </w:p>
    <w:p w14:paraId="34B28B76" w14:textId="77777777" w:rsidR="009260DE" w:rsidRPr="00D07529" w:rsidRDefault="009260DE" w:rsidP="009260DE">
      <w:pPr>
        <w:tabs>
          <w:tab w:val="left" w:pos="851"/>
        </w:tabs>
        <w:ind w:left="851" w:hanging="851"/>
        <w:rPr>
          <w:b/>
          <w:sz w:val="24"/>
          <w:szCs w:val="24"/>
        </w:rPr>
      </w:pPr>
      <w:r w:rsidRPr="00D07529">
        <w:rPr>
          <w:b/>
          <w:sz w:val="24"/>
          <w:szCs w:val="24"/>
        </w:rPr>
        <w:t>6.3</w:t>
      </w:r>
      <w:r w:rsidRPr="00D07529">
        <w:rPr>
          <w:b/>
          <w:sz w:val="24"/>
          <w:szCs w:val="24"/>
        </w:rPr>
        <w:tab/>
        <w:t>Opbevaringstid</w:t>
      </w:r>
    </w:p>
    <w:p w14:paraId="14029913" w14:textId="77777777" w:rsidR="00550391" w:rsidRDefault="00550391" w:rsidP="00D07529">
      <w:pPr>
        <w:ind w:left="851"/>
        <w:rPr>
          <w:sz w:val="24"/>
          <w:szCs w:val="24"/>
        </w:rPr>
      </w:pPr>
    </w:p>
    <w:p w14:paraId="0EA9FDCA" w14:textId="2AF4FFB5" w:rsidR="003313C2" w:rsidRPr="00550391" w:rsidRDefault="003313C2" w:rsidP="00D07529">
      <w:pPr>
        <w:ind w:left="851"/>
        <w:rPr>
          <w:sz w:val="24"/>
          <w:szCs w:val="24"/>
          <w:u w:val="single"/>
        </w:rPr>
      </w:pPr>
      <w:r w:rsidRPr="00550391">
        <w:rPr>
          <w:sz w:val="24"/>
          <w:szCs w:val="24"/>
          <w:u w:val="single"/>
        </w:rPr>
        <w:t>Pulver</w:t>
      </w:r>
    </w:p>
    <w:p w14:paraId="2A79D4AC" w14:textId="77777777" w:rsidR="003313C2" w:rsidRPr="00D07529" w:rsidRDefault="003313C2" w:rsidP="00D07529">
      <w:pPr>
        <w:ind w:left="851"/>
        <w:rPr>
          <w:sz w:val="24"/>
          <w:szCs w:val="24"/>
        </w:rPr>
      </w:pPr>
      <w:r w:rsidRPr="00D07529">
        <w:rPr>
          <w:sz w:val="24"/>
          <w:szCs w:val="24"/>
        </w:rPr>
        <w:t>Flaske i en aluminiumspose: 2 år</w:t>
      </w:r>
    </w:p>
    <w:p w14:paraId="1EE09D5B" w14:textId="77777777" w:rsidR="003313C2" w:rsidRPr="00D07529" w:rsidRDefault="003313C2" w:rsidP="00D07529">
      <w:pPr>
        <w:ind w:left="851"/>
        <w:rPr>
          <w:sz w:val="24"/>
          <w:szCs w:val="24"/>
        </w:rPr>
      </w:pPr>
    </w:p>
    <w:p w14:paraId="2A0181DA" w14:textId="77777777" w:rsidR="003313C2" w:rsidRPr="00D07529" w:rsidRDefault="003313C2" w:rsidP="00D07529">
      <w:pPr>
        <w:ind w:left="851"/>
        <w:rPr>
          <w:sz w:val="24"/>
          <w:szCs w:val="24"/>
        </w:rPr>
      </w:pPr>
      <w:proofErr w:type="spellStart"/>
      <w:r w:rsidRPr="00D07529">
        <w:rPr>
          <w:sz w:val="24"/>
          <w:szCs w:val="24"/>
        </w:rPr>
        <w:t>Rekonstitueres</w:t>
      </w:r>
      <w:proofErr w:type="spellEnd"/>
      <w:r w:rsidRPr="00D07529">
        <w:rPr>
          <w:sz w:val="24"/>
          <w:szCs w:val="24"/>
        </w:rPr>
        <w:t xml:space="preserve"> så snart flasken tages ud af aluminiumsposen.</w:t>
      </w:r>
    </w:p>
    <w:p w14:paraId="16DF6137" w14:textId="77777777" w:rsidR="003313C2" w:rsidRPr="00D07529" w:rsidRDefault="003313C2" w:rsidP="00D07529">
      <w:pPr>
        <w:ind w:left="851"/>
        <w:rPr>
          <w:sz w:val="24"/>
          <w:szCs w:val="24"/>
        </w:rPr>
      </w:pPr>
    </w:p>
    <w:p w14:paraId="12A1265E" w14:textId="77777777" w:rsidR="003313C2" w:rsidRPr="00D07529" w:rsidRDefault="003313C2" w:rsidP="00D07529">
      <w:pPr>
        <w:ind w:left="851"/>
        <w:rPr>
          <w:sz w:val="24"/>
          <w:szCs w:val="24"/>
        </w:rPr>
      </w:pPr>
      <w:r w:rsidRPr="00D07529">
        <w:rPr>
          <w:sz w:val="24"/>
          <w:szCs w:val="24"/>
        </w:rPr>
        <w:t xml:space="preserve">Når blandingen er </w:t>
      </w:r>
      <w:proofErr w:type="spellStart"/>
      <w:r w:rsidRPr="00D07529">
        <w:rPr>
          <w:sz w:val="24"/>
          <w:szCs w:val="24"/>
        </w:rPr>
        <w:t>rekonstitueret</w:t>
      </w:r>
      <w:proofErr w:type="spellEnd"/>
      <w:r w:rsidRPr="00D07529">
        <w:rPr>
          <w:sz w:val="24"/>
          <w:szCs w:val="24"/>
        </w:rPr>
        <w:t xml:space="preserve">: Opbevar i køleskab (2–8 °C) i den originale beholder. </w:t>
      </w:r>
      <w:r w:rsidRPr="00D07529">
        <w:rPr>
          <w:sz w:val="24"/>
          <w:szCs w:val="24"/>
        </w:rPr>
        <w:br/>
        <w:t>Skal anvendes inden 7 dage.</w:t>
      </w:r>
    </w:p>
    <w:p w14:paraId="61D62C97" w14:textId="77777777" w:rsidR="009260DE" w:rsidRPr="00D07529" w:rsidRDefault="009260DE" w:rsidP="009260DE">
      <w:pPr>
        <w:tabs>
          <w:tab w:val="left" w:pos="851"/>
        </w:tabs>
        <w:ind w:left="851"/>
        <w:rPr>
          <w:sz w:val="24"/>
          <w:szCs w:val="24"/>
        </w:rPr>
      </w:pPr>
    </w:p>
    <w:p w14:paraId="707986A7" w14:textId="77777777" w:rsidR="009260DE" w:rsidRPr="00D07529" w:rsidRDefault="009260DE" w:rsidP="009260DE">
      <w:pPr>
        <w:tabs>
          <w:tab w:val="left" w:pos="851"/>
        </w:tabs>
        <w:ind w:left="851" w:hanging="851"/>
        <w:rPr>
          <w:b/>
          <w:sz w:val="24"/>
          <w:szCs w:val="24"/>
        </w:rPr>
      </w:pPr>
      <w:r w:rsidRPr="00D07529">
        <w:rPr>
          <w:b/>
          <w:sz w:val="24"/>
          <w:szCs w:val="24"/>
        </w:rPr>
        <w:t>6.4</w:t>
      </w:r>
      <w:r w:rsidRPr="00D07529">
        <w:rPr>
          <w:b/>
          <w:sz w:val="24"/>
          <w:szCs w:val="24"/>
        </w:rPr>
        <w:tab/>
        <w:t>Særlige opbevaringsforhold</w:t>
      </w:r>
    </w:p>
    <w:p w14:paraId="093279CC" w14:textId="77777777" w:rsidR="003313C2" w:rsidRPr="00D07529" w:rsidRDefault="003313C2" w:rsidP="00D07529">
      <w:pPr>
        <w:ind w:left="851"/>
        <w:rPr>
          <w:sz w:val="24"/>
          <w:szCs w:val="24"/>
        </w:rPr>
      </w:pPr>
      <w:r w:rsidRPr="00D07529">
        <w:rPr>
          <w:sz w:val="24"/>
          <w:szCs w:val="24"/>
        </w:rPr>
        <w:t>Pulver i uåbnet pakning: Må ikke opbevares ved temperaturer over 25 °C.</w:t>
      </w:r>
    </w:p>
    <w:p w14:paraId="70773676" w14:textId="77777777" w:rsidR="003313C2" w:rsidRPr="00D07529" w:rsidRDefault="003313C2" w:rsidP="00D07529">
      <w:pPr>
        <w:ind w:left="851"/>
        <w:rPr>
          <w:sz w:val="24"/>
          <w:szCs w:val="24"/>
        </w:rPr>
      </w:pPr>
    </w:p>
    <w:p w14:paraId="287150C8" w14:textId="77777777" w:rsidR="003313C2" w:rsidRPr="00D07529" w:rsidRDefault="003313C2" w:rsidP="00D07529">
      <w:pPr>
        <w:ind w:left="851"/>
        <w:rPr>
          <w:sz w:val="24"/>
          <w:szCs w:val="24"/>
        </w:rPr>
      </w:pPr>
      <w:r w:rsidRPr="00D07529">
        <w:rPr>
          <w:sz w:val="24"/>
          <w:szCs w:val="24"/>
        </w:rPr>
        <w:t>Opbevares i den originale yderpakning for at beskytte mod lys og fugt.</w:t>
      </w:r>
    </w:p>
    <w:p w14:paraId="1E34C6ED" w14:textId="77777777" w:rsidR="003313C2" w:rsidRPr="00D07529" w:rsidRDefault="003313C2" w:rsidP="00D07529">
      <w:pPr>
        <w:ind w:left="851"/>
        <w:rPr>
          <w:noProof/>
          <w:sz w:val="24"/>
          <w:szCs w:val="24"/>
        </w:rPr>
      </w:pPr>
    </w:p>
    <w:p w14:paraId="69C02366" w14:textId="77777777" w:rsidR="003313C2" w:rsidRPr="00D07529" w:rsidRDefault="003313C2" w:rsidP="00D07529">
      <w:pPr>
        <w:ind w:left="851"/>
        <w:rPr>
          <w:sz w:val="24"/>
          <w:szCs w:val="24"/>
        </w:rPr>
      </w:pPr>
      <w:r w:rsidRPr="00D07529">
        <w:rPr>
          <w:sz w:val="24"/>
          <w:szCs w:val="24"/>
        </w:rPr>
        <w:t xml:space="preserve">Opbevaringsforhold efter </w:t>
      </w:r>
      <w:proofErr w:type="spellStart"/>
      <w:r w:rsidRPr="00D07529">
        <w:rPr>
          <w:sz w:val="24"/>
          <w:szCs w:val="24"/>
        </w:rPr>
        <w:t>rekonstitution</w:t>
      </w:r>
      <w:proofErr w:type="spellEnd"/>
      <w:r w:rsidRPr="00D07529">
        <w:rPr>
          <w:sz w:val="24"/>
          <w:szCs w:val="24"/>
        </w:rPr>
        <w:t xml:space="preserve"> af lægemidlet, se pkt. 6.3.</w:t>
      </w:r>
    </w:p>
    <w:p w14:paraId="1B38436C" w14:textId="54CCB2C9" w:rsidR="00550391" w:rsidRDefault="00550391">
      <w:pPr>
        <w:rPr>
          <w:sz w:val="24"/>
          <w:szCs w:val="24"/>
        </w:rPr>
      </w:pPr>
      <w:r>
        <w:rPr>
          <w:sz w:val="24"/>
          <w:szCs w:val="24"/>
        </w:rPr>
        <w:br w:type="page"/>
      </w:r>
    </w:p>
    <w:p w14:paraId="4BF3B417" w14:textId="77777777" w:rsidR="009260DE" w:rsidRPr="00D07529" w:rsidRDefault="009260DE" w:rsidP="009260DE">
      <w:pPr>
        <w:tabs>
          <w:tab w:val="left" w:pos="851"/>
        </w:tabs>
        <w:ind w:left="851"/>
        <w:rPr>
          <w:sz w:val="24"/>
          <w:szCs w:val="24"/>
        </w:rPr>
      </w:pPr>
    </w:p>
    <w:p w14:paraId="587F3823" w14:textId="77777777" w:rsidR="009260DE" w:rsidRPr="00D07529" w:rsidRDefault="009260DE" w:rsidP="009260DE">
      <w:pPr>
        <w:tabs>
          <w:tab w:val="left" w:pos="851"/>
        </w:tabs>
        <w:ind w:left="851" w:hanging="851"/>
        <w:rPr>
          <w:b/>
          <w:sz w:val="24"/>
          <w:szCs w:val="24"/>
        </w:rPr>
      </w:pPr>
      <w:r w:rsidRPr="00D07529">
        <w:rPr>
          <w:b/>
          <w:sz w:val="24"/>
          <w:szCs w:val="24"/>
        </w:rPr>
        <w:t>6.5</w:t>
      </w:r>
      <w:r w:rsidRPr="00D07529">
        <w:rPr>
          <w:b/>
          <w:sz w:val="24"/>
          <w:szCs w:val="24"/>
        </w:rPr>
        <w:tab/>
        <w:t>Emballagetype og pakningsstørrelser</w:t>
      </w:r>
    </w:p>
    <w:p w14:paraId="3773CF1A" w14:textId="3273E39A" w:rsidR="003313C2" w:rsidRPr="00D07529" w:rsidRDefault="004B4BC9" w:rsidP="00D07529">
      <w:pPr>
        <w:ind w:left="851"/>
        <w:rPr>
          <w:sz w:val="24"/>
          <w:szCs w:val="24"/>
        </w:rPr>
      </w:pPr>
      <w:r w:rsidRPr="004B4BC9">
        <w:rPr>
          <w:sz w:val="24"/>
          <w:szCs w:val="24"/>
        </w:rPr>
        <w:t>Flaske med låg med blåt forseglingsbånd</w:t>
      </w:r>
      <w:r>
        <w:rPr>
          <w:sz w:val="24"/>
          <w:szCs w:val="24"/>
        </w:rPr>
        <w:t>.</w:t>
      </w:r>
    </w:p>
    <w:p w14:paraId="5210C741" w14:textId="77777777" w:rsidR="009260DE" w:rsidRPr="00D07529" w:rsidRDefault="009260DE" w:rsidP="009260DE">
      <w:pPr>
        <w:tabs>
          <w:tab w:val="left" w:pos="851"/>
        </w:tabs>
        <w:ind w:left="851"/>
        <w:rPr>
          <w:sz w:val="24"/>
          <w:szCs w:val="24"/>
        </w:rPr>
      </w:pPr>
    </w:p>
    <w:p w14:paraId="68B8E60C" w14:textId="77777777" w:rsidR="009260DE" w:rsidRPr="00D07529" w:rsidRDefault="009260DE" w:rsidP="009260DE">
      <w:pPr>
        <w:tabs>
          <w:tab w:val="left" w:pos="851"/>
        </w:tabs>
        <w:ind w:left="851" w:hanging="851"/>
        <w:rPr>
          <w:b/>
          <w:sz w:val="24"/>
          <w:szCs w:val="24"/>
        </w:rPr>
      </w:pPr>
      <w:r w:rsidRPr="00D07529">
        <w:rPr>
          <w:b/>
          <w:sz w:val="24"/>
          <w:szCs w:val="24"/>
        </w:rPr>
        <w:t>6.6</w:t>
      </w:r>
      <w:r w:rsidRPr="00D07529">
        <w:rPr>
          <w:b/>
          <w:sz w:val="24"/>
          <w:szCs w:val="24"/>
        </w:rPr>
        <w:tab/>
        <w:t xml:space="preserve">Regler for </w:t>
      </w:r>
      <w:r w:rsidR="00BD7931" w:rsidRPr="00D07529">
        <w:rPr>
          <w:b/>
          <w:sz w:val="24"/>
          <w:szCs w:val="24"/>
        </w:rPr>
        <w:t>bortskaffelse</w:t>
      </w:r>
      <w:r w:rsidRPr="00D07529">
        <w:rPr>
          <w:b/>
          <w:sz w:val="24"/>
          <w:szCs w:val="24"/>
        </w:rPr>
        <w:t xml:space="preserve"> og anden håndtering</w:t>
      </w:r>
    </w:p>
    <w:p w14:paraId="7E69C193" w14:textId="77777777" w:rsidR="003313C2" w:rsidRPr="00D07529" w:rsidRDefault="003313C2" w:rsidP="00D07529">
      <w:pPr>
        <w:ind w:left="851"/>
        <w:rPr>
          <w:sz w:val="24"/>
          <w:szCs w:val="24"/>
        </w:rPr>
      </w:pPr>
      <w:r w:rsidRPr="00D07529">
        <w:rPr>
          <w:sz w:val="24"/>
          <w:szCs w:val="24"/>
        </w:rPr>
        <w:t>Tilberedes på apoteket:</w:t>
      </w:r>
    </w:p>
    <w:p w14:paraId="3A341E89" w14:textId="77777777" w:rsidR="003313C2" w:rsidRPr="00D07529" w:rsidRDefault="003313C2" w:rsidP="00D07529">
      <w:pPr>
        <w:ind w:left="851"/>
        <w:rPr>
          <w:sz w:val="24"/>
          <w:szCs w:val="24"/>
        </w:rPr>
      </w:pPr>
      <w:r w:rsidRPr="00D07529">
        <w:rPr>
          <w:sz w:val="24"/>
          <w:szCs w:val="24"/>
        </w:rPr>
        <w:t>100 ml: Tilsæt 58 ml vand, og ryst til alt indholdet er opløst.</w:t>
      </w:r>
    </w:p>
    <w:p w14:paraId="7C844A9A" w14:textId="77777777" w:rsidR="003313C2" w:rsidRPr="00D07529" w:rsidRDefault="003313C2" w:rsidP="00D07529">
      <w:pPr>
        <w:ind w:left="851"/>
        <w:rPr>
          <w:iCs/>
          <w:noProof/>
          <w:sz w:val="24"/>
          <w:szCs w:val="24"/>
        </w:rPr>
      </w:pPr>
    </w:p>
    <w:p w14:paraId="7A2EF82B" w14:textId="77777777" w:rsidR="003313C2" w:rsidRPr="00D07529" w:rsidRDefault="003313C2" w:rsidP="00D07529">
      <w:pPr>
        <w:ind w:left="851"/>
        <w:rPr>
          <w:sz w:val="24"/>
          <w:szCs w:val="24"/>
        </w:rPr>
      </w:pPr>
      <w:r w:rsidRPr="00D07529">
        <w:rPr>
          <w:sz w:val="24"/>
          <w:szCs w:val="24"/>
        </w:rPr>
        <w:t>Opbevares med låget forseglet. Anvendes inden 7 dage efter tilberedning.</w:t>
      </w:r>
    </w:p>
    <w:p w14:paraId="76F37E22" w14:textId="77777777" w:rsidR="003313C2" w:rsidRPr="00D07529" w:rsidRDefault="003313C2" w:rsidP="00D07529">
      <w:pPr>
        <w:ind w:left="851"/>
        <w:rPr>
          <w:iCs/>
          <w:sz w:val="24"/>
          <w:szCs w:val="24"/>
        </w:rPr>
      </w:pPr>
    </w:p>
    <w:p w14:paraId="763AC992" w14:textId="77777777" w:rsidR="003313C2" w:rsidRPr="00D07529" w:rsidRDefault="003313C2" w:rsidP="00D07529">
      <w:pPr>
        <w:ind w:left="851"/>
        <w:rPr>
          <w:sz w:val="24"/>
          <w:szCs w:val="24"/>
        </w:rPr>
      </w:pPr>
      <w:r w:rsidRPr="00D07529">
        <w:rPr>
          <w:sz w:val="24"/>
          <w:szCs w:val="24"/>
        </w:rPr>
        <w:t>Ikke anvendt lægemiddel samt affald heraf skal bortskaffes i henhold til lokale retningslinjer.</w:t>
      </w:r>
    </w:p>
    <w:p w14:paraId="73EDD8B3" w14:textId="77777777" w:rsidR="009260DE" w:rsidRPr="00D07529" w:rsidRDefault="009260DE" w:rsidP="000730CA">
      <w:pPr>
        <w:tabs>
          <w:tab w:val="left" w:pos="851"/>
        </w:tabs>
        <w:ind w:left="851"/>
        <w:rPr>
          <w:sz w:val="24"/>
          <w:szCs w:val="24"/>
        </w:rPr>
      </w:pPr>
    </w:p>
    <w:p w14:paraId="069F519A" w14:textId="77777777" w:rsidR="009260DE" w:rsidRPr="00D07529" w:rsidRDefault="009260DE" w:rsidP="009260DE">
      <w:pPr>
        <w:tabs>
          <w:tab w:val="left" w:pos="851"/>
        </w:tabs>
        <w:ind w:left="851" w:hanging="851"/>
        <w:rPr>
          <w:b/>
          <w:sz w:val="24"/>
          <w:szCs w:val="24"/>
        </w:rPr>
      </w:pPr>
      <w:r w:rsidRPr="00D07529">
        <w:rPr>
          <w:b/>
          <w:sz w:val="24"/>
          <w:szCs w:val="24"/>
        </w:rPr>
        <w:t>7.</w:t>
      </w:r>
      <w:r w:rsidRPr="00D07529">
        <w:rPr>
          <w:b/>
          <w:sz w:val="24"/>
          <w:szCs w:val="24"/>
        </w:rPr>
        <w:tab/>
        <w:t>INDEHAVER AF MARKEDSFØRINGSTILLADELSEN</w:t>
      </w:r>
    </w:p>
    <w:p w14:paraId="421EFF8B" w14:textId="77777777" w:rsidR="004B4BC9" w:rsidRPr="00D5459A" w:rsidRDefault="004B4BC9" w:rsidP="004B4BC9">
      <w:pPr>
        <w:ind w:left="851"/>
      </w:pPr>
      <w:r w:rsidRPr="00D5459A">
        <w:t>Nordic Prime ApS</w:t>
      </w:r>
    </w:p>
    <w:p w14:paraId="3A3E5CE0" w14:textId="77777777" w:rsidR="004B4BC9" w:rsidRPr="00D5459A" w:rsidRDefault="004B4BC9" w:rsidP="004B4BC9">
      <w:pPr>
        <w:ind w:left="851"/>
      </w:pPr>
      <w:r w:rsidRPr="00D5459A">
        <w:t>Niels Bohrs Vej 6</w:t>
      </w:r>
    </w:p>
    <w:p w14:paraId="057DCE00" w14:textId="77777777" w:rsidR="004B4BC9" w:rsidRPr="00D5459A" w:rsidRDefault="004B4BC9" w:rsidP="004B4BC9">
      <w:pPr>
        <w:ind w:left="851"/>
      </w:pPr>
      <w:r w:rsidRPr="00D5459A">
        <w:t>6700 Esbjerg</w:t>
      </w:r>
    </w:p>
    <w:p w14:paraId="212225AD" w14:textId="77777777" w:rsidR="00641C65" w:rsidRPr="00D5459A" w:rsidRDefault="00641C65" w:rsidP="009260DE">
      <w:pPr>
        <w:tabs>
          <w:tab w:val="left" w:pos="851"/>
        </w:tabs>
        <w:ind w:left="851"/>
        <w:rPr>
          <w:sz w:val="24"/>
          <w:szCs w:val="24"/>
        </w:rPr>
      </w:pPr>
    </w:p>
    <w:p w14:paraId="360C1E23" w14:textId="77777777" w:rsidR="009260DE" w:rsidRPr="00D07529" w:rsidRDefault="009260DE" w:rsidP="009260DE">
      <w:pPr>
        <w:tabs>
          <w:tab w:val="left" w:pos="851"/>
        </w:tabs>
        <w:ind w:left="851" w:hanging="851"/>
        <w:rPr>
          <w:b/>
          <w:sz w:val="24"/>
          <w:szCs w:val="24"/>
        </w:rPr>
      </w:pPr>
      <w:r w:rsidRPr="00D07529">
        <w:rPr>
          <w:b/>
          <w:sz w:val="24"/>
          <w:szCs w:val="24"/>
        </w:rPr>
        <w:t>8.</w:t>
      </w:r>
      <w:r w:rsidRPr="00D07529">
        <w:rPr>
          <w:b/>
          <w:sz w:val="24"/>
          <w:szCs w:val="24"/>
        </w:rPr>
        <w:tab/>
        <w:t>MARKEDSFØRINGSTILLADELSESNUMMER (</w:t>
      </w:r>
      <w:r w:rsidR="00BF6243" w:rsidRPr="00D07529">
        <w:rPr>
          <w:b/>
          <w:sz w:val="24"/>
          <w:szCs w:val="24"/>
        </w:rPr>
        <w:t>-</w:t>
      </w:r>
      <w:r w:rsidRPr="00D07529">
        <w:rPr>
          <w:b/>
          <w:sz w:val="24"/>
          <w:szCs w:val="24"/>
        </w:rPr>
        <w:t>NUMRE)</w:t>
      </w:r>
    </w:p>
    <w:p w14:paraId="630E2958" w14:textId="1F10DAF6" w:rsidR="009260DE" w:rsidRPr="00D07529" w:rsidRDefault="004B4BC9" w:rsidP="009260DE">
      <w:pPr>
        <w:tabs>
          <w:tab w:val="left" w:pos="851"/>
        </w:tabs>
        <w:ind w:left="851"/>
        <w:jc w:val="both"/>
        <w:rPr>
          <w:sz w:val="24"/>
          <w:szCs w:val="24"/>
        </w:rPr>
      </w:pPr>
      <w:r w:rsidRPr="004B4BC9">
        <w:rPr>
          <w:sz w:val="24"/>
          <w:szCs w:val="24"/>
        </w:rPr>
        <w:t>73838</w:t>
      </w:r>
      <w:r>
        <w:rPr>
          <w:sz w:val="24"/>
          <w:szCs w:val="24"/>
        </w:rPr>
        <w:br/>
      </w:r>
    </w:p>
    <w:p w14:paraId="3154FCE5" w14:textId="77777777" w:rsidR="009260DE" w:rsidRPr="00D07529" w:rsidRDefault="009260DE" w:rsidP="009260DE">
      <w:pPr>
        <w:tabs>
          <w:tab w:val="left" w:pos="851"/>
        </w:tabs>
        <w:ind w:left="851" w:hanging="851"/>
        <w:rPr>
          <w:b/>
          <w:sz w:val="24"/>
          <w:szCs w:val="24"/>
        </w:rPr>
      </w:pPr>
      <w:r w:rsidRPr="00D07529">
        <w:rPr>
          <w:b/>
          <w:sz w:val="24"/>
          <w:szCs w:val="24"/>
        </w:rPr>
        <w:t>9.</w:t>
      </w:r>
      <w:r w:rsidRPr="00D07529">
        <w:rPr>
          <w:b/>
          <w:sz w:val="24"/>
          <w:szCs w:val="24"/>
        </w:rPr>
        <w:tab/>
        <w:t>DATO FOR FØRSTE MARKEDSFØRINGSTILLADELSE</w:t>
      </w:r>
    </w:p>
    <w:p w14:paraId="2476B48F" w14:textId="7D48D4F0" w:rsidR="009260DE" w:rsidRPr="00D07529" w:rsidRDefault="004B4BC9" w:rsidP="009260DE">
      <w:pPr>
        <w:tabs>
          <w:tab w:val="left" w:pos="851"/>
        </w:tabs>
        <w:ind w:left="851"/>
        <w:rPr>
          <w:sz w:val="24"/>
          <w:szCs w:val="24"/>
        </w:rPr>
      </w:pPr>
      <w:r>
        <w:rPr>
          <w:sz w:val="24"/>
          <w:szCs w:val="24"/>
        </w:rPr>
        <w:t>3</w:t>
      </w:r>
      <w:r w:rsidR="00D5459A">
        <w:rPr>
          <w:sz w:val="24"/>
          <w:szCs w:val="24"/>
        </w:rPr>
        <w:t>1</w:t>
      </w:r>
      <w:bookmarkStart w:id="0" w:name="_GoBack"/>
      <w:bookmarkEnd w:id="0"/>
      <w:r>
        <w:rPr>
          <w:sz w:val="24"/>
          <w:szCs w:val="24"/>
        </w:rPr>
        <w:t>. oktober 2025</w:t>
      </w:r>
    </w:p>
    <w:p w14:paraId="78F9A3D8" w14:textId="77777777" w:rsidR="009260DE" w:rsidRPr="00D07529" w:rsidRDefault="009260DE" w:rsidP="009260DE">
      <w:pPr>
        <w:tabs>
          <w:tab w:val="left" w:pos="851"/>
        </w:tabs>
        <w:ind w:left="851"/>
        <w:rPr>
          <w:sz w:val="24"/>
          <w:szCs w:val="24"/>
        </w:rPr>
      </w:pPr>
    </w:p>
    <w:p w14:paraId="1C0F83C4" w14:textId="77777777" w:rsidR="009260DE" w:rsidRPr="00D07529" w:rsidRDefault="009260DE" w:rsidP="009260DE">
      <w:pPr>
        <w:tabs>
          <w:tab w:val="left" w:pos="851"/>
        </w:tabs>
        <w:ind w:left="851" w:hanging="851"/>
        <w:rPr>
          <w:b/>
          <w:sz w:val="24"/>
          <w:szCs w:val="24"/>
        </w:rPr>
      </w:pPr>
      <w:r w:rsidRPr="00D07529">
        <w:rPr>
          <w:b/>
          <w:sz w:val="24"/>
          <w:szCs w:val="24"/>
        </w:rPr>
        <w:t>10.</w:t>
      </w:r>
      <w:r w:rsidRPr="00D07529">
        <w:rPr>
          <w:b/>
          <w:sz w:val="24"/>
          <w:szCs w:val="24"/>
        </w:rPr>
        <w:tab/>
        <w:t>DATO FOR ÆNDRING AF TEKSTEN</w:t>
      </w:r>
    </w:p>
    <w:p w14:paraId="1A3EB811" w14:textId="22295021" w:rsidR="009260DE" w:rsidRPr="00D07529" w:rsidRDefault="003313C2" w:rsidP="009260DE">
      <w:pPr>
        <w:tabs>
          <w:tab w:val="left" w:pos="851"/>
        </w:tabs>
        <w:ind w:left="851"/>
        <w:rPr>
          <w:sz w:val="24"/>
          <w:szCs w:val="24"/>
        </w:rPr>
      </w:pPr>
      <w:r w:rsidRPr="00D07529">
        <w:rPr>
          <w:sz w:val="24"/>
          <w:szCs w:val="24"/>
        </w:rPr>
        <w:t>-</w:t>
      </w:r>
    </w:p>
    <w:sectPr w:rsidR="009260DE" w:rsidRPr="00D07529"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B35F9" w14:textId="77777777" w:rsidR="000278B7" w:rsidRDefault="000278B7">
      <w:r>
        <w:separator/>
      </w:r>
    </w:p>
  </w:endnote>
  <w:endnote w:type="continuationSeparator" w:id="0">
    <w:p w14:paraId="288DC27E" w14:textId="77777777" w:rsidR="000278B7" w:rsidRDefault="00027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55226" w14:textId="77777777" w:rsidR="000259B9" w:rsidRDefault="000259B9">
    <w:pPr>
      <w:pStyle w:val="Sidefod"/>
      <w:pBdr>
        <w:bottom w:val="single" w:sz="6" w:space="1" w:color="auto"/>
      </w:pBdr>
    </w:pPr>
  </w:p>
  <w:p w14:paraId="20BD60CF" w14:textId="77777777" w:rsidR="000259B9" w:rsidRDefault="000259B9" w:rsidP="00C42586">
    <w:pPr>
      <w:pStyle w:val="Sidefod"/>
      <w:tabs>
        <w:tab w:val="clear" w:pos="4819"/>
        <w:tab w:val="left" w:pos="8505"/>
      </w:tabs>
      <w:rPr>
        <w:i/>
        <w:sz w:val="18"/>
        <w:szCs w:val="18"/>
      </w:rPr>
    </w:pPr>
  </w:p>
  <w:p w14:paraId="1C37B959" w14:textId="3A466E25"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4B4BC9">
      <w:rPr>
        <w:i/>
        <w:noProof/>
        <w:sz w:val="18"/>
        <w:szCs w:val="18"/>
      </w:rPr>
      <w:t>Flucloxacillin Nordic Prime, (Nordic Prime), pulver til oral opløsning 50 mg-ml</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21BC9" w14:textId="77777777" w:rsidR="000278B7" w:rsidRDefault="000278B7">
      <w:r>
        <w:separator/>
      </w:r>
    </w:p>
  </w:footnote>
  <w:footnote w:type="continuationSeparator" w:id="0">
    <w:p w14:paraId="35015E39" w14:textId="77777777" w:rsidR="000278B7" w:rsidRDefault="00027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C2670"/>
    <w:multiLevelType w:val="hybridMultilevel"/>
    <w:tmpl w:val="8E7A5A60"/>
    <w:lvl w:ilvl="0" w:tplc="FFFFFFFF">
      <w:start w:val="1"/>
      <w:numFmt w:val="bullet"/>
      <w:lvlText w:val="-"/>
      <w:lvlJc w:val="left"/>
      <w:pPr>
        <w:ind w:left="1571" w:hanging="360"/>
      </w:p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127699F"/>
    <w:multiLevelType w:val="hybridMultilevel"/>
    <w:tmpl w:val="73ACF97E"/>
    <w:lvl w:ilvl="0" w:tplc="FFFFFFFF">
      <w:start w:val="1"/>
      <w:numFmt w:val="bullet"/>
      <w:lvlText w:val="-"/>
      <w:lvlJc w:val="left"/>
      <w:pPr>
        <w:ind w:left="720" w:hanging="360"/>
      </w:p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630B696B"/>
    <w:multiLevelType w:val="hybridMultilevel"/>
    <w:tmpl w:val="15024E96"/>
    <w:lvl w:ilvl="0" w:tplc="FFFFFFFF">
      <w:start w:val="1"/>
      <w:numFmt w:val="bullet"/>
      <w:lvlText w:val="-"/>
      <w:lvlJc w:val="left"/>
      <w:pPr>
        <w:ind w:left="1571" w:hanging="360"/>
      </w:p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8B7"/>
    <w:rsid w:val="000259B9"/>
    <w:rsid w:val="000278B7"/>
    <w:rsid w:val="00041491"/>
    <w:rsid w:val="00050D16"/>
    <w:rsid w:val="000730CA"/>
    <w:rsid w:val="00074F2A"/>
    <w:rsid w:val="000A1CA8"/>
    <w:rsid w:val="000A466B"/>
    <w:rsid w:val="000B058C"/>
    <w:rsid w:val="000D68B0"/>
    <w:rsid w:val="000E4EE6"/>
    <w:rsid w:val="001454E2"/>
    <w:rsid w:val="00206CE8"/>
    <w:rsid w:val="0021526C"/>
    <w:rsid w:val="00283A2B"/>
    <w:rsid w:val="002B30AD"/>
    <w:rsid w:val="002C1EC0"/>
    <w:rsid w:val="002C2C01"/>
    <w:rsid w:val="003313C2"/>
    <w:rsid w:val="00387175"/>
    <w:rsid w:val="003A29AE"/>
    <w:rsid w:val="003A32D7"/>
    <w:rsid w:val="003B4074"/>
    <w:rsid w:val="003C769A"/>
    <w:rsid w:val="003D3A90"/>
    <w:rsid w:val="003F1838"/>
    <w:rsid w:val="004251C1"/>
    <w:rsid w:val="0045746C"/>
    <w:rsid w:val="0049104B"/>
    <w:rsid w:val="004B4BC9"/>
    <w:rsid w:val="004E3B12"/>
    <w:rsid w:val="00532310"/>
    <w:rsid w:val="00550391"/>
    <w:rsid w:val="00565F0F"/>
    <w:rsid w:val="00594A86"/>
    <w:rsid w:val="00596D86"/>
    <w:rsid w:val="00637F5A"/>
    <w:rsid w:val="00641C65"/>
    <w:rsid w:val="006560B1"/>
    <w:rsid w:val="006756DD"/>
    <w:rsid w:val="0071241E"/>
    <w:rsid w:val="00737275"/>
    <w:rsid w:val="00740EEC"/>
    <w:rsid w:val="00743D7A"/>
    <w:rsid w:val="0078011A"/>
    <w:rsid w:val="00782AF4"/>
    <w:rsid w:val="00790EE7"/>
    <w:rsid w:val="007B6649"/>
    <w:rsid w:val="0082576E"/>
    <w:rsid w:val="0089346F"/>
    <w:rsid w:val="00907F75"/>
    <w:rsid w:val="009260DE"/>
    <w:rsid w:val="0093258A"/>
    <w:rsid w:val="00975EA2"/>
    <w:rsid w:val="009C7BA3"/>
    <w:rsid w:val="009D1F5A"/>
    <w:rsid w:val="009F44B4"/>
    <w:rsid w:val="00A10294"/>
    <w:rsid w:val="00AB4CC5"/>
    <w:rsid w:val="00B003BF"/>
    <w:rsid w:val="00B373D7"/>
    <w:rsid w:val="00B55271"/>
    <w:rsid w:val="00BD7931"/>
    <w:rsid w:val="00BF6243"/>
    <w:rsid w:val="00C36276"/>
    <w:rsid w:val="00C42586"/>
    <w:rsid w:val="00C45F6B"/>
    <w:rsid w:val="00C60CCD"/>
    <w:rsid w:val="00C84483"/>
    <w:rsid w:val="00C95551"/>
    <w:rsid w:val="00CB20D7"/>
    <w:rsid w:val="00D020B0"/>
    <w:rsid w:val="00D07529"/>
    <w:rsid w:val="00D11748"/>
    <w:rsid w:val="00D237F6"/>
    <w:rsid w:val="00D2505D"/>
    <w:rsid w:val="00D34D98"/>
    <w:rsid w:val="00D366CF"/>
    <w:rsid w:val="00D477BC"/>
    <w:rsid w:val="00D5459A"/>
    <w:rsid w:val="00D93992"/>
    <w:rsid w:val="00E108AA"/>
    <w:rsid w:val="00E3749A"/>
    <w:rsid w:val="00E7437F"/>
    <w:rsid w:val="00E865B8"/>
    <w:rsid w:val="00EC0B9B"/>
    <w:rsid w:val="00ED5E9F"/>
    <w:rsid w:val="00F66D4F"/>
    <w:rsid w:val="00FB6D01"/>
    <w:rsid w:val="00FC334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345BD1"/>
  <w15:chartTrackingRefBased/>
  <w15:docId w15:val="{ADB1BDBD-68BB-483D-BCCA-1CB48CE1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EMEAEnBodyText">
    <w:name w:val="EMEA En Body Text"/>
    <w:basedOn w:val="Normal"/>
    <w:rsid w:val="00AB4CC5"/>
    <w:pPr>
      <w:spacing w:before="120" w:after="120"/>
      <w:jc w:val="both"/>
    </w:pPr>
    <w:rPr>
      <w:sz w:val="22"/>
    </w:rPr>
  </w:style>
  <w:style w:type="paragraph" w:styleId="Listeafsnit">
    <w:name w:val="List Paragraph"/>
    <w:basedOn w:val="Normal"/>
    <w:uiPriority w:val="34"/>
    <w:qFormat/>
    <w:rsid w:val="00AB4CC5"/>
    <w:pPr>
      <w:tabs>
        <w:tab w:val="left" w:pos="567"/>
      </w:tabs>
      <w:spacing w:line="260" w:lineRule="exact"/>
      <w:ind w:left="720"/>
      <w:contextualSpacing/>
    </w:pPr>
    <w:rPr>
      <w:sz w:val="22"/>
    </w:rPr>
  </w:style>
  <w:style w:type="character" w:customStyle="1" w:styleId="Bodytext2">
    <w:name w:val="Body text (2)"/>
    <w:basedOn w:val="Standardskrifttypeiafsnit"/>
    <w:rsid w:val="00AB4CC5"/>
    <w:rPr>
      <w:rFonts w:ascii="Calibri" w:eastAsia="Calibri" w:hAnsi="Calibri" w:cs="Calibri" w:hint="default"/>
      <w:b w:val="0"/>
      <w:bCs w:val="0"/>
      <w:i w:val="0"/>
      <w:iCs w:val="0"/>
      <w:smallCaps w:val="0"/>
      <w:strike w:val="0"/>
      <w:dstrike w:val="0"/>
      <w:color w:val="000000"/>
      <w:spacing w:val="0"/>
      <w:w w:val="100"/>
      <w:position w:val="0"/>
      <w:sz w:val="22"/>
      <w:szCs w:val="22"/>
      <w:u w:val="none"/>
      <w:effect w:val="none"/>
      <w:lang w:val="da-DK" w:eastAsia="sv-SE" w:bidi="sv-SE"/>
    </w:rPr>
  </w:style>
  <w:style w:type="character" w:customStyle="1" w:styleId="Bodytext2Italic">
    <w:name w:val="Body text (2) + Italic"/>
    <w:basedOn w:val="Standardskrifttypeiafsnit"/>
    <w:rsid w:val="00AB4CC5"/>
    <w:rPr>
      <w:rFonts w:ascii="Calibri" w:eastAsia="Calibri" w:hAnsi="Calibri" w:cs="Calibri" w:hint="default"/>
      <w:b w:val="0"/>
      <w:bCs w:val="0"/>
      <w:i/>
      <w:iCs/>
      <w:smallCaps w:val="0"/>
      <w:strike w:val="0"/>
      <w:dstrike w:val="0"/>
      <w:color w:val="000000"/>
      <w:spacing w:val="0"/>
      <w:w w:val="100"/>
      <w:position w:val="0"/>
      <w:sz w:val="22"/>
      <w:szCs w:val="22"/>
      <w:u w:val="none"/>
      <w:effect w:val="none"/>
      <w:lang w:val="da-DK" w:eastAsia="sv-SE" w:bidi="sv-SE"/>
    </w:rPr>
  </w:style>
  <w:style w:type="character" w:styleId="Hyperlink">
    <w:name w:val="Hyperlink"/>
    <w:semiHidden/>
    <w:unhideWhenUsed/>
    <w:rsid w:val="00AB4CC5"/>
    <w:rPr>
      <w:color w:val="0000FF"/>
      <w:u w:val="single"/>
    </w:rPr>
  </w:style>
  <w:style w:type="character" w:customStyle="1" w:styleId="Bodytext4">
    <w:name w:val="Body text (4)_"/>
    <w:basedOn w:val="Standardskrifttypeiafsnit"/>
    <w:link w:val="Bodytext40"/>
    <w:locked/>
    <w:rsid w:val="00AB4CC5"/>
    <w:rPr>
      <w:rFonts w:ascii="Calibri" w:eastAsia="Calibri" w:hAnsi="Calibri" w:cs="Calibri"/>
      <w:b/>
      <w:bCs/>
      <w:sz w:val="22"/>
      <w:szCs w:val="22"/>
      <w:shd w:val="clear" w:color="auto" w:fill="FFFFFF"/>
    </w:rPr>
  </w:style>
  <w:style w:type="paragraph" w:customStyle="1" w:styleId="Bodytext40">
    <w:name w:val="Body text (4)"/>
    <w:basedOn w:val="Normal"/>
    <w:link w:val="Bodytext4"/>
    <w:rsid w:val="00AB4CC5"/>
    <w:pPr>
      <w:widowControl w:val="0"/>
      <w:shd w:val="clear" w:color="auto" w:fill="FFFFFF"/>
      <w:spacing w:before="320" w:line="268" w:lineRule="exact"/>
    </w:pPr>
    <w:rPr>
      <w:rFonts w:ascii="Calibri" w:eastAsia="Calibri" w:hAnsi="Calibri" w:cs="Calibri"/>
      <w:b/>
      <w:bCs/>
      <w:sz w:val="22"/>
      <w:szCs w:val="22"/>
      <w:lang w:eastAsia="da-DK"/>
    </w:rPr>
  </w:style>
  <w:style w:type="character" w:styleId="Fremhv">
    <w:name w:val="Emphasis"/>
    <w:basedOn w:val="Standardskrifttypeiafsnit"/>
    <w:uiPriority w:val="20"/>
    <w:qFormat/>
    <w:rsid w:val="00AB4CC5"/>
    <w:rPr>
      <w:i/>
      <w:iCs/>
    </w:rPr>
  </w:style>
  <w:style w:type="character" w:customStyle="1" w:styleId="Bodytext5">
    <w:name w:val="Body text (5)_"/>
    <w:basedOn w:val="Standardskrifttypeiafsnit"/>
    <w:link w:val="Bodytext50"/>
    <w:locked/>
    <w:rsid w:val="00AB4CC5"/>
    <w:rPr>
      <w:rFonts w:ascii="Calibri" w:eastAsia="Calibri" w:hAnsi="Calibri" w:cs="Calibri"/>
      <w:i/>
      <w:iCs/>
      <w:sz w:val="22"/>
      <w:szCs w:val="22"/>
      <w:shd w:val="clear" w:color="auto" w:fill="FFFFFF"/>
    </w:rPr>
  </w:style>
  <w:style w:type="paragraph" w:customStyle="1" w:styleId="Bodytext50">
    <w:name w:val="Body text (5)"/>
    <w:basedOn w:val="Normal"/>
    <w:link w:val="Bodytext5"/>
    <w:rsid w:val="00AB4CC5"/>
    <w:pPr>
      <w:widowControl w:val="0"/>
      <w:shd w:val="clear" w:color="auto" w:fill="FFFFFF"/>
      <w:spacing w:before="160" w:line="305" w:lineRule="exact"/>
    </w:pPr>
    <w:rPr>
      <w:rFonts w:ascii="Calibri" w:eastAsia="Calibri" w:hAnsi="Calibri" w:cs="Calibri"/>
      <w:i/>
      <w:iCs/>
      <w:sz w:val="22"/>
      <w:szCs w:val="22"/>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8025">
      <w:bodyDiv w:val="1"/>
      <w:marLeft w:val="0"/>
      <w:marRight w:val="0"/>
      <w:marTop w:val="0"/>
      <w:marBottom w:val="0"/>
      <w:divBdr>
        <w:top w:val="none" w:sz="0" w:space="0" w:color="auto"/>
        <w:left w:val="none" w:sz="0" w:space="0" w:color="auto"/>
        <w:bottom w:val="none" w:sz="0" w:space="0" w:color="auto"/>
        <w:right w:val="none" w:sz="0" w:space="0" w:color="auto"/>
      </w:divBdr>
    </w:div>
    <w:div w:id="23480404">
      <w:bodyDiv w:val="1"/>
      <w:marLeft w:val="0"/>
      <w:marRight w:val="0"/>
      <w:marTop w:val="0"/>
      <w:marBottom w:val="0"/>
      <w:divBdr>
        <w:top w:val="none" w:sz="0" w:space="0" w:color="auto"/>
        <w:left w:val="none" w:sz="0" w:space="0" w:color="auto"/>
        <w:bottom w:val="none" w:sz="0" w:space="0" w:color="auto"/>
        <w:right w:val="none" w:sz="0" w:space="0" w:color="auto"/>
      </w:divBdr>
    </w:div>
    <w:div w:id="89937101">
      <w:bodyDiv w:val="1"/>
      <w:marLeft w:val="0"/>
      <w:marRight w:val="0"/>
      <w:marTop w:val="0"/>
      <w:marBottom w:val="0"/>
      <w:divBdr>
        <w:top w:val="none" w:sz="0" w:space="0" w:color="auto"/>
        <w:left w:val="none" w:sz="0" w:space="0" w:color="auto"/>
        <w:bottom w:val="none" w:sz="0" w:space="0" w:color="auto"/>
        <w:right w:val="none" w:sz="0" w:space="0" w:color="auto"/>
      </w:divBdr>
    </w:div>
    <w:div w:id="155728335">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92565981">
      <w:bodyDiv w:val="1"/>
      <w:marLeft w:val="0"/>
      <w:marRight w:val="0"/>
      <w:marTop w:val="0"/>
      <w:marBottom w:val="0"/>
      <w:divBdr>
        <w:top w:val="none" w:sz="0" w:space="0" w:color="auto"/>
        <w:left w:val="none" w:sz="0" w:space="0" w:color="auto"/>
        <w:bottom w:val="none" w:sz="0" w:space="0" w:color="auto"/>
        <w:right w:val="none" w:sz="0" w:space="0" w:color="auto"/>
      </w:divBdr>
    </w:div>
    <w:div w:id="332610563">
      <w:bodyDiv w:val="1"/>
      <w:marLeft w:val="0"/>
      <w:marRight w:val="0"/>
      <w:marTop w:val="0"/>
      <w:marBottom w:val="0"/>
      <w:divBdr>
        <w:top w:val="none" w:sz="0" w:space="0" w:color="auto"/>
        <w:left w:val="none" w:sz="0" w:space="0" w:color="auto"/>
        <w:bottom w:val="none" w:sz="0" w:space="0" w:color="auto"/>
        <w:right w:val="none" w:sz="0" w:space="0" w:color="auto"/>
      </w:divBdr>
    </w:div>
    <w:div w:id="505168022">
      <w:bodyDiv w:val="1"/>
      <w:marLeft w:val="0"/>
      <w:marRight w:val="0"/>
      <w:marTop w:val="0"/>
      <w:marBottom w:val="0"/>
      <w:divBdr>
        <w:top w:val="none" w:sz="0" w:space="0" w:color="auto"/>
        <w:left w:val="none" w:sz="0" w:space="0" w:color="auto"/>
        <w:bottom w:val="none" w:sz="0" w:space="0" w:color="auto"/>
        <w:right w:val="none" w:sz="0" w:space="0" w:color="auto"/>
      </w:divBdr>
    </w:div>
    <w:div w:id="507604334">
      <w:bodyDiv w:val="1"/>
      <w:marLeft w:val="0"/>
      <w:marRight w:val="0"/>
      <w:marTop w:val="0"/>
      <w:marBottom w:val="0"/>
      <w:divBdr>
        <w:top w:val="none" w:sz="0" w:space="0" w:color="auto"/>
        <w:left w:val="none" w:sz="0" w:space="0" w:color="auto"/>
        <w:bottom w:val="none" w:sz="0" w:space="0" w:color="auto"/>
        <w:right w:val="none" w:sz="0" w:space="0" w:color="auto"/>
      </w:divBdr>
    </w:div>
    <w:div w:id="654646639">
      <w:bodyDiv w:val="1"/>
      <w:marLeft w:val="0"/>
      <w:marRight w:val="0"/>
      <w:marTop w:val="0"/>
      <w:marBottom w:val="0"/>
      <w:divBdr>
        <w:top w:val="none" w:sz="0" w:space="0" w:color="auto"/>
        <w:left w:val="none" w:sz="0" w:space="0" w:color="auto"/>
        <w:bottom w:val="none" w:sz="0" w:space="0" w:color="auto"/>
        <w:right w:val="none" w:sz="0" w:space="0" w:color="auto"/>
      </w:divBdr>
    </w:div>
    <w:div w:id="668486904">
      <w:bodyDiv w:val="1"/>
      <w:marLeft w:val="0"/>
      <w:marRight w:val="0"/>
      <w:marTop w:val="0"/>
      <w:marBottom w:val="0"/>
      <w:divBdr>
        <w:top w:val="none" w:sz="0" w:space="0" w:color="auto"/>
        <w:left w:val="none" w:sz="0" w:space="0" w:color="auto"/>
        <w:bottom w:val="none" w:sz="0" w:space="0" w:color="auto"/>
        <w:right w:val="none" w:sz="0" w:space="0" w:color="auto"/>
      </w:divBdr>
    </w:div>
    <w:div w:id="712584728">
      <w:bodyDiv w:val="1"/>
      <w:marLeft w:val="0"/>
      <w:marRight w:val="0"/>
      <w:marTop w:val="0"/>
      <w:marBottom w:val="0"/>
      <w:divBdr>
        <w:top w:val="none" w:sz="0" w:space="0" w:color="auto"/>
        <w:left w:val="none" w:sz="0" w:space="0" w:color="auto"/>
        <w:bottom w:val="none" w:sz="0" w:space="0" w:color="auto"/>
        <w:right w:val="none" w:sz="0" w:space="0" w:color="auto"/>
      </w:divBdr>
    </w:div>
    <w:div w:id="827865305">
      <w:bodyDiv w:val="1"/>
      <w:marLeft w:val="0"/>
      <w:marRight w:val="0"/>
      <w:marTop w:val="0"/>
      <w:marBottom w:val="0"/>
      <w:divBdr>
        <w:top w:val="none" w:sz="0" w:space="0" w:color="auto"/>
        <w:left w:val="none" w:sz="0" w:space="0" w:color="auto"/>
        <w:bottom w:val="none" w:sz="0" w:space="0" w:color="auto"/>
        <w:right w:val="none" w:sz="0" w:space="0" w:color="auto"/>
      </w:divBdr>
    </w:div>
    <w:div w:id="1257592803">
      <w:bodyDiv w:val="1"/>
      <w:marLeft w:val="0"/>
      <w:marRight w:val="0"/>
      <w:marTop w:val="0"/>
      <w:marBottom w:val="0"/>
      <w:divBdr>
        <w:top w:val="none" w:sz="0" w:space="0" w:color="auto"/>
        <w:left w:val="none" w:sz="0" w:space="0" w:color="auto"/>
        <w:bottom w:val="none" w:sz="0" w:space="0" w:color="auto"/>
        <w:right w:val="none" w:sz="0" w:space="0" w:color="auto"/>
      </w:divBdr>
    </w:div>
    <w:div w:id="1272589220">
      <w:bodyDiv w:val="1"/>
      <w:marLeft w:val="0"/>
      <w:marRight w:val="0"/>
      <w:marTop w:val="0"/>
      <w:marBottom w:val="0"/>
      <w:divBdr>
        <w:top w:val="none" w:sz="0" w:space="0" w:color="auto"/>
        <w:left w:val="none" w:sz="0" w:space="0" w:color="auto"/>
        <w:bottom w:val="none" w:sz="0" w:space="0" w:color="auto"/>
        <w:right w:val="none" w:sz="0" w:space="0" w:color="auto"/>
      </w:divBdr>
    </w:div>
    <w:div w:id="1315139287">
      <w:bodyDiv w:val="1"/>
      <w:marLeft w:val="0"/>
      <w:marRight w:val="0"/>
      <w:marTop w:val="0"/>
      <w:marBottom w:val="0"/>
      <w:divBdr>
        <w:top w:val="none" w:sz="0" w:space="0" w:color="auto"/>
        <w:left w:val="none" w:sz="0" w:space="0" w:color="auto"/>
        <w:bottom w:val="none" w:sz="0" w:space="0" w:color="auto"/>
        <w:right w:val="none" w:sz="0" w:space="0" w:color="auto"/>
      </w:divBdr>
    </w:div>
    <w:div w:id="1678927080">
      <w:bodyDiv w:val="1"/>
      <w:marLeft w:val="0"/>
      <w:marRight w:val="0"/>
      <w:marTop w:val="0"/>
      <w:marBottom w:val="0"/>
      <w:divBdr>
        <w:top w:val="none" w:sz="0" w:space="0" w:color="auto"/>
        <w:left w:val="none" w:sz="0" w:space="0" w:color="auto"/>
        <w:bottom w:val="none" w:sz="0" w:space="0" w:color="auto"/>
        <w:right w:val="none" w:sz="0" w:space="0" w:color="auto"/>
      </w:divBdr>
    </w:div>
    <w:div w:id="1692416020">
      <w:bodyDiv w:val="1"/>
      <w:marLeft w:val="0"/>
      <w:marRight w:val="0"/>
      <w:marTop w:val="0"/>
      <w:marBottom w:val="0"/>
      <w:divBdr>
        <w:top w:val="none" w:sz="0" w:space="0" w:color="auto"/>
        <w:left w:val="none" w:sz="0" w:space="0" w:color="auto"/>
        <w:bottom w:val="none" w:sz="0" w:space="0" w:color="auto"/>
        <w:right w:val="none" w:sz="0" w:space="0" w:color="auto"/>
      </w:divBdr>
    </w:div>
    <w:div w:id="1771926724">
      <w:bodyDiv w:val="1"/>
      <w:marLeft w:val="0"/>
      <w:marRight w:val="0"/>
      <w:marTop w:val="0"/>
      <w:marBottom w:val="0"/>
      <w:divBdr>
        <w:top w:val="none" w:sz="0" w:space="0" w:color="auto"/>
        <w:left w:val="none" w:sz="0" w:space="0" w:color="auto"/>
        <w:bottom w:val="none" w:sz="0" w:space="0" w:color="auto"/>
        <w:right w:val="none" w:sz="0" w:space="0" w:color="auto"/>
      </w:divBdr>
    </w:div>
    <w:div w:id="1884633572">
      <w:bodyDiv w:val="1"/>
      <w:marLeft w:val="0"/>
      <w:marRight w:val="0"/>
      <w:marTop w:val="0"/>
      <w:marBottom w:val="0"/>
      <w:divBdr>
        <w:top w:val="none" w:sz="0" w:space="0" w:color="auto"/>
        <w:left w:val="none" w:sz="0" w:space="0" w:color="auto"/>
        <w:bottom w:val="none" w:sz="0" w:space="0" w:color="auto"/>
        <w:right w:val="none" w:sz="0" w:space="0" w:color="auto"/>
      </w:divBdr>
    </w:div>
    <w:div w:id="2075737277">
      <w:bodyDiv w:val="1"/>
      <w:marLeft w:val="0"/>
      <w:marRight w:val="0"/>
      <w:marTop w:val="0"/>
      <w:marBottom w:val="0"/>
      <w:divBdr>
        <w:top w:val="none" w:sz="0" w:space="0" w:color="auto"/>
        <w:left w:val="none" w:sz="0" w:space="0" w:color="auto"/>
        <w:bottom w:val="none" w:sz="0" w:space="0" w:color="auto"/>
        <w:right w:val="none" w:sz="0" w:space="0" w:color="auto"/>
      </w:divBdr>
    </w:div>
    <w:div w:id="211296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6</TotalTime>
  <Pages>10</Pages>
  <Words>2446</Words>
  <Characters>16965</Characters>
  <Application>Microsoft Office Word</Application>
  <DocSecurity>0</DocSecurity>
  <Lines>141</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anmr</dc:creator>
  <cp:keywords/>
  <dc:description>2025050412 - nyt PI SPC</dc:description>
  <cp:lastModifiedBy>Annette Malmros</cp:lastModifiedBy>
  <cp:revision>4</cp:revision>
  <cp:lastPrinted>2012-08-22T08:53:00Z</cp:lastPrinted>
  <dcterms:created xsi:type="dcterms:W3CDTF">2025-10-29T16:23:00Z</dcterms:created>
  <dcterms:modified xsi:type="dcterms:W3CDTF">2025-10-31T08:50:00Z</dcterms:modified>
</cp:coreProperties>
</file>