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F43D3" w14:textId="77777777" w:rsidR="00E4635B" w:rsidRDefault="00E4635B" w:rsidP="00E4635B">
      <w:r>
        <w:rPr>
          <w:noProof/>
          <w:lang w:eastAsia="da-DK"/>
        </w:rPr>
        <w:drawing>
          <wp:inline distT="0" distB="0" distL="0" distR="0" wp14:anchorId="2A48894D" wp14:editId="3BC822D1">
            <wp:extent cx="2466975" cy="685800"/>
            <wp:effectExtent l="0" t="0" r="9525" b="0"/>
            <wp:docPr id="1" name="Billede 1" descr="C:\Users\AMMO\Desktop\Logo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MO\Desktop\Logo - Kop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6975" cy="685800"/>
                    </a:xfrm>
                    <a:prstGeom prst="rect">
                      <a:avLst/>
                    </a:prstGeom>
                    <a:noFill/>
                    <a:ln>
                      <a:noFill/>
                    </a:ln>
                  </pic:spPr>
                </pic:pic>
              </a:graphicData>
            </a:graphic>
          </wp:inline>
        </w:drawing>
      </w:r>
    </w:p>
    <w:p w14:paraId="5659BCFC" w14:textId="77777777" w:rsidR="00E4635B" w:rsidRDefault="00E4635B" w:rsidP="00E4635B"/>
    <w:p w14:paraId="0472CA81" w14:textId="77777777" w:rsidR="00AE60ED" w:rsidRDefault="00AE60ED" w:rsidP="00E4635B"/>
    <w:p w14:paraId="4BB3E663" w14:textId="77777777" w:rsidR="008245EF" w:rsidRDefault="008245EF" w:rsidP="003466F8">
      <w:pPr>
        <w:pStyle w:val="Titel"/>
        <w:tabs>
          <w:tab w:val="right" w:pos="9356"/>
        </w:tabs>
        <w:jc w:val="left"/>
        <w:rPr>
          <w:szCs w:val="24"/>
          <w:lang w:eastAsia="en-US"/>
        </w:rPr>
      </w:pPr>
    </w:p>
    <w:p w14:paraId="4F9A51CF" w14:textId="1EFECF4E" w:rsidR="00E4635B" w:rsidRPr="00A56762" w:rsidRDefault="003466F8" w:rsidP="003466F8">
      <w:pPr>
        <w:pStyle w:val="Titel"/>
        <w:tabs>
          <w:tab w:val="right" w:pos="9356"/>
        </w:tabs>
        <w:jc w:val="left"/>
        <w:rPr>
          <w:szCs w:val="24"/>
          <w:lang w:eastAsia="en-US"/>
        </w:rPr>
      </w:pPr>
      <w:r>
        <w:rPr>
          <w:szCs w:val="24"/>
          <w:lang w:eastAsia="en-US"/>
        </w:rPr>
        <w:tab/>
      </w:r>
      <w:r w:rsidR="00675993">
        <w:rPr>
          <w:szCs w:val="24"/>
          <w:lang w:eastAsia="en-US"/>
        </w:rPr>
        <w:t>31</w:t>
      </w:r>
      <w:r w:rsidR="00AE60ED">
        <w:rPr>
          <w:szCs w:val="24"/>
          <w:lang w:eastAsia="en-US"/>
        </w:rPr>
        <w:t>. juli 2026</w:t>
      </w:r>
    </w:p>
    <w:p w14:paraId="6E4156FA" w14:textId="77777777" w:rsidR="00E4635B" w:rsidRDefault="00E4635B" w:rsidP="00E4635B">
      <w:pPr>
        <w:pStyle w:val="Titel"/>
        <w:jc w:val="left"/>
        <w:rPr>
          <w:b w:val="0"/>
        </w:rPr>
      </w:pPr>
    </w:p>
    <w:p w14:paraId="5BB29A6C" w14:textId="77777777" w:rsidR="00E4635B" w:rsidRPr="00EC0B9B" w:rsidRDefault="00E4635B" w:rsidP="00E4635B">
      <w:pPr>
        <w:jc w:val="center"/>
        <w:rPr>
          <w:b/>
          <w:sz w:val="24"/>
          <w:szCs w:val="24"/>
        </w:rPr>
      </w:pPr>
      <w:r w:rsidRPr="00EC0B9B">
        <w:rPr>
          <w:b/>
          <w:sz w:val="24"/>
          <w:szCs w:val="24"/>
        </w:rPr>
        <w:t>PRODUKTRESUMÉ</w:t>
      </w:r>
    </w:p>
    <w:p w14:paraId="6DDB06C2" w14:textId="77777777" w:rsidR="00E4635B" w:rsidRPr="00EC0B9B" w:rsidRDefault="00E4635B" w:rsidP="00E4635B">
      <w:pPr>
        <w:rPr>
          <w:b/>
          <w:sz w:val="24"/>
          <w:szCs w:val="24"/>
        </w:rPr>
      </w:pPr>
    </w:p>
    <w:p w14:paraId="069F4567" w14:textId="77777777" w:rsidR="00E4635B" w:rsidRPr="00EC0B9B" w:rsidRDefault="00E4635B" w:rsidP="00E4635B">
      <w:pPr>
        <w:tabs>
          <w:tab w:val="center" w:pos="4819"/>
        </w:tabs>
        <w:rPr>
          <w:b/>
          <w:sz w:val="24"/>
          <w:szCs w:val="24"/>
        </w:rPr>
      </w:pPr>
      <w:r>
        <w:rPr>
          <w:b/>
          <w:sz w:val="24"/>
          <w:szCs w:val="24"/>
        </w:rPr>
        <w:tab/>
      </w:r>
      <w:r w:rsidRPr="00EC0B9B">
        <w:rPr>
          <w:b/>
          <w:sz w:val="24"/>
          <w:szCs w:val="24"/>
        </w:rPr>
        <w:t>for</w:t>
      </w:r>
    </w:p>
    <w:p w14:paraId="27363CE3" w14:textId="77777777" w:rsidR="00E4635B" w:rsidRPr="00EC0B9B" w:rsidRDefault="00E4635B" w:rsidP="00E4635B">
      <w:pPr>
        <w:jc w:val="center"/>
        <w:rPr>
          <w:b/>
          <w:sz w:val="24"/>
          <w:szCs w:val="24"/>
        </w:rPr>
      </w:pPr>
    </w:p>
    <w:p w14:paraId="66CA9A58" w14:textId="187C3C42" w:rsidR="00E4635B" w:rsidRPr="0049104B" w:rsidRDefault="00AE60ED" w:rsidP="00E4635B">
      <w:pPr>
        <w:jc w:val="center"/>
        <w:rPr>
          <w:b/>
          <w:sz w:val="24"/>
          <w:szCs w:val="24"/>
        </w:rPr>
      </w:pPr>
      <w:r>
        <w:rPr>
          <w:b/>
          <w:sz w:val="24"/>
          <w:szCs w:val="24"/>
        </w:rPr>
        <w:t>Fluconazol ”Abacus Medicine”</w:t>
      </w:r>
      <w:r w:rsidR="00E4635B">
        <w:rPr>
          <w:b/>
          <w:sz w:val="24"/>
          <w:szCs w:val="24"/>
        </w:rPr>
        <w:t>, hårde kapsler</w:t>
      </w:r>
      <w:r>
        <w:rPr>
          <w:b/>
          <w:sz w:val="24"/>
          <w:szCs w:val="24"/>
        </w:rPr>
        <w:t xml:space="preserve"> (Abacus)</w:t>
      </w:r>
    </w:p>
    <w:p w14:paraId="058FFF8F" w14:textId="77777777" w:rsidR="00E4635B" w:rsidRPr="00EC0B9B" w:rsidRDefault="00E4635B" w:rsidP="00E4635B">
      <w:pPr>
        <w:jc w:val="both"/>
        <w:rPr>
          <w:sz w:val="24"/>
          <w:szCs w:val="24"/>
        </w:rPr>
      </w:pPr>
    </w:p>
    <w:p w14:paraId="004BBF69" w14:textId="77777777" w:rsidR="00E4635B" w:rsidRPr="00133139" w:rsidRDefault="00E4635B" w:rsidP="00E4635B">
      <w:pPr>
        <w:ind w:left="851" w:hanging="851"/>
        <w:rPr>
          <w:sz w:val="24"/>
          <w:szCs w:val="24"/>
        </w:rPr>
      </w:pPr>
    </w:p>
    <w:p w14:paraId="74FAC3EE" w14:textId="77777777" w:rsidR="00E4635B" w:rsidRPr="00133139" w:rsidRDefault="00E4635B" w:rsidP="00E4635B">
      <w:pPr>
        <w:numPr>
          <w:ilvl w:val="0"/>
          <w:numId w:val="1"/>
        </w:numPr>
        <w:tabs>
          <w:tab w:val="clear" w:pos="855"/>
        </w:tabs>
        <w:ind w:left="851" w:hanging="851"/>
        <w:rPr>
          <w:b/>
          <w:sz w:val="24"/>
          <w:szCs w:val="24"/>
        </w:rPr>
      </w:pPr>
      <w:r w:rsidRPr="00133139">
        <w:rPr>
          <w:b/>
          <w:sz w:val="24"/>
          <w:szCs w:val="24"/>
        </w:rPr>
        <w:t>D.SP.NR.</w:t>
      </w:r>
    </w:p>
    <w:p w14:paraId="533B88C8" w14:textId="77777777" w:rsidR="00E4635B" w:rsidRPr="00133139" w:rsidRDefault="00E4635B" w:rsidP="00E4635B">
      <w:pPr>
        <w:ind w:left="851" w:hanging="851"/>
        <w:rPr>
          <w:sz w:val="24"/>
          <w:szCs w:val="24"/>
        </w:rPr>
      </w:pPr>
      <w:r w:rsidRPr="00133139">
        <w:rPr>
          <w:sz w:val="24"/>
          <w:szCs w:val="24"/>
        </w:rPr>
        <w:tab/>
        <w:t>27735</w:t>
      </w:r>
    </w:p>
    <w:p w14:paraId="2DFB4A88" w14:textId="77777777" w:rsidR="00E4635B" w:rsidRPr="00133139" w:rsidRDefault="00E4635B" w:rsidP="00E4635B">
      <w:pPr>
        <w:ind w:left="851" w:hanging="851"/>
        <w:rPr>
          <w:sz w:val="24"/>
          <w:szCs w:val="24"/>
        </w:rPr>
      </w:pPr>
    </w:p>
    <w:p w14:paraId="1C671023" w14:textId="77777777" w:rsidR="00E4635B" w:rsidRPr="00133139" w:rsidRDefault="00E4635B" w:rsidP="00E4635B">
      <w:pPr>
        <w:numPr>
          <w:ilvl w:val="0"/>
          <w:numId w:val="1"/>
        </w:numPr>
        <w:tabs>
          <w:tab w:val="clear" w:pos="855"/>
        </w:tabs>
        <w:ind w:left="851" w:hanging="851"/>
        <w:rPr>
          <w:b/>
          <w:sz w:val="24"/>
          <w:szCs w:val="24"/>
        </w:rPr>
      </w:pPr>
      <w:r w:rsidRPr="00133139">
        <w:rPr>
          <w:b/>
          <w:sz w:val="24"/>
          <w:szCs w:val="24"/>
        </w:rPr>
        <w:t>LÆGEMIDLETS NAVN</w:t>
      </w:r>
    </w:p>
    <w:p w14:paraId="38E2C231" w14:textId="10C8AACA" w:rsidR="00E4635B" w:rsidRPr="00133139" w:rsidRDefault="00E4635B" w:rsidP="00E4635B">
      <w:pPr>
        <w:ind w:left="851" w:hanging="851"/>
        <w:rPr>
          <w:sz w:val="24"/>
          <w:szCs w:val="24"/>
        </w:rPr>
      </w:pPr>
      <w:r>
        <w:rPr>
          <w:sz w:val="24"/>
          <w:szCs w:val="24"/>
        </w:rPr>
        <w:tab/>
      </w:r>
      <w:r w:rsidR="00AE60ED">
        <w:rPr>
          <w:sz w:val="24"/>
          <w:szCs w:val="24"/>
        </w:rPr>
        <w:t>Fluconazol ”Abacus Medicine”</w:t>
      </w:r>
    </w:p>
    <w:p w14:paraId="6E40A378" w14:textId="77777777" w:rsidR="00E4635B" w:rsidRPr="00133139" w:rsidRDefault="00E4635B" w:rsidP="00E4635B">
      <w:pPr>
        <w:ind w:left="851" w:hanging="851"/>
        <w:rPr>
          <w:sz w:val="24"/>
          <w:szCs w:val="24"/>
        </w:rPr>
      </w:pPr>
      <w:r w:rsidRPr="00133139">
        <w:rPr>
          <w:sz w:val="24"/>
          <w:szCs w:val="24"/>
        </w:rPr>
        <w:tab/>
      </w:r>
    </w:p>
    <w:p w14:paraId="40CC3259" w14:textId="77777777" w:rsidR="00E4635B" w:rsidRPr="00133139" w:rsidRDefault="00E4635B" w:rsidP="00E4635B">
      <w:pPr>
        <w:numPr>
          <w:ilvl w:val="0"/>
          <w:numId w:val="1"/>
        </w:numPr>
        <w:tabs>
          <w:tab w:val="clear" w:pos="855"/>
        </w:tabs>
        <w:ind w:left="851" w:hanging="851"/>
        <w:rPr>
          <w:b/>
          <w:sz w:val="24"/>
          <w:szCs w:val="24"/>
        </w:rPr>
      </w:pPr>
      <w:r w:rsidRPr="00133139">
        <w:rPr>
          <w:b/>
          <w:sz w:val="24"/>
          <w:szCs w:val="24"/>
        </w:rPr>
        <w:t>KVALITATIV OG KVANTITATIV SAMMENSÆTNING</w:t>
      </w:r>
    </w:p>
    <w:p w14:paraId="74B44EA1" w14:textId="12E07F84" w:rsidR="00E4635B" w:rsidRPr="00133139" w:rsidRDefault="00E4635B" w:rsidP="00E4635B">
      <w:pPr>
        <w:pStyle w:val="Brdtekst3"/>
        <w:ind w:left="851" w:hanging="851"/>
        <w:jc w:val="left"/>
        <w:rPr>
          <w:szCs w:val="24"/>
          <w:lang w:val="da-DK"/>
        </w:rPr>
      </w:pPr>
      <w:r w:rsidRPr="00133139">
        <w:rPr>
          <w:szCs w:val="24"/>
          <w:lang w:val="da-DK"/>
        </w:rPr>
        <w:tab/>
        <w:t>Hver hård</w:t>
      </w:r>
      <w:r>
        <w:rPr>
          <w:szCs w:val="24"/>
          <w:lang w:val="da-DK"/>
        </w:rPr>
        <w:t xml:space="preserve"> kapsel indeholder </w:t>
      </w:r>
      <w:r w:rsidRPr="00133139">
        <w:rPr>
          <w:szCs w:val="24"/>
          <w:lang w:val="da-DK"/>
        </w:rPr>
        <w:t>200 mg fluconazol</w:t>
      </w:r>
      <w:r>
        <w:rPr>
          <w:szCs w:val="24"/>
          <w:lang w:val="da-DK"/>
        </w:rPr>
        <w:t>.</w:t>
      </w:r>
    </w:p>
    <w:p w14:paraId="44396F93" w14:textId="77777777" w:rsidR="00E4635B" w:rsidRPr="00133139" w:rsidRDefault="00E4635B" w:rsidP="00E4635B">
      <w:pPr>
        <w:pStyle w:val="Brdtekst3"/>
        <w:ind w:left="851" w:hanging="851"/>
        <w:jc w:val="left"/>
        <w:rPr>
          <w:szCs w:val="24"/>
          <w:lang w:val="da-DK"/>
        </w:rPr>
      </w:pPr>
    </w:p>
    <w:p w14:paraId="6A7A2242" w14:textId="77777777" w:rsidR="00E4635B" w:rsidRPr="00133139" w:rsidRDefault="00E4635B" w:rsidP="00E4635B">
      <w:pPr>
        <w:pStyle w:val="Brdtekst3"/>
        <w:ind w:left="851"/>
        <w:jc w:val="left"/>
        <w:rPr>
          <w:szCs w:val="24"/>
          <w:lang w:val="da-DK"/>
        </w:rPr>
      </w:pPr>
      <w:r w:rsidRPr="00133139">
        <w:rPr>
          <w:szCs w:val="24"/>
          <w:lang w:val="da-DK"/>
        </w:rPr>
        <w:t>Hjælpestoffer:</w:t>
      </w:r>
    </w:p>
    <w:p w14:paraId="42EF8026" w14:textId="77777777" w:rsidR="00E4635B" w:rsidRPr="00133139" w:rsidRDefault="00E4635B" w:rsidP="00E4635B">
      <w:pPr>
        <w:pStyle w:val="Brdtekst3"/>
        <w:ind w:left="851"/>
        <w:jc w:val="left"/>
        <w:rPr>
          <w:szCs w:val="24"/>
          <w:lang w:val="da-DK"/>
        </w:rPr>
      </w:pPr>
      <w:r w:rsidRPr="00133139">
        <w:rPr>
          <w:color w:val="auto"/>
          <w:szCs w:val="24"/>
          <w:lang w:val="da-DK"/>
        </w:rPr>
        <w:t xml:space="preserve">200 mg: </w:t>
      </w:r>
      <w:r w:rsidRPr="00133139">
        <w:rPr>
          <w:color w:val="auto"/>
          <w:szCs w:val="24"/>
          <w:lang w:val="da-DK"/>
        </w:rPr>
        <w:tab/>
        <w:t>Indeholder</w:t>
      </w:r>
      <w:r w:rsidRPr="00133139">
        <w:rPr>
          <w:szCs w:val="24"/>
          <w:lang w:val="da-DK"/>
        </w:rPr>
        <w:t xml:space="preserve"> 210 mg lactosemonohydrat</w:t>
      </w:r>
    </w:p>
    <w:p w14:paraId="7913FEC1" w14:textId="77777777" w:rsidR="00E4635B" w:rsidRPr="00133139" w:rsidRDefault="00E4635B" w:rsidP="00E4635B">
      <w:pPr>
        <w:pStyle w:val="Brdtekst3"/>
        <w:ind w:left="851" w:hanging="851"/>
        <w:jc w:val="left"/>
        <w:rPr>
          <w:szCs w:val="24"/>
          <w:lang w:val="da-DK"/>
        </w:rPr>
      </w:pPr>
    </w:p>
    <w:p w14:paraId="0F2120DC" w14:textId="77777777" w:rsidR="00E4635B" w:rsidRPr="00133139" w:rsidRDefault="00E4635B" w:rsidP="00E4635B">
      <w:pPr>
        <w:pStyle w:val="Brdtekst3"/>
        <w:ind w:left="851"/>
        <w:jc w:val="left"/>
        <w:rPr>
          <w:szCs w:val="24"/>
          <w:lang w:val="da-DK"/>
        </w:rPr>
      </w:pPr>
      <w:r w:rsidRPr="00133139">
        <w:rPr>
          <w:szCs w:val="24"/>
          <w:lang w:val="da-DK"/>
        </w:rPr>
        <w:t>Alle hjælpestoffer er anført under pkt. 6.1.</w:t>
      </w:r>
    </w:p>
    <w:p w14:paraId="04F65D62" w14:textId="77777777" w:rsidR="00E4635B" w:rsidRPr="00133139" w:rsidRDefault="00E4635B" w:rsidP="00E4635B">
      <w:pPr>
        <w:ind w:left="851" w:hanging="851"/>
        <w:rPr>
          <w:sz w:val="24"/>
          <w:szCs w:val="24"/>
        </w:rPr>
      </w:pPr>
    </w:p>
    <w:p w14:paraId="7A693AAF" w14:textId="77777777" w:rsidR="00E4635B" w:rsidRPr="00133139" w:rsidRDefault="00E4635B" w:rsidP="00E4635B">
      <w:pPr>
        <w:numPr>
          <w:ilvl w:val="0"/>
          <w:numId w:val="1"/>
        </w:numPr>
        <w:tabs>
          <w:tab w:val="clear" w:pos="855"/>
        </w:tabs>
        <w:ind w:left="851" w:hanging="851"/>
        <w:rPr>
          <w:b/>
          <w:sz w:val="24"/>
          <w:szCs w:val="24"/>
        </w:rPr>
      </w:pPr>
      <w:r w:rsidRPr="00133139">
        <w:rPr>
          <w:b/>
          <w:sz w:val="24"/>
          <w:szCs w:val="24"/>
        </w:rPr>
        <w:t>LÆGEMIDDELFORM</w:t>
      </w:r>
    </w:p>
    <w:p w14:paraId="31FD53B8" w14:textId="50C9D247" w:rsidR="00E4635B" w:rsidRPr="00133139" w:rsidRDefault="00E4635B" w:rsidP="00E4635B">
      <w:pPr>
        <w:pStyle w:val="Brdtekst3"/>
        <w:ind w:left="851"/>
        <w:jc w:val="left"/>
        <w:rPr>
          <w:szCs w:val="24"/>
          <w:lang w:val="da-DK"/>
        </w:rPr>
      </w:pPr>
      <w:r w:rsidRPr="00133139">
        <w:rPr>
          <w:szCs w:val="24"/>
          <w:lang w:val="da-DK"/>
        </w:rPr>
        <w:t>Hårde kapsler</w:t>
      </w:r>
      <w:r w:rsidR="00AE60ED">
        <w:rPr>
          <w:szCs w:val="24"/>
          <w:lang w:val="da-DK"/>
        </w:rPr>
        <w:t xml:space="preserve"> (Abacus)</w:t>
      </w:r>
    </w:p>
    <w:p w14:paraId="5E819554" w14:textId="77777777" w:rsidR="00E4635B" w:rsidRPr="00133139" w:rsidRDefault="00E4635B" w:rsidP="00E4635B">
      <w:pPr>
        <w:pStyle w:val="Brdtekst3"/>
        <w:ind w:left="851" w:hanging="851"/>
        <w:jc w:val="left"/>
        <w:rPr>
          <w:szCs w:val="24"/>
          <w:lang w:val="da-DK"/>
        </w:rPr>
      </w:pPr>
    </w:p>
    <w:p w14:paraId="0C81F1F6" w14:textId="77777777" w:rsidR="00E4635B" w:rsidRPr="00133139" w:rsidRDefault="00E4635B" w:rsidP="00E4635B">
      <w:pPr>
        <w:ind w:left="851" w:hanging="851"/>
        <w:rPr>
          <w:sz w:val="24"/>
          <w:szCs w:val="24"/>
        </w:rPr>
      </w:pPr>
    </w:p>
    <w:p w14:paraId="702C27BB" w14:textId="77777777" w:rsidR="00E4635B" w:rsidRPr="00133139" w:rsidRDefault="00E4635B" w:rsidP="00E4635B">
      <w:pPr>
        <w:numPr>
          <w:ilvl w:val="0"/>
          <w:numId w:val="1"/>
        </w:numPr>
        <w:tabs>
          <w:tab w:val="clear" w:pos="855"/>
        </w:tabs>
        <w:ind w:left="851" w:hanging="851"/>
        <w:rPr>
          <w:b/>
          <w:sz w:val="24"/>
          <w:szCs w:val="24"/>
        </w:rPr>
      </w:pPr>
      <w:r w:rsidRPr="00133139">
        <w:rPr>
          <w:b/>
          <w:sz w:val="24"/>
          <w:szCs w:val="24"/>
        </w:rPr>
        <w:t>KLINISKE OPLYSNINGER</w:t>
      </w:r>
    </w:p>
    <w:p w14:paraId="68FD2811" w14:textId="77777777" w:rsidR="00E4635B" w:rsidRPr="00133139" w:rsidRDefault="00E4635B" w:rsidP="00E4635B">
      <w:pPr>
        <w:ind w:left="851" w:hanging="851"/>
        <w:rPr>
          <w:b/>
          <w:sz w:val="24"/>
          <w:szCs w:val="24"/>
        </w:rPr>
      </w:pPr>
    </w:p>
    <w:p w14:paraId="52F70D2F" w14:textId="77777777" w:rsidR="00E4635B" w:rsidRPr="00133139" w:rsidRDefault="00E4635B" w:rsidP="00E4635B">
      <w:pPr>
        <w:numPr>
          <w:ilvl w:val="1"/>
          <w:numId w:val="1"/>
        </w:numPr>
        <w:tabs>
          <w:tab w:val="clear" w:pos="855"/>
        </w:tabs>
        <w:ind w:left="851" w:hanging="851"/>
        <w:rPr>
          <w:b/>
          <w:sz w:val="24"/>
          <w:szCs w:val="24"/>
          <w:u w:val="single"/>
        </w:rPr>
      </w:pPr>
      <w:r w:rsidRPr="00133139">
        <w:rPr>
          <w:b/>
          <w:sz w:val="24"/>
          <w:szCs w:val="24"/>
        </w:rPr>
        <w:t>Terapeutiske indikationer</w:t>
      </w:r>
    </w:p>
    <w:p w14:paraId="6AC1AB53" w14:textId="033380E6" w:rsidR="00E4635B" w:rsidRPr="00133139" w:rsidRDefault="00E4635B" w:rsidP="00E4635B">
      <w:pPr>
        <w:pStyle w:val="Brdtekst3"/>
        <w:ind w:left="851" w:hanging="851"/>
        <w:jc w:val="left"/>
        <w:rPr>
          <w:bCs/>
          <w:szCs w:val="24"/>
          <w:lang w:val="da-DK"/>
        </w:rPr>
      </w:pPr>
      <w:r w:rsidRPr="00133139">
        <w:rPr>
          <w:szCs w:val="24"/>
          <w:lang w:val="da-DK"/>
        </w:rPr>
        <w:tab/>
      </w:r>
      <w:r w:rsidR="00AE60ED">
        <w:rPr>
          <w:bCs/>
          <w:szCs w:val="24"/>
          <w:lang w:val="da-DK"/>
        </w:rPr>
        <w:t>Fluconazol ”Abacus Medicine”</w:t>
      </w:r>
      <w:r w:rsidRPr="00133139">
        <w:rPr>
          <w:bCs/>
          <w:szCs w:val="24"/>
          <w:lang w:val="da-DK"/>
        </w:rPr>
        <w:t xml:space="preserve"> er indiceret til følgende svampeinfektioner (se pkt. 5.1).</w:t>
      </w:r>
    </w:p>
    <w:p w14:paraId="22D67488" w14:textId="77777777" w:rsidR="00E4635B" w:rsidRPr="00133139" w:rsidRDefault="00E4635B" w:rsidP="00E4635B">
      <w:pPr>
        <w:pStyle w:val="Brdtekst3"/>
        <w:ind w:left="851" w:hanging="851"/>
        <w:jc w:val="left"/>
        <w:rPr>
          <w:bCs/>
          <w:szCs w:val="24"/>
          <w:lang w:val="da-DK"/>
        </w:rPr>
      </w:pPr>
    </w:p>
    <w:p w14:paraId="18415608" w14:textId="06C6C976" w:rsidR="00E4635B" w:rsidRPr="00133139" w:rsidRDefault="00AE60ED" w:rsidP="00E4635B">
      <w:pPr>
        <w:pStyle w:val="Brdtekst3"/>
        <w:ind w:left="851"/>
        <w:jc w:val="left"/>
        <w:rPr>
          <w:bCs/>
          <w:szCs w:val="24"/>
          <w:u w:val="single"/>
          <w:lang w:val="da-DK"/>
        </w:rPr>
      </w:pPr>
      <w:r>
        <w:rPr>
          <w:bCs/>
          <w:szCs w:val="24"/>
          <w:u w:val="single"/>
          <w:lang w:val="da-DK"/>
        </w:rPr>
        <w:t>Fluconazol ”Abacus Medicine”</w:t>
      </w:r>
      <w:r w:rsidR="00E4635B" w:rsidRPr="00133139">
        <w:rPr>
          <w:bCs/>
          <w:szCs w:val="24"/>
          <w:u w:val="single"/>
          <w:lang w:val="da-DK"/>
        </w:rPr>
        <w:t xml:space="preserve"> er indiceret til voksne til behandling af</w:t>
      </w:r>
      <w:r w:rsidR="00E4635B">
        <w:rPr>
          <w:bCs/>
          <w:szCs w:val="24"/>
          <w:u w:val="single"/>
          <w:lang w:val="da-DK"/>
        </w:rPr>
        <w:t>:</w:t>
      </w:r>
      <w:r w:rsidR="00E4635B" w:rsidRPr="00133139">
        <w:rPr>
          <w:bCs/>
          <w:szCs w:val="24"/>
          <w:u w:val="single"/>
          <w:lang w:val="da-DK"/>
        </w:rPr>
        <w:t xml:space="preserve"> </w:t>
      </w:r>
    </w:p>
    <w:p w14:paraId="1D8E3578" w14:textId="77777777" w:rsidR="00E4635B" w:rsidRPr="00133139" w:rsidRDefault="00E4635B" w:rsidP="00E4635B">
      <w:pPr>
        <w:pStyle w:val="Brdtekst3"/>
        <w:numPr>
          <w:ilvl w:val="0"/>
          <w:numId w:val="9"/>
        </w:numPr>
        <w:tabs>
          <w:tab w:val="clear" w:pos="720"/>
        </w:tabs>
        <w:ind w:left="1276" w:hanging="425"/>
        <w:jc w:val="left"/>
        <w:rPr>
          <w:bCs/>
          <w:szCs w:val="24"/>
          <w:lang w:val="da-DK"/>
        </w:rPr>
      </w:pPr>
      <w:r w:rsidRPr="00133139">
        <w:rPr>
          <w:bCs/>
          <w:szCs w:val="24"/>
          <w:lang w:val="da-DK"/>
        </w:rPr>
        <w:t>Kryptokokmeningitis (se pkt. 4.4)</w:t>
      </w:r>
    </w:p>
    <w:p w14:paraId="73A5F7C9" w14:textId="77777777" w:rsidR="00E4635B" w:rsidRPr="00133139" w:rsidRDefault="00E4635B" w:rsidP="00E4635B">
      <w:pPr>
        <w:pStyle w:val="Brdtekst3"/>
        <w:numPr>
          <w:ilvl w:val="0"/>
          <w:numId w:val="9"/>
        </w:numPr>
        <w:tabs>
          <w:tab w:val="clear" w:pos="720"/>
        </w:tabs>
        <w:ind w:left="1276" w:hanging="425"/>
        <w:jc w:val="left"/>
        <w:rPr>
          <w:bCs/>
          <w:szCs w:val="24"/>
          <w:lang w:val="da-DK"/>
        </w:rPr>
      </w:pPr>
      <w:r w:rsidRPr="00133139">
        <w:rPr>
          <w:bCs/>
          <w:szCs w:val="24"/>
          <w:lang w:val="da-DK"/>
        </w:rPr>
        <w:t>Kokcidioidomykose (se pkt. 4.4)</w:t>
      </w:r>
    </w:p>
    <w:p w14:paraId="411FC6E4" w14:textId="77777777" w:rsidR="00E4635B" w:rsidRPr="00133139" w:rsidRDefault="00E4635B" w:rsidP="00E4635B">
      <w:pPr>
        <w:pStyle w:val="Brdtekst3"/>
        <w:numPr>
          <w:ilvl w:val="0"/>
          <w:numId w:val="9"/>
        </w:numPr>
        <w:tabs>
          <w:tab w:val="clear" w:pos="720"/>
        </w:tabs>
        <w:ind w:left="1276" w:hanging="425"/>
        <w:jc w:val="left"/>
        <w:rPr>
          <w:bCs/>
          <w:szCs w:val="24"/>
          <w:lang w:val="da-DK"/>
        </w:rPr>
      </w:pPr>
      <w:r w:rsidRPr="00133139">
        <w:rPr>
          <w:bCs/>
          <w:szCs w:val="24"/>
          <w:lang w:val="da-DK"/>
        </w:rPr>
        <w:t>Invasiv candidiasis</w:t>
      </w:r>
    </w:p>
    <w:p w14:paraId="7B1DEFD1" w14:textId="77777777" w:rsidR="00E4635B" w:rsidRPr="00133139" w:rsidRDefault="00E4635B" w:rsidP="00E4635B">
      <w:pPr>
        <w:pStyle w:val="Brdtekst3"/>
        <w:numPr>
          <w:ilvl w:val="0"/>
          <w:numId w:val="9"/>
        </w:numPr>
        <w:tabs>
          <w:tab w:val="clear" w:pos="720"/>
        </w:tabs>
        <w:ind w:left="1276" w:hanging="425"/>
        <w:jc w:val="left"/>
        <w:rPr>
          <w:bCs/>
          <w:szCs w:val="24"/>
          <w:lang w:val="da-DK"/>
        </w:rPr>
      </w:pPr>
      <w:r w:rsidRPr="00133139">
        <w:rPr>
          <w:bCs/>
          <w:szCs w:val="24"/>
          <w:lang w:val="da-DK"/>
        </w:rPr>
        <w:t>Mukøs candidiasis inklusive orofaryngeal og øsofageal candidiasis, candiduri og kronisk mukokutan candidiasis</w:t>
      </w:r>
    </w:p>
    <w:p w14:paraId="468620B5" w14:textId="77777777" w:rsidR="00E4635B" w:rsidRPr="00133139" w:rsidRDefault="00E4635B" w:rsidP="00E4635B">
      <w:pPr>
        <w:pStyle w:val="Brdtekst3"/>
        <w:numPr>
          <w:ilvl w:val="0"/>
          <w:numId w:val="9"/>
        </w:numPr>
        <w:tabs>
          <w:tab w:val="clear" w:pos="720"/>
        </w:tabs>
        <w:ind w:left="1276" w:hanging="425"/>
        <w:jc w:val="left"/>
        <w:rPr>
          <w:bCs/>
          <w:szCs w:val="24"/>
          <w:lang w:val="da-DK"/>
        </w:rPr>
      </w:pPr>
      <w:r w:rsidRPr="00133139">
        <w:rPr>
          <w:bCs/>
          <w:szCs w:val="24"/>
          <w:lang w:val="da-DK"/>
        </w:rPr>
        <w:t>Kronisk oral atrofisk candidiasis (øm mund efter protese), hvis mundhygiejnen eller lokalbehandling er utilstrækkelig</w:t>
      </w:r>
    </w:p>
    <w:p w14:paraId="22A19C4B" w14:textId="77777777" w:rsidR="00E4635B" w:rsidRPr="00133139" w:rsidRDefault="00E4635B" w:rsidP="00E4635B">
      <w:pPr>
        <w:pStyle w:val="Brdtekst3"/>
        <w:numPr>
          <w:ilvl w:val="0"/>
          <w:numId w:val="9"/>
        </w:numPr>
        <w:tabs>
          <w:tab w:val="clear" w:pos="720"/>
        </w:tabs>
        <w:ind w:left="1276" w:hanging="425"/>
        <w:jc w:val="left"/>
        <w:rPr>
          <w:bCs/>
          <w:szCs w:val="24"/>
          <w:lang w:val="da-DK"/>
        </w:rPr>
      </w:pPr>
      <w:r w:rsidRPr="00133139">
        <w:rPr>
          <w:bCs/>
          <w:szCs w:val="24"/>
          <w:lang w:val="da-DK"/>
        </w:rPr>
        <w:t>Vaginal candidiasis, akut eller recidiverende, hvis lokalbehandling ikke er relevant.</w:t>
      </w:r>
    </w:p>
    <w:p w14:paraId="2CF5A93D" w14:textId="77777777" w:rsidR="00E4635B" w:rsidRPr="00133139" w:rsidRDefault="00E4635B" w:rsidP="00E4635B">
      <w:pPr>
        <w:pStyle w:val="Brdtekst3"/>
        <w:numPr>
          <w:ilvl w:val="0"/>
          <w:numId w:val="9"/>
        </w:numPr>
        <w:tabs>
          <w:tab w:val="clear" w:pos="720"/>
        </w:tabs>
        <w:ind w:left="1276" w:hanging="425"/>
        <w:jc w:val="left"/>
        <w:rPr>
          <w:bCs/>
          <w:szCs w:val="24"/>
          <w:lang w:val="da-DK"/>
        </w:rPr>
      </w:pPr>
      <w:r w:rsidRPr="00133139">
        <w:rPr>
          <w:bCs/>
          <w:i/>
          <w:szCs w:val="24"/>
          <w:lang w:val="da-DK"/>
        </w:rPr>
        <w:t>Candida</w:t>
      </w:r>
      <w:r w:rsidRPr="00133139">
        <w:rPr>
          <w:bCs/>
          <w:szCs w:val="24"/>
          <w:lang w:val="da-DK"/>
        </w:rPr>
        <w:t>-balanitis, hvis lokalbehandling ikke er relevant</w:t>
      </w:r>
    </w:p>
    <w:p w14:paraId="676A4148" w14:textId="77777777" w:rsidR="00E4635B" w:rsidRPr="00133139" w:rsidRDefault="00E4635B" w:rsidP="00E4635B">
      <w:pPr>
        <w:pStyle w:val="Brdtekst3"/>
        <w:numPr>
          <w:ilvl w:val="0"/>
          <w:numId w:val="9"/>
        </w:numPr>
        <w:tabs>
          <w:tab w:val="clear" w:pos="720"/>
        </w:tabs>
        <w:ind w:left="1276" w:hanging="425"/>
        <w:jc w:val="left"/>
        <w:rPr>
          <w:bCs/>
          <w:szCs w:val="24"/>
          <w:lang w:val="da-DK"/>
        </w:rPr>
      </w:pPr>
      <w:r w:rsidRPr="00133139">
        <w:rPr>
          <w:bCs/>
          <w:szCs w:val="24"/>
          <w:lang w:val="da-DK"/>
        </w:rPr>
        <w:t xml:space="preserve">Dermatomykoser inklusive tinea pedis, tinea corporis, tinea cruris, tinea versicolor og dermale </w:t>
      </w:r>
      <w:r w:rsidRPr="00133139">
        <w:rPr>
          <w:bCs/>
          <w:i/>
          <w:szCs w:val="24"/>
          <w:lang w:val="da-DK"/>
        </w:rPr>
        <w:t>Candida</w:t>
      </w:r>
      <w:r w:rsidRPr="00133139">
        <w:rPr>
          <w:bCs/>
          <w:szCs w:val="24"/>
          <w:lang w:val="da-DK"/>
        </w:rPr>
        <w:t xml:space="preserve">-infektioner, når systemisk behandling er indiceret  </w:t>
      </w:r>
    </w:p>
    <w:p w14:paraId="725742DE" w14:textId="77777777" w:rsidR="00E4635B" w:rsidRPr="00133139" w:rsidRDefault="00E4635B" w:rsidP="00E4635B">
      <w:pPr>
        <w:pStyle w:val="Brdtekst3"/>
        <w:numPr>
          <w:ilvl w:val="0"/>
          <w:numId w:val="9"/>
        </w:numPr>
        <w:tabs>
          <w:tab w:val="clear" w:pos="720"/>
        </w:tabs>
        <w:ind w:left="1276" w:hanging="425"/>
        <w:jc w:val="left"/>
        <w:rPr>
          <w:bCs/>
          <w:szCs w:val="24"/>
          <w:lang w:val="da-DK"/>
        </w:rPr>
      </w:pPr>
      <w:r w:rsidRPr="00133139">
        <w:rPr>
          <w:bCs/>
          <w:szCs w:val="24"/>
          <w:lang w:val="da-DK"/>
        </w:rPr>
        <w:lastRenderedPageBreak/>
        <w:t>Tinea unguinium (onykomykose), hvis andre stoffer ikke er relevante</w:t>
      </w:r>
    </w:p>
    <w:p w14:paraId="18AD2514" w14:textId="77777777" w:rsidR="00E4635B" w:rsidRPr="00133139" w:rsidRDefault="00E4635B" w:rsidP="00E4635B">
      <w:pPr>
        <w:pStyle w:val="Brdtekst3"/>
        <w:ind w:left="851" w:hanging="851"/>
        <w:jc w:val="left"/>
        <w:rPr>
          <w:bCs/>
          <w:szCs w:val="24"/>
          <w:lang w:val="da-DK"/>
        </w:rPr>
      </w:pPr>
    </w:p>
    <w:p w14:paraId="45742F6E" w14:textId="02849404" w:rsidR="00E4635B" w:rsidRPr="00133139" w:rsidRDefault="00AE60ED" w:rsidP="00E4635B">
      <w:pPr>
        <w:pStyle w:val="Brdtekst3"/>
        <w:ind w:left="851"/>
        <w:jc w:val="left"/>
        <w:rPr>
          <w:bCs/>
          <w:szCs w:val="24"/>
          <w:u w:val="single"/>
          <w:lang w:val="da-DK"/>
        </w:rPr>
      </w:pPr>
      <w:r>
        <w:rPr>
          <w:bCs/>
          <w:szCs w:val="24"/>
          <w:u w:val="single"/>
          <w:lang w:val="da-DK"/>
        </w:rPr>
        <w:t>Fluconazol ”Abacus Medicine”</w:t>
      </w:r>
      <w:r w:rsidR="00E4635B" w:rsidRPr="00133139">
        <w:rPr>
          <w:bCs/>
          <w:szCs w:val="24"/>
          <w:u w:val="single"/>
          <w:lang w:val="da-DK"/>
        </w:rPr>
        <w:t xml:space="preserve"> er indiceret profylaktisk hos voksne</w:t>
      </w:r>
    </w:p>
    <w:p w14:paraId="154C6D86" w14:textId="77777777" w:rsidR="00E4635B" w:rsidRPr="00133139" w:rsidRDefault="00E4635B" w:rsidP="00E4635B">
      <w:pPr>
        <w:pStyle w:val="Brdtekst3"/>
        <w:numPr>
          <w:ilvl w:val="0"/>
          <w:numId w:val="10"/>
        </w:numPr>
        <w:tabs>
          <w:tab w:val="clear" w:pos="720"/>
        </w:tabs>
        <w:ind w:left="1276" w:hanging="425"/>
        <w:jc w:val="left"/>
        <w:rPr>
          <w:bCs/>
          <w:szCs w:val="24"/>
          <w:lang w:val="da-DK"/>
        </w:rPr>
      </w:pPr>
      <w:r w:rsidRPr="00133139">
        <w:rPr>
          <w:bCs/>
          <w:szCs w:val="24"/>
          <w:lang w:val="da-DK"/>
        </w:rPr>
        <w:t xml:space="preserve">Mod tilbagefald af kryptokokmeningitis hos patienter med høj risiko for recediv </w:t>
      </w:r>
    </w:p>
    <w:p w14:paraId="30126A00" w14:textId="77777777" w:rsidR="00E4635B" w:rsidRPr="00133139" w:rsidRDefault="00E4635B" w:rsidP="00E4635B">
      <w:pPr>
        <w:pStyle w:val="Brdtekst3"/>
        <w:numPr>
          <w:ilvl w:val="0"/>
          <w:numId w:val="10"/>
        </w:numPr>
        <w:tabs>
          <w:tab w:val="clear" w:pos="720"/>
        </w:tabs>
        <w:ind w:left="1276" w:hanging="425"/>
        <w:jc w:val="left"/>
        <w:rPr>
          <w:bCs/>
          <w:szCs w:val="24"/>
          <w:lang w:val="da-DK"/>
        </w:rPr>
      </w:pPr>
      <w:r w:rsidRPr="00133139">
        <w:rPr>
          <w:bCs/>
          <w:szCs w:val="24"/>
          <w:lang w:val="da-DK"/>
        </w:rPr>
        <w:t>Mod tilbagefald af orofaryngeal eller øsofageal candidiasis hos patienter med hiv-infektion, der har høj risiko for recediv</w:t>
      </w:r>
    </w:p>
    <w:p w14:paraId="4D793DF1" w14:textId="77777777" w:rsidR="00E4635B" w:rsidRPr="00133139" w:rsidRDefault="00E4635B" w:rsidP="00E4635B">
      <w:pPr>
        <w:pStyle w:val="Brdtekst3"/>
        <w:numPr>
          <w:ilvl w:val="0"/>
          <w:numId w:val="10"/>
        </w:numPr>
        <w:tabs>
          <w:tab w:val="clear" w:pos="720"/>
        </w:tabs>
        <w:ind w:left="1276" w:hanging="425"/>
        <w:jc w:val="left"/>
        <w:rPr>
          <w:bCs/>
          <w:szCs w:val="24"/>
          <w:lang w:val="da-DK"/>
        </w:rPr>
      </w:pPr>
      <w:r w:rsidRPr="00133139">
        <w:rPr>
          <w:bCs/>
          <w:szCs w:val="24"/>
          <w:lang w:val="da-DK"/>
        </w:rPr>
        <w:t>For at reducere forekomsten af rekurrerende vaginal candidiasis (4 eller flere episoder om året)</w:t>
      </w:r>
    </w:p>
    <w:p w14:paraId="3F4A2C61" w14:textId="77777777" w:rsidR="00E4635B" w:rsidRPr="00133139" w:rsidRDefault="00E4635B" w:rsidP="00E4635B">
      <w:pPr>
        <w:pStyle w:val="Brdtekst3"/>
        <w:numPr>
          <w:ilvl w:val="0"/>
          <w:numId w:val="10"/>
        </w:numPr>
        <w:tabs>
          <w:tab w:val="clear" w:pos="720"/>
        </w:tabs>
        <w:ind w:left="1276" w:hanging="425"/>
        <w:jc w:val="left"/>
        <w:rPr>
          <w:bCs/>
          <w:szCs w:val="24"/>
          <w:lang w:val="da-DK"/>
        </w:rPr>
      </w:pPr>
      <w:r w:rsidRPr="00133139">
        <w:rPr>
          <w:bCs/>
          <w:szCs w:val="24"/>
          <w:lang w:val="da-DK"/>
        </w:rPr>
        <w:t xml:space="preserve">Mod </w:t>
      </w:r>
      <w:r w:rsidRPr="00133139">
        <w:rPr>
          <w:bCs/>
          <w:i/>
          <w:szCs w:val="24"/>
          <w:lang w:val="da-DK"/>
        </w:rPr>
        <w:t>Candida</w:t>
      </w:r>
      <w:r w:rsidRPr="00133139">
        <w:rPr>
          <w:bCs/>
          <w:szCs w:val="24"/>
          <w:lang w:val="da-DK"/>
        </w:rPr>
        <w:t>-infektioner hos patienter med forlænget neutropeni (såsom patienter med hæmatologiske maligniteter, som får kemoterapi, eller patienter, som har fået hæmatopoietisk stamcelletransplantation (se pkt. 5.1))</w:t>
      </w:r>
    </w:p>
    <w:p w14:paraId="1B95594F" w14:textId="77777777" w:rsidR="00E4635B" w:rsidRPr="00133139" w:rsidRDefault="00E4635B" w:rsidP="00E4635B">
      <w:pPr>
        <w:pStyle w:val="Brdtekst3"/>
        <w:ind w:left="851" w:hanging="851"/>
        <w:jc w:val="left"/>
        <w:rPr>
          <w:bCs/>
          <w:szCs w:val="24"/>
          <w:lang w:val="da-DK"/>
        </w:rPr>
      </w:pPr>
    </w:p>
    <w:p w14:paraId="4B8FFDE5" w14:textId="304D24C4" w:rsidR="00E4635B" w:rsidRDefault="00AE60ED" w:rsidP="00E4635B">
      <w:pPr>
        <w:pStyle w:val="Brdtekst3"/>
        <w:ind w:left="851"/>
        <w:jc w:val="left"/>
        <w:rPr>
          <w:bCs/>
          <w:szCs w:val="24"/>
          <w:u w:val="single"/>
          <w:lang w:val="da-DK"/>
        </w:rPr>
      </w:pPr>
      <w:r>
        <w:rPr>
          <w:bCs/>
          <w:szCs w:val="24"/>
          <w:u w:val="single"/>
          <w:lang w:val="da-DK"/>
        </w:rPr>
        <w:t>Fluconazol ”Abacus Medicine”</w:t>
      </w:r>
      <w:r w:rsidR="00E4635B">
        <w:rPr>
          <w:bCs/>
          <w:szCs w:val="24"/>
          <w:u w:val="single"/>
          <w:lang w:val="da-DK"/>
        </w:rPr>
        <w:t xml:space="preserve"> er indiceret til nyfødte, spædbørn, småbørn, børn og unge i alderen 0-17 år</w:t>
      </w:r>
    </w:p>
    <w:p w14:paraId="6E0C1DFE" w14:textId="77777777" w:rsidR="00E4635B" w:rsidRDefault="00E4635B" w:rsidP="00E4635B">
      <w:pPr>
        <w:pStyle w:val="Brdtekst3"/>
        <w:ind w:left="851"/>
        <w:jc w:val="left"/>
        <w:rPr>
          <w:bCs/>
          <w:szCs w:val="24"/>
          <w:lang w:val="da-DK"/>
        </w:rPr>
      </w:pPr>
      <w:r w:rsidRPr="00BF271C">
        <w:rPr>
          <w:bCs/>
          <w:szCs w:val="24"/>
          <w:lang w:val="da-DK"/>
        </w:rPr>
        <w:t>Fluconazol Accord anvendes til behandling af mukøs candidiasis (orofaryngeal, øsofageal), invasiv candidiasis, kryptokokmeningitis og til forebyggelse af svampeinfektioner hos immunsupprimerede patienter. Fluconazol Accord kan anvendes som vedligeholdelsesbehandling til forebyggelse af tilbagefald af kryptokokmeningitis hos børn med høj ri</w:t>
      </w:r>
      <w:r>
        <w:rPr>
          <w:bCs/>
          <w:szCs w:val="24"/>
          <w:lang w:val="da-DK"/>
        </w:rPr>
        <w:t>siko for recediv (se pkt. 4.4).</w:t>
      </w:r>
    </w:p>
    <w:p w14:paraId="61E79760" w14:textId="77777777" w:rsidR="00E4635B" w:rsidRDefault="00E4635B" w:rsidP="00E4635B">
      <w:pPr>
        <w:pStyle w:val="Brdtekst3"/>
        <w:ind w:left="851" w:hanging="851"/>
        <w:jc w:val="left"/>
        <w:rPr>
          <w:bCs/>
          <w:szCs w:val="24"/>
          <w:lang w:val="da-DK"/>
        </w:rPr>
      </w:pPr>
    </w:p>
    <w:p w14:paraId="0CA732B1" w14:textId="77777777" w:rsidR="00E4635B" w:rsidRDefault="00E4635B" w:rsidP="00E4635B">
      <w:pPr>
        <w:pStyle w:val="Brdtekst3"/>
        <w:ind w:left="851"/>
        <w:jc w:val="left"/>
        <w:rPr>
          <w:bCs/>
          <w:szCs w:val="24"/>
          <w:lang w:val="da-DK"/>
        </w:rPr>
      </w:pPr>
      <w:r>
        <w:rPr>
          <w:bCs/>
          <w:szCs w:val="24"/>
          <w:lang w:val="da-DK"/>
        </w:rPr>
        <w:t>Behandling kan påbegyndes, før kulturerne er identificeret og resultaterne af andre laboratorieundersøgelser foreligger. Dog skal antiinfektionsbehandlingen justeres i overensstemmelse med resultaterne, når de foreligger.</w:t>
      </w:r>
    </w:p>
    <w:p w14:paraId="05506A99" w14:textId="77777777" w:rsidR="00E4635B" w:rsidRDefault="00E4635B" w:rsidP="00E4635B">
      <w:pPr>
        <w:pStyle w:val="Brdtekst3"/>
        <w:ind w:left="851" w:hanging="851"/>
        <w:jc w:val="left"/>
        <w:rPr>
          <w:bCs/>
          <w:szCs w:val="24"/>
          <w:lang w:val="da-DK"/>
        </w:rPr>
      </w:pPr>
    </w:p>
    <w:p w14:paraId="79162F31" w14:textId="77777777" w:rsidR="00E4635B" w:rsidRDefault="00E4635B" w:rsidP="00E4635B">
      <w:pPr>
        <w:pStyle w:val="Brdtekst3"/>
        <w:ind w:left="851"/>
        <w:jc w:val="left"/>
        <w:rPr>
          <w:bCs/>
          <w:szCs w:val="24"/>
          <w:lang w:val="da-DK"/>
        </w:rPr>
      </w:pPr>
      <w:r>
        <w:rPr>
          <w:bCs/>
          <w:szCs w:val="24"/>
          <w:lang w:val="da-DK"/>
        </w:rPr>
        <w:t>Officielle retningslinjer vedrørende korrekt brug af antimykotika bør følges.</w:t>
      </w:r>
    </w:p>
    <w:p w14:paraId="631D732B" w14:textId="77777777" w:rsidR="00E4635B" w:rsidRPr="00133139" w:rsidRDefault="00E4635B" w:rsidP="00E4635B">
      <w:pPr>
        <w:ind w:left="851" w:hanging="851"/>
        <w:rPr>
          <w:sz w:val="24"/>
          <w:szCs w:val="24"/>
        </w:rPr>
      </w:pPr>
    </w:p>
    <w:p w14:paraId="7BD828EF" w14:textId="77777777" w:rsidR="00E4635B" w:rsidRPr="00133139" w:rsidRDefault="00E4635B" w:rsidP="00E4635B">
      <w:pPr>
        <w:numPr>
          <w:ilvl w:val="1"/>
          <w:numId w:val="1"/>
        </w:numPr>
        <w:tabs>
          <w:tab w:val="clear" w:pos="855"/>
        </w:tabs>
        <w:ind w:left="851" w:hanging="851"/>
        <w:rPr>
          <w:b/>
          <w:sz w:val="24"/>
          <w:szCs w:val="24"/>
        </w:rPr>
      </w:pPr>
      <w:r w:rsidRPr="00133139">
        <w:rPr>
          <w:b/>
          <w:sz w:val="24"/>
          <w:szCs w:val="24"/>
        </w:rPr>
        <w:t xml:space="preserve">Dosering og </w:t>
      </w:r>
      <w:r w:rsidR="00F33816">
        <w:rPr>
          <w:b/>
          <w:sz w:val="24"/>
          <w:szCs w:val="24"/>
        </w:rPr>
        <w:t>administration</w:t>
      </w:r>
    </w:p>
    <w:p w14:paraId="1D558E74" w14:textId="77777777" w:rsidR="00AE60ED" w:rsidRPr="00927033" w:rsidRDefault="00AE60ED" w:rsidP="002A1420">
      <w:pPr>
        <w:ind w:left="851"/>
        <w:rPr>
          <w:sz w:val="24"/>
          <w:szCs w:val="24"/>
          <w:lang w:eastAsia="da-DK"/>
        </w:rPr>
      </w:pPr>
      <w:r w:rsidRPr="00401F11">
        <w:rPr>
          <w:sz w:val="24"/>
          <w:szCs w:val="24"/>
        </w:rPr>
        <w:t>Styrelsen gør opmærksom på, at ikke alle godkendte doseringsmuligheder/ anvendelsesmuligheder kan følges med dette præparat, hvorfor indlægssedlen bør informere brugeren om dette.</w:t>
      </w:r>
    </w:p>
    <w:p w14:paraId="624DDA8A" w14:textId="77777777" w:rsidR="00AE60ED" w:rsidRPr="00AE60ED" w:rsidRDefault="00AE60ED" w:rsidP="00AE60ED">
      <w:pPr>
        <w:pStyle w:val="Brdtekst3"/>
        <w:ind w:left="1702" w:hanging="851"/>
        <w:jc w:val="left"/>
        <w:rPr>
          <w:szCs w:val="24"/>
          <w:lang w:val="da-DK"/>
        </w:rPr>
      </w:pPr>
    </w:p>
    <w:p w14:paraId="2EA763BE" w14:textId="0B76A969" w:rsidR="00E4635B" w:rsidRPr="00133139" w:rsidRDefault="00E4635B" w:rsidP="00AE60ED">
      <w:pPr>
        <w:pStyle w:val="Brdtekst3"/>
        <w:ind w:left="851"/>
        <w:jc w:val="left"/>
        <w:rPr>
          <w:bCs/>
          <w:szCs w:val="24"/>
          <w:u w:val="single"/>
          <w:lang w:val="da-DK"/>
        </w:rPr>
      </w:pPr>
      <w:r w:rsidRPr="00133139">
        <w:rPr>
          <w:bCs/>
          <w:szCs w:val="24"/>
          <w:u w:val="single"/>
          <w:lang w:val="da-DK"/>
        </w:rPr>
        <w:t>Dosering</w:t>
      </w:r>
    </w:p>
    <w:p w14:paraId="66AA40DE" w14:textId="77777777" w:rsidR="00E4635B" w:rsidRPr="00133139" w:rsidRDefault="00E4635B" w:rsidP="00E4635B">
      <w:pPr>
        <w:pStyle w:val="Brdtekst3"/>
        <w:ind w:left="851"/>
        <w:jc w:val="left"/>
        <w:rPr>
          <w:bCs/>
          <w:szCs w:val="24"/>
          <w:lang w:val="da-DK"/>
        </w:rPr>
      </w:pPr>
      <w:r w:rsidRPr="00133139">
        <w:rPr>
          <w:bCs/>
          <w:szCs w:val="24"/>
          <w:lang w:val="da-DK"/>
        </w:rPr>
        <w:t>Dosis skal baseres på svampeinfektionens art og sværhedsgrad. Behandling af infektioner, som kræver flergangsdosering, skal fortsætte, indtil kliniske parametre eller laboratorieprøver viser, at den aktive svampeinfektion er aftaget. En utilstrækkelig behandlingsvarighed kan det medføre recidiv af den aktive infektion.</w:t>
      </w:r>
    </w:p>
    <w:p w14:paraId="2C87847A" w14:textId="77777777" w:rsidR="00E4635B" w:rsidRDefault="00E4635B" w:rsidP="00E4635B">
      <w:pPr>
        <w:rPr>
          <w:bCs/>
          <w:color w:val="000000"/>
          <w:sz w:val="24"/>
          <w:szCs w:val="24"/>
        </w:rPr>
      </w:pPr>
    </w:p>
    <w:p w14:paraId="65F21183" w14:textId="77777777" w:rsidR="00E4635B" w:rsidRDefault="00E4635B" w:rsidP="00E4635B">
      <w:pPr>
        <w:pStyle w:val="Brdtekst3"/>
        <w:ind w:firstLine="851"/>
        <w:jc w:val="left"/>
        <w:rPr>
          <w:bCs/>
          <w:szCs w:val="24"/>
          <w:u w:val="single"/>
          <w:lang w:val="da-DK"/>
        </w:rPr>
      </w:pPr>
      <w:r w:rsidRPr="00F27138">
        <w:rPr>
          <w:bCs/>
          <w:szCs w:val="24"/>
          <w:u w:val="single"/>
          <w:lang w:val="da-DK"/>
        </w:rPr>
        <w:t>Voksne</w:t>
      </w:r>
    </w:p>
    <w:p w14:paraId="1296BC96" w14:textId="77777777" w:rsidR="00E4635B" w:rsidRDefault="00E4635B" w:rsidP="00E4635B">
      <w:pPr>
        <w:pStyle w:val="Brdtekst3"/>
        <w:ind w:firstLine="851"/>
        <w:jc w:val="left"/>
        <w:rPr>
          <w:b/>
          <w:bCs/>
          <w:szCs w:val="24"/>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2"/>
        <w:gridCol w:w="1931"/>
        <w:gridCol w:w="2551"/>
        <w:gridCol w:w="2954"/>
      </w:tblGrid>
      <w:tr w:rsidR="00E4635B" w:rsidRPr="00133139" w14:paraId="76DA60C2" w14:textId="77777777" w:rsidTr="00E64488">
        <w:trPr>
          <w:cantSplit/>
          <w:tblHeader/>
        </w:trPr>
        <w:tc>
          <w:tcPr>
            <w:tcW w:w="2141" w:type="pct"/>
            <w:gridSpan w:val="2"/>
            <w:shd w:val="clear" w:color="auto" w:fill="E0E0E0"/>
            <w:vAlign w:val="center"/>
          </w:tcPr>
          <w:p w14:paraId="3BCD92D8" w14:textId="77777777" w:rsidR="00E4635B" w:rsidRPr="00133139" w:rsidRDefault="00E4635B" w:rsidP="00E64488">
            <w:pPr>
              <w:pStyle w:val="Brdtekst3"/>
              <w:jc w:val="left"/>
              <w:rPr>
                <w:b/>
                <w:bCs/>
                <w:szCs w:val="24"/>
                <w:lang w:val="da-DK"/>
              </w:rPr>
            </w:pPr>
            <w:r w:rsidRPr="00133139">
              <w:rPr>
                <w:b/>
                <w:bCs/>
                <w:szCs w:val="24"/>
                <w:lang w:val="da-DK"/>
              </w:rPr>
              <w:t>Indikation</w:t>
            </w:r>
          </w:p>
        </w:tc>
        <w:tc>
          <w:tcPr>
            <w:tcW w:w="1325" w:type="pct"/>
            <w:shd w:val="clear" w:color="auto" w:fill="E0E0E0"/>
            <w:vAlign w:val="center"/>
          </w:tcPr>
          <w:p w14:paraId="588745D4" w14:textId="77777777" w:rsidR="00E4635B" w:rsidRPr="00133139" w:rsidRDefault="00E4635B" w:rsidP="00E64488">
            <w:pPr>
              <w:pStyle w:val="Brdtekst3"/>
              <w:jc w:val="left"/>
              <w:rPr>
                <w:b/>
                <w:bCs/>
                <w:szCs w:val="24"/>
                <w:lang w:val="da-DK"/>
              </w:rPr>
            </w:pPr>
            <w:r w:rsidRPr="00133139">
              <w:rPr>
                <w:b/>
                <w:bCs/>
                <w:szCs w:val="24"/>
                <w:lang w:val="da-DK"/>
              </w:rPr>
              <w:t>Dosering</w:t>
            </w:r>
          </w:p>
        </w:tc>
        <w:tc>
          <w:tcPr>
            <w:tcW w:w="1534" w:type="pct"/>
            <w:shd w:val="clear" w:color="auto" w:fill="E0E0E0"/>
            <w:vAlign w:val="center"/>
          </w:tcPr>
          <w:p w14:paraId="588EBC4B" w14:textId="77777777" w:rsidR="00E4635B" w:rsidRPr="00133139" w:rsidRDefault="00E4635B" w:rsidP="00E64488">
            <w:pPr>
              <w:pStyle w:val="Brdtekst3"/>
              <w:jc w:val="left"/>
              <w:rPr>
                <w:b/>
                <w:bCs/>
                <w:szCs w:val="24"/>
                <w:lang w:val="da-DK"/>
              </w:rPr>
            </w:pPr>
            <w:r w:rsidRPr="00133139">
              <w:rPr>
                <w:b/>
                <w:bCs/>
                <w:szCs w:val="24"/>
                <w:lang w:val="da-DK"/>
              </w:rPr>
              <w:t>Behandlingsvarighed</w:t>
            </w:r>
          </w:p>
        </w:tc>
      </w:tr>
      <w:tr w:rsidR="00E4635B" w:rsidRPr="00133139" w14:paraId="3BC01A7F" w14:textId="77777777" w:rsidTr="00E64488">
        <w:tc>
          <w:tcPr>
            <w:tcW w:w="1138" w:type="pct"/>
            <w:vMerge w:val="restart"/>
            <w:shd w:val="clear" w:color="auto" w:fill="auto"/>
            <w:vAlign w:val="center"/>
          </w:tcPr>
          <w:p w14:paraId="32BEF8AD" w14:textId="77777777" w:rsidR="00E4635B" w:rsidRPr="00133139" w:rsidRDefault="00E4635B" w:rsidP="00E64488">
            <w:pPr>
              <w:pStyle w:val="Brdtekst3"/>
              <w:jc w:val="left"/>
              <w:rPr>
                <w:b/>
                <w:bCs/>
                <w:szCs w:val="24"/>
                <w:lang w:val="da-DK"/>
              </w:rPr>
            </w:pPr>
            <w:r w:rsidRPr="00133139">
              <w:rPr>
                <w:b/>
                <w:bCs/>
                <w:szCs w:val="24"/>
                <w:lang w:val="da-DK"/>
              </w:rPr>
              <w:t>Kryptokokkose</w:t>
            </w:r>
          </w:p>
        </w:tc>
        <w:tc>
          <w:tcPr>
            <w:tcW w:w="1003" w:type="pct"/>
            <w:shd w:val="clear" w:color="auto" w:fill="auto"/>
            <w:vAlign w:val="center"/>
          </w:tcPr>
          <w:p w14:paraId="6356C49C" w14:textId="77777777" w:rsidR="00E4635B" w:rsidRPr="00133139" w:rsidRDefault="00E4635B" w:rsidP="00E64488">
            <w:pPr>
              <w:pStyle w:val="Brdtekst3"/>
              <w:jc w:val="left"/>
              <w:rPr>
                <w:bCs/>
                <w:szCs w:val="24"/>
                <w:lang w:val="da-DK"/>
              </w:rPr>
            </w:pPr>
            <w:r w:rsidRPr="00133139">
              <w:rPr>
                <w:bCs/>
                <w:szCs w:val="24"/>
                <w:lang w:val="da-DK"/>
              </w:rPr>
              <w:t>Behandling af kryptokokmeningitis.</w:t>
            </w:r>
          </w:p>
        </w:tc>
        <w:tc>
          <w:tcPr>
            <w:tcW w:w="1325" w:type="pct"/>
            <w:shd w:val="clear" w:color="auto" w:fill="auto"/>
            <w:vAlign w:val="center"/>
          </w:tcPr>
          <w:p w14:paraId="12C1849E" w14:textId="77777777" w:rsidR="00E4635B" w:rsidRPr="00133139" w:rsidRDefault="00E4635B" w:rsidP="00E64488">
            <w:pPr>
              <w:pStyle w:val="Brdtekst3"/>
              <w:jc w:val="left"/>
              <w:rPr>
                <w:bCs/>
                <w:szCs w:val="24"/>
                <w:lang w:val="da-DK"/>
              </w:rPr>
            </w:pPr>
            <w:r w:rsidRPr="00133139">
              <w:rPr>
                <w:bCs/>
                <w:szCs w:val="24"/>
                <w:lang w:val="da-DK"/>
              </w:rPr>
              <w:t>Støddosis:</w:t>
            </w:r>
          </w:p>
          <w:p w14:paraId="2509631D" w14:textId="77777777" w:rsidR="00E4635B" w:rsidRPr="00133139" w:rsidRDefault="00E4635B" w:rsidP="00E64488">
            <w:pPr>
              <w:pStyle w:val="Brdtekst3"/>
              <w:jc w:val="left"/>
              <w:rPr>
                <w:bCs/>
                <w:szCs w:val="24"/>
                <w:lang w:val="da-DK"/>
              </w:rPr>
            </w:pPr>
            <w:r w:rsidRPr="00133139">
              <w:rPr>
                <w:bCs/>
                <w:szCs w:val="24"/>
                <w:lang w:val="da-DK"/>
              </w:rPr>
              <w:t xml:space="preserve">400 mg på dag 1 </w:t>
            </w:r>
          </w:p>
          <w:p w14:paraId="742C0E79" w14:textId="77777777" w:rsidR="00E4635B" w:rsidRPr="00133139" w:rsidRDefault="00E4635B" w:rsidP="00E64488">
            <w:pPr>
              <w:pStyle w:val="Brdtekst3"/>
              <w:jc w:val="left"/>
              <w:rPr>
                <w:bCs/>
                <w:szCs w:val="24"/>
                <w:lang w:val="da-DK"/>
              </w:rPr>
            </w:pPr>
            <w:r w:rsidRPr="00133139">
              <w:rPr>
                <w:bCs/>
                <w:szCs w:val="24"/>
                <w:lang w:val="da-DK"/>
              </w:rPr>
              <w:t>Efterfølgende dosis:</w:t>
            </w:r>
          </w:p>
          <w:p w14:paraId="593427F9" w14:textId="77777777" w:rsidR="00E4635B" w:rsidRPr="00133139" w:rsidRDefault="00E4635B" w:rsidP="00E64488">
            <w:pPr>
              <w:pStyle w:val="Brdtekst3"/>
              <w:jc w:val="left"/>
              <w:rPr>
                <w:bCs/>
                <w:szCs w:val="24"/>
                <w:lang w:val="da-DK"/>
              </w:rPr>
            </w:pPr>
            <w:r w:rsidRPr="00133139">
              <w:rPr>
                <w:bCs/>
                <w:szCs w:val="24"/>
                <w:lang w:val="da-DK"/>
              </w:rPr>
              <w:t xml:space="preserve">200 mg til 400 mg </w:t>
            </w:r>
            <w:r w:rsidRPr="009B164F">
              <w:rPr>
                <w:spacing w:val="-3"/>
                <w:szCs w:val="22"/>
                <w:lang w:val="da-DK"/>
              </w:rPr>
              <w:t xml:space="preserve">én gang </w:t>
            </w:r>
            <w:r w:rsidRPr="00133139">
              <w:rPr>
                <w:bCs/>
                <w:szCs w:val="24"/>
                <w:lang w:val="da-DK"/>
              </w:rPr>
              <w:t>daglig</w:t>
            </w:r>
            <w:r>
              <w:rPr>
                <w:bCs/>
                <w:szCs w:val="24"/>
                <w:lang w:val="da-DK"/>
              </w:rPr>
              <w:t>t</w:t>
            </w:r>
          </w:p>
        </w:tc>
        <w:tc>
          <w:tcPr>
            <w:tcW w:w="1534" w:type="pct"/>
            <w:shd w:val="clear" w:color="auto" w:fill="auto"/>
            <w:vAlign w:val="center"/>
          </w:tcPr>
          <w:p w14:paraId="40EE6A93" w14:textId="77777777" w:rsidR="00E4635B" w:rsidRPr="00133139" w:rsidRDefault="00E4635B" w:rsidP="00E64488">
            <w:pPr>
              <w:pStyle w:val="Brdtekst3"/>
              <w:jc w:val="left"/>
              <w:rPr>
                <w:bCs/>
                <w:szCs w:val="24"/>
                <w:lang w:val="da-DK"/>
              </w:rPr>
            </w:pPr>
            <w:r w:rsidRPr="00133139">
              <w:rPr>
                <w:bCs/>
                <w:szCs w:val="24"/>
                <w:lang w:val="da-DK"/>
              </w:rPr>
              <w:t>Sædvanligvis mindst 6-8 uger.</w:t>
            </w:r>
          </w:p>
          <w:p w14:paraId="157B718E" w14:textId="77777777" w:rsidR="00E4635B" w:rsidRPr="00133139" w:rsidRDefault="00E4635B" w:rsidP="00E64488">
            <w:pPr>
              <w:pStyle w:val="Brdtekst3"/>
              <w:jc w:val="left"/>
              <w:rPr>
                <w:bCs/>
                <w:szCs w:val="24"/>
                <w:lang w:val="da-DK"/>
              </w:rPr>
            </w:pPr>
            <w:r w:rsidRPr="00133139">
              <w:rPr>
                <w:bCs/>
                <w:szCs w:val="24"/>
                <w:lang w:val="da-DK"/>
              </w:rPr>
              <w:t>Ved livstruende infektioner kan den daglige dosis øges til 800 mg.</w:t>
            </w:r>
          </w:p>
        </w:tc>
      </w:tr>
      <w:tr w:rsidR="00E4635B" w:rsidRPr="00133139" w14:paraId="513376CD" w14:textId="77777777" w:rsidTr="00E64488">
        <w:tc>
          <w:tcPr>
            <w:tcW w:w="1138" w:type="pct"/>
            <w:vMerge/>
            <w:shd w:val="clear" w:color="auto" w:fill="auto"/>
            <w:vAlign w:val="center"/>
          </w:tcPr>
          <w:p w14:paraId="53C53FAB" w14:textId="77777777" w:rsidR="00E4635B" w:rsidRPr="00133139" w:rsidRDefault="00E4635B" w:rsidP="00E64488">
            <w:pPr>
              <w:pStyle w:val="Brdtekst3"/>
              <w:jc w:val="left"/>
              <w:rPr>
                <w:bCs/>
                <w:szCs w:val="24"/>
                <w:lang w:val="da-DK"/>
              </w:rPr>
            </w:pPr>
          </w:p>
        </w:tc>
        <w:tc>
          <w:tcPr>
            <w:tcW w:w="1003" w:type="pct"/>
            <w:shd w:val="clear" w:color="auto" w:fill="auto"/>
            <w:vAlign w:val="center"/>
          </w:tcPr>
          <w:p w14:paraId="5128728A" w14:textId="77777777" w:rsidR="00E4635B" w:rsidRPr="00133139" w:rsidRDefault="00E4635B" w:rsidP="00E64488">
            <w:pPr>
              <w:pStyle w:val="Brdtekst3"/>
              <w:jc w:val="left"/>
              <w:rPr>
                <w:bCs/>
                <w:szCs w:val="24"/>
                <w:lang w:val="da-DK"/>
              </w:rPr>
            </w:pPr>
            <w:r w:rsidRPr="00133139">
              <w:rPr>
                <w:bCs/>
                <w:szCs w:val="24"/>
                <w:lang w:val="da-DK"/>
              </w:rPr>
              <w:t xml:space="preserve">Vedligeholdelses-behandling til forebyggelse af tilbagefald af kryptokok-meningitis hos </w:t>
            </w:r>
            <w:r w:rsidRPr="00133139">
              <w:rPr>
                <w:bCs/>
                <w:szCs w:val="24"/>
                <w:lang w:val="da-DK"/>
              </w:rPr>
              <w:lastRenderedPageBreak/>
              <w:t>patienter med høj risiko for recediv.</w:t>
            </w:r>
          </w:p>
        </w:tc>
        <w:tc>
          <w:tcPr>
            <w:tcW w:w="1325" w:type="pct"/>
            <w:shd w:val="clear" w:color="auto" w:fill="auto"/>
            <w:vAlign w:val="center"/>
          </w:tcPr>
          <w:p w14:paraId="17BEF5CC" w14:textId="77777777" w:rsidR="00E4635B" w:rsidRPr="00133139" w:rsidRDefault="00E4635B" w:rsidP="00E64488">
            <w:pPr>
              <w:pStyle w:val="Brdtekst3"/>
              <w:jc w:val="left"/>
              <w:rPr>
                <w:bCs/>
                <w:szCs w:val="24"/>
                <w:lang w:val="da-DK"/>
              </w:rPr>
            </w:pPr>
            <w:r w:rsidRPr="00133139">
              <w:rPr>
                <w:bCs/>
                <w:szCs w:val="24"/>
                <w:lang w:val="da-DK"/>
              </w:rPr>
              <w:lastRenderedPageBreak/>
              <w:t>200 mg</w:t>
            </w:r>
            <w:r>
              <w:rPr>
                <w:bCs/>
                <w:szCs w:val="24"/>
                <w:lang w:val="da-DK"/>
              </w:rPr>
              <w:t xml:space="preserve"> </w:t>
            </w:r>
            <w:r>
              <w:rPr>
                <w:spacing w:val="-3"/>
                <w:szCs w:val="22"/>
              </w:rPr>
              <w:t>én gang</w:t>
            </w:r>
            <w:r w:rsidRPr="00133139">
              <w:rPr>
                <w:bCs/>
                <w:szCs w:val="24"/>
                <w:lang w:val="da-DK"/>
              </w:rPr>
              <w:t xml:space="preserve"> daglig</w:t>
            </w:r>
            <w:r>
              <w:rPr>
                <w:bCs/>
                <w:szCs w:val="24"/>
                <w:lang w:val="da-DK"/>
              </w:rPr>
              <w:t>t</w:t>
            </w:r>
          </w:p>
        </w:tc>
        <w:tc>
          <w:tcPr>
            <w:tcW w:w="1534" w:type="pct"/>
            <w:shd w:val="clear" w:color="auto" w:fill="auto"/>
            <w:vAlign w:val="center"/>
          </w:tcPr>
          <w:p w14:paraId="13E84889" w14:textId="77777777" w:rsidR="00E4635B" w:rsidRPr="00133139" w:rsidRDefault="00E4635B" w:rsidP="00E64488">
            <w:pPr>
              <w:pStyle w:val="Brdtekst3"/>
              <w:jc w:val="left"/>
              <w:rPr>
                <w:bCs/>
                <w:szCs w:val="24"/>
                <w:lang w:val="da-DK"/>
              </w:rPr>
            </w:pPr>
            <w:r w:rsidRPr="00133139">
              <w:rPr>
                <w:bCs/>
                <w:szCs w:val="24"/>
                <w:lang w:val="da-DK"/>
              </w:rPr>
              <w:t xml:space="preserve">På ubestemt tid med en daglig dosis på 200 mg. </w:t>
            </w:r>
          </w:p>
        </w:tc>
      </w:tr>
      <w:tr w:rsidR="00E4635B" w:rsidRPr="00133139" w14:paraId="0AE550EA" w14:textId="77777777" w:rsidTr="00E64488">
        <w:tc>
          <w:tcPr>
            <w:tcW w:w="1138" w:type="pct"/>
            <w:shd w:val="clear" w:color="auto" w:fill="auto"/>
            <w:vAlign w:val="center"/>
          </w:tcPr>
          <w:p w14:paraId="3E6177CE" w14:textId="77777777" w:rsidR="00E4635B" w:rsidRPr="00133139" w:rsidRDefault="00E4635B" w:rsidP="00E64488">
            <w:pPr>
              <w:pStyle w:val="Brdtekst3"/>
              <w:jc w:val="left"/>
              <w:rPr>
                <w:b/>
                <w:bCs/>
                <w:szCs w:val="24"/>
                <w:lang w:val="da-DK"/>
              </w:rPr>
            </w:pPr>
            <w:r w:rsidRPr="00133139">
              <w:rPr>
                <w:b/>
                <w:bCs/>
                <w:szCs w:val="24"/>
                <w:lang w:val="da-DK"/>
              </w:rPr>
              <w:t>Kokcidioidomy</w:t>
            </w:r>
            <w:r w:rsidR="00E64488">
              <w:rPr>
                <w:b/>
                <w:bCs/>
                <w:szCs w:val="24"/>
                <w:lang w:val="da-DK"/>
              </w:rPr>
              <w:softHyphen/>
            </w:r>
            <w:r w:rsidRPr="00133139">
              <w:rPr>
                <w:b/>
                <w:bCs/>
                <w:szCs w:val="24"/>
                <w:lang w:val="da-DK"/>
              </w:rPr>
              <w:t>kose</w:t>
            </w:r>
          </w:p>
        </w:tc>
        <w:tc>
          <w:tcPr>
            <w:tcW w:w="1003" w:type="pct"/>
            <w:shd w:val="clear" w:color="auto" w:fill="auto"/>
            <w:vAlign w:val="center"/>
          </w:tcPr>
          <w:p w14:paraId="3C3DF1CD" w14:textId="77777777" w:rsidR="00E4635B" w:rsidRPr="00133139" w:rsidRDefault="00E4635B" w:rsidP="00E64488">
            <w:pPr>
              <w:pStyle w:val="Brdtekst3"/>
              <w:jc w:val="left"/>
              <w:rPr>
                <w:bCs/>
                <w:szCs w:val="24"/>
                <w:lang w:val="da-DK"/>
              </w:rPr>
            </w:pPr>
          </w:p>
        </w:tc>
        <w:tc>
          <w:tcPr>
            <w:tcW w:w="1325" w:type="pct"/>
            <w:shd w:val="clear" w:color="auto" w:fill="auto"/>
            <w:vAlign w:val="center"/>
          </w:tcPr>
          <w:p w14:paraId="2F7228C1" w14:textId="77777777" w:rsidR="00E4635B" w:rsidRPr="00133139" w:rsidRDefault="00E4635B" w:rsidP="00E64488">
            <w:pPr>
              <w:pStyle w:val="Brdtekst3"/>
              <w:jc w:val="left"/>
              <w:rPr>
                <w:bCs/>
                <w:szCs w:val="24"/>
                <w:lang w:val="da-DK"/>
              </w:rPr>
            </w:pPr>
            <w:r w:rsidRPr="00133139">
              <w:rPr>
                <w:bCs/>
                <w:szCs w:val="24"/>
                <w:lang w:val="da-DK"/>
              </w:rPr>
              <w:t>200 mg til 400 mg</w:t>
            </w:r>
            <w:r>
              <w:rPr>
                <w:bCs/>
                <w:szCs w:val="24"/>
                <w:lang w:val="da-DK"/>
              </w:rPr>
              <w:t xml:space="preserve"> </w:t>
            </w:r>
            <w:r>
              <w:rPr>
                <w:bCs/>
                <w:szCs w:val="24"/>
                <w:lang w:val="da-DK"/>
              </w:rPr>
              <w:br/>
            </w:r>
            <w:r w:rsidRPr="009B164F">
              <w:rPr>
                <w:spacing w:val="-3"/>
                <w:szCs w:val="22"/>
                <w:lang w:val="da-DK"/>
              </w:rPr>
              <w:t xml:space="preserve">én gang </w:t>
            </w:r>
            <w:r w:rsidRPr="007409EE">
              <w:rPr>
                <w:bCs/>
                <w:szCs w:val="24"/>
                <w:lang w:val="da-DK"/>
              </w:rPr>
              <w:t>daglig</w:t>
            </w:r>
            <w:r>
              <w:rPr>
                <w:bCs/>
                <w:szCs w:val="24"/>
                <w:lang w:val="da-DK"/>
              </w:rPr>
              <w:t>t</w:t>
            </w:r>
          </w:p>
        </w:tc>
        <w:tc>
          <w:tcPr>
            <w:tcW w:w="1534" w:type="pct"/>
            <w:shd w:val="clear" w:color="auto" w:fill="auto"/>
            <w:vAlign w:val="center"/>
          </w:tcPr>
          <w:p w14:paraId="49924170" w14:textId="77777777" w:rsidR="00E4635B" w:rsidRPr="00133139" w:rsidRDefault="00E4635B" w:rsidP="00E64488">
            <w:pPr>
              <w:pStyle w:val="Brdtekst3"/>
              <w:jc w:val="left"/>
              <w:rPr>
                <w:bCs/>
                <w:szCs w:val="24"/>
                <w:lang w:val="da-DK"/>
              </w:rPr>
            </w:pPr>
            <w:r w:rsidRPr="00133139">
              <w:rPr>
                <w:bCs/>
                <w:szCs w:val="24"/>
                <w:lang w:val="da-DK"/>
              </w:rPr>
              <w:t>Fra 11 måneder op til 24 måneder eller længere afhængig af patienten. 800 mg daglig kan overvejes ved nogle infektioner og især ved meningeale sygdomme.</w:t>
            </w:r>
          </w:p>
        </w:tc>
      </w:tr>
      <w:tr w:rsidR="00E4635B" w:rsidRPr="00133139" w14:paraId="38F0E16C" w14:textId="77777777" w:rsidTr="00E64488">
        <w:tc>
          <w:tcPr>
            <w:tcW w:w="1138" w:type="pct"/>
            <w:shd w:val="clear" w:color="auto" w:fill="auto"/>
            <w:vAlign w:val="center"/>
          </w:tcPr>
          <w:p w14:paraId="1A5DD1B7" w14:textId="77777777" w:rsidR="00E4635B" w:rsidRPr="00133139" w:rsidRDefault="00E4635B" w:rsidP="00E64488">
            <w:pPr>
              <w:pStyle w:val="Brdtekst3"/>
              <w:jc w:val="left"/>
              <w:rPr>
                <w:b/>
                <w:bCs/>
                <w:szCs w:val="24"/>
                <w:lang w:val="da-DK"/>
              </w:rPr>
            </w:pPr>
            <w:r w:rsidRPr="00133139">
              <w:rPr>
                <w:b/>
                <w:bCs/>
                <w:szCs w:val="24"/>
                <w:lang w:val="da-DK"/>
              </w:rPr>
              <w:t>Invasiv candidiasis</w:t>
            </w:r>
          </w:p>
        </w:tc>
        <w:tc>
          <w:tcPr>
            <w:tcW w:w="1003" w:type="pct"/>
            <w:shd w:val="clear" w:color="auto" w:fill="auto"/>
            <w:vAlign w:val="center"/>
          </w:tcPr>
          <w:p w14:paraId="1C430F82" w14:textId="77777777" w:rsidR="00E4635B" w:rsidRPr="00133139" w:rsidRDefault="00E4635B" w:rsidP="00E64488">
            <w:pPr>
              <w:pStyle w:val="Brdtekst3"/>
              <w:jc w:val="left"/>
              <w:rPr>
                <w:bCs/>
                <w:szCs w:val="24"/>
                <w:lang w:val="da-DK"/>
              </w:rPr>
            </w:pPr>
          </w:p>
        </w:tc>
        <w:tc>
          <w:tcPr>
            <w:tcW w:w="1325" w:type="pct"/>
            <w:shd w:val="clear" w:color="auto" w:fill="auto"/>
            <w:vAlign w:val="center"/>
          </w:tcPr>
          <w:p w14:paraId="53B6A047" w14:textId="77777777" w:rsidR="00E4635B" w:rsidRPr="00133139" w:rsidRDefault="00E4635B" w:rsidP="00E64488">
            <w:pPr>
              <w:pStyle w:val="Brdtekst3"/>
              <w:jc w:val="left"/>
              <w:rPr>
                <w:bCs/>
                <w:szCs w:val="24"/>
                <w:lang w:val="da-DK"/>
              </w:rPr>
            </w:pPr>
            <w:r w:rsidRPr="00133139">
              <w:rPr>
                <w:bCs/>
                <w:szCs w:val="24"/>
                <w:lang w:val="da-DK"/>
              </w:rPr>
              <w:t>Støddosis:</w:t>
            </w:r>
          </w:p>
          <w:p w14:paraId="202FAA86" w14:textId="77777777" w:rsidR="00E4635B" w:rsidRPr="00133139" w:rsidRDefault="00E4635B" w:rsidP="00E64488">
            <w:pPr>
              <w:pStyle w:val="Brdtekst3"/>
              <w:jc w:val="left"/>
              <w:rPr>
                <w:bCs/>
                <w:szCs w:val="24"/>
                <w:lang w:val="da-DK"/>
              </w:rPr>
            </w:pPr>
            <w:r w:rsidRPr="00133139">
              <w:rPr>
                <w:bCs/>
                <w:szCs w:val="24"/>
                <w:lang w:val="da-DK"/>
              </w:rPr>
              <w:t>800 mg på dag 1</w:t>
            </w:r>
          </w:p>
          <w:p w14:paraId="5FAD8B47" w14:textId="77777777" w:rsidR="00E4635B" w:rsidRPr="00133139" w:rsidRDefault="00E4635B" w:rsidP="00E64488">
            <w:pPr>
              <w:pStyle w:val="Brdtekst3"/>
              <w:jc w:val="left"/>
              <w:rPr>
                <w:bCs/>
                <w:szCs w:val="24"/>
                <w:lang w:val="da-DK"/>
              </w:rPr>
            </w:pPr>
            <w:r w:rsidRPr="00133139">
              <w:rPr>
                <w:bCs/>
                <w:szCs w:val="24"/>
                <w:lang w:val="da-DK"/>
              </w:rPr>
              <w:t xml:space="preserve">Efterfølgende dosis: </w:t>
            </w:r>
          </w:p>
          <w:p w14:paraId="1FC51044" w14:textId="77777777" w:rsidR="00E4635B" w:rsidRPr="00133139" w:rsidRDefault="00E4635B" w:rsidP="00E64488">
            <w:pPr>
              <w:pStyle w:val="Brdtekst3"/>
              <w:jc w:val="left"/>
              <w:rPr>
                <w:bCs/>
                <w:szCs w:val="24"/>
                <w:lang w:val="da-DK"/>
              </w:rPr>
            </w:pPr>
            <w:r w:rsidRPr="00133139">
              <w:rPr>
                <w:bCs/>
                <w:szCs w:val="24"/>
                <w:lang w:val="da-DK"/>
              </w:rPr>
              <w:t xml:space="preserve">400 mg </w:t>
            </w:r>
            <w:r>
              <w:rPr>
                <w:spacing w:val="-3"/>
                <w:szCs w:val="22"/>
              </w:rPr>
              <w:t xml:space="preserve">én gang </w:t>
            </w:r>
            <w:r w:rsidRPr="00133139">
              <w:rPr>
                <w:bCs/>
                <w:szCs w:val="24"/>
                <w:lang w:val="da-DK"/>
              </w:rPr>
              <w:t>daglig</w:t>
            </w:r>
            <w:r>
              <w:rPr>
                <w:bCs/>
                <w:szCs w:val="24"/>
                <w:lang w:val="da-DK"/>
              </w:rPr>
              <w:t>t</w:t>
            </w:r>
          </w:p>
        </w:tc>
        <w:tc>
          <w:tcPr>
            <w:tcW w:w="1534" w:type="pct"/>
            <w:shd w:val="clear" w:color="auto" w:fill="auto"/>
            <w:vAlign w:val="center"/>
          </w:tcPr>
          <w:p w14:paraId="660DC2A3" w14:textId="77777777" w:rsidR="00E4635B" w:rsidRPr="00133139" w:rsidRDefault="00E4635B" w:rsidP="00E64488">
            <w:pPr>
              <w:pStyle w:val="Brdtekst3"/>
              <w:jc w:val="left"/>
              <w:rPr>
                <w:bCs/>
                <w:szCs w:val="24"/>
                <w:lang w:val="da-DK"/>
              </w:rPr>
            </w:pPr>
            <w:r w:rsidRPr="00133139">
              <w:rPr>
                <w:bCs/>
                <w:szCs w:val="24"/>
                <w:lang w:val="da-DK"/>
              </w:rPr>
              <w:t xml:space="preserve">Generelt er den anbefalede behandlingsvarighed for candidæmi 2 uger efter første negative bloddyrkning og manglende tegn og symptomer på candidæmi. </w:t>
            </w:r>
          </w:p>
        </w:tc>
      </w:tr>
      <w:tr w:rsidR="00E4635B" w:rsidRPr="00133139" w14:paraId="40B72456" w14:textId="77777777" w:rsidTr="00E64488">
        <w:tc>
          <w:tcPr>
            <w:tcW w:w="1138" w:type="pct"/>
            <w:vMerge w:val="restart"/>
            <w:shd w:val="clear" w:color="auto" w:fill="auto"/>
            <w:vAlign w:val="center"/>
          </w:tcPr>
          <w:p w14:paraId="0C04CFE4" w14:textId="77777777" w:rsidR="00E4635B" w:rsidRPr="00133139" w:rsidRDefault="00E4635B" w:rsidP="00E64488">
            <w:pPr>
              <w:pStyle w:val="Brdtekst3"/>
              <w:jc w:val="left"/>
              <w:rPr>
                <w:b/>
                <w:bCs/>
                <w:szCs w:val="24"/>
                <w:lang w:val="da-DK"/>
              </w:rPr>
            </w:pPr>
            <w:r w:rsidRPr="00133139">
              <w:rPr>
                <w:b/>
                <w:bCs/>
                <w:szCs w:val="24"/>
                <w:lang w:val="da-DK"/>
              </w:rPr>
              <w:t>Behandling af mukøs candidiasis</w:t>
            </w:r>
          </w:p>
        </w:tc>
        <w:tc>
          <w:tcPr>
            <w:tcW w:w="1003" w:type="pct"/>
            <w:shd w:val="clear" w:color="auto" w:fill="auto"/>
            <w:vAlign w:val="center"/>
          </w:tcPr>
          <w:p w14:paraId="2FA827A2" w14:textId="77777777" w:rsidR="00E4635B" w:rsidRPr="00133139" w:rsidRDefault="00E4635B" w:rsidP="00E64488">
            <w:pPr>
              <w:pStyle w:val="Brdtekst3"/>
              <w:jc w:val="left"/>
              <w:rPr>
                <w:bCs/>
                <w:szCs w:val="24"/>
                <w:lang w:val="da-DK"/>
              </w:rPr>
            </w:pPr>
            <w:r w:rsidRPr="00133139">
              <w:rPr>
                <w:bCs/>
                <w:szCs w:val="24"/>
                <w:lang w:val="da-DK"/>
              </w:rPr>
              <w:t>Orofaryngeal candidiasis</w:t>
            </w:r>
          </w:p>
        </w:tc>
        <w:tc>
          <w:tcPr>
            <w:tcW w:w="1325" w:type="pct"/>
            <w:shd w:val="clear" w:color="auto" w:fill="auto"/>
            <w:vAlign w:val="center"/>
          </w:tcPr>
          <w:p w14:paraId="61054878" w14:textId="77777777" w:rsidR="00E4635B" w:rsidRPr="00133139" w:rsidRDefault="00E4635B" w:rsidP="00E64488">
            <w:pPr>
              <w:pStyle w:val="Brdtekst3"/>
              <w:jc w:val="left"/>
              <w:rPr>
                <w:bCs/>
                <w:szCs w:val="24"/>
                <w:lang w:val="da-DK"/>
              </w:rPr>
            </w:pPr>
            <w:r w:rsidRPr="00133139">
              <w:rPr>
                <w:bCs/>
                <w:szCs w:val="24"/>
                <w:lang w:val="da-DK"/>
              </w:rPr>
              <w:t>Støddosis: 200 mg til 400 mg på dag 1</w:t>
            </w:r>
          </w:p>
          <w:p w14:paraId="22B9FC89" w14:textId="77777777" w:rsidR="00E4635B" w:rsidRPr="00133139" w:rsidRDefault="00E4635B" w:rsidP="00E64488">
            <w:pPr>
              <w:pStyle w:val="Brdtekst3"/>
              <w:jc w:val="left"/>
              <w:rPr>
                <w:bCs/>
                <w:szCs w:val="24"/>
                <w:lang w:val="da-DK"/>
              </w:rPr>
            </w:pPr>
            <w:r w:rsidRPr="00133139">
              <w:rPr>
                <w:bCs/>
                <w:szCs w:val="24"/>
                <w:lang w:val="da-DK"/>
              </w:rPr>
              <w:t xml:space="preserve">Efterfølgende dosis: 100 mg til 200 mg </w:t>
            </w:r>
            <w:r w:rsidRPr="009B164F">
              <w:rPr>
                <w:spacing w:val="-3"/>
                <w:szCs w:val="22"/>
                <w:lang w:val="da-DK"/>
              </w:rPr>
              <w:t xml:space="preserve">én gang </w:t>
            </w:r>
            <w:r w:rsidRPr="00133139">
              <w:rPr>
                <w:bCs/>
                <w:szCs w:val="24"/>
                <w:lang w:val="da-DK"/>
              </w:rPr>
              <w:t>daglig</w:t>
            </w:r>
            <w:r>
              <w:rPr>
                <w:bCs/>
                <w:szCs w:val="24"/>
                <w:lang w:val="da-DK"/>
              </w:rPr>
              <w:t>t</w:t>
            </w:r>
          </w:p>
        </w:tc>
        <w:tc>
          <w:tcPr>
            <w:tcW w:w="1534" w:type="pct"/>
            <w:shd w:val="clear" w:color="auto" w:fill="auto"/>
            <w:vAlign w:val="center"/>
          </w:tcPr>
          <w:p w14:paraId="5419DE8C" w14:textId="77777777" w:rsidR="00E4635B" w:rsidRPr="00133139" w:rsidRDefault="00E4635B" w:rsidP="00E64488">
            <w:pPr>
              <w:pStyle w:val="Brdtekst3"/>
              <w:jc w:val="left"/>
              <w:rPr>
                <w:bCs/>
                <w:szCs w:val="24"/>
                <w:lang w:val="da-DK"/>
              </w:rPr>
            </w:pPr>
            <w:r w:rsidRPr="00133139">
              <w:rPr>
                <w:bCs/>
                <w:szCs w:val="24"/>
                <w:lang w:val="da-DK"/>
              </w:rPr>
              <w:t>7–21 dage (indtil orofaryngeal candidiasis er i bedring).</w:t>
            </w:r>
          </w:p>
          <w:p w14:paraId="7F7B8556" w14:textId="77777777" w:rsidR="00E4635B" w:rsidRPr="00133139" w:rsidRDefault="00E4635B" w:rsidP="00E64488">
            <w:pPr>
              <w:pStyle w:val="Brdtekst3"/>
              <w:jc w:val="left"/>
              <w:rPr>
                <w:bCs/>
                <w:szCs w:val="24"/>
                <w:lang w:val="da-DK"/>
              </w:rPr>
            </w:pPr>
            <w:r w:rsidRPr="00133139">
              <w:rPr>
                <w:bCs/>
                <w:szCs w:val="24"/>
                <w:lang w:val="da-DK"/>
              </w:rPr>
              <w:t>Længere perioder kan anvendes ved patienter med alvorligt nedsat immunforsvar.</w:t>
            </w:r>
          </w:p>
        </w:tc>
      </w:tr>
      <w:tr w:rsidR="00E4635B" w:rsidRPr="00133139" w14:paraId="6983E620" w14:textId="77777777" w:rsidTr="00E64488">
        <w:tc>
          <w:tcPr>
            <w:tcW w:w="1138" w:type="pct"/>
            <w:vMerge/>
            <w:shd w:val="clear" w:color="auto" w:fill="auto"/>
            <w:vAlign w:val="center"/>
          </w:tcPr>
          <w:p w14:paraId="4CF9C6E4" w14:textId="77777777" w:rsidR="00E4635B" w:rsidRPr="00133139" w:rsidRDefault="00E4635B" w:rsidP="00E64488">
            <w:pPr>
              <w:pStyle w:val="Brdtekst3"/>
              <w:jc w:val="left"/>
              <w:rPr>
                <w:bCs/>
                <w:szCs w:val="24"/>
                <w:lang w:val="da-DK"/>
              </w:rPr>
            </w:pPr>
          </w:p>
        </w:tc>
        <w:tc>
          <w:tcPr>
            <w:tcW w:w="1003" w:type="pct"/>
            <w:shd w:val="clear" w:color="auto" w:fill="auto"/>
            <w:vAlign w:val="center"/>
          </w:tcPr>
          <w:p w14:paraId="254FF5E4" w14:textId="77777777" w:rsidR="00E4635B" w:rsidRPr="00133139" w:rsidRDefault="00E4635B" w:rsidP="00E64488">
            <w:pPr>
              <w:pStyle w:val="Brdtekst3"/>
              <w:jc w:val="left"/>
              <w:rPr>
                <w:bCs/>
                <w:szCs w:val="24"/>
                <w:lang w:val="da-DK"/>
              </w:rPr>
            </w:pPr>
            <w:r w:rsidRPr="00133139">
              <w:rPr>
                <w:bCs/>
                <w:szCs w:val="24"/>
                <w:lang w:val="da-DK"/>
              </w:rPr>
              <w:t>Øsofageal candidiasis</w:t>
            </w:r>
          </w:p>
        </w:tc>
        <w:tc>
          <w:tcPr>
            <w:tcW w:w="1325" w:type="pct"/>
            <w:shd w:val="clear" w:color="auto" w:fill="auto"/>
            <w:vAlign w:val="center"/>
          </w:tcPr>
          <w:p w14:paraId="0798F63C" w14:textId="77777777" w:rsidR="00E4635B" w:rsidRPr="00133139" w:rsidRDefault="00E4635B" w:rsidP="00E64488">
            <w:pPr>
              <w:pStyle w:val="Brdtekst3"/>
              <w:jc w:val="left"/>
              <w:rPr>
                <w:bCs/>
                <w:szCs w:val="24"/>
                <w:lang w:val="da-DK"/>
              </w:rPr>
            </w:pPr>
            <w:r w:rsidRPr="00133139">
              <w:rPr>
                <w:bCs/>
                <w:szCs w:val="24"/>
                <w:lang w:val="da-DK"/>
              </w:rPr>
              <w:t>Støddosis:</w:t>
            </w:r>
          </w:p>
          <w:p w14:paraId="122B1D70" w14:textId="77777777" w:rsidR="00E4635B" w:rsidRPr="00133139" w:rsidRDefault="00E4635B" w:rsidP="00E64488">
            <w:pPr>
              <w:pStyle w:val="Brdtekst3"/>
              <w:jc w:val="left"/>
              <w:rPr>
                <w:bCs/>
                <w:szCs w:val="24"/>
                <w:lang w:val="da-DK"/>
              </w:rPr>
            </w:pPr>
            <w:r w:rsidRPr="00133139">
              <w:rPr>
                <w:bCs/>
                <w:szCs w:val="24"/>
                <w:lang w:val="da-DK"/>
              </w:rPr>
              <w:t>200 mg til 400 mg på dag 1</w:t>
            </w:r>
          </w:p>
          <w:p w14:paraId="1B1509A9" w14:textId="77777777" w:rsidR="00E4635B" w:rsidRPr="00133139" w:rsidRDefault="00E4635B" w:rsidP="00E64488">
            <w:pPr>
              <w:pStyle w:val="Brdtekst3"/>
              <w:jc w:val="left"/>
              <w:rPr>
                <w:bCs/>
                <w:szCs w:val="24"/>
                <w:lang w:val="da-DK"/>
              </w:rPr>
            </w:pPr>
            <w:r w:rsidRPr="00133139">
              <w:rPr>
                <w:bCs/>
                <w:szCs w:val="24"/>
                <w:lang w:val="da-DK"/>
              </w:rPr>
              <w:t xml:space="preserve">Efterfølgende dosis: 100 mg til 200 mg </w:t>
            </w:r>
            <w:r w:rsidRPr="009B164F">
              <w:rPr>
                <w:spacing w:val="-3"/>
                <w:szCs w:val="22"/>
                <w:lang w:val="da-DK"/>
              </w:rPr>
              <w:t xml:space="preserve">én gang </w:t>
            </w:r>
            <w:r w:rsidRPr="00133139">
              <w:rPr>
                <w:bCs/>
                <w:szCs w:val="24"/>
                <w:lang w:val="da-DK"/>
              </w:rPr>
              <w:t>daglig</w:t>
            </w:r>
            <w:r>
              <w:rPr>
                <w:bCs/>
                <w:szCs w:val="24"/>
                <w:lang w:val="da-DK"/>
              </w:rPr>
              <w:t>t</w:t>
            </w:r>
          </w:p>
          <w:p w14:paraId="1120662C" w14:textId="77777777" w:rsidR="00E4635B" w:rsidRPr="00133139" w:rsidRDefault="00E4635B" w:rsidP="00E64488">
            <w:pPr>
              <w:pStyle w:val="Brdtekst3"/>
              <w:jc w:val="left"/>
              <w:rPr>
                <w:bCs/>
                <w:szCs w:val="24"/>
                <w:lang w:val="da-DK"/>
              </w:rPr>
            </w:pPr>
          </w:p>
        </w:tc>
        <w:tc>
          <w:tcPr>
            <w:tcW w:w="1534" w:type="pct"/>
            <w:shd w:val="clear" w:color="auto" w:fill="auto"/>
            <w:vAlign w:val="center"/>
          </w:tcPr>
          <w:p w14:paraId="22FC6E4B" w14:textId="77777777" w:rsidR="00E4635B" w:rsidRPr="00133139" w:rsidRDefault="00E4635B" w:rsidP="00E64488">
            <w:pPr>
              <w:pStyle w:val="Brdtekst3"/>
              <w:jc w:val="left"/>
              <w:rPr>
                <w:bCs/>
                <w:szCs w:val="24"/>
                <w:lang w:val="da-DK"/>
              </w:rPr>
            </w:pPr>
            <w:r w:rsidRPr="00133139">
              <w:rPr>
                <w:bCs/>
                <w:szCs w:val="24"/>
                <w:lang w:val="da-DK"/>
              </w:rPr>
              <w:t>14-30 dage (indtil øsofageal candidiasis er i bedring).</w:t>
            </w:r>
          </w:p>
          <w:p w14:paraId="491FF196" w14:textId="77777777" w:rsidR="00E4635B" w:rsidRPr="00133139" w:rsidRDefault="00E4635B" w:rsidP="00E64488">
            <w:pPr>
              <w:pStyle w:val="Brdtekst3"/>
              <w:jc w:val="left"/>
              <w:rPr>
                <w:bCs/>
                <w:szCs w:val="24"/>
                <w:lang w:val="da-DK"/>
              </w:rPr>
            </w:pPr>
            <w:r w:rsidRPr="00133139">
              <w:rPr>
                <w:bCs/>
                <w:szCs w:val="24"/>
                <w:lang w:val="da-DK"/>
              </w:rPr>
              <w:t>Længere perioder kan anvendes til patienter med alvorligt nedsat immunfunktion.</w:t>
            </w:r>
          </w:p>
        </w:tc>
      </w:tr>
      <w:tr w:rsidR="00E4635B" w:rsidRPr="00133139" w14:paraId="3C44B6C9" w14:textId="77777777" w:rsidTr="00E64488">
        <w:tc>
          <w:tcPr>
            <w:tcW w:w="1138" w:type="pct"/>
            <w:vMerge/>
            <w:shd w:val="clear" w:color="auto" w:fill="auto"/>
            <w:vAlign w:val="center"/>
          </w:tcPr>
          <w:p w14:paraId="04204347" w14:textId="77777777" w:rsidR="00E4635B" w:rsidRPr="00133139" w:rsidRDefault="00E4635B" w:rsidP="00E64488">
            <w:pPr>
              <w:pStyle w:val="Brdtekst3"/>
              <w:jc w:val="left"/>
              <w:rPr>
                <w:bCs/>
                <w:szCs w:val="24"/>
                <w:lang w:val="da-DK"/>
              </w:rPr>
            </w:pPr>
          </w:p>
        </w:tc>
        <w:tc>
          <w:tcPr>
            <w:tcW w:w="1003" w:type="pct"/>
            <w:shd w:val="clear" w:color="auto" w:fill="auto"/>
            <w:vAlign w:val="center"/>
          </w:tcPr>
          <w:p w14:paraId="64C1B29D" w14:textId="77777777" w:rsidR="00E4635B" w:rsidRPr="00133139" w:rsidRDefault="00E4635B" w:rsidP="00E64488">
            <w:pPr>
              <w:pStyle w:val="Brdtekst3"/>
              <w:jc w:val="left"/>
              <w:rPr>
                <w:bCs/>
                <w:szCs w:val="24"/>
                <w:lang w:val="da-DK"/>
              </w:rPr>
            </w:pPr>
            <w:r w:rsidRPr="00133139">
              <w:rPr>
                <w:bCs/>
                <w:szCs w:val="24"/>
                <w:lang w:val="da-DK"/>
              </w:rPr>
              <w:t>Candiduri</w:t>
            </w:r>
          </w:p>
        </w:tc>
        <w:tc>
          <w:tcPr>
            <w:tcW w:w="1325" w:type="pct"/>
            <w:shd w:val="clear" w:color="auto" w:fill="auto"/>
            <w:vAlign w:val="center"/>
          </w:tcPr>
          <w:p w14:paraId="75EE173C" w14:textId="77777777" w:rsidR="00E4635B" w:rsidRPr="00133139" w:rsidRDefault="00E4635B" w:rsidP="00E64488">
            <w:pPr>
              <w:pStyle w:val="Brdtekst3"/>
              <w:jc w:val="left"/>
              <w:rPr>
                <w:bCs/>
                <w:szCs w:val="24"/>
                <w:lang w:val="da-DK"/>
              </w:rPr>
            </w:pPr>
            <w:r w:rsidRPr="00133139">
              <w:rPr>
                <w:bCs/>
                <w:szCs w:val="24"/>
                <w:lang w:val="da-DK"/>
              </w:rPr>
              <w:t xml:space="preserve">200 mg til 400 mg </w:t>
            </w:r>
            <w:r w:rsidRPr="009B164F">
              <w:rPr>
                <w:spacing w:val="-3"/>
                <w:szCs w:val="22"/>
                <w:lang w:val="da-DK"/>
              </w:rPr>
              <w:t xml:space="preserve">én gang </w:t>
            </w:r>
            <w:r w:rsidRPr="00133139">
              <w:rPr>
                <w:bCs/>
                <w:szCs w:val="24"/>
                <w:lang w:val="da-DK"/>
              </w:rPr>
              <w:t>daglig</w:t>
            </w:r>
            <w:r>
              <w:rPr>
                <w:bCs/>
                <w:szCs w:val="24"/>
                <w:lang w:val="da-DK"/>
              </w:rPr>
              <w:t>t</w:t>
            </w:r>
          </w:p>
        </w:tc>
        <w:tc>
          <w:tcPr>
            <w:tcW w:w="1534" w:type="pct"/>
            <w:shd w:val="clear" w:color="auto" w:fill="auto"/>
            <w:vAlign w:val="center"/>
          </w:tcPr>
          <w:p w14:paraId="49FE4FB5" w14:textId="77777777" w:rsidR="00E4635B" w:rsidRPr="00133139" w:rsidRDefault="00E4635B" w:rsidP="00E64488">
            <w:pPr>
              <w:pStyle w:val="Brdtekst3"/>
              <w:jc w:val="left"/>
              <w:rPr>
                <w:bCs/>
                <w:szCs w:val="24"/>
                <w:lang w:val="da-DK"/>
              </w:rPr>
            </w:pPr>
            <w:r w:rsidRPr="00133139">
              <w:rPr>
                <w:bCs/>
                <w:szCs w:val="24"/>
                <w:lang w:val="da-DK"/>
              </w:rPr>
              <w:t>7–21 dage. Længere perioder kan anvendes til patienter med alvorligt nedsat immunfunktion.</w:t>
            </w:r>
          </w:p>
        </w:tc>
      </w:tr>
      <w:tr w:rsidR="00E4635B" w:rsidRPr="00133139" w14:paraId="7552E8FF" w14:textId="77777777" w:rsidTr="00E64488">
        <w:tc>
          <w:tcPr>
            <w:tcW w:w="1138" w:type="pct"/>
            <w:vMerge/>
            <w:shd w:val="clear" w:color="auto" w:fill="auto"/>
            <w:vAlign w:val="center"/>
          </w:tcPr>
          <w:p w14:paraId="3325034E" w14:textId="77777777" w:rsidR="00E4635B" w:rsidRPr="00133139" w:rsidRDefault="00E4635B" w:rsidP="00E64488">
            <w:pPr>
              <w:pStyle w:val="Brdtekst3"/>
              <w:jc w:val="left"/>
              <w:rPr>
                <w:bCs/>
                <w:szCs w:val="24"/>
                <w:lang w:val="da-DK"/>
              </w:rPr>
            </w:pPr>
          </w:p>
        </w:tc>
        <w:tc>
          <w:tcPr>
            <w:tcW w:w="1003" w:type="pct"/>
            <w:shd w:val="clear" w:color="auto" w:fill="auto"/>
            <w:vAlign w:val="center"/>
          </w:tcPr>
          <w:p w14:paraId="2DFC8959" w14:textId="77777777" w:rsidR="00E4635B" w:rsidRPr="00133139" w:rsidRDefault="00E4635B" w:rsidP="00E64488">
            <w:pPr>
              <w:pStyle w:val="Brdtekst3"/>
              <w:jc w:val="left"/>
              <w:rPr>
                <w:bCs/>
                <w:szCs w:val="24"/>
                <w:lang w:val="da-DK"/>
              </w:rPr>
            </w:pPr>
            <w:r w:rsidRPr="00133139">
              <w:rPr>
                <w:bCs/>
                <w:szCs w:val="24"/>
                <w:lang w:val="da-DK"/>
              </w:rPr>
              <w:t>Kronisk atrofisk candidiasis</w:t>
            </w:r>
          </w:p>
        </w:tc>
        <w:tc>
          <w:tcPr>
            <w:tcW w:w="1325" w:type="pct"/>
            <w:shd w:val="clear" w:color="auto" w:fill="auto"/>
            <w:vAlign w:val="center"/>
          </w:tcPr>
          <w:p w14:paraId="4C2DF625" w14:textId="77777777" w:rsidR="00E4635B" w:rsidRPr="00133139" w:rsidRDefault="00E4635B" w:rsidP="00E64488">
            <w:pPr>
              <w:pStyle w:val="Brdtekst3"/>
              <w:jc w:val="left"/>
              <w:rPr>
                <w:bCs/>
                <w:szCs w:val="24"/>
                <w:lang w:val="da-DK"/>
              </w:rPr>
            </w:pPr>
            <w:r w:rsidRPr="00133139">
              <w:rPr>
                <w:bCs/>
                <w:szCs w:val="24"/>
                <w:lang w:val="da-DK"/>
              </w:rPr>
              <w:t xml:space="preserve">50 mg </w:t>
            </w:r>
            <w:r>
              <w:rPr>
                <w:spacing w:val="-3"/>
                <w:szCs w:val="22"/>
              </w:rPr>
              <w:t xml:space="preserve">én gang </w:t>
            </w:r>
            <w:r w:rsidRPr="00133139">
              <w:rPr>
                <w:bCs/>
                <w:szCs w:val="24"/>
                <w:lang w:val="da-DK"/>
              </w:rPr>
              <w:t>daglig</w:t>
            </w:r>
            <w:r>
              <w:rPr>
                <w:bCs/>
                <w:szCs w:val="24"/>
                <w:lang w:val="da-DK"/>
              </w:rPr>
              <w:t>t</w:t>
            </w:r>
          </w:p>
        </w:tc>
        <w:tc>
          <w:tcPr>
            <w:tcW w:w="1534" w:type="pct"/>
            <w:shd w:val="clear" w:color="auto" w:fill="auto"/>
            <w:vAlign w:val="center"/>
          </w:tcPr>
          <w:p w14:paraId="1A48C8FA" w14:textId="77777777" w:rsidR="00E4635B" w:rsidRPr="00133139" w:rsidRDefault="00E4635B" w:rsidP="00E64488">
            <w:pPr>
              <w:pStyle w:val="Brdtekst3"/>
              <w:jc w:val="left"/>
              <w:rPr>
                <w:bCs/>
                <w:szCs w:val="24"/>
                <w:lang w:val="da-DK"/>
              </w:rPr>
            </w:pPr>
            <w:r w:rsidRPr="00133139">
              <w:rPr>
                <w:bCs/>
                <w:szCs w:val="24"/>
                <w:lang w:val="da-DK"/>
              </w:rPr>
              <w:t>14 dage</w:t>
            </w:r>
          </w:p>
        </w:tc>
      </w:tr>
      <w:tr w:rsidR="00E4635B" w:rsidRPr="00133139" w14:paraId="3D7601B8" w14:textId="77777777" w:rsidTr="00E64488">
        <w:tc>
          <w:tcPr>
            <w:tcW w:w="1138" w:type="pct"/>
            <w:vMerge/>
            <w:shd w:val="clear" w:color="auto" w:fill="auto"/>
            <w:vAlign w:val="center"/>
          </w:tcPr>
          <w:p w14:paraId="08C17819" w14:textId="77777777" w:rsidR="00E4635B" w:rsidRPr="00133139" w:rsidRDefault="00E4635B" w:rsidP="00E64488">
            <w:pPr>
              <w:pStyle w:val="Brdtekst3"/>
              <w:jc w:val="left"/>
              <w:rPr>
                <w:bCs/>
                <w:szCs w:val="24"/>
                <w:lang w:val="da-DK"/>
              </w:rPr>
            </w:pPr>
          </w:p>
        </w:tc>
        <w:tc>
          <w:tcPr>
            <w:tcW w:w="1003" w:type="pct"/>
            <w:shd w:val="clear" w:color="auto" w:fill="auto"/>
            <w:vAlign w:val="center"/>
          </w:tcPr>
          <w:p w14:paraId="01291B7F" w14:textId="77777777" w:rsidR="00E4635B" w:rsidRPr="00133139" w:rsidRDefault="00E4635B" w:rsidP="00E64488">
            <w:pPr>
              <w:pStyle w:val="Brdtekst3"/>
              <w:jc w:val="left"/>
              <w:rPr>
                <w:bCs/>
                <w:szCs w:val="24"/>
                <w:lang w:val="da-DK"/>
              </w:rPr>
            </w:pPr>
            <w:r w:rsidRPr="00133139">
              <w:rPr>
                <w:bCs/>
                <w:szCs w:val="24"/>
                <w:lang w:val="da-DK"/>
              </w:rPr>
              <w:t>Kronisk mukokutan candidiasis</w:t>
            </w:r>
          </w:p>
        </w:tc>
        <w:tc>
          <w:tcPr>
            <w:tcW w:w="1325" w:type="pct"/>
            <w:shd w:val="clear" w:color="auto" w:fill="auto"/>
            <w:vAlign w:val="center"/>
          </w:tcPr>
          <w:p w14:paraId="21108465" w14:textId="77777777" w:rsidR="00E4635B" w:rsidRPr="00133139" w:rsidRDefault="00E4635B" w:rsidP="00E64488">
            <w:pPr>
              <w:pStyle w:val="Brdtekst3"/>
              <w:jc w:val="left"/>
              <w:rPr>
                <w:bCs/>
                <w:szCs w:val="24"/>
                <w:lang w:val="da-DK"/>
              </w:rPr>
            </w:pPr>
            <w:r w:rsidRPr="00133139">
              <w:rPr>
                <w:bCs/>
                <w:szCs w:val="24"/>
                <w:lang w:val="da-DK"/>
              </w:rPr>
              <w:t>50 mg til 100 mg</w:t>
            </w:r>
            <w:r>
              <w:rPr>
                <w:bCs/>
                <w:szCs w:val="24"/>
                <w:lang w:val="da-DK"/>
              </w:rPr>
              <w:t xml:space="preserve"> </w:t>
            </w:r>
            <w:r w:rsidRPr="009B164F">
              <w:rPr>
                <w:spacing w:val="-3"/>
                <w:szCs w:val="22"/>
                <w:lang w:val="da-DK"/>
              </w:rPr>
              <w:t>én gang</w:t>
            </w:r>
            <w:r w:rsidRPr="00133139">
              <w:rPr>
                <w:bCs/>
                <w:szCs w:val="24"/>
                <w:lang w:val="da-DK"/>
              </w:rPr>
              <w:t xml:space="preserve"> daglig</w:t>
            </w:r>
            <w:r>
              <w:rPr>
                <w:bCs/>
                <w:szCs w:val="24"/>
                <w:lang w:val="da-DK"/>
              </w:rPr>
              <w:t>t</w:t>
            </w:r>
          </w:p>
        </w:tc>
        <w:tc>
          <w:tcPr>
            <w:tcW w:w="1534" w:type="pct"/>
            <w:shd w:val="clear" w:color="auto" w:fill="auto"/>
            <w:vAlign w:val="center"/>
          </w:tcPr>
          <w:p w14:paraId="11B3E572" w14:textId="77777777" w:rsidR="00E4635B" w:rsidRPr="00133139" w:rsidRDefault="00E4635B" w:rsidP="00E64488">
            <w:pPr>
              <w:pStyle w:val="Brdtekst3"/>
              <w:jc w:val="left"/>
              <w:rPr>
                <w:bCs/>
                <w:szCs w:val="24"/>
                <w:lang w:val="da-DK"/>
              </w:rPr>
            </w:pPr>
            <w:r w:rsidRPr="00133139">
              <w:rPr>
                <w:bCs/>
                <w:szCs w:val="24"/>
                <w:lang w:val="da-DK"/>
              </w:rPr>
              <w:t>Op til 28 dage. Længere afhængigt af både infektionens sværhedsgrad og underliggende immunsuppression/infektion.</w:t>
            </w:r>
          </w:p>
        </w:tc>
      </w:tr>
      <w:tr w:rsidR="00E4635B" w:rsidRPr="00133139" w14:paraId="500108D6" w14:textId="77777777" w:rsidTr="00E64488">
        <w:tc>
          <w:tcPr>
            <w:tcW w:w="1138" w:type="pct"/>
            <w:vMerge w:val="restart"/>
            <w:shd w:val="clear" w:color="auto" w:fill="auto"/>
            <w:vAlign w:val="center"/>
          </w:tcPr>
          <w:p w14:paraId="732CD3FC" w14:textId="77777777" w:rsidR="00E4635B" w:rsidRPr="00133139" w:rsidRDefault="00E4635B" w:rsidP="00E64488">
            <w:pPr>
              <w:pStyle w:val="Brdtekst3"/>
              <w:jc w:val="left"/>
              <w:rPr>
                <w:b/>
                <w:bCs/>
                <w:szCs w:val="24"/>
                <w:lang w:val="da-DK"/>
              </w:rPr>
            </w:pPr>
            <w:r w:rsidRPr="00133139">
              <w:rPr>
                <w:b/>
                <w:bCs/>
                <w:szCs w:val="24"/>
                <w:lang w:val="da-DK"/>
              </w:rPr>
              <w:t>Forebyggelse af tilbagefald af mukøs candidiasis hos patienter med hiv-infektion, som har høj risiko for tilbagefald</w:t>
            </w:r>
          </w:p>
        </w:tc>
        <w:tc>
          <w:tcPr>
            <w:tcW w:w="1003" w:type="pct"/>
            <w:shd w:val="clear" w:color="auto" w:fill="auto"/>
            <w:vAlign w:val="center"/>
          </w:tcPr>
          <w:p w14:paraId="19CD4E81" w14:textId="77777777" w:rsidR="00E4635B" w:rsidRPr="00133139" w:rsidRDefault="00E4635B" w:rsidP="00E64488">
            <w:pPr>
              <w:pStyle w:val="Brdtekst3"/>
              <w:jc w:val="left"/>
              <w:rPr>
                <w:bCs/>
                <w:szCs w:val="24"/>
                <w:lang w:val="da-DK"/>
              </w:rPr>
            </w:pPr>
            <w:r w:rsidRPr="00133139">
              <w:rPr>
                <w:bCs/>
                <w:szCs w:val="24"/>
                <w:lang w:val="da-DK"/>
              </w:rPr>
              <w:t>Orofaryngeal candidiasis</w:t>
            </w:r>
          </w:p>
        </w:tc>
        <w:tc>
          <w:tcPr>
            <w:tcW w:w="1325" w:type="pct"/>
            <w:shd w:val="clear" w:color="auto" w:fill="auto"/>
            <w:vAlign w:val="center"/>
          </w:tcPr>
          <w:p w14:paraId="74496A53" w14:textId="77777777" w:rsidR="00E4635B" w:rsidRPr="00133139" w:rsidRDefault="00E4635B" w:rsidP="00E64488">
            <w:pPr>
              <w:pStyle w:val="Brdtekst3"/>
              <w:jc w:val="left"/>
              <w:rPr>
                <w:bCs/>
                <w:szCs w:val="24"/>
                <w:lang w:val="da-DK"/>
              </w:rPr>
            </w:pPr>
            <w:r w:rsidRPr="00133139">
              <w:rPr>
                <w:bCs/>
                <w:szCs w:val="24"/>
                <w:lang w:val="da-DK"/>
              </w:rPr>
              <w:t>100 mg til 200 mg</w:t>
            </w:r>
            <w:r>
              <w:rPr>
                <w:bCs/>
                <w:szCs w:val="24"/>
                <w:lang w:val="da-DK"/>
              </w:rPr>
              <w:t xml:space="preserve"> </w:t>
            </w:r>
            <w:r w:rsidRPr="004C40D9">
              <w:rPr>
                <w:spacing w:val="-3"/>
                <w:szCs w:val="22"/>
                <w:lang w:val="da-DK"/>
              </w:rPr>
              <w:t>én gang</w:t>
            </w:r>
            <w:r w:rsidRPr="00133139">
              <w:rPr>
                <w:bCs/>
                <w:szCs w:val="24"/>
                <w:lang w:val="da-DK"/>
              </w:rPr>
              <w:t xml:space="preserve"> daglig</w:t>
            </w:r>
            <w:r>
              <w:rPr>
                <w:bCs/>
                <w:szCs w:val="24"/>
                <w:lang w:val="da-DK"/>
              </w:rPr>
              <w:t>t</w:t>
            </w:r>
            <w:r w:rsidRPr="00133139">
              <w:rPr>
                <w:bCs/>
                <w:szCs w:val="24"/>
                <w:lang w:val="da-DK"/>
              </w:rPr>
              <w:t xml:space="preserve"> eller 200 mg 3 gange pr. uge</w:t>
            </w:r>
          </w:p>
        </w:tc>
        <w:tc>
          <w:tcPr>
            <w:tcW w:w="1534" w:type="pct"/>
            <w:shd w:val="clear" w:color="auto" w:fill="auto"/>
            <w:vAlign w:val="center"/>
          </w:tcPr>
          <w:p w14:paraId="3F80EC96" w14:textId="77777777" w:rsidR="00E4635B" w:rsidRPr="00133139" w:rsidRDefault="00E4635B" w:rsidP="00E64488">
            <w:pPr>
              <w:pStyle w:val="Brdtekst3"/>
              <w:jc w:val="left"/>
              <w:rPr>
                <w:bCs/>
                <w:szCs w:val="24"/>
                <w:lang w:val="da-DK"/>
              </w:rPr>
            </w:pPr>
            <w:r w:rsidRPr="00133139">
              <w:rPr>
                <w:bCs/>
                <w:szCs w:val="24"/>
                <w:lang w:val="da-DK"/>
              </w:rPr>
              <w:t>På ubestemt tid hos patienter med kronisk immunsuppression</w:t>
            </w:r>
          </w:p>
        </w:tc>
      </w:tr>
      <w:tr w:rsidR="00E4635B" w:rsidRPr="00133139" w14:paraId="1D2A5D0E" w14:textId="77777777" w:rsidTr="00E64488">
        <w:tc>
          <w:tcPr>
            <w:tcW w:w="1138" w:type="pct"/>
            <w:vMerge/>
            <w:shd w:val="clear" w:color="auto" w:fill="auto"/>
            <w:vAlign w:val="center"/>
          </w:tcPr>
          <w:p w14:paraId="52BCEB7C" w14:textId="77777777" w:rsidR="00E4635B" w:rsidRPr="00133139" w:rsidRDefault="00E4635B" w:rsidP="00E64488">
            <w:pPr>
              <w:pStyle w:val="Brdtekst3"/>
              <w:jc w:val="left"/>
              <w:rPr>
                <w:bCs/>
                <w:szCs w:val="24"/>
                <w:lang w:val="da-DK"/>
              </w:rPr>
            </w:pPr>
          </w:p>
        </w:tc>
        <w:tc>
          <w:tcPr>
            <w:tcW w:w="1003" w:type="pct"/>
            <w:shd w:val="clear" w:color="auto" w:fill="auto"/>
            <w:vAlign w:val="center"/>
          </w:tcPr>
          <w:p w14:paraId="34A2C38C" w14:textId="77777777" w:rsidR="00E4635B" w:rsidRPr="00133139" w:rsidRDefault="00E4635B" w:rsidP="00E64488">
            <w:pPr>
              <w:pStyle w:val="Brdtekst3"/>
              <w:jc w:val="left"/>
              <w:rPr>
                <w:bCs/>
                <w:szCs w:val="24"/>
                <w:lang w:val="da-DK"/>
              </w:rPr>
            </w:pPr>
            <w:r w:rsidRPr="00133139">
              <w:rPr>
                <w:bCs/>
                <w:szCs w:val="24"/>
                <w:lang w:val="da-DK"/>
              </w:rPr>
              <w:t>Øsofageal candidiasis</w:t>
            </w:r>
          </w:p>
        </w:tc>
        <w:tc>
          <w:tcPr>
            <w:tcW w:w="1325" w:type="pct"/>
            <w:shd w:val="clear" w:color="auto" w:fill="auto"/>
            <w:vAlign w:val="center"/>
          </w:tcPr>
          <w:p w14:paraId="6334A0FB" w14:textId="77777777" w:rsidR="00E4635B" w:rsidRPr="00133139" w:rsidRDefault="00E4635B" w:rsidP="00E64488">
            <w:pPr>
              <w:pStyle w:val="Brdtekst3"/>
              <w:jc w:val="left"/>
              <w:rPr>
                <w:bCs/>
                <w:szCs w:val="24"/>
                <w:lang w:val="da-DK"/>
              </w:rPr>
            </w:pPr>
            <w:r w:rsidRPr="00133139">
              <w:rPr>
                <w:bCs/>
                <w:szCs w:val="24"/>
                <w:lang w:val="da-DK"/>
              </w:rPr>
              <w:t xml:space="preserve">100 mg til 200 mg </w:t>
            </w:r>
            <w:r w:rsidRPr="004C40D9">
              <w:rPr>
                <w:spacing w:val="-3"/>
                <w:szCs w:val="22"/>
                <w:lang w:val="da-DK"/>
              </w:rPr>
              <w:t xml:space="preserve">én gang </w:t>
            </w:r>
            <w:r w:rsidRPr="00133139">
              <w:rPr>
                <w:bCs/>
                <w:szCs w:val="24"/>
                <w:lang w:val="da-DK"/>
              </w:rPr>
              <w:t>daglig</w:t>
            </w:r>
            <w:r>
              <w:rPr>
                <w:bCs/>
                <w:szCs w:val="24"/>
                <w:lang w:val="da-DK"/>
              </w:rPr>
              <w:t>t</w:t>
            </w:r>
            <w:r w:rsidRPr="00133139">
              <w:rPr>
                <w:bCs/>
                <w:szCs w:val="24"/>
                <w:lang w:val="da-DK"/>
              </w:rPr>
              <w:t xml:space="preserve"> eller 200 mg 3 gange pr. uge</w:t>
            </w:r>
          </w:p>
        </w:tc>
        <w:tc>
          <w:tcPr>
            <w:tcW w:w="1534" w:type="pct"/>
            <w:shd w:val="clear" w:color="auto" w:fill="auto"/>
            <w:vAlign w:val="center"/>
          </w:tcPr>
          <w:p w14:paraId="7510B631" w14:textId="77777777" w:rsidR="00E4635B" w:rsidRPr="00133139" w:rsidRDefault="00E4635B" w:rsidP="00E64488">
            <w:pPr>
              <w:pStyle w:val="Brdtekst3"/>
              <w:jc w:val="left"/>
              <w:rPr>
                <w:bCs/>
                <w:szCs w:val="24"/>
                <w:lang w:val="da-DK"/>
              </w:rPr>
            </w:pPr>
            <w:r w:rsidRPr="00133139">
              <w:rPr>
                <w:bCs/>
                <w:szCs w:val="24"/>
                <w:lang w:val="da-DK"/>
              </w:rPr>
              <w:t>På ubestemt tid hos patienter med kronisk immunsuppression.</w:t>
            </w:r>
          </w:p>
        </w:tc>
      </w:tr>
      <w:tr w:rsidR="00E4635B" w:rsidRPr="00133139" w14:paraId="1CCB50DF" w14:textId="77777777" w:rsidTr="00E64488">
        <w:tc>
          <w:tcPr>
            <w:tcW w:w="1138" w:type="pct"/>
            <w:vMerge w:val="restart"/>
            <w:shd w:val="clear" w:color="auto" w:fill="auto"/>
            <w:vAlign w:val="center"/>
          </w:tcPr>
          <w:p w14:paraId="7D40A13F" w14:textId="77777777" w:rsidR="00E4635B" w:rsidRPr="00133139" w:rsidRDefault="00E4635B" w:rsidP="00E64488">
            <w:pPr>
              <w:pStyle w:val="Brdtekst3"/>
              <w:jc w:val="left"/>
              <w:rPr>
                <w:b/>
                <w:bCs/>
                <w:szCs w:val="24"/>
                <w:lang w:val="da-DK"/>
              </w:rPr>
            </w:pPr>
            <w:r w:rsidRPr="00133139">
              <w:rPr>
                <w:b/>
                <w:bCs/>
                <w:szCs w:val="24"/>
                <w:lang w:val="da-DK"/>
              </w:rPr>
              <w:lastRenderedPageBreak/>
              <w:t>Genital candidiasis</w:t>
            </w:r>
          </w:p>
        </w:tc>
        <w:tc>
          <w:tcPr>
            <w:tcW w:w="1003" w:type="pct"/>
            <w:shd w:val="clear" w:color="auto" w:fill="auto"/>
            <w:vAlign w:val="center"/>
          </w:tcPr>
          <w:p w14:paraId="3376F2D0" w14:textId="77777777" w:rsidR="00E4635B" w:rsidRPr="00133139" w:rsidRDefault="00E4635B" w:rsidP="00E64488">
            <w:pPr>
              <w:pStyle w:val="Brdtekst3"/>
              <w:jc w:val="left"/>
              <w:rPr>
                <w:bCs/>
                <w:szCs w:val="24"/>
              </w:rPr>
            </w:pPr>
            <w:r w:rsidRPr="00133139">
              <w:rPr>
                <w:bCs/>
                <w:szCs w:val="24"/>
              </w:rPr>
              <w:t>Akut vaginal candidiasis</w:t>
            </w:r>
          </w:p>
          <w:p w14:paraId="754DD207" w14:textId="77777777" w:rsidR="00E4635B" w:rsidRPr="00133139" w:rsidRDefault="00E4635B" w:rsidP="00E64488">
            <w:pPr>
              <w:pStyle w:val="Brdtekst3"/>
              <w:jc w:val="left"/>
              <w:rPr>
                <w:bCs/>
                <w:szCs w:val="24"/>
              </w:rPr>
            </w:pPr>
            <w:r w:rsidRPr="00133139">
              <w:rPr>
                <w:bCs/>
                <w:szCs w:val="24"/>
              </w:rPr>
              <w:t>Candidal balanitis</w:t>
            </w:r>
          </w:p>
        </w:tc>
        <w:tc>
          <w:tcPr>
            <w:tcW w:w="1325" w:type="pct"/>
            <w:shd w:val="clear" w:color="auto" w:fill="auto"/>
            <w:vAlign w:val="center"/>
          </w:tcPr>
          <w:p w14:paraId="457F46C9" w14:textId="77777777" w:rsidR="00E4635B" w:rsidRPr="00133139" w:rsidRDefault="00E4635B" w:rsidP="00E64488">
            <w:pPr>
              <w:pStyle w:val="Brdtekst3"/>
              <w:jc w:val="left"/>
              <w:rPr>
                <w:bCs/>
                <w:szCs w:val="24"/>
                <w:lang w:val="da-DK"/>
              </w:rPr>
            </w:pPr>
            <w:r w:rsidRPr="00133139">
              <w:rPr>
                <w:bCs/>
                <w:szCs w:val="24"/>
                <w:lang w:val="da-DK"/>
              </w:rPr>
              <w:t>150 mg</w:t>
            </w:r>
          </w:p>
        </w:tc>
        <w:tc>
          <w:tcPr>
            <w:tcW w:w="1534" w:type="pct"/>
            <w:shd w:val="clear" w:color="auto" w:fill="auto"/>
            <w:vAlign w:val="center"/>
          </w:tcPr>
          <w:p w14:paraId="3ECB6AC1" w14:textId="77777777" w:rsidR="00E4635B" w:rsidRPr="00133139" w:rsidRDefault="00E4635B" w:rsidP="00E64488">
            <w:pPr>
              <w:pStyle w:val="Brdtekst3"/>
              <w:jc w:val="left"/>
              <w:rPr>
                <w:bCs/>
                <w:szCs w:val="24"/>
                <w:lang w:val="da-DK"/>
              </w:rPr>
            </w:pPr>
            <w:r w:rsidRPr="00133139">
              <w:rPr>
                <w:bCs/>
                <w:szCs w:val="24"/>
                <w:lang w:val="da-DK"/>
              </w:rPr>
              <w:t>Enkeltdosis</w:t>
            </w:r>
          </w:p>
        </w:tc>
      </w:tr>
      <w:tr w:rsidR="00E4635B" w:rsidRPr="00133139" w14:paraId="51C5DBE9" w14:textId="77777777" w:rsidTr="00E64488">
        <w:tc>
          <w:tcPr>
            <w:tcW w:w="1138" w:type="pct"/>
            <w:vMerge/>
            <w:shd w:val="clear" w:color="auto" w:fill="auto"/>
            <w:vAlign w:val="center"/>
          </w:tcPr>
          <w:p w14:paraId="3EEA3DEC" w14:textId="77777777" w:rsidR="00E4635B" w:rsidRPr="00133139" w:rsidRDefault="00E4635B" w:rsidP="00E64488">
            <w:pPr>
              <w:pStyle w:val="Brdtekst3"/>
              <w:jc w:val="left"/>
              <w:rPr>
                <w:bCs/>
                <w:szCs w:val="24"/>
                <w:lang w:val="da-DK"/>
              </w:rPr>
            </w:pPr>
          </w:p>
        </w:tc>
        <w:tc>
          <w:tcPr>
            <w:tcW w:w="1003" w:type="pct"/>
            <w:shd w:val="clear" w:color="auto" w:fill="auto"/>
            <w:vAlign w:val="center"/>
          </w:tcPr>
          <w:p w14:paraId="3B566871" w14:textId="77777777" w:rsidR="00E4635B" w:rsidRPr="00133139" w:rsidRDefault="00E4635B" w:rsidP="00E64488">
            <w:pPr>
              <w:pStyle w:val="Brdtekst3"/>
              <w:jc w:val="left"/>
              <w:rPr>
                <w:bCs/>
                <w:szCs w:val="24"/>
                <w:lang w:val="da-DK"/>
              </w:rPr>
            </w:pPr>
            <w:r w:rsidRPr="00133139">
              <w:rPr>
                <w:bCs/>
                <w:szCs w:val="24"/>
                <w:lang w:val="da-DK"/>
              </w:rPr>
              <w:t>Behandling af og profylaktisk mod tilbagevendende vaginal candidiasis (4 eller flere episoder pr. år)</w:t>
            </w:r>
          </w:p>
        </w:tc>
        <w:tc>
          <w:tcPr>
            <w:tcW w:w="1325" w:type="pct"/>
            <w:shd w:val="clear" w:color="auto" w:fill="auto"/>
            <w:vAlign w:val="center"/>
          </w:tcPr>
          <w:p w14:paraId="7CF18B7E" w14:textId="77777777" w:rsidR="00E4635B" w:rsidRPr="00133139" w:rsidRDefault="00E4635B" w:rsidP="00E64488">
            <w:pPr>
              <w:pStyle w:val="Brdtekst3"/>
              <w:jc w:val="left"/>
              <w:rPr>
                <w:bCs/>
                <w:szCs w:val="24"/>
                <w:lang w:val="da-DK"/>
              </w:rPr>
            </w:pPr>
            <w:r w:rsidRPr="00133139">
              <w:rPr>
                <w:bCs/>
                <w:szCs w:val="24"/>
                <w:lang w:val="da-DK"/>
              </w:rPr>
              <w:t>150 mg hver 3. dag i alt 3 gange (dag 1, 4 og 7) efterfulgt af 150 mg én gang ugentligt som vedligeholdelses-dosis</w:t>
            </w:r>
          </w:p>
        </w:tc>
        <w:tc>
          <w:tcPr>
            <w:tcW w:w="1534" w:type="pct"/>
            <w:shd w:val="clear" w:color="auto" w:fill="auto"/>
            <w:vAlign w:val="center"/>
          </w:tcPr>
          <w:p w14:paraId="598155CF" w14:textId="77777777" w:rsidR="00E4635B" w:rsidRPr="00133139" w:rsidRDefault="00E4635B" w:rsidP="00E64488">
            <w:pPr>
              <w:pStyle w:val="Brdtekst3"/>
              <w:jc w:val="left"/>
              <w:rPr>
                <w:bCs/>
                <w:szCs w:val="24"/>
                <w:lang w:val="da-DK"/>
              </w:rPr>
            </w:pPr>
            <w:r w:rsidRPr="00133139">
              <w:rPr>
                <w:bCs/>
                <w:szCs w:val="24"/>
                <w:lang w:val="da-DK"/>
              </w:rPr>
              <w:t>Vedligeholdelsesdosis:</w:t>
            </w:r>
            <w:r w:rsidRPr="00133139">
              <w:rPr>
                <w:bCs/>
                <w:szCs w:val="24"/>
                <w:lang w:val="da-DK"/>
              </w:rPr>
              <w:br/>
              <w:t xml:space="preserve">6 måneder. </w:t>
            </w:r>
          </w:p>
        </w:tc>
      </w:tr>
      <w:tr w:rsidR="00E4635B" w:rsidRPr="00133139" w14:paraId="193537C9" w14:textId="77777777" w:rsidTr="00E64488">
        <w:tc>
          <w:tcPr>
            <w:tcW w:w="1138" w:type="pct"/>
            <w:vMerge w:val="restart"/>
            <w:shd w:val="clear" w:color="auto" w:fill="auto"/>
            <w:vAlign w:val="center"/>
          </w:tcPr>
          <w:p w14:paraId="2E926132" w14:textId="77777777" w:rsidR="00E4635B" w:rsidRPr="00133139" w:rsidRDefault="00E4635B" w:rsidP="00E64488">
            <w:pPr>
              <w:pStyle w:val="Brdtekst3"/>
              <w:jc w:val="left"/>
              <w:rPr>
                <w:b/>
                <w:bCs/>
                <w:szCs w:val="24"/>
                <w:lang w:val="da-DK"/>
              </w:rPr>
            </w:pPr>
            <w:r w:rsidRPr="00133139">
              <w:rPr>
                <w:b/>
                <w:bCs/>
                <w:szCs w:val="24"/>
                <w:lang w:val="da-DK"/>
              </w:rPr>
              <w:t>Dermatomykoser</w:t>
            </w:r>
          </w:p>
        </w:tc>
        <w:tc>
          <w:tcPr>
            <w:tcW w:w="1003" w:type="pct"/>
            <w:shd w:val="clear" w:color="auto" w:fill="auto"/>
            <w:vAlign w:val="center"/>
          </w:tcPr>
          <w:p w14:paraId="40A7960D" w14:textId="77777777" w:rsidR="00E4635B" w:rsidRPr="009B164F" w:rsidRDefault="00E4635B" w:rsidP="00E64488">
            <w:pPr>
              <w:pStyle w:val="Brdtekst3"/>
              <w:jc w:val="left"/>
              <w:rPr>
                <w:bCs/>
                <w:i/>
                <w:szCs w:val="24"/>
                <w:lang w:val="es-ES"/>
              </w:rPr>
            </w:pPr>
            <w:r w:rsidRPr="009B164F">
              <w:rPr>
                <w:bCs/>
                <w:szCs w:val="24"/>
                <w:lang w:val="es-ES"/>
              </w:rPr>
              <w:t>Tinea pedis</w:t>
            </w:r>
          </w:p>
          <w:p w14:paraId="78345739" w14:textId="77777777" w:rsidR="00E4635B" w:rsidRPr="009B164F" w:rsidRDefault="00E4635B" w:rsidP="00E64488">
            <w:pPr>
              <w:pStyle w:val="Brdtekst3"/>
              <w:jc w:val="left"/>
              <w:rPr>
                <w:bCs/>
                <w:i/>
                <w:szCs w:val="24"/>
                <w:lang w:val="es-ES"/>
              </w:rPr>
            </w:pPr>
            <w:r w:rsidRPr="009B164F">
              <w:rPr>
                <w:bCs/>
                <w:szCs w:val="24"/>
                <w:lang w:val="es-ES"/>
              </w:rPr>
              <w:t>Tinea corporis</w:t>
            </w:r>
          </w:p>
          <w:p w14:paraId="0B031222" w14:textId="77777777" w:rsidR="00E4635B" w:rsidRPr="009B164F" w:rsidRDefault="00E4635B" w:rsidP="00E64488">
            <w:pPr>
              <w:pStyle w:val="Brdtekst3"/>
              <w:jc w:val="left"/>
              <w:rPr>
                <w:bCs/>
                <w:i/>
                <w:szCs w:val="24"/>
                <w:lang w:val="es-ES"/>
              </w:rPr>
            </w:pPr>
            <w:r w:rsidRPr="009B164F">
              <w:rPr>
                <w:bCs/>
                <w:szCs w:val="24"/>
                <w:lang w:val="es-ES"/>
              </w:rPr>
              <w:t>Tinea cruris</w:t>
            </w:r>
          </w:p>
          <w:p w14:paraId="0FDB4F89" w14:textId="77777777" w:rsidR="00E4635B" w:rsidRPr="00133139" w:rsidRDefault="00E4635B" w:rsidP="00E64488">
            <w:pPr>
              <w:pStyle w:val="Brdtekst3"/>
              <w:jc w:val="left"/>
              <w:rPr>
                <w:bCs/>
                <w:szCs w:val="24"/>
              </w:rPr>
            </w:pPr>
            <w:r w:rsidRPr="00133139">
              <w:rPr>
                <w:bCs/>
                <w:i/>
                <w:szCs w:val="24"/>
              </w:rPr>
              <w:t>Candida-</w:t>
            </w:r>
            <w:r w:rsidRPr="00133139">
              <w:rPr>
                <w:bCs/>
                <w:szCs w:val="24"/>
              </w:rPr>
              <w:t>infektioner</w:t>
            </w:r>
          </w:p>
        </w:tc>
        <w:tc>
          <w:tcPr>
            <w:tcW w:w="1325" w:type="pct"/>
            <w:shd w:val="clear" w:color="auto" w:fill="auto"/>
            <w:vAlign w:val="center"/>
          </w:tcPr>
          <w:p w14:paraId="6B87028C" w14:textId="77777777" w:rsidR="00E4635B" w:rsidRPr="00133139" w:rsidRDefault="00E4635B" w:rsidP="00E64488">
            <w:pPr>
              <w:pStyle w:val="Brdtekst3"/>
              <w:jc w:val="left"/>
              <w:rPr>
                <w:bCs/>
                <w:szCs w:val="24"/>
                <w:lang w:val="da-DK"/>
              </w:rPr>
            </w:pPr>
            <w:r w:rsidRPr="00133139">
              <w:rPr>
                <w:bCs/>
                <w:szCs w:val="24"/>
                <w:lang w:val="da-DK"/>
              </w:rPr>
              <w:t>150 mg én gang ugentligt eller 50 mg én gang dagligt</w:t>
            </w:r>
          </w:p>
        </w:tc>
        <w:tc>
          <w:tcPr>
            <w:tcW w:w="1534" w:type="pct"/>
            <w:shd w:val="clear" w:color="auto" w:fill="auto"/>
            <w:vAlign w:val="center"/>
          </w:tcPr>
          <w:p w14:paraId="3579B583" w14:textId="77777777" w:rsidR="00E4635B" w:rsidRPr="00133139" w:rsidRDefault="00E4635B" w:rsidP="00E64488">
            <w:pPr>
              <w:pStyle w:val="Brdtekst3"/>
              <w:jc w:val="left"/>
              <w:rPr>
                <w:bCs/>
                <w:szCs w:val="24"/>
                <w:lang w:val="da-DK"/>
              </w:rPr>
            </w:pPr>
            <w:r w:rsidRPr="00133139">
              <w:rPr>
                <w:bCs/>
                <w:szCs w:val="24"/>
                <w:lang w:val="da-DK"/>
              </w:rPr>
              <w:t>2-4 uger. Tinea pedis kan kræve op til 6 ugers behandling.</w:t>
            </w:r>
          </w:p>
        </w:tc>
      </w:tr>
      <w:tr w:rsidR="00E4635B" w:rsidRPr="00133139" w14:paraId="440B3A62" w14:textId="77777777" w:rsidTr="00E64488">
        <w:tc>
          <w:tcPr>
            <w:tcW w:w="1138" w:type="pct"/>
            <w:vMerge/>
            <w:shd w:val="clear" w:color="auto" w:fill="auto"/>
            <w:vAlign w:val="center"/>
          </w:tcPr>
          <w:p w14:paraId="29A9E1A7" w14:textId="77777777" w:rsidR="00E4635B" w:rsidRPr="00133139" w:rsidRDefault="00E4635B" w:rsidP="00E64488">
            <w:pPr>
              <w:pStyle w:val="Brdtekst3"/>
              <w:jc w:val="left"/>
              <w:rPr>
                <w:bCs/>
                <w:szCs w:val="24"/>
                <w:lang w:val="da-DK"/>
              </w:rPr>
            </w:pPr>
          </w:p>
        </w:tc>
        <w:tc>
          <w:tcPr>
            <w:tcW w:w="1003" w:type="pct"/>
            <w:vMerge w:val="restart"/>
            <w:shd w:val="clear" w:color="auto" w:fill="auto"/>
            <w:vAlign w:val="center"/>
          </w:tcPr>
          <w:p w14:paraId="75429004" w14:textId="77777777" w:rsidR="00E4635B" w:rsidRPr="00133139" w:rsidRDefault="00E4635B" w:rsidP="00E64488">
            <w:pPr>
              <w:pStyle w:val="Brdtekst3"/>
              <w:jc w:val="left"/>
              <w:rPr>
                <w:bCs/>
                <w:szCs w:val="24"/>
                <w:lang w:val="da-DK"/>
              </w:rPr>
            </w:pPr>
            <w:r w:rsidRPr="00133139">
              <w:rPr>
                <w:bCs/>
                <w:szCs w:val="24"/>
                <w:lang w:val="da-DK"/>
              </w:rPr>
              <w:t>Tinea versicolor</w:t>
            </w:r>
          </w:p>
        </w:tc>
        <w:tc>
          <w:tcPr>
            <w:tcW w:w="1325" w:type="pct"/>
            <w:shd w:val="clear" w:color="auto" w:fill="auto"/>
            <w:vAlign w:val="center"/>
          </w:tcPr>
          <w:p w14:paraId="159BED2E" w14:textId="77777777" w:rsidR="00E4635B" w:rsidRPr="00133139" w:rsidRDefault="00E4635B" w:rsidP="00E64488">
            <w:pPr>
              <w:pStyle w:val="Brdtekst3"/>
              <w:jc w:val="left"/>
              <w:rPr>
                <w:bCs/>
                <w:szCs w:val="24"/>
                <w:lang w:val="da-DK"/>
              </w:rPr>
            </w:pPr>
            <w:r w:rsidRPr="00133139">
              <w:rPr>
                <w:bCs/>
                <w:szCs w:val="24"/>
                <w:lang w:val="da-DK"/>
              </w:rPr>
              <w:t>300 mg til 400 mg én gang ugentligt</w:t>
            </w:r>
          </w:p>
        </w:tc>
        <w:tc>
          <w:tcPr>
            <w:tcW w:w="1534" w:type="pct"/>
            <w:shd w:val="clear" w:color="auto" w:fill="auto"/>
            <w:vAlign w:val="center"/>
          </w:tcPr>
          <w:p w14:paraId="19E6BDC7" w14:textId="77777777" w:rsidR="00E4635B" w:rsidRPr="00133139" w:rsidRDefault="00E4635B" w:rsidP="00E64488">
            <w:pPr>
              <w:pStyle w:val="Brdtekst3"/>
              <w:jc w:val="left"/>
              <w:rPr>
                <w:bCs/>
                <w:szCs w:val="24"/>
                <w:lang w:val="da-DK"/>
              </w:rPr>
            </w:pPr>
            <w:r w:rsidRPr="00133139">
              <w:rPr>
                <w:bCs/>
                <w:szCs w:val="24"/>
                <w:lang w:val="da-DK"/>
              </w:rPr>
              <w:t>1 til 3 uger</w:t>
            </w:r>
          </w:p>
        </w:tc>
      </w:tr>
      <w:tr w:rsidR="00E4635B" w:rsidRPr="00133139" w14:paraId="36DF6FE2" w14:textId="77777777" w:rsidTr="00E64488">
        <w:tc>
          <w:tcPr>
            <w:tcW w:w="1138" w:type="pct"/>
            <w:vMerge/>
            <w:shd w:val="clear" w:color="auto" w:fill="auto"/>
            <w:vAlign w:val="center"/>
          </w:tcPr>
          <w:p w14:paraId="7DCB9930" w14:textId="77777777" w:rsidR="00E4635B" w:rsidRPr="00133139" w:rsidRDefault="00E4635B" w:rsidP="00E64488">
            <w:pPr>
              <w:pStyle w:val="Brdtekst3"/>
              <w:jc w:val="left"/>
              <w:rPr>
                <w:bCs/>
                <w:szCs w:val="24"/>
                <w:lang w:val="da-DK"/>
              </w:rPr>
            </w:pPr>
          </w:p>
        </w:tc>
        <w:tc>
          <w:tcPr>
            <w:tcW w:w="1003" w:type="pct"/>
            <w:vMerge/>
            <w:shd w:val="clear" w:color="auto" w:fill="auto"/>
            <w:vAlign w:val="center"/>
          </w:tcPr>
          <w:p w14:paraId="06C0D39B" w14:textId="77777777" w:rsidR="00E4635B" w:rsidRPr="00133139" w:rsidRDefault="00E4635B" w:rsidP="00E64488">
            <w:pPr>
              <w:pStyle w:val="Brdtekst3"/>
              <w:jc w:val="left"/>
              <w:rPr>
                <w:bCs/>
                <w:szCs w:val="24"/>
                <w:lang w:val="da-DK"/>
              </w:rPr>
            </w:pPr>
          </w:p>
        </w:tc>
        <w:tc>
          <w:tcPr>
            <w:tcW w:w="1325" w:type="pct"/>
            <w:shd w:val="clear" w:color="auto" w:fill="auto"/>
            <w:vAlign w:val="center"/>
          </w:tcPr>
          <w:p w14:paraId="2E829CE1" w14:textId="77777777" w:rsidR="00E4635B" w:rsidRPr="00133139" w:rsidRDefault="00E4635B" w:rsidP="00E64488">
            <w:pPr>
              <w:pStyle w:val="Brdtekst3"/>
              <w:jc w:val="left"/>
              <w:rPr>
                <w:bCs/>
                <w:szCs w:val="24"/>
                <w:lang w:val="da-DK"/>
              </w:rPr>
            </w:pPr>
            <w:r w:rsidRPr="00133139">
              <w:rPr>
                <w:bCs/>
                <w:szCs w:val="24"/>
                <w:lang w:val="da-DK"/>
              </w:rPr>
              <w:t>50 mg én gang daglig</w:t>
            </w:r>
          </w:p>
        </w:tc>
        <w:tc>
          <w:tcPr>
            <w:tcW w:w="1534" w:type="pct"/>
            <w:shd w:val="clear" w:color="auto" w:fill="auto"/>
            <w:vAlign w:val="center"/>
          </w:tcPr>
          <w:p w14:paraId="63C926B9" w14:textId="77777777" w:rsidR="00E4635B" w:rsidRPr="00133139" w:rsidRDefault="00E4635B" w:rsidP="00E64488">
            <w:pPr>
              <w:pStyle w:val="Brdtekst3"/>
              <w:jc w:val="left"/>
              <w:rPr>
                <w:bCs/>
                <w:szCs w:val="24"/>
                <w:lang w:val="da-DK"/>
              </w:rPr>
            </w:pPr>
            <w:r w:rsidRPr="00133139">
              <w:rPr>
                <w:bCs/>
                <w:szCs w:val="24"/>
                <w:lang w:val="da-DK"/>
              </w:rPr>
              <w:t>2 til 4 uger</w:t>
            </w:r>
          </w:p>
        </w:tc>
      </w:tr>
      <w:tr w:rsidR="00E4635B" w:rsidRPr="00133139" w14:paraId="33C5E100" w14:textId="77777777" w:rsidTr="00E64488">
        <w:tc>
          <w:tcPr>
            <w:tcW w:w="1138" w:type="pct"/>
            <w:vMerge/>
            <w:shd w:val="clear" w:color="auto" w:fill="auto"/>
            <w:vAlign w:val="center"/>
          </w:tcPr>
          <w:p w14:paraId="34D4016D" w14:textId="77777777" w:rsidR="00E4635B" w:rsidRPr="00133139" w:rsidRDefault="00E4635B" w:rsidP="00E64488">
            <w:pPr>
              <w:pStyle w:val="Brdtekst3"/>
              <w:jc w:val="left"/>
              <w:rPr>
                <w:bCs/>
                <w:szCs w:val="24"/>
                <w:lang w:val="da-DK"/>
              </w:rPr>
            </w:pPr>
          </w:p>
        </w:tc>
        <w:tc>
          <w:tcPr>
            <w:tcW w:w="1003" w:type="pct"/>
            <w:shd w:val="clear" w:color="auto" w:fill="auto"/>
            <w:vAlign w:val="center"/>
          </w:tcPr>
          <w:p w14:paraId="444781A6" w14:textId="77777777" w:rsidR="00E4635B" w:rsidRPr="00133139" w:rsidRDefault="00E4635B" w:rsidP="00E64488">
            <w:pPr>
              <w:pStyle w:val="Brdtekst3"/>
              <w:jc w:val="left"/>
              <w:rPr>
                <w:bCs/>
                <w:i/>
                <w:szCs w:val="24"/>
                <w:lang w:val="da-DK"/>
              </w:rPr>
            </w:pPr>
            <w:r w:rsidRPr="00133139">
              <w:rPr>
                <w:bCs/>
                <w:szCs w:val="24"/>
                <w:lang w:val="da-DK"/>
              </w:rPr>
              <w:t>Tinea unguium</w:t>
            </w:r>
          </w:p>
          <w:p w14:paraId="064588FC" w14:textId="77777777" w:rsidR="00E4635B" w:rsidRPr="00133139" w:rsidRDefault="00E4635B" w:rsidP="00E64488">
            <w:pPr>
              <w:pStyle w:val="Brdtekst3"/>
              <w:jc w:val="left"/>
              <w:rPr>
                <w:bCs/>
                <w:szCs w:val="24"/>
                <w:lang w:val="da-DK"/>
              </w:rPr>
            </w:pPr>
            <w:r w:rsidRPr="00133139">
              <w:rPr>
                <w:bCs/>
                <w:szCs w:val="24"/>
                <w:lang w:val="da-DK"/>
              </w:rPr>
              <w:t>(onykomykose)</w:t>
            </w:r>
          </w:p>
        </w:tc>
        <w:tc>
          <w:tcPr>
            <w:tcW w:w="1325" w:type="pct"/>
            <w:shd w:val="clear" w:color="auto" w:fill="auto"/>
            <w:vAlign w:val="center"/>
          </w:tcPr>
          <w:p w14:paraId="34A4F08F" w14:textId="77777777" w:rsidR="00E4635B" w:rsidRPr="00133139" w:rsidRDefault="00E4635B" w:rsidP="00E64488">
            <w:pPr>
              <w:pStyle w:val="Brdtekst3"/>
              <w:jc w:val="left"/>
              <w:rPr>
                <w:bCs/>
                <w:szCs w:val="24"/>
                <w:lang w:val="da-DK"/>
              </w:rPr>
            </w:pPr>
            <w:r w:rsidRPr="00133139">
              <w:rPr>
                <w:bCs/>
                <w:szCs w:val="24"/>
                <w:lang w:val="da-DK"/>
              </w:rPr>
              <w:t>150 mg én gang ugentligt</w:t>
            </w:r>
          </w:p>
        </w:tc>
        <w:tc>
          <w:tcPr>
            <w:tcW w:w="1534" w:type="pct"/>
            <w:shd w:val="clear" w:color="auto" w:fill="auto"/>
            <w:vAlign w:val="center"/>
          </w:tcPr>
          <w:p w14:paraId="36AD5C97" w14:textId="77777777" w:rsidR="00E4635B" w:rsidRPr="00133139" w:rsidRDefault="00E4635B" w:rsidP="00E64488">
            <w:pPr>
              <w:pStyle w:val="Brdtekst3"/>
              <w:jc w:val="left"/>
              <w:rPr>
                <w:bCs/>
                <w:szCs w:val="24"/>
                <w:lang w:val="da-DK"/>
              </w:rPr>
            </w:pPr>
            <w:r w:rsidRPr="00133139">
              <w:rPr>
                <w:bCs/>
                <w:szCs w:val="24"/>
                <w:lang w:val="da-DK"/>
              </w:rPr>
              <w:t>Behandlingen skal fortsættes, indtil den inficerede negl er erstattet (ikke inficeret negl groet ud). Det tager normalt 3-6 måneder for en fingernegl at gro ud og 6-12 måneder for en tånegl. Væksthastigheden varierer dog meget fra person til person og med alderen. Efter en succesfuld behandling af langvarige kroniske infektioner kan neglen af og til forblive misdannet.</w:t>
            </w:r>
          </w:p>
        </w:tc>
      </w:tr>
    </w:tbl>
    <w:p w14:paraId="4955962A" w14:textId="77777777" w:rsidR="00E4635B" w:rsidRDefault="00E4635B" w:rsidP="00E4635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2"/>
        <w:gridCol w:w="1931"/>
        <w:gridCol w:w="2551"/>
        <w:gridCol w:w="2954"/>
      </w:tblGrid>
      <w:tr w:rsidR="00E4635B" w:rsidRPr="00133139" w14:paraId="219D62FB" w14:textId="77777777" w:rsidTr="00E64488">
        <w:trPr>
          <w:cantSplit/>
          <w:tblHeader/>
        </w:trPr>
        <w:tc>
          <w:tcPr>
            <w:tcW w:w="2141" w:type="pct"/>
            <w:gridSpan w:val="2"/>
            <w:shd w:val="clear" w:color="auto" w:fill="E0E0E0"/>
            <w:vAlign w:val="center"/>
          </w:tcPr>
          <w:p w14:paraId="736EA8F0" w14:textId="77777777" w:rsidR="00E4635B" w:rsidRPr="00133139" w:rsidRDefault="00E4635B" w:rsidP="00E64488">
            <w:pPr>
              <w:pStyle w:val="Brdtekst3"/>
              <w:jc w:val="left"/>
              <w:rPr>
                <w:b/>
                <w:bCs/>
                <w:szCs w:val="24"/>
                <w:lang w:val="da-DK"/>
              </w:rPr>
            </w:pPr>
            <w:r w:rsidRPr="00133139">
              <w:rPr>
                <w:b/>
                <w:bCs/>
                <w:szCs w:val="24"/>
                <w:lang w:val="da-DK"/>
              </w:rPr>
              <w:t>Indikation</w:t>
            </w:r>
          </w:p>
        </w:tc>
        <w:tc>
          <w:tcPr>
            <w:tcW w:w="1325" w:type="pct"/>
            <w:shd w:val="clear" w:color="auto" w:fill="E0E0E0"/>
            <w:vAlign w:val="center"/>
          </w:tcPr>
          <w:p w14:paraId="7753FDAA" w14:textId="77777777" w:rsidR="00E4635B" w:rsidRPr="00133139" w:rsidRDefault="00E4635B" w:rsidP="00E64488">
            <w:pPr>
              <w:pStyle w:val="Brdtekst3"/>
              <w:jc w:val="left"/>
              <w:rPr>
                <w:b/>
                <w:bCs/>
                <w:szCs w:val="24"/>
                <w:lang w:val="da-DK"/>
              </w:rPr>
            </w:pPr>
            <w:r w:rsidRPr="00133139">
              <w:rPr>
                <w:b/>
                <w:bCs/>
                <w:szCs w:val="24"/>
                <w:lang w:val="da-DK"/>
              </w:rPr>
              <w:t>Dosering</w:t>
            </w:r>
          </w:p>
        </w:tc>
        <w:tc>
          <w:tcPr>
            <w:tcW w:w="1534" w:type="pct"/>
            <w:shd w:val="clear" w:color="auto" w:fill="E0E0E0"/>
            <w:vAlign w:val="center"/>
          </w:tcPr>
          <w:p w14:paraId="6C3753F9" w14:textId="77777777" w:rsidR="00E4635B" w:rsidRPr="00133139" w:rsidRDefault="00E4635B" w:rsidP="00E64488">
            <w:pPr>
              <w:pStyle w:val="Brdtekst3"/>
              <w:jc w:val="left"/>
              <w:rPr>
                <w:b/>
                <w:bCs/>
                <w:szCs w:val="24"/>
                <w:lang w:val="da-DK"/>
              </w:rPr>
            </w:pPr>
            <w:r w:rsidRPr="00133139">
              <w:rPr>
                <w:b/>
                <w:bCs/>
                <w:szCs w:val="24"/>
                <w:lang w:val="da-DK"/>
              </w:rPr>
              <w:t>Behandlingsvarighed</w:t>
            </w:r>
          </w:p>
        </w:tc>
      </w:tr>
      <w:tr w:rsidR="00E4635B" w:rsidRPr="00133139" w14:paraId="56428DA7" w14:textId="77777777" w:rsidTr="00E64488">
        <w:tc>
          <w:tcPr>
            <w:tcW w:w="1138" w:type="pct"/>
            <w:shd w:val="clear" w:color="auto" w:fill="auto"/>
            <w:vAlign w:val="center"/>
          </w:tcPr>
          <w:p w14:paraId="2DEB03D6" w14:textId="77777777" w:rsidR="00E4635B" w:rsidRPr="00133139" w:rsidRDefault="00E4635B" w:rsidP="00E64488">
            <w:pPr>
              <w:pStyle w:val="Brdtekst3"/>
              <w:jc w:val="left"/>
              <w:rPr>
                <w:b/>
                <w:bCs/>
                <w:szCs w:val="24"/>
                <w:lang w:val="da-DK"/>
              </w:rPr>
            </w:pPr>
            <w:r w:rsidRPr="00133139">
              <w:rPr>
                <w:b/>
                <w:bCs/>
                <w:szCs w:val="24"/>
                <w:lang w:val="da-DK"/>
              </w:rPr>
              <w:t xml:space="preserve">Profylakse ved </w:t>
            </w:r>
            <w:r w:rsidRPr="00133139">
              <w:rPr>
                <w:b/>
                <w:bCs/>
                <w:i/>
                <w:szCs w:val="24"/>
                <w:lang w:val="da-DK"/>
              </w:rPr>
              <w:t>Candida</w:t>
            </w:r>
            <w:r w:rsidRPr="00133139">
              <w:rPr>
                <w:b/>
                <w:bCs/>
                <w:szCs w:val="24"/>
                <w:lang w:val="da-DK"/>
              </w:rPr>
              <w:t>-infektioner hos patienter med langvarig neutropeni</w:t>
            </w:r>
          </w:p>
        </w:tc>
        <w:tc>
          <w:tcPr>
            <w:tcW w:w="1003" w:type="pct"/>
            <w:shd w:val="clear" w:color="auto" w:fill="auto"/>
            <w:vAlign w:val="center"/>
          </w:tcPr>
          <w:p w14:paraId="2BFEFB9D" w14:textId="77777777" w:rsidR="00E4635B" w:rsidRPr="00133139" w:rsidRDefault="00E4635B" w:rsidP="00E64488">
            <w:pPr>
              <w:pStyle w:val="Brdtekst3"/>
              <w:jc w:val="left"/>
              <w:rPr>
                <w:bCs/>
                <w:szCs w:val="24"/>
                <w:lang w:val="da-DK"/>
              </w:rPr>
            </w:pPr>
          </w:p>
        </w:tc>
        <w:tc>
          <w:tcPr>
            <w:tcW w:w="1325" w:type="pct"/>
            <w:shd w:val="clear" w:color="auto" w:fill="auto"/>
            <w:vAlign w:val="center"/>
          </w:tcPr>
          <w:p w14:paraId="70078BD3" w14:textId="77777777" w:rsidR="00E4635B" w:rsidRPr="00133139" w:rsidRDefault="00E4635B" w:rsidP="00E64488">
            <w:pPr>
              <w:pStyle w:val="Brdtekst3"/>
              <w:jc w:val="left"/>
              <w:rPr>
                <w:bCs/>
                <w:szCs w:val="24"/>
                <w:lang w:val="da-DK"/>
              </w:rPr>
            </w:pPr>
            <w:r w:rsidRPr="00133139">
              <w:rPr>
                <w:bCs/>
                <w:szCs w:val="24"/>
                <w:lang w:val="da-DK"/>
              </w:rPr>
              <w:t>200 mg til 400 mg</w:t>
            </w:r>
            <w:r>
              <w:rPr>
                <w:bCs/>
                <w:szCs w:val="24"/>
                <w:lang w:val="da-DK"/>
              </w:rPr>
              <w:t xml:space="preserve"> </w:t>
            </w:r>
            <w:r w:rsidRPr="009B164F">
              <w:rPr>
                <w:spacing w:val="-3"/>
                <w:szCs w:val="22"/>
                <w:lang w:val="da-DK"/>
              </w:rPr>
              <w:t xml:space="preserve">én gang </w:t>
            </w:r>
            <w:r w:rsidRPr="00133139">
              <w:rPr>
                <w:bCs/>
                <w:szCs w:val="24"/>
                <w:lang w:val="da-DK"/>
              </w:rPr>
              <w:t>daglig</w:t>
            </w:r>
            <w:r>
              <w:rPr>
                <w:bCs/>
                <w:szCs w:val="24"/>
                <w:lang w:val="da-DK"/>
              </w:rPr>
              <w:t>t</w:t>
            </w:r>
          </w:p>
        </w:tc>
        <w:tc>
          <w:tcPr>
            <w:tcW w:w="1534" w:type="pct"/>
            <w:shd w:val="clear" w:color="auto" w:fill="auto"/>
            <w:vAlign w:val="center"/>
          </w:tcPr>
          <w:p w14:paraId="6C8C1D07" w14:textId="77777777" w:rsidR="00E4635B" w:rsidRPr="00133139" w:rsidRDefault="00E4635B" w:rsidP="00E64488">
            <w:pPr>
              <w:pStyle w:val="Brdtekst3"/>
              <w:jc w:val="left"/>
              <w:rPr>
                <w:bCs/>
                <w:szCs w:val="24"/>
                <w:lang w:val="da-DK"/>
              </w:rPr>
            </w:pPr>
            <w:r w:rsidRPr="00133139">
              <w:rPr>
                <w:bCs/>
                <w:szCs w:val="24"/>
                <w:lang w:val="da-DK"/>
              </w:rPr>
              <w:t>Behandlingen bør indledes flere dage før forventet forekomst af neutropeni og skal fortsættes i 7 dage efter patientens bedring efter neutropenien, efter neutrofiltallet er nået over 1.000 celler pr. mm</w:t>
            </w:r>
            <w:r w:rsidRPr="00133139">
              <w:rPr>
                <w:bCs/>
                <w:szCs w:val="24"/>
                <w:vertAlign w:val="superscript"/>
                <w:lang w:val="da-DK"/>
              </w:rPr>
              <w:t>3</w:t>
            </w:r>
            <w:r w:rsidRPr="00133139">
              <w:rPr>
                <w:bCs/>
                <w:szCs w:val="24"/>
                <w:lang w:val="da-DK"/>
              </w:rPr>
              <w:t>.</w:t>
            </w:r>
          </w:p>
        </w:tc>
      </w:tr>
    </w:tbl>
    <w:p w14:paraId="5241201A" w14:textId="77777777" w:rsidR="00E4635B" w:rsidRDefault="00E4635B" w:rsidP="00E4635B">
      <w:pPr>
        <w:pStyle w:val="Brdtekst3"/>
        <w:ind w:left="851" w:hanging="851"/>
        <w:jc w:val="left"/>
        <w:rPr>
          <w:b/>
          <w:bCs/>
          <w:szCs w:val="24"/>
          <w:lang w:val="da-DK"/>
        </w:rPr>
      </w:pPr>
    </w:p>
    <w:p w14:paraId="27795685" w14:textId="77777777" w:rsidR="00996A1D" w:rsidRDefault="00996A1D" w:rsidP="00E4635B">
      <w:pPr>
        <w:pStyle w:val="Brdtekst3"/>
        <w:ind w:left="851" w:hanging="851"/>
        <w:jc w:val="left"/>
        <w:rPr>
          <w:b/>
          <w:bCs/>
          <w:szCs w:val="24"/>
          <w:lang w:val="da-DK"/>
        </w:rPr>
      </w:pPr>
    </w:p>
    <w:p w14:paraId="74F8F452" w14:textId="77777777" w:rsidR="00996A1D" w:rsidRDefault="00996A1D" w:rsidP="00E4635B">
      <w:pPr>
        <w:pStyle w:val="Brdtekst3"/>
        <w:ind w:left="851" w:hanging="851"/>
        <w:jc w:val="left"/>
        <w:rPr>
          <w:b/>
          <w:bCs/>
          <w:szCs w:val="24"/>
          <w:lang w:val="da-DK"/>
        </w:rPr>
      </w:pPr>
    </w:p>
    <w:p w14:paraId="0FA2E48A" w14:textId="77777777" w:rsidR="00AE60ED" w:rsidRDefault="00AE60ED" w:rsidP="00E4635B">
      <w:pPr>
        <w:pStyle w:val="Brdtekst3"/>
        <w:ind w:left="851" w:hanging="851"/>
        <w:jc w:val="left"/>
        <w:rPr>
          <w:b/>
          <w:bCs/>
          <w:szCs w:val="24"/>
          <w:lang w:val="da-DK"/>
        </w:rPr>
      </w:pPr>
    </w:p>
    <w:p w14:paraId="11F45B8D" w14:textId="77777777" w:rsidR="00AE60ED" w:rsidRPr="00133139" w:rsidRDefault="00AE60ED" w:rsidP="00E4635B">
      <w:pPr>
        <w:pStyle w:val="Brdtekst3"/>
        <w:ind w:left="851" w:hanging="851"/>
        <w:jc w:val="left"/>
        <w:rPr>
          <w:b/>
          <w:bCs/>
          <w:szCs w:val="24"/>
          <w:lang w:val="da-DK"/>
        </w:rPr>
      </w:pPr>
    </w:p>
    <w:p w14:paraId="0DC1DCFC" w14:textId="77777777" w:rsidR="00E4635B" w:rsidRPr="00133139" w:rsidRDefault="00E4635B" w:rsidP="00E4635B">
      <w:pPr>
        <w:pStyle w:val="Brdtekst3"/>
        <w:ind w:left="851"/>
        <w:jc w:val="left"/>
        <w:rPr>
          <w:b/>
          <w:bCs/>
          <w:szCs w:val="24"/>
          <w:u w:val="single"/>
          <w:lang w:val="da-DK"/>
        </w:rPr>
      </w:pPr>
      <w:r w:rsidRPr="00133139">
        <w:rPr>
          <w:b/>
          <w:bCs/>
          <w:szCs w:val="24"/>
          <w:u w:val="single"/>
          <w:lang w:val="da-DK"/>
        </w:rPr>
        <w:lastRenderedPageBreak/>
        <w:t>Særlige patientgrupper</w:t>
      </w:r>
      <w:r w:rsidRPr="00133139" w:rsidDel="00DB7C74">
        <w:rPr>
          <w:b/>
          <w:bCs/>
          <w:szCs w:val="24"/>
          <w:u w:val="single"/>
          <w:lang w:val="da-DK"/>
        </w:rPr>
        <w:t xml:space="preserve"> </w:t>
      </w:r>
    </w:p>
    <w:p w14:paraId="6147784D" w14:textId="77777777" w:rsidR="00E4635B" w:rsidRPr="00133139" w:rsidRDefault="00E4635B" w:rsidP="00E4635B">
      <w:pPr>
        <w:pStyle w:val="Brdtekst3"/>
        <w:ind w:left="851" w:hanging="851"/>
        <w:jc w:val="left"/>
        <w:rPr>
          <w:b/>
          <w:bCs/>
          <w:szCs w:val="24"/>
          <w:u w:val="single"/>
          <w:lang w:val="da-DK"/>
        </w:rPr>
      </w:pPr>
    </w:p>
    <w:p w14:paraId="0DDF0A20" w14:textId="77777777" w:rsidR="00E4635B" w:rsidRPr="00133139" w:rsidRDefault="00E4635B" w:rsidP="00E4635B">
      <w:pPr>
        <w:pStyle w:val="Brdtekst3"/>
        <w:ind w:left="851"/>
        <w:jc w:val="left"/>
        <w:rPr>
          <w:bCs/>
          <w:szCs w:val="24"/>
          <w:u w:val="single"/>
          <w:lang w:val="da-DK"/>
        </w:rPr>
      </w:pPr>
      <w:r w:rsidRPr="00133139">
        <w:rPr>
          <w:bCs/>
          <w:szCs w:val="24"/>
          <w:u w:val="single"/>
          <w:lang w:val="da-DK"/>
        </w:rPr>
        <w:t>Ældre</w:t>
      </w:r>
    </w:p>
    <w:p w14:paraId="40943389" w14:textId="77777777" w:rsidR="00E4635B" w:rsidRPr="00133139" w:rsidRDefault="00E4635B" w:rsidP="00E4635B">
      <w:pPr>
        <w:pStyle w:val="Brdtekst3"/>
        <w:ind w:left="851"/>
        <w:jc w:val="left"/>
        <w:rPr>
          <w:bCs/>
          <w:szCs w:val="24"/>
          <w:lang w:val="da-DK"/>
        </w:rPr>
      </w:pPr>
      <w:r w:rsidRPr="00133139">
        <w:rPr>
          <w:bCs/>
          <w:szCs w:val="24"/>
          <w:lang w:val="da-DK"/>
        </w:rPr>
        <w:t>Dosis skal justeres i forhold til nyrefunktionen (se ”Nedsat nyrefunktion”).</w:t>
      </w:r>
    </w:p>
    <w:p w14:paraId="1089D44E" w14:textId="77777777" w:rsidR="00E4635B" w:rsidRPr="00133139" w:rsidRDefault="00E4635B" w:rsidP="00E4635B">
      <w:pPr>
        <w:pStyle w:val="Brdtekst3"/>
        <w:ind w:left="851" w:hanging="851"/>
        <w:jc w:val="left"/>
        <w:rPr>
          <w:b/>
          <w:bCs/>
          <w:szCs w:val="24"/>
          <w:lang w:val="da-DK"/>
        </w:rPr>
      </w:pPr>
    </w:p>
    <w:p w14:paraId="12A27D65" w14:textId="77777777" w:rsidR="00E4635B" w:rsidRDefault="00E4635B" w:rsidP="00E4635B">
      <w:pPr>
        <w:pStyle w:val="Brdtekst3"/>
        <w:ind w:left="851"/>
        <w:jc w:val="left"/>
        <w:rPr>
          <w:bCs/>
          <w:szCs w:val="24"/>
          <w:u w:val="single"/>
          <w:lang w:val="da-DK"/>
        </w:rPr>
      </w:pPr>
      <w:r w:rsidRPr="00133139">
        <w:rPr>
          <w:bCs/>
          <w:szCs w:val="24"/>
          <w:u w:val="single"/>
          <w:lang w:val="da-DK"/>
        </w:rPr>
        <w:t>Nedsat nyrefunktion</w:t>
      </w:r>
    </w:p>
    <w:p w14:paraId="7EB142FC" w14:textId="77777777" w:rsidR="00E4635B" w:rsidRPr="00133139" w:rsidRDefault="00E4635B" w:rsidP="00E4635B">
      <w:pPr>
        <w:pStyle w:val="Brdtekst3"/>
        <w:ind w:left="851"/>
        <w:jc w:val="left"/>
        <w:rPr>
          <w:bCs/>
          <w:szCs w:val="24"/>
          <w:u w:val="single"/>
          <w:lang w:val="da-DK"/>
        </w:rPr>
      </w:pPr>
      <w:r w:rsidRPr="00BE639B">
        <w:rPr>
          <w:bCs/>
          <w:szCs w:val="24"/>
          <w:lang w:val="da-DK"/>
        </w:rPr>
        <w:t xml:space="preserve">Fluconazol </w:t>
      </w:r>
      <w:r w:rsidRPr="00BE639B">
        <w:rPr>
          <w:szCs w:val="22"/>
          <w:lang w:val="da-DK"/>
        </w:rPr>
        <w:t>udskilles</w:t>
      </w:r>
      <w:r w:rsidRPr="004C40D9">
        <w:rPr>
          <w:szCs w:val="22"/>
          <w:lang w:val="da-DK"/>
        </w:rPr>
        <w:t xml:space="preserve"> fortrinsvist i urinen som et uændret aktivt stof.</w:t>
      </w:r>
    </w:p>
    <w:p w14:paraId="7163BFB2" w14:textId="77777777" w:rsidR="00E4635B" w:rsidRPr="00133139" w:rsidRDefault="00E4635B" w:rsidP="00E4635B">
      <w:pPr>
        <w:pStyle w:val="Brdtekst3"/>
        <w:ind w:left="851"/>
        <w:jc w:val="left"/>
        <w:rPr>
          <w:bCs/>
          <w:szCs w:val="24"/>
          <w:lang w:val="da-DK"/>
        </w:rPr>
      </w:pPr>
      <w:r w:rsidRPr="00133139">
        <w:rPr>
          <w:bCs/>
          <w:szCs w:val="24"/>
          <w:lang w:val="da-DK"/>
        </w:rPr>
        <w:t>Dosisjustering af enkeltdosisbehandling er ikke nødvendig. Hos patienter (inklusive børn) med nedsat nyrefunktion, som skal have flere doser fluconazol, gives initialt 50-400 mg baseret på den anbefalede daglige dosis for den pågældende indikation. Efter den initiale støddosis bør daglig dosis (afhængig af indikation) baseres på følgende tabel:</w:t>
      </w:r>
    </w:p>
    <w:p w14:paraId="1ABDFD23" w14:textId="77777777" w:rsidR="00E4635B" w:rsidRPr="00133139" w:rsidRDefault="00E4635B" w:rsidP="00E4635B">
      <w:pPr>
        <w:pStyle w:val="Brdtekst3"/>
        <w:ind w:left="851" w:hanging="851"/>
        <w:jc w:val="left"/>
        <w:rPr>
          <w:bCs/>
          <w:szCs w:val="24"/>
          <w:lang w:val="da-DK"/>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4320"/>
      </w:tblGrid>
      <w:tr w:rsidR="00E4635B" w:rsidRPr="00133139" w14:paraId="0A031224" w14:textId="77777777" w:rsidTr="00E64488">
        <w:tc>
          <w:tcPr>
            <w:tcW w:w="3469" w:type="dxa"/>
            <w:vAlign w:val="center"/>
          </w:tcPr>
          <w:p w14:paraId="05A4E9BB" w14:textId="77777777" w:rsidR="00E4635B" w:rsidRPr="00133139" w:rsidRDefault="00E4635B" w:rsidP="00E64488">
            <w:pPr>
              <w:pStyle w:val="Brdtekst3"/>
              <w:jc w:val="left"/>
              <w:rPr>
                <w:bCs/>
                <w:szCs w:val="24"/>
                <w:lang w:val="da-DK"/>
              </w:rPr>
            </w:pPr>
            <w:r w:rsidRPr="00133139">
              <w:rPr>
                <w:bCs/>
                <w:szCs w:val="24"/>
                <w:lang w:val="da-DK"/>
              </w:rPr>
              <w:t>Kreatinin-clearance (ml / min)</w:t>
            </w:r>
          </w:p>
        </w:tc>
        <w:tc>
          <w:tcPr>
            <w:tcW w:w="4320" w:type="dxa"/>
            <w:vAlign w:val="center"/>
          </w:tcPr>
          <w:p w14:paraId="22A75F63" w14:textId="77777777" w:rsidR="00E4635B" w:rsidRPr="00133139" w:rsidRDefault="00E4635B" w:rsidP="00E64488">
            <w:pPr>
              <w:pStyle w:val="Brdtekst3"/>
              <w:jc w:val="left"/>
              <w:rPr>
                <w:bCs/>
                <w:szCs w:val="24"/>
                <w:lang w:val="da-DK"/>
              </w:rPr>
            </w:pPr>
            <w:r w:rsidRPr="00133139">
              <w:rPr>
                <w:bCs/>
                <w:szCs w:val="24"/>
                <w:lang w:val="da-DK"/>
              </w:rPr>
              <w:t>Procent af anbefalet dosis</w:t>
            </w:r>
          </w:p>
        </w:tc>
      </w:tr>
      <w:tr w:rsidR="00E4635B" w:rsidRPr="00133139" w14:paraId="71BF9137" w14:textId="77777777" w:rsidTr="00E64488">
        <w:tc>
          <w:tcPr>
            <w:tcW w:w="3469" w:type="dxa"/>
            <w:vAlign w:val="center"/>
          </w:tcPr>
          <w:p w14:paraId="32DB92E5" w14:textId="77777777" w:rsidR="00E4635B" w:rsidRPr="00133139" w:rsidRDefault="00E4635B" w:rsidP="00E64488">
            <w:pPr>
              <w:pStyle w:val="Brdtekst3"/>
              <w:jc w:val="left"/>
              <w:rPr>
                <w:bCs/>
                <w:szCs w:val="24"/>
                <w:lang w:val="da-DK"/>
              </w:rPr>
            </w:pPr>
            <w:r w:rsidRPr="00133139">
              <w:rPr>
                <w:bCs/>
                <w:szCs w:val="24"/>
                <w:lang w:val="da-DK"/>
              </w:rPr>
              <w:t>&gt;</w:t>
            </w:r>
            <w:r>
              <w:rPr>
                <w:bCs/>
                <w:szCs w:val="24"/>
                <w:lang w:val="da-DK"/>
              </w:rPr>
              <w:t> </w:t>
            </w:r>
            <w:r w:rsidRPr="00133139">
              <w:rPr>
                <w:bCs/>
                <w:szCs w:val="24"/>
                <w:lang w:val="da-DK"/>
              </w:rPr>
              <w:t>50</w:t>
            </w:r>
          </w:p>
        </w:tc>
        <w:tc>
          <w:tcPr>
            <w:tcW w:w="4320" w:type="dxa"/>
            <w:vAlign w:val="center"/>
          </w:tcPr>
          <w:p w14:paraId="2C9F2E4A" w14:textId="77777777" w:rsidR="00E4635B" w:rsidRPr="00133139" w:rsidRDefault="00E4635B" w:rsidP="00E64488">
            <w:pPr>
              <w:pStyle w:val="Brdtekst3"/>
              <w:jc w:val="left"/>
              <w:rPr>
                <w:bCs/>
                <w:szCs w:val="24"/>
                <w:lang w:val="da-DK"/>
              </w:rPr>
            </w:pPr>
            <w:r w:rsidRPr="00133139">
              <w:rPr>
                <w:bCs/>
                <w:szCs w:val="24"/>
                <w:lang w:val="da-DK"/>
              </w:rPr>
              <w:t>100 %</w:t>
            </w:r>
          </w:p>
        </w:tc>
      </w:tr>
      <w:tr w:rsidR="00E4635B" w:rsidRPr="00133139" w14:paraId="2D1BFAE4" w14:textId="77777777" w:rsidTr="00E64488">
        <w:tc>
          <w:tcPr>
            <w:tcW w:w="3469" w:type="dxa"/>
            <w:vAlign w:val="center"/>
          </w:tcPr>
          <w:p w14:paraId="5D32DDFE" w14:textId="77777777" w:rsidR="00E4635B" w:rsidRPr="00133139" w:rsidRDefault="00E4635B" w:rsidP="00E64488">
            <w:pPr>
              <w:pStyle w:val="Brdtekst3"/>
              <w:jc w:val="left"/>
              <w:rPr>
                <w:bCs/>
                <w:szCs w:val="24"/>
                <w:lang w:val="da-DK"/>
              </w:rPr>
            </w:pPr>
            <w:r w:rsidRPr="00133139">
              <w:rPr>
                <w:bCs/>
                <w:szCs w:val="24"/>
                <w:lang w:val="da-DK"/>
              </w:rPr>
              <w:t>≤</w:t>
            </w:r>
            <w:r>
              <w:rPr>
                <w:bCs/>
                <w:szCs w:val="24"/>
                <w:lang w:val="da-DK"/>
              </w:rPr>
              <w:t> </w:t>
            </w:r>
            <w:r w:rsidRPr="00133139">
              <w:rPr>
                <w:bCs/>
                <w:szCs w:val="24"/>
                <w:lang w:val="da-DK"/>
              </w:rPr>
              <w:t>50 (</w:t>
            </w:r>
            <w:r>
              <w:rPr>
                <w:bCs/>
                <w:szCs w:val="24"/>
                <w:lang w:val="da-DK"/>
              </w:rPr>
              <w:t>I</w:t>
            </w:r>
            <w:r w:rsidRPr="00133139">
              <w:rPr>
                <w:bCs/>
                <w:szCs w:val="24"/>
                <w:lang w:val="da-DK"/>
              </w:rPr>
              <w:t>ngen</w:t>
            </w:r>
            <w:r>
              <w:rPr>
                <w:bCs/>
                <w:szCs w:val="24"/>
                <w:lang w:val="da-DK"/>
              </w:rPr>
              <w:t xml:space="preserve"> </w:t>
            </w:r>
            <w:r>
              <w:t>hæmodialyse</w:t>
            </w:r>
            <w:r w:rsidRPr="00133139">
              <w:rPr>
                <w:bCs/>
                <w:szCs w:val="24"/>
                <w:lang w:val="da-DK"/>
              </w:rPr>
              <w:t>)</w:t>
            </w:r>
          </w:p>
        </w:tc>
        <w:tc>
          <w:tcPr>
            <w:tcW w:w="4320" w:type="dxa"/>
            <w:vAlign w:val="center"/>
          </w:tcPr>
          <w:p w14:paraId="037B5296" w14:textId="77777777" w:rsidR="00E4635B" w:rsidRPr="00133139" w:rsidRDefault="00E4635B" w:rsidP="00E64488">
            <w:pPr>
              <w:pStyle w:val="Brdtekst3"/>
              <w:jc w:val="left"/>
              <w:rPr>
                <w:bCs/>
                <w:szCs w:val="24"/>
                <w:lang w:val="da-DK"/>
              </w:rPr>
            </w:pPr>
            <w:r w:rsidRPr="00133139">
              <w:rPr>
                <w:bCs/>
                <w:szCs w:val="24"/>
                <w:lang w:val="da-DK"/>
              </w:rPr>
              <w:t>50 %</w:t>
            </w:r>
          </w:p>
        </w:tc>
      </w:tr>
      <w:tr w:rsidR="00E4635B" w:rsidRPr="00133139" w14:paraId="137B0B5B" w14:textId="77777777" w:rsidTr="00E64488">
        <w:tc>
          <w:tcPr>
            <w:tcW w:w="3469" w:type="dxa"/>
            <w:vAlign w:val="center"/>
          </w:tcPr>
          <w:p w14:paraId="2574D1B9" w14:textId="77777777" w:rsidR="00E4635B" w:rsidRPr="00133139" w:rsidRDefault="00E4635B" w:rsidP="00E64488">
            <w:pPr>
              <w:pStyle w:val="Brdtekst3"/>
              <w:jc w:val="left"/>
              <w:rPr>
                <w:bCs/>
                <w:szCs w:val="24"/>
                <w:lang w:val="da-DK"/>
              </w:rPr>
            </w:pPr>
            <w:r>
              <w:t>Hæmodialyse</w:t>
            </w:r>
            <w:r w:rsidRPr="00133139" w:rsidDel="00BE19FE">
              <w:rPr>
                <w:bCs/>
                <w:szCs w:val="24"/>
                <w:lang w:val="da-DK"/>
              </w:rPr>
              <w:t xml:space="preserve"> </w:t>
            </w:r>
          </w:p>
        </w:tc>
        <w:tc>
          <w:tcPr>
            <w:tcW w:w="4320" w:type="dxa"/>
            <w:vAlign w:val="center"/>
          </w:tcPr>
          <w:p w14:paraId="0D9E7855" w14:textId="77777777" w:rsidR="00E4635B" w:rsidRPr="00133139" w:rsidRDefault="00E4635B" w:rsidP="00E64488">
            <w:pPr>
              <w:pStyle w:val="Brdtekst3"/>
              <w:jc w:val="left"/>
              <w:rPr>
                <w:bCs/>
                <w:szCs w:val="24"/>
                <w:lang w:val="da-DK"/>
              </w:rPr>
            </w:pPr>
            <w:r w:rsidRPr="00133139">
              <w:rPr>
                <w:bCs/>
                <w:szCs w:val="24"/>
                <w:lang w:val="da-DK"/>
              </w:rPr>
              <w:t xml:space="preserve">100 % efter hver </w:t>
            </w:r>
            <w:r>
              <w:t>hæmodialyse</w:t>
            </w:r>
            <w:r w:rsidRPr="00133139" w:rsidDel="00BE19FE">
              <w:rPr>
                <w:bCs/>
                <w:szCs w:val="24"/>
                <w:lang w:val="da-DK"/>
              </w:rPr>
              <w:t xml:space="preserve"> </w:t>
            </w:r>
          </w:p>
        </w:tc>
      </w:tr>
    </w:tbl>
    <w:p w14:paraId="726F578E" w14:textId="77777777" w:rsidR="00E4635B" w:rsidRPr="00133139" w:rsidRDefault="00E4635B" w:rsidP="00E4635B">
      <w:pPr>
        <w:pStyle w:val="Brdtekst3"/>
        <w:ind w:left="851" w:hanging="851"/>
        <w:jc w:val="left"/>
        <w:rPr>
          <w:b/>
          <w:bCs/>
          <w:szCs w:val="24"/>
          <w:lang w:val="da-DK"/>
        </w:rPr>
      </w:pPr>
    </w:p>
    <w:p w14:paraId="347ED6F3" w14:textId="77777777" w:rsidR="00E4635B" w:rsidRPr="00133139" w:rsidRDefault="00E4635B" w:rsidP="00E4635B">
      <w:pPr>
        <w:pStyle w:val="Brdtekst3"/>
        <w:ind w:left="851"/>
        <w:jc w:val="left"/>
        <w:rPr>
          <w:bCs/>
          <w:szCs w:val="24"/>
          <w:lang w:val="da-DK"/>
        </w:rPr>
      </w:pPr>
      <w:r w:rsidRPr="00133139">
        <w:rPr>
          <w:bCs/>
          <w:szCs w:val="24"/>
          <w:lang w:val="da-DK"/>
        </w:rPr>
        <w:t xml:space="preserve">Patienter i </w:t>
      </w:r>
      <w:r w:rsidRPr="004C40D9">
        <w:rPr>
          <w:lang w:val="da-DK"/>
        </w:rPr>
        <w:t>hæmodialyse</w:t>
      </w:r>
      <w:r w:rsidRPr="00133139" w:rsidDel="00BE19FE">
        <w:rPr>
          <w:bCs/>
          <w:szCs w:val="24"/>
          <w:lang w:val="da-DK"/>
        </w:rPr>
        <w:t xml:space="preserve"> </w:t>
      </w:r>
      <w:r w:rsidRPr="00133139">
        <w:rPr>
          <w:bCs/>
          <w:szCs w:val="24"/>
          <w:lang w:val="da-DK"/>
        </w:rPr>
        <w:t xml:space="preserve">bør få 100 % af den anbefalede dosis efter hver </w:t>
      </w:r>
      <w:r w:rsidRPr="004C40D9">
        <w:rPr>
          <w:lang w:val="da-DK"/>
        </w:rPr>
        <w:t>hæmodialyse</w:t>
      </w:r>
      <w:r w:rsidRPr="00133139">
        <w:rPr>
          <w:bCs/>
          <w:szCs w:val="24"/>
          <w:lang w:val="da-DK"/>
        </w:rPr>
        <w:t>. På dage uden dialyse bør patienten doseres i henhold til kreatinin-clearance.</w:t>
      </w:r>
    </w:p>
    <w:p w14:paraId="01090591" w14:textId="77777777" w:rsidR="00E4635B" w:rsidRPr="00133139" w:rsidRDefault="00E4635B" w:rsidP="00E4635B">
      <w:pPr>
        <w:pStyle w:val="Brdtekst3"/>
        <w:ind w:left="851" w:hanging="851"/>
        <w:jc w:val="left"/>
        <w:rPr>
          <w:b/>
          <w:bCs/>
          <w:szCs w:val="24"/>
          <w:lang w:val="da-DK"/>
        </w:rPr>
      </w:pPr>
    </w:p>
    <w:p w14:paraId="5227449F" w14:textId="77777777" w:rsidR="00E4635B" w:rsidRPr="00133139" w:rsidRDefault="00E4635B" w:rsidP="00E4635B">
      <w:pPr>
        <w:pStyle w:val="Brdtekst3"/>
        <w:ind w:left="851"/>
        <w:jc w:val="left"/>
        <w:rPr>
          <w:bCs/>
          <w:szCs w:val="24"/>
          <w:u w:val="single"/>
          <w:lang w:val="da-DK"/>
        </w:rPr>
      </w:pPr>
      <w:r w:rsidRPr="00133139">
        <w:rPr>
          <w:bCs/>
          <w:szCs w:val="24"/>
          <w:u w:val="single"/>
          <w:lang w:val="da-DK"/>
        </w:rPr>
        <w:t>Nedsat leverfunktion</w:t>
      </w:r>
    </w:p>
    <w:p w14:paraId="47806366" w14:textId="77777777" w:rsidR="00E4635B" w:rsidRPr="00133139" w:rsidRDefault="00E4635B" w:rsidP="00E4635B">
      <w:pPr>
        <w:pStyle w:val="Brdtekst3"/>
        <w:ind w:left="851"/>
        <w:jc w:val="left"/>
        <w:rPr>
          <w:bCs/>
          <w:szCs w:val="24"/>
          <w:lang w:val="da-DK"/>
        </w:rPr>
      </w:pPr>
      <w:r w:rsidRPr="00133139">
        <w:rPr>
          <w:bCs/>
          <w:szCs w:val="24"/>
          <w:lang w:val="da-DK"/>
        </w:rPr>
        <w:t>Der er begrænsede tilgængelige data for patienter med nedsat leverfunktion. Fluconazol skal derfor administreres med forsigtighed til patienter med nedsat leverfunktion (se pkt. 4.4. og 4.8).</w:t>
      </w:r>
    </w:p>
    <w:p w14:paraId="23722AFB" w14:textId="77777777" w:rsidR="00E4635B" w:rsidRPr="00133139" w:rsidRDefault="00E4635B" w:rsidP="00E4635B">
      <w:pPr>
        <w:pStyle w:val="Brdtekst3"/>
        <w:ind w:left="851" w:hanging="851"/>
        <w:jc w:val="left"/>
        <w:rPr>
          <w:szCs w:val="24"/>
          <w:lang w:val="da-DK"/>
        </w:rPr>
      </w:pPr>
    </w:p>
    <w:p w14:paraId="6DE79A60" w14:textId="77777777" w:rsidR="00E4635B" w:rsidRPr="00133139" w:rsidRDefault="00E4635B" w:rsidP="00E4635B">
      <w:pPr>
        <w:pStyle w:val="Brdtekst3"/>
        <w:ind w:left="851"/>
        <w:jc w:val="left"/>
        <w:rPr>
          <w:b/>
          <w:bCs/>
          <w:szCs w:val="24"/>
          <w:lang w:val="da-DK"/>
        </w:rPr>
      </w:pPr>
      <w:r w:rsidRPr="00133139">
        <w:rPr>
          <w:b/>
          <w:bCs/>
          <w:szCs w:val="24"/>
          <w:lang w:val="da-DK"/>
        </w:rPr>
        <w:t>Pædiatrisk population</w:t>
      </w:r>
    </w:p>
    <w:p w14:paraId="691A41BE" w14:textId="77777777" w:rsidR="00E4635B" w:rsidRPr="00133139" w:rsidRDefault="00E4635B" w:rsidP="00E4635B">
      <w:pPr>
        <w:pStyle w:val="Brdtekst3"/>
        <w:ind w:left="851" w:hanging="851"/>
        <w:jc w:val="left"/>
        <w:rPr>
          <w:bCs/>
          <w:szCs w:val="24"/>
          <w:lang w:val="da-DK"/>
        </w:rPr>
      </w:pPr>
      <w:r>
        <w:rPr>
          <w:bCs/>
          <w:szCs w:val="24"/>
          <w:lang w:val="da-DK"/>
        </w:rPr>
        <w:tab/>
      </w:r>
      <w:r w:rsidRPr="00133139">
        <w:rPr>
          <w:bCs/>
          <w:szCs w:val="24"/>
          <w:lang w:val="da-DK"/>
        </w:rPr>
        <w:t>En maksimal daglig dosis på 400 mg bør ikke overskrides i den pædiatriske population.</w:t>
      </w:r>
    </w:p>
    <w:p w14:paraId="2F591361" w14:textId="77777777" w:rsidR="00E4635B" w:rsidRPr="00133139" w:rsidRDefault="00E4635B" w:rsidP="00E4635B">
      <w:pPr>
        <w:pStyle w:val="Brdtekst3"/>
        <w:ind w:left="851" w:hanging="851"/>
        <w:jc w:val="left"/>
        <w:rPr>
          <w:bCs/>
          <w:szCs w:val="24"/>
          <w:lang w:val="da-DK"/>
        </w:rPr>
      </w:pPr>
    </w:p>
    <w:p w14:paraId="074945A9" w14:textId="77777777" w:rsidR="00E4635B" w:rsidRPr="00BF271C" w:rsidRDefault="00E4635B" w:rsidP="00E4635B">
      <w:pPr>
        <w:pStyle w:val="Brdtekst3"/>
        <w:ind w:left="851"/>
        <w:jc w:val="left"/>
        <w:rPr>
          <w:bCs/>
          <w:szCs w:val="24"/>
          <w:lang w:val="da-DK"/>
        </w:rPr>
      </w:pPr>
      <w:r w:rsidRPr="00BF271C">
        <w:rPr>
          <w:bCs/>
          <w:szCs w:val="24"/>
          <w:lang w:val="da-DK"/>
        </w:rPr>
        <w:t>Som ved tilsvarende infektioner hos voksne afhænger behandlingens varighed af klinisk og mykologisk respons. Fluconazol Accord gives som én enkelt daglig dosis.</w:t>
      </w:r>
    </w:p>
    <w:p w14:paraId="21021A92" w14:textId="77777777" w:rsidR="00E4635B" w:rsidRPr="00BF271C" w:rsidRDefault="00E4635B" w:rsidP="00E4635B">
      <w:pPr>
        <w:pStyle w:val="Brdtekst3"/>
        <w:ind w:left="851" w:hanging="851"/>
        <w:jc w:val="left"/>
        <w:rPr>
          <w:bCs/>
          <w:szCs w:val="24"/>
          <w:lang w:val="da-DK"/>
        </w:rPr>
      </w:pPr>
    </w:p>
    <w:p w14:paraId="68C21307" w14:textId="77777777" w:rsidR="00E4635B" w:rsidRPr="00A254D6" w:rsidRDefault="00E4635B" w:rsidP="00E4635B">
      <w:pPr>
        <w:pStyle w:val="Brdtekst3"/>
        <w:ind w:left="851"/>
        <w:jc w:val="left"/>
        <w:rPr>
          <w:bCs/>
          <w:szCs w:val="24"/>
          <w:lang w:val="da-DK"/>
        </w:rPr>
      </w:pPr>
      <w:r w:rsidRPr="00133139">
        <w:rPr>
          <w:bCs/>
          <w:szCs w:val="24"/>
          <w:lang w:val="da-DK"/>
        </w:rPr>
        <w:t>Til børn med nedsat nyrefunktion, se dosering under ”Nedsat nyrefunktion”. Fluconazols farmakokinetik er ikke blevet undersøgt hos børn med nyreinsufficiens (se nedenfor vedrørende ”Nyfødte født til termin”, der ofte udviser primær umoden nyrefunktion).</w:t>
      </w:r>
    </w:p>
    <w:p w14:paraId="7860D206" w14:textId="77777777" w:rsidR="00E4635B" w:rsidRPr="00133139" w:rsidRDefault="00E4635B" w:rsidP="00E4635B">
      <w:pPr>
        <w:pStyle w:val="Brdtekst3"/>
        <w:ind w:left="851" w:hanging="851"/>
        <w:jc w:val="left"/>
        <w:rPr>
          <w:bCs/>
          <w:szCs w:val="24"/>
          <w:lang w:val="da-DK"/>
        </w:rPr>
      </w:pPr>
    </w:p>
    <w:p w14:paraId="35663242" w14:textId="77777777" w:rsidR="00E4635B" w:rsidRPr="00133139" w:rsidRDefault="00E4635B" w:rsidP="00E4635B">
      <w:pPr>
        <w:pStyle w:val="Brdtekst3"/>
        <w:ind w:left="851"/>
        <w:jc w:val="left"/>
        <w:rPr>
          <w:bCs/>
          <w:i/>
          <w:szCs w:val="24"/>
          <w:lang w:val="da-DK"/>
        </w:rPr>
      </w:pPr>
      <w:r w:rsidRPr="00133139">
        <w:rPr>
          <w:bCs/>
          <w:i/>
          <w:szCs w:val="24"/>
          <w:lang w:val="da-DK"/>
        </w:rPr>
        <w:t>Spædbørn, småbørn og børn (fra 28 dage til 11 år)</w:t>
      </w:r>
    </w:p>
    <w:p w14:paraId="2CA2CE0B" w14:textId="77777777" w:rsidR="00E4635B" w:rsidRPr="00133139" w:rsidRDefault="00E4635B" w:rsidP="00E4635B">
      <w:pPr>
        <w:pStyle w:val="Brdtekst3"/>
        <w:ind w:left="851" w:hanging="851"/>
        <w:jc w:val="left"/>
        <w:rPr>
          <w:bCs/>
          <w:szCs w:val="24"/>
          <w:lang w:val="da-DK"/>
        </w:rPr>
      </w:pPr>
    </w:p>
    <w:tbl>
      <w:tblPr>
        <w:tblW w:w="451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574"/>
        <w:gridCol w:w="3207"/>
      </w:tblGrid>
      <w:tr w:rsidR="00E4635B" w:rsidRPr="00133139" w14:paraId="2F1A2044" w14:textId="77777777" w:rsidTr="00E64488">
        <w:trPr>
          <w:tblHeader/>
        </w:trPr>
        <w:tc>
          <w:tcPr>
            <w:tcW w:w="1674" w:type="pct"/>
            <w:shd w:val="clear" w:color="auto" w:fill="auto"/>
          </w:tcPr>
          <w:p w14:paraId="7CC73B15" w14:textId="77777777" w:rsidR="00E4635B" w:rsidRPr="00133139" w:rsidRDefault="00E4635B" w:rsidP="00E64488">
            <w:pPr>
              <w:pStyle w:val="Brdtekst3"/>
              <w:jc w:val="left"/>
              <w:rPr>
                <w:b/>
                <w:bCs/>
                <w:szCs w:val="24"/>
                <w:lang w:val="da-DK"/>
              </w:rPr>
            </w:pPr>
            <w:r w:rsidRPr="00133139">
              <w:rPr>
                <w:b/>
                <w:bCs/>
                <w:szCs w:val="24"/>
                <w:lang w:val="da-DK"/>
              </w:rPr>
              <w:t>Indikation</w:t>
            </w:r>
          </w:p>
        </w:tc>
        <w:tc>
          <w:tcPr>
            <w:tcW w:w="1481" w:type="pct"/>
            <w:shd w:val="clear" w:color="auto" w:fill="auto"/>
          </w:tcPr>
          <w:p w14:paraId="02329296" w14:textId="77777777" w:rsidR="00E4635B" w:rsidRPr="00133139" w:rsidRDefault="00E4635B" w:rsidP="00E64488">
            <w:pPr>
              <w:pStyle w:val="Brdtekst3"/>
              <w:jc w:val="left"/>
              <w:rPr>
                <w:b/>
                <w:bCs/>
                <w:szCs w:val="24"/>
                <w:lang w:val="da-DK"/>
              </w:rPr>
            </w:pPr>
            <w:r w:rsidRPr="00133139">
              <w:rPr>
                <w:b/>
                <w:bCs/>
                <w:szCs w:val="24"/>
                <w:lang w:val="da-DK"/>
              </w:rPr>
              <w:t xml:space="preserve">Dosering </w:t>
            </w:r>
          </w:p>
        </w:tc>
        <w:tc>
          <w:tcPr>
            <w:tcW w:w="1845" w:type="pct"/>
            <w:shd w:val="clear" w:color="auto" w:fill="auto"/>
          </w:tcPr>
          <w:p w14:paraId="692E4501" w14:textId="77777777" w:rsidR="00E4635B" w:rsidRPr="00133139" w:rsidRDefault="00E4635B" w:rsidP="00E64488">
            <w:pPr>
              <w:pStyle w:val="Brdtekst3"/>
              <w:jc w:val="left"/>
              <w:rPr>
                <w:b/>
                <w:bCs/>
                <w:szCs w:val="24"/>
                <w:lang w:val="da-DK"/>
              </w:rPr>
            </w:pPr>
            <w:r w:rsidRPr="00133139">
              <w:rPr>
                <w:b/>
                <w:bCs/>
                <w:szCs w:val="24"/>
                <w:lang w:val="da-DK"/>
              </w:rPr>
              <w:t>Anbefalinger</w:t>
            </w:r>
          </w:p>
        </w:tc>
      </w:tr>
      <w:tr w:rsidR="00E4635B" w:rsidRPr="00133139" w14:paraId="4CBC89F2" w14:textId="77777777" w:rsidTr="00E64488">
        <w:tc>
          <w:tcPr>
            <w:tcW w:w="1674" w:type="pct"/>
            <w:shd w:val="clear" w:color="auto" w:fill="auto"/>
          </w:tcPr>
          <w:p w14:paraId="1854A693" w14:textId="77777777" w:rsidR="00E4635B" w:rsidRPr="00133139" w:rsidRDefault="00E4635B" w:rsidP="00E64488">
            <w:pPr>
              <w:pStyle w:val="Brdtekst3"/>
              <w:jc w:val="left"/>
              <w:rPr>
                <w:bCs/>
                <w:szCs w:val="24"/>
                <w:lang w:val="da-DK"/>
              </w:rPr>
            </w:pPr>
            <w:r w:rsidRPr="00133139">
              <w:rPr>
                <w:bCs/>
                <w:szCs w:val="24"/>
                <w:lang w:val="da-DK"/>
              </w:rPr>
              <w:t>Mukøs candidiasis</w:t>
            </w:r>
          </w:p>
        </w:tc>
        <w:tc>
          <w:tcPr>
            <w:tcW w:w="1481" w:type="pct"/>
            <w:shd w:val="clear" w:color="auto" w:fill="auto"/>
          </w:tcPr>
          <w:p w14:paraId="02870F07" w14:textId="77777777" w:rsidR="00E4635B" w:rsidRPr="00133139" w:rsidRDefault="00E4635B" w:rsidP="00E64488">
            <w:pPr>
              <w:pStyle w:val="Brdtekst3"/>
              <w:jc w:val="left"/>
              <w:rPr>
                <w:bCs/>
                <w:szCs w:val="24"/>
                <w:lang w:val="da-DK"/>
              </w:rPr>
            </w:pPr>
            <w:r w:rsidRPr="00133139">
              <w:rPr>
                <w:bCs/>
                <w:szCs w:val="24"/>
                <w:lang w:val="da-DK"/>
              </w:rPr>
              <w:t>Initialdosis: 6 mg/kg</w:t>
            </w:r>
          </w:p>
          <w:p w14:paraId="125826CF" w14:textId="77777777" w:rsidR="00E4635B" w:rsidRPr="00133139" w:rsidRDefault="00E4635B" w:rsidP="00E64488">
            <w:pPr>
              <w:pStyle w:val="Brdtekst3"/>
              <w:jc w:val="left"/>
              <w:rPr>
                <w:bCs/>
                <w:szCs w:val="24"/>
                <w:lang w:val="da-DK"/>
              </w:rPr>
            </w:pPr>
            <w:r w:rsidRPr="00133139">
              <w:rPr>
                <w:bCs/>
                <w:szCs w:val="24"/>
                <w:lang w:val="da-DK"/>
              </w:rPr>
              <w:t>Efterfølgende dosis:</w:t>
            </w:r>
          </w:p>
          <w:p w14:paraId="5AD58D92" w14:textId="77777777" w:rsidR="00E4635B" w:rsidRPr="00133139" w:rsidRDefault="00E4635B" w:rsidP="00E64488">
            <w:pPr>
              <w:pStyle w:val="Brdtekst3"/>
              <w:jc w:val="left"/>
              <w:rPr>
                <w:bCs/>
                <w:szCs w:val="24"/>
                <w:lang w:val="da-DK"/>
              </w:rPr>
            </w:pPr>
            <w:r w:rsidRPr="00133139">
              <w:rPr>
                <w:bCs/>
                <w:szCs w:val="24"/>
                <w:lang w:val="da-DK"/>
              </w:rPr>
              <w:t xml:space="preserve">3 mg/kg </w:t>
            </w:r>
            <w:r w:rsidRPr="009B164F">
              <w:rPr>
                <w:spacing w:val="-3"/>
                <w:szCs w:val="22"/>
                <w:lang w:val="da-DK"/>
              </w:rPr>
              <w:t xml:space="preserve">én gang </w:t>
            </w:r>
            <w:r w:rsidRPr="00133139">
              <w:rPr>
                <w:bCs/>
                <w:szCs w:val="24"/>
                <w:lang w:val="da-DK"/>
              </w:rPr>
              <w:t>daglig</w:t>
            </w:r>
            <w:r>
              <w:rPr>
                <w:bCs/>
                <w:szCs w:val="24"/>
                <w:lang w:val="da-DK"/>
              </w:rPr>
              <w:t>t</w:t>
            </w:r>
          </w:p>
        </w:tc>
        <w:tc>
          <w:tcPr>
            <w:tcW w:w="1845" w:type="pct"/>
            <w:shd w:val="clear" w:color="auto" w:fill="auto"/>
          </w:tcPr>
          <w:p w14:paraId="4DA4F7A0" w14:textId="77777777" w:rsidR="00E4635B" w:rsidRPr="00133139" w:rsidRDefault="00E4635B" w:rsidP="00E64488">
            <w:pPr>
              <w:pStyle w:val="Brdtekst3"/>
              <w:jc w:val="left"/>
              <w:rPr>
                <w:bCs/>
                <w:szCs w:val="24"/>
                <w:lang w:val="da-DK"/>
              </w:rPr>
            </w:pPr>
            <w:r w:rsidRPr="00133139">
              <w:rPr>
                <w:bCs/>
                <w:szCs w:val="24"/>
                <w:lang w:val="da-DK"/>
              </w:rPr>
              <w:t>Initialdosis kan gives den første dag for hurtigere at opnå steady state niveau.</w:t>
            </w:r>
          </w:p>
        </w:tc>
      </w:tr>
      <w:tr w:rsidR="00E4635B" w:rsidRPr="00133139" w14:paraId="2D97E498" w14:textId="77777777" w:rsidTr="00E64488">
        <w:tc>
          <w:tcPr>
            <w:tcW w:w="1674" w:type="pct"/>
            <w:shd w:val="clear" w:color="auto" w:fill="auto"/>
          </w:tcPr>
          <w:p w14:paraId="7804D410" w14:textId="77777777" w:rsidR="00E4635B" w:rsidRPr="00133139" w:rsidRDefault="00E4635B" w:rsidP="00E64488">
            <w:pPr>
              <w:pStyle w:val="Brdtekst3"/>
              <w:jc w:val="left"/>
              <w:rPr>
                <w:bCs/>
                <w:szCs w:val="24"/>
                <w:lang w:val="da-DK"/>
              </w:rPr>
            </w:pPr>
            <w:r w:rsidRPr="00133139">
              <w:rPr>
                <w:bCs/>
                <w:szCs w:val="24"/>
                <w:lang w:val="da-DK"/>
              </w:rPr>
              <w:t>Invasiv candidiasis</w:t>
            </w:r>
          </w:p>
          <w:p w14:paraId="6C487121" w14:textId="77777777" w:rsidR="00E4635B" w:rsidRPr="00133139" w:rsidRDefault="00E4635B" w:rsidP="00E64488">
            <w:pPr>
              <w:pStyle w:val="Brdtekst3"/>
              <w:jc w:val="left"/>
              <w:rPr>
                <w:bCs/>
                <w:szCs w:val="24"/>
                <w:lang w:val="da-DK"/>
              </w:rPr>
            </w:pPr>
            <w:r w:rsidRPr="00133139">
              <w:rPr>
                <w:bCs/>
                <w:szCs w:val="24"/>
                <w:lang w:val="da-DK"/>
              </w:rPr>
              <w:t>Kryptokokmeningitis</w:t>
            </w:r>
          </w:p>
        </w:tc>
        <w:tc>
          <w:tcPr>
            <w:tcW w:w="1481" w:type="pct"/>
            <w:shd w:val="clear" w:color="auto" w:fill="auto"/>
          </w:tcPr>
          <w:p w14:paraId="322900FD" w14:textId="77777777" w:rsidR="00E4635B" w:rsidRPr="00133139" w:rsidRDefault="00E4635B" w:rsidP="00E64488">
            <w:pPr>
              <w:pStyle w:val="Brdtekst3"/>
              <w:jc w:val="left"/>
              <w:rPr>
                <w:bCs/>
                <w:szCs w:val="24"/>
                <w:lang w:val="da-DK"/>
              </w:rPr>
            </w:pPr>
            <w:r w:rsidRPr="00133139">
              <w:rPr>
                <w:bCs/>
                <w:szCs w:val="24"/>
                <w:lang w:val="da-DK"/>
              </w:rPr>
              <w:t xml:space="preserve">Dosis: 6-12 mg/kg </w:t>
            </w:r>
            <w:r w:rsidRPr="009B164F">
              <w:rPr>
                <w:spacing w:val="-3"/>
                <w:szCs w:val="22"/>
                <w:lang w:val="da-DK"/>
              </w:rPr>
              <w:t xml:space="preserve">én gang </w:t>
            </w:r>
            <w:r w:rsidRPr="00133139">
              <w:rPr>
                <w:bCs/>
                <w:szCs w:val="24"/>
                <w:lang w:val="da-DK"/>
              </w:rPr>
              <w:t>daglig</w:t>
            </w:r>
            <w:r>
              <w:rPr>
                <w:bCs/>
                <w:szCs w:val="24"/>
                <w:lang w:val="da-DK"/>
              </w:rPr>
              <w:t>t</w:t>
            </w:r>
            <w:r w:rsidRPr="00133139">
              <w:rPr>
                <w:bCs/>
                <w:szCs w:val="24"/>
                <w:lang w:val="da-DK"/>
              </w:rPr>
              <w:t xml:space="preserve"> </w:t>
            </w:r>
          </w:p>
        </w:tc>
        <w:tc>
          <w:tcPr>
            <w:tcW w:w="1845" w:type="pct"/>
            <w:shd w:val="clear" w:color="auto" w:fill="auto"/>
          </w:tcPr>
          <w:p w14:paraId="6A17C971" w14:textId="77777777" w:rsidR="00E4635B" w:rsidRPr="00133139" w:rsidRDefault="00E4635B" w:rsidP="00E64488">
            <w:pPr>
              <w:pStyle w:val="Brdtekst3"/>
              <w:jc w:val="left"/>
              <w:rPr>
                <w:bCs/>
                <w:szCs w:val="24"/>
                <w:lang w:val="da-DK"/>
              </w:rPr>
            </w:pPr>
            <w:r w:rsidRPr="00133139">
              <w:rPr>
                <w:bCs/>
                <w:szCs w:val="24"/>
                <w:lang w:val="da-DK"/>
              </w:rPr>
              <w:t>Afhængig af sygdommens sværhedsgrad.</w:t>
            </w:r>
          </w:p>
        </w:tc>
      </w:tr>
      <w:tr w:rsidR="00E4635B" w:rsidRPr="00133139" w14:paraId="53F90AA5" w14:textId="77777777" w:rsidTr="00E64488">
        <w:tc>
          <w:tcPr>
            <w:tcW w:w="1674" w:type="pct"/>
            <w:shd w:val="clear" w:color="auto" w:fill="auto"/>
          </w:tcPr>
          <w:p w14:paraId="37296E51" w14:textId="77777777" w:rsidR="00E4635B" w:rsidRPr="00133139" w:rsidRDefault="00E4635B" w:rsidP="00E64488">
            <w:pPr>
              <w:pStyle w:val="Brdtekst3"/>
              <w:jc w:val="left"/>
              <w:rPr>
                <w:bCs/>
                <w:szCs w:val="24"/>
                <w:lang w:val="da-DK"/>
              </w:rPr>
            </w:pPr>
            <w:r w:rsidRPr="00133139">
              <w:rPr>
                <w:bCs/>
                <w:szCs w:val="24"/>
                <w:lang w:val="da-DK"/>
              </w:rPr>
              <w:t>Vedligeholdelses-behandling til forebyggelse af tilbagefald af kryptokokmeningitis hos børn med høj risiko for tilbagefald.</w:t>
            </w:r>
          </w:p>
        </w:tc>
        <w:tc>
          <w:tcPr>
            <w:tcW w:w="1481" w:type="pct"/>
            <w:shd w:val="clear" w:color="auto" w:fill="auto"/>
          </w:tcPr>
          <w:p w14:paraId="4B79DDC3" w14:textId="77777777" w:rsidR="00E4635B" w:rsidRPr="00133139" w:rsidRDefault="00E4635B" w:rsidP="00E64488">
            <w:pPr>
              <w:pStyle w:val="Brdtekst3"/>
              <w:jc w:val="left"/>
              <w:rPr>
                <w:bCs/>
                <w:szCs w:val="24"/>
                <w:lang w:val="da-DK"/>
              </w:rPr>
            </w:pPr>
            <w:r w:rsidRPr="00133139">
              <w:rPr>
                <w:bCs/>
                <w:szCs w:val="24"/>
                <w:lang w:val="da-DK"/>
              </w:rPr>
              <w:t xml:space="preserve">Dosis: 6 mg/kg </w:t>
            </w:r>
            <w:r w:rsidRPr="009B164F">
              <w:rPr>
                <w:spacing w:val="-3"/>
                <w:szCs w:val="22"/>
                <w:lang w:val="da-DK"/>
              </w:rPr>
              <w:t xml:space="preserve">én gang </w:t>
            </w:r>
            <w:r w:rsidRPr="00133139">
              <w:rPr>
                <w:bCs/>
                <w:szCs w:val="24"/>
                <w:lang w:val="da-DK"/>
              </w:rPr>
              <w:t>daglig</w:t>
            </w:r>
            <w:r>
              <w:rPr>
                <w:bCs/>
                <w:szCs w:val="24"/>
                <w:lang w:val="da-DK"/>
              </w:rPr>
              <w:t>t</w:t>
            </w:r>
          </w:p>
        </w:tc>
        <w:tc>
          <w:tcPr>
            <w:tcW w:w="1845" w:type="pct"/>
            <w:shd w:val="clear" w:color="auto" w:fill="auto"/>
          </w:tcPr>
          <w:p w14:paraId="1D3D4E7E" w14:textId="77777777" w:rsidR="00E4635B" w:rsidRPr="00133139" w:rsidRDefault="00E4635B" w:rsidP="00E64488">
            <w:pPr>
              <w:pStyle w:val="Brdtekst3"/>
              <w:jc w:val="left"/>
              <w:rPr>
                <w:bCs/>
                <w:szCs w:val="24"/>
                <w:lang w:val="da-DK"/>
              </w:rPr>
            </w:pPr>
            <w:r w:rsidRPr="00133139">
              <w:rPr>
                <w:bCs/>
                <w:szCs w:val="24"/>
                <w:lang w:val="da-DK"/>
              </w:rPr>
              <w:t>Afhængig af sygdommens sværhedsgrad.</w:t>
            </w:r>
          </w:p>
        </w:tc>
      </w:tr>
      <w:tr w:rsidR="00E4635B" w:rsidRPr="00133139" w14:paraId="36739D8F" w14:textId="77777777" w:rsidTr="00E64488">
        <w:tc>
          <w:tcPr>
            <w:tcW w:w="1674" w:type="pct"/>
            <w:shd w:val="clear" w:color="auto" w:fill="auto"/>
          </w:tcPr>
          <w:p w14:paraId="141A31BD" w14:textId="77777777" w:rsidR="00E4635B" w:rsidRPr="00133139" w:rsidRDefault="00E4635B" w:rsidP="00E64488">
            <w:pPr>
              <w:pStyle w:val="Brdtekst3"/>
              <w:jc w:val="left"/>
              <w:rPr>
                <w:bCs/>
                <w:szCs w:val="24"/>
                <w:lang w:val="da-DK"/>
              </w:rPr>
            </w:pPr>
            <w:r w:rsidRPr="00133139">
              <w:rPr>
                <w:bCs/>
                <w:szCs w:val="24"/>
                <w:lang w:val="da-DK"/>
              </w:rPr>
              <w:lastRenderedPageBreak/>
              <w:t xml:space="preserve">Profylakse af </w:t>
            </w:r>
            <w:r w:rsidRPr="00133139">
              <w:rPr>
                <w:bCs/>
                <w:i/>
                <w:szCs w:val="24"/>
                <w:lang w:val="da-DK"/>
              </w:rPr>
              <w:t>Candida</w:t>
            </w:r>
            <w:r w:rsidRPr="00133139">
              <w:rPr>
                <w:bCs/>
                <w:szCs w:val="24"/>
                <w:lang w:val="da-DK"/>
              </w:rPr>
              <w:t xml:space="preserve"> hos immunsupprimerede patienter</w:t>
            </w:r>
          </w:p>
        </w:tc>
        <w:tc>
          <w:tcPr>
            <w:tcW w:w="1481" w:type="pct"/>
            <w:shd w:val="clear" w:color="auto" w:fill="auto"/>
          </w:tcPr>
          <w:p w14:paraId="4BF2D250" w14:textId="77777777" w:rsidR="00E4635B" w:rsidRPr="00133139" w:rsidRDefault="00E4635B" w:rsidP="00E64488">
            <w:pPr>
              <w:pStyle w:val="Brdtekst3"/>
              <w:jc w:val="left"/>
              <w:rPr>
                <w:bCs/>
                <w:szCs w:val="24"/>
                <w:lang w:val="da-DK"/>
              </w:rPr>
            </w:pPr>
            <w:r w:rsidRPr="00133139">
              <w:rPr>
                <w:szCs w:val="24"/>
                <w:lang w:val="da-DK"/>
              </w:rPr>
              <w:t xml:space="preserve">Dosis: 3-12 mg/kg </w:t>
            </w:r>
            <w:r w:rsidRPr="009B164F">
              <w:rPr>
                <w:spacing w:val="-3"/>
                <w:szCs w:val="22"/>
                <w:lang w:val="da-DK"/>
              </w:rPr>
              <w:t xml:space="preserve">én gang </w:t>
            </w:r>
            <w:r w:rsidRPr="00133139">
              <w:rPr>
                <w:szCs w:val="24"/>
                <w:lang w:val="da-DK"/>
              </w:rPr>
              <w:t>daglig</w:t>
            </w:r>
            <w:r>
              <w:rPr>
                <w:szCs w:val="24"/>
                <w:lang w:val="da-DK"/>
              </w:rPr>
              <w:t>t</w:t>
            </w:r>
          </w:p>
        </w:tc>
        <w:tc>
          <w:tcPr>
            <w:tcW w:w="1845" w:type="pct"/>
            <w:shd w:val="clear" w:color="auto" w:fill="auto"/>
          </w:tcPr>
          <w:p w14:paraId="3D7B18CF" w14:textId="77777777" w:rsidR="00E4635B" w:rsidRPr="00133139" w:rsidRDefault="00E4635B" w:rsidP="00E64488">
            <w:pPr>
              <w:pStyle w:val="Brdtekst3"/>
              <w:jc w:val="left"/>
              <w:rPr>
                <w:bCs/>
                <w:szCs w:val="24"/>
                <w:lang w:val="da-DK"/>
              </w:rPr>
            </w:pPr>
            <w:r w:rsidRPr="00133139">
              <w:rPr>
                <w:bCs/>
                <w:szCs w:val="24"/>
                <w:lang w:val="da-DK"/>
              </w:rPr>
              <w:t>Afhængig af sværhedsgrad og varighed af den inducerede neutropeni (se under dosering til voksne)</w:t>
            </w:r>
          </w:p>
        </w:tc>
      </w:tr>
    </w:tbl>
    <w:p w14:paraId="0C70410F" w14:textId="77777777" w:rsidR="00E4635B" w:rsidRPr="00133139" w:rsidRDefault="00E4635B" w:rsidP="00E4635B">
      <w:pPr>
        <w:pStyle w:val="Brdtekst3"/>
        <w:jc w:val="left"/>
        <w:rPr>
          <w:bCs/>
          <w:szCs w:val="24"/>
          <w:lang w:val="da-DK"/>
        </w:rPr>
      </w:pPr>
    </w:p>
    <w:p w14:paraId="497C8236" w14:textId="77777777" w:rsidR="00E4635B" w:rsidRPr="00133139" w:rsidRDefault="00E4635B" w:rsidP="00E4635B">
      <w:pPr>
        <w:pStyle w:val="Brdtekst3"/>
        <w:ind w:left="851"/>
        <w:jc w:val="left"/>
        <w:rPr>
          <w:bCs/>
          <w:i/>
          <w:szCs w:val="24"/>
          <w:lang w:val="da-DK"/>
        </w:rPr>
      </w:pPr>
      <w:r w:rsidRPr="00133139">
        <w:rPr>
          <w:bCs/>
          <w:i/>
          <w:szCs w:val="24"/>
          <w:lang w:val="da-DK"/>
        </w:rPr>
        <w:t>Unge</w:t>
      </w:r>
      <w:r w:rsidRPr="00133139">
        <w:rPr>
          <w:bCs/>
          <w:szCs w:val="24"/>
          <w:lang w:val="da-DK"/>
        </w:rPr>
        <w:t xml:space="preserve"> </w:t>
      </w:r>
      <w:r w:rsidRPr="00133139">
        <w:rPr>
          <w:bCs/>
          <w:i/>
          <w:szCs w:val="24"/>
          <w:lang w:val="da-DK"/>
        </w:rPr>
        <w:t>(fra 12 til 17 år)</w:t>
      </w:r>
    </w:p>
    <w:p w14:paraId="489C4070" w14:textId="77777777" w:rsidR="00E4635B" w:rsidRPr="00133139" w:rsidRDefault="00E4635B" w:rsidP="00E4635B">
      <w:pPr>
        <w:pStyle w:val="Brdtekst3"/>
        <w:ind w:left="851"/>
        <w:jc w:val="left"/>
        <w:rPr>
          <w:bCs/>
          <w:szCs w:val="24"/>
          <w:lang w:val="da-DK"/>
        </w:rPr>
      </w:pPr>
      <w:r w:rsidRPr="00133139">
        <w:rPr>
          <w:bCs/>
          <w:szCs w:val="24"/>
          <w:lang w:val="da-DK"/>
        </w:rPr>
        <w:t>Afhængig af vægt og pubertal udvikling vil lægen vurdere, hvilken dosering (voksne eller børn) der er mest hensigtsmæssig. Kliniske data indikerer, at børn har en højere fluconazol-clearance end den, der ses hos voksne. Doser på 100, 200 og 400 mg til voksne svarer til doser på 3, 6 og 12 mg/kg til børn for opnåelse af sammenlignelig systemiske eksponering.</w:t>
      </w:r>
    </w:p>
    <w:p w14:paraId="2D60D4F7" w14:textId="77777777" w:rsidR="00E4635B" w:rsidRPr="00133139" w:rsidRDefault="00E4635B" w:rsidP="00E4635B">
      <w:pPr>
        <w:pStyle w:val="Brdtekst3"/>
        <w:ind w:left="851" w:hanging="851"/>
        <w:jc w:val="left"/>
        <w:rPr>
          <w:i/>
          <w:iCs/>
          <w:szCs w:val="24"/>
          <w:lang w:val="da-DK"/>
        </w:rPr>
      </w:pPr>
    </w:p>
    <w:p w14:paraId="76D6DE1F" w14:textId="77777777" w:rsidR="00E4635B" w:rsidRPr="00133139" w:rsidRDefault="00E4635B" w:rsidP="00E4635B">
      <w:pPr>
        <w:pStyle w:val="Brdtekst3"/>
        <w:ind w:left="851"/>
        <w:jc w:val="left"/>
        <w:rPr>
          <w:bCs/>
          <w:szCs w:val="24"/>
          <w:lang w:val="da-DK"/>
        </w:rPr>
      </w:pPr>
      <w:r w:rsidRPr="00133139">
        <w:rPr>
          <w:bCs/>
          <w:szCs w:val="24"/>
          <w:lang w:val="da-DK"/>
        </w:rPr>
        <w:t>Sikkerhed og virkning ved indikationen genital candidiasis hos børn er ikke klarlagt. De foreliggende sikkerhedsdata for andre pædiatriske indikationer er beskrevet i afsnit 4.8. Hvis behandling af genital candidiasis hos unge (fra 12-17 år) er tvingende nødvendig, bør doseringen være den samme som til voksne.</w:t>
      </w:r>
    </w:p>
    <w:p w14:paraId="2C1435A9" w14:textId="77777777" w:rsidR="00E4635B" w:rsidRPr="00133139" w:rsidRDefault="00E4635B" w:rsidP="00E4635B">
      <w:pPr>
        <w:pStyle w:val="Brdtekst3"/>
        <w:ind w:left="851" w:hanging="851"/>
        <w:jc w:val="left"/>
        <w:rPr>
          <w:bCs/>
          <w:szCs w:val="24"/>
          <w:lang w:val="da-DK"/>
        </w:rPr>
      </w:pPr>
    </w:p>
    <w:p w14:paraId="1E5B6B8A" w14:textId="77777777" w:rsidR="00E4635B" w:rsidRPr="00133139" w:rsidRDefault="00E4635B" w:rsidP="00E4635B">
      <w:pPr>
        <w:pStyle w:val="Brdtekst3"/>
        <w:ind w:left="851"/>
        <w:jc w:val="left"/>
        <w:rPr>
          <w:bCs/>
          <w:szCs w:val="24"/>
          <w:lang w:val="da-DK"/>
        </w:rPr>
      </w:pPr>
      <w:r w:rsidRPr="00133139">
        <w:rPr>
          <w:bCs/>
          <w:i/>
          <w:szCs w:val="24"/>
          <w:lang w:val="da-DK"/>
        </w:rPr>
        <w:t>Nyfødte født til termin (0 til 27 dage)</w:t>
      </w:r>
      <w:r w:rsidRPr="00133139" w:rsidDel="00185362">
        <w:rPr>
          <w:bCs/>
          <w:szCs w:val="24"/>
          <w:lang w:val="da-DK"/>
        </w:rPr>
        <w:t xml:space="preserve"> </w:t>
      </w:r>
    </w:p>
    <w:p w14:paraId="34394A20" w14:textId="77777777" w:rsidR="00E4635B" w:rsidRPr="00133139" w:rsidRDefault="00E4635B" w:rsidP="00E4635B">
      <w:pPr>
        <w:pStyle w:val="Brdtekst3"/>
        <w:ind w:left="851"/>
        <w:jc w:val="left"/>
        <w:rPr>
          <w:bCs/>
          <w:szCs w:val="24"/>
          <w:lang w:val="da-DK"/>
        </w:rPr>
      </w:pPr>
      <w:r w:rsidRPr="00133139">
        <w:rPr>
          <w:bCs/>
          <w:szCs w:val="24"/>
          <w:lang w:val="da-DK"/>
        </w:rPr>
        <w:t xml:space="preserve">Nyfødte udskiller fluconazol langsomt. Der foreligger kun få farmakokinetiske data til at understøtte denne dosering til nyfødte (se pkt. 5.2). </w:t>
      </w:r>
    </w:p>
    <w:p w14:paraId="14DD81EC" w14:textId="77777777" w:rsidR="00E4635B" w:rsidRPr="00133139" w:rsidRDefault="00E4635B" w:rsidP="00E4635B">
      <w:pPr>
        <w:pStyle w:val="Brdtekst3"/>
        <w:ind w:left="851" w:hanging="851"/>
        <w:jc w:val="left"/>
        <w:rPr>
          <w:bCs/>
          <w:szCs w:val="24"/>
          <w:lang w:val="da-DK"/>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835"/>
        <w:gridCol w:w="2977"/>
      </w:tblGrid>
      <w:tr w:rsidR="00E4635B" w:rsidRPr="00133139" w14:paraId="3292868C" w14:textId="77777777" w:rsidTr="00E64488">
        <w:tc>
          <w:tcPr>
            <w:tcW w:w="2693" w:type="dxa"/>
            <w:shd w:val="clear" w:color="auto" w:fill="auto"/>
            <w:vAlign w:val="center"/>
          </w:tcPr>
          <w:p w14:paraId="10CDFB7A" w14:textId="77777777" w:rsidR="00E4635B" w:rsidRPr="00133139" w:rsidRDefault="00E4635B" w:rsidP="00E64488">
            <w:pPr>
              <w:pStyle w:val="Brdtekst3"/>
              <w:jc w:val="left"/>
              <w:rPr>
                <w:b/>
                <w:bCs/>
                <w:szCs w:val="24"/>
                <w:lang w:val="da-DK"/>
              </w:rPr>
            </w:pPr>
            <w:r w:rsidRPr="00133139">
              <w:rPr>
                <w:b/>
                <w:bCs/>
                <w:szCs w:val="24"/>
                <w:lang w:val="da-DK"/>
              </w:rPr>
              <w:t>Aldersgruppe</w:t>
            </w:r>
          </w:p>
        </w:tc>
        <w:tc>
          <w:tcPr>
            <w:tcW w:w="2835" w:type="dxa"/>
            <w:shd w:val="clear" w:color="auto" w:fill="auto"/>
            <w:vAlign w:val="center"/>
          </w:tcPr>
          <w:p w14:paraId="49352866" w14:textId="77777777" w:rsidR="00E4635B" w:rsidRPr="00133139" w:rsidRDefault="00E4635B" w:rsidP="00E64488">
            <w:pPr>
              <w:pStyle w:val="Brdtekst3"/>
              <w:jc w:val="left"/>
              <w:rPr>
                <w:b/>
                <w:bCs/>
                <w:szCs w:val="24"/>
                <w:lang w:val="da-DK"/>
              </w:rPr>
            </w:pPr>
            <w:r w:rsidRPr="00133139">
              <w:rPr>
                <w:b/>
                <w:bCs/>
                <w:szCs w:val="24"/>
                <w:lang w:val="da-DK"/>
              </w:rPr>
              <w:t xml:space="preserve">Dosering </w:t>
            </w:r>
          </w:p>
        </w:tc>
        <w:tc>
          <w:tcPr>
            <w:tcW w:w="2977" w:type="dxa"/>
            <w:shd w:val="clear" w:color="auto" w:fill="auto"/>
            <w:vAlign w:val="center"/>
          </w:tcPr>
          <w:p w14:paraId="175BA9EC" w14:textId="77777777" w:rsidR="00E4635B" w:rsidRPr="00133139" w:rsidRDefault="00E4635B" w:rsidP="00E64488">
            <w:pPr>
              <w:pStyle w:val="Brdtekst3"/>
              <w:jc w:val="left"/>
              <w:rPr>
                <w:b/>
                <w:bCs/>
                <w:szCs w:val="24"/>
                <w:lang w:val="da-DK"/>
              </w:rPr>
            </w:pPr>
            <w:r w:rsidRPr="00133139">
              <w:rPr>
                <w:b/>
                <w:bCs/>
                <w:szCs w:val="24"/>
                <w:lang w:val="da-DK"/>
              </w:rPr>
              <w:t>Anbefalinger</w:t>
            </w:r>
          </w:p>
        </w:tc>
      </w:tr>
      <w:tr w:rsidR="00E4635B" w:rsidRPr="00133139" w14:paraId="6E2DF139" w14:textId="77777777" w:rsidTr="00E64488">
        <w:tc>
          <w:tcPr>
            <w:tcW w:w="2693" w:type="dxa"/>
            <w:shd w:val="clear" w:color="auto" w:fill="auto"/>
            <w:vAlign w:val="center"/>
          </w:tcPr>
          <w:p w14:paraId="3A406B19" w14:textId="77777777" w:rsidR="00E4635B" w:rsidRPr="00133139" w:rsidRDefault="00E4635B" w:rsidP="00E64488">
            <w:pPr>
              <w:pStyle w:val="Brdtekst3"/>
              <w:jc w:val="left"/>
              <w:rPr>
                <w:bCs/>
                <w:szCs w:val="24"/>
                <w:lang w:val="da-DK"/>
              </w:rPr>
            </w:pPr>
            <w:r w:rsidRPr="00133139">
              <w:rPr>
                <w:szCs w:val="24"/>
                <w:lang w:val="da-DK"/>
              </w:rPr>
              <w:t>Nyfødte født til termin (0-14 dage)</w:t>
            </w:r>
          </w:p>
        </w:tc>
        <w:tc>
          <w:tcPr>
            <w:tcW w:w="2835" w:type="dxa"/>
            <w:shd w:val="clear" w:color="auto" w:fill="auto"/>
            <w:vAlign w:val="center"/>
          </w:tcPr>
          <w:p w14:paraId="54596770" w14:textId="77777777" w:rsidR="00E4635B" w:rsidRPr="00133139" w:rsidRDefault="00E4635B" w:rsidP="00E64488">
            <w:pPr>
              <w:pStyle w:val="Brdtekst3"/>
              <w:jc w:val="left"/>
              <w:rPr>
                <w:bCs/>
                <w:szCs w:val="24"/>
                <w:lang w:val="da-DK"/>
              </w:rPr>
            </w:pPr>
            <w:r w:rsidRPr="00133139">
              <w:rPr>
                <w:bCs/>
                <w:szCs w:val="24"/>
                <w:lang w:val="da-DK"/>
              </w:rPr>
              <w:t>Samme dosis mg/kg som til ældre børn, men dosis skal administreres hver 72. time.</w:t>
            </w:r>
          </w:p>
        </w:tc>
        <w:tc>
          <w:tcPr>
            <w:tcW w:w="2977" w:type="dxa"/>
            <w:shd w:val="clear" w:color="auto" w:fill="auto"/>
            <w:vAlign w:val="center"/>
          </w:tcPr>
          <w:p w14:paraId="04E206DD" w14:textId="77777777" w:rsidR="00E4635B" w:rsidRPr="00133139" w:rsidRDefault="00E4635B" w:rsidP="00E64488">
            <w:pPr>
              <w:pStyle w:val="Brdtekst3"/>
              <w:jc w:val="left"/>
              <w:rPr>
                <w:bCs/>
                <w:szCs w:val="24"/>
                <w:lang w:val="da-DK"/>
              </w:rPr>
            </w:pPr>
            <w:r w:rsidRPr="00133139">
              <w:rPr>
                <w:bCs/>
                <w:szCs w:val="24"/>
                <w:lang w:val="da-DK"/>
              </w:rPr>
              <w:t>En maksimal dosis på 12 mg/kg hvert 3. døgn bør ikke overskrides.</w:t>
            </w:r>
          </w:p>
        </w:tc>
      </w:tr>
      <w:tr w:rsidR="00E4635B" w:rsidRPr="00133139" w14:paraId="31C93C2F" w14:textId="77777777" w:rsidTr="00E64488">
        <w:tc>
          <w:tcPr>
            <w:tcW w:w="2693" w:type="dxa"/>
            <w:shd w:val="clear" w:color="auto" w:fill="auto"/>
            <w:vAlign w:val="center"/>
          </w:tcPr>
          <w:p w14:paraId="738C0699" w14:textId="77777777" w:rsidR="00E4635B" w:rsidRPr="00133139" w:rsidRDefault="00E4635B" w:rsidP="00E64488">
            <w:pPr>
              <w:pStyle w:val="Brdtekst3"/>
              <w:jc w:val="left"/>
              <w:rPr>
                <w:bCs/>
                <w:szCs w:val="24"/>
                <w:lang w:val="da-DK"/>
              </w:rPr>
            </w:pPr>
            <w:r w:rsidRPr="00133139">
              <w:rPr>
                <w:bCs/>
                <w:szCs w:val="24"/>
                <w:lang w:val="da-DK"/>
              </w:rPr>
              <w:t>Nyfødte født til termin (15-27 dage)</w:t>
            </w:r>
          </w:p>
        </w:tc>
        <w:tc>
          <w:tcPr>
            <w:tcW w:w="2835" w:type="dxa"/>
            <w:shd w:val="clear" w:color="auto" w:fill="auto"/>
            <w:vAlign w:val="center"/>
          </w:tcPr>
          <w:p w14:paraId="5DE61530" w14:textId="77777777" w:rsidR="00E4635B" w:rsidRPr="00133139" w:rsidRDefault="00E4635B" w:rsidP="00E64488">
            <w:pPr>
              <w:pStyle w:val="Brdtekst3"/>
              <w:jc w:val="left"/>
              <w:rPr>
                <w:bCs/>
                <w:szCs w:val="24"/>
                <w:lang w:val="da-DK"/>
              </w:rPr>
            </w:pPr>
            <w:r w:rsidRPr="00133139">
              <w:rPr>
                <w:bCs/>
                <w:szCs w:val="24"/>
                <w:lang w:val="da-DK"/>
              </w:rPr>
              <w:t>Samme dosis mg/kg som til ældre børn, men dosis skal administreres hver 48. time.</w:t>
            </w:r>
          </w:p>
        </w:tc>
        <w:tc>
          <w:tcPr>
            <w:tcW w:w="2977" w:type="dxa"/>
            <w:shd w:val="clear" w:color="auto" w:fill="auto"/>
            <w:vAlign w:val="center"/>
          </w:tcPr>
          <w:p w14:paraId="5EC7CB25" w14:textId="77777777" w:rsidR="00E4635B" w:rsidRPr="00133139" w:rsidRDefault="00E4635B" w:rsidP="00E64488">
            <w:pPr>
              <w:pStyle w:val="Brdtekst3"/>
              <w:jc w:val="left"/>
              <w:rPr>
                <w:bCs/>
                <w:szCs w:val="24"/>
                <w:lang w:val="da-DK"/>
              </w:rPr>
            </w:pPr>
            <w:r w:rsidRPr="00133139">
              <w:rPr>
                <w:bCs/>
                <w:szCs w:val="24"/>
                <w:lang w:val="da-DK"/>
              </w:rPr>
              <w:t>En maksimal dosis på 12 mg/kg hvert 2. døgn bør ikke overskrides.</w:t>
            </w:r>
          </w:p>
        </w:tc>
      </w:tr>
    </w:tbl>
    <w:p w14:paraId="1016A694" w14:textId="77777777" w:rsidR="00E4635B" w:rsidRPr="00133139" w:rsidRDefault="00E4635B" w:rsidP="00E4635B">
      <w:pPr>
        <w:pStyle w:val="Brdtekst3"/>
        <w:ind w:left="851" w:hanging="851"/>
        <w:jc w:val="left"/>
        <w:rPr>
          <w:bCs/>
          <w:szCs w:val="24"/>
          <w:lang w:val="da-DK"/>
        </w:rPr>
      </w:pPr>
    </w:p>
    <w:p w14:paraId="50012487" w14:textId="77777777" w:rsidR="00E4635B" w:rsidRPr="00133139" w:rsidRDefault="00E4635B" w:rsidP="00E4635B">
      <w:pPr>
        <w:pStyle w:val="Brdtekst3"/>
        <w:ind w:left="851"/>
        <w:jc w:val="left"/>
        <w:rPr>
          <w:bCs/>
          <w:szCs w:val="24"/>
          <w:u w:val="single"/>
          <w:lang w:val="da-DK"/>
        </w:rPr>
      </w:pPr>
      <w:r w:rsidRPr="00133139">
        <w:rPr>
          <w:bCs/>
          <w:szCs w:val="24"/>
          <w:u w:val="single"/>
          <w:lang w:val="da-DK"/>
        </w:rPr>
        <w:t>Administrationsmåde</w:t>
      </w:r>
    </w:p>
    <w:p w14:paraId="56E321B0" w14:textId="77777777" w:rsidR="00E4635B" w:rsidRDefault="00E4635B" w:rsidP="00E4635B">
      <w:pPr>
        <w:pStyle w:val="Brdtekst3"/>
        <w:ind w:left="851"/>
        <w:jc w:val="left"/>
        <w:rPr>
          <w:bCs/>
          <w:szCs w:val="24"/>
          <w:lang w:val="da-DK"/>
        </w:rPr>
      </w:pPr>
      <w:r w:rsidRPr="00133139">
        <w:rPr>
          <w:bCs/>
          <w:szCs w:val="24"/>
          <w:lang w:val="da-DK"/>
        </w:rPr>
        <w:t xml:space="preserve">Fluconazol kan administreres enten oralt eller ved intravenøs infusion. Indgivelsesvejen afhænger af patientens kliniske tilstand. Ved ændring af indgivelsesvejen fra intravenøs til oral eller </w:t>
      </w:r>
      <w:r w:rsidRPr="00133139">
        <w:rPr>
          <w:bCs/>
          <w:i/>
          <w:szCs w:val="24"/>
          <w:lang w:val="da-DK"/>
        </w:rPr>
        <w:t>vice versa</w:t>
      </w:r>
      <w:r w:rsidRPr="00133139">
        <w:rPr>
          <w:bCs/>
          <w:szCs w:val="24"/>
          <w:lang w:val="da-DK"/>
        </w:rPr>
        <w:t>, er det ikke nødvendigt at ændre den daglige dosis.</w:t>
      </w:r>
    </w:p>
    <w:p w14:paraId="62904430" w14:textId="77777777" w:rsidR="00E4635B" w:rsidRDefault="00E4635B" w:rsidP="00E4635B">
      <w:pPr>
        <w:pStyle w:val="Brdtekst3"/>
        <w:ind w:left="851"/>
        <w:jc w:val="left"/>
        <w:rPr>
          <w:bCs/>
          <w:szCs w:val="24"/>
          <w:lang w:val="da-DK"/>
        </w:rPr>
      </w:pPr>
    </w:p>
    <w:p w14:paraId="5394CAD1" w14:textId="77777777" w:rsidR="00E4635B" w:rsidRPr="00B45D53" w:rsidRDefault="00E4635B" w:rsidP="00E4635B">
      <w:pPr>
        <w:pStyle w:val="Brdtekst3"/>
        <w:ind w:left="851"/>
        <w:rPr>
          <w:bCs/>
          <w:szCs w:val="24"/>
          <w:lang w:val="da-DK"/>
        </w:rPr>
      </w:pPr>
      <w:r w:rsidRPr="00B45D53">
        <w:rPr>
          <w:bCs/>
          <w:szCs w:val="24"/>
          <w:lang w:val="da-DK"/>
        </w:rPr>
        <w:t>Lægen skal ordinere den mest passende lægemiddelform og -styrke i henhold til alder, vægt og dosis. Kapselformuleringen er ikke egnet til spædbørn og små børn. Der forefindes flydende formuleringer af fluconazol, som passer bedre til denne population.</w:t>
      </w:r>
    </w:p>
    <w:p w14:paraId="0E35848D" w14:textId="77777777" w:rsidR="00E4635B" w:rsidRPr="00133139" w:rsidRDefault="00E4635B" w:rsidP="00E4635B">
      <w:pPr>
        <w:pStyle w:val="Brdtekst3"/>
        <w:ind w:left="851" w:hanging="851"/>
        <w:jc w:val="left"/>
        <w:rPr>
          <w:bCs/>
          <w:szCs w:val="24"/>
          <w:lang w:val="da-DK"/>
        </w:rPr>
      </w:pPr>
    </w:p>
    <w:p w14:paraId="362AD9C8" w14:textId="77777777" w:rsidR="00E4635B" w:rsidRPr="00133139" w:rsidRDefault="00E4635B" w:rsidP="00E4635B">
      <w:pPr>
        <w:pStyle w:val="Brdtekst3"/>
        <w:ind w:left="851"/>
        <w:jc w:val="left"/>
        <w:rPr>
          <w:bCs/>
          <w:szCs w:val="24"/>
          <w:lang w:val="da-DK"/>
        </w:rPr>
      </w:pPr>
      <w:r w:rsidRPr="00133139">
        <w:rPr>
          <w:bCs/>
          <w:szCs w:val="24"/>
          <w:lang w:val="da-DK"/>
        </w:rPr>
        <w:t>Kapslerne skal synkes hele og kan tages uafhængigt af måltider.</w:t>
      </w:r>
    </w:p>
    <w:p w14:paraId="24F1AF37" w14:textId="77777777" w:rsidR="00E4635B" w:rsidRPr="00133139" w:rsidRDefault="00E4635B" w:rsidP="00E4635B">
      <w:pPr>
        <w:ind w:left="851" w:hanging="851"/>
        <w:rPr>
          <w:sz w:val="24"/>
          <w:szCs w:val="24"/>
        </w:rPr>
      </w:pPr>
    </w:p>
    <w:p w14:paraId="66DB977C" w14:textId="77777777" w:rsidR="00E4635B" w:rsidRPr="00133139" w:rsidRDefault="00E4635B" w:rsidP="00E4635B">
      <w:pPr>
        <w:numPr>
          <w:ilvl w:val="1"/>
          <w:numId w:val="1"/>
        </w:numPr>
        <w:tabs>
          <w:tab w:val="clear" w:pos="855"/>
        </w:tabs>
        <w:ind w:left="851" w:hanging="851"/>
        <w:rPr>
          <w:b/>
          <w:sz w:val="24"/>
          <w:szCs w:val="24"/>
        </w:rPr>
      </w:pPr>
      <w:r w:rsidRPr="00133139">
        <w:rPr>
          <w:b/>
          <w:sz w:val="24"/>
          <w:szCs w:val="24"/>
        </w:rPr>
        <w:t>Kontraindikationer</w:t>
      </w:r>
    </w:p>
    <w:p w14:paraId="114F6D55" w14:textId="77777777" w:rsidR="00E4635B" w:rsidRPr="00133139" w:rsidRDefault="00E4635B" w:rsidP="00E4635B">
      <w:pPr>
        <w:pStyle w:val="Brdtekst3"/>
        <w:ind w:left="851" w:hanging="851"/>
        <w:jc w:val="left"/>
        <w:rPr>
          <w:bCs/>
          <w:szCs w:val="24"/>
          <w:lang w:val="da-DK"/>
        </w:rPr>
      </w:pPr>
      <w:r w:rsidRPr="00133139">
        <w:rPr>
          <w:szCs w:val="24"/>
          <w:lang w:val="da-DK"/>
        </w:rPr>
        <w:tab/>
      </w:r>
      <w:r w:rsidRPr="00133139">
        <w:rPr>
          <w:bCs/>
          <w:szCs w:val="24"/>
          <w:lang w:val="da-DK"/>
        </w:rPr>
        <w:t>Overfølsomhed over for det aktive stof, andre azolderivater eller over for et eller flere af hjælpestofferne anført i pkt. 6.1.</w:t>
      </w:r>
    </w:p>
    <w:p w14:paraId="2F21FDF8" w14:textId="77777777" w:rsidR="00E4635B" w:rsidRPr="00133139" w:rsidRDefault="00E4635B" w:rsidP="00E4635B">
      <w:pPr>
        <w:pStyle w:val="Brdtekst3"/>
        <w:ind w:left="851" w:hanging="851"/>
        <w:jc w:val="left"/>
        <w:rPr>
          <w:bCs/>
          <w:szCs w:val="24"/>
          <w:lang w:val="da-DK"/>
        </w:rPr>
      </w:pPr>
    </w:p>
    <w:p w14:paraId="4618CD63" w14:textId="77777777" w:rsidR="00E4635B" w:rsidRPr="00133139" w:rsidRDefault="00E4635B" w:rsidP="00E4635B">
      <w:pPr>
        <w:pStyle w:val="Brdtekst3"/>
        <w:ind w:left="851"/>
        <w:jc w:val="left"/>
        <w:rPr>
          <w:bCs/>
          <w:szCs w:val="24"/>
          <w:lang w:val="da-DK"/>
        </w:rPr>
      </w:pPr>
      <w:r w:rsidRPr="00133139">
        <w:rPr>
          <w:bCs/>
          <w:szCs w:val="24"/>
          <w:lang w:val="da-DK"/>
        </w:rPr>
        <w:t xml:space="preserve">Samtidig administration af terfenadin er kontraindiceret hos patienter, som får fluconazol 400 mg dagligt eller højere i flergangsdosering, baseret på resultaterne af et interaktionsforsøg med flerdosisbehandling. Samtidig behandling med andre lægemidler, der vides at forlænge QT-intervallet, og som metaboliseres af CYP3A4, som </w:t>
      </w:r>
      <w:r>
        <w:rPr>
          <w:bCs/>
          <w:szCs w:val="24"/>
          <w:lang w:val="da-DK"/>
        </w:rPr>
        <w:t>f.eks.</w:t>
      </w:r>
      <w:r w:rsidRPr="00133139">
        <w:rPr>
          <w:bCs/>
          <w:szCs w:val="24"/>
          <w:lang w:val="da-DK"/>
        </w:rPr>
        <w:t xml:space="preserve"> </w:t>
      </w:r>
      <w:r w:rsidRPr="00133139">
        <w:rPr>
          <w:bCs/>
          <w:szCs w:val="24"/>
          <w:lang w:val="da-DK"/>
        </w:rPr>
        <w:lastRenderedPageBreak/>
        <w:t>cisaprid, astemizol, pimozid, quinidin og erythromycin er kontraindiceret hos patienter, som får fluconazol (se pkt. 4.4 og 4.5).</w:t>
      </w:r>
    </w:p>
    <w:p w14:paraId="408C34F1" w14:textId="77777777" w:rsidR="00E4635B" w:rsidRPr="00133139" w:rsidRDefault="00E4635B" w:rsidP="00E4635B">
      <w:pPr>
        <w:ind w:left="851" w:hanging="851"/>
        <w:rPr>
          <w:sz w:val="24"/>
          <w:szCs w:val="24"/>
        </w:rPr>
      </w:pPr>
    </w:p>
    <w:p w14:paraId="5DD7E38E" w14:textId="77777777" w:rsidR="00E4635B" w:rsidRPr="00133139" w:rsidRDefault="00E4635B" w:rsidP="00E4635B">
      <w:pPr>
        <w:numPr>
          <w:ilvl w:val="1"/>
          <w:numId w:val="1"/>
        </w:numPr>
        <w:tabs>
          <w:tab w:val="clear" w:pos="855"/>
        </w:tabs>
        <w:ind w:left="851" w:hanging="851"/>
        <w:rPr>
          <w:b/>
          <w:sz w:val="24"/>
          <w:szCs w:val="24"/>
        </w:rPr>
      </w:pPr>
      <w:r w:rsidRPr="00133139">
        <w:rPr>
          <w:b/>
          <w:sz w:val="24"/>
          <w:szCs w:val="24"/>
        </w:rPr>
        <w:t>Særlige advarsler og forsigtighedsregler vedrørende brugen</w:t>
      </w:r>
    </w:p>
    <w:p w14:paraId="3E41AEE7" w14:textId="77777777" w:rsidR="00E4635B" w:rsidRPr="00133139" w:rsidRDefault="00E4635B" w:rsidP="00E4635B">
      <w:pPr>
        <w:pStyle w:val="Brdtekst3"/>
        <w:ind w:left="851" w:hanging="851"/>
        <w:jc w:val="left"/>
        <w:rPr>
          <w:bCs/>
          <w:szCs w:val="24"/>
          <w:u w:val="single"/>
          <w:lang w:val="da-DK"/>
        </w:rPr>
      </w:pPr>
      <w:r w:rsidRPr="005C7DDF">
        <w:rPr>
          <w:szCs w:val="24"/>
          <w:lang w:val="da-DK"/>
        </w:rPr>
        <w:tab/>
      </w:r>
      <w:r w:rsidRPr="00133139">
        <w:rPr>
          <w:bCs/>
          <w:szCs w:val="24"/>
          <w:u w:val="single"/>
          <w:lang w:val="da-DK"/>
        </w:rPr>
        <w:t>Tinea capitis</w:t>
      </w:r>
    </w:p>
    <w:p w14:paraId="78DFB878" w14:textId="77777777" w:rsidR="00E4635B" w:rsidRPr="00133139" w:rsidRDefault="00E4635B" w:rsidP="00E4635B">
      <w:pPr>
        <w:pStyle w:val="Brdtekst3"/>
        <w:ind w:left="851"/>
        <w:jc w:val="left"/>
        <w:rPr>
          <w:szCs w:val="24"/>
          <w:lang w:val="da-DK"/>
        </w:rPr>
      </w:pPr>
      <w:r w:rsidRPr="00133139">
        <w:rPr>
          <w:szCs w:val="24"/>
          <w:lang w:val="da-DK"/>
        </w:rPr>
        <w:t>Fluconazol er blevet undersøgt til behandling af tinea capitis hos børn. Resultatet er ikke bedre end for griseofulvin, og den samlede succesrate var mindre end 20 %. Derfor bør fluconazol ikke anvendes mod tinea capitis.</w:t>
      </w:r>
    </w:p>
    <w:p w14:paraId="39B4CAA8" w14:textId="77777777" w:rsidR="00E4635B" w:rsidRPr="00133139" w:rsidRDefault="00E4635B" w:rsidP="00E4635B">
      <w:pPr>
        <w:pStyle w:val="Brdtekst3"/>
        <w:ind w:left="851" w:hanging="851"/>
        <w:jc w:val="left"/>
        <w:rPr>
          <w:szCs w:val="24"/>
          <w:lang w:val="da-DK"/>
        </w:rPr>
      </w:pPr>
    </w:p>
    <w:p w14:paraId="67CF5AA2" w14:textId="77777777" w:rsidR="00E4635B" w:rsidRPr="00133139" w:rsidRDefault="00E4635B" w:rsidP="00E4635B">
      <w:pPr>
        <w:pStyle w:val="Brdtekst3"/>
        <w:keepNext/>
        <w:ind w:left="851"/>
        <w:jc w:val="left"/>
        <w:rPr>
          <w:szCs w:val="24"/>
          <w:u w:val="single"/>
          <w:lang w:val="da-DK"/>
        </w:rPr>
      </w:pPr>
      <w:r w:rsidRPr="00133139">
        <w:rPr>
          <w:szCs w:val="24"/>
          <w:u w:val="single"/>
          <w:lang w:val="da-DK"/>
        </w:rPr>
        <w:t>Kryptokokkose</w:t>
      </w:r>
    </w:p>
    <w:p w14:paraId="18D4DD42" w14:textId="77777777" w:rsidR="00E4635B" w:rsidRPr="00133139" w:rsidRDefault="00E4635B" w:rsidP="00E4635B">
      <w:pPr>
        <w:pStyle w:val="Brdtekst3"/>
        <w:ind w:left="851"/>
        <w:jc w:val="left"/>
        <w:rPr>
          <w:szCs w:val="24"/>
          <w:lang w:val="da-DK"/>
        </w:rPr>
      </w:pPr>
      <w:r w:rsidRPr="00133139">
        <w:rPr>
          <w:szCs w:val="24"/>
          <w:lang w:val="da-DK"/>
        </w:rPr>
        <w:t>Der er begrænset bevis for fluconazols effekt ved behandling af kryptokokkose andre steder (</w:t>
      </w:r>
      <w:r>
        <w:rPr>
          <w:szCs w:val="24"/>
          <w:lang w:val="da-DK"/>
        </w:rPr>
        <w:t>f.eks.</w:t>
      </w:r>
      <w:r w:rsidRPr="00133139">
        <w:rPr>
          <w:szCs w:val="24"/>
          <w:lang w:val="da-DK"/>
        </w:rPr>
        <w:t xml:space="preserve"> pulmonal eller kutan kryptokokkose), hvorfor det ikke er muligt at give dosisanbefalinger.</w:t>
      </w:r>
    </w:p>
    <w:p w14:paraId="3938EFBD" w14:textId="77777777" w:rsidR="00E4635B" w:rsidRPr="00133139" w:rsidRDefault="00E4635B" w:rsidP="00E4635B">
      <w:pPr>
        <w:pStyle w:val="Brdtekst3"/>
        <w:ind w:left="851" w:hanging="851"/>
        <w:jc w:val="left"/>
        <w:rPr>
          <w:szCs w:val="24"/>
          <w:lang w:val="da-DK"/>
        </w:rPr>
      </w:pPr>
    </w:p>
    <w:p w14:paraId="5851F96E" w14:textId="77777777" w:rsidR="00E4635B" w:rsidRPr="00133139" w:rsidRDefault="00E4635B" w:rsidP="00E4635B">
      <w:pPr>
        <w:pStyle w:val="Brdtekst3"/>
        <w:ind w:left="851"/>
        <w:jc w:val="left"/>
        <w:rPr>
          <w:szCs w:val="24"/>
          <w:u w:val="single"/>
          <w:lang w:val="da-DK"/>
        </w:rPr>
      </w:pPr>
      <w:r w:rsidRPr="00133139">
        <w:rPr>
          <w:szCs w:val="24"/>
          <w:u w:val="single"/>
          <w:lang w:val="da-DK"/>
        </w:rPr>
        <w:t>Dyb endemisk mykose</w:t>
      </w:r>
    </w:p>
    <w:p w14:paraId="5BDACDA5" w14:textId="77777777" w:rsidR="00E4635B" w:rsidRPr="00133139" w:rsidRDefault="00E4635B" w:rsidP="00E4635B">
      <w:pPr>
        <w:pStyle w:val="Brdtekst3"/>
        <w:ind w:left="851"/>
        <w:jc w:val="left"/>
        <w:rPr>
          <w:szCs w:val="24"/>
          <w:lang w:val="da-DK"/>
        </w:rPr>
      </w:pPr>
      <w:r w:rsidRPr="00133139">
        <w:rPr>
          <w:szCs w:val="24"/>
          <w:lang w:val="da-DK"/>
        </w:rPr>
        <w:t>Der er begrænset bevis for fluconazols effekt ved behandling af andre former for endemiske mykoser såsom parakokcidioidomykose, lymfokutan</w:t>
      </w:r>
      <w:r w:rsidRPr="00133139">
        <w:rPr>
          <w:i/>
          <w:szCs w:val="24"/>
          <w:lang w:val="da-DK"/>
        </w:rPr>
        <w:t xml:space="preserve"> </w:t>
      </w:r>
      <w:r w:rsidRPr="00133139">
        <w:rPr>
          <w:szCs w:val="24"/>
          <w:lang w:val="da-DK"/>
        </w:rPr>
        <w:t>sporotrikose og histoplasmose</w:t>
      </w:r>
      <w:r w:rsidRPr="00133139">
        <w:rPr>
          <w:i/>
          <w:szCs w:val="24"/>
          <w:lang w:val="da-DK"/>
        </w:rPr>
        <w:t>,</w:t>
      </w:r>
      <w:r w:rsidRPr="00133139">
        <w:rPr>
          <w:szCs w:val="24"/>
          <w:lang w:val="da-DK"/>
        </w:rPr>
        <w:t xml:space="preserve"> hvorfor det ikke er muligt at give dosisanbefalinger.</w:t>
      </w:r>
    </w:p>
    <w:p w14:paraId="7410273A" w14:textId="77777777" w:rsidR="00E4635B" w:rsidRPr="00133139" w:rsidRDefault="00E4635B" w:rsidP="00E4635B">
      <w:pPr>
        <w:pStyle w:val="Brdtekst3"/>
        <w:ind w:left="851" w:hanging="851"/>
        <w:jc w:val="left"/>
        <w:rPr>
          <w:szCs w:val="24"/>
          <w:lang w:val="da-DK"/>
        </w:rPr>
      </w:pPr>
    </w:p>
    <w:p w14:paraId="2ABDD8AD" w14:textId="77777777" w:rsidR="00E4635B" w:rsidRDefault="00E4635B" w:rsidP="00E4635B">
      <w:pPr>
        <w:pStyle w:val="Brdtekst3"/>
        <w:ind w:left="851"/>
        <w:jc w:val="left"/>
        <w:rPr>
          <w:szCs w:val="24"/>
          <w:u w:val="single"/>
          <w:lang w:val="da-DK"/>
        </w:rPr>
      </w:pPr>
      <w:r>
        <w:rPr>
          <w:szCs w:val="24"/>
          <w:u w:val="single"/>
          <w:lang w:val="da-DK"/>
        </w:rPr>
        <w:t>Nyresystemet</w:t>
      </w:r>
    </w:p>
    <w:p w14:paraId="502E4162" w14:textId="77777777" w:rsidR="00E4635B" w:rsidRDefault="00E4635B" w:rsidP="00E4635B">
      <w:pPr>
        <w:pStyle w:val="Brdtekst3"/>
        <w:ind w:left="851"/>
        <w:jc w:val="left"/>
        <w:rPr>
          <w:szCs w:val="24"/>
          <w:lang w:val="da-DK"/>
        </w:rPr>
      </w:pPr>
      <w:r w:rsidRPr="00BF271C">
        <w:rPr>
          <w:szCs w:val="24"/>
          <w:lang w:val="da-DK"/>
        </w:rPr>
        <w:t>Fluconazol Accord bør anvendes med forsigtighed til patienter med nedsat nyrefunktion</w:t>
      </w:r>
      <w:r>
        <w:rPr>
          <w:szCs w:val="24"/>
          <w:lang w:val="da-DK"/>
        </w:rPr>
        <w:t xml:space="preserve"> (se pkt. 4.2).</w:t>
      </w:r>
    </w:p>
    <w:p w14:paraId="198F32F5" w14:textId="77777777" w:rsidR="00E4635B" w:rsidRDefault="00E4635B" w:rsidP="00E4635B">
      <w:pPr>
        <w:pStyle w:val="Brdtekst3"/>
        <w:ind w:left="851"/>
        <w:jc w:val="left"/>
        <w:rPr>
          <w:szCs w:val="24"/>
          <w:lang w:val="da-DK"/>
        </w:rPr>
      </w:pPr>
    </w:p>
    <w:p w14:paraId="25A29921" w14:textId="77777777" w:rsidR="00E4635B" w:rsidRDefault="00E4635B" w:rsidP="00E4635B">
      <w:pPr>
        <w:pStyle w:val="Brdtekst3"/>
        <w:ind w:left="851"/>
        <w:rPr>
          <w:bCs/>
          <w:szCs w:val="24"/>
          <w:u w:val="single"/>
          <w:lang w:val="da-DK"/>
        </w:rPr>
      </w:pPr>
      <w:r>
        <w:rPr>
          <w:bCs/>
          <w:szCs w:val="24"/>
          <w:u w:val="single"/>
          <w:lang w:val="da-DK"/>
        </w:rPr>
        <w:t>Binyrebarkinsufficiens</w:t>
      </w:r>
    </w:p>
    <w:p w14:paraId="69D93C56" w14:textId="77777777" w:rsidR="00E4635B" w:rsidRDefault="00E4635B" w:rsidP="00E4635B">
      <w:pPr>
        <w:pStyle w:val="Brdtekst3"/>
        <w:ind w:left="851"/>
        <w:jc w:val="left"/>
        <w:rPr>
          <w:bCs/>
          <w:szCs w:val="24"/>
          <w:lang w:val="da-DK"/>
        </w:rPr>
      </w:pPr>
      <w:r>
        <w:rPr>
          <w:bCs/>
          <w:szCs w:val="24"/>
          <w:lang w:val="da-DK"/>
        </w:rPr>
        <w:t xml:space="preserve">Ketoconazol er kendt for at forårsage binyrebarkinsufficiens, og dette kan </w:t>
      </w:r>
      <w:r w:rsidRPr="006E1686">
        <w:rPr>
          <w:bCs/>
          <w:szCs w:val="24"/>
          <w:lang w:val="da-DK"/>
        </w:rPr>
        <w:t xml:space="preserve">i </w:t>
      </w:r>
      <w:r w:rsidRPr="004C40D9">
        <w:rPr>
          <w:szCs w:val="24"/>
          <w:lang w:val="da-DK"/>
        </w:rPr>
        <w:t>sjældne tilfælde</w:t>
      </w:r>
      <w:r>
        <w:rPr>
          <w:bCs/>
          <w:szCs w:val="24"/>
          <w:lang w:val="da-DK"/>
        </w:rPr>
        <w:t xml:space="preserve"> også ses ved brug af fluconazol.</w:t>
      </w:r>
    </w:p>
    <w:p w14:paraId="4DEC95AB" w14:textId="77777777" w:rsidR="00E4635B" w:rsidRDefault="00E4635B" w:rsidP="00E4635B">
      <w:pPr>
        <w:pStyle w:val="Brdtekst3"/>
        <w:ind w:left="851"/>
        <w:jc w:val="left"/>
        <w:rPr>
          <w:bCs/>
          <w:szCs w:val="24"/>
          <w:lang w:val="da-DK"/>
        </w:rPr>
      </w:pPr>
      <w:r>
        <w:rPr>
          <w:bCs/>
          <w:szCs w:val="24"/>
          <w:lang w:val="da-DK"/>
        </w:rPr>
        <w:t>Binyrebarkinsufficiens relateret til samtidig behandling med prednison er beskrevet i pkt. 4.5, ”Fluconazols virkning på andre lægemidler”.</w:t>
      </w:r>
    </w:p>
    <w:p w14:paraId="0836A694" w14:textId="77777777" w:rsidR="00E4635B" w:rsidRDefault="00E4635B" w:rsidP="00E4635B">
      <w:pPr>
        <w:pStyle w:val="Brdtekst3"/>
        <w:ind w:left="851" w:hanging="851"/>
        <w:jc w:val="left"/>
        <w:rPr>
          <w:szCs w:val="24"/>
          <w:lang w:val="da-DK"/>
        </w:rPr>
      </w:pPr>
    </w:p>
    <w:p w14:paraId="33A12CFF" w14:textId="77777777" w:rsidR="00E4635B" w:rsidRDefault="00E4635B" w:rsidP="00E4635B">
      <w:pPr>
        <w:pStyle w:val="Brdtekst3"/>
        <w:ind w:left="851"/>
        <w:jc w:val="left"/>
        <w:rPr>
          <w:szCs w:val="24"/>
          <w:u w:val="single"/>
          <w:lang w:val="da-DK"/>
        </w:rPr>
      </w:pPr>
      <w:r>
        <w:rPr>
          <w:szCs w:val="24"/>
          <w:u w:val="single"/>
          <w:lang w:val="da-DK"/>
        </w:rPr>
        <w:t>Det hepatobiliære system</w:t>
      </w:r>
    </w:p>
    <w:p w14:paraId="4947F313" w14:textId="77777777" w:rsidR="00E4635B" w:rsidRDefault="00E4635B" w:rsidP="00E4635B">
      <w:pPr>
        <w:pStyle w:val="Brdtekst3"/>
        <w:ind w:left="851"/>
        <w:jc w:val="left"/>
        <w:rPr>
          <w:szCs w:val="24"/>
          <w:lang w:val="da-DK"/>
        </w:rPr>
      </w:pPr>
      <w:r w:rsidRPr="00BF271C">
        <w:rPr>
          <w:szCs w:val="24"/>
          <w:lang w:val="da-DK"/>
        </w:rPr>
        <w:t>Fluconazol Accord bør administreres med forsigtighed til patienter med nedsat leverfunk</w:t>
      </w:r>
      <w:r>
        <w:rPr>
          <w:szCs w:val="24"/>
          <w:lang w:val="da-DK"/>
        </w:rPr>
        <w:t>tion.</w:t>
      </w:r>
    </w:p>
    <w:p w14:paraId="684501D5" w14:textId="77777777" w:rsidR="00E4635B" w:rsidRDefault="00E4635B" w:rsidP="00E4635B">
      <w:pPr>
        <w:pStyle w:val="Brdtekst3"/>
        <w:ind w:left="851" w:hanging="851"/>
        <w:jc w:val="left"/>
        <w:rPr>
          <w:szCs w:val="24"/>
          <w:lang w:val="da-DK"/>
        </w:rPr>
      </w:pPr>
    </w:p>
    <w:p w14:paraId="3A6431BB" w14:textId="77777777" w:rsidR="00E4635B" w:rsidRDefault="00E4635B" w:rsidP="00E4635B">
      <w:pPr>
        <w:pStyle w:val="Brdtekst3"/>
        <w:ind w:left="851"/>
        <w:jc w:val="left"/>
        <w:rPr>
          <w:szCs w:val="24"/>
          <w:lang w:val="da-DK"/>
        </w:rPr>
      </w:pPr>
      <w:r>
        <w:rPr>
          <w:szCs w:val="24"/>
          <w:lang w:val="da-DK"/>
        </w:rPr>
        <w:t>Fluconazol er i sjældne tilfælde sat i forbindelse med hepatotoksicitet, herunder letale tilfælde, primært hos patienter med alvorlige underliggende sygdomme. I tilfælde med fluconazol-associeret hepatotoksicitet, er der ikke påvist nogen sammenhæng med den totale døgndosis, behandlingsvarigheden eller patientens køn eller alder. I de fleste tilfælde var fluconazol-hepatotoksiciteten reversibel efter behandlingsophør.</w:t>
      </w:r>
    </w:p>
    <w:p w14:paraId="30D4953F" w14:textId="77777777" w:rsidR="00E4635B" w:rsidRDefault="00E4635B" w:rsidP="00E4635B">
      <w:pPr>
        <w:pStyle w:val="Brdtekst3"/>
        <w:ind w:left="851" w:hanging="851"/>
        <w:jc w:val="left"/>
        <w:rPr>
          <w:szCs w:val="24"/>
          <w:lang w:val="da-DK"/>
        </w:rPr>
      </w:pPr>
    </w:p>
    <w:p w14:paraId="666E6235" w14:textId="77777777" w:rsidR="00E4635B" w:rsidRDefault="00E4635B" w:rsidP="00E4635B">
      <w:pPr>
        <w:pStyle w:val="Brdtekst3"/>
        <w:ind w:left="851"/>
        <w:jc w:val="left"/>
        <w:rPr>
          <w:szCs w:val="24"/>
          <w:lang w:val="da-DK"/>
        </w:rPr>
      </w:pPr>
      <w:r>
        <w:rPr>
          <w:szCs w:val="24"/>
          <w:lang w:val="da-DK"/>
        </w:rPr>
        <w:t xml:space="preserve">Patienter, der udvikler unormale leverfunktionsværdier under behandling med fluconazol, skal monitoreres nøje for udvikling af mere alvorlige leverskader. </w:t>
      </w:r>
    </w:p>
    <w:p w14:paraId="33BA80AB" w14:textId="77777777" w:rsidR="00E4635B" w:rsidRDefault="00E4635B" w:rsidP="00E4635B">
      <w:pPr>
        <w:pStyle w:val="Brdtekst3"/>
        <w:ind w:left="851"/>
        <w:jc w:val="left"/>
        <w:rPr>
          <w:szCs w:val="24"/>
          <w:lang w:val="da-DK"/>
        </w:rPr>
      </w:pPr>
      <w:r>
        <w:rPr>
          <w:szCs w:val="24"/>
          <w:lang w:val="da-DK"/>
        </w:rPr>
        <w:t>Patienten skal informeres om mulige tegn på alvorlig leversygdom (vigtigst asteni, anoreksi, vedvarende kvalme, opkastning og gulsot). Forekommer disse tegn, skal behandlingen straks afbrydes, og patienten skal søge læge.</w:t>
      </w:r>
    </w:p>
    <w:p w14:paraId="14E6EBCD" w14:textId="77777777" w:rsidR="00E4635B" w:rsidRDefault="00E4635B" w:rsidP="00E4635B">
      <w:pPr>
        <w:pStyle w:val="Brdtekst3"/>
        <w:ind w:left="851" w:hanging="851"/>
        <w:jc w:val="left"/>
        <w:rPr>
          <w:szCs w:val="24"/>
          <w:lang w:val="da-DK"/>
        </w:rPr>
      </w:pPr>
    </w:p>
    <w:p w14:paraId="79F0DC7A" w14:textId="77777777" w:rsidR="00E4635B" w:rsidRDefault="00E4635B" w:rsidP="00E4635B">
      <w:pPr>
        <w:pStyle w:val="Brdtekst3"/>
        <w:ind w:left="851"/>
        <w:jc w:val="left"/>
        <w:rPr>
          <w:szCs w:val="24"/>
          <w:u w:val="single"/>
          <w:lang w:val="da-DK"/>
        </w:rPr>
      </w:pPr>
      <w:r>
        <w:rPr>
          <w:szCs w:val="24"/>
          <w:u w:val="single"/>
          <w:lang w:val="da-DK"/>
        </w:rPr>
        <w:t>Det kardiovaskulære system</w:t>
      </w:r>
    </w:p>
    <w:p w14:paraId="28473FB0" w14:textId="77777777" w:rsidR="00E4635B" w:rsidRDefault="00E4635B" w:rsidP="00E4635B">
      <w:pPr>
        <w:pStyle w:val="Brdtekst3"/>
        <w:ind w:left="851"/>
        <w:jc w:val="left"/>
        <w:rPr>
          <w:szCs w:val="24"/>
          <w:lang w:val="da-DK"/>
        </w:rPr>
      </w:pPr>
      <w:r>
        <w:rPr>
          <w:szCs w:val="24"/>
          <w:lang w:val="da-DK"/>
        </w:rPr>
        <w:t xml:space="preserve">Nogle azoler, herunder fluconazol, er sat i forbindelse med forlængelse af QT-intervallet i EKG. </w:t>
      </w:r>
      <w:r>
        <w:rPr>
          <w:lang w:val="da-DK"/>
        </w:rPr>
        <w:t>Fluconazol forårsager QT-forlængelse via hæmning af den korrigerende kaliumstrøm (I</w:t>
      </w:r>
      <w:r>
        <w:rPr>
          <w:vertAlign w:val="subscript"/>
          <w:lang w:val="da-DK"/>
        </w:rPr>
        <w:t>kr</w:t>
      </w:r>
      <w:r>
        <w:rPr>
          <w:lang w:val="da-DK"/>
        </w:rPr>
        <w:t xml:space="preserve">). Den QT-forlængelse, der forårsages af andre lægemidler (såsom amiodaron), kan blive forstærket via hæmning af cytochrom P450 (CYP) 3A4. </w:t>
      </w:r>
      <w:r>
        <w:rPr>
          <w:szCs w:val="24"/>
          <w:lang w:val="da-DK"/>
        </w:rPr>
        <w:t xml:space="preserve">Efter markedsføring er der set meget sjældne tilfælde af forlængelse af QT-intervallet og </w:t>
      </w:r>
      <w:r>
        <w:rPr>
          <w:szCs w:val="24"/>
          <w:lang w:val="da-DK"/>
        </w:rPr>
        <w:lastRenderedPageBreak/>
        <w:t xml:space="preserve">torsades de pointes hos patienter, der tog Fluconazol </w:t>
      </w:r>
      <w:r>
        <w:rPr>
          <w:bCs/>
          <w:szCs w:val="24"/>
          <w:lang w:val="da-DK"/>
        </w:rPr>
        <w:t>Accord</w:t>
      </w:r>
      <w:r>
        <w:rPr>
          <w:szCs w:val="24"/>
          <w:lang w:val="da-DK"/>
        </w:rPr>
        <w:t>. Disse rapporter omfatter alvorligt syge patienter med flere sammenblandede risikofaktorer, såsom strukturel hjertesygdom, elektrolytforstyrrelser og samtidig brug af anden medicin. Patienter med hypokaliæmi og fremskredent hjertesvigt har øget risiko for forekomst af livstruende ventrikulære arytmier og torsades de pointes.</w:t>
      </w:r>
    </w:p>
    <w:p w14:paraId="50631715" w14:textId="77777777" w:rsidR="00E4635B" w:rsidRDefault="00E4635B" w:rsidP="00E4635B">
      <w:pPr>
        <w:pStyle w:val="Brdtekst3"/>
        <w:ind w:left="851" w:hanging="851"/>
        <w:jc w:val="left"/>
        <w:rPr>
          <w:szCs w:val="24"/>
          <w:lang w:val="da-DK"/>
        </w:rPr>
      </w:pPr>
    </w:p>
    <w:p w14:paraId="047959CC" w14:textId="77777777" w:rsidR="00E4635B" w:rsidRDefault="00E4635B" w:rsidP="00E4635B">
      <w:pPr>
        <w:pStyle w:val="Brdtekst3"/>
        <w:ind w:left="851"/>
        <w:jc w:val="left"/>
        <w:rPr>
          <w:szCs w:val="24"/>
          <w:lang w:val="da-DK"/>
        </w:rPr>
      </w:pPr>
      <w:r>
        <w:rPr>
          <w:szCs w:val="24"/>
          <w:lang w:val="da-DK"/>
        </w:rPr>
        <w:t xml:space="preserve">Fluconazol </w:t>
      </w:r>
      <w:r>
        <w:rPr>
          <w:bCs/>
          <w:szCs w:val="24"/>
          <w:lang w:val="da-DK"/>
        </w:rPr>
        <w:t>Accord</w:t>
      </w:r>
      <w:r>
        <w:rPr>
          <w:szCs w:val="24"/>
          <w:lang w:val="da-DK"/>
        </w:rPr>
        <w:t xml:space="preserve"> bør administreres med forsigtighed til patienter med potentielt proarytmiske tilstande. Samtidig administration af andre lægemidler, som vides at forlænge QT-intervallet, og som metaboliseres via cytochrom P450 (CYP) 3A4, er kontraindiceret (se pkt. 4.3 og 4.5).</w:t>
      </w:r>
    </w:p>
    <w:p w14:paraId="3E76A06E" w14:textId="77777777" w:rsidR="00E4635B" w:rsidRDefault="00E4635B" w:rsidP="00E4635B">
      <w:pPr>
        <w:pStyle w:val="Brdtekst3"/>
        <w:ind w:left="851" w:hanging="851"/>
        <w:jc w:val="left"/>
        <w:rPr>
          <w:i/>
          <w:szCs w:val="24"/>
          <w:u w:val="single"/>
          <w:lang w:val="da-DK"/>
        </w:rPr>
      </w:pPr>
    </w:p>
    <w:p w14:paraId="67F57413" w14:textId="77777777" w:rsidR="00E4635B" w:rsidRPr="00133139" w:rsidRDefault="00E4635B" w:rsidP="00E4635B">
      <w:pPr>
        <w:pStyle w:val="Brdtekst3"/>
        <w:ind w:left="851"/>
        <w:jc w:val="left"/>
        <w:rPr>
          <w:szCs w:val="24"/>
          <w:u w:val="single"/>
          <w:lang w:val="da-DK"/>
        </w:rPr>
      </w:pPr>
      <w:r w:rsidRPr="00133139">
        <w:rPr>
          <w:szCs w:val="24"/>
          <w:u w:val="single"/>
          <w:lang w:val="da-DK"/>
        </w:rPr>
        <w:t>Halofantrin</w:t>
      </w:r>
    </w:p>
    <w:p w14:paraId="4E72EE1E" w14:textId="77777777" w:rsidR="00E4635B" w:rsidRPr="00133139" w:rsidRDefault="00E4635B" w:rsidP="00E4635B">
      <w:pPr>
        <w:pStyle w:val="Brdtekst3"/>
        <w:ind w:left="851"/>
        <w:jc w:val="left"/>
        <w:rPr>
          <w:szCs w:val="24"/>
          <w:lang w:val="da-DK"/>
        </w:rPr>
      </w:pPr>
      <w:r w:rsidRPr="00133139">
        <w:rPr>
          <w:szCs w:val="24"/>
          <w:lang w:val="da-DK"/>
        </w:rPr>
        <w:t>Halofantrin har vist sig at forlænge QTc-intervallet i den anbefalede terapeutiske dosis, og det er et CYP3A4-substrat. Samtidig anvendelse af fluconazol og halofantrin anbefales derfor ikke (se pkt. 4.5).</w:t>
      </w:r>
    </w:p>
    <w:p w14:paraId="2A25E059" w14:textId="77777777" w:rsidR="00E4635B" w:rsidRPr="00133139" w:rsidRDefault="00E4635B" w:rsidP="00E4635B">
      <w:pPr>
        <w:pStyle w:val="Brdtekst3"/>
        <w:ind w:left="851" w:hanging="851"/>
        <w:jc w:val="left"/>
        <w:rPr>
          <w:szCs w:val="24"/>
          <w:lang w:val="da-DK"/>
        </w:rPr>
      </w:pPr>
    </w:p>
    <w:p w14:paraId="0A1C7BF2" w14:textId="77777777" w:rsidR="002B0D24" w:rsidRDefault="002B0D24" w:rsidP="002B0D24">
      <w:pPr>
        <w:pStyle w:val="Brdtekst3"/>
        <w:ind w:left="851"/>
        <w:jc w:val="left"/>
        <w:rPr>
          <w:szCs w:val="24"/>
          <w:u w:val="single"/>
          <w:lang w:val="da-DK"/>
        </w:rPr>
      </w:pPr>
      <w:r>
        <w:rPr>
          <w:szCs w:val="24"/>
          <w:u w:val="single"/>
          <w:lang w:val="da-DK"/>
        </w:rPr>
        <w:t>Dermatologiske reaktioner</w:t>
      </w:r>
    </w:p>
    <w:p w14:paraId="01CB9C94" w14:textId="77777777" w:rsidR="002B0D24" w:rsidRDefault="002B0D24" w:rsidP="002B0D24">
      <w:pPr>
        <w:pStyle w:val="Brdtekst3"/>
        <w:ind w:left="851"/>
        <w:jc w:val="left"/>
        <w:rPr>
          <w:szCs w:val="24"/>
          <w:lang w:val="da-DK"/>
        </w:rPr>
      </w:pPr>
      <w:r>
        <w:rPr>
          <w:szCs w:val="24"/>
          <w:lang w:val="da-DK"/>
        </w:rPr>
        <w:t xml:space="preserve">Patienter har i sjældne tilfælde udviklet eksfoliative kutane reaktioner, såsom Stevens-Johnsons syndrom og toksisk epidermal nekrolyse, under behandling med fluconazol. </w:t>
      </w:r>
      <w:r w:rsidRPr="00454861">
        <w:rPr>
          <w:szCs w:val="24"/>
          <w:lang w:val="da-DK"/>
        </w:rPr>
        <w:t xml:space="preserve">Der er indberettet lægemiddelreaktioner med eosinofili og systemiske symptomer (DRESS). </w:t>
      </w:r>
      <w:r>
        <w:rPr>
          <w:szCs w:val="24"/>
          <w:lang w:val="da-DK"/>
        </w:rPr>
        <w:t xml:space="preserve">Aids-patienter er mere tilbøjelige til at udvikle alvorlige kutane reaktioner i forbindelse med mange lægemidler. Hvis der udvikles udslæt, som kan tilskrives fluconazol, hos en patient, som behandles for en overfladisk svampeinfektion, skal fluconazol seponeres. Hvis patienter med invasive/systemiske svampeinfektioner udvikler udslæt, skal de monitoreres nøje, og fluconazol skal seponeres, hvis der udvikles </w:t>
      </w:r>
      <w:r>
        <w:rPr>
          <w:i/>
          <w:szCs w:val="24"/>
          <w:lang w:val="da-DK"/>
        </w:rPr>
        <w:t>bulløse</w:t>
      </w:r>
      <w:r>
        <w:rPr>
          <w:szCs w:val="24"/>
          <w:lang w:val="da-DK"/>
        </w:rPr>
        <w:t xml:space="preserve"> læsioner eller </w:t>
      </w:r>
      <w:r>
        <w:rPr>
          <w:i/>
          <w:szCs w:val="24"/>
          <w:lang w:val="da-DK"/>
        </w:rPr>
        <w:t>erythema</w:t>
      </w:r>
      <w:r>
        <w:rPr>
          <w:szCs w:val="24"/>
          <w:lang w:val="da-DK"/>
        </w:rPr>
        <w:t xml:space="preserve"> multiforme.</w:t>
      </w:r>
    </w:p>
    <w:p w14:paraId="7B428CF0" w14:textId="77777777" w:rsidR="00E64488" w:rsidRDefault="00E64488" w:rsidP="00E64488">
      <w:pPr>
        <w:pStyle w:val="Brdtekst3"/>
        <w:ind w:left="851"/>
        <w:jc w:val="left"/>
        <w:rPr>
          <w:szCs w:val="24"/>
          <w:lang w:val="da-DK"/>
        </w:rPr>
      </w:pPr>
    </w:p>
    <w:p w14:paraId="4325D5B7" w14:textId="77777777" w:rsidR="00E64488" w:rsidRPr="00E64488" w:rsidRDefault="00E64488" w:rsidP="00E64488">
      <w:pPr>
        <w:pStyle w:val="Brdtekst3"/>
        <w:ind w:left="851"/>
        <w:jc w:val="left"/>
        <w:rPr>
          <w:lang w:val="da-DK"/>
        </w:rPr>
      </w:pPr>
      <w:r>
        <w:rPr>
          <w:szCs w:val="24"/>
          <w:u w:val="single"/>
          <w:lang w:val="da-DK"/>
        </w:rPr>
        <w:t>Candidiasis</w:t>
      </w:r>
      <w:r w:rsidRPr="00E64488">
        <w:rPr>
          <w:lang w:val="da-DK"/>
        </w:rPr>
        <w:t xml:space="preserve"> </w:t>
      </w:r>
    </w:p>
    <w:p w14:paraId="1D84A812" w14:textId="77777777" w:rsidR="00E64488" w:rsidRDefault="00E64488" w:rsidP="00E64488">
      <w:pPr>
        <w:pStyle w:val="Brdtekst3"/>
        <w:ind w:left="851"/>
        <w:jc w:val="left"/>
        <w:rPr>
          <w:szCs w:val="24"/>
          <w:lang w:val="da-DK"/>
        </w:rPr>
      </w:pPr>
      <w:r>
        <w:rPr>
          <w:szCs w:val="24"/>
          <w:lang w:val="da-DK"/>
        </w:rPr>
        <w:t xml:space="preserve">I studier er der set en øget prævalens af infektion med andre </w:t>
      </w:r>
      <w:r>
        <w:rPr>
          <w:i/>
          <w:iCs/>
          <w:szCs w:val="24"/>
          <w:lang w:val="da-DK"/>
        </w:rPr>
        <w:t>Candida</w:t>
      </w:r>
      <w:r>
        <w:rPr>
          <w:szCs w:val="24"/>
          <w:lang w:val="da-DK"/>
        </w:rPr>
        <w:t xml:space="preserve">-arter end </w:t>
      </w:r>
      <w:r>
        <w:rPr>
          <w:i/>
          <w:iCs/>
          <w:szCs w:val="24"/>
          <w:lang w:val="da-DK"/>
        </w:rPr>
        <w:t>C. albicans.</w:t>
      </w:r>
      <w:r>
        <w:rPr>
          <w:szCs w:val="24"/>
          <w:lang w:val="da-DK"/>
        </w:rPr>
        <w:t xml:space="preserve"> Disse er ofte naturligt resistente (f.eks. </w:t>
      </w:r>
      <w:r>
        <w:rPr>
          <w:i/>
          <w:iCs/>
          <w:szCs w:val="24"/>
          <w:lang w:val="da-DK"/>
        </w:rPr>
        <w:t>C. krusei</w:t>
      </w:r>
      <w:r>
        <w:rPr>
          <w:szCs w:val="24"/>
          <w:lang w:val="da-DK"/>
        </w:rPr>
        <w:t xml:space="preserve"> og </w:t>
      </w:r>
      <w:r>
        <w:rPr>
          <w:i/>
          <w:iCs/>
          <w:szCs w:val="24"/>
          <w:lang w:val="da-DK"/>
        </w:rPr>
        <w:t>C. auris</w:t>
      </w:r>
      <w:r>
        <w:rPr>
          <w:szCs w:val="24"/>
          <w:lang w:val="da-DK"/>
        </w:rPr>
        <w:t>) eller udviser nedsat følsomhed over for fluconazol (</w:t>
      </w:r>
      <w:r>
        <w:rPr>
          <w:i/>
          <w:iCs/>
          <w:szCs w:val="24"/>
          <w:lang w:val="da-DK"/>
        </w:rPr>
        <w:t>C. glabrata</w:t>
      </w:r>
      <w:r>
        <w:rPr>
          <w:szCs w:val="24"/>
          <w:lang w:val="da-DK"/>
        </w:rPr>
        <w:t xml:space="preserve">). Sådanne infektioner kan nødvendiggøre anden antimykotisk behandling sekundært til behandlingssvigt. Derfor bør læger tage højde for prævalensen af resistens over for fluconazol i diverse </w:t>
      </w:r>
      <w:r>
        <w:rPr>
          <w:i/>
          <w:iCs/>
          <w:szCs w:val="24"/>
          <w:lang w:val="da-DK"/>
        </w:rPr>
        <w:t>Candida</w:t>
      </w:r>
      <w:r>
        <w:rPr>
          <w:szCs w:val="24"/>
          <w:lang w:val="da-DK"/>
        </w:rPr>
        <w:t>-arter.</w:t>
      </w:r>
    </w:p>
    <w:p w14:paraId="0530852C" w14:textId="77777777" w:rsidR="00E4635B" w:rsidRPr="00133139" w:rsidRDefault="00E4635B" w:rsidP="00E4635B">
      <w:pPr>
        <w:pStyle w:val="Brdtekst3"/>
        <w:ind w:left="851" w:hanging="851"/>
        <w:jc w:val="left"/>
        <w:rPr>
          <w:szCs w:val="24"/>
          <w:lang w:val="da-DK"/>
        </w:rPr>
      </w:pPr>
    </w:p>
    <w:p w14:paraId="3171992A" w14:textId="77777777" w:rsidR="00E4635B" w:rsidRPr="00133139" w:rsidRDefault="00E4635B" w:rsidP="00E4635B">
      <w:pPr>
        <w:pStyle w:val="Brdtekst3"/>
        <w:ind w:left="851"/>
        <w:jc w:val="left"/>
        <w:rPr>
          <w:szCs w:val="24"/>
          <w:u w:val="single"/>
          <w:lang w:val="da-DK"/>
        </w:rPr>
      </w:pPr>
      <w:r w:rsidRPr="00133139">
        <w:rPr>
          <w:szCs w:val="24"/>
          <w:u w:val="single"/>
          <w:lang w:val="da-DK"/>
        </w:rPr>
        <w:t>Overfølsomhed</w:t>
      </w:r>
    </w:p>
    <w:p w14:paraId="6E0DB23A" w14:textId="77777777" w:rsidR="00E4635B" w:rsidRDefault="00E4635B" w:rsidP="00E4635B">
      <w:pPr>
        <w:pStyle w:val="Brdtekst3"/>
        <w:ind w:left="851"/>
        <w:jc w:val="left"/>
        <w:rPr>
          <w:szCs w:val="24"/>
          <w:lang w:val="da-DK"/>
        </w:rPr>
      </w:pPr>
      <w:r w:rsidRPr="00133139">
        <w:rPr>
          <w:szCs w:val="24"/>
          <w:lang w:val="da-DK"/>
        </w:rPr>
        <w:t>Der er i sjældne tilfælde rapporteret om anafylaktiske reaktioner (se pkt. 4.3).</w:t>
      </w:r>
    </w:p>
    <w:p w14:paraId="1E7B5056" w14:textId="77777777" w:rsidR="00E4635B" w:rsidRPr="00133139" w:rsidRDefault="00E4635B" w:rsidP="00E4635B">
      <w:pPr>
        <w:pStyle w:val="Brdtekst3"/>
        <w:ind w:left="851" w:hanging="851"/>
        <w:jc w:val="left"/>
        <w:rPr>
          <w:i/>
          <w:szCs w:val="24"/>
          <w:u w:val="single"/>
          <w:lang w:val="da-DK"/>
        </w:rPr>
      </w:pPr>
    </w:p>
    <w:p w14:paraId="7BC5B10E" w14:textId="77777777" w:rsidR="00E4635B" w:rsidRPr="00133139" w:rsidRDefault="00E4635B" w:rsidP="00E4635B">
      <w:pPr>
        <w:pStyle w:val="Brdtekst3"/>
        <w:ind w:left="851"/>
        <w:jc w:val="left"/>
        <w:rPr>
          <w:szCs w:val="24"/>
          <w:u w:val="single"/>
          <w:lang w:val="da-DK"/>
        </w:rPr>
      </w:pPr>
      <w:r w:rsidRPr="00133139">
        <w:rPr>
          <w:szCs w:val="24"/>
          <w:u w:val="single"/>
          <w:lang w:val="da-DK"/>
        </w:rPr>
        <w:t>Cytochrom P450</w:t>
      </w:r>
    </w:p>
    <w:p w14:paraId="6A2660AB" w14:textId="77777777" w:rsidR="00E4635B" w:rsidRPr="00133139" w:rsidRDefault="00E4635B" w:rsidP="00E4635B">
      <w:pPr>
        <w:pStyle w:val="Brdtekst3"/>
        <w:ind w:left="851"/>
        <w:jc w:val="left"/>
        <w:rPr>
          <w:szCs w:val="24"/>
          <w:lang w:val="da-DK"/>
        </w:rPr>
      </w:pPr>
      <w:r w:rsidRPr="00133139">
        <w:rPr>
          <w:szCs w:val="24"/>
          <w:lang w:val="da-DK"/>
        </w:rPr>
        <w:t xml:space="preserve">Fluconazol er en </w:t>
      </w:r>
      <w:r w:rsidRPr="004C40D9">
        <w:rPr>
          <w:lang w:val="da-DK"/>
        </w:rPr>
        <w:t>moderat</w:t>
      </w:r>
      <w:r w:rsidRPr="00133139">
        <w:rPr>
          <w:szCs w:val="24"/>
          <w:lang w:val="da-DK"/>
        </w:rPr>
        <w:t xml:space="preserve"> CYP2C9</w:t>
      </w:r>
      <w:r>
        <w:rPr>
          <w:szCs w:val="24"/>
          <w:lang w:val="da-DK"/>
        </w:rPr>
        <w:t>-</w:t>
      </w:r>
      <w:r w:rsidRPr="00133139">
        <w:rPr>
          <w:szCs w:val="24"/>
          <w:lang w:val="da-DK"/>
        </w:rPr>
        <w:t xml:space="preserve"> og CYP3A4-hæmmer. Fluconazol </w:t>
      </w:r>
      <w:r>
        <w:rPr>
          <w:szCs w:val="24"/>
          <w:lang w:val="da-DK"/>
        </w:rPr>
        <w:t xml:space="preserve">er </w:t>
      </w:r>
      <w:r w:rsidRPr="00133139">
        <w:rPr>
          <w:szCs w:val="24"/>
          <w:lang w:val="da-DK"/>
        </w:rPr>
        <w:t>også</w:t>
      </w:r>
      <w:r>
        <w:rPr>
          <w:szCs w:val="24"/>
          <w:lang w:val="da-DK"/>
        </w:rPr>
        <w:t xml:space="preserve"> en </w:t>
      </w:r>
      <w:r w:rsidRPr="004C40D9">
        <w:rPr>
          <w:szCs w:val="22"/>
          <w:lang w:val="da-DK"/>
        </w:rPr>
        <w:t xml:space="preserve">stærk </w:t>
      </w:r>
      <w:r w:rsidRPr="00133139">
        <w:rPr>
          <w:szCs w:val="24"/>
          <w:lang w:val="da-DK"/>
        </w:rPr>
        <w:t>CYP2C19</w:t>
      </w:r>
      <w:r w:rsidRPr="004C40D9">
        <w:rPr>
          <w:szCs w:val="24"/>
          <w:lang w:val="da-DK"/>
        </w:rPr>
        <w:t>-</w:t>
      </w:r>
      <w:r w:rsidRPr="00133139">
        <w:rPr>
          <w:szCs w:val="24"/>
          <w:lang w:val="da-DK"/>
        </w:rPr>
        <w:t>hæmmer. Patienter, som behandles med Fluconazol samtidig med lægemidler med et smalt terapeutisk vindue, der metaboliseres via CYP2C9, CYP2C19 og CYP3A4, bør monitoreres (se pkt. 4.5).</w:t>
      </w:r>
    </w:p>
    <w:p w14:paraId="5D576041" w14:textId="77777777" w:rsidR="00E4635B" w:rsidRPr="00133139" w:rsidRDefault="00E4635B" w:rsidP="00E4635B">
      <w:pPr>
        <w:pStyle w:val="Brdtekst3"/>
        <w:ind w:left="851" w:hanging="851"/>
        <w:jc w:val="left"/>
        <w:rPr>
          <w:szCs w:val="24"/>
          <w:lang w:val="da-DK"/>
        </w:rPr>
      </w:pPr>
    </w:p>
    <w:p w14:paraId="7C14792C" w14:textId="77777777" w:rsidR="00E4635B" w:rsidRPr="00133139" w:rsidRDefault="00E4635B" w:rsidP="00E4635B">
      <w:pPr>
        <w:pStyle w:val="Brdtekst3"/>
        <w:ind w:left="851"/>
        <w:jc w:val="left"/>
        <w:rPr>
          <w:i/>
          <w:szCs w:val="24"/>
          <w:u w:val="single"/>
          <w:lang w:val="da-DK"/>
        </w:rPr>
      </w:pPr>
      <w:r w:rsidRPr="00133139">
        <w:rPr>
          <w:szCs w:val="24"/>
          <w:u w:val="single"/>
          <w:lang w:val="da-DK"/>
        </w:rPr>
        <w:t>Terfenadin</w:t>
      </w:r>
    </w:p>
    <w:p w14:paraId="38798BD7" w14:textId="77777777" w:rsidR="00E4635B" w:rsidRPr="00613787" w:rsidRDefault="00E4635B" w:rsidP="00E4635B">
      <w:pPr>
        <w:pStyle w:val="Brdtekst3"/>
        <w:ind w:left="851"/>
        <w:jc w:val="left"/>
        <w:rPr>
          <w:szCs w:val="24"/>
          <w:lang w:val="da-DK"/>
        </w:rPr>
      </w:pPr>
      <w:r w:rsidRPr="00133139">
        <w:rPr>
          <w:szCs w:val="24"/>
          <w:lang w:val="da-DK"/>
        </w:rPr>
        <w:t>Samtidig administration af fluconazol i doser under 400 mg dagligt og terfenadin bør monitoreres nøje (se pkt. 4.3 og 4.5).</w:t>
      </w:r>
    </w:p>
    <w:p w14:paraId="29F67E84" w14:textId="77777777" w:rsidR="00E4635B" w:rsidRPr="00133139" w:rsidRDefault="00E4635B" w:rsidP="00E4635B">
      <w:pPr>
        <w:pStyle w:val="Brdtekst3"/>
        <w:ind w:left="851" w:hanging="851"/>
        <w:jc w:val="left"/>
        <w:rPr>
          <w:szCs w:val="24"/>
          <w:lang w:val="da-DK"/>
        </w:rPr>
      </w:pPr>
    </w:p>
    <w:p w14:paraId="70604566" w14:textId="77777777" w:rsidR="002B0D24" w:rsidRDefault="002B0D24" w:rsidP="002B0D24">
      <w:pPr>
        <w:pStyle w:val="Brdtekst3"/>
        <w:keepNext/>
        <w:ind w:left="851"/>
        <w:jc w:val="left"/>
        <w:rPr>
          <w:bCs/>
          <w:i/>
          <w:szCs w:val="24"/>
          <w:u w:val="single"/>
          <w:lang w:val="da-DK"/>
        </w:rPr>
      </w:pPr>
      <w:r>
        <w:rPr>
          <w:bCs/>
          <w:szCs w:val="24"/>
          <w:u w:val="single"/>
          <w:lang w:val="da-DK"/>
        </w:rPr>
        <w:t>Hjælpestoffer</w:t>
      </w:r>
    </w:p>
    <w:p w14:paraId="385343C8" w14:textId="77777777" w:rsidR="002B0D24" w:rsidRDefault="002B0D24" w:rsidP="002B0D24">
      <w:pPr>
        <w:pStyle w:val="Brdtekst3"/>
        <w:ind w:left="851"/>
        <w:jc w:val="left"/>
        <w:rPr>
          <w:bCs/>
          <w:szCs w:val="24"/>
          <w:lang w:val="da-DK"/>
        </w:rPr>
      </w:pPr>
      <w:r>
        <w:rPr>
          <w:bCs/>
          <w:szCs w:val="24"/>
          <w:lang w:val="da-DK"/>
        </w:rPr>
        <w:t>Kapslerne indeholder lactosemonohydrat. Bør ikke anvendes til patienter med hereditær galactoseintolerans, total lactasemangel eller glucose/galactosemalabsorption.</w:t>
      </w:r>
    </w:p>
    <w:p w14:paraId="6D5C0E85" w14:textId="77777777" w:rsidR="002B0D24" w:rsidRDefault="002B0D24" w:rsidP="002B0D24">
      <w:pPr>
        <w:pStyle w:val="Brdtekst3"/>
        <w:ind w:left="851"/>
        <w:jc w:val="left"/>
        <w:rPr>
          <w:lang w:val="da-DK"/>
        </w:rPr>
      </w:pPr>
    </w:p>
    <w:p w14:paraId="7FA5ED5D" w14:textId="76ECD41A" w:rsidR="002B0D24" w:rsidRDefault="00AE60ED" w:rsidP="002B0D24">
      <w:pPr>
        <w:pStyle w:val="Brdtekst3"/>
        <w:ind w:left="851"/>
        <w:jc w:val="left"/>
        <w:rPr>
          <w:szCs w:val="24"/>
          <w:lang w:val="da-DK"/>
        </w:rPr>
      </w:pPr>
      <w:r>
        <w:rPr>
          <w:szCs w:val="24"/>
          <w:lang w:val="da-DK"/>
        </w:rPr>
        <w:lastRenderedPageBreak/>
        <w:t>Fluconazol ”Abacus Medicine”</w:t>
      </w:r>
      <w:r w:rsidR="002B0D24">
        <w:rPr>
          <w:szCs w:val="24"/>
          <w:lang w:val="da-DK"/>
        </w:rPr>
        <w:t xml:space="preserve"> indeholder mindre end 1 mmol (23 mg) natrium pr. kapsel, dvs. den er i det væsentlige natriumfri.</w:t>
      </w:r>
    </w:p>
    <w:p w14:paraId="1B8FFC1A" w14:textId="77777777" w:rsidR="00E4635B" w:rsidRPr="00133139" w:rsidRDefault="00E4635B" w:rsidP="00CF659D">
      <w:pPr>
        <w:rPr>
          <w:sz w:val="24"/>
          <w:szCs w:val="24"/>
        </w:rPr>
      </w:pPr>
    </w:p>
    <w:p w14:paraId="7DC739E6" w14:textId="77777777" w:rsidR="00E4635B" w:rsidRPr="00133139" w:rsidRDefault="00E4635B" w:rsidP="00E4635B">
      <w:pPr>
        <w:numPr>
          <w:ilvl w:val="1"/>
          <w:numId w:val="1"/>
        </w:numPr>
        <w:tabs>
          <w:tab w:val="clear" w:pos="855"/>
        </w:tabs>
        <w:ind w:left="851" w:hanging="851"/>
        <w:rPr>
          <w:b/>
          <w:sz w:val="24"/>
          <w:szCs w:val="24"/>
        </w:rPr>
      </w:pPr>
      <w:r w:rsidRPr="00133139">
        <w:rPr>
          <w:b/>
          <w:sz w:val="24"/>
          <w:szCs w:val="24"/>
        </w:rPr>
        <w:t>Interaktion med andre lægemidler og andre former for interaktion</w:t>
      </w:r>
    </w:p>
    <w:p w14:paraId="5F051F32" w14:textId="77777777" w:rsidR="00E4635B" w:rsidRDefault="00E4635B" w:rsidP="00E4635B">
      <w:pPr>
        <w:pStyle w:val="Brdtekst3"/>
        <w:ind w:left="851" w:hanging="851"/>
        <w:jc w:val="left"/>
        <w:rPr>
          <w:szCs w:val="24"/>
          <w:lang w:val="da-DK"/>
        </w:rPr>
      </w:pPr>
    </w:p>
    <w:p w14:paraId="628A97B4" w14:textId="77777777" w:rsidR="00E4635B" w:rsidRPr="00133139" w:rsidRDefault="00E4635B" w:rsidP="00E4635B">
      <w:pPr>
        <w:pStyle w:val="Brdtekst3"/>
        <w:ind w:left="851" w:hanging="851"/>
        <w:jc w:val="left"/>
        <w:rPr>
          <w:b/>
          <w:i/>
          <w:szCs w:val="24"/>
          <w:lang w:val="da-DK"/>
        </w:rPr>
      </w:pPr>
      <w:r w:rsidRPr="005C7DDF">
        <w:rPr>
          <w:szCs w:val="24"/>
          <w:lang w:val="da-DK"/>
        </w:rPr>
        <w:tab/>
      </w:r>
      <w:r w:rsidRPr="00133139">
        <w:rPr>
          <w:b/>
          <w:i/>
          <w:szCs w:val="24"/>
          <w:lang w:val="da-DK"/>
        </w:rPr>
        <w:t>Samtidig anvendelse af følgende lægemidler er kontraindiceret:</w:t>
      </w:r>
    </w:p>
    <w:p w14:paraId="79EACCB9" w14:textId="77777777" w:rsidR="00E4635B" w:rsidRPr="00133139" w:rsidRDefault="00E4635B" w:rsidP="00E4635B">
      <w:pPr>
        <w:pStyle w:val="Brdtekst3"/>
        <w:ind w:left="851" w:hanging="851"/>
        <w:jc w:val="left"/>
        <w:rPr>
          <w:szCs w:val="24"/>
          <w:lang w:val="da-DK"/>
        </w:rPr>
      </w:pPr>
    </w:p>
    <w:p w14:paraId="3FBCCA78" w14:textId="77777777" w:rsidR="00E4635B" w:rsidRPr="00133139" w:rsidRDefault="00E4635B" w:rsidP="00E4635B">
      <w:pPr>
        <w:pStyle w:val="Brdtekst3"/>
        <w:ind w:left="851"/>
        <w:jc w:val="left"/>
        <w:rPr>
          <w:i/>
          <w:szCs w:val="24"/>
          <w:lang w:val="da-DK"/>
        </w:rPr>
      </w:pPr>
      <w:r w:rsidRPr="00133139">
        <w:rPr>
          <w:i/>
          <w:szCs w:val="24"/>
          <w:lang w:val="da-DK"/>
        </w:rPr>
        <w:t>Cisaprid</w:t>
      </w:r>
    </w:p>
    <w:p w14:paraId="48B041C6" w14:textId="77777777" w:rsidR="00E4635B" w:rsidRPr="00133139" w:rsidRDefault="00E4635B" w:rsidP="002B0D24">
      <w:pPr>
        <w:pStyle w:val="Brdtekst3"/>
        <w:ind w:left="851"/>
        <w:jc w:val="left"/>
        <w:rPr>
          <w:szCs w:val="24"/>
          <w:lang w:val="da-DK"/>
        </w:rPr>
      </w:pPr>
      <w:r w:rsidRPr="00133139">
        <w:rPr>
          <w:szCs w:val="24"/>
          <w:lang w:val="da-DK"/>
        </w:rPr>
        <w:t xml:space="preserve">Der har været rapporter om hjertetilfælde, herunder </w:t>
      </w:r>
      <w:r w:rsidRPr="00133139">
        <w:rPr>
          <w:i/>
          <w:szCs w:val="24"/>
          <w:lang w:val="da-DK"/>
        </w:rPr>
        <w:t>torsades de pointes</w:t>
      </w:r>
      <w:r w:rsidRPr="00133139">
        <w:rPr>
          <w:szCs w:val="24"/>
          <w:lang w:val="da-DK"/>
        </w:rPr>
        <w:t>, hos patienter, der fik fluconazol samtidig med cisaprid. Et kontrolleret forsøg viste, at fluconazol 200 mg én gang dagligt samtidig med cisaprid 20 mg 4 gange dagligt medførte en signifikant stigning i plasmakoncentrationen af cisaprid og forlængelse af QTc-intervallet. Samtidig behandling med fluconazol og cisaprid er kontraindiceret (se pkt. 4.3).</w:t>
      </w:r>
    </w:p>
    <w:p w14:paraId="2CD81D27" w14:textId="77777777" w:rsidR="00E4635B" w:rsidRDefault="00E4635B" w:rsidP="00E4635B">
      <w:pPr>
        <w:pStyle w:val="Brdtekst3"/>
        <w:ind w:left="851"/>
        <w:jc w:val="left"/>
        <w:rPr>
          <w:i/>
          <w:szCs w:val="24"/>
          <w:lang w:val="da-DK"/>
        </w:rPr>
      </w:pPr>
    </w:p>
    <w:p w14:paraId="79E31AEF" w14:textId="77777777" w:rsidR="00E4635B" w:rsidRPr="00133139" w:rsidRDefault="00E4635B" w:rsidP="00E4635B">
      <w:pPr>
        <w:pStyle w:val="Brdtekst3"/>
        <w:ind w:left="851"/>
        <w:jc w:val="left"/>
        <w:rPr>
          <w:szCs w:val="24"/>
          <w:lang w:val="da-DK"/>
        </w:rPr>
      </w:pPr>
      <w:r w:rsidRPr="00133139">
        <w:rPr>
          <w:i/>
          <w:szCs w:val="24"/>
          <w:lang w:val="da-DK"/>
        </w:rPr>
        <w:t>Terfenadin</w:t>
      </w:r>
    </w:p>
    <w:p w14:paraId="188D44C1" w14:textId="77777777" w:rsidR="00E4635B" w:rsidRPr="00133139" w:rsidRDefault="00E4635B" w:rsidP="00E4635B">
      <w:pPr>
        <w:pStyle w:val="Brdtekst3"/>
        <w:ind w:left="851"/>
        <w:jc w:val="left"/>
        <w:rPr>
          <w:szCs w:val="24"/>
          <w:lang w:val="da-DK"/>
        </w:rPr>
      </w:pPr>
      <w:r w:rsidRPr="00133139">
        <w:rPr>
          <w:szCs w:val="24"/>
          <w:lang w:val="da-DK"/>
        </w:rPr>
        <w:t>Da der er forekommet alvorlige hjertearytmier sekundært til forlænget QTc-interval hos patienter, som fik antimykotiske azoler og terfenadin, er der udført interaktionsforsøg. Ét forsøg med 200 mg fluconazol én gang dagligt viste ingen forlængelse af QTc-intervallet. Et andet forsøg med henholdsvis 400 mg og 800 mg fluconazol én gang dagligt viste, at fluconazol i doser på 400 mg eller mere pr. dag øger plasmakoncentrationerne af terfenadin signifikant, når terfenadin tages samtidig. Kombineret brug af fluconazol i doser på 400 mg eller mere dagligt og terfenadin er kontraindiceret (se pkt. 4.3). Ved samtidig administration af fluconazol i doser under 400 mg dagligt og terfenadin bør patienten monitoreres nøje.</w:t>
      </w:r>
    </w:p>
    <w:p w14:paraId="7E935263" w14:textId="77777777" w:rsidR="00E4635B" w:rsidRPr="00133139" w:rsidRDefault="00E4635B" w:rsidP="00E4635B">
      <w:pPr>
        <w:pStyle w:val="Brdtekst3"/>
        <w:ind w:left="851" w:hanging="851"/>
        <w:jc w:val="left"/>
        <w:rPr>
          <w:szCs w:val="24"/>
          <w:lang w:val="da-DK"/>
        </w:rPr>
      </w:pPr>
    </w:p>
    <w:p w14:paraId="74CC9B98" w14:textId="77777777" w:rsidR="00E4635B" w:rsidRPr="00133139" w:rsidRDefault="00E4635B" w:rsidP="00E4635B">
      <w:pPr>
        <w:pStyle w:val="Brdtekst3"/>
        <w:ind w:left="851"/>
        <w:jc w:val="left"/>
        <w:rPr>
          <w:szCs w:val="24"/>
          <w:u w:val="single"/>
          <w:lang w:val="da-DK"/>
        </w:rPr>
      </w:pPr>
      <w:r w:rsidRPr="00133139">
        <w:rPr>
          <w:i/>
          <w:szCs w:val="24"/>
          <w:lang w:val="da-DK"/>
        </w:rPr>
        <w:t>Astemizol</w:t>
      </w:r>
    </w:p>
    <w:p w14:paraId="687A0B54" w14:textId="77777777" w:rsidR="00E4635B" w:rsidRPr="00133139" w:rsidRDefault="00E4635B" w:rsidP="00E4635B">
      <w:pPr>
        <w:pStyle w:val="Brdtekst3"/>
        <w:ind w:left="851"/>
        <w:jc w:val="left"/>
        <w:rPr>
          <w:szCs w:val="24"/>
          <w:lang w:val="da-DK"/>
        </w:rPr>
      </w:pPr>
      <w:r w:rsidRPr="00133139">
        <w:rPr>
          <w:szCs w:val="24"/>
          <w:lang w:val="da-DK"/>
        </w:rPr>
        <w:t xml:space="preserve">Samtidig administration af fluconazol og astemizol kan nedsætte astemizols clearance. De resulterende øgede astemizol-plasmakoncentrationer kan føre til QT-forlængelse og i sjældne tilfælde </w:t>
      </w:r>
      <w:r w:rsidRPr="00133139">
        <w:rPr>
          <w:i/>
          <w:szCs w:val="24"/>
          <w:lang w:val="da-DK"/>
        </w:rPr>
        <w:t>torsades de pointes</w:t>
      </w:r>
      <w:r w:rsidRPr="00133139">
        <w:rPr>
          <w:szCs w:val="24"/>
          <w:lang w:val="da-DK"/>
        </w:rPr>
        <w:t>. Samtidig behandling med fluconazol og astemizol er kontraindiceret (se pkt. 4.3).</w:t>
      </w:r>
    </w:p>
    <w:p w14:paraId="2D11921F" w14:textId="77777777" w:rsidR="00E4635B" w:rsidRPr="00133139" w:rsidRDefault="00E4635B" w:rsidP="00E4635B">
      <w:pPr>
        <w:pStyle w:val="Brdtekst3"/>
        <w:ind w:left="851" w:hanging="851"/>
        <w:jc w:val="left"/>
        <w:rPr>
          <w:szCs w:val="24"/>
          <w:lang w:val="da-DK"/>
        </w:rPr>
      </w:pPr>
    </w:p>
    <w:p w14:paraId="161F8BBA" w14:textId="77777777" w:rsidR="00E4635B" w:rsidRPr="00133139" w:rsidRDefault="00E4635B" w:rsidP="00E4635B">
      <w:pPr>
        <w:pStyle w:val="Brdtekst3"/>
        <w:ind w:left="851"/>
        <w:jc w:val="left"/>
        <w:rPr>
          <w:szCs w:val="24"/>
          <w:lang w:val="da-DK"/>
        </w:rPr>
      </w:pPr>
      <w:r w:rsidRPr="00133139">
        <w:rPr>
          <w:i/>
          <w:szCs w:val="24"/>
          <w:lang w:val="da-DK"/>
        </w:rPr>
        <w:t>Pimozid</w:t>
      </w:r>
    </w:p>
    <w:p w14:paraId="53401797" w14:textId="77777777" w:rsidR="00E4635B" w:rsidRPr="00133139" w:rsidRDefault="00E4635B" w:rsidP="00E4635B">
      <w:pPr>
        <w:pStyle w:val="Brdtekst3"/>
        <w:ind w:left="851"/>
        <w:jc w:val="left"/>
        <w:rPr>
          <w:szCs w:val="24"/>
          <w:lang w:val="da-DK"/>
        </w:rPr>
      </w:pPr>
      <w:r w:rsidRPr="00133139">
        <w:rPr>
          <w:szCs w:val="24"/>
          <w:lang w:val="da-DK"/>
        </w:rPr>
        <w:t xml:space="preserve">Selvom det ikke er undersøgt </w:t>
      </w:r>
      <w:r w:rsidRPr="00133139">
        <w:rPr>
          <w:i/>
          <w:szCs w:val="24"/>
          <w:lang w:val="da-DK"/>
        </w:rPr>
        <w:t>in vitro</w:t>
      </w:r>
      <w:r w:rsidRPr="00133139">
        <w:rPr>
          <w:szCs w:val="24"/>
          <w:lang w:val="da-DK"/>
        </w:rPr>
        <w:t xml:space="preserve"> eller </w:t>
      </w:r>
      <w:r w:rsidRPr="00133139">
        <w:rPr>
          <w:i/>
          <w:szCs w:val="24"/>
          <w:lang w:val="da-DK"/>
        </w:rPr>
        <w:t>in vivo</w:t>
      </w:r>
      <w:r w:rsidRPr="00133139">
        <w:rPr>
          <w:szCs w:val="24"/>
          <w:lang w:val="da-DK"/>
        </w:rPr>
        <w:t xml:space="preserve">, kan samtidig behandling med fluconazol og pimozid resultere i hæmning af pimozids metabolisme. Øgede pimozid-plasmakoncentrationer kan føre til QT-forlængelse og i sjældne tilfælde </w:t>
      </w:r>
      <w:r w:rsidRPr="00133139">
        <w:rPr>
          <w:i/>
          <w:szCs w:val="24"/>
          <w:lang w:val="da-DK"/>
        </w:rPr>
        <w:t>torsades de pointes</w:t>
      </w:r>
      <w:r w:rsidRPr="00133139">
        <w:rPr>
          <w:szCs w:val="24"/>
          <w:lang w:val="da-DK"/>
        </w:rPr>
        <w:t>. Samtidig behandling med fluconazol og pimozid er kontraindiceret (se pkt. 4.3).</w:t>
      </w:r>
    </w:p>
    <w:p w14:paraId="5CD5DE76" w14:textId="77777777" w:rsidR="00E4635B" w:rsidRPr="00133139" w:rsidRDefault="00E4635B" w:rsidP="00E4635B">
      <w:pPr>
        <w:pStyle w:val="Brdtekst3"/>
        <w:ind w:left="851" w:hanging="851"/>
        <w:jc w:val="left"/>
        <w:rPr>
          <w:szCs w:val="24"/>
          <w:lang w:val="da-DK"/>
        </w:rPr>
      </w:pPr>
    </w:p>
    <w:p w14:paraId="13C43035" w14:textId="77777777" w:rsidR="00E4635B" w:rsidRPr="00133139" w:rsidRDefault="00E4635B" w:rsidP="00E4635B">
      <w:pPr>
        <w:pStyle w:val="Brdtekst3"/>
        <w:ind w:left="851"/>
        <w:jc w:val="left"/>
        <w:rPr>
          <w:szCs w:val="24"/>
          <w:lang w:val="da-DK"/>
        </w:rPr>
      </w:pPr>
      <w:r w:rsidRPr="00133139">
        <w:rPr>
          <w:i/>
          <w:szCs w:val="24"/>
          <w:lang w:val="da-DK"/>
        </w:rPr>
        <w:t>Quinidin</w:t>
      </w:r>
    </w:p>
    <w:p w14:paraId="687A24D6" w14:textId="77777777" w:rsidR="00E4635B" w:rsidRPr="00133139" w:rsidRDefault="00E4635B" w:rsidP="00E4635B">
      <w:pPr>
        <w:pStyle w:val="Brdtekst3"/>
        <w:ind w:left="851"/>
        <w:jc w:val="left"/>
        <w:rPr>
          <w:szCs w:val="24"/>
          <w:lang w:val="da-DK"/>
        </w:rPr>
      </w:pPr>
      <w:r w:rsidRPr="00133139">
        <w:rPr>
          <w:szCs w:val="24"/>
          <w:lang w:val="da-DK"/>
        </w:rPr>
        <w:t xml:space="preserve">Selvom det ikke er undersøgt </w:t>
      </w:r>
      <w:r w:rsidRPr="00133139">
        <w:rPr>
          <w:i/>
          <w:szCs w:val="24"/>
          <w:lang w:val="da-DK"/>
        </w:rPr>
        <w:t>in vitro</w:t>
      </w:r>
      <w:r w:rsidRPr="00133139">
        <w:rPr>
          <w:szCs w:val="24"/>
          <w:lang w:val="da-DK"/>
        </w:rPr>
        <w:t xml:space="preserve"> og </w:t>
      </w:r>
      <w:r w:rsidRPr="00133139">
        <w:rPr>
          <w:i/>
          <w:szCs w:val="24"/>
          <w:lang w:val="da-DK"/>
        </w:rPr>
        <w:t>in vivo</w:t>
      </w:r>
      <w:r w:rsidRPr="00133139">
        <w:rPr>
          <w:szCs w:val="24"/>
          <w:lang w:val="da-DK"/>
        </w:rPr>
        <w:t xml:space="preserve">, kan samtidig administration af fluconazol og quinidin medføre hæmning af quinidins metabolisme. Behandling med quinidin har været associeret med QT-forlængelse og i sjældne tilfælde </w:t>
      </w:r>
      <w:r w:rsidRPr="00133139">
        <w:rPr>
          <w:i/>
          <w:szCs w:val="24"/>
          <w:lang w:val="da-DK"/>
        </w:rPr>
        <w:t>torsades de pointes</w:t>
      </w:r>
      <w:r w:rsidRPr="00133139">
        <w:rPr>
          <w:szCs w:val="24"/>
          <w:lang w:val="da-DK"/>
        </w:rPr>
        <w:t>. Samtidig behandling med fluconazol og quinidin er kontraindiceret (se pkt. 4.3).</w:t>
      </w:r>
    </w:p>
    <w:p w14:paraId="30E41FCD" w14:textId="77777777" w:rsidR="00E4635B" w:rsidRPr="00133139" w:rsidRDefault="00E4635B" w:rsidP="00E4635B">
      <w:pPr>
        <w:pStyle w:val="Brdtekst3"/>
        <w:ind w:left="851" w:hanging="851"/>
        <w:jc w:val="left"/>
        <w:rPr>
          <w:szCs w:val="24"/>
          <w:lang w:val="da-DK"/>
        </w:rPr>
      </w:pPr>
    </w:p>
    <w:p w14:paraId="3AA4D131" w14:textId="77777777" w:rsidR="00E4635B" w:rsidRPr="00133139" w:rsidRDefault="00E4635B" w:rsidP="00EC6E49">
      <w:pPr>
        <w:pStyle w:val="Brdtekst3"/>
        <w:keepNext/>
        <w:ind w:left="851"/>
        <w:jc w:val="left"/>
        <w:rPr>
          <w:bCs/>
          <w:szCs w:val="24"/>
          <w:lang w:val="da-DK"/>
        </w:rPr>
      </w:pPr>
      <w:r w:rsidRPr="00133139">
        <w:rPr>
          <w:bCs/>
          <w:i/>
          <w:szCs w:val="24"/>
          <w:lang w:val="da-DK"/>
        </w:rPr>
        <w:t>Erythromycin</w:t>
      </w:r>
    </w:p>
    <w:p w14:paraId="5FFA16D8" w14:textId="77777777" w:rsidR="00E4635B" w:rsidRDefault="00E4635B" w:rsidP="00F33816">
      <w:pPr>
        <w:pStyle w:val="Brdtekst3"/>
        <w:ind w:left="851"/>
        <w:jc w:val="left"/>
        <w:rPr>
          <w:bCs/>
          <w:szCs w:val="24"/>
          <w:lang w:val="da-DK"/>
        </w:rPr>
      </w:pPr>
      <w:r w:rsidRPr="00133139">
        <w:rPr>
          <w:bCs/>
          <w:szCs w:val="24"/>
          <w:lang w:val="da-DK"/>
        </w:rPr>
        <w:t xml:space="preserve">Samtidig anvendelse af fluconazol og erythromycin kan potentielt øge risikoen for kardiotoksicitet (forlænget QT-interval, </w:t>
      </w:r>
      <w:r w:rsidRPr="00133139">
        <w:rPr>
          <w:bCs/>
          <w:i/>
          <w:szCs w:val="24"/>
          <w:lang w:val="da-DK"/>
        </w:rPr>
        <w:t>torsades de pointes</w:t>
      </w:r>
      <w:r w:rsidRPr="00133139">
        <w:rPr>
          <w:bCs/>
          <w:szCs w:val="24"/>
          <w:lang w:val="da-DK"/>
        </w:rPr>
        <w:t>) og som følge deraf pludselig hjertedød. Samtidig behandling med fluconazol og erythromycin er kontraindiceret (se pkt. 4.3).</w:t>
      </w:r>
    </w:p>
    <w:p w14:paraId="184B58B4" w14:textId="77777777" w:rsidR="002B0D24" w:rsidRDefault="002B0D24" w:rsidP="00E4635B">
      <w:pPr>
        <w:pStyle w:val="Brdtekst3"/>
        <w:ind w:left="851" w:hanging="851"/>
        <w:jc w:val="left"/>
        <w:rPr>
          <w:bCs/>
          <w:szCs w:val="24"/>
          <w:lang w:val="da-DK"/>
        </w:rPr>
      </w:pPr>
    </w:p>
    <w:p w14:paraId="62418CB2" w14:textId="77777777" w:rsidR="00AE60ED" w:rsidRDefault="00AE60ED" w:rsidP="00E4635B">
      <w:pPr>
        <w:pStyle w:val="Brdtekst3"/>
        <w:ind w:left="851" w:hanging="851"/>
        <w:jc w:val="left"/>
        <w:rPr>
          <w:bCs/>
          <w:szCs w:val="24"/>
          <w:lang w:val="da-DK"/>
        </w:rPr>
      </w:pPr>
    </w:p>
    <w:p w14:paraId="573ADD9E" w14:textId="77777777" w:rsidR="00AE60ED" w:rsidRPr="00133139" w:rsidRDefault="00AE60ED" w:rsidP="00E4635B">
      <w:pPr>
        <w:pStyle w:val="Brdtekst3"/>
        <w:ind w:left="851" w:hanging="851"/>
        <w:jc w:val="left"/>
        <w:rPr>
          <w:bCs/>
          <w:szCs w:val="24"/>
          <w:lang w:val="da-DK"/>
        </w:rPr>
      </w:pPr>
    </w:p>
    <w:p w14:paraId="1D96AB03" w14:textId="77777777" w:rsidR="00E4635B" w:rsidRPr="00133139" w:rsidRDefault="00E4635B" w:rsidP="00E4635B">
      <w:pPr>
        <w:pStyle w:val="Brdtekst3"/>
        <w:ind w:left="851"/>
        <w:jc w:val="left"/>
        <w:rPr>
          <w:b/>
          <w:bCs/>
          <w:i/>
          <w:szCs w:val="24"/>
          <w:lang w:val="da-DK"/>
        </w:rPr>
      </w:pPr>
      <w:r w:rsidRPr="00133139">
        <w:rPr>
          <w:b/>
          <w:bCs/>
          <w:i/>
          <w:szCs w:val="24"/>
          <w:lang w:val="da-DK"/>
        </w:rPr>
        <w:lastRenderedPageBreak/>
        <w:t>Samtidig anvendelse af følgende lægemidler kan ikke anbefales:</w:t>
      </w:r>
    </w:p>
    <w:p w14:paraId="382B5FB7" w14:textId="77777777" w:rsidR="00E4635B" w:rsidRDefault="00E4635B" w:rsidP="00E4635B">
      <w:pPr>
        <w:pStyle w:val="Brdtekst3"/>
        <w:ind w:left="851"/>
        <w:jc w:val="left"/>
        <w:rPr>
          <w:bCs/>
          <w:i/>
          <w:szCs w:val="24"/>
          <w:lang w:val="da-DK"/>
        </w:rPr>
      </w:pPr>
    </w:p>
    <w:p w14:paraId="7303D036" w14:textId="77777777" w:rsidR="00E4635B" w:rsidRDefault="00E4635B" w:rsidP="00E4635B">
      <w:pPr>
        <w:pStyle w:val="Brdtekst3"/>
        <w:ind w:left="851"/>
        <w:jc w:val="left"/>
        <w:rPr>
          <w:bCs/>
          <w:szCs w:val="24"/>
          <w:lang w:val="da-DK"/>
        </w:rPr>
      </w:pPr>
      <w:r>
        <w:rPr>
          <w:bCs/>
          <w:i/>
          <w:szCs w:val="24"/>
          <w:lang w:val="da-DK"/>
        </w:rPr>
        <w:t>Halofantrin</w:t>
      </w:r>
    </w:p>
    <w:p w14:paraId="7457948F" w14:textId="77777777" w:rsidR="00E4635B" w:rsidRDefault="00E4635B" w:rsidP="00E4635B">
      <w:pPr>
        <w:pStyle w:val="Brdtekst3"/>
        <w:ind w:left="851"/>
        <w:jc w:val="left"/>
        <w:rPr>
          <w:bCs/>
          <w:szCs w:val="24"/>
          <w:lang w:val="da-DK"/>
        </w:rPr>
      </w:pPr>
      <w:r>
        <w:rPr>
          <w:bCs/>
          <w:szCs w:val="24"/>
          <w:lang w:val="da-DK"/>
        </w:rPr>
        <w:t xml:space="preserve">Fluconazol kan øge halofantrins plasmakoncentration på grund af en hæmmende effekt på CYP3A4. Samtidig behandling med fluconazol og halofantrin kan potentielt øge risikoen for kardiotoksicitet (forlænget QT-interval, </w:t>
      </w:r>
      <w:r>
        <w:rPr>
          <w:bCs/>
          <w:i/>
          <w:szCs w:val="24"/>
          <w:lang w:val="da-DK"/>
        </w:rPr>
        <w:t>torsades de pointes</w:t>
      </w:r>
      <w:r>
        <w:rPr>
          <w:bCs/>
          <w:szCs w:val="24"/>
          <w:lang w:val="da-DK"/>
        </w:rPr>
        <w:t>) og som følge deraf pludselig hjertedød. Kombinationen bør undgås (se pkt. 4.4).</w:t>
      </w:r>
    </w:p>
    <w:p w14:paraId="5EEB3659" w14:textId="77777777" w:rsidR="00996A1D" w:rsidRDefault="00E4635B" w:rsidP="00E4635B">
      <w:pPr>
        <w:pStyle w:val="Brdtekst3"/>
        <w:ind w:left="851" w:hanging="851"/>
        <w:jc w:val="left"/>
        <w:rPr>
          <w:bCs/>
          <w:szCs w:val="24"/>
          <w:lang w:val="da-DK"/>
        </w:rPr>
      </w:pPr>
      <w:r>
        <w:rPr>
          <w:bCs/>
          <w:szCs w:val="24"/>
          <w:lang w:val="da-DK"/>
        </w:rPr>
        <w:tab/>
      </w:r>
    </w:p>
    <w:p w14:paraId="0090CCAD" w14:textId="77777777" w:rsidR="00E4635B" w:rsidRDefault="00E4635B" w:rsidP="00E4635B">
      <w:pPr>
        <w:pStyle w:val="Almindeligtekst"/>
        <w:ind w:firstLine="851"/>
        <w:rPr>
          <w:rFonts w:ascii="Times New Roman" w:eastAsia="Times New Roman" w:hAnsi="Times New Roman"/>
          <w:b/>
          <w:bCs/>
          <w:i/>
          <w:iCs/>
          <w:color w:val="000000"/>
          <w:sz w:val="24"/>
          <w:szCs w:val="24"/>
        </w:rPr>
      </w:pPr>
      <w:r>
        <w:rPr>
          <w:rFonts w:ascii="Times New Roman" w:eastAsia="Times New Roman" w:hAnsi="Times New Roman"/>
          <w:b/>
          <w:bCs/>
          <w:i/>
          <w:iCs/>
          <w:color w:val="000000"/>
          <w:sz w:val="24"/>
          <w:szCs w:val="24"/>
        </w:rPr>
        <w:t>Samtidig anvendelse, som skal ske med forsigtighed:</w:t>
      </w:r>
    </w:p>
    <w:p w14:paraId="4E08C23E" w14:textId="77777777" w:rsidR="00E4635B" w:rsidRDefault="00E4635B" w:rsidP="00E4635B">
      <w:pPr>
        <w:pStyle w:val="Brdtekst3"/>
        <w:ind w:left="851" w:hanging="284"/>
        <w:jc w:val="left"/>
        <w:rPr>
          <w:bCs/>
          <w:szCs w:val="24"/>
          <w:lang w:val="da-DK"/>
        </w:rPr>
      </w:pPr>
      <w:r>
        <w:rPr>
          <w:b/>
          <w:bCs/>
          <w:i/>
          <w:szCs w:val="24"/>
          <w:lang w:val="da-DK"/>
        </w:rPr>
        <w:tab/>
      </w:r>
      <w:r>
        <w:rPr>
          <w:bCs/>
          <w:szCs w:val="24"/>
          <w:lang w:val="da-DK"/>
        </w:rPr>
        <w:tab/>
      </w:r>
      <w:r>
        <w:rPr>
          <w:bCs/>
          <w:szCs w:val="24"/>
          <w:lang w:val="da-DK"/>
        </w:rPr>
        <w:tab/>
      </w:r>
    </w:p>
    <w:p w14:paraId="4110A39C" w14:textId="77777777" w:rsidR="00E4635B" w:rsidRDefault="00E4635B" w:rsidP="00E4635B">
      <w:pPr>
        <w:pStyle w:val="Brdtekst3"/>
        <w:ind w:left="851" w:hanging="851"/>
        <w:rPr>
          <w:bCs/>
          <w:i/>
          <w:szCs w:val="24"/>
          <w:lang w:val="da-DK"/>
        </w:rPr>
      </w:pPr>
      <w:r>
        <w:rPr>
          <w:bCs/>
          <w:szCs w:val="24"/>
          <w:lang w:val="da-DK"/>
        </w:rPr>
        <w:tab/>
      </w:r>
      <w:r>
        <w:rPr>
          <w:bCs/>
          <w:i/>
          <w:szCs w:val="24"/>
          <w:lang w:val="da-DK"/>
        </w:rPr>
        <w:t>Amiodaron</w:t>
      </w:r>
    </w:p>
    <w:p w14:paraId="366169DE" w14:textId="77777777" w:rsidR="00E4635B" w:rsidRDefault="00E4635B" w:rsidP="00E4635B">
      <w:pPr>
        <w:pStyle w:val="Brdtekst3"/>
        <w:ind w:left="851" w:hanging="851"/>
        <w:jc w:val="left"/>
        <w:rPr>
          <w:bCs/>
          <w:szCs w:val="24"/>
          <w:lang w:val="da-DK"/>
        </w:rPr>
      </w:pPr>
      <w:r>
        <w:rPr>
          <w:bCs/>
          <w:szCs w:val="24"/>
          <w:lang w:val="da-DK"/>
        </w:rPr>
        <w:tab/>
        <w:t>Samtidig administration af fluconazol og amiodaron kan øge QT-forlængelse. Der skal udvises forsigtighed, hvis samtidig anvendelse af fluconazol og amiodaron er nødvendig, især ved høj dosis af fluconazol (800 mg).</w:t>
      </w:r>
    </w:p>
    <w:p w14:paraId="52274D74" w14:textId="77777777" w:rsidR="00E4635B" w:rsidRDefault="00E4635B" w:rsidP="00E4635B">
      <w:pPr>
        <w:pStyle w:val="Brdtekst3"/>
        <w:ind w:left="851" w:hanging="851"/>
        <w:jc w:val="left"/>
        <w:rPr>
          <w:bCs/>
          <w:szCs w:val="24"/>
          <w:lang w:val="da-DK"/>
        </w:rPr>
      </w:pPr>
      <w:r>
        <w:rPr>
          <w:bCs/>
          <w:szCs w:val="24"/>
          <w:lang w:val="da-DK"/>
        </w:rPr>
        <w:tab/>
      </w:r>
    </w:p>
    <w:p w14:paraId="48D332E2" w14:textId="77777777" w:rsidR="00E4635B" w:rsidRDefault="00E4635B" w:rsidP="00E4635B">
      <w:pPr>
        <w:pStyle w:val="Brdtekst3"/>
        <w:keepNext/>
        <w:ind w:left="851" w:hanging="284"/>
        <w:jc w:val="left"/>
        <w:rPr>
          <w:b/>
          <w:bCs/>
          <w:i/>
          <w:szCs w:val="24"/>
          <w:lang w:val="da-DK"/>
        </w:rPr>
      </w:pPr>
      <w:r>
        <w:rPr>
          <w:bCs/>
          <w:szCs w:val="24"/>
          <w:lang w:val="da-DK"/>
        </w:rPr>
        <w:tab/>
      </w:r>
      <w:r>
        <w:rPr>
          <w:b/>
          <w:bCs/>
          <w:i/>
          <w:szCs w:val="24"/>
          <w:lang w:val="da-DK"/>
        </w:rPr>
        <w:t>Samtidig anvendelse af følgende lægemidler medfører forsigtighedsregler og dosisjustering:</w:t>
      </w:r>
    </w:p>
    <w:p w14:paraId="6953D679" w14:textId="77777777" w:rsidR="00E4635B" w:rsidRPr="00133139" w:rsidRDefault="00E4635B" w:rsidP="00E4635B">
      <w:pPr>
        <w:pStyle w:val="Brdtekst3"/>
        <w:keepNext/>
        <w:ind w:left="851" w:hanging="851"/>
        <w:jc w:val="left"/>
        <w:rPr>
          <w:bCs/>
          <w:szCs w:val="24"/>
          <w:u w:val="single"/>
          <w:lang w:val="da-DK"/>
        </w:rPr>
      </w:pPr>
    </w:p>
    <w:p w14:paraId="5057E002" w14:textId="77777777" w:rsidR="00E4635B" w:rsidRPr="00133139" w:rsidRDefault="00E4635B" w:rsidP="00E4635B">
      <w:pPr>
        <w:pStyle w:val="Brdtekst3"/>
        <w:keepNext/>
        <w:ind w:left="851"/>
        <w:jc w:val="left"/>
        <w:rPr>
          <w:bCs/>
          <w:szCs w:val="24"/>
          <w:u w:val="single"/>
          <w:lang w:val="da-DK"/>
        </w:rPr>
      </w:pPr>
      <w:r w:rsidRPr="00133139">
        <w:rPr>
          <w:bCs/>
          <w:szCs w:val="24"/>
          <w:u w:val="single"/>
          <w:lang w:val="da-DK"/>
        </w:rPr>
        <w:t>Andre lægemidlers virkning på fluconazol</w:t>
      </w:r>
    </w:p>
    <w:p w14:paraId="563996D3" w14:textId="77777777" w:rsidR="00E4635B" w:rsidRPr="00133139" w:rsidRDefault="00E4635B" w:rsidP="00E4635B">
      <w:pPr>
        <w:pStyle w:val="Brdtekst3"/>
        <w:keepNext/>
        <w:ind w:left="851" w:hanging="851"/>
        <w:jc w:val="left"/>
        <w:rPr>
          <w:bCs/>
          <w:szCs w:val="24"/>
          <w:u w:val="single"/>
          <w:lang w:val="da-DK"/>
        </w:rPr>
      </w:pPr>
    </w:p>
    <w:p w14:paraId="7A5BFE48" w14:textId="77777777" w:rsidR="00E4635B" w:rsidRPr="00133139" w:rsidRDefault="00E4635B" w:rsidP="00E4635B">
      <w:pPr>
        <w:pStyle w:val="Brdtekst3"/>
        <w:keepNext/>
        <w:ind w:left="851"/>
        <w:jc w:val="left"/>
        <w:rPr>
          <w:bCs/>
          <w:szCs w:val="24"/>
          <w:lang w:val="da-DK"/>
        </w:rPr>
      </w:pPr>
      <w:r w:rsidRPr="00133139">
        <w:rPr>
          <w:bCs/>
          <w:i/>
          <w:szCs w:val="24"/>
          <w:lang w:val="da-DK"/>
        </w:rPr>
        <w:t>Rifampicin</w:t>
      </w:r>
    </w:p>
    <w:p w14:paraId="363703FF" w14:textId="77777777" w:rsidR="00E4635B" w:rsidRPr="00133139" w:rsidRDefault="00E4635B" w:rsidP="00E4635B">
      <w:pPr>
        <w:pStyle w:val="Brdtekst3"/>
        <w:ind w:left="851"/>
        <w:jc w:val="left"/>
        <w:rPr>
          <w:bCs/>
          <w:szCs w:val="24"/>
          <w:lang w:val="da-DK"/>
        </w:rPr>
      </w:pPr>
      <w:r w:rsidRPr="00133139">
        <w:rPr>
          <w:bCs/>
          <w:szCs w:val="24"/>
          <w:lang w:val="da-DK"/>
        </w:rPr>
        <w:t>Samtidig behandling med fluconazol og rifampicin resulterede i et fald på 25 % i AUC og en 20 % kortere halveringstid for fluconazol. Hos patienter, som får samtidig behandling med fluconazol og rifampicin, bør dosisøgning af fluconazol overvejes.</w:t>
      </w:r>
    </w:p>
    <w:p w14:paraId="77A12094" w14:textId="77777777" w:rsidR="00E4635B" w:rsidRPr="00133139" w:rsidRDefault="00E4635B" w:rsidP="00E4635B">
      <w:pPr>
        <w:pStyle w:val="Brdtekst3"/>
        <w:ind w:left="851" w:hanging="851"/>
        <w:jc w:val="left"/>
        <w:rPr>
          <w:bCs/>
          <w:szCs w:val="24"/>
          <w:lang w:val="da-DK"/>
        </w:rPr>
      </w:pPr>
    </w:p>
    <w:p w14:paraId="7B6BD0E3" w14:textId="77777777" w:rsidR="00E4635B" w:rsidRPr="00133139" w:rsidRDefault="00E4635B" w:rsidP="00E4635B">
      <w:pPr>
        <w:pStyle w:val="Brdtekst3"/>
        <w:ind w:left="851"/>
        <w:jc w:val="left"/>
        <w:rPr>
          <w:bCs/>
          <w:szCs w:val="24"/>
          <w:lang w:val="da-DK"/>
        </w:rPr>
      </w:pPr>
      <w:r w:rsidRPr="00133139">
        <w:rPr>
          <w:bCs/>
          <w:szCs w:val="24"/>
          <w:lang w:val="da-DK"/>
        </w:rPr>
        <w:t>Interaktionsstudier har vist, at der ikke sker klinisk signifikant nedsættelse af absorptionen af oralt administreret fluconazol ved administration sammen med mad, cimetidin, antacida eller efter helkrops-strålebehandling i forbindelse med knoglemarvstransplantation.</w:t>
      </w:r>
    </w:p>
    <w:p w14:paraId="72398FDE" w14:textId="77777777" w:rsidR="00E4635B" w:rsidRDefault="00E4635B" w:rsidP="00E4635B">
      <w:pPr>
        <w:pStyle w:val="Brdtekst3"/>
        <w:ind w:left="851" w:hanging="851"/>
        <w:jc w:val="left"/>
        <w:rPr>
          <w:bCs/>
          <w:szCs w:val="24"/>
          <w:lang w:val="da-DK"/>
        </w:rPr>
      </w:pPr>
    </w:p>
    <w:p w14:paraId="25513E26" w14:textId="77777777" w:rsidR="00E4635B" w:rsidRPr="004C40D9" w:rsidRDefault="00E4635B" w:rsidP="00E4635B">
      <w:pPr>
        <w:ind w:left="855"/>
        <w:rPr>
          <w:sz w:val="24"/>
          <w:szCs w:val="22"/>
        </w:rPr>
      </w:pPr>
      <w:r w:rsidRPr="004C40D9">
        <w:rPr>
          <w:sz w:val="24"/>
          <w:szCs w:val="22"/>
          <w:u w:val="single"/>
        </w:rPr>
        <w:t>Hydrochlorthiazid:</w:t>
      </w:r>
      <w:r w:rsidRPr="004C40D9">
        <w:rPr>
          <w:sz w:val="24"/>
          <w:szCs w:val="22"/>
        </w:rPr>
        <w:t xml:space="preserve"> I et farmakokinetisk interaktionsforsøg med raske forsøgspersoner medførte samtidig behandling med fluconazol og gentagne doser af hydrochlorthiazid, at plasmakoncentrationen af fluconazol steg med 40</w:t>
      </w:r>
      <w:r>
        <w:rPr>
          <w:sz w:val="24"/>
          <w:szCs w:val="22"/>
        </w:rPr>
        <w:t> </w:t>
      </w:r>
      <w:r w:rsidRPr="004C40D9">
        <w:rPr>
          <w:sz w:val="24"/>
          <w:szCs w:val="22"/>
        </w:rPr>
        <w:t xml:space="preserve">%. En effekt af denne størrelsesorden kræver ikke nødvendigvis ændringer i doseringen af fluconazol til patienter, der samtidig får diuretika. </w:t>
      </w:r>
    </w:p>
    <w:p w14:paraId="38C9ED14" w14:textId="77777777" w:rsidR="00E4635B" w:rsidRDefault="00E4635B" w:rsidP="00E4635B">
      <w:pPr>
        <w:pStyle w:val="Brdtekst3"/>
        <w:ind w:left="851" w:hanging="851"/>
        <w:jc w:val="left"/>
        <w:rPr>
          <w:bCs/>
          <w:szCs w:val="24"/>
          <w:lang w:val="da-DK"/>
        </w:rPr>
      </w:pPr>
    </w:p>
    <w:p w14:paraId="3598F7BA" w14:textId="77777777" w:rsidR="00E4635B" w:rsidRPr="00133139" w:rsidRDefault="00E4635B" w:rsidP="00E4635B">
      <w:pPr>
        <w:pStyle w:val="Brdtekst3"/>
        <w:ind w:left="851"/>
        <w:jc w:val="left"/>
        <w:rPr>
          <w:bCs/>
          <w:szCs w:val="24"/>
          <w:lang w:val="da-DK"/>
        </w:rPr>
      </w:pPr>
      <w:r w:rsidRPr="00133139">
        <w:rPr>
          <w:bCs/>
          <w:szCs w:val="24"/>
          <w:u w:val="single"/>
          <w:lang w:val="da-DK"/>
        </w:rPr>
        <w:t>Fluconazols virkning på andre lægemidler</w:t>
      </w:r>
    </w:p>
    <w:p w14:paraId="48645DC8" w14:textId="77777777" w:rsidR="00E4635B" w:rsidRDefault="00E4635B" w:rsidP="00E4635B">
      <w:pPr>
        <w:pStyle w:val="Brdtekst3"/>
        <w:ind w:left="851"/>
        <w:jc w:val="left"/>
        <w:rPr>
          <w:bCs/>
          <w:szCs w:val="24"/>
          <w:lang w:val="da-DK"/>
        </w:rPr>
      </w:pPr>
      <w:r w:rsidRPr="00133139">
        <w:rPr>
          <w:bCs/>
          <w:szCs w:val="24"/>
          <w:lang w:val="da-DK"/>
        </w:rPr>
        <w:t xml:space="preserve">Fluconazol er en </w:t>
      </w:r>
      <w:r w:rsidRPr="004C40D9">
        <w:rPr>
          <w:lang w:val="da-DK"/>
        </w:rPr>
        <w:t>moderat</w:t>
      </w:r>
      <w:r w:rsidRPr="00133139">
        <w:rPr>
          <w:bCs/>
          <w:szCs w:val="24"/>
          <w:lang w:val="da-DK"/>
        </w:rPr>
        <w:t xml:space="preserve"> hæmmer af cytochrom P450 (CYP) isoenzym</w:t>
      </w:r>
      <w:r>
        <w:rPr>
          <w:bCs/>
          <w:szCs w:val="24"/>
          <w:lang w:val="da-DK"/>
        </w:rPr>
        <w:t>erne</w:t>
      </w:r>
      <w:r w:rsidRPr="00133139">
        <w:rPr>
          <w:bCs/>
          <w:szCs w:val="24"/>
          <w:lang w:val="da-DK"/>
        </w:rPr>
        <w:t xml:space="preserve"> 2C9 og 3A4. Fluconazol </w:t>
      </w:r>
      <w:r>
        <w:rPr>
          <w:bCs/>
          <w:szCs w:val="24"/>
          <w:lang w:val="da-DK"/>
        </w:rPr>
        <w:t xml:space="preserve">er også en </w:t>
      </w:r>
      <w:r w:rsidRPr="004C40D9">
        <w:rPr>
          <w:szCs w:val="22"/>
          <w:lang w:val="da-DK"/>
        </w:rPr>
        <w:t xml:space="preserve">en stærk </w:t>
      </w:r>
      <w:r w:rsidRPr="00133139">
        <w:rPr>
          <w:bCs/>
          <w:szCs w:val="24"/>
          <w:lang w:val="da-DK"/>
        </w:rPr>
        <w:t xml:space="preserve">hæmmer </w:t>
      </w:r>
      <w:r>
        <w:rPr>
          <w:bCs/>
          <w:szCs w:val="24"/>
          <w:lang w:val="da-DK"/>
        </w:rPr>
        <w:t xml:space="preserve">af </w:t>
      </w:r>
      <w:r w:rsidRPr="00133139">
        <w:rPr>
          <w:bCs/>
          <w:szCs w:val="24"/>
          <w:lang w:val="da-DK"/>
        </w:rPr>
        <w:t>isoenzymet CYP2C19. Ud over de observerede/dokumenterede interaktioner, der er nævnt nedenfor, er der en risiko for øgede plasmakoncentrationer af andre stoffer, som metaboliseres af CYP2C9</w:t>
      </w:r>
      <w:r>
        <w:rPr>
          <w:bCs/>
          <w:szCs w:val="24"/>
          <w:lang w:val="da-DK"/>
        </w:rPr>
        <w:t>, CYP2C19</w:t>
      </w:r>
      <w:r w:rsidRPr="00133139">
        <w:rPr>
          <w:bCs/>
          <w:szCs w:val="24"/>
          <w:lang w:val="da-DK"/>
        </w:rPr>
        <w:t xml:space="preserve"> og CYP3A4 ved samtidig administration af fluconazol. Der skal derfor udvises forsigtighed ved brug af disse kombinationer, og patienterne bør monitoreres nøje. Fluconazols enzymhæmmende effekt fortsætter i 4-5 dage efter fluconazolbehandlingens ophør pga. fluconazols lange halveringstid (se pkt. 4.3).</w:t>
      </w:r>
    </w:p>
    <w:p w14:paraId="4D6E98DF" w14:textId="77777777" w:rsidR="00F33816" w:rsidRDefault="00F33816" w:rsidP="00E4635B">
      <w:pPr>
        <w:pStyle w:val="Brdtekst3"/>
        <w:ind w:left="851"/>
        <w:jc w:val="left"/>
        <w:rPr>
          <w:bCs/>
          <w:szCs w:val="24"/>
          <w:lang w:val="da-DK"/>
        </w:rPr>
      </w:pPr>
    </w:p>
    <w:p w14:paraId="26EB8D56" w14:textId="77777777" w:rsidR="00F33816" w:rsidRDefault="00F33816" w:rsidP="00F33816">
      <w:pPr>
        <w:pStyle w:val="Brdtekst3"/>
        <w:ind w:left="851"/>
        <w:jc w:val="left"/>
        <w:rPr>
          <w:bCs/>
          <w:i/>
          <w:iCs/>
          <w:szCs w:val="24"/>
          <w:lang w:val="da-DK"/>
        </w:rPr>
      </w:pPr>
      <w:r>
        <w:rPr>
          <w:bCs/>
          <w:i/>
          <w:iCs/>
          <w:szCs w:val="24"/>
          <w:lang w:val="da-DK"/>
        </w:rPr>
        <w:t>Abrocitinib</w:t>
      </w:r>
    </w:p>
    <w:p w14:paraId="3599EC6B" w14:textId="77777777" w:rsidR="00CF659D" w:rsidRDefault="00F33816" w:rsidP="00CF659D">
      <w:pPr>
        <w:pStyle w:val="Brdtekst3"/>
        <w:ind w:left="851"/>
        <w:jc w:val="left"/>
        <w:rPr>
          <w:lang w:val="da-DK"/>
        </w:rPr>
      </w:pPr>
      <w:r>
        <w:rPr>
          <w:lang w:val="da-DK"/>
        </w:rPr>
        <w:t>Fluconazol (hæmmer af CYP2C19, 2C9 og 3A4) øgede eksponeringen for abrocitinibs aktive del med 155 %. Ved samtidig administration med fluconazol skal dosis af abrocitinib justeres efter anvisningerne i produktinformationen for abrocitinib.</w:t>
      </w:r>
    </w:p>
    <w:p w14:paraId="6D0F85FB" w14:textId="77777777" w:rsidR="00CF659D" w:rsidRDefault="00CF659D" w:rsidP="00CF659D">
      <w:pPr>
        <w:pStyle w:val="Brdtekst3"/>
        <w:ind w:left="851"/>
        <w:jc w:val="left"/>
        <w:rPr>
          <w:lang w:val="da-DK"/>
        </w:rPr>
      </w:pPr>
    </w:p>
    <w:p w14:paraId="0793E878" w14:textId="77777777" w:rsidR="00CF659D" w:rsidRDefault="00CF659D" w:rsidP="00CF659D">
      <w:pPr>
        <w:pStyle w:val="Brdtekst3"/>
        <w:ind w:left="851"/>
        <w:jc w:val="left"/>
        <w:rPr>
          <w:lang w:val="da-DK"/>
        </w:rPr>
      </w:pPr>
    </w:p>
    <w:p w14:paraId="504A07DA" w14:textId="77777777" w:rsidR="00CF659D" w:rsidRDefault="00CF659D" w:rsidP="00CF659D">
      <w:pPr>
        <w:pStyle w:val="Brdtekst3"/>
        <w:ind w:left="851"/>
        <w:jc w:val="left"/>
        <w:rPr>
          <w:lang w:val="da-DK"/>
        </w:rPr>
      </w:pPr>
    </w:p>
    <w:p w14:paraId="431C223E" w14:textId="77777777" w:rsidR="00CF659D" w:rsidRPr="00CF659D" w:rsidRDefault="00CF659D" w:rsidP="00CF659D">
      <w:pPr>
        <w:pStyle w:val="Brdtekst3"/>
        <w:ind w:left="851"/>
        <w:jc w:val="left"/>
        <w:rPr>
          <w:lang w:val="da-DK"/>
        </w:rPr>
      </w:pPr>
    </w:p>
    <w:p w14:paraId="295A7B84" w14:textId="77777777" w:rsidR="00E4635B" w:rsidRPr="00133139" w:rsidRDefault="00E4635B" w:rsidP="00E4635B">
      <w:pPr>
        <w:pStyle w:val="Brdtekst3"/>
        <w:ind w:left="851"/>
        <w:jc w:val="left"/>
        <w:rPr>
          <w:bCs/>
          <w:szCs w:val="24"/>
          <w:lang w:val="da-DK"/>
        </w:rPr>
      </w:pPr>
      <w:r w:rsidRPr="00133139">
        <w:rPr>
          <w:bCs/>
          <w:i/>
          <w:szCs w:val="24"/>
          <w:lang w:val="da-DK"/>
        </w:rPr>
        <w:t>Alfentanil</w:t>
      </w:r>
    </w:p>
    <w:p w14:paraId="0F414C60" w14:textId="77777777" w:rsidR="00E4635B" w:rsidRPr="00133139" w:rsidRDefault="00E4635B" w:rsidP="00E4635B">
      <w:pPr>
        <w:pStyle w:val="Brdtekst3"/>
        <w:ind w:left="851"/>
        <w:jc w:val="left"/>
        <w:rPr>
          <w:bCs/>
          <w:szCs w:val="24"/>
          <w:lang w:val="da-DK"/>
        </w:rPr>
      </w:pPr>
      <w:r w:rsidRPr="00133139">
        <w:rPr>
          <w:bCs/>
          <w:szCs w:val="24"/>
          <w:lang w:val="da-DK"/>
        </w:rPr>
        <w:t xml:space="preserve">Under samtidig behandling med fluconazol (400 mg) og intravenøs alfentanil (20 </w:t>
      </w:r>
      <w:r w:rsidRPr="00133139">
        <w:rPr>
          <w:bCs/>
          <w:szCs w:val="24"/>
          <w:lang w:val="da-DK"/>
        </w:rPr>
        <w:sym w:font="Symbol" w:char="F06D"/>
      </w:r>
      <w:r w:rsidRPr="00133139">
        <w:rPr>
          <w:bCs/>
          <w:szCs w:val="24"/>
          <w:lang w:val="da-DK"/>
        </w:rPr>
        <w:t>g/kg) hos raske forsøgspersoner steg AUC</w:t>
      </w:r>
      <w:r w:rsidRPr="00133139">
        <w:rPr>
          <w:bCs/>
          <w:szCs w:val="24"/>
          <w:vertAlign w:val="subscript"/>
          <w:lang w:val="da-DK"/>
        </w:rPr>
        <w:t>10</w:t>
      </w:r>
      <w:r w:rsidRPr="00133139">
        <w:rPr>
          <w:bCs/>
          <w:szCs w:val="24"/>
          <w:lang w:val="da-DK"/>
        </w:rPr>
        <w:t xml:space="preserve"> for alfentanil til det dobbelte, antagelig pga. hæmning af CYP3A4. Dosisjustering af alfentanil kan være nødvendig.</w:t>
      </w:r>
    </w:p>
    <w:p w14:paraId="5CFD73B6" w14:textId="77777777" w:rsidR="002B0D24" w:rsidRDefault="002B0D24" w:rsidP="00E4635B">
      <w:pPr>
        <w:pStyle w:val="Brdtekst3"/>
        <w:ind w:left="851"/>
        <w:jc w:val="left"/>
        <w:rPr>
          <w:bCs/>
          <w:i/>
          <w:szCs w:val="24"/>
          <w:lang w:val="da-DK"/>
        </w:rPr>
      </w:pPr>
    </w:p>
    <w:p w14:paraId="024CEB9B" w14:textId="77777777" w:rsidR="00E4635B" w:rsidRPr="00133139" w:rsidRDefault="00E4635B" w:rsidP="00E4635B">
      <w:pPr>
        <w:pStyle w:val="Brdtekst3"/>
        <w:ind w:left="851"/>
        <w:jc w:val="left"/>
        <w:rPr>
          <w:bCs/>
          <w:i/>
          <w:szCs w:val="24"/>
          <w:lang w:val="da-DK"/>
        </w:rPr>
      </w:pPr>
      <w:r w:rsidRPr="00133139">
        <w:rPr>
          <w:bCs/>
          <w:i/>
          <w:szCs w:val="24"/>
          <w:lang w:val="da-DK"/>
        </w:rPr>
        <w:t>Amitriptylin, nortriptylin</w:t>
      </w:r>
    </w:p>
    <w:p w14:paraId="5BF74EA8" w14:textId="77777777" w:rsidR="00E4635B" w:rsidRPr="00133139" w:rsidRDefault="00E4635B" w:rsidP="00E4635B">
      <w:pPr>
        <w:pStyle w:val="Brdtekst3"/>
        <w:ind w:left="851"/>
        <w:jc w:val="left"/>
        <w:rPr>
          <w:bCs/>
          <w:szCs w:val="24"/>
          <w:lang w:val="da-DK"/>
        </w:rPr>
      </w:pPr>
      <w:r w:rsidRPr="00133139">
        <w:rPr>
          <w:bCs/>
          <w:szCs w:val="24"/>
          <w:lang w:val="da-DK"/>
        </w:rPr>
        <w:t xml:space="preserve">Fluconazol øger effekten af amitriptylin og nortriptylin. 5-nortriptylin og/eller S-amitriptylin kan måles ved påbegyndelse af kombinationsbehandling og efter en uge. Dosis af amitriptylin/nortriptylin bør om nødvendigt justeres. </w:t>
      </w:r>
    </w:p>
    <w:p w14:paraId="39916976" w14:textId="77777777" w:rsidR="00E4635B" w:rsidRPr="00133139" w:rsidRDefault="00E4635B" w:rsidP="00E4635B">
      <w:pPr>
        <w:pStyle w:val="Brdtekst3"/>
        <w:ind w:left="851" w:hanging="851"/>
        <w:jc w:val="left"/>
        <w:rPr>
          <w:bCs/>
          <w:szCs w:val="24"/>
          <w:lang w:val="da-DK"/>
        </w:rPr>
      </w:pPr>
    </w:p>
    <w:p w14:paraId="1A87A9F6" w14:textId="77777777" w:rsidR="00E4635B" w:rsidRPr="00133139" w:rsidRDefault="00E4635B" w:rsidP="00E4635B">
      <w:pPr>
        <w:pStyle w:val="Brdtekst3"/>
        <w:ind w:left="851"/>
        <w:jc w:val="left"/>
        <w:rPr>
          <w:bCs/>
          <w:i/>
          <w:szCs w:val="24"/>
          <w:lang w:val="da-DK"/>
        </w:rPr>
      </w:pPr>
      <w:r w:rsidRPr="00133139">
        <w:rPr>
          <w:bCs/>
          <w:i/>
          <w:szCs w:val="24"/>
          <w:lang w:val="da-DK"/>
        </w:rPr>
        <w:t>Amphotericin B</w:t>
      </w:r>
    </w:p>
    <w:p w14:paraId="619010E4" w14:textId="77777777" w:rsidR="00E4635B" w:rsidRDefault="00E4635B" w:rsidP="00E4635B">
      <w:pPr>
        <w:pStyle w:val="Brdtekst3"/>
        <w:ind w:left="851"/>
        <w:jc w:val="left"/>
        <w:rPr>
          <w:bCs/>
          <w:szCs w:val="24"/>
          <w:lang w:val="da-DK"/>
        </w:rPr>
      </w:pPr>
      <w:r>
        <w:rPr>
          <w:bCs/>
          <w:szCs w:val="24"/>
          <w:lang w:val="da-DK"/>
        </w:rPr>
        <w:t xml:space="preserve">Samtidig administration af fluconazol og amphotericin B hos inficerede normale og immunsupprimerede mus viste følgende resultater: en lille additiv antimykotisk virkning ved systemisk infektion med </w:t>
      </w:r>
      <w:r>
        <w:rPr>
          <w:bCs/>
          <w:i/>
          <w:szCs w:val="24"/>
          <w:lang w:val="da-DK"/>
        </w:rPr>
        <w:t>C. albicans</w:t>
      </w:r>
      <w:r>
        <w:rPr>
          <w:bCs/>
          <w:szCs w:val="24"/>
          <w:lang w:val="da-DK"/>
        </w:rPr>
        <w:t xml:space="preserve">, ingen interaktion ved intrakraniel infektion med </w:t>
      </w:r>
      <w:r>
        <w:rPr>
          <w:bCs/>
          <w:i/>
          <w:szCs w:val="24"/>
          <w:lang w:val="da-DK"/>
        </w:rPr>
        <w:t>Cryptococcus neoformans</w:t>
      </w:r>
      <w:r>
        <w:rPr>
          <w:bCs/>
          <w:szCs w:val="24"/>
          <w:lang w:val="da-DK"/>
        </w:rPr>
        <w:t xml:space="preserve">, og antagonisme mellem de to lægemidler ved systemisk infektion med </w:t>
      </w:r>
      <w:r>
        <w:rPr>
          <w:bCs/>
          <w:i/>
          <w:szCs w:val="24"/>
          <w:lang w:val="da-DK"/>
        </w:rPr>
        <w:t>Aspergillus fumigatus</w:t>
      </w:r>
      <w:r>
        <w:rPr>
          <w:bCs/>
          <w:szCs w:val="24"/>
          <w:lang w:val="da-DK"/>
        </w:rPr>
        <w:t>. Den kliniske betydning af disse resultater er ukendt.</w:t>
      </w:r>
    </w:p>
    <w:p w14:paraId="6EE4E274" w14:textId="77777777" w:rsidR="00E4635B" w:rsidRDefault="00E4635B" w:rsidP="00E4635B">
      <w:pPr>
        <w:pStyle w:val="Brdtekst3"/>
        <w:ind w:left="851" w:hanging="851"/>
        <w:jc w:val="left"/>
        <w:rPr>
          <w:bCs/>
          <w:szCs w:val="24"/>
          <w:lang w:val="da-DK"/>
        </w:rPr>
      </w:pPr>
    </w:p>
    <w:p w14:paraId="5DD05DFF" w14:textId="77777777" w:rsidR="00E4635B" w:rsidRPr="00133139" w:rsidRDefault="00E4635B" w:rsidP="00E4635B">
      <w:pPr>
        <w:pStyle w:val="Brdtekst3"/>
        <w:ind w:left="851"/>
        <w:jc w:val="left"/>
        <w:rPr>
          <w:bCs/>
          <w:szCs w:val="24"/>
          <w:u w:val="single"/>
          <w:lang w:val="da-DK"/>
        </w:rPr>
      </w:pPr>
      <w:r w:rsidRPr="00133139">
        <w:rPr>
          <w:bCs/>
          <w:i/>
          <w:szCs w:val="24"/>
          <w:lang w:val="da-DK"/>
        </w:rPr>
        <w:t>Antikoagulantia</w:t>
      </w:r>
    </w:p>
    <w:p w14:paraId="1DB2E22B" w14:textId="77777777" w:rsidR="00E4635B" w:rsidRDefault="00E4635B" w:rsidP="00E4635B">
      <w:pPr>
        <w:pStyle w:val="Brdtekst3"/>
        <w:ind w:left="851"/>
        <w:jc w:val="left"/>
        <w:rPr>
          <w:bCs/>
          <w:szCs w:val="24"/>
          <w:lang w:val="da-DK"/>
        </w:rPr>
      </w:pPr>
      <w:r>
        <w:rPr>
          <w:bCs/>
          <w:szCs w:val="24"/>
          <w:lang w:val="da-DK"/>
        </w:rPr>
        <w:t>Som ved andre antimykotiske azoler har erfaringer efter markedsføring vist blødningstilfælde (blå mærker, epistaxis, gastrointestinal blødning, hæmaturi og melæna) i forbindelse med forlænget protrombintid hos patienter, som får fluconazol samtidig med warfarin. Ved samtidig behandling med fluconazol og warfarin var protrombintiden forlænget til op til det dobbelte, antagelig pga. hæmning af warfarin-metabolismen via CYP2C9. Hos patienter, som får antikoagulantia af coumarin-typen eller indanedione antikoagulanter samtidig med fluconazol, bør protrombintiden monitoreres nøje. Justering af antikoagulantdosis kan være nødvendig.</w:t>
      </w:r>
    </w:p>
    <w:p w14:paraId="729B5FFD" w14:textId="77777777" w:rsidR="00E4635B" w:rsidRPr="00133139" w:rsidRDefault="00E4635B" w:rsidP="00E4635B">
      <w:pPr>
        <w:pStyle w:val="Brdtekst3"/>
        <w:ind w:left="851" w:hanging="851"/>
        <w:jc w:val="left"/>
        <w:rPr>
          <w:bCs/>
          <w:szCs w:val="24"/>
          <w:lang w:val="da-DK"/>
        </w:rPr>
      </w:pPr>
    </w:p>
    <w:p w14:paraId="4DBE5AFB" w14:textId="77777777" w:rsidR="00E4635B" w:rsidRPr="00133139" w:rsidRDefault="00E4635B" w:rsidP="00E4635B">
      <w:pPr>
        <w:pStyle w:val="Brdtekst3"/>
        <w:ind w:left="851"/>
        <w:jc w:val="left"/>
        <w:rPr>
          <w:bCs/>
          <w:i/>
          <w:szCs w:val="24"/>
          <w:lang w:val="da-DK"/>
        </w:rPr>
      </w:pPr>
      <w:r w:rsidRPr="00133139">
        <w:rPr>
          <w:bCs/>
          <w:i/>
          <w:szCs w:val="24"/>
          <w:lang w:val="da-DK"/>
        </w:rPr>
        <w:t>Benzodiazepiner (korttidsvirkende), dvs. midazolam, triazolam</w:t>
      </w:r>
    </w:p>
    <w:p w14:paraId="1AB52295" w14:textId="77777777" w:rsidR="00E4635B" w:rsidRPr="00133139" w:rsidRDefault="00E4635B" w:rsidP="00E4635B">
      <w:pPr>
        <w:pStyle w:val="Brdtekst3"/>
        <w:ind w:left="851"/>
        <w:jc w:val="left"/>
        <w:rPr>
          <w:bCs/>
          <w:szCs w:val="24"/>
          <w:lang w:val="da-DK"/>
        </w:rPr>
      </w:pPr>
      <w:r w:rsidRPr="00133139">
        <w:rPr>
          <w:bCs/>
          <w:szCs w:val="24"/>
          <w:lang w:val="da-DK"/>
        </w:rPr>
        <w:t xml:space="preserve">Efter oral administration af midazolam resulterede fluconazol i en betragtelig stigning i midazolam-koncentrationer og psykomotorisk effekt. Samtidig oral administration af fluconazol 200 mg og midazolam 7,5 mg øgede midazolams AUC og halveringstid henholdsvis 3,7 og 2,2 gange. </w:t>
      </w:r>
    </w:p>
    <w:p w14:paraId="31FC67FA" w14:textId="77777777" w:rsidR="00E4635B" w:rsidRPr="00133139" w:rsidRDefault="00E4635B" w:rsidP="00E4635B">
      <w:pPr>
        <w:pStyle w:val="Brdtekst3"/>
        <w:ind w:left="851" w:hanging="851"/>
        <w:jc w:val="left"/>
        <w:rPr>
          <w:bCs/>
          <w:szCs w:val="24"/>
          <w:lang w:val="da-DK"/>
        </w:rPr>
      </w:pPr>
    </w:p>
    <w:p w14:paraId="3B2D9DFD" w14:textId="77777777" w:rsidR="00E4635B" w:rsidRPr="00133139" w:rsidRDefault="00E4635B" w:rsidP="00E4635B">
      <w:pPr>
        <w:pStyle w:val="Brdtekst3"/>
        <w:ind w:left="851"/>
        <w:jc w:val="left"/>
        <w:rPr>
          <w:bCs/>
          <w:szCs w:val="24"/>
          <w:lang w:val="da-DK"/>
        </w:rPr>
      </w:pPr>
      <w:r w:rsidRPr="00133139">
        <w:rPr>
          <w:bCs/>
          <w:szCs w:val="24"/>
          <w:lang w:val="da-DK"/>
        </w:rPr>
        <w:t>Samtidig oral indgift af fluconazol 200 mg og triazolam 0,25 mg øgede triazolams AUC og halveringstid henholdsvis 4,4 og 2,3 gange. Potenseret og forlænget virkning af triazolam er observeret ved samtidig behandling med fluconazol. Hvis samtidig behandling med benzodiazepin er nødvendig hos patienter, der behandles med fluconazol, bør det overvejes at nedsætte benzodiazepindosis, og patienterne bør moniteres passende.</w:t>
      </w:r>
    </w:p>
    <w:p w14:paraId="6012C747" w14:textId="77777777" w:rsidR="00E4635B" w:rsidRPr="00133139" w:rsidRDefault="00E4635B" w:rsidP="00E4635B">
      <w:pPr>
        <w:pStyle w:val="Brdtekst3"/>
        <w:ind w:left="851" w:hanging="851"/>
        <w:jc w:val="right"/>
        <w:rPr>
          <w:bCs/>
          <w:szCs w:val="24"/>
          <w:lang w:val="da-DK"/>
        </w:rPr>
      </w:pPr>
    </w:p>
    <w:p w14:paraId="4B73DCDD" w14:textId="77777777" w:rsidR="00E4635B" w:rsidRPr="00133139" w:rsidRDefault="00E4635B" w:rsidP="00E4635B">
      <w:pPr>
        <w:pStyle w:val="Brdtekst3"/>
        <w:ind w:left="851"/>
        <w:jc w:val="left"/>
        <w:rPr>
          <w:bCs/>
          <w:szCs w:val="24"/>
          <w:lang w:val="da-DK"/>
        </w:rPr>
      </w:pPr>
      <w:r w:rsidRPr="00133139">
        <w:rPr>
          <w:bCs/>
          <w:i/>
          <w:szCs w:val="24"/>
          <w:lang w:val="da-DK"/>
        </w:rPr>
        <w:t>Carbamazepin</w:t>
      </w:r>
    </w:p>
    <w:p w14:paraId="36ECDD9B" w14:textId="77777777" w:rsidR="00E4635B" w:rsidRPr="00133139" w:rsidRDefault="00E4635B" w:rsidP="00E4635B">
      <w:pPr>
        <w:pStyle w:val="Brdtekst3"/>
        <w:ind w:left="851"/>
        <w:jc w:val="left"/>
        <w:rPr>
          <w:bCs/>
          <w:szCs w:val="24"/>
          <w:lang w:val="da-DK"/>
        </w:rPr>
      </w:pPr>
      <w:r w:rsidRPr="00133139">
        <w:rPr>
          <w:bCs/>
          <w:szCs w:val="24"/>
          <w:lang w:val="da-DK"/>
        </w:rPr>
        <w:t>Fluconazol hæmmer metaboliseringen af carbamazepin, og der er observeret en stigning i serum-carbamazepin på ca. 30 %. Der er risiko for udvikling af carbamazepin-toksicitet. Justering af carbamazepin-dosis kan blive nødvendig afhængig af koncentrationsmålinger/effekt.</w:t>
      </w:r>
    </w:p>
    <w:p w14:paraId="37FE5C8D" w14:textId="77777777" w:rsidR="00E4635B" w:rsidRPr="00133139" w:rsidRDefault="00E4635B" w:rsidP="00E4635B">
      <w:pPr>
        <w:pStyle w:val="Brdtekst3"/>
        <w:ind w:left="851" w:hanging="851"/>
        <w:jc w:val="left"/>
        <w:rPr>
          <w:bCs/>
          <w:szCs w:val="24"/>
          <w:lang w:val="da-DK"/>
        </w:rPr>
      </w:pPr>
    </w:p>
    <w:p w14:paraId="34314D83" w14:textId="77777777" w:rsidR="00E4635B" w:rsidRPr="00133139" w:rsidRDefault="00E4635B" w:rsidP="00E4635B">
      <w:pPr>
        <w:pStyle w:val="Brdtekst3"/>
        <w:ind w:left="851"/>
        <w:jc w:val="left"/>
        <w:rPr>
          <w:bCs/>
          <w:i/>
          <w:szCs w:val="24"/>
          <w:lang w:val="da-DK"/>
        </w:rPr>
      </w:pPr>
      <w:r w:rsidRPr="00133139">
        <w:rPr>
          <w:bCs/>
          <w:i/>
          <w:szCs w:val="24"/>
          <w:lang w:val="da-DK"/>
        </w:rPr>
        <w:t>Calciumantagonister</w:t>
      </w:r>
    </w:p>
    <w:p w14:paraId="62776E95" w14:textId="77777777" w:rsidR="00E4635B" w:rsidRPr="00133139" w:rsidRDefault="00E4635B" w:rsidP="00E4635B">
      <w:pPr>
        <w:pStyle w:val="Brdtekst3"/>
        <w:ind w:left="851"/>
        <w:jc w:val="left"/>
        <w:rPr>
          <w:bCs/>
          <w:szCs w:val="24"/>
          <w:lang w:val="da-DK"/>
        </w:rPr>
      </w:pPr>
      <w:r w:rsidRPr="00133139">
        <w:rPr>
          <w:bCs/>
          <w:szCs w:val="24"/>
          <w:lang w:val="da-DK"/>
        </w:rPr>
        <w:t>Visse calciumantagonister (nifedipin, isradipin, amlodipin, verapamil og felodipin) metaboliseres via CYP3A4. Fluconazol kan potentielt øge den systemiske eksponering af calciumantagonister. Hyppig monitorering for uønskede hændelser anbefales.</w:t>
      </w:r>
    </w:p>
    <w:p w14:paraId="1ADA3BB9" w14:textId="77777777" w:rsidR="00E4635B" w:rsidRPr="00133139" w:rsidRDefault="00E4635B" w:rsidP="00E4635B">
      <w:pPr>
        <w:pStyle w:val="Brdtekst3"/>
        <w:ind w:left="851" w:hanging="851"/>
        <w:jc w:val="left"/>
        <w:rPr>
          <w:bCs/>
          <w:szCs w:val="24"/>
          <w:lang w:val="da-DK"/>
        </w:rPr>
      </w:pPr>
    </w:p>
    <w:p w14:paraId="4131E9C5" w14:textId="77777777" w:rsidR="00E4635B" w:rsidRPr="00133139" w:rsidRDefault="00E4635B" w:rsidP="00EC6E49">
      <w:pPr>
        <w:pStyle w:val="Brdtekst3"/>
        <w:keepNext/>
        <w:ind w:left="851"/>
        <w:jc w:val="left"/>
        <w:rPr>
          <w:bCs/>
          <w:szCs w:val="24"/>
          <w:lang w:val="da-DK"/>
        </w:rPr>
      </w:pPr>
      <w:r w:rsidRPr="00133139">
        <w:rPr>
          <w:bCs/>
          <w:i/>
          <w:szCs w:val="24"/>
          <w:lang w:val="da-DK"/>
        </w:rPr>
        <w:t>Celecoxib</w:t>
      </w:r>
    </w:p>
    <w:p w14:paraId="32E201EF" w14:textId="77777777" w:rsidR="00E4635B" w:rsidRPr="00613787" w:rsidRDefault="00E4635B" w:rsidP="00E4635B">
      <w:pPr>
        <w:pStyle w:val="Brdtekst3"/>
        <w:ind w:left="851"/>
        <w:jc w:val="left"/>
        <w:rPr>
          <w:bCs/>
          <w:szCs w:val="24"/>
          <w:lang w:val="da-DK"/>
        </w:rPr>
      </w:pPr>
      <w:r w:rsidRPr="00133139">
        <w:rPr>
          <w:bCs/>
          <w:szCs w:val="24"/>
          <w:lang w:val="da-DK"/>
        </w:rPr>
        <w:t>Under samtidig behandling med fluconazol (200 mg dagligt) og celecoxib (200 mg) steg C</w:t>
      </w:r>
      <w:r w:rsidRPr="00133139">
        <w:rPr>
          <w:bCs/>
          <w:szCs w:val="24"/>
          <w:vertAlign w:val="subscript"/>
          <w:lang w:val="da-DK"/>
        </w:rPr>
        <w:t>max</w:t>
      </w:r>
      <w:r w:rsidRPr="00133139">
        <w:rPr>
          <w:bCs/>
          <w:szCs w:val="24"/>
          <w:lang w:val="da-DK"/>
        </w:rPr>
        <w:t xml:space="preserve"> og AUC for celecoxib med henholdsvis 68 % og 134 %. Det kan være nødvendigt at halvere celecoxibdosis ved kombinationsbehandling med fluconazol.</w:t>
      </w:r>
    </w:p>
    <w:p w14:paraId="2370FFB9" w14:textId="77777777" w:rsidR="00E4635B" w:rsidRPr="00133139" w:rsidRDefault="00E4635B" w:rsidP="00E4635B">
      <w:pPr>
        <w:pStyle w:val="Brdtekst3"/>
        <w:ind w:left="851" w:hanging="851"/>
        <w:jc w:val="left"/>
        <w:rPr>
          <w:bCs/>
          <w:szCs w:val="24"/>
          <w:lang w:val="da-DK"/>
        </w:rPr>
      </w:pPr>
    </w:p>
    <w:p w14:paraId="7CEA3AF0" w14:textId="77777777" w:rsidR="00E4635B" w:rsidRPr="00133139" w:rsidRDefault="00E4635B" w:rsidP="00E4635B">
      <w:pPr>
        <w:pStyle w:val="Brdtekst3"/>
        <w:ind w:left="851"/>
        <w:jc w:val="left"/>
        <w:rPr>
          <w:bCs/>
          <w:szCs w:val="24"/>
          <w:lang w:val="da-DK"/>
        </w:rPr>
      </w:pPr>
      <w:r w:rsidRPr="00133139">
        <w:rPr>
          <w:bCs/>
          <w:i/>
          <w:szCs w:val="24"/>
          <w:lang w:val="da-DK"/>
        </w:rPr>
        <w:t>Cyclophosphamid</w:t>
      </w:r>
    </w:p>
    <w:p w14:paraId="40E3FC6D" w14:textId="77777777" w:rsidR="00E4635B" w:rsidRPr="00133139" w:rsidRDefault="00E4635B" w:rsidP="00E4635B">
      <w:pPr>
        <w:pStyle w:val="Brdtekst3"/>
        <w:ind w:left="851"/>
        <w:jc w:val="left"/>
        <w:rPr>
          <w:bCs/>
          <w:szCs w:val="24"/>
          <w:lang w:val="da-DK"/>
        </w:rPr>
      </w:pPr>
      <w:r w:rsidRPr="00133139">
        <w:rPr>
          <w:bCs/>
          <w:szCs w:val="24"/>
          <w:lang w:val="da-DK"/>
        </w:rPr>
        <w:t>Kombinationsterapi med cyclophosphamid og fluconazol resulterer i en stigning i serum-bilirubin og serum-kreatinin. Kombinationen kan anvendes med øget opmærksomhed på risikoen for stigning i serum-bilirubin og serum-kreatinin.</w:t>
      </w:r>
    </w:p>
    <w:p w14:paraId="0557C987" w14:textId="77777777" w:rsidR="00E4635B" w:rsidRPr="00133139" w:rsidRDefault="00E4635B" w:rsidP="00E4635B">
      <w:pPr>
        <w:pStyle w:val="Brdtekst3"/>
        <w:ind w:left="851" w:hanging="851"/>
        <w:jc w:val="left"/>
        <w:rPr>
          <w:bCs/>
          <w:szCs w:val="24"/>
          <w:lang w:val="da-DK"/>
        </w:rPr>
      </w:pPr>
    </w:p>
    <w:p w14:paraId="13DAF10D" w14:textId="77777777" w:rsidR="00E4635B" w:rsidRPr="00133139" w:rsidRDefault="00E4635B" w:rsidP="00E4635B">
      <w:pPr>
        <w:pStyle w:val="Brdtekst3"/>
        <w:ind w:left="851"/>
        <w:jc w:val="left"/>
        <w:rPr>
          <w:bCs/>
          <w:szCs w:val="24"/>
          <w:lang w:val="da-DK"/>
        </w:rPr>
      </w:pPr>
      <w:r w:rsidRPr="00133139">
        <w:rPr>
          <w:bCs/>
          <w:i/>
          <w:szCs w:val="24"/>
          <w:lang w:val="da-DK"/>
        </w:rPr>
        <w:t>Fentanyl</w:t>
      </w:r>
    </w:p>
    <w:p w14:paraId="515E2B41" w14:textId="77777777" w:rsidR="00E4635B" w:rsidRPr="00133139" w:rsidRDefault="00E4635B" w:rsidP="00E4635B">
      <w:pPr>
        <w:pStyle w:val="Brdtekst3"/>
        <w:ind w:left="851"/>
        <w:jc w:val="left"/>
        <w:rPr>
          <w:bCs/>
          <w:szCs w:val="24"/>
          <w:lang w:val="da-DK"/>
        </w:rPr>
      </w:pPr>
      <w:r w:rsidRPr="00133139">
        <w:rPr>
          <w:bCs/>
          <w:szCs w:val="24"/>
          <w:lang w:val="da-DK"/>
        </w:rPr>
        <w:t>Et letalt tilfælde af fentanylforgiftning pga. mulig fentanyl-fluconazol-interaktion er blevet rapporteret. Endvidere er det påvist, at fluconazol forsinkede eliminationen af fentanyl signifikant hos raske forsøgspersoner. En øget fentanylkoncentration kan føre til respirationsdepression. Patienter skal overvåges nøje for en potentiel risiko for respirationsdepression. Dosisjustering af fentanyl kan være nødvendig.</w:t>
      </w:r>
    </w:p>
    <w:p w14:paraId="24AE4AE9" w14:textId="77777777" w:rsidR="00E4635B" w:rsidRDefault="00E4635B" w:rsidP="00E4635B">
      <w:pPr>
        <w:pStyle w:val="Brdtekst3"/>
        <w:ind w:left="851" w:hanging="851"/>
        <w:jc w:val="left"/>
        <w:rPr>
          <w:bCs/>
          <w:szCs w:val="24"/>
          <w:lang w:val="da-DK"/>
        </w:rPr>
      </w:pPr>
    </w:p>
    <w:p w14:paraId="4D7C8E82" w14:textId="77777777" w:rsidR="00F33816" w:rsidRDefault="00F33816" w:rsidP="00F33816">
      <w:pPr>
        <w:pStyle w:val="Brdtekst3"/>
        <w:ind w:left="851"/>
        <w:jc w:val="left"/>
        <w:rPr>
          <w:bCs/>
          <w:i/>
          <w:szCs w:val="24"/>
          <w:lang w:val="da-DK"/>
        </w:rPr>
      </w:pPr>
      <w:r>
        <w:rPr>
          <w:i/>
          <w:szCs w:val="24"/>
          <w:lang w:val="da-DK"/>
        </w:rPr>
        <w:t>HMG-CoA-reduktasehæmmere</w:t>
      </w:r>
      <w:r>
        <w:rPr>
          <w:bCs/>
          <w:i/>
          <w:szCs w:val="24"/>
          <w:lang w:val="da-DK"/>
        </w:rPr>
        <w:t xml:space="preserve"> </w:t>
      </w:r>
    </w:p>
    <w:p w14:paraId="3E73DE1A" w14:textId="77777777" w:rsidR="00F33816" w:rsidRDefault="00F33816" w:rsidP="00F33816">
      <w:pPr>
        <w:pStyle w:val="Brdtekst3"/>
        <w:ind w:left="851"/>
        <w:jc w:val="left"/>
        <w:rPr>
          <w:bCs/>
          <w:szCs w:val="24"/>
          <w:lang w:val="da-DK"/>
        </w:rPr>
      </w:pPr>
      <w:r>
        <w:rPr>
          <w:bCs/>
          <w:szCs w:val="24"/>
          <w:lang w:val="da-DK"/>
        </w:rPr>
        <w:t>Risikoen for myopati og rabdomyolyse forøges (dosisafhængigt) ved samtidig administration af fluconazol og HMG-CoA-reduktasehæmmere, som metaboliseres via CYP3A4, såsom atorvastatin og simvastatin, eller via CYP2C9, såsom fluvastatin (nedsat levermetabolisme af statinet). Hvis samtidig behandling er nødvendig, skal patienten observeres for symptomer på myopati og rabdomyolyse, og kreatinkinase bør monitoreres. HMG-CoA-reduktase-hæmmere bør seponeres, hvis der observeres en markant stigning i kreatinkinase, hvis der er mistanke om myopati/rabdomyolyse, eller hvis myopati/rabdomyolyse diagnosticeres. Lavere doser af HMG-CoA-reduktasehæmmere kan være nødvendige som anvist i statinernes ordinationsoplysninger.</w:t>
      </w:r>
    </w:p>
    <w:p w14:paraId="7E1C7338" w14:textId="77777777" w:rsidR="00E64488" w:rsidRDefault="00E64488" w:rsidP="00E64488">
      <w:pPr>
        <w:pStyle w:val="Brdtekst3"/>
        <w:ind w:left="851"/>
        <w:jc w:val="left"/>
        <w:rPr>
          <w:bCs/>
          <w:szCs w:val="24"/>
          <w:lang w:val="da-DK"/>
        </w:rPr>
      </w:pPr>
    </w:p>
    <w:p w14:paraId="247D1B24" w14:textId="77777777" w:rsidR="00E64488" w:rsidRDefault="00E64488" w:rsidP="00E64488">
      <w:pPr>
        <w:ind w:left="855"/>
      </w:pPr>
      <w:r>
        <w:rPr>
          <w:sz w:val="24"/>
        </w:rPr>
        <w:t xml:space="preserve">Ibrutinib: Moderate hæmmere af CYP3A4, såsom fluconazol, øger plasmakoncentrationen af ibrutinib, og kan øge risikoen for toksicitet. Hvis kombinationen ikke kan undgås, nedsættes dosis af ibrutinib til 280 mg dagligt (2 kapsler), i det tidsrum hæmmeren anvendes, og tæt klinisk monitorering ydes.  </w:t>
      </w:r>
    </w:p>
    <w:p w14:paraId="6E86E7DA" w14:textId="77777777" w:rsidR="00E64488" w:rsidRDefault="00E64488" w:rsidP="00E64488">
      <w:pPr>
        <w:pStyle w:val="Brdtekst3"/>
        <w:ind w:left="851" w:hanging="851"/>
        <w:jc w:val="left"/>
        <w:rPr>
          <w:bCs/>
          <w:szCs w:val="24"/>
          <w:lang w:val="da-DK"/>
        </w:rPr>
      </w:pPr>
    </w:p>
    <w:p w14:paraId="487983BE" w14:textId="77777777" w:rsidR="00E4635B" w:rsidRPr="004C40D9" w:rsidRDefault="00E4635B" w:rsidP="00E4635B">
      <w:pPr>
        <w:ind w:left="855"/>
        <w:rPr>
          <w:sz w:val="24"/>
          <w:u w:val="single"/>
        </w:rPr>
      </w:pPr>
      <w:r w:rsidRPr="004C40D9">
        <w:rPr>
          <w:sz w:val="24"/>
          <w:u w:val="single"/>
        </w:rPr>
        <w:t>Olaparib:</w:t>
      </w:r>
      <w:r w:rsidRPr="004C40D9">
        <w:rPr>
          <w:sz w:val="24"/>
        </w:rPr>
        <w:t xml:space="preserve"> Moderate hæmmere af CYP3A4, såsom fluconazol, øger plasmakoncentrationen af olaparib, og samtidig brug anbefales ikke. Hvis kombinationen ikke kan undgås, skal dosis af olaparib begrænses til 200 mg to gange dagligt.</w:t>
      </w:r>
    </w:p>
    <w:p w14:paraId="78BFD913" w14:textId="77777777" w:rsidR="00E4635B" w:rsidRDefault="00E4635B" w:rsidP="00E4635B">
      <w:pPr>
        <w:pStyle w:val="Brdtekst3"/>
        <w:keepNext/>
        <w:ind w:left="851"/>
        <w:jc w:val="left"/>
        <w:rPr>
          <w:bCs/>
          <w:i/>
          <w:szCs w:val="24"/>
          <w:lang w:val="da-DK"/>
        </w:rPr>
      </w:pPr>
    </w:p>
    <w:p w14:paraId="72F7B1EC" w14:textId="77777777" w:rsidR="00E4635B" w:rsidRPr="00133139" w:rsidRDefault="00E4635B" w:rsidP="00E4635B">
      <w:pPr>
        <w:pStyle w:val="Brdtekst3"/>
        <w:keepNext/>
        <w:ind w:left="851"/>
        <w:jc w:val="left"/>
        <w:rPr>
          <w:bCs/>
          <w:i/>
          <w:szCs w:val="24"/>
          <w:lang w:val="da-DK"/>
        </w:rPr>
      </w:pPr>
      <w:r w:rsidRPr="00133139">
        <w:rPr>
          <w:bCs/>
          <w:i/>
          <w:szCs w:val="24"/>
          <w:lang w:val="da-DK"/>
        </w:rPr>
        <w:t>Immunosuppressiva (dvs. ciclosporin, everolimu, sirolimus og tacrolimus)</w:t>
      </w:r>
    </w:p>
    <w:p w14:paraId="2371AD09" w14:textId="77777777" w:rsidR="00E4635B" w:rsidRPr="00133139" w:rsidRDefault="00E4635B" w:rsidP="00E4635B">
      <w:pPr>
        <w:pStyle w:val="Brdtekst3"/>
        <w:keepNext/>
        <w:ind w:left="851" w:hanging="851"/>
        <w:jc w:val="left"/>
        <w:rPr>
          <w:bCs/>
          <w:szCs w:val="24"/>
          <w:lang w:val="da-DK"/>
        </w:rPr>
      </w:pPr>
    </w:p>
    <w:p w14:paraId="5B080750" w14:textId="77777777" w:rsidR="00E4635B" w:rsidRPr="00133139" w:rsidRDefault="00E4635B" w:rsidP="00E4635B">
      <w:pPr>
        <w:pStyle w:val="Brdtekst3"/>
        <w:ind w:left="851"/>
        <w:jc w:val="left"/>
        <w:rPr>
          <w:bCs/>
          <w:szCs w:val="24"/>
          <w:lang w:val="da-DK"/>
        </w:rPr>
      </w:pPr>
      <w:r w:rsidRPr="00133139">
        <w:rPr>
          <w:bCs/>
          <w:i/>
          <w:szCs w:val="24"/>
          <w:lang w:val="da-DK"/>
        </w:rPr>
        <w:t>Ciclosporin</w:t>
      </w:r>
      <w:r w:rsidRPr="00133139">
        <w:rPr>
          <w:bCs/>
          <w:szCs w:val="24"/>
          <w:lang w:val="da-DK"/>
        </w:rPr>
        <w:t xml:space="preserve"> </w:t>
      </w:r>
    </w:p>
    <w:p w14:paraId="5E0D681E" w14:textId="77777777" w:rsidR="00E4635B" w:rsidRPr="00133139" w:rsidRDefault="00E4635B" w:rsidP="00E4635B">
      <w:pPr>
        <w:pStyle w:val="Brdtekst3"/>
        <w:ind w:left="851"/>
        <w:jc w:val="left"/>
        <w:rPr>
          <w:bCs/>
          <w:szCs w:val="24"/>
          <w:lang w:val="da-DK"/>
        </w:rPr>
      </w:pPr>
      <w:r w:rsidRPr="00133139">
        <w:rPr>
          <w:bCs/>
          <w:szCs w:val="24"/>
          <w:lang w:val="da-DK"/>
        </w:rPr>
        <w:t>Fluconazol øger koncentration og AUC af ciclosporin signifikant. Ved samtidig behandling med fluconazol 200 mg dagligt og ciclosporin (2,7 mg/kg/dag) blev AUC for ciclosporin øget 1,8 gange. Denne kombination kan anvendes med dosisnedsættelse af ciclosporin afhængigt af ciclosporin-koncentrationen.</w:t>
      </w:r>
    </w:p>
    <w:p w14:paraId="436041DB" w14:textId="77777777" w:rsidR="00E4635B" w:rsidRPr="00133139" w:rsidRDefault="00E4635B" w:rsidP="00E4635B">
      <w:pPr>
        <w:pStyle w:val="Brdtekst3"/>
        <w:ind w:left="851" w:hanging="851"/>
        <w:jc w:val="left"/>
        <w:rPr>
          <w:bCs/>
          <w:szCs w:val="24"/>
          <w:lang w:val="da-DK"/>
        </w:rPr>
      </w:pPr>
    </w:p>
    <w:p w14:paraId="5ECB4B2B" w14:textId="77777777" w:rsidR="00E4635B" w:rsidRPr="00133139" w:rsidRDefault="00E4635B" w:rsidP="00E4635B">
      <w:pPr>
        <w:pStyle w:val="Brdtekst3"/>
        <w:ind w:left="851"/>
        <w:jc w:val="left"/>
        <w:rPr>
          <w:bCs/>
          <w:szCs w:val="24"/>
          <w:lang w:val="da-DK"/>
        </w:rPr>
      </w:pPr>
      <w:r w:rsidRPr="00133139">
        <w:rPr>
          <w:bCs/>
          <w:i/>
          <w:szCs w:val="24"/>
          <w:lang w:val="da-DK"/>
        </w:rPr>
        <w:t>Everolimus</w:t>
      </w:r>
    </w:p>
    <w:p w14:paraId="380F9DF1" w14:textId="77777777" w:rsidR="00E4635B" w:rsidRPr="00133139" w:rsidRDefault="00E4635B" w:rsidP="00E4635B">
      <w:pPr>
        <w:pStyle w:val="Brdtekst3"/>
        <w:ind w:left="851"/>
        <w:jc w:val="left"/>
        <w:rPr>
          <w:bCs/>
          <w:szCs w:val="24"/>
          <w:lang w:val="da-DK"/>
        </w:rPr>
      </w:pPr>
      <w:r w:rsidRPr="00133139">
        <w:rPr>
          <w:bCs/>
          <w:szCs w:val="24"/>
          <w:lang w:val="da-DK"/>
        </w:rPr>
        <w:t xml:space="preserve">Selv om det ikke er undersøgt </w:t>
      </w:r>
      <w:r w:rsidRPr="00133139">
        <w:rPr>
          <w:bCs/>
          <w:i/>
          <w:szCs w:val="24"/>
          <w:lang w:val="da-DK"/>
        </w:rPr>
        <w:t>in vivo</w:t>
      </w:r>
      <w:r w:rsidRPr="00133139">
        <w:rPr>
          <w:bCs/>
          <w:szCs w:val="24"/>
          <w:lang w:val="da-DK"/>
        </w:rPr>
        <w:t xml:space="preserve"> og </w:t>
      </w:r>
      <w:r w:rsidRPr="00133139">
        <w:rPr>
          <w:bCs/>
          <w:i/>
          <w:szCs w:val="24"/>
          <w:lang w:val="da-DK"/>
        </w:rPr>
        <w:t>in vitro</w:t>
      </w:r>
      <w:r w:rsidRPr="00133139">
        <w:rPr>
          <w:bCs/>
          <w:szCs w:val="24"/>
          <w:lang w:val="da-DK"/>
        </w:rPr>
        <w:t>, kan fluconazol muligvis øge serumkoncentrationen af everolimus via hæmning af CYP3A4.</w:t>
      </w:r>
    </w:p>
    <w:p w14:paraId="4A2B00EA" w14:textId="77777777" w:rsidR="00E4635B" w:rsidRDefault="00E4635B" w:rsidP="00E4635B">
      <w:pPr>
        <w:rPr>
          <w:bCs/>
          <w:i/>
          <w:color w:val="000000"/>
          <w:sz w:val="24"/>
          <w:szCs w:val="24"/>
        </w:rPr>
      </w:pPr>
    </w:p>
    <w:p w14:paraId="6ECEED18" w14:textId="77777777" w:rsidR="00CF659D" w:rsidRDefault="00CF659D" w:rsidP="00E4635B">
      <w:pPr>
        <w:rPr>
          <w:bCs/>
          <w:i/>
          <w:color w:val="000000"/>
          <w:sz w:val="24"/>
          <w:szCs w:val="24"/>
        </w:rPr>
      </w:pPr>
    </w:p>
    <w:p w14:paraId="136A94A1" w14:textId="77777777" w:rsidR="00E4635B" w:rsidRPr="00133139" w:rsidRDefault="00E4635B" w:rsidP="00E4635B">
      <w:pPr>
        <w:pStyle w:val="Brdtekst3"/>
        <w:ind w:left="851"/>
        <w:jc w:val="left"/>
        <w:rPr>
          <w:bCs/>
          <w:szCs w:val="24"/>
          <w:lang w:val="da-DK"/>
        </w:rPr>
      </w:pPr>
      <w:r w:rsidRPr="00133139">
        <w:rPr>
          <w:bCs/>
          <w:i/>
          <w:szCs w:val="24"/>
          <w:lang w:val="da-DK"/>
        </w:rPr>
        <w:lastRenderedPageBreak/>
        <w:t>Sirolimus</w:t>
      </w:r>
    </w:p>
    <w:p w14:paraId="7AD48EF8" w14:textId="77777777" w:rsidR="00E4635B" w:rsidRPr="00133139" w:rsidRDefault="00E4635B" w:rsidP="00E4635B">
      <w:pPr>
        <w:pStyle w:val="Brdtekst3"/>
        <w:ind w:left="851"/>
        <w:jc w:val="left"/>
        <w:rPr>
          <w:bCs/>
          <w:szCs w:val="24"/>
          <w:lang w:val="da-DK"/>
        </w:rPr>
      </w:pPr>
      <w:r w:rsidRPr="00133139">
        <w:rPr>
          <w:bCs/>
          <w:szCs w:val="24"/>
          <w:lang w:val="da-DK"/>
        </w:rPr>
        <w:t>Fluconazol øger plasmakoncentrationen af sirolimus, antagelig ved at hæmme metaboliseringen af sirolimus via CYP3A4 og P-glykoprotein. Denne kombination kan anvendes med dosisjustering af sirolimus afhængig af effekt/koncentrationsmålinger.</w:t>
      </w:r>
    </w:p>
    <w:p w14:paraId="477DBFEC" w14:textId="77777777" w:rsidR="005F340D" w:rsidRPr="00133139" w:rsidRDefault="005F340D" w:rsidP="005F340D">
      <w:pPr>
        <w:pStyle w:val="Brdtekst3"/>
        <w:jc w:val="left"/>
        <w:rPr>
          <w:bCs/>
          <w:szCs w:val="24"/>
          <w:lang w:val="da-DK"/>
        </w:rPr>
      </w:pPr>
    </w:p>
    <w:p w14:paraId="3E389614" w14:textId="77777777" w:rsidR="00E4635B" w:rsidRPr="00133139" w:rsidRDefault="00E4635B" w:rsidP="00E4635B">
      <w:pPr>
        <w:pStyle w:val="Brdtekst3"/>
        <w:ind w:left="851"/>
        <w:jc w:val="left"/>
        <w:rPr>
          <w:bCs/>
          <w:szCs w:val="24"/>
          <w:lang w:val="da-DK"/>
        </w:rPr>
      </w:pPr>
      <w:r w:rsidRPr="00133139">
        <w:rPr>
          <w:bCs/>
          <w:i/>
          <w:szCs w:val="24"/>
          <w:lang w:val="da-DK"/>
        </w:rPr>
        <w:t>Tacrolimus</w:t>
      </w:r>
    </w:p>
    <w:p w14:paraId="1BE252D6" w14:textId="77777777" w:rsidR="00E4635B" w:rsidRPr="00133139" w:rsidRDefault="00E4635B" w:rsidP="00E4635B">
      <w:pPr>
        <w:pStyle w:val="Brdtekst3"/>
        <w:ind w:left="851"/>
        <w:jc w:val="left"/>
        <w:rPr>
          <w:bCs/>
          <w:szCs w:val="24"/>
          <w:lang w:val="da-DK"/>
        </w:rPr>
      </w:pPr>
      <w:r w:rsidRPr="00133139">
        <w:rPr>
          <w:bCs/>
          <w:szCs w:val="24"/>
          <w:lang w:val="da-DK"/>
        </w:rPr>
        <w:t>Fluconazol kan øge serumkoncentrationen af oralt administreret tacrolimus op til 5 gange som følge af hæmning af metaboliseringen af tacrolimus via CYP3A4 i tarmene. Der er ikke observeret nogen signifikante farmakokinetiske ændringer, hvis tacrolimus gives intravenøst. Forøgede tacrolimus-koncentrationer har været associeret med nefrotoksicitet. Dosis af oralt tacrolimus bør nedsættes afhængig af tacrolimus-koncentrationen.</w:t>
      </w:r>
    </w:p>
    <w:p w14:paraId="54909FDA" w14:textId="77777777" w:rsidR="00E4635B" w:rsidRPr="00133139" w:rsidRDefault="00E4635B" w:rsidP="00E4635B">
      <w:pPr>
        <w:pStyle w:val="Brdtekst3"/>
        <w:ind w:left="851" w:hanging="851"/>
        <w:jc w:val="left"/>
        <w:rPr>
          <w:bCs/>
          <w:szCs w:val="24"/>
          <w:lang w:val="da-DK"/>
        </w:rPr>
      </w:pPr>
    </w:p>
    <w:p w14:paraId="4B514C4E" w14:textId="77777777" w:rsidR="00E4635B" w:rsidRPr="00133139" w:rsidRDefault="00E4635B" w:rsidP="00E4635B">
      <w:pPr>
        <w:pStyle w:val="Brdtekst3"/>
        <w:ind w:left="851"/>
        <w:jc w:val="left"/>
        <w:rPr>
          <w:bCs/>
          <w:szCs w:val="24"/>
          <w:lang w:val="da-DK"/>
        </w:rPr>
      </w:pPr>
      <w:r w:rsidRPr="00133139">
        <w:rPr>
          <w:bCs/>
          <w:i/>
          <w:szCs w:val="24"/>
          <w:lang w:val="da-DK"/>
        </w:rPr>
        <w:t>Losartan</w:t>
      </w:r>
      <w:r w:rsidRPr="00133139">
        <w:rPr>
          <w:bCs/>
          <w:szCs w:val="24"/>
          <w:lang w:val="da-DK"/>
        </w:rPr>
        <w:t xml:space="preserve"> </w:t>
      </w:r>
    </w:p>
    <w:p w14:paraId="08E92B93" w14:textId="77777777" w:rsidR="00E4635B" w:rsidRDefault="00E4635B" w:rsidP="00E4635B">
      <w:pPr>
        <w:pStyle w:val="Brdtekst3"/>
        <w:ind w:left="851"/>
        <w:jc w:val="left"/>
        <w:rPr>
          <w:bCs/>
          <w:szCs w:val="24"/>
          <w:lang w:val="da-DK"/>
        </w:rPr>
      </w:pPr>
      <w:r w:rsidRPr="00133139">
        <w:rPr>
          <w:bCs/>
          <w:szCs w:val="24"/>
          <w:lang w:val="da-DK"/>
        </w:rPr>
        <w:t>Fluconazol hæmmer metaboliseringen af losartan til dets aktive metabolit (E-3174), som er ansvarlig for størstedelen af den angiotensin-II-receptor-antagonisme, der forekommer under losartanbehandling. Patienter bør løbende få kontrolleret deres blodtryk.</w:t>
      </w:r>
    </w:p>
    <w:p w14:paraId="743954B5" w14:textId="77777777" w:rsidR="00F33816" w:rsidRDefault="00F33816" w:rsidP="00E4635B">
      <w:pPr>
        <w:pStyle w:val="Brdtekst3"/>
        <w:ind w:left="851"/>
        <w:jc w:val="left"/>
        <w:rPr>
          <w:bCs/>
          <w:szCs w:val="24"/>
          <w:lang w:val="da-DK"/>
        </w:rPr>
      </w:pPr>
    </w:p>
    <w:p w14:paraId="56738755" w14:textId="77777777" w:rsidR="00F33816" w:rsidRDefault="00F33816" w:rsidP="00F33816">
      <w:pPr>
        <w:pStyle w:val="Brdtekst3"/>
        <w:ind w:left="851"/>
        <w:jc w:val="left"/>
        <w:rPr>
          <w:bCs/>
          <w:i/>
          <w:iCs/>
          <w:szCs w:val="24"/>
          <w:lang w:val="da-DK"/>
        </w:rPr>
      </w:pPr>
      <w:r>
        <w:rPr>
          <w:bCs/>
          <w:i/>
          <w:iCs/>
          <w:szCs w:val="24"/>
          <w:lang w:val="da-DK"/>
        </w:rPr>
        <w:t>Lurasidon</w:t>
      </w:r>
    </w:p>
    <w:p w14:paraId="291BB128" w14:textId="77777777" w:rsidR="00F33816" w:rsidRPr="00133139" w:rsidRDefault="00F33816" w:rsidP="00F33816">
      <w:pPr>
        <w:pStyle w:val="Brdtekst3"/>
        <w:ind w:left="851"/>
        <w:jc w:val="left"/>
        <w:rPr>
          <w:bCs/>
          <w:szCs w:val="24"/>
          <w:lang w:val="da-DK"/>
        </w:rPr>
      </w:pPr>
      <w:r>
        <w:rPr>
          <w:bCs/>
          <w:szCs w:val="24"/>
          <w:lang w:val="da-DK"/>
        </w:rPr>
        <w:t>Moderate hæmmere af CYP3A4, såsom fluconazol, kan øge plasmakoncentrationen af lurasidon. Hvis samtidig brug ikke kan undgås, skal dosis af lurasidon reduceres som anvist i lurasidons ordinationsoplysninger.</w:t>
      </w:r>
    </w:p>
    <w:p w14:paraId="266806E0" w14:textId="77777777" w:rsidR="00E4635B" w:rsidRPr="00133139" w:rsidRDefault="00E4635B" w:rsidP="00E4635B">
      <w:pPr>
        <w:pStyle w:val="Brdtekst3"/>
        <w:ind w:left="851" w:hanging="851"/>
        <w:jc w:val="left"/>
        <w:rPr>
          <w:bCs/>
          <w:szCs w:val="24"/>
          <w:lang w:val="da-DK"/>
        </w:rPr>
      </w:pPr>
    </w:p>
    <w:p w14:paraId="7FDC93D1" w14:textId="77777777" w:rsidR="00E4635B" w:rsidRPr="00133139" w:rsidRDefault="00E4635B" w:rsidP="00E4635B">
      <w:pPr>
        <w:pStyle w:val="Brdtekst3"/>
        <w:ind w:left="851"/>
        <w:jc w:val="left"/>
        <w:rPr>
          <w:bCs/>
          <w:szCs w:val="24"/>
          <w:lang w:val="da-DK"/>
        </w:rPr>
      </w:pPr>
      <w:r w:rsidRPr="00133139">
        <w:rPr>
          <w:bCs/>
          <w:i/>
          <w:szCs w:val="24"/>
          <w:lang w:val="da-DK"/>
        </w:rPr>
        <w:t>Methadon</w:t>
      </w:r>
    </w:p>
    <w:p w14:paraId="4C1FADF7" w14:textId="77777777" w:rsidR="00E4635B" w:rsidRPr="00133139" w:rsidRDefault="00E4635B" w:rsidP="00E4635B">
      <w:pPr>
        <w:pStyle w:val="Brdtekst3"/>
        <w:ind w:left="851"/>
        <w:jc w:val="left"/>
        <w:rPr>
          <w:bCs/>
          <w:szCs w:val="24"/>
          <w:lang w:val="da-DK"/>
        </w:rPr>
      </w:pPr>
      <w:r w:rsidRPr="00133139">
        <w:rPr>
          <w:bCs/>
          <w:szCs w:val="24"/>
          <w:lang w:val="da-DK"/>
        </w:rPr>
        <w:t>Fluconazol kan øge serumkoncentrationen af methadon. Justering af methadon-dosis kan være nødvendig.</w:t>
      </w:r>
    </w:p>
    <w:p w14:paraId="7661AC14" w14:textId="77777777" w:rsidR="00996A1D" w:rsidRPr="00133139" w:rsidRDefault="00996A1D" w:rsidP="00E4635B">
      <w:pPr>
        <w:pStyle w:val="Brdtekst3"/>
        <w:ind w:left="851" w:hanging="851"/>
        <w:jc w:val="left"/>
        <w:rPr>
          <w:bCs/>
          <w:szCs w:val="24"/>
          <w:u w:val="single"/>
          <w:lang w:val="da-DK"/>
        </w:rPr>
      </w:pPr>
    </w:p>
    <w:p w14:paraId="1C1362D2" w14:textId="77777777" w:rsidR="00E4635B" w:rsidRPr="00133139" w:rsidRDefault="00E4635B" w:rsidP="00E4635B">
      <w:pPr>
        <w:pStyle w:val="Brdtekst3"/>
        <w:ind w:left="851"/>
        <w:jc w:val="left"/>
        <w:rPr>
          <w:bCs/>
          <w:i/>
          <w:szCs w:val="24"/>
          <w:lang w:val="da-DK"/>
        </w:rPr>
      </w:pPr>
      <w:r w:rsidRPr="00133139">
        <w:rPr>
          <w:bCs/>
          <w:i/>
          <w:szCs w:val="24"/>
          <w:lang w:val="da-DK"/>
        </w:rPr>
        <w:t>Non-steroide antiinflammatoriske lægemidler</w:t>
      </w:r>
    </w:p>
    <w:p w14:paraId="2EC2C6F7" w14:textId="77777777" w:rsidR="00E4635B" w:rsidRPr="00133139" w:rsidRDefault="00E4635B" w:rsidP="00E4635B">
      <w:pPr>
        <w:pStyle w:val="Brdtekst3"/>
        <w:ind w:left="851"/>
        <w:jc w:val="left"/>
        <w:rPr>
          <w:bCs/>
          <w:szCs w:val="24"/>
          <w:lang w:val="da-DK"/>
        </w:rPr>
      </w:pPr>
      <w:r w:rsidRPr="00133139">
        <w:rPr>
          <w:bCs/>
          <w:szCs w:val="24"/>
          <w:lang w:val="da-DK"/>
        </w:rPr>
        <w:t>C</w:t>
      </w:r>
      <w:r w:rsidRPr="00133139">
        <w:rPr>
          <w:bCs/>
          <w:szCs w:val="24"/>
          <w:vertAlign w:val="subscript"/>
          <w:lang w:val="da-DK"/>
        </w:rPr>
        <w:t xml:space="preserve">max </w:t>
      </w:r>
      <w:r w:rsidRPr="00133139">
        <w:rPr>
          <w:bCs/>
          <w:szCs w:val="24"/>
          <w:lang w:val="da-DK"/>
        </w:rPr>
        <w:t>og AUC for flurbiprofen blev øget med henholdsvis 23 % og 81 % ved samtidig administration med fluconazol sammenlignet med administration af flurbiprofen alene. Tilsvarende blev C</w:t>
      </w:r>
      <w:r w:rsidRPr="00133139">
        <w:rPr>
          <w:bCs/>
          <w:szCs w:val="24"/>
          <w:vertAlign w:val="subscript"/>
          <w:lang w:val="da-DK"/>
        </w:rPr>
        <w:t>max</w:t>
      </w:r>
      <w:r w:rsidRPr="00133139">
        <w:rPr>
          <w:bCs/>
          <w:szCs w:val="24"/>
          <w:lang w:val="da-DK"/>
        </w:rPr>
        <w:t xml:space="preserve"> og AUC for den farmakologisk aktive isomer [S-(+)-ibuprofen] øget med henholdsvis 15 % og 82 %, når fluconazol blev administreret samtidig med racemisk ibuprofen (400 mg) sammenlignet med administration af racemisk ibuprofen alene.</w:t>
      </w:r>
    </w:p>
    <w:p w14:paraId="0157BFCF" w14:textId="77777777" w:rsidR="00E4635B" w:rsidRPr="00133139" w:rsidRDefault="00E4635B" w:rsidP="00E4635B">
      <w:pPr>
        <w:pStyle w:val="Brdtekst3"/>
        <w:ind w:left="851" w:hanging="851"/>
        <w:jc w:val="left"/>
        <w:rPr>
          <w:bCs/>
          <w:szCs w:val="24"/>
          <w:lang w:val="da-DK"/>
        </w:rPr>
      </w:pPr>
    </w:p>
    <w:p w14:paraId="1E662604" w14:textId="77777777" w:rsidR="00E4635B" w:rsidRPr="00133139" w:rsidRDefault="00E4635B" w:rsidP="00E4635B">
      <w:pPr>
        <w:pStyle w:val="Brdtekst3"/>
        <w:ind w:left="851"/>
        <w:jc w:val="left"/>
        <w:rPr>
          <w:bCs/>
          <w:szCs w:val="24"/>
          <w:lang w:val="da-DK"/>
        </w:rPr>
      </w:pPr>
      <w:r w:rsidRPr="00133139">
        <w:rPr>
          <w:bCs/>
          <w:szCs w:val="24"/>
          <w:lang w:val="da-DK"/>
        </w:rPr>
        <w:t>Selvom det ikke er blevet undersøgt specifikt, kan fluconazol potentielt øge den systemiske eksponering af andre NSAID, som metaboliseres af CYP2C9 (</w:t>
      </w:r>
      <w:r>
        <w:rPr>
          <w:bCs/>
          <w:szCs w:val="24"/>
          <w:lang w:val="da-DK"/>
        </w:rPr>
        <w:t>f.eks.</w:t>
      </w:r>
      <w:r w:rsidRPr="00133139">
        <w:rPr>
          <w:bCs/>
          <w:szCs w:val="24"/>
          <w:lang w:val="da-DK"/>
        </w:rPr>
        <w:t xml:space="preserve"> naproxen, lornoxicam, meloxicam, diclofenac). Hyppig monitorering for NSAID-relaterede uønskede hændelser og toksicitet anbefales. Justering af NSAID-dosis kan være nødvendig.</w:t>
      </w:r>
    </w:p>
    <w:p w14:paraId="4FCD3BAC" w14:textId="77777777" w:rsidR="00E4635B" w:rsidRPr="00133139" w:rsidRDefault="00E4635B" w:rsidP="00E4635B">
      <w:pPr>
        <w:pStyle w:val="Brdtekst3"/>
        <w:ind w:left="851" w:hanging="851"/>
        <w:jc w:val="left"/>
        <w:rPr>
          <w:bCs/>
          <w:szCs w:val="24"/>
          <w:lang w:val="da-DK"/>
        </w:rPr>
      </w:pPr>
    </w:p>
    <w:p w14:paraId="0F77211F" w14:textId="77777777" w:rsidR="00E4635B" w:rsidRPr="00133139" w:rsidRDefault="00E4635B" w:rsidP="00E4635B">
      <w:pPr>
        <w:pStyle w:val="Brdtekst3"/>
        <w:ind w:left="851"/>
        <w:jc w:val="left"/>
        <w:rPr>
          <w:bCs/>
          <w:szCs w:val="24"/>
          <w:lang w:val="da-DK"/>
        </w:rPr>
      </w:pPr>
      <w:r w:rsidRPr="00133139">
        <w:rPr>
          <w:bCs/>
          <w:i/>
          <w:szCs w:val="24"/>
          <w:lang w:val="da-DK"/>
        </w:rPr>
        <w:t>Phenytoin</w:t>
      </w:r>
    </w:p>
    <w:p w14:paraId="683E6625" w14:textId="77777777" w:rsidR="00E4635B" w:rsidRPr="00133139" w:rsidRDefault="00E4635B" w:rsidP="00E4635B">
      <w:pPr>
        <w:pStyle w:val="Brdtekst3"/>
        <w:ind w:left="851"/>
        <w:jc w:val="left"/>
        <w:rPr>
          <w:bCs/>
          <w:szCs w:val="24"/>
          <w:lang w:val="da-DK"/>
        </w:rPr>
      </w:pPr>
      <w:r w:rsidRPr="00133139">
        <w:rPr>
          <w:bCs/>
          <w:szCs w:val="24"/>
          <w:lang w:val="da-DK"/>
        </w:rPr>
        <w:t>Fluconazol hæmmer den hepatiske metabolisering af phenytoin. Samtidig gentagen administration af 200 mg fluconazol og 250 mg phenytoin intravenøst bevirkede en stigning i phenytoins AUC24 med 75 % og C</w:t>
      </w:r>
      <w:r w:rsidRPr="00133139">
        <w:rPr>
          <w:bCs/>
          <w:szCs w:val="24"/>
          <w:vertAlign w:val="subscript"/>
          <w:lang w:val="da-DK"/>
        </w:rPr>
        <w:t>min</w:t>
      </w:r>
      <w:r w:rsidRPr="00133139">
        <w:rPr>
          <w:bCs/>
          <w:szCs w:val="24"/>
          <w:lang w:val="da-DK"/>
        </w:rPr>
        <w:t xml:space="preserve"> med 128 %. Ved samtidig administration bør serum-phenytoin-koncentrationerne monitoreres for at undgå phenytointoksicitet.</w:t>
      </w:r>
    </w:p>
    <w:p w14:paraId="3CE18903" w14:textId="77777777" w:rsidR="00E4635B" w:rsidRPr="00133139" w:rsidRDefault="00E4635B" w:rsidP="00E4635B">
      <w:pPr>
        <w:pStyle w:val="Brdtekst3"/>
        <w:ind w:left="851" w:hanging="851"/>
        <w:jc w:val="left"/>
        <w:rPr>
          <w:bCs/>
          <w:szCs w:val="24"/>
          <w:lang w:val="da-DK"/>
        </w:rPr>
      </w:pPr>
    </w:p>
    <w:p w14:paraId="3351FD53" w14:textId="77777777" w:rsidR="00E4635B" w:rsidRPr="00133139" w:rsidRDefault="00E4635B" w:rsidP="00E4635B">
      <w:pPr>
        <w:pStyle w:val="Brdtekst3"/>
        <w:ind w:left="851"/>
        <w:jc w:val="left"/>
        <w:rPr>
          <w:bCs/>
          <w:szCs w:val="24"/>
          <w:lang w:val="da-DK"/>
        </w:rPr>
      </w:pPr>
      <w:r w:rsidRPr="00133139">
        <w:rPr>
          <w:bCs/>
          <w:i/>
          <w:szCs w:val="24"/>
          <w:lang w:val="da-DK"/>
        </w:rPr>
        <w:t>Prednison</w:t>
      </w:r>
    </w:p>
    <w:p w14:paraId="6B702CB2" w14:textId="77777777" w:rsidR="00E4635B" w:rsidRPr="00133139" w:rsidRDefault="00E4635B" w:rsidP="00E4635B">
      <w:pPr>
        <w:pStyle w:val="Brdtekst3"/>
        <w:ind w:left="851"/>
        <w:jc w:val="left"/>
        <w:rPr>
          <w:bCs/>
          <w:szCs w:val="24"/>
          <w:lang w:val="da-DK"/>
        </w:rPr>
      </w:pPr>
      <w:r w:rsidRPr="00133139">
        <w:rPr>
          <w:bCs/>
          <w:szCs w:val="24"/>
          <w:lang w:val="da-DK"/>
        </w:rPr>
        <w:t>Der har været en case-rapport, hvor en levertransplanteret patient behandlet med prednison udviklede akut binyrebark-insufficiens, da en tre måneders behandling med fluconazol blev seponeret. Seponeringen af fluconazol forårsagede antagelig en øget CYP3A4-aktivitet, som førte til øget metabolisering af prednison. Patienter i langtidsbehandling med fluconazol og prednison bør monitoreres nøje for binyrebarkinsufficiens, når fluconazol seponeres.</w:t>
      </w:r>
    </w:p>
    <w:p w14:paraId="496F96CF" w14:textId="77777777" w:rsidR="00E4635B" w:rsidRDefault="00E4635B" w:rsidP="00E4635B">
      <w:pPr>
        <w:rPr>
          <w:bCs/>
          <w:i/>
          <w:color w:val="000000"/>
          <w:sz w:val="24"/>
          <w:szCs w:val="24"/>
        </w:rPr>
      </w:pPr>
    </w:p>
    <w:p w14:paraId="58F95DA3" w14:textId="77777777" w:rsidR="00E4635B" w:rsidRPr="00133139" w:rsidRDefault="00E4635B" w:rsidP="00E4635B">
      <w:pPr>
        <w:pStyle w:val="Brdtekst3"/>
        <w:ind w:left="851"/>
        <w:jc w:val="left"/>
        <w:rPr>
          <w:bCs/>
          <w:szCs w:val="24"/>
          <w:lang w:val="da-DK"/>
        </w:rPr>
      </w:pPr>
      <w:r w:rsidRPr="00133139">
        <w:rPr>
          <w:bCs/>
          <w:i/>
          <w:szCs w:val="24"/>
          <w:lang w:val="da-DK"/>
        </w:rPr>
        <w:t>Rifabutin</w:t>
      </w:r>
    </w:p>
    <w:p w14:paraId="718A1944" w14:textId="77777777" w:rsidR="00E4635B" w:rsidRPr="00133139" w:rsidRDefault="00E4635B" w:rsidP="00E4635B">
      <w:pPr>
        <w:pStyle w:val="Brdtekst3"/>
        <w:ind w:left="851"/>
        <w:jc w:val="left"/>
        <w:rPr>
          <w:bCs/>
          <w:szCs w:val="24"/>
          <w:lang w:val="da-DK"/>
        </w:rPr>
      </w:pPr>
      <w:r w:rsidRPr="00133139">
        <w:rPr>
          <w:bCs/>
          <w:szCs w:val="24"/>
          <w:lang w:val="da-DK"/>
        </w:rPr>
        <w:t>Fluconazol øger serumkoncentrationen af rifabutin, hvilket medfører en stigning i AUC for rifabutin på op til 80 %. Der har været rapporter om uveitis hos patienter, der blev behandlet med fluconazol og rifabutin samtidig. Ved kombinationsterapi skal man være opmærksom på symptomer på rifabutin-toksicitet.</w:t>
      </w:r>
    </w:p>
    <w:p w14:paraId="59F84AD9" w14:textId="77777777" w:rsidR="00E4635B" w:rsidRPr="00133139" w:rsidRDefault="00E4635B" w:rsidP="00E4635B">
      <w:pPr>
        <w:pStyle w:val="Brdtekst3"/>
        <w:ind w:left="851" w:hanging="851"/>
        <w:jc w:val="left"/>
        <w:rPr>
          <w:bCs/>
          <w:szCs w:val="24"/>
          <w:lang w:val="da-DK"/>
        </w:rPr>
      </w:pPr>
    </w:p>
    <w:p w14:paraId="255C5E7F" w14:textId="77777777" w:rsidR="00E4635B" w:rsidRPr="00133139" w:rsidRDefault="00E4635B" w:rsidP="00EC6E49">
      <w:pPr>
        <w:pStyle w:val="Brdtekst3"/>
        <w:keepNext/>
        <w:ind w:left="851"/>
        <w:jc w:val="left"/>
        <w:rPr>
          <w:bCs/>
          <w:szCs w:val="24"/>
          <w:lang w:val="da-DK"/>
        </w:rPr>
      </w:pPr>
      <w:r w:rsidRPr="00133139">
        <w:rPr>
          <w:bCs/>
          <w:i/>
          <w:szCs w:val="24"/>
          <w:lang w:val="da-DK"/>
        </w:rPr>
        <w:t>Saquinavir</w:t>
      </w:r>
    </w:p>
    <w:p w14:paraId="63A1E4AF" w14:textId="77777777" w:rsidR="00E4635B" w:rsidRPr="00133139" w:rsidRDefault="00E4635B" w:rsidP="00CF659D">
      <w:pPr>
        <w:pStyle w:val="Brdtekst3"/>
        <w:ind w:left="851"/>
        <w:jc w:val="left"/>
        <w:rPr>
          <w:bCs/>
          <w:szCs w:val="24"/>
          <w:lang w:val="da-DK"/>
        </w:rPr>
      </w:pPr>
      <w:r w:rsidRPr="00133139">
        <w:rPr>
          <w:bCs/>
          <w:szCs w:val="24"/>
          <w:lang w:val="da-DK"/>
        </w:rPr>
        <w:t>Fluconazol øger AUC og C</w:t>
      </w:r>
      <w:r w:rsidRPr="00133139">
        <w:rPr>
          <w:bCs/>
          <w:szCs w:val="24"/>
          <w:vertAlign w:val="subscript"/>
          <w:lang w:val="da-DK"/>
        </w:rPr>
        <w:t>max</w:t>
      </w:r>
      <w:r w:rsidRPr="00133139">
        <w:rPr>
          <w:bCs/>
          <w:szCs w:val="24"/>
          <w:lang w:val="da-DK"/>
        </w:rPr>
        <w:t xml:space="preserve"> for saquinavir med henholdsvis ca. 50 % og ca. 55 % pga. hæmning af saquinavirs hepatiske metabolisering via CYP3A4 og hæmning af P-glykoprotein. Interaktion med sanquinavir/ritonavir er ikke blevet undersøgt og kan være mere markant. Dosisjustering af saquinavir kan være nødvendig.</w:t>
      </w:r>
    </w:p>
    <w:p w14:paraId="54CEF067" w14:textId="77777777" w:rsidR="002B0D24" w:rsidRDefault="002B0D24" w:rsidP="00E4635B">
      <w:pPr>
        <w:pStyle w:val="Brdtekst3"/>
        <w:ind w:left="851"/>
        <w:jc w:val="left"/>
        <w:rPr>
          <w:bCs/>
          <w:i/>
          <w:szCs w:val="24"/>
          <w:lang w:val="da-DK"/>
        </w:rPr>
      </w:pPr>
    </w:p>
    <w:p w14:paraId="21E98FAA" w14:textId="77777777" w:rsidR="00E4635B" w:rsidRPr="00133139" w:rsidRDefault="00E4635B" w:rsidP="00E4635B">
      <w:pPr>
        <w:pStyle w:val="Brdtekst3"/>
        <w:ind w:left="851"/>
        <w:jc w:val="left"/>
        <w:rPr>
          <w:bCs/>
          <w:szCs w:val="24"/>
          <w:lang w:val="da-DK"/>
        </w:rPr>
      </w:pPr>
      <w:r w:rsidRPr="00133139">
        <w:rPr>
          <w:bCs/>
          <w:i/>
          <w:szCs w:val="24"/>
          <w:lang w:val="da-DK"/>
        </w:rPr>
        <w:t>Sulfonylurinstof</w:t>
      </w:r>
    </w:p>
    <w:p w14:paraId="183923FC" w14:textId="77777777" w:rsidR="00E4635B" w:rsidRPr="00133139" w:rsidRDefault="00E4635B" w:rsidP="00E4635B">
      <w:pPr>
        <w:pStyle w:val="Brdtekst3"/>
        <w:ind w:left="851"/>
        <w:jc w:val="left"/>
        <w:rPr>
          <w:bCs/>
          <w:szCs w:val="24"/>
          <w:lang w:val="da-DK"/>
        </w:rPr>
      </w:pPr>
      <w:r w:rsidRPr="00133139">
        <w:rPr>
          <w:bCs/>
          <w:szCs w:val="24"/>
          <w:lang w:val="da-DK"/>
        </w:rPr>
        <w:t>Fluconazol er vist sig at forlænge serumhalveringstiden af samtidigt administrerede orale sulfonylurinstoffer (</w:t>
      </w:r>
      <w:r>
        <w:rPr>
          <w:bCs/>
          <w:szCs w:val="24"/>
          <w:lang w:val="da-DK"/>
        </w:rPr>
        <w:t>f.eks.</w:t>
      </w:r>
      <w:r w:rsidRPr="00133139">
        <w:rPr>
          <w:bCs/>
          <w:szCs w:val="24"/>
          <w:lang w:val="da-DK"/>
        </w:rPr>
        <w:t xml:space="preserve"> chlorpropamid, glibenclamid, glipizid, tolbutamid) hos raske forsøgspersoner. Hyppig monitorering af blodglucose og passende reduktion af dosis af sulfonylurinstof anbefales ved kombinationsbehandling.</w:t>
      </w:r>
    </w:p>
    <w:p w14:paraId="63262900" w14:textId="77777777" w:rsidR="00E4635B" w:rsidRPr="00133139" w:rsidRDefault="00E4635B" w:rsidP="00E4635B">
      <w:pPr>
        <w:pStyle w:val="Brdtekst3"/>
        <w:ind w:left="851" w:hanging="851"/>
        <w:jc w:val="left"/>
        <w:rPr>
          <w:bCs/>
          <w:szCs w:val="24"/>
          <w:lang w:val="da-DK"/>
        </w:rPr>
      </w:pPr>
    </w:p>
    <w:p w14:paraId="49FFD684" w14:textId="77777777" w:rsidR="00E4635B" w:rsidRPr="00133139" w:rsidRDefault="00E4635B" w:rsidP="00E4635B">
      <w:pPr>
        <w:pStyle w:val="Brdtekst3"/>
        <w:ind w:left="851"/>
        <w:jc w:val="left"/>
        <w:rPr>
          <w:bCs/>
          <w:szCs w:val="24"/>
          <w:lang w:val="da-DK"/>
        </w:rPr>
      </w:pPr>
      <w:r w:rsidRPr="00133139">
        <w:rPr>
          <w:bCs/>
          <w:i/>
          <w:szCs w:val="24"/>
          <w:lang w:val="da-DK"/>
        </w:rPr>
        <w:t>Theophyllin</w:t>
      </w:r>
    </w:p>
    <w:p w14:paraId="76D566E8" w14:textId="77777777" w:rsidR="00E4635B" w:rsidRDefault="00E4635B" w:rsidP="00E4635B">
      <w:pPr>
        <w:pStyle w:val="Brdtekst3"/>
        <w:ind w:left="851"/>
        <w:jc w:val="left"/>
        <w:rPr>
          <w:bCs/>
          <w:szCs w:val="24"/>
          <w:lang w:val="da-DK"/>
        </w:rPr>
      </w:pPr>
      <w:r w:rsidRPr="00133139">
        <w:rPr>
          <w:bCs/>
          <w:szCs w:val="24"/>
          <w:lang w:val="da-DK"/>
        </w:rPr>
        <w:t>I et placebokontrolleret interaktionsstudie resulterede administration af fluconazol 200 mg i 14 dage i et fald på 18 % i gennemsnitlig plasmaclearance af theophyllin. Patienter i behandling med høje doser theophyllin, eller som af andre grunde har en øget risiko for theophyllin-toksicitet, bør observeres for tegn på theophyllin-toksicitet ved samtidig behandling med fluconazol. Behandlingen bør justeres, hvis der udvikles tegn på toksicitet.</w:t>
      </w:r>
    </w:p>
    <w:p w14:paraId="73D9D421" w14:textId="77777777" w:rsidR="00996A1D" w:rsidRDefault="00996A1D" w:rsidP="00E4635B">
      <w:pPr>
        <w:pStyle w:val="Brdtekst3"/>
        <w:ind w:left="851"/>
        <w:jc w:val="left"/>
        <w:rPr>
          <w:bCs/>
          <w:szCs w:val="24"/>
          <w:lang w:val="da-DK"/>
        </w:rPr>
      </w:pPr>
    </w:p>
    <w:p w14:paraId="06ABEDF4" w14:textId="77777777" w:rsidR="002B0D24" w:rsidRDefault="002B0D24" w:rsidP="002B0D24">
      <w:pPr>
        <w:ind w:left="855"/>
        <w:rPr>
          <w:i/>
        </w:rPr>
      </w:pPr>
      <w:r>
        <w:rPr>
          <w:i/>
        </w:rPr>
        <w:t>Tofacitinib</w:t>
      </w:r>
    </w:p>
    <w:p w14:paraId="0CD455C7" w14:textId="77777777" w:rsidR="002B0D24" w:rsidRDefault="002B0D24" w:rsidP="002B0D24">
      <w:pPr>
        <w:pStyle w:val="Brdtekst3"/>
        <w:ind w:left="851"/>
        <w:jc w:val="left"/>
        <w:rPr>
          <w:lang w:val="da-DK"/>
        </w:rPr>
      </w:pPr>
      <w:r>
        <w:rPr>
          <w:lang w:val="da-DK"/>
        </w:rPr>
        <w:t>Tofacitinib-eksponering forøges, når tofacitinib administreres samtidigt med lægemidler, der forårsager både moderat hæmning af CYP3A4 og stærk hæmning af CYP2C19 (fx fluconazol). Derfor anbefales det at nedsætte tofacitinib-dosen til 5 mg dagligt, når tofacitinib administreres samtidigt med disse lægemidler.</w:t>
      </w:r>
    </w:p>
    <w:p w14:paraId="48EB663E" w14:textId="77777777" w:rsidR="002B0D24" w:rsidRDefault="002B0D24" w:rsidP="002B0D24">
      <w:pPr>
        <w:pStyle w:val="Brdtekst3"/>
        <w:ind w:left="851"/>
        <w:jc w:val="left"/>
        <w:rPr>
          <w:lang w:val="da-DK"/>
        </w:rPr>
      </w:pPr>
    </w:p>
    <w:p w14:paraId="09BE4626" w14:textId="77777777" w:rsidR="002B0D24" w:rsidRDefault="002B0D24" w:rsidP="002B0D24">
      <w:pPr>
        <w:pStyle w:val="Brdtekst3"/>
        <w:ind w:left="851"/>
        <w:jc w:val="left"/>
        <w:rPr>
          <w:bCs/>
          <w:i/>
          <w:szCs w:val="24"/>
          <w:lang w:val="da-DK"/>
        </w:rPr>
      </w:pPr>
      <w:r>
        <w:rPr>
          <w:bCs/>
          <w:i/>
          <w:szCs w:val="24"/>
          <w:lang w:val="da-DK"/>
        </w:rPr>
        <w:t>Tolvaptan</w:t>
      </w:r>
    </w:p>
    <w:p w14:paraId="6395C950" w14:textId="77777777" w:rsidR="002B0D24" w:rsidRDefault="002B0D24" w:rsidP="002B0D24">
      <w:pPr>
        <w:ind w:left="855"/>
      </w:pPr>
      <w:r>
        <w:rPr>
          <w:color w:val="000000"/>
          <w:sz w:val="24"/>
          <w:szCs w:val="18"/>
        </w:rPr>
        <w:t>Tolvaptan-eksponering øges signifikant (200 % i AUC; 80 % i C</w:t>
      </w:r>
      <w:r>
        <w:rPr>
          <w:color w:val="000000"/>
          <w:sz w:val="24"/>
          <w:szCs w:val="18"/>
          <w:vertAlign w:val="subscript"/>
        </w:rPr>
        <w:t>max</w:t>
      </w:r>
      <w:r>
        <w:rPr>
          <w:color w:val="000000"/>
          <w:sz w:val="24"/>
          <w:szCs w:val="18"/>
        </w:rPr>
        <w:t>), når tolvaptan (et CYP3A4-substrat) administreres samtidig med fluconazol (en moderat CYP3A4-hæmmer), med risiko for betydelig stigning i bivirkninger især udtalt diurese, dehydrering og akut nyresvigt. Ved samtidig brug b</w:t>
      </w:r>
      <w:r>
        <w:t xml:space="preserve">ør </w:t>
      </w:r>
      <w:r>
        <w:rPr>
          <w:color w:val="000000"/>
          <w:sz w:val="24"/>
          <w:szCs w:val="18"/>
        </w:rPr>
        <w:t>tolvaptan dosis nedsættes som angivet i produktresuméet for tolvaptan, og patienten b</w:t>
      </w:r>
      <w:r>
        <w:t>ør</w:t>
      </w:r>
      <w:r>
        <w:rPr>
          <w:color w:val="000000"/>
          <w:sz w:val="24"/>
          <w:szCs w:val="18"/>
        </w:rPr>
        <w:t xml:space="preserve"> hyppigt monitoreres for eventuelle bivirkninger forbundet med tolvaptan.</w:t>
      </w:r>
    </w:p>
    <w:p w14:paraId="0458F408" w14:textId="77777777" w:rsidR="002B0D24" w:rsidRDefault="002B0D24" w:rsidP="002B0D24">
      <w:pPr>
        <w:pStyle w:val="Brdtekst3"/>
        <w:ind w:left="851"/>
        <w:jc w:val="left"/>
        <w:rPr>
          <w:bCs/>
          <w:i/>
          <w:szCs w:val="24"/>
          <w:lang w:val="da-DK"/>
        </w:rPr>
      </w:pPr>
    </w:p>
    <w:p w14:paraId="639694F2" w14:textId="77777777" w:rsidR="002B0D24" w:rsidRDefault="002B0D24" w:rsidP="002B0D24">
      <w:pPr>
        <w:pStyle w:val="Brdtekst3"/>
        <w:ind w:left="851"/>
        <w:jc w:val="left"/>
        <w:rPr>
          <w:bCs/>
          <w:szCs w:val="24"/>
          <w:lang w:val="da-DK"/>
        </w:rPr>
      </w:pPr>
      <w:r>
        <w:rPr>
          <w:bCs/>
          <w:i/>
          <w:szCs w:val="24"/>
          <w:lang w:val="da-DK"/>
        </w:rPr>
        <w:t>Vinkaalkaloider</w:t>
      </w:r>
    </w:p>
    <w:p w14:paraId="22DCF10A" w14:textId="77777777" w:rsidR="002B0D24" w:rsidRDefault="002B0D24" w:rsidP="002B0D24">
      <w:pPr>
        <w:pStyle w:val="Brdtekst3"/>
        <w:ind w:left="851"/>
        <w:jc w:val="left"/>
        <w:rPr>
          <w:bCs/>
          <w:szCs w:val="24"/>
          <w:lang w:val="da-DK"/>
        </w:rPr>
      </w:pPr>
      <w:r>
        <w:rPr>
          <w:bCs/>
          <w:szCs w:val="24"/>
          <w:lang w:val="da-DK"/>
        </w:rPr>
        <w:t>Selvom det ikke er blevet undersøgt, kan fluconazol muligvis øge plasmakoncentrationen af vinkaalkaloider (f.eks. vincristin og vinblastin) og føre til neurotoksicitet, der er mulig pga. en hæmmende effekt på CYP3A4.</w:t>
      </w:r>
    </w:p>
    <w:p w14:paraId="1117E068" w14:textId="77777777" w:rsidR="00E4635B" w:rsidRPr="00133139" w:rsidRDefault="00E4635B" w:rsidP="00E4635B">
      <w:pPr>
        <w:pStyle w:val="Brdtekst3"/>
        <w:ind w:left="851" w:hanging="851"/>
        <w:jc w:val="left"/>
        <w:rPr>
          <w:bCs/>
          <w:szCs w:val="24"/>
          <w:lang w:val="da-DK"/>
        </w:rPr>
      </w:pPr>
    </w:p>
    <w:p w14:paraId="5C08AC1A" w14:textId="77777777" w:rsidR="00E4635B" w:rsidRPr="00133139" w:rsidRDefault="00E4635B" w:rsidP="00E4635B">
      <w:pPr>
        <w:pStyle w:val="Brdtekst3"/>
        <w:ind w:left="851"/>
        <w:jc w:val="left"/>
        <w:rPr>
          <w:bCs/>
          <w:i/>
          <w:szCs w:val="24"/>
          <w:lang w:val="da-DK"/>
        </w:rPr>
      </w:pPr>
      <w:r w:rsidRPr="00133139">
        <w:rPr>
          <w:bCs/>
          <w:i/>
          <w:szCs w:val="24"/>
          <w:lang w:val="da-DK"/>
        </w:rPr>
        <w:t>Vitamin A</w:t>
      </w:r>
    </w:p>
    <w:p w14:paraId="53BF55BC" w14:textId="77777777" w:rsidR="00E4635B" w:rsidRDefault="00E4635B" w:rsidP="00E4635B">
      <w:pPr>
        <w:pStyle w:val="Brdtekst3"/>
        <w:ind w:left="851"/>
        <w:jc w:val="left"/>
        <w:rPr>
          <w:bCs/>
          <w:szCs w:val="24"/>
          <w:lang w:val="da-DK"/>
        </w:rPr>
      </w:pPr>
      <w:r w:rsidRPr="00133139">
        <w:rPr>
          <w:bCs/>
          <w:szCs w:val="24"/>
          <w:lang w:val="da-DK"/>
        </w:rPr>
        <w:t>Baseret på en case-rapport om en patient, som fik kombinationsbehandling med all-trans-retinoidsyre (en vitamin A-syreform) og fluconazol, udvikledes der CNS-bivirkninger i form af pseudotumor cerebri, der forsvandt efter seponering af fluconazol. Kombinationen kan anvendes, men man bør være opmærksom på forekomsten af CNS-relaterede bivirkninger.</w:t>
      </w:r>
    </w:p>
    <w:p w14:paraId="6E48E389" w14:textId="77777777" w:rsidR="00E4635B" w:rsidRDefault="00E4635B" w:rsidP="00CF659D">
      <w:pPr>
        <w:pStyle w:val="Brdtekst3"/>
        <w:ind w:firstLine="851"/>
        <w:jc w:val="left"/>
        <w:rPr>
          <w:bCs/>
          <w:i/>
          <w:szCs w:val="24"/>
          <w:lang w:val="da-DK"/>
        </w:rPr>
      </w:pPr>
      <w:r w:rsidRPr="00133139">
        <w:rPr>
          <w:bCs/>
          <w:i/>
          <w:szCs w:val="24"/>
          <w:lang w:val="da-DK"/>
        </w:rPr>
        <w:lastRenderedPageBreak/>
        <w:t>Voriconazol (CYP2C9</w:t>
      </w:r>
      <w:r>
        <w:rPr>
          <w:bCs/>
          <w:i/>
          <w:szCs w:val="24"/>
          <w:lang w:val="da-DK"/>
        </w:rPr>
        <w:t>-, CYP2C19</w:t>
      </w:r>
      <w:r w:rsidRPr="00133139">
        <w:rPr>
          <w:bCs/>
          <w:i/>
          <w:szCs w:val="24"/>
          <w:lang w:val="da-DK"/>
        </w:rPr>
        <w:t>- og CYP3A4-hæmmer)</w:t>
      </w:r>
    </w:p>
    <w:p w14:paraId="7D4E0197" w14:textId="77777777" w:rsidR="002B0D24" w:rsidRDefault="00E4635B" w:rsidP="00F33816">
      <w:pPr>
        <w:pStyle w:val="Brdtekst3"/>
        <w:ind w:left="851"/>
        <w:jc w:val="left"/>
        <w:rPr>
          <w:bCs/>
          <w:szCs w:val="24"/>
          <w:lang w:val="da-DK"/>
        </w:rPr>
      </w:pPr>
      <w:r w:rsidRPr="00133139">
        <w:rPr>
          <w:bCs/>
          <w:szCs w:val="24"/>
          <w:lang w:val="da-DK"/>
        </w:rPr>
        <w:t>Samtidig administration af oral voriconazol (400 mg/12 timer i 1 dag, derefter 200 mg/12 timer i 2,5 dage) og oral fluconazol (400 mg på dag 1, derefter 200 mg/24 timer i 4 dage) hos 8 raske mandlige forsøgspersoner resulterede i en stigning i C</w:t>
      </w:r>
      <w:r w:rsidRPr="00133139">
        <w:rPr>
          <w:bCs/>
          <w:szCs w:val="24"/>
          <w:vertAlign w:val="subscript"/>
          <w:lang w:val="da-DK"/>
        </w:rPr>
        <w:t>max</w:t>
      </w:r>
      <w:r w:rsidRPr="00133139">
        <w:rPr>
          <w:bCs/>
          <w:szCs w:val="24"/>
          <w:lang w:val="da-DK"/>
        </w:rPr>
        <w:t xml:space="preserve"> og AUC</w:t>
      </w:r>
      <w:r w:rsidRPr="00133139">
        <w:rPr>
          <w:bCs/>
          <w:szCs w:val="24"/>
          <w:vertAlign w:val="subscript"/>
          <w:lang w:val="da-DK"/>
        </w:rPr>
        <w:t>T</w:t>
      </w:r>
      <w:r w:rsidRPr="00133139">
        <w:rPr>
          <w:bCs/>
          <w:szCs w:val="24"/>
          <w:lang w:val="da-DK"/>
        </w:rPr>
        <w:t xml:space="preserve"> for voriconazol på gennemsnitligt henholdsvis 57 % (90 % CI: 20 %, 107 %) og 79 % (90 % CI: 40, 128 %). Hvilken dosisreduktion og/eller ændring i doseringsfrekvens af voriconazol og fluconazol, som vil eliminere denne virkning, er ikke blevet fastslået. Monitorering for voriconazol-associerede bivirkninger anbefales, hvis voriconazol anvendes sekventielt efter fluconazol.</w:t>
      </w:r>
    </w:p>
    <w:p w14:paraId="34A003C1" w14:textId="77777777" w:rsidR="002B0D24" w:rsidRPr="00133139" w:rsidRDefault="002B0D24" w:rsidP="00E4635B">
      <w:pPr>
        <w:pStyle w:val="Brdtekst3"/>
        <w:ind w:left="851" w:hanging="851"/>
        <w:jc w:val="left"/>
        <w:rPr>
          <w:bCs/>
          <w:szCs w:val="24"/>
          <w:lang w:val="da-DK"/>
        </w:rPr>
      </w:pPr>
    </w:p>
    <w:p w14:paraId="79BCCD5D" w14:textId="77777777" w:rsidR="00E4635B" w:rsidRPr="00133139" w:rsidRDefault="00E4635B" w:rsidP="00E4635B">
      <w:pPr>
        <w:pStyle w:val="Brdtekst3"/>
        <w:ind w:left="851"/>
        <w:jc w:val="left"/>
        <w:rPr>
          <w:bCs/>
          <w:szCs w:val="24"/>
          <w:lang w:val="da-DK"/>
        </w:rPr>
      </w:pPr>
      <w:r w:rsidRPr="00133139">
        <w:rPr>
          <w:bCs/>
          <w:i/>
          <w:szCs w:val="24"/>
          <w:lang w:val="da-DK"/>
        </w:rPr>
        <w:t>Zidovudin</w:t>
      </w:r>
    </w:p>
    <w:p w14:paraId="5B1F6936" w14:textId="77777777" w:rsidR="00E4635B" w:rsidRPr="00133139" w:rsidRDefault="00E4635B" w:rsidP="00E4635B">
      <w:pPr>
        <w:pStyle w:val="Brdtekst3"/>
        <w:ind w:left="851"/>
        <w:jc w:val="left"/>
        <w:rPr>
          <w:bCs/>
          <w:szCs w:val="24"/>
          <w:lang w:val="da-DK"/>
        </w:rPr>
      </w:pPr>
      <w:r w:rsidRPr="00133139">
        <w:rPr>
          <w:bCs/>
          <w:szCs w:val="24"/>
          <w:lang w:val="da-DK"/>
        </w:rPr>
        <w:t>Fluconazol øger C</w:t>
      </w:r>
      <w:r w:rsidRPr="00133139">
        <w:rPr>
          <w:bCs/>
          <w:szCs w:val="24"/>
          <w:vertAlign w:val="subscript"/>
          <w:lang w:val="da-DK"/>
        </w:rPr>
        <w:t>max</w:t>
      </w:r>
      <w:r w:rsidRPr="00133139">
        <w:rPr>
          <w:bCs/>
          <w:szCs w:val="24"/>
          <w:lang w:val="da-DK"/>
        </w:rPr>
        <w:t xml:space="preserve"> og AUC for zidovudin med henholdsvis 85 % og 75 % pga. et fald i zidovudins orale clearance på ca. 45 %. Zidovudins halveringstid blev ligeledes forlænget med ca. 128 % efter kombinationsbehandling med fluconazol. Patienter, som behandles med denne kombination, bør monitoreres for udvikling af zidovudin-relaterede bivirkninger. Dosisreduktion af zidovudin kan overvejes.</w:t>
      </w:r>
    </w:p>
    <w:p w14:paraId="5F142358" w14:textId="77777777" w:rsidR="00E4635B" w:rsidRPr="00133139" w:rsidRDefault="00E4635B" w:rsidP="00E4635B">
      <w:pPr>
        <w:pStyle w:val="Brdtekst3"/>
        <w:ind w:left="851" w:hanging="851"/>
        <w:jc w:val="left"/>
        <w:rPr>
          <w:bCs/>
          <w:szCs w:val="24"/>
          <w:lang w:val="da-DK"/>
        </w:rPr>
      </w:pPr>
    </w:p>
    <w:p w14:paraId="229CC1EF" w14:textId="77777777" w:rsidR="00E4635B" w:rsidRPr="00133139" w:rsidRDefault="00E4635B" w:rsidP="00E4635B">
      <w:pPr>
        <w:pStyle w:val="Brdtekst3"/>
        <w:ind w:left="851"/>
        <w:jc w:val="left"/>
        <w:rPr>
          <w:bCs/>
          <w:szCs w:val="24"/>
          <w:lang w:val="da-DK"/>
        </w:rPr>
      </w:pPr>
      <w:r w:rsidRPr="00133139">
        <w:rPr>
          <w:bCs/>
          <w:i/>
          <w:szCs w:val="24"/>
          <w:lang w:val="da-DK"/>
        </w:rPr>
        <w:t>Azithromycin</w:t>
      </w:r>
    </w:p>
    <w:p w14:paraId="72C8B4EE" w14:textId="77777777" w:rsidR="00E4635B" w:rsidRPr="00133139" w:rsidRDefault="00E4635B" w:rsidP="00E4635B">
      <w:pPr>
        <w:pStyle w:val="Brdtekst3"/>
        <w:ind w:left="851"/>
        <w:jc w:val="left"/>
        <w:rPr>
          <w:bCs/>
          <w:szCs w:val="24"/>
          <w:lang w:val="da-DK"/>
        </w:rPr>
      </w:pPr>
      <w:r w:rsidRPr="00133139">
        <w:rPr>
          <w:bCs/>
          <w:szCs w:val="24"/>
          <w:lang w:val="da-DK"/>
        </w:rPr>
        <w:t>I et åbent, randomiseret, trevejs-crossover-studie med 18 raske forsøgspersoner vurderedes, om en enkelt oral dosis på 1.200 mg azithromycin havde effekt på farmakokinetikken af en enkelt oral dosis på 800 mg fluconazol, og samtidig vurderedes fluconazols effekt på azithromycins farmakokinetik. Der var ingen signifikant farmakokinetisk interaktion mellem fluconazol og azithromycin.</w:t>
      </w:r>
    </w:p>
    <w:p w14:paraId="18D1F6C4" w14:textId="77777777" w:rsidR="00E4635B" w:rsidRPr="00133139" w:rsidRDefault="00E4635B" w:rsidP="00E4635B">
      <w:pPr>
        <w:pStyle w:val="Brdtekst3"/>
        <w:ind w:left="851" w:hanging="851"/>
        <w:jc w:val="left"/>
        <w:rPr>
          <w:bCs/>
          <w:szCs w:val="24"/>
          <w:lang w:val="da-DK"/>
        </w:rPr>
      </w:pPr>
    </w:p>
    <w:p w14:paraId="49F46AAF" w14:textId="77777777" w:rsidR="00E4635B" w:rsidRDefault="00E4635B" w:rsidP="00E4635B">
      <w:pPr>
        <w:ind w:left="851"/>
        <w:rPr>
          <w:i/>
          <w:sz w:val="24"/>
          <w:szCs w:val="24"/>
        </w:rPr>
      </w:pPr>
      <w:r>
        <w:rPr>
          <w:i/>
          <w:sz w:val="24"/>
          <w:szCs w:val="24"/>
        </w:rPr>
        <w:t>Orale kontraceptiva</w:t>
      </w:r>
    </w:p>
    <w:p w14:paraId="40AD9F3B" w14:textId="77777777" w:rsidR="00E4635B" w:rsidRDefault="00E4635B" w:rsidP="00E4635B">
      <w:pPr>
        <w:ind w:left="851"/>
        <w:rPr>
          <w:sz w:val="24"/>
          <w:szCs w:val="24"/>
        </w:rPr>
      </w:pPr>
      <w:r>
        <w:rPr>
          <w:sz w:val="24"/>
          <w:szCs w:val="24"/>
        </w:rPr>
        <w:t>Der er blevet udført to farmakokinetiske studier med et oralt kontraceptivum af kombinationstypen og gentagen dosering med fluconazol. Der var ingen relevant effekt på hormonkoncentrationerne i studiet med 50 mg fluconazol, men ved døgndoser på 200 mg steg AUC for ethinylestradiol og levonorgestrel med henholdsvis 40 % og 24 %. Det er derfor næppe sandsynligt, at gentagen brug af fluconazol i disse doser vil have en effekt på et oralt kontraceptivum af kombinationstypen.</w:t>
      </w:r>
    </w:p>
    <w:p w14:paraId="5FC2643D" w14:textId="77777777" w:rsidR="00E4635B" w:rsidRDefault="00E4635B" w:rsidP="00E4635B">
      <w:pPr>
        <w:ind w:left="851"/>
        <w:rPr>
          <w:sz w:val="24"/>
          <w:szCs w:val="24"/>
        </w:rPr>
      </w:pPr>
    </w:p>
    <w:p w14:paraId="3F8C4EC7" w14:textId="77777777" w:rsidR="00DB7BB9" w:rsidRDefault="00DB7BB9" w:rsidP="00DB7BB9">
      <w:pPr>
        <w:ind w:left="851"/>
        <w:rPr>
          <w:sz w:val="24"/>
          <w:szCs w:val="24"/>
        </w:rPr>
      </w:pPr>
      <w:r>
        <w:rPr>
          <w:u w:val="single"/>
        </w:rPr>
        <w:t>Ivacaftor</w:t>
      </w:r>
      <w:r>
        <w:t xml:space="preserve">: </w:t>
      </w:r>
      <w:r>
        <w:rPr>
          <w:sz w:val="24"/>
          <w:szCs w:val="24"/>
          <w:u w:val="single"/>
        </w:rPr>
        <w:t xml:space="preserve">(alene eller kombineret med lægemidler i samme terapeutiske klasse: </w:t>
      </w:r>
      <w:r>
        <w:t xml:space="preserve">Samtidig administration af ivacaftor, en cystisk fibrose transmembran konduktans regulator (CFTR) potentiator, forhøjede eksponeringen over for ivacaftor 3 gange, og eksponeringen over for M1 1,9 gange. En reduktion af ivacaftor-dosis </w:t>
      </w:r>
      <w:r>
        <w:rPr>
          <w:sz w:val="24"/>
          <w:szCs w:val="24"/>
        </w:rPr>
        <w:t>(alene eller kombineret) er nødvendig som anvist i ivacaftors (alene eller kombineret) ordinationsoplysninger.</w:t>
      </w:r>
    </w:p>
    <w:p w14:paraId="04B7013D" w14:textId="77777777" w:rsidR="00E4635B" w:rsidRDefault="00E4635B" w:rsidP="00E4635B">
      <w:pPr>
        <w:ind w:left="851"/>
        <w:rPr>
          <w:b/>
          <w:sz w:val="24"/>
          <w:szCs w:val="24"/>
        </w:rPr>
      </w:pPr>
    </w:p>
    <w:p w14:paraId="7BB72592" w14:textId="77777777" w:rsidR="00E4635B" w:rsidRPr="00133139" w:rsidRDefault="00DB7BB9" w:rsidP="00E4635B">
      <w:pPr>
        <w:numPr>
          <w:ilvl w:val="1"/>
          <w:numId w:val="1"/>
        </w:numPr>
        <w:tabs>
          <w:tab w:val="clear" w:pos="855"/>
        </w:tabs>
        <w:ind w:left="851" w:hanging="851"/>
        <w:rPr>
          <w:b/>
          <w:sz w:val="24"/>
          <w:szCs w:val="24"/>
        </w:rPr>
      </w:pPr>
      <w:r>
        <w:rPr>
          <w:b/>
          <w:sz w:val="24"/>
          <w:szCs w:val="24"/>
        </w:rPr>
        <w:t>Fertilitet, g</w:t>
      </w:r>
      <w:r w:rsidR="00E4635B" w:rsidRPr="00133139">
        <w:rPr>
          <w:b/>
          <w:sz w:val="24"/>
          <w:szCs w:val="24"/>
        </w:rPr>
        <w:t>raviditet og amning</w:t>
      </w:r>
    </w:p>
    <w:p w14:paraId="3C295CE2" w14:textId="77777777" w:rsidR="001B3FEE" w:rsidRDefault="001B3FEE" w:rsidP="001B3FEE">
      <w:pPr>
        <w:pStyle w:val="Brdtekst3"/>
        <w:ind w:left="851"/>
        <w:jc w:val="left"/>
        <w:rPr>
          <w:szCs w:val="24"/>
        </w:rPr>
      </w:pPr>
    </w:p>
    <w:p w14:paraId="19DD13E9" w14:textId="77777777" w:rsidR="001B3FEE" w:rsidRPr="001B3FEE" w:rsidRDefault="001B3FEE" w:rsidP="001B3FEE">
      <w:pPr>
        <w:pStyle w:val="Brdtekst3"/>
        <w:ind w:left="851"/>
        <w:jc w:val="left"/>
        <w:rPr>
          <w:szCs w:val="24"/>
          <w:lang w:val="da-DK"/>
        </w:rPr>
      </w:pPr>
      <w:r w:rsidRPr="001B3FEE">
        <w:rPr>
          <w:u w:val="single"/>
          <w:lang w:val="da-DK"/>
        </w:rPr>
        <w:t xml:space="preserve">Kvinder, der kan blive gravide </w:t>
      </w:r>
    </w:p>
    <w:p w14:paraId="515181E6" w14:textId="77777777" w:rsidR="001B3FEE" w:rsidRPr="001B3FEE" w:rsidRDefault="001B3FEE" w:rsidP="001B3FEE">
      <w:pPr>
        <w:pStyle w:val="Brdtekst3"/>
        <w:ind w:left="851"/>
        <w:jc w:val="left"/>
        <w:rPr>
          <w:lang w:val="da-DK"/>
        </w:rPr>
      </w:pPr>
      <w:r w:rsidRPr="001B3FEE">
        <w:rPr>
          <w:lang w:val="da-DK"/>
        </w:rPr>
        <w:t>Før behandling indledes, bør patienten informeres om den potentielle risiko for fosteret.</w:t>
      </w:r>
    </w:p>
    <w:p w14:paraId="3EF12D7F" w14:textId="77777777" w:rsidR="001B3FEE" w:rsidRPr="001B3FEE" w:rsidRDefault="001B3FEE" w:rsidP="001B3FEE">
      <w:pPr>
        <w:pStyle w:val="Brdtekst3"/>
        <w:ind w:left="851"/>
        <w:jc w:val="left"/>
        <w:rPr>
          <w:lang w:val="da-DK"/>
        </w:rPr>
      </w:pPr>
    </w:p>
    <w:p w14:paraId="456B2BEA" w14:textId="77777777" w:rsidR="001B3FEE" w:rsidRPr="001B3FEE" w:rsidRDefault="001B3FEE" w:rsidP="001B3FEE">
      <w:pPr>
        <w:pStyle w:val="Brdtekst3"/>
        <w:ind w:left="851"/>
        <w:jc w:val="left"/>
        <w:rPr>
          <w:lang w:val="da-DK"/>
        </w:rPr>
      </w:pPr>
      <w:r w:rsidRPr="001B3FEE">
        <w:rPr>
          <w:lang w:val="da-DK"/>
        </w:rPr>
        <w:t xml:space="preserve">Efter behandling med en enkelt dosis anbefales en udvaskningsperiode på en uge (svarende til 5-6 halveringstider), før patienten bliver gravid (se pkt. 5.2). </w:t>
      </w:r>
    </w:p>
    <w:p w14:paraId="3B80947D" w14:textId="77777777" w:rsidR="001B3FEE" w:rsidRPr="001B3FEE" w:rsidRDefault="001B3FEE" w:rsidP="001B3FEE">
      <w:pPr>
        <w:pStyle w:val="Brdtekst3"/>
        <w:ind w:left="851"/>
        <w:jc w:val="left"/>
        <w:rPr>
          <w:lang w:val="da-DK"/>
        </w:rPr>
      </w:pPr>
    </w:p>
    <w:p w14:paraId="4ECD4924" w14:textId="77777777" w:rsidR="001B3FEE" w:rsidRPr="001B3FEE" w:rsidRDefault="001B3FEE" w:rsidP="001B3FEE">
      <w:pPr>
        <w:pStyle w:val="Brdtekst3"/>
        <w:ind w:left="851"/>
        <w:jc w:val="left"/>
        <w:rPr>
          <w:szCs w:val="24"/>
          <w:lang w:val="da-DK"/>
        </w:rPr>
      </w:pPr>
      <w:r w:rsidRPr="001B3FEE">
        <w:rPr>
          <w:lang w:val="da-DK"/>
        </w:rPr>
        <w:t>Ved længere behandlingsforløb kan antikonception i givet fald overvejes hos kvinder, der kan blive gravide, i hele behandlingsperioden og i 1 uge efter den sidste dosis.</w:t>
      </w:r>
    </w:p>
    <w:p w14:paraId="347BB9BA" w14:textId="77777777" w:rsidR="001B3FEE" w:rsidRDefault="001B3FEE" w:rsidP="001B3FEE">
      <w:pPr>
        <w:pStyle w:val="Brdtekst3"/>
        <w:ind w:left="851"/>
        <w:jc w:val="left"/>
        <w:rPr>
          <w:bCs/>
          <w:szCs w:val="24"/>
          <w:u w:val="single"/>
          <w:lang w:val="da-DK"/>
        </w:rPr>
      </w:pPr>
    </w:p>
    <w:p w14:paraId="38AE86DE" w14:textId="77777777" w:rsidR="00AE60ED" w:rsidRDefault="00AE60ED" w:rsidP="001B3FEE">
      <w:pPr>
        <w:pStyle w:val="Brdtekst3"/>
        <w:ind w:left="851"/>
        <w:jc w:val="left"/>
        <w:rPr>
          <w:bCs/>
          <w:szCs w:val="24"/>
          <w:u w:val="single"/>
          <w:lang w:val="da-DK"/>
        </w:rPr>
      </w:pPr>
    </w:p>
    <w:p w14:paraId="2669732C" w14:textId="77777777" w:rsidR="00AE60ED" w:rsidRDefault="00AE60ED" w:rsidP="001B3FEE">
      <w:pPr>
        <w:pStyle w:val="Brdtekst3"/>
        <w:ind w:left="851"/>
        <w:jc w:val="left"/>
        <w:rPr>
          <w:bCs/>
          <w:szCs w:val="24"/>
          <w:u w:val="single"/>
          <w:lang w:val="da-DK"/>
        </w:rPr>
      </w:pPr>
    </w:p>
    <w:p w14:paraId="0990F1A3" w14:textId="77777777" w:rsidR="00E4635B" w:rsidRDefault="00E4635B" w:rsidP="001B3FEE">
      <w:pPr>
        <w:pStyle w:val="Brdtekst3"/>
        <w:ind w:left="851"/>
        <w:jc w:val="left"/>
        <w:rPr>
          <w:bCs/>
          <w:szCs w:val="24"/>
          <w:u w:val="single"/>
          <w:lang w:val="da-DK"/>
        </w:rPr>
      </w:pPr>
      <w:r>
        <w:rPr>
          <w:bCs/>
          <w:szCs w:val="24"/>
          <w:u w:val="single"/>
          <w:lang w:val="da-DK"/>
        </w:rPr>
        <w:lastRenderedPageBreak/>
        <w:t>Graviditet</w:t>
      </w:r>
    </w:p>
    <w:p w14:paraId="18929E42" w14:textId="77777777" w:rsidR="001B3FEE" w:rsidRDefault="001B3FEE" w:rsidP="001B3FEE">
      <w:pPr>
        <w:pStyle w:val="Brdtekst3"/>
        <w:ind w:left="851"/>
        <w:jc w:val="left"/>
        <w:rPr>
          <w:bCs/>
          <w:szCs w:val="24"/>
          <w:lang w:val="da-DK"/>
        </w:rPr>
      </w:pPr>
      <w:r w:rsidRPr="001B3FEE">
        <w:rPr>
          <w:lang w:val="da-DK"/>
        </w:rPr>
        <w:t xml:space="preserve">Observationsstudier tyder på </w:t>
      </w:r>
      <w:r>
        <w:rPr>
          <w:bCs/>
          <w:szCs w:val="24"/>
          <w:lang w:val="da-DK"/>
        </w:rPr>
        <w:t xml:space="preserve">en øget risiko for spontan abort hos kvinder, der er blevet behandlet med fluconazol i første </w:t>
      </w:r>
      <w:r w:rsidRPr="001B3FEE">
        <w:rPr>
          <w:lang w:val="da-DK"/>
        </w:rPr>
        <w:t>og/eller andet</w:t>
      </w:r>
      <w:r>
        <w:rPr>
          <w:bCs/>
          <w:szCs w:val="24"/>
          <w:lang w:val="da-DK"/>
        </w:rPr>
        <w:t xml:space="preserve"> trimester </w:t>
      </w:r>
      <w:r w:rsidRPr="001B3FEE">
        <w:rPr>
          <w:lang w:val="da-DK"/>
        </w:rPr>
        <w:t>i forhold til kvinder, der ikke er behandlet med fluconazol, eller er behandlet med topiske azoler i samme periode.</w:t>
      </w:r>
    </w:p>
    <w:p w14:paraId="3AA0645F" w14:textId="77777777" w:rsidR="001B3FEE" w:rsidRDefault="001B3FEE" w:rsidP="001B3FEE">
      <w:pPr>
        <w:pStyle w:val="Brdtekst3"/>
        <w:ind w:left="851"/>
        <w:jc w:val="left"/>
        <w:rPr>
          <w:bCs/>
          <w:szCs w:val="24"/>
          <w:lang w:val="da-DK"/>
        </w:rPr>
      </w:pPr>
    </w:p>
    <w:p w14:paraId="36375E4A" w14:textId="77777777" w:rsidR="001B3FEE" w:rsidRDefault="001B3FEE" w:rsidP="001B3FEE">
      <w:pPr>
        <w:pStyle w:val="Brdtekst3"/>
        <w:ind w:left="851"/>
        <w:jc w:val="left"/>
        <w:rPr>
          <w:bCs/>
          <w:szCs w:val="24"/>
          <w:lang w:val="da-DK"/>
        </w:rPr>
      </w:pPr>
      <w:r>
        <w:rPr>
          <w:bCs/>
          <w:szCs w:val="24"/>
          <w:lang w:val="da-DK"/>
        </w:rPr>
        <w:t>Data fra flere tusinde gravide kvinder, der blev behandlet med en kumulativ dosis ≤ 150 mg fluconazol, administreret i første trimester, viser ingen stigning i den samlede risiko for misdannelser hos fosteret. I et stort observations kohortestudie var eksponering for oralt fluconazol i første trimester forbundet med en let forøget risiko for muskuloskeletale misdannelser, svarende til cirka 1 yderligere tilfælde pr. 1.000 kvinder, der blev behandlet med kumulative doser ≤ 450 mg, sammenlignet med kvinder, der blev behandlet med topiske azoler, og til cirka 4 yderligere tilfælde pr. 1.000 kvinder, der blev behandlet med kumulative doser over 450 mg. Den justerede relative risiko var 1,29 (95 % CI 1,05 til 1,58) for 150 mg oralt fluconazol og 1,98 (95 % CI 1,23 til 3,17) for doser over 450 mg fluconazol.</w:t>
      </w:r>
    </w:p>
    <w:p w14:paraId="05290531" w14:textId="77777777" w:rsidR="001B3FEE" w:rsidRDefault="001B3FEE" w:rsidP="001B3FEE">
      <w:pPr>
        <w:pStyle w:val="Brdtekst3"/>
        <w:ind w:left="851"/>
        <w:jc w:val="left"/>
        <w:rPr>
          <w:bCs/>
          <w:szCs w:val="24"/>
          <w:lang w:val="da-DK"/>
        </w:rPr>
      </w:pPr>
    </w:p>
    <w:p w14:paraId="11B8E725" w14:textId="77777777" w:rsidR="001B3FEE" w:rsidRPr="001B3FEE" w:rsidRDefault="001B3FEE" w:rsidP="001B3FEE">
      <w:pPr>
        <w:pStyle w:val="Brdtekst3"/>
        <w:ind w:left="851"/>
        <w:jc w:val="left"/>
        <w:rPr>
          <w:lang w:val="da-DK"/>
        </w:rPr>
      </w:pPr>
      <w:r w:rsidRPr="001B3FEE">
        <w:rPr>
          <w:lang w:val="da-DK"/>
        </w:rPr>
        <w:t xml:space="preserve">De tilgængelige epidemiologiske studier af kardiale misdannelser ved brug af fluconazol under graviditet giver usammenhængende resultater. En metaanalyse af fem observationsstudier, herunder flere tusinde gravide kvinder, som blev eksponeret for fluconazol i første trimester, peger imidlertid på en 1,8-2 gange øget risiko for kardiale misdannelser i forhold til ingen brug af fluconazol, og/eller topiske azoler. </w:t>
      </w:r>
    </w:p>
    <w:p w14:paraId="7D882EB6" w14:textId="77777777" w:rsidR="001B3FEE" w:rsidRPr="001B3FEE" w:rsidRDefault="001B3FEE" w:rsidP="001B3FEE">
      <w:pPr>
        <w:pStyle w:val="Brdtekst3"/>
        <w:ind w:left="851"/>
        <w:jc w:val="left"/>
        <w:rPr>
          <w:lang w:val="da-DK"/>
        </w:rPr>
      </w:pPr>
    </w:p>
    <w:p w14:paraId="6C74E5C4" w14:textId="77777777" w:rsidR="001B3FEE" w:rsidRDefault="001B3FEE" w:rsidP="001B3FEE">
      <w:pPr>
        <w:pStyle w:val="Brdtekst3"/>
        <w:ind w:left="851"/>
        <w:jc w:val="left"/>
        <w:rPr>
          <w:bCs/>
          <w:szCs w:val="24"/>
          <w:lang w:val="da-DK"/>
        </w:rPr>
      </w:pPr>
      <w:r w:rsidRPr="001B3FEE">
        <w:rPr>
          <w:lang w:val="da-DK"/>
        </w:rPr>
        <w:t>Case-rapporter tegner et mønster af fødselsdefekter hos spædbørn, hvis mødre fik fluconazol i høje doser (400-800 mg/dag) under graviditeten i 3 måneder eller derover til behandling af kokcidioidomykose. Fødselsdefekterne hos disse spædbørn omfatter brachycephali, øredysplasi, forstørrede forreste fontaneller, krumning af femur og radio-humeral synostose. Det er usikkert, om der er en kausal sammenhæng mellem anvendelsen af fluconazol og disse fødselsdefekter.</w:t>
      </w:r>
    </w:p>
    <w:p w14:paraId="5B9F6E89" w14:textId="77777777" w:rsidR="00E4635B" w:rsidRDefault="00E4635B" w:rsidP="00E4635B">
      <w:pPr>
        <w:pStyle w:val="Brdtekst3"/>
        <w:ind w:left="851"/>
        <w:jc w:val="left"/>
        <w:rPr>
          <w:bCs/>
          <w:szCs w:val="24"/>
          <w:lang w:val="da-DK"/>
        </w:rPr>
      </w:pPr>
    </w:p>
    <w:p w14:paraId="0E6071FD" w14:textId="77777777" w:rsidR="00E4635B" w:rsidRDefault="00E4635B" w:rsidP="00E4635B">
      <w:pPr>
        <w:pStyle w:val="Brdtekst3"/>
        <w:ind w:left="851"/>
        <w:jc w:val="left"/>
        <w:rPr>
          <w:bCs/>
          <w:szCs w:val="24"/>
          <w:lang w:val="da-DK"/>
        </w:rPr>
      </w:pPr>
      <w:r>
        <w:rPr>
          <w:bCs/>
          <w:szCs w:val="24"/>
          <w:lang w:val="da-DK"/>
        </w:rPr>
        <w:t>Standarddoser af fluconazol og kortvarig behandling bør ikke anvendes under graviditet, medmindre det er absolut nødvendigt.</w:t>
      </w:r>
    </w:p>
    <w:p w14:paraId="25019FD3" w14:textId="77777777" w:rsidR="00E4635B" w:rsidRDefault="00E4635B" w:rsidP="00E4635B">
      <w:pPr>
        <w:pStyle w:val="Brdtekst3"/>
        <w:ind w:left="851" w:hanging="851"/>
        <w:jc w:val="left"/>
        <w:rPr>
          <w:bCs/>
          <w:szCs w:val="24"/>
          <w:lang w:val="da-DK"/>
        </w:rPr>
      </w:pPr>
    </w:p>
    <w:p w14:paraId="4A5D1BDF" w14:textId="77777777" w:rsidR="00E4635B" w:rsidRDefault="00E4635B" w:rsidP="00E4635B">
      <w:pPr>
        <w:pStyle w:val="Brdtekst3"/>
        <w:ind w:left="851"/>
        <w:jc w:val="left"/>
        <w:rPr>
          <w:bCs/>
          <w:szCs w:val="24"/>
          <w:lang w:val="da-DK"/>
        </w:rPr>
      </w:pPr>
      <w:r>
        <w:rPr>
          <w:bCs/>
          <w:szCs w:val="24"/>
          <w:lang w:val="da-DK"/>
        </w:rPr>
        <w:t>Høje fluconazoldoser og/eller længerevarende behandling med fluconazol bør ikke anvendes til gravide, bortset fra ved potentielt livstruende infektioner.</w:t>
      </w:r>
    </w:p>
    <w:p w14:paraId="71031905" w14:textId="77777777" w:rsidR="00E4635B" w:rsidRDefault="00E4635B" w:rsidP="00E4635B">
      <w:pPr>
        <w:pStyle w:val="Brdtekst3"/>
        <w:ind w:left="851" w:hanging="851"/>
        <w:jc w:val="left"/>
        <w:rPr>
          <w:bCs/>
          <w:szCs w:val="24"/>
          <w:lang w:val="da-DK"/>
        </w:rPr>
      </w:pPr>
    </w:p>
    <w:p w14:paraId="1EE3BAF2" w14:textId="77777777" w:rsidR="00E4635B" w:rsidRDefault="00E4635B" w:rsidP="00E4635B">
      <w:pPr>
        <w:pStyle w:val="Brdtekst3"/>
        <w:ind w:left="851"/>
        <w:jc w:val="left"/>
        <w:rPr>
          <w:bCs/>
          <w:szCs w:val="24"/>
          <w:u w:val="single"/>
          <w:lang w:val="da-DK"/>
        </w:rPr>
      </w:pPr>
      <w:r>
        <w:rPr>
          <w:bCs/>
          <w:szCs w:val="24"/>
          <w:u w:val="single"/>
          <w:lang w:val="da-DK"/>
        </w:rPr>
        <w:t>Amning</w:t>
      </w:r>
    </w:p>
    <w:p w14:paraId="21879F92" w14:textId="77777777" w:rsidR="00E4635B" w:rsidRPr="004C40D9" w:rsidRDefault="00E4635B" w:rsidP="00E4635B">
      <w:pPr>
        <w:ind w:left="855"/>
        <w:rPr>
          <w:sz w:val="24"/>
          <w:szCs w:val="22"/>
        </w:rPr>
      </w:pPr>
      <w:r>
        <w:rPr>
          <w:bCs/>
          <w:color w:val="000000"/>
          <w:sz w:val="24"/>
          <w:szCs w:val="24"/>
        </w:rPr>
        <w:t xml:space="preserve">Fluconazol udskilles i modermælk og opnår en koncentration, der svarer til den i plasma (se pkt. 5.2). Amning kan fortsættes efter en enkelt standarddosis på 200 mg fluconazol eller mindre. Amning anbefales ikke efter gentagne doser eller efter høje doser fluconazol. </w:t>
      </w:r>
      <w:r w:rsidRPr="004C40D9">
        <w:rPr>
          <w:sz w:val="24"/>
          <w:szCs w:val="22"/>
        </w:rPr>
        <w:t xml:space="preserve">De udviklingsmæssige og sundhedsmæssige fordele ved amning bør overvejes sammen med moderens kliniske behov for </w:t>
      </w:r>
      <w:r>
        <w:rPr>
          <w:sz w:val="24"/>
          <w:szCs w:val="22"/>
        </w:rPr>
        <w:t>fluconazol</w:t>
      </w:r>
      <w:r w:rsidRPr="004C40D9">
        <w:rPr>
          <w:sz w:val="24"/>
          <w:szCs w:val="22"/>
        </w:rPr>
        <w:t xml:space="preserve"> og eventuelle mulige bivirkninger på det ammede barn fra </w:t>
      </w:r>
      <w:r>
        <w:rPr>
          <w:sz w:val="24"/>
          <w:szCs w:val="22"/>
        </w:rPr>
        <w:t>fluconazol</w:t>
      </w:r>
      <w:r w:rsidRPr="004C40D9">
        <w:rPr>
          <w:sz w:val="24"/>
          <w:szCs w:val="22"/>
        </w:rPr>
        <w:t xml:space="preserve"> eller fra moderens underliggende sygdom.</w:t>
      </w:r>
    </w:p>
    <w:p w14:paraId="6B016CB8" w14:textId="77777777" w:rsidR="00E4635B" w:rsidRDefault="00E4635B" w:rsidP="00E4635B">
      <w:pPr>
        <w:pStyle w:val="Brdtekst3"/>
        <w:ind w:left="851" w:hanging="851"/>
        <w:jc w:val="left"/>
        <w:rPr>
          <w:bCs/>
          <w:szCs w:val="24"/>
          <w:lang w:val="da-DK"/>
        </w:rPr>
      </w:pPr>
    </w:p>
    <w:p w14:paraId="30B4B007" w14:textId="77777777" w:rsidR="00E4635B" w:rsidRPr="008245EF" w:rsidRDefault="00E4635B" w:rsidP="00E4635B">
      <w:pPr>
        <w:pStyle w:val="Brdtekst3"/>
        <w:ind w:left="851"/>
        <w:jc w:val="left"/>
        <w:rPr>
          <w:bCs/>
          <w:szCs w:val="24"/>
          <w:u w:val="single"/>
          <w:lang w:val="nb-NO"/>
        </w:rPr>
      </w:pPr>
      <w:r w:rsidRPr="008245EF">
        <w:rPr>
          <w:bCs/>
          <w:szCs w:val="24"/>
          <w:u w:val="single"/>
          <w:lang w:val="nb-NO"/>
        </w:rPr>
        <w:t>Fertilitet</w:t>
      </w:r>
    </w:p>
    <w:p w14:paraId="1ED1C6A6" w14:textId="77777777" w:rsidR="00E4635B" w:rsidRPr="008245EF" w:rsidRDefault="00E4635B" w:rsidP="00E4635B">
      <w:pPr>
        <w:pStyle w:val="Brdtekst3"/>
        <w:ind w:left="851"/>
        <w:jc w:val="left"/>
        <w:rPr>
          <w:bCs/>
          <w:szCs w:val="24"/>
          <w:lang w:val="nb-NO"/>
        </w:rPr>
      </w:pPr>
      <w:r w:rsidRPr="008245EF">
        <w:rPr>
          <w:bCs/>
          <w:szCs w:val="24"/>
          <w:lang w:val="nb-NO"/>
        </w:rPr>
        <w:t>Fluconazol påvirker ikke fertiliteten hos han- eller hunrotter (se pkt. 5.3).</w:t>
      </w:r>
    </w:p>
    <w:p w14:paraId="70BE9A6E" w14:textId="77777777" w:rsidR="00E4635B" w:rsidRPr="008245EF" w:rsidRDefault="00E4635B" w:rsidP="00E4635B">
      <w:pPr>
        <w:pStyle w:val="Brdtekst3"/>
        <w:ind w:left="851" w:hanging="851"/>
        <w:jc w:val="left"/>
        <w:rPr>
          <w:szCs w:val="24"/>
          <w:lang w:val="nb-NO"/>
        </w:rPr>
      </w:pPr>
    </w:p>
    <w:p w14:paraId="5B375CC7" w14:textId="77777777" w:rsidR="00E4635B" w:rsidRPr="00133139" w:rsidRDefault="00E4635B" w:rsidP="00E4635B">
      <w:pPr>
        <w:numPr>
          <w:ilvl w:val="1"/>
          <w:numId w:val="1"/>
        </w:numPr>
        <w:tabs>
          <w:tab w:val="clear" w:pos="855"/>
        </w:tabs>
        <w:ind w:left="851" w:hanging="851"/>
        <w:rPr>
          <w:b/>
          <w:sz w:val="24"/>
          <w:szCs w:val="24"/>
        </w:rPr>
      </w:pPr>
      <w:r w:rsidRPr="00133139">
        <w:rPr>
          <w:b/>
          <w:sz w:val="24"/>
          <w:szCs w:val="24"/>
        </w:rPr>
        <w:t xml:space="preserve">Virkning på evnen til at føre motorkøretøj </w:t>
      </w:r>
      <w:r w:rsidR="00DB7BB9">
        <w:rPr>
          <w:b/>
          <w:sz w:val="24"/>
          <w:szCs w:val="24"/>
        </w:rPr>
        <w:t>og</w:t>
      </w:r>
      <w:r w:rsidRPr="00133139">
        <w:rPr>
          <w:b/>
          <w:sz w:val="24"/>
          <w:szCs w:val="24"/>
        </w:rPr>
        <w:t xml:space="preserve"> betjene maskiner</w:t>
      </w:r>
    </w:p>
    <w:p w14:paraId="75EF3101" w14:textId="77777777" w:rsidR="00E4635B" w:rsidRPr="00133139" w:rsidRDefault="00E4635B" w:rsidP="00E4635B">
      <w:pPr>
        <w:pStyle w:val="Brdtekst3"/>
        <w:ind w:left="851" w:hanging="851"/>
        <w:jc w:val="left"/>
        <w:rPr>
          <w:szCs w:val="24"/>
          <w:lang w:val="da-DK"/>
        </w:rPr>
      </w:pPr>
      <w:r w:rsidRPr="005C7DDF">
        <w:rPr>
          <w:szCs w:val="24"/>
          <w:lang w:val="da-DK"/>
        </w:rPr>
        <w:tab/>
      </w:r>
      <w:r w:rsidRPr="00133139">
        <w:rPr>
          <w:szCs w:val="24"/>
          <w:lang w:val="da-DK"/>
        </w:rPr>
        <w:t>Ikke mærkning.</w:t>
      </w:r>
    </w:p>
    <w:p w14:paraId="7437F716" w14:textId="77777777" w:rsidR="00E4635B" w:rsidRPr="00133139" w:rsidRDefault="00E4635B" w:rsidP="00E4635B">
      <w:pPr>
        <w:pStyle w:val="Brdtekst3"/>
        <w:ind w:left="851" w:hanging="851"/>
        <w:jc w:val="left"/>
        <w:rPr>
          <w:szCs w:val="24"/>
          <w:lang w:val="da-DK"/>
        </w:rPr>
      </w:pPr>
    </w:p>
    <w:p w14:paraId="220EED6C" w14:textId="77777777" w:rsidR="00E4635B" w:rsidRPr="00613787" w:rsidRDefault="00E4635B" w:rsidP="00E4635B">
      <w:pPr>
        <w:pStyle w:val="Brdtekst3"/>
        <w:ind w:left="851"/>
        <w:jc w:val="left"/>
        <w:rPr>
          <w:szCs w:val="24"/>
          <w:lang w:val="da-DK"/>
        </w:rPr>
      </w:pPr>
      <w:r w:rsidRPr="00133139">
        <w:rPr>
          <w:szCs w:val="24"/>
          <w:lang w:val="da-DK"/>
        </w:rPr>
        <w:t xml:space="preserve">Der er ikke foretaget studier af fluconazols virkning på evnen til at føre motorkøretøj eller betjene maskiner. Patienterne bør advares om risikoen for svimmelhed eller kramper (se </w:t>
      </w:r>
      <w:r w:rsidRPr="00133139">
        <w:rPr>
          <w:szCs w:val="24"/>
          <w:lang w:val="da-DK"/>
        </w:rPr>
        <w:lastRenderedPageBreak/>
        <w:t>pkt. 4.8), mens de tager fluconazol, og bør rådes til ikke at føre motorkøretøj eller betjene maskiner, hvis disse symptomer forekommer.</w:t>
      </w:r>
    </w:p>
    <w:p w14:paraId="31B70766" w14:textId="77777777" w:rsidR="00E4635B" w:rsidRPr="00133139" w:rsidRDefault="00E4635B" w:rsidP="00E4635B">
      <w:pPr>
        <w:ind w:left="851" w:hanging="851"/>
        <w:rPr>
          <w:sz w:val="24"/>
          <w:szCs w:val="24"/>
        </w:rPr>
      </w:pPr>
    </w:p>
    <w:p w14:paraId="55A3B29D" w14:textId="77777777" w:rsidR="00E4635B" w:rsidRPr="00133139" w:rsidRDefault="00E4635B" w:rsidP="00E4635B">
      <w:pPr>
        <w:numPr>
          <w:ilvl w:val="1"/>
          <w:numId w:val="1"/>
        </w:numPr>
        <w:tabs>
          <w:tab w:val="clear" w:pos="855"/>
        </w:tabs>
        <w:ind w:left="851" w:hanging="851"/>
        <w:rPr>
          <w:b/>
          <w:sz w:val="24"/>
          <w:szCs w:val="24"/>
        </w:rPr>
      </w:pPr>
      <w:r w:rsidRPr="00133139">
        <w:rPr>
          <w:b/>
          <w:sz w:val="24"/>
          <w:szCs w:val="24"/>
        </w:rPr>
        <w:t>Bivirkninger</w:t>
      </w:r>
    </w:p>
    <w:p w14:paraId="040813B8" w14:textId="77777777" w:rsidR="00E64488" w:rsidRPr="00E64488" w:rsidRDefault="00E64488" w:rsidP="00E64488">
      <w:pPr>
        <w:pStyle w:val="Brdtekst3"/>
        <w:ind w:left="851"/>
        <w:rPr>
          <w:szCs w:val="24"/>
          <w:lang w:val="da-DK"/>
        </w:rPr>
      </w:pPr>
      <w:r>
        <w:rPr>
          <w:szCs w:val="24"/>
          <w:lang w:val="da-DK"/>
        </w:rPr>
        <w:t>Opsummering af sikkerhedsprofilen:</w:t>
      </w:r>
    </w:p>
    <w:p w14:paraId="44E935C9" w14:textId="77777777" w:rsidR="00E64488" w:rsidRDefault="00E64488" w:rsidP="00E64488">
      <w:pPr>
        <w:pStyle w:val="Brdtekst3"/>
        <w:ind w:left="851"/>
        <w:rPr>
          <w:szCs w:val="24"/>
          <w:lang w:val="da-DK"/>
        </w:rPr>
      </w:pPr>
      <w:r>
        <w:rPr>
          <w:szCs w:val="24"/>
          <w:lang w:val="da-DK"/>
        </w:rPr>
        <w:t>Der er rapporteret om lægemiddelreaktioner med eosinofili og systemiske symptomer (DRESS) i forbindelse med fluconazolbehandling (se pkt. 4.4).</w:t>
      </w:r>
    </w:p>
    <w:p w14:paraId="41C145D9" w14:textId="77777777" w:rsidR="00E64488" w:rsidRDefault="00E64488" w:rsidP="00E64488">
      <w:pPr>
        <w:pStyle w:val="Brdtekst3"/>
        <w:ind w:left="851"/>
        <w:jc w:val="left"/>
        <w:rPr>
          <w:szCs w:val="24"/>
          <w:lang w:val="da-DK"/>
        </w:rPr>
      </w:pPr>
    </w:p>
    <w:p w14:paraId="2EA169E7" w14:textId="77777777" w:rsidR="00E4635B" w:rsidRPr="005C7DDF" w:rsidRDefault="00E4635B" w:rsidP="00E64488">
      <w:pPr>
        <w:pStyle w:val="Brdtekst3"/>
        <w:ind w:left="851"/>
        <w:jc w:val="left"/>
        <w:rPr>
          <w:szCs w:val="24"/>
          <w:lang w:val="da-DK"/>
        </w:rPr>
      </w:pPr>
      <w:r w:rsidRPr="005C7DDF">
        <w:rPr>
          <w:szCs w:val="24"/>
          <w:lang w:val="da-DK"/>
        </w:rPr>
        <w:t>De hyppigst indberettede bivirkninger (&gt;1/10) er hovedpine, abdominalsmerter, diaré, kvalme, opkastning, forhøjet alanin-aminotransferase, forhøjet aspartat-aminotransferase, forhøjet alkalisk fosfatase og udslæt.</w:t>
      </w:r>
    </w:p>
    <w:p w14:paraId="0168951E" w14:textId="77777777" w:rsidR="00E4635B" w:rsidRPr="00133139" w:rsidRDefault="00E4635B" w:rsidP="00E4635B">
      <w:pPr>
        <w:ind w:left="851" w:hanging="851"/>
        <w:rPr>
          <w:color w:val="000000"/>
          <w:sz w:val="24"/>
          <w:szCs w:val="24"/>
        </w:rPr>
      </w:pPr>
    </w:p>
    <w:p w14:paraId="242D5D57" w14:textId="77777777" w:rsidR="00E4635B" w:rsidRDefault="00E4635B" w:rsidP="00E4635B">
      <w:pPr>
        <w:ind w:left="851"/>
        <w:rPr>
          <w:color w:val="000000"/>
          <w:sz w:val="24"/>
          <w:szCs w:val="24"/>
        </w:rPr>
      </w:pPr>
      <w:r w:rsidRPr="00133139">
        <w:rPr>
          <w:color w:val="000000"/>
          <w:sz w:val="24"/>
          <w:szCs w:val="24"/>
        </w:rPr>
        <w:t>Følgende bivirkninger er set og indberettet ved behandling med fluconazol med følgende hyppigheder: Meget almindelig (≥1/10); almindelig (≥1/100 til &lt;1/10); ikke almindelig (≥1/1</w:t>
      </w:r>
      <w:r w:rsidR="00DB7BB9">
        <w:rPr>
          <w:color w:val="000000"/>
          <w:sz w:val="24"/>
          <w:szCs w:val="24"/>
        </w:rPr>
        <w:t>.</w:t>
      </w:r>
      <w:r w:rsidRPr="00133139">
        <w:rPr>
          <w:color w:val="000000"/>
          <w:sz w:val="24"/>
          <w:szCs w:val="24"/>
        </w:rPr>
        <w:t>000 til &lt;1/100); sjælden (≥1/10</w:t>
      </w:r>
      <w:r w:rsidR="00DB7BB9">
        <w:rPr>
          <w:color w:val="000000"/>
          <w:sz w:val="24"/>
          <w:szCs w:val="24"/>
        </w:rPr>
        <w:t>.</w:t>
      </w:r>
      <w:r w:rsidRPr="00133139">
        <w:rPr>
          <w:color w:val="000000"/>
          <w:sz w:val="24"/>
          <w:szCs w:val="24"/>
        </w:rPr>
        <w:t>000 til &lt;1/1</w:t>
      </w:r>
      <w:r w:rsidR="00DB7BB9">
        <w:rPr>
          <w:color w:val="000000"/>
          <w:sz w:val="24"/>
          <w:szCs w:val="24"/>
        </w:rPr>
        <w:t>.</w:t>
      </w:r>
      <w:r w:rsidRPr="00133139">
        <w:rPr>
          <w:color w:val="000000"/>
          <w:sz w:val="24"/>
          <w:szCs w:val="24"/>
        </w:rPr>
        <w:t>000)</w:t>
      </w:r>
      <w:r w:rsidR="00DB7BB9">
        <w:rPr>
          <w:color w:val="000000"/>
          <w:sz w:val="24"/>
          <w:szCs w:val="24"/>
        </w:rPr>
        <w:t>,</w:t>
      </w:r>
      <w:r w:rsidRPr="00133139">
        <w:rPr>
          <w:color w:val="000000"/>
          <w:sz w:val="24"/>
          <w:szCs w:val="24"/>
        </w:rPr>
        <w:t xml:space="preserve"> meget sjælden (&lt;1/10</w:t>
      </w:r>
      <w:r w:rsidR="00DB7BB9">
        <w:rPr>
          <w:color w:val="000000"/>
          <w:sz w:val="24"/>
          <w:szCs w:val="24"/>
        </w:rPr>
        <w:t>.</w:t>
      </w:r>
      <w:r w:rsidRPr="00133139">
        <w:rPr>
          <w:color w:val="000000"/>
          <w:sz w:val="24"/>
          <w:szCs w:val="24"/>
        </w:rPr>
        <w:t>000)</w:t>
      </w:r>
      <w:r w:rsidR="00DB7BB9">
        <w:rPr>
          <w:color w:val="000000"/>
          <w:sz w:val="24"/>
          <w:szCs w:val="24"/>
        </w:rPr>
        <w:t xml:space="preserve"> og </w:t>
      </w:r>
      <w:r w:rsidRPr="00133139">
        <w:rPr>
          <w:color w:val="000000"/>
          <w:sz w:val="24"/>
          <w:szCs w:val="24"/>
        </w:rPr>
        <w:t>ukendt (hyppighed (kan ikke estimeres ud fra forhåndenværende data).</w:t>
      </w:r>
    </w:p>
    <w:p w14:paraId="7B62AA58" w14:textId="77777777" w:rsidR="00E64488" w:rsidRDefault="00E64488" w:rsidP="00E64488">
      <w:pPr>
        <w:ind w:left="851"/>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6"/>
        <w:gridCol w:w="1777"/>
        <w:gridCol w:w="1800"/>
        <w:gridCol w:w="1961"/>
        <w:gridCol w:w="1954"/>
      </w:tblGrid>
      <w:tr w:rsidR="00E64488" w14:paraId="22ACF013" w14:textId="77777777" w:rsidTr="00E64488">
        <w:trPr>
          <w:cantSplit/>
          <w:tblHeader/>
        </w:trPr>
        <w:tc>
          <w:tcPr>
            <w:tcW w:w="2136" w:type="dxa"/>
            <w:tcBorders>
              <w:top w:val="single" w:sz="4" w:space="0" w:color="auto"/>
              <w:left w:val="single" w:sz="4" w:space="0" w:color="auto"/>
              <w:bottom w:val="single" w:sz="4" w:space="0" w:color="auto"/>
              <w:right w:val="single" w:sz="4" w:space="0" w:color="auto"/>
            </w:tcBorders>
            <w:hideMark/>
          </w:tcPr>
          <w:p w14:paraId="132DF236" w14:textId="77777777" w:rsidR="00E64488" w:rsidRDefault="00E64488">
            <w:pPr>
              <w:rPr>
                <w:b/>
                <w:color w:val="000000"/>
                <w:sz w:val="24"/>
                <w:szCs w:val="24"/>
              </w:rPr>
            </w:pPr>
            <w:r>
              <w:rPr>
                <w:b/>
                <w:color w:val="000000"/>
                <w:sz w:val="24"/>
                <w:szCs w:val="24"/>
              </w:rPr>
              <w:t>Systemorgan</w:t>
            </w:r>
            <w:r>
              <w:rPr>
                <w:b/>
                <w:color w:val="000000"/>
                <w:sz w:val="24"/>
                <w:szCs w:val="24"/>
              </w:rPr>
              <w:softHyphen/>
              <w:t>klasse</w:t>
            </w:r>
          </w:p>
        </w:tc>
        <w:tc>
          <w:tcPr>
            <w:tcW w:w="1777" w:type="dxa"/>
            <w:tcBorders>
              <w:top w:val="single" w:sz="4" w:space="0" w:color="auto"/>
              <w:left w:val="single" w:sz="4" w:space="0" w:color="auto"/>
              <w:bottom w:val="single" w:sz="4" w:space="0" w:color="auto"/>
              <w:right w:val="single" w:sz="4" w:space="0" w:color="auto"/>
            </w:tcBorders>
            <w:hideMark/>
          </w:tcPr>
          <w:p w14:paraId="64B1C3A1" w14:textId="77777777" w:rsidR="00E64488" w:rsidRDefault="00E64488">
            <w:pPr>
              <w:rPr>
                <w:b/>
                <w:color w:val="000000"/>
                <w:sz w:val="24"/>
                <w:szCs w:val="24"/>
              </w:rPr>
            </w:pPr>
            <w:r>
              <w:rPr>
                <w:b/>
                <w:color w:val="000000"/>
                <w:sz w:val="24"/>
                <w:szCs w:val="24"/>
              </w:rPr>
              <w:t>Almindelig</w:t>
            </w:r>
          </w:p>
        </w:tc>
        <w:tc>
          <w:tcPr>
            <w:tcW w:w="1800" w:type="dxa"/>
            <w:tcBorders>
              <w:top w:val="single" w:sz="4" w:space="0" w:color="auto"/>
              <w:left w:val="single" w:sz="4" w:space="0" w:color="auto"/>
              <w:bottom w:val="single" w:sz="4" w:space="0" w:color="auto"/>
              <w:right w:val="single" w:sz="4" w:space="0" w:color="auto"/>
            </w:tcBorders>
            <w:hideMark/>
          </w:tcPr>
          <w:p w14:paraId="12AAD24E" w14:textId="77777777" w:rsidR="00E64488" w:rsidRDefault="00E64488">
            <w:pPr>
              <w:rPr>
                <w:b/>
                <w:color w:val="000000"/>
                <w:sz w:val="24"/>
                <w:szCs w:val="24"/>
              </w:rPr>
            </w:pPr>
            <w:r>
              <w:rPr>
                <w:b/>
                <w:color w:val="000000"/>
                <w:sz w:val="24"/>
                <w:szCs w:val="24"/>
              </w:rPr>
              <w:t>Ikke almindelig</w:t>
            </w:r>
          </w:p>
        </w:tc>
        <w:tc>
          <w:tcPr>
            <w:tcW w:w="1961" w:type="dxa"/>
            <w:tcBorders>
              <w:top w:val="single" w:sz="4" w:space="0" w:color="auto"/>
              <w:left w:val="single" w:sz="4" w:space="0" w:color="auto"/>
              <w:bottom w:val="single" w:sz="4" w:space="0" w:color="auto"/>
              <w:right w:val="single" w:sz="4" w:space="0" w:color="auto"/>
            </w:tcBorders>
            <w:hideMark/>
          </w:tcPr>
          <w:p w14:paraId="3E52B382" w14:textId="77777777" w:rsidR="00E64488" w:rsidRDefault="00E64488">
            <w:pPr>
              <w:rPr>
                <w:b/>
                <w:color w:val="000000"/>
                <w:sz w:val="24"/>
                <w:szCs w:val="24"/>
              </w:rPr>
            </w:pPr>
            <w:r>
              <w:rPr>
                <w:b/>
                <w:color w:val="000000"/>
                <w:sz w:val="24"/>
                <w:szCs w:val="24"/>
              </w:rPr>
              <w:t>Sjælden</w:t>
            </w:r>
          </w:p>
        </w:tc>
        <w:tc>
          <w:tcPr>
            <w:tcW w:w="1954" w:type="dxa"/>
            <w:tcBorders>
              <w:top w:val="single" w:sz="4" w:space="0" w:color="auto"/>
              <w:left w:val="single" w:sz="4" w:space="0" w:color="auto"/>
              <w:bottom w:val="single" w:sz="4" w:space="0" w:color="auto"/>
              <w:right w:val="single" w:sz="4" w:space="0" w:color="auto"/>
            </w:tcBorders>
          </w:tcPr>
          <w:p w14:paraId="05BD4C69" w14:textId="77777777" w:rsidR="00E64488" w:rsidRDefault="00E64488">
            <w:pPr>
              <w:ind w:left="18"/>
              <w:rPr>
                <w:b/>
              </w:rPr>
            </w:pPr>
            <w:r>
              <w:rPr>
                <w:b/>
              </w:rPr>
              <w:t>Ikke kendt</w:t>
            </w:r>
          </w:p>
          <w:p w14:paraId="4A2904E0" w14:textId="77777777" w:rsidR="00E64488" w:rsidRDefault="00E64488">
            <w:pPr>
              <w:rPr>
                <w:b/>
                <w:color w:val="000000"/>
                <w:sz w:val="24"/>
                <w:szCs w:val="24"/>
              </w:rPr>
            </w:pPr>
          </w:p>
        </w:tc>
      </w:tr>
      <w:tr w:rsidR="00E64488" w14:paraId="6E4A517C"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5F82D58D" w14:textId="77777777" w:rsidR="00E64488" w:rsidRDefault="00E64488">
            <w:pPr>
              <w:rPr>
                <w:color w:val="000000"/>
                <w:sz w:val="24"/>
                <w:szCs w:val="24"/>
              </w:rPr>
            </w:pPr>
            <w:r>
              <w:rPr>
                <w:b/>
                <w:bCs/>
                <w:color w:val="000000"/>
                <w:sz w:val="24"/>
                <w:szCs w:val="24"/>
              </w:rPr>
              <w:t>Blod og lymfesystem</w:t>
            </w:r>
          </w:p>
        </w:tc>
        <w:tc>
          <w:tcPr>
            <w:tcW w:w="1777" w:type="dxa"/>
            <w:tcBorders>
              <w:top w:val="single" w:sz="4" w:space="0" w:color="auto"/>
              <w:left w:val="single" w:sz="4" w:space="0" w:color="auto"/>
              <w:bottom w:val="single" w:sz="4" w:space="0" w:color="auto"/>
              <w:right w:val="single" w:sz="4" w:space="0" w:color="auto"/>
            </w:tcBorders>
          </w:tcPr>
          <w:p w14:paraId="39477B75" w14:textId="77777777" w:rsidR="00E64488" w:rsidRDefault="00E64488">
            <w:pPr>
              <w:rPr>
                <w:color w:val="000000"/>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14:paraId="06580D4D" w14:textId="77777777" w:rsidR="00E64488" w:rsidRDefault="00E64488">
            <w:pPr>
              <w:rPr>
                <w:color w:val="000000"/>
                <w:sz w:val="24"/>
                <w:szCs w:val="24"/>
              </w:rPr>
            </w:pPr>
            <w:r>
              <w:rPr>
                <w:color w:val="000000"/>
                <w:sz w:val="24"/>
                <w:szCs w:val="24"/>
              </w:rPr>
              <w:t>Anæmi</w:t>
            </w:r>
          </w:p>
        </w:tc>
        <w:tc>
          <w:tcPr>
            <w:tcW w:w="1961" w:type="dxa"/>
            <w:tcBorders>
              <w:top w:val="single" w:sz="4" w:space="0" w:color="auto"/>
              <w:left w:val="single" w:sz="4" w:space="0" w:color="auto"/>
              <w:bottom w:val="single" w:sz="4" w:space="0" w:color="auto"/>
              <w:right w:val="single" w:sz="4" w:space="0" w:color="auto"/>
            </w:tcBorders>
            <w:hideMark/>
          </w:tcPr>
          <w:p w14:paraId="7B02F59F" w14:textId="77777777" w:rsidR="00E64488" w:rsidRDefault="00E64488">
            <w:pPr>
              <w:rPr>
                <w:color w:val="000000"/>
                <w:sz w:val="24"/>
                <w:szCs w:val="24"/>
              </w:rPr>
            </w:pPr>
            <w:r>
              <w:rPr>
                <w:color w:val="000000"/>
                <w:sz w:val="24"/>
                <w:szCs w:val="24"/>
              </w:rPr>
              <w:t>Agranulocytose</w:t>
            </w:r>
          </w:p>
          <w:p w14:paraId="3B95CCDF" w14:textId="77777777" w:rsidR="00E64488" w:rsidRDefault="00E64488">
            <w:pPr>
              <w:rPr>
                <w:color w:val="000000"/>
                <w:sz w:val="24"/>
                <w:szCs w:val="24"/>
              </w:rPr>
            </w:pPr>
            <w:r>
              <w:rPr>
                <w:color w:val="000000"/>
                <w:sz w:val="24"/>
                <w:szCs w:val="24"/>
              </w:rPr>
              <w:t>Leukopeni Trombocytopeni Neutropeni</w:t>
            </w:r>
          </w:p>
        </w:tc>
        <w:tc>
          <w:tcPr>
            <w:tcW w:w="1954" w:type="dxa"/>
            <w:tcBorders>
              <w:top w:val="single" w:sz="4" w:space="0" w:color="auto"/>
              <w:left w:val="single" w:sz="4" w:space="0" w:color="auto"/>
              <w:bottom w:val="single" w:sz="4" w:space="0" w:color="auto"/>
              <w:right w:val="single" w:sz="4" w:space="0" w:color="auto"/>
            </w:tcBorders>
          </w:tcPr>
          <w:p w14:paraId="7CE16771" w14:textId="77777777" w:rsidR="00E64488" w:rsidRDefault="00E64488">
            <w:pPr>
              <w:rPr>
                <w:color w:val="000000"/>
                <w:sz w:val="24"/>
                <w:szCs w:val="24"/>
              </w:rPr>
            </w:pPr>
          </w:p>
        </w:tc>
      </w:tr>
      <w:tr w:rsidR="00E64488" w14:paraId="612133B4"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3424F091" w14:textId="77777777" w:rsidR="00E64488" w:rsidRDefault="00E64488">
            <w:pPr>
              <w:rPr>
                <w:color w:val="000000"/>
                <w:sz w:val="24"/>
                <w:szCs w:val="24"/>
              </w:rPr>
            </w:pPr>
            <w:r>
              <w:rPr>
                <w:b/>
                <w:bCs/>
                <w:color w:val="000000"/>
                <w:sz w:val="24"/>
                <w:szCs w:val="24"/>
              </w:rPr>
              <w:t>Immunsystemet</w:t>
            </w:r>
          </w:p>
        </w:tc>
        <w:tc>
          <w:tcPr>
            <w:tcW w:w="1777" w:type="dxa"/>
            <w:tcBorders>
              <w:top w:val="single" w:sz="4" w:space="0" w:color="auto"/>
              <w:left w:val="single" w:sz="4" w:space="0" w:color="auto"/>
              <w:bottom w:val="single" w:sz="4" w:space="0" w:color="auto"/>
              <w:right w:val="single" w:sz="4" w:space="0" w:color="auto"/>
            </w:tcBorders>
          </w:tcPr>
          <w:p w14:paraId="082DC185" w14:textId="77777777" w:rsidR="00E64488" w:rsidRDefault="00E64488">
            <w:pPr>
              <w:rPr>
                <w:color w:val="000000"/>
                <w:sz w:val="24"/>
                <w:szCs w:val="24"/>
              </w:rPr>
            </w:pPr>
          </w:p>
        </w:tc>
        <w:tc>
          <w:tcPr>
            <w:tcW w:w="1800" w:type="dxa"/>
            <w:tcBorders>
              <w:top w:val="single" w:sz="4" w:space="0" w:color="auto"/>
              <w:left w:val="single" w:sz="4" w:space="0" w:color="auto"/>
              <w:bottom w:val="single" w:sz="4" w:space="0" w:color="auto"/>
              <w:right w:val="single" w:sz="4" w:space="0" w:color="auto"/>
            </w:tcBorders>
          </w:tcPr>
          <w:p w14:paraId="5E65D2CC" w14:textId="77777777" w:rsidR="00E64488" w:rsidRDefault="00E64488">
            <w:pPr>
              <w:rPr>
                <w:color w:val="000000"/>
                <w:sz w:val="24"/>
                <w:szCs w:val="24"/>
              </w:rPr>
            </w:pPr>
          </w:p>
        </w:tc>
        <w:tc>
          <w:tcPr>
            <w:tcW w:w="1961" w:type="dxa"/>
            <w:tcBorders>
              <w:top w:val="single" w:sz="4" w:space="0" w:color="auto"/>
              <w:left w:val="single" w:sz="4" w:space="0" w:color="auto"/>
              <w:bottom w:val="single" w:sz="4" w:space="0" w:color="auto"/>
              <w:right w:val="single" w:sz="4" w:space="0" w:color="auto"/>
            </w:tcBorders>
            <w:hideMark/>
          </w:tcPr>
          <w:p w14:paraId="0354C0E4" w14:textId="77777777" w:rsidR="00E64488" w:rsidRDefault="00E64488">
            <w:pPr>
              <w:rPr>
                <w:color w:val="000000"/>
                <w:sz w:val="24"/>
                <w:szCs w:val="24"/>
              </w:rPr>
            </w:pPr>
            <w:r>
              <w:rPr>
                <w:color w:val="000000"/>
                <w:sz w:val="24"/>
                <w:szCs w:val="24"/>
              </w:rPr>
              <w:t>Anafylaksi</w:t>
            </w:r>
          </w:p>
        </w:tc>
        <w:tc>
          <w:tcPr>
            <w:tcW w:w="1954" w:type="dxa"/>
            <w:tcBorders>
              <w:top w:val="single" w:sz="4" w:space="0" w:color="auto"/>
              <w:left w:val="single" w:sz="4" w:space="0" w:color="auto"/>
              <w:bottom w:val="single" w:sz="4" w:space="0" w:color="auto"/>
              <w:right w:val="single" w:sz="4" w:space="0" w:color="auto"/>
            </w:tcBorders>
          </w:tcPr>
          <w:p w14:paraId="6578AA11" w14:textId="77777777" w:rsidR="00E64488" w:rsidRDefault="00E64488">
            <w:pPr>
              <w:rPr>
                <w:color w:val="000000"/>
                <w:sz w:val="24"/>
                <w:szCs w:val="24"/>
              </w:rPr>
            </w:pPr>
          </w:p>
        </w:tc>
      </w:tr>
      <w:tr w:rsidR="00E64488" w14:paraId="0A718129"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51C975F4" w14:textId="77777777" w:rsidR="00E64488" w:rsidRDefault="00E64488">
            <w:pPr>
              <w:rPr>
                <w:color w:val="000000"/>
                <w:sz w:val="24"/>
                <w:szCs w:val="24"/>
              </w:rPr>
            </w:pPr>
            <w:r>
              <w:rPr>
                <w:b/>
                <w:bCs/>
                <w:color w:val="000000"/>
                <w:sz w:val="24"/>
                <w:szCs w:val="24"/>
              </w:rPr>
              <w:t>Metabolisme og ernæring</w:t>
            </w:r>
          </w:p>
        </w:tc>
        <w:tc>
          <w:tcPr>
            <w:tcW w:w="1777" w:type="dxa"/>
            <w:tcBorders>
              <w:top w:val="single" w:sz="4" w:space="0" w:color="auto"/>
              <w:left w:val="single" w:sz="4" w:space="0" w:color="auto"/>
              <w:bottom w:val="single" w:sz="4" w:space="0" w:color="auto"/>
              <w:right w:val="single" w:sz="4" w:space="0" w:color="auto"/>
            </w:tcBorders>
          </w:tcPr>
          <w:p w14:paraId="38BEEB41" w14:textId="77777777" w:rsidR="00E64488" w:rsidRDefault="00E64488">
            <w:pPr>
              <w:rPr>
                <w:color w:val="000000"/>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14:paraId="0F53FFBF" w14:textId="77777777" w:rsidR="00E64488" w:rsidRDefault="00E64488">
            <w:pPr>
              <w:rPr>
                <w:color w:val="000000"/>
                <w:sz w:val="24"/>
                <w:szCs w:val="24"/>
              </w:rPr>
            </w:pPr>
            <w:r>
              <w:rPr>
                <w:color w:val="000000"/>
                <w:sz w:val="24"/>
                <w:szCs w:val="24"/>
              </w:rPr>
              <w:t>Nedsat appetit</w:t>
            </w:r>
          </w:p>
        </w:tc>
        <w:tc>
          <w:tcPr>
            <w:tcW w:w="1961" w:type="dxa"/>
            <w:tcBorders>
              <w:top w:val="single" w:sz="4" w:space="0" w:color="auto"/>
              <w:left w:val="single" w:sz="4" w:space="0" w:color="auto"/>
              <w:bottom w:val="single" w:sz="4" w:space="0" w:color="auto"/>
              <w:right w:val="single" w:sz="4" w:space="0" w:color="auto"/>
            </w:tcBorders>
            <w:hideMark/>
          </w:tcPr>
          <w:p w14:paraId="248701C7" w14:textId="77777777" w:rsidR="00E64488" w:rsidRDefault="00E64488">
            <w:pPr>
              <w:rPr>
                <w:snapToGrid w:val="0"/>
                <w:color w:val="000000"/>
                <w:sz w:val="24"/>
                <w:szCs w:val="24"/>
              </w:rPr>
            </w:pPr>
            <w:r>
              <w:rPr>
                <w:snapToGrid w:val="0"/>
                <w:color w:val="000000"/>
                <w:sz w:val="24"/>
                <w:szCs w:val="24"/>
              </w:rPr>
              <w:t>Hyperkolesterolæmi</w:t>
            </w:r>
          </w:p>
          <w:p w14:paraId="6A5BFC64" w14:textId="77777777" w:rsidR="00E64488" w:rsidRDefault="00E64488">
            <w:pPr>
              <w:rPr>
                <w:color w:val="000000"/>
                <w:sz w:val="24"/>
                <w:szCs w:val="24"/>
              </w:rPr>
            </w:pPr>
            <w:r>
              <w:rPr>
                <w:snapToGrid w:val="0"/>
                <w:color w:val="000000"/>
                <w:sz w:val="24"/>
                <w:szCs w:val="24"/>
              </w:rPr>
              <w:t>Hypertriglyceridæmi Hypokaliæmi</w:t>
            </w:r>
          </w:p>
        </w:tc>
        <w:tc>
          <w:tcPr>
            <w:tcW w:w="1954" w:type="dxa"/>
            <w:tcBorders>
              <w:top w:val="single" w:sz="4" w:space="0" w:color="auto"/>
              <w:left w:val="single" w:sz="4" w:space="0" w:color="auto"/>
              <w:bottom w:val="single" w:sz="4" w:space="0" w:color="auto"/>
              <w:right w:val="single" w:sz="4" w:space="0" w:color="auto"/>
            </w:tcBorders>
          </w:tcPr>
          <w:p w14:paraId="65EE8502" w14:textId="77777777" w:rsidR="00E64488" w:rsidRDefault="00E64488">
            <w:pPr>
              <w:rPr>
                <w:snapToGrid w:val="0"/>
                <w:color w:val="000000"/>
                <w:sz w:val="24"/>
                <w:szCs w:val="24"/>
              </w:rPr>
            </w:pPr>
          </w:p>
        </w:tc>
      </w:tr>
      <w:tr w:rsidR="00E64488" w14:paraId="4280F133"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3F74B6CB" w14:textId="77777777" w:rsidR="00E64488" w:rsidRDefault="00E64488">
            <w:pPr>
              <w:rPr>
                <w:color w:val="000000"/>
                <w:sz w:val="24"/>
                <w:szCs w:val="24"/>
              </w:rPr>
            </w:pPr>
            <w:r>
              <w:rPr>
                <w:b/>
                <w:bCs/>
                <w:color w:val="000000"/>
                <w:sz w:val="24"/>
                <w:szCs w:val="24"/>
              </w:rPr>
              <w:t>Psykiske forstyrrelser</w:t>
            </w:r>
          </w:p>
        </w:tc>
        <w:tc>
          <w:tcPr>
            <w:tcW w:w="1777" w:type="dxa"/>
            <w:tcBorders>
              <w:top w:val="single" w:sz="4" w:space="0" w:color="auto"/>
              <w:left w:val="single" w:sz="4" w:space="0" w:color="auto"/>
              <w:bottom w:val="single" w:sz="4" w:space="0" w:color="auto"/>
              <w:right w:val="single" w:sz="4" w:space="0" w:color="auto"/>
            </w:tcBorders>
          </w:tcPr>
          <w:p w14:paraId="7B956CB9" w14:textId="77777777" w:rsidR="00E64488" w:rsidRDefault="00E64488">
            <w:pPr>
              <w:rPr>
                <w:color w:val="000000"/>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14:paraId="2E78F363" w14:textId="77777777" w:rsidR="00E64488" w:rsidRDefault="00E64488">
            <w:pPr>
              <w:rPr>
                <w:color w:val="000000"/>
                <w:sz w:val="24"/>
                <w:szCs w:val="24"/>
              </w:rPr>
            </w:pPr>
            <w:r>
              <w:rPr>
                <w:color w:val="000000"/>
                <w:sz w:val="24"/>
                <w:szCs w:val="24"/>
              </w:rPr>
              <w:t>Søvnighed</w:t>
            </w:r>
          </w:p>
          <w:p w14:paraId="711DF24E" w14:textId="77777777" w:rsidR="00E64488" w:rsidRDefault="00E64488">
            <w:pPr>
              <w:rPr>
                <w:color w:val="000000"/>
                <w:sz w:val="24"/>
                <w:szCs w:val="24"/>
              </w:rPr>
            </w:pPr>
            <w:r>
              <w:rPr>
                <w:color w:val="000000"/>
                <w:sz w:val="24"/>
                <w:szCs w:val="24"/>
              </w:rPr>
              <w:t>Insomni</w:t>
            </w:r>
          </w:p>
        </w:tc>
        <w:tc>
          <w:tcPr>
            <w:tcW w:w="1961" w:type="dxa"/>
            <w:tcBorders>
              <w:top w:val="single" w:sz="4" w:space="0" w:color="auto"/>
              <w:left w:val="single" w:sz="4" w:space="0" w:color="auto"/>
              <w:bottom w:val="single" w:sz="4" w:space="0" w:color="auto"/>
              <w:right w:val="single" w:sz="4" w:space="0" w:color="auto"/>
            </w:tcBorders>
          </w:tcPr>
          <w:p w14:paraId="24E59645" w14:textId="77777777" w:rsidR="00E64488" w:rsidRDefault="00E64488">
            <w:pPr>
              <w:rPr>
                <w:color w:val="000000"/>
                <w:sz w:val="24"/>
                <w:szCs w:val="24"/>
              </w:rPr>
            </w:pPr>
          </w:p>
        </w:tc>
        <w:tc>
          <w:tcPr>
            <w:tcW w:w="1954" w:type="dxa"/>
            <w:tcBorders>
              <w:top w:val="single" w:sz="4" w:space="0" w:color="auto"/>
              <w:left w:val="single" w:sz="4" w:space="0" w:color="auto"/>
              <w:bottom w:val="single" w:sz="4" w:space="0" w:color="auto"/>
              <w:right w:val="single" w:sz="4" w:space="0" w:color="auto"/>
            </w:tcBorders>
          </w:tcPr>
          <w:p w14:paraId="16C29954" w14:textId="77777777" w:rsidR="00E64488" w:rsidRDefault="00E64488">
            <w:pPr>
              <w:rPr>
                <w:color w:val="000000"/>
                <w:sz w:val="24"/>
                <w:szCs w:val="24"/>
              </w:rPr>
            </w:pPr>
          </w:p>
        </w:tc>
      </w:tr>
      <w:tr w:rsidR="00E64488" w14:paraId="0033FE8F"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67B20884" w14:textId="77777777" w:rsidR="00E64488" w:rsidRDefault="00E64488" w:rsidP="00EC6E49">
            <w:pPr>
              <w:keepNext/>
              <w:rPr>
                <w:color w:val="000000"/>
                <w:sz w:val="24"/>
                <w:szCs w:val="24"/>
              </w:rPr>
            </w:pPr>
            <w:r>
              <w:rPr>
                <w:b/>
                <w:bCs/>
                <w:color w:val="000000"/>
                <w:sz w:val="24"/>
                <w:szCs w:val="24"/>
              </w:rPr>
              <w:t>Nervesystemet</w:t>
            </w:r>
          </w:p>
        </w:tc>
        <w:tc>
          <w:tcPr>
            <w:tcW w:w="1777" w:type="dxa"/>
            <w:tcBorders>
              <w:top w:val="single" w:sz="4" w:space="0" w:color="auto"/>
              <w:left w:val="single" w:sz="4" w:space="0" w:color="auto"/>
              <w:bottom w:val="single" w:sz="4" w:space="0" w:color="auto"/>
              <w:right w:val="single" w:sz="4" w:space="0" w:color="auto"/>
            </w:tcBorders>
            <w:hideMark/>
          </w:tcPr>
          <w:p w14:paraId="33FDABBC" w14:textId="77777777" w:rsidR="00E64488" w:rsidRDefault="00E64488" w:rsidP="00EC6E49">
            <w:pPr>
              <w:keepNext/>
              <w:rPr>
                <w:color w:val="000000"/>
                <w:sz w:val="24"/>
                <w:szCs w:val="24"/>
              </w:rPr>
            </w:pPr>
            <w:r>
              <w:rPr>
                <w:color w:val="000000"/>
                <w:sz w:val="24"/>
                <w:szCs w:val="24"/>
              </w:rPr>
              <w:t>Hovedpine</w:t>
            </w:r>
          </w:p>
        </w:tc>
        <w:tc>
          <w:tcPr>
            <w:tcW w:w="1800" w:type="dxa"/>
            <w:tcBorders>
              <w:top w:val="single" w:sz="4" w:space="0" w:color="auto"/>
              <w:left w:val="single" w:sz="4" w:space="0" w:color="auto"/>
              <w:bottom w:val="single" w:sz="4" w:space="0" w:color="auto"/>
              <w:right w:val="single" w:sz="4" w:space="0" w:color="auto"/>
            </w:tcBorders>
            <w:hideMark/>
          </w:tcPr>
          <w:p w14:paraId="25B227D6" w14:textId="77777777" w:rsidR="00E64488" w:rsidRDefault="00E64488" w:rsidP="00EC6E49">
            <w:pPr>
              <w:keepNext/>
              <w:rPr>
                <w:color w:val="000000"/>
                <w:sz w:val="24"/>
                <w:szCs w:val="24"/>
              </w:rPr>
            </w:pPr>
            <w:r>
              <w:rPr>
                <w:color w:val="000000"/>
                <w:sz w:val="24"/>
                <w:szCs w:val="24"/>
              </w:rPr>
              <w:t xml:space="preserve">Kramper </w:t>
            </w:r>
          </w:p>
          <w:p w14:paraId="3EAEFCBB" w14:textId="77777777" w:rsidR="00E64488" w:rsidRDefault="00E64488" w:rsidP="00EC6E49">
            <w:pPr>
              <w:keepNext/>
              <w:rPr>
                <w:color w:val="000000"/>
                <w:sz w:val="24"/>
                <w:szCs w:val="24"/>
              </w:rPr>
            </w:pPr>
            <w:r>
              <w:rPr>
                <w:color w:val="000000"/>
                <w:sz w:val="24"/>
                <w:szCs w:val="24"/>
              </w:rPr>
              <w:t>Paræstesier Svimmelhed Smagsforstyr</w:t>
            </w:r>
            <w:r>
              <w:rPr>
                <w:color w:val="000000"/>
                <w:sz w:val="24"/>
                <w:szCs w:val="24"/>
              </w:rPr>
              <w:softHyphen/>
              <w:t>relse</w:t>
            </w:r>
          </w:p>
        </w:tc>
        <w:tc>
          <w:tcPr>
            <w:tcW w:w="1961" w:type="dxa"/>
            <w:tcBorders>
              <w:top w:val="single" w:sz="4" w:space="0" w:color="auto"/>
              <w:left w:val="single" w:sz="4" w:space="0" w:color="auto"/>
              <w:bottom w:val="single" w:sz="4" w:space="0" w:color="auto"/>
              <w:right w:val="single" w:sz="4" w:space="0" w:color="auto"/>
            </w:tcBorders>
            <w:hideMark/>
          </w:tcPr>
          <w:p w14:paraId="5A22706B" w14:textId="77777777" w:rsidR="00E64488" w:rsidRDefault="00E64488" w:rsidP="00EC6E49">
            <w:pPr>
              <w:keepNext/>
              <w:rPr>
                <w:color w:val="000000"/>
                <w:sz w:val="24"/>
                <w:szCs w:val="24"/>
              </w:rPr>
            </w:pPr>
            <w:r>
              <w:rPr>
                <w:color w:val="000000"/>
                <w:sz w:val="24"/>
                <w:szCs w:val="24"/>
              </w:rPr>
              <w:t>Tremor</w:t>
            </w:r>
          </w:p>
        </w:tc>
        <w:tc>
          <w:tcPr>
            <w:tcW w:w="1954" w:type="dxa"/>
            <w:tcBorders>
              <w:top w:val="single" w:sz="4" w:space="0" w:color="auto"/>
              <w:left w:val="single" w:sz="4" w:space="0" w:color="auto"/>
              <w:bottom w:val="single" w:sz="4" w:space="0" w:color="auto"/>
              <w:right w:val="single" w:sz="4" w:space="0" w:color="auto"/>
            </w:tcBorders>
          </w:tcPr>
          <w:p w14:paraId="763F9495" w14:textId="77777777" w:rsidR="00E64488" w:rsidRDefault="00E64488" w:rsidP="00EC6E49">
            <w:pPr>
              <w:keepNext/>
              <w:rPr>
                <w:color w:val="000000"/>
                <w:sz w:val="24"/>
                <w:szCs w:val="24"/>
              </w:rPr>
            </w:pPr>
          </w:p>
        </w:tc>
      </w:tr>
      <w:tr w:rsidR="00E64488" w14:paraId="4297AD40"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65B9731D" w14:textId="77777777" w:rsidR="00E64488" w:rsidRDefault="00E64488">
            <w:pPr>
              <w:rPr>
                <w:color w:val="000000"/>
                <w:sz w:val="24"/>
                <w:szCs w:val="24"/>
              </w:rPr>
            </w:pPr>
            <w:r>
              <w:rPr>
                <w:b/>
                <w:bCs/>
                <w:color w:val="000000"/>
                <w:sz w:val="24"/>
                <w:szCs w:val="24"/>
              </w:rPr>
              <w:t>Øre og labyrint</w:t>
            </w:r>
          </w:p>
        </w:tc>
        <w:tc>
          <w:tcPr>
            <w:tcW w:w="1777" w:type="dxa"/>
            <w:tcBorders>
              <w:top w:val="single" w:sz="4" w:space="0" w:color="auto"/>
              <w:left w:val="single" w:sz="4" w:space="0" w:color="auto"/>
              <w:bottom w:val="single" w:sz="4" w:space="0" w:color="auto"/>
              <w:right w:val="single" w:sz="4" w:space="0" w:color="auto"/>
            </w:tcBorders>
          </w:tcPr>
          <w:p w14:paraId="1681FE19" w14:textId="77777777" w:rsidR="00E64488" w:rsidRDefault="00E64488">
            <w:pPr>
              <w:rPr>
                <w:color w:val="000000"/>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14:paraId="13FDCFCA" w14:textId="77777777" w:rsidR="00E64488" w:rsidRDefault="00E64488">
            <w:pPr>
              <w:rPr>
                <w:color w:val="000000"/>
                <w:sz w:val="24"/>
                <w:szCs w:val="24"/>
              </w:rPr>
            </w:pPr>
            <w:r>
              <w:rPr>
                <w:color w:val="000000"/>
                <w:sz w:val="24"/>
                <w:szCs w:val="24"/>
              </w:rPr>
              <w:t>Vertigo</w:t>
            </w:r>
          </w:p>
        </w:tc>
        <w:tc>
          <w:tcPr>
            <w:tcW w:w="1961" w:type="dxa"/>
            <w:tcBorders>
              <w:top w:val="single" w:sz="4" w:space="0" w:color="auto"/>
              <w:left w:val="single" w:sz="4" w:space="0" w:color="auto"/>
              <w:bottom w:val="single" w:sz="4" w:space="0" w:color="auto"/>
              <w:right w:val="single" w:sz="4" w:space="0" w:color="auto"/>
            </w:tcBorders>
          </w:tcPr>
          <w:p w14:paraId="0B192F89" w14:textId="77777777" w:rsidR="00E64488" w:rsidRDefault="00E64488">
            <w:pPr>
              <w:rPr>
                <w:color w:val="000000"/>
                <w:sz w:val="24"/>
                <w:szCs w:val="24"/>
              </w:rPr>
            </w:pPr>
          </w:p>
        </w:tc>
        <w:tc>
          <w:tcPr>
            <w:tcW w:w="1954" w:type="dxa"/>
            <w:tcBorders>
              <w:top w:val="single" w:sz="4" w:space="0" w:color="auto"/>
              <w:left w:val="single" w:sz="4" w:space="0" w:color="auto"/>
              <w:bottom w:val="single" w:sz="4" w:space="0" w:color="auto"/>
              <w:right w:val="single" w:sz="4" w:space="0" w:color="auto"/>
            </w:tcBorders>
          </w:tcPr>
          <w:p w14:paraId="60414241" w14:textId="77777777" w:rsidR="00E64488" w:rsidRDefault="00E64488">
            <w:pPr>
              <w:rPr>
                <w:color w:val="000000"/>
                <w:sz w:val="24"/>
                <w:szCs w:val="24"/>
              </w:rPr>
            </w:pPr>
          </w:p>
        </w:tc>
      </w:tr>
      <w:tr w:rsidR="00E64488" w14:paraId="53028EB1"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4FDE50D5" w14:textId="77777777" w:rsidR="00E64488" w:rsidRDefault="00E64488">
            <w:pPr>
              <w:rPr>
                <w:color w:val="000000"/>
                <w:sz w:val="24"/>
                <w:szCs w:val="24"/>
              </w:rPr>
            </w:pPr>
            <w:r>
              <w:rPr>
                <w:b/>
                <w:bCs/>
                <w:color w:val="000000"/>
                <w:sz w:val="24"/>
                <w:szCs w:val="24"/>
              </w:rPr>
              <w:t>Hjerte</w:t>
            </w:r>
          </w:p>
        </w:tc>
        <w:tc>
          <w:tcPr>
            <w:tcW w:w="1777" w:type="dxa"/>
            <w:tcBorders>
              <w:top w:val="single" w:sz="4" w:space="0" w:color="auto"/>
              <w:left w:val="single" w:sz="4" w:space="0" w:color="auto"/>
              <w:bottom w:val="single" w:sz="4" w:space="0" w:color="auto"/>
              <w:right w:val="single" w:sz="4" w:space="0" w:color="auto"/>
            </w:tcBorders>
          </w:tcPr>
          <w:p w14:paraId="1ECFDA64" w14:textId="77777777" w:rsidR="00E64488" w:rsidRDefault="00E64488">
            <w:pPr>
              <w:rPr>
                <w:color w:val="000000"/>
                <w:sz w:val="24"/>
                <w:szCs w:val="24"/>
              </w:rPr>
            </w:pPr>
          </w:p>
        </w:tc>
        <w:tc>
          <w:tcPr>
            <w:tcW w:w="1800" w:type="dxa"/>
            <w:tcBorders>
              <w:top w:val="single" w:sz="4" w:space="0" w:color="auto"/>
              <w:left w:val="single" w:sz="4" w:space="0" w:color="auto"/>
              <w:bottom w:val="single" w:sz="4" w:space="0" w:color="auto"/>
              <w:right w:val="single" w:sz="4" w:space="0" w:color="auto"/>
            </w:tcBorders>
          </w:tcPr>
          <w:p w14:paraId="26F9EE18" w14:textId="77777777" w:rsidR="00E64488" w:rsidRDefault="00E64488">
            <w:pPr>
              <w:rPr>
                <w:color w:val="000000"/>
                <w:sz w:val="24"/>
                <w:szCs w:val="24"/>
              </w:rPr>
            </w:pPr>
          </w:p>
        </w:tc>
        <w:tc>
          <w:tcPr>
            <w:tcW w:w="1961" w:type="dxa"/>
            <w:tcBorders>
              <w:top w:val="single" w:sz="4" w:space="0" w:color="auto"/>
              <w:left w:val="single" w:sz="4" w:space="0" w:color="auto"/>
              <w:bottom w:val="single" w:sz="4" w:space="0" w:color="auto"/>
              <w:right w:val="single" w:sz="4" w:space="0" w:color="auto"/>
            </w:tcBorders>
            <w:hideMark/>
          </w:tcPr>
          <w:p w14:paraId="5D2FD84C" w14:textId="77777777" w:rsidR="00E64488" w:rsidRDefault="00E64488">
            <w:pPr>
              <w:rPr>
                <w:color w:val="000000"/>
                <w:sz w:val="24"/>
                <w:szCs w:val="24"/>
              </w:rPr>
            </w:pPr>
            <w:r>
              <w:rPr>
                <w:color w:val="000000"/>
                <w:sz w:val="24"/>
                <w:szCs w:val="24"/>
              </w:rPr>
              <w:t xml:space="preserve">Torsades de pointes </w:t>
            </w:r>
          </w:p>
          <w:p w14:paraId="0F89C3B0" w14:textId="77777777" w:rsidR="00E64488" w:rsidRDefault="00E64488">
            <w:pPr>
              <w:rPr>
                <w:color w:val="000000"/>
                <w:sz w:val="24"/>
                <w:szCs w:val="24"/>
              </w:rPr>
            </w:pPr>
            <w:r>
              <w:rPr>
                <w:color w:val="000000"/>
                <w:sz w:val="24"/>
                <w:szCs w:val="24"/>
              </w:rPr>
              <w:t>(se pkt. 4.4)</w:t>
            </w:r>
          </w:p>
          <w:p w14:paraId="3324F5E1" w14:textId="77777777" w:rsidR="00E64488" w:rsidRDefault="00E64488">
            <w:pPr>
              <w:rPr>
                <w:color w:val="000000"/>
                <w:sz w:val="24"/>
                <w:szCs w:val="24"/>
              </w:rPr>
            </w:pPr>
            <w:r>
              <w:rPr>
                <w:color w:val="000000"/>
                <w:sz w:val="24"/>
                <w:szCs w:val="24"/>
              </w:rPr>
              <w:t xml:space="preserve">QT-forlængelse </w:t>
            </w:r>
          </w:p>
          <w:p w14:paraId="2BF98265" w14:textId="77777777" w:rsidR="00E64488" w:rsidRDefault="00E64488">
            <w:pPr>
              <w:rPr>
                <w:color w:val="000000"/>
                <w:sz w:val="24"/>
                <w:szCs w:val="24"/>
              </w:rPr>
            </w:pPr>
            <w:r>
              <w:rPr>
                <w:color w:val="000000"/>
                <w:sz w:val="24"/>
                <w:szCs w:val="24"/>
              </w:rPr>
              <w:t>(se pkt. 4.4)</w:t>
            </w:r>
          </w:p>
        </w:tc>
        <w:tc>
          <w:tcPr>
            <w:tcW w:w="1954" w:type="dxa"/>
            <w:tcBorders>
              <w:top w:val="single" w:sz="4" w:space="0" w:color="auto"/>
              <w:left w:val="single" w:sz="4" w:space="0" w:color="auto"/>
              <w:bottom w:val="single" w:sz="4" w:space="0" w:color="auto"/>
              <w:right w:val="single" w:sz="4" w:space="0" w:color="auto"/>
            </w:tcBorders>
          </w:tcPr>
          <w:p w14:paraId="1E0C2560" w14:textId="77777777" w:rsidR="00E64488" w:rsidRDefault="00E64488">
            <w:pPr>
              <w:rPr>
                <w:color w:val="000000"/>
                <w:sz w:val="24"/>
                <w:szCs w:val="24"/>
              </w:rPr>
            </w:pPr>
          </w:p>
        </w:tc>
      </w:tr>
      <w:tr w:rsidR="00E64488" w14:paraId="592749C8"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24290CB2" w14:textId="77777777" w:rsidR="00E64488" w:rsidRDefault="00E64488">
            <w:pPr>
              <w:keepNext/>
              <w:rPr>
                <w:color w:val="000000"/>
                <w:sz w:val="24"/>
                <w:szCs w:val="24"/>
              </w:rPr>
            </w:pPr>
            <w:r>
              <w:rPr>
                <w:b/>
                <w:bCs/>
                <w:color w:val="000000"/>
                <w:sz w:val="24"/>
                <w:szCs w:val="24"/>
              </w:rPr>
              <w:t>Mave-tarm-kanalen</w:t>
            </w:r>
          </w:p>
        </w:tc>
        <w:tc>
          <w:tcPr>
            <w:tcW w:w="1777" w:type="dxa"/>
            <w:tcBorders>
              <w:top w:val="single" w:sz="4" w:space="0" w:color="auto"/>
              <w:left w:val="single" w:sz="4" w:space="0" w:color="auto"/>
              <w:bottom w:val="single" w:sz="4" w:space="0" w:color="auto"/>
              <w:right w:val="single" w:sz="4" w:space="0" w:color="auto"/>
            </w:tcBorders>
            <w:hideMark/>
          </w:tcPr>
          <w:p w14:paraId="55D8CDD2" w14:textId="77777777" w:rsidR="00E64488" w:rsidRDefault="00E64488">
            <w:pPr>
              <w:rPr>
                <w:color w:val="000000"/>
                <w:sz w:val="24"/>
                <w:szCs w:val="24"/>
              </w:rPr>
            </w:pPr>
            <w:r>
              <w:rPr>
                <w:color w:val="000000"/>
                <w:sz w:val="24"/>
                <w:szCs w:val="24"/>
              </w:rPr>
              <w:t>Abdominal</w:t>
            </w:r>
            <w:r>
              <w:rPr>
                <w:color w:val="000000"/>
                <w:sz w:val="24"/>
                <w:szCs w:val="24"/>
              </w:rPr>
              <w:softHyphen/>
              <w:t>smerter Opkastning</w:t>
            </w:r>
          </w:p>
          <w:p w14:paraId="795CE43A" w14:textId="77777777" w:rsidR="00E64488" w:rsidRDefault="00E64488">
            <w:pPr>
              <w:rPr>
                <w:color w:val="000000"/>
                <w:sz w:val="24"/>
                <w:szCs w:val="24"/>
              </w:rPr>
            </w:pPr>
            <w:r>
              <w:rPr>
                <w:color w:val="000000"/>
                <w:sz w:val="24"/>
                <w:szCs w:val="24"/>
              </w:rPr>
              <w:t>Diaré</w:t>
            </w:r>
          </w:p>
          <w:p w14:paraId="7BAC7755" w14:textId="77777777" w:rsidR="00E64488" w:rsidRDefault="00E64488">
            <w:pPr>
              <w:rPr>
                <w:color w:val="000000"/>
                <w:sz w:val="24"/>
                <w:szCs w:val="24"/>
              </w:rPr>
            </w:pPr>
            <w:r>
              <w:rPr>
                <w:color w:val="000000"/>
                <w:sz w:val="24"/>
                <w:szCs w:val="24"/>
              </w:rPr>
              <w:t>Kvalme</w:t>
            </w:r>
          </w:p>
        </w:tc>
        <w:tc>
          <w:tcPr>
            <w:tcW w:w="1800" w:type="dxa"/>
            <w:tcBorders>
              <w:top w:val="single" w:sz="4" w:space="0" w:color="auto"/>
              <w:left w:val="single" w:sz="4" w:space="0" w:color="auto"/>
              <w:bottom w:val="single" w:sz="4" w:space="0" w:color="auto"/>
              <w:right w:val="single" w:sz="4" w:space="0" w:color="auto"/>
            </w:tcBorders>
            <w:hideMark/>
          </w:tcPr>
          <w:p w14:paraId="226AF83C" w14:textId="77777777" w:rsidR="00E64488" w:rsidRDefault="00E64488">
            <w:pPr>
              <w:rPr>
                <w:color w:val="000000"/>
                <w:sz w:val="24"/>
                <w:szCs w:val="24"/>
              </w:rPr>
            </w:pPr>
            <w:r>
              <w:rPr>
                <w:color w:val="000000"/>
                <w:sz w:val="24"/>
                <w:szCs w:val="24"/>
              </w:rPr>
              <w:t>Obstipation Dyspepsi</w:t>
            </w:r>
          </w:p>
          <w:p w14:paraId="7CC1CF1D" w14:textId="77777777" w:rsidR="00E64488" w:rsidRDefault="00E64488">
            <w:pPr>
              <w:rPr>
                <w:color w:val="000000"/>
                <w:sz w:val="24"/>
                <w:szCs w:val="24"/>
              </w:rPr>
            </w:pPr>
            <w:r>
              <w:rPr>
                <w:color w:val="000000"/>
                <w:sz w:val="24"/>
                <w:szCs w:val="24"/>
              </w:rPr>
              <w:t>Flatulens Mundtørhed</w:t>
            </w:r>
          </w:p>
        </w:tc>
        <w:tc>
          <w:tcPr>
            <w:tcW w:w="1961" w:type="dxa"/>
            <w:tcBorders>
              <w:top w:val="single" w:sz="4" w:space="0" w:color="auto"/>
              <w:left w:val="single" w:sz="4" w:space="0" w:color="auto"/>
              <w:bottom w:val="single" w:sz="4" w:space="0" w:color="auto"/>
              <w:right w:val="single" w:sz="4" w:space="0" w:color="auto"/>
            </w:tcBorders>
          </w:tcPr>
          <w:p w14:paraId="32338A04" w14:textId="77777777" w:rsidR="00E64488" w:rsidRDefault="00E64488">
            <w:pPr>
              <w:rPr>
                <w:color w:val="000000"/>
                <w:sz w:val="24"/>
                <w:szCs w:val="24"/>
              </w:rPr>
            </w:pPr>
          </w:p>
        </w:tc>
        <w:tc>
          <w:tcPr>
            <w:tcW w:w="1954" w:type="dxa"/>
            <w:tcBorders>
              <w:top w:val="single" w:sz="4" w:space="0" w:color="auto"/>
              <w:left w:val="single" w:sz="4" w:space="0" w:color="auto"/>
              <w:bottom w:val="single" w:sz="4" w:space="0" w:color="auto"/>
              <w:right w:val="single" w:sz="4" w:space="0" w:color="auto"/>
            </w:tcBorders>
          </w:tcPr>
          <w:p w14:paraId="7E42864E" w14:textId="77777777" w:rsidR="00E64488" w:rsidRDefault="00E64488">
            <w:pPr>
              <w:rPr>
                <w:color w:val="000000"/>
                <w:sz w:val="24"/>
                <w:szCs w:val="24"/>
              </w:rPr>
            </w:pPr>
          </w:p>
        </w:tc>
      </w:tr>
      <w:tr w:rsidR="00E64488" w14:paraId="480EAC1A"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534669C7" w14:textId="77777777" w:rsidR="00E64488" w:rsidRDefault="00E64488">
            <w:pPr>
              <w:rPr>
                <w:color w:val="000000"/>
                <w:sz w:val="24"/>
                <w:szCs w:val="24"/>
              </w:rPr>
            </w:pPr>
            <w:r>
              <w:rPr>
                <w:b/>
                <w:bCs/>
                <w:color w:val="000000"/>
                <w:sz w:val="24"/>
                <w:szCs w:val="24"/>
              </w:rPr>
              <w:t>Lever og galdeveje</w:t>
            </w:r>
          </w:p>
        </w:tc>
        <w:tc>
          <w:tcPr>
            <w:tcW w:w="1777" w:type="dxa"/>
            <w:tcBorders>
              <w:top w:val="single" w:sz="4" w:space="0" w:color="auto"/>
              <w:left w:val="single" w:sz="4" w:space="0" w:color="auto"/>
              <w:bottom w:val="single" w:sz="4" w:space="0" w:color="auto"/>
              <w:right w:val="single" w:sz="4" w:space="0" w:color="auto"/>
            </w:tcBorders>
            <w:hideMark/>
          </w:tcPr>
          <w:p w14:paraId="4F54D541" w14:textId="77777777" w:rsidR="00E64488" w:rsidRPr="00E64488" w:rsidRDefault="00E64488">
            <w:pPr>
              <w:rPr>
                <w:color w:val="000000"/>
                <w:sz w:val="24"/>
                <w:szCs w:val="24"/>
                <w:lang w:val="es-ES"/>
              </w:rPr>
            </w:pPr>
            <w:r w:rsidRPr="00E64488">
              <w:rPr>
                <w:color w:val="000000"/>
                <w:sz w:val="24"/>
                <w:szCs w:val="24"/>
                <w:lang w:val="es-ES"/>
              </w:rPr>
              <w:t>Forhøjet alanin-aminotrans</w:t>
            </w:r>
            <w:r>
              <w:rPr>
                <w:color w:val="000000"/>
                <w:sz w:val="24"/>
                <w:szCs w:val="24"/>
                <w:lang w:val="es-ES"/>
              </w:rPr>
              <w:softHyphen/>
            </w:r>
            <w:r w:rsidRPr="00E64488">
              <w:rPr>
                <w:color w:val="000000"/>
                <w:sz w:val="24"/>
                <w:szCs w:val="24"/>
                <w:lang w:val="es-ES"/>
              </w:rPr>
              <w:t>ferase</w:t>
            </w:r>
          </w:p>
          <w:p w14:paraId="0485EFEA" w14:textId="77777777" w:rsidR="00E64488" w:rsidRPr="00E64488" w:rsidRDefault="00E64488">
            <w:pPr>
              <w:rPr>
                <w:color w:val="000000"/>
                <w:sz w:val="24"/>
                <w:szCs w:val="24"/>
                <w:lang w:val="es-ES"/>
              </w:rPr>
            </w:pPr>
            <w:r w:rsidRPr="00E64488">
              <w:rPr>
                <w:color w:val="000000"/>
                <w:sz w:val="24"/>
                <w:szCs w:val="24"/>
                <w:lang w:val="es-ES"/>
              </w:rPr>
              <w:t>(se pkt. 4.4)</w:t>
            </w:r>
          </w:p>
          <w:p w14:paraId="21519A8F" w14:textId="77777777" w:rsidR="00E64488" w:rsidRDefault="00E64488">
            <w:pPr>
              <w:rPr>
                <w:color w:val="000000"/>
                <w:sz w:val="24"/>
                <w:szCs w:val="24"/>
              </w:rPr>
            </w:pPr>
            <w:r>
              <w:rPr>
                <w:color w:val="000000"/>
                <w:sz w:val="24"/>
                <w:szCs w:val="24"/>
              </w:rPr>
              <w:lastRenderedPageBreak/>
              <w:t>Forhøjet aspartat-aminotrans</w:t>
            </w:r>
            <w:r w:rsidR="00186A9B">
              <w:rPr>
                <w:color w:val="000000"/>
                <w:sz w:val="24"/>
                <w:szCs w:val="24"/>
              </w:rPr>
              <w:softHyphen/>
            </w:r>
            <w:r>
              <w:rPr>
                <w:color w:val="000000"/>
                <w:sz w:val="24"/>
                <w:szCs w:val="24"/>
              </w:rPr>
              <w:t>ferase</w:t>
            </w:r>
          </w:p>
          <w:p w14:paraId="52A31C6A" w14:textId="77777777" w:rsidR="00E64488" w:rsidRDefault="00E64488">
            <w:pPr>
              <w:rPr>
                <w:color w:val="000000"/>
                <w:sz w:val="24"/>
                <w:szCs w:val="24"/>
              </w:rPr>
            </w:pPr>
            <w:r>
              <w:rPr>
                <w:color w:val="000000"/>
                <w:sz w:val="24"/>
                <w:szCs w:val="24"/>
              </w:rPr>
              <w:t xml:space="preserve">(se pkt. 4.4) Forhøjet alkalisk fosfatase </w:t>
            </w:r>
          </w:p>
          <w:p w14:paraId="5685FEC0" w14:textId="77777777" w:rsidR="00E64488" w:rsidRDefault="00E64488">
            <w:pPr>
              <w:rPr>
                <w:color w:val="000000"/>
                <w:sz w:val="24"/>
                <w:szCs w:val="24"/>
              </w:rPr>
            </w:pPr>
            <w:r>
              <w:rPr>
                <w:color w:val="000000"/>
                <w:sz w:val="24"/>
                <w:szCs w:val="24"/>
              </w:rPr>
              <w:t>(se pkt. 4.4)</w:t>
            </w:r>
          </w:p>
        </w:tc>
        <w:tc>
          <w:tcPr>
            <w:tcW w:w="1800" w:type="dxa"/>
            <w:tcBorders>
              <w:top w:val="single" w:sz="4" w:space="0" w:color="auto"/>
              <w:left w:val="single" w:sz="4" w:space="0" w:color="auto"/>
              <w:bottom w:val="single" w:sz="4" w:space="0" w:color="auto"/>
              <w:right w:val="single" w:sz="4" w:space="0" w:color="auto"/>
            </w:tcBorders>
            <w:hideMark/>
          </w:tcPr>
          <w:p w14:paraId="6D8AE955" w14:textId="77777777" w:rsidR="00E64488" w:rsidRDefault="00E64488">
            <w:pPr>
              <w:rPr>
                <w:color w:val="000000"/>
                <w:sz w:val="24"/>
                <w:szCs w:val="24"/>
              </w:rPr>
            </w:pPr>
            <w:r>
              <w:rPr>
                <w:color w:val="000000"/>
                <w:sz w:val="24"/>
                <w:szCs w:val="24"/>
              </w:rPr>
              <w:lastRenderedPageBreak/>
              <w:t xml:space="preserve">Kolestase </w:t>
            </w:r>
          </w:p>
          <w:p w14:paraId="05265D11" w14:textId="77777777" w:rsidR="00E64488" w:rsidRDefault="00E64488">
            <w:pPr>
              <w:rPr>
                <w:color w:val="000000"/>
                <w:sz w:val="24"/>
                <w:szCs w:val="24"/>
              </w:rPr>
            </w:pPr>
            <w:r>
              <w:rPr>
                <w:color w:val="000000"/>
                <w:sz w:val="24"/>
                <w:szCs w:val="24"/>
              </w:rPr>
              <w:t>(se pkt. 4.4)</w:t>
            </w:r>
          </w:p>
          <w:p w14:paraId="2BCCF9F8" w14:textId="77777777" w:rsidR="00E64488" w:rsidRDefault="00E64488">
            <w:pPr>
              <w:rPr>
                <w:color w:val="000000"/>
                <w:sz w:val="24"/>
                <w:szCs w:val="24"/>
              </w:rPr>
            </w:pPr>
            <w:r>
              <w:rPr>
                <w:color w:val="000000"/>
                <w:sz w:val="24"/>
                <w:szCs w:val="24"/>
              </w:rPr>
              <w:t xml:space="preserve">Gulsot </w:t>
            </w:r>
          </w:p>
          <w:p w14:paraId="719E59AF" w14:textId="77777777" w:rsidR="00E64488" w:rsidRDefault="00E64488">
            <w:pPr>
              <w:rPr>
                <w:color w:val="000000"/>
                <w:sz w:val="24"/>
                <w:szCs w:val="24"/>
              </w:rPr>
            </w:pPr>
            <w:r>
              <w:rPr>
                <w:color w:val="000000"/>
                <w:sz w:val="24"/>
                <w:szCs w:val="24"/>
              </w:rPr>
              <w:lastRenderedPageBreak/>
              <w:t xml:space="preserve">(se pkt. 4.4), Forøget bilirubin </w:t>
            </w:r>
          </w:p>
          <w:p w14:paraId="62E3906C" w14:textId="77777777" w:rsidR="00E64488" w:rsidRDefault="00E64488">
            <w:pPr>
              <w:rPr>
                <w:color w:val="000000"/>
                <w:sz w:val="24"/>
                <w:szCs w:val="24"/>
              </w:rPr>
            </w:pPr>
            <w:r>
              <w:rPr>
                <w:color w:val="000000"/>
                <w:sz w:val="24"/>
                <w:szCs w:val="24"/>
              </w:rPr>
              <w:t>(se pkt. 4.4)</w:t>
            </w:r>
          </w:p>
        </w:tc>
        <w:tc>
          <w:tcPr>
            <w:tcW w:w="1961" w:type="dxa"/>
            <w:tcBorders>
              <w:top w:val="single" w:sz="4" w:space="0" w:color="auto"/>
              <w:left w:val="single" w:sz="4" w:space="0" w:color="auto"/>
              <w:bottom w:val="single" w:sz="4" w:space="0" w:color="auto"/>
              <w:right w:val="single" w:sz="4" w:space="0" w:color="auto"/>
            </w:tcBorders>
            <w:hideMark/>
          </w:tcPr>
          <w:p w14:paraId="4F287732" w14:textId="77777777" w:rsidR="00E64488" w:rsidRDefault="00E64488">
            <w:pPr>
              <w:rPr>
                <w:color w:val="000000"/>
                <w:sz w:val="24"/>
                <w:szCs w:val="24"/>
              </w:rPr>
            </w:pPr>
            <w:r>
              <w:rPr>
                <w:color w:val="000000"/>
                <w:sz w:val="24"/>
                <w:szCs w:val="24"/>
              </w:rPr>
              <w:lastRenderedPageBreak/>
              <w:t xml:space="preserve">Leversvigt </w:t>
            </w:r>
          </w:p>
          <w:p w14:paraId="5E718B95" w14:textId="77777777" w:rsidR="00E64488" w:rsidRDefault="00E64488">
            <w:pPr>
              <w:rPr>
                <w:color w:val="000000"/>
                <w:sz w:val="24"/>
                <w:szCs w:val="24"/>
                <w:lang w:val="nb-NO"/>
              </w:rPr>
            </w:pPr>
            <w:r>
              <w:rPr>
                <w:color w:val="000000"/>
                <w:sz w:val="24"/>
                <w:szCs w:val="24"/>
                <w:lang w:val="nb-NO"/>
              </w:rPr>
              <w:t>(se pkt. 4.4)</w:t>
            </w:r>
          </w:p>
          <w:p w14:paraId="4504CBD7" w14:textId="77777777" w:rsidR="00E64488" w:rsidRDefault="00E64488">
            <w:pPr>
              <w:rPr>
                <w:color w:val="000000"/>
                <w:sz w:val="24"/>
                <w:szCs w:val="24"/>
                <w:lang w:val="nb-NO"/>
              </w:rPr>
            </w:pPr>
            <w:r>
              <w:rPr>
                <w:color w:val="000000"/>
                <w:sz w:val="24"/>
                <w:szCs w:val="24"/>
                <w:lang w:val="nb-NO"/>
              </w:rPr>
              <w:t xml:space="preserve">hepatocellulær nekrose </w:t>
            </w:r>
          </w:p>
          <w:p w14:paraId="640CC27B" w14:textId="77777777" w:rsidR="00E64488" w:rsidRDefault="00E64488">
            <w:pPr>
              <w:rPr>
                <w:color w:val="000000"/>
                <w:sz w:val="24"/>
                <w:szCs w:val="24"/>
                <w:lang w:val="nb-NO"/>
              </w:rPr>
            </w:pPr>
            <w:r>
              <w:rPr>
                <w:color w:val="000000"/>
                <w:sz w:val="24"/>
                <w:szCs w:val="24"/>
                <w:lang w:val="nb-NO"/>
              </w:rPr>
              <w:lastRenderedPageBreak/>
              <w:t>(se pkt. 4.4)</w:t>
            </w:r>
          </w:p>
          <w:p w14:paraId="588DDE8B" w14:textId="77777777" w:rsidR="00E64488" w:rsidRDefault="00E64488">
            <w:pPr>
              <w:rPr>
                <w:color w:val="000000"/>
                <w:sz w:val="24"/>
                <w:szCs w:val="24"/>
              </w:rPr>
            </w:pPr>
            <w:r>
              <w:rPr>
                <w:color w:val="000000"/>
                <w:sz w:val="24"/>
                <w:szCs w:val="24"/>
              </w:rPr>
              <w:t xml:space="preserve">Hepatitis </w:t>
            </w:r>
          </w:p>
          <w:p w14:paraId="559F6FFC" w14:textId="77777777" w:rsidR="00E64488" w:rsidRDefault="00E64488">
            <w:pPr>
              <w:rPr>
                <w:color w:val="000000"/>
                <w:sz w:val="24"/>
                <w:szCs w:val="24"/>
              </w:rPr>
            </w:pPr>
            <w:r>
              <w:rPr>
                <w:color w:val="000000"/>
                <w:sz w:val="24"/>
                <w:szCs w:val="24"/>
              </w:rPr>
              <w:t>(se pkt. 4.4) Hepatocellulær skade</w:t>
            </w:r>
          </w:p>
          <w:p w14:paraId="6097E931" w14:textId="77777777" w:rsidR="00E64488" w:rsidRDefault="00E64488">
            <w:pPr>
              <w:rPr>
                <w:color w:val="000000"/>
                <w:sz w:val="24"/>
                <w:szCs w:val="24"/>
              </w:rPr>
            </w:pPr>
            <w:r>
              <w:rPr>
                <w:color w:val="000000"/>
                <w:sz w:val="24"/>
                <w:szCs w:val="24"/>
              </w:rPr>
              <w:t>(se pkt. 4.4)</w:t>
            </w:r>
          </w:p>
        </w:tc>
        <w:tc>
          <w:tcPr>
            <w:tcW w:w="1954" w:type="dxa"/>
            <w:tcBorders>
              <w:top w:val="single" w:sz="4" w:space="0" w:color="auto"/>
              <w:left w:val="single" w:sz="4" w:space="0" w:color="auto"/>
              <w:bottom w:val="single" w:sz="4" w:space="0" w:color="auto"/>
              <w:right w:val="single" w:sz="4" w:space="0" w:color="auto"/>
            </w:tcBorders>
          </w:tcPr>
          <w:p w14:paraId="3ED9E40D" w14:textId="77777777" w:rsidR="00E64488" w:rsidRDefault="00E64488">
            <w:pPr>
              <w:rPr>
                <w:color w:val="000000"/>
                <w:sz w:val="24"/>
                <w:szCs w:val="24"/>
              </w:rPr>
            </w:pPr>
          </w:p>
        </w:tc>
      </w:tr>
      <w:tr w:rsidR="00E64488" w14:paraId="1B9C5810"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75ED3211" w14:textId="77777777" w:rsidR="00E64488" w:rsidRDefault="00E64488">
            <w:pPr>
              <w:rPr>
                <w:color w:val="000000"/>
                <w:sz w:val="24"/>
                <w:szCs w:val="24"/>
              </w:rPr>
            </w:pPr>
            <w:r>
              <w:rPr>
                <w:b/>
                <w:bCs/>
                <w:color w:val="000000"/>
                <w:sz w:val="24"/>
                <w:szCs w:val="24"/>
              </w:rPr>
              <w:t>Hud og subkutane væv</w:t>
            </w:r>
          </w:p>
        </w:tc>
        <w:tc>
          <w:tcPr>
            <w:tcW w:w="1777" w:type="dxa"/>
            <w:tcBorders>
              <w:top w:val="single" w:sz="4" w:space="0" w:color="auto"/>
              <w:left w:val="single" w:sz="4" w:space="0" w:color="auto"/>
              <w:bottom w:val="single" w:sz="4" w:space="0" w:color="auto"/>
              <w:right w:val="single" w:sz="4" w:space="0" w:color="auto"/>
            </w:tcBorders>
            <w:hideMark/>
          </w:tcPr>
          <w:p w14:paraId="27A6A11A" w14:textId="77777777" w:rsidR="00E64488" w:rsidRDefault="00E64488">
            <w:pPr>
              <w:rPr>
                <w:color w:val="000000"/>
                <w:sz w:val="24"/>
                <w:szCs w:val="24"/>
              </w:rPr>
            </w:pPr>
            <w:r>
              <w:rPr>
                <w:color w:val="000000"/>
                <w:sz w:val="24"/>
                <w:szCs w:val="24"/>
              </w:rPr>
              <w:t xml:space="preserve">Udslæt </w:t>
            </w:r>
          </w:p>
          <w:p w14:paraId="3E7F1DB7" w14:textId="77777777" w:rsidR="00E64488" w:rsidRDefault="00E64488">
            <w:pPr>
              <w:rPr>
                <w:color w:val="000000"/>
                <w:sz w:val="24"/>
                <w:szCs w:val="24"/>
              </w:rPr>
            </w:pPr>
            <w:r>
              <w:rPr>
                <w:color w:val="000000"/>
                <w:sz w:val="24"/>
                <w:szCs w:val="24"/>
              </w:rPr>
              <w:t>(se pkt. 4.4)</w:t>
            </w:r>
          </w:p>
        </w:tc>
        <w:tc>
          <w:tcPr>
            <w:tcW w:w="1800" w:type="dxa"/>
            <w:tcBorders>
              <w:top w:val="single" w:sz="4" w:space="0" w:color="auto"/>
              <w:left w:val="single" w:sz="4" w:space="0" w:color="auto"/>
              <w:bottom w:val="single" w:sz="4" w:space="0" w:color="auto"/>
              <w:right w:val="single" w:sz="4" w:space="0" w:color="auto"/>
            </w:tcBorders>
            <w:hideMark/>
          </w:tcPr>
          <w:p w14:paraId="2DA3C2F5" w14:textId="77777777" w:rsidR="00E64488" w:rsidRDefault="00E64488">
            <w:pPr>
              <w:rPr>
                <w:color w:val="000000"/>
                <w:sz w:val="24"/>
                <w:szCs w:val="24"/>
              </w:rPr>
            </w:pPr>
            <w:r>
              <w:rPr>
                <w:color w:val="000000"/>
                <w:sz w:val="24"/>
                <w:szCs w:val="24"/>
              </w:rPr>
              <w:t>Lægemiddeludslæt</w:t>
            </w:r>
          </w:p>
          <w:p w14:paraId="7E7B03CC" w14:textId="77777777" w:rsidR="00E64488" w:rsidRDefault="00E64488">
            <w:pPr>
              <w:rPr>
                <w:color w:val="000000"/>
                <w:sz w:val="24"/>
                <w:szCs w:val="24"/>
              </w:rPr>
            </w:pPr>
            <w:r>
              <w:rPr>
                <w:color w:val="000000"/>
                <w:sz w:val="24"/>
                <w:szCs w:val="24"/>
              </w:rPr>
              <w:t xml:space="preserve">(se pkt. 4.4) Urticaria </w:t>
            </w:r>
          </w:p>
          <w:p w14:paraId="504D9E4C" w14:textId="77777777" w:rsidR="00E64488" w:rsidRDefault="00E64488">
            <w:pPr>
              <w:rPr>
                <w:color w:val="000000"/>
                <w:sz w:val="24"/>
                <w:szCs w:val="24"/>
              </w:rPr>
            </w:pPr>
            <w:r>
              <w:rPr>
                <w:color w:val="000000"/>
                <w:sz w:val="24"/>
                <w:szCs w:val="24"/>
              </w:rPr>
              <w:t>(se pkt. 4.4)</w:t>
            </w:r>
          </w:p>
          <w:p w14:paraId="4CBEA6BF" w14:textId="77777777" w:rsidR="00E64488" w:rsidRDefault="00E64488">
            <w:pPr>
              <w:rPr>
                <w:color w:val="000000"/>
                <w:sz w:val="24"/>
                <w:szCs w:val="24"/>
              </w:rPr>
            </w:pPr>
            <w:r>
              <w:rPr>
                <w:color w:val="000000"/>
                <w:sz w:val="24"/>
                <w:szCs w:val="24"/>
              </w:rPr>
              <w:t>Pruritus</w:t>
            </w:r>
          </w:p>
          <w:p w14:paraId="490FBEC2" w14:textId="77777777" w:rsidR="00E64488" w:rsidRDefault="00E64488">
            <w:pPr>
              <w:rPr>
                <w:color w:val="000000"/>
                <w:sz w:val="24"/>
                <w:szCs w:val="24"/>
              </w:rPr>
            </w:pPr>
            <w:r>
              <w:rPr>
                <w:color w:val="000000"/>
                <w:sz w:val="24"/>
                <w:szCs w:val="24"/>
              </w:rPr>
              <w:t>Øget svedtendens</w:t>
            </w:r>
          </w:p>
        </w:tc>
        <w:tc>
          <w:tcPr>
            <w:tcW w:w="1961" w:type="dxa"/>
            <w:tcBorders>
              <w:top w:val="single" w:sz="4" w:space="0" w:color="auto"/>
              <w:left w:val="single" w:sz="4" w:space="0" w:color="auto"/>
              <w:bottom w:val="single" w:sz="4" w:space="0" w:color="auto"/>
              <w:right w:val="single" w:sz="4" w:space="0" w:color="auto"/>
            </w:tcBorders>
          </w:tcPr>
          <w:p w14:paraId="7C15FC5A" w14:textId="77777777" w:rsidR="00E64488" w:rsidRDefault="00E64488">
            <w:pPr>
              <w:rPr>
                <w:color w:val="000000"/>
                <w:sz w:val="24"/>
                <w:szCs w:val="24"/>
                <w:lang w:val="nb-NO"/>
              </w:rPr>
            </w:pPr>
            <w:r>
              <w:rPr>
                <w:color w:val="000000"/>
                <w:sz w:val="24"/>
                <w:szCs w:val="24"/>
                <w:lang w:val="nb-NO"/>
              </w:rPr>
              <w:t xml:space="preserve">Toksisk epidermal nekrolyse </w:t>
            </w:r>
          </w:p>
          <w:p w14:paraId="727F0DC4" w14:textId="77777777" w:rsidR="00E64488" w:rsidRDefault="00E64488">
            <w:pPr>
              <w:rPr>
                <w:color w:val="000000"/>
                <w:sz w:val="24"/>
                <w:szCs w:val="24"/>
                <w:lang w:val="nb-NO"/>
              </w:rPr>
            </w:pPr>
            <w:r>
              <w:rPr>
                <w:color w:val="000000"/>
                <w:sz w:val="24"/>
                <w:szCs w:val="24"/>
                <w:lang w:val="nb-NO"/>
              </w:rPr>
              <w:t xml:space="preserve">(se pkt. 4.4) </w:t>
            </w:r>
          </w:p>
          <w:p w14:paraId="0F4008D3" w14:textId="77777777" w:rsidR="00E64488" w:rsidRDefault="00E64488">
            <w:pPr>
              <w:rPr>
                <w:color w:val="000000"/>
                <w:sz w:val="24"/>
                <w:szCs w:val="24"/>
                <w:lang w:val="nb-NO"/>
              </w:rPr>
            </w:pPr>
            <w:r>
              <w:rPr>
                <w:color w:val="000000"/>
                <w:sz w:val="24"/>
                <w:szCs w:val="24"/>
                <w:lang w:val="nb-NO"/>
              </w:rPr>
              <w:t xml:space="preserve">Stevens-Johnsons syndrom </w:t>
            </w:r>
          </w:p>
          <w:p w14:paraId="269F3A6E" w14:textId="77777777" w:rsidR="00E64488" w:rsidRDefault="00E64488">
            <w:pPr>
              <w:rPr>
                <w:color w:val="000000"/>
                <w:sz w:val="24"/>
                <w:szCs w:val="24"/>
                <w:lang w:val="nb-NO"/>
              </w:rPr>
            </w:pPr>
            <w:r>
              <w:rPr>
                <w:color w:val="000000"/>
                <w:sz w:val="24"/>
                <w:szCs w:val="24"/>
                <w:lang w:val="nb-NO"/>
              </w:rPr>
              <w:t xml:space="preserve">(se pkt. 4.4) </w:t>
            </w:r>
          </w:p>
          <w:p w14:paraId="45915525" w14:textId="77777777" w:rsidR="00E64488" w:rsidRDefault="00E64488">
            <w:pPr>
              <w:rPr>
                <w:color w:val="000000"/>
                <w:sz w:val="24"/>
                <w:szCs w:val="24"/>
                <w:lang w:val="nb-NO"/>
              </w:rPr>
            </w:pPr>
            <w:r>
              <w:rPr>
                <w:color w:val="000000"/>
                <w:sz w:val="24"/>
                <w:szCs w:val="24"/>
                <w:lang w:val="nb-NO"/>
              </w:rPr>
              <w:t>Akut generaliseret eksantematøs pustulose</w:t>
            </w:r>
          </w:p>
          <w:p w14:paraId="737C3558" w14:textId="77777777" w:rsidR="00E64488" w:rsidRDefault="00E64488">
            <w:pPr>
              <w:rPr>
                <w:color w:val="000000"/>
                <w:sz w:val="24"/>
                <w:szCs w:val="24"/>
              </w:rPr>
            </w:pPr>
            <w:r>
              <w:rPr>
                <w:color w:val="000000"/>
                <w:sz w:val="24"/>
                <w:szCs w:val="24"/>
              </w:rPr>
              <w:t>(se pkt. 4.4)</w:t>
            </w:r>
          </w:p>
          <w:p w14:paraId="7F17670D" w14:textId="77777777" w:rsidR="00E64488" w:rsidRDefault="00E64488">
            <w:pPr>
              <w:rPr>
                <w:color w:val="000000"/>
                <w:sz w:val="24"/>
                <w:szCs w:val="24"/>
              </w:rPr>
            </w:pPr>
          </w:p>
          <w:p w14:paraId="3FD9681E" w14:textId="77777777" w:rsidR="00E64488" w:rsidRDefault="00E64488">
            <w:pPr>
              <w:rPr>
                <w:color w:val="000000"/>
                <w:sz w:val="24"/>
                <w:szCs w:val="24"/>
              </w:rPr>
            </w:pPr>
            <w:r>
              <w:rPr>
                <w:color w:val="000000"/>
                <w:sz w:val="24"/>
                <w:szCs w:val="24"/>
              </w:rPr>
              <w:t>Eksfoliative kutanreaktioner</w:t>
            </w:r>
          </w:p>
          <w:p w14:paraId="127C0D42" w14:textId="77777777" w:rsidR="00E64488" w:rsidRDefault="00E64488">
            <w:pPr>
              <w:rPr>
                <w:color w:val="000000"/>
                <w:sz w:val="24"/>
                <w:szCs w:val="24"/>
              </w:rPr>
            </w:pPr>
            <w:r>
              <w:rPr>
                <w:color w:val="000000"/>
                <w:sz w:val="24"/>
                <w:szCs w:val="24"/>
              </w:rPr>
              <w:t>Angioødem</w:t>
            </w:r>
          </w:p>
          <w:p w14:paraId="3C1565F5" w14:textId="77777777" w:rsidR="00E64488" w:rsidRDefault="00E64488">
            <w:pPr>
              <w:rPr>
                <w:color w:val="000000"/>
                <w:sz w:val="24"/>
                <w:szCs w:val="24"/>
              </w:rPr>
            </w:pPr>
            <w:r>
              <w:rPr>
                <w:color w:val="000000"/>
                <w:sz w:val="24"/>
                <w:szCs w:val="24"/>
              </w:rPr>
              <w:t>Ansigtsødem</w:t>
            </w:r>
          </w:p>
          <w:p w14:paraId="1BF53EB3" w14:textId="77777777" w:rsidR="00E64488" w:rsidRDefault="00E64488">
            <w:pPr>
              <w:rPr>
                <w:color w:val="000000"/>
                <w:sz w:val="24"/>
                <w:szCs w:val="24"/>
              </w:rPr>
            </w:pPr>
            <w:r>
              <w:rPr>
                <w:color w:val="000000"/>
                <w:sz w:val="24"/>
                <w:szCs w:val="24"/>
              </w:rPr>
              <w:t>Alopeci</w:t>
            </w:r>
          </w:p>
        </w:tc>
        <w:tc>
          <w:tcPr>
            <w:tcW w:w="1954" w:type="dxa"/>
            <w:tcBorders>
              <w:top w:val="single" w:sz="4" w:space="0" w:color="auto"/>
              <w:left w:val="single" w:sz="4" w:space="0" w:color="auto"/>
              <w:bottom w:val="single" w:sz="4" w:space="0" w:color="auto"/>
              <w:right w:val="single" w:sz="4" w:space="0" w:color="auto"/>
            </w:tcBorders>
            <w:hideMark/>
          </w:tcPr>
          <w:p w14:paraId="2A731293" w14:textId="77777777" w:rsidR="00E64488" w:rsidRDefault="00E64488">
            <w:pPr>
              <w:ind w:left="18"/>
              <w:rPr>
                <w:color w:val="000000"/>
                <w:sz w:val="24"/>
                <w:szCs w:val="24"/>
                <w:lang w:val="nb-NO"/>
              </w:rPr>
            </w:pPr>
            <w:r>
              <w:rPr>
                <w:sz w:val="24"/>
              </w:rPr>
              <w:t>Lægemiddelreaktion med eosinofili og systemiske symptomer (DRESS)</w:t>
            </w:r>
          </w:p>
        </w:tc>
      </w:tr>
      <w:tr w:rsidR="00E64488" w14:paraId="7FB1B9C1"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57EB1C4D" w14:textId="77777777" w:rsidR="00E64488" w:rsidRDefault="00E64488">
            <w:pPr>
              <w:rPr>
                <w:color w:val="000000"/>
                <w:sz w:val="24"/>
                <w:szCs w:val="24"/>
              </w:rPr>
            </w:pPr>
            <w:r>
              <w:rPr>
                <w:b/>
                <w:bCs/>
                <w:color w:val="000000"/>
                <w:sz w:val="24"/>
                <w:szCs w:val="24"/>
              </w:rPr>
              <w:t>Knogler, led, muskler og bindevæv</w:t>
            </w:r>
          </w:p>
        </w:tc>
        <w:tc>
          <w:tcPr>
            <w:tcW w:w="1777" w:type="dxa"/>
            <w:tcBorders>
              <w:top w:val="single" w:sz="4" w:space="0" w:color="auto"/>
              <w:left w:val="single" w:sz="4" w:space="0" w:color="auto"/>
              <w:bottom w:val="single" w:sz="4" w:space="0" w:color="auto"/>
              <w:right w:val="single" w:sz="4" w:space="0" w:color="auto"/>
            </w:tcBorders>
          </w:tcPr>
          <w:p w14:paraId="71A9A28B" w14:textId="77777777" w:rsidR="00E64488" w:rsidRDefault="00E64488">
            <w:pPr>
              <w:rPr>
                <w:color w:val="000000"/>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14:paraId="13CD8FE8" w14:textId="77777777" w:rsidR="00E64488" w:rsidRDefault="00E64488">
            <w:pPr>
              <w:rPr>
                <w:color w:val="000000"/>
                <w:sz w:val="24"/>
                <w:szCs w:val="24"/>
              </w:rPr>
            </w:pPr>
            <w:r>
              <w:rPr>
                <w:color w:val="000000"/>
                <w:sz w:val="24"/>
                <w:szCs w:val="24"/>
              </w:rPr>
              <w:t>Myalgi</w:t>
            </w:r>
          </w:p>
        </w:tc>
        <w:tc>
          <w:tcPr>
            <w:tcW w:w="1961" w:type="dxa"/>
            <w:tcBorders>
              <w:top w:val="single" w:sz="4" w:space="0" w:color="auto"/>
              <w:left w:val="single" w:sz="4" w:space="0" w:color="auto"/>
              <w:bottom w:val="single" w:sz="4" w:space="0" w:color="auto"/>
              <w:right w:val="single" w:sz="4" w:space="0" w:color="auto"/>
            </w:tcBorders>
          </w:tcPr>
          <w:p w14:paraId="50166FDA" w14:textId="77777777" w:rsidR="00E64488" w:rsidRDefault="00E64488">
            <w:pPr>
              <w:rPr>
                <w:color w:val="000000"/>
                <w:sz w:val="24"/>
                <w:szCs w:val="24"/>
              </w:rPr>
            </w:pPr>
          </w:p>
        </w:tc>
        <w:tc>
          <w:tcPr>
            <w:tcW w:w="1954" w:type="dxa"/>
            <w:tcBorders>
              <w:top w:val="single" w:sz="4" w:space="0" w:color="auto"/>
              <w:left w:val="single" w:sz="4" w:space="0" w:color="auto"/>
              <w:bottom w:val="single" w:sz="4" w:space="0" w:color="auto"/>
              <w:right w:val="single" w:sz="4" w:space="0" w:color="auto"/>
            </w:tcBorders>
          </w:tcPr>
          <w:p w14:paraId="07CDDD5C" w14:textId="77777777" w:rsidR="00E64488" w:rsidRDefault="00E64488">
            <w:pPr>
              <w:rPr>
                <w:color w:val="000000"/>
                <w:sz w:val="24"/>
                <w:szCs w:val="24"/>
              </w:rPr>
            </w:pPr>
          </w:p>
        </w:tc>
      </w:tr>
      <w:tr w:rsidR="00E64488" w14:paraId="07B7210B" w14:textId="77777777" w:rsidTr="00E64488">
        <w:tc>
          <w:tcPr>
            <w:tcW w:w="2136" w:type="dxa"/>
            <w:tcBorders>
              <w:top w:val="single" w:sz="4" w:space="0" w:color="auto"/>
              <w:left w:val="single" w:sz="4" w:space="0" w:color="auto"/>
              <w:bottom w:val="single" w:sz="4" w:space="0" w:color="auto"/>
              <w:right w:val="single" w:sz="4" w:space="0" w:color="auto"/>
            </w:tcBorders>
            <w:hideMark/>
          </w:tcPr>
          <w:p w14:paraId="60302F2D" w14:textId="77777777" w:rsidR="00E64488" w:rsidRDefault="00E64488">
            <w:pPr>
              <w:rPr>
                <w:color w:val="000000"/>
                <w:sz w:val="24"/>
                <w:szCs w:val="24"/>
              </w:rPr>
            </w:pPr>
            <w:r>
              <w:rPr>
                <w:b/>
                <w:bCs/>
                <w:color w:val="000000"/>
                <w:sz w:val="24"/>
                <w:szCs w:val="24"/>
              </w:rPr>
              <w:t>Almene symptomer og reaktioner på administrations</w:t>
            </w:r>
            <w:r>
              <w:rPr>
                <w:b/>
                <w:bCs/>
                <w:color w:val="000000"/>
                <w:sz w:val="24"/>
                <w:szCs w:val="24"/>
              </w:rPr>
              <w:softHyphen/>
              <w:t>stedet</w:t>
            </w:r>
          </w:p>
        </w:tc>
        <w:tc>
          <w:tcPr>
            <w:tcW w:w="1777" w:type="dxa"/>
            <w:tcBorders>
              <w:top w:val="single" w:sz="4" w:space="0" w:color="auto"/>
              <w:left w:val="single" w:sz="4" w:space="0" w:color="auto"/>
              <w:bottom w:val="single" w:sz="4" w:space="0" w:color="auto"/>
              <w:right w:val="single" w:sz="4" w:space="0" w:color="auto"/>
            </w:tcBorders>
          </w:tcPr>
          <w:p w14:paraId="338EBA2C" w14:textId="77777777" w:rsidR="00E64488" w:rsidRDefault="00E64488">
            <w:pPr>
              <w:rPr>
                <w:color w:val="000000"/>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14:paraId="05890840" w14:textId="77777777" w:rsidR="00E64488" w:rsidRDefault="00E64488">
            <w:pPr>
              <w:rPr>
                <w:color w:val="000000"/>
                <w:sz w:val="24"/>
                <w:szCs w:val="24"/>
              </w:rPr>
            </w:pPr>
            <w:r>
              <w:rPr>
                <w:color w:val="000000"/>
                <w:sz w:val="24"/>
                <w:szCs w:val="24"/>
              </w:rPr>
              <w:t>Træthed</w:t>
            </w:r>
          </w:p>
          <w:p w14:paraId="750E1FB1" w14:textId="77777777" w:rsidR="00E64488" w:rsidRDefault="00E64488">
            <w:pPr>
              <w:rPr>
                <w:color w:val="000000"/>
                <w:sz w:val="24"/>
                <w:szCs w:val="24"/>
              </w:rPr>
            </w:pPr>
            <w:r>
              <w:rPr>
                <w:color w:val="000000"/>
                <w:sz w:val="24"/>
                <w:szCs w:val="24"/>
              </w:rPr>
              <w:t>Utilpashed</w:t>
            </w:r>
          </w:p>
          <w:p w14:paraId="39E2BC17" w14:textId="77777777" w:rsidR="00E64488" w:rsidRDefault="00E64488">
            <w:pPr>
              <w:rPr>
                <w:color w:val="000000"/>
                <w:sz w:val="24"/>
                <w:szCs w:val="24"/>
              </w:rPr>
            </w:pPr>
            <w:r>
              <w:rPr>
                <w:color w:val="000000"/>
                <w:sz w:val="24"/>
                <w:szCs w:val="24"/>
              </w:rPr>
              <w:t>Asteni</w:t>
            </w:r>
          </w:p>
          <w:p w14:paraId="4A56A2AF" w14:textId="77777777" w:rsidR="00E64488" w:rsidRDefault="00E64488">
            <w:pPr>
              <w:rPr>
                <w:color w:val="000000"/>
                <w:sz w:val="24"/>
                <w:szCs w:val="24"/>
              </w:rPr>
            </w:pPr>
            <w:r>
              <w:rPr>
                <w:color w:val="000000"/>
                <w:sz w:val="24"/>
                <w:szCs w:val="24"/>
              </w:rPr>
              <w:t>Feber</w:t>
            </w:r>
          </w:p>
        </w:tc>
        <w:tc>
          <w:tcPr>
            <w:tcW w:w="1961" w:type="dxa"/>
            <w:tcBorders>
              <w:top w:val="single" w:sz="4" w:space="0" w:color="auto"/>
              <w:left w:val="single" w:sz="4" w:space="0" w:color="auto"/>
              <w:bottom w:val="single" w:sz="4" w:space="0" w:color="auto"/>
              <w:right w:val="single" w:sz="4" w:space="0" w:color="auto"/>
            </w:tcBorders>
          </w:tcPr>
          <w:p w14:paraId="78ABF5BA" w14:textId="77777777" w:rsidR="00E64488" w:rsidRDefault="00E64488">
            <w:pPr>
              <w:rPr>
                <w:color w:val="000000"/>
                <w:sz w:val="24"/>
                <w:szCs w:val="24"/>
              </w:rPr>
            </w:pPr>
          </w:p>
        </w:tc>
        <w:tc>
          <w:tcPr>
            <w:tcW w:w="1954" w:type="dxa"/>
            <w:tcBorders>
              <w:top w:val="single" w:sz="4" w:space="0" w:color="auto"/>
              <w:left w:val="single" w:sz="4" w:space="0" w:color="auto"/>
              <w:bottom w:val="single" w:sz="4" w:space="0" w:color="auto"/>
              <w:right w:val="single" w:sz="4" w:space="0" w:color="auto"/>
            </w:tcBorders>
          </w:tcPr>
          <w:p w14:paraId="77FEDED2" w14:textId="77777777" w:rsidR="00E64488" w:rsidRDefault="00E64488">
            <w:pPr>
              <w:rPr>
                <w:color w:val="000000"/>
                <w:sz w:val="24"/>
                <w:szCs w:val="24"/>
              </w:rPr>
            </w:pPr>
          </w:p>
        </w:tc>
      </w:tr>
    </w:tbl>
    <w:p w14:paraId="177B5520" w14:textId="77777777" w:rsidR="00E64488" w:rsidRDefault="00E64488" w:rsidP="00E64488">
      <w:pPr>
        <w:ind w:left="1702" w:hanging="851"/>
        <w:rPr>
          <w:szCs w:val="24"/>
        </w:rPr>
      </w:pPr>
      <w:r>
        <w:rPr>
          <w:szCs w:val="24"/>
        </w:rPr>
        <w:t xml:space="preserve">* Herunder fikseret medicinudslæt </w:t>
      </w:r>
    </w:p>
    <w:p w14:paraId="717D73F4" w14:textId="77777777" w:rsidR="00E4635B" w:rsidRDefault="00E4635B" w:rsidP="00E4635B">
      <w:pPr>
        <w:pStyle w:val="Brdtekst3"/>
        <w:ind w:left="851" w:hanging="851"/>
        <w:jc w:val="left"/>
        <w:rPr>
          <w:bCs/>
          <w:szCs w:val="24"/>
          <w:lang w:val="da-DK"/>
        </w:rPr>
      </w:pPr>
    </w:p>
    <w:p w14:paraId="74D654D8" w14:textId="77777777" w:rsidR="00E4635B" w:rsidRDefault="00E4635B" w:rsidP="00E4635B">
      <w:pPr>
        <w:pStyle w:val="Brdtekst3"/>
        <w:ind w:left="851"/>
        <w:jc w:val="left"/>
        <w:rPr>
          <w:b/>
          <w:bCs/>
          <w:szCs w:val="24"/>
          <w:lang w:val="da-DK"/>
        </w:rPr>
      </w:pPr>
      <w:r>
        <w:rPr>
          <w:bCs/>
          <w:szCs w:val="24"/>
          <w:u w:val="single"/>
          <w:lang w:val="da-DK"/>
        </w:rPr>
        <w:t>Pædiatrisk population</w:t>
      </w:r>
    </w:p>
    <w:p w14:paraId="5D81D063" w14:textId="77777777" w:rsidR="00E4635B" w:rsidRDefault="00E4635B" w:rsidP="00E4635B">
      <w:pPr>
        <w:pStyle w:val="Brdtekst3"/>
        <w:ind w:left="851"/>
        <w:jc w:val="left"/>
        <w:rPr>
          <w:bCs/>
          <w:szCs w:val="24"/>
          <w:lang w:val="da-DK"/>
        </w:rPr>
      </w:pPr>
      <w:r>
        <w:rPr>
          <w:bCs/>
          <w:szCs w:val="24"/>
          <w:lang w:val="da-DK"/>
        </w:rPr>
        <w:t>Forekomsten af bivirkninger og abnorme laboratorieværdier observeret i pædiatriske kliniske forsøg, eksklusive indikationen genital candidiasis, er sammenlignelig med forekomsten af bivirkninger hos voksne.</w:t>
      </w:r>
    </w:p>
    <w:p w14:paraId="582451C9" w14:textId="77777777" w:rsidR="00E4635B" w:rsidRDefault="00E4635B" w:rsidP="00E4635B">
      <w:pPr>
        <w:pStyle w:val="Brdtekst3"/>
        <w:ind w:left="851"/>
        <w:jc w:val="left"/>
        <w:rPr>
          <w:bCs/>
          <w:szCs w:val="24"/>
          <w:lang w:val="da-DK"/>
        </w:rPr>
      </w:pPr>
    </w:p>
    <w:p w14:paraId="04627479" w14:textId="77777777" w:rsidR="00E4635B" w:rsidRDefault="00E4635B" w:rsidP="00E4635B">
      <w:pPr>
        <w:pStyle w:val="Brdtekst3"/>
        <w:ind w:left="851"/>
        <w:rPr>
          <w:bCs/>
          <w:szCs w:val="24"/>
          <w:u w:val="single"/>
          <w:lang w:val="da-DK"/>
        </w:rPr>
      </w:pPr>
      <w:r>
        <w:rPr>
          <w:bCs/>
          <w:szCs w:val="24"/>
          <w:u w:val="single"/>
          <w:lang w:val="da-DK"/>
        </w:rPr>
        <w:t>Indberetning af formodede bivirkninger</w:t>
      </w:r>
    </w:p>
    <w:p w14:paraId="501B0160" w14:textId="77777777" w:rsidR="00E4635B" w:rsidRDefault="00E4635B" w:rsidP="00E4635B">
      <w:pPr>
        <w:pStyle w:val="Brdtekst3"/>
        <w:ind w:left="851"/>
        <w:jc w:val="left"/>
        <w:rPr>
          <w:bCs/>
          <w:szCs w:val="24"/>
          <w:lang w:val="da-DK"/>
        </w:rPr>
      </w:pPr>
      <w:r>
        <w:rPr>
          <w:bCs/>
          <w:szCs w:val="24"/>
          <w:lang w:val="da-DK"/>
        </w:rPr>
        <w:t xml:space="preserve">Når lægemidlet er godkendt, er indberetning af formodede bivirkninger vigtig. Det muliggør løbende overvågning af benefit/risk-forholdet for lægemidlet. </w:t>
      </w:r>
      <w:r w:rsidR="00186A9B">
        <w:rPr>
          <w:bCs/>
          <w:szCs w:val="24"/>
          <w:lang w:val="da-DK"/>
        </w:rPr>
        <w:t>S</w:t>
      </w:r>
      <w:r>
        <w:rPr>
          <w:bCs/>
          <w:szCs w:val="24"/>
          <w:lang w:val="da-DK"/>
        </w:rPr>
        <w:t>undhedsperson</w:t>
      </w:r>
      <w:r w:rsidR="00186A9B">
        <w:rPr>
          <w:bCs/>
          <w:szCs w:val="24"/>
          <w:lang w:val="da-DK"/>
        </w:rPr>
        <w:t>er</w:t>
      </w:r>
      <w:r>
        <w:rPr>
          <w:bCs/>
          <w:szCs w:val="24"/>
          <w:lang w:val="da-DK"/>
        </w:rPr>
        <w:t xml:space="preserve"> anmodes om at indberette alle formodede bivirkninger via</w:t>
      </w:r>
      <w:r w:rsidR="00186A9B">
        <w:rPr>
          <w:bCs/>
          <w:szCs w:val="24"/>
          <w:lang w:val="da-DK"/>
        </w:rPr>
        <w:t>:</w:t>
      </w:r>
    </w:p>
    <w:p w14:paraId="37109B4A" w14:textId="77777777" w:rsidR="00E4635B" w:rsidRDefault="00E4635B" w:rsidP="00E4635B">
      <w:pPr>
        <w:pStyle w:val="Brdtekst3"/>
        <w:ind w:left="851"/>
        <w:rPr>
          <w:bCs/>
          <w:szCs w:val="24"/>
          <w:lang w:val="da-DK"/>
        </w:rPr>
      </w:pPr>
    </w:p>
    <w:p w14:paraId="13223071" w14:textId="77777777" w:rsidR="00E4635B" w:rsidRDefault="00E4635B" w:rsidP="00E4635B">
      <w:pPr>
        <w:pStyle w:val="Brdtekst3"/>
        <w:ind w:left="851"/>
        <w:rPr>
          <w:bCs/>
          <w:szCs w:val="24"/>
          <w:lang w:val="da-DK"/>
        </w:rPr>
      </w:pPr>
      <w:r>
        <w:rPr>
          <w:bCs/>
          <w:szCs w:val="24"/>
          <w:lang w:val="da-DK"/>
        </w:rPr>
        <w:t>Lægemiddelstyrelsen</w:t>
      </w:r>
    </w:p>
    <w:p w14:paraId="21A90843" w14:textId="77777777" w:rsidR="00E4635B" w:rsidRDefault="00E4635B" w:rsidP="00E4635B">
      <w:pPr>
        <w:pStyle w:val="Brdtekst3"/>
        <w:ind w:left="851"/>
        <w:rPr>
          <w:bCs/>
          <w:szCs w:val="24"/>
          <w:lang w:val="da-DK"/>
        </w:rPr>
      </w:pPr>
      <w:r>
        <w:rPr>
          <w:bCs/>
          <w:szCs w:val="24"/>
          <w:lang w:val="da-DK"/>
        </w:rPr>
        <w:t>Axel Heides Gade 1</w:t>
      </w:r>
    </w:p>
    <w:p w14:paraId="6CAEC86E" w14:textId="77777777" w:rsidR="00E4635B" w:rsidRDefault="00E4635B" w:rsidP="00E4635B">
      <w:pPr>
        <w:pStyle w:val="Brdtekst3"/>
        <w:ind w:left="851"/>
        <w:rPr>
          <w:bCs/>
          <w:szCs w:val="24"/>
          <w:lang w:val="da-DK"/>
        </w:rPr>
      </w:pPr>
      <w:r>
        <w:rPr>
          <w:bCs/>
          <w:szCs w:val="24"/>
          <w:lang w:val="da-DK"/>
        </w:rPr>
        <w:lastRenderedPageBreak/>
        <w:t>DK-2300 København S</w:t>
      </w:r>
    </w:p>
    <w:p w14:paraId="084C18DA" w14:textId="77777777" w:rsidR="00E4635B" w:rsidRPr="002F0CD9" w:rsidRDefault="00E4635B" w:rsidP="00E4635B">
      <w:pPr>
        <w:pStyle w:val="Brdtekst3"/>
        <w:keepNext/>
        <w:ind w:left="851"/>
        <w:rPr>
          <w:bCs/>
          <w:szCs w:val="24"/>
          <w:lang w:val="da-DK"/>
        </w:rPr>
      </w:pPr>
      <w:r w:rsidRPr="002F0CD9">
        <w:rPr>
          <w:bCs/>
          <w:szCs w:val="24"/>
          <w:lang w:val="da-DK"/>
        </w:rPr>
        <w:t xml:space="preserve">Websted: </w:t>
      </w:r>
      <w:hyperlink r:id="rId8" w:history="1">
        <w:r w:rsidRPr="002F0CD9">
          <w:rPr>
            <w:rStyle w:val="Hyperlink"/>
            <w:bCs/>
            <w:szCs w:val="24"/>
            <w:lang w:val="da-DK"/>
          </w:rPr>
          <w:t>www.meldenbivirkning.dk</w:t>
        </w:r>
      </w:hyperlink>
    </w:p>
    <w:p w14:paraId="6A622475" w14:textId="77777777" w:rsidR="00E4635B" w:rsidRPr="002F0CD9" w:rsidRDefault="00E4635B" w:rsidP="00E4635B">
      <w:pPr>
        <w:pStyle w:val="Sidehoved"/>
        <w:tabs>
          <w:tab w:val="clear" w:pos="4819"/>
          <w:tab w:val="clear" w:pos="9638"/>
        </w:tabs>
        <w:ind w:left="851" w:hanging="851"/>
        <w:rPr>
          <w:szCs w:val="24"/>
        </w:rPr>
      </w:pPr>
    </w:p>
    <w:p w14:paraId="521D7E5C" w14:textId="77777777" w:rsidR="00E4635B" w:rsidRPr="00133139" w:rsidRDefault="00E4635B" w:rsidP="00E4635B">
      <w:pPr>
        <w:numPr>
          <w:ilvl w:val="1"/>
          <w:numId w:val="1"/>
        </w:numPr>
        <w:tabs>
          <w:tab w:val="clear" w:pos="855"/>
        </w:tabs>
        <w:ind w:left="851" w:hanging="851"/>
        <w:rPr>
          <w:b/>
          <w:sz w:val="24"/>
          <w:szCs w:val="24"/>
        </w:rPr>
      </w:pPr>
      <w:r w:rsidRPr="00133139">
        <w:rPr>
          <w:b/>
          <w:sz w:val="24"/>
          <w:szCs w:val="24"/>
        </w:rPr>
        <w:t>Overdosering</w:t>
      </w:r>
    </w:p>
    <w:p w14:paraId="508571CD" w14:textId="77777777" w:rsidR="00E4635B" w:rsidRPr="00133139" w:rsidRDefault="00E4635B" w:rsidP="00E4635B">
      <w:pPr>
        <w:pStyle w:val="Brdtekst3"/>
        <w:ind w:left="851" w:hanging="851"/>
        <w:jc w:val="left"/>
        <w:rPr>
          <w:bCs/>
          <w:szCs w:val="24"/>
          <w:lang w:val="da-DK"/>
        </w:rPr>
      </w:pPr>
      <w:r w:rsidRPr="00133139">
        <w:rPr>
          <w:szCs w:val="24"/>
          <w:lang w:val="da-DK"/>
        </w:rPr>
        <w:tab/>
      </w:r>
      <w:r w:rsidRPr="00133139">
        <w:rPr>
          <w:bCs/>
          <w:szCs w:val="24"/>
          <w:lang w:val="da-DK"/>
        </w:rPr>
        <w:t>Der har været rapporter om overdosering med fluconazol</w:t>
      </w:r>
      <w:r w:rsidR="00DB7BB9">
        <w:rPr>
          <w:bCs/>
          <w:szCs w:val="24"/>
          <w:lang w:val="da-DK"/>
        </w:rPr>
        <w:t>. H</w:t>
      </w:r>
      <w:r w:rsidRPr="00133139">
        <w:rPr>
          <w:bCs/>
          <w:szCs w:val="24"/>
          <w:lang w:val="da-DK"/>
        </w:rPr>
        <w:t>allucinationer og paranoid opførsel er samtidig rapporteret.</w:t>
      </w:r>
    </w:p>
    <w:p w14:paraId="2A6BB245" w14:textId="77777777" w:rsidR="00E4635B" w:rsidRPr="00133139" w:rsidRDefault="00E4635B" w:rsidP="00E4635B">
      <w:pPr>
        <w:pStyle w:val="Brdtekst3"/>
        <w:ind w:left="851" w:hanging="851"/>
        <w:jc w:val="left"/>
        <w:rPr>
          <w:bCs/>
          <w:szCs w:val="24"/>
          <w:lang w:val="da-DK"/>
        </w:rPr>
      </w:pPr>
    </w:p>
    <w:p w14:paraId="00A2D105" w14:textId="77777777" w:rsidR="00E4635B" w:rsidRPr="00133139" w:rsidRDefault="00E4635B" w:rsidP="00E4635B">
      <w:pPr>
        <w:pStyle w:val="Brdtekst3"/>
        <w:ind w:left="851"/>
        <w:jc w:val="left"/>
        <w:rPr>
          <w:bCs/>
          <w:szCs w:val="24"/>
          <w:lang w:val="da-DK"/>
        </w:rPr>
      </w:pPr>
      <w:r w:rsidRPr="00133139">
        <w:rPr>
          <w:bCs/>
          <w:szCs w:val="24"/>
          <w:lang w:val="da-DK"/>
        </w:rPr>
        <w:t>I tilfælde af overdosering kan symptomatisk behandling (med understøttende foranstaltninger og om nødvendigt maveskylning) være tilstrækkelig.</w:t>
      </w:r>
    </w:p>
    <w:p w14:paraId="01395907" w14:textId="77777777" w:rsidR="00E4635B" w:rsidRPr="00133139" w:rsidRDefault="00E4635B" w:rsidP="00E4635B">
      <w:pPr>
        <w:pStyle w:val="Brdtekst3"/>
        <w:ind w:left="851" w:hanging="851"/>
        <w:jc w:val="left"/>
        <w:rPr>
          <w:bCs/>
          <w:szCs w:val="24"/>
          <w:lang w:val="da-DK"/>
        </w:rPr>
      </w:pPr>
    </w:p>
    <w:p w14:paraId="10191B78" w14:textId="77777777" w:rsidR="00E4635B" w:rsidRPr="00133139" w:rsidRDefault="00E4635B" w:rsidP="00E4635B">
      <w:pPr>
        <w:pStyle w:val="Brdtekst3"/>
        <w:ind w:left="851"/>
        <w:jc w:val="left"/>
        <w:rPr>
          <w:bCs/>
          <w:szCs w:val="24"/>
          <w:lang w:val="da-DK"/>
        </w:rPr>
      </w:pPr>
      <w:r w:rsidRPr="00133139">
        <w:rPr>
          <w:bCs/>
          <w:szCs w:val="24"/>
          <w:lang w:val="da-DK"/>
        </w:rPr>
        <w:t xml:space="preserve">Fluconazol udskilles primært i urinen. Forceret volumendiurese vil sandsynligvis øge eliminationshastigheden. </w:t>
      </w:r>
    </w:p>
    <w:p w14:paraId="2E3F72DE" w14:textId="77777777" w:rsidR="00E4635B" w:rsidRPr="00133139" w:rsidRDefault="00E4635B" w:rsidP="00E4635B">
      <w:pPr>
        <w:pStyle w:val="Brdtekst3"/>
        <w:ind w:left="851"/>
        <w:jc w:val="left"/>
        <w:rPr>
          <w:bCs/>
          <w:szCs w:val="24"/>
          <w:lang w:val="da-DK"/>
        </w:rPr>
      </w:pPr>
      <w:r w:rsidRPr="00133139">
        <w:rPr>
          <w:bCs/>
          <w:szCs w:val="24"/>
          <w:lang w:val="da-DK"/>
        </w:rPr>
        <w:t>Tre timers hæmodialyse nedsætter plasmakoncentrationen med ca. 50 %.</w:t>
      </w:r>
    </w:p>
    <w:p w14:paraId="5326768B" w14:textId="77777777" w:rsidR="00E4635B" w:rsidRPr="00133139" w:rsidRDefault="00E4635B" w:rsidP="00E4635B">
      <w:pPr>
        <w:ind w:left="851" w:hanging="851"/>
        <w:rPr>
          <w:sz w:val="24"/>
          <w:szCs w:val="24"/>
        </w:rPr>
      </w:pPr>
    </w:p>
    <w:p w14:paraId="059E840F" w14:textId="77777777" w:rsidR="00E4635B" w:rsidRPr="00133139" w:rsidRDefault="00E4635B" w:rsidP="00E4635B">
      <w:pPr>
        <w:numPr>
          <w:ilvl w:val="1"/>
          <w:numId w:val="1"/>
        </w:numPr>
        <w:tabs>
          <w:tab w:val="clear" w:pos="855"/>
        </w:tabs>
        <w:ind w:left="851" w:hanging="851"/>
        <w:rPr>
          <w:b/>
          <w:sz w:val="24"/>
          <w:szCs w:val="24"/>
        </w:rPr>
      </w:pPr>
      <w:r w:rsidRPr="00133139">
        <w:rPr>
          <w:b/>
          <w:sz w:val="24"/>
          <w:szCs w:val="24"/>
        </w:rPr>
        <w:t>Udlevering</w:t>
      </w:r>
    </w:p>
    <w:p w14:paraId="2D3CEF3E" w14:textId="77777777" w:rsidR="00E4635B" w:rsidRPr="00133139" w:rsidRDefault="00E4635B" w:rsidP="00E4635B">
      <w:pPr>
        <w:ind w:left="851" w:hanging="851"/>
        <w:rPr>
          <w:sz w:val="24"/>
          <w:szCs w:val="24"/>
        </w:rPr>
      </w:pPr>
      <w:r w:rsidRPr="00133139">
        <w:rPr>
          <w:sz w:val="24"/>
          <w:szCs w:val="24"/>
        </w:rPr>
        <w:tab/>
        <w:t>B</w:t>
      </w:r>
    </w:p>
    <w:p w14:paraId="15B2F56B" w14:textId="77777777" w:rsidR="00E4635B" w:rsidRPr="00133139" w:rsidRDefault="00E4635B" w:rsidP="00E4635B">
      <w:pPr>
        <w:ind w:left="851" w:hanging="851"/>
        <w:rPr>
          <w:sz w:val="24"/>
          <w:szCs w:val="24"/>
        </w:rPr>
      </w:pPr>
    </w:p>
    <w:p w14:paraId="0D7DBFD3" w14:textId="77777777" w:rsidR="00E4635B" w:rsidRPr="00133139" w:rsidRDefault="00E4635B" w:rsidP="00E4635B">
      <w:pPr>
        <w:ind w:left="851" w:hanging="851"/>
        <w:rPr>
          <w:sz w:val="24"/>
          <w:szCs w:val="24"/>
        </w:rPr>
      </w:pPr>
    </w:p>
    <w:p w14:paraId="2C34ACBD" w14:textId="77777777" w:rsidR="00E4635B" w:rsidRPr="00DB7BB9" w:rsidRDefault="00E4635B" w:rsidP="00DB7BB9">
      <w:pPr>
        <w:numPr>
          <w:ilvl w:val="0"/>
          <w:numId w:val="1"/>
        </w:numPr>
        <w:tabs>
          <w:tab w:val="clear" w:pos="855"/>
        </w:tabs>
        <w:ind w:left="851" w:hanging="851"/>
        <w:rPr>
          <w:b/>
          <w:sz w:val="24"/>
          <w:szCs w:val="24"/>
        </w:rPr>
      </w:pPr>
      <w:r w:rsidRPr="00133139">
        <w:rPr>
          <w:b/>
          <w:sz w:val="24"/>
          <w:szCs w:val="24"/>
        </w:rPr>
        <w:t>FARMAKOLOGISKE EGENSKABER</w:t>
      </w:r>
    </w:p>
    <w:p w14:paraId="7BD39324" w14:textId="77777777" w:rsidR="003833EB" w:rsidRDefault="003833EB" w:rsidP="00E4635B">
      <w:pPr>
        <w:ind w:left="851"/>
        <w:rPr>
          <w:b/>
          <w:sz w:val="24"/>
          <w:szCs w:val="24"/>
        </w:rPr>
      </w:pPr>
    </w:p>
    <w:p w14:paraId="7EC0CD07" w14:textId="77777777" w:rsidR="00E4635B" w:rsidRDefault="00E4635B" w:rsidP="00E4635B">
      <w:pPr>
        <w:numPr>
          <w:ilvl w:val="1"/>
          <w:numId w:val="2"/>
        </w:numPr>
        <w:tabs>
          <w:tab w:val="clear" w:pos="2159"/>
        </w:tabs>
        <w:ind w:left="851" w:hanging="851"/>
        <w:rPr>
          <w:b/>
          <w:sz w:val="24"/>
          <w:szCs w:val="24"/>
        </w:rPr>
      </w:pPr>
      <w:r w:rsidRPr="00133139">
        <w:rPr>
          <w:b/>
          <w:sz w:val="24"/>
          <w:szCs w:val="24"/>
        </w:rPr>
        <w:t>Farmakodynamiske egenskaber</w:t>
      </w:r>
    </w:p>
    <w:p w14:paraId="4586769C" w14:textId="77777777" w:rsidR="00DB7BB9" w:rsidRDefault="00DB7BB9" w:rsidP="00DB7BB9">
      <w:pPr>
        <w:ind w:left="851"/>
        <w:rPr>
          <w:sz w:val="24"/>
          <w:szCs w:val="24"/>
        </w:rPr>
      </w:pPr>
      <w:r w:rsidRPr="00DB7BB9">
        <w:rPr>
          <w:sz w:val="24"/>
          <w:szCs w:val="24"/>
        </w:rPr>
        <w:t>Farmakoterapeutisk klassifikation</w:t>
      </w:r>
      <w:r>
        <w:rPr>
          <w:sz w:val="24"/>
          <w:szCs w:val="24"/>
        </w:rPr>
        <w:t>: Antimykotika til systemisk anvendelse, triazol- og tetrazolderivater, ATC-kode: J02AC01.</w:t>
      </w:r>
    </w:p>
    <w:p w14:paraId="52811C42" w14:textId="77777777" w:rsidR="00DB7BB9" w:rsidRPr="00133139" w:rsidRDefault="00DB7BB9" w:rsidP="00DB7BB9">
      <w:pPr>
        <w:rPr>
          <w:b/>
          <w:sz w:val="24"/>
          <w:szCs w:val="24"/>
        </w:rPr>
      </w:pPr>
    </w:p>
    <w:p w14:paraId="3E25E4CC" w14:textId="77777777" w:rsidR="00E4635B" w:rsidRPr="00133139" w:rsidRDefault="00E4635B" w:rsidP="00E4635B">
      <w:pPr>
        <w:pStyle w:val="Brdtekst3"/>
        <w:ind w:left="851" w:hanging="851"/>
        <w:jc w:val="left"/>
        <w:rPr>
          <w:bCs/>
          <w:szCs w:val="24"/>
          <w:lang w:val="da-DK"/>
        </w:rPr>
      </w:pPr>
      <w:r w:rsidRPr="00DB7BB9">
        <w:rPr>
          <w:szCs w:val="24"/>
          <w:lang w:val="da-DK"/>
        </w:rPr>
        <w:tab/>
      </w:r>
      <w:r w:rsidRPr="00133139">
        <w:rPr>
          <w:bCs/>
          <w:szCs w:val="24"/>
          <w:u w:val="single"/>
          <w:lang w:val="da-DK"/>
        </w:rPr>
        <w:t>Virkningsmekanisme</w:t>
      </w:r>
    </w:p>
    <w:p w14:paraId="4EC73143" w14:textId="77777777" w:rsidR="00E4635B" w:rsidRPr="00133139" w:rsidRDefault="00E4635B" w:rsidP="00E4635B">
      <w:pPr>
        <w:pStyle w:val="Brdtekst3"/>
        <w:ind w:left="851"/>
        <w:jc w:val="left"/>
        <w:rPr>
          <w:bCs/>
          <w:szCs w:val="24"/>
          <w:lang w:val="da-DK"/>
        </w:rPr>
      </w:pPr>
      <w:r w:rsidRPr="00133139">
        <w:rPr>
          <w:bCs/>
          <w:szCs w:val="24"/>
          <w:lang w:val="da-DK"/>
        </w:rPr>
        <w:t>Fluconazol er et triazol-antimykotikum. Detnprimære virkemekanisme er hæmning af den CYP-medierede 14-alfa-demetylering af lanosterol, et essentielt trin i svampenes ergosterolbiosyntese. Akkumulering af 14-alfa-methyl-sterol korrelerer med det efterfølgende fald i ergosterol i svampens cellemembran og kan være årsagen til fluconazols antimykotiske effekt. Det er påvist, at fluconazol er mere selektivt for CYP-enzymer hos svampe end for forskellige CYP-enzymsystemer hos pattedyr.</w:t>
      </w:r>
    </w:p>
    <w:p w14:paraId="4AB9B84C" w14:textId="77777777" w:rsidR="00E4635B" w:rsidRPr="00133139" w:rsidRDefault="00E4635B" w:rsidP="00E4635B">
      <w:pPr>
        <w:pStyle w:val="Brdtekst3"/>
        <w:ind w:left="851" w:hanging="851"/>
        <w:jc w:val="left"/>
        <w:rPr>
          <w:bCs/>
          <w:szCs w:val="24"/>
          <w:lang w:val="da-DK"/>
        </w:rPr>
      </w:pPr>
    </w:p>
    <w:p w14:paraId="51E01719" w14:textId="77777777" w:rsidR="00E4635B" w:rsidRPr="00133139" w:rsidRDefault="00E4635B" w:rsidP="00E4635B">
      <w:pPr>
        <w:pStyle w:val="Brdtekst3"/>
        <w:ind w:left="851"/>
        <w:jc w:val="left"/>
        <w:rPr>
          <w:bCs/>
          <w:szCs w:val="24"/>
          <w:lang w:val="da-DK"/>
        </w:rPr>
      </w:pPr>
      <w:r w:rsidRPr="00133139">
        <w:rPr>
          <w:bCs/>
          <w:szCs w:val="24"/>
          <w:lang w:val="da-DK"/>
        </w:rPr>
        <w:t>Det er påvist, at fluconazol 50 mg dagligt i op til 28 dage hverken påvirker plasma-testosteron hos mænd eller steroidkoncentrationen hos kvinder i den fødedygtige alder. Fluconazol 200-400 mg dagligt har ingen klinisk signifikant effekt på endogene steroidniveauer eller på ACTH-stimuleret respons hos raske, mandlige, frivillige forsøgspersoner. Interaktionsstudier med phenazon indikerer, at enkeltdosis eller gentagne doser af fluconazol 50 mg ikke påvirker dets metabolisering.</w:t>
      </w:r>
    </w:p>
    <w:p w14:paraId="1CE2EB9B" w14:textId="77777777" w:rsidR="00E4635B" w:rsidRPr="00133139" w:rsidRDefault="00E4635B" w:rsidP="00E4635B">
      <w:pPr>
        <w:pStyle w:val="Brdtekst3"/>
        <w:ind w:left="851" w:hanging="851"/>
        <w:jc w:val="left"/>
        <w:rPr>
          <w:bCs/>
          <w:szCs w:val="24"/>
          <w:lang w:val="da-DK"/>
        </w:rPr>
      </w:pPr>
    </w:p>
    <w:p w14:paraId="487564C3" w14:textId="77777777" w:rsidR="003833EB" w:rsidRDefault="003833EB" w:rsidP="003833EB">
      <w:pPr>
        <w:pStyle w:val="Brdtekst3"/>
        <w:ind w:left="851"/>
        <w:jc w:val="left"/>
        <w:rPr>
          <w:bCs/>
          <w:szCs w:val="24"/>
          <w:u w:val="single"/>
          <w:lang w:val="da-DK"/>
        </w:rPr>
      </w:pPr>
      <w:r>
        <w:rPr>
          <w:bCs/>
          <w:szCs w:val="24"/>
          <w:u w:val="single"/>
          <w:lang w:val="da-DK"/>
        </w:rPr>
        <w:t xml:space="preserve">Følsomhed </w:t>
      </w:r>
      <w:r>
        <w:rPr>
          <w:bCs/>
          <w:i/>
          <w:szCs w:val="24"/>
          <w:u w:val="single"/>
          <w:lang w:val="da-DK"/>
        </w:rPr>
        <w:t>in vitro</w:t>
      </w:r>
    </w:p>
    <w:p w14:paraId="5AA7634E" w14:textId="77777777" w:rsidR="003833EB" w:rsidRDefault="003833EB" w:rsidP="003833EB">
      <w:pPr>
        <w:pStyle w:val="Brdtekst3"/>
        <w:ind w:left="851"/>
        <w:jc w:val="left"/>
        <w:rPr>
          <w:bCs/>
          <w:szCs w:val="24"/>
          <w:lang w:val="da-DK"/>
        </w:rPr>
      </w:pPr>
      <w:r>
        <w:rPr>
          <w:bCs/>
          <w:iCs/>
          <w:szCs w:val="24"/>
          <w:lang w:val="da-DK"/>
        </w:rPr>
        <w:t xml:space="preserve">Fluconazol viser </w:t>
      </w:r>
      <w:r>
        <w:rPr>
          <w:bCs/>
          <w:i/>
          <w:szCs w:val="24"/>
          <w:lang w:val="da-DK"/>
        </w:rPr>
        <w:t>in vitro</w:t>
      </w:r>
      <w:r>
        <w:rPr>
          <w:bCs/>
          <w:szCs w:val="24"/>
          <w:lang w:val="da-DK"/>
        </w:rPr>
        <w:t xml:space="preserve"> en antimykotisk aktivitet mod klinisk almindelige </w:t>
      </w:r>
      <w:r>
        <w:rPr>
          <w:bCs/>
          <w:i/>
          <w:szCs w:val="24"/>
          <w:lang w:val="da-DK"/>
        </w:rPr>
        <w:t>Candida</w:t>
      </w:r>
      <w:r>
        <w:rPr>
          <w:bCs/>
          <w:szCs w:val="24"/>
          <w:lang w:val="da-DK"/>
        </w:rPr>
        <w:t xml:space="preserve">-arter (herunder </w:t>
      </w:r>
      <w:r>
        <w:rPr>
          <w:bCs/>
          <w:i/>
          <w:szCs w:val="24"/>
          <w:lang w:val="da-DK"/>
        </w:rPr>
        <w:t>C. albicans</w:t>
      </w:r>
      <w:r>
        <w:rPr>
          <w:bCs/>
          <w:szCs w:val="24"/>
          <w:lang w:val="da-DK"/>
        </w:rPr>
        <w:t xml:space="preserve">, </w:t>
      </w:r>
      <w:r>
        <w:rPr>
          <w:bCs/>
          <w:i/>
          <w:szCs w:val="24"/>
          <w:lang w:val="da-DK"/>
        </w:rPr>
        <w:t>C. parapsilosis</w:t>
      </w:r>
      <w:r>
        <w:rPr>
          <w:bCs/>
          <w:szCs w:val="24"/>
          <w:lang w:val="da-DK"/>
        </w:rPr>
        <w:t xml:space="preserve"> og </w:t>
      </w:r>
      <w:r>
        <w:rPr>
          <w:bCs/>
          <w:i/>
          <w:szCs w:val="24"/>
          <w:lang w:val="da-DK"/>
        </w:rPr>
        <w:t>C. tropicalis</w:t>
      </w:r>
      <w:r>
        <w:rPr>
          <w:bCs/>
          <w:szCs w:val="24"/>
          <w:lang w:val="da-DK"/>
        </w:rPr>
        <w:t xml:space="preserve">). </w:t>
      </w:r>
      <w:r>
        <w:rPr>
          <w:bCs/>
          <w:i/>
          <w:szCs w:val="24"/>
          <w:lang w:val="da-DK"/>
        </w:rPr>
        <w:t>C. glabrata</w:t>
      </w:r>
      <w:r>
        <w:rPr>
          <w:bCs/>
          <w:szCs w:val="24"/>
          <w:lang w:val="da-DK"/>
        </w:rPr>
        <w:t xml:space="preserve"> udviser nedsat følsomhed over for fluconazol, hvorimod </w:t>
      </w:r>
      <w:r>
        <w:rPr>
          <w:bCs/>
          <w:i/>
          <w:iCs/>
          <w:szCs w:val="24"/>
          <w:lang w:val="da-DK"/>
        </w:rPr>
        <w:t>C. krusei</w:t>
      </w:r>
      <w:r>
        <w:rPr>
          <w:bCs/>
          <w:szCs w:val="24"/>
          <w:lang w:val="da-DK"/>
        </w:rPr>
        <w:t xml:space="preserve"> og </w:t>
      </w:r>
      <w:r>
        <w:rPr>
          <w:bCs/>
          <w:i/>
          <w:iCs/>
          <w:szCs w:val="24"/>
          <w:lang w:val="da-DK"/>
        </w:rPr>
        <w:t>C. auris</w:t>
      </w:r>
      <w:r>
        <w:rPr>
          <w:bCs/>
          <w:szCs w:val="24"/>
          <w:lang w:val="da-DK"/>
        </w:rPr>
        <w:t xml:space="preserve"> er resistente over for fluconazol. </w:t>
      </w:r>
      <w:r>
        <w:rPr>
          <w:iCs/>
          <w:szCs w:val="22"/>
          <w:lang w:val="da-DK"/>
        </w:rPr>
        <w:t xml:space="preserve">Mindste hæmmende koncentrationer (MIC’er) og epidemiologisk afskæringsværdi (epidemiological cut-off value, ECOFF) af fluconazol for </w:t>
      </w:r>
      <w:r>
        <w:rPr>
          <w:i/>
          <w:szCs w:val="22"/>
          <w:lang w:val="da-DK"/>
        </w:rPr>
        <w:t>C. guilliermondii</w:t>
      </w:r>
      <w:r>
        <w:rPr>
          <w:iCs/>
          <w:szCs w:val="22"/>
          <w:lang w:val="da-DK"/>
        </w:rPr>
        <w:t xml:space="preserve"> er højere end for </w:t>
      </w:r>
      <w:r>
        <w:rPr>
          <w:i/>
          <w:szCs w:val="22"/>
          <w:lang w:val="da-DK"/>
        </w:rPr>
        <w:t>C. albicans</w:t>
      </w:r>
      <w:r>
        <w:rPr>
          <w:bCs/>
          <w:iCs/>
          <w:szCs w:val="24"/>
          <w:lang w:val="da-DK"/>
        </w:rPr>
        <w:t>.</w:t>
      </w:r>
    </w:p>
    <w:p w14:paraId="629998B3" w14:textId="77777777" w:rsidR="003833EB" w:rsidRDefault="003833EB" w:rsidP="003833EB">
      <w:pPr>
        <w:pStyle w:val="Brdtekst3"/>
        <w:ind w:left="851" w:hanging="851"/>
        <w:jc w:val="left"/>
        <w:rPr>
          <w:bCs/>
          <w:i/>
          <w:szCs w:val="24"/>
          <w:lang w:val="da-DK"/>
        </w:rPr>
      </w:pPr>
    </w:p>
    <w:p w14:paraId="39840469" w14:textId="77777777" w:rsidR="003833EB" w:rsidRDefault="003833EB" w:rsidP="003833EB">
      <w:pPr>
        <w:pStyle w:val="Brdtekst3"/>
        <w:ind w:left="851"/>
        <w:jc w:val="left"/>
        <w:rPr>
          <w:bCs/>
          <w:szCs w:val="24"/>
          <w:lang w:val="da-DK"/>
        </w:rPr>
      </w:pPr>
      <w:r>
        <w:rPr>
          <w:bCs/>
          <w:szCs w:val="24"/>
          <w:lang w:val="da-DK"/>
        </w:rPr>
        <w:t xml:space="preserve">Fluconazol udviser også aktivitet </w:t>
      </w:r>
      <w:r>
        <w:rPr>
          <w:bCs/>
          <w:i/>
          <w:szCs w:val="24"/>
          <w:lang w:val="da-DK"/>
        </w:rPr>
        <w:t xml:space="preserve">in vitro </w:t>
      </w:r>
      <w:r>
        <w:rPr>
          <w:bCs/>
          <w:szCs w:val="24"/>
          <w:lang w:val="da-DK"/>
        </w:rPr>
        <w:t xml:space="preserve">mod </w:t>
      </w:r>
      <w:r>
        <w:rPr>
          <w:bCs/>
          <w:i/>
          <w:szCs w:val="24"/>
          <w:lang w:val="da-DK"/>
        </w:rPr>
        <w:t>Cryptococcus neoformans</w:t>
      </w:r>
      <w:r>
        <w:rPr>
          <w:bCs/>
          <w:szCs w:val="24"/>
          <w:lang w:val="da-DK"/>
        </w:rPr>
        <w:t xml:space="preserve"> og </w:t>
      </w:r>
      <w:r>
        <w:rPr>
          <w:bCs/>
          <w:i/>
          <w:szCs w:val="24"/>
          <w:lang w:val="da-DK"/>
        </w:rPr>
        <w:t>Cryptococcus gatti</w:t>
      </w:r>
      <w:r>
        <w:rPr>
          <w:bCs/>
          <w:szCs w:val="24"/>
          <w:lang w:val="da-DK"/>
        </w:rPr>
        <w:t xml:space="preserve"> såvel som mod de endemiske skimmelsvampe </w:t>
      </w:r>
      <w:r>
        <w:rPr>
          <w:bCs/>
          <w:i/>
          <w:szCs w:val="24"/>
          <w:lang w:val="da-DK"/>
        </w:rPr>
        <w:t>Blastomyces dermatitidis</w:t>
      </w:r>
      <w:r>
        <w:rPr>
          <w:bCs/>
          <w:szCs w:val="24"/>
          <w:lang w:val="da-DK"/>
        </w:rPr>
        <w:t xml:space="preserve">, </w:t>
      </w:r>
      <w:r>
        <w:rPr>
          <w:bCs/>
          <w:i/>
          <w:szCs w:val="24"/>
          <w:lang w:val="da-DK"/>
        </w:rPr>
        <w:t>Coccidioides immitis</w:t>
      </w:r>
      <w:r>
        <w:rPr>
          <w:bCs/>
          <w:szCs w:val="24"/>
          <w:lang w:val="da-DK"/>
        </w:rPr>
        <w:t xml:space="preserve">, </w:t>
      </w:r>
      <w:r>
        <w:rPr>
          <w:bCs/>
          <w:i/>
          <w:szCs w:val="24"/>
          <w:lang w:val="da-DK"/>
        </w:rPr>
        <w:t>Histoplama capsulatum</w:t>
      </w:r>
      <w:r>
        <w:rPr>
          <w:bCs/>
          <w:szCs w:val="24"/>
          <w:lang w:val="da-DK"/>
        </w:rPr>
        <w:t xml:space="preserve"> og </w:t>
      </w:r>
      <w:r>
        <w:rPr>
          <w:bCs/>
          <w:i/>
          <w:szCs w:val="24"/>
          <w:lang w:val="da-DK"/>
        </w:rPr>
        <w:t>Paracoccidioides brasiliensis</w:t>
      </w:r>
      <w:r>
        <w:rPr>
          <w:bCs/>
          <w:szCs w:val="24"/>
          <w:lang w:val="da-DK"/>
        </w:rPr>
        <w:t>.</w:t>
      </w:r>
    </w:p>
    <w:p w14:paraId="18AA13E0" w14:textId="77777777" w:rsidR="00E4635B" w:rsidRPr="00133139" w:rsidRDefault="00E4635B" w:rsidP="00E4635B">
      <w:pPr>
        <w:pStyle w:val="Brdtekst3"/>
        <w:ind w:left="851" w:hanging="851"/>
        <w:jc w:val="left"/>
        <w:rPr>
          <w:bCs/>
          <w:szCs w:val="24"/>
          <w:lang w:val="da-DK"/>
        </w:rPr>
      </w:pPr>
    </w:p>
    <w:p w14:paraId="4FC94926" w14:textId="77777777" w:rsidR="00E4635B" w:rsidRPr="00133139" w:rsidRDefault="00E4635B" w:rsidP="00E4635B">
      <w:pPr>
        <w:pStyle w:val="Brdtekst3"/>
        <w:keepNext/>
        <w:ind w:left="851"/>
        <w:jc w:val="left"/>
        <w:rPr>
          <w:bCs/>
          <w:szCs w:val="24"/>
          <w:u w:val="single"/>
          <w:lang w:val="da-DK"/>
        </w:rPr>
      </w:pPr>
      <w:r w:rsidRPr="00133139">
        <w:rPr>
          <w:bCs/>
          <w:szCs w:val="24"/>
          <w:u w:val="single"/>
          <w:lang w:val="da-DK"/>
        </w:rPr>
        <w:lastRenderedPageBreak/>
        <w:t>Farmakokinetiske/farmakodynamisk forhold</w:t>
      </w:r>
    </w:p>
    <w:p w14:paraId="7808094C" w14:textId="77777777" w:rsidR="00E4635B" w:rsidRPr="00133139" w:rsidRDefault="00E4635B" w:rsidP="00E4635B">
      <w:pPr>
        <w:pStyle w:val="Brdtekst3"/>
        <w:ind w:left="851"/>
        <w:jc w:val="left"/>
        <w:rPr>
          <w:bCs/>
          <w:szCs w:val="24"/>
          <w:lang w:val="da-DK"/>
        </w:rPr>
      </w:pPr>
      <w:r w:rsidRPr="00133139">
        <w:rPr>
          <w:bCs/>
          <w:szCs w:val="24"/>
          <w:lang w:val="da-DK"/>
        </w:rPr>
        <w:t xml:space="preserve">I dyreforsøg er der set korrelation mellem “mindste hæmmende koncentration”-værdier (MIC) og effekt over for eksperimentelle mykoser pga. </w:t>
      </w:r>
      <w:r w:rsidRPr="00133139">
        <w:rPr>
          <w:bCs/>
          <w:i/>
          <w:szCs w:val="24"/>
          <w:lang w:val="da-DK"/>
        </w:rPr>
        <w:t>Candida spp</w:t>
      </w:r>
      <w:r w:rsidRPr="00133139">
        <w:rPr>
          <w:bCs/>
          <w:szCs w:val="24"/>
          <w:lang w:val="da-DK"/>
        </w:rPr>
        <w:t>. I kliniske forsøg er der en næsten 1:1 lineær relation mellem AUC og dosis af fluconazol. Der er også en direkte, men ufuldkommen relation mellem AUC eller dosis og en positiv klinisk respons for behandling af oral candidiasis og i mindre grad candidæmi. Tilsvarende er kurering af infektioner forårsaget af stammer med en højere fluconazol-MIC mindre sandsynlig.</w:t>
      </w:r>
    </w:p>
    <w:p w14:paraId="6759A849" w14:textId="77777777" w:rsidR="00E4635B" w:rsidRPr="00133139" w:rsidRDefault="00E4635B" w:rsidP="00E4635B">
      <w:pPr>
        <w:pStyle w:val="Brdtekst3"/>
        <w:ind w:left="851" w:hanging="851"/>
        <w:jc w:val="left"/>
        <w:rPr>
          <w:bCs/>
          <w:szCs w:val="24"/>
          <w:lang w:val="da-DK"/>
        </w:rPr>
      </w:pPr>
    </w:p>
    <w:p w14:paraId="7599E623" w14:textId="77777777" w:rsidR="003833EB" w:rsidRDefault="003833EB" w:rsidP="003833EB">
      <w:pPr>
        <w:autoSpaceDE w:val="0"/>
        <w:autoSpaceDN w:val="0"/>
        <w:adjustRightInd w:val="0"/>
        <w:ind w:left="851"/>
        <w:rPr>
          <w:bCs/>
          <w:sz w:val="24"/>
          <w:szCs w:val="24"/>
          <w:u w:val="single"/>
        </w:rPr>
      </w:pPr>
      <w:r>
        <w:rPr>
          <w:bCs/>
          <w:sz w:val="24"/>
          <w:szCs w:val="24"/>
          <w:u w:val="single"/>
        </w:rPr>
        <w:t>Resistensmekanisme(r)</w:t>
      </w:r>
    </w:p>
    <w:p w14:paraId="2C1EC2F4" w14:textId="77777777" w:rsidR="003833EB" w:rsidRDefault="003833EB" w:rsidP="003833EB">
      <w:pPr>
        <w:ind w:left="851"/>
        <w:rPr>
          <w:iCs/>
          <w:sz w:val="24"/>
          <w:szCs w:val="24"/>
        </w:rPr>
      </w:pPr>
      <w:r>
        <w:rPr>
          <w:i/>
          <w:iCs/>
          <w:sz w:val="24"/>
          <w:szCs w:val="24"/>
        </w:rPr>
        <w:t xml:space="preserve">Candida </w:t>
      </w:r>
      <w:r>
        <w:rPr>
          <w:iCs/>
          <w:sz w:val="24"/>
          <w:szCs w:val="24"/>
        </w:rPr>
        <w:t xml:space="preserve">spp. har udviklet et antal resistensmekanismer over for azol-antimykotika. Svampearter, der har udviklet en eller flere resistensmekanismer, er kendte for at udvise høje “mindste hæmmende koncentration”-værdier (MIC) over for fluconazol. Dette påvirker effekten </w:t>
      </w:r>
      <w:r>
        <w:rPr>
          <w:i/>
          <w:iCs/>
          <w:sz w:val="24"/>
          <w:szCs w:val="24"/>
        </w:rPr>
        <w:t>in</w:t>
      </w:r>
      <w:r>
        <w:rPr>
          <w:iCs/>
          <w:sz w:val="24"/>
          <w:szCs w:val="24"/>
        </w:rPr>
        <w:t xml:space="preserve"> </w:t>
      </w:r>
      <w:r>
        <w:rPr>
          <w:i/>
          <w:iCs/>
          <w:sz w:val="24"/>
          <w:szCs w:val="24"/>
        </w:rPr>
        <w:t>vivo</w:t>
      </w:r>
      <w:r>
        <w:rPr>
          <w:iCs/>
          <w:sz w:val="24"/>
          <w:szCs w:val="24"/>
        </w:rPr>
        <w:t xml:space="preserve"> og klinisk negativt.</w:t>
      </w:r>
    </w:p>
    <w:p w14:paraId="3329D665" w14:textId="77777777" w:rsidR="003833EB" w:rsidRDefault="003833EB" w:rsidP="003833EB">
      <w:pPr>
        <w:ind w:left="851"/>
        <w:rPr>
          <w:iCs/>
          <w:sz w:val="24"/>
          <w:szCs w:val="24"/>
        </w:rPr>
      </w:pPr>
    </w:p>
    <w:p w14:paraId="6712ACAB" w14:textId="77777777" w:rsidR="003833EB" w:rsidRDefault="003833EB" w:rsidP="003833EB">
      <w:pPr>
        <w:ind w:left="851"/>
        <w:rPr>
          <w:iCs/>
          <w:sz w:val="24"/>
          <w:szCs w:val="24"/>
        </w:rPr>
      </w:pPr>
      <w:r>
        <w:rPr>
          <w:color w:val="000000"/>
          <w:sz w:val="24"/>
          <w:szCs w:val="24"/>
        </w:rPr>
        <w:t xml:space="preserve">I sædvanligt følsomme </w:t>
      </w:r>
      <w:r>
        <w:rPr>
          <w:i/>
          <w:iCs/>
          <w:color w:val="000000"/>
          <w:sz w:val="24"/>
          <w:szCs w:val="24"/>
        </w:rPr>
        <w:t>Candida</w:t>
      </w:r>
      <w:r>
        <w:rPr>
          <w:color w:val="000000"/>
          <w:sz w:val="24"/>
          <w:szCs w:val="24"/>
        </w:rPr>
        <w:t>-arter omfatter den hyppigst forekommende mekanisme for resistensudvikling azolernes målenzymer, som er ansvarlige for biosyntesen af ergosterol. Resistens kan være forårsaget af mutation, øget enzymproduktion, efflux-mekanismer af lægemidlet eller udvikling af kompenserende pathways</w:t>
      </w:r>
      <w:r>
        <w:rPr>
          <w:iCs/>
          <w:sz w:val="24"/>
          <w:szCs w:val="24"/>
        </w:rPr>
        <w:t>.</w:t>
      </w:r>
    </w:p>
    <w:p w14:paraId="5276FD01" w14:textId="77777777" w:rsidR="003833EB" w:rsidRDefault="003833EB" w:rsidP="003833EB">
      <w:pPr>
        <w:ind w:left="851" w:hanging="851"/>
        <w:rPr>
          <w:iCs/>
          <w:sz w:val="24"/>
          <w:szCs w:val="24"/>
        </w:rPr>
      </w:pPr>
    </w:p>
    <w:p w14:paraId="39D4E3E2" w14:textId="77777777" w:rsidR="003833EB" w:rsidRDefault="003833EB" w:rsidP="003833EB">
      <w:pPr>
        <w:ind w:left="851"/>
        <w:rPr>
          <w:iCs/>
          <w:sz w:val="24"/>
          <w:szCs w:val="24"/>
        </w:rPr>
      </w:pPr>
      <w:r>
        <w:rPr>
          <w:iCs/>
          <w:sz w:val="24"/>
          <w:szCs w:val="24"/>
        </w:rPr>
        <w:t xml:space="preserve">Der er rapporteret om superinfektion med andre </w:t>
      </w:r>
      <w:r>
        <w:rPr>
          <w:i/>
          <w:iCs/>
          <w:sz w:val="24"/>
          <w:szCs w:val="24"/>
        </w:rPr>
        <w:t>Candida</w:t>
      </w:r>
      <w:r>
        <w:rPr>
          <w:iCs/>
          <w:sz w:val="24"/>
          <w:szCs w:val="24"/>
        </w:rPr>
        <w:t xml:space="preserve">-arter end </w:t>
      </w:r>
      <w:r>
        <w:rPr>
          <w:i/>
          <w:iCs/>
          <w:sz w:val="24"/>
          <w:szCs w:val="24"/>
        </w:rPr>
        <w:t>C. albicans</w:t>
      </w:r>
      <w:r>
        <w:rPr>
          <w:iCs/>
          <w:sz w:val="24"/>
          <w:szCs w:val="24"/>
        </w:rPr>
        <w:t>, som ofte har naturligt nedsat følsomhed (</w:t>
      </w:r>
      <w:r>
        <w:rPr>
          <w:i/>
          <w:sz w:val="24"/>
          <w:szCs w:val="24"/>
        </w:rPr>
        <w:t>C. glabrata</w:t>
      </w:r>
      <w:r>
        <w:rPr>
          <w:iCs/>
          <w:sz w:val="24"/>
          <w:szCs w:val="24"/>
        </w:rPr>
        <w:t xml:space="preserve">) eller resistens over for fluconazol (f.eks. </w:t>
      </w:r>
      <w:r>
        <w:rPr>
          <w:i/>
          <w:sz w:val="24"/>
          <w:szCs w:val="24"/>
        </w:rPr>
        <w:t>C. krusei</w:t>
      </w:r>
      <w:r>
        <w:rPr>
          <w:iCs/>
          <w:sz w:val="24"/>
          <w:szCs w:val="24"/>
        </w:rPr>
        <w:t xml:space="preserve">, </w:t>
      </w:r>
      <w:r>
        <w:rPr>
          <w:i/>
          <w:sz w:val="24"/>
          <w:szCs w:val="24"/>
        </w:rPr>
        <w:t>C. auris</w:t>
      </w:r>
      <w:r>
        <w:rPr>
          <w:iCs/>
          <w:sz w:val="24"/>
          <w:szCs w:val="24"/>
        </w:rPr>
        <w:t xml:space="preserve">). Sådanne infektioner kan nødvendiggøre anden antimykotisk behandling. </w:t>
      </w:r>
      <w:r>
        <w:rPr>
          <w:color w:val="000000"/>
          <w:sz w:val="24"/>
          <w:szCs w:val="24"/>
        </w:rPr>
        <w:t>Resistensmekanismerne er ikke fuldt belyst for nogle af de reelt resistente (</w:t>
      </w:r>
      <w:r>
        <w:rPr>
          <w:i/>
          <w:color w:val="000000"/>
          <w:sz w:val="24"/>
          <w:szCs w:val="24"/>
        </w:rPr>
        <w:t>C. krusei</w:t>
      </w:r>
      <w:r>
        <w:rPr>
          <w:color w:val="000000"/>
          <w:sz w:val="24"/>
          <w:szCs w:val="24"/>
        </w:rPr>
        <w:t>) eller nyopståede (</w:t>
      </w:r>
      <w:r>
        <w:rPr>
          <w:i/>
          <w:color w:val="000000"/>
          <w:sz w:val="24"/>
          <w:szCs w:val="24"/>
        </w:rPr>
        <w:t>C. auris</w:t>
      </w:r>
      <w:r>
        <w:rPr>
          <w:color w:val="000000"/>
          <w:sz w:val="24"/>
          <w:szCs w:val="24"/>
        </w:rPr>
        <w:t>) arter af Candida.</w:t>
      </w:r>
    </w:p>
    <w:p w14:paraId="37372ABF" w14:textId="77777777" w:rsidR="003833EB" w:rsidRDefault="003833EB" w:rsidP="003833EB">
      <w:pPr>
        <w:rPr>
          <w:sz w:val="24"/>
          <w:szCs w:val="24"/>
          <w:u w:val="single"/>
        </w:rPr>
      </w:pPr>
    </w:p>
    <w:p w14:paraId="5A6FAC77" w14:textId="77777777" w:rsidR="001E3365" w:rsidRDefault="001E3365" w:rsidP="001E3365">
      <w:pPr>
        <w:widowControl w:val="0"/>
        <w:autoSpaceDE w:val="0"/>
        <w:autoSpaceDN w:val="0"/>
        <w:adjustRightInd w:val="0"/>
        <w:spacing w:line="280" w:lineRule="exact"/>
        <w:ind w:left="108" w:right="108" w:firstLine="743"/>
        <w:rPr>
          <w:rFonts w:cs="Verdana"/>
          <w:color w:val="000000"/>
          <w:sz w:val="24"/>
          <w:szCs w:val="24"/>
          <w:u w:val="single"/>
        </w:rPr>
      </w:pPr>
      <w:r>
        <w:rPr>
          <w:sz w:val="24"/>
          <w:szCs w:val="24"/>
          <w:u w:val="single"/>
        </w:rPr>
        <w:t>Grænseværdier ved følsomhedstestning</w:t>
      </w:r>
      <w:r>
        <w:rPr>
          <w:color w:val="000000"/>
          <w:sz w:val="24"/>
          <w:szCs w:val="24"/>
          <w:u w:val="single"/>
        </w:rPr>
        <w:t xml:space="preserve"> </w:t>
      </w:r>
    </w:p>
    <w:p w14:paraId="09382B39" w14:textId="77777777" w:rsidR="00E4635B" w:rsidRDefault="001E3365" w:rsidP="001E3365">
      <w:pPr>
        <w:ind w:left="851"/>
        <w:rPr>
          <w:color w:val="000000"/>
          <w:sz w:val="24"/>
          <w:szCs w:val="24"/>
        </w:rPr>
      </w:pPr>
      <w:r>
        <w:rPr>
          <w:color w:val="000000"/>
          <w:sz w:val="24"/>
          <w:szCs w:val="24"/>
        </w:rPr>
        <w:t xml:space="preserve">MIC (mindste inhiberende koncentration)-fortolkningskriterierne for følsomhedstestning er fastlagt af European Committee on Antimicrobial Susceptibility Testing (EUCAST) for fluconazol og er anført her: </w:t>
      </w:r>
      <w:hyperlink r:id="rId9" w:history="1">
        <w:r>
          <w:rPr>
            <w:rStyle w:val="Hyperlink"/>
            <w:sz w:val="24"/>
            <w:szCs w:val="24"/>
          </w:rPr>
          <w:t>https://www.ema.europa.eu/documents/other/minimum-inhibitory-concentration-mic-breakpoints_en.xlsx</w:t>
        </w:r>
      </w:hyperlink>
      <w:r>
        <w:rPr>
          <w:color w:val="000000"/>
          <w:sz w:val="24"/>
          <w:szCs w:val="24"/>
        </w:rPr>
        <w:t xml:space="preserve">  </w:t>
      </w:r>
    </w:p>
    <w:p w14:paraId="4ADEE2F4" w14:textId="77777777" w:rsidR="001E3365" w:rsidRPr="00133139" w:rsidRDefault="001E3365" w:rsidP="001E3365">
      <w:pPr>
        <w:ind w:left="851"/>
        <w:rPr>
          <w:sz w:val="24"/>
          <w:szCs w:val="24"/>
        </w:rPr>
      </w:pPr>
    </w:p>
    <w:p w14:paraId="63B57BC9" w14:textId="77777777" w:rsidR="00E4635B" w:rsidRPr="00133139" w:rsidRDefault="00E4635B" w:rsidP="00E4635B">
      <w:pPr>
        <w:numPr>
          <w:ilvl w:val="1"/>
          <w:numId w:val="3"/>
        </w:numPr>
        <w:tabs>
          <w:tab w:val="clear" w:pos="855"/>
        </w:tabs>
        <w:ind w:left="851" w:hanging="851"/>
        <w:rPr>
          <w:b/>
          <w:sz w:val="24"/>
          <w:szCs w:val="24"/>
        </w:rPr>
      </w:pPr>
      <w:r w:rsidRPr="00133139">
        <w:rPr>
          <w:b/>
          <w:sz w:val="24"/>
          <w:szCs w:val="24"/>
        </w:rPr>
        <w:t>Farmakokinetiske egenskaber</w:t>
      </w:r>
    </w:p>
    <w:p w14:paraId="445AC35B" w14:textId="77777777" w:rsidR="00E4635B" w:rsidRPr="00133139" w:rsidRDefault="00E4635B" w:rsidP="00E4635B">
      <w:pPr>
        <w:pStyle w:val="Brdtekst3"/>
        <w:ind w:left="851" w:hanging="851"/>
        <w:jc w:val="left"/>
        <w:rPr>
          <w:bCs/>
          <w:szCs w:val="24"/>
          <w:lang w:val="da-DK"/>
        </w:rPr>
      </w:pPr>
      <w:r w:rsidRPr="00133139">
        <w:rPr>
          <w:szCs w:val="24"/>
          <w:lang w:val="da-DK"/>
        </w:rPr>
        <w:tab/>
      </w:r>
      <w:r w:rsidRPr="00133139">
        <w:rPr>
          <w:bCs/>
          <w:szCs w:val="24"/>
          <w:lang w:val="da-DK"/>
        </w:rPr>
        <w:t>Fluconazols farmakokinetiske egenskaber er ens efter intravenøs og oral administration.</w:t>
      </w:r>
    </w:p>
    <w:p w14:paraId="69056521" w14:textId="77777777" w:rsidR="00E4635B" w:rsidRPr="00133139" w:rsidRDefault="00E4635B" w:rsidP="00E4635B">
      <w:pPr>
        <w:pStyle w:val="Brdtekst3"/>
        <w:ind w:left="851" w:hanging="851"/>
        <w:jc w:val="left"/>
        <w:rPr>
          <w:bCs/>
          <w:szCs w:val="24"/>
          <w:lang w:val="da-DK"/>
        </w:rPr>
      </w:pPr>
    </w:p>
    <w:p w14:paraId="0F05927C" w14:textId="77777777" w:rsidR="00E4635B" w:rsidRPr="00133139" w:rsidRDefault="00E4635B" w:rsidP="00E4635B">
      <w:pPr>
        <w:pStyle w:val="Brdtekst3"/>
        <w:keepNext/>
        <w:ind w:left="851"/>
        <w:jc w:val="left"/>
        <w:rPr>
          <w:bCs/>
          <w:szCs w:val="24"/>
          <w:u w:val="single"/>
          <w:lang w:val="da-DK"/>
        </w:rPr>
      </w:pPr>
      <w:r w:rsidRPr="00133139">
        <w:rPr>
          <w:bCs/>
          <w:szCs w:val="24"/>
          <w:u w:val="single"/>
          <w:lang w:val="da-DK"/>
        </w:rPr>
        <w:t xml:space="preserve">Absorption </w:t>
      </w:r>
    </w:p>
    <w:p w14:paraId="63D15D4F" w14:textId="77777777" w:rsidR="00E4635B" w:rsidRPr="00133139" w:rsidRDefault="00E4635B" w:rsidP="00E4635B">
      <w:pPr>
        <w:pStyle w:val="Brdtekst3"/>
        <w:ind w:left="851"/>
        <w:jc w:val="left"/>
        <w:rPr>
          <w:bCs/>
          <w:szCs w:val="24"/>
          <w:lang w:val="da-DK"/>
        </w:rPr>
      </w:pPr>
      <w:r w:rsidRPr="00133139">
        <w:rPr>
          <w:bCs/>
          <w:szCs w:val="24"/>
          <w:lang w:val="da-DK"/>
        </w:rPr>
        <w:t xml:space="preserve">Efter oral administration absorberes fluconazol godt, og plasmakoncentrationerne (og den systemiske biotilgængelighed) er over 90 % af de niveauer, der nås efter intravenøs administration. Den orale absorption påvirkes ikke af samtidig fødeindtagelse. De maksimale plasmakoncentrationer i fastende tilstand nås 0,5-1,5 time efter dosisindtagelse. Plasmakoncentrationerne er </w:t>
      </w:r>
      <w:r w:rsidR="005F340D" w:rsidRPr="00133139">
        <w:rPr>
          <w:bCs/>
          <w:szCs w:val="24"/>
          <w:lang w:val="da-DK"/>
        </w:rPr>
        <w:t>proportionale</w:t>
      </w:r>
      <w:r w:rsidRPr="00133139">
        <w:rPr>
          <w:bCs/>
          <w:szCs w:val="24"/>
          <w:lang w:val="da-DK"/>
        </w:rPr>
        <w:t xml:space="preserve"> med dosis. 90 % af steady state-niveauet er nået 4-5 dage efter gentagen dosering én gang om dagen. Administration af støddosis (på dag 1) af dobbelt normal daglig dosis giver plasmakoncentrationer på ca. 90 % af steady state på dag 2.</w:t>
      </w:r>
    </w:p>
    <w:p w14:paraId="71F59DBA" w14:textId="77777777" w:rsidR="00E4635B" w:rsidRPr="00133139" w:rsidRDefault="00E4635B" w:rsidP="00E4635B">
      <w:pPr>
        <w:pStyle w:val="Brdtekst3"/>
        <w:ind w:left="851" w:hanging="851"/>
        <w:jc w:val="left"/>
        <w:rPr>
          <w:bCs/>
          <w:szCs w:val="24"/>
          <w:lang w:val="da-DK"/>
        </w:rPr>
      </w:pPr>
    </w:p>
    <w:p w14:paraId="76B0D656" w14:textId="77777777" w:rsidR="00E4635B" w:rsidRPr="00133139" w:rsidRDefault="00E4635B" w:rsidP="00E4635B">
      <w:pPr>
        <w:pStyle w:val="Brdtekst3"/>
        <w:ind w:left="851"/>
        <w:jc w:val="left"/>
        <w:rPr>
          <w:bCs/>
          <w:szCs w:val="24"/>
          <w:lang w:val="da-DK"/>
        </w:rPr>
      </w:pPr>
      <w:r w:rsidRPr="00133139">
        <w:rPr>
          <w:bCs/>
          <w:szCs w:val="24"/>
          <w:u w:val="single"/>
          <w:lang w:val="da-DK"/>
        </w:rPr>
        <w:t>Distribution</w:t>
      </w:r>
    </w:p>
    <w:p w14:paraId="791BA57D" w14:textId="77777777" w:rsidR="00E4635B" w:rsidRPr="00133139" w:rsidRDefault="00E4635B" w:rsidP="00E4635B">
      <w:pPr>
        <w:pStyle w:val="Brdtekst3"/>
        <w:ind w:left="851"/>
        <w:jc w:val="left"/>
        <w:rPr>
          <w:bCs/>
          <w:szCs w:val="24"/>
          <w:lang w:val="da-DK"/>
        </w:rPr>
      </w:pPr>
      <w:r w:rsidRPr="00133139">
        <w:rPr>
          <w:bCs/>
          <w:szCs w:val="24"/>
          <w:lang w:val="da-DK"/>
        </w:rPr>
        <w:t>Det tilsyneladende fordelingsvolumen svarer til legemets totale vandfase. Plasmaproteinbindingen er lav (11-12 %).</w:t>
      </w:r>
    </w:p>
    <w:p w14:paraId="34A89D2E" w14:textId="77777777" w:rsidR="00E4635B" w:rsidRPr="00133139" w:rsidRDefault="00E4635B" w:rsidP="00E4635B">
      <w:pPr>
        <w:pStyle w:val="Brdtekst3"/>
        <w:ind w:left="851" w:hanging="851"/>
        <w:jc w:val="left"/>
        <w:rPr>
          <w:bCs/>
          <w:szCs w:val="24"/>
          <w:lang w:val="da-DK"/>
        </w:rPr>
      </w:pPr>
    </w:p>
    <w:p w14:paraId="43A2AF6C" w14:textId="77777777" w:rsidR="00E4635B" w:rsidRPr="00133139" w:rsidRDefault="00E4635B" w:rsidP="00E4635B">
      <w:pPr>
        <w:pStyle w:val="Brdtekst3"/>
        <w:ind w:left="851"/>
        <w:jc w:val="left"/>
        <w:rPr>
          <w:bCs/>
          <w:szCs w:val="24"/>
          <w:lang w:val="da-DK"/>
        </w:rPr>
      </w:pPr>
      <w:r w:rsidRPr="00133139">
        <w:rPr>
          <w:bCs/>
          <w:szCs w:val="24"/>
          <w:lang w:val="da-DK"/>
        </w:rPr>
        <w:t xml:space="preserve">Fluconazol opnår god fordeling i alle undersøgte kropsvæsker. Koncentrationen af fluconazol i spyt og sputum svarer til plasmakoncentrationen. Hos patienter med </w:t>
      </w:r>
      <w:r w:rsidRPr="00133139">
        <w:rPr>
          <w:bCs/>
          <w:szCs w:val="24"/>
          <w:lang w:val="da-DK"/>
        </w:rPr>
        <w:lastRenderedPageBreak/>
        <w:t>svampemeningit er koncentrationen af fluconazol i cerebrospinalvæsken ca. 80 % af de tilsvarende plasmakoncentrationer.</w:t>
      </w:r>
    </w:p>
    <w:p w14:paraId="5330A789" w14:textId="77777777" w:rsidR="00E4635B" w:rsidRPr="00133139" w:rsidRDefault="00E4635B" w:rsidP="00E4635B">
      <w:pPr>
        <w:pStyle w:val="Brdtekst3"/>
        <w:ind w:left="851" w:hanging="851"/>
        <w:jc w:val="left"/>
        <w:rPr>
          <w:bCs/>
          <w:szCs w:val="24"/>
          <w:lang w:val="da-DK"/>
        </w:rPr>
      </w:pPr>
    </w:p>
    <w:p w14:paraId="0C9822CA" w14:textId="77777777" w:rsidR="00E4635B" w:rsidRPr="00133139" w:rsidRDefault="00E4635B" w:rsidP="00E4635B">
      <w:pPr>
        <w:pStyle w:val="Brdtekst3"/>
        <w:ind w:left="851"/>
        <w:jc w:val="left"/>
        <w:rPr>
          <w:bCs/>
          <w:szCs w:val="24"/>
          <w:lang w:val="da-DK"/>
        </w:rPr>
      </w:pPr>
      <w:r w:rsidRPr="00133139">
        <w:rPr>
          <w:bCs/>
          <w:szCs w:val="24"/>
          <w:lang w:val="da-DK"/>
        </w:rPr>
        <w:t xml:space="preserve">Højere koncentrationer af fluconazol end i serum opnås i stratum corneum, epidermis-dermis og i ekkrin sved. Fluconazol akkumuleres i stratum corneum. Ved en dosis på 50 mg 1 gang dagligt var koncentrationen af fluconazol efter 12 dage 73 </w:t>
      </w:r>
      <w:r w:rsidRPr="00133139">
        <w:rPr>
          <w:bCs/>
          <w:szCs w:val="24"/>
          <w:lang w:val="da-DK"/>
        </w:rPr>
        <w:sym w:font="Symbol" w:char="F06D"/>
      </w:r>
      <w:r w:rsidRPr="00133139">
        <w:rPr>
          <w:bCs/>
          <w:szCs w:val="24"/>
          <w:lang w:val="da-DK"/>
        </w:rPr>
        <w:t xml:space="preserve">g/g, og 7 dage efter behandlingsophør var den stadig 5,8 </w:t>
      </w:r>
      <w:r w:rsidRPr="00133139">
        <w:rPr>
          <w:bCs/>
          <w:szCs w:val="24"/>
          <w:lang w:val="da-DK"/>
        </w:rPr>
        <w:sym w:font="Symbol" w:char="F06D"/>
      </w:r>
      <w:r w:rsidRPr="00133139">
        <w:rPr>
          <w:bCs/>
          <w:szCs w:val="24"/>
          <w:lang w:val="da-DK"/>
        </w:rPr>
        <w:t xml:space="preserve">g/g. Ved 150 mg 1 gang ugentligt var koncentrationen af fluconazol i stratum corneum 23,4 </w:t>
      </w:r>
      <w:r w:rsidRPr="00133139">
        <w:rPr>
          <w:bCs/>
          <w:szCs w:val="24"/>
          <w:lang w:val="da-DK"/>
        </w:rPr>
        <w:sym w:font="Symbol" w:char="F06D"/>
      </w:r>
      <w:r w:rsidRPr="00133139">
        <w:rPr>
          <w:bCs/>
          <w:szCs w:val="24"/>
          <w:lang w:val="da-DK"/>
        </w:rPr>
        <w:t xml:space="preserve">g/g på 7 og 7 dage efter anden dosis stadig 7,1 </w:t>
      </w:r>
      <w:r w:rsidRPr="00133139">
        <w:rPr>
          <w:bCs/>
          <w:szCs w:val="24"/>
          <w:lang w:val="da-DK"/>
        </w:rPr>
        <w:sym w:font="Symbol" w:char="F06D"/>
      </w:r>
      <w:r w:rsidRPr="00133139">
        <w:rPr>
          <w:bCs/>
          <w:szCs w:val="24"/>
          <w:lang w:val="da-DK"/>
        </w:rPr>
        <w:t>g/g.</w:t>
      </w:r>
    </w:p>
    <w:p w14:paraId="437B6810" w14:textId="77777777" w:rsidR="00E4635B" w:rsidRPr="00133139" w:rsidRDefault="00E4635B" w:rsidP="00E4635B">
      <w:pPr>
        <w:pStyle w:val="Brdtekst3"/>
        <w:ind w:left="851" w:hanging="851"/>
        <w:jc w:val="left"/>
        <w:rPr>
          <w:bCs/>
          <w:szCs w:val="24"/>
          <w:lang w:val="da-DK"/>
        </w:rPr>
      </w:pPr>
    </w:p>
    <w:p w14:paraId="70540EFE" w14:textId="77777777" w:rsidR="00E4635B" w:rsidRPr="00133139" w:rsidRDefault="00E4635B" w:rsidP="00E4635B">
      <w:pPr>
        <w:pStyle w:val="Brdtekst3"/>
        <w:ind w:left="851"/>
        <w:jc w:val="left"/>
        <w:rPr>
          <w:bCs/>
          <w:szCs w:val="24"/>
          <w:lang w:val="da-DK"/>
        </w:rPr>
      </w:pPr>
      <w:r w:rsidRPr="00133139">
        <w:rPr>
          <w:bCs/>
          <w:szCs w:val="24"/>
          <w:lang w:val="da-DK"/>
        </w:rPr>
        <w:t xml:space="preserve">Koncentrationen af fluconazol i negle efter 4 måneder med 150 mg 1 gang ugentligt var 4,05 </w:t>
      </w:r>
      <w:r w:rsidRPr="00133139">
        <w:rPr>
          <w:bCs/>
          <w:szCs w:val="24"/>
          <w:lang w:val="da-DK"/>
        </w:rPr>
        <w:sym w:font="Symbol" w:char="F06D"/>
      </w:r>
      <w:r w:rsidRPr="00133139">
        <w:rPr>
          <w:bCs/>
          <w:szCs w:val="24"/>
          <w:lang w:val="da-DK"/>
        </w:rPr>
        <w:t xml:space="preserve">g/g i raske negle og 1,8 </w:t>
      </w:r>
      <w:r w:rsidRPr="00133139">
        <w:rPr>
          <w:bCs/>
          <w:szCs w:val="24"/>
          <w:lang w:val="da-DK"/>
        </w:rPr>
        <w:sym w:font="Symbol" w:char="F06D"/>
      </w:r>
      <w:r w:rsidRPr="00133139">
        <w:rPr>
          <w:bCs/>
          <w:szCs w:val="24"/>
          <w:lang w:val="da-DK"/>
        </w:rPr>
        <w:t>g/g i syge negle. Fluconazol kunne stadig måles i negleprøver 6 måneder efter behandlingsophør.</w:t>
      </w:r>
    </w:p>
    <w:p w14:paraId="63D016AA" w14:textId="77777777" w:rsidR="00E4635B" w:rsidRPr="00133139" w:rsidRDefault="00E4635B" w:rsidP="00E4635B">
      <w:pPr>
        <w:pStyle w:val="Brdtekst3"/>
        <w:ind w:left="851" w:hanging="851"/>
        <w:jc w:val="left"/>
        <w:rPr>
          <w:bCs/>
          <w:szCs w:val="24"/>
          <w:lang w:val="da-DK"/>
        </w:rPr>
      </w:pPr>
    </w:p>
    <w:p w14:paraId="41026348" w14:textId="77777777" w:rsidR="00E4635B" w:rsidRPr="00133139" w:rsidRDefault="00E4635B" w:rsidP="00EC6E49">
      <w:pPr>
        <w:pStyle w:val="Brdtekst3"/>
        <w:keepNext/>
        <w:ind w:left="851"/>
        <w:jc w:val="left"/>
        <w:rPr>
          <w:bCs/>
          <w:i/>
          <w:szCs w:val="24"/>
          <w:lang w:val="da-DK"/>
        </w:rPr>
      </w:pPr>
      <w:r w:rsidRPr="00133139">
        <w:rPr>
          <w:bCs/>
          <w:szCs w:val="24"/>
          <w:u w:val="single"/>
          <w:lang w:val="da-DK"/>
        </w:rPr>
        <w:t>Biotransformation</w:t>
      </w:r>
    </w:p>
    <w:p w14:paraId="13A78DBC" w14:textId="77777777" w:rsidR="00E4635B" w:rsidRPr="00133139" w:rsidRDefault="00E4635B" w:rsidP="00E4635B">
      <w:pPr>
        <w:pStyle w:val="Brdtekst3"/>
        <w:ind w:left="851"/>
        <w:jc w:val="left"/>
        <w:rPr>
          <w:bCs/>
          <w:szCs w:val="24"/>
          <w:lang w:val="da-DK"/>
        </w:rPr>
      </w:pPr>
      <w:r w:rsidRPr="00133139">
        <w:rPr>
          <w:bCs/>
          <w:szCs w:val="24"/>
          <w:lang w:val="da-DK"/>
        </w:rPr>
        <w:t xml:space="preserve">Fluconazol metaboliseres kun i ringe grad. Kun 11 % af en radioaktiv dosis udskilles som metabolitter i urinen. Fluconazol er en </w:t>
      </w:r>
      <w:r>
        <w:rPr>
          <w:bCs/>
          <w:szCs w:val="24"/>
          <w:lang w:val="da-DK"/>
        </w:rPr>
        <w:t>moderat</w:t>
      </w:r>
      <w:r w:rsidRPr="00133139">
        <w:rPr>
          <w:bCs/>
          <w:szCs w:val="24"/>
          <w:lang w:val="da-DK"/>
        </w:rPr>
        <w:t xml:space="preserve"> hæmmer af isoenzymerne CYP2C9 og CYP3A4 (se pkt. 4.5). Fluconazol</w:t>
      </w:r>
      <w:r>
        <w:rPr>
          <w:bCs/>
          <w:szCs w:val="24"/>
          <w:lang w:val="da-DK"/>
        </w:rPr>
        <w:t xml:space="preserve"> er også en</w:t>
      </w:r>
      <w:r w:rsidRPr="00133139">
        <w:rPr>
          <w:bCs/>
          <w:szCs w:val="24"/>
          <w:lang w:val="da-DK"/>
        </w:rPr>
        <w:t xml:space="preserve"> </w:t>
      </w:r>
      <w:r>
        <w:rPr>
          <w:bCs/>
          <w:szCs w:val="24"/>
          <w:lang w:val="da-DK"/>
        </w:rPr>
        <w:t xml:space="preserve">stærk </w:t>
      </w:r>
      <w:r w:rsidRPr="00133139">
        <w:rPr>
          <w:bCs/>
          <w:szCs w:val="24"/>
          <w:lang w:val="da-DK"/>
        </w:rPr>
        <w:t>hæmmer</w:t>
      </w:r>
      <w:r>
        <w:rPr>
          <w:bCs/>
          <w:szCs w:val="24"/>
          <w:lang w:val="da-DK"/>
        </w:rPr>
        <w:t xml:space="preserve"> af</w:t>
      </w:r>
      <w:r w:rsidRPr="00133139">
        <w:rPr>
          <w:bCs/>
          <w:szCs w:val="24"/>
          <w:lang w:val="da-DK"/>
        </w:rPr>
        <w:t xml:space="preserve"> isozym CYP2C19.</w:t>
      </w:r>
    </w:p>
    <w:p w14:paraId="1DF53134" w14:textId="77777777" w:rsidR="00E4635B" w:rsidRPr="00133139" w:rsidRDefault="00E4635B" w:rsidP="00E4635B">
      <w:pPr>
        <w:pStyle w:val="Brdtekst3"/>
        <w:ind w:left="851" w:hanging="851"/>
        <w:jc w:val="left"/>
        <w:rPr>
          <w:bCs/>
          <w:szCs w:val="24"/>
          <w:lang w:val="da-DK"/>
        </w:rPr>
      </w:pPr>
    </w:p>
    <w:p w14:paraId="626D4B71" w14:textId="77777777" w:rsidR="00E4635B" w:rsidRDefault="00E4635B" w:rsidP="00E4635B">
      <w:pPr>
        <w:pStyle w:val="Brdtekst3"/>
        <w:ind w:left="851"/>
        <w:jc w:val="left"/>
        <w:rPr>
          <w:bCs/>
          <w:szCs w:val="24"/>
          <w:u w:val="single"/>
          <w:lang w:val="da-DK"/>
        </w:rPr>
      </w:pPr>
      <w:r>
        <w:rPr>
          <w:bCs/>
          <w:szCs w:val="24"/>
          <w:u w:val="single"/>
          <w:lang w:val="da-DK"/>
        </w:rPr>
        <w:t>Elimination</w:t>
      </w:r>
    </w:p>
    <w:p w14:paraId="15F406B2" w14:textId="77777777" w:rsidR="00E4635B" w:rsidRPr="00133139" w:rsidRDefault="00E4635B" w:rsidP="00E4635B">
      <w:pPr>
        <w:pStyle w:val="Brdtekst3"/>
        <w:ind w:left="851"/>
        <w:jc w:val="left"/>
        <w:rPr>
          <w:bCs/>
          <w:szCs w:val="24"/>
          <w:lang w:val="da-DK"/>
        </w:rPr>
      </w:pPr>
      <w:r w:rsidRPr="00133139">
        <w:rPr>
          <w:bCs/>
          <w:szCs w:val="24"/>
          <w:lang w:val="da-DK"/>
        </w:rPr>
        <w:t>Plasmahalveringstiden for fluconazol er ca. 30 timer. Fluconazol udskilles primært renalt, og ca. 80 % af den administrerede dosis udskilles i urinen som uomdannet lægemiddel. Fluconazol-clearance er proportional med kreatinin-clearance. Der er ikke tegn på cirkulerende metabolitter.</w:t>
      </w:r>
    </w:p>
    <w:p w14:paraId="4DB18992" w14:textId="77777777" w:rsidR="00E4635B" w:rsidRPr="00133139" w:rsidRDefault="00E4635B" w:rsidP="00E4635B">
      <w:pPr>
        <w:pStyle w:val="Brdtekst3"/>
        <w:ind w:left="851" w:hanging="851"/>
        <w:jc w:val="left"/>
        <w:rPr>
          <w:bCs/>
          <w:szCs w:val="24"/>
          <w:lang w:val="da-DK"/>
        </w:rPr>
      </w:pPr>
    </w:p>
    <w:p w14:paraId="2EF774A4" w14:textId="77777777" w:rsidR="00E4635B" w:rsidRPr="00133139" w:rsidRDefault="00E4635B" w:rsidP="00E4635B">
      <w:pPr>
        <w:pStyle w:val="Brdtekst3"/>
        <w:ind w:left="851"/>
        <w:jc w:val="left"/>
        <w:rPr>
          <w:bCs/>
          <w:szCs w:val="24"/>
          <w:lang w:val="da-DK"/>
        </w:rPr>
      </w:pPr>
      <w:r w:rsidRPr="00133139">
        <w:rPr>
          <w:bCs/>
          <w:szCs w:val="24"/>
          <w:lang w:val="da-DK"/>
        </w:rPr>
        <w:t>Den lange plasmahalveringstid har skabt grundlag for enkeltdosisbehandling ved vaginal candidiasis og dosering 1 gang dagligt og 1 gang ugentligt ved andre indikationer.</w:t>
      </w:r>
    </w:p>
    <w:p w14:paraId="66427FCF" w14:textId="77777777" w:rsidR="00E4635B" w:rsidRPr="00133139" w:rsidRDefault="00E4635B" w:rsidP="00E4635B">
      <w:pPr>
        <w:pStyle w:val="Brdtekst3"/>
        <w:ind w:left="851" w:hanging="851"/>
        <w:jc w:val="left"/>
        <w:rPr>
          <w:bCs/>
          <w:szCs w:val="24"/>
          <w:u w:val="single"/>
          <w:lang w:val="da-DK"/>
        </w:rPr>
      </w:pPr>
    </w:p>
    <w:p w14:paraId="202E05F0" w14:textId="77777777" w:rsidR="00E4635B" w:rsidRPr="00133139" w:rsidRDefault="00E4635B" w:rsidP="00E4635B">
      <w:pPr>
        <w:pStyle w:val="Brdtekst3"/>
        <w:ind w:left="851"/>
        <w:jc w:val="left"/>
        <w:rPr>
          <w:bCs/>
          <w:szCs w:val="24"/>
          <w:u w:val="single"/>
          <w:lang w:val="da-DK"/>
        </w:rPr>
      </w:pPr>
      <w:r w:rsidRPr="00133139">
        <w:rPr>
          <w:bCs/>
          <w:szCs w:val="24"/>
          <w:u w:val="single"/>
          <w:lang w:val="da-DK"/>
        </w:rPr>
        <w:t>Farmakokinetik ved nedsat nyrefunktion</w:t>
      </w:r>
    </w:p>
    <w:p w14:paraId="20A68495" w14:textId="77777777" w:rsidR="00E4635B" w:rsidRDefault="00E4635B" w:rsidP="00E4635B">
      <w:pPr>
        <w:pStyle w:val="Brdtekst3"/>
        <w:ind w:left="851"/>
        <w:jc w:val="left"/>
        <w:rPr>
          <w:bCs/>
          <w:szCs w:val="24"/>
          <w:lang w:val="da-DK"/>
        </w:rPr>
      </w:pPr>
      <w:r w:rsidRPr="00133139">
        <w:rPr>
          <w:bCs/>
          <w:szCs w:val="24"/>
          <w:lang w:val="da-DK"/>
        </w:rPr>
        <w:t>Hos patienter med alvorlig nyreinsufficiens (GFR&lt;20 ml/min) steg halveringstiden fra 30 til 98 timer. Som følge heraf er dosisreduktion nødvendig. Fluconazol fjernes ved hæmodialyse og i mindre grad ved peritonealdialyse. Efter 3 timers hæmodialyse er ca. 50 % af fluconazol elimineret fra blodet.</w:t>
      </w:r>
    </w:p>
    <w:p w14:paraId="3A696057" w14:textId="77777777" w:rsidR="00E4635B" w:rsidRDefault="00E4635B" w:rsidP="00E4635B">
      <w:pPr>
        <w:pStyle w:val="Brdtekst3"/>
        <w:ind w:left="851"/>
        <w:jc w:val="left"/>
        <w:rPr>
          <w:bCs/>
          <w:szCs w:val="24"/>
          <w:lang w:val="da-DK"/>
        </w:rPr>
      </w:pPr>
    </w:p>
    <w:p w14:paraId="77A1BE0C" w14:textId="77777777" w:rsidR="00E4635B" w:rsidRPr="004C40D9" w:rsidRDefault="00E4635B" w:rsidP="00E4635B">
      <w:pPr>
        <w:ind w:left="850"/>
        <w:rPr>
          <w:sz w:val="24"/>
          <w:szCs w:val="22"/>
          <w:u w:val="single"/>
        </w:rPr>
      </w:pPr>
      <w:r w:rsidRPr="004C40D9">
        <w:rPr>
          <w:sz w:val="24"/>
          <w:szCs w:val="22"/>
          <w:u w:val="single"/>
        </w:rPr>
        <w:t>Farmakokinetik under amning</w:t>
      </w:r>
    </w:p>
    <w:p w14:paraId="1304C767" w14:textId="77777777" w:rsidR="00E4635B" w:rsidRPr="004C40D9" w:rsidRDefault="00E4635B" w:rsidP="00E4635B">
      <w:pPr>
        <w:ind w:left="850"/>
        <w:rPr>
          <w:sz w:val="24"/>
          <w:szCs w:val="22"/>
        </w:rPr>
      </w:pPr>
      <w:r w:rsidRPr="004C40D9">
        <w:rPr>
          <w:sz w:val="24"/>
          <w:szCs w:val="22"/>
        </w:rPr>
        <w:t xml:space="preserve">I et farmakokinetisk forsøg med ti ammende kvinder, som midlertidigt eller permanent var stoppet med at amme deres spædbørn, blev koncentrationerne af fluconazol i plasma og modermælk målt i 48 timer efter en enkeltdosis på 150 mg fluconazol. </w:t>
      </w:r>
      <w:r w:rsidRPr="004C40D9">
        <w:rPr>
          <w:sz w:val="24"/>
          <w:szCs w:val="24"/>
        </w:rPr>
        <w:t>Den gennemsnitlige koncentration af fluconazol, der blev påvist i modermælk, var ca. 98 % af de koncentrationer, der sås i moderens plasma.</w:t>
      </w:r>
      <w:r w:rsidRPr="004C40D9">
        <w:rPr>
          <w:sz w:val="24"/>
          <w:szCs w:val="22"/>
        </w:rPr>
        <w:t xml:space="preserve"> Den gennemsnitlige maksimale koncentration i modermælk var 2,6 mg/l 5,2 timer efter dosering. Den estimerede daglige dosis af fluconazol fra modermælk hos spædbørn (forudsat </w:t>
      </w:r>
      <w:r w:rsidR="005F340D" w:rsidRPr="004C40D9">
        <w:rPr>
          <w:sz w:val="24"/>
          <w:szCs w:val="22"/>
        </w:rPr>
        <w:t>en gennemsnitlig indtagelse</w:t>
      </w:r>
      <w:r w:rsidRPr="004C40D9">
        <w:rPr>
          <w:sz w:val="24"/>
          <w:szCs w:val="22"/>
        </w:rPr>
        <w:t xml:space="preserve"> af modermælk på 150 ml/kg/dag) baseret på den gennemsnitlige maksimale koncentration i mælk er 0,39 mg/kg/dag, hvilket er ca. 40 % af den anbefalede dosis til spædbørn (&lt; 2 uger) eller 13 % af den anbefalede dosis til spædbørn mod </w:t>
      </w:r>
      <w:r w:rsidRPr="004C40D9">
        <w:rPr>
          <w:spacing w:val="-3"/>
          <w:sz w:val="24"/>
          <w:szCs w:val="22"/>
        </w:rPr>
        <w:t>mukøs candidiasis</w:t>
      </w:r>
      <w:r w:rsidRPr="004C40D9">
        <w:rPr>
          <w:sz w:val="24"/>
          <w:szCs w:val="22"/>
        </w:rPr>
        <w:t>.</w:t>
      </w:r>
    </w:p>
    <w:p w14:paraId="39626368" w14:textId="77777777" w:rsidR="00E4635B" w:rsidRPr="00133139" w:rsidRDefault="00E4635B" w:rsidP="00E4635B">
      <w:pPr>
        <w:pStyle w:val="Brdtekst3"/>
        <w:ind w:left="851" w:hanging="851"/>
        <w:jc w:val="left"/>
        <w:rPr>
          <w:bCs/>
          <w:szCs w:val="24"/>
          <w:lang w:val="da-DK"/>
        </w:rPr>
      </w:pPr>
    </w:p>
    <w:p w14:paraId="0E8C4DF9" w14:textId="77777777" w:rsidR="00E4635B" w:rsidRPr="00133139" w:rsidRDefault="00E4635B" w:rsidP="00E4635B">
      <w:pPr>
        <w:pStyle w:val="Brdtekst3"/>
        <w:ind w:left="851"/>
        <w:jc w:val="left"/>
        <w:rPr>
          <w:bCs/>
          <w:szCs w:val="24"/>
          <w:u w:val="single"/>
          <w:lang w:val="da-DK"/>
        </w:rPr>
      </w:pPr>
      <w:r w:rsidRPr="00133139">
        <w:rPr>
          <w:bCs/>
          <w:szCs w:val="24"/>
          <w:u w:val="single"/>
          <w:lang w:val="da-DK"/>
        </w:rPr>
        <w:t>Farmakokinetik hos børn</w:t>
      </w:r>
    </w:p>
    <w:p w14:paraId="3797FDFC" w14:textId="77777777" w:rsidR="00E4635B" w:rsidRPr="00133139" w:rsidRDefault="00E4635B" w:rsidP="00E4635B">
      <w:pPr>
        <w:pStyle w:val="Brdtekst3"/>
        <w:ind w:left="851"/>
        <w:jc w:val="left"/>
        <w:rPr>
          <w:bCs/>
          <w:szCs w:val="24"/>
          <w:lang w:val="da-DK"/>
        </w:rPr>
      </w:pPr>
      <w:r w:rsidRPr="00133139">
        <w:rPr>
          <w:bCs/>
          <w:szCs w:val="24"/>
          <w:lang w:val="da-DK"/>
        </w:rPr>
        <w:t xml:space="preserve">Farmakokinetiske data blev vurderet </w:t>
      </w:r>
      <w:r w:rsidR="005F340D">
        <w:rPr>
          <w:bCs/>
          <w:szCs w:val="24"/>
          <w:lang w:val="da-DK"/>
        </w:rPr>
        <w:t>for</w:t>
      </w:r>
      <w:r w:rsidRPr="00133139">
        <w:rPr>
          <w:bCs/>
          <w:szCs w:val="24"/>
          <w:lang w:val="da-DK"/>
        </w:rPr>
        <w:t xml:space="preserve"> 113 pædiatriske patienter i 5 forsøg; 2 enkeltdosisforsøg, 2 flerdosisforsøg samt 1 forsøg med præmature nyfødte. Data fra et forsøg kunne ikke tolkes pga. ændringer i formuleringen i løbet af forsøget. Yderligere data var tilgængelige fra et specielt klinisk program (”compassionate use”).</w:t>
      </w:r>
    </w:p>
    <w:p w14:paraId="5CF76CAF" w14:textId="77777777" w:rsidR="00E4635B" w:rsidRPr="00133139" w:rsidRDefault="00E4635B" w:rsidP="00E4635B">
      <w:pPr>
        <w:pStyle w:val="Brdtekst3"/>
        <w:ind w:left="851" w:hanging="851"/>
        <w:jc w:val="left"/>
        <w:rPr>
          <w:bCs/>
          <w:szCs w:val="24"/>
          <w:lang w:val="da-DK"/>
        </w:rPr>
      </w:pPr>
    </w:p>
    <w:p w14:paraId="1B1161FF" w14:textId="77777777" w:rsidR="00E4635B" w:rsidRPr="00133139" w:rsidRDefault="00E4635B" w:rsidP="00E4635B">
      <w:pPr>
        <w:pStyle w:val="Brdtekst3"/>
        <w:ind w:left="851"/>
        <w:jc w:val="left"/>
        <w:rPr>
          <w:bCs/>
          <w:szCs w:val="24"/>
          <w:lang w:val="da-DK"/>
        </w:rPr>
      </w:pPr>
      <w:r w:rsidRPr="00133139">
        <w:rPr>
          <w:bCs/>
          <w:szCs w:val="24"/>
          <w:lang w:val="da-DK"/>
        </w:rPr>
        <w:t>Efter administration af 2-8 mg/kg fluconazol til børn i alderen 9 måneder til 15 år fandtes en AUC på 38 µg∙t/ml pr. 1 mg/kg dosisenhed. Den gennemsnitlige plasma-halveringstid for fluconazol var 15-18 timer, og distributionsvolumen var ca. 880 ml/kg efter gentagne doser. Efter en enkelt dosis fandtes en højere plasma-halveringstid på ca. 24 timer. Dette er sammenligneligt med plasma-halveringstiden for fluconazol efter en enkelt indgift af 3 mg/kg intravenøst til børn i alderen 11 dage til 11 måneder. Distributionsvolumen i denne aldersgruppe var ca. 950 ml/kg.</w:t>
      </w:r>
    </w:p>
    <w:p w14:paraId="04E9471C" w14:textId="77777777" w:rsidR="00E4635B" w:rsidRPr="00133139" w:rsidRDefault="00E4635B" w:rsidP="00E4635B">
      <w:pPr>
        <w:pStyle w:val="Brdtekst3"/>
        <w:ind w:left="851" w:hanging="851"/>
        <w:jc w:val="left"/>
        <w:rPr>
          <w:bCs/>
          <w:szCs w:val="24"/>
          <w:lang w:val="da-DK"/>
        </w:rPr>
      </w:pPr>
    </w:p>
    <w:p w14:paraId="0459BDFD" w14:textId="77777777" w:rsidR="00E4635B" w:rsidRPr="00133139" w:rsidRDefault="00E4635B" w:rsidP="00E4635B">
      <w:pPr>
        <w:pStyle w:val="Brdtekst3"/>
        <w:ind w:left="851"/>
        <w:jc w:val="left"/>
        <w:rPr>
          <w:bCs/>
          <w:szCs w:val="24"/>
          <w:lang w:val="da-DK"/>
        </w:rPr>
      </w:pPr>
      <w:r w:rsidRPr="00133139">
        <w:rPr>
          <w:bCs/>
          <w:szCs w:val="24"/>
          <w:lang w:val="da-DK"/>
        </w:rPr>
        <w:t>Erfaringerne med fluconazol hos nyfødte er begrænset til farmakokinetiske studier med præmature nyfødte. Den gennemsnitlige alder ved den første dosis var 24 timer (9-36 timer), og den gennemsnitlige fødselsvægt var 0,9 kg (0,75-1,1 kg) for 12 for tidligt fødte med en gennemsnitlig gestationsalder på ca. 28 uger. Syv patienter gennemførte undersøgelsen. Der blev maksimalt givet 5 intravenøse infusioner à 6 mg fluconazol/kg hver 72. time. Den gennemsnitlige halveringstid var 74 timer (44-185 timer) på dag 1 og faldt over tid til gennemsnitligt 53 timer (30-131 timer) på dag 7, og 47 timer (27-68 timer) på dag 13. AUC var 271 µg∙t/ml (fra 173 til 385) på dag 1 og steg til gennemsnitligt 490 µg∙t/ml (292-734) på dag 7, og faldt til gennemsnitligt 360 µg∙t/ml (167-566) på dag 13. Distributionsvolumen var 1.183 ml/kg (1.070-1.470) på dag 1 og steg over tid til gennemsnitligt 1.184 ml/kg (510-2.130) på dag 7 og 1.328 ml/kg (1.040-1.680) på dag 13.</w:t>
      </w:r>
    </w:p>
    <w:p w14:paraId="01DA4AF6" w14:textId="77777777" w:rsidR="00E4635B" w:rsidRPr="00133139" w:rsidRDefault="00E4635B" w:rsidP="00E4635B">
      <w:pPr>
        <w:pStyle w:val="Brdtekst3"/>
        <w:ind w:left="851" w:hanging="851"/>
        <w:jc w:val="left"/>
        <w:rPr>
          <w:bCs/>
          <w:szCs w:val="24"/>
          <w:lang w:val="da-DK"/>
        </w:rPr>
      </w:pPr>
    </w:p>
    <w:p w14:paraId="2E7A6DC0" w14:textId="77777777" w:rsidR="00E4635B" w:rsidRPr="00133139" w:rsidRDefault="00E4635B" w:rsidP="00E4635B">
      <w:pPr>
        <w:pStyle w:val="Brdtekst3"/>
        <w:ind w:left="851"/>
        <w:jc w:val="left"/>
        <w:rPr>
          <w:bCs/>
          <w:szCs w:val="24"/>
          <w:u w:val="single"/>
          <w:lang w:val="da-DK"/>
        </w:rPr>
      </w:pPr>
      <w:r w:rsidRPr="00133139">
        <w:rPr>
          <w:bCs/>
          <w:szCs w:val="24"/>
          <w:u w:val="single"/>
          <w:lang w:val="da-DK"/>
        </w:rPr>
        <w:t>Farmakokinetik hos ældre</w:t>
      </w:r>
    </w:p>
    <w:p w14:paraId="29D122F0" w14:textId="77777777" w:rsidR="00E4635B" w:rsidRPr="00133139" w:rsidRDefault="00E4635B" w:rsidP="00E4635B">
      <w:pPr>
        <w:pStyle w:val="Brdtekst3"/>
        <w:ind w:left="851"/>
        <w:jc w:val="left"/>
        <w:rPr>
          <w:bCs/>
          <w:szCs w:val="24"/>
          <w:lang w:val="da-DK"/>
        </w:rPr>
      </w:pPr>
      <w:r w:rsidRPr="00133139">
        <w:rPr>
          <w:bCs/>
          <w:szCs w:val="24"/>
          <w:lang w:val="da-DK"/>
        </w:rPr>
        <w:t>Et farmakokinetisk forsøg blev gennemført med 22 personer, som var 65 år eller ældre, og som fik en enkelt oral dosis 50 mg fluconazol. Ti af disse patienter fik samtidig diuretika. C</w:t>
      </w:r>
      <w:r w:rsidRPr="00133139">
        <w:rPr>
          <w:bCs/>
          <w:szCs w:val="24"/>
          <w:vertAlign w:val="subscript"/>
          <w:lang w:val="da-DK"/>
        </w:rPr>
        <w:t>max</w:t>
      </w:r>
      <w:r w:rsidRPr="00133139">
        <w:rPr>
          <w:bCs/>
          <w:szCs w:val="24"/>
          <w:lang w:val="da-DK"/>
        </w:rPr>
        <w:t xml:space="preserve"> var 1,54 µg/ml og blev nået 1,3 timer efter indtagelse. Gennemsnitligt AUC var 76,4 ± 20,3 µg∙t/ml, og den gennemsnitlige halveringstid var 46,2 timer. Disse farmakokinetiske parametre er højere end de tilsvarende værdier rapporteret hos unge, raske, frivillige mænd. Samtidig administration af diuretika ændrede ikke AUC eller C</w:t>
      </w:r>
      <w:r w:rsidRPr="00133139">
        <w:rPr>
          <w:bCs/>
          <w:szCs w:val="24"/>
          <w:vertAlign w:val="subscript"/>
          <w:lang w:val="da-DK"/>
        </w:rPr>
        <w:t>max</w:t>
      </w:r>
      <w:r w:rsidRPr="00133139">
        <w:rPr>
          <w:bCs/>
          <w:szCs w:val="24"/>
          <w:lang w:val="da-DK"/>
        </w:rPr>
        <w:t xml:space="preserve"> signifikant. Kreatininclearance (74 ml/min), den procentdel af lægemidlet, som blev genfundet uomdannet i urinen (0-24 time, 22 %) og estimater for fluconazols renale clearance (0,124 ml/min/kg) hos ældre var desuden generelt lavere end værdierne hos yngre, frivillige forsøgspersoner. Derfor ser ændringen i fluconazols fordeling hos ældre ud til at være relateret til nedsat nyrefunktion, der er karakteristisk hos denne patientgruppe.</w:t>
      </w:r>
    </w:p>
    <w:p w14:paraId="573626E8" w14:textId="77777777" w:rsidR="00E4635B" w:rsidRPr="00133139" w:rsidRDefault="00E4635B" w:rsidP="00E4635B">
      <w:pPr>
        <w:ind w:left="851" w:hanging="851"/>
        <w:rPr>
          <w:sz w:val="24"/>
          <w:szCs w:val="24"/>
        </w:rPr>
      </w:pPr>
    </w:p>
    <w:p w14:paraId="537F6454" w14:textId="77777777" w:rsidR="00E4635B" w:rsidRPr="00133139" w:rsidRDefault="005F340D" w:rsidP="00E4635B">
      <w:pPr>
        <w:numPr>
          <w:ilvl w:val="1"/>
          <w:numId w:val="4"/>
        </w:numPr>
        <w:tabs>
          <w:tab w:val="clear" w:pos="855"/>
        </w:tabs>
        <w:ind w:left="851" w:hanging="851"/>
        <w:rPr>
          <w:b/>
          <w:sz w:val="24"/>
          <w:szCs w:val="24"/>
        </w:rPr>
      </w:pPr>
      <w:r>
        <w:rPr>
          <w:b/>
          <w:sz w:val="24"/>
          <w:szCs w:val="24"/>
        </w:rPr>
        <w:t>Non-</w:t>
      </w:r>
      <w:r w:rsidR="00E4635B" w:rsidRPr="00133139">
        <w:rPr>
          <w:b/>
          <w:sz w:val="24"/>
          <w:szCs w:val="24"/>
        </w:rPr>
        <w:t>kliniske sikkerhedsdata</w:t>
      </w:r>
    </w:p>
    <w:p w14:paraId="5938C062" w14:textId="77777777" w:rsidR="00E4635B" w:rsidRPr="00133139" w:rsidRDefault="00E4635B" w:rsidP="00E4635B">
      <w:pPr>
        <w:pStyle w:val="Brdtekst3"/>
        <w:ind w:left="851" w:hanging="851"/>
        <w:jc w:val="left"/>
        <w:rPr>
          <w:bCs/>
          <w:szCs w:val="24"/>
          <w:lang w:val="da-DK"/>
        </w:rPr>
      </w:pPr>
      <w:r w:rsidRPr="00133139">
        <w:rPr>
          <w:szCs w:val="24"/>
          <w:lang w:val="da-DK"/>
        </w:rPr>
        <w:tab/>
      </w:r>
      <w:r w:rsidRPr="00133139">
        <w:rPr>
          <w:bCs/>
          <w:szCs w:val="24"/>
          <w:lang w:val="da-DK"/>
        </w:rPr>
        <w:t xml:space="preserve">I </w:t>
      </w:r>
      <w:r w:rsidR="005F340D">
        <w:rPr>
          <w:bCs/>
          <w:szCs w:val="24"/>
          <w:lang w:val="da-DK"/>
        </w:rPr>
        <w:t>non</w:t>
      </w:r>
      <w:r w:rsidRPr="00133139">
        <w:rPr>
          <w:bCs/>
          <w:szCs w:val="24"/>
          <w:lang w:val="da-DK"/>
        </w:rPr>
        <w:t>-kliniske forsøg blev der kun set virkninger efter doser, som overstiger den maksimale humane eksponering betragteligt, hvilket indikerer ringe klinisk relevans.</w:t>
      </w:r>
    </w:p>
    <w:p w14:paraId="71394F95" w14:textId="77777777" w:rsidR="00E4635B" w:rsidRPr="00133139" w:rsidRDefault="00E4635B" w:rsidP="00E4635B">
      <w:pPr>
        <w:pStyle w:val="Brdtekst3"/>
        <w:ind w:left="851" w:hanging="851"/>
        <w:jc w:val="left"/>
        <w:rPr>
          <w:bCs/>
          <w:szCs w:val="24"/>
          <w:lang w:val="da-DK"/>
        </w:rPr>
      </w:pPr>
    </w:p>
    <w:p w14:paraId="3EAEFB1E" w14:textId="77777777" w:rsidR="00E4635B" w:rsidRPr="00133139" w:rsidRDefault="00E4635B" w:rsidP="00E4635B">
      <w:pPr>
        <w:pStyle w:val="Brdtekst3"/>
        <w:ind w:left="851"/>
        <w:jc w:val="left"/>
        <w:rPr>
          <w:bCs/>
          <w:szCs w:val="24"/>
          <w:u w:val="single"/>
          <w:lang w:val="da-DK"/>
        </w:rPr>
      </w:pPr>
      <w:r w:rsidRPr="00133139">
        <w:rPr>
          <w:bCs/>
          <w:szCs w:val="24"/>
          <w:u w:val="single"/>
          <w:lang w:val="da-DK"/>
        </w:rPr>
        <w:t>Karcinogenicitet</w:t>
      </w:r>
    </w:p>
    <w:p w14:paraId="59E48EA1" w14:textId="77777777" w:rsidR="00E4635B" w:rsidRPr="00133139" w:rsidRDefault="00E4635B" w:rsidP="00E4635B">
      <w:pPr>
        <w:pStyle w:val="Brdtekst3"/>
        <w:ind w:left="851"/>
        <w:jc w:val="left"/>
        <w:rPr>
          <w:bCs/>
          <w:szCs w:val="24"/>
          <w:lang w:val="da-DK"/>
        </w:rPr>
      </w:pPr>
      <w:r w:rsidRPr="00133139">
        <w:rPr>
          <w:bCs/>
          <w:szCs w:val="24"/>
          <w:lang w:val="da-DK"/>
        </w:rPr>
        <w:t>Fluconazol udviste ikke tegn på karcinogent potentiale hos mus og rotter behandlet i 24 måneder med doser på 2,5, 5 eller 10 mg/kg/dag oralt (ca. 27 gange den anbefalede dosis til mennesker). Hanrotter behandlet med 5 og 10 mg/kg/dag havde en øget hyppighed af hepatocellulære adenomer.</w:t>
      </w:r>
    </w:p>
    <w:p w14:paraId="3040A36F" w14:textId="77777777" w:rsidR="00E4635B" w:rsidRDefault="00E4635B" w:rsidP="00E4635B">
      <w:pPr>
        <w:pStyle w:val="Brdtekst3"/>
        <w:ind w:left="851" w:hanging="851"/>
        <w:jc w:val="left"/>
        <w:rPr>
          <w:bCs/>
          <w:szCs w:val="24"/>
          <w:lang w:val="da-DK"/>
        </w:rPr>
      </w:pPr>
    </w:p>
    <w:p w14:paraId="3ACAB736" w14:textId="77777777" w:rsidR="00E4635B" w:rsidRPr="004C40D9" w:rsidRDefault="00E4635B" w:rsidP="00E4635B">
      <w:pPr>
        <w:ind w:left="850"/>
        <w:rPr>
          <w:spacing w:val="-3"/>
          <w:sz w:val="24"/>
          <w:szCs w:val="22"/>
          <w:u w:val="single"/>
        </w:rPr>
      </w:pPr>
      <w:r w:rsidRPr="004C40D9">
        <w:rPr>
          <w:spacing w:val="-3"/>
          <w:sz w:val="24"/>
          <w:szCs w:val="22"/>
          <w:u w:val="single"/>
        </w:rPr>
        <w:t>Mutagenese</w:t>
      </w:r>
    </w:p>
    <w:p w14:paraId="0DE35CF3" w14:textId="77777777" w:rsidR="00E4635B" w:rsidRPr="004C40D9" w:rsidRDefault="00E4635B" w:rsidP="00E4635B">
      <w:pPr>
        <w:ind w:left="850"/>
        <w:rPr>
          <w:sz w:val="24"/>
        </w:rPr>
      </w:pPr>
      <w:r w:rsidRPr="004C40D9">
        <w:rPr>
          <w:sz w:val="24"/>
        </w:rPr>
        <w:t xml:space="preserve">Fluconazol, med eller uden metabolisk aktivering, viste negative mutagenicitetstest i 4 stammer af </w:t>
      </w:r>
      <w:r w:rsidRPr="004C40D9">
        <w:rPr>
          <w:i/>
          <w:sz w:val="24"/>
        </w:rPr>
        <w:t>S. typhimurium</w:t>
      </w:r>
      <w:r w:rsidRPr="004C40D9">
        <w:rPr>
          <w:sz w:val="24"/>
        </w:rPr>
        <w:t>, og i lymphoma L5178Y-systemet hos mus.</w:t>
      </w:r>
    </w:p>
    <w:p w14:paraId="667190F2" w14:textId="77777777" w:rsidR="00E4635B" w:rsidRPr="004C40D9" w:rsidRDefault="00E4635B" w:rsidP="00E4635B">
      <w:pPr>
        <w:ind w:left="850"/>
        <w:rPr>
          <w:sz w:val="24"/>
        </w:rPr>
      </w:pPr>
      <w:r w:rsidRPr="004C40D9">
        <w:rPr>
          <w:sz w:val="24"/>
        </w:rPr>
        <w:t xml:space="preserve">Cytogene </w:t>
      </w:r>
      <w:r w:rsidRPr="004C40D9">
        <w:rPr>
          <w:i/>
          <w:sz w:val="24"/>
        </w:rPr>
        <w:t>in vivo-</w:t>
      </w:r>
      <w:r w:rsidRPr="004C40D9">
        <w:rPr>
          <w:sz w:val="24"/>
        </w:rPr>
        <w:t xml:space="preserve"> (murine knoglemarvsceller, efter oral indgift af fluconazol) og </w:t>
      </w:r>
      <w:r w:rsidRPr="004C40D9">
        <w:rPr>
          <w:i/>
          <w:sz w:val="24"/>
        </w:rPr>
        <w:t>in vitro</w:t>
      </w:r>
      <w:r w:rsidRPr="004C40D9">
        <w:rPr>
          <w:sz w:val="24"/>
        </w:rPr>
        <w:t xml:space="preserve"> studier (humane lymfocytter eksponeret for fluconazol ved 1000 μg/ml) viste ingen tegn på kromosomale mutationer.</w:t>
      </w:r>
    </w:p>
    <w:p w14:paraId="2DD2765F" w14:textId="77777777" w:rsidR="00E4635B" w:rsidRPr="00133139" w:rsidRDefault="00E4635B" w:rsidP="00E4635B">
      <w:pPr>
        <w:pStyle w:val="Brdtekst3"/>
        <w:ind w:left="851" w:hanging="851"/>
        <w:jc w:val="left"/>
        <w:rPr>
          <w:bCs/>
          <w:szCs w:val="24"/>
          <w:lang w:val="da-DK"/>
        </w:rPr>
      </w:pPr>
    </w:p>
    <w:p w14:paraId="7E13E7E9" w14:textId="77777777" w:rsidR="00E4635B" w:rsidRPr="00133139" w:rsidRDefault="00E4635B" w:rsidP="00E4635B">
      <w:pPr>
        <w:pStyle w:val="Brdtekst3"/>
        <w:ind w:left="851"/>
        <w:jc w:val="left"/>
        <w:rPr>
          <w:bCs/>
          <w:szCs w:val="24"/>
          <w:u w:val="single"/>
          <w:lang w:val="da-DK"/>
        </w:rPr>
      </w:pPr>
      <w:r w:rsidRPr="00133139">
        <w:rPr>
          <w:bCs/>
          <w:szCs w:val="24"/>
          <w:u w:val="single"/>
          <w:lang w:val="da-DK"/>
        </w:rPr>
        <w:lastRenderedPageBreak/>
        <w:t>Reproduktionstoksicitet</w:t>
      </w:r>
    </w:p>
    <w:p w14:paraId="5CB4C7D5" w14:textId="77777777" w:rsidR="00E4635B" w:rsidRPr="00133139" w:rsidRDefault="00E4635B" w:rsidP="00E4635B">
      <w:pPr>
        <w:pStyle w:val="Brdtekst3"/>
        <w:ind w:left="851"/>
        <w:jc w:val="left"/>
        <w:rPr>
          <w:bCs/>
          <w:szCs w:val="24"/>
          <w:lang w:val="da-DK"/>
        </w:rPr>
      </w:pPr>
      <w:r w:rsidRPr="00133139">
        <w:rPr>
          <w:bCs/>
          <w:szCs w:val="24"/>
          <w:lang w:val="da-DK"/>
        </w:rPr>
        <w:t>Fluconazol påvirkede ikke fertiliteten hos han- eller hunrotter behandlet med daglige doser på 5, 10 eller 20 mg/kg oralt eller med parenterale doser på 5, 25 eller 75 mg/kg parenteralt.</w:t>
      </w:r>
    </w:p>
    <w:p w14:paraId="1E632FB1" w14:textId="77777777" w:rsidR="00E4635B" w:rsidRPr="00133139" w:rsidRDefault="00E4635B" w:rsidP="00E4635B">
      <w:pPr>
        <w:pStyle w:val="Brdtekst3"/>
        <w:ind w:left="851"/>
        <w:jc w:val="left"/>
        <w:rPr>
          <w:bCs/>
          <w:szCs w:val="24"/>
          <w:lang w:val="da-DK"/>
        </w:rPr>
      </w:pPr>
      <w:r w:rsidRPr="00133139">
        <w:rPr>
          <w:bCs/>
          <w:szCs w:val="24"/>
          <w:lang w:val="da-DK"/>
        </w:rPr>
        <w:t>Der var ingen føtale virkninger ved 5 eller 10 mg/kg. Der sås stigning i føtale anatomiske varianter (overtallige ribben, dilatation af pelvis renalis) og forsinket ossifikation ved 25 og 50 mg/kg og højere doser. Ved doser mellem 80 og 320 mg/kg steg embryoletaliteten hos rotter. De føtale misdannelser indbefattede bølgeformede ribben, ganespalte og abnorm kranio-facial-ossifikation. Fødslens indtræden var let forsinket efter 20 mg/kg oralt, og dystoci og forlænget fødsel sås hos nogle få moderdyr efter 20 og 40 mg/kg intravenøst. Fødselsforstyrrelserne afspejledes i en let stigning i antallet af dødfødte unger og nedsat neonatal overlevelse ved disse dosisniveauer. Disse virkninger på fødslen er i overensstemmelse med den artsspecifikke østrogensænkende egenskab, der forekommer efter høje doser fluconazol. Sådanne hormonforandringer er ikke observeret hos kvinder behandlet med fluconazol (se pkt. 5.1).</w:t>
      </w:r>
    </w:p>
    <w:p w14:paraId="5E294FB2" w14:textId="77777777" w:rsidR="00E4635B" w:rsidRPr="00133139" w:rsidRDefault="00E4635B" w:rsidP="00E4635B">
      <w:pPr>
        <w:ind w:left="851" w:hanging="851"/>
        <w:rPr>
          <w:sz w:val="24"/>
          <w:szCs w:val="24"/>
        </w:rPr>
      </w:pPr>
    </w:p>
    <w:p w14:paraId="71E35AEB" w14:textId="77777777" w:rsidR="00E4635B" w:rsidRPr="00133139" w:rsidRDefault="00E4635B" w:rsidP="00E4635B">
      <w:pPr>
        <w:ind w:left="851" w:hanging="851"/>
        <w:rPr>
          <w:sz w:val="24"/>
          <w:szCs w:val="24"/>
        </w:rPr>
      </w:pPr>
    </w:p>
    <w:p w14:paraId="3A23E1DB" w14:textId="77777777" w:rsidR="00E4635B" w:rsidRPr="00133139" w:rsidRDefault="00E4635B" w:rsidP="00E4635B">
      <w:pPr>
        <w:numPr>
          <w:ilvl w:val="0"/>
          <w:numId w:val="3"/>
        </w:numPr>
        <w:tabs>
          <w:tab w:val="clear" w:pos="855"/>
        </w:tabs>
        <w:ind w:left="851" w:hanging="851"/>
        <w:rPr>
          <w:b/>
          <w:sz w:val="24"/>
          <w:szCs w:val="24"/>
        </w:rPr>
      </w:pPr>
      <w:r w:rsidRPr="00133139">
        <w:rPr>
          <w:b/>
          <w:sz w:val="24"/>
          <w:szCs w:val="24"/>
        </w:rPr>
        <w:t>FARMACEUTISKE OPLYSNINGER</w:t>
      </w:r>
    </w:p>
    <w:p w14:paraId="0D9C6B66" w14:textId="77777777" w:rsidR="00E4635B" w:rsidRPr="00133139" w:rsidRDefault="00E4635B" w:rsidP="00E4635B">
      <w:pPr>
        <w:ind w:left="851" w:hanging="851"/>
        <w:rPr>
          <w:b/>
          <w:sz w:val="24"/>
          <w:szCs w:val="24"/>
        </w:rPr>
      </w:pPr>
    </w:p>
    <w:p w14:paraId="44D0DD8E" w14:textId="77777777" w:rsidR="00E4635B" w:rsidRPr="00133139" w:rsidRDefault="00E4635B" w:rsidP="00E4635B">
      <w:pPr>
        <w:numPr>
          <w:ilvl w:val="1"/>
          <w:numId w:val="5"/>
        </w:numPr>
        <w:tabs>
          <w:tab w:val="clear" w:pos="855"/>
        </w:tabs>
        <w:ind w:left="851" w:hanging="851"/>
        <w:rPr>
          <w:b/>
          <w:sz w:val="24"/>
          <w:szCs w:val="24"/>
        </w:rPr>
      </w:pPr>
      <w:r w:rsidRPr="00133139">
        <w:rPr>
          <w:b/>
          <w:sz w:val="24"/>
          <w:szCs w:val="24"/>
        </w:rPr>
        <w:t>Hjælpestoffer</w:t>
      </w:r>
    </w:p>
    <w:p w14:paraId="1BD05E97" w14:textId="77777777" w:rsidR="00E4635B" w:rsidRPr="00133139" w:rsidRDefault="00E4635B" w:rsidP="00E4635B">
      <w:pPr>
        <w:pStyle w:val="Brdtekst3"/>
        <w:ind w:left="851"/>
        <w:jc w:val="left"/>
        <w:rPr>
          <w:bCs/>
          <w:i/>
          <w:szCs w:val="24"/>
          <w:lang w:val="da-DK"/>
        </w:rPr>
      </w:pPr>
      <w:r w:rsidRPr="00133139">
        <w:rPr>
          <w:bCs/>
          <w:i/>
          <w:szCs w:val="24"/>
          <w:lang w:val="da-DK"/>
        </w:rPr>
        <w:t>Kapselindhold:</w:t>
      </w:r>
    </w:p>
    <w:p w14:paraId="23C97DB4" w14:textId="77777777" w:rsidR="00E4635B" w:rsidRPr="00133139" w:rsidRDefault="00E4635B" w:rsidP="00E4635B">
      <w:pPr>
        <w:pStyle w:val="Brdtekst3"/>
        <w:ind w:left="851"/>
        <w:jc w:val="left"/>
        <w:rPr>
          <w:bCs/>
          <w:szCs w:val="24"/>
          <w:lang w:val="da-DK"/>
        </w:rPr>
      </w:pPr>
      <w:r w:rsidRPr="00133139">
        <w:rPr>
          <w:bCs/>
          <w:szCs w:val="24"/>
          <w:lang w:val="da-DK"/>
        </w:rPr>
        <w:t>Lactosemonohydrat</w:t>
      </w:r>
    </w:p>
    <w:p w14:paraId="03E83ABC" w14:textId="77777777" w:rsidR="00E4635B" w:rsidRPr="00133139" w:rsidRDefault="00E4635B" w:rsidP="00E4635B">
      <w:pPr>
        <w:pStyle w:val="Brdtekst3"/>
        <w:ind w:left="851"/>
        <w:jc w:val="left"/>
        <w:rPr>
          <w:bCs/>
          <w:szCs w:val="24"/>
          <w:lang w:val="da-DK"/>
        </w:rPr>
      </w:pPr>
      <w:r w:rsidRPr="00133139">
        <w:rPr>
          <w:bCs/>
          <w:szCs w:val="24"/>
          <w:lang w:val="da-DK"/>
        </w:rPr>
        <w:t>Majsstivelse</w:t>
      </w:r>
    </w:p>
    <w:p w14:paraId="7F21F7B0" w14:textId="77777777" w:rsidR="00E4635B" w:rsidRPr="00133139" w:rsidRDefault="00E4635B" w:rsidP="00E4635B">
      <w:pPr>
        <w:pStyle w:val="Brdtekst3"/>
        <w:ind w:left="851"/>
        <w:jc w:val="left"/>
        <w:rPr>
          <w:bCs/>
          <w:szCs w:val="24"/>
          <w:lang w:val="da-DK"/>
        </w:rPr>
      </w:pPr>
      <w:r w:rsidRPr="00133139">
        <w:rPr>
          <w:bCs/>
          <w:szCs w:val="24"/>
          <w:lang w:val="da-DK"/>
        </w:rPr>
        <w:t xml:space="preserve">Natriumlaurilsulfat </w:t>
      </w:r>
    </w:p>
    <w:p w14:paraId="55282062" w14:textId="77777777" w:rsidR="00E4635B" w:rsidRPr="00133139" w:rsidRDefault="00E4635B" w:rsidP="00E4635B">
      <w:pPr>
        <w:pStyle w:val="Brdtekst3"/>
        <w:ind w:left="851"/>
        <w:jc w:val="left"/>
        <w:rPr>
          <w:bCs/>
          <w:szCs w:val="24"/>
          <w:lang w:val="da-DK"/>
        </w:rPr>
      </w:pPr>
      <w:r w:rsidRPr="00133139">
        <w:rPr>
          <w:bCs/>
          <w:szCs w:val="24"/>
          <w:lang w:val="da-DK"/>
        </w:rPr>
        <w:t>Magnesiumstearat (E470b)</w:t>
      </w:r>
    </w:p>
    <w:p w14:paraId="7F6F3CC5" w14:textId="77777777" w:rsidR="00E4635B" w:rsidRPr="00133139" w:rsidRDefault="00E4635B" w:rsidP="00E4635B">
      <w:pPr>
        <w:pStyle w:val="Brdtekst3"/>
        <w:ind w:left="851"/>
        <w:jc w:val="left"/>
        <w:rPr>
          <w:bCs/>
          <w:szCs w:val="24"/>
          <w:lang w:val="da-DK"/>
        </w:rPr>
      </w:pPr>
      <w:r w:rsidRPr="00133139">
        <w:rPr>
          <w:bCs/>
          <w:szCs w:val="24"/>
          <w:lang w:val="da-DK"/>
        </w:rPr>
        <w:t>Silica, kolloid vandfri</w:t>
      </w:r>
    </w:p>
    <w:p w14:paraId="697B445B" w14:textId="77777777" w:rsidR="00E4635B" w:rsidRPr="00133139" w:rsidRDefault="00E4635B" w:rsidP="00E4635B">
      <w:pPr>
        <w:pStyle w:val="Brdtekst3"/>
        <w:ind w:left="851"/>
        <w:jc w:val="left"/>
        <w:rPr>
          <w:bCs/>
          <w:szCs w:val="24"/>
          <w:lang w:val="da-DK"/>
        </w:rPr>
      </w:pPr>
    </w:p>
    <w:p w14:paraId="38FA3B63" w14:textId="77777777" w:rsidR="00E4635B" w:rsidRPr="00133139" w:rsidRDefault="00E4635B" w:rsidP="00E4635B">
      <w:pPr>
        <w:pStyle w:val="Brdtekst3"/>
        <w:ind w:left="851"/>
        <w:jc w:val="left"/>
        <w:rPr>
          <w:bCs/>
          <w:i/>
          <w:szCs w:val="24"/>
          <w:lang w:val="da-DK"/>
        </w:rPr>
      </w:pPr>
      <w:r w:rsidRPr="00133139">
        <w:rPr>
          <w:bCs/>
          <w:i/>
          <w:szCs w:val="24"/>
          <w:lang w:val="da-DK"/>
        </w:rPr>
        <w:t>Kapselskal:</w:t>
      </w:r>
    </w:p>
    <w:p w14:paraId="12022956" w14:textId="77777777" w:rsidR="00E4635B" w:rsidRPr="00133139" w:rsidRDefault="00E4635B" w:rsidP="00E4635B">
      <w:pPr>
        <w:pStyle w:val="Brdtekst3"/>
        <w:ind w:left="851"/>
        <w:jc w:val="left"/>
        <w:rPr>
          <w:bCs/>
          <w:szCs w:val="24"/>
          <w:lang w:val="da-DK"/>
        </w:rPr>
      </w:pPr>
      <w:r w:rsidRPr="00133139">
        <w:rPr>
          <w:bCs/>
          <w:szCs w:val="24"/>
          <w:lang w:val="da-DK"/>
        </w:rPr>
        <w:t>Gelatine</w:t>
      </w:r>
    </w:p>
    <w:p w14:paraId="77F88E26" w14:textId="77777777" w:rsidR="00E4635B" w:rsidRPr="00133139" w:rsidRDefault="00E4635B" w:rsidP="00E4635B">
      <w:pPr>
        <w:pStyle w:val="Brdtekst3"/>
        <w:ind w:left="851"/>
        <w:jc w:val="left"/>
        <w:rPr>
          <w:bCs/>
          <w:szCs w:val="24"/>
          <w:lang w:val="da-DK"/>
        </w:rPr>
      </w:pPr>
      <w:r w:rsidRPr="00133139">
        <w:rPr>
          <w:bCs/>
          <w:szCs w:val="24"/>
          <w:lang w:val="da-DK"/>
        </w:rPr>
        <w:t>Titandioxid (E171)</w:t>
      </w:r>
    </w:p>
    <w:p w14:paraId="157233B4" w14:textId="77777777" w:rsidR="00E4635B" w:rsidRPr="00133139" w:rsidRDefault="00E4635B" w:rsidP="00E4635B">
      <w:pPr>
        <w:ind w:left="851" w:hanging="851"/>
        <w:rPr>
          <w:sz w:val="24"/>
          <w:szCs w:val="24"/>
        </w:rPr>
      </w:pPr>
    </w:p>
    <w:p w14:paraId="59364972" w14:textId="77777777" w:rsidR="00E4635B" w:rsidRPr="00133139" w:rsidRDefault="00E4635B" w:rsidP="00E4635B">
      <w:pPr>
        <w:numPr>
          <w:ilvl w:val="1"/>
          <w:numId w:val="5"/>
        </w:numPr>
        <w:tabs>
          <w:tab w:val="clear" w:pos="855"/>
        </w:tabs>
        <w:ind w:left="851" w:hanging="851"/>
        <w:rPr>
          <w:b/>
          <w:sz w:val="24"/>
          <w:szCs w:val="24"/>
        </w:rPr>
      </w:pPr>
      <w:r w:rsidRPr="00133139">
        <w:rPr>
          <w:b/>
          <w:sz w:val="24"/>
          <w:szCs w:val="24"/>
        </w:rPr>
        <w:t>Uforligeligheder</w:t>
      </w:r>
    </w:p>
    <w:p w14:paraId="12AC7814" w14:textId="77777777" w:rsidR="00E4635B" w:rsidRPr="00133139" w:rsidRDefault="00E4635B" w:rsidP="00E4635B">
      <w:pPr>
        <w:pStyle w:val="Brdtekst3"/>
        <w:ind w:left="851"/>
        <w:jc w:val="left"/>
        <w:rPr>
          <w:bCs/>
          <w:szCs w:val="24"/>
          <w:lang w:val="da-DK"/>
        </w:rPr>
      </w:pPr>
      <w:r w:rsidRPr="00133139">
        <w:rPr>
          <w:bCs/>
          <w:szCs w:val="24"/>
          <w:lang w:val="da-DK"/>
        </w:rPr>
        <w:t>Ikke relevant.</w:t>
      </w:r>
    </w:p>
    <w:p w14:paraId="7D874CB0" w14:textId="77777777" w:rsidR="00E4635B" w:rsidRDefault="00E4635B" w:rsidP="00E4635B">
      <w:pPr>
        <w:ind w:left="851" w:hanging="851"/>
        <w:rPr>
          <w:sz w:val="24"/>
          <w:szCs w:val="24"/>
        </w:rPr>
      </w:pPr>
    </w:p>
    <w:p w14:paraId="74254335" w14:textId="77777777" w:rsidR="00E4635B" w:rsidRPr="00133139" w:rsidRDefault="00E4635B" w:rsidP="00E4635B">
      <w:pPr>
        <w:numPr>
          <w:ilvl w:val="1"/>
          <w:numId w:val="5"/>
        </w:numPr>
        <w:tabs>
          <w:tab w:val="clear" w:pos="855"/>
        </w:tabs>
        <w:ind w:left="851" w:hanging="851"/>
        <w:rPr>
          <w:b/>
          <w:sz w:val="24"/>
          <w:szCs w:val="24"/>
        </w:rPr>
      </w:pPr>
      <w:r w:rsidRPr="00133139">
        <w:rPr>
          <w:b/>
          <w:sz w:val="24"/>
          <w:szCs w:val="24"/>
        </w:rPr>
        <w:t>Opbevaringstid</w:t>
      </w:r>
    </w:p>
    <w:p w14:paraId="54904695" w14:textId="77777777" w:rsidR="00E4635B" w:rsidRPr="00133139" w:rsidRDefault="00E4635B" w:rsidP="00E4635B">
      <w:pPr>
        <w:pStyle w:val="Brdtekst3"/>
        <w:ind w:left="851" w:hanging="851"/>
        <w:jc w:val="left"/>
        <w:rPr>
          <w:bCs/>
          <w:szCs w:val="24"/>
          <w:lang w:val="da-DK"/>
        </w:rPr>
      </w:pPr>
      <w:r w:rsidRPr="00133139">
        <w:rPr>
          <w:szCs w:val="24"/>
        </w:rPr>
        <w:tab/>
      </w:r>
      <w:r w:rsidRPr="00133139">
        <w:rPr>
          <w:bCs/>
          <w:szCs w:val="24"/>
          <w:lang w:val="da-DK"/>
        </w:rPr>
        <w:t>2 år</w:t>
      </w:r>
      <w:r>
        <w:rPr>
          <w:bCs/>
          <w:szCs w:val="24"/>
          <w:lang w:val="da-DK"/>
        </w:rPr>
        <w:t>.</w:t>
      </w:r>
    </w:p>
    <w:p w14:paraId="3DF0A58F" w14:textId="77777777" w:rsidR="00996A1D" w:rsidRPr="00133139" w:rsidRDefault="00996A1D" w:rsidP="00E4635B">
      <w:pPr>
        <w:ind w:left="851" w:hanging="851"/>
        <w:rPr>
          <w:sz w:val="24"/>
          <w:szCs w:val="24"/>
        </w:rPr>
      </w:pPr>
    </w:p>
    <w:p w14:paraId="540C3A36" w14:textId="77777777" w:rsidR="00E4635B" w:rsidRPr="00133139" w:rsidRDefault="00E4635B" w:rsidP="00E4635B">
      <w:pPr>
        <w:numPr>
          <w:ilvl w:val="1"/>
          <w:numId w:val="5"/>
        </w:numPr>
        <w:tabs>
          <w:tab w:val="clear" w:pos="855"/>
        </w:tabs>
        <w:ind w:left="851" w:hanging="851"/>
        <w:rPr>
          <w:b/>
          <w:sz w:val="24"/>
          <w:szCs w:val="24"/>
        </w:rPr>
      </w:pPr>
      <w:r w:rsidRPr="00133139">
        <w:rPr>
          <w:b/>
          <w:sz w:val="24"/>
          <w:szCs w:val="24"/>
        </w:rPr>
        <w:t>Særlige opbevaringsforhold</w:t>
      </w:r>
    </w:p>
    <w:p w14:paraId="74220C98" w14:textId="77777777" w:rsidR="00E4635B" w:rsidRPr="00133139" w:rsidRDefault="00E4635B" w:rsidP="00E4635B">
      <w:pPr>
        <w:pStyle w:val="Brdtekst3"/>
        <w:ind w:left="851" w:hanging="851"/>
        <w:jc w:val="left"/>
        <w:rPr>
          <w:szCs w:val="24"/>
          <w:lang w:val="da-DK"/>
        </w:rPr>
      </w:pPr>
      <w:r w:rsidRPr="00133139">
        <w:rPr>
          <w:szCs w:val="24"/>
          <w:lang w:val="da-DK"/>
        </w:rPr>
        <w:tab/>
        <w:t>Opbevares ved temperaturer under 30 °C. Opbevares i den originale yderpakning for at beskytte mod fugt.</w:t>
      </w:r>
    </w:p>
    <w:p w14:paraId="594A2166" w14:textId="77777777" w:rsidR="00E4635B" w:rsidRPr="00133139" w:rsidRDefault="00E4635B" w:rsidP="00E4635B">
      <w:pPr>
        <w:ind w:left="851" w:hanging="851"/>
        <w:rPr>
          <w:sz w:val="24"/>
          <w:szCs w:val="24"/>
        </w:rPr>
      </w:pPr>
    </w:p>
    <w:p w14:paraId="0BF01B67" w14:textId="77777777" w:rsidR="00E4635B" w:rsidRPr="00133139" w:rsidRDefault="00E4635B" w:rsidP="00E4635B">
      <w:pPr>
        <w:numPr>
          <w:ilvl w:val="1"/>
          <w:numId w:val="5"/>
        </w:numPr>
        <w:tabs>
          <w:tab w:val="clear" w:pos="855"/>
        </w:tabs>
        <w:ind w:left="851" w:hanging="851"/>
        <w:rPr>
          <w:b/>
          <w:sz w:val="24"/>
          <w:szCs w:val="24"/>
        </w:rPr>
      </w:pPr>
      <w:r w:rsidRPr="00133139">
        <w:rPr>
          <w:b/>
          <w:sz w:val="24"/>
          <w:szCs w:val="24"/>
        </w:rPr>
        <w:t>Emballagetype og pakningsstørrelser</w:t>
      </w:r>
    </w:p>
    <w:p w14:paraId="7560F30A" w14:textId="5CF1C9A2" w:rsidR="00E4635B" w:rsidRPr="00133139" w:rsidRDefault="00AE60ED" w:rsidP="00AE60ED">
      <w:pPr>
        <w:pStyle w:val="Brdtekst3"/>
        <w:ind w:left="851"/>
        <w:jc w:val="left"/>
        <w:rPr>
          <w:bCs/>
          <w:szCs w:val="24"/>
          <w:lang w:val="da-DK"/>
        </w:rPr>
      </w:pPr>
      <w:r>
        <w:rPr>
          <w:bCs/>
          <w:noProof/>
          <w:szCs w:val="24"/>
          <w:lang w:val="da-DK"/>
        </w:rPr>
        <w:t>Blister.</w:t>
      </w:r>
    </w:p>
    <w:p w14:paraId="2358C244" w14:textId="77777777" w:rsidR="00E4635B" w:rsidRPr="00133139" w:rsidRDefault="00E4635B" w:rsidP="00E4635B">
      <w:pPr>
        <w:ind w:left="851" w:hanging="851"/>
        <w:rPr>
          <w:sz w:val="24"/>
          <w:szCs w:val="24"/>
        </w:rPr>
      </w:pPr>
    </w:p>
    <w:p w14:paraId="1F217975" w14:textId="77777777" w:rsidR="00E4635B" w:rsidRPr="00133139" w:rsidRDefault="00E4635B" w:rsidP="00E4635B">
      <w:pPr>
        <w:numPr>
          <w:ilvl w:val="1"/>
          <w:numId w:val="5"/>
        </w:numPr>
        <w:tabs>
          <w:tab w:val="clear" w:pos="855"/>
        </w:tabs>
        <w:ind w:left="851" w:hanging="851"/>
        <w:rPr>
          <w:b/>
          <w:sz w:val="24"/>
          <w:szCs w:val="24"/>
        </w:rPr>
      </w:pPr>
      <w:r w:rsidRPr="00133139">
        <w:rPr>
          <w:b/>
          <w:sz w:val="24"/>
          <w:szCs w:val="24"/>
        </w:rPr>
        <w:t xml:space="preserve">Regler for </w:t>
      </w:r>
      <w:r w:rsidR="005F340D">
        <w:rPr>
          <w:b/>
          <w:sz w:val="24"/>
          <w:szCs w:val="24"/>
        </w:rPr>
        <w:t>bortskaffelse</w:t>
      </w:r>
      <w:r w:rsidRPr="00133139">
        <w:rPr>
          <w:b/>
          <w:sz w:val="24"/>
          <w:szCs w:val="24"/>
        </w:rPr>
        <w:t xml:space="preserve"> og anden håndtering</w:t>
      </w:r>
    </w:p>
    <w:p w14:paraId="623D2D4E" w14:textId="77777777" w:rsidR="00E4635B" w:rsidRPr="00133139" w:rsidRDefault="00E4635B" w:rsidP="00E4635B">
      <w:pPr>
        <w:pStyle w:val="Brdtekst3"/>
        <w:ind w:left="851" w:hanging="851"/>
        <w:jc w:val="left"/>
        <w:rPr>
          <w:bCs/>
          <w:szCs w:val="24"/>
          <w:lang w:val="da-DK"/>
        </w:rPr>
      </w:pPr>
      <w:r w:rsidRPr="005C7DDF">
        <w:rPr>
          <w:szCs w:val="24"/>
          <w:lang w:val="da-DK"/>
        </w:rPr>
        <w:tab/>
      </w:r>
      <w:r w:rsidRPr="00133139">
        <w:rPr>
          <w:bCs/>
          <w:szCs w:val="24"/>
          <w:lang w:val="da-DK"/>
        </w:rPr>
        <w:t>Ikke anvendt lægemiddel samt affald heraf skal bortskaffes i henhold til lokale retningslinjer.</w:t>
      </w:r>
    </w:p>
    <w:p w14:paraId="60000531" w14:textId="77777777" w:rsidR="00E4635B" w:rsidRDefault="00E4635B" w:rsidP="00E4635B">
      <w:pPr>
        <w:ind w:left="851" w:hanging="851"/>
        <w:rPr>
          <w:sz w:val="24"/>
          <w:szCs w:val="24"/>
        </w:rPr>
      </w:pPr>
    </w:p>
    <w:p w14:paraId="706B5D42" w14:textId="77777777" w:rsidR="00AE60ED" w:rsidRDefault="00AE60ED" w:rsidP="00E4635B">
      <w:pPr>
        <w:ind w:left="851" w:hanging="851"/>
        <w:rPr>
          <w:sz w:val="24"/>
          <w:szCs w:val="24"/>
        </w:rPr>
      </w:pPr>
    </w:p>
    <w:p w14:paraId="415A24AB" w14:textId="77777777" w:rsidR="00AE60ED" w:rsidRDefault="00AE60ED" w:rsidP="00E4635B">
      <w:pPr>
        <w:ind w:left="851" w:hanging="851"/>
        <w:rPr>
          <w:sz w:val="24"/>
          <w:szCs w:val="24"/>
        </w:rPr>
      </w:pPr>
    </w:p>
    <w:p w14:paraId="65429622" w14:textId="77777777" w:rsidR="00AE60ED" w:rsidRPr="00133139" w:rsidRDefault="00AE60ED" w:rsidP="00E4635B">
      <w:pPr>
        <w:ind w:left="851" w:hanging="851"/>
        <w:rPr>
          <w:sz w:val="24"/>
          <w:szCs w:val="24"/>
        </w:rPr>
      </w:pPr>
    </w:p>
    <w:p w14:paraId="7BD40C4D" w14:textId="77777777" w:rsidR="00E4635B" w:rsidRPr="00133139" w:rsidRDefault="00E4635B" w:rsidP="00E4635B">
      <w:pPr>
        <w:ind w:left="851" w:hanging="851"/>
        <w:rPr>
          <w:b/>
          <w:sz w:val="24"/>
          <w:szCs w:val="24"/>
        </w:rPr>
      </w:pPr>
      <w:r w:rsidRPr="00133139">
        <w:rPr>
          <w:b/>
          <w:sz w:val="24"/>
          <w:szCs w:val="24"/>
        </w:rPr>
        <w:lastRenderedPageBreak/>
        <w:t>7.</w:t>
      </w:r>
      <w:r w:rsidRPr="00133139">
        <w:rPr>
          <w:b/>
          <w:sz w:val="24"/>
          <w:szCs w:val="24"/>
        </w:rPr>
        <w:tab/>
        <w:t>INDEHAVER AF MARKEDSFØRINGSTILLADELSEN</w:t>
      </w:r>
    </w:p>
    <w:p w14:paraId="0B1F1BF9" w14:textId="51BF5A53" w:rsidR="00AE60ED" w:rsidRPr="00675993" w:rsidRDefault="00AE60ED" w:rsidP="00AE60ED">
      <w:pPr>
        <w:ind w:firstLine="851"/>
        <w:rPr>
          <w:sz w:val="24"/>
          <w:szCs w:val="24"/>
        </w:rPr>
      </w:pPr>
      <w:bookmarkStart w:id="0" w:name="Modtager"/>
      <w:bookmarkEnd w:id="0"/>
      <w:r w:rsidRPr="00675993">
        <w:rPr>
          <w:sz w:val="24"/>
          <w:szCs w:val="24"/>
        </w:rPr>
        <w:t>Abacus Medicine A/S</w:t>
      </w:r>
    </w:p>
    <w:p w14:paraId="4380C42C" w14:textId="77777777" w:rsidR="00AE60ED" w:rsidRPr="001632C7" w:rsidRDefault="00AE60ED" w:rsidP="00AE60ED">
      <w:pPr>
        <w:ind w:left="851"/>
        <w:rPr>
          <w:sz w:val="24"/>
          <w:szCs w:val="24"/>
        </w:rPr>
      </w:pPr>
      <w:r w:rsidRPr="00492357">
        <w:rPr>
          <w:sz w:val="24"/>
          <w:szCs w:val="24"/>
        </w:rPr>
        <w:t>Kalvebod</w:t>
      </w:r>
      <w:r>
        <w:rPr>
          <w:sz w:val="24"/>
          <w:szCs w:val="24"/>
        </w:rPr>
        <w:t xml:space="preserve"> </w:t>
      </w:r>
      <w:r w:rsidRPr="00492357">
        <w:rPr>
          <w:sz w:val="24"/>
          <w:szCs w:val="24"/>
        </w:rPr>
        <w:t xml:space="preserve">Brygge 35 </w:t>
      </w:r>
      <w:r>
        <w:rPr>
          <w:sz w:val="24"/>
          <w:szCs w:val="24"/>
        </w:rPr>
        <w:br/>
      </w:r>
      <w:r w:rsidRPr="00492357">
        <w:rPr>
          <w:sz w:val="24"/>
          <w:szCs w:val="24"/>
        </w:rPr>
        <w:t>1560</w:t>
      </w:r>
      <w:r>
        <w:rPr>
          <w:sz w:val="24"/>
          <w:szCs w:val="24"/>
        </w:rPr>
        <w:t xml:space="preserve"> </w:t>
      </w:r>
      <w:r w:rsidRPr="00492357">
        <w:rPr>
          <w:sz w:val="24"/>
          <w:szCs w:val="24"/>
        </w:rPr>
        <w:t>København V</w:t>
      </w:r>
      <w:r>
        <w:rPr>
          <w:sz w:val="24"/>
          <w:szCs w:val="24"/>
        </w:rPr>
        <w:br/>
      </w:r>
      <w:r w:rsidRPr="00492357">
        <w:rPr>
          <w:sz w:val="24"/>
          <w:szCs w:val="24"/>
        </w:rPr>
        <w:t>Danmark</w:t>
      </w:r>
    </w:p>
    <w:p w14:paraId="20DEDDF8" w14:textId="20D62111" w:rsidR="00E4635B" w:rsidRPr="003E4888" w:rsidRDefault="00E4635B" w:rsidP="00AE60ED">
      <w:pPr>
        <w:ind w:left="851" w:right="29" w:hanging="851"/>
        <w:jc w:val="both"/>
        <w:rPr>
          <w:sz w:val="24"/>
          <w:szCs w:val="24"/>
        </w:rPr>
      </w:pPr>
    </w:p>
    <w:p w14:paraId="20F6358F" w14:textId="77777777" w:rsidR="00E4635B" w:rsidRPr="00133139" w:rsidRDefault="00E4635B" w:rsidP="00E4635B">
      <w:pPr>
        <w:ind w:left="851" w:hanging="851"/>
        <w:rPr>
          <w:b/>
          <w:sz w:val="24"/>
          <w:szCs w:val="24"/>
        </w:rPr>
      </w:pPr>
      <w:r w:rsidRPr="00133139">
        <w:rPr>
          <w:b/>
          <w:sz w:val="24"/>
          <w:szCs w:val="24"/>
        </w:rPr>
        <w:t>8.</w:t>
      </w:r>
      <w:r w:rsidRPr="00133139">
        <w:rPr>
          <w:b/>
          <w:sz w:val="24"/>
          <w:szCs w:val="24"/>
        </w:rPr>
        <w:tab/>
        <w:t>MARKEDSFØRINGSTILLADELSESNUMMER (</w:t>
      </w:r>
      <w:r w:rsidR="005F340D">
        <w:rPr>
          <w:b/>
          <w:sz w:val="24"/>
          <w:szCs w:val="24"/>
        </w:rPr>
        <w:t>-</w:t>
      </w:r>
      <w:r w:rsidRPr="00133139">
        <w:rPr>
          <w:b/>
          <w:sz w:val="24"/>
          <w:szCs w:val="24"/>
        </w:rPr>
        <w:t>NUMRE)</w:t>
      </w:r>
    </w:p>
    <w:p w14:paraId="7F12B500" w14:textId="58A66C84" w:rsidR="00E4635B" w:rsidRPr="00133139" w:rsidRDefault="00E4635B" w:rsidP="00AE60ED">
      <w:pPr>
        <w:pStyle w:val="Brdtekst3"/>
        <w:ind w:left="851" w:hanging="851"/>
        <w:jc w:val="left"/>
        <w:rPr>
          <w:bCs/>
          <w:szCs w:val="24"/>
          <w:lang w:val="da-DK"/>
        </w:rPr>
      </w:pPr>
      <w:r w:rsidRPr="00133139">
        <w:rPr>
          <w:szCs w:val="24"/>
          <w:lang w:val="da-DK"/>
        </w:rPr>
        <w:tab/>
      </w:r>
      <w:r w:rsidR="00AE60ED" w:rsidRPr="00AE60ED">
        <w:rPr>
          <w:bCs/>
          <w:szCs w:val="24"/>
          <w:lang w:val="da-DK"/>
        </w:rPr>
        <w:t>76340</w:t>
      </w:r>
    </w:p>
    <w:p w14:paraId="0BB6CBB2" w14:textId="77777777" w:rsidR="00E4635B" w:rsidRPr="00133139" w:rsidRDefault="00E4635B" w:rsidP="00E4635B">
      <w:pPr>
        <w:ind w:left="851" w:hanging="851"/>
        <w:rPr>
          <w:sz w:val="24"/>
          <w:szCs w:val="24"/>
        </w:rPr>
      </w:pPr>
    </w:p>
    <w:p w14:paraId="7EB12787" w14:textId="77777777" w:rsidR="00E4635B" w:rsidRPr="00133139" w:rsidRDefault="00E4635B" w:rsidP="00E4635B">
      <w:pPr>
        <w:ind w:left="851" w:hanging="851"/>
        <w:rPr>
          <w:b/>
          <w:sz w:val="24"/>
          <w:szCs w:val="24"/>
        </w:rPr>
      </w:pPr>
      <w:r w:rsidRPr="00133139">
        <w:rPr>
          <w:b/>
          <w:sz w:val="24"/>
          <w:szCs w:val="24"/>
        </w:rPr>
        <w:t>9.</w:t>
      </w:r>
      <w:r w:rsidRPr="00133139">
        <w:rPr>
          <w:b/>
          <w:sz w:val="24"/>
          <w:szCs w:val="24"/>
        </w:rPr>
        <w:tab/>
        <w:t>DATO FOR FØRSTE MARKEDSFØRINGSTILLADELSE</w:t>
      </w:r>
    </w:p>
    <w:p w14:paraId="6D466B43" w14:textId="4989C7B1" w:rsidR="00E4635B" w:rsidRPr="00133139" w:rsidRDefault="00E4635B" w:rsidP="00E4635B">
      <w:pPr>
        <w:ind w:left="851" w:hanging="851"/>
        <w:rPr>
          <w:sz w:val="24"/>
          <w:szCs w:val="24"/>
        </w:rPr>
      </w:pPr>
      <w:r w:rsidRPr="00133139">
        <w:rPr>
          <w:sz w:val="24"/>
          <w:szCs w:val="24"/>
        </w:rPr>
        <w:tab/>
      </w:r>
      <w:r w:rsidR="00675993">
        <w:rPr>
          <w:sz w:val="24"/>
          <w:szCs w:val="24"/>
        </w:rPr>
        <w:t>31</w:t>
      </w:r>
      <w:r w:rsidR="00AE60ED">
        <w:rPr>
          <w:sz w:val="24"/>
          <w:szCs w:val="24"/>
        </w:rPr>
        <w:t>. juli 2026</w:t>
      </w:r>
    </w:p>
    <w:p w14:paraId="418DE80B" w14:textId="77777777" w:rsidR="00E4635B" w:rsidRPr="00133139" w:rsidRDefault="00E4635B" w:rsidP="00E4635B">
      <w:pPr>
        <w:ind w:left="851" w:hanging="851"/>
        <w:rPr>
          <w:sz w:val="24"/>
          <w:szCs w:val="24"/>
        </w:rPr>
      </w:pPr>
    </w:p>
    <w:p w14:paraId="7C0BCDD3" w14:textId="77777777" w:rsidR="00E4635B" w:rsidRPr="00133139" w:rsidRDefault="00E4635B" w:rsidP="00E4635B">
      <w:pPr>
        <w:ind w:left="851" w:hanging="851"/>
        <w:rPr>
          <w:b/>
          <w:sz w:val="24"/>
          <w:szCs w:val="24"/>
        </w:rPr>
      </w:pPr>
      <w:r w:rsidRPr="00133139">
        <w:rPr>
          <w:b/>
          <w:sz w:val="24"/>
          <w:szCs w:val="24"/>
        </w:rPr>
        <w:t>10.</w:t>
      </w:r>
      <w:r w:rsidRPr="00133139">
        <w:rPr>
          <w:b/>
          <w:sz w:val="24"/>
          <w:szCs w:val="24"/>
        </w:rPr>
        <w:tab/>
        <w:t>DATO FOR ÆNDRING AF TEKSTEN</w:t>
      </w:r>
    </w:p>
    <w:p w14:paraId="6BE42411" w14:textId="77F8874C" w:rsidR="009260DE" w:rsidRPr="00E4635B" w:rsidRDefault="00E4635B" w:rsidP="005F340D">
      <w:pPr>
        <w:ind w:left="851" w:hanging="851"/>
      </w:pPr>
      <w:r w:rsidRPr="00B03994">
        <w:rPr>
          <w:sz w:val="24"/>
          <w:szCs w:val="24"/>
        </w:rPr>
        <w:tab/>
      </w:r>
      <w:r w:rsidR="00AE60ED">
        <w:rPr>
          <w:sz w:val="24"/>
          <w:szCs w:val="24"/>
        </w:rPr>
        <w:t>-</w:t>
      </w:r>
    </w:p>
    <w:sectPr w:rsidR="009260DE" w:rsidRPr="00E4635B" w:rsidSect="00AE60ED">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BF834" w14:textId="77777777" w:rsidR="00650439" w:rsidRDefault="00650439">
      <w:r>
        <w:separator/>
      </w:r>
    </w:p>
  </w:endnote>
  <w:endnote w:type="continuationSeparator" w:id="0">
    <w:p w14:paraId="2CA41F69" w14:textId="77777777" w:rsidR="00650439" w:rsidRDefault="00650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A7A9" w14:textId="77777777" w:rsidR="00F33816" w:rsidRDefault="00F33816">
    <w:pPr>
      <w:pStyle w:val="Sidefod"/>
      <w:pBdr>
        <w:bottom w:val="single" w:sz="6" w:space="1" w:color="auto"/>
      </w:pBdr>
    </w:pPr>
  </w:p>
  <w:p w14:paraId="3745C008" w14:textId="77777777" w:rsidR="00F33816" w:rsidRDefault="00F33816" w:rsidP="00C42586">
    <w:pPr>
      <w:pStyle w:val="Sidefod"/>
      <w:tabs>
        <w:tab w:val="clear" w:pos="4819"/>
        <w:tab w:val="left" w:pos="8505"/>
      </w:tabs>
      <w:rPr>
        <w:i/>
        <w:sz w:val="18"/>
        <w:szCs w:val="18"/>
      </w:rPr>
    </w:pPr>
  </w:p>
  <w:p w14:paraId="09E4D13F" w14:textId="3FFDE29C" w:rsidR="00F33816" w:rsidRPr="00B373D7" w:rsidRDefault="00AE60ED" w:rsidP="00C42586">
    <w:pPr>
      <w:pStyle w:val="Sidefod"/>
      <w:tabs>
        <w:tab w:val="clear" w:pos="4819"/>
        <w:tab w:val="left" w:pos="8505"/>
      </w:tabs>
      <w:rPr>
        <w:i/>
        <w:sz w:val="18"/>
        <w:szCs w:val="18"/>
      </w:rPr>
    </w:pPr>
    <w:r w:rsidRPr="00AE60ED">
      <w:rPr>
        <w:i/>
        <w:sz w:val="18"/>
        <w:szCs w:val="18"/>
      </w:rPr>
      <w:t>Fluconazol Abacus Medicine (Abacus), hårde kapsler 200 mg</w:t>
    </w:r>
    <w:r w:rsidR="00F33816" w:rsidRPr="00B373D7">
      <w:rPr>
        <w:i/>
        <w:sz w:val="18"/>
        <w:szCs w:val="18"/>
      </w:rPr>
      <w:tab/>
      <w:t xml:space="preserve">Side </w:t>
    </w:r>
    <w:r w:rsidR="00F33816" w:rsidRPr="00B373D7">
      <w:rPr>
        <w:rStyle w:val="Sidetal"/>
        <w:i/>
        <w:sz w:val="18"/>
        <w:szCs w:val="18"/>
      </w:rPr>
      <w:fldChar w:fldCharType="begin"/>
    </w:r>
    <w:r w:rsidR="00F33816" w:rsidRPr="00B373D7">
      <w:rPr>
        <w:rStyle w:val="Sidetal"/>
        <w:i/>
        <w:sz w:val="18"/>
        <w:szCs w:val="18"/>
      </w:rPr>
      <w:instrText xml:space="preserve"> PAGE </w:instrText>
    </w:r>
    <w:r w:rsidR="00F33816" w:rsidRPr="00B373D7">
      <w:rPr>
        <w:rStyle w:val="Sidetal"/>
        <w:i/>
        <w:sz w:val="18"/>
        <w:szCs w:val="18"/>
      </w:rPr>
      <w:fldChar w:fldCharType="separate"/>
    </w:r>
    <w:r w:rsidR="00F33816">
      <w:rPr>
        <w:rStyle w:val="Sidetal"/>
        <w:i/>
        <w:noProof/>
        <w:sz w:val="18"/>
        <w:szCs w:val="18"/>
      </w:rPr>
      <w:t>3</w:t>
    </w:r>
    <w:r w:rsidR="00F33816" w:rsidRPr="00B373D7">
      <w:rPr>
        <w:rStyle w:val="Sidetal"/>
        <w:i/>
        <w:sz w:val="18"/>
        <w:szCs w:val="18"/>
      </w:rPr>
      <w:fldChar w:fldCharType="end"/>
    </w:r>
    <w:r w:rsidR="00F33816" w:rsidRPr="00B373D7">
      <w:rPr>
        <w:rStyle w:val="Sidetal"/>
        <w:i/>
        <w:sz w:val="18"/>
        <w:szCs w:val="18"/>
      </w:rPr>
      <w:t xml:space="preserve"> af </w:t>
    </w:r>
    <w:r w:rsidR="00F33816" w:rsidRPr="00B373D7">
      <w:rPr>
        <w:rStyle w:val="Sidetal"/>
        <w:i/>
        <w:sz w:val="18"/>
        <w:szCs w:val="18"/>
      </w:rPr>
      <w:fldChar w:fldCharType="begin"/>
    </w:r>
    <w:r w:rsidR="00F33816" w:rsidRPr="00B373D7">
      <w:rPr>
        <w:rStyle w:val="Sidetal"/>
        <w:i/>
        <w:sz w:val="18"/>
        <w:szCs w:val="18"/>
      </w:rPr>
      <w:instrText xml:space="preserve"> NUMPAGES </w:instrText>
    </w:r>
    <w:r w:rsidR="00F33816" w:rsidRPr="00B373D7">
      <w:rPr>
        <w:rStyle w:val="Sidetal"/>
        <w:i/>
        <w:sz w:val="18"/>
        <w:szCs w:val="18"/>
      </w:rPr>
      <w:fldChar w:fldCharType="separate"/>
    </w:r>
    <w:r w:rsidR="00F33816">
      <w:rPr>
        <w:rStyle w:val="Sidetal"/>
        <w:i/>
        <w:noProof/>
        <w:sz w:val="18"/>
        <w:szCs w:val="18"/>
      </w:rPr>
      <w:t>3</w:t>
    </w:r>
    <w:r w:rsidR="00F33816"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D10F0" w14:textId="77777777" w:rsidR="00650439" w:rsidRDefault="00650439">
      <w:r>
        <w:separator/>
      </w:r>
    </w:p>
  </w:footnote>
  <w:footnote w:type="continuationSeparator" w:id="0">
    <w:p w14:paraId="66E602FD" w14:textId="77777777" w:rsidR="00650439" w:rsidRDefault="00650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375F0786"/>
    <w:multiLevelType w:val="hybridMultilevel"/>
    <w:tmpl w:val="9D847D5E"/>
    <w:lvl w:ilvl="0" w:tplc="7B8402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4F94CBD"/>
    <w:multiLevelType w:val="hybridMultilevel"/>
    <w:tmpl w:val="8C0E9C4A"/>
    <w:lvl w:ilvl="0" w:tplc="7B8402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71127230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343204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3943098">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252228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451473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0624679">
    <w:abstractNumId w:val="9"/>
  </w:num>
  <w:num w:numId="7" w16cid:durableId="2125154213">
    <w:abstractNumId w:val="5"/>
  </w:num>
  <w:num w:numId="8" w16cid:durableId="1062288009">
    <w:abstractNumId w:val="7"/>
  </w:num>
  <w:num w:numId="9" w16cid:durableId="563299174">
    <w:abstractNumId w:val="3"/>
  </w:num>
  <w:num w:numId="10" w16cid:durableId="151798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35B"/>
    <w:rsid w:val="000259B9"/>
    <w:rsid w:val="00041491"/>
    <w:rsid w:val="00050D16"/>
    <w:rsid w:val="00074F2A"/>
    <w:rsid w:val="000A1CA8"/>
    <w:rsid w:val="000A466B"/>
    <w:rsid w:val="000B058C"/>
    <w:rsid w:val="000E4EE6"/>
    <w:rsid w:val="00135A60"/>
    <w:rsid w:val="001454E2"/>
    <w:rsid w:val="001860C3"/>
    <w:rsid w:val="00186A9B"/>
    <w:rsid w:val="001927C9"/>
    <w:rsid w:val="001B3FEE"/>
    <w:rsid w:val="001C1A14"/>
    <w:rsid w:val="001E3365"/>
    <w:rsid w:val="00206CE8"/>
    <w:rsid w:val="0021526C"/>
    <w:rsid w:val="0027789E"/>
    <w:rsid w:val="00283A2B"/>
    <w:rsid w:val="002B0D24"/>
    <w:rsid w:val="002B30AD"/>
    <w:rsid w:val="002C2C01"/>
    <w:rsid w:val="002F0CD9"/>
    <w:rsid w:val="002F2B06"/>
    <w:rsid w:val="003466F8"/>
    <w:rsid w:val="00364068"/>
    <w:rsid w:val="003833EB"/>
    <w:rsid w:val="003A29AE"/>
    <w:rsid w:val="003A32D7"/>
    <w:rsid w:val="003B4074"/>
    <w:rsid w:val="003C769A"/>
    <w:rsid w:val="003F0994"/>
    <w:rsid w:val="003F1838"/>
    <w:rsid w:val="003F22DD"/>
    <w:rsid w:val="003F3BC9"/>
    <w:rsid w:val="00417A39"/>
    <w:rsid w:val="00454861"/>
    <w:rsid w:val="0045746C"/>
    <w:rsid w:val="0049104B"/>
    <w:rsid w:val="004E3B12"/>
    <w:rsid w:val="00532310"/>
    <w:rsid w:val="0054750A"/>
    <w:rsid w:val="00560ECC"/>
    <w:rsid w:val="00565F0F"/>
    <w:rsid w:val="00581E04"/>
    <w:rsid w:val="00594A86"/>
    <w:rsid w:val="00596D86"/>
    <w:rsid w:val="005F340D"/>
    <w:rsid w:val="00637F5A"/>
    <w:rsid w:val="00650439"/>
    <w:rsid w:val="006560B1"/>
    <w:rsid w:val="006756DD"/>
    <w:rsid w:val="00675993"/>
    <w:rsid w:val="006C2B69"/>
    <w:rsid w:val="00737275"/>
    <w:rsid w:val="00740EEC"/>
    <w:rsid w:val="0078011A"/>
    <w:rsid w:val="00782AF4"/>
    <w:rsid w:val="00790EE7"/>
    <w:rsid w:val="007B6649"/>
    <w:rsid w:val="007B6AA3"/>
    <w:rsid w:val="0081546F"/>
    <w:rsid w:val="008245EF"/>
    <w:rsid w:val="0082576E"/>
    <w:rsid w:val="00907F75"/>
    <w:rsid w:val="009260DE"/>
    <w:rsid w:val="0093258A"/>
    <w:rsid w:val="00996A1D"/>
    <w:rsid w:val="009B164F"/>
    <w:rsid w:val="009B339C"/>
    <w:rsid w:val="009C7BA3"/>
    <w:rsid w:val="009D1F5A"/>
    <w:rsid w:val="00A55644"/>
    <w:rsid w:val="00AE60ED"/>
    <w:rsid w:val="00B003BF"/>
    <w:rsid w:val="00B373D7"/>
    <w:rsid w:val="00BE6AB4"/>
    <w:rsid w:val="00BF12EA"/>
    <w:rsid w:val="00C36276"/>
    <w:rsid w:val="00C42586"/>
    <w:rsid w:val="00C60CCD"/>
    <w:rsid w:val="00C84483"/>
    <w:rsid w:val="00C948BB"/>
    <w:rsid w:val="00C95551"/>
    <w:rsid w:val="00CB20D7"/>
    <w:rsid w:val="00CE3B26"/>
    <w:rsid w:val="00CF659D"/>
    <w:rsid w:val="00D020B0"/>
    <w:rsid w:val="00D11748"/>
    <w:rsid w:val="00D366CF"/>
    <w:rsid w:val="00DB7BB9"/>
    <w:rsid w:val="00E108AA"/>
    <w:rsid w:val="00E31812"/>
    <w:rsid w:val="00E3749A"/>
    <w:rsid w:val="00E4635B"/>
    <w:rsid w:val="00E64488"/>
    <w:rsid w:val="00E65CCA"/>
    <w:rsid w:val="00E7437F"/>
    <w:rsid w:val="00E865B8"/>
    <w:rsid w:val="00EC0B9B"/>
    <w:rsid w:val="00EC6E49"/>
    <w:rsid w:val="00ED5E9F"/>
    <w:rsid w:val="00F33816"/>
    <w:rsid w:val="00F54285"/>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92C9C6"/>
  <w15:chartTrackingRefBased/>
  <w15:docId w15:val="{7649258E-44D4-4DD5-B7B7-2DEDB08E4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BB9"/>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Pladsholdertekst">
    <w:name w:val="Placeholder Text"/>
    <w:basedOn w:val="Standardskrifttypeiafsnit"/>
    <w:uiPriority w:val="99"/>
    <w:semiHidden/>
    <w:rsid w:val="00E4635B"/>
    <w:rPr>
      <w:color w:val="808080"/>
    </w:rPr>
  </w:style>
  <w:style w:type="paragraph" w:styleId="Brdtekst3">
    <w:name w:val="Body Text 3"/>
    <w:basedOn w:val="Normal"/>
    <w:link w:val="Brdtekst3Tegn"/>
    <w:rsid w:val="00E4635B"/>
    <w:pPr>
      <w:jc w:val="both"/>
    </w:pPr>
    <w:rPr>
      <w:color w:val="000000"/>
      <w:sz w:val="24"/>
      <w:szCs w:val="18"/>
      <w:lang w:val="en-US"/>
    </w:rPr>
  </w:style>
  <w:style w:type="character" w:customStyle="1" w:styleId="Brdtekst3Tegn">
    <w:name w:val="Brødtekst 3 Tegn"/>
    <w:basedOn w:val="Standardskrifttypeiafsnit"/>
    <w:link w:val="Brdtekst3"/>
    <w:rsid w:val="00E4635B"/>
    <w:rPr>
      <w:color w:val="000000"/>
      <w:sz w:val="24"/>
      <w:szCs w:val="18"/>
      <w:lang w:val="en-US" w:eastAsia="en-US"/>
    </w:rPr>
  </w:style>
  <w:style w:type="character" w:styleId="Hyperlink">
    <w:name w:val="Hyperlink"/>
    <w:uiPriority w:val="99"/>
    <w:unhideWhenUsed/>
    <w:rsid w:val="00E4635B"/>
    <w:rPr>
      <w:color w:val="0563C1"/>
      <w:u w:val="single"/>
    </w:rPr>
  </w:style>
  <w:style w:type="paragraph" w:styleId="Almindeligtekst">
    <w:name w:val="Plain Text"/>
    <w:basedOn w:val="Normal"/>
    <w:link w:val="AlmindeligtekstTegn"/>
    <w:uiPriority w:val="99"/>
    <w:semiHidden/>
    <w:unhideWhenUsed/>
    <w:rsid w:val="00E4635B"/>
    <w:rPr>
      <w:rFonts w:ascii="Calibri" w:eastAsia="Calibri" w:hAnsi="Calibri"/>
      <w:sz w:val="22"/>
      <w:szCs w:val="21"/>
    </w:rPr>
  </w:style>
  <w:style w:type="character" w:customStyle="1" w:styleId="AlmindeligtekstTegn">
    <w:name w:val="Almindelig tekst Tegn"/>
    <w:basedOn w:val="Standardskrifttypeiafsnit"/>
    <w:link w:val="Almindeligtekst"/>
    <w:uiPriority w:val="99"/>
    <w:semiHidden/>
    <w:rsid w:val="00E4635B"/>
    <w:rPr>
      <w:rFonts w:ascii="Calibri" w:eastAsia="Calibri" w:hAnsi="Calibri"/>
      <w:sz w:val="22"/>
      <w:szCs w:val="21"/>
      <w:lang w:eastAsia="en-US"/>
    </w:rPr>
  </w:style>
  <w:style w:type="character" w:customStyle="1" w:styleId="goohl1">
    <w:name w:val="goohl1"/>
    <w:rsid w:val="00996A1D"/>
  </w:style>
  <w:style w:type="paragraph" w:styleId="Listeafsnit">
    <w:name w:val="List Paragraph"/>
    <w:basedOn w:val="Normal"/>
    <w:uiPriority w:val="34"/>
    <w:qFormat/>
    <w:rsid w:val="00186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41989007">
      <w:bodyDiv w:val="1"/>
      <w:marLeft w:val="0"/>
      <w:marRight w:val="0"/>
      <w:marTop w:val="0"/>
      <w:marBottom w:val="0"/>
      <w:divBdr>
        <w:top w:val="none" w:sz="0" w:space="0" w:color="auto"/>
        <w:left w:val="none" w:sz="0" w:space="0" w:color="auto"/>
        <w:bottom w:val="none" w:sz="0" w:space="0" w:color="auto"/>
        <w:right w:val="none" w:sz="0" w:space="0" w:color="auto"/>
      </w:divBdr>
    </w:div>
    <w:div w:id="254636698">
      <w:bodyDiv w:val="1"/>
      <w:marLeft w:val="0"/>
      <w:marRight w:val="0"/>
      <w:marTop w:val="0"/>
      <w:marBottom w:val="0"/>
      <w:divBdr>
        <w:top w:val="none" w:sz="0" w:space="0" w:color="auto"/>
        <w:left w:val="none" w:sz="0" w:space="0" w:color="auto"/>
        <w:bottom w:val="none" w:sz="0" w:space="0" w:color="auto"/>
        <w:right w:val="none" w:sz="0" w:space="0" w:color="auto"/>
      </w:divBdr>
    </w:div>
    <w:div w:id="439031313">
      <w:bodyDiv w:val="1"/>
      <w:marLeft w:val="0"/>
      <w:marRight w:val="0"/>
      <w:marTop w:val="0"/>
      <w:marBottom w:val="0"/>
      <w:divBdr>
        <w:top w:val="none" w:sz="0" w:space="0" w:color="auto"/>
        <w:left w:val="none" w:sz="0" w:space="0" w:color="auto"/>
        <w:bottom w:val="none" w:sz="0" w:space="0" w:color="auto"/>
        <w:right w:val="none" w:sz="0" w:space="0" w:color="auto"/>
      </w:divBdr>
    </w:div>
    <w:div w:id="478305141">
      <w:bodyDiv w:val="1"/>
      <w:marLeft w:val="0"/>
      <w:marRight w:val="0"/>
      <w:marTop w:val="0"/>
      <w:marBottom w:val="0"/>
      <w:divBdr>
        <w:top w:val="none" w:sz="0" w:space="0" w:color="auto"/>
        <w:left w:val="none" w:sz="0" w:space="0" w:color="auto"/>
        <w:bottom w:val="none" w:sz="0" w:space="0" w:color="auto"/>
        <w:right w:val="none" w:sz="0" w:space="0" w:color="auto"/>
      </w:divBdr>
    </w:div>
    <w:div w:id="507794768">
      <w:bodyDiv w:val="1"/>
      <w:marLeft w:val="0"/>
      <w:marRight w:val="0"/>
      <w:marTop w:val="0"/>
      <w:marBottom w:val="0"/>
      <w:divBdr>
        <w:top w:val="none" w:sz="0" w:space="0" w:color="auto"/>
        <w:left w:val="none" w:sz="0" w:space="0" w:color="auto"/>
        <w:bottom w:val="none" w:sz="0" w:space="0" w:color="auto"/>
        <w:right w:val="none" w:sz="0" w:space="0" w:color="auto"/>
      </w:divBdr>
    </w:div>
    <w:div w:id="802236428">
      <w:bodyDiv w:val="1"/>
      <w:marLeft w:val="0"/>
      <w:marRight w:val="0"/>
      <w:marTop w:val="0"/>
      <w:marBottom w:val="0"/>
      <w:divBdr>
        <w:top w:val="none" w:sz="0" w:space="0" w:color="auto"/>
        <w:left w:val="none" w:sz="0" w:space="0" w:color="auto"/>
        <w:bottom w:val="none" w:sz="0" w:space="0" w:color="auto"/>
        <w:right w:val="none" w:sz="0" w:space="0" w:color="auto"/>
      </w:divBdr>
    </w:div>
    <w:div w:id="1035426276">
      <w:bodyDiv w:val="1"/>
      <w:marLeft w:val="0"/>
      <w:marRight w:val="0"/>
      <w:marTop w:val="0"/>
      <w:marBottom w:val="0"/>
      <w:divBdr>
        <w:top w:val="none" w:sz="0" w:space="0" w:color="auto"/>
        <w:left w:val="none" w:sz="0" w:space="0" w:color="auto"/>
        <w:bottom w:val="none" w:sz="0" w:space="0" w:color="auto"/>
        <w:right w:val="none" w:sz="0" w:space="0" w:color="auto"/>
      </w:divBdr>
    </w:div>
    <w:div w:id="1226650122">
      <w:bodyDiv w:val="1"/>
      <w:marLeft w:val="0"/>
      <w:marRight w:val="0"/>
      <w:marTop w:val="0"/>
      <w:marBottom w:val="0"/>
      <w:divBdr>
        <w:top w:val="none" w:sz="0" w:space="0" w:color="auto"/>
        <w:left w:val="none" w:sz="0" w:space="0" w:color="auto"/>
        <w:bottom w:val="none" w:sz="0" w:space="0" w:color="auto"/>
        <w:right w:val="none" w:sz="0" w:space="0" w:color="auto"/>
      </w:divBdr>
    </w:div>
    <w:div w:id="1287807793">
      <w:bodyDiv w:val="1"/>
      <w:marLeft w:val="0"/>
      <w:marRight w:val="0"/>
      <w:marTop w:val="0"/>
      <w:marBottom w:val="0"/>
      <w:divBdr>
        <w:top w:val="none" w:sz="0" w:space="0" w:color="auto"/>
        <w:left w:val="none" w:sz="0" w:space="0" w:color="auto"/>
        <w:bottom w:val="none" w:sz="0" w:space="0" w:color="auto"/>
        <w:right w:val="none" w:sz="0" w:space="0" w:color="auto"/>
      </w:divBdr>
    </w:div>
    <w:div w:id="1308317294">
      <w:bodyDiv w:val="1"/>
      <w:marLeft w:val="0"/>
      <w:marRight w:val="0"/>
      <w:marTop w:val="0"/>
      <w:marBottom w:val="0"/>
      <w:divBdr>
        <w:top w:val="none" w:sz="0" w:space="0" w:color="auto"/>
        <w:left w:val="none" w:sz="0" w:space="0" w:color="auto"/>
        <w:bottom w:val="none" w:sz="0" w:space="0" w:color="auto"/>
        <w:right w:val="none" w:sz="0" w:space="0" w:color="auto"/>
      </w:divBdr>
    </w:div>
    <w:div w:id="1377240210">
      <w:bodyDiv w:val="1"/>
      <w:marLeft w:val="0"/>
      <w:marRight w:val="0"/>
      <w:marTop w:val="0"/>
      <w:marBottom w:val="0"/>
      <w:divBdr>
        <w:top w:val="none" w:sz="0" w:space="0" w:color="auto"/>
        <w:left w:val="none" w:sz="0" w:space="0" w:color="auto"/>
        <w:bottom w:val="none" w:sz="0" w:space="0" w:color="auto"/>
        <w:right w:val="none" w:sz="0" w:space="0" w:color="auto"/>
      </w:divBdr>
    </w:div>
    <w:div w:id="1415660259">
      <w:bodyDiv w:val="1"/>
      <w:marLeft w:val="0"/>
      <w:marRight w:val="0"/>
      <w:marTop w:val="0"/>
      <w:marBottom w:val="0"/>
      <w:divBdr>
        <w:top w:val="none" w:sz="0" w:space="0" w:color="auto"/>
        <w:left w:val="none" w:sz="0" w:space="0" w:color="auto"/>
        <w:bottom w:val="none" w:sz="0" w:space="0" w:color="auto"/>
        <w:right w:val="none" w:sz="0" w:space="0" w:color="auto"/>
      </w:divBdr>
    </w:div>
    <w:div w:id="1776749835">
      <w:bodyDiv w:val="1"/>
      <w:marLeft w:val="0"/>
      <w:marRight w:val="0"/>
      <w:marTop w:val="0"/>
      <w:marBottom w:val="0"/>
      <w:divBdr>
        <w:top w:val="none" w:sz="0" w:space="0" w:color="auto"/>
        <w:left w:val="none" w:sz="0" w:space="0" w:color="auto"/>
        <w:bottom w:val="none" w:sz="0" w:space="0" w:color="auto"/>
        <w:right w:val="none" w:sz="0" w:space="0" w:color="auto"/>
      </w:divBdr>
    </w:div>
    <w:div w:id="1834485243">
      <w:bodyDiv w:val="1"/>
      <w:marLeft w:val="0"/>
      <w:marRight w:val="0"/>
      <w:marTop w:val="0"/>
      <w:marBottom w:val="0"/>
      <w:divBdr>
        <w:top w:val="none" w:sz="0" w:space="0" w:color="auto"/>
        <w:left w:val="none" w:sz="0" w:space="0" w:color="auto"/>
        <w:bottom w:val="none" w:sz="0" w:space="0" w:color="auto"/>
        <w:right w:val="none" w:sz="0" w:space="0" w:color="auto"/>
      </w:divBdr>
    </w:div>
    <w:div w:id="1862158975">
      <w:bodyDiv w:val="1"/>
      <w:marLeft w:val="0"/>
      <w:marRight w:val="0"/>
      <w:marTop w:val="0"/>
      <w:marBottom w:val="0"/>
      <w:divBdr>
        <w:top w:val="none" w:sz="0" w:space="0" w:color="auto"/>
        <w:left w:val="none" w:sz="0" w:space="0" w:color="auto"/>
        <w:bottom w:val="none" w:sz="0" w:space="0" w:color="auto"/>
        <w:right w:val="none" w:sz="0" w:space="0" w:color="auto"/>
      </w:divBdr>
    </w:div>
    <w:div w:id="1927566654">
      <w:bodyDiv w:val="1"/>
      <w:marLeft w:val="0"/>
      <w:marRight w:val="0"/>
      <w:marTop w:val="0"/>
      <w:marBottom w:val="0"/>
      <w:divBdr>
        <w:top w:val="none" w:sz="0" w:space="0" w:color="auto"/>
        <w:left w:val="none" w:sz="0" w:space="0" w:color="auto"/>
        <w:bottom w:val="none" w:sz="0" w:space="0" w:color="auto"/>
        <w:right w:val="none" w:sz="0" w:space="0" w:color="auto"/>
      </w:divBdr>
    </w:div>
    <w:div w:id="1928492564">
      <w:bodyDiv w:val="1"/>
      <w:marLeft w:val="0"/>
      <w:marRight w:val="0"/>
      <w:marTop w:val="0"/>
      <w:marBottom w:val="0"/>
      <w:divBdr>
        <w:top w:val="none" w:sz="0" w:space="0" w:color="auto"/>
        <w:left w:val="none" w:sz="0" w:space="0" w:color="auto"/>
        <w:bottom w:val="none" w:sz="0" w:space="0" w:color="auto"/>
        <w:right w:val="none" w:sz="0" w:space="0" w:color="auto"/>
      </w:divBdr>
    </w:div>
    <w:div w:id="1980912996">
      <w:bodyDiv w:val="1"/>
      <w:marLeft w:val="0"/>
      <w:marRight w:val="0"/>
      <w:marTop w:val="0"/>
      <w:marBottom w:val="0"/>
      <w:divBdr>
        <w:top w:val="none" w:sz="0" w:space="0" w:color="auto"/>
        <w:left w:val="none" w:sz="0" w:space="0" w:color="auto"/>
        <w:bottom w:val="none" w:sz="0" w:space="0" w:color="auto"/>
        <w:right w:val="none" w:sz="0" w:space="0" w:color="auto"/>
      </w:divBdr>
    </w:div>
    <w:div w:id="2011323701">
      <w:bodyDiv w:val="1"/>
      <w:marLeft w:val="0"/>
      <w:marRight w:val="0"/>
      <w:marTop w:val="0"/>
      <w:marBottom w:val="0"/>
      <w:divBdr>
        <w:top w:val="none" w:sz="0" w:space="0" w:color="auto"/>
        <w:left w:val="none" w:sz="0" w:space="0" w:color="auto"/>
        <w:bottom w:val="none" w:sz="0" w:space="0" w:color="auto"/>
        <w:right w:val="none" w:sz="0" w:space="0" w:color="auto"/>
      </w:divBdr>
    </w:div>
    <w:div w:id="2028021876">
      <w:bodyDiv w:val="1"/>
      <w:marLeft w:val="0"/>
      <w:marRight w:val="0"/>
      <w:marTop w:val="0"/>
      <w:marBottom w:val="0"/>
      <w:divBdr>
        <w:top w:val="none" w:sz="0" w:space="0" w:color="auto"/>
        <w:left w:val="none" w:sz="0" w:space="0" w:color="auto"/>
        <w:bottom w:val="none" w:sz="0" w:space="0" w:color="auto"/>
        <w:right w:val="none" w:sz="0" w:space="0" w:color="auto"/>
      </w:divBdr>
    </w:div>
    <w:div w:id="204401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MMO\AppData\Local\Microsoft\Windows\Temporary%20Internet%20Files\Content.IE5\LCPF6EHZ\www.meldenbivirkning.d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ma.europa.eu/documents/other/minimum-inhibitory-concentration-mic-breakpoints_en.xls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24</Pages>
  <Words>7555</Words>
  <Characters>49210</Characters>
  <Application>Microsoft Office Word</Application>
  <DocSecurity>0</DocSecurity>
  <Lines>410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anmr</dc:creator>
  <cp:keywords/>
  <dc:description>2026054357 - nyt PI-SPC</dc:description>
  <cp:lastModifiedBy>Annette Malmros</cp:lastModifiedBy>
  <cp:revision>4</cp:revision>
  <cp:lastPrinted>2012-08-22T08:53:00Z</cp:lastPrinted>
  <dcterms:created xsi:type="dcterms:W3CDTF">2026-07-29T11:19:00Z</dcterms:created>
  <dcterms:modified xsi:type="dcterms:W3CDTF">2026-07-31T07:33:00Z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