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45E9A" w14:textId="77777777" w:rsidR="009260DE" w:rsidRPr="007D67E8" w:rsidRDefault="0021526C" w:rsidP="009260DE">
      <w:pPr>
        <w:rPr>
          <w:sz w:val="24"/>
          <w:szCs w:val="24"/>
        </w:rPr>
      </w:pPr>
      <w:r w:rsidRPr="007D67E8">
        <w:rPr>
          <w:noProof/>
          <w:sz w:val="24"/>
          <w:szCs w:val="24"/>
          <w:lang w:eastAsia="da-DK"/>
        </w:rPr>
        <w:drawing>
          <wp:anchor distT="0" distB="0" distL="114300" distR="114300" simplePos="0" relativeHeight="251658240" behindDoc="0" locked="0" layoutInCell="1" allowOverlap="1" wp14:anchorId="3BDFA76B" wp14:editId="0E269AE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D67E8">
        <w:rPr>
          <w:sz w:val="24"/>
          <w:szCs w:val="24"/>
        </w:rPr>
        <w:br w:type="textWrapping" w:clear="all"/>
      </w:r>
    </w:p>
    <w:p w14:paraId="0E58FE25" w14:textId="3A152876" w:rsidR="009260DE" w:rsidRPr="007D67E8" w:rsidRDefault="009260DE" w:rsidP="009260DE">
      <w:pPr>
        <w:pStyle w:val="Titel"/>
        <w:tabs>
          <w:tab w:val="right" w:pos="9356"/>
        </w:tabs>
        <w:jc w:val="left"/>
        <w:rPr>
          <w:b w:val="0"/>
          <w:szCs w:val="24"/>
          <w:lang w:eastAsia="en-US"/>
        </w:rPr>
      </w:pPr>
      <w:r w:rsidRPr="007D67E8">
        <w:rPr>
          <w:b w:val="0"/>
          <w:szCs w:val="24"/>
          <w:lang w:eastAsia="en-US"/>
        </w:rPr>
        <w:tab/>
      </w:r>
      <w:r w:rsidR="00000078">
        <w:rPr>
          <w:b w:val="0"/>
          <w:szCs w:val="24"/>
          <w:lang w:eastAsia="en-US"/>
        </w:rPr>
        <w:t>1</w:t>
      </w:r>
      <w:r w:rsidR="00150D74">
        <w:rPr>
          <w:szCs w:val="24"/>
        </w:rPr>
        <w:t>8</w:t>
      </w:r>
      <w:r w:rsidR="003B563F">
        <w:rPr>
          <w:szCs w:val="24"/>
        </w:rPr>
        <w:t xml:space="preserve">. </w:t>
      </w:r>
      <w:r w:rsidR="00000078">
        <w:rPr>
          <w:szCs w:val="24"/>
        </w:rPr>
        <w:t>april</w:t>
      </w:r>
      <w:r w:rsidR="003B563F">
        <w:rPr>
          <w:szCs w:val="24"/>
        </w:rPr>
        <w:t xml:space="preserve"> 2024</w:t>
      </w:r>
    </w:p>
    <w:p w14:paraId="071A8C1D" w14:textId="77777777" w:rsidR="009260DE" w:rsidRPr="007D67E8" w:rsidRDefault="009260DE" w:rsidP="009260DE">
      <w:pPr>
        <w:pStyle w:val="Titel"/>
        <w:tabs>
          <w:tab w:val="left" w:pos="8222"/>
        </w:tabs>
        <w:jc w:val="left"/>
        <w:rPr>
          <w:b w:val="0"/>
          <w:szCs w:val="24"/>
        </w:rPr>
      </w:pPr>
    </w:p>
    <w:p w14:paraId="207DF0A1" w14:textId="77777777" w:rsidR="009260DE" w:rsidRPr="007D67E8" w:rsidRDefault="009260DE" w:rsidP="009260DE">
      <w:pPr>
        <w:pStyle w:val="Titel"/>
        <w:jc w:val="left"/>
        <w:rPr>
          <w:b w:val="0"/>
          <w:szCs w:val="24"/>
        </w:rPr>
      </w:pPr>
    </w:p>
    <w:p w14:paraId="1A851DE4" w14:textId="77777777" w:rsidR="009260DE" w:rsidRPr="007D67E8" w:rsidRDefault="009260DE" w:rsidP="009260DE">
      <w:pPr>
        <w:pStyle w:val="Titel"/>
        <w:jc w:val="left"/>
        <w:rPr>
          <w:b w:val="0"/>
          <w:szCs w:val="24"/>
        </w:rPr>
      </w:pPr>
    </w:p>
    <w:p w14:paraId="7FD87FA7" w14:textId="77777777" w:rsidR="009260DE" w:rsidRPr="007D67E8" w:rsidRDefault="009260DE" w:rsidP="009260DE">
      <w:pPr>
        <w:jc w:val="center"/>
        <w:rPr>
          <w:b/>
          <w:sz w:val="24"/>
          <w:szCs w:val="24"/>
        </w:rPr>
      </w:pPr>
      <w:r w:rsidRPr="007D67E8">
        <w:rPr>
          <w:b/>
          <w:sz w:val="24"/>
          <w:szCs w:val="24"/>
        </w:rPr>
        <w:t>PRODUKTRESUMÉ</w:t>
      </w:r>
    </w:p>
    <w:p w14:paraId="2FA622FA" w14:textId="77777777" w:rsidR="009260DE" w:rsidRPr="007D67E8" w:rsidRDefault="009260DE" w:rsidP="009260DE">
      <w:pPr>
        <w:jc w:val="center"/>
        <w:rPr>
          <w:b/>
          <w:sz w:val="24"/>
          <w:szCs w:val="24"/>
        </w:rPr>
      </w:pPr>
    </w:p>
    <w:p w14:paraId="1398ADA9" w14:textId="7512966D" w:rsidR="009260DE" w:rsidRPr="007D67E8" w:rsidRDefault="001603C1" w:rsidP="001603C1">
      <w:pPr>
        <w:tabs>
          <w:tab w:val="center" w:pos="4819"/>
        </w:tabs>
        <w:rPr>
          <w:b/>
          <w:sz w:val="24"/>
          <w:szCs w:val="24"/>
        </w:rPr>
      </w:pPr>
      <w:r>
        <w:rPr>
          <w:b/>
          <w:sz w:val="24"/>
          <w:szCs w:val="24"/>
        </w:rPr>
        <w:tab/>
      </w:r>
      <w:r w:rsidR="009260DE" w:rsidRPr="007D67E8">
        <w:rPr>
          <w:b/>
          <w:sz w:val="24"/>
          <w:szCs w:val="24"/>
        </w:rPr>
        <w:t>for</w:t>
      </w:r>
    </w:p>
    <w:p w14:paraId="634AE1E4" w14:textId="77777777" w:rsidR="000B058C" w:rsidRPr="007D67E8" w:rsidRDefault="000B058C" w:rsidP="009260DE">
      <w:pPr>
        <w:jc w:val="center"/>
        <w:rPr>
          <w:b/>
          <w:sz w:val="24"/>
          <w:szCs w:val="24"/>
        </w:rPr>
      </w:pPr>
    </w:p>
    <w:p w14:paraId="4AC8DC31" w14:textId="7ED8BDEC" w:rsidR="009260DE" w:rsidRPr="007D67E8" w:rsidRDefault="00AF53A0" w:rsidP="009260DE">
      <w:pPr>
        <w:jc w:val="center"/>
        <w:rPr>
          <w:b/>
          <w:sz w:val="24"/>
          <w:szCs w:val="24"/>
        </w:rPr>
      </w:pPr>
      <w:r w:rsidRPr="007D67E8">
        <w:rPr>
          <w:b/>
          <w:sz w:val="24"/>
          <w:szCs w:val="24"/>
        </w:rPr>
        <w:t>Fluconazol "Vitabalans", tabletter</w:t>
      </w:r>
    </w:p>
    <w:p w14:paraId="16B42104" w14:textId="77777777" w:rsidR="009260DE" w:rsidRPr="007D67E8" w:rsidRDefault="009260DE" w:rsidP="009260DE">
      <w:pPr>
        <w:jc w:val="both"/>
        <w:rPr>
          <w:sz w:val="24"/>
          <w:szCs w:val="24"/>
        </w:rPr>
      </w:pPr>
    </w:p>
    <w:p w14:paraId="1763486F" w14:textId="77777777" w:rsidR="009260DE" w:rsidRPr="007D67E8" w:rsidRDefault="009260DE" w:rsidP="009260DE">
      <w:pPr>
        <w:jc w:val="both"/>
        <w:rPr>
          <w:sz w:val="24"/>
          <w:szCs w:val="24"/>
        </w:rPr>
      </w:pPr>
    </w:p>
    <w:p w14:paraId="56DE83B8" w14:textId="77777777" w:rsidR="009260DE" w:rsidRPr="007D67E8" w:rsidRDefault="009260DE" w:rsidP="009260DE">
      <w:pPr>
        <w:tabs>
          <w:tab w:val="left" w:pos="851"/>
        </w:tabs>
        <w:ind w:left="851" w:hanging="851"/>
        <w:rPr>
          <w:b/>
          <w:sz w:val="24"/>
          <w:szCs w:val="24"/>
        </w:rPr>
      </w:pPr>
      <w:r w:rsidRPr="007D67E8">
        <w:rPr>
          <w:b/>
          <w:sz w:val="24"/>
          <w:szCs w:val="24"/>
        </w:rPr>
        <w:t>0.</w:t>
      </w:r>
      <w:r w:rsidRPr="007D67E8">
        <w:rPr>
          <w:b/>
          <w:sz w:val="24"/>
          <w:szCs w:val="24"/>
        </w:rPr>
        <w:tab/>
        <w:t>D.SP.NR.</w:t>
      </w:r>
    </w:p>
    <w:p w14:paraId="317008EE" w14:textId="4515AD66" w:rsidR="009260DE" w:rsidRPr="007D67E8" w:rsidRDefault="00C256C2" w:rsidP="009260DE">
      <w:pPr>
        <w:tabs>
          <w:tab w:val="left" w:pos="851"/>
        </w:tabs>
        <w:ind w:left="851"/>
        <w:rPr>
          <w:sz w:val="24"/>
          <w:szCs w:val="24"/>
        </w:rPr>
      </w:pPr>
      <w:r w:rsidRPr="007D67E8">
        <w:rPr>
          <w:sz w:val="24"/>
          <w:szCs w:val="24"/>
        </w:rPr>
        <w:t>32129</w:t>
      </w:r>
    </w:p>
    <w:p w14:paraId="32135932" w14:textId="77777777" w:rsidR="009260DE" w:rsidRPr="007D67E8" w:rsidRDefault="009260DE" w:rsidP="009260DE">
      <w:pPr>
        <w:tabs>
          <w:tab w:val="left" w:pos="851"/>
        </w:tabs>
        <w:ind w:left="851"/>
        <w:rPr>
          <w:sz w:val="24"/>
          <w:szCs w:val="24"/>
        </w:rPr>
      </w:pPr>
    </w:p>
    <w:p w14:paraId="2B5198A0" w14:textId="77777777" w:rsidR="009260DE" w:rsidRPr="007D67E8" w:rsidRDefault="009260DE" w:rsidP="009260DE">
      <w:pPr>
        <w:tabs>
          <w:tab w:val="left" w:pos="851"/>
        </w:tabs>
        <w:ind w:left="851" w:hanging="851"/>
        <w:rPr>
          <w:b/>
          <w:sz w:val="24"/>
          <w:szCs w:val="24"/>
        </w:rPr>
      </w:pPr>
      <w:r w:rsidRPr="007D67E8">
        <w:rPr>
          <w:b/>
          <w:sz w:val="24"/>
          <w:szCs w:val="24"/>
        </w:rPr>
        <w:t>1.</w:t>
      </w:r>
      <w:r w:rsidRPr="007D67E8">
        <w:rPr>
          <w:b/>
          <w:sz w:val="24"/>
          <w:szCs w:val="24"/>
        </w:rPr>
        <w:tab/>
        <w:t>LÆGEMIDLETS NAVN</w:t>
      </w:r>
    </w:p>
    <w:p w14:paraId="7458F435" w14:textId="1D4045AA" w:rsidR="009260DE" w:rsidRPr="007D67E8" w:rsidRDefault="00C256C2" w:rsidP="009260DE">
      <w:pPr>
        <w:tabs>
          <w:tab w:val="left" w:pos="851"/>
        </w:tabs>
        <w:ind w:left="851"/>
        <w:rPr>
          <w:sz w:val="24"/>
          <w:szCs w:val="24"/>
        </w:rPr>
      </w:pPr>
      <w:r w:rsidRPr="007D67E8">
        <w:rPr>
          <w:sz w:val="24"/>
          <w:szCs w:val="24"/>
        </w:rPr>
        <w:t>Fluconazol "Vitabalans"</w:t>
      </w:r>
    </w:p>
    <w:p w14:paraId="139D9D67" w14:textId="77777777" w:rsidR="009260DE" w:rsidRPr="007D67E8" w:rsidRDefault="009260DE" w:rsidP="009260DE">
      <w:pPr>
        <w:tabs>
          <w:tab w:val="left" w:pos="851"/>
        </w:tabs>
        <w:ind w:left="851"/>
        <w:rPr>
          <w:sz w:val="24"/>
          <w:szCs w:val="24"/>
        </w:rPr>
      </w:pPr>
    </w:p>
    <w:p w14:paraId="20AC2D8B" w14:textId="77777777" w:rsidR="009260DE" w:rsidRPr="007D67E8" w:rsidRDefault="009260DE" w:rsidP="009260DE">
      <w:pPr>
        <w:tabs>
          <w:tab w:val="left" w:pos="851"/>
        </w:tabs>
        <w:ind w:left="851" w:hanging="851"/>
        <w:rPr>
          <w:b/>
          <w:sz w:val="24"/>
          <w:szCs w:val="24"/>
        </w:rPr>
      </w:pPr>
      <w:r w:rsidRPr="007D67E8">
        <w:rPr>
          <w:b/>
          <w:sz w:val="24"/>
          <w:szCs w:val="24"/>
        </w:rPr>
        <w:t>2.</w:t>
      </w:r>
      <w:r w:rsidRPr="007D67E8">
        <w:rPr>
          <w:b/>
          <w:sz w:val="24"/>
          <w:szCs w:val="24"/>
        </w:rPr>
        <w:tab/>
        <w:t>KVALITATIV OG KVANTITATIV SAMMENSÆTNING</w:t>
      </w:r>
    </w:p>
    <w:p w14:paraId="1C1E7837" w14:textId="77777777" w:rsidR="00CA5A1F" w:rsidRPr="007D67E8" w:rsidRDefault="00CA5A1F" w:rsidP="00DD24AC">
      <w:pPr>
        <w:ind w:left="851"/>
        <w:rPr>
          <w:sz w:val="24"/>
          <w:szCs w:val="24"/>
        </w:rPr>
      </w:pPr>
      <w:r w:rsidRPr="007D67E8">
        <w:rPr>
          <w:sz w:val="24"/>
          <w:szCs w:val="24"/>
        </w:rPr>
        <w:t>Hver tablet indeholder fluconazol 150 mg</w:t>
      </w:r>
    </w:p>
    <w:p w14:paraId="57F6851C" w14:textId="77777777" w:rsidR="00CA5A1F" w:rsidRPr="007D67E8" w:rsidRDefault="00CA5A1F" w:rsidP="00DD24AC">
      <w:pPr>
        <w:ind w:left="851"/>
        <w:outlineLvl w:val="0"/>
        <w:rPr>
          <w:noProof/>
          <w:sz w:val="24"/>
          <w:szCs w:val="24"/>
        </w:rPr>
      </w:pPr>
      <w:r w:rsidRPr="007D67E8">
        <w:rPr>
          <w:sz w:val="24"/>
          <w:szCs w:val="24"/>
        </w:rPr>
        <w:t>Alle hjælpestoffer er anført under pkt. 6.1.</w:t>
      </w:r>
    </w:p>
    <w:p w14:paraId="4C532E45" w14:textId="77777777" w:rsidR="009260DE" w:rsidRPr="007D67E8" w:rsidRDefault="009260DE" w:rsidP="009260DE">
      <w:pPr>
        <w:tabs>
          <w:tab w:val="left" w:pos="851"/>
        </w:tabs>
        <w:ind w:left="851"/>
        <w:rPr>
          <w:sz w:val="24"/>
          <w:szCs w:val="24"/>
        </w:rPr>
      </w:pPr>
    </w:p>
    <w:p w14:paraId="2E22E389" w14:textId="77777777" w:rsidR="009260DE" w:rsidRPr="007D67E8" w:rsidRDefault="009260DE" w:rsidP="009260DE">
      <w:pPr>
        <w:tabs>
          <w:tab w:val="left" w:pos="851"/>
        </w:tabs>
        <w:ind w:left="851" w:hanging="851"/>
        <w:rPr>
          <w:b/>
          <w:sz w:val="24"/>
          <w:szCs w:val="24"/>
        </w:rPr>
      </w:pPr>
      <w:r w:rsidRPr="007D67E8">
        <w:rPr>
          <w:b/>
          <w:sz w:val="24"/>
          <w:szCs w:val="24"/>
        </w:rPr>
        <w:t>3.</w:t>
      </w:r>
      <w:r w:rsidRPr="007D67E8">
        <w:rPr>
          <w:b/>
          <w:sz w:val="24"/>
          <w:szCs w:val="24"/>
        </w:rPr>
        <w:tab/>
        <w:t>LÆGEMIDDELFORM</w:t>
      </w:r>
    </w:p>
    <w:p w14:paraId="2E8893AA" w14:textId="3E52188C" w:rsidR="00CA5A1F" w:rsidRPr="007D67E8" w:rsidRDefault="00CA5A1F" w:rsidP="00DD24AC">
      <w:pPr>
        <w:ind w:left="851"/>
        <w:rPr>
          <w:noProof/>
          <w:sz w:val="24"/>
          <w:szCs w:val="24"/>
        </w:rPr>
      </w:pPr>
      <w:r w:rsidRPr="007D67E8">
        <w:rPr>
          <w:sz w:val="24"/>
          <w:szCs w:val="24"/>
        </w:rPr>
        <w:t>Tablet</w:t>
      </w:r>
      <w:r w:rsidR="00903431">
        <w:rPr>
          <w:sz w:val="24"/>
          <w:szCs w:val="24"/>
        </w:rPr>
        <w:t>ter</w:t>
      </w:r>
    </w:p>
    <w:p w14:paraId="5FBB4172" w14:textId="77777777" w:rsidR="00903431" w:rsidRDefault="00CA5A1F" w:rsidP="00DD24AC">
      <w:pPr>
        <w:ind w:left="851"/>
        <w:rPr>
          <w:sz w:val="24"/>
          <w:szCs w:val="24"/>
        </w:rPr>
      </w:pPr>
      <w:r w:rsidRPr="007D67E8">
        <w:rPr>
          <w:sz w:val="24"/>
          <w:szCs w:val="24"/>
        </w:rPr>
        <w:t xml:space="preserve">Hvide, kapselformede, konvekse tabletter med delekærv. </w:t>
      </w:r>
    </w:p>
    <w:p w14:paraId="4895BEB8" w14:textId="3BEF2069" w:rsidR="00CA5A1F" w:rsidRPr="007D67E8" w:rsidRDefault="00CA5A1F" w:rsidP="00DD24AC">
      <w:pPr>
        <w:ind w:left="851"/>
        <w:rPr>
          <w:noProof/>
          <w:sz w:val="24"/>
          <w:szCs w:val="24"/>
        </w:rPr>
      </w:pPr>
      <w:r w:rsidRPr="007D67E8">
        <w:rPr>
          <w:sz w:val="24"/>
          <w:szCs w:val="24"/>
        </w:rPr>
        <w:t xml:space="preserve">Dimensioner: Bredde 7,5 mm, længde 18 mm. </w:t>
      </w:r>
    </w:p>
    <w:p w14:paraId="33C26A24" w14:textId="77777777" w:rsidR="00CA5A1F" w:rsidRPr="007D67E8" w:rsidRDefault="00CA5A1F" w:rsidP="00DD24AC">
      <w:pPr>
        <w:ind w:left="851"/>
        <w:rPr>
          <w:noProof/>
          <w:sz w:val="24"/>
          <w:szCs w:val="24"/>
        </w:rPr>
      </w:pPr>
      <w:r w:rsidRPr="007D67E8">
        <w:rPr>
          <w:sz w:val="24"/>
          <w:szCs w:val="24"/>
        </w:rPr>
        <w:t>Tabletten kan deles i to lige store doser.</w:t>
      </w:r>
    </w:p>
    <w:p w14:paraId="406C83F3" w14:textId="77777777" w:rsidR="009260DE" w:rsidRPr="007D67E8" w:rsidRDefault="009260DE" w:rsidP="009260DE">
      <w:pPr>
        <w:tabs>
          <w:tab w:val="left" w:pos="851"/>
        </w:tabs>
        <w:ind w:left="851"/>
        <w:rPr>
          <w:sz w:val="24"/>
          <w:szCs w:val="24"/>
        </w:rPr>
      </w:pPr>
    </w:p>
    <w:p w14:paraId="1E0EE502" w14:textId="77777777" w:rsidR="009260DE" w:rsidRPr="007D67E8" w:rsidRDefault="009260DE" w:rsidP="009260DE">
      <w:pPr>
        <w:tabs>
          <w:tab w:val="left" w:pos="851"/>
        </w:tabs>
        <w:ind w:left="851"/>
        <w:rPr>
          <w:sz w:val="24"/>
          <w:szCs w:val="24"/>
        </w:rPr>
      </w:pPr>
    </w:p>
    <w:p w14:paraId="3C744E80" w14:textId="77777777" w:rsidR="009260DE" w:rsidRPr="007D67E8" w:rsidRDefault="009260DE" w:rsidP="009260DE">
      <w:pPr>
        <w:tabs>
          <w:tab w:val="left" w:pos="851"/>
        </w:tabs>
        <w:ind w:left="851" w:hanging="851"/>
        <w:rPr>
          <w:b/>
          <w:sz w:val="24"/>
          <w:szCs w:val="24"/>
        </w:rPr>
      </w:pPr>
      <w:r w:rsidRPr="007D67E8">
        <w:rPr>
          <w:b/>
          <w:sz w:val="24"/>
          <w:szCs w:val="24"/>
        </w:rPr>
        <w:t>4.</w:t>
      </w:r>
      <w:r w:rsidRPr="007D67E8">
        <w:rPr>
          <w:b/>
          <w:sz w:val="24"/>
          <w:szCs w:val="24"/>
        </w:rPr>
        <w:tab/>
        <w:t>KLINISKE OPLYSNINGER</w:t>
      </w:r>
    </w:p>
    <w:p w14:paraId="54F456FF" w14:textId="77777777" w:rsidR="009260DE" w:rsidRPr="007D67E8" w:rsidRDefault="009260DE" w:rsidP="009260DE">
      <w:pPr>
        <w:tabs>
          <w:tab w:val="left" w:pos="851"/>
        </w:tabs>
        <w:ind w:left="851"/>
        <w:rPr>
          <w:b/>
          <w:sz w:val="24"/>
          <w:szCs w:val="24"/>
        </w:rPr>
      </w:pPr>
    </w:p>
    <w:p w14:paraId="3CBA4DF4" w14:textId="77777777" w:rsidR="009260DE" w:rsidRPr="007D67E8" w:rsidRDefault="009260DE" w:rsidP="009260DE">
      <w:pPr>
        <w:tabs>
          <w:tab w:val="left" w:pos="851"/>
        </w:tabs>
        <w:ind w:left="851" w:hanging="851"/>
        <w:rPr>
          <w:b/>
          <w:sz w:val="24"/>
          <w:szCs w:val="24"/>
          <w:u w:val="single"/>
        </w:rPr>
      </w:pPr>
      <w:r w:rsidRPr="007D67E8">
        <w:rPr>
          <w:b/>
          <w:sz w:val="24"/>
          <w:szCs w:val="24"/>
        </w:rPr>
        <w:t>4.1</w:t>
      </w:r>
      <w:r w:rsidRPr="007D67E8">
        <w:rPr>
          <w:b/>
          <w:sz w:val="24"/>
          <w:szCs w:val="24"/>
        </w:rPr>
        <w:tab/>
        <w:t>Terapeutiske indikationer</w:t>
      </w:r>
    </w:p>
    <w:p w14:paraId="1ECA6BF5" w14:textId="36315353" w:rsidR="00CA5A1F" w:rsidRPr="007D67E8" w:rsidRDefault="00CA5A1F" w:rsidP="00DD24AC">
      <w:pPr>
        <w:ind w:left="851"/>
        <w:rPr>
          <w:noProof/>
          <w:sz w:val="24"/>
          <w:szCs w:val="24"/>
        </w:rPr>
      </w:pPr>
      <w:r w:rsidRPr="007D67E8">
        <w:rPr>
          <w:sz w:val="24"/>
          <w:szCs w:val="24"/>
        </w:rPr>
        <w:t xml:space="preserve">Fluconazol </w:t>
      </w:r>
      <w:r w:rsidR="00B705BB">
        <w:rPr>
          <w:sz w:val="24"/>
          <w:szCs w:val="24"/>
        </w:rPr>
        <w:t>"Vitabalans"</w:t>
      </w:r>
      <w:r w:rsidRPr="007D67E8">
        <w:rPr>
          <w:sz w:val="24"/>
          <w:szCs w:val="24"/>
        </w:rPr>
        <w:t xml:space="preserve"> er indiceret til følgende svampeinfektioner (se pkt. 5.1).</w:t>
      </w:r>
    </w:p>
    <w:p w14:paraId="569C6859" w14:textId="77777777" w:rsidR="00CA5A1F" w:rsidRPr="007D67E8" w:rsidRDefault="00CA5A1F" w:rsidP="00DD24AC">
      <w:pPr>
        <w:ind w:left="851"/>
        <w:rPr>
          <w:noProof/>
          <w:sz w:val="24"/>
          <w:szCs w:val="24"/>
        </w:rPr>
      </w:pPr>
    </w:p>
    <w:p w14:paraId="495C1013" w14:textId="19814334" w:rsidR="00CA5A1F" w:rsidRPr="007D67E8" w:rsidRDefault="00CA5A1F" w:rsidP="00DD24AC">
      <w:pPr>
        <w:ind w:left="851"/>
        <w:rPr>
          <w:noProof/>
          <w:sz w:val="24"/>
          <w:szCs w:val="24"/>
          <w:u w:val="single"/>
        </w:rPr>
      </w:pPr>
      <w:r w:rsidRPr="007D67E8">
        <w:rPr>
          <w:sz w:val="24"/>
          <w:szCs w:val="24"/>
          <w:u w:val="single"/>
        </w:rPr>
        <w:t xml:space="preserve">Fluconazol </w:t>
      </w:r>
      <w:r w:rsidR="00B705BB">
        <w:rPr>
          <w:sz w:val="24"/>
          <w:szCs w:val="24"/>
          <w:u w:val="single"/>
        </w:rPr>
        <w:t>"Vitabalans"</w:t>
      </w:r>
      <w:r w:rsidRPr="007D67E8">
        <w:rPr>
          <w:sz w:val="24"/>
          <w:szCs w:val="24"/>
          <w:u w:val="single"/>
        </w:rPr>
        <w:t xml:space="preserve"> er indiceret hos voksne til behandling af: </w:t>
      </w:r>
    </w:p>
    <w:p w14:paraId="6BE17866" w14:textId="5C998A22" w:rsidR="00CA5A1F" w:rsidRPr="007D67E8" w:rsidRDefault="00CA5A1F" w:rsidP="004772C4">
      <w:pPr>
        <w:pStyle w:val="Listeafsnit"/>
        <w:numPr>
          <w:ilvl w:val="0"/>
          <w:numId w:val="6"/>
        </w:numPr>
        <w:ind w:left="1276" w:hanging="425"/>
        <w:rPr>
          <w:noProof/>
          <w:sz w:val="24"/>
          <w:szCs w:val="24"/>
        </w:rPr>
      </w:pPr>
      <w:bookmarkStart w:id="0" w:name="_Hlk42074027"/>
      <w:r w:rsidRPr="007D67E8">
        <w:rPr>
          <w:sz w:val="24"/>
          <w:szCs w:val="24"/>
        </w:rPr>
        <w:t>Kryptokokmeningitis</w:t>
      </w:r>
      <w:bookmarkEnd w:id="0"/>
      <w:r w:rsidRPr="007D67E8">
        <w:rPr>
          <w:sz w:val="24"/>
          <w:szCs w:val="24"/>
        </w:rPr>
        <w:t xml:space="preserve"> (se pkt. 4.4).</w:t>
      </w:r>
    </w:p>
    <w:p w14:paraId="43D4D68B" w14:textId="5FE633A5" w:rsidR="00CA5A1F" w:rsidRPr="007D67E8" w:rsidRDefault="00CA5A1F" w:rsidP="004772C4">
      <w:pPr>
        <w:pStyle w:val="Listeafsnit"/>
        <w:numPr>
          <w:ilvl w:val="0"/>
          <w:numId w:val="6"/>
        </w:numPr>
        <w:ind w:left="1276" w:hanging="425"/>
        <w:rPr>
          <w:noProof/>
          <w:sz w:val="24"/>
          <w:szCs w:val="24"/>
        </w:rPr>
      </w:pPr>
      <w:bookmarkStart w:id="1" w:name="_Hlk42074046"/>
      <w:r w:rsidRPr="007D67E8">
        <w:rPr>
          <w:sz w:val="24"/>
          <w:szCs w:val="24"/>
        </w:rPr>
        <w:t>Coccidioidomykose</w:t>
      </w:r>
      <w:bookmarkEnd w:id="1"/>
      <w:r w:rsidRPr="007D67E8">
        <w:rPr>
          <w:sz w:val="24"/>
          <w:szCs w:val="24"/>
        </w:rPr>
        <w:t xml:space="preserve"> (se pkt. 4.4).</w:t>
      </w:r>
    </w:p>
    <w:p w14:paraId="57376524" w14:textId="1B6D2B74" w:rsidR="00CA5A1F" w:rsidRPr="007D67E8" w:rsidRDefault="00CA5A1F" w:rsidP="004772C4">
      <w:pPr>
        <w:pStyle w:val="Listeafsnit"/>
        <w:numPr>
          <w:ilvl w:val="0"/>
          <w:numId w:val="6"/>
        </w:numPr>
        <w:ind w:left="1276" w:hanging="425"/>
        <w:rPr>
          <w:noProof/>
          <w:sz w:val="24"/>
          <w:szCs w:val="24"/>
        </w:rPr>
      </w:pPr>
      <w:r w:rsidRPr="007D67E8">
        <w:rPr>
          <w:sz w:val="24"/>
          <w:szCs w:val="24"/>
        </w:rPr>
        <w:t>Invasiv candidiasis.</w:t>
      </w:r>
    </w:p>
    <w:p w14:paraId="032FFD55" w14:textId="7E3E5BD9" w:rsidR="00CA5A1F" w:rsidRPr="007D67E8" w:rsidRDefault="00CA5A1F" w:rsidP="004772C4">
      <w:pPr>
        <w:pStyle w:val="Listeafsnit"/>
        <w:numPr>
          <w:ilvl w:val="0"/>
          <w:numId w:val="6"/>
        </w:numPr>
        <w:ind w:left="1276" w:hanging="425"/>
        <w:rPr>
          <w:noProof/>
          <w:sz w:val="24"/>
          <w:szCs w:val="24"/>
        </w:rPr>
      </w:pPr>
      <w:r w:rsidRPr="007D67E8">
        <w:rPr>
          <w:sz w:val="24"/>
          <w:szCs w:val="24"/>
        </w:rPr>
        <w:t>Mukøs candidiasis, herunder orofaryngeal og øsofageal candidiasis, candiduri og kronisk mukokutan candidiasis.</w:t>
      </w:r>
    </w:p>
    <w:p w14:paraId="631664E4" w14:textId="382A8BF5" w:rsidR="00CA5A1F" w:rsidRPr="007D67E8" w:rsidRDefault="00CA5A1F" w:rsidP="004772C4">
      <w:pPr>
        <w:pStyle w:val="Listeafsnit"/>
        <w:numPr>
          <w:ilvl w:val="0"/>
          <w:numId w:val="6"/>
        </w:numPr>
        <w:ind w:left="1276" w:hanging="425"/>
        <w:rPr>
          <w:noProof/>
          <w:sz w:val="24"/>
          <w:szCs w:val="24"/>
        </w:rPr>
      </w:pPr>
      <w:r w:rsidRPr="007D67E8">
        <w:rPr>
          <w:sz w:val="24"/>
          <w:szCs w:val="24"/>
        </w:rPr>
        <w:t>Kronisk oral atrofisk candidiasis (ømhed i mund efter protese), hvis mundhygiejnen eller lokalbehandling er utilstrækkelig.</w:t>
      </w:r>
    </w:p>
    <w:p w14:paraId="6D2975D0" w14:textId="5F1C3732" w:rsidR="00CA5A1F" w:rsidRPr="007D67E8" w:rsidRDefault="00CA5A1F" w:rsidP="004772C4">
      <w:pPr>
        <w:pStyle w:val="Listeafsnit"/>
        <w:numPr>
          <w:ilvl w:val="0"/>
          <w:numId w:val="6"/>
        </w:numPr>
        <w:ind w:left="1276" w:hanging="425"/>
        <w:rPr>
          <w:noProof/>
          <w:sz w:val="24"/>
          <w:szCs w:val="24"/>
        </w:rPr>
      </w:pPr>
      <w:r w:rsidRPr="007D67E8">
        <w:rPr>
          <w:sz w:val="24"/>
          <w:szCs w:val="24"/>
        </w:rPr>
        <w:t>Vaginal candidiasis, akut eller recidiverende, når lokal behandling ikke er hensigtsmæssig.</w:t>
      </w:r>
    </w:p>
    <w:p w14:paraId="6A99AE7C" w14:textId="5D28E6F8" w:rsidR="00CA5A1F" w:rsidRPr="007D67E8" w:rsidRDefault="00CA5A1F" w:rsidP="004772C4">
      <w:pPr>
        <w:pStyle w:val="Listeafsnit"/>
        <w:numPr>
          <w:ilvl w:val="0"/>
          <w:numId w:val="6"/>
        </w:numPr>
        <w:ind w:left="1276" w:hanging="425"/>
        <w:rPr>
          <w:noProof/>
          <w:sz w:val="24"/>
          <w:szCs w:val="24"/>
        </w:rPr>
      </w:pPr>
      <w:r w:rsidRPr="007D67E8">
        <w:rPr>
          <w:sz w:val="24"/>
          <w:szCs w:val="24"/>
        </w:rPr>
        <w:t>Candidabalanitis, når lokal behandling ikke er hensigtsmæssig.</w:t>
      </w:r>
    </w:p>
    <w:p w14:paraId="24C7CA0D" w14:textId="0D9E5021" w:rsidR="00CA5A1F" w:rsidRPr="007D67E8" w:rsidRDefault="00CA5A1F" w:rsidP="004772C4">
      <w:pPr>
        <w:pStyle w:val="Listeafsnit"/>
        <w:numPr>
          <w:ilvl w:val="0"/>
          <w:numId w:val="6"/>
        </w:numPr>
        <w:ind w:left="1276" w:hanging="425"/>
        <w:rPr>
          <w:noProof/>
          <w:sz w:val="24"/>
          <w:szCs w:val="24"/>
        </w:rPr>
      </w:pPr>
      <w:bookmarkStart w:id="2" w:name="_Hlk42074071"/>
      <w:r w:rsidRPr="007D67E8">
        <w:rPr>
          <w:sz w:val="24"/>
          <w:szCs w:val="24"/>
        </w:rPr>
        <w:lastRenderedPageBreak/>
        <w:t>Dermatomykoser,</w:t>
      </w:r>
      <w:bookmarkEnd w:id="2"/>
      <w:r w:rsidRPr="007D67E8">
        <w:rPr>
          <w:sz w:val="24"/>
          <w:szCs w:val="24"/>
        </w:rPr>
        <w:t xml:space="preserve"> herunder </w:t>
      </w:r>
      <w:r w:rsidRPr="007D67E8">
        <w:rPr>
          <w:i/>
          <w:sz w:val="24"/>
          <w:szCs w:val="24"/>
        </w:rPr>
        <w:t>tinea pedis</w:t>
      </w:r>
      <w:r w:rsidRPr="007D67E8">
        <w:rPr>
          <w:sz w:val="24"/>
          <w:szCs w:val="24"/>
        </w:rPr>
        <w:t xml:space="preserve">, </w:t>
      </w:r>
      <w:bookmarkStart w:id="3" w:name="_Hlk42074111"/>
      <w:r w:rsidRPr="007D67E8">
        <w:rPr>
          <w:i/>
          <w:sz w:val="24"/>
          <w:szCs w:val="24"/>
        </w:rPr>
        <w:t>tinea corporis</w:t>
      </w:r>
      <w:r w:rsidRPr="007D67E8">
        <w:rPr>
          <w:sz w:val="24"/>
          <w:szCs w:val="24"/>
        </w:rPr>
        <w:t xml:space="preserve">, </w:t>
      </w:r>
      <w:r w:rsidRPr="007D67E8">
        <w:rPr>
          <w:i/>
          <w:sz w:val="24"/>
          <w:szCs w:val="24"/>
        </w:rPr>
        <w:t>tinea cruris</w:t>
      </w:r>
      <w:r w:rsidRPr="007D67E8">
        <w:rPr>
          <w:sz w:val="24"/>
          <w:szCs w:val="24"/>
        </w:rPr>
        <w:t xml:space="preserve">, </w:t>
      </w:r>
      <w:r w:rsidRPr="007D67E8">
        <w:rPr>
          <w:i/>
          <w:sz w:val="24"/>
          <w:szCs w:val="24"/>
        </w:rPr>
        <w:t>tinea versicolor</w:t>
      </w:r>
      <w:bookmarkEnd w:id="3"/>
      <w:r w:rsidRPr="007D67E8">
        <w:rPr>
          <w:sz w:val="24"/>
          <w:szCs w:val="24"/>
        </w:rPr>
        <w:t xml:space="preserve"> og dermale candidainfektioner, når systemisk behandling er indiceret.</w:t>
      </w:r>
    </w:p>
    <w:p w14:paraId="1F9F29FE" w14:textId="2D5C5FC1" w:rsidR="00CA5A1F" w:rsidRPr="007D67E8" w:rsidRDefault="00CA5A1F" w:rsidP="004772C4">
      <w:pPr>
        <w:pStyle w:val="Listeafsnit"/>
        <w:numPr>
          <w:ilvl w:val="0"/>
          <w:numId w:val="6"/>
        </w:numPr>
        <w:ind w:left="1276" w:hanging="425"/>
        <w:rPr>
          <w:noProof/>
          <w:sz w:val="24"/>
          <w:szCs w:val="24"/>
        </w:rPr>
      </w:pPr>
      <w:bookmarkStart w:id="4" w:name="_Hlk42074127"/>
      <w:r w:rsidRPr="007D67E8">
        <w:rPr>
          <w:sz w:val="24"/>
          <w:szCs w:val="24"/>
        </w:rPr>
        <w:t>Tinea unguinium (onykomykose)</w:t>
      </w:r>
      <w:bookmarkEnd w:id="4"/>
      <w:r w:rsidRPr="007D67E8">
        <w:rPr>
          <w:sz w:val="24"/>
          <w:szCs w:val="24"/>
        </w:rPr>
        <w:t>, når andre midler ikke anses for hensigtsmæssige.</w:t>
      </w:r>
    </w:p>
    <w:p w14:paraId="381AC3E0" w14:textId="77777777" w:rsidR="00CA5A1F" w:rsidRPr="007D67E8" w:rsidRDefault="00CA5A1F" w:rsidP="00263B79">
      <w:pPr>
        <w:rPr>
          <w:noProof/>
          <w:sz w:val="24"/>
          <w:szCs w:val="24"/>
        </w:rPr>
      </w:pPr>
    </w:p>
    <w:p w14:paraId="75D9309A" w14:textId="727997AC" w:rsidR="00CA5A1F" w:rsidRPr="007D67E8" w:rsidRDefault="00CA5A1F" w:rsidP="004772C4">
      <w:pPr>
        <w:ind w:left="851"/>
        <w:rPr>
          <w:color w:val="000000"/>
          <w:sz w:val="24"/>
          <w:szCs w:val="24"/>
        </w:rPr>
      </w:pPr>
      <w:r w:rsidRPr="007D67E8">
        <w:rPr>
          <w:color w:val="000000"/>
          <w:sz w:val="24"/>
          <w:szCs w:val="24"/>
          <w:u w:val="single"/>
        </w:rPr>
        <w:t xml:space="preserve">Fluconazol </w:t>
      </w:r>
      <w:r w:rsidR="00B705BB">
        <w:rPr>
          <w:color w:val="000000"/>
          <w:sz w:val="24"/>
          <w:szCs w:val="24"/>
          <w:u w:val="single"/>
        </w:rPr>
        <w:t>"Vitabalans"</w:t>
      </w:r>
      <w:r w:rsidRPr="007D67E8">
        <w:rPr>
          <w:color w:val="000000"/>
          <w:sz w:val="24"/>
          <w:szCs w:val="24"/>
          <w:u w:val="single"/>
        </w:rPr>
        <w:t xml:space="preserve"> er indiceret hos voksne til profylakse af:</w:t>
      </w:r>
      <w:r w:rsidRPr="007D67E8">
        <w:rPr>
          <w:color w:val="000000"/>
          <w:sz w:val="24"/>
          <w:szCs w:val="24"/>
        </w:rPr>
        <w:t xml:space="preserve"> </w:t>
      </w:r>
    </w:p>
    <w:p w14:paraId="282A880C" w14:textId="161F5B72" w:rsidR="00CA5A1F" w:rsidRPr="007D67E8" w:rsidRDefault="00CA5A1F" w:rsidP="004772C4">
      <w:pPr>
        <w:pStyle w:val="Listeafsnit"/>
        <w:numPr>
          <w:ilvl w:val="0"/>
          <w:numId w:val="10"/>
        </w:numPr>
        <w:ind w:left="1276" w:hanging="425"/>
        <w:rPr>
          <w:sz w:val="24"/>
          <w:szCs w:val="24"/>
        </w:rPr>
      </w:pPr>
      <w:r w:rsidRPr="007D67E8">
        <w:rPr>
          <w:sz w:val="24"/>
          <w:szCs w:val="24"/>
        </w:rPr>
        <w:t>Tilbagefald af kryptokokmeningitis hos patienter med høj ricidivrisiko.</w:t>
      </w:r>
    </w:p>
    <w:p w14:paraId="02B1F0D5" w14:textId="7AD6AC77" w:rsidR="00CA5A1F" w:rsidRPr="007D67E8" w:rsidRDefault="00CA5A1F" w:rsidP="004772C4">
      <w:pPr>
        <w:pStyle w:val="Listeafsnit"/>
        <w:numPr>
          <w:ilvl w:val="0"/>
          <w:numId w:val="10"/>
        </w:numPr>
        <w:ind w:left="1276" w:hanging="425"/>
        <w:rPr>
          <w:sz w:val="24"/>
          <w:szCs w:val="24"/>
        </w:rPr>
      </w:pPr>
      <w:r w:rsidRPr="007D67E8">
        <w:rPr>
          <w:sz w:val="24"/>
          <w:szCs w:val="24"/>
        </w:rPr>
        <w:t>Tilbagefald af orofaryngeal eller øsofageal candidiasis hos HIV-smittede med høj recidivrisiko.</w:t>
      </w:r>
    </w:p>
    <w:p w14:paraId="7F70BEE4" w14:textId="683C9CE2" w:rsidR="00CA5A1F" w:rsidRPr="007D67E8" w:rsidRDefault="00CA5A1F" w:rsidP="004772C4">
      <w:pPr>
        <w:pStyle w:val="Listeafsnit"/>
        <w:numPr>
          <w:ilvl w:val="0"/>
          <w:numId w:val="10"/>
        </w:numPr>
        <w:ind w:left="1276" w:hanging="425"/>
        <w:rPr>
          <w:sz w:val="24"/>
          <w:szCs w:val="24"/>
        </w:rPr>
      </w:pPr>
      <w:r w:rsidRPr="007D67E8">
        <w:rPr>
          <w:sz w:val="24"/>
          <w:szCs w:val="24"/>
        </w:rPr>
        <w:t>Reduktion af recidivforekomsten af vaginal candidiasis (4 eller flere episoder om året).</w:t>
      </w:r>
    </w:p>
    <w:p w14:paraId="235834C8" w14:textId="15CB1B12" w:rsidR="00CA5A1F" w:rsidRPr="007D67E8" w:rsidRDefault="00CA5A1F" w:rsidP="004772C4">
      <w:pPr>
        <w:pStyle w:val="Listeafsnit"/>
        <w:numPr>
          <w:ilvl w:val="0"/>
          <w:numId w:val="10"/>
        </w:numPr>
        <w:ind w:left="1276" w:hanging="425"/>
        <w:rPr>
          <w:sz w:val="24"/>
          <w:szCs w:val="24"/>
        </w:rPr>
      </w:pPr>
      <w:r w:rsidRPr="007D67E8">
        <w:rPr>
          <w:sz w:val="24"/>
          <w:szCs w:val="24"/>
        </w:rPr>
        <w:t>Forebyggelse af candidainfektion ved langvarig neutropeni (således ved malign hæmatologisk sygdom, der behandles med kemoterapi, og ved transplantation af hæmatopoietiske stamceller (se pkt. 5.1)).</w:t>
      </w:r>
    </w:p>
    <w:p w14:paraId="09EDA21E" w14:textId="77777777" w:rsidR="00CA5A1F" w:rsidRPr="007D67E8" w:rsidRDefault="00CA5A1F" w:rsidP="00263B79">
      <w:pPr>
        <w:rPr>
          <w:sz w:val="24"/>
          <w:szCs w:val="24"/>
        </w:rPr>
      </w:pPr>
    </w:p>
    <w:p w14:paraId="7C711AFB" w14:textId="098AE391" w:rsidR="00CA5A1F" w:rsidRPr="007D67E8" w:rsidRDefault="00CA5A1F" w:rsidP="004772C4">
      <w:pPr>
        <w:ind w:left="851"/>
        <w:rPr>
          <w:color w:val="000000"/>
          <w:sz w:val="24"/>
          <w:szCs w:val="24"/>
        </w:rPr>
      </w:pPr>
      <w:r w:rsidRPr="007D67E8">
        <w:rPr>
          <w:color w:val="000000"/>
          <w:sz w:val="24"/>
          <w:szCs w:val="24"/>
          <w:u w:val="single"/>
        </w:rPr>
        <w:t xml:space="preserve">Fluconazol </w:t>
      </w:r>
      <w:r w:rsidR="00B705BB">
        <w:rPr>
          <w:color w:val="000000"/>
          <w:sz w:val="24"/>
          <w:szCs w:val="24"/>
          <w:u w:val="single"/>
        </w:rPr>
        <w:t>"Vitabalans"</w:t>
      </w:r>
      <w:r w:rsidRPr="007D67E8">
        <w:rPr>
          <w:color w:val="000000"/>
          <w:sz w:val="24"/>
          <w:szCs w:val="24"/>
          <w:u w:val="single"/>
        </w:rPr>
        <w:t xml:space="preserve"> er indiceret til nyfødte, spædbørn, småbørn, børn og unge fra 0 til 17 år:</w:t>
      </w:r>
      <w:r w:rsidRPr="007D67E8">
        <w:rPr>
          <w:color w:val="000000"/>
          <w:sz w:val="24"/>
          <w:szCs w:val="24"/>
        </w:rPr>
        <w:t xml:space="preserve"> </w:t>
      </w:r>
    </w:p>
    <w:p w14:paraId="1A251755" w14:textId="7A563669" w:rsidR="00CA5A1F" w:rsidRPr="007D67E8" w:rsidRDefault="00CA5A1F" w:rsidP="004772C4">
      <w:pPr>
        <w:ind w:left="851"/>
        <w:rPr>
          <w:color w:val="000000"/>
          <w:sz w:val="24"/>
          <w:szCs w:val="24"/>
        </w:rPr>
      </w:pPr>
      <w:r w:rsidRPr="007D67E8">
        <w:rPr>
          <w:sz w:val="24"/>
          <w:szCs w:val="24"/>
        </w:rPr>
        <w:t xml:space="preserve">Fluconazol </w:t>
      </w:r>
      <w:r w:rsidR="00B705BB">
        <w:rPr>
          <w:sz w:val="24"/>
          <w:szCs w:val="24"/>
        </w:rPr>
        <w:t>"Vitabalans"</w:t>
      </w:r>
      <w:r w:rsidRPr="007D67E8">
        <w:rPr>
          <w:sz w:val="24"/>
          <w:szCs w:val="24"/>
        </w:rPr>
        <w:t xml:space="preserve"> anvendes til behandling af mukøs candidiasis (orofaryngeal, øsofageal), invasiv candidiasis, kryptokokmeningitis, og</w:t>
      </w:r>
      <w:r w:rsidRPr="007D67E8">
        <w:rPr>
          <w:color w:val="000000"/>
          <w:sz w:val="24"/>
          <w:szCs w:val="24"/>
        </w:rPr>
        <w:t xml:space="preserve"> </w:t>
      </w:r>
      <w:bookmarkStart w:id="5" w:name="_Hlk42255280"/>
      <w:r w:rsidRPr="007D67E8">
        <w:rPr>
          <w:color w:val="000000"/>
          <w:sz w:val="24"/>
          <w:szCs w:val="24"/>
        </w:rPr>
        <w:t xml:space="preserve">profylakse af candidainfektioner hos immunkompromitterede patienter. </w:t>
      </w:r>
      <w:bookmarkEnd w:id="5"/>
      <w:r w:rsidRPr="007D67E8">
        <w:rPr>
          <w:color w:val="000000"/>
          <w:sz w:val="24"/>
          <w:szCs w:val="24"/>
        </w:rPr>
        <w:t xml:space="preserve">Fluconazol </w:t>
      </w:r>
      <w:r w:rsidR="00B705BB">
        <w:rPr>
          <w:color w:val="000000"/>
          <w:sz w:val="24"/>
          <w:szCs w:val="24"/>
        </w:rPr>
        <w:t>"Vitabalans"</w:t>
      </w:r>
      <w:r w:rsidRPr="007D67E8">
        <w:rPr>
          <w:color w:val="000000"/>
          <w:sz w:val="24"/>
          <w:szCs w:val="24"/>
        </w:rPr>
        <w:t xml:space="preserve"> kan anvendes som vedligeholdelsesbehandling til at forebygge tilbagefald af kryptokokmeningitis hos børn med høj recidivrisiko (se pkt. 4.4). </w:t>
      </w:r>
    </w:p>
    <w:p w14:paraId="1BFCCD01" w14:textId="58036F72" w:rsidR="00CA5A1F" w:rsidRPr="007D67E8" w:rsidRDefault="00CA5A1F" w:rsidP="004772C4">
      <w:pPr>
        <w:ind w:left="851"/>
        <w:rPr>
          <w:color w:val="000000"/>
          <w:sz w:val="24"/>
          <w:szCs w:val="24"/>
        </w:rPr>
      </w:pPr>
      <w:r w:rsidRPr="007D67E8">
        <w:rPr>
          <w:color w:val="000000"/>
          <w:sz w:val="24"/>
          <w:szCs w:val="24"/>
        </w:rPr>
        <w:t>Behandlingen kan iværksættes før resultaterne af dyrkning og andre laboratorieundersøgelser kendes.</w:t>
      </w:r>
      <w:r w:rsidR="004772C4" w:rsidRPr="007D67E8">
        <w:rPr>
          <w:color w:val="000000"/>
          <w:sz w:val="24"/>
          <w:szCs w:val="24"/>
        </w:rPr>
        <w:t xml:space="preserve"> </w:t>
      </w:r>
      <w:r w:rsidRPr="007D67E8">
        <w:rPr>
          <w:color w:val="000000"/>
          <w:sz w:val="24"/>
          <w:szCs w:val="24"/>
        </w:rPr>
        <w:t>Når resultaterne bliver tilgængelige, bør den antiinfektiøse behandling justeres tilsvarende.</w:t>
      </w:r>
    </w:p>
    <w:p w14:paraId="0065AF51" w14:textId="77777777" w:rsidR="004772C4" w:rsidRPr="007D67E8" w:rsidRDefault="004772C4" w:rsidP="004772C4">
      <w:pPr>
        <w:ind w:left="851"/>
        <w:rPr>
          <w:color w:val="000000"/>
          <w:sz w:val="24"/>
          <w:szCs w:val="24"/>
        </w:rPr>
      </w:pPr>
    </w:p>
    <w:p w14:paraId="4C5170E3" w14:textId="4C2D4966" w:rsidR="00CA5A1F" w:rsidRPr="007D67E8" w:rsidRDefault="00CA5A1F" w:rsidP="004772C4">
      <w:pPr>
        <w:ind w:left="851"/>
        <w:rPr>
          <w:color w:val="000000"/>
          <w:sz w:val="24"/>
          <w:szCs w:val="24"/>
        </w:rPr>
      </w:pPr>
      <w:r w:rsidRPr="007D67E8">
        <w:rPr>
          <w:color w:val="000000"/>
          <w:sz w:val="24"/>
          <w:szCs w:val="24"/>
        </w:rPr>
        <w:t>Officielle retningslinjer for forsvarlig brug af antibiotika bør følges.</w:t>
      </w:r>
    </w:p>
    <w:p w14:paraId="7B25576D" w14:textId="77777777" w:rsidR="009260DE" w:rsidRPr="007D67E8" w:rsidRDefault="009260DE" w:rsidP="009260DE">
      <w:pPr>
        <w:tabs>
          <w:tab w:val="left" w:pos="851"/>
        </w:tabs>
        <w:ind w:left="851"/>
        <w:rPr>
          <w:sz w:val="24"/>
          <w:szCs w:val="24"/>
        </w:rPr>
      </w:pPr>
    </w:p>
    <w:p w14:paraId="6297E290" w14:textId="0EC72A57" w:rsidR="009260DE" w:rsidRPr="007D67E8" w:rsidRDefault="009260DE" w:rsidP="009260DE">
      <w:pPr>
        <w:tabs>
          <w:tab w:val="left" w:pos="851"/>
        </w:tabs>
        <w:ind w:left="851" w:hanging="851"/>
        <w:rPr>
          <w:b/>
          <w:sz w:val="24"/>
          <w:szCs w:val="24"/>
        </w:rPr>
      </w:pPr>
      <w:r w:rsidRPr="007D67E8">
        <w:rPr>
          <w:b/>
          <w:sz w:val="24"/>
          <w:szCs w:val="24"/>
        </w:rPr>
        <w:t>4.2</w:t>
      </w:r>
      <w:r w:rsidRPr="007D67E8">
        <w:rPr>
          <w:b/>
          <w:sz w:val="24"/>
          <w:szCs w:val="24"/>
        </w:rPr>
        <w:tab/>
      </w:r>
      <w:r w:rsidR="006B17EE" w:rsidRPr="00F31B64">
        <w:rPr>
          <w:b/>
          <w:sz w:val="24"/>
          <w:szCs w:val="24"/>
        </w:rPr>
        <w:t>Dosering og administration</w:t>
      </w:r>
    </w:p>
    <w:p w14:paraId="4922F714" w14:textId="77777777" w:rsidR="00884FA2" w:rsidRPr="007D67E8" w:rsidRDefault="00884FA2" w:rsidP="004772C4">
      <w:pPr>
        <w:ind w:left="851"/>
        <w:rPr>
          <w:sz w:val="24"/>
          <w:szCs w:val="24"/>
          <w:u w:val="single"/>
        </w:rPr>
      </w:pPr>
    </w:p>
    <w:p w14:paraId="25E5D849" w14:textId="453CD0CC" w:rsidR="00CA5A1F" w:rsidRPr="007D67E8" w:rsidRDefault="00CA5A1F" w:rsidP="004772C4">
      <w:pPr>
        <w:ind w:left="851"/>
        <w:rPr>
          <w:sz w:val="24"/>
          <w:szCs w:val="24"/>
          <w:u w:val="single"/>
        </w:rPr>
      </w:pPr>
      <w:r w:rsidRPr="007D67E8">
        <w:rPr>
          <w:sz w:val="24"/>
          <w:szCs w:val="24"/>
          <w:u w:val="single"/>
        </w:rPr>
        <w:t>Dosering</w:t>
      </w:r>
    </w:p>
    <w:p w14:paraId="7DA7243C" w14:textId="149EBA85" w:rsidR="00CA5A1F" w:rsidRDefault="00CA5A1F" w:rsidP="004772C4">
      <w:pPr>
        <w:ind w:left="851"/>
        <w:rPr>
          <w:color w:val="000000"/>
          <w:sz w:val="24"/>
          <w:szCs w:val="24"/>
        </w:rPr>
      </w:pPr>
      <w:r w:rsidRPr="007D67E8">
        <w:rPr>
          <w:color w:val="000000"/>
          <w:sz w:val="24"/>
          <w:szCs w:val="24"/>
        </w:rPr>
        <w:t>Dosis bør baseres på svampeinfektionens art og sværhedsgrad. Behandling af infektioner, der kræver flergangsdosering, bør fortsættes, indtil kliniske parametre eller laboratorieprøver viser, at den aktive svampeinfektion er aftaget. Utilstrækkelig behandlingsvarighed kan føre til recidiv af aktiv infektion.</w:t>
      </w:r>
    </w:p>
    <w:p w14:paraId="28664A6C" w14:textId="7741DD5C" w:rsidR="00444142" w:rsidRDefault="00444142" w:rsidP="004772C4">
      <w:pPr>
        <w:ind w:left="851"/>
        <w:rPr>
          <w:color w:val="000000"/>
          <w:sz w:val="24"/>
          <w:szCs w:val="24"/>
        </w:rPr>
      </w:pPr>
    </w:p>
    <w:p w14:paraId="10FA73E1" w14:textId="77777777" w:rsidR="00444142" w:rsidRPr="007E0722" w:rsidRDefault="00444142" w:rsidP="00444142">
      <w:pPr>
        <w:ind w:left="851"/>
        <w:rPr>
          <w:i/>
          <w:iCs/>
          <w:color w:val="000000"/>
          <w:sz w:val="24"/>
          <w:szCs w:val="24"/>
          <w:u w:val="single"/>
        </w:rPr>
      </w:pPr>
      <w:r w:rsidRPr="007E0722">
        <w:rPr>
          <w:i/>
          <w:iCs/>
          <w:color w:val="000000"/>
          <w:sz w:val="24"/>
          <w:szCs w:val="24"/>
          <w:u w:val="single"/>
        </w:rPr>
        <w:t>Voksne</w:t>
      </w:r>
    </w:p>
    <w:p w14:paraId="10260916" w14:textId="77777777" w:rsidR="00CA5A1F" w:rsidRPr="007D67E8" w:rsidRDefault="00CA5A1F" w:rsidP="00CA5A1F">
      <w:pPr>
        <w:rPr>
          <w:color w:val="000000"/>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089"/>
        <w:gridCol w:w="2825"/>
        <w:gridCol w:w="2154"/>
        <w:gridCol w:w="2554"/>
      </w:tblGrid>
      <w:tr w:rsidR="00CA5A1F" w:rsidRPr="007D67E8" w14:paraId="4BE2E3C9" w14:textId="77777777" w:rsidTr="00263B79">
        <w:tc>
          <w:tcPr>
            <w:tcW w:w="2600" w:type="pct"/>
            <w:gridSpan w:val="2"/>
            <w:tcBorders>
              <w:top w:val="outset" w:sz="6" w:space="0" w:color="7B7B7B"/>
              <w:left w:val="outset" w:sz="6" w:space="0" w:color="7B7B7B"/>
              <w:bottom w:val="outset" w:sz="6" w:space="0" w:color="7B7B7B"/>
              <w:right w:val="outset" w:sz="6" w:space="0" w:color="7B7B7B"/>
            </w:tcBorders>
            <w:hideMark/>
          </w:tcPr>
          <w:p w14:paraId="1E374B10" w14:textId="77777777" w:rsidR="00CA5A1F" w:rsidRPr="007D67E8" w:rsidRDefault="00CA5A1F" w:rsidP="00263B79">
            <w:pPr>
              <w:rPr>
                <w:b/>
                <w:sz w:val="24"/>
                <w:szCs w:val="24"/>
                <w:u w:val="single"/>
              </w:rPr>
            </w:pPr>
            <w:r w:rsidRPr="007D67E8">
              <w:rPr>
                <w:b/>
                <w:sz w:val="24"/>
                <w:szCs w:val="24"/>
                <w:u w:val="single"/>
              </w:rPr>
              <w:t xml:space="preserve">Indikationer </w:t>
            </w:r>
          </w:p>
        </w:tc>
        <w:tc>
          <w:tcPr>
            <w:tcW w:w="1050" w:type="pct"/>
            <w:tcBorders>
              <w:top w:val="outset" w:sz="6" w:space="0" w:color="7B7B7B"/>
              <w:left w:val="outset" w:sz="6" w:space="0" w:color="7B7B7B"/>
              <w:bottom w:val="outset" w:sz="6" w:space="0" w:color="7B7B7B"/>
              <w:right w:val="outset" w:sz="6" w:space="0" w:color="7B7B7B"/>
            </w:tcBorders>
            <w:hideMark/>
          </w:tcPr>
          <w:p w14:paraId="4A4775E2" w14:textId="77777777" w:rsidR="00CA5A1F" w:rsidRPr="007D67E8" w:rsidRDefault="00CA5A1F" w:rsidP="00263B79">
            <w:pPr>
              <w:rPr>
                <w:b/>
                <w:sz w:val="24"/>
                <w:szCs w:val="24"/>
                <w:u w:val="single"/>
              </w:rPr>
            </w:pPr>
            <w:r w:rsidRPr="007D67E8">
              <w:rPr>
                <w:b/>
                <w:sz w:val="24"/>
                <w:szCs w:val="24"/>
                <w:u w:val="single"/>
              </w:rPr>
              <w:t xml:space="preserve">Dosering </w:t>
            </w:r>
          </w:p>
        </w:tc>
        <w:tc>
          <w:tcPr>
            <w:tcW w:w="1350" w:type="pct"/>
            <w:tcBorders>
              <w:top w:val="outset" w:sz="6" w:space="0" w:color="7B7B7B"/>
              <w:left w:val="outset" w:sz="6" w:space="0" w:color="7B7B7B"/>
              <w:bottom w:val="outset" w:sz="6" w:space="0" w:color="7B7B7B"/>
              <w:right w:val="outset" w:sz="6" w:space="0" w:color="7B7B7B"/>
            </w:tcBorders>
            <w:hideMark/>
          </w:tcPr>
          <w:p w14:paraId="32824D79" w14:textId="77777777" w:rsidR="00CA5A1F" w:rsidRPr="007D67E8" w:rsidRDefault="00CA5A1F" w:rsidP="00263B79">
            <w:pPr>
              <w:rPr>
                <w:b/>
                <w:sz w:val="24"/>
                <w:szCs w:val="24"/>
                <w:u w:val="single"/>
              </w:rPr>
            </w:pPr>
            <w:r w:rsidRPr="007D67E8">
              <w:rPr>
                <w:b/>
                <w:sz w:val="24"/>
                <w:szCs w:val="24"/>
                <w:u w:val="single"/>
              </w:rPr>
              <w:t xml:space="preserve">Behandlingsvarighed </w:t>
            </w:r>
          </w:p>
        </w:tc>
      </w:tr>
      <w:tr w:rsidR="00CA5A1F" w:rsidRPr="007D67E8" w14:paraId="2032E099" w14:textId="77777777" w:rsidTr="00263B79">
        <w:tc>
          <w:tcPr>
            <w:tcW w:w="1109" w:type="pct"/>
            <w:vMerge w:val="restart"/>
            <w:tcBorders>
              <w:top w:val="outset" w:sz="6" w:space="0" w:color="7B7B7B"/>
              <w:left w:val="outset" w:sz="6" w:space="0" w:color="7B7B7B"/>
              <w:bottom w:val="outset" w:sz="6" w:space="0" w:color="7B7B7B"/>
              <w:right w:val="outset" w:sz="6" w:space="0" w:color="7B7B7B"/>
            </w:tcBorders>
            <w:hideMark/>
          </w:tcPr>
          <w:p w14:paraId="5A498523" w14:textId="77777777" w:rsidR="00CA5A1F" w:rsidRPr="007D67E8" w:rsidRDefault="00CA5A1F" w:rsidP="00263B79">
            <w:pPr>
              <w:rPr>
                <w:b/>
                <w:sz w:val="24"/>
                <w:szCs w:val="24"/>
              </w:rPr>
            </w:pPr>
            <w:r w:rsidRPr="007D67E8">
              <w:rPr>
                <w:b/>
                <w:sz w:val="24"/>
                <w:szCs w:val="24"/>
              </w:rPr>
              <w:t xml:space="preserve">Kryptokokkose </w:t>
            </w:r>
          </w:p>
        </w:tc>
        <w:tc>
          <w:tcPr>
            <w:tcW w:w="1491" w:type="pct"/>
            <w:tcBorders>
              <w:top w:val="outset" w:sz="6" w:space="0" w:color="7B7B7B"/>
              <w:left w:val="outset" w:sz="6" w:space="0" w:color="7B7B7B"/>
              <w:bottom w:val="outset" w:sz="6" w:space="0" w:color="7B7B7B"/>
              <w:right w:val="outset" w:sz="6" w:space="0" w:color="7B7B7B"/>
            </w:tcBorders>
            <w:hideMark/>
          </w:tcPr>
          <w:p w14:paraId="518577DD" w14:textId="77777777" w:rsidR="00CA5A1F" w:rsidRPr="007D67E8" w:rsidRDefault="00CA5A1F" w:rsidP="00263B79">
            <w:pPr>
              <w:rPr>
                <w:sz w:val="24"/>
                <w:szCs w:val="24"/>
              </w:rPr>
            </w:pPr>
            <w:r w:rsidRPr="007D67E8">
              <w:rPr>
                <w:sz w:val="24"/>
                <w:szCs w:val="24"/>
              </w:rPr>
              <w:t>Behandling af kryptokokmeningitis.</w:t>
            </w:r>
          </w:p>
        </w:tc>
        <w:tc>
          <w:tcPr>
            <w:tcW w:w="1050" w:type="pct"/>
            <w:tcBorders>
              <w:top w:val="outset" w:sz="6" w:space="0" w:color="7B7B7B"/>
              <w:left w:val="outset" w:sz="6" w:space="0" w:color="7B7B7B"/>
              <w:bottom w:val="outset" w:sz="6" w:space="0" w:color="7B7B7B"/>
              <w:right w:val="outset" w:sz="6" w:space="0" w:color="7B7B7B"/>
            </w:tcBorders>
            <w:hideMark/>
          </w:tcPr>
          <w:p w14:paraId="0854458F" w14:textId="77777777" w:rsidR="00CA5A1F" w:rsidRPr="007D67E8" w:rsidRDefault="00CA5A1F" w:rsidP="00263B79">
            <w:pPr>
              <w:rPr>
                <w:sz w:val="24"/>
                <w:szCs w:val="24"/>
              </w:rPr>
            </w:pPr>
            <w:r w:rsidRPr="007D67E8">
              <w:rPr>
                <w:sz w:val="24"/>
                <w:szCs w:val="24"/>
              </w:rPr>
              <w:t>Støddosis: 400 mg på dag 1</w:t>
            </w:r>
          </w:p>
          <w:p w14:paraId="23FD447C" w14:textId="77777777" w:rsidR="00CA5A1F" w:rsidRPr="007D67E8" w:rsidRDefault="00CA5A1F" w:rsidP="00263B79">
            <w:pPr>
              <w:rPr>
                <w:sz w:val="24"/>
                <w:szCs w:val="24"/>
              </w:rPr>
            </w:pPr>
            <w:r w:rsidRPr="007D67E8">
              <w:rPr>
                <w:sz w:val="24"/>
                <w:szCs w:val="24"/>
              </w:rPr>
              <w:t>Efterfølgende dosis: 200 -400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4639121A" w14:textId="77777777" w:rsidR="00CA5A1F" w:rsidRPr="007D67E8" w:rsidRDefault="00CA5A1F" w:rsidP="00263B79">
            <w:pPr>
              <w:rPr>
                <w:sz w:val="24"/>
                <w:szCs w:val="24"/>
              </w:rPr>
            </w:pPr>
            <w:r w:rsidRPr="007D67E8">
              <w:rPr>
                <w:sz w:val="24"/>
                <w:szCs w:val="24"/>
              </w:rPr>
              <w:t>Som regeli mindst 6 til 8 uger.</w:t>
            </w:r>
          </w:p>
          <w:p w14:paraId="16784D1C" w14:textId="77777777" w:rsidR="00CA5A1F" w:rsidRPr="007D67E8" w:rsidRDefault="00CA5A1F" w:rsidP="00263B79">
            <w:pPr>
              <w:rPr>
                <w:sz w:val="24"/>
                <w:szCs w:val="24"/>
              </w:rPr>
            </w:pPr>
            <w:r w:rsidRPr="007D67E8">
              <w:rPr>
                <w:sz w:val="24"/>
                <w:szCs w:val="24"/>
              </w:rPr>
              <w:t xml:space="preserve">Ved livstruende infektioner kan dagsdosis øges til 800 mg </w:t>
            </w:r>
          </w:p>
        </w:tc>
      </w:tr>
      <w:tr w:rsidR="00CA5A1F" w:rsidRPr="007D67E8" w14:paraId="5D2CC840"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5ADF149D" w14:textId="77777777" w:rsidR="00CA5A1F" w:rsidRPr="007D67E8" w:rsidRDefault="00CA5A1F" w:rsidP="00263B79">
            <w:pPr>
              <w:rPr>
                <w:sz w:val="24"/>
                <w:szCs w:val="24"/>
              </w:rPr>
            </w:pPr>
          </w:p>
        </w:tc>
        <w:tc>
          <w:tcPr>
            <w:tcW w:w="1491" w:type="pct"/>
            <w:tcBorders>
              <w:top w:val="outset" w:sz="6" w:space="0" w:color="7B7B7B"/>
              <w:left w:val="outset" w:sz="6" w:space="0" w:color="7B7B7B"/>
              <w:bottom w:val="outset" w:sz="6" w:space="0" w:color="7B7B7B"/>
              <w:right w:val="outset" w:sz="6" w:space="0" w:color="7B7B7B"/>
            </w:tcBorders>
            <w:hideMark/>
          </w:tcPr>
          <w:p w14:paraId="3B26AC5E" w14:textId="77777777" w:rsidR="00CA5A1F" w:rsidRPr="007D67E8" w:rsidRDefault="00CA5A1F" w:rsidP="00263B79">
            <w:pPr>
              <w:rPr>
                <w:sz w:val="24"/>
                <w:szCs w:val="24"/>
              </w:rPr>
            </w:pPr>
            <w:r w:rsidRPr="007D67E8">
              <w:rPr>
                <w:sz w:val="24"/>
                <w:szCs w:val="24"/>
              </w:rPr>
              <w:t>Vedligeholdelsesbehandling til at forhindre recidiv af kryptokokmeningitis hos patienter med høj recidivrisiko.</w:t>
            </w:r>
          </w:p>
        </w:tc>
        <w:tc>
          <w:tcPr>
            <w:tcW w:w="1050" w:type="pct"/>
            <w:tcBorders>
              <w:top w:val="outset" w:sz="6" w:space="0" w:color="7B7B7B"/>
              <w:left w:val="outset" w:sz="6" w:space="0" w:color="7B7B7B"/>
              <w:bottom w:val="outset" w:sz="6" w:space="0" w:color="7B7B7B"/>
              <w:right w:val="outset" w:sz="6" w:space="0" w:color="7B7B7B"/>
            </w:tcBorders>
            <w:hideMark/>
          </w:tcPr>
          <w:p w14:paraId="55AF6A1D" w14:textId="77777777" w:rsidR="00CA5A1F" w:rsidRPr="007D67E8" w:rsidRDefault="00CA5A1F" w:rsidP="00263B79">
            <w:pPr>
              <w:rPr>
                <w:sz w:val="24"/>
                <w:szCs w:val="24"/>
              </w:rPr>
            </w:pPr>
            <w:r w:rsidRPr="007D67E8">
              <w:rPr>
                <w:sz w:val="24"/>
                <w:szCs w:val="24"/>
              </w:rPr>
              <w:t>200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4586BDD1" w14:textId="77777777" w:rsidR="00CA5A1F" w:rsidRPr="007D67E8" w:rsidRDefault="00CA5A1F" w:rsidP="00263B79">
            <w:pPr>
              <w:rPr>
                <w:sz w:val="24"/>
                <w:szCs w:val="24"/>
              </w:rPr>
            </w:pPr>
            <w:r w:rsidRPr="007D67E8">
              <w:rPr>
                <w:sz w:val="24"/>
                <w:szCs w:val="24"/>
              </w:rPr>
              <w:t>På ubestemt tid ved en dagsdosis på 200 mg</w:t>
            </w:r>
          </w:p>
        </w:tc>
      </w:tr>
      <w:tr w:rsidR="00CA5A1F" w:rsidRPr="007D67E8" w14:paraId="329F3915" w14:textId="77777777" w:rsidTr="00263B79">
        <w:tc>
          <w:tcPr>
            <w:tcW w:w="1109" w:type="pct"/>
            <w:tcBorders>
              <w:top w:val="outset" w:sz="6" w:space="0" w:color="7B7B7B"/>
              <w:left w:val="outset" w:sz="6" w:space="0" w:color="7B7B7B"/>
              <w:bottom w:val="outset" w:sz="6" w:space="0" w:color="7B7B7B"/>
              <w:right w:val="outset" w:sz="6" w:space="0" w:color="7B7B7B"/>
            </w:tcBorders>
            <w:hideMark/>
          </w:tcPr>
          <w:p w14:paraId="1A0B2A7A" w14:textId="77777777" w:rsidR="00CA5A1F" w:rsidRPr="007D67E8" w:rsidRDefault="00CA5A1F" w:rsidP="00263B79">
            <w:pPr>
              <w:rPr>
                <w:sz w:val="24"/>
                <w:szCs w:val="24"/>
              </w:rPr>
            </w:pPr>
            <w:r w:rsidRPr="007D67E8">
              <w:rPr>
                <w:sz w:val="24"/>
                <w:szCs w:val="24"/>
              </w:rPr>
              <w:t xml:space="preserve">Kokcidioidomykose </w:t>
            </w:r>
          </w:p>
        </w:tc>
        <w:tc>
          <w:tcPr>
            <w:tcW w:w="1491" w:type="pct"/>
            <w:tcBorders>
              <w:top w:val="outset" w:sz="6" w:space="0" w:color="7B7B7B"/>
              <w:left w:val="outset" w:sz="6" w:space="0" w:color="7B7B7B"/>
              <w:bottom w:val="outset" w:sz="6" w:space="0" w:color="7B7B7B"/>
              <w:right w:val="outset" w:sz="6" w:space="0" w:color="7B7B7B"/>
            </w:tcBorders>
            <w:hideMark/>
          </w:tcPr>
          <w:p w14:paraId="39693B06" w14:textId="77777777" w:rsidR="00CA5A1F" w:rsidRPr="007D67E8" w:rsidRDefault="00CA5A1F" w:rsidP="00263B79">
            <w:pPr>
              <w:rPr>
                <w:sz w:val="24"/>
                <w:szCs w:val="24"/>
              </w:rPr>
            </w:pPr>
          </w:p>
        </w:tc>
        <w:tc>
          <w:tcPr>
            <w:tcW w:w="1050" w:type="pct"/>
            <w:tcBorders>
              <w:top w:val="outset" w:sz="6" w:space="0" w:color="7B7B7B"/>
              <w:left w:val="outset" w:sz="6" w:space="0" w:color="7B7B7B"/>
              <w:bottom w:val="outset" w:sz="6" w:space="0" w:color="7B7B7B"/>
              <w:right w:val="outset" w:sz="6" w:space="0" w:color="7B7B7B"/>
            </w:tcBorders>
            <w:hideMark/>
          </w:tcPr>
          <w:p w14:paraId="150A3192" w14:textId="77777777" w:rsidR="00CA5A1F" w:rsidRPr="007D67E8" w:rsidRDefault="00CA5A1F" w:rsidP="00263B79">
            <w:pPr>
              <w:rPr>
                <w:sz w:val="24"/>
                <w:szCs w:val="24"/>
              </w:rPr>
            </w:pPr>
            <w:r w:rsidRPr="007D67E8">
              <w:rPr>
                <w:sz w:val="24"/>
                <w:szCs w:val="24"/>
              </w:rPr>
              <w:t>200-400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431C6017" w14:textId="77777777" w:rsidR="00CA5A1F" w:rsidRPr="007D67E8" w:rsidRDefault="00CA5A1F" w:rsidP="00263B79">
            <w:pPr>
              <w:rPr>
                <w:sz w:val="24"/>
                <w:szCs w:val="24"/>
              </w:rPr>
            </w:pPr>
            <w:r w:rsidRPr="007D67E8">
              <w:rPr>
                <w:sz w:val="24"/>
                <w:szCs w:val="24"/>
              </w:rPr>
              <w:t xml:space="preserve">11 måneder op til 24 måneder eller længere, afhængigt af patienten. </w:t>
            </w:r>
            <w:r w:rsidRPr="007D67E8">
              <w:rPr>
                <w:sz w:val="24"/>
                <w:szCs w:val="24"/>
              </w:rPr>
              <w:lastRenderedPageBreak/>
              <w:t>800 mg dagligt kan overvejes for nogle infektioner, specielt meningeal sygdom</w:t>
            </w:r>
          </w:p>
        </w:tc>
      </w:tr>
      <w:tr w:rsidR="00CA5A1F" w:rsidRPr="007D67E8" w14:paraId="713213B1" w14:textId="77777777" w:rsidTr="00263B79">
        <w:tc>
          <w:tcPr>
            <w:tcW w:w="1109" w:type="pct"/>
            <w:tcBorders>
              <w:top w:val="outset" w:sz="6" w:space="0" w:color="7B7B7B"/>
              <w:left w:val="outset" w:sz="6" w:space="0" w:color="7B7B7B"/>
              <w:bottom w:val="outset" w:sz="6" w:space="0" w:color="7B7B7B"/>
              <w:right w:val="outset" w:sz="6" w:space="0" w:color="7B7B7B"/>
            </w:tcBorders>
            <w:hideMark/>
          </w:tcPr>
          <w:p w14:paraId="215DB598" w14:textId="77777777" w:rsidR="00CA5A1F" w:rsidRPr="007D67E8" w:rsidRDefault="00CA5A1F" w:rsidP="00263B79">
            <w:pPr>
              <w:rPr>
                <w:sz w:val="24"/>
                <w:szCs w:val="24"/>
              </w:rPr>
            </w:pPr>
            <w:r w:rsidRPr="007D67E8">
              <w:rPr>
                <w:sz w:val="24"/>
                <w:szCs w:val="24"/>
              </w:rPr>
              <w:lastRenderedPageBreak/>
              <w:t xml:space="preserve">Invasiv candidiasis </w:t>
            </w:r>
          </w:p>
        </w:tc>
        <w:tc>
          <w:tcPr>
            <w:tcW w:w="1491" w:type="pct"/>
            <w:tcBorders>
              <w:top w:val="outset" w:sz="6" w:space="0" w:color="7B7B7B"/>
              <w:left w:val="outset" w:sz="6" w:space="0" w:color="7B7B7B"/>
              <w:bottom w:val="outset" w:sz="6" w:space="0" w:color="7B7B7B"/>
              <w:right w:val="outset" w:sz="6" w:space="0" w:color="7B7B7B"/>
            </w:tcBorders>
            <w:hideMark/>
          </w:tcPr>
          <w:p w14:paraId="230C4F54" w14:textId="77777777" w:rsidR="00CA5A1F" w:rsidRPr="007D67E8" w:rsidRDefault="00CA5A1F" w:rsidP="00263B79">
            <w:pPr>
              <w:rPr>
                <w:sz w:val="24"/>
                <w:szCs w:val="24"/>
              </w:rPr>
            </w:pPr>
          </w:p>
        </w:tc>
        <w:tc>
          <w:tcPr>
            <w:tcW w:w="1050" w:type="pct"/>
            <w:tcBorders>
              <w:top w:val="outset" w:sz="6" w:space="0" w:color="7B7B7B"/>
              <w:left w:val="outset" w:sz="6" w:space="0" w:color="7B7B7B"/>
              <w:bottom w:val="outset" w:sz="6" w:space="0" w:color="7B7B7B"/>
              <w:right w:val="outset" w:sz="6" w:space="0" w:color="7B7B7B"/>
            </w:tcBorders>
            <w:hideMark/>
          </w:tcPr>
          <w:p w14:paraId="2A4C0B74" w14:textId="77777777" w:rsidR="00CA5A1F" w:rsidRPr="007D67E8" w:rsidRDefault="00CA5A1F" w:rsidP="00263B79">
            <w:pPr>
              <w:rPr>
                <w:sz w:val="24"/>
                <w:szCs w:val="24"/>
              </w:rPr>
            </w:pPr>
            <w:r w:rsidRPr="007D67E8">
              <w:rPr>
                <w:sz w:val="24"/>
                <w:szCs w:val="24"/>
              </w:rPr>
              <w:t>Støddosis: 800 mg på dag 1</w:t>
            </w:r>
          </w:p>
          <w:p w14:paraId="426034FC" w14:textId="77777777" w:rsidR="00CA5A1F" w:rsidRPr="007D67E8" w:rsidRDefault="00CA5A1F" w:rsidP="00263B79">
            <w:pPr>
              <w:rPr>
                <w:sz w:val="24"/>
                <w:szCs w:val="24"/>
              </w:rPr>
            </w:pPr>
            <w:r w:rsidRPr="007D67E8">
              <w:rPr>
                <w:sz w:val="24"/>
                <w:szCs w:val="24"/>
              </w:rPr>
              <w:t>Efterfølgende dosis: 400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7FDD8B33" w14:textId="77777777" w:rsidR="00CA5A1F" w:rsidRPr="007D67E8" w:rsidRDefault="00CA5A1F" w:rsidP="00263B79">
            <w:pPr>
              <w:rPr>
                <w:sz w:val="24"/>
                <w:szCs w:val="24"/>
              </w:rPr>
            </w:pPr>
            <w:r w:rsidRPr="007D67E8">
              <w:rPr>
                <w:sz w:val="24"/>
                <w:szCs w:val="24"/>
              </w:rPr>
              <w:t>Sædvanligvis er den anbefalede behandlingsvarighed for candidæmi 2 uger efter første negative resultat af en bloddyrkning og når tegn og symptomer på candidæmi er forsvundet</w:t>
            </w:r>
          </w:p>
        </w:tc>
      </w:tr>
      <w:tr w:rsidR="00CA5A1F" w:rsidRPr="007D67E8" w14:paraId="70FA0600" w14:textId="77777777" w:rsidTr="00263B79">
        <w:tc>
          <w:tcPr>
            <w:tcW w:w="1109" w:type="pct"/>
            <w:vMerge w:val="restart"/>
            <w:tcBorders>
              <w:top w:val="outset" w:sz="6" w:space="0" w:color="7B7B7B"/>
              <w:left w:val="outset" w:sz="6" w:space="0" w:color="7B7B7B"/>
              <w:bottom w:val="outset" w:sz="6" w:space="0" w:color="7B7B7B"/>
              <w:right w:val="outset" w:sz="6" w:space="0" w:color="7B7B7B"/>
            </w:tcBorders>
            <w:hideMark/>
          </w:tcPr>
          <w:p w14:paraId="292A6A5C" w14:textId="77777777" w:rsidR="00CA5A1F" w:rsidRPr="007D67E8" w:rsidRDefault="00CA5A1F" w:rsidP="00263B79">
            <w:pPr>
              <w:rPr>
                <w:b/>
                <w:sz w:val="24"/>
                <w:szCs w:val="24"/>
              </w:rPr>
            </w:pPr>
            <w:r w:rsidRPr="007D67E8">
              <w:rPr>
                <w:b/>
                <w:sz w:val="24"/>
                <w:szCs w:val="24"/>
              </w:rPr>
              <w:t xml:space="preserve">Behandling af mukøs candidiasis </w:t>
            </w:r>
          </w:p>
        </w:tc>
        <w:tc>
          <w:tcPr>
            <w:tcW w:w="1491" w:type="pct"/>
            <w:tcBorders>
              <w:top w:val="outset" w:sz="6" w:space="0" w:color="7B7B7B"/>
              <w:left w:val="outset" w:sz="6" w:space="0" w:color="7B7B7B"/>
              <w:bottom w:val="outset" w:sz="6" w:space="0" w:color="7B7B7B"/>
              <w:right w:val="outset" w:sz="6" w:space="0" w:color="7B7B7B"/>
            </w:tcBorders>
            <w:hideMark/>
          </w:tcPr>
          <w:p w14:paraId="5B3F050A" w14:textId="77777777" w:rsidR="00CA5A1F" w:rsidRPr="007D67E8" w:rsidRDefault="00CA5A1F" w:rsidP="00263B79">
            <w:pPr>
              <w:rPr>
                <w:sz w:val="24"/>
                <w:szCs w:val="24"/>
              </w:rPr>
            </w:pPr>
            <w:r w:rsidRPr="007D67E8">
              <w:rPr>
                <w:sz w:val="24"/>
                <w:szCs w:val="24"/>
              </w:rPr>
              <w:t>Orofaryngeal candidiasis</w:t>
            </w:r>
          </w:p>
        </w:tc>
        <w:tc>
          <w:tcPr>
            <w:tcW w:w="1050" w:type="pct"/>
            <w:tcBorders>
              <w:top w:val="outset" w:sz="6" w:space="0" w:color="7B7B7B"/>
              <w:left w:val="outset" w:sz="6" w:space="0" w:color="7B7B7B"/>
              <w:bottom w:val="outset" w:sz="6" w:space="0" w:color="7B7B7B"/>
              <w:right w:val="outset" w:sz="6" w:space="0" w:color="7B7B7B"/>
            </w:tcBorders>
            <w:hideMark/>
          </w:tcPr>
          <w:p w14:paraId="1BB144A0" w14:textId="77777777" w:rsidR="00CA5A1F" w:rsidRPr="007D67E8" w:rsidRDefault="00CA5A1F" w:rsidP="00263B79">
            <w:pPr>
              <w:rPr>
                <w:sz w:val="24"/>
                <w:szCs w:val="24"/>
              </w:rPr>
            </w:pPr>
            <w:r w:rsidRPr="007D67E8">
              <w:rPr>
                <w:sz w:val="24"/>
                <w:szCs w:val="24"/>
              </w:rPr>
              <w:t>Støddosis: 200-400 mg på dag 1</w:t>
            </w:r>
          </w:p>
          <w:p w14:paraId="7AA2687E" w14:textId="77777777" w:rsidR="00CA5A1F" w:rsidRPr="007D67E8" w:rsidRDefault="00CA5A1F" w:rsidP="00263B79">
            <w:pPr>
              <w:rPr>
                <w:sz w:val="24"/>
                <w:szCs w:val="24"/>
              </w:rPr>
            </w:pPr>
            <w:r w:rsidRPr="007D67E8">
              <w:rPr>
                <w:sz w:val="24"/>
                <w:szCs w:val="24"/>
              </w:rPr>
              <w:t>Efterfølgende dosis: 100-200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438F96B8" w14:textId="77777777" w:rsidR="00CA5A1F" w:rsidRPr="007D67E8" w:rsidRDefault="00CA5A1F" w:rsidP="00263B79">
            <w:pPr>
              <w:rPr>
                <w:sz w:val="24"/>
                <w:szCs w:val="24"/>
              </w:rPr>
            </w:pPr>
            <w:r w:rsidRPr="007D67E8">
              <w:rPr>
                <w:sz w:val="24"/>
                <w:szCs w:val="24"/>
              </w:rPr>
              <w:t xml:space="preserve">7 til 21 dage (indtil remission af orofaryngeal candidiasis). </w:t>
            </w:r>
          </w:p>
          <w:p w14:paraId="7695EEE0" w14:textId="77777777" w:rsidR="00CA5A1F" w:rsidRPr="007D67E8" w:rsidRDefault="00CA5A1F" w:rsidP="00263B79">
            <w:pPr>
              <w:rPr>
                <w:sz w:val="24"/>
                <w:szCs w:val="24"/>
              </w:rPr>
            </w:pPr>
            <w:r w:rsidRPr="007D67E8">
              <w:rPr>
                <w:sz w:val="24"/>
                <w:szCs w:val="24"/>
              </w:rPr>
              <w:t xml:space="preserve">Længere perioder kan anvendes ved svært nedsat immunforsvar </w:t>
            </w:r>
          </w:p>
        </w:tc>
      </w:tr>
      <w:tr w:rsidR="00CA5A1F" w:rsidRPr="007D67E8" w14:paraId="5B100C73"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42C52D4E" w14:textId="77777777" w:rsidR="00CA5A1F" w:rsidRPr="007D67E8" w:rsidRDefault="00CA5A1F" w:rsidP="00263B79">
            <w:pPr>
              <w:rPr>
                <w:sz w:val="24"/>
                <w:szCs w:val="24"/>
              </w:rPr>
            </w:pPr>
          </w:p>
        </w:tc>
        <w:tc>
          <w:tcPr>
            <w:tcW w:w="1491" w:type="pct"/>
            <w:tcBorders>
              <w:top w:val="outset" w:sz="6" w:space="0" w:color="7B7B7B"/>
              <w:left w:val="outset" w:sz="6" w:space="0" w:color="7B7B7B"/>
              <w:bottom w:val="outset" w:sz="6" w:space="0" w:color="7B7B7B"/>
              <w:right w:val="outset" w:sz="6" w:space="0" w:color="7B7B7B"/>
            </w:tcBorders>
            <w:hideMark/>
          </w:tcPr>
          <w:p w14:paraId="2167D431" w14:textId="77777777" w:rsidR="00CA5A1F" w:rsidRPr="007D67E8" w:rsidRDefault="00CA5A1F" w:rsidP="00263B79">
            <w:pPr>
              <w:rPr>
                <w:sz w:val="24"/>
                <w:szCs w:val="24"/>
              </w:rPr>
            </w:pPr>
            <w:r w:rsidRPr="007D67E8">
              <w:rPr>
                <w:sz w:val="24"/>
                <w:szCs w:val="24"/>
              </w:rPr>
              <w:t>Øsofageal candidiasis</w:t>
            </w:r>
          </w:p>
        </w:tc>
        <w:tc>
          <w:tcPr>
            <w:tcW w:w="1050" w:type="pct"/>
            <w:tcBorders>
              <w:top w:val="outset" w:sz="6" w:space="0" w:color="7B7B7B"/>
              <w:left w:val="outset" w:sz="6" w:space="0" w:color="7B7B7B"/>
              <w:bottom w:val="outset" w:sz="6" w:space="0" w:color="7B7B7B"/>
              <w:right w:val="outset" w:sz="6" w:space="0" w:color="7B7B7B"/>
            </w:tcBorders>
            <w:hideMark/>
          </w:tcPr>
          <w:p w14:paraId="274420E3" w14:textId="77777777" w:rsidR="00CA5A1F" w:rsidRPr="007D67E8" w:rsidRDefault="00CA5A1F" w:rsidP="00263B79">
            <w:pPr>
              <w:rPr>
                <w:sz w:val="24"/>
                <w:szCs w:val="24"/>
              </w:rPr>
            </w:pPr>
            <w:r w:rsidRPr="007D67E8">
              <w:rPr>
                <w:sz w:val="24"/>
                <w:szCs w:val="24"/>
              </w:rPr>
              <w:t>Støddosis: 200-400 mg på dag 1</w:t>
            </w:r>
          </w:p>
          <w:p w14:paraId="7BAE6A12" w14:textId="77777777" w:rsidR="00CA5A1F" w:rsidRPr="007D67E8" w:rsidRDefault="00CA5A1F" w:rsidP="00263B79">
            <w:pPr>
              <w:rPr>
                <w:sz w:val="24"/>
                <w:szCs w:val="24"/>
              </w:rPr>
            </w:pPr>
            <w:r w:rsidRPr="007D67E8">
              <w:rPr>
                <w:sz w:val="24"/>
                <w:szCs w:val="24"/>
              </w:rPr>
              <w:t>Efterfølgende dosis: 100-200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6D282AEC" w14:textId="77777777" w:rsidR="00CA5A1F" w:rsidRPr="007D67E8" w:rsidRDefault="00CA5A1F" w:rsidP="00263B79">
            <w:pPr>
              <w:rPr>
                <w:sz w:val="24"/>
                <w:szCs w:val="24"/>
              </w:rPr>
            </w:pPr>
            <w:r w:rsidRPr="007D67E8">
              <w:rPr>
                <w:sz w:val="24"/>
                <w:szCs w:val="24"/>
              </w:rPr>
              <w:t xml:space="preserve">14 til 30 dage (indtil remission af orofaryngeal candidiasis). </w:t>
            </w:r>
          </w:p>
          <w:p w14:paraId="39039FA3" w14:textId="77777777" w:rsidR="00CA5A1F" w:rsidRPr="007D67E8" w:rsidRDefault="00CA5A1F" w:rsidP="00263B79">
            <w:pPr>
              <w:rPr>
                <w:sz w:val="24"/>
                <w:szCs w:val="24"/>
              </w:rPr>
            </w:pPr>
            <w:r w:rsidRPr="007D67E8">
              <w:rPr>
                <w:sz w:val="24"/>
                <w:szCs w:val="24"/>
              </w:rPr>
              <w:t xml:space="preserve">Længere perioder kan anvendes ved svært nedsat immunforsvar </w:t>
            </w:r>
          </w:p>
        </w:tc>
      </w:tr>
      <w:tr w:rsidR="00CA5A1F" w:rsidRPr="007D67E8" w14:paraId="62E3E8F9"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11BA889F" w14:textId="77777777" w:rsidR="00CA5A1F" w:rsidRPr="007D67E8" w:rsidRDefault="00CA5A1F" w:rsidP="00263B79">
            <w:pPr>
              <w:rPr>
                <w:sz w:val="24"/>
                <w:szCs w:val="24"/>
              </w:rPr>
            </w:pPr>
          </w:p>
        </w:tc>
        <w:tc>
          <w:tcPr>
            <w:tcW w:w="1491" w:type="pct"/>
            <w:tcBorders>
              <w:top w:val="outset" w:sz="6" w:space="0" w:color="7B7B7B"/>
              <w:left w:val="outset" w:sz="6" w:space="0" w:color="7B7B7B"/>
              <w:bottom w:val="outset" w:sz="6" w:space="0" w:color="7B7B7B"/>
              <w:right w:val="outset" w:sz="6" w:space="0" w:color="7B7B7B"/>
            </w:tcBorders>
            <w:hideMark/>
          </w:tcPr>
          <w:p w14:paraId="3C18045E" w14:textId="77777777" w:rsidR="00CA5A1F" w:rsidRPr="007D67E8" w:rsidRDefault="00CA5A1F" w:rsidP="00263B79">
            <w:pPr>
              <w:rPr>
                <w:sz w:val="24"/>
                <w:szCs w:val="24"/>
              </w:rPr>
            </w:pPr>
            <w:r w:rsidRPr="007D67E8">
              <w:rPr>
                <w:sz w:val="24"/>
                <w:szCs w:val="24"/>
              </w:rPr>
              <w:t>Candiduri</w:t>
            </w:r>
          </w:p>
        </w:tc>
        <w:tc>
          <w:tcPr>
            <w:tcW w:w="1050" w:type="pct"/>
            <w:tcBorders>
              <w:top w:val="outset" w:sz="6" w:space="0" w:color="7B7B7B"/>
              <w:left w:val="outset" w:sz="6" w:space="0" w:color="7B7B7B"/>
              <w:bottom w:val="outset" w:sz="6" w:space="0" w:color="7B7B7B"/>
              <w:right w:val="outset" w:sz="6" w:space="0" w:color="7B7B7B"/>
            </w:tcBorders>
            <w:hideMark/>
          </w:tcPr>
          <w:p w14:paraId="006C645E" w14:textId="77777777" w:rsidR="00CA5A1F" w:rsidRPr="007D67E8" w:rsidRDefault="00CA5A1F" w:rsidP="00263B79">
            <w:pPr>
              <w:rPr>
                <w:sz w:val="24"/>
                <w:szCs w:val="24"/>
              </w:rPr>
            </w:pPr>
            <w:r w:rsidRPr="007D67E8">
              <w:rPr>
                <w:sz w:val="24"/>
                <w:szCs w:val="24"/>
              </w:rPr>
              <w:t>200-400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595311EF" w14:textId="77777777" w:rsidR="00CA5A1F" w:rsidRPr="007D67E8" w:rsidRDefault="00CA5A1F" w:rsidP="00263B79">
            <w:pPr>
              <w:rPr>
                <w:sz w:val="24"/>
                <w:szCs w:val="24"/>
              </w:rPr>
            </w:pPr>
            <w:r w:rsidRPr="007D67E8">
              <w:rPr>
                <w:sz w:val="24"/>
                <w:szCs w:val="24"/>
              </w:rPr>
              <w:t>7 til 21 dage. Længere perioder kan anvendes ved svært nedsat immunforsvar</w:t>
            </w:r>
          </w:p>
        </w:tc>
      </w:tr>
      <w:tr w:rsidR="00CA5A1F" w:rsidRPr="007D67E8" w14:paraId="469E8C3B"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5C6D7405" w14:textId="77777777" w:rsidR="00CA5A1F" w:rsidRPr="007D67E8" w:rsidRDefault="00CA5A1F" w:rsidP="00263B79">
            <w:pPr>
              <w:rPr>
                <w:sz w:val="24"/>
                <w:szCs w:val="24"/>
              </w:rPr>
            </w:pPr>
          </w:p>
        </w:tc>
        <w:tc>
          <w:tcPr>
            <w:tcW w:w="1491" w:type="pct"/>
            <w:tcBorders>
              <w:top w:val="outset" w:sz="6" w:space="0" w:color="7B7B7B"/>
              <w:left w:val="outset" w:sz="6" w:space="0" w:color="7B7B7B"/>
              <w:bottom w:val="outset" w:sz="6" w:space="0" w:color="7B7B7B"/>
              <w:right w:val="outset" w:sz="6" w:space="0" w:color="7B7B7B"/>
            </w:tcBorders>
            <w:hideMark/>
          </w:tcPr>
          <w:p w14:paraId="6E08BC4E" w14:textId="77777777" w:rsidR="00CA5A1F" w:rsidRPr="007D67E8" w:rsidRDefault="00CA5A1F" w:rsidP="00263B79">
            <w:pPr>
              <w:rPr>
                <w:sz w:val="24"/>
                <w:szCs w:val="24"/>
              </w:rPr>
            </w:pPr>
            <w:r w:rsidRPr="007D67E8">
              <w:rPr>
                <w:sz w:val="24"/>
                <w:szCs w:val="24"/>
              </w:rPr>
              <w:t>Kronisk atrofisk candidiasis</w:t>
            </w:r>
          </w:p>
        </w:tc>
        <w:tc>
          <w:tcPr>
            <w:tcW w:w="1050" w:type="pct"/>
            <w:tcBorders>
              <w:top w:val="outset" w:sz="6" w:space="0" w:color="7B7B7B"/>
              <w:left w:val="outset" w:sz="6" w:space="0" w:color="7B7B7B"/>
              <w:bottom w:val="outset" w:sz="6" w:space="0" w:color="7B7B7B"/>
              <w:right w:val="outset" w:sz="6" w:space="0" w:color="7B7B7B"/>
            </w:tcBorders>
            <w:hideMark/>
          </w:tcPr>
          <w:p w14:paraId="602CEA08" w14:textId="77777777" w:rsidR="00CA5A1F" w:rsidRPr="007D67E8" w:rsidRDefault="00CA5A1F" w:rsidP="00263B79">
            <w:pPr>
              <w:rPr>
                <w:sz w:val="24"/>
                <w:szCs w:val="24"/>
              </w:rPr>
            </w:pPr>
            <w:r w:rsidRPr="007D67E8">
              <w:rPr>
                <w:sz w:val="24"/>
                <w:szCs w:val="24"/>
              </w:rPr>
              <w:t>50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361B0BC0" w14:textId="77777777" w:rsidR="00CA5A1F" w:rsidRPr="007D67E8" w:rsidRDefault="00CA5A1F" w:rsidP="00263B79">
            <w:pPr>
              <w:rPr>
                <w:sz w:val="24"/>
                <w:szCs w:val="24"/>
              </w:rPr>
            </w:pPr>
            <w:r w:rsidRPr="007D67E8">
              <w:rPr>
                <w:sz w:val="24"/>
                <w:szCs w:val="24"/>
              </w:rPr>
              <w:t xml:space="preserve">14 dage </w:t>
            </w:r>
          </w:p>
        </w:tc>
      </w:tr>
      <w:tr w:rsidR="00CA5A1F" w:rsidRPr="007D67E8" w14:paraId="126FA2B9"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4B769836" w14:textId="77777777" w:rsidR="00CA5A1F" w:rsidRPr="007D67E8" w:rsidRDefault="00CA5A1F" w:rsidP="00263B79">
            <w:pPr>
              <w:rPr>
                <w:sz w:val="24"/>
                <w:szCs w:val="24"/>
              </w:rPr>
            </w:pPr>
          </w:p>
        </w:tc>
        <w:tc>
          <w:tcPr>
            <w:tcW w:w="1491" w:type="pct"/>
            <w:tcBorders>
              <w:top w:val="outset" w:sz="6" w:space="0" w:color="7B7B7B"/>
              <w:left w:val="outset" w:sz="6" w:space="0" w:color="7B7B7B"/>
              <w:bottom w:val="outset" w:sz="6" w:space="0" w:color="7B7B7B"/>
              <w:right w:val="outset" w:sz="6" w:space="0" w:color="7B7B7B"/>
            </w:tcBorders>
            <w:hideMark/>
          </w:tcPr>
          <w:p w14:paraId="1FBA3539" w14:textId="77777777" w:rsidR="00CA5A1F" w:rsidRPr="007D67E8" w:rsidRDefault="00CA5A1F" w:rsidP="00263B79">
            <w:pPr>
              <w:rPr>
                <w:sz w:val="24"/>
                <w:szCs w:val="24"/>
              </w:rPr>
            </w:pPr>
            <w:r w:rsidRPr="007D67E8">
              <w:rPr>
                <w:sz w:val="24"/>
                <w:szCs w:val="24"/>
              </w:rPr>
              <w:t>Kronisk mukokutan candidiasis</w:t>
            </w:r>
          </w:p>
        </w:tc>
        <w:tc>
          <w:tcPr>
            <w:tcW w:w="1050" w:type="pct"/>
            <w:tcBorders>
              <w:top w:val="outset" w:sz="6" w:space="0" w:color="7B7B7B"/>
              <w:left w:val="outset" w:sz="6" w:space="0" w:color="7B7B7B"/>
              <w:bottom w:val="outset" w:sz="6" w:space="0" w:color="7B7B7B"/>
              <w:right w:val="outset" w:sz="6" w:space="0" w:color="7B7B7B"/>
            </w:tcBorders>
            <w:hideMark/>
          </w:tcPr>
          <w:p w14:paraId="45988ADF" w14:textId="77777777" w:rsidR="00CA5A1F" w:rsidRPr="007D67E8" w:rsidRDefault="00CA5A1F" w:rsidP="00263B79">
            <w:pPr>
              <w:rPr>
                <w:sz w:val="24"/>
                <w:szCs w:val="24"/>
              </w:rPr>
            </w:pPr>
            <w:r w:rsidRPr="007D67E8">
              <w:rPr>
                <w:sz w:val="24"/>
                <w:szCs w:val="24"/>
              </w:rPr>
              <w:t>50-100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08146B93" w14:textId="77777777" w:rsidR="00CA5A1F" w:rsidRPr="007D67E8" w:rsidRDefault="00CA5A1F" w:rsidP="00263B79">
            <w:pPr>
              <w:rPr>
                <w:sz w:val="24"/>
                <w:szCs w:val="24"/>
              </w:rPr>
            </w:pPr>
            <w:r w:rsidRPr="007D67E8">
              <w:rPr>
                <w:sz w:val="24"/>
                <w:szCs w:val="24"/>
              </w:rPr>
              <w:t>Op til 28 dage. Længere perioder afhængigt af infektionens sværhedsgrad og af den underliggende immunkompromittering og infektion</w:t>
            </w:r>
          </w:p>
        </w:tc>
      </w:tr>
      <w:tr w:rsidR="00CA5A1F" w:rsidRPr="007D67E8" w14:paraId="7ABF7D43" w14:textId="77777777" w:rsidTr="00263B79">
        <w:tc>
          <w:tcPr>
            <w:tcW w:w="1109" w:type="pct"/>
            <w:vMerge w:val="restart"/>
            <w:tcBorders>
              <w:top w:val="outset" w:sz="6" w:space="0" w:color="7B7B7B"/>
              <w:left w:val="outset" w:sz="6" w:space="0" w:color="7B7B7B"/>
              <w:bottom w:val="outset" w:sz="6" w:space="0" w:color="7B7B7B"/>
              <w:right w:val="outset" w:sz="6" w:space="0" w:color="7B7B7B"/>
            </w:tcBorders>
            <w:hideMark/>
          </w:tcPr>
          <w:p w14:paraId="5FC24F26" w14:textId="77777777" w:rsidR="00CA5A1F" w:rsidRPr="007D67E8" w:rsidRDefault="00CA5A1F" w:rsidP="00263B79">
            <w:pPr>
              <w:rPr>
                <w:b/>
                <w:sz w:val="24"/>
                <w:szCs w:val="24"/>
              </w:rPr>
            </w:pPr>
            <w:r w:rsidRPr="007D67E8">
              <w:rPr>
                <w:b/>
                <w:sz w:val="24"/>
                <w:szCs w:val="24"/>
              </w:rPr>
              <w:t xml:space="preserve">Forebyggelse af recidiv af mukøs candidiasis hos HIV-smittede patienter med høj recidivrisiko. </w:t>
            </w:r>
          </w:p>
        </w:tc>
        <w:tc>
          <w:tcPr>
            <w:tcW w:w="1491" w:type="pct"/>
            <w:tcBorders>
              <w:top w:val="outset" w:sz="6" w:space="0" w:color="7B7B7B"/>
              <w:left w:val="outset" w:sz="6" w:space="0" w:color="7B7B7B"/>
              <w:bottom w:val="outset" w:sz="6" w:space="0" w:color="7B7B7B"/>
              <w:right w:val="outset" w:sz="6" w:space="0" w:color="7B7B7B"/>
            </w:tcBorders>
            <w:hideMark/>
          </w:tcPr>
          <w:p w14:paraId="3C634AA2" w14:textId="77777777" w:rsidR="00CA5A1F" w:rsidRPr="007D67E8" w:rsidRDefault="00CA5A1F" w:rsidP="00263B79">
            <w:pPr>
              <w:rPr>
                <w:sz w:val="24"/>
                <w:szCs w:val="24"/>
              </w:rPr>
            </w:pPr>
            <w:r w:rsidRPr="007D67E8">
              <w:rPr>
                <w:sz w:val="24"/>
                <w:szCs w:val="24"/>
              </w:rPr>
              <w:t>Orofaryngeal candidiasis</w:t>
            </w:r>
          </w:p>
        </w:tc>
        <w:tc>
          <w:tcPr>
            <w:tcW w:w="1050" w:type="pct"/>
            <w:tcBorders>
              <w:top w:val="outset" w:sz="6" w:space="0" w:color="7B7B7B"/>
              <w:left w:val="outset" w:sz="6" w:space="0" w:color="7B7B7B"/>
              <w:bottom w:val="outset" w:sz="6" w:space="0" w:color="7B7B7B"/>
              <w:right w:val="outset" w:sz="6" w:space="0" w:color="7B7B7B"/>
            </w:tcBorders>
            <w:hideMark/>
          </w:tcPr>
          <w:p w14:paraId="4832FCEC" w14:textId="77777777" w:rsidR="00CA5A1F" w:rsidRPr="007D67E8" w:rsidRDefault="00CA5A1F" w:rsidP="00263B79">
            <w:pPr>
              <w:rPr>
                <w:sz w:val="24"/>
                <w:szCs w:val="24"/>
              </w:rPr>
            </w:pPr>
            <w:r w:rsidRPr="007D67E8">
              <w:rPr>
                <w:sz w:val="24"/>
                <w:szCs w:val="24"/>
              </w:rPr>
              <w:t>100-200 mg én gang dagligt, eller 200 mg 3 gange om ugen</w:t>
            </w:r>
          </w:p>
        </w:tc>
        <w:tc>
          <w:tcPr>
            <w:tcW w:w="1350" w:type="pct"/>
            <w:tcBorders>
              <w:top w:val="outset" w:sz="6" w:space="0" w:color="7B7B7B"/>
              <w:left w:val="outset" w:sz="6" w:space="0" w:color="7B7B7B"/>
              <w:bottom w:val="outset" w:sz="6" w:space="0" w:color="7B7B7B"/>
              <w:right w:val="outset" w:sz="6" w:space="0" w:color="7B7B7B"/>
            </w:tcBorders>
            <w:hideMark/>
          </w:tcPr>
          <w:p w14:paraId="671DBBEE" w14:textId="77777777" w:rsidR="00CA5A1F" w:rsidRPr="007D67E8" w:rsidRDefault="00CA5A1F" w:rsidP="00263B79">
            <w:pPr>
              <w:rPr>
                <w:sz w:val="24"/>
                <w:szCs w:val="24"/>
              </w:rPr>
            </w:pPr>
            <w:r w:rsidRPr="007D67E8">
              <w:rPr>
                <w:sz w:val="24"/>
                <w:szCs w:val="24"/>
              </w:rPr>
              <w:t xml:space="preserve">På ubestemt tid for patienter med kronisk immunsuppression </w:t>
            </w:r>
          </w:p>
        </w:tc>
      </w:tr>
      <w:tr w:rsidR="00CA5A1F" w:rsidRPr="007D67E8" w14:paraId="2509520D"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1F357172" w14:textId="77777777" w:rsidR="00CA5A1F" w:rsidRPr="007D67E8" w:rsidRDefault="00CA5A1F" w:rsidP="00263B79">
            <w:pPr>
              <w:rPr>
                <w:sz w:val="24"/>
                <w:szCs w:val="24"/>
              </w:rPr>
            </w:pPr>
          </w:p>
        </w:tc>
        <w:tc>
          <w:tcPr>
            <w:tcW w:w="1491" w:type="pct"/>
            <w:tcBorders>
              <w:top w:val="outset" w:sz="6" w:space="0" w:color="7B7B7B"/>
              <w:left w:val="outset" w:sz="6" w:space="0" w:color="7B7B7B"/>
              <w:bottom w:val="outset" w:sz="6" w:space="0" w:color="7B7B7B"/>
              <w:right w:val="outset" w:sz="6" w:space="0" w:color="7B7B7B"/>
            </w:tcBorders>
            <w:hideMark/>
          </w:tcPr>
          <w:p w14:paraId="604DF0DD" w14:textId="77777777" w:rsidR="00CA5A1F" w:rsidRPr="007D67E8" w:rsidRDefault="00CA5A1F" w:rsidP="00263B79">
            <w:pPr>
              <w:rPr>
                <w:sz w:val="24"/>
                <w:szCs w:val="24"/>
              </w:rPr>
            </w:pPr>
            <w:r w:rsidRPr="007D67E8">
              <w:rPr>
                <w:sz w:val="24"/>
                <w:szCs w:val="24"/>
              </w:rPr>
              <w:t>Øsofageal candidiasis</w:t>
            </w:r>
          </w:p>
        </w:tc>
        <w:tc>
          <w:tcPr>
            <w:tcW w:w="1050" w:type="pct"/>
            <w:tcBorders>
              <w:top w:val="outset" w:sz="6" w:space="0" w:color="7B7B7B"/>
              <w:left w:val="outset" w:sz="6" w:space="0" w:color="7B7B7B"/>
              <w:bottom w:val="outset" w:sz="6" w:space="0" w:color="7B7B7B"/>
              <w:right w:val="outset" w:sz="6" w:space="0" w:color="7B7B7B"/>
            </w:tcBorders>
            <w:hideMark/>
          </w:tcPr>
          <w:p w14:paraId="291E2EF2" w14:textId="77777777" w:rsidR="00CA5A1F" w:rsidRPr="007D67E8" w:rsidRDefault="00CA5A1F" w:rsidP="00263B79">
            <w:pPr>
              <w:rPr>
                <w:sz w:val="24"/>
                <w:szCs w:val="24"/>
              </w:rPr>
            </w:pPr>
            <w:r w:rsidRPr="007D67E8">
              <w:rPr>
                <w:sz w:val="24"/>
                <w:szCs w:val="24"/>
              </w:rPr>
              <w:t xml:space="preserve">100-200 mg én gang dagligt, eller 200 mg 3 gange om ugen </w:t>
            </w:r>
          </w:p>
        </w:tc>
        <w:tc>
          <w:tcPr>
            <w:tcW w:w="1350" w:type="pct"/>
            <w:tcBorders>
              <w:top w:val="outset" w:sz="6" w:space="0" w:color="7B7B7B"/>
              <w:left w:val="outset" w:sz="6" w:space="0" w:color="7B7B7B"/>
              <w:bottom w:val="outset" w:sz="6" w:space="0" w:color="7B7B7B"/>
              <w:right w:val="outset" w:sz="6" w:space="0" w:color="7B7B7B"/>
            </w:tcBorders>
            <w:hideMark/>
          </w:tcPr>
          <w:p w14:paraId="05FBB988" w14:textId="77777777" w:rsidR="00CA5A1F" w:rsidRPr="007D67E8" w:rsidRDefault="00CA5A1F" w:rsidP="00263B79">
            <w:pPr>
              <w:rPr>
                <w:sz w:val="24"/>
                <w:szCs w:val="24"/>
              </w:rPr>
            </w:pPr>
            <w:r w:rsidRPr="007D67E8">
              <w:rPr>
                <w:sz w:val="24"/>
                <w:szCs w:val="24"/>
              </w:rPr>
              <w:t>På ubestemt tid for patienter med kronisk immunsuppression</w:t>
            </w:r>
          </w:p>
        </w:tc>
      </w:tr>
      <w:tr w:rsidR="00CA5A1F" w:rsidRPr="007D67E8" w14:paraId="3E9B508F" w14:textId="77777777" w:rsidTr="00263B79">
        <w:tc>
          <w:tcPr>
            <w:tcW w:w="1109" w:type="pct"/>
            <w:vMerge w:val="restart"/>
            <w:tcBorders>
              <w:top w:val="outset" w:sz="6" w:space="0" w:color="7B7B7B"/>
              <w:left w:val="outset" w:sz="6" w:space="0" w:color="7B7B7B"/>
              <w:bottom w:val="outset" w:sz="6" w:space="0" w:color="7B7B7B"/>
              <w:right w:val="outset" w:sz="6" w:space="0" w:color="7B7B7B"/>
            </w:tcBorders>
            <w:hideMark/>
          </w:tcPr>
          <w:p w14:paraId="719D86AD" w14:textId="77777777" w:rsidR="00CA5A1F" w:rsidRPr="007D67E8" w:rsidRDefault="00CA5A1F" w:rsidP="00263B79">
            <w:pPr>
              <w:rPr>
                <w:b/>
                <w:sz w:val="24"/>
                <w:szCs w:val="24"/>
              </w:rPr>
            </w:pPr>
            <w:r w:rsidRPr="007D67E8">
              <w:rPr>
                <w:b/>
                <w:sz w:val="24"/>
                <w:szCs w:val="24"/>
              </w:rPr>
              <w:t xml:space="preserve">Genital candidiasis </w:t>
            </w:r>
          </w:p>
        </w:tc>
        <w:tc>
          <w:tcPr>
            <w:tcW w:w="1491" w:type="pct"/>
            <w:tcBorders>
              <w:top w:val="outset" w:sz="6" w:space="0" w:color="7B7B7B"/>
              <w:left w:val="outset" w:sz="6" w:space="0" w:color="7B7B7B"/>
              <w:bottom w:val="outset" w:sz="6" w:space="0" w:color="7B7B7B"/>
              <w:right w:val="outset" w:sz="6" w:space="0" w:color="7B7B7B"/>
            </w:tcBorders>
            <w:hideMark/>
          </w:tcPr>
          <w:p w14:paraId="43447F67" w14:textId="77777777" w:rsidR="00CA5A1F" w:rsidRPr="007D67E8" w:rsidRDefault="00CA5A1F" w:rsidP="00263B79">
            <w:pPr>
              <w:rPr>
                <w:sz w:val="24"/>
                <w:szCs w:val="24"/>
              </w:rPr>
            </w:pPr>
            <w:r w:rsidRPr="007D67E8">
              <w:rPr>
                <w:sz w:val="24"/>
                <w:szCs w:val="24"/>
              </w:rPr>
              <w:t>- Akut vaginal candidiasis</w:t>
            </w:r>
          </w:p>
          <w:p w14:paraId="35D86344" w14:textId="77777777" w:rsidR="00CA5A1F" w:rsidRPr="007D67E8" w:rsidRDefault="00CA5A1F" w:rsidP="00263B79">
            <w:pPr>
              <w:rPr>
                <w:sz w:val="24"/>
                <w:szCs w:val="24"/>
              </w:rPr>
            </w:pPr>
            <w:r w:rsidRPr="007D67E8">
              <w:rPr>
                <w:sz w:val="24"/>
                <w:szCs w:val="24"/>
              </w:rPr>
              <w:t>- Candidabalanitis</w:t>
            </w:r>
          </w:p>
        </w:tc>
        <w:tc>
          <w:tcPr>
            <w:tcW w:w="1050" w:type="pct"/>
            <w:tcBorders>
              <w:top w:val="outset" w:sz="6" w:space="0" w:color="7B7B7B"/>
              <w:left w:val="outset" w:sz="6" w:space="0" w:color="7B7B7B"/>
              <w:bottom w:val="outset" w:sz="6" w:space="0" w:color="7B7B7B"/>
              <w:right w:val="outset" w:sz="6" w:space="0" w:color="7B7B7B"/>
            </w:tcBorders>
            <w:hideMark/>
          </w:tcPr>
          <w:p w14:paraId="4965012B" w14:textId="77777777" w:rsidR="00CA5A1F" w:rsidRPr="007D67E8" w:rsidRDefault="00CA5A1F" w:rsidP="00263B79">
            <w:pPr>
              <w:rPr>
                <w:sz w:val="24"/>
                <w:szCs w:val="24"/>
              </w:rPr>
            </w:pPr>
            <w:r w:rsidRPr="007D67E8">
              <w:rPr>
                <w:sz w:val="24"/>
                <w:szCs w:val="24"/>
              </w:rPr>
              <w:t>150 mg</w:t>
            </w:r>
          </w:p>
        </w:tc>
        <w:tc>
          <w:tcPr>
            <w:tcW w:w="1350" w:type="pct"/>
            <w:tcBorders>
              <w:top w:val="outset" w:sz="6" w:space="0" w:color="7B7B7B"/>
              <w:left w:val="outset" w:sz="6" w:space="0" w:color="7B7B7B"/>
              <w:bottom w:val="outset" w:sz="6" w:space="0" w:color="7B7B7B"/>
              <w:right w:val="outset" w:sz="6" w:space="0" w:color="7B7B7B"/>
            </w:tcBorders>
            <w:hideMark/>
          </w:tcPr>
          <w:p w14:paraId="42EAA3D1" w14:textId="77777777" w:rsidR="00CA5A1F" w:rsidRPr="007D67E8" w:rsidRDefault="00CA5A1F" w:rsidP="00263B79">
            <w:pPr>
              <w:rPr>
                <w:sz w:val="24"/>
                <w:szCs w:val="24"/>
              </w:rPr>
            </w:pPr>
            <w:r w:rsidRPr="007D67E8">
              <w:rPr>
                <w:sz w:val="24"/>
                <w:szCs w:val="24"/>
              </w:rPr>
              <w:t>Enkeltdosis</w:t>
            </w:r>
          </w:p>
        </w:tc>
      </w:tr>
      <w:tr w:rsidR="00CA5A1F" w:rsidRPr="007D67E8" w14:paraId="1BE4D232"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676E4A4D" w14:textId="77777777" w:rsidR="00CA5A1F" w:rsidRPr="007D67E8" w:rsidRDefault="00CA5A1F" w:rsidP="00263B79">
            <w:pPr>
              <w:rPr>
                <w:sz w:val="24"/>
                <w:szCs w:val="24"/>
              </w:rPr>
            </w:pPr>
          </w:p>
        </w:tc>
        <w:tc>
          <w:tcPr>
            <w:tcW w:w="1491" w:type="pct"/>
            <w:tcBorders>
              <w:top w:val="outset" w:sz="6" w:space="0" w:color="7B7B7B"/>
              <w:left w:val="outset" w:sz="6" w:space="0" w:color="7B7B7B"/>
              <w:bottom w:val="outset" w:sz="6" w:space="0" w:color="7B7B7B"/>
              <w:right w:val="outset" w:sz="6" w:space="0" w:color="7B7B7B"/>
            </w:tcBorders>
            <w:hideMark/>
          </w:tcPr>
          <w:p w14:paraId="0D254956" w14:textId="77777777" w:rsidR="00CA5A1F" w:rsidRPr="007D67E8" w:rsidRDefault="00CA5A1F" w:rsidP="00263B79">
            <w:pPr>
              <w:rPr>
                <w:sz w:val="24"/>
                <w:szCs w:val="24"/>
              </w:rPr>
            </w:pPr>
            <w:r w:rsidRPr="007D67E8">
              <w:rPr>
                <w:sz w:val="24"/>
                <w:szCs w:val="24"/>
              </w:rPr>
              <w:t xml:space="preserve">Behandling og profylakse af tilbagevendende vaginal </w:t>
            </w:r>
            <w:r w:rsidRPr="007D67E8">
              <w:rPr>
                <w:sz w:val="24"/>
                <w:szCs w:val="24"/>
              </w:rPr>
              <w:lastRenderedPageBreak/>
              <w:t>candidiasis (4 eller flere episoder om året)</w:t>
            </w:r>
          </w:p>
        </w:tc>
        <w:tc>
          <w:tcPr>
            <w:tcW w:w="1050" w:type="pct"/>
            <w:tcBorders>
              <w:top w:val="outset" w:sz="6" w:space="0" w:color="7B7B7B"/>
              <w:left w:val="outset" w:sz="6" w:space="0" w:color="7B7B7B"/>
              <w:bottom w:val="outset" w:sz="6" w:space="0" w:color="7B7B7B"/>
              <w:right w:val="outset" w:sz="6" w:space="0" w:color="7B7B7B"/>
            </w:tcBorders>
            <w:hideMark/>
          </w:tcPr>
          <w:p w14:paraId="6A7B2827" w14:textId="77777777" w:rsidR="00CA5A1F" w:rsidRPr="007D67E8" w:rsidRDefault="00CA5A1F" w:rsidP="00263B79">
            <w:pPr>
              <w:rPr>
                <w:sz w:val="24"/>
                <w:szCs w:val="24"/>
              </w:rPr>
            </w:pPr>
            <w:r w:rsidRPr="007D67E8">
              <w:rPr>
                <w:sz w:val="24"/>
                <w:szCs w:val="24"/>
              </w:rPr>
              <w:lastRenderedPageBreak/>
              <w:t xml:space="preserve">150 mg hver tredje dag til i alt 3 doser (dag 1, 4 og 7), </w:t>
            </w:r>
            <w:r w:rsidRPr="007D67E8">
              <w:rPr>
                <w:sz w:val="24"/>
                <w:szCs w:val="24"/>
              </w:rPr>
              <w:lastRenderedPageBreak/>
              <w:t>efterfulgt af 150 mg én gang om ugen som vedligeholdelsesdosis</w:t>
            </w:r>
          </w:p>
        </w:tc>
        <w:tc>
          <w:tcPr>
            <w:tcW w:w="1350" w:type="pct"/>
            <w:tcBorders>
              <w:top w:val="outset" w:sz="6" w:space="0" w:color="7B7B7B"/>
              <w:left w:val="outset" w:sz="6" w:space="0" w:color="7B7B7B"/>
              <w:bottom w:val="outset" w:sz="6" w:space="0" w:color="7B7B7B"/>
              <w:right w:val="outset" w:sz="6" w:space="0" w:color="7B7B7B"/>
            </w:tcBorders>
            <w:hideMark/>
          </w:tcPr>
          <w:p w14:paraId="11C05E0D" w14:textId="77777777" w:rsidR="00CA5A1F" w:rsidRPr="007D67E8" w:rsidRDefault="00CA5A1F" w:rsidP="00263B79">
            <w:pPr>
              <w:rPr>
                <w:sz w:val="24"/>
                <w:szCs w:val="24"/>
              </w:rPr>
            </w:pPr>
            <w:r w:rsidRPr="007D67E8">
              <w:rPr>
                <w:sz w:val="24"/>
                <w:szCs w:val="24"/>
              </w:rPr>
              <w:lastRenderedPageBreak/>
              <w:t xml:space="preserve">Vedligeholdelsesdosis: 6 måneder. </w:t>
            </w:r>
          </w:p>
        </w:tc>
      </w:tr>
      <w:tr w:rsidR="00CA5A1F" w:rsidRPr="007D67E8" w14:paraId="2989DC42" w14:textId="77777777" w:rsidTr="00263B79">
        <w:tc>
          <w:tcPr>
            <w:tcW w:w="1109" w:type="pct"/>
            <w:vMerge w:val="restart"/>
            <w:tcBorders>
              <w:top w:val="outset" w:sz="6" w:space="0" w:color="7B7B7B"/>
              <w:left w:val="outset" w:sz="6" w:space="0" w:color="7B7B7B"/>
              <w:bottom w:val="outset" w:sz="6" w:space="0" w:color="7B7B7B"/>
              <w:right w:val="outset" w:sz="6" w:space="0" w:color="7B7B7B"/>
            </w:tcBorders>
            <w:hideMark/>
          </w:tcPr>
          <w:p w14:paraId="346087DB" w14:textId="77777777" w:rsidR="00CA5A1F" w:rsidRPr="007D67E8" w:rsidRDefault="00CA5A1F" w:rsidP="00263B79">
            <w:pPr>
              <w:rPr>
                <w:b/>
                <w:sz w:val="24"/>
                <w:szCs w:val="24"/>
              </w:rPr>
            </w:pPr>
            <w:r w:rsidRPr="007D67E8">
              <w:rPr>
                <w:b/>
                <w:sz w:val="24"/>
                <w:szCs w:val="24"/>
              </w:rPr>
              <w:t xml:space="preserve">Dermatomykose </w:t>
            </w:r>
          </w:p>
        </w:tc>
        <w:tc>
          <w:tcPr>
            <w:tcW w:w="1491" w:type="pct"/>
            <w:tcBorders>
              <w:top w:val="outset" w:sz="6" w:space="0" w:color="7B7B7B"/>
              <w:left w:val="outset" w:sz="6" w:space="0" w:color="7B7B7B"/>
              <w:bottom w:val="outset" w:sz="6" w:space="0" w:color="7B7B7B"/>
              <w:right w:val="outset" w:sz="6" w:space="0" w:color="7B7B7B"/>
            </w:tcBorders>
            <w:hideMark/>
          </w:tcPr>
          <w:p w14:paraId="76489F2B" w14:textId="77777777" w:rsidR="00CA5A1F" w:rsidRPr="007D67E8" w:rsidRDefault="00CA5A1F" w:rsidP="00263B79">
            <w:pPr>
              <w:rPr>
                <w:sz w:val="24"/>
                <w:szCs w:val="24"/>
                <w:lang w:val="en-US"/>
              </w:rPr>
            </w:pPr>
            <w:r w:rsidRPr="007D67E8">
              <w:rPr>
                <w:i/>
                <w:iCs/>
                <w:sz w:val="24"/>
                <w:szCs w:val="24"/>
                <w:lang w:val="en-US"/>
              </w:rPr>
              <w:t>- tinea pedis,</w:t>
            </w:r>
            <w:r w:rsidRPr="007D67E8">
              <w:rPr>
                <w:sz w:val="24"/>
                <w:szCs w:val="24"/>
                <w:lang w:val="en-US"/>
              </w:rPr>
              <w:t xml:space="preserve"> </w:t>
            </w:r>
          </w:p>
          <w:p w14:paraId="5B0F20D1" w14:textId="77777777" w:rsidR="00CA5A1F" w:rsidRPr="007D67E8" w:rsidRDefault="00CA5A1F" w:rsidP="00263B79">
            <w:pPr>
              <w:rPr>
                <w:sz w:val="24"/>
                <w:szCs w:val="24"/>
                <w:lang w:val="en-US"/>
              </w:rPr>
            </w:pPr>
            <w:r w:rsidRPr="007D67E8">
              <w:rPr>
                <w:i/>
                <w:iCs/>
                <w:sz w:val="24"/>
                <w:szCs w:val="24"/>
                <w:lang w:val="en-US"/>
              </w:rPr>
              <w:t>- tinea corporis,</w:t>
            </w:r>
            <w:r w:rsidRPr="007D67E8">
              <w:rPr>
                <w:sz w:val="24"/>
                <w:szCs w:val="24"/>
                <w:lang w:val="en-US"/>
              </w:rPr>
              <w:t xml:space="preserve"> </w:t>
            </w:r>
          </w:p>
          <w:p w14:paraId="6E6AD6DA" w14:textId="77777777" w:rsidR="00CA5A1F" w:rsidRPr="007D67E8" w:rsidRDefault="00CA5A1F" w:rsidP="00263B79">
            <w:pPr>
              <w:rPr>
                <w:sz w:val="24"/>
                <w:szCs w:val="24"/>
                <w:lang w:val="en-US"/>
              </w:rPr>
            </w:pPr>
            <w:r w:rsidRPr="007D67E8">
              <w:rPr>
                <w:i/>
                <w:iCs/>
                <w:sz w:val="24"/>
                <w:szCs w:val="24"/>
                <w:lang w:val="en-US"/>
              </w:rPr>
              <w:t>- tinea cruris,</w:t>
            </w:r>
            <w:r w:rsidRPr="007D67E8">
              <w:rPr>
                <w:sz w:val="24"/>
                <w:szCs w:val="24"/>
                <w:lang w:val="en-US"/>
              </w:rPr>
              <w:t xml:space="preserve"> </w:t>
            </w:r>
          </w:p>
          <w:p w14:paraId="13C15CBD" w14:textId="7ADE1127" w:rsidR="00CA5A1F" w:rsidRPr="007D67E8" w:rsidRDefault="00007308" w:rsidP="00263B79">
            <w:pPr>
              <w:rPr>
                <w:sz w:val="24"/>
                <w:szCs w:val="24"/>
              </w:rPr>
            </w:pPr>
            <w:r w:rsidRPr="007D67E8">
              <w:rPr>
                <w:i/>
                <w:sz w:val="24"/>
                <w:szCs w:val="24"/>
              </w:rPr>
              <w:t>-</w:t>
            </w:r>
            <w:r w:rsidR="00CA5A1F" w:rsidRPr="007D67E8">
              <w:rPr>
                <w:sz w:val="24"/>
                <w:szCs w:val="24"/>
              </w:rPr>
              <w:t xml:space="preserve"> </w:t>
            </w:r>
            <w:r w:rsidR="00CA5A1F" w:rsidRPr="007D67E8">
              <w:rPr>
                <w:i/>
                <w:iCs/>
                <w:sz w:val="24"/>
                <w:szCs w:val="24"/>
              </w:rPr>
              <w:t>Candida</w:t>
            </w:r>
            <w:r w:rsidR="00CA5A1F" w:rsidRPr="007D67E8">
              <w:rPr>
                <w:sz w:val="24"/>
                <w:szCs w:val="24"/>
              </w:rPr>
              <w:t>-infektioner</w:t>
            </w:r>
          </w:p>
        </w:tc>
        <w:tc>
          <w:tcPr>
            <w:tcW w:w="1050" w:type="pct"/>
            <w:tcBorders>
              <w:top w:val="outset" w:sz="6" w:space="0" w:color="7B7B7B"/>
              <w:left w:val="outset" w:sz="6" w:space="0" w:color="7B7B7B"/>
              <w:bottom w:val="outset" w:sz="6" w:space="0" w:color="7B7B7B"/>
              <w:right w:val="outset" w:sz="6" w:space="0" w:color="7B7B7B"/>
            </w:tcBorders>
            <w:hideMark/>
          </w:tcPr>
          <w:p w14:paraId="7C0F75BB" w14:textId="77777777" w:rsidR="00CA5A1F" w:rsidRPr="007D67E8" w:rsidRDefault="00CA5A1F" w:rsidP="00263B79">
            <w:pPr>
              <w:rPr>
                <w:sz w:val="24"/>
                <w:szCs w:val="24"/>
              </w:rPr>
            </w:pPr>
            <w:r w:rsidRPr="007D67E8">
              <w:rPr>
                <w:sz w:val="24"/>
                <w:szCs w:val="24"/>
              </w:rPr>
              <w:t>150 mg én gang om ugen, eller 50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7824742D" w14:textId="77777777" w:rsidR="00CA5A1F" w:rsidRPr="007D67E8" w:rsidRDefault="00CA5A1F" w:rsidP="00263B79">
            <w:pPr>
              <w:rPr>
                <w:sz w:val="24"/>
                <w:szCs w:val="24"/>
              </w:rPr>
            </w:pPr>
            <w:r w:rsidRPr="007D67E8">
              <w:rPr>
                <w:sz w:val="24"/>
                <w:szCs w:val="24"/>
              </w:rPr>
              <w:t xml:space="preserve">2 til 4 uger; </w:t>
            </w:r>
            <w:r w:rsidRPr="007D67E8">
              <w:rPr>
                <w:i/>
                <w:iCs/>
                <w:sz w:val="24"/>
                <w:szCs w:val="24"/>
              </w:rPr>
              <w:t>tinea pedis</w:t>
            </w:r>
            <w:r w:rsidRPr="007D67E8">
              <w:rPr>
                <w:sz w:val="24"/>
                <w:szCs w:val="24"/>
              </w:rPr>
              <w:t xml:space="preserve"> kan kræve behandling i op til 6 uger</w:t>
            </w:r>
          </w:p>
        </w:tc>
      </w:tr>
      <w:tr w:rsidR="00CA5A1F" w:rsidRPr="007D67E8" w14:paraId="224B20C5"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28D397D6" w14:textId="77777777" w:rsidR="00CA5A1F" w:rsidRPr="007D67E8" w:rsidRDefault="00CA5A1F" w:rsidP="00263B79">
            <w:pPr>
              <w:rPr>
                <w:sz w:val="24"/>
                <w:szCs w:val="24"/>
              </w:rPr>
            </w:pPr>
          </w:p>
        </w:tc>
        <w:tc>
          <w:tcPr>
            <w:tcW w:w="1491" w:type="pct"/>
            <w:vMerge w:val="restart"/>
            <w:tcBorders>
              <w:top w:val="outset" w:sz="6" w:space="0" w:color="7B7B7B"/>
              <w:left w:val="outset" w:sz="6" w:space="0" w:color="7B7B7B"/>
              <w:bottom w:val="outset" w:sz="6" w:space="0" w:color="7B7B7B"/>
              <w:right w:val="outset" w:sz="6" w:space="0" w:color="7B7B7B"/>
            </w:tcBorders>
            <w:hideMark/>
          </w:tcPr>
          <w:p w14:paraId="5874A7A2" w14:textId="77777777" w:rsidR="00CA5A1F" w:rsidRPr="007D67E8" w:rsidRDefault="00CA5A1F" w:rsidP="00263B79">
            <w:pPr>
              <w:rPr>
                <w:sz w:val="24"/>
                <w:szCs w:val="24"/>
              </w:rPr>
            </w:pPr>
            <w:r w:rsidRPr="007D67E8">
              <w:rPr>
                <w:i/>
                <w:iCs/>
                <w:sz w:val="24"/>
                <w:szCs w:val="24"/>
              </w:rPr>
              <w:t>tinea versicolor</w:t>
            </w:r>
            <w:r w:rsidRPr="007D67E8">
              <w:rPr>
                <w:sz w:val="24"/>
                <w:szCs w:val="24"/>
              </w:rPr>
              <w:t xml:space="preserve"> </w:t>
            </w:r>
          </w:p>
        </w:tc>
        <w:tc>
          <w:tcPr>
            <w:tcW w:w="1050" w:type="pct"/>
            <w:tcBorders>
              <w:top w:val="outset" w:sz="6" w:space="0" w:color="7B7B7B"/>
              <w:left w:val="outset" w:sz="6" w:space="0" w:color="7B7B7B"/>
              <w:bottom w:val="outset" w:sz="6" w:space="0" w:color="7B7B7B"/>
              <w:right w:val="outset" w:sz="6" w:space="0" w:color="7B7B7B"/>
            </w:tcBorders>
            <w:hideMark/>
          </w:tcPr>
          <w:p w14:paraId="0E4FE937" w14:textId="77777777" w:rsidR="00CA5A1F" w:rsidRPr="007D67E8" w:rsidRDefault="00CA5A1F" w:rsidP="00263B79">
            <w:pPr>
              <w:rPr>
                <w:sz w:val="24"/>
                <w:szCs w:val="24"/>
              </w:rPr>
            </w:pPr>
            <w:r w:rsidRPr="007D67E8">
              <w:rPr>
                <w:sz w:val="24"/>
                <w:szCs w:val="24"/>
              </w:rPr>
              <w:t>300 mg til 400 mg én gang om ugen</w:t>
            </w:r>
          </w:p>
        </w:tc>
        <w:tc>
          <w:tcPr>
            <w:tcW w:w="1350" w:type="pct"/>
            <w:tcBorders>
              <w:top w:val="outset" w:sz="6" w:space="0" w:color="7B7B7B"/>
              <w:left w:val="outset" w:sz="6" w:space="0" w:color="7B7B7B"/>
              <w:bottom w:val="outset" w:sz="6" w:space="0" w:color="7B7B7B"/>
              <w:right w:val="outset" w:sz="6" w:space="0" w:color="7B7B7B"/>
            </w:tcBorders>
            <w:hideMark/>
          </w:tcPr>
          <w:p w14:paraId="2AB2A405" w14:textId="77777777" w:rsidR="00CA5A1F" w:rsidRPr="007D67E8" w:rsidRDefault="00CA5A1F" w:rsidP="00263B79">
            <w:pPr>
              <w:rPr>
                <w:sz w:val="24"/>
                <w:szCs w:val="24"/>
              </w:rPr>
            </w:pPr>
            <w:r w:rsidRPr="007D67E8">
              <w:rPr>
                <w:sz w:val="24"/>
                <w:szCs w:val="24"/>
              </w:rPr>
              <w:t>1 til 3 uger</w:t>
            </w:r>
          </w:p>
        </w:tc>
      </w:tr>
      <w:tr w:rsidR="00CA5A1F" w:rsidRPr="007D67E8" w14:paraId="5DF7A5A0"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3734EDF3" w14:textId="77777777" w:rsidR="00CA5A1F" w:rsidRPr="007D67E8" w:rsidRDefault="00CA5A1F" w:rsidP="00263B79">
            <w:pPr>
              <w:rPr>
                <w:sz w:val="24"/>
                <w:szCs w:val="24"/>
              </w:rPr>
            </w:pPr>
          </w:p>
        </w:tc>
        <w:tc>
          <w:tcPr>
            <w:tcW w:w="1491" w:type="pct"/>
            <w:vMerge/>
            <w:tcBorders>
              <w:top w:val="outset" w:sz="6" w:space="0" w:color="7B7B7B"/>
              <w:left w:val="outset" w:sz="6" w:space="0" w:color="7B7B7B"/>
              <w:bottom w:val="outset" w:sz="6" w:space="0" w:color="7B7B7B"/>
              <w:right w:val="outset" w:sz="6" w:space="0" w:color="7B7B7B"/>
            </w:tcBorders>
            <w:vAlign w:val="center"/>
            <w:hideMark/>
          </w:tcPr>
          <w:p w14:paraId="04994897" w14:textId="77777777" w:rsidR="00CA5A1F" w:rsidRPr="007D67E8" w:rsidRDefault="00CA5A1F" w:rsidP="00263B79">
            <w:pPr>
              <w:rPr>
                <w:sz w:val="24"/>
                <w:szCs w:val="24"/>
              </w:rPr>
            </w:pPr>
          </w:p>
        </w:tc>
        <w:tc>
          <w:tcPr>
            <w:tcW w:w="1050" w:type="pct"/>
            <w:tcBorders>
              <w:top w:val="outset" w:sz="6" w:space="0" w:color="7B7B7B"/>
              <w:left w:val="outset" w:sz="6" w:space="0" w:color="7B7B7B"/>
              <w:bottom w:val="outset" w:sz="6" w:space="0" w:color="7B7B7B"/>
              <w:right w:val="outset" w:sz="6" w:space="0" w:color="7B7B7B"/>
            </w:tcBorders>
            <w:hideMark/>
          </w:tcPr>
          <w:p w14:paraId="07827D02" w14:textId="77777777" w:rsidR="00CA5A1F" w:rsidRPr="007D67E8" w:rsidRDefault="00CA5A1F" w:rsidP="00263B79">
            <w:pPr>
              <w:rPr>
                <w:sz w:val="24"/>
                <w:szCs w:val="24"/>
              </w:rPr>
            </w:pPr>
            <w:r w:rsidRPr="007D67E8">
              <w:rPr>
                <w:sz w:val="24"/>
                <w:szCs w:val="24"/>
              </w:rPr>
              <w:t xml:space="preserve">50 mg én gang dagligt </w:t>
            </w:r>
          </w:p>
        </w:tc>
        <w:tc>
          <w:tcPr>
            <w:tcW w:w="1350" w:type="pct"/>
            <w:tcBorders>
              <w:top w:val="outset" w:sz="6" w:space="0" w:color="7B7B7B"/>
              <w:left w:val="outset" w:sz="6" w:space="0" w:color="7B7B7B"/>
              <w:bottom w:val="outset" w:sz="6" w:space="0" w:color="7B7B7B"/>
              <w:right w:val="outset" w:sz="6" w:space="0" w:color="7B7B7B"/>
            </w:tcBorders>
            <w:hideMark/>
          </w:tcPr>
          <w:p w14:paraId="34027963" w14:textId="77777777" w:rsidR="00CA5A1F" w:rsidRPr="007D67E8" w:rsidRDefault="00CA5A1F" w:rsidP="00263B79">
            <w:pPr>
              <w:rPr>
                <w:sz w:val="24"/>
                <w:szCs w:val="24"/>
              </w:rPr>
            </w:pPr>
            <w:r w:rsidRPr="007D67E8">
              <w:rPr>
                <w:sz w:val="24"/>
                <w:szCs w:val="24"/>
              </w:rPr>
              <w:t>2 til 4 uger</w:t>
            </w:r>
          </w:p>
        </w:tc>
      </w:tr>
      <w:tr w:rsidR="00CA5A1F" w:rsidRPr="007D67E8" w14:paraId="28C8EBCD" w14:textId="77777777" w:rsidTr="00263B79">
        <w:tc>
          <w:tcPr>
            <w:tcW w:w="1109" w:type="pct"/>
            <w:vMerge/>
            <w:tcBorders>
              <w:top w:val="outset" w:sz="6" w:space="0" w:color="7B7B7B"/>
              <w:left w:val="outset" w:sz="6" w:space="0" w:color="7B7B7B"/>
              <w:bottom w:val="outset" w:sz="6" w:space="0" w:color="7B7B7B"/>
              <w:right w:val="outset" w:sz="6" w:space="0" w:color="7B7B7B"/>
            </w:tcBorders>
            <w:vAlign w:val="center"/>
            <w:hideMark/>
          </w:tcPr>
          <w:p w14:paraId="0099E317" w14:textId="77777777" w:rsidR="00CA5A1F" w:rsidRPr="007D67E8" w:rsidRDefault="00CA5A1F" w:rsidP="00263B79">
            <w:pPr>
              <w:rPr>
                <w:sz w:val="24"/>
                <w:szCs w:val="24"/>
              </w:rPr>
            </w:pPr>
          </w:p>
        </w:tc>
        <w:tc>
          <w:tcPr>
            <w:tcW w:w="1491" w:type="pct"/>
            <w:tcBorders>
              <w:top w:val="outset" w:sz="6" w:space="0" w:color="7B7B7B"/>
              <w:left w:val="outset" w:sz="6" w:space="0" w:color="7B7B7B"/>
              <w:bottom w:val="outset" w:sz="6" w:space="0" w:color="7B7B7B"/>
              <w:right w:val="outset" w:sz="6" w:space="0" w:color="7B7B7B"/>
            </w:tcBorders>
            <w:hideMark/>
          </w:tcPr>
          <w:p w14:paraId="2AA9956A" w14:textId="77777777" w:rsidR="00CA5A1F" w:rsidRPr="007D67E8" w:rsidRDefault="00CA5A1F" w:rsidP="00263B79">
            <w:pPr>
              <w:rPr>
                <w:sz w:val="24"/>
                <w:szCs w:val="24"/>
              </w:rPr>
            </w:pPr>
            <w:r w:rsidRPr="007D67E8">
              <w:rPr>
                <w:i/>
                <w:sz w:val="24"/>
                <w:szCs w:val="24"/>
              </w:rPr>
              <w:t>tinea unguium</w:t>
            </w:r>
            <w:r w:rsidRPr="007D67E8">
              <w:rPr>
                <w:sz w:val="24"/>
                <w:szCs w:val="24"/>
              </w:rPr>
              <w:t xml:space="preserve"> (onykomykose)</w:t>
            </w:r>
          </w:p>
        </w:tc>
        <w:tc>
          <w:tcPr>
            <w:tcW w:w="1050" w:type="pct"/>
            <w:tcBorders>
              <w:top w:val="outset" w:sz="6" w:space="0" w:color="7B7B7B"/>
              <w:left w:val="outset" w:sz="6" w:space="0" w:color="7B7B7B"/>
              <w:bottom w:val="outset" w:sz="6" w:space="0" w:color="7B7B7B"/>
              <w:right w:val="outset" w:sz="6" w:space="0" w:color="7B7B7B"/>
            </w:tcBorders>
            <w:hideMark/>
          </w:tcPr>
          <w:p w14:paraId="46D5D5DB" w14:textId="77777777" w:rsidR="00CA5A1F" w:rsidRPr="007D67E8" w:rsidRDefault="00CA5A1F" w:rsidP="00263B79">
            <w:pPr>
              <w:rPr>
                <w:sz w:val="24"/>
                <w:szCs w:val="24"/>
              </w:rPr>
            </w:pPr>
            <w:r w:rsidRPr="007D67E8">
              <w:rPr>
                <w:sz w:val="24"/>
                <w:szCs w:val="24"/>
              </w:rPr>
              <w:t>150 mg en gang om ugen.</w:t>
            </w:r>
          </w:p>
        </w:tc>
        <w:tc>
          <w:tcPr>
            <w:tcW w:w="1350" w:type="pct"/>
            <w:tcBorders>
              <w:top w:val="outset" w:sz="6" w:space="0" w:color="7B7B7B"/>
              <w:left w:val="outset" w:sz="6" w:space="0" w:color="7B7B7B"/>
              <w:bottom w:val="outset" w:sz="6" w:space="0" w:color="7B7B7B"/>
              <w:right w:val="outset" w:sz="6" w:space="0" w:color="7B7B7B"/>
            </w:tcBorders>
            <w:hideMark/>
          </w:tcPr>
          <w:p w14:paraId="147A0971" w14:textId="77777777" w:rsidR="00CA5A1F" w:rsidRPr="007D67E8" w:rsidRDefault="00CA5A1F" w:rsidP="00263B79">
            <w:pPr>
              <w:rPr>
                <w:sz w:val="24"/>
                <w:szCs w:val="24"/>
              </w:rPr>
            </w:pPr>
            <w:r w:rsidRPr="007D67E8">
              <w:rPr>
                <w:sz w:val="24"/>
                <w:szCs w:val="24"/>
              </w:rPr>
              <w:t>Behandlingen bør fortsættes, indtil den inficerede negl er erstattet (uinficeret negl groet ud). Genvækst af finger- og tånegle kræver normalt henholdsvis 3 til 6 måneder og 6 til 12 måneder. Væksthastigheden kan dog variere fra person til person, ligesom det er aldersafhængigt. Efter vellykket behandling af langvarige kroniske infektioner, kan negle lejligheds forblive deforme</w:t>
            </w:r>
          </w:p>
        </w:tc>
      </w:tr>
      <w:tr w:rsidR="00CA5A1F" w:rsidRPr="007D67E8" w14:paraId="6CE856A6" w14:textId="77777777" w:rsidTr="00263B79">
        <w:tc>
          <w:tcPr>
            <w:tcW w:w="1109" w:type="pct"/>
            <w:tcBorders>
              <w:top w:val="outset" w:sz="6" w:space="0" w:color="7B7B7B"/>
              <w:left w:val="outset" w:sz="6" w:space="0" w:color="7B7B7B"/>
              <w:bottom w:val="outset" w:sz="6" w:space="0" w:color="7B7B7B"/>
              <w:right w:val="outset" w:sz="6" w:space="0" w:color="7B7B7B"/>
            </w:tcBorders>
            <w:hideMark/>
          </w:tcPr>
          <w:p w14:paraId="3F0AD058" w14:textId="77777777" w:rsidR="00CA5A1F" w:rsidRPr="007D67E8" w:rsidRDefault="00CA5A1F" w:rsidP="00263B79">
            <w:pPr>
              <w:rPr>
                <w:b/>
                <w:sz w:val="24"/>
                <w:szCs w:val="24"/>
              </w:rPr>
            </w:pPr>
            <w:r w:rsidRPr="007D67E8">
              <w:rPr>
                <w:b/>
                <w:sz w:val="24"/>
                <w:szCs w:val="24"/>
              </w:rPr>
              <w:t xml:space="preserve">Profylakse af candidainfektion hos patienter med længerevarende neutropeni </w:t>
            </w:r>
          </w:p>
        </w:tc>
        <w:tc>
          <w:tcPr>
            <w:tcW w:w="1491" w:type="pct"/>
            <w:tcBorders>
              <w:top w:val="outset" w:sz="6" w:space="0" w:color="7B7B7B"/>
              <w:left w:val="outset" w:sz="6" w:space="0" w:color="7B7B7B"/>
              <w:bottom w:val="outset" w:sz="6" w:space="0" w:color="7B7B7B"/>
              <w:right w:val="outset" w:sz="6" w:space="0" w:color="7B7B7B"/>
            </w:tcBorders>
            <w:hideMark/>
          </w:tcPr>
          <w:p w14:paraId="1CE794A4" w14:textId="77777777" w:rsidR="00CA5A1F" w:rsidRPr="007D67E8" w:rsidRDefault="00CA5A1F" w:rsidP="00263B79">
            <w:pPr>
              <w:rPr>
                <w:sz w:val="24"/>
                <w:szCs w:val="24"/>
              </w:rPr>
            </w:pPr>
          </w:p>
        </w:tc>
        <w:tc>
          <w:tcPr>
            <w:tcW w:w="1050" w:type="pct"/>
            <w:tcBorders>
              <w:top w:val="outset" w:sz="6" w:space="0" w:color="7B7B7B"/>
              <w:left w:val="outset" w:sz="6" w:space="0" w:color="7B7B7B"/>
              <w:bottom w:val="outset" w:sz="6" w:space="0" w:color="7B7B7B"/>
              <w:right w:val="outset" w:sz="6" w:space="0" w:color="7B7B7B"/>
            </w:tcBorders>
            <w:hideMark/>
          </w:tcPr>
          <w:p w14:paraId="7B3E14CB" w14:textId="77777777" w:rsidR="00CA5A1F" w:rsidRPr="007D67E8" w:rsidRDefault="00CA5A1F" w:rsidP="00263B79">
            <w:pPr>
              <w:rPr>
                <w:sz w:val="24"/>
                <w:szCs w:val="24"/>
              </w:rPr>
            </w:pPr>
            <w:r w:rsidRPr="007D67E8">
              <w:rPr>
                <w:sz w:val="24"/>
                <w:szCs w:val="24"/>
              </w:rPr>
              <w:t>200-400 mg én gang dagligt</w:t>
            </w:r>
          </w:p>
        </w:tc>
        <w:tc>
          <w:tcPr>
            <w:tcW w:w="1350" w:type="pct"/>
            <w:tcBorders>
              <w:top w:val="outset" w:sz="6" w:space="0" w:color="7B7B7B"/>
              <w:left w:val="outset" w:sz="6" w:space="0" w:color="7B7B7B"/>
              <w:bottom w:val="outset" w:sz="6" w:space="0" w:color="7B7B7B"/>
              <w:right w:val="outset" w:sz="6" w:space="0" w:color="7B7B7B"/>
            </w:tcBorders>
            <w:hideMark/>
          </w:tcPr>
          <w:p w14:paraId="17B098F3" w14:textId="77777777" w:rsidR="00CA5A1F" w:rsidRPr="007D67E8" w:rsidRDefault="00CA5A1F" w:rsidP="00263B79">
            <w:pPr>
              <w:rPr>
                <w:sz w:val="24"/>
                <w:szCs w:val="24"/>
              </w:rPr>
            </w:pPr>
            <w:r w:rsidRPr="007D67E8">
              <w:rPr>
                <w:sz w:val="24"/>
                <w:szCs w:val="24"/>
              </w:rPr>
              <w:t>Behandlingen bør begynde flere dage før det forventede udbrud af neutropeni og fortsætte i 7 dage efter resolution af neutropenien, når neutrofiltallet er steget til over 1 000 celler pr. mm</w:t>
            </w:r>
            <w:r w:rsidRPr="007D67E8">
              <w:rPr>
                <w:sz w:val="24"/>
                <w:szCs w:val="24"/>
                <w:vertAlign w:val="superscript"/>
              </w:rPr>
              <w:t>3</w:t>
            </w:r>
            <w:r w:rsidRPr="007D67E8">
              <w:rPr>
                <w:sz w:val="24"/>
                <w:szCs w:val="24"/>
              </w:rPr>
              <w:t>.</w:t>
            </w:r>
          </w:p>
        </w:tc>
      </w:tr>
    </w:tbl>
    <w:p w14:paraId="28511D3C" w14:textId="77777777" w:rsidR="00CA5A1F" w:rsidRPr="007D67E8" w:rsidRDefault="00CA5A1F" w:rsidP="00CA5A1F">
      <w:pPr>
        <w:rPr>
          <w:sz w:val="24"/>
          <w:szCs w:val="24"/>
        </w:rPr>
      </w:pPr>
    </w:p>
    <w:p w14:paraId="4ADB553F" w14:textId="77777777" w:rsidR="00CA5A1F" w:rsidRPr="007D67E8" w:rsidRDefault="00CA5A1F" w:rsidP="00263B79">
      <w:pPr>
        <w:ind w:left="851"/>
        <w:rPr>
          <w:i/>
          <w:sz w:val="24"/>
          <w:szCs w:val="24"/>
          <w:u w:val="single"/>
        </w:rPr>
      </w:pPr>
      <w:r w:rsidRPr="007D67E8">
        <w:rPr>
          <w:i/>
          <w:sz w:val="24"/>
          <w:szCs w:val="24"/>
          <w:u w:val="single"/>
        </w:rPr>
        <w:t xml:space="preserve">Særlige populationer </w:t>
      </w:r>
    </w:p>
    <w:p w14:paraId="5B62328B" w14:textId="77777777" w:rsidR="00CA5A1F" w:rsidRPr="007D67E8" w:rsidRDefault="00CA5A1F" w:rsidP="00263B79">
      <w:pPr>
        <w:ind w:left="851"/>
        <w:rPr>
          <w:i/>
          <w:sz w:val="24"/>
          <w:szCs w:val="24"/>
        </w:rPr>
      </w:pPr>
      <w:r w:rsidRPr="007D67E8">
        <w:rPr>
          <w:i/>
          <w:sz w:val="24"/>
          <w:szCs w:val="24"/>
        </w:rPr>
        <w:t xml:space="preserve">Ældre </w:t>
      </w:r>
    </w:p>
    <w:p w14:paraId="6139E479" w14:textId="77777777" w:rsidR="00CA5A1F" w:rsidRPr="007D67E8" w:rsidRDefault="00CA5A1F" w:rsidP="00263B79">
      <w:pPr>
        <w:ind w:left="851"/>
        <w:rPr>
          <w:sz w:val="24"/>
          <w:szCs w:val="24"/>
        </w:rPr>
      </w:pPr>
      <w:r w:rsidRPr="007D67E8">
        <w:rPr>
          <w:sz w:val="24"/>
          <w:szCs w:val="24"/>
        </w:rPr>
        <w:t>Doseringen bør justeres i henhold til nyrefunktionen (se "</w:t>
      </w:r>
      <w:r w:rsidRPr="00202FEF">
        <w:rPr>
          <w:i/>
          <w:sz w:val="24"/>
          <w:szCs w:val="24"/>
        </w:rPr>
        <w:t>Nedsat nyrefunktion</w:t>
      </w:r>
      <w:r w:rsidRPr="007D67E8">
        <w:rPr>
          <w:sz w:val="24"/>
          <w:szCs w:val="24"/>
        </w:rPr>
        <w:t>").</w:t>
      </w:r>
    </w:p>
    <w:p w14:paraId="04FED7F8" w14:textId="77777777" w:rsidR="00CA5A1F" w:rsidRPr="007D67E8" w:rsidRDefault="00CA5A1F" w:rsidP="00263B79">
      <w:pPr>
        <w:ind w:left="851"/>
        <w:rPr>
          <w:sz w:val="24"/>
          <w:szCs w:val="24"/>
        </w:rPr>
      </w:pPr>
    </w:p>
    <w:p w14:paraId="3FAFE8AF" w14:textId="77777777" w:rsidR="00CA5A1F" w:rsidRPr="007D67E8" w:rsidRDefault="00CA5A1F" w:rsidP="00263B79">
      <w:pPr>
        <w:ind w:left="851"/>
        <w:rPr>
          <w:i/>
          <w:sz w:val="24"/>
          <w:szCs w:val="24"/>
        </w:rPr>
      </w:pPr>
      <w:r w:rsidRPr="007D67E8">
        <w:rPr>
          <w:i/>
          <w:sz w:val="24"/>
          <w:szCs w:val="24"/>
        </w:rPr>
        <w:t xml:space="preserve">Nedsat nyrefunktion </w:t>
      </w:r>
    </w:p>
    <w:p w14:paraId="5A7E6620" w14:textId="37346C51" w:rsidR="00CA5A1F" w:rsidRPr="007D67E8" w:rsidRDefault="00CA5A1F" w:rsidP="00263B79">
      <w:pPr>
        <w:ind w:left="851"/>
        <w:rPr>
          <w:sz w:val="24"/>
          <w:szCs w:val="24"/>
        </w:rPr>
      </w:pPr>
      <w:r w:rsidRPr="007D67E8">
        <w:rPr>
          <w:sz w:val="24"/>
          <w:szCs w:val="24"/>
        </w:rPr>
        <w:t xml:space="preserve">Fluconazol </w:t>
      </w:r>
      <w:r w:rsidR="00B705BB">
        <w:rPr>
          <w:sz w:val="24"/>
          <w:szCs w:val="24"/>
        </w:rPr>
        <w:t>"Vitabalans"</w:t>
      </w:r>
      <w:r w:rsidRPr="007D67E8">
        <w:rPr>
          <w:sz w:val="24"/>
          <w:szCs w:val="24"/>
        </w:rPr>
        <w:t xml:space="preserve"> udskilles overvejende i urinen som uændret aktivt stof. Ingen justeringer i enkeltdosisbehandling er nødvendige.</w:t>
      </w:r>
    </w:p>
    <w:p w14:paraId="3E20D0B0" w14:textId="77777777" w:rsidR="00CA5A1F" w:rsidRPr="007D67E8" w:rsidRDefault="00CA5A1F" w:rsidP="00263B79">
      <w:pPr>
        <w:ind w:left="851"/>
        <w:rPr>
          <w:sz w:val="24"/>
          <w:szCs w:val="24"/>
        </w:rPr>
      </w:pPr>
      <w:r w:rsidRPr="007D67E8">
        <w:rPr>
          <w:sz w:val="24"/>
          <w:szCs w:val="24"/>
        </w:rPr>
        <w:br/>
      </w:r>
      <w:bookmarkStart w:id="6" w:name="_Hlk42679019"/>
      <w:r w:rsidRPr="007D67E8">
        <w:rPr>
          <w:sz w:val="24"/>
          <w:szCs w:val="24"/>
        </w:rPr>
        <w:t xml:space="preserve">Hos patienter med nedsat nyrefunktion (herunder den pædiatriske population), som skal i flerdosisbehandling med fluconazol, gives en initialdosis på 50-400 mg baseret på den </w:t>
      </w:r>
      <w:r w:rsidRPr="007D67E8">
        <w:rPr>
          <w:sz w:val="24"/>
          <w:szCs w:val="24"/>
        </w:rPr>
        <w:lastRenderedPageBreak/>
        <w:t>anbefalede dagsdosis for indikationen. Efter denne indledende støddosis bør dagsdosis (i henhold til indikation) baseres på følgende tabel:</w:t>
      </w:r>
    </w:p>
    <w:bookmarkEnd w:id="6"/>
    <w:p w14:paraId="0BF2BB78" w14:textId="77777777" w:rsidR="00CA5A1F" w:rsidRPr="007D67E8" w:rsidRDefault="00CA5A1F" w:rsidP="00263B79">
      <w:pPr>
        <w:ind w:left="851"/>
        <w:rPr>
          <w:sz w:val="24"/>
          <w:szCs w:val="24"/>
        </w:rPr>
      </w:pPr>
    </w:p>
    <w:tbl>
      <w:tblPr>
        <w:tblW w:w="8868" w:type="dxa"/>
        <w:tblInd w:w="843"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686"/>
        <w:gridCol w:w="5182"/>
      </w:tblGrid>
      <w:tr w:rsidR="00CA5A1F" w:rsidRPr="007D67E8" w14:paraId="6CA3CDE8" w14:textId="77777777" w:rsidTr="00263B79">
        <w:tc>
          <w:tcPr>
            <w:tcW w:w="2078" w:type="pct"/>
            <w:tcBorders>
              <w:top w:val="outset" w:sz="6" w:space="0" w:color="7B7B7B"/>
              <w:left w:val="outset" w:sz="6" w:space="0" w:color="7B7B7B"/>
              <w:bottom w:val="outset" w:sz="6" w:space="0" w:color="7B7B7B"/>
              <w:right w:val="outset" w:sz="6" w:space="0" w:color="7B7B7B"/>
            </w:tcBorders>
            <w:hideMark/>
          </w:tcPr>
          <w:p w14:paraId="7A0EA1AA" w14:textId="77777777" w:rsidR="00CA5A1F" w:rsidRPr="007D67E8" w:rsidRDefault="00CA5A1F" w:rsidP="00263B79">
            <w:pPr>
              <w:rPr>
                <w:b/>
                <w:sz w:val="24"/>
                <w:szCs w:val="24"/>
              </w:rPr>
            </w:pPr>
            <w:bookmarkStart w:id="7" w:name="_Hlk42679101"/>
            <w:r w:rsidRPr="007D67E8">
              <w:rPr>
                <w:b/>
                <w:sz w:val="24"/>
                <w:szCs w:val="24"/>
              </w:rPr>
              <w:t xml:space="preserve">Kreatininclearance (ml/min.) </w:t>
            </w:r>
          </w:p>
        </w:tc>
        <w:tc>
          <w:tcPr>
            <w:tcW w:w="2922" w:type="pct"/>
            <w:tcBorders>
              <w:top w:val="outset" w:sz="6" w:space="0" w:color="7B7B7B"/>
              <w:left w:val="outset" w:sz="6" w:space="0" w:color="7B7B7B"/>
              <w:bottom w:val="outset" w:sz="6" w:space="0" w:color="7B7B7B"/>
              <w:right w:val="outset" w:sz="6" w:space="0" w:color="7B7B7B"/>
            </w:tcBorders>
            <w:hideMark/>
          </w:tcPr>
          <w:p w14:paraId="1E5CE401" w14:textId="77777777" w:rsidR="00CA5A1F" w:rsidRPr="007D67E8" w:rsidRDefault="00CA5A1F" w:rsidP="00263B79">
            <w:pPr>
              <w:rPr>
                <w:b/>
                <w:sz w:val="24"/>
                <w:szCs w:val="24"/>
              </w:rPr>
            </w:pPr>
            <w:r w:rsidRPr="007D67E8">
              <w:rPr>
                <w:b/>
                <w:sz w:val="24"/>
                <w:szCs w:val="24"/>
              </w:rPr>
              <w:t xml:space="preserve">Procent af anbefalet dosis </w:t>
            </w:r>
          </w:p>
        </w:tc>
      </w:tr>
      <w:tr w:rsidR="00CA5A1F" w:rsidRPr="007D67E8" w14:paraId="35006F53" w14:textId="77777777" w:rsidTr="00263B79">
        <w:tc>
          <w:tcPr>
            <w:tcW w:w="2078" w:type="pct"/>
            <w:tcBorders>
              <w:top w:val="outset" w:sz="6" w:space="0" w:color="7B7B7B"/>
              <w:left w:val="outset" w:sz="6" w:space="0" w:color="7B7B7B"/>
              <w:bottom w:val="outset" w:sz="6" w:space="0" w:color="7B7B7B"/>
              <w:right w:val="outset" w:sz="6" w:space="0" w:color="7B7B7B"/>
            </w:tcBorders>
            <w:hideMark/>
          </w:tcPr>
          <w:p w14:paraId="631F2B6D" w14:textId="77777777" w:rsidR="00CA5A1F" w:rsidRPr="007D67E8" w:rsidRDefault="00CA5A1F" w:rsidP="00263B79">
            <w:pPr>
              <w:rPr>
                <w:sz w:val="24"/>
                <w:szCs w:val="24"/>
              </w:rPr>
            </w:pPr>
            <w:r w:rsidRPr="007D67E8">
              <w:rPr>
                <w:sz w:val="24"/>
                <w:szCs w:val="24"/>
              </w:rPr>
              <w:t xml:space="preserve">&gt;50 </w:t>
            </w:r>
          </w:p>
        </w:tc>
        <w:tc>
          <w:tcPr>
            <w:tcW w:w="2922" w:type="pct"/>
            <w:tcBorders>
              <w:top w:val="outset" w:sz="6" w:space="0" w:color="7B7B7B"/>
              <w:left w:val="outset" w:sz="6" w:space="0" w:color="7B7B7B"/>
              <w:bottom w:val="outset" w:sz="6" w:space="0" w:color="7B7B7B"/>
              <w:right w:val="outset" w:sz="6" w:space="0" w:color="7B7B7B"/>
            </w:tcBorders>
            <w:hideMark/>
          </w:tcPr>
          <w:p w14:paraId="3DD1CF09" w14:textId="77777777" w:rsidR="00CA5A1F" w:rsidRPr="007D67E8" w:rsidRDefault="00CA5A1F" w:rsidP="00263B79">
            <w:pPr>
              <w:rPr>
                <w:sz w:val="24"/>
                <w:szCs w:val="24"/>
              </w:rPr>
            </w:pPr>
            <w:r w:rsidRPr="007D67E8">
              <w:rPr>
                <w:sz w:val="24"/>
                <w:szCs w:val="24"/>
              </w:rPr>
              <w:t>100 %</w:t>
            </w:r>
          </w:p>
        </w:tc>
      </w:tr>
      <w:tr w:rsidR="00CA5A1F" w:rsidRPr="007D67E8" w14:paraId="3DB3A316" w14:textId="77777777" w:rsidTr="00263B79">
        <w:tc>
          <w:tcPr>
            <w:tcW w:w="2078" w:type="pct"/>
            <w:tcBorders>
              <w:top w:val="outset" w:sz="6" w:space="0" w:color="7B7B7B"/>
              <w:left w:val="outset" w:sz="6" w:space="0" w:color="7B7B7B"/>
              <w:bottom w:val="outset" w:sz="6" w:space="0" w:color="7B7B7B"/>
              <w:right w:val="outset" w:sz="6" w:space="0" w:color="7B7B7B"/>
            </w:tcBorders>
            <w:hideMark/>
          </w:tcPr>
          <w:p w14:paraId="6CBBA1EF" w14:textId="77777777" w:rsidR="00CA5A1F" w:rsidRPr="007D67E8" w:rsidRDefault="00CA5A1F" w:rsidP="00263B79">
            <w:pPr>
              <w:rPr>
                <w:sz w:val="24"/>
                <w:szCs w:val="24"/>
              </w:rPr>
            </w:pPr>
            <w:r w:rsidRPr="007D67E8">
              <w:rPr>
                <w:sz w:val="24"/>
                <w:szCs w:val="24"/>
              </w:rPr>
              <w:t xml:space="preserve">≤50 (ingen hæmodialyse) </w:t>
            </w:r>
          </w:p>
        </w:tc>
        <w:tc>
          <w:tcPr>
            <w:tcW w:w="2922" w:type="pct"/>
            <w:tcBorders>
              <w:top w:val="outset" w:sz="6" w:space="0" w:color="7B7B7B"/>
              <w:left w:val="outset" w:sz="6" w:space="0" w:color="7B7B7B"/>
              <w:bottom w:val="outset" w:sz="6" w:space="0" w:color="7B7B7B"/>
              <w:right w:val="outset" w:sz="6" w:space="0" w:color="7B7B7B"/>
            </w:tcBorders>
            <w:hideMark/>
          </w:tcPr>
          <w:p w14:paraId="75404568" w14:textId="77777777" w:rsidR="00CA5A1F" w:rsidRPr="007D67E8" w:rsidRDefault="00CA5A1F" w:rsidP="00263B79">
            <w:pPr>
              <w:rPr>
                <w:sz w:val="24"/>
                <w:szCs w:val="24"/>
              </w:rPr>
            </w:pPr>
            <w:r w:rsidRPr="007D67E8">
              <w:rPr>
                <w:sz w:val="24"/>
                <w:szCs w:val="24"/>
              </w:rPr>
              <w:t>50 %</w:t>
            </w:r>
          </w:p>
        </w:tc>
      </w:tr>
      <w:tr w:rsidR="00CA5A1F" w:rsidRPr="007D67E8" w14:paraId="199E7DDF" w14:textId="77777777" w:rsidTr="00263B79">
        <w:tc>
          <w:tcPr>
            <w:tcW w:w="2078" w:type="pct"/>
            <w:tcBorders>
              <w:top w:val="outset" w:sz="6" w:space="0" w:color="7B7B7B"/>
              <w:left w:val="outset" w:sz="6" w:space="0" w:color="7B7B7B"/>
              <w:bottom w:val="outset" w:sz="6" w:space="0" w:color="7B7B7B"/>
              <w:right w:val="outset" w:sz="6" w:space="0" w:color="7B7B7B"/>
            </w:tcBorders>
            <w:hideMark/>
          </w:tcPr>
          <w:p w14:paraId="2F846A05" w14:textId="77777777" w:rsidR="00CA5A1F" w:rsidRPr="007D67E8" w:rsidRDefault="00CA5A1F" w:rsidP="00263B79">
            <w:pPr>
              <w:rPr>
                <w:sz w:val="24"/>
                <w:szCs w:val="24"/>
              </w:rPr>
            </w:pPr>
            <w:r w:rsidRPr="007D67E8">
              <w:rPr>
                <w:sz w:val="24"/>
                <w:szCs w:val="24"/>
              </w:rPr>
              <w:t xml:space="preserve">Hæmodialyse </w:t>
            </w:r>
          </w:p>
        </w:tc>
        <w:tc>
          <w:tcPr>
            <w:tcW w:w="2922" w:type="pct"/>
            <w:tcBorders>
              <w:top w:val="outset" w:sz="6" w:space="0" w:color="7B7B7B"/>
              <w:left w:val="outset" w:sz="6" w:space="0" w:color="7B7B7B"/>
              <w:bottom w:val="outset" w:sz="6" w:space="0" w:color="7B7B7B"/>
              <w:right w:val="outset" w:sz="6" w:space="0" w:color="7B7B7B"/>
            </w:tcBorders>
            <w:hideMark/>
          </w:tcPr>
          <w:p w14:paraId="05E4124B" w14:textId="77777777" w:rsidR="00CA5A1F" w:rsidRPr="007D67E8" w:rsidRDefault="00CA5A1F" w:rsidP="00263B79">
            <w:pPr>
              <w:rPr>
                <w:sz w:val="24"/>
                <w:szCs w:val="24"/>
              </w:rPr>
            </w:pPr>
            <w:r w:rsidRPr="007D67E8">
              <w:rPr>
                <w:sz w:val="24"/>
                <w:szCs w:val="24"/>
              </w:rPr>
              <w:t>100 % efter hver hæmodialyse</w:t>
            </w:r>
          </w:p>
        </w:tc>
      </w:tr>
      <w:bookmarkEnd w:id="7"/>
    </w:tbl>
    <w:p w14:paraId="704F9772" w14:textId="77777777" w:rsidR="00CA5A1F" w:rsidRPr="007D67E8" w:rsidRDefault="00CA5A1F" w:rsidP="00263B79">
      <w:pPr>
        <w:rPr>
          <w:sz w:val="24"/>
          <w:szCs w:val="24"/>
          <w:lang w:val="en"/>
        </w:rPr>
      </w:pPr>
    </w:p>
    <w:p w14:paraId="3871DC89" w14:textId="77777777" w:rsidR="00CA5A1F" w:rsidRPr="007D67E8" w:rsidRDefault="00CA5A1F" w:rsidP="00263B79">
      <w:pPr>
        <w:ind w:left="851"/>
        <w:rPr>
          <w:sz w:val="24"/>
          <w:szCs w:val="24"/>
        </w:rPr>
      </w:pPr>
      <w:bookmarkStart w:id="8" w:name="_Hlk42679164"/>
      <w:r w:rsidRPr="007D67E8">
        <w:rPr>
          <w:sz w:val="24"/>
          <w:szCs w:val="24"/>
        </w:rPr>
        <w:t>Patienter i hæmodialyse bør få 100 % af den anbefalede dosis efter hver hæmodialyse. På ikke-dialysedage bør patienterne gives en reduceret dosis i henhold til deres kreatininclearance.</w:t>
      </w:r>
    </w:p>
    <w:bookmarkEnd w:id="8"/>
    <w:p w14:paraId="6DD92D71" w14:textId="77777777" w:rsidR="00182035" w:rsidRPr="007D67E8" w:rsidRDefault="00182035" w:rsidP="00263B79">
      <w:pPr>
        <w:ind w:left="851"/>
        <w:rPr>
          <w:i/>
          <w:iCs/>
          <w:sz w:val="24"/>
          <w:szCs w:val="24"/>
        </w:rPr>
      </w:pPr>
    </w:p>
    <w:p w14:paraId="62A7ED04" w14:textId="77777777" w:rsidR="00182035" w:rsidRPr="007D67E8" w:rsidRDefault="00CA5A1F" w:rsidP="00263B79">
      <w:pPr>
        <w:ind w:left="851"/>
        <w:rPr>
          <w:sz w:val="24"/>
          <w:szCs w:val="24"/>
        </w:rPr>
      </w:pPr>
      <w:r w:rsidRPr="007D67E8">
        <w:rPr>
          <w:i/>
          <w:iCs/>
          <w:sz w:val="24"/>
          <w:szCs w:val="24"/>
        </w:rPr>
        <w:t>Nedsat leverfunktion</w:t>
      </w:r>
      <w:r w:rsidRPr="007D67E8">
        <w:rPr>
          <w:sz w:val="24"/>
          <w:szCs w:val="24"/>
        </w:rPr>
        <w:t xml:space="preserve"> </w:t>
      </w:r>
    </w:p>
    <w:p w14:paraId="701D2419" w14:textId="0B0BE6F5" w:rsidR="00CA5A1F" w:rsidRPr="007D67E8" w:rsidRDefault="00CA5A1F" w:rsidP="00263B79">
      <w:pPr>
        <w:ind w:left="851"/>
        <w:rPr>
          <w:sz w:val="24"/>
          <w:szCs w:val="24"/>
        </w:rPr>
      </w:pPr>
      <w:r w:rsidRPr="007D67E8">
        <w:rPr>
          <w:sz w:val="24"/>
          <w:szCs w:val="24"/>
        </w:rPr>
        <w:t>Der er begrænsede tilgængelige data for patienter med nedsat leverfunktion. Fluconazol skal derfor administreres med forsigtighed til patienter med nedsat leverfunktion (se pkt. 4.4 og 4.8).</w:t>
      </w:r>
    </w:p>
    <w:p w14:paraId="54EF1639" w14:textId="77777777" w:rsidR="00007308" w:rsidRPr="007D67E8" w:rsidRDefault="00007308" w:rsidP="00263B79">
      <w:pPr>
        <w:ind w:left="851"/>
        <w:rPr>
          <w:bCs/>
          <w:i/>
          <w:iCs/>
          <w:sz w:val="24"/>
          <w:szCs w:val="24"/>
        </w:rPr>
      </w:pPr>
    </w:p>
    <w:p w14:paraId="52D44201" w14:textId="5F3C8C24" w:rsidR="00CA5A1F" w:rsidRPr="00202FEF" w:rsidRDefault="00CA5A1F" w:rsidP="00263B79">
      <w:pPr>
        <w:ind w:left="851"/>
        <w:rPr>
          <w:sz w:val="24"/>
          <w:szCs w:val="24"/>
          <w:u w:val="single"/>
        </w:rPr>
      </w:pPr>
      <w:r w:rsidRPr="00202FEF">
        <w:rPr>
          <w:bCs/>
          <w:i/>
          <w:iCs/>
          <w:sz w:val="24"/>
          <w:szCs w:val="24"/>
          <w:u w:val="single"/>
        </w:rPr>
        <w:t>Pædiatrisk population</w:t>
      </w:r>
    </w:p>
    <w:p w14:paraId="33F50405" w14:textId="77777777" w:rsidR="00CA5A1F" w:rsidRPr="007D67E8" w:rsidRDefault="00CA5A1F" w:rsidP="00263B79">
      <w:pPr>
        <w:ind w:left="851"/>
        <w:rPr>
          <w:sz w:val="24"/>
          <w:szCs w:val="24"/>
        </w:rPr>
      </w:pPr>
      <w:r w:rsidRPr="007D67E8">
        <w:rPr>
          <w:sz w:val="24"/>
          <w:szCs w:val="24"/>
        </w:rPr>
        <w:t>En maksimumsdosis på 400 mg dagligt bør ikke overskrides hos den pædiatriske population.</w:t>
      </w:r>
    </w:p>
    <w:p w14:paraId="59A7FD9F" w14:textId="47CBE0D1" w:rsidR="00CA5A1F" w:rsidRPr="007D67E8" w:rsidRDefault="00CA5A1F" w:rsidP="00263B79">
      <w:pPr>
        <w:ind w:left="851"/>
        <w:rPr>
          <w:sz w:val="24"/>
          <w:szCs w:val="24"/>
        </w:rPr>
      </w:pPr>
      <w:r w:rsidRPr="007D67E8">
        <w:rPr>
          <w:sz w:val="24"/>
          <w:szCs w:val="24"/>
        </w:rPr>
        <w:t xml:space="preserve">Som ved tilsvarende infektioner hos voksne baseres behandlingens varighed på den kliniske og mykologiske respons. Fluconazol </w:t>
      </w:r>
      <w:r w:rsidR="00B705BB">
        <w:rPr>
          <w:sz w:val="24"/>
          <w:szCs w:val="24"/>
        </w:rPr>
        <w:t>"Vitabalans"</w:t>
      </w:r>
      <w:r w:rsidRPr="007D67E8">
        <w:rPr>
          <w:sz w:val="24"/>
          <w:szCs w:val="24"/>
        </w:rPr>
        <w:t xml:space="preserve"> administreres som en enkelt dagsdosis.</w:t>
      </w:r>
    </w:p>
    <w:p w14:paraId="165A3EFB" w14:textId="77777777" w:rsidR="00182035" w:rsidRPr="007D67E8" w:rsidRDefault="00182035" w:rsidP="00263B79">
      <w:pPr>
        <w:ind w:left="851"/>
        <w:rPr>
          <w:sz w:val="24"/>
          <w:szCs w:val="24"/>
        </w:rPr>
      </w:pPr>
    </w:p>
    <w:p w14:paraId="1CB99362" w14:textId="30D92B2E" w:rsidR="00CA5A1F" w:rsidRPr="007D67E8" w:rsidRDefault="00CA5A1F" w:rsidP="00263B79">
      <w:pPr>
        <w:ind w:left="851"/>
        <w:rPr>
          <w:sz w:val="24"/>
          <w:szCs w:val="24"/>
        </w:rPr>
      </w:pPr>
      <w:r w:rsidRPr="007D67E8">
        <w:rPr>
          <w:sz w:val="24"/>
          <w:szCs w:val="24"/>
        </w:rPr>
        <w:t>For pædiatriske patienter med nedsat nyrefunktion, se dosering i "</w:t>
      </w:r>
      <w:r w:rsidRPr="007D67E8">
        <w:rPr>
          <w:i/>
          <w:iCs/>
          <w:sz w:val="24"/>
          <w:szCs w:val="24"/>
        </w:rPr>
        <w:t>Nedsat nyrefunktion</w:t>
      </w:r>
      <w:r w:rsidRPr="007D67E8">
        <w:rPr>
          <w:sz w:val="24"/>
          <w:szCs w:val="24"/>
        </w:rPr>
        <w:t>".</w:t>
      </w:r>
    </w:p>
    <w:p w14:paraId="1657C92E" w14:textId="1F2EF0A9" w:rsidR="00CA5A1F" w:rsidRPr="007D67E8" w:rsidRDefault="00CA5A1F" w:rsidP="00263B79">
      <w:pPr>
        <w:ind w:left="851"/>
        <w:rPr>
          <w:sz w:val="24"/>
          <w:szCs w:val="24"/>
        </w:rPr>
      </w:pPr>
      <w:r w:rsidRPr="007D67E8">
        <w:rPr>
          <w:sz w:val="24"/>
          <w:szCs w:val="24"/>
        </w:rPr>
        <w:br/>
        <w:t>Farmakokinetikken af fluconazol er ikke undersøgt hos den pædiatriske population med nyreinsufficiens (se nedenstående for ”Nyfødte (født til termin)” som ofte udviser primær umoden nyrefunktion).</w:t>
      </w:r>
    </w:p>
    <w:p w14:paraId="66D35630" w14:textId="77777777" w:rsidR="00182035" w:rsidRPr="007D67E8" w:rsidRDefault="00182035" w:rsidP="00263B79">
      <w:pPr>
        <w:ind w:left="851"/>
        <w:rPr>
          <w:sz w:val="24"/>
          <w:szCs w:val="24"/>
        </w:rPr>
      </w:pPr>
    </w:p>
    <w:p w14:paraId="40CDB47D" w14:textId="196C8E02" w:rsidR="00CA5A1F" w:rsidRPr="007D67E8" w:rsidRDefault="00CA5A1F" w:rsidP="00263B79">
      <w:pPr>
        <w:ind w:left="851"/>
        <w:rPr>
          <w:sz w:val="24"/>
          <w:szCs w:val="24"/>
        </w:rPr>
      </w:pPr>
      <w:r w:rsidRPr="007D67E8">
        <w:rPr>
          <w:i/>
          <w:iCs/>
          <w:sz w:val="24"/>
          <w:szCs w:val="24"/>
        </w:rPr>
        <w:t>Spædbørn, småbørn og børn (i alderen 28 dage til 11 år):</w:t>
      </w:r>
      <w:r w:rsidRPr="007D67E8">
        <w:rPr>
          <w:sz w:val="24"/>
          <w:szCs w:val="24"/>
        </w:rPr>
        <w:t xml:space="preserve"> </w:t>
      </w:r>
    </w:p>
    <w:p w14:paraId="74909C45" w14:textId="77777777" w:rsidR="00263B79" w:rsidRPr="007D67E8" w:rsidRDefault="00263B79" w:rsidP="00263B79">
      <w:pPr>
        <w:ind w:left="851"/>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176"/>
        <w:gridCol w:w="3175"/>
        <w:gridCol w:w="3271"/>
      </w:tblGrid>
      <w:tr w:rsidR="00CA5A1F" w:rsidRPr="007D67E8" w14:paraId="0DD596A5" w14:textId="77777777" w:rsidTr="003B60E8">
        <w:tc>
          <w:tcPr>
            <w:tcW w:w="1650" w:type="pct"/>
            <w:tcBorders>
              <w:top w:val="outset" w:sz="6" w:space="0" w:color="7B7B7B"/>
              <w:left w:val="outset" w:sz="6" w:space="0" w:color="7B7B7B"/>
              <w:bottom w:val="outset" w:sz="6" w:space="0" w:color="7B7B7B"/>
              <w:right w:val="outset" w:sz="6" w:space="0" w:color="7B7B7B"/>
            </w:tcBorders>
            <w:hideMark/>
          </w:tcPr>
          <w:p w14:paraId="2E9203E4" w14:textId="549E64A0" w:rsidR="00CA5A1F" w:rsidRPr="007D67E8" w:rsidRDefault="00CA5A1F" w:rsidP="00182035">
            <w:pPr>
              <w:jc w:val="center"/>
              <w:rPr>
                <w:b/>
                <w:sz w:val="24"/>
                <w:szCs w:val="24"/>
                <w:u w:val="single"/>
              </w:rPr>
            </w:pPr>
            <w:r w:rsidRPr="007D67E8">
              <w:rPr>
                <w:b/>
                <w:sz w:val="24"/>
                <w:szCs w:val="24"/>
                <w:u w:val="single"/>
              </w:rPr>
              <w:t>Indikation</w:t>
            </w:r>
          </w:p>
        </w:tc>
        <w:tc>
          <w:tcPr>
            <w:tcW w:w="1650" w:type="pct"/>
            <w:tcBorders>
              <w:top w:val="outset" w:sz="6" w:space="0" w:color="7B7B7B"/>
              <w:left w:val="outset" w:sz="6" w:space="0" w:color="7B7B7B"/>
              <w:bottom w:val="outset" w:sz="6" w:space="0" w:color="7B7B7B"/>
              <w:right w:val="outset" w:sz="6" w:space="0" w:color="7B7B7B"/>
            </w:tcBorders>
            <w:hideMark/>
          </w:tcPr>
          <w:p w14:paraId="32AC0B8F" w14:textId="5B872B42" w:rsidR="00CA5A1F" w:rsidRPr="007D67E8" w:rsidRDefault="00CA5A1F" w:rsidP="00182035">
            <w:pPr>
              <w:jc w:val="center"/>
              <w:rPr>
                <w:b/>
                <w:sz w:val="24"/>
                <w:szCs w:val="24"/>
                <w:u w:val="single"/>
              </w:rPr>
            </w:pPr>
            <w:r w:rsidRPr="007D67E8">
              <w:rPr>
                <w:b/>
                <w:sz w:val="24"/>
                <w:szCs w:val="24"/>
                <w:u w:val="single"/>
              </w:rPr>
              <w:t>Dosering</w:t>
            </w:r>
          </w:p>
        </w:tc>
        <w:tc>
          <w:tcPr>
            <w:tcW w:w="1700" w:type="pct"/>
            <w:tcBorders>
              <w:top w:val="outset" w:sz="6" w:space="0" w:color="7B7B7B"/>
              <w:left w:val="outset" w:sz="6" w:space="0" w:color="7B7B7B"/>
              <w:bottom w:val="outset" w:sz="6" w:space="0" w:color="7B7B7B"/>
              <w:right w:val="outset" w:sz="6" w:space="0" w:color="7B7B7B"/>
            </w:tcBorders>
            <w:hideMark/>
          </w:tcPr>
          <w:p w14:paraId="0D443C9A" w14:textId="6B937AB6" w:rsidR="00CA5A1F" w:rsidRPr="007D67E8" w:rsidRDefault="00CA5A1F" w:rsidP="00182035">
            <w:pPr>
              <w:jc w:val="center"/>
              <w:rPr>
                <w:b/>
                <w:sz w:val="24"/>
                <w:szCs w:val="24"/>
                <w:u w:val="single"/>
              </w:rPr>
            </w:pPr>
            <w:r w:rsidRPr="007D67E8">
              <w:rPr>
                <w:b/>
                <w:sz w:val="24"/>
                <w:szCs w:val="24"/>
                <w:u w:val="single"/>
              </w:rPr>
              <w:t>Anbefalinger</w:t>
            </w:r>
          </w:p>
        </w:tc>
      </w:tr>
      <w:tr w:rsidR="00CA5A1F" w:rsidRPr="007D67E8" w14:paraId="4CF0DCD6" w14:textId="77777777" w:rsidTr="003B60E8">
        <w:tc>
          <w:tcPr>
            <w:tcW w:w="1650" w:type="pct"/>
            <w:tcBorders>
              <w:top w:val="outset" w:sz="6" w:space="0" w:color="7B7B7B"/>
              <w:left w:val="outset" w:sz="6" w:space="0" w:color="7B7B7B"/>
              <w:bottom w:val="outset" w:sz="6" w:space="0" w:color="7B7B7B"/>
              <w:right w:val="outset" w:sz="6" w:space="0" w:color="7B7B7B"/>
            </w:tcBorders>
            <w:hideMark/>
          </w:tcPr>
          <w:p w14:paraId="56010258" w14:textId="77777777" w:rsidR="00CA5A1F" w:rsidRPr="007D67E8" w:rsidRDefault="00CA5A1F" w:rsidP="003B60E8">
            <w:pPr>
              <w:rPr>
                <w:sz w:val="24"/>
                <w:szCs w:val="24"/>
              </w:rPr>
            </w:pPr>
            <w:r w:rsidRPr="007D67E8">
              <w:rPr>
                <w:sz w:val="24"/>
                <w:szCs w:val="24"/>
              </w:rPr>
              <w:t xml:space="preserve">Mukøs candidiasis </w:t>
            </w:r>
          </w:p>
        </w:tc>
        <w:tc>
          <w:tcPr>
            <w:tcW w:w="1650" w:type="pct"/>
            <w:tcBorders>
              <w:top w:val="outset" w:sz="6" w:space="0" w:color="7B7B7B"/>
              <w:left w:val="outset" w:sz="6" w:space="0" w:color="7B7B7B"/>
              <w:bottom w:val="outset" w:sz="6" w:space="0" w:color="7B7B7B"/>
              <w:right w:val="outset" w:sz="6" w:space="0" w:color="7B7B7B"/>
            </w:tcBorders>
            <w:hideMark/>
          </w:tcPr>
          <w:p w14:paraId="7FC3D1F7" w14:textId="77777777" w:rsidR="00CA5A1F" w:rsidRPr="007D67E8" w:rsidRDefault="00CA5A1F" w:rsidP="003B60E8">
            <w:pPr>
              <w:rPr>
                <w:sz w:val="24"/>
                <w:szCs w:val="24"/>
              </w:rPr>
            </w:pPr>
            <w:r w:rsidRPr="007D67E8">
              <w:rPr>
                <w:sz w:val="24"/>
                <w:szCs w:val="24"/>
              </w:rPr>
              <w:t xml:space="preserve">Initialdosis: 6 mg/kg </w:t>
            </w:r>
          </w:p>
          <w:p w14:paraId="165AF56E" w14:textId="77777777" w:rsidR="00CA5A1F" w:rsidRPr="007D67E8" w:rsidRDefault="00CA5A1F" w:rsidP="003B60E8">
            <w:pPr>
              <w:rPr>
                <w:sz w:val="24"/>
                <w:szCs w:val="24"/>
              </w:rPr>
            </w:pPr>
            <w:r w:rsidRPr="007D67E8">
              <w:rPr>
                <w:sz w:val="24"/>
                <w:szCs w:val="24"/>
              </w:rPr>
              <w:t>Efterfølgende dosis: 3 mg/kg én gang dagligt</w:t>
            </w:r>
          </w:p>
        </w:tc>
        <w:tc>
          <w:tcPr>
            <w:tcW w:w="1700" w:type="pct"/>
            <w:tcBorders>
              <w:top w:val="outset" w:sz="6" w:space="0" w:color="7B7B7B"/>
              <w:left w:val="outset" w:sz="6" w:space="0" w:color="7B7B7B"/>
              <w:bottom w:val="outset" w:sz="6" w:space="0" w:color="7B7B7B"/>
              <w:right w:val="outset" w:sz="6" w:space="0" w:color="7B7B7B"/>
            </w:tcBorders>
            <w:hideMark/>
          </w:tcPr>
          <w:p w14:paraId="3A864AD0" w14:textId="77777777" w:rsidR="00CA5A1F" w:rsidRPr="007D67E8" w:rsidRDefault="00CA5A1F" w:rsidP="003B60E8">
            <w:pPr>
              <w:rPr>
                <w:sz w:val="24"/>
                <w:szCs w:val="24"/>
              </w:rPr>
            </w:pPr>
            <w:r w:rsidRPr="007D67E8">
              <w:rPr>
                <w:sz w:val="24"/>
                <w:szCs w:val="24"/>
              </w:rPr>
              <w:t>Initialdosis kan gives den første dag for hurtigere at opnå steady state-niveauer</w:t>
            </w:r>
          </w:p>
        </w:tc>
      </w:tr>
      <w:tr w:rsidR="00CA5A1F" w:rsidRPr="007D67E8" w14:paraId="1100F98E" w14:textId="77777777" w:rsidTr="003B60E8">
        <w:tc>
          <w:tcPr>
            <w:tcW w:w="1650" w:type="pct"/>
            <w:tcBorders>
              <w:top w:val="outset" w:sz="6" w:space="0" w:color="7B7B7B"/>
              <w:left w:val="outset" w:sz="6" w:space="0" w:color="7B7B7B"/>
              <w:bottom w:val="outset" w:sz="6" w:space="0" w:color="7B7B7B"/>
              <w:right w:val="outset" w:sz="6" w:space="0" w:color="7B7B7B"/>
            </w:tcBorders>
            <w:hideMark/>
          </w:tcPr>
          <w:p w14:paraId="4F54DE53" w14:textId="77777777" w:rsidR="00CA5A1F" w:rsidRPr="007D67E8" w:rsidRDefault="00CA5A1F" w:rsidP="003B60E8">
            <w:pPr>
              <w:rPr>
                <w:sz w:val="24"/>
                <w:szCs w:val="24"/>
              </w:rPr>
            </w:pPr>
            <w:r w:rsidRPr="007D67E8">
              <w:rPr>
                <w:sz w:val="24"/>
                <w:szCs w:val="24"/>
              </w:rPr>
              <w:t xml:space="preserve">- Invasiv candidiasis </w:t>
            </w:r>
          </w:p>
          <w:p w14:paraId="05E1F52A" w14:textId="77777777" w:rsidR="00CA5A1F" w:rsidRPr="007D67E8" w:rsidRDefault="00CA5A1F" w:rsidP="003B60E8">
            <w:pPr>
              <w:rPr>
                <w:sz w:val="24"/>
                <w:szCs w:val="24"/>
              </w:rPr>
            </w:pPr>
            <w:r w:rsidRPr="007D67E8">
              <w:rPr>
                <w:sz w:val="24"/>
                <w:szCs w:val="24"/>
              </w:rPr>
              <w:t>- Kryptokokmeningitis</w:t>
            </w:r>
          </w:p>
        </w:tc>
        <w:tc>
          <w:tcPr>
            <w:tcW w:w="1650" w:type="pct"/>
            <w:tcBorders>
              <w:top w:val="outset" w:sz="6" w:space="0" w:color="7B7B7B"/>
              <w:left w:val="outset" w:sz="6" w:space="0" w:color="7B7B7B"/>
              <w:bottom w:val="outset" w:sz="6" w:space="0" w:color="7B7B7B"/>
              <w:right w:val="outset" w:sz="6" w:space="0" w:color="7B7B7B"/>
            </w:tcBorders>
            <w:hideMark/>
          </w:tcPr>
          <w:p w14:paraId="48870C06" w14:textId="77777777" w:rsidR="00CA5A1F" w:rsidRPr="007D67E8" w:rsidRDefault="00CA5A1F" w:rsidP="003B60E8">
            <w:pPr>
              <w:rPr>
                <w:sz w:val="24"/>
                <w:szCs w:val="24"/>
              </w:rPr>
            </w:pPr>
            <w:r w:rsidRPr="007D67E8">
              <w:rPr>
                <w:sz w:val="24"/>
                <w:szCs w:val="24"/>
              </w:rPr>
              <w:t>Dosis: 6 til 12 mg/kg én gang dagligt</w:t>
            </w:r>
          </w:p>
        </w:tc>
        <w:tc>
          <w:tcPr>
            <w:tcW w:w="1700" w:type="pct"/>
            <w:tcBorders>
              <w:top w:val="outset" w:sz="6" w:space="0" w:color="7B7B7B"/>
              <w:left w:val="outset" w:sz="6" w:space="0" w:color="7B7B7B"/>
              <w:bottom w:val="outset" w:sz="6" w:space="0" w:color="7B7B7B"/>
              <w:right w:val="outset" w:sz="6" w:space="0" w:color="7B7B7B"/>
            </w:tcBorders>
            <w:hideMark/>
          </w:tcPr>
          <w:p w14:paraId="7FE50BC1" w14:textId="77777777" w:rsidR="00CA5A1F" w:rsidRPr="007D67E8" w:rsidRDefault="00CA5A1F" w:rsidP="003B60E8">
            <w:pPr>
              <w:rPr>
                <w:sz w:val="24"/>
                <w:szCs w:val="24"/>
              </w:rPr>
            </w:pPr>
            <w:r w:rsidRPr="007D67E8">
              <w:rPr>
                <w:sz w:val="24"/>
                <w:szCs w:val="24"/>
              </w:rPr>
              <w:t>Afhængigt af sygdommens sværhedsgrad</w:t>
            </w:r>
          </w:p>
        </w:tc>
      </w:tr>
      <w:tr w:rsidR="00CA5A1F" w:rsidRPr="007D67E8" w14:paraId="7A0E2B23" w14:textId="77777777" w:rsidTr="003B60E8">
        <w:tc>
          <w:tcPr>
            <w:tcW w:w="1650" w:type="pct"/>
            <w:tcBorders>
              <w:top w:val="outset" w:sz="6" w:space="0" w:color="7B7B7B"/>
              <w:left w:val="outset" w:sz="6" w:space="0" w:color="7B7B7B"/>
              <w:bottom w:val="outset" w:sz="6" w:space="0" w:color="7B7B7B"/>
              <w:right w:val="outset" w:sz="6" w:space="0" w:color="7B7B7B"/>
            </w:tcBorders>
            <w:hideMark/>
          </w:tcPr>
          <w:p w14:paraId="6D727B99" w14:textId="77777777" w:rsidR="00CA5A1F" w:rsidRPr="007D67E8" w:rsidRDefault="00CA5A1F" w:rsidP="003B60E8">
            <w:pPr>
              <w:rPr>
                <w:sz w:val="24"/>
                <w:szCs w:val="24"/>
              </w:rPr>
            </w:pPr>
            <w:r w:rsidRPr="007D67E8">
              <w:rPr>
                <w:sz w:val="24"/>
                <w:szCs w:val="24"/>
              </w:rPr>
              <w:t>- Vedligeholdelsesbehandling for at forhindre recidiv af kryptokokmeningitis hos børn med høj recidivrisiko</w:t>
            </w:r>
          </w:p>
        </w:tc>
        <w:tc>
          <w:tcPr>
            <w:tcW w:w="1650" w:type="pct"/>
            <w:tcBorders>
              <w:top w:val="outset" w:sz="6" w:space="0" w:color="7B7B7B"/>
              <w:left w:val="outset" w:sz="6" w:space="0" w:color="7B7B7B"/>
              <w:bottom w:val="outset" w:sz="6" w:space="0" w:color="7B7B7B"/>
              <w:right w:val="outset" w:sz="6" w:space="0" w:color="7B7B7B"/>
            </w:tcBorders>
            <w:hideMark/>
          </w:tcPr>
          <w:p w14:paraId="5BFC9391" w14:textId="77777777" w:rsidR="00CA5A1F" w:rsidRPr="007D67E8" w:rsidRDefault="00CA5A1F" w:rsidP="003B60E8">
            <w:pPr>
              <w:rPr>
                <w:sz w:val="24"/>
                <w:szCs w:val="24"/>
              </w:rPr>
            </w:pPr>
            <w:r w:rsidRPr="007D67E8">
              <w:rPr>
                <w:sz w:val="24"/>
                <w:szCs w:val="24"/>
              </w:rPr>
              <w:t>Dosis: 6 mg/kg én gang dagligt</w:t>
            </w:r>
          </w:p>
        </w:tc>
        <w:tc>
          <w:tcPr>
            <w:tcW w:w="1700" w:type="pct"/>
            <w:tcBorders>
              <w:top w:val="outset" w:sz="6" w:space="0" w:color="7B7B7B"/>
              <w:left w:val="outset" w:sz="6" w:space="0" w:color="7B7B7B"/>
              <w:bottom w:val="outset" w:sz="6" w:space="0" w:color="7B7B7B"/>
              <w:right w:val="outset" w:sz="6" w:space="0" w:color="7B7B7B"/>
            </w:tcBorders>
            <w:hideMark/>
          </w:tcPr>
          <w:p w14:paraId="03B60C9A" w14:textId="77777777" w:rsidR="00CA5A1F" w:rsidRPr="007D67E8" w:rsidRDefault="00CA5A1F" w:rsidP="003B60E8">
            <w:pPr>
              <w:rPr>
                <w:sz w:val="24"/>
                <w:szCs w:val="24"/>
              </w:rPr>
            </w:pPr>
            <w:r w:rsidRPr="007D67E8">
              <w:rPr>
                <w:sz w:val="24"/>
                <w:szCs w:val="24"/>
              </w:rPr>
              <w:t>Afhængigt af sygdommens sværhedsgrad</w:t>
            </w:r>
          </w:p>
        </w:tc>
      </w:tr>
      <w:tr w:rsidR="00CA5A1F" w:rsidRPr="007D67E8" w14:paraId="529CBEC5" w14:textId="77777777" w:rsidTr="003B60E8">
        <w:tc>
          <w:tcPr>
            <w:tcW w:w="1650" w:type="pct"/>
            <w:tcBorders>
              <w:top w:val="outset" w:sz="6" w:space="0" w:color="7B7B7B"/>
              <w:left w:val="outset" w:sz="6" w:space="0" w:color="7B7B7B"/>
              <w:bottom w:val="outset" w:sz="6" w:space="0" w:color="7B7B7B"/>
              <w:right w:val="outset" w:sz="6" w:space="0" w:color="7B7B7B"/>
            </w:tcBorders>
            <w:hideMark/>
          </w:tcPr>
          <w:p w14:paraId="0C99CA97" w14:textId="77777777" w:rsidR="00CA5A1F" w:rsidRPr="007D67E8" w:rsidRDefault="00CA5A1F" w:rsidP="003B60E8">
            <w:pPr>
              <w:rPr>
                <w:sz w:val="24"/>
                <w:szCs w:val="24"/>
              </w:rPr>
            </w:pPr>
            <w:r w:rsidRPr="007D67E8">
              <w:rPr>
                <w:sz w:val="24"/>
                <w:szCs w:val="24"/>
              </w:rPr>
              <w:t xml:space="preserve">- Profylakse af </w:t>
            </w:r>
            <w:r w:rsidRPr="007D67E8">
              <w:rPr>
                <w:i/>
                <w:iCs/>
                <w:sz w:val="24"/>
                <w:szCs w:val="24"/>
              </w:rPr>
              <w:t>Candida</w:t>
            </w:r>
            <w:r w:rsidRPr="007D67E8">
              <w:rPr>
                <w:sz w:val="24"/>
                <w:szCs w:val="24"/>
              </w:rPr>
              <w:t xml:space="preserve"> hos immunkompromitterede patienter</w:t>
            </w:r>
          </w:p>
        </w:tc>
        <w:tc>
          <w:tcPr>
            <w:tcW w:w="1650" w:type="pct"/>
            <w:tcBorders>
              <w:top w:val="outset" w:sz="6" w:space="0" w:color="7B7B7B"/>
              <w:left w:val="outset" w:sz="6" w:space="0" w:color="7B7B7B"/>
              <w:bottom w:val="outset" w:sz="6" w:space="0" w:color="7B7B7B"/>
              <w:right w:val="outset" w:sz="6" w:space="0" w:color="7B7B7B"/>
            </w:tcBorders>
            <w:hideMark/>
          </w:tcPr>
          <w:p w14:paraId="02FDB37D" w14:textId="77777777" w:rsidR="00CA5A1F" w:rsidRPr="007D67E8" w:rsidRDefault="00CA5A1F" w:rsidP="003B60E8">
            <w:pPr>
              <w:rPr>
                <w:sz w:val="24"/>
                <w:szCs w:val="24"/>
              </w:rPr>
            </w:pPr>
            <w:r w:rsidRPr="007D67E8">
              <w:rPr>
                <w:sz w:val="24"/>
                <w:szCs w:val="24"/>
              </w:rPr>
              <w:t xml:space="preserve">Dosis: 3 til 12 mg/kg én gang dagligt </w:t>
            </w:r>
          </w:p>
        </w:tc>
        <w:tc>
          <w:tcPr>
            <w:tcW w:w="1700" w:type="pct"/>
            <w:tcBorders>
              <w:top w:val="outset" w:sz="6" w:space="0" w:color="7B7B7B"/>
              <w:left w:val="outset" w:sz="6" w:space="0" w:color="7B7B7B"/>
              <w:bottom w:val="outset" w:sz="6" w:space="0" w:color="7B7B7B"/>
              <w:right w:val="outset" w:sz="6" w:space="0" w:color="7B7B7B"/>
            </w:tcBorders>
            <w:hideMark/>
          </w:tcPr>
          <w:p w14:paraId="59DB7177" w14:textId="77777777" w:rsidR="00CA5A1F" w:rsidRPr="007D67E8" w:rsidRDefault="00CA5A1F" w:rsidP="003B60E8">
            <w:pPr>
              <w:rPr>
                <w:sz w:val="24"/>
                <w:szCs w:val="24"/>
              </w:rPr>
            </w:pPr>
            <w:r w:rsidRPr="007D67E8">
              <w:rPr>
                <w:sz w:val="24"/>
                <w:szCs w:val="24"/>
              </w:rPr>
              <w:t>Afhængigt af omfang og varighed af den inducerede neutropeni (se dosering for voksne)</w:t>
            </w:r>
          </w:p>
        </w:tc>
      </w:tr>
    </w:tbl>
    <w:p w14:paraId="624F628E" w14:textId="77777777" w:rsidR="00CA5A1F" w:rsidRPr="007D67E8" w:rsidRDefault="00CA5A1F" w:rsidP="003B60E8">
      <w:pPr>
        <w:ind w:left="851"/>
        <w:rPr>
          <w:sz w:val="24"/>
          <w:szCs w:val="24"/>
        </w:rPr>
      </w:pPr>
    </w:p>
    <w:p w14:paraId="276B6EBB" w14:textId="77777777" w:rsidR="00202FEF" w:rsidRDefault="00202FEF">
      <w:pPr>
        <w:rPr>
          <w:i/>
          <w:iCs/>
          <w:color w:val="000000"/>
          <w:sz w:val="24"/>
          <w:szCs w:val="24"/>
        </w:rPr>
      </w:pPr>
      <w:r>
        <w:rPr>
          <w:i/>
          <w:iCs/>
          <w:color w:val="000000"/>
          <w:sz w:val="24"/>
          <w:szCs w:val="24"/>
        </w:rPr>
        <w:br w:type="page"/>
      </w:r>
    </w:p>
    <w:p w14:paraId="1A84DD5F" w14:textId="1CDB62D6" w:rsidR="00CA5A1F" w:rsidRPr="007D67E8" w:rsidRDefault="00CA5A1F" w:rsidP="003B60E8">
      <w:pPr>
        <w:ind w:left="851"/>
        <w:rPr>
          <w:color w:val="000000"/>
          <w:sz w:val="24"/>
          <w:szCs w:val="24"/>
        </w:rPr>
      </w:pPr>
      <w:r w:rsidRPr="007D67E8">
        <w:rPr>
          <w:i/>
          <w:iCs/>
          <w:color w:val="000000"/>
          <w:sz w:val="24"/>
          <w:szCs w:val="24"/>
        </w:rPr>
        <w:lastRenderedPageBreak/>
        <w:t>Unge (fra 12 til 17 år):</w:t>
      </w:r>
      <w:r w:rsidRPr="007D67E8">
        <w:rPr>
          <w:color w:val="000000"/>
          <w:sz w:val="24"/>
          <w:szCs w:val="24"/>
        </w:rPr>
        <w:t xml:space="preserve"> </w:t>
      </w:r>
    </w:p>
    <w:p w14:paraId="762D3BAF" w14:textId="77777777" w:rsidR="00CA5A1F" w:rsidRPr="007D67E8" w:rsidRDefault="00CA5A1F" w:rsidP="003B60E8">
      <w:pPr>
        <w:ind w:left="851"/>
        <w:rPr>
          <w:color w:val="000000"/>
          <w:sz w:val="24"/>
          <w:szCs w:val="24"/>
        </w:rPr>
      </w:pPr>
      <w:r w:rsidRPr="007D67E8">
        <w:rPr>
          <w:color w:val="000000"/>
          <w:sz w:val="24"/>
          <w:szCs w:val="24"/>
        </w:rPr>
        <w:t xml:space="preserve">Afhængigt af vægten og den pubertære udvikling bør den ordinerende læge vurdere, hvilken dosering der er mest hensigtsmæssig (voksen- eller børnedosering). Kliniske data indikerer, at børn har højere clearance af fluconazol end voksne. En dosis på 100, 200 og 400 mg hos voksne svarer til en dosis på 3, 6 og 12 mg/kg hos børn for at opnå samme systemisk eksponering. </w:t>
      </w:r>
    </w:p>
    <w:p w14:paraId="4CBCC46C" w14:textId="77777777" w:rsidR="00182035" w:rsidRPr="007D67E8" w:rsidRDefault="00182035" w:rsidP="003B60E8">
      <w:pPr>
        <w:ind w:left="851"/>
        <w:rPr>
          <w:color w:val="000000"/>
          <w:sz w:val="24"/>
          <w:szCs w:val="24"/>
        </w:rPr>
      </w:pPr>
    </w:p>
    <w:p w14:paraId="40578EED" w14:textId="13D77C00" w:rsidR="00CA5A1F" w:rsidRPr="007D67E8" w:rsidRDefault="00CA5A1F" w:rsidP="003B60E8">
      <w:pPr>
        <w:ind w:left="851"/>
        <w:rPr>
          <w:color w:val="000000"/>
          <w:sz w:val="24"/>
          <w:szCs w:val="24"/>
        </w:rPr>
      </w:pPr>
      <w:r w:rsidRPr="007D67E8">
        <w:rPr>
          <w:color w:val="000000"/>
          <w:sz w:val="24"/>
          <w:szCs w:val="24"/>
        </w:rPr>
        <w:t xml:space="preserve">Sikkerhed og virkning ved indikationen, genital candidiasis hos den pædiatriske population, er ikke klarlagt. De tilgængelige sikkerhedsdata for andre pædiatriske indikationer er beskrevet i pkt. 4.8. Hvis behandling af genital candidiasis er tvingende nødvendig hos unge (fra 12 til 17 år), bør doseringen være den samme som til voksne. </w:t>
      </w:r>
    </w:p>
    <w:p w14:paraId="1B914273" w14:textId="77777777" w:rsidR="00182035" w:rsidRPr="007D67E8" w:rsidRDefault="00182035" w:rsidP="003B60E8">
      <w:pPr>
        <w:ind w:left="851"/>
        <w:rPr>
          <w:i/>
          <w:iCs/>
          <w:color w:val="000000"/>
          <w:sz w:val="24"/>
          <w:szCs w:val="24"/>
        </w:rPr>
      </w:pPr>
    </w:p>
    <w:p w14:paraId="7A12F8BB" w14:textId="00C83476" w:rsidR="00CA5A1F" w:rsidRPr="007D67E8" w:rsidRDefault="00CA5A1F" w:rsidP="003B60E8">
      <w:pPr>
        <w:ind w:left="851"/>
        <w:rPr>
          <w:color w:val="000000"/>
          <w:sz w:val="24"/>
          <w:szCs w:val="24"/>
        </w:rPr>
      </w:pPr>
      <w:r w:rsidRPr="007D67E8">
        <w:rPr>
          <w:i/>
          <w:iCs/>
          <w:color w:val="000000"/>
          <w:sz w:val="24"/>
          <w:szCs w:val="24"/>
        </w:rPr>
        <w:t>Nyfødte (født til termin) (0 til 27 dage):</w:t>
      </w:r>
      <w:r w:rsidRPr="007D67E8">
        <w:rPr>
          <w:color w:val="000000"/>
          <w:sz w:val="24"/>
          <w:szCs w:val="24"/>
        </w:rPr>
        <w:t xml:space="preserve"> </w:t>
      </w:r>
    </w:p>
    <w:p w14:paraId="44DD0795" w14:textId="2EAEF65E" w:rsidR="00CA5A1F" w:rsidRPr="007D67E8" w:rsidRDefault="00CA5A1F" w:rsidP="003B60E8">
      <w:pPr>
        <w:ind w:left="851"/>
        <w:rPr>
          <w:color w:val="000000"/>
          <w:sz w:val="24"/>
          <w:szCs w:val="24"/>
        </w:rPr>
      </w:pPr>
      <w:r w:rsidRPr="007D67E8">
        <w:rPr>
          <w:color w:val="000000"/>
          <w:sz w:val="24"/>
          <w:szCs w:val="24"/>
        </w:rPr>
        <w:t xml:space="preserve">Nyfødte udskiller fluconazol langsomt. Der er kun få farmakokinetiske data til at understøtte følgende dosering hos nyfødte (se pkt. 5.2). </w:t>
      </w:r>
    </w:p>
    <w:p w14:paraId="092E4929" w14:textId="77777777" w:rsidR="00182035" w:rsidRPr="007D67E8" w:rsidRDefault="00182035" w:rsidP="003B60E8">
      <w:pPr>
        <w:ind w:left="851"/>
        <w:rPr>
          <w:color w:val="000000"/>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176"/>
        <w:gridCol w:w="3175"/>
        <w:gridCol w:w="3271"/>
      </w:tblGrid>
      <w:tr w:rsidR="00CA5A1F" w:rsidRPr="007D67E8" w14:paraId="295B245A" w14:textId="77777777" w:rsidTr="003B60E8">
        <w:tc>
          <w:tcPr>
            <w:tcW w:w="1650" w:type="pct"/>
            <w:tcBorders>
              <w:top w:val="outset" w:sz="6" w:space="0" w:color="7B7B7B"/>
              <w:left w:val="outset" w:sz="6" w:space="0" w:color="7B7B7B"/>
              <w:bottom w:val="outset" w:sz="6" w:space="0" w:color="7B7B7B"/>
              <w:right w:val="outset" w:sz="6" w:space="0" w:color="7B7B7B"/>
            </w:tcBorders>
            <w:hideMark/>
          </w:tcPr>
          <w:p w14:paraId="6E78BD76" w14:textId="4FB94CEC" w:rsidR="00CA5A1F" w:rsidRPr="007D67E8" w:rsidRDefault="00CA5A1F" w:rsidP="00182035">
            <w:pPr>
              <w:jc w:val="center"/>
              <w:rPr>
                <w:b/>
                <w:sz w:val="24"/>
                <w:szCs w:val="24"/>
                <w:u w:val="single"/>
              </w:rPr>
            </w:pPr>
            <w:r w:rsidRPr="007D67E8">
              <w:rPr>
                <w:b/>
                <w:sz w:val="24"/>
                <w:szCs w:val="24"/>
                <w:u w:val="single"/>
              </w:rPr>
              <w:t>Aldersgruppe</w:t>
            </w:r>
          </w:p>
        </w:tc>
        <w:tc>
          <w:tcPr>
            <w:tcW w:w="1650" w:type="pct"/>
            <w:tcBorders>
              <w:top w:val="outset" w:sz="6" w:space="0" w:color="7B7B7B"/>
              <w:left w:val="outset" w:sz="6" w:space="0" w:color="7B7B7B"/>
              <w:bottom w:val="outset" w:sz="6" w:space="0" w:color="7B7B7B"/>
              <w:right w:val="outset" w:sz="6" w:space="0" w:color="7B7B7B"/>
            </w:tcBorders>
            <w:hideMark/>
          </w:tcPr>
          <w:p w14:paraId="29094C02" w14:textId="12C8E393" w:rsidR="00CA5A1F" w:rsidRPr="007D67E8" w:rsidRDefault="00CA5A1F" w:rsidP="00182035">
            <w:pPr>
              <w:jc w:val="center"/>
              <w:rPr>
                <w:b/>
                <w:sz w:val="24"/>
                <w:szCs w:val="24"/>
                <w:u w:val="single"/>
              </w:rPr>
            </w:pPr>
            <w:r w:rsidRPr="007D67E8">
              <w:rPr>
                <w:b/>
                <w:sz w:val="24"/>
                <w:szCs w:val="24"/>
                <w:u w:val="single"/>
              </w:rPr>
              <w:t>Dosering</w:t>
            </w:r>
          </w:p>
        </w:tc>
        <w:tc>
          <w:tcPr>
            <w:tcW w:w="1700" w:type="pct"/>
            <w:tcBorders>
              <w:top w:val="outset" w:sz="6" w:space="0" w:color="7B7B7B"/>
              <w:left w:val="outset" w:sz="6" w:space="0" w:color="7B7B7B"/>
              <w:bottom w:val="outset" w:sz="6" w:space="0" w:color="7B7B7B"/>
              <w:right w:val="outset" w:sz="6" w:space="0" w:color="7B7B7B"/>
            </w:tcBorders>
            <w:hideMark/>
          </w:tcPr>
          <w:p w14:paraId="64B5B12E" w14:textId="3FCF3480" w:rsidR="00CA5A1F" w:rsidRPr="007D67E8" w:rsidRDefault="00CA5A1F" w:rsidP="00182035">
            <w:pPr>
              <w:jc w:val="center"/>
              <w:rPr>
                <w:b/>
                <w:sz w:val="24"/>
                <w:szCs w:val="24"/>
                <w:u w:val="single"/>
              </w:rPr>
            </w:pPr>
            <w:r w:rsidRPr="007D67E8">
              <w:rPr>
                <w:b/>
                <w:sz w:val="24"/>
                <w:szCs w:val="24"/>
                <w:u w:val="single"/>
              </w:rPr>
              <w:t>Anbefalinger</w:t>
            </w:r>
          </w:p>
        </w:tc>
      </w:tr>
      <w:tr w:rsidR="00CA5A1F" w:rsidRPr="007D67E8" w14:paraId="46329471" w14:textId="77777777" w:rsidTr="003B60E8">
        <w:tc>
          <w:tcPr>
            <w:tcW w:w="1650" w:type="pct"/>
            <w:tcBorders>
              <w:top w:val="outset" w:sz="6" w:space="0" w:color="7B7B7B"/>
              <w:left w:val="outset" w:sz="6" w:space="0" w:color="7B7B7B"/>
              <w:bottom w:val="outset" w:sz="6" w:space="0" w:color="7B7B7B"/>
              <w:right w:val="outset" w:sz="6" w:space="0" w:color="7B7B7B"/>
            </w:tcBorders>
            <w:hideMark/>
          </w:tcPr>
          <w:p w14:paraId="288E6717" w14:textId="77777777" w:rsidR="00CA5A1F" w:rsidRPr="007D67E8" w:rsidRDefault="00CA5A1F" w:rsidP="003B60E8">
            <w:pPr>
              <w:rPr>
                <w:sz w:val="24"/>
                <w:szCs w:val="24"/>
              </w:rPr>
            </w:pPr>
            <w:r w:rsidRPr="007D67E8">
              <w:rPr>
                <w:sz w:val="24"/>
                <w:szCs w:val="24"/>
              </w:rPr>
              <w:t xml:space="preserve">Nyfødte (født til termin) (0 til 14 dage): </w:t>
            </w:r>
          </w:p>
        </w:tc>
        <w:tc>
          <w:tcPr>
            <w:tcW w:w="1650" w:type="pct"/>
            <w:tcBorders>
              <w:top w:val="outset" w:sz="6" w:space="0" w:color="7B7B7B"/>
              <w:left w:val="outset" w:sz="6" w:space="0" w:color="7B7B7B"/>
              <w:bottom w:val="outset" w:sz="6" w:space="0" w:color="7B7B7B"/>
              <w:right w:val="outset" w:sz="6" w:space="0" w:color="7B7B7B"/>
            </w:tcBorders>
            <w:hideMark/>
          </w:tcPr>
          <w:p w14:paraId="7A15A163" w14:textId="77777777" w:rsidR="00CA5A1F" w:rsidRPr="007D67E8" w:rsidRDefault="00CA5A1F" w:rsidP="003B60E8">
            <w:pPr>
              <w:rPr>
                <w:sz w:val="24"/>
                <w:szCs w:val="24"/>
              </w:rPr>
            </w:pPr>
            <w:r w:rsidRPr="007D67E8">
              <w:rPr>
                <w:sz w:val="24"/>
                <w:szCs w:val="24"/>
              </w:rPr>
              <w:t>Samme dosis i mg/kg som for spædbørn, småbørn og børn hver 72. time</w:t>
            </w:r>
          </w:p>
          <w:p w14:paraId="2ADD5079" w14:textId="77777777" w:rsidR="00CA5A1F" w:rsidRPr="007D67E8" w:rsidRDefault="00CA5A1F" w:rsidP="003B60E8">
            <w:pPr>
              <w:rPr>
                <w:sz w:val="24"/>
                <w:szCs w:val="24"/>
              </w:rPr>
            </w:pPr>
            <w:r w:rsidRPr="007D67E8">
              <w:rPr>
                <w:sz w:val="24"/>
                <w:szCs w:val="24"/>
              </w:rPr>
              <w:br/>
            </w:r>
          </w:p>
        </w:tc>
        <w:tc>
          <w:tcPr>
            <w:tcW w:w="1700" w:type="pct"/>
            <w:tcBorders>
              <w:top w:val="outset" w:sz="6" w:space="0" w:color="7B7B7B"/>
              <w:left w:val="outset" w:sz="6" w:space="0" w:color="7B7B7B"/>
              <w:bottom w:val="outset" w:sz="6" w:space="0" w:color="7B7B7B"/>
              <w:right w:val="outset" w:sz="6" w:space="0" w:color="7B7B7B"/>
            </w:tcBorders>
            <w:hideMark/>
          </w:tcPr>
          <w:p w14:paraId="0764EF07" w14:textId="77777777" w:rsidR="00CA5A1F" w:rsidRPr="007D67E8" w:rsidRDefault="00CA5A1F" w:rsidP="003B60E8">
            <w:pPr>
              <w:rPr>
                <w:sz w:val="24"/>
                <w:szCs w:val="24"/>
              </w:rPr>
            </w:pPr>
            <w:r w:rsidRPr="007D67E8">
              <w:rPr>
                <w:sz w:val="24"/>
                <w:szCs w:val="24"/>
              </w:rPr>
              <w:t>En maksimal dosis på 12 mg/kg hver 72. time bør ikke overskrides</w:t>
            </w:r>
          </w:p>
        </w:tc>
      </w:tr>
      <w:tr w:rsidR="00CA5A1F" w:rsidRPr="007D67E8" w14:paraId="21D554CB" w14:textId="77777777" w:rsidTr="003B60E8">
        <w:tc>
          <w:tcPr>
            <w:tcW w:w="1650" w:type="pct"/>
            <w:tcBorders>
              <w:top w:val="outset" w:sz="6" w:space="0" w:color="7B7B7B"/>
              <w:left w:val="outset" w:sz="6" w:space="0" w:color="7B7B7B"/>
              <w:bottom w:val="outset" w:sz="6" w:space="0" w:color="7B7B7B"/>
              <w:right w:val="outset" w:sz="6" w:space="0" w:color="7B7B7B"/>
            </w:tcBorders>
            <w:hideMark/>
          </w:tcPr>
          <w:p w14:paraId="1D759609" w14:textId="77777777" w:rsidR="00CA5A1F" w:rsidRPr="007D67E8" w:rsidRDefault="00CA5A1F" w:rsidP="003B60E8">
            <w:pPr>
              <w:rPr>
                <w:sz w:val="24"/>
                <w:szCs w:val="24"/>
              </w:rPr>
            </w:pPr>
            <w:r w:rsidRPr="007D67E8">
              <w:rPr>
                <w:sz w:val="24"/>
                <w:szCs w:val="24"/>
              </w:rPr>
              <w:t>Nyfødte (født til termin) (fra 15 til 27 dage)</w:t>
            </w:r>
          </w:p>
        </w:tc>
        <w:tc>
          <w:tcPr>
            <w:tcW w:w="1650" w:type="pct"/>
            <w:tcBorders>
              <w:top w:val="outset" w:sz="6" w:space="0" w:color="7B7B7B"/>
              <w:left w:val="outset" w:sz="6" w:space="0" w:color="7B7B7B"/>
              <w:bottom w:val="outset" w:sz="6" w:space="0" w:color="7B7B7B"/>
              <w:right w:val="outset" w:sz="6" w:space="0" w:color="7B7B7B"/>
            </w:tcBorders>
            <w:hideMark/>
          </w:tcPr>
          <w:p w14:paraId="430988B9" w14:textId="77777777" w:rsidR="00CA5A1F" w:rsidRPr="007D67E8" w:rsidRDefault="00CA5A1F" w:rsidP="003B60E8">
            <w:pPr>
              <w:rPr>
                <w:sz w:val="24"/>
                <w:szCs w:val="24"/>
              </w:rPr>
            </w:pPr>
            <w:r w:rsidRPr="007D67E8">
              <w:rPr>
                <w:sz w:val="24"/>
                <w:szCs w:val="24"/>
              </w:rPr>
              <w:t>Samme dosis i mg/kg som for spædbørn, småbørn og børn hver 48. time</w:t>
            </w:r>
          </w:p>
        </w:tc>
        <w:tc>
          <w:tcPr>
            <w:tcW w:w="1700" w:type="pct"/>
            <w:tcBorders>
              <w:top w:val="outset" w:sz="6" w:space="0" w:color="7B7B7B"/>
              <w:left w:val="outset" w:sz="6" w:space="0" w:color="7B7B7B"/>
              <w:bottom w:val="outset" w:sz="6" w:space="0" w:color="7B7B7B"/>
              <w:right w:val="outset" w:sz="6" w:space="0" w:color="7B7B7B"/>
            </w:tcBorders>
            <w:hideMark/>
          </w:tcPr>
          <w:p w14:paraId="5FCEF68C" w14:textId="77777777" w:rsidR="00CA5A1F" w:rsidRPr="007D67E8" w:rsidRDefault="00CA5A1F" w:rsidP="003B60E8">
            <w:pPr>
              <w:rPr>
                <w:sz w:val="24"/>
                <w:szCs w:val="24"/>
              </w:rPr>
            </w:pPr>
            <w:r w:rsidRPr="007D67E8">
              <w:rPr>
                <w:sz w:val="24"/>
                <w:szCs w:val="24"/>
              </w:rPr>
              <w:t>En maksimal dosis på 12 mg/kg hver 48. time bør ikke overskrides</w:t>
            </w:r>
          </w:p>
        </w:tc>
      </w:tr>
    </w:tbl>
    <w:p w14:paraId="1022B3DC" w14:textId="77777777" w:rsidR="00CA5A1F" w:rsidRPr="007D67E8" w:rsidRDefault="00CA5A1F" w:rsidP="003B60E8">
      <w:pPr>
        <w:ind w:left="851"/>
        <w:rPr>
          <w:sz w:val="24"/>
          <w:szCs w:val="24"/>
        </w:rPr>
      </w:pPr>
    </w:p>
    <w:p w14:paraId="1E5AB6AC" w14:textId="77777777" w:rsidR="00CA5A1F" w:rsidRPr="007D67E8" w:rsidRDefault="00CA5A1F" w:rsidP="003B60E8">
      <w:pPr>
        <w:ind w:left="851"/>
        <w:rPr>
          <w:sz w:val="24"/>
          <w:szCs w:val="24"/>
          <w:u w:val="single"/>
        </w:rPr>
      </w:pPr>
      <w:r w:rsidRPr="007D67E8">
        <w:rPr>
          <w:sz w:val="24"/>
          <w:szCs w:val="24"/>
          <w:u w:val="single"/>
        </w:rPr>
        <w:t xml:space="preserve">Administration </w:t>
      </w:r>
    </w:p>
    <w:p w14:paraId="468780BA" w14:textId="77777777" w:rsidR="00CA5A1F" w:rsidRPr="007D67E8" w:rsidRDefault="00CA5A1F" w:rsidP="003B60E8">
      <w:pPr>
        <w:ind w:left="851"/>
        <w:rPr>
          <w:sz w:val="24"/>
          <w:szCs w:val="24"/>
        </w:rPr>
      </w:pPr>
      <w:r w:rsidRPr="007D67E8">
        <w:rPr>
          <w:sz w:val="24"/>
          <w:szCs w:val="24"/>
        </w:rPr>
        <w:t>Til oral anvendelse</w:t>
      </w:r>
    </w:p>
    <w:p w14:paraId="57624326" w14:textId="77777777" w:rsidR="00CA5A1F" w:rsidRPr="007D67E8" w:rsidRDefault="00CA5A1F" w:rsidP="003B60E8">
      <w:pPr>
        <w:ind w:left="851"/>
        <w:rPr>
          <w:sz w:val="24"/>
          <w:szCs w:val="24"/>
        </w:rPr>
      </w:pPr>
    </w:p>
    <w:p w14:paraId="6FB6F200" w14:textId="77777777" w:rsidR="00CA5A1F" w:rsidRPr="007D67E8" w:rsidRDefault="00CA5A1F" w:rsidP="003B60E8">
      <w:pPr>
        <w:ind w:left="851"/>
        <w:rPr>
          <w:sz w:val="24"/>
          <w:szCs w:val="24"/>
        </w:rPr>
      </w:pPr>
      <w:r w:rsidRPr="007D67E8">
        <w:rPr>
          <w:sz w:val="24"/>
          <w:szCs w:val="24"/>
        </w:rPr>
        <w:t>Fluconazol kan administreres enten oralt eller ved intravenøs infusion, idet administrationsvejen afhænger af den kliniske tilstand. Ved overgang fra intravenøs til oral administration eller omvendt behøver dagsdosis ikke ændres.</w:t>
      </w:r>
    </w:p>
    <w:p w14:paraId="586EEB1A" w14:textId="77777777" w:rsidR="00CA5A1F" w:rsidRPr="007D67E8" w:rsidRDefault="00CA5A1F" w:rsidP="003B60E8">
      <w:pPr>
        <w:ind w:left="851"/>
        <w:rPr>
          <w:sz w:val="24"/>
          <w:szCs w:val="24"/>
        </w:rPr>
      </w:pPr>
      <w:r w:rsidRPr="007D67E8">
        <w:rPr>
          <w:sz w:val="24"/>
          <w:szCs w:val="24"/>
        </w:rPr>
        <w:t xml:space="preserve"> </w:t>
      </w:r>
    </w:p>
    <w:p w14:paraId="323E1D16" w14:textId="0B137B00" w:rsidR="00CA5A1F" w:rsidRPr="007D67E8" w:rsidRDefault="00CA5A1F" w:rsidP="003B60E8">
      <w:pPr>
        <w:ind w:left="851"/>
        <w:rPr>
          <w:sz w:val="24"/>
          <w:szCs w:val="24"/>
        </w:rPr>
      </w:pPr>
      <w:r w:rsidRPr="007D67E8">
        <w:rPr>
          <w:sz w:val="24"/>
          <w:szCs w:val="24"/>
        </w:rPr>
        <w:t xml:space="preserve">De tilgængelige tabletstyrker er ikke egnede til behandling af børn, der ikke kan synke tabletter, eller til administration af doser under 75 mg. I sådanne tilfælde anvendes den mest hensigtsmæssige lægemiddelform. Lægen bør ordinere den mest hensigtsmæssige lægemiddelform og styrke afhængigt af alder, vægt og dosis. Ikke alle anbefalede doser er mulige med Fluconazol </w:t>
      </w:r>
      <w:r w:rsidR="00B705BB">
        <w:rPr>
          <w:sz w:val="24"/>
          <w:szCs w:val="24"/>
        </w:rPr>
        <w:t>"Vitabalans"</w:t>
      </w:r>
      <w:r w:rsidRPr="007D67E8">
        <w:rPr>
          <w:sz w:val="24"/>
          <w:szCs w:val="24"/>
        </w:rPr>
        <w:t>. Det bør undersøges, om det er muligt at anvende andre produkter med forskellige mængder af fluconazol.</w:t>
      </w:r>
    </w:p>
    <w:p w14:paraId="13EEAA43" w14:textId="77777777" w:rsidR="00CA5A1F" w:rsidRPr="007D67E8" w:rsidRDefault="00CA5A1F" w:rsidP="003B60E8">
      <w:pPr>
        <w:ind w:left="851"/>
        <w:rPr>
          <w:sz w:val="24"/>
          <w:szCs w:val="24"/>
        </w:rPr>
      </w:pPr>
    </w:p>
    <w:p w14:paraId="46069AF1" w14:textId="77777777" w:rsidR="00CA5A1F" w:rsidRPr="007D67E8" w:rsidRDefault="00CA5A1F" w:rsidP="003B60E8">
      <w:pPr>
        <w:ind w:left="851"/>
        <w:rPr>
          <w:color w:val="000000"/>
          <w:sz w:val="24"/>
          <w:szCs w:val="24"/>
        </w:rPr>
      </w:pPr>
      <w:r w:rsidRPr="007D67E8">
        <w:rPr>
          <w:color w:val="000000"/>
          <w:sz w:val="24"/>
          <w:szCs w:val="24"/>
        </w:rPr>
        <w:t xml:space="preserve">Tabletterne kan indtages uafhængigt af måltiderne. </w:t>
      </w:r>
    </w:p>
    <w:p w14:paraId="3D9B3F7A" w14:textId="77777777" w:rsidR="009260DE" w:rsidRPr="007D67E8" w:rsidRDefault="009260DE" w:rsidP="009260DE">
      <w:pPr>
        <w:tabs>
          <w:tab w:val="left" w:pos="851"/>
        </w:tabs>
        <w:ind w:left="851"/>
        <w:rPr>
          <w:sz w:val="24"/>
          <w:szCs w:val="24"/>
        </w:rPr>
      </w:pPr>
    </w:p>
    <w:p w14:paraId="07DEFAF9" w14:textId="77777777" w:rsidR="009260DE" w:rsidRPr="007D67E8" w:rsidRDefault="009260DE" w:rsidP="009260DE">
      <w:pPr>
        <w:tabs>
          <w:tab w:val="left" w:pos="851"/>
        </w:tabs>
        <w:ind w:left="851" w:hanging="851"/>
        <w:rPr>
          <w:b/>
          <w:sz w:val="24"/>
          <w:szCs w:val="24"/>
        </w:rPr>
      </w:pPr>
      <w:r w:rsidRPr="007D67E8">
        <w:rPr>
          <w:b/>
          <w:sz w:val="24"/>
          <w:szCs w:val="24"/>
        </w:rPr>
        <w:t>4.3</w:t>
      </w:r>
      <w:r w:rsidRPr="007D67E8">
        <w:rPr>
          <w:b/>
          <w:sz w:val="24"/>
          <w:szCs w:val="24"/>
        </w:rPr>
        <w:tab/>
        <w:t>Kontraindikationer</w:t>
      </w:r>
    </w:p>
    <w:p w14:paraId="3EAB9641" w14:textId="5C264735" w:rsidR="00CA5A1F" w:rsidRPr="007D67E8" w:rsidRDefault="00CA5A1F" w:rsidP="003B60E8">
      <w:pPr>
        <w:ind w:left="851"/>
        <w:rPr>
          <w:noProof/>
          <w:sz w:val="24"/>
          <w:szCs w:val="24"/>
        </w:rPr>
      </w:pPr>
      <w:r w:rsidRPr="007D67E8">
        <w:rPr>
          <w:sz w:val="24"/>
          <w:szCs w:val="24"/>
        </w:rPr>
        <w:t>Overfølsomhed over for det aktive stof</w:t>
      </w:r>
      <w:r w:rsidR="00202FEF" w:rsidRPr="004958F0">
        <w:rPr>
          <w:sz w:val="24"/>
          <w:szCs w:val="24"/>
        </w:rPr>
        <w:t>, andre azolderivater</w:t>
      </w:r>
      <w:r w:rsidRPr="007D67E8">
        <w:rPr>
          <w:sz w:val="24"/>
          <w:szCs w:val="24"/>
        </w:rPr>
        <w:t xml:space="preserve"> eller over for et eller flere af hjælpestofferne anført i pkt. 6.1.</w:t>
      </w:r>
    </w:p>
    <w:p w14:paraId="57B020D7" w14:textId="77777777" w:rsidR="00CA5A1F" w:rsidRPr="007D67E8" w:rsidRDefault="00CA5A1F" w:rsidP="003B60E8">
      <w:pPr>
        <w:ind w:left="851"/>
        <w:rPr>
          <w:noProof/>
          <w:sz w:val="24"/>
          <w:szCs w:val="24"/>
        </w:rPr>
      </w:pPr>
    </w:p>
    <w:p w14:paraId="1AE8C128" w14:textId="2BB624FE" w:rsidR="00CA5A1F" w:rsidRPr="007D67E8" w:rsidRDefault="00CA5A1F" w:rsidP="003B60E8">
      <w:pPr>
        <w:ind w:left="851"/>
        <w:rPr>
          <w:rFonts w:eastAsiaTheme="minorHAnsi"/>
          <w:sz w:val="24"/>
          <w:szCs w:val="24"/>
          <w:lang w:eastAsia="da-DK"/>
        </w:rPr>
      </w:pPr>
      <w:r w:rsidRPr="007D67E8">
        <w:rPr>
          <w:color w:val="000000"/>
          <w:sz w:val="24"/>
          <w:szCs w:val="24"/>
        </w:rPr>
        <w:t xml:space="preserve">Samtidig behandling med terfenadin er kontraindiceret hos patienter, der får Fluconazol </w:t>
      </w:r>
      <w:r w:rsidR="00B705BB">
        <w:rPr>
          <w:color w:val="000000"/>
          <w:sz w:val="24"/>
          <w:szCs w:val="24"/>
        </w:rPr>
        <w:t>"Vitabalans"</w:t>
      </w:r>
      <w:r w:rsidRPr="007D67E8">
        <w:rPr>
          <w:color w:val="000000"/>
          <w:sz w:val="24"/>
          <w:szCs w:val="24"/>
        </w:rPr>
        <w:t xml:space="preserve"> 400 mg eller højere som flergangsdosering, baseret på resultaterne i et interaktionsstudie med flerdosisbehandling. Samtidig behandling med andre lægemidler, der forlænger QT-intervallet og metaboliseres via cytokrom P450 (CYP) 3A4, som f.eks. </w:t>
      </w:r>
      <w:r w:rsidRPr="007D67E8">
        <w:rPr>
          <w:color w:val="000000"/>
          <w:sz w:val="24"/>
          <w:szCs w:val="24"/>
        </w:rPr>
        <w:lastRenderedPageBreak/>
        <w:t>cisaprid, astemizol, pimozid, kinidin og erythromycin, er kontraindiceret hos patienter i behandling med fluconazol (se pkt. 4.4 og 4.5).</w:t>
      </w:r>
      <w:r w:rsidRPr="007D67E8">
        <w:rPr>
          <w:rFonts w:eastAsiaTheme="minorHAnsi"/>
          <w:sz w:val="24"/>
          <w:szCs w:val="24"/>
          <w:lang w:eastAsia="da-DK"/>
        </w:rPr>
        <w:t xml:space="preserve"> </w:t>
      </w:r>
    </w:p>
    <w:p w14:paraId="1AAF5A68" w14:textId="77777777" w:rsidR="009260DE" w:rsidRPr="007D67E8" w:rsidRDefault="009260DE" w:rsidP="009260DE">
      <w:pPr>
        <w:tabs>
          <w:tab w:val="left" w:pos="851"/>
        </w:tabs>
        <w:ind w:left="851"/>
        <w:rPr>
          <w:sz w:val="24"/>
          <w:szCs w:val="24"/>
        </w:rPr>
      </w:pPr>
    </w:p>
    <w:p w14:paraId="25D0C1D4" w14:textId="77777777" w:rsidR="009260DE" w:rsidRPr="007D67E8" w:rsidRDefault="009260DE" w:rsidP="009260DE">
      <w:pPr>
        <w:tabs>
          <w:tab w:val="left" w:pos="851"/>
        </w:tabs>
        <w:ind w:left="851" w:hanging="851"/>
        <w:rPr>
          <w:b/>
          <w:sz w:val="24"/>
          <w:szCs w:val="24"/>
        </w:rPr>
      </w:pPr>
      <w:r w:rsidRPr="007D67E8">
        <w:rPr>
          <w:b/>
          <w:sz w:val="24"/>
          <w:szCs w:val="24"/>
        </w:rPr>
        <w:t>4.4</w:t>
      </w:r>
      <w:r w:rsidRPr="007D67E8">
        <w:rPr>
          <w:b/>
          <w:sz w:val="24"/>
          <w:szCs w:val="24"/>
        </w:rPr>
        <w:tab/>
        <w:t>Særlige advarsler og forsigtighedsregler vedrørende brugen</w:t>
      </w:r>
    </w:p>
    <w:p w14:paraId="645255D0" w14:textId="77777777" w:rsidR="000E7D58" w:rsidRPr="007D67E8" w:rsidRDefault="000E7D58" w:rsidP="003B60E8">
      <w:pPr>
        <w:ind w:left="851"/>
        <w:rPr>
          <w:sz w:val="24"/>
          <w:szCs w:val="24"/>
        </w:rPr>
      </w:pPr>
      <w:bookmarkStart w:id="9" w:name="_Hlk43129810"/>
    </w:p>
    <w:p w14:paraId="68238807" w14:textId="00414DCD" w:rsidR="004A1D83" w:rsidRPr="007D67E8" w:rsidRDefault="004A1D83" w:rsidP="003B60E8">
      <w:pPr>
        <w:ind w:left="851"/>
        <w:rPr>
          <w:i/>
          <w:sz w:val="24"/>
          <w:szCs w:val="24"/>
          <w:u w:val="single"/>
        </w:rPr>
      </w:pPr>
      <w:r w:rsidRPr="007D67E8">
        <w:rPr>
          <w:i/>
          <w:sz w:val="24"/>
          <w:szCs w:val="24"/>
          <w:u w:val="single"/>
        </w:rPr>
        <w:t xml:space="preserve">Tinea capitis </w:t>
      </w:r>
    </w:p>
    <w:p w14:paraId="362653A1" w14:textId="2F2ACF81" w:rsidR="004A1D83" w:rsidRPr="007D67E8" w:rsidRDefault="004A1D83" w:rsidP="003B60E8">
      <w:pPr>
        <w:ind w:left="851"/>
        <w:rPr>
          <w:sz w:val="24"/>
          <w:szCs w:val="24"/>
        </w:rPr>
      </w:pPr>
      <w:bookmarkStart w:id="10" w:name="_Hlk43129371"/>
      <w:bookmarkEnd w:id="9"/>
      <w:r w:rsidRPr="007D67E8">
        <w:rPr>
          <w:sz w:val="24"/>
          <w:szCs w:val="24"/>
        </w:rPr>
        <w:t xml:space="preserve">Fluconazol er undersøgt til behandling af tinea capitis hos børn. Det blev påvist ikke at være bedre end griseofulvin, og den samlede succesrate var under 20 %. Fluconazol </w:t>
      </w:r>
      <w:r w:rsidR="00B705BB">
        <w:rPr>
          <w:sz w:val="24"/>
          <w:szCs w:val="24"/>
        </w:rPr>
        <w:t>"Vitabalans"</w:t>
      </w:r>
      <w:r w:rsidRPr="007D67E8">
        <w:rPr>
          <w:sz w:val="24"/>
          <w:szCs w:val="24"/>
        </w:rPr>
        <w:t xml:space="preserve"> bør derfor ikke anvendes mod tinea capitis.</w:t>
      </w:r>
    </w:p>
    <w:p w14:paraId="7BCAB723" w14:textId="77777777" w:rsidR="000E7D58" w:rsidRPr="007D67E8" w:rsidRDefault="000E7D58" w:rsidP="003B60E8">
      <w:pPr>
        <w:ind w:left="851"/>
        <w:rPr>
          <w:sz w:val="24"/>
          <w:szCs w:val="24"/>
        </w:rPr>
      </w:pPr>
      <w:bookmarkStart w:id="11" w:name="_Hlk43129826"/>
      <w:bookmarkEnd w:id="10"/>
    </w:p>
    <w:p w14:paraId="77630E38" w14:textId="45B2EA13" w:rsidR="004A1D83" w:rsidRPr="007D67E8" w:rsidRDefault="004A1D83" w:rsidP="003B60E8">
      <w:pPr>
        <w:ind w:left="851"/>
        <w:rPr>
          <w:sz w:val="24"/>
          <w:szCs w:val="24"/>
          <w:u w:val="single"/>
        </w:rPr>
      </w:pPr>
      <w:r w:rsidRPr="007D67E8">
        <w:rPr>
          <w:sz w:val="24"/>
          <w:szCs w:val="24"/>
          <w:u w:val="single"/>
        </w:rPr>
        <w:t>Kryptokokkose</w:t>
      </w:r>
      <w:bookmarkEnd w:id="11"/>
      <w:r w:rsidRPr="007D67E8">
        <w:rPr>
          <w:sz w:val="24"/>
          <w:szCs w:val="24"/>
          <w:u w:val="single"/>
        </w:rPr>
        <w:t xml:space="preserve"> </w:t>
      </w:r>
    </w:p>
    <w:p w14:paraId="2E25662B" w14:textId="77777777" w:rsidR="004A1D83" w:rsidRPr="007D67E8" w:rsidRDefault="004A1D83" w:rsidP="003B60E8">
      <w:pPr>
        <w:ind w:left="851"/>
        <w:rPr>
          <w:sz w:val="24"/>
          <w:szCs w:val="24"/>
        </w:rPr>
      </w:pPr>
      <w:r w:rsidRPr="007D67E8">
        <w:rPr>
          <w:sz w:val="24"/>
          <w:szCs w:val="24"/>
        </w:rPr>
        <w:t>Der er begrænset evidens for effekten af fluconazol til behandling af kryptokokkose på andre steder (f.eks. pulmonal og kutan kryptokokkose), hvorfor der ikke kan gives anbefalinger om dosering.</w:t>
      </w:r>
    </w:p>
    <w:p w14:paraId="07FBF8B5" w14:textId="77777777" w:rsidR="000E7D58" w:rsidRPr="007D67E8" w:rsidRDefault="000E7D58" w:rsidP="003B60E8">
      <w:pPr>
        <w:ind w:left="851"/>
        <w:rPr>
          <w:sz w:val="24"/>
          <w:szCs w:val="24"/>
        </w:rPr>
      </w:pPr>
      <w:bookmarkStart w:id="12" w:name="_Hlk43129840"/>
    </w:p>
    <w:p w14:paraId="6BCD41C8" w14:textId="2AE0AA8F" w:rsidR="004A1D83" w:rsidRPr="007D67E8" w:rsidRDefault="004A1D83" w:rsidP="003B60E8">
      <w:pPr>
        <w:ind w:left="851"/>
        <w:rPr>
          <w:sz w:val="24"/>
          <w:szCs w:val="24"/>
          <w:u w:val="single"/>
        </w:rPr>
      </w:pPr>
      <w:r w:rsidRPr="007D67E8">
        <w:rPr>
          <w:sz w:val="24"/>
          <w:szCs w:val="24"/>
          <w:u w:val="single"/>
        </w:rPr>
        <w:t xml:space="preserve">Dybe endemiske mykoser </w:t>
      </w:r>
    </w:p>
    <w:bookmarkEnd w:id="12"/>
    <w:p w14:paraId="3C617E68" w14:textId="77777777" w:rsidR="004A1D83" w:rsidRPr="007D67E8" w:rsidRDefault="004A1D83" w:rsidP="003B60E8">
      <w:pPr>
        <w:ind w:left="851"/>
        <w:rPr>
          <w:sz w:val="24"/>
          <w:szCs w:val="24"/>
        </w:rPr>
      </w:pPr>
      <w:r w:rsidRPr="007D67E8">
        <w:rPr>
          <w:sz w:val="24"/>
          <w:szCs w:val="24"/>
        </w:rPr>
        <w:t>Der er begrænset evidens for effekten af fluconazol til behandling af andre former for endemiske mykoser som parakokcidioidomykose, lymfokutan sporotrikose og histoplasmose, hvorfor der ikke kan gives specifikke anbefalinger om dosering.</w:t>
      </w:r>
    </w:p>
    <w:p w14:paraId="36F20F68" w14:textId="77777777" w:rsidR="000E7D58" w:rsidRPr="007D67E8" w:rsidRDefault="000E7D58" w:rsidP="003B60E8">
      <w:pPr>
        <w:ind w:left="851"/>
        <w:rPr>
          <w:sz w:val="24"/>
          <w:szCs w:val="24"/>
        </w:rPr>
      </w:pPr>
      <w:bookmarkStart w:id="13" w:name="_Hlk43129855"/>
    </w:p>
    <w:p w14:paraId="033B333A" w14:textId="6880F98A" w:rsidR="004A1D83" w:rsidRPr="007D67E8" w:rsidRDefault="004A1D83" w:rsidP="003B60E8">
      <w:pPr>
        <w:ind w:left="851"/>
        <w:rPr>
          <w:sz w:val="24"/>
          <w:szCs w:val="24"/>
          <w:u w:val="single"/>
        </w:rPr>
      </w:pPr>
      <w:r w:rsidRPr="007D67E8">
        <w:rPr>
          <w:sz w:val="24"/>
          <w:szCs w:val="24"/>
          <w:u w:val="single"/>
        </w:rPr>
        <w:t xml:space="preserve">Det renale system </w:t>
      </w:r>
    </w:p>
    <w:p w14:paraId="1128EA93" w14:textId="51050919" w:rsidR="004A1D83" w:rsidRPr="007D67E8" w:rsidRDefault="004A1D83" w:rsidP="003B60E8">
      <w:pPr>
        <w:ind w:left="851"/>
        <w:rPr>
          <w:sz w:val="24"/>
          <w:szCs w:val="24"/>
        </w:rPr>
      </w:pPr>
      <w:bookmarkStart w:id="14" w:name="_Hlk43129492"/>
      <w:bookmarkEnd w:id="13"/>
      <w:r w:rsidRPr="007D67E8">
        <w:rPr>
          <w:sz w:val="24"/>
          <w:szCs w:val="24"/>
        </w:rPr>
        <w:t xml:space="preserve">Forsigtighed bør udvises ved administration af Fluconazol </w:t>
      </w:r>
      <w:r w:rsidR="00B705BB">
        <w:rPr>
          <w:sz w:val="24"/>
          <w:szCs w:val="24"/>
        </w:rPr>
        <w:t>"Vitabalans"</w:t>
      </w:r>
      <w:r w:rsidRPr="007D67E8">
        <w:rPr>
          <w:sz w:val="24"/>
          <w:szCs w:val="24"/>
        </w:rPr>
        <w:t xml:space="preserve"> til patienter med nedsat nyrefunktion (se pkt. 4.2).</w:t>
      </w:r>
    </w:p>
    <w:p w14:paraId="3408C27B" w14:textId="77777777" w:rsidR="000E7D58" w:rsidRPr="007D67E8" w:rsidRDefault="000E7D58" w:rsidP="003B60E8">
      <w:pPr>
        <w:ind w:left="851"/>
        <w:rPr>
          <w:sz w:val="24"/>
          <w:szCs w:val="24"/>
        </w:rPr>
      </w:pPr>
      <w:bookmarkStart w:id="15" w:name="_Hlk43129866"/>
      <w:bookmarkEnd w:id="14"/>
    </w:p>
    <w:p w14:paraId="69BBCD36" w14:textId="7F45CE50" w:rsidR="004A1D83" w:rsidRPr="007D67E8" w:rsidRDefault="004A1D83" w:rsidP="003B60E8">
      <w:pPr>
        <w:ind w:left="851"/>
        <w:rPr>
          <w:sz w:val="24"/>
          <w:szCs w:val="24"/>
          <w:u w:val="single"/>
        </w:rPr>
      </w:pPr>
      <w:r w:rsidRPr="007D67E8">
        <w:rPr>
          <w:sz w:val="24"/>
          <w:szCs w:val="24"/>
          <w:u w:val="single"/>
        </w:rPr>
        <w:t>Binyreinsufficiens</w:t>
      </w:r>
    </w:p>
    <w:bookmarkEnd w:id="15"/>
    <w:p w14:paraId="64BC9038" w14:textId="79F1D60E" w:rsidR="004A1D83" w:rsidRPr="007D67E8" w:rsidRDefault="004A1D83" w:rsidP="003B60E8">
      <w:pPr>
        <w:ind w:left="851"/>
        <w:rPr>
          <w:sz w:val="24"/>
          <w:szCs w:val="24"/>
        </w:rPr>
      </w:pPr>
      <w:r w:rsidRPr="007D67E8">
        <w:rPr>
          <w:sz w:val="24"/>
          <w:szCs w:val="24"/>
        </w:rPr>
        <w:t>Ketoconazol er kendt for at forårsage binyreinsufficiens, og dette kan også gælde fluconazol, skønt det sjældent ses. Binyreinsufficiens</w:t>
      </w:r>
      <w:r w:rsidRPr="007D67E8">
        <w:rPr>
          <w:color w:val="FF0000"/>
          <w:sz w:val="24"/>
          <w:szCs w:val="24"/>
        </w:rPr>
        <w:t xml:space="preserve"> </w:t>
      </w:r>
      <w:r w:rsidRPr="007D67E8">
        <w:rPr>
          <w:sz w:val="24"/>
          <w:szCs w:val="24"/>
        </w:rPr>
        <w:t xml:space="preserve">i forbindelse med samtidig behandling med prednison, se </w:t>
      </w:r>
      <w:r w:rsidR="009C394E" w:rsidRPr="007D67E8">
        <w:rPr>
          <w:sz w:val="24"/>
          <w:szCs w:val="24"/>
        </w:rPr>
        <w:t>pkt.</w:t>
      </w:r>
      <w:r w:rsidRPr="007D67E8">
        <w:rPr>
          <w:sz w:val="24"/>
          <w:szCs w:val="24"/>
        </w:rPr>
        <w:t xml:space="preserve"> 4.5 </w:t>
      </w:r>
      <w:r w:rsidRPr="004A3055">
        <w:rPr>
          <w:sz w:val="24"/>
          <w:szCs w:val="24"/>
        </w:rPr>
        <w:t>"</w:t>
      </w:r>
      <w:r w:rsidRPr="004A3055">
        <w:rPr>
          <w:bCs/>
          <w:sz w:val="24"/>
          <w:szCs w:val="24"/>
        </w:rPr>
        <w:t>Virkningen af fluconazol på andre lægemidler</w:t>
      </w:r>
      <w:r w:rsidRPr="004A3055">
        <w:rPr>
          <w:sz w:val="24"/>
          <w:szCs w:val="24"/>
        </w:rPr>
        <w:t>".</w:t>
      </w:r>
    </w:p>
    <w:p w14:paraId="2ADDD9A1" w14:textId="77777777" w:rsidR="000E7D58" w:rsidRPr="007D67E8" w:rsidRDefault="000E7D58" w:rsidP="003B60E8">
      <w:pPr>
        <w:ind w:left="851"/>
        <w:rPr>
          <w:sz w:val="24"/>
          <w:szCs w:val="24"/>
        </w:rPr>
      </w:pPr>
      <w:bookmarkStart w:id="16" w:name="_Hlk43129879"/>
    </w:p>
    <w:p w14:paraId="30F59AFF" w14:textId="4F19C66B" w:rsidR="004A1D83" w:rsidRPr="007D67E8" w:rsidRDefault="004A1D83" w:rsidP="003B60E8">
      <w:pPr>
        <w:ind w:left="851"/>
        <w:rPr>
          <w:sz w:val="24"/>
          <w:szCs w:val="24"/>
          <w:u w:val="single"/>
        </w:rPr>
      </w:pPr>
      <w:r w:rsidRPr="007D67E8">
        <w:rPr>
          <w:sz w:val="24"/>
          <w:szCs w:val="24"/>
          <w:u w:val="single"/>
        </w:rPr>
        <w:t xml:space="preserve">Lever og galdeveje </w:t>
      </w:r>
    </w:p>
    <w:p w14:paraId="5947FCA1" w14:textId="7180427E" w:rsidR="004A1D83" w:rsidRPr="007D67E8" w:rsidRDefault="004A1D83" w:rsidP="003B60E8">
      <w:pPr>
        <w:ind w:left="851"/>
        <w:rPr>
          <w:sz w:val="24"/>
          <w:szCs w:val="24"/>
        </w:rPr>
      </w:pPr>
      <w:bookmarkStart w:id="17" w:name="_Hlk43129898"/>
      <w:bookmarkEnd w:id="16"/>
      <w:r w:rsidRPr="007D67E8">
        <w:rPr>
          <w:sz w:val="24"/>
          <w:szCs w:val="24"/>
        </w:rPr>
        <w:t xml:space="preserve">Forsigtighed bør udvises ved administration af Fluconazol </w:t>
      </w:r>
      <w:r w:rsidR="00B705BB">
        <w:rPr>
          <w:sz w:val="24"/>
          <w:szCs w:val="24"/>
        </w:rPr>
        <w:t>"Vitabalans"</w:t>
      </w:r>
      <w:r w:rsidRPr="007D67E8">
        <w:rPr>
          <w:sz w:val="24"/>
          <w:szCs w:val="24"/>
        </w:rPr>
        <w:t xml:space="preserve"> til patienter med leverinsufficiens. </w:t>
      </w:r>
    </w:p>
    <w:p w14:paraId="22AA324D" w14:textId="77777777" w:rsidR="009C394E" w:rsidRPr="007D67E8" w:rsidRDefault="009C394E" w:rsidP="003B60E8">
      <w:pPr>
        <w:ind w:left="851"/>
        <w:rPr>
          <w:sz w:val="24"/>
          <w:szCs w:val="24"/>
        </w:rPr>
      </w:pPr>
    </w:p>
    <w:p w14:paraId="39B39E15" w14:textId="39F78178" w:rsidR="004A1D83" w:rsidRPr="007D67E8" w:rsidRDefault="004A1D83" w:rsidP="003B60E8">
      <w:pPr>
        <w:ind w:left="851"/>
        <w:rPr>
          <w:sz w:val="24"/>
          <w:szCs w:val="24"/>
        </w:rPr>
      </w:pPr>
      <w:r w:rsidRPr="007D67E8">
        <w:rPr>
          <w:sz w:val="24"/>
          <w:szCs w:val="24"/>
        </w:rPr>
        <w:t xml:space="preserve">Fluconazol </w:t>
      </w:r>
      <w:r w:rsidR="00B705BB">
        <w:rPr>
          <w:sz w:val="24"/>
          <w:szCs w:val="24"/>
        </w:rPr>
        <w:t>"Vitabalans"</w:t>
      </w:r>
      <w:r w:rsidRPr="007D67E8">
        <w:rPr>
          <w:sz w:val="24"/>
          <w:szCs w:val="24"/>
        </w:rPr>
        <w:t xml:space="preserve"> har i sjældne tilfælde været forbundet med alvorlig levertoksicitet, herunder dødsfald, primært hos patienter med alvorlige underliggende sygdomme. Der er ikke påvist nogen sammenhæng mellem fluconazolrelateret hepatotoxicitet og den samlede døgndosis af fluconazol, behandlingsvarigheden eller patientens køn eller alder. I de fleste tilfælde har hepatotoxiciteten været reversibel ved seponering af behandlingen. </w:t>
      </w:r>
    </w:p>
    <w:p w14:paraId="3CFAA51B" w14:textId="77777777" w:rsidR="009C394E" w:rsidRPr="007D67E8" w:rsidRDefault="009C394E" w:rsidP="003B60E8">
      <w:pPr>
        <w:ind w:left="851"/>
        <w:rPr>
          <w:sz w:val="24"/>
          <w:szCs w:val="24"/>
        </w:rPr>
      </w:pPr>
    </w:p>
    <w:p w14:paraId="3AC44D31" w14:textId="76588531" w:rsidR="004A1D83" w:rsidRPr="007D67E8" w:rsidRDefault="004A1D83" w:rsidP="003B60E8">
      <w:pPr>
        <w:ind w:left="851"/>
        <w:rPr>
          <w:sz w:val="24"/>
          <w:szCs w:val="24"/>
        </w:rPr>
      </w:pPr>
      <w:r w:rsidRPr="007D67E8">
        <w:rPr>
          <w:sz w:val="24"/>
          <w:szCs w:val="24"/>
        </w:rPr>
        <w:t xml:space="preserve">Hvis der forekommer unormale leverfunktionsværdier under fluconazolbehandling, skal patienten monitoreres nøje med henblik på udvikling af mere alvorlig leverskade. </w:t>
      </w:r>
    </w:p>
    <w:p w14:paraId="7BDD5936" w14:textId="77777777" w:rsidR="009C394E" w:rsidRPr="007D67E8" w:rsidRDefault="009C394E" w:rsidP="003B60E8">
      <w:pPr>
        <w:ind w:left="851"/>
        <w:rPr>
          <w:sz w:val="24"/>
          <w:szCs w:val="24"/>
        </w:rPr>
      </w:pPr>
    </w:p>
    <w:p w14:paraId="17D2282C" w14:textId="769CE3D5" w:rsidR="004A1D83" w:rsidRPr="007D67E8" w:rsidRDefault="004A1D83" w:rsidP="003B60E8">
      <w:pPr>
        <w:ind w:left="851"/>
        <w:rPr>
          <w:sz w:val="24"/>
          <w:szCs w:val="24"/>
        </w:rPr>
      </w:pPr>
      <w:r w:rsidRPr="007D67E8">
        <w:rPr>
          <w:sz w:val="24"/>
          <w:szCs w:val="24"/>
        </w:rPr>
        <w:t xml:space="preserve">Patienten bør informeres om symptomer, der tyder på alvorlig leverpåvirkning (udtalt asteni, anoreksi, vedvarende kvalme, opkastning og gulsot). Behandlingen med fluconazol bør straks seponeres, og patienten bør opsøge læge. </w:t>
      </w:r>
    </w:p>
    <w:p w14:paraId="263E0059" w14:textId="77777777" w:rsidR="009C394E" w:rsidRPr="007D67E8" w:rsidRDefault="009C394E" w:rsidP="003B60E8">
      <w:pPr>
        <w:ind w:left="851"/>
        <w:rPr>
          <w:sz w:val="24"/>
          <w:szCs w:val="24"/>
        </w:rPr>
      </w:pPr>
      <w:bookmarkStart w:id="18" w:name="_Hlk43129956"/>
      <w:bookmarkEnd w:id="17"/>
    </w:p>
    <w:p w14:paraId="745BCB84" w14:textId="75B4701D" w:rsidR="004A1D83" w:rsidRPr="007D67E8" w:rsidRDefault="004A1D83" w:rsidP="003B60E8">
      <w:pPr>
        <w:ind w:left="851"/>
        <w:rPr>
          <w:sz w:val="24"/>
          <w:szCs w:val="24"/>
          <w:u w:val="single"/>
        </w:rPr>
      </w:pPr>
      <w:r w:rsidRPr="007D67E8">
        <w:rPr>
          <w:sz w:val="24"/>
          <w:szCs w:val="24"/>
          <w:u w:val="single"/>
        </w:rPr>
        <w:t xml:space="preserve">Det kardiovaskulære system </w:t>
      </w:r>
    </w:p>
    <w:p w14:paraId="009B7540" w14:textId="77777777" w:rsidR="004A1D83" w:rsidRPr="007D67E8" w:rsidRDefault="004A1D83" w:rsidP="003B60E8">
      <w:pPr>
        <w:ind w:left="851"/>
        <w:rPr>
          <w:sz w:val="24"/>
          <w:szCs w:val="24"/>
        </w:rPr>
      </w:pPr>
      <w:r w:rsidRPr="007D67E8">
        <w:rPr>
          <w:sz w:val="24"/>
          <w:szCs w:val="24"/>
        </w:rPr>
        <w:t>Nogle azoler, herunder fluconazol, er blevet forbundet med forlængelse af QT-intervallet på elektrokardiogram. Fluconazol forårsager QT-forlængelse ved at hæmme den ensrettet kaliumkanal strøm (I</w:t>
      </w:r>
      <w:r w:rsidRPr="007D67E8">
        <w:rPr>
          <w:sz w:val="24"/>
          <w:szCs w:val="24"/>
          <w:vertAlign w:val="subscript"/>
        </w:rPr>
        <w:t>kr</w:t>
      </w:r>
      <w:r w:rsidRPr="007D67E8">
        <w:rPr>
          <w:sz w:val="24"/>
          <w:szCs w:val="24"/>
        </w:rPr>
        <w:t>). QT-forlængelse forårsaget af andre lægemidler (såsom amiodaron) kan forstærkes via hæmning af cytokrom P450 (CYP) 3A4. Meget sjældne tilfælde af QT-</w:t>
      </w:r>
      <w:r w:rsidRPr="007D67E8">
        <w:rPr>
          <w:sz w:val="24"/>
          <w:szCs w:val="24"/>
        </w:rPr>
        <w:lastRenderedPageBreak/>
        <w:t xml:space="preserve">forlængelse og </w:t>
      </w:r>
      <w:r w:rsidRPr="00651880">
        <w:rPr>
          <w:i/>
          <w:sz w:val="24"/>
          <w:szCs w:val="24"/>
        </w:rPr>
        <w:t>torsades de pointes</w:t>
      </w:r>
      <w:r w:rsidRPr="007D67E8">
        <w:rPr>
          <w:sz w:val="24"/>
          <w:szCs w:val="24"/>
        </w:rPr>
        <w:t xml:space="preserve"> er konstateret hos patienter i behandling med fluconazol under post-markedsføring overvågning. Disse rapporter omfattede alvorligt syge patienter med flere forstyrrende risikofaktorer, såsom strukturel hjertesygdom, elektrolytabnormiteter og samtidig behandling, der kan have været medvirkende. Patienter med hypokaliæmi og fremskredent hjertesvigt er i øget risiko for udvikling af livstruende ventrikulære arytmier og </w:t>
      </w:r>
      <w:r w:rsidRPr="00651880">
        <w:rPr>
          <w:i/>
          <w:sz w:val="24"/>
          <w:szCs w:val="24"/>
        </w:rPr>
        <w:t>torsades de pointes</w:t>
      </w:r>
      <w:r w:rsidRPr="007D67E8">
        <w:rPr>
          <w:sz w:val="24"/>
          <w:szCs w:val="24"/>
        </w:rPr>
        <w:t xml:space="preserve">. </w:t>
      </w:r>
    </w:p>
    <w:p w14:paraId="20347E63" w14:textId="77777777" w:rsidR="009C394E" w:rsidRPr="007D67E8" w:rsidRDefault="009C394E" w:rsidP="003B60E8">
      <w:pPr>
        <w:ind w:left="851"/>
        <w:rPr>
          <w:sz w:val="24"/>
          <w:szCs w:val="24"/>
        </w:rPr>
      </w:pPr>
    </w:p>
    <w:p w14:paraId="66EDDA1C" w14:textId="055ABFAE" w:rsidR="004A1D83" w:rsidRPr="007D67E8" w:rsidRDefault="004A1D83" w:rsidP="003B60E8">
      <w:pPr>
        <w:ind w:left="851"/>
        <w:rPr>
          <w:sz w:val="24"/>
          <w:szCs w:val="24"/>
        </w:rPr>
      </w:pPr>
      <w:r w:rsidRPr="007D67E8">
        <w:rPr>
          <w:sz w:val="24"/>
          <w:szCs w:val="24"/>
        </w:rPr>
        <w:t xml:space="preserve">Forsigtighed bør udvises ved administration af Fluconazol </w:t>
      </w:r>
      <w:r w:rsidR="00B705BB">
        <w:rPr>
          <w:sz w:val="24"/>
          <w:szCs w:val="24"/>
        </w:rPr>
        <w:t>"Vitabalans"</w:t>
      </w:r>
      <w:r w:rsidRPr="007D67E8">
        <w:rPr>
          <w:sz w:val="24"/>
          <w:szCs w:val="24"/>
        </w:rPr>
        <w:t xml:space="preserve"> til patienter med potentielt proarytmiske lidelser. </w:t>
      </w:r>
    </w:p>
    <w:p w14:paraId="198B92E0" w14:textId="77777777" w:rsidR="009C394E" w:rsidRPr="007D67E8" w:rsidRDefault="009C394E" w:rsidP="003B60E8">
      <w:pPr>
        <w:ind w:left="851"/>
        <w:rPr>
          <w:sz w:val="24"/>
          <w:szCs w:val="24"/>
        </w:rPr>
      </w:pPr>
    </w:p>
    <w:p w14:paraId="4DD5576A" w14:textId="18E1627A" w:rsidR="004A1D83" w:rsidRPr="007D67E8" w:rsidRDefault="004A1D83" w:rsidP="003B60E8">
      <w:pPr>
        <w:ind w:left="851"/>
        <w:rPr>
          <w:sz w:val="24"/>
          <w:szCs w:val="24"/>
        </w:rPr>
      </w:pPr>
      <w:r w:rsidRPr="007D67E8">
        <w:rPr>
          <w:sz w:val="24"/>
          <w:szCs w:val="24"/>
        </w:rPr>
        <w:t xml:space="preserve">Samtidig administration af andre lægemidler, der forlænger QT-intervallet og metaboliseres via cytokrom P450 (CYP) 3A4, er kontraindiceret </w:t>
      </w:r>
      <w:bookmarkEnd w:id="18"/>
      <w:r w:rsidRPr="007D67E8">
        <w:rPr>
          <w:sz w:val="24"/>
          <w:szCs w:val="24"/>
        </w:rPr>
        <w:t>(se pkt. 4.3 og 4.5).</w:t>
      </w:r>
    </w:p>
    <w:p w14:paraId="647EA44F" w14:textId="77777777" w:rsidR="009C394E" w:rsidRPr="007D67E8" w:rsidRDefault="009C394E" w:rsidP="003B60E8">
      <w:pPr>
        <w:ind w:left="851"/>
        <w:rPr>
          <w:sz w:val="24"/>
          <w:szCs w:val="24"/>
        </w:rPr>
      </w:pPr>
      <w:bookmarkStart w:id="19" w:name="_Hlk43130095"/>
    </w:p>
    <w:p w14:paraId="0C874A63" w14:textId="1A8E69D4" w:rsidR="004A1D83" w:rsidRPr="007D67E8" w:rsidRDefault="004A1D83" w:rsidP="003B60E8">
      <w:pPr>
        <w:ind w:left="851"/>
        <w:rPr>
          <w:sz w:val="24"/>
          <w:szCs w:val="24"/>
          <w:u w:val="single"/>
        </w:rPr>
      </w:pPr>
      <w:r w:rsidRPr="007D67E8">
        <w:rPr>
          <w:sz w:val="24"/>
          <w:szCs w:val="24"/>
          <w:u w:val="single"/>
        </w:rPr>
        <w:t xml:space="preserve">Halofantrin </w:t>
      </w:r>
    </w:p>
    <w:p w14:paraId="3D3D7961" w14:textId="77777777" w:rsidR="004A1D83" w:rsidRPr="007D67E8" w:rsidRDefault="004A1D83" w:rsidP="003B60E8">
      <w:pPr>
        <w:ind w:left="851"/>
        <w:rPr>
          <w:sz w:val="24"/>
          <w:szCs w:val="24"/>
        </w:rPr>
      </w:pPr>
      <w:r w:rsidRPr="007D67E8">
        <w:rPr>
          <w:sz w:val="24"/>
          <w:szCs w:val="24"/>
        </w:rPr>
        <w:t xml:space="preserve">Halofantrin har vist sig at forlænge QTc-intervallet ved den anbefalede terapeutiske dosis og er et substrat for CYP3A4. Derfor frarådes samtidig brug af fluconazol og halofantrin </w:t>
      </w:r>
      <w:bookmarkEnd w:id="19"/>
      <w:r w:rsidRPr="007D67E8">
        <w:rPr>
          <w:sz w:val="24"/>
          <w:szCs w:val="24"/>
        </w:rPr>
        <w:t>(se pkt. 4.5).</w:t>
      </w:r>
    </w:p>
    <w:p w14:paraId="618DDEDA" w14:textId="77777777" w:rsidR="009C394E" w:rsidRPr="007D67E8" w:rsidRDefault="009C394E" w:rsidP="003B60E8">
      <w:pPr>
        <w:ind w:left="851"/>
        <w:rPr>
          <w:sz w:val="24"/>
          <w:szCs w:val="24"/>
        </w:rPr>
      </w:pPr>
    </w:p>
    <w:p w14:paraId="7A6647AA" w14:textId="697250AD" w:rsidR="004A1D83" w:rsidRPr="007D67E8" w:rsidRDefault="004A1D83" w:rsidP="003B60E8">
      <w:pPr>
        <w:ind w:left="851"/>
        <w:rPr>
          <w:sz w:val="24"/>
          <w:szCs w:val="24"/>
          <w:u w:val="single"/>
        </w:rPr>
      </w:pPr>
      <w:r w:rsidRPr="007D67E8">
        <w:rPr>
          <w:sz w:val="24"/>
          <w:szCs w:val="24"/>
          <w:u w:val="single"/>
        </w:rPr>
        <w:t xml:space="preserve">Dermatologiske reaktioner </w:t>
      </w:r>
    </w:p>
    <w:p w14:paraId="40D84543" w14:textId="77777777" w:rsidR="004A1D83" w:rsidRPr="007D67E8" w:rsidRDefault="004A1D83" w:rsidP="003B60E8">
      <w:pPr>
        <w:ind w:left="851"/>
        <w:rPr>
          <w:sz w:val="24"/>
          <w:szCs w:val="24"/>
        </w:rPr>
      </w:pPr>
      <w:r w:rsidRPr="007D67E8">
        <w:rPr>
          <w:sz w:val="24"/>
          <w:szCs w:val="24"/>
        </w:rPr>
        <w:t>Patienterne har i sjældne tilfælde udviklet eksfolierende kutane reaktioner, såsom Stevens-Johnson syndrom og toksisk epidermal nekrolyse, ved behandling med fluconazol. Lægemiddelreaktion med eosinofili og systemiske symptomer (DRESS) er beskrevet. AIDS-patienter har større tendens til at udvikle svære kutane reaktioner på mange lægemidler. Hvis der hos en patient, der behandles for en overfladisk svampeinfektion, forekommer udslæt, der tilskrives fluconazol, skal lægemidlet seponeres. Hvis patienter med invasive/systemiske svampeinfektioner udvikler udslæt, skal de overvåges tæt, og fluconazol seponeres, hvis der opstår bulløse læsioner eller erythema multiforme.</w:t>
      </w:r>
    </w:p>
    <w:p w14:paraId="36FD2325" w14:textId="77777777" w:rsidR="009C394E" w:rsidRPr="007D67E8" w:rsidRDefault="009C394E" w:rsidP="003B60E8">
      <w:pPr>
        <w:ind w:left="851"/>
        <w:rPr>
          <w:sz w:val="24"/>
          <w:szCs w:val="24"/>
        </w:rPr>
      </w:pPr>
    </w:p>
    <w:p w14:paraId="43E5E299" w14:textId="1AAB4184" w:rsidR="004A1D83" w:rsidRPr="007D67E8" w:rsidRDefault="004A1D83" w:rsidP="003B60E8">
      <w:pPr>
        <w:ind w:left="851"/>
        <w:rPr>
          <w:sz w:val="24"/>
          <w:szCs w:val="24"/>
          <w:u w:val="single"/>
        </w:rPr>
      </w:pPr>
      <w:r w:rsidRPr="007D67E8">
        <w:rPr>
          <w:sz w:val="24"/>
          <w:szCs w:val="24"/>
          <w:u w:val="single"/>
        </w:rPr>
        <w:t xml:space="preserve">Hypersensitivitet </w:t>
      </w:r>
    </w:p>
    <w:p w14:paraId="6532D774" w14:textId="77777777" w:rsidR="004A1D83" w:rsidRPr="007D67E8" w:rsidRDefault="004A1D83" w:rsidP="003B60E8">
      <w:pPr>
        <w:ind w:left="851"/>
        <w:rPr>
          <w:sz w:val="24"/>
          <w:szCs w:val="24"/>
        </w:rPr>
      </w:pPr>
      <w:r w:rsidRPr="007D67E8">
        <w:rPr>
          <w:sz w:val="24"/>
          <w:szCs w:val="24"/>
        </w:rPr>
        <w:t>I sjældne tilfælde er anafylaksi beskrevet (se pkt.4.3).</w:t>
      </w:r>
    </w:p>
    <w:p w14:paraId="200EBB67" w14:textId="77777777" w:rsidR="00CB390B" w:rsidRPr="007D67E8" w:rsidRDefault="00CB390B" w:rsidP="003B60E8">
      <w:pPr>
        <w:ind w:left="851"/>
        <w:rPr>
          <w:sz w:val="24"/>
          <w:szCs w:val="24"/>
        </w:rPr>
      </w:pPr>
    </w:p>
    <w:p w14:paraId="6A806F1B" w14:textId="1C2A5BC1" w:rsidR="004A1D83" w:rsidRPr="007D67E8" w:rsidRDefault="004A1D83" w:rsidP="003B60E8">
      <w:pPr>
        <w:ind w:left="851"/>
        <w:rPr>
          <w:sz w:val="24"/>
          <w:szCs w:val="24"/>
          <w:u w:val="single"/>
        </w:rPr>
      </w:pPr>
      <w:r w:rsidRPr="007D67E8">
        <w:rPr>
          <w:sz w:val="24"/>
          <w:szCs w:val="24"/>
          <w:u w:val="single"/>
        </w:rPr>
        <w:t xml:space="preserve">Cytokrom P450 </w:t>
      </w:r>
    </w:p>
    <w:p w14:paraId="5C334336" w14:textId="77777777" w:rsidR="004A1D83" w:rsidRPr="007D67E8" w:rsidRDefault="004A1D83" w:rsidP="003B60E8">
      <w:pPr>
        <w:ind w:left="851"/>
        <w:rPr>
          <w:sz w:val="24"/>
          <w:szCs w:val="24"/>
        </w:rPr>
      </w:pPr>
      <w:r w:rsidRPr="007D67E8">
        <w:rPr>
          <w:sz w:val="24"/>
          <w:szCs w:val="24"/>
        </w:rPr>
        <w:t xml:space="preserve">Fluconazol er en potent CYP2C9- og CYP3A4-hæmmer. Fluconazol er desuden en stærk hæmmer af CYP2C19. Fluconazolbehandlede patienter bør monitoreres, hvis de samtidig er i behandling med lægemidler, der har snævert terapeutisk vindue og metaboliseres gennem CYP2C9, CYP2C19 og CYP3A4, (se pkt. 4.5). </w:t>
      </w:r>
    </w:p>
    <w:p w14:paraId="36F2D7BD" w14:textId="77777777" w:rsidR="00CB390B" w:rsidRPr="007D67E8" w:rsidRDefault="00CB390B" w:rsidP="003B60E8">
      <w:pPr>
        <w:ind w:left="851"/>
        <w:rPr>
          <w:sz w:val="24"/>
          <w:szCs w:val="24"/>
        </w:rPr>
      </w:pPr>
    </w:p>
    <w:p w14:paraId="35A657BE" w14:textId="70383269" w:rsidR="004A1D83" w:rsidRPr="007D67E8" w:rsidRDefault="004A1D83" w:rsidP="003B60E8">
      <w:pPr>
        <w:ind w:left="851"/>
        <w:rPr>
          <w:sz w:val="24"/>
          <w:szCs w:val="24"/>
          <w:u w:val="single"/>
        </w:rPr>
      </w:pPr>
      <w:r w:rsidRPr="007D67E8">
        <w:rPr>
          <w:sz w:val="24"/>
          <w:szCs w:val="24"/>
          <w:u w:val="single"/>
        </w:rPr>
        <w:t xml:space="preserve">Terfenadin </w:t>
      </w:r>
    </w:p>
    <w:p w14:paraId="4980E7CB" w14:textId="7A6C1F67" w:rsidR="004A1D83" w:rsidRPr="007D67E8" w:rsidRDefault="004A1D83" w:rsidP="003B60E8">
      <w:pPr>
        <w:ind w:left="851"/>
        <w:rPr>
          <w:sz w:val="24"/>
          <w:szCs w:val="24"/>
        </w:rPr>
      </w:pPr>
      <w:r w:rsidRPr="007D67E8">
        <w:rPr>
          <w:sz w:val="24"/>
          <w:szCs w:val="24"/>
        </w:rPr>
        <w:t xml:space="preserve">Patienter som behandles med terfenadin samtidigt med fluconazol, i doser på under 400 mg dagligt, bør overvåges nøje (se pkt. 4.3 og 4.5). </w:t>
      </w:r>
    </w:p>
    <w:p w14:paraId="685F7512" w14:textId="77777777" w:rsidR="00CB390B" w:rsidRPr="007D67E8" w:rsidRDefault="00CB390B" w:rsidP="003B60E8">
      <w:pPr>
        <w:ind w:left="851"/>
        <w:rPr>
          <w:sz w:val="24"/>
          <w:szCs w:val="24"/>
        </w:rPr>
      </w:pPr>
    </w:p>
    <w:p w14:paraId="7149336E" w14:textId="20FD9AA5" w:rsidR="004A1D83" w:rsidRPr="007D67E8" w:rsidRDefault="004A1D83" w:rsidP="003B60E8">
      <w:pPr>
        <w:ind w:left="851"/>
        <w:rPr>
          <w:sz w:val="24"/>
          <w:szCs w:val="24"/>
          <w:u w:val="single"/>
        </w:rPr>
      </w:pPr>
      <w:r w:rsidRPr="007D67E8">
        <w:rPr>
          <w:sz w:val="24"/>
          <w:szCs w:val="24"/>
          <w:u w:val="single"/>
        </w:rPr>
        <w:t>Candidiasis</w:t>
      </w:r>
    </w:p>
    <w:p w14:paraId="2046F740" w14:textId="77777777" w:rsidR="004A1D83" w:rsidRPr="007D67E8" w:rsidRDefault="004A1D83" w:rsidP="003B60E8">
      <w:pPr>
        <w:ind w:left="851"/>
        <w:rPr>
          <w:sz w:val="24"/>
          <w:szCs w:val="24"/>
        </w:rPr>
      </w:pPr>
      <w:r w:rsidRPr="007D67E8">
        <w:rPr>
          <w:sz w:val="24"/>
          <w:szCs w:val="24"/>
        </w:rPr>
        <w:t xml:space="preserve">Undersøgelser har vist stigende prævalens af infektioner med andre </w:t>
      </w:r>
      <w:r w:rsidRPr="00202FEF">
        <w:rPr>
          <w:i/>
          <w:sz w:val="24"/>
          <w:szCs w:val="24"/>
        </w:rPr>
        <w:t>Candida</w:t>
      </w:r>
      <w:r w:rsidRPr="007D67E8">
        <w:rPr>
          <w:sz w:val="24"/>
          <w:szCs w:val="24"/>
        </w:rPr>
        <w:t xml:space="preserve">-arter end </w:t>
      </w:r>
      <w:r w:rsidRPr="00202FEF">
        <w:rPr>
          <w:i/>
          <w:sz w:val="24"/>
          <w:szCs w:val="24"/>
        </w:rPr>
        <w:t>C. albicans</w:t>
      </w:r>
      <w:r w:rsidRPr="007D67E8">
        <w:rPr>
          <w:sz w:val="24"/>
          <w:szCs w:val="24"/>
        </w:rPr>
        <w:t xml:space="preserve">. Disse er ofte naturligt resistente (f.eks. </w:t>
      </w:r>
      <w:r w:rsidRPr="00202FEF">
        <w:rPr>
          <w:i/>
          <w:sz w:val="24"/>
          <w:szCs w:val="24"/>
        </w:rPr>
        <w:t>C. krusei</w:t>
      </w:r>
      <w:r w:rsidRPr="007D67E8">
        <w:rPr>
          <w:sz w:val="24"/>
          <w:szCs w:val="24"/>
        </w:rPr>
        <w:t xml:space="preserve"> og </w:t>
      </w:r>
      <w:r w:rsidRPr="00202FEF">
        <w:rPr>
          <w:i/>
          <w:sz w:val="24"/>
          <w:szCs w:val="24"/>
        </w:rPr>
        <w:t>C. auris</w:t>
      </w:r>
      <w:r w:rsidRPr="007D67E8">
        <w:rPr>
          <w:sz w:val="24"/>
          <w:szCs w:val="24"/>
        </w:rPr>
        <w:t>) eller udviser nedsat følsomhed over for fluconazol (</w:t>
      </w:r>
      <w:r w:rsidRPr="00202FEF">
        <w:rPr>
          <w:i/>
          <w:sz w:val="24"/>
          <w:szCs w:val="24"/>
        </w:rPr>
        <w:t>C. glabrata</w:t>
      </w:r>
      <w:r w:rsidRPr="007D67E8">
        <w:rPr>
          <w:sz w:val="24"/>
          <w:szCs w:val="24"/>
        </w:rPr>
        <w:t xml:space="preserve">). Sådanne infektioner kan kræve alternativ fungicid behandling ved behandlingssvigt med fluconazol. Derfor rådes ordinerende til at tage højde for prævalensen af resistens over for fluconazol hos forskellige </w:t>
      </w:r>
      <w:r w:rsidRPr="00202FEF">
        <w:rPr>
          <w:i/>
          <w:sz w:val="24"/>
          <w:szCs w:val="24"/>
        </w:rPr>
        <w:t>Candida</w:t>
      </w:r>
      <w:r w:rsidRPr="007D67E8">
        <w:rPr>
          <w:sz w:val="24"/>
          <w:szCs w:val="24"/>
        </w:rPr>
        <w:t>-arter.</w:t>
      </w:r>
    </w:p>
    <w:p w14:paraId="1184B193" w14:textId="77777777" w:rsidR="00CB390B" w:rsidRPr="007D67E8" w:rsidRDefault="00CB390B" w:rsidP="003B60E8">
      <w:pPr>
        <w:ind w:left="851"/>
        <w:rPr>
          <w:sz w:val="24"/>
          <w:szCs w:val="24"/>
        </w:rPr>
      </w:pPr>
    </w:p>
    <w:p w14:paraId="5D88287E" w14:textId="3C2278E5" w:rsidR="004A1D83" w:rsidRPr="007D67E8" w:rsidRDefault="004A1D83" w:rsidP="003B60E8">
      <w:pPr>
        <w:ind w:left="851"/>
        <w:rPr>
          <w:sz w:val="24"/>
          <w:szCs w:val="24"/>
          <w:u w:val="single"/>
        </w:rPr>
      </w:pPr>
      <w:r w:rsidRPr="007D67E8">
        <w:rPr>
          <w:sz w:val="24"/>
          <w:szCs w:val="24"/>
          <w:u w:val="single"/>
        </w:rPr>
        <w:t>Hjælpestoffer</w:t>
      </w:r>
    </w:p>
    <w:p w14:paraId="4B86463C" w14:textId="2A9D19B6" w:rsidR="004A1D83" w:rsidRPr="007D67E8" w:rsidRDefault="004A1D83" w:rsidP="003B60E8">
      <w:pPr>
        <w:ind w:left="851"/>
        <w:rPr>
          <w:noProof/>
          <w:sz w:val="24"/>
          <w:szCs w:val="24"/>
        </w:rPr>
      </w:pPr>
      <w:r w:rsidRPr="007D67E8">
        <w:rPr>
          <w:sz w:val="24"/>
          <w:szCs w:val="24"/>
        </w:rPr>
        <w:t>Dette lægemiddel indeholder mindre end 1 mmol natrium (23 mg) pr. tablet, dvs.  det er i det væsentlige "natriumfri".</w:t>
      </w:r>
    </w:p>
    <w:p w14:paraId="1C12C43F" w14:textId="77777777" w:rsidR="009260DE" w:rsidRPr="007D67E8" w:rsidRDefault="009260DE" w:rsidP="009260DE">
      <w:pPr>
        <w:tabs>
          <w:tab w:val="left" w:pos="851"/>
        </w:tabs>
        <w:ind w:left="851" w:hanging="851"/>
        <w:rPr>
          <w:b/>
          <w:sz w:val="24"/>
          <w:szCs w:val="24"/>
        </w:rPr>
      </w:pPr>
      <w:r w:rsidRPr="007D67E8">
        <w:rPr>
          <w:b/>
          <w:sz w:val="24"/>
          <w:szCs w:val="24"/>
        </w:rPr>
        <w:lastRenderedPageBreak/>
        <w:t>4.5</w:t>
      </w:r>
      <w:r w:rsidRPr="007D67E8">
        <w:rPr>
          <w:b/>
          <w:sz w:val="24"/>
          <w:szCs w:val="24"/>
        </w:rPr>
        <w:tab/>
        <w:t>Interaktion med andre lægemidler og andre former for interaktion</w:t>
      </w:r>
    </w:p>
    <w:p w14:paraId="36DA38D2" w14:textId="77777777" w:rsidR="00202FEF" w:rsidRDefault="00202FEF" w:rsidP="00202FEF">
      <w:pPr>
        <w:ind w:left="851"/>
        <w:rPr>
          <w:i/>
          <w:sz w:val="24"/>
          <w:szCs w:val="24"/>
          <w:u w:val="single"/>
        </w:rPr>
      </w:pPr>
      <w:r w:rsidRPr="007D67E8">
        <w:rPr>
          <w:i/>
          <w:sz w:val="24"/>
          <w:szCs w:val="24"/>
          <w:u w:val="single"/>
        </w:rPr>
        <w:t>Samtidig anvendelse af følgende andre lægemidler er kontraindiceret:</w:t>
      </w:r>
    </w:p>
    <w:p w14:paraId="7CA143AD" w14:textId="77777777" w:rsidR="00202FEF" w:rsidRDefault="00202FEF" w:rsidP="003B60E8">
      <w:pPr>
        <w:ind w:left="851"/>
        <w:rPr>
          <w:sz w:val="24"/>
          <w:szCs w:val="24"/>
          <w:u w:val="single"/>
        </w:rPr>
      </w:pPr>
    </w:p>
    <w:p w14:paraId="09B59F17" w14:textId="7F8A6DBF" w:rsidR="004A1D83" w:rsidRPr="007D67E8" w:rsidRDefault="004A1D83" w:rsidP="003B60E8">
      <w:pPr>
        <w:ind w:left="851"/>
        <w:rPr>
          <w:sz w:val="24"/>
          <w:szCs w:val="24"/>
        </w:rPr>
      </w:pPr>
      <w:r w:rsidRPr="007D67E8">
        <w:rPr>
          <w:sz w:val="24"/>
          <w:szCs w:val="24"/>
          <w:u w:val="single"/>
        </w:rPr>
        <w:t>Cisaprid:</w:t>
      </w:r>
      <w:r w:rsidRPr="007D67E8">
        <w:rPr>
          <w:sz w:val="24"/>
          <w:szCs w:val="24"/>
        </w:rPr>
        <w:t xml:space="preserve"> </w:t>
      </w:r>
      <w:bookmarkStart w:id="20" w:name="_Hlk42529193"/>
      <w:r w:rsidRPr="007D67E8">
        <w:rPr>
          <w:sz w:val="24"/>
          <w:szCs w:val="24"/>
        </w:rPr>
        <w:t xml:space="preserve">Der er indberettet kardiale hændelser, herunder </w:t>
      </w:r>
      <w:r w:rsidRPr="00202FEF">
        <w:rPr>
          <w:i/>
          <w:sz w:val="24"/>
          <w:szCs w:val="24"/>
        </w:rPr>
        <w:t>torsades de pointes</w:t>
      </w:r>
      <w:r w:rsidRPr="007D67E8">
        <w:rPr>
          <w:sz w:val="24"/>
          <w:szCs w:val="24"/>
        </w:rPr>
        <w:t>, ved samtidig administration af fluconazol og cisaprid. Et kontrolleret studie viste, at fluconazol 200 mg én gang dagligt og cisaprid 20 mg fire gange dagligt medførte betydelig stigning i plasmaniveauet af cisaprid og forlængelse af QTc-intervallet. Samtidig anvendelse af fluconazol og cisaprid er kontraindiceret (se pkt. 4.3).</w:t>
      </w:r>
      <w:bookmarkEnd w:id="20"/>
    </w:p>
    <w:p w14:paraId="46DB7E36" w14:textId="77777777" w:rsidR="00CB390B" w:rsidRPr="007D67E8" w:rsidRDefault="00CB390B" w:rsidP="003B60E8">
      <w:pPr>
        <w:ind w:left="851"/>
        <w:rPr>
          <w:sz w:val="24"/>
          <w:szCs w:val="24"/>
        </w:rPr>
      </w:pPr>
    </w:p>
    <w:p w14:paraId="17A4FA38" w14:textId="74CBBB40" w:rsidR="004A1D83" w:rsidRPr="007D67E8" w:rsidRDefault="004A1D83" w:rsidP="003B60E8">
      <w:pPr>
        <w:ind w:left="851"/>
        <w:rPr>
          <w:sz w:val="24"/>
          <w:szCs w:val="24"/>
        </w:rPr>
      </w:pPr>
      <w:r w:rsidRPr="007D67E8">
        <w:rPr>
          <w:sz w:val="24"/>
          <w:szCs w:val="24"/>
          <w:u w:val="single"/>
        </w:rPr>
        <w:t>Terfenadin:</w:t>
      </w:r>
      <w:r w:rsidRPr="007D67E8">
        <w:rPr>
          <w:sz w:val="24"/>
          <w:szCs w:val="24"/>
        </w:rPr>
        <w:t xml:space="preserve"> På baggrund af forekomsten af alvorlige kardiale arytmier sekundært til forlængelse af QTc-intervallet hos patienter, i behandling med azolpræparater samtidigt med terfenadin, er der udført interaktionsstudier. Et studie med 200 mg fluconazol dagligt viste ikke forlængelse af QTc-intervallet. Et andet studie med en dosis på 400 mg og 800 mg fluconazol dagligt viste, at fluconazol 400 mg dagligt eller derover øger plasmakoncentrationen af terfenadin væsentligt ved samtidig administration. Anvendelse af fluconazol i doser på 400 mg dagligt eller derover kombineret med terfenadin er kontraindiceret (se pkt. 4.3). Anvendelse af fluconazol i doser på under 400 mg dagligt kombineret med terfenadin bør overvåges nøje.</w:t>
      </w:r>
    </w:p>
    <w:p w14:paraId="3CC221DA" w14:textId="77777777" w:rsidR="00CB390B" w:rsidRPr="007D67E8" w:rsidRDefault="00CB390B" w:rsidP="003B60E8">
      <w:pPr>
        <w:ind w:left="851"/>
        <w:rPr>
          <w:sz w:val="24"/>
          <w:szCs w:val="24"/>
        </w:rPr>
      </w:pPr>
    </w:p>
    <w:p w14:paraId="2F1FE70C" w14:textId="7EC239BA" w:rsidR="004A1D83" w:rsidRPr="007D67E8" w:rsidRDefault="004A1D83" w:rsidP="003B60E8">
      <w:pPr>
        <w:ind w:left="851"/>
        <w:rPr>
          <w:sz w:val="24"/>
          <w:szCs w:val="24"/>
        </w:rPr>
      </w:pPr>
      <w:r w:rsidRPr="007D67E8">
        <w:rPr>
          <w:sz w:val="24"/>
          <w:szCs w:val="24"/>
          <w:u w:val="single"/>
        </w:rPr>
        <w:t>Astemizol:</w:t>
      </w:r>
      <w:r w:rsidRPr="007D67E8">
        <w:rPr>
          <w:sz w:val="24"/>
          <w:szCs w:val="24"/>
        </w:rPr>
        <w:t xml:space="preserve"> Samtidig administration af fluconazol og astemizol kan nedsætte clearance af astemizol. Den resulterende øgede plasmakoncentration af astemizol kan føre til QT-forlængelse og i sjældne tilfælde torsades de pointes. Samtidig administration af fluconazol og astemizol er kontraindiceret (se pkt. 4.3).</w:t>
      </w:r>
    </w:p>
    <w:p w14:paraId="25EC0C41" w14:textId="77777777" w:rsidR="00772FD4" w:rsidRPr="007D67E8" w:rsidRDefault="00772FD4" w:rsidP="003B60E8">
      <w:pPr>
        <w:ind w:left="851"/>
        <w:rPr>
          <w:sz w:val="24"/>
          <w:szCs w:val="24"/>
        </w:rPr>
      </w:pPr>
    </w:p>
    <w:p w14:paraId="75EF93BE" w14:textId="0F680DF4" w:rsidR="004A1D83" w:rsidRPr="007D67E8" w:rsidRDefault="004A1D83" w:rsidP="003B60E8">
      <w:pPr>
        <w:ind w:left="851"/>
        <w:rPr>
          <w:sz w:val="24"/>
          <w:szCs w:val="24"/>
        </w:rPr>
      </w:pPr>
      <w:r w:rsidRPr="007D67E8">
        <w:rPr>
          <w:sz w:val="24"/>
          <w:szCs w:val="24"/>
          <w:u w:val="single"/>
        </w:rPr>
        <w:t>Pimozid:</w:t>
      </w:r>
      <w:r w:rsidRPr="007D67E8">
        <w:rPr>
          <w:sz w:val="24"/>
          <w:szCs w:val="24"/>
        </w:rPr>
        <w:t xml:space="preserve"> Samtidig administration af fluconazol og pimozid kan tænkes at hæmme metaboliseringen af pimozid, skønt dette ikke er undersøgt in vitro eller in vivo. Øgede plasmakoncentrationer af pimozid kan medføre QT-forlængelse og i sjældne tilfælde </w:t>
      </w:r>
      <w:r w:rsidRPr="00705807">
        <w:rPr>
          <w:i/>
          <w:sz w:val="24"/>
          <w:szCs w:val="24"/>
        </w:rPr>
        <w:t>torsades de pointes</w:t>
      </w:r>
      <w:r w:rsidRPr="007D67E8">
        <w:rPr>
          <w:sz w:val="24"/>
          <w:szCs w:val="24"/>
        </w:rPr>
        <w:t>. Samtidig administration af fluconazol og pimozid er kontraindiceret (se pkt. 4.3).</w:t>
      </w:r>
    </w:p>
    <w:p w14:paraId="48EEFD58" w14:textId="77777777" w:rsidR="00772FD4" w:rsidRPr="007D67E8" w:rsidRDefault="00772FD4" w:rsidP="003B60E8">
      <w:pPr>
        <w:ind w:left="851"/>
        <w:rPr>
          <w:sz w:val="24"/>
          <w:szCs w:val="24"/>
        </w:rPr>
      </w:pPr>
    </w:p>
    <w:p w14:paraId="0303DECE" w14:textId="6B9EDF72" w:rsidR="004A1D83" w:rsidRPr="007D67E8" w:rsidRDefault="004A1D83" w:rsidP="003B60E8">
      <w:pPr>
        <w:ind w:left="851"/>
        <w:rPr>
          <w:sz w:val="24"/>
          <w:szCs w:val="24"/>
        </w:rPr>
      </w:pPr>
      <w:r w:rsidRPr="007D67E8">
        <w:rPr>
          <w:sz w:val="24"/>
          <w:szCs w:val="24"/>
          <w:u w:val="single"/>
        </w:rPr>
        <w:t>Kinidin:</w:t>
      </w:r>
      <w:r w:rsidRPr="007D67E8">
        <w:rPr>
          <w:sz w:val="24"/>
          <w:szCs w:val="24"/>
        </w:rPr>
        <w:t xml:space="preserve"> Samtidig administration af fluconazol og kinidin kan tænkes at hæmme metaboliseringen af kinidin, skønt dette ikke er undersøgt in vitro eller in vivo. Brug af kinidin har været associeret med QT-forlængelse og i sjældne tilfælde </w:t>
      </w:r>
      <w:r w:rsidRPr="00705807">
        <w:rPr>
          <w:i/>
          <w:sz w:val="24"/>
          <w:szCs w:val="24"/>
        </w:rPr>
        <w:t>torsades de pointes</w:t>
      </w:r>
      <w:r w:rsidRPr="007D67E8">
        <w:rPr>
          <w:sz w:val="24"/>
          <w:szCs w:val="24"/>
        </w:rPr>
        <w:t>. Samtidig administration af fluconazol og kinidin er kontraindiceret (se pkt. 4.3).</w:t>
      </w:r>
    </w:p>
    <w:p w14:paraId="4681D699" w14:textId="77777777" w:rsidR="00772FD4" w:rsidRPr="007D67E8" w:rsidRDefault="00772FD4" w:rsidP="003B60E8">
      <w:pPr>
        <w:ind w:left="851"/>
        <w:rPr>
          <w:sz w:val="24"/>
          <w:szCs w:val="24"/>
        </w:rPr>
      </w:pPr>
    </w:p>
    <w:p w14:paraId="46874533" w14:textId="1379E639" w:rsidR="004A1D83" w:rsidRPr="007D67E8" w:rsidRDefault="004A1D83" w:rsidP="003B60E8">
      <w:pPr>
        <w:ind w:left="851"/>
        <w:rPr>
          <w:sz w:val="24"/>
          <w:szCs w:val="24"/>
        </w:rPr>
      </w:pPr>
      <w:r w:rsidRPr="007D67E8">
        <w:rPr>
          <w:sz w:val="24"/>
          <w:szCs w:val="24"/>
          <w:u w:val="single"/>
        </w:rPr>
        <w:t>Erythromycin:</w:t>
      </w:r>
      <w:r w:rsidRPr="007D67E8">
        <w:rPr>
          <w:sz w:val="24"/>
          <w:szCs w:val="24"/>
        </w:rPr>
        <w:t xml:space="preserve"> Samtidig brug af fluconazol og erythromycin har potentiale til at øge risikoen for kardiotoksicitet (forlænget QT-interval, </w:t>
      </w:r>
      <w:r w:rsidRPr="00705807">
        <w:rPr>
          <w:i/>
          <w:sz w:val="24"/>
          <w:szCs w:val="24"/>
        </w:rPr>
        <w:t>torsades de pointes</w:t>
      </w:r>
      <w:r w:rsidRPr="007D67E8">
        <w:rPr>
          <w:sz w:val="24"/>
          <w:szCs w:val="24"/>
        </w:rPr>
        <w:t>) og efterfølgende pludselig hjertedød. Samtidig administration af fluconazol og erythromycin er kontraindiceret (se pkt. 4.3).</w:t>
      </w:r>
    </w:p>
    <w:p w14:paraId="27C90F95" w14:textId="77777777" w:rsidR="00772FD4" w:rsidRPr="007D67E8" w:rsidRDefault="00772FD4" w:rsidP="003B60E8">
      <w:pPr>
        <w:ind w:left="851"/>
        <w:rPr>
          <w:sz w:val="24"/>
          <w:szCs w:val="24"/>
        </w:rPr>
      </w:pPr>
    </w:p>
    <w:p w14:paraId="4E76907E" w14:textId="7E1286C4" w:rsidR="004A1D83" w:rsidRPr="007D67E8" w:rsidRDefault="004A1D83" w:rsidP="003B60E8">
      <w:pPr>
        <w:ind w:left="851"/>
        <w:rPr>
          <w:i/>
          <w:sz w:val="24"/>
          <w:szCs w:val="24"/>
          <w:u w:val="single"/>
        </w:rPr>
      </w:pPr>
      <w:r w:rsidRPr="007D67E8">
        <w:rPr>
          <w:i/>
          <w:sz w:val="24"/>
          <w:szCs w:val="24"/>
          <w:u w:val="single"/>
        </w:rPr>
        <w:t xml:space="preserve">Samtidig anvendelse af følgende andre lægemidler frarådes: </w:t>
      </w:r>
    </w:p>
    <w:p w14:paraId="35920FE2" w14:textId="77777777" w:rsidR="004A1D83" w:rsidRPr="007D67E8" w:rsidRDefault="004A1D83" w:rsidP="003B60E8">
      <w:pPr>
        <w:ind w:left="851"/>
        <w:rPr>
          <w:sz w:val="24"/>
          <w:szCs w:val="24"/>
        </w:rPr>
      </w:pPr>
      <w:r w:rsidRPr="007D67E8">
        <w:rPr>
          <w:sz w:val="24"/>
          <w:szCs w:val="24"/>
          <w:u w:val="single"/>
        </w:rPr>
        <w:t>Halofantrin:</w:t>
      </w:r>
      <w:r w:rsidRPr="007D67E8">
        <w:rPr>
          <w:sz w:val="24"/>
          <w:szCs w:val="24"/>
        </w:rPr>
        <w:t xml:space="preserve"> Fluconazol kan øge plasmakoncentrationen af halofantrin på grund af hæmning af CYP3A4. </w:t>
      </w:r>
      <w:bookmarkStart w:id="21" w:name="_Hlk42528772"/>
      <w:r w:rsidRPr="007D67E8">
        <w:rPr>
          <w:sz w:val="24"/>
          <w:szCs w:val="24"/>
        </w:rPr>
        <w:t xml:space="preserve">Samtidig anvendelse af fluconazol og halofantrin kan øge risikoen for kardiotoksicitet (forlænget QT-interval, </w:t>
      </w:r>
      <w:r w:rsidRPr="00705807">
        <w:rPr>
          <w:i/>
          <w:sz w:val="24"/>
          <w:szCs w:val="24"/>
        </w:rPr>
        <w:t>torsades de pointes</w:t>
      </w:r>
      <w:r w:rsidRPr="007D67E8">
        <w:rPr>
          <w:sz w:val="24"/>
          <w:szCs w:val="24"/>
        </w:rPr>
        <w:t xml:space="preserve">) og efterfølgende pludselig hjertedød. Denne kombination bør undgås </w:t>
      </w:r>
      <w:bookmarkEnd w:id="21"/>
      <w:r w:rsidRPr="007D67E8">
        <w:rPr>
          <w:sz w:val="24"/>
          <w:szCs w:val="24"/>
        </w:rPr>
        <w:t>(se pkt. 4.4).</w:t>
      </w:r>
    </w:p>
    <w:p w14:paraId="0827DA5D" w14:textId="3066D076" w:rsidR="00B92B51" w:rsidRDefault="00B92B51">
      <w:pPr>
        <w:rPr>
          <w:sz w:val="24"/>
          <w:szCs w:val="24"/>
        </w:rPr>
      </w:pPr>
      <w:r>
        <w:rPr>
          <w:sz w:val="24"/>
          <w:szCs w:val="24"/>
        </w:rPr>
        <w:br w:type="page"/>
      </w:r>
    </w:p>
    <w:p w14:paraId="73581329" w14:textId="77777777" w:rsidR="00772FD4" w:rsidRPr="007D67E8" w:rsidRDefault="00772FD4" w:rsidP="003B60E8">
      <w:pPr>
        <w:ind w:left="851"/>
        <w:rPr>
          <w:sz w:val="24"/>
          <w:szCs w:val="24"/>
        </w:rPr>
      </w:pPr>
    </w:p>
    <w:p w14:paraId="3F783056" w14:textId="67677CB3" w:rsidR="004A1D83" w:rsidRPr="007D67E8" w:rsidRDefault="004A1D83" w:rsidP="003B60E8">
      <w:pPr>
        <w:ind w:left="851"/>
        <w:rPr>
          <w:i/>
          <w:sz w:val="24"/>
          <w:szCs w:val="24"/>
          <w:u w:val="single"/>
        </w:rPr>
      </w:pPr>
      <w:r w:rsidRPr="007D67E8">
        <w:rPr>
          <w:i/>
          <w:sz w:val="24"/>
          <w:szCs w:val="24"/>
          <w:u w:val="single"/>
        </w:rPr>
        <w:t xml:space="preserve">Forsigtighed bør udvises ved kombineret anvendelse: </w:t>
      </w:r>
    </w:p>
    <w:p w14:paraId="5F0FB55E" w14:textId="77777777" w:rsidR="00DA4A4A" w:rsidRPr="007D67E8" w:rsidRDefault="00DA4A4A" w:rsidP="003B60E8">
      <w:pPr>
        <w:ind w:left="851"/>
        <w:rPr>
          <w:sz w:val="24"/>
          <w:szCs w:val="24"/>
        </w:rPr>
      </w:pPr>
    </w:p>
    <w:p w14:paraId="3E42BF5A" w14:textId="77777777" w:rsidR="00DA4A4A" w:rsidRPr="007D67E8" w:rsidRDefault="004A1D83" w:rsidP="003B60E8">
      <w:pPr>
        <w:ind w:left="851"/>
        <w:rPr>
          <w:sz w:val="24"/>
          <w:szCs w:val="24"/>
          <w:u w:val="single"/>
        </w:rPr>
      </w:pPr>
      <w:r w:rsidRPr="00705807">
        <w:rPr>
          <w:sz w:val="24"/>
          <w:szCs w:val="24"/>
        </w:rPr>
        <w:t>Amiodaron</w:t>
      </w:r>
      <w:r w:rsidRPr="007D67E8">
        <w:rPr>
          <w:sz w:val="24"/>
          <w:szCs w:val="24"/>
          <w:u w:val="single"/>
        </w:rPr>
        <w:t xml:space="preserve">: </w:t>
      </w:r>
    </w:p>
    <w:p w14:paraId="00E327EA" w14:textId="78ADCA9C" w:rsidR="004A1D83" w:rsidRPr="007D67E8" w:rsidRDefault="004A1D83" w:rsidP="003B60E8">
      <w:pPr>
        <w:ind w:left="851"/>
        <w:rPr>
          <w:sz w:val="24"/>
          <w:szCs w:val="24"/>
        </w:rPr>
      </w:pPr>
      <w:r w:rsidRPr="007D67E8">
        <w:rPr>
          <w:sz w:val="24"/>
          <w:szCs w:val="24"/>
        </w:rPr>
        <w:t>Samtidig administration af fluconazol og amiodaron kan øge QT-forlængelsen. Forsigtighed bør udvises ved samtidig brug af fluconazol og amiodaron, især med høje doser af fluconazol (800 mg).</w:t>
      </w:r>
    </w:p>
    <w:p w14:paraId="08517DE4" w14:textId="77777777" w:rsidR="00DA4A4A" w:rsidRPr="007D67E8" w:rsidRDefault="00DA4A4A" w:rsidP="003B60E8">
      <w:pPr>
        <w:ind w:left="851"/>
        <w:rPr>
          <w:sz w:val="24"/>
          <w:szCs w:val="24"/>
        </w:rPr>
      </w:pPr>
    </w:p>
    <w:p w14:paraId="257EF93A" w14:textId="21B3C321" w:rsidR="004A1D83" w:rsidRPr="007D67E8" w:rsidRDefault="004A1D83" w:rsidP="003B60E8">
      <w:pPr>
        <w:ind w:left="851"/>
        <w:rPr>
          <w:i/>
          <w:sz w:val="24"/>
          <w:szCs w:val="24"/>
          <w:u w:val="single"/>
        </w:rPr>
      </w:pPr>
      <w:r w:rsidRPr="007D67E8">
        <w:rPr>
          <w:i/>
          <w:sz w:val="24"/>
          <w:szCs w:val="24"/>
          <w:u w:val="single"/>
        </w:rPr>
        <w:t xml:space="preserve">Samtidig brug af følgende lægemidler indebærer forholdsregler og dosisjusteringer: </w:t>
      </w:r>
    </w:p>
    <w:p w14:paraId="65B5FD3A" w14:textId="77777777" w:rsidR="00DA4A4A" w:rsidRPr="007D67E8" w:rsidRDefault="00DA4A4A" w:rsidP="003B60E8">
      <w:pPr>
        <w:ind w:left="851"/>
        <w:rPr>
          <w:sz w:val="24"/>
          <w:szCs w:val="24"/>
        </w:rPr>
      </w:pPr>
      <w:bookmarkStart w:id="22" w:name="_Hlk42527184"/>
    </w:p>
    <w:p w14:paraId="132BE8E9" w14:textId="39575072" w:rsidR="004A1D83" w:rsidRPr="007D67E8" w:rsidRDefault="004A1D83" w:rsidP="003B60E8">
      <w:pPr>
        <w:ind w:left="851"/>
        <w:rPr>
          <w:sz w:val="24"/>
          <w:szCs w:val="24"/>
          <w:u w:val="single"/>
        </w:rPr>
      </w:pPr>
      <w:r w:rsidRPr="007D67E8">
        <w:rPr>
          <w:sz w:val="24"/>
          <w:szCs w:val="24"/>
          <w:u w:val="single"/>
        </w:rPr>
        <w:t xml:space="preserve">Andre lægemidlers virkning på fluconazol </w:t>
      </w:r>
    </w:p>
    <w:bookmarkEnd w:id="22"/>
    <w:p w14:paraId="243EC8DD" w14:textId="77777777" w:rsidR="00DA4A4A" w:rsidRPr="007D67E8" w:rsidRDefault="00DA4A4A" w:rsidP="003B60E8">
      <w:pPr>
        <w:ind w:left="851"/>
        <w:rPr>
          <w:sz w:val="24"/>
          <w:szCs w:val="24"/>
        </w:rPr>
      </w:pPr>
    </w:p>
    <w:p w14:paraId="1692F286" w14:textId="11C095C8" w:rsidR="004A1D83" w:rsidRPr="007D67E8" w:rsidRDefault="004A1D83" w:rsidP="003B60E8">
      <w:pPr>
        <w:ind w:left="851"/>
        <w:rPr>
          <w:sz w:val="24"/>
          <w:szCs w:val="24"/>
        </w:rPr>
      </w:pPr>
      <w:r w:rsidRPr="007D67E8">
        <w:rPr>
          <w:sz w:val="24"/>
          <w:szCs w:val="24"/>
          <w:u w:val="single"/>
        </w:rPr>
        <w:t>Rifampicin:</w:t>
      </w:r>
      <w:r w:rsidRPr="007D67E8">
        <w:rPr>
          <w:sz w:val="24"/>
          <w:szCs w:val="24"/>
        </w:rPr>
        <w:t xml:space="preserve"> Samtidig administration af fluconazol og rifampicin medførte 25 % lavere AUC og 20 % kortere halveringstid for fluconazol. Ved samtidig behandling med rifampicin bør dosisforøgelse for fluconazol overvejes.</w:t>
      </w:r>
    </w:p>
    <w:p w14:paraId="514622CD" w14:textId="77777777" w:rsidR="00DA4A4A" w:rsidRPr="007D67E8" w:rsidRDefault="00DA4A4A" w:rsidP="003B60E8">
      <w:pPr>
        <w:ind w:left="851"/>
        <w:rPr>
          <w:sz w:val="24"/>
          <w:szCs w:val="24"/>
        </w:rPr>
      </w:pPr>
    </w:p>
    <w:p w14:paraId="1E6EBF88" w14:textId="17AC8A66" w:rsidR="004A1D83" w:rsidRPr="007D67E8" w:rsidRDefault="004A1D83" w:rsidP="003B60E8">
      <w:pPr>
        <w:ind w:left="851"/>
        <w:rPr>
          <w:sz w:val="24"/>
          <w:szCs w:val="24"/>
        </w:rPr>
      </w:pPr>
      <w:r w:rsidRPr="007D67E8">
        <w:rPr>
          <w:sz w:val="24"/>
          <w:szCs w:val="24"/>
        </w:rPr>
        <w:t>Interaktionsundersøgelser har vist, at når oral fluconazol administreres sammen med mad, cimetidin, antacida eller efter strålebehandling af hele kroppen efter knoglemarvstransplantation, er der ingen klinisk signifikant forringelse af optagelsen af fluconazol.</w:t>
      </w:r>
    </w:p>
    <w:p w14:paraId="6792816C" w14:textId="77777777" w:rsidR="00DA4A4A" w:rsidRPr="007D67E8" w:rsidRDefault="00DA4A4A" w:rsidP="003B60E8">
      <w:pPr>
        <w:ind w:left="851"/>
        <w:rPr>
          <w:sz w:val="24"/>
          <w:szCs w:val="24"/>
        </w:rPr>
      </w:pPr>
      <w:bookmarkStart w:id="23" w:name="_Hlk42527834"/>
    </w:p>
    <w:p w14:paraId="7FABE7C2" w14:textId="77777777" w:rsidR="00DA4A4A" w:rsidRPr="007D67E8" w:rsidRDefault="004A1D83" w:rsidP="003B60E8">
      <w:pPr>
        <w:ind w:left="851"/>
        <w:rPr>
          <w:sz w:val="24"/>
          <w:szCs w:val="24"/>
          <w:u w:val="single"/>
        </w:rPr>
      </w:pPr>
      <w:r w:rsidRPr="00705807">
        <w:rPr>
          <w:sz w:val="24"/>
          <w:szCs w:val="24"/>
        </w:rPr>
        <w:t>Hydrochlorthiazid</w:t>
      </w:r>
      <w:r w:rsidRPr="007D67E8">
        <w:rPr>
          <w:sz w:val="24"/>
          <w:szCs w:val="24"/>
          <w:u w:val="single"/>
        </w:rPr>
        <w:t xml:space="preserve">: </w:t>
      </w:r>
    </w:p>
    <w:p w14:paraId="19B6931F" w14:textId="7A7BEFD0" w:rsidR="004A1D83" w:rsidRPr="007D67E8" w:rsidRDefault="004A1D83" w:rsidP="003B60E8">
      <w:pPr>
        <w:ind w:left="851"/>
        <w:rPr>
          <w:sz w:val="24"/>
          <w:szCs w:val="24"/>
        </w:rPr>
      </w:pPr>
      <w:r w:rsidRPr="007D67E8">
        <w:rPr>
          <w:sz w:val="24"/>
          <w:szCs w:val="24"/>
        </w:rPr>
        <w:t>I et farmakokinetisk interaktionsstudie hos raske frivillige, der modtog fluconazol, forøgede plasmakoncentrationen af fluconazol med 40 % ved samtidig administration af flerdosis-hydrochlorthiazid.  En effekt i denne størrelsesorden nødvendiggør ikke en ændring i doseringen af fluconazol hos patienter, der er i samtidig behandling med diuretika.</w:t>
      </w:r>
    </w:p>
    <w:bookmarkEnd w:id="23"/>
    <w:p w14:paraId="38C14C68" w14:textId="77777777" w:rsidR="00DA4A4A" w:rsidRPr="007D67E8" w:rsidRDefault="00DA4A4A" w:rsidP="003B60E8">
      <w:pPr>
        <w:ind w:left="851"/>
        <w:rPr>
          <w:sz w:val="24"/>
          <w:szCs w:val="24"/>
        </w:rPr>
      </w:pPr>
    </w:p>
    <w:p w14:paraId="0C36CBC4" w14:textId="00E6FE95" w:rsidR="004A1D83" w:rsidRPr="007D67E8" w:rsidRDefault="004A1D83" w:rsidP="003B60E8">
      <w:pPr>
        <w:ind w:left="851"/>
        <w:rPr>
          <w:sz w:val="24"/>
          <w:szCs w:val="24"/>
          <w:u w:val="single"/>
        </w:rPr>
      </w:pPr>
      <w:r w:rsidRPr="007D67E8">
        <w:rPr>
          <w:sz w:val="24"/>
          <w:szCs w:val="24"/>
          <w:u w:val="single"/>
        </w:rPr>
        <w:t xml:space="preserve">Virkningen af fluconazol på andre lægemidler </w:t>
      </w:r>
    </w:p>
    <w:p w14:paraId="2D33E294" w14:textId="1DFC62BF" w:rsidR="004A1D83" w:rsidRDefault="004A1D83" w:rsidP="003B60E8">
      <w:pPr>
        <w:ind w:left="851"/>
        <w:rPr>
          <w:sz w:val="24"/>
          <w:szCs w:val="24"/>
        </w:rPr>
      </w:pPr>
      <w:r w:rsidRPr="007D67E8">
        <w:rPr>
          <w:sz w:val="24"/>
          <w:szCs w:val="24"/>
        </w:rPr>
        <w:t>Fluconazol er en moderat hæmmer af cytokrom P450 (CYP) isoenzymer 2C9 og 3A4. Fluconazol er desuden en stærk hæmmer af isoenzymet CYP2C19. Ud over nedenstående observerede/dokumenterede interaktioner er der risiko for øget plasmakoncentration af andre forbindelser der metaboliseres af CYP2C9, CYP2C19 og CYP3A4 ved samtidig anvendelse af fluconazol. Forsigtighed bør derfor udvises ved anvendelse af disse kombinationer, og patienterne bør overvåges nøje. Den enzymhæmmende virkning af fluconazol fortsætter 4-5 dage efter seponering af fluconazolbehandlingen som følge af fluconazols lange halveringstid (se pkt. 4.3).</w:t>
      </w:r>
    </w:p>
    <w:p w14:paraId="7664FA32" w14:textId="1ADF54F1" w:rsidR="00705807" w:rsidRDefault="00705807" w:rsidP="003B60E8">
      <w:pPr>
        <w:ind w:left="851"/>
        <w:rPr>
          <w:sz w:val="24"/>
          <w:szCs w:val="24"/>
        </w:rPr>
      </w:pPr>
    </w:p>
    <w:p w14:paraId="60694802" w14:textId="77777777" w:rsidR="00705807" w:rsidRDefault="00705807" w:rsidP="00705807">
      <w:pPr>
        <w:ind w:left="851"/>
        <w:rPr>
          <w:sz w:val="24"/>
          <w:szCs w:val="24"/>
        </w:rPr>
      </w:pPr>
      <w:r w:rsidRPr="007E0722">
        <w:rPr>
          <w:sz w:val="24"/>
          <w:szCs w:val="24"/>
          <w:u w:val="single"/>
        </w:rPr>
        <w:t>Abrocitinib:</w:t>
      </w:r>
      <w:r w:rsidRPr="00EA0CC2">
        <w:rPr>
          <w:sz w:val="24"/>
          <w:szCs w:val="24"/>
        </w:rPr>
        <w:t xml:space="preserve"> Fluconazol (CYP2C19-, 2C9- og 3A4-hæmmer) øgede eksponeringen for det aktive stof abrocitinib med 155 %. Ved koadministration sammen med fluconazol justeres dosis af abrocitinib som foreskrevet i præparatinformationen for abrocitinib.</w:t>
      </w:r>
    </w:p>
    <w:p w14:paraId="18FC3385" w14:textId="77777777" w:rsidR="0052664A" w:rsidRPr="007D67E8" w:rsidRDefault="0052664A" w:rsidP="003B60E8">
      <w:pPr>
        <w:ind w:left="851"/>
        <w:rPr>
          <w:sz w:val="24"/>
          <w:szCs w:val="24"/>
        </w:rPr>
      </w:pPr>
    </w:p>
    <w:p w14:paraId="3A8804B8" w14:textId="7949A2EC" w:rsidR="004A1D83" w:rsidRPr="007D67E8" w:rsidRDefault="004A1D83" w:rsidP="003B60E8">
      <w:pPr>
        <w:ind w:left="851"/>
        <w:rPr>
          <w:sz w:val="24"/>
          <w:szCs w:val="24"/>
        </w:rPr>
      </w:pPr>
      <w:r w:rsidRPr="007D67E8">
        <w:rPr>
          <w:sz w:val="24"/>
          <w:szCs w:val="24"/>
          <w:u w:val="single"/>
        </w:rPr>
        <w:t>Alfentanil:</w:t>
      </w:r>
      <w:r w:rsidRPr="007D67E8">
        <w:rPr>
          <w:sz w:val="24"/>
          <w:szCs w:val="24"/>
        </w:rPr>
        <w:t xml:space="preserve"> </w:t>
      </w:r>
      <w:bookmarkStart w:id="24" w:name="_Hlk42528191"/>
      <w:r w:rsidRPr="007D67E8">
        <w:rPr>
          <w:sz w:val="24"/>
          <w:szCs w:val="24"/>
        </w:rPr>
        <w:t>Ved samtidig behandling med fluconazol (400 mg) og intravenøst alfentanil (20 μg/kg) hos raske frivillige steg AUC</w:t>
      </w:r>
      <w:r w:rsidRPr="007D67E8">
        <w:rPr>
          <w:sz w:val="24"/>
          <w:szCs w:val="24"/>
          <w:vertAlign w:val="subscript"/>
        </w:rPr>
        <w:t>10</w:t>
      </w:r>
      <w:r w:rsidRPr="007D67E8">
        <w:rPr>
          <w:sz w:val="24"/>
          <w:szCs w:val="24"/>
        </w:rPr>
        <w:t xml:space="preserve"> for alfentanil til det dobbelte, sandsynligvis via hæmning af CYP3A4. Dosisjustering af alfentanil kan være nødvendig.</w:t>
      </w:r>
      <w:bookmarkEnd w:id="24"/>
    </w:p>
    <w:p w14:paraId="2AFE40C4" w14:textId="77777777" w:rsidR="0052664A" w:rsidRPr="007D67E8" w:rsidRDefault="0052664A" w:rsidP="003B60E8">
      <w:pPr>
        <w:ind w:left="851"/>
        <w:rPr>
          <w:sz w:val="24"/>
          <w:szCs w:val="24"/>
        </w:rPr>
      </w:pPr>
    </w:p>
    <w:p w14:paraId="0F29EAD7" w14:textId="1E512B7E" w:rsidR="004A1D83" w:rsidRPr="007D67E8" w:rsidRDefault="004A1D83" w:rsidP="003B60E8">
      <w:pPr>
        <w:ind w:left="851"/>
        <w:rPr>
          <w:sz w:val="24"/>
          <w:szCs w:val="24"/>
        </w:rPr>
      </w:pPr>
      <w:r w:rsidRPr="007D67E8">
        <w:rPr>
          <w:sz w:val="24"/>
          <w:szCs w:val="24"/>
          <w:u w:val="single"/>
        </w:rPr>
        <w:t>Amitriptylin, nortriptylin:</w:t>
      </w:r>
      <w:r w:rsidRPr="007D67E8">
        <w:rPr>
          <w:sz w:val="24"/>
          <w:szCs w:val="24"/>
        </w:rPr>
        <w:t xml:space="preserve"> </w:t>
      </w:r>
      <w:bookmarkStart w:id="25" w:name="_Hlk42528349"/>
      <w:r w:rsidRPr="007D67E8">
        <w:rPr>
          <w:sz w:val="24"/>
          <w:szCs w:val="24"/>
        </w:rPr>
        <w:t>Fluconazol øger virkningen af amitriptylin og nortriptylin. 5-nortriptylin og/eller S-amitriptylin kan måles ved påbegyndelse af kombinationsbehandlingen og efter en uge. Dosis af amitriptylin/nortriptylin bør om nødvendigt justeres</w:t>
      </w:r>
      <w:bookmarkEnd w:id="25"/>
      <w:r w:rsidRPr="007D67E8">
        <w:rPr>
          <w:sz w:val="24"/>
          <w:szCs w:val="24"/>
        </w:rPr>
        <w:t>.</w:t>
      </w:r>
    </w:p>
    <w:p w14:paraId="6FADE6DD" w14:textId="77777777" w:rsidR="0052664A" w:rsidRPr="007D67E8" w:rsidRDefault="0052664A" w:rsidP="003B60E8">
      <w:pPr>
        <w:ind w:left="851"/>
        <w:rPr>
          <w:sz w:val="24"/>
          <w:szCs w:val="24"/>
        </w:rPr>
      </w:pPr>
    </w:p>
    <w:p w14:paraId="5622E9C2" w14:textId="77075752" w:rsidR="004A1D83" w:rsidRPr="007D67E8" w:rsidRDefault="004A1D83" w:rsidP="003B60E8">
      <w:pPr>
        <w:ind w:left="851"/>
        <w:rPr>
          <w:sz w:val="24"/>
          <w:szCs w:val="24"/>
        </w:rPr>
      </w:pPr>
      <w:r w:rsidRPr="007D67E8">
        <w:rPr>
          <w:sz w:val="24"/>
          <w:szCs w:val="24"/>
          <w:u w:val="single"/>
        </w:rPr>
        <w:lastRenderedPageBreak/>
        <w:t>Amfotericin B:</w:t>
      </w:r>
      <w:r w:rsidRPr="007D67E8">
        <w:rPr>
          <w:sz w:val="24"/>
          <w:szCs w:val="24"/>
        </w:rPr>
        <w:t xml:space="preserve"> </w:t>
      </w:r>
      <w:bookmarkStart w:id="26" w:name="_Hlk42528384"/>
      <w:r w:rsidRPr="007D67E8">
        <w:rPr>
          <w:sz w:val="24"/>
          <w:szCs w:val="24"/>
        </w:rPr>
        <w:t xml:space="preserve">Samtidig administration af fluconazol og amphotericin B i inficerede normale og immunsupprimerede mus viste følgende resultater: en lille additiv antifungal effekt ved systemisk infektion med </w:t>
      </w:r>
      <w:r w:rsidRPr="00705807">
        <w:rPr>
          <w:i/>
          <w:sz w:val="24"/>
          <w:szCs w:val="24"/>
        </w:rPr>
        <w:t>C. albicans</w:t>
      </w:r>
      <w:r w:rsidRPr="007D67E8">
        <w:rPr>
          <w:sz w:val="24"/>
          <w:szCs w:val="24"/>
        </w:rPr>
        <w:t xml:space="preserve">, ingen interaktion i intrakraniel infektion med </w:t>
      </w:r>
      <w:r w:rsidRPr="00705807">
        <w:rPr>
          <w:i/>
          <w:sz w:val="24"/>
          <w:szCs w:val="24"/>
        </w:rPr>
        <w:t>Cryptococcus neoformans</w:t>
      </w:r>
      <w:r w:rsidRPr="007D67E8">
        <w:rPr>
          <w:sz w:val="24"/>
          <w:szCs w:val="24"/>
        </w:rPr>
        <w:t xml:space="preserve">, og antagonisme mellem de to lægemidler ved systemisk infektion med </w:t>
      </w:r>
      <w:r w:rsidRPr="00705807">
        <w:rPr>
          <w:i/>
          <w:sz w:val="24"/>
          <w:szCs w:val="24"/>
        </w:rPr>
        <w:t>Aspergillus fumigatus</w:t>
      </w:r>
      <w:r w:rsidRPr="007D67E8">
        <w:rPr>
          <w:sz w:val="24"/>
          <w:szCs w:val="24"/>
        </w:rPr>
        <w:t>. Den kliniske betydning af resultaterne af disse studier er ukendt.</w:t>
      </w:r>
      <w:bookmarkEnd w:id="26"/>
    </w:p>
    <w:p w14:paraId="3B0D1A60" w14:textId="77777777" w:rsidR="0049472C" w:rsidRPr="007D67E8" w:rsidRDefault="0049472C" w:rsidP="003B60E8">
      <w:pPr>
        <w:ind w:left="851"/>
        <w:rPr>
          <w:sz w:val="24"/>
          <w:szCs w:val="24"/>
        </w:rPr>
      </w:pPr>
    </w:p>
    <w:p w14:paraId="146EA566" w14:textId="1BB99EC8" w:rsidR="004A1D83" w:rsidRPr="007D67E8" w:rsidRDefault="004A1D83" w:rsidP="003B60E8">
      <w:pPr>
        <w:ind w:left="851"/>
        <w:rPr>
          <w:sz w:val="24"/>
          <w:szCs w:val="24"/>
        </w:rPr>
      </w:pPr>
      <w:r w:rsidRPr="007D67E8">
        <w:rPr>
          <w:sz w:val="24"/>
          <w:szCs w:val="24"/>
          <w:u w:val="single"/>
        </w:rPr>
        <w:t>Antikoagulantia:</w:t>
      </w:r>
      <w:r w:rsidRPr="007D67E8">
        <w:rPr>
          <w:sz w:val="24"/>
          <w:szCs w:val="24"/>
        </w:rPr>
        <w:t xml:space="preserve"> Som med andre azole antimykotika er der efter markedsføring beskrevet blødningshændelser (blå mærker, epistaxis, gastrointestinal blødning, hæmaturi og melæna) i forbindelse med øget protrombintid hos patienter, der får fluconazol samtidigt med warfarin. Ved samtidig behandling med fluconazol og warfarin blev protrombintiden forlænget op til det dobbelte, sandsynligvis via hæmning af metaboliseringen af warfarin gennem CYP2C9. Hos patienter, der modtager antikoagulantia af coumarin-type eller indandion samtidig med fluconazol, bør protrombintiden monitoreres omhyggeligt. Dosisjustering af det antikoagulerende middel kan være nødvendig.</w:t>
      </w:r>
    </w:p>
    <w:p w14:paraId="6D1A638A" w14:textId="77777777" w:rsidR="0049472C" w:rsidRPr="007D67E8" w:rsidRDefault="0049472C" w:rsidP="003B60E8">
      <w:pPr>
        <w:ind w:left="851"/>
        <w:rPr>
          <w:sz w:val="24"/>
          <w:szCs w:val="24"/>
        </w:rPr>
      </w:pPr>
      <w:bookmarkStart w:id="27" w:name="_Hlk42528990"/>
    </w:p>
    <w:p w14:paraId="73CBFF6F" w14:textId="00B9A5CD" w:rsidR="004A1D83" w:rsidRPr="007D67E8" w:rsidRDefault="004A1D83" w:rsidP="003B60E8">
      <w:pPr>
        <w:ind w:left="851"/>
        <w:rPr>
          <w:sz w:val="24"/>
          <w:szCs w:val="24"/>
        </w:rPr>
      </w:pPr>
      <w:r w:rsidRPr="007D67E8">
        <w:rPr>
          <w:sz w:val="24"/>
          <w:szCs w:val="24"/>
          <w:u w:val="single"/>
        </w:rPr>
        <w:t>Benzodiazepiner (kortvirkende), dvs. midazolam, triazolam:</w:t>
      </w:r>
      <w:r w:rsidRPr="004A3055">
        <w:rPr>
          <w:sz w:val="24"/>
          <w:szCs w:val="24"/>
        </w:rPr>
        <w:t xml:space="preserve"> </w:t>
      </w:r>
      <w:r w:rsidRPr="007D67E8">
        <w:rPr>
          <w:sz w:val="24"/>
          <w:szCs w:val="24"/>
        </w:rPr>
        <w:t>Efter oral administration af midazolam medførte fluconazol betydelig stigning i midazolam koncentrationen psykomotoriske effekter. Samtidig indtagelse af 200 mg fluconazol og midazolam 7,5 mg oralt øgede midazolams AUC og halveringstid henholdsvis 3,7 gange og 2,2 gange. Fluconazol 200 mg dagligt administreret sammen med triazolam 0,25 mg oralt øgede midazolams AUC og halveringstid henholdsvis 4,4 gange og 2,3 gange.</w:t>
      </w:r>
    </w:p>
    <w:p w14:paraId="74134D2B" w14:textId="28699C92" w:rsidR="004A1D83" w:rsidRPr="007D67E8" w:rsidRDefault="004A1D83" w:rsidP="003B60E8">
      <w:pPr>
        <w:ind w:left="851"/>
        <w:rPr>
          <w:sz w:val="24"/>
          <w:szCs w:val="24"/>
        </w:rPr>
      </w:pPr>
      <w:r w:rsidRPr="007D67E8">
        <w:rPr>
          <w:sz w:val="24"/>
          <w:szCs w:val="24"/>
        </w:rPr>
        <w:br/>
        <w:t>Potentierede langvarige virkninger af triazolam har været observeret ved samtidig behandling med fluconazol. Hvis samtidig behandling med benzodiazepin og fluconazol er nødvendig, bør det overvejes at nedsætte dosis af benzodiazepin, og patienterne bør overvåges nøje.</w:t>
      </w:r>
    </w:p>
    <w:bookmarkEnd w:id="27"/>
    <w:p w14:paraId="348E2246" w14:textId="77777777" w:rsidR="0049472C" w:rsidRPr="007D67E8" w:rsidRDefault="0049472C" w:rsidP="003B60E8">
      <w:pPr>
        <w:ind w:left="851"/>
        <w:rPr>
          <w:sz w:val="24"/>
          <w:szCs w:val="24"/>
        </w:rPr>
      </w:pPr>
    </w:p>
    <w:p w14:paraId="2384509A" w14:textId="76A86095" w:rsidR="004A1D83" w:rsidRPr="007D67E8" w:rsidRDefault="004A1D83" w:rsidP="003B60E8">
      <w:pPr>
        <w:ind w:left="851"/>
        <w:rPr>
          <w:sz w:val="24"/>
          <w:szCs w:val="24"/>
        </w:rPr>
      </w:pPr>
      <w:r w:rsidRPr="007D67E8">
        <w:rPr>
          <w:sz w:val="24"/>
          <w:szCs w:val="24"/>
          <w:u w:val="single"/>
        </w:rPr>
        <w:t>Carbamazepin:</w:t>
      </w:r>
      <w:r w:rsidRPr="007D67E8">
        <w:rPr>
          <w:sz w:val="24"/>
          <w:szCs w:val="24"/>
        </w:rPr>
        <w:t xml:space="preserve"> Fluconazol hæmmer metaboliseringen af carbamazepin, og der er iagttaget en stigning i serumcarbamazepin på 30 %. Der er risiko for carbamazepintoksicitet. Dosisjustering af carbamazepin kan være nødvendig afhængig af koncentrationsmålinger/virkning. </w:t>
      </w:r>
    </w:p>
    <w:p w14:paraId="7A4574B3" w14:textId="77777777" w:rsidR="0049472C" w:rsidRPr="007D67E8" w:rsidRDefault="0049472C" w:rsidP="003B60E8">
      <w:pPr>
        <w:ind w:left="851"/>
        <w:rPr>
          <w:sz w:val="24"/>
          <w:szCs w:val="24"/>
        </w:rPr>
      </w:pPr>
    </w:p>
    <w:p w14:paraId="2614DFAA" w14:textId="39B60AD9" w:rsidR="004A1D83" w:rsidRPr="007D67E8" w:rsidRDefault="004A1D83" w:rsidP="003B60E8">
      <w:pPr>
        <w:ind w:left="851"/>
        <w:rPr>
          <w:sz w:val="24"/>
          <w:szCs w:val="24"/>
        </w:rPr>
      </w:pPr>
      <w:r w:rsidRPr="007D67E8">
        <w:rPr>
          <w:sz w:val="24"/>
          <w:szCs w:val="24"/>
          <w:u w:val="single"/>
        </w:rPr>
        <w:t>Calciumkanalblokkere:</w:t>
      </w:r>
      <w:r w:rsidRPr="007D67E8">
        <w:rPr>
          <w:sz w:val="24"/>
          <w:szCs w:val="24"/>
        </w:rPr>
        <w:t xml:space="preserve"> Visse calciumantagonister (nifedipin, </w:t>
      </w:r>
      <w:r w:rsidR="00705807" w:rsidRPr="004E3D3D">
        <w:rPr>
          <w:sz w:val="24"/>
          <w:szCs w:val="24"/>
        </w:rPr>
        <w:t>isradipin</w:t>
      </w:r>
      <w:r w:rsidRPr="007D67E8">
        <w:rPr>
          <w:sz w:val="24"/>
          <w:szCs w:val="24"/>
        </w:rPr>
        <w:t>, amlodipin, verapamil og felodipin) metaboliseres af CYP3A4. Fluconazol har potentiale til at øge den systemiske eksponering for calciumantagonister. Hyppig overvågning af bivirkninger tilrådes.</w:t>
      </w:r>
    </w:p>
    <w:p w14:paraId="46B8900E" w14:textId="77777777" w:rsidR="00E637DE" w:rsidRPr="007D67E8" w:rsidRDefault="00E637DE" w:rsidP="003B60E8">
      <w:pPr>
        <w:ind w:left="851"/>
        <w:rPr>
          <w:sz w:val="24"/>
          <w:szCs w:val="24"/>
        </w:rPr>
      </w:pPr>
    </w:p>
    <w:p w14:paraId="09D54DAF" w14:textId="04262726" w:rsidR="004A1D83" w:rsidRPr="007D67E8" w:rsidRDefault="004A1D83" w:rsidP="003B60E8">
      <w:pPr>
        <w:ind w:left="851"/>
        <w:rPr>
          <w:sz w:val="24"/>
          <w:szCs w:val="24"/>
        </w:rPr>
      </w:pPr>
      <w:r w:rsidRPr="007D67E8">
        <w:rPr>
          <w:sz w:val="24"/>
          <w:szCs w:val="24"/>
          <w:u w:val="single"/>
        </w:rPr>
        <w:t>Celecoxib:</w:t>
      </w:r>
      <w:r w:rsidRPr="007D67E8">
        <w:rPr>
          <w:sz w:val="24"/>
          <w:szCs w:val="24"/>
        </w:rPr>
        <w:t xml:space="preserve"> Ved samtidig behandling med fluconazol (200 mg dagligt) og celecoxib (200mg) steg C</w:t>
      </w:r>
      <w:r w:rsidRPr="007D67E8">
        <w:rPr>
          <w:sz w:val="24"/>
          <w:szCs w:val="24"/>
          <w:vertAlign w:val="subscript"/>
        </w:rPr>
        <w:t>max</w:t>
      </w:r>
      <w:r w:rsidRPr="007D67E8">
        <w:rPr>
          <w:sz w:val="24"/>
          <w:szCs w:val="24"/>
        </w:rPr>
        <w:t xml:space="preserve"> og AUC for celecoxib med henholdsvis 68 % og 134 %. Det kan være nødvendigt at halvere dosis af celecoxib i kombination med fluconazol.</w:t>
      </w:r>
    </w:p>
    <w:p w14:paraId="6227BFBB" w14:textId="77777777" w:rsidR="00E637DE" w:rsidRPr="007D67E8" w:rsidRDefault="00E637DE" w:rsidP="003B60E8">
      <w:pPr>
        <w:ind w:left="851"/>
        <w:rPr>
          <w:sz w:val="24"/>
          <w:szCs w:val="24"/>
        </w:rPr>
      </w:pPr>
    </w:p>
    <w:p w14:paraId="5711ECA4" w14:textId="317B4C38" w:rsidR="004A1D83" w:rsidRPr="007D67E8" w:rsidRDefault="004A1D83" w:rsidP="003B60E8">
      <w:pPr>
        <w:ind w:left="851"/>
        <w:rPr>
          <w:sz w:val="24"/>
          <w:szCs w:val="24"/>
        </w:rPr>
      </w:pPr>
      <w:r w:rsidRPr="007D67E8">
        <w:rPr>
          <w:sz w:val="24"/>
          <w:szCs w:val="24"/>
          <w:u w:val="single"/>
        </w:rPr>
        <w:t>Cyclophosphamid:</w:t>
      </w:r>
      <w:r w:rsidRPr="007D67E8">
        <w:rPr>
          <w:sz w:val="24"/>
          <w:szCs w:val="24"/>
        </w:rPr>
        <w:t xml:space="preserve"> Kombinationsterapi med cyclophosphamid og fluconazol medfører stigning i serumbilirubin og serumkreatinin. Kombinationen kan anvendes under øget opmærksomhed på risikoen for forhøjet serumbilirubin og serumkreatinin.</w:t>
      </w:r>
    </w:p>
    <w:p w14:paraId="782C8B5E" w14:textId="77777777" w:rsidR="00E637DE" w:rsidRPr="007D67E8" w:rsidRDefault="00E637DE" w:rsidP="003B60E8">
      <w:pPr>
        <w:ind w:left="851"/>
        <w:rPr>
          <w:sz w:val="24"/>
          <w:szCs w:val="24"/>
        </w:rPr>
      </w:pPr>
    </w:p>
    <w:p w14:paraId="65B04703" w14:textId="29F35C66" w:rsidR="004A1D83" w:rsidRPr="007D67E8" w:rsidRDefault="004A1D83" w:rsidP="003B60E8">
      <w:pPr>
        <w:ind w:left="851"/>
        <w:rPr>
          <w:sz w:val="24"/>
          <w:szCs w:val="24"/>
        </w:rPr>
      </w:pPr>
      <w:r w:rsidRPr="007D67E8">
        <w:rPr>
          <w:sz w:val="24"/>
          <w:szCs w:val="24"/>
          <w:u w:val="single"/>
        </w:rPr>
        <w:t>Fentanyl:</w:t>
      </w:r>
      <w:r w:rsidRPr="007D67E8">
        <w:rPr>
          <w:sz w:val="24"/>
          <w:szCs w:val="24"/>
        </w:rPr>
        <w:t xml:space="preserve"> Ét fatalt tilfælde af fentanylforgiftning på grund af mulig interaktion mellem fentanyl og fluconazol er rapporteret. Desuden er det påvist hos raske frivillige, at fluconazol forsinkede eliminationen af fentanyl væsentligt. Forhøjet fentanylkoncentration kan medføre respirationsdepression. Patienterne bør overvåges nøje for den potentielle risiko for respirationsdepression. Dosisjustering af fentanyl kan være nødvendig.</w:t>
      </w:r>
    </w:p>
    <w:p w14:paraId="6D3D5EE3" w14:textId="77777777" w:rsidR="00E637DE" w:rsidRPr="007D67E8" w:rsidRDefault="00E637DE" w:rsidP="003B60E8">
      <w:pPr>
        <w:ind w:left="851"/>
        <w:rPr>
          <w:sz w:val="24"/>
          <w:szCs w:val="24"/>
        </w:rPr>
      </w:pPr>
    </w:p>
    <w:p w14:paraId="36A12C76" w14:textId="64A277BF" w:rsidR="004A1D83" w:rsidRPr="007D67E8" w:rsidRDefault="004A1D83" w:rsidP="003B60E8">
      <w:pPr>
        <w:ind w:left="851"/>
        <w:rPr>
          <w:sz w:val="24"/>
          <w:szCs w:val="24"/>
        </w:rPr>
      </w:pPr>
      <w:r w:rsidRPr="007D67E8">
        <w:rPr>
          <w:sz w:val="24"/>
          <w:szCs w:val="24"/>
          <w:u w:val="single"/>
        </w:rPr>
        <w:t>HMG CoA reduktasehæmmere:</w:t>
      </w:r>
      <w:r w:rsidRPr="00B92B51">
        <w:rPr>
          <w:sz w:val="24"/>
          <w:szCs w:val="24"/>
        </w:rPr>
        <w:t xml:space="preserve"> </w:t>
      </w:r>
      <w:r w:rsidRPr="007D67E8">
        <w:rPr>
          <w:sz w:val="24"/>
          <w:szCs w:val="24"/>
        </w:rPr>
        <w:t>Risikoen for myopati og rabdomyolyse øges, når fluconazol administreres samtidigt med HMG-CoA-reduktasehæmmere, der metaboliseres gennem CYP3A4, så som atorvastatin og simvastatin, eller gennem CYP2C9, så som fluvastatin. Er samtidig behandling nødvendig, bør patienten monitoreres for symptomer på myopati og rabdomyolyse, og kreatinkinase bør overvåges. HMG-CoA-reduktasehæmmere bør seponeres, hvis en markant stigning i kreatinkinase observeres, eller ved konstatering af eller mistanke om myopati/rabdomyolyse.</w:t>
      </w:r>
      <w:r w:rsidR="00562329">
        <w:rPr>
          <w:sz w:val="24"/>
          <w:szCs w:val="24"/>
        </w:rPr>
        <w:t xml:space="preserve"> </w:t>
      </w:r>
      <w:r w:rsidR="00562329" w:rsidRPr="002D71D9">
        <w:rPr>
          <w:sz w:val="24"/>
          <w:szCs w:val="24"/>
        </w:rPr>
        <w:t>Det kan være nødvendigt at nedsætte dosis af HMG-CoA reduktasehæmmere som foreskrevet i præparatinformationen for statiner.</w:t>
      </w:r>
    </w:p>
    <w:p w14:paraId="2811FA5B" w14:textId="77777777" w:rsidR="00E637DE" w:rsidRPr="007D67E8" w:rsidRDefault="00E637DE" w:rsidP="003B60E8">
      <w:pPr>
        <w:ind w:left="851"/>
        <w:rPr>
          <w:sz w:val="24"/>
          <w:szCs w:val="24"/>
        </w:rPr>
      </w:pPr>
    </w:p>
    <w:p w14:paraId="603373B2" w14:textId="666E1469" w:rsidR="004A1D83" w:rsidRPr="007D67E8" w:rsidRDefault="004A1D83" w:rsidP="003B60E8">
      <w:pPr>
        <w:ind w:left="851"/>
        <w:rPr>
          <w:sz w:val="24"/>
          <w:szCs w:val="24"/>
        </w:rPr>
      </w:pPr>
      <w:r w:rsidRPr="007D67E8">
        <w:rPr>
          <w:sz w:val="24"/>
          <w:szCs w:val="24"/>
          <w:u w:val="single"/>
        </w:rPr>
        <w:t>Ibrutinib:</w:t>
      </w:r>
      <w:r w:rsidRPr="007D67E8">
        <w:rPr>
          <w:sz w:val="24"/>
          <w:szCs w:val="24"/>
        </w:rPr>
        <w:t xml:space="preserve"> Moderate hæmmere af CYP3A4 som fluconazol øger plasmakoncentrationen af ibrutinib og kan øge risikoen for toksicitet. Hvis kombinationen ikke kan undgås, skal dosis af ibrutinib nedsættes til 280 mg én gang dagligt (to kapsler), så længe hæmmeren anvendes, og tæt klinisk overvågning foretages.</w:t>
      </w:r>
    </w:p>
    <w:p w14:paraId="1F9E7081" w14:textId="77777777" w:rsidR="00E637DE" w:rsidRPr="007D67E8" w:rsidRDefault="00E637DE" w:rsidP="003B60E8">
      <w:pPr>
        <w:ind w:left="851"/>
        <w:rPr>
          <w:sz w:val="24"/>
          <w:szCs w:val="24"/>
        </w:rPr>
      </w:pPr>
    </w:p>
    <w:p w14:paraId="30EA62C9" w14:textId="5DFFD2DF" w:rsidR="004A1D83" w:rsidRPr="007D67E8" w:rsidRDefault="00562329" w:rsidP="003B60E8">
      <w:pPr>
        <w:ind w:left="851"/>
        <w:rPr>
          <w:sz w:val="24"/>
          <w:szCs w:val="24"/>
        </w:rPr>
      </w:pPr>
      <w:r w:rsidRPr="007D67E8">
        <w:rPr>
          <w:sz w:val="24"/>
          <w:szCs w:val="24"/>
          <w:u w:val="single"/>
        </w:rPr>
        <w:t>Ivacaftor</w:t>
      </w:r>
      <w:r>
        <w:rPr>
          <w:sz w:val="24"/>
          <w:szCs w:val="24"/>
          <w:u w:val="single"/>
        </w:rPr>
        <w:t xml:space="preserve"> (</w:t>
      </w:r>
      <w:r w:rsidRPr="00AF34B6">
        <w:rPr>
          <w:sz w:val="24"/>
          <w:szCs w:val="24"/>
          <w:u w:val="single"/>
        </w:rPr>
        <w:t>alene eller i kombination med lægemidler i samme terapeutiske klasse</w:t>
      </w:r>
      <w:r>
        <w:rPr>
          <w:sz w:val="24"/>
          <w:szCs w:val="24"/>
          <w:u w:val="single"/>
        </w:rPr>
        <w:t>)</w:t>
      </w:r>
      <w:r w:rsidRPr="007D67E8">
        <w:rPr>
          <w:sz w:val="24"/>
          <w:szCs w:val="24"/>
          <w:u w:val="single"/>
        </w:rPr>
        <w:t>:</w:t>
      </w:r>
      <w:r w:rsidRPr="007D67E8">
        <w:rPr>
          <w:sz w:val="24"/>
          <w:szCs w:val="24"/>
        </w:rPr>
        <w:t xml:space="preserve"> </w:t>
      </w:r>
      <w:r w:rsidR="004A1D83" w:rsidRPr="007D67E8">
        <w:rPr>
          <w:sz w:val="24"/>
          <w:szCs w:val="24"/>
        </w:rPr>
        <w:t xml:space="preserve"> Samtidig indgivelse med ivacaftor, der er en cystisk fibrose transmembran konduktansregulator (CFTR), øgede ivacaftor-eksponeringen med en faktor 3, og eksponeringen for hydroxymethyl-ivacaftor (M1) med en faktor 1,9. </w:t>
      </w:r>
      <w:r w:rsidRPr="00AF34B6">
        <w:rPr>
          <w:sz w:val="24"/>
          <w:szCs w:val="24"/>
        </w:rPr>
        <w:t>Det kan være nødvendigt at nedsætte dosis af ivacaftor (alene eller i kombination) som foreskrevet i præparatinformationen for ivacaftor (alene eller i kombination</w:t>
      </w:r>
      <w:r>
        <w:rPr>
          <w:sz w:val="24"/>
          <w:szCs w:val="24"/>
        </w:rPr>
        <w:t>)</w:t>
      </w:r>
      <w:r w:rsidRPr="00AF34B6">
        <w:rPr>
          <w:sz w:val="24"/>
          <w:szCs w:val="24"/>
        </w:rPr>
        <w:t>.</w:t>
      </w:r>
      <w:r w:rsidR="004A1D83" w:rsidRPr="007D67E8">
        <w:rPr>
          <w:sz w:val="24"/>
          <w:szCs w:val="24"/>
        </w:rPr>
        <w:t xml:space="preserve"> </w:t>
      </w:r>
    </w:p>
    <w:p w14:paraId="128718D7" w14:textId="77777777" w:rsidR="00E637DE" w:rsidRPr="007D67E8" w:rsidRDefault="00E637DE" w:rsidP="003B60E8">
      <w:pPr>
        <w:ind w:left="851"/>
        <w:rPr>
          <w:sz w:val="24"/>
          <w:szCs w:val="24"/>
        </w:rPr>
      </w:pPr>
      <w:bookmarkStart w:id="28" w:name="_Hlk42529367"/>
    </w:p>
    <w:p w14:paraId="2ADC7ACF" w14:textId="1C4EB51F" w:rsidR="004A1D83" w:rsidRPr="007D67E8" w:rsidRDefault="004A1D83" w:rsidP="003B60E8">
      <w:pPr>
        <w:ind w:left="851"/>
        <w:rPr>
          <w:sz w:val="24"/>
          <w:szCs w:val="24"/>
        </w:rPr>
      </w:pPr>
      <w:r w:rsidRPr="007D67E8">
        <w:rPr>
          <w:sz w:val="24"/>
          <w:szCs w:val="24"/>
          <w:u w:val="single"/>
        </w:rPr>
        <w:t>Olaparib:</w:t>
      </w:r>
      <w:r w:rsidRPr="007D67E8">
        <w:rPr>
          <w:sz w:val="24"/>
          <w:szCs w:val="24"/>
        </w:rPr>
        <w:t xml:space="preserve"> Moderate hæmmere af CYP3A4 som fluconazol øger plasmakoncentrationen af olaparib; samtidig brug frarådes. Hvis samtidig brug ikke kan undgås, bør dosis af olaparib begrænses til 200 mg to gange dagligt.</w:t>
      </w:r>
    </w:p>
    <w:p w14:paraId="599E5494" w14:textId="77777777" w:rsidR="00E637DE" w:rsidRPr="007D67E8" w:rsidRDefault="00E637DE" w:rsidP="003B60E8">
      <w:pPr>
        <w:ind w:left="851"/>
        <w:rPr>
          <w:sz w:val="24"/>
          <w:szCs w:val="24"/>
        </w:rPr>
      </w:pPr>
      <w:bookmarkStart w:id="29" w:name="_Hlk41566342"/>
      <w:bookmarkEnd w:id="28"/>
    </w:p>
    <w:p w14:paraId="67601D1B" w14:textId="63D0BAE2" w:rsidR="004A1D83" w:rsidRPr="007D67E8" w:rsidRDefault="004A1D83" w:rsidP="003B60E8">
      <w:pPr>
        <w:ind w:left="851"/>
        <w:rPr>
          <w:sz w:val="24"/>
          <w:szCs w:val="24"/>
          <w:u w:val="single"/>
        </w:rPr>
      </w:pPr>
      <w:r w:rsidRPr="007D67E8">
        <w:rPr>
          <w:sz w:val="24"/>
          <w:szCs w:val="24"/>
          <w:u w:val="single"/>
        </w:rPr>
        <w:t xml:space="preserve">Immunsupprimerende midler (dvs. ciclosporin, everolimus, sirolimus og tacrolimus): </w:t>
      </w:r>
    </w:p>
    <w:bookmarkEnd w:id="29"/>
    <w:p w14:paraId="6D4980B4" w14:textId="77777777" w:rsidR="004A1D83" w:rsidRPr="007D67E8" w:rsidRDefault="004A1D83" w:rsidP="003B60E8">
      <w:pPr>
        <w:ind w:left="851"/>
        <w:rPr>
          <w:sz w:val="24"/>
          <w:szCs w:val="24"/>
        </w:rPr>
      </w:pPr>
      <w:r w:rsidRPr="007D67E8">
        <w:rPr>
          <w:sz w:val="24"/>
          <w:szCs w:val="24"/>
          <w:u w:val="single"/>
        </w:rPr>
        <w:t>Ciclosporin:</w:t>
      </w:r>
      <w:r w:rsidRPr="007D67E8">
        <w:rPr>
          <w:sz w:val="24"/>
          <w:szCs w:val="24"/>
        </w:rPr>
        <w:t xml:space="preserve"> </w:t>
      </w:r>
      <w:bookmarkStart w:id="30" w:name="_Hlk42529487"/>
      <w:r w:rsidRPr="007D67E8">
        <w:rPr>
          <w:sz w:val="24"/>
          <w:szCs w:val="24"/>
        </w:rPr>
        <w:t>Fluconazol øger koncentration og AUC af ciclosporin væsentligt. Under samtidig behandling med fluconazol 200 mg dagligt og ciclosporin (2,7 mg/kg/dag) steg AUC for ciclosporin med en faktor 1,8. Denne kombination kan anvendes ved at reducere dosis af ciclosporin afhængigt af ciclosporinkoncentrationen.</w:t>
      </w:r>
      <w:bookmarkEnd w:id="30"/>
    </w:p>
    <w:p w14:paraId="7015FC7A" w14:textId="77777777" w:rsidR="008015F1" w:rsidRPr="007D67E8" w:rsidRDefault="008015F1" w:rsidP="003B60E8">
      <w:pPr>
        <w:ind w:left="851"/>
        <w:rPr>
          <w:sz w:val="24"/>
          <w:szCs w:val="24"/>
        </w:rPr>
      </w:pPr>
      <w:bookmarkStart w:id="31" w:name="_Hlk42529534"/>
    </w:p>
    <w:p w14:paraId="37DB68CF" w14:textId="74F4D82C" w:rsidR="004A1D83" w:rsidRPr="007D67E8" w:rsidRDefault="004A1D83" w:rsidP="003B60E8">
      <w:pPr>
        <w:ind w:left="851"/>
        <w:rPr>
          <w:sz w:val="24"/>
          <w:szCs w:val="24"/>
        </w:rPr>
      </w:pPr>
      <w:r w:rsidRPr="007D67E8">
        <w:rPr>
          <w:sz w:val="24"/>
          <w:szCs w:val="24"/>
          <w:u w:val="single"/>
        </w:rPr>
        <w:t>Everolimus:</w:t>
      </w:r>
      <w:r w:rsidRPr="007D67E8">
        <w:rPr>
          <w:sz w:val="24"/>
          <w:szCs w:val="24"/>
        </w:rPr>
        <w:t xml:space="preserve"> Fluconazol kan tænkes at øge serumkoncentrationen af everolimus gennem hæmning af CYP3A4, skønt dette ikke er undersøgt in vivo eller in vitro.</w:t>
      </w:r>
    </w:p>
    <w:p w14:paraId="5A93E964" w14:textId="77777777" w:rsidR="008015F1" w:rsidRPr="007D67E8" w:rsidRDefault="008015F1" w:rsidP="003B60E8">
      <w:pPr>
        <w:ind w:left="851"/>
        <w:rPr>
          <w:sz w:val="24"/>
          <w:szCs w:val="24"/>
        </w:rPr>
      </w:pPr>
      <w:bookmarkStart w:id="32" w:name="_Hlk42529578"/>
      <w:bookmarkEnd w:id="31"/>
    </w:p>
    <w:p w14:paraId="7750AAEE" w14:textId="1683D520" w:rsidR="004A1D83" w:rsidRPr="007D67E8" w:rsidRDefault="004A1D83" w:rsidP="003B60E8">
      <w:pPr>
        <w:ind w:left="851"/>
        <w:rPr>
          <w:sz w:val="24"/>
          <w:szCs w:val="24"/>
        </w:rPr>
      </w:pPr>
      <w:r w:rsidRPr="007D67E8">
        <w:rPr>
          <w:sz w:val="24"/>
          <w:szCs w:val="24"/>
          <w:u w:val="single"/>
        </w:rPr>
        <w:t>Sirolimus:</w:t>
      </w:r>
      <w:r w:rsidRPr="007D67E8">
        <w:rPr>
          <w:sz w:val="24"/>
          <w:szCs w:val="24"/>
        </w:rPr>
        <w:t xml:space="preserve"> Fluconazol øger plasmakoncentrationer af sirolimus, sandsynligvis via hæmning af metaboliseringen af sirolimus via CYP3A4 og P-glycoprotein. Denne kombination kan anvendes med en dosisjustering af sirolimus afhængigt af effekt/koncentrationsmålinger.</w:t>
      </w:r>
    </w:p>
    <w:p w14:paraId="3FE3FDBB" w14:textId="77777777" w:rsidR="008015F1" w:rsidRPr="007D67E8" w:rsidRDefault="008015F1" w:rsidP="003B60E8">
      <w:pPr>
        <w:ind w:left="851"/>
        <w:rPr>
          <w:sz w:val="24"/>
          <w:szCs w:val="24"/>
        </w:rPr>
      </w:pPr>
      <w:bookmarkStart w:id="33" w:name="_Hlk42529599"/>
      <w:bookmarkEnd w:id="32"/>
    </w:p>
    <w:p w14:paraId="6CBA7594" w14:textId="776D8714" w:rsidR="004A1D83" w:rsidRPr="007D67E8" w:rsidRDefault="004A1D83" w:rsidP="003B60E8">
      <w:pPr>
        <w:ind w:left="851"/>
        <w:rPr>
          <w:sz w:val="24"/>
          <w:szCs w:val="24"/>
        </w:rPr>
      </w:pPr>
      <w:r w:rsidRPr="007D67E8">
        <w:rPr>
          <w:sz w:val="24"/>
          <w:szCs w:val="24"/>
          <w:u w:val="single"/>
        </w:rPr>
        <w:t>Tacrolimus:</w:t>
      </w:r>
      <w:r w:rsidRPr="007D67E8">
        <w:rPr>
          <w:sz w:val="24"/>
          <w:szCs w:val="24"/>
        </w:rPr>
        <w:t xml:space="preserve"> Fluconazol kan øge serumkoncentrationen af oralt administreret tacrolimus op til 5 gange som følge af hæmning af metaboliseringen af tacrolimus gennem CYP3A4 i tarmene. Der er ikke observeret signifikante farmakokinetiske ændringer ved intravenøs administration af tacrolimus. Øgede tacrolimusniveauer er associeret med nefrotoksicitet. Dosis af oralt administreret tacrolimus bør nedsættes afhængigt af tacrolimuskoncentrationen.</w:t>
      </w:r>
    </w:p>
    <w:bookmarkEnd w:id="33"/>
    <w:p w14:paraId="4863EB8D" w14:textId="77777777" w:rsidR="008015F1" w:rsidRPr="007D67E8" w:rsidRDefault="008015F1" w:rsidP="003B60E8">
      <w:pPr>
        <w:ind w:left="851"/>
        <w:rPr>
          <w:sz w:val="24"/>
          <w:szCs w:val="24"/>
        </w:rPr>
      </w:pPr>
    </w:p>
    <w:p w14:paraId="483D9831" w14:textId="47D7C509" w:rsidR="004A1D83" w:rsidRDefault="004A1D83" w:rsidP="003B60E8">
      <w:pPr>
        <w:ind w:left="851"/>
        <w:rPr>
          <w:sz w:val="24"/>
          <w:szCs w:val="24"/>
        </w:rPr>
      </w:pPr>
      <w:r w:rsidRPr="007D67E8">
        <w:rPr>
          <w:sz w:val="24"/>
          <w:szCs w:val="24"/>
          <w:u w:val="single"/>
        </w:rPr>
        <w:t>Losartan:</w:t>
      </w:r>
      <w:r w:rsidRPr="007D67E8">
        <w:rPr>
          <w:sz w:val="24"/>
          <w:szCs w:val="24"/>
        </w:rPr>
        <w:t xml:space="preserve"> Fluconazol hæmmer metaboliseringen af losartan til dets aktive metabolit (E-31 74), som er ansvarlig for størstedelen af den angiotensin II-receptor-antagonisme, der </w:t>
      </w:r>
      <w:r w:rsidRPr="007D67E8">
        <w:rPr>
          <w:sz w:val="24"/>
          <w:szCs w:val="24"/>
        </w:rPr>
        <w:lastRenderedPageBreak/>
        <w:t>indtræder ved behandling med losartan. Patienternes blodtryk bør monitoreres kontinuerligt.</w:t>
      </w:r>
    </w:p>
    <w:p w14:paraId="3BAED1E5" w14:textId="3CB7200C" w:rsidR="00562329" w:rsidRDefault="00562329" w:rsidP="003B60E8">
      <w:pPr>
        <w:ind w:left="851"/>
        <w:rPr>
          <w:sz w:val="24"/>
          <w:szCs w:val="24"/>
        </w:rPr>
      </w:pPr>
    </w:p>
    <w:p w14:paraId="66B429B6" w14:textId="77777777" w:rsidR="00562329" w:rsidRDefault="00562329" w:rsidP="00562329">
      <w:pPr>
        <w:ind w:left="851"/>
        <w:rPr>
          <w:sz w:val="24"/>
          <w:szCs w:val="24"/>
        </w:rPr>
      </w:pPr>
      <w:r w:rsidRPr="007E0722">
        <w:rPr>
          <w:sz w:val="24"/>
          <w:szCs w:val="24"/>
          <w:u w:val="single"/>
        </w:rPr>
        <w:t>Lurasidon:</w:t>
      </w:r>
      <w:r w:rsidRPr="005F0035">
        <w:rPr>
          <w:sz w:val="24"/>
          <w:szCs w:val="24"/>
        </w:rPr>
        <w:t xml:space="preserve"> Moderate hæmmere af CYP3A4 som fluconazol kan øge plasmakoncentrationen af lurasidon. Hvis kombineret behandling ikke kan undgås, reduceres dosis af lurasidon som foreskrevet i præparatinformationen for lurasidon.</w:t>
      </w:r>
    </w:p>
    <w:p w14:paraId="71346E23" w14:textId="77777777" w:rsidR="008015F1" w:rsidRPr="007D67E8" w:rsidRDefault="008015F1" w:rsidP="003B60E8">
      <w:pPr>
        <w:ind w:left="851"/>
        <w:rPr>
          <w:sz w:val="24"/>
          <w:szCs w:val="24"/>
        </w:rPr>
      </w:pPr>
      <w:bookmarkStart w:id="34" w:name="_Hlk41570179"/>
    </w:p>
    <w:p w14:paraId="7E045927" w14:textId="3C50575D" w:rsidR="004A1D83" w:rsidRPr="007D67E8" w:rsidRDefault="004A1D83" w:rsidP="003B60E8">
      <w:pPr>
        <w:ind w:left="851"/>
        <w:rPr>
          <w:sz w:val="24"/>
          <w:szCs w:val="24"/>
        </w:rPr>
      </w:pPr>
      <w:r w:rsidRPr="007D67E8">
        <w:rPr>
          <w:sz w:val="24"/>
          <w:szCs w:val="24"/>
          <w:u w:val="single"/>
        </w:rPr>
        <w:t>Metadon:</w:t>
      </w:r>
      <w:r w:rsidRPr="007D67E8">
        <w:rPr>
          <w:sz w:val="24"/>
          <w:szCs w:val="24"/>
        </w:rPr>
        <w:t xml:space="preserve"> Fluconazol kan øge serumkoncentrationen af metadon. Dosisjustering af metadon kan være nødvendig.</w:t>
      </w:r>
    </w:p>
    <w:bookmarkEnd w:id="34"/>
    <w:p w14:paraId="4E9036B0" w14:textId="77777777" w:rsidR="008015F1" w:rsidRPr="007D67E8" w:rsidRDefault="008015F1" w:rsidP="003B60E8">
      <w:pPr>
        <w:ind w:left="851"/>
        <w:rPr>
          <w:sz w:val="24"/>
          <w:szCs w:val="24"/>
        </w:rPr>
      </w:pPr>
    </w:p>
    <w:p w14:paraId="07DD26B5" w14:textId="03722F60" w:rsidR="004A1D83" w:rsidRPr="007D67E8" w:rsidRDefault="004A1D83" w:rsidP="003B60E8">
      <w:pPr>
        <w:ind w:left="851"/>
        <w:rPr>
          <w:sz w:val="24"/>
          <w:szCs w:val="24"/>
        </w:rPr>
      </w:pPr>
      <w:r w:rsidRPr="007D67E8">
        <w:rPr>
          <w:sz w:val="24"/>
          <w:szCs w:val="24"/>
          <w:u w:val="single"/>
        </w:rPr>
        <w:t>Ikke-steroide anti-inflammatoriske lægemidler:</w:t>
      </w:r>
      <w:r w:rsidRPr="007D67E8">
        <w:rPr>
          <w:sz w:val="24"/>
          <w:szCs w:val="24"/>
        </w:rPr>
        <w:t xml:space="preserve"> C</w:t>
      </w:r>
      <w:r w:rsidRPr="007D67E8">
        <w:rPr>
          <w:sz w:val="24"/>
          <w:szCs w:val="24"/>
          <w:vertAlign w:val="subscript"/>
        </w:rPr>
        <w:t>max</w:t>
      </w:r>
      <w:r w:rsidRPr="007D67E8">
        <w:rPr>
          <w:sz w:val="24"/>
          <w:szCs w:val="24"/>
        </w:rPr>
        <w:t xml:space="preserve"> og AUC for flurbiprofen blev øget henholdsvis 23 % og 81 % ved administration sammen med fluconazol i forhold til flurbiprofen alene. Tilsvarende blev C</w:t>
      </w:r>
      <w:r w:rsidRPr="007D67E8">
        <w:rPr>
          <w:sz w:val="24"/>
          <w:szCs w:val="24"/>
          <w:vertAlign w:val="subscript"/>
        </w:rPr>
        <w:t>max</w:t>
      </w:r>
      <w:r w:rsidRPr="007D67E8">
        <w:rPr>
          <w:sz w:val="24"/>
          <w:szCs w:val="24"/>
        </w:rPr>
        <w:t xml:space="preserve"> og AUC for den farmakologisk aktive isomer [S-(</w:t>
      </w:r>
      <w:proofErr w:type="gramStart"/>
      <w:r w:rsidRPr="007D67E8">
        <w:rPr>
          <w:sz w:val="24"/>
          <w:szCs w:val="24"/>
        </w:rPr>
        <w:t>+)-</w:t>
      </w:r>
      <w:proofErr w:type="gramEnd"/>
      <w:r w:rsidRPr="007D67E8">
        <w:rPr>
          <w:sz w:val="24"/>
          <w:szCs w:val="24"/>
        </w:rPr>
        <w:t>ibuprofen] øget med henholdsvis 15 % og 82 %, når fluconazol blev administreret sammen med racemisk ibuprofen (400 mg) i forhold til administration af racemisk ibuprofen alene.</w:t>
      </w:r>
    </w:p>
    <w:p w14:paraId="3CA81714" w14:textId="77777777" w:rsidR="008015F1" w:rsidRPr="007D67E8" w:rsidRDefault="008015F1" w:rsidP="003B60E8">
      <w:pPr>
        <w:ind w:left="851"/>
        <w:rPr>
          <w:sz w:val="24"/>
          <w:szCs w:val="24"/>
        </w:rPr>
      </w:pPr>
    </w:p>
    <w:p w14:paraId="4A2292D8" w14:textId="0D8EDC5A" w:rsidR="004A1D83" w:rsidRPr="007D67E8" w:rsidRDefault="004A1D83" w:rsidP="003B60E8">
      <w:pPr>
        <w:ind w:left="851"/>
        <w:rPr>
          <w:sz w:val="24"/>
          <w:szCs w:val="24"/>
        </w:rPr>
      </w:pPr>
      <w:r w:rsidRPr="007D67E8">
        <w:rPr>
          <w:sz w:val="24"/>
          <w:szCs w:val="24"/>
        </w:rPr>
        <w:t xml:space="preserve">Skønt det ikke er specifikt undersøgt, har fluconazol potentiale for at øge den systemiske eksponering for andre NSAID, der metaboliseres af CYP2C9 (f.eks. naproxen, lornoxicam, meloxicam, diclofenac). Hyppig overvågning af bivirkninger og toksicitet relateret til NSAID tilrådes. Det kan være nødvendigt at justere dosis af NSAID. </w:t>
      </w:r>
    </w:p>
    <w:p w14:paraId="28BF06DB" w14:textId="77777777" w:rsidR="008015F1" w:rsidRPr="007D67E8" w:rsidRDefault="008015F1" w:rsidP="003B60E8">
      <w:pPr>
        <w:ind w:left="851"/>
        <w:rPr>
          <w:sz w:val="24"/>
          <w:szCs w:val="24"/>
        </w:rPr>
      </w:pPr>
    </w:p>
    <w:p w14:paraId="2B683EF0" w14:textId="178A1E74" w:rsidR="004A1D83" w:rsidRPr="007D67E8" w:rsidRDefault="004A1D83" w:rsidP="003B60E8">
      <w:pPr>
        <w:ind w:left="851"/>
        <w:rPr>
          <w:sz w:val="24"/>
          <w:szCs w:val="24"/>
        </w:rPr>
      </w:pPr>
      <w:r w:rsidRPr="007D67E8">
        <w:rPr>
          <w:sz w:val="24"/>
          <w:szCs w:val="24"/>
          <w:u w:val="single"/>
        </w:rPr>
        <w:t>Phenytoin:</w:t>
      </w:r>
      <w:r w:rsidRPr="007D67E8">
        <w:rPr>
          <w:sz w:val="24"/>
          <w:szCs w:val="24"/>
        </w:rPr>
        <w:t xml:space="preserve"> </w:t>
      </w:r>
      <w:bookmarkStart w:id="35" w:name="_Hlk42529915"/>
      <w:r w:rsidRPr="007D67E8">
        <w:rPr>
          <w:sz w:val="24"/>
          <w:szCs w:val="24"/>
        </w:rPr>
        <w:t>Fluconazol hæmmer den hepatiske metabolisering af phenytoin. Gentagen samtidig administration af 200 mg fluconazol og 250 mg phenytoin intravenøst forårsagede en stigning i AUC24 med 75 % og C</w:t>
      </w:r>
      <w:r w:rsidRPr="007D67E8">
        <w:rPr>
          <w:sz w:val="24"/>
          <w:szCs w:val="24"/>
          <w:vertAlign w:val="subscript"/>
        </w:rPr>
        <w:t>min</w:t>
      </w:r>
      <w:r w:rsidRPr="007D67E8">
        <w:rPr>
          <w:sz w:val="24"/>
          <w:szCs w:val="24"/>
        </w:rPr>
        <w:t xml:space="preserve"> med 128 % af phenytoin. Ved samtidig administration bør serumkoncentrationen af phenytoin overvåges for at undgå phenytoin-toksicitet. </w:t>
      </w:r>
      <w:bookmarkEnd w:id="35"/>
    </w:p>
    <w:p w14:paraId="41AFCD87" w14:textId="77777777" w:rsidR="008015F1" w:rsidRPr="007D67E8" w:rsidRDefault="008015F1" w:rsidP="003B60E8">
      <w:pPr>
        <w:ind w:left="851"/>
        <w:rPr>
          <w:sz w:val="24"/>
          <w:szCs w:val="24"/>
        </w:rPr>
      </w:pPr>
    </w:p>
    <w:p w14:paraId="59434831" w14:textId="4376DAAC" w:rsidR="004A1D83" w:rsidRPr="007D67E8" w:rsidRDefault="004A1D83" w:rsidP="003B60E8">
      <w:pPr>
        <w:ind w:left="851"/>
        <w:rPr>
          <w:sz w:val="24"/>
          <w:szCs w:val="24"/>
        </w:rPr>
      </w:pPr>
      <w:r w:rsidRPr="007D67E8">
        <w:rPr>
          <w:sz w:val="24"/>
          <w:szCs w:val="24"/>
          <w:u w:val="single"/>
        </w:rPr>
        <w:t>Prednison:</w:t>
      </w:r>
      <w:r w:rsidRPr="007D67E8">
        <w:rPr>
          <w:sz w:val="24"/>
          <w:szCs w:val="24"/>
        </w:rPr>
        <w:t xml:space="preserve"> I ét case-studie udviklede en levertransplanteret patient ved behandling med prednison akut binyrebarkinsufficiens, da en 3-måneders behandlingsperiode med fluconazol blev afbrudt. Seponeringen af fluconazol forårsagede formodentlig en forøgelse af CYP3A4-aktiviteten, som førte til øget metabolisering af prednison. Patienter i langvarig behandling med fluconazol og prednison bør monitoreres nøje for binyrebarkinsufficiens, når fluconazol seponeres.</w:t>
      </w:r>
    </w:p>
    <w:p w14:paraId="57D92952" w14:textId="77777777" w:rsidR="00DB5B24" w:rsidRPr="007D67E8" w:rsidRDefault="00DB5B24" w:rsidP="003B60E8">
      <w:pPr>
        <w:ind w:left="851"/>
        <w:rPr>
          <w:sz w:val="24"/>
          <w:szCs w:val="24"/>
        </w:rPr>
      </w:pPr>
    </w:p>
    <w:p w14:paraId="053552D3" w14:textId="48008AC9" w:rsidR="004A1D83" w:rsidRPr="007D67E8" w:rsidRDefault="004A1D83" w:rsidP="003B60E8">
      <w:pPr>
        <w:ind w:left="851"/>
        <w:rPr>
          <w:sz w:val="24"/>
          <w:szCs w:val="24"/>
        </w:rPr>
      </w:pPr>
      <w:r w:rsidRPr="007D67E8">
        <w:rPr>
          <w:sz w:val="24"/>
          <w:szCs w:val="24"/>
          <w:u w:val="single"/>
        </w:rPr>
        <w:t>Rifabutin:</w:t>
      </w:r>
      <w:r w:rsidRPr="007D67E8">
        <w:rPr>
          <w:sz w:val="24"/>
          <w:szCs w:val="24"/>
        </w:rPr>
        <w:t xml:space="preserve"> Fluconazol øger serumkoncentrationen af rifabutin, hvilket medfører en øgning i AUC for rifabutin med 80 %. Der har været rapporteret uveitis hos patienter, som modtog samtidig behandling med fluconazol og rifabutin. Ved kombinationsbehandling skal symptomer på rifabutintoksicitet tages i betragtning.</w:t>
      </w:r>
    </w:p>
    <w:p w14:paraId="1158E482" w14:textId="77777777" w:rsidR="00DB5B24" w:rsidRPr="007D67E8" w:rsidRDefault="00DB5B24" w:rsidP="003B60E8">
      <w:pPr>
        <w:ind w:left="851"/>
        <w:rPr>
          <w:sz w:val="24"/>
          <w:szCs w:val="24"/>
        </w:rPr>
      </w:pPr>
    </w:p>
    <w:p w14:paraId="69B72604" w14:textId="411302A2" w:rsidR="004A1D83" w:rsidRPr="007D67E8" w:rsidRDefault="004A1D83" w:rsidP="003B60E8">
      <w:pPr>
        <w:ind w:left="851"/>
        <w:rPr>
          <w:sz w:val="24"/>
          <w:szCs w:val="24"/>
        </w:rPr>
      </w:pPr>
      <w:r w:rsidRPr="007D67E8">
        <w:rPr>
          <w:sz w:val="24"/>
          <w:szCs w:val="24"/>
          <w:u w:val="single"/>
        </w:rPr>
        <w:t>Saquinavir:</w:t>
      </w:r>
      <w:r w:rsidRPr="007D67E8">
        <w:rPr>
          <w:sz w:val="24"/>
          <w:szCs w:val="24"/>
        </w:rPr>
        <w:t xml:space="preserve"> Fluconazol øger AUC og C</w:t>
      </w:r>
      <w:r w:rsidRPr="007D67E8">
        <w:rPr>
          <w:sz w:val="24"/>
          <w:szCs w:val="24"/>
          <w:vertAlign w:val="subscript"/>
        </w:rPr>
        <w:t>max</w:t>
      </w:r>
      <w:r w:rsidRPr="007D67E8">
        <w:rPr>
          <w:sz w:val="24"/>
          <w:szCs w:val="24"/>
        </w:rPr>
        <w:t xml:space="preserve"> for saquinavir med henholdsvis ca. 50 % og 55 % som følge af hæmning af den hepatiske metabolisering af saquinavir via CYP3A4 og hæmning af P-glycoprotein. Interaktion med saquinavir/ritonavir er ikke undersøgt og kan være mere udtalt. Dosisjustering af saquinavir kan være nødvendig.</w:t>
      </w:r>
    </w:p>
    <w:p w14:paraId="1B241E87" w14:textId="77777777" w:rsidR="00DB5B24" w:rsidRPr="007D67E8" w:rsidRDefault="00DB5B24" w:rsidP="003B60E8">
      <w:pPr>
        <w:ind w:left="851"/>
        <w:rPr>
          <w:sz w:val="24"/>
          <w:szCs w:val="24"/>
        </w:rPr>
      </w:pPr>
    </w:p>
    <w:p w14:paraId="323A5E97" w14:textId="1A431909" w:rsidR="004A1D83" w:rsidRPr="007D67E8" w:rsidRDefault="004A1D83" w:rsidP="003B60E8">
      <w:pPr>
        <w:ind w:left="851"/>
        <w:rPr>
          <w:sz w:val="24"/>
          <w:szCs w:val="24"/>
        </w:rPr>
      </w:pPr>
      <w:r w:rsidRPr="007D67E8">
        <w:rPr>
          <w:sz w:val="24"/>
          <w:szCs w:val="24"/>
          <w:u w:val="single"/>
        </w:rPr>
        <w:t>Sulfonylurinstoffer:</w:t>
      </w:r>
      <w:r w:rsidRPr="007D67E8">
        <w:rPr>
          <w:sz w:val="24"/>
          <w:szCs w:val="24"/>
        </w:rPr>
        <w:t xml:space="preserve"> </w:t>
      </w:r>
      <w:bookmarkStart w:id="36" w:name="_Hlk41567525"/>
      <w:r w:rsidRPr="007D67E8">
        <w:rPr>
          <w:sz w:val="24"/>
          <w:szCs w:val="24"/>
        </w:rPr>
        <w:t xml:space="preserve">Fluconazol er blevet påvist at forlænge serumhalveringstiden af samtidig administrerede orale sulfonylurinstoffer (f.eks. chlorpropamid, glibenclamid, glipizid og tolbutamid) hos raske frivillige. </w:t>
      </w:r>
      <w:bookmarkEnd w:id="36"/>
      <w:r w:rsidRPr="007D67E8">
        <w:rPr>
          <w:sz w:val="24"/>
          <w:szCs w:val="24"/>
        </w:rPr>
        <w:t>Ved samtidig administration tilrådes hyppig monitorering af blodsukker og passende dosisreduktion af sulfonylurinstof.</w:t>
      </w:r>
    </w:p>
    <w:p w14:paraId="34CA458B" w14:textId="77777777" w:rsidR="00DB5B24" w:rsidRPr="007D67E8" w:rsidRDefault="00DB5B24" w:rsidP="003B60E8">
      <w:pPr>
        <w:ind w:left="851"/>
        <w:rPr>
          <w:sz w:val="24"/>
          <w:szCs w:val="24"/>
        </w:rPr>
      </w:pPr>
    </w:p>
    <w:p w14:paraId="044B995B" w14:textId="53B3D39E" w:rsidR="004A1D83" w:rsidRPr="007D67E8" w:rsidRDefault="004A1D83" w:rsidP="003B60E8">
      <w:pPr>
        <w:ind w:left="851"/>
        <w:rPr>
          <w:sz w:val="24"/>
          <w:szCs w:val="24"/>
        </w:rPr>
      </w:pPr>
      <w:r w:rsidRPr="007D67E8">
        <w:rPr>
          <w:sz w:val="24"/>
          <w:szCs w:val="24"/>
          <w:u w:val="single"/>
        </w:rPr>
        <w:lastRenderedPageBreak/>
        <w:t>Teophyllin:</w:t>
      </w:r>
      <w:r w:rsidRPr="007D67E8">
        <w:rPr>
          <w:sz w:val="24"/>
          <w:szCs w:val="24"/>
        </w:rPr>
        <w:t xml:space="preserve"> I et placebokontrolleret interaktionsstudie medførte administration af 200 mg fluconazol i 14 dage et fald på 18 % i den gennemsnitlige plasmaclearance af theophyllin. Patienter, der behandles med høje doser af teophyllin eller på anden måde har forhøjet risiko for teophyllintoksicitet, bør overvåges for tegn på sådan toksicitet, mens de er i behandling med fluconazol. Behandlingen bør ændres, hvis der opstår tegn på toksicitet.</w:t>
      </w:r>
    </w:p>
    <w:p w14:paraId="34C387C4" w14:textId="77777777" w:rsidR="00DB5B24" w:rsidRPr="007D67E8" w:rsidRDefault="00DB5B24" w:rsidP="003B60E8">
      <w:pPr>
        <w:ind w:left="851"/>
        <w:rPr>
          <w:sz w:val="24"/>
          <w:szCs w:val="24"/>
        </w:rPr>
      </w:pPr>
    </w:p>
    <w:p w14:paraId="6346EB02" w14:textId="2B0F318E" w:rsidR="004A1D83" w:rsidRDefault="004A1D83" w:rsidP="003B60E8">
      <w:pPr>
        <w:ind w:left="851"/>
        <w:rPr>
          <w:sz w:val="24"/>
          <w:szCs w:val="24"/>
        </w:rPr>
      </w:pPr>
      <w:r w:rsidRPr="007D67E8">
        <w:rPr>
          <w:sz w:val="24"/>
          <w:szCs w:val="24"/>
          <w:u w:val="single"/>
        </w:rPr>
        <w:t>Tofacitinib:</w:t>
      </w:r>
      <w:r w:rsidRPr="007D67E8">
        <w:rPr>
          <w:sz w:val="24"/>
          <w:szCs w:val="24"/>
        </w:rPr>
        <w:t xml:space="preserve"> </w:t>
      </w:r>
      <w:bookmarkStart w:id="37" w:name="_Hlk42530230"/>
      <w:r w:rsidRPr="007D67E8">
        <w:rPr>
          <w:sz w:val="24"/>
          <w:szCs w:val="24"/>
        </w:rPr>
        <w:t>Eksponeringen for tofacitinib øges, når tofacitinib administreres sammen med lægemidler, der resulterer i både moderat hæmning af CYP3A4 og stærk hæmning af CYP2C19 (f.eks. fluconazol). Det tilrådes derfor at nedsætte dosis af tofacitinib til 5 mg én gang dagligt ved kombination med sådanne lægemidler.</w:t>
      </w:r>
    </w:p>
    <w:p w14:paraId="00ECE4D7" w14:textId="42F4B803" w:rsidR="00562329" w:rsidRDefault="00562329" w:rsidP="003B60E8">
      <w:pPr>
        <w:ind w:left="851"/>
        <w:rPr>
          <w:sz w:val="24"/>
          <w:szCs w:val="24"/>
        </w:rPr>
      </w:pPr>
    </w:p>
    <w:p w14:paraId="5F27AB96" w14:textId="77777777" w:rsidR="00562329" w:rsidRDefault="00562329" w:rsidP="00562329">
      <w:pPr>
        <w:ind w:left="851"/>
        <w:rPr>
          <w:sz w:val="24"/>
          <w:szCs w:val="24"/>
        </w:rPr>
      </w:pPr>
      <w:r w:rsidRPr="007E0722">
        <w:rPr>
          <w:sz w:val="24"/>
          <w:szCs w:val="24"/>
          <w:u w:val="single"/>
        </w:rPr>
        <w:t>Tolvaptan:</w:t>
      </w:r>
      <w:r w:rsidRPr="003236DE">
        <w:rPr>
          <w:sz w:val="24"/>
          <w:szCs w:val="24"/>
        </w:rPr>
        <w:t xml:space="preserve"> Tolvaptan-eksponering øges signifikant (200% i AUC; 80% i C</w:t>
      </w:r>
      <w:r w:rsidRPr="007E0722">
        <w:rPr>
          <w:sz w:val="24"/>
          <w:szCs w:val="24"/>
          <w:vertAlign w:val="subscript"/>
        </w:rPr>
        <w:t>max</w:t>
      </w:r>
      <w:r w:rsidRPr="003236DE">
        <w:rPr>
          <w:sz w:val="24"/>
          <w:szCs w:val="24"/>
        </w:rPr>
        <w:t>), når tolvaptan (et CYP3A4-substrat) administreres samtidig med fluconazol (en moderat CYP3A4-hæmmer), med risiko for betydelig stigning i bivirkninger især udtalt diurese, dehydrering og akut nyresvigt. Ved samtidig brug bør tolvaptan dosis nedsættes som angivet i produktresuméet for tolvaptan, og patienten bør hyppigt monitoreres for eventuelle bivirkninger forbundet med tolvaptan.</w:t>
      </w:r>
    </w:p>
    <w:bookmarkEnd w:id="37"/>
    <w:p w14:paraId="3D843D42" w14:textId="77777777" w:rsidR="00DB5B24" w:rsidRPr="007D67E8" w:rsidRDefault="00DB5B24" w:rsidP="003B60E8">
      <w:pPr>
        <w:ind w:left="851"/>
        <w:rPr>
          <w:sz w:val="24"/>
          <w:szCs w:val="24"/>
        </w:rPr>
      </w:pPr>
    </w:p>
    <w:p w14:paraId="32B29959" w14:textId="4C3C39DA" w:rsidR="004A1D83" w:rsidRPr="007D67E8" w:rsidRDefault="004A1D83" w:rsidP="003B60E8">
      <w:pPr>
        <w:ind w:left="851"/>
        <w:rPr>
          <w:sz w:val="24"/>
          <w:szCs w:val="24"/>
        </w:rPr>
      </w:pPr>
      <w:r w:rsidRPr="007D67E8">
        <w:rPr>
          <w:sz w:val="24"/>
          <w:szCs w:val="24"/>
          <w:u w:val="single"/>
        </w:rPr>
        <w:t>Vinkaalkaloider:</w:t>
      </w:r>
      <w:r w:rsidRPr="007D67E8">
        <w:rPr>
          <w:sz w:val="24"/>
          <w:szCs w:val="24"/>
        </w:rPr>
        <w:t xml:space="preserve"> Skønt det ikke er undersøgt, kan fluconazol sandsynligvis øge plasmakoncentrationen af vinkaalkaloider (f.eks. vincristin og vinblastin) og medføre neurotoksicitet, muligvis som følge af en hæmmende virkning på CYP3A4.</w:t>
      </w:r>
    </w:p>
    <w:p w14:paraId="41098C3D" w14:textId="77777777" w:rsidR="00DB5B24" w:rsidRPr="007D67E8" w:rsidRDefault="00DB5B24" w:rsidP="003B60E8">
      <w:pPr>
        <w:ind w:left="851"/>
        <w:rPr>
          <w:sz w:val="24"/>
          <w:szCs w:val="24"/>
        </w:rPr>
      </w:pPr>
    </w:p>
    <w:p w14:paraId="08B1BB36" w14:textId="152ED762" w:rsidR="004A1D83" w:rsidRPr="007D67E8" w:rsidRDefault="004A1D83" w:rsidP="003B60E8">
      <w:pPr>
        <w:ind w:left="851"/>
        <w:rPr>
          <w:sz w:val="24"/>
          <w:szCs w:val="24"/>
        </w:rPr>
      </w:pPr>
      <w:r w:rsidRPr="007D67E8">
        <w:rPr>
          <w:sz w:val="24"/>
          <w:szCs w:val="24"/>
          <w:u w:val="single"/>
        </w:rPr>
        <w:t>A-vitamin:</w:t>
      </w:r>
      <w:r w:rsidRPr="007D67E8">
        <w:rPr>
          <w:sz w:val="24"/>
          <w:szCs w:val="24"/>
        </w:rPr>
        <w:t xml:space="preserve"> I et case-studie hos en patient, som modtog kombinationsbehandling med all-trans-retinoinsyre (en syreform af vitamin A) og fluconazol, blev CNS-bivirkninger udviklet i form af pseudotumor cerebri, som svandt efter seponering af behandlingen med fluconazol. Denne kombination kan anvendes, men forekomsten af CNS-bivirkninger bør tages i betragtning.</w:t>
      </w:r>
    </w:p>
    <w:p w14:paraId="47457BEA" w14:textId="77777777" w:rsidR="00DB5B24" w:rsidRPr="007D67E8" w:rsidRDefault="00DB5B24" w:rsidP="003B60E8">
      <w:pPr>
        <w:ind w:left="851"/>
        <w:rPr>
          <w:sz w:val="24"/>
          <w:szCs w:val="24"/>
        </w:rPr>
      </w:pPr>
    </w:p>
    <w:p w14:paraId="2567ABDC" w14:textId="318AC7A5" w:rsidR="004A1D83" w:rsidRPr="007D67E8" w:rsidRDefault="004A1D83" w:rsidP="003B60E8">
      <w:pPr>
        <w:ind w:left="851"/>
        <w:rPr>
          <w:sz w:val="24"/>
          <w:szCs w:val="24"/>
        </w:rPr>
      </w:pPr>
      <w:r w:rsidRPr="007D67E8">
        <w:rPr>
          <w:sz w:val="24"/>
          <w:szCs w:val="24"/>
          <w:u w:val="single"/>
        </w:rPr>
        <w:t>Voriconazol:</w:t>
      </w:r>
      <w:bookmarkStart w:id="38" w:name="_Hlk42530286"/>
      <w:r w:rsidRPr="007D67E8">
        <w:rPr>
          <w:sz w:val="24"/>
          <w:szCs w:val="24"/>
        </w:rPr>
        <w:t xml:space="preserve"> (CYP2C9-, CYP2C19- og CYP3A4-hæmmer): </w:t>
      </w:r>
      <w:bookmarkStart w:id="39" w:name="_Hlk42530309"/>
      <w:bookmarkEnd w:id="38"/>
      <w:r w:rsidRPr="007D67E8">
        <w:rPr>
          <w:sz w:val="24"/>
          <w:szCs w:val="24"/>
        </w:rPr>
        <w:t>Samtidig oral administration af voriconazol (400 mg hver 12. time på 1. dag, derefter 200 mg hver 12. time i 2,5 dage) og oralt fluconazol (400 mg på dag 1, derefter 200 mg hver 24. time i 4 dage) til 8 raske mandlige forsøgspersoner, resulterede i en stigning i C</w:t>
      </w:r>
      <w:r w:rsidRPr="007D67E8">
        <w:rPr>
          <w:sz w:val="24"/>
          <w:szCs w:val="24"/>
          <w:vertAlign w:val="subscript"/>
        </w:rPr>
        <w:t>max</w:t>
      </w:r>
      <w:r w:rsidRPr="007D67E8">
        <w:rPr>
          <w:sz w:val="24"/>
          <w:szCs w:val="24"/>
        </w:rPr>
        <w:t xml:space="preserve"> og AUC</w:t>
      </w:r>
      <w:r w:rsidRPr="007D67E8">
        <w:rPr>
          <w:noProof/>
          <w:sz w:val="24"/>
          <w:szCs w:val="24"/>
          <w:vertAlign w:val="subscript"/>
        </w:rPr>
        <w:drawing>
          <wp:inline distT="0" distB="0" distL="0" distR="0" wp14:anchorId="035F2258" wp14:editId="7EB07FED">
            <wp:extent cx="73025" cy="95250"/>
            <wp:effectExtent l="0" t="0" r="3175" b="0"/>
            <wp:docPr id="2" name="Billede 2" descr="https://www.medicines.org.uk/emc/images/spc/spc~1458~19~T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https://www.medicines.org.uk/emc/images/spc/spc~1458~19~TAU.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 cy="95250"/>
                    </a:xfrm>
                    <a:prstGeom prst="rect">
                      <a:avLst/>
                    </a:prstGeom>
                    <a:noFill/>
                    <a:ln>
                      <a:noFill/>
                    </a:ln>
                  </pic:spPr>
                </pic:pic>
              </a:graphicData>
            </a:graphic>
          </wp:inline>
        </w:drawing>
      </w:r>
      <w:r w:rsidRPr="007D67E8">
        <w:rPr>
          <w:sz w:val="24"/>
          <w:szCs w:val="24"/>
        </w:rPr>
        <w:t xml:space="preserve"> for voriconazol på gennemsnitligt henholdsvis 57 % (90 % SI: 20 %, 107 %) og 79 % (90 % SI: 40 %, 128 %). Hvilken dosisreduktion og/eller ændring i doseringsfrekvens af voriconazol og fluconazol, der vil eliminere denne virkning, er ikke fastlagt. Det tilrådes at monitorere for voriconazol-relaterede bivirkninger, hvis voriconazol anvendes umiddelbart efter fluconazol.</w:t>
      </w:r>
    </w:p>
    <w:p w14:paraId="6E739431" w14:textId="77777777" w:rsidR="00254659" w:rsidRPr="007D67E8" w:rsidRDefault="00254659" w:rsidP="003B60E8">
      <w:pPr>
        <w:ind w:left="851"/>
        <w:rPr>
          <w:sz w:val="24"/>
          <w:szCs w:val="24"/>
        </w:rPr>
      </w:pPr>
      <w:bookmarkStart w:id="40" w:name="_Hlk41566645"/>
      <w:bookmarkEnd w:id="39"/>
    </w:p>
    <w:p w14:paraId="1538D4F7" w14:textId="19FF33D1" w:rsidR="004A1D83" w:rsidRPr="007D67E8" w:rsidRDefault="004A1D83" w:rsidP="003B60E8">
      <w:pPr>
        <w:ind w:left="851"/>
        <w:rPr>
          <w:sz w:val="24"/>
          <w:szCs w:val="24"/>
        </w:rPr>
      </w:pPr>
      <w:r w:rsidRPr="007D67E8">
        <w:rPr>
          <w:sz w:val="24"/>
          <w:szCs w:val="24"/>
          <w:u w:val="single"/>
        </w:rPr>
        <w:t>Zidovudin:</w:t>
      </w:r>
      <w:r w:rsidRPr="00D16CBF">
        <w:rPr>
          <w:sz w:val="24"/>
          <w:szCs w:val="24"/>
        </w:rPr>
        <w:t xml:space="preserve"> </w:t>
      </w:r>
      <w:r w:rsidRPr="007D67E8">
        <w:rPr>
          <w:sz w:val="24"/>
          <w:szCs w:val="24"/>
        </w:rPr>
        <w:t>Fluconazol øger C</w:t>
      </w:r>
      <w:r w:rsidRPr="007D67E8">
        <w:rPr>
          <w:sz w:val="24"/>
          <w:szCs w:val="24"/>
          <w:vertAlign w:val="subscript"/>
        </w:rPr>
        <w:t>max</w:t>
      </w:r>
      <w:r w:rsidRPr="007D67E8">
        <w:rPr>
          <w:sz w:val="24"/>
          <w:szCs w:val="24"/>
        </w:rPr>
        <w:t xml:space="preserve"> og AUC for zidovudin med henholdsvis 84 % og 74 % pga. fald i zidovudins orale clearance på ca. 45 %. Halveringstiden for zidovudin blev ligeledes forlænget med ca. 128 % efter kombineret behandling med fluconazol. Patienter, der modtager denne kombination, skal overvåges for udvikling af zidovudin-bivirkninger. Dosisreduktion af zidovudin kan overvejes.</w:t>
      </w:r>
    </w:p>
    <w:bookmarkEnd w:id="40"/>
    <w:p w14:paraId="46EF00E3" w14:textId="77777777" w:rsidR="000A406B" w:rsidRPr="007D67E8" w:rsidRDefault="000A406B" w:rsidP="003B60E8">
      <w:pPr>
        <w:ind w:left="851"/>
        <w:rPr>
          <w:sz w:val="24"/>
          <w:szCs w:val="24"/>
        </w:rPr>
      </w:pPr>
    </w:p>
    <w:p w14:paraId="404ECA7E" w14:textId="7E9C22C6" w:rsidR="004A1D83" w:rsidRPr="007D67E8" w:rsidRDefault="004A1D83" w:rsidP="003B60E8">
      <w:pPr>
        <w:ind w:left="851"/>
        <w:rPr>
          <w:sz w:val="24"/>
          <w:szCs w:val="24"/>
        </w:rPr>
      </w:pPr>
      <w:r w:rsidRPr="007D67E8">
        <w:rPr>
          <w:sz w:val="24"/>
          <w:szCs w:val="24"/>
          <w:u w:val="single"/>
        </w:rPr>
        <w:t>Azithromycin:</w:t>
      </w:r>
      <w:r w:rsidRPr="00D16CBF">
        <w:rPr>
          <w:sz w:val="24"/>
          <w:szCs w:val="24"/>
        </w:rPr>
        <w:t xml:space="preserve"> </w:t>
      </w:r>
      <w:bookmarkStart w:id="41" w:name="_Hlk42530414"/>
      <w:r w:rsidRPr="007D67E8">
        <w:rPr>
          <w:sz w:val="24"/>
          <w:szCs w:val="24"/>
        </w:rPr>
        <w:t>I et åben, randomiseret, trevejs crossover-studie med 18 raske forsøgspersoner blev det vurderet, om en enkelt oral dosis på 1 200 mg azithromycin havde effekt på farmakokinetikken af en enkelt oral dosis på 800 mg fluconazol såvel som fluconazols effekt på farmakokinetikken. af azithromycin. Der var ingen signifikant farmakokinetisk interaktion mellem fluconazol og azithromycin.</w:t>
      </w:r>
      <w:bookmarkEnd w:id="41"/>
    </w:p>
    <w:p w14:paraId="15276319" w14:textId="77777777" w:rsidR="000A406B" w:rsidRPr="007D67E8" w:rsidRDefault="000A406B" w:rsidP="003B60E8">
      <w:pPr>
        <w:ind w:left="851"/>
        <w:rPr>
          <w:sz w:val="24"/>
          <w:szCs w:val="24"/>
        </w:rPr>
      </w:pPr>
    </w:p>
    <w:p w14:paraId="29BB178C" w14:textId="5A01E126" w:rsidR="004A1D83" w:rsidRPr="007D67E8" w:rsidRDefault="004A1D83" w:rsidP="003B60E8">
      <w:pPr>
        <w:ind w:left="851"/>
        <w:rPr>
          <w:sz w:val="24"/>
          <w:szCs w:val="24"/>
        </w:rPr>
      </w:pPr>
      <w:r w:rsidRPr="007D67E8">
        <w:rPr>
          <w:sz w:val="24"/>
          <w:szCs w:val="24"/>
          <w:u w:val="single"/>
        </w:rPr>
        <w:lastRenderedPageBreak/>
        <w:t>Orale antikonceptionsmidler:</w:t>
      </w:r>
      <w:r w:rsidRPr="007D67E8">
        <w:rPr>
          <w:sz w:val="24"/>
          <w:szCs w:val="24"/>
        </w:rPr>
        <w:t xml:space="preserve"> </w:t>
      </w:r>
      <w:bookmarkStart w:id="42" w:name="_Hlk42530046"/>
      <w:r w:rsidRPr="007D67E8">
        <w:rPr>
          <w:sz w:val="24"/>
          <w:szCs w:val="24"/>
        </w:rPr>
        <w:t>Der er udført 2 farmakokinetiske forsøg med et oral kontraceptivum af kombinationstypen og gentagen dosering med fluconazol. I studiet med 50 mg fluconazol var der ingen relevante virkninger på hormonniveauet, men ved 200 mg dagligt blev AUC for ethinylestradiol og levonorgestrel øget henholdsvis 40 % og 24 %. Gentagne doser af fluconazol på dette niveau vil derfor sandsynligvis ikke have nogen effekt på virkningen af det kombinerede orale antikonceptionsmiddel.</w:t>
      </w:r>
      <w:bookmarkEnd w:id="42"/>
    </w:p>
    <w:p w14:paraId="5E8E86B4" w14:textId="77777777" w:rsidR="009260DE" w:rsidRPr="007D67E8" w:rsidRDefault="009260DE" w:rsidP="009260DE">
      <w:pPr>
        <w:tabs>
          <w:tab w:val="left" w:pos="851"/>
        </w:tabs>
        <w:ind w:left="851"/>
        <w:rPr>
          <w:sz w:val="24"/>
          <w:szCs w:val="24"/>
        </w:rPr>
      </w:pPr>
    </w:p>
    <w:p w14:paraId="1CD2910B" w14:textId="040B8ACB" w:rsidR="009260DE" w:rsidRPr="007D67E8" w:rsidRDefault="009260DE" w:rsidP="009260DE">
      <w:pPr>
        <w:tabs>
          <w:tab w:val="left" w:pos="851"/>
        </w:tabs>
        <w:ind w:left="851" w:hanging="851"/>
        <w:rPr>
          <w:b/>
          <w:sz w:val="24"/>
          <w:szCs w:val="24"/>
        </w:rPr>
      </w:pPr>
      <w:r w:rsidRPr="007D67E8">
        <w:rPr>
          <w:b/>
          <w:sz w:val="24"/>
          <w:szCs w:val="24"/>
        </w:rPr>
        <w:t>4.6</w:t>
      </w:r>
      <w:r w:rsidRPr="007D67E8">
        <w:rPr>
          <w:b/>
          <w:sz w:val="24"/>
          <w:szCs w:val="24"/>
        </w:rPr>
        <w:tab/>
      </w:r>
      <w:r w:rsidR="006B17EE" w:rsidRPr="00F31B64">
        <w:rPr>
          <w:b/>
          <w:noProof/>
          <w:sz w:val="24"/>
          <w:szCs w:val="24"/>
        </w:rPr>
        <w:t>Fertilitet, g</w:t>
      </w:r>
      <w:r w:rsidR="006B17EE" w:rsidRPr="00F31B64">
        <w:rPr>
          <w:b/>
          <w:sz w:val="24"/>
          <w:szCs w:val="24"/>
        </w:rPr>
        <w:t>raviditet og amning</w:t>
      </w:r>
    </w:p>
    <w:p w14:paraId="6D816AD4" w14:textId="77777777" w:rsidR="000A406B" w:rsidRPr="007D67E8" w:rsidRDefault="000A406B" w:rsidP="003B60E8">
      <w:pPr>
        <w:ind w:left="851"/>
        <w:rPr>
          <w:sz w:val="24"/>
          <w:szCs w:val="24"/>
        </w:rPr>
      </w:pPr>
    </w:p>
    <w:p w14:paraId="2C244172" w14:textId="77777777" w:rsidR="00651880" w:rsidRPr="00651880" w:rsidRDefault="00651880" w:rsidP="00651880">
      <w:pPr>
        <w:ind w:left="851"/>
        <w:rPr>
          <w:sz w:val="24"/>
          <w:szCs w:val="24"/>
          <w:u w:val="single"/>
        </w:rPr>
      </w:pPr>
      <w:r w:rsidRPr="00651880">
        <w:rPr>
          <w:sz w:val="24"/>
          <w:szCs w:val="24"/>
          <w:u w:val="single"/>
        </w:rPr>
        <w:t>Kvinder, der kan blive gravide</w:t>
      </w:r>
    </w:p>
    <w:p w14:paraId="05EF80A5" w14:textId="77777777" w:rsidR="00651880" w:rsidRPr="00651880" w:rsidRDefault="00651880" w:rsidP="00651880">
      <w:pPr>
        <w:ind w:left="851"/>
        <w:rPr>
          <w:sz w:val="24"/>
          <w:szCs w:val="24"/>
        </w:rPr>
      </w:pPr>
      <w:r w:rsidRPr="00651880">
        <w:rPr>
          <w:sz w:val="24"/>
          <w:szCs w:val="24"/>
        </w:rPr>
        <w:t>Før behandling indledes, bør patienten informeres om den potentielle risiko for fosteret.</w:t>
      </w:r>
    </w:p>
    <w:p w14:paraId="5026DF54" w14:textId="77777777" w:rsidR="00651880" w:rsidRPr="00651880" w:rsidRDefault="00651880" w:rsidP="00651880">
      <w:pPr>
        <w:ind w:left="851"/>
        <w:rPr>
          <w:sz w:val="24"/>
          <w:szCs w:val="24"/>
        </w:rPr>
      </w:pPr>
    </w:p>
    <w:p w14:paraId="7E528BDA" w14:textId="77777777" w:rsidR="00651880" w:rsidRPr="00651880" w:rsidRDefault="00651880" w:rsidP="00651880">
      <w:pPr>
        <w:ind w:left="851"/>
        <w:rPr>
          <w:sz w:val="24"/>
          <w:szCs w:val="24"/>
        </w:rPr>
      </w:pPr>
      <w:r w:rsidRPr="00651880">
        <w:rPr>
          <w:sz w:val="24"/>
          <w:szCs w:val="24"/>
        </w:rPr>
        <w:t>Efter behandling med en enkelt dosis anbefales en udvaskningsperiode på en uge (svarende til 5-6 halveringstider), før patienten bliver gravid (se pkt. 5.2).</w:t>
      </w:r>
    </w:p>
    <w:p w14:paraId="3FCC3171" w14:textId="77777777" w:rsidR="00651880" w:rsidRPr="00651880" w:rsidRDefault="00651880" w:rsidP="00651880">
      <w:pPr>
        <w:ind w:left="851"/>
        <w:rPr>
          <w:sz w:val="24"/>
          <w:szCs w:val="24"/>
        </w:rPr>
      </w:pPr>
    </w:p>
    <w:p w14:paraId="179190A6" w14:textId="77777777" w:rsidR="00651880" w:rsidRPr="00651880" w:rsidRDefault="00651880" w:rsidP="00651880">
      <w:pPr>
        <w:ind w:left="851"/>
        <w:rPr>
          <w:sz w:val="24"/>
          <w:szCs w:val="24"/>
        </w:rPr>
      </w:pPr>
      <w:r w:rsidRPr="00651880">
        <w:rPr>
          <w:sz w:val="24"/>
          <w:szCs w:val="24"/>
        </w:rPr>
        <w:t>Ved længere behandlingsforløb kan antikonception i givet fald overvejes hos kvinder, der kan blive gravide, i hele behandlingsperioden og i 1 uge efter den sidste dosis.</w:t>
      </w:r>
    </w:p>
    <w:p w14:paraId="03C285AD" w14:textId="77777777" w:rsidR="00651880" w:rsidRDefault="00651880" w:rsidP="003B60E8">
      <w:pPr>
        <w:ind w:left="851"/>
        <w:rPr>
          <w:sz w:val="24"/>
          <w:szCs w:val="24"/>
          <w:u w:val="single"/>
        </w:rPr>
      </w:pPr>
    </w:p>
    <w:p w14:paraId="351DFC19" w14:textId="084615E4" w:rsidR="004A1D83" w:rsidRPr="007D67E8" w:rsidRDefault="004A1D83" w:rsidP="003B60E8">
      <w:pPr>
        <w:ind w:left="851"/>
        <w:rPr>
          <w:sz w:val="24"/>
          <w:szCs w:val="24"/>
          <w:u w:val="single"/>
        </w:rPr>
      </w:pPr>
      <w:r w:rsidRPr="007D67E8">
        <w:rPr>
          <w:sz w:val="24"/>
          <w:szCs w:val="24"/>
          <w:u w:val="single"/>
        </w:rPr>
        <w:t xml:space="preserve">Graviditet </w:t>
      </w:r>
    </w:p>
    <w:p w14:paraId="079972CF" w14:textId="77777777" w:rsidR="004A6BFF" w:rsidRDefault="004A6BFF" w:rsidP="004A6BFF">
      <w:pPr>
        <w:ind w:left="851"/>
        <w:rPr>
          <w:sz w:val="24"/>
          <w:szCs w:val="24"/>
        </w:rPr>
      </w:pPr>
      <w:r>
        <w:rPr>
          <w:sz w:val="24"/>
          <w:szCs w:val="24"/>
        </w:rPr>
        <w:t>Observationsstudier tyder på en øget risiko for spontan abort hos kvinder, der er behandlet med fluconazol i første og/eller andet trimester, i forhold til kvinder, der ikke er behandlet med fluconazol, eller er behandlet med topiske azoler i same periode.</w:t>
      </w:r>
    </w:p>
    <w:p w14:paraId="06C447FD" w14:textId="77777777" w:rsidR="004A6BFF" w:rsidRDefault="004A6BFF" w:rsidP="004A6BFF">
      <w:pPr>
        <w:pStyle w:val="Kommentartekst"/>
        <w:rPr>
          <w:sz w:val="24"/>
          <w:szCs w:val="24"/>
        </w:rPr>
      </w:pPr>
      <w:r>
        <w:rPr>
          <w:rStyle w:val="Kommentarhenvisning"/>
        </w:rPr>
        <w:t/>
      </w:r>
      <w:bookmarkStart w:id="43" w:name="_Hlk42081589"/>
    </w:p>
    <w:p w14:paraId="37B01EAA" w14:textId="39D04A6F" w:rsidR="004A1D83" w:rsidRPr="007D67E8" w:rsidRDefault="004A1D83" w:rsidP="004A6BFF">
      <w:pPr>
        <w:pStyle w:val="Kommentartekst"/>
        <w:ind w:left="851"/>
        <w:rPr>
          <w:sz w:val="24"/>
          <w:szCs w:val="24"/>
        </w:rPr>
      </w:pPr>
      <w:r w:rsidRPr="007D67E8">
        <w:rPr>
          <w:sz w:val="24"/>
          <w:szCs w:val="24"/>
        </w:rPr>
        <w:t>Data fra flere tusinde gravide kvinder behandlet med en kumulativ dosis på ≤ 150 mg fluconazol, administreret i første trimester, viser ingen stigning i den totale risiko for misdannelser hos fosteret. I et stort observationskohortestudie blev eksponering af oral fluconazol i første trimester forbundet med en lille øget risiko for muskuloskeletale misdannelser svarende til ca. 1 yderligere tilfælde pr. 1 000 kvinder behandlet med kumulative doser ≤ 450 mg i forhold til kvinder behandlet med topiske azoler, og til ca. 4 yderligere tilfælde pr. 1 000 kvinder, der blev behandlet med kumulative doser over 450 mg. Den justerede relative risiko var 1,29 (95 % CI 1,05 til 1,58) for 150 mg oral fluconazol og 1,98 (95 % CI 1,23 til 3,17) for doser over 450 mg fluconazol.</w:t>
      </w:r>
    </w:p>
    <w:p w14:paraId="6E3FF8AA" w14:textId="77777777" w:rsidR="000F5BDF" w:rsidRDefault="000F5BDF" w:rsidP="003B60E8">
      <w:pPr>
        <w:ind w:left="851"/>
        <w:rPr>
          <w:sz w:val="24"/>
          <w:szCs w:val="24"/>
        </w:rPr>
      </w:pPr>
    </w:p>
    <w:bookmarkEnd w:id="43"/>
    <w:p w14:paraId="1866FF75" w14:textId="77777777" w:rsidR="004A6BFF" w:rsidRDefault="004A6BFF" w:rsidP="004A6BFF">
      <w:pPr>
        <w:ind w:left="851"/>
        <w:rPr>
          <w:sz w:val="24"/>
          <w:szCs w:val="24"/>
        </w:rPr>
      </w:pPr>
      <w:r>
        <w:rPr>
          <w:sz w:val="24"/>
          <w:szCs w:val="24"/>
        </w:rPr>
        <w:t>De tilgængelige epidemiologiske studier af kardiale misdannelser ved brug af fluconazol under graviditet giver usammenhængende resultater. En metaanalyse af fem observationsstudier, herunder flere tusinde gravide kvinder, som blev eksponeret for fluconazol i første trimester, peger imidlertid på en 1,8-2 gange øget risiko for kardiale misdannelser i forhold til ingen brug af fluconazol, og/eller topiske azoler.</w:t>
      </w:r>
    </w:p>
    <w:p w14:paraId="4262F6A8" w14:textId="77777777" w:rsidR="004A6BFF" w:rsidRDefault="004A6BFF" w:rsidP="004A6BFF">
      <w:pPr>
        <w:ind w:left="851"/>
        <w:rPr>
          <w:sz w:val="24"/>
          <w:szCs w:val="24"/>
        </w:rPr>
      </w:pPr>
    </w:p>
    <w:p w14:paraId="699D6BFC" w14:textId="77777777" w:rsidR="004A6BFF" w:rsidRDefault="004A6BFF" w:rsidP="004A6BFF">
      <w:pPr>
        <w:ind w:left="851"/>
        <w:rPr>
          <w:sz w:val="24"/>
          <w:szCs w:val="24"/>
        </w:rPr>
      </w:pPr>
      <w:r>
        <w:rPr>
          <w:sz w:val="24"/>
          <w:szCs w:val="24"/>
        </w:rPr>
        <w:t>Case-rapporter tegner et mønster af fødselsdefekter hos spædbørn, hvis mødre fik fluconazol i høje doser (400-800 mg/dag) under graviditeten i 3 måneder eller derover til behandling af kokcidioidomykose. Fødselsdefekterne hos disse spædbørn omfatter brachycephali, øredysplasi, forstørrede forreste fontaneller, krumning af femur og radio-humeral synostose. Det er usikkert, om der er en kausal sammenhæng mellem anvendelsen af fluconazol og disse fødselsdefekter.</w:t>
      </w:r>
    </w:p>
    <w:p w14:paraId="5744A466" w14:textId="77777777" w:rsidR="004A6BFF" w:rsidRDefault="004A6BFF" w:rsidP="004A6BFF">
      <w:pPr>
        <w:ind w:left="851"/>
        <w:rPr>
          <w:sz w:val="24"/>
          <w:szCs w:val="24"/>
        </w:rPr>
      </w:pPr>
    </w:p>
    <w:p w14:paraId="7F63AE93" w14:textId="77777777" w:rsidR="004A6BFF" w:rsidRDefault="004A6BFF" w:rsidP="004A6BFF">
      <w:pPr>
        <w:ind w:left="851"/>
        <w:rPr>
          <w:sz w:val="24"/>
          <w:szCs w:val="24"/>
        </w:rPr>
      </w:pPr>
      <w:r>
        <w:rPr>
          <w:sz w:val="24"/>
          <w:szCs w:val="24"/>
        </w:rPr>
        <w:t>Fluconazol ved standarddoser og korttidsbehandling bør så vidt muligt ikke anvendes til gravide, medmindre det er klart nødvendigt.</w:t>
      </w:r>
    </w:p>
    <w:p w14:paraId="2E2D2F38" w14:textId="77777777" w:rsidR="004A6BFF" w:rsidRDefault="004A6BFF" w:rsidP="004A6BFF">
      <w:pPr>
        <w:tabs>
          <w:tab w:val="left" w:pos="7140"/>
        </w:tabs>
        <w:ind w:left="851"/>
        <w:rPr>
          <w:sz w:val="24"/>
          <w:szCs w:val="24"/>
        </w:rPr>
      </w:pPr>
      <w:r>
        <w:rPr>
          <w:sz w:val="24"/>
          <w:szCs w:val="24"/>
        </w:rPr>
        <w:tab/>
      </w:r>
    </w:p>
    <w:p w14:paraId="16794DE4" w14:textId="77777777" w:rsidR="004A6BFF" w:rsidRDefault="004A6BFF" w:rsidP="004A6BFF">
      <w:pPr>
        <w:ind w:left="851"/>
        <w:rPr>
          <w:sz w:val="24"/>
          <w:szCs w:val="24"/>
        </w:rPr>
      </w:pPr>
      <w:r>
        <w:rPr>
          <w:sz w:val="24"/>
          <w:szCs w:val="24"/>
        </w:rPr>
        <w:t>Fluconazol i høj dosis og/eller langtidsregime bør så vidt muligt ikke anvendes til gravide, undtagen til potentielt livstruende infektioner.</w:t>
      </w:r>
    </w:p>
    <w:p w14:paraId="46ADCF70" w14:textId="77777777" w:rsidR="004A6BFF" w:rsidRPr="00150D74" w:rsidRDefault="004A6BFF" w:rsidP="004A6BFF">
      <w:pPr>
        <w:pStyle w:val="Kommentartekst"/>
        <w:rPr>
          <w:lang w:val="sv-SE"/>
        </w:rPr>
      </w:pPr>
      <w:r>
        <w:rPr>
          <w:rStyle w:val="Kommentarhenvisning"/>
        </w:rPr>
        <w:lastRenderedPageBreak/>
        <w:t/>
      </w:r>
      <w:r w:rsidRPr="00150D74">
        <w:rPr>
          <w:b/>
          <w:bCs/>
          <w:lang w:val="sv-SE"/>
        </w:rPr>
        <w:t>Variation</w:t>
      </w:r>
      <w:r w:rsidRPr="00150D74">
        <w:rPr>
          <w:lang w:val="sv-SE"/>
        </w:rPr>
        <w:t xml:space="preserve"> </w:t>
      </w:r>
      <w:r>
        <w:rPr>
          <w:b/>
          <w:bCs/>
          <w:color w:val="000000"/>
          <w:lang w:val="es-ES"/>
        </w:rPr>
        <w:t>EE/H/0324/001/IA/003</w:t>
      </w:r>
      <w:r>
        <w:rPr>
          <w:color w:val="000000"/>
          <w:lang w:val="es-ES"/>
        </w:rPr>
        <w:t xml:space="preserve"> (deletion)</w:t>
      </w:r>
    </w:p>
    <w:p w14:paraId="6FCA7893" w14:textId="77777777" w:rsidR="00F14805" w:rsidRPr="00150D74" w:rsidRDefault="00F14805" w:rsidP="003B60E8">
      <w:pPr>
        <w:ind w:left="851"/>
        <w:rPr>
          <w:sz w:val="24"/>
          <w:szCs w:val="24"/>
          <w:lang w:val="sv-SE"/>
        </w:rPr>
      </w:pPr>
    </w:p>
    <w:p w14:paraId="39622091" w14:textId="62A50555" w:rsidR="004A1D83" w:rsidRPr="00150D74" w:rsidRDefault="004A1D83" w:rsidP="003B60E8">
      <w:pPr>
        <w:ind w:left="851"/>
        <w:rPr>
          <w:sz w:val="24"/>
          <w:szCs w:val="24"/>
          <w:u w:val="single"/>
          <w:lang w:val="sv-SE"/>
        </w:rPr>
      </w:pPr>
      <w:r w:rsidRPr="00150D74">
        <w:rPr>
          <w:sz w:val="24"/>
          <w:szCs w:val="24"/>
          <w:u w:val="single"/>
          <w:lang w:val="sv-SE"/>
        </w:rPr>
        <w:t xml:space="preserve">Amning </w:t>
      </w:r>
    </w:p>
    <w:p w14:paraId="048823E2" w14:textId="77E14421" w:rsidR="004A1D83" w:rsidRPr="007D67E8" w:rsidRDefault="004A1D83" w:rsidP="003B60E8">
      <w:pPr>
        <w:ind w:left="851"/>
        <w:rPr>
          <w:sz w:val="24"/>
          <w:szCs w:val="24"/>
        </w:rPr>
      </w:pPr>
      <w:r w:rsidRPr="007D67E8">
        <w:rPr>
          <w:sz w:val="24"/>
          <w:szCs w:val="24"/>
        </w:rPr>
        <w:t xml:space="preserve">Fluconazol udskilles i modermælk i en koncentration svarende til plasmakoncentrationen (se pkt. 5.2). Efter en enkelt dosis på 150 mg fluconazol kan amning fortsættes. Amning frarådes efter gentagen brug eller høj dosis af fluconazol. De udviklingsmæssige og sundhedsmæssige fordele ved amning bør tages i betragtning sammen med moderens kliniske behov for Fluconazol </w:t>
      </w:r>
      <w:r w:rsidR="00B705BB">
        <w:rPr>
          <w:sz w:val="24"/>
          <w:szCs w:val="24"/>
        </w:rPr>
        <w:t>"Vitabalans"</w:t>
      </w:r>
      <w:r w:rsidRPr="007D67E8">
        <w:rPr>
          <w:sz w:val="24"/>
          <w:szCs w:val="24"/>
        </w:rPr>
        <w:t xml:space="preserve"> og potentielle bivirkninger på det ammede barn fra Fluconazol </w:t>
      </w:r>
      <w:r w:rsidR="00B705BB">
        <w:rPr>
          <w:sz w:val="24"/>
          <w:szCs w:val="24"/>
        </w:rPr>
        <w:t>"Vitabalans"</w:t>
      </w:r>
      <w:r w:rsidRPr="007D67E8">
        <w:rPr>
          <w:sz w:val="24"/>
          <w:szCs w:val="24"/>
        </w:rPr>
        <w:t xml:space="preserve"> eller fra moderens underliggende tilstand.</w:t>
      </w:r>
    </w:p>
    <w:p w14:paraId="707DE5D0" w14:textId="77777777" w:rsidR="00F14805" w:rsidRPr="007D67E8" w:rsidRDefault="00F14805" w:rsidP="003B60E8">
      <w:pPr>
        <w:ind w:left="851"/>
        <w:rPr>
          <w:sz w:val="24"/>
          <w:szCs w:val="24"/>
        </w:rPr>
      </w:pPr>
      <w:bookmarkStart w:id="44" w:name="_Hlk42081534"/>
    </w:p>
    <w:p w14:paraId="75D55A55" w14:textId="28E65FB0" w:rsidR="004A1D83" w:rsidRPr="007D67E8" w:rsidRDefault="004A1D83" w:rsidP="003B60E8">
      <w:pPr>
        <w:ind w:left="851"/>
        <w:rPr>
          <w:sz w:val="24"/>
          <w:szCs w:val="24"/>
          <w:u w:val="single"/>
        </w:rPr>
      </w:pPr>
      <w:r w:rsidRPr="007D67E8">
        <w:rPr>
          <w:sz w:val="24"/>
          <w:szCs w:val="24"/>
          <w:u w:val="single"/>
        </w:rPr>
        <w:t xml:space="preserve">Fertilitet </w:t>
      </w:r>
    </w:p>
    <w:p w14:paraId="14F768CA" w14:textId="77777777" w:rsidR="004A1D83" w:rsidRPr="007D67E8" w:rsidRDefault="004A1D83" w:rsidP="003B60E8">
      <w:pPr>
        <w:ind w:left="851"/>
        <w:rPr>
          <w:sz w:val="24"/>
          <w:szCs w:val="24"/>
        </w:rPr>
      </w:pPr>
      <w:r w:rsidRPr="007D67E8">
        <w:rPr>
          <w:sz w:val="24"/>
          <w:szCs w:val="24"/>
        </w:rPr>
        <w:t>Fluconazol påvirkede ikke fertiliteten hos han- eller hunrotter (se pkt. 5.3).</w:t>
      </w:r>
    </w:p>
    <w:bookmarkEnd w:id="44"/>
    <w:p w14:paraId="5692DA20" w14:textId="77777777" w:rsidR="009260DE" w:rsidRPr="007D67E8" w:rsidRDefault="009260DE" w:rsidP="009260DE">
      <w:pPr>
        <w:tabs>
          <w:tab w:val="left" w:pos="851"/>
        </w:tabs>
        <w:ind w:left="851"/>
        <w:rPr>
          <w:sz w:val="24"/>
          <w:szCs w:val="24"/>
        </w:rPr>
      </w:pPr>
    </w:p>
    <w:p w14:paraId="5AC6F489" w14:textId="07FB1F99" w:rsidR="009260DE" w:rsidRPr="007D67E8" w:rsidRDefault="009260DE" w:rsidP="009260DE">
      <w:pPr>
        <w:tabs>
          <w:tab w:val="left" w:pos="851"/>
        </w:tabs>
        <w:ind w:left="851" w:hanging="851"/>
        <w:rPr>
          <w:b/>
          <w:sz w:val="24"/>
          <w:szCs w:val="24"/>
        </w:rPr>
      </w:pPr>
      <w:r w:rsidRPr="007D67E8">
        <w:rPr>
          <w:b/>
          <w:sz w:val="24"/>
          <w:szCs w:val="24"/>
        </w:rPr>
        <w:t>4.7</w:t>
      </w:r>
      <w:r w:rsidRPr="007D67E8">
        <w:rPr>
          <w:b/>
          <w:sz w:val="24"/>
          <w:szCs w:val="24"/>
        </w:rPr>
        <w:tab/>
      </w:r>
      <w:bookmarkStart w:id="45" w:name="_Hlk143255910"/>
      <w:r w:rsidR="006B17EE" w:rsidRPr="00F31B64">
        <w:rPr>
          <w:b/>
          <w:sz w:val="24"/>
          <w:szCs w:val="24"/>
        </w:rPr>
        <w:t xml:space="preserve">Virkning på evnen til at føre motorkøretøj </w:t>
      </w:r>
      <w:r w:rsidR="006B17EE" w:rsidRPr="00F31B64">
        <w:rPr>
          <w:b/>
          <w:noProof/>
          <w:sz w:val="24"/>
          <w:szCs w:val="24"/>
        </w:rPr>
        <w:t>og</w:t>
      </w:r>
      <w:r w:rsidR="006B17EE" w:rsidRPr="00F31B64">
        <w:rPr>
          <w:b/>
          <w:sz w:val="24"/>
          <w:szCs w:val="24"/>
        </w:rPr>
        <w:t xml:space="preserve"> betjene maskiner</w:t>
      </w:r>
      <w:bookmarkEnd w:id="45"/>
    </w:p>
    <w:p w14:paraId="595B0EF4" w14:textId="77777777" w:rsidR="004A1D83" w:rsidRPr="007D67E8" w:rsidRDefault="004A1D83" w:rsidP="003B60E8">
      <w:pPr>
        <w:ind w:left="851"/>
        <w:rPr>
          <w:noProof/>
          <w:sz w:val="24"/>
          <w:szCs w:val="24"/>
        </w:rPr>
      </w:pPr>
      <w:r w:rsidRPr="007D67E8">
        <w:rPr>
          <w:noProof/>
          <w:sz w:val="24"/>
          <w:szCs w:val="24"/>
        </w:rPr>
        <w:t>Ikke mærkning</w:t>
      </w:r>
    </w:p>
    <w:p w14:paraId="155990E4" w14:textId="77777777" w:rsidR="004A1D83" w:rsidRPr="007D67E8" w:rsidRDefault="004A1D83" w:rsidP="003B60E8">
      <w:pPr>
        <w:ind w:left="851"/>
        <w:rPr>
          <w:noProof/>
          <w:sz w:val="24"/>
          <w:szCs w:val="24"/>
        </w:rPr>
      </w:pPr>
    </w:p>
    <w:p w14:paraId="28184409" w14:textId="77777777" w:rsidR="004A1D83" w:rsidRPr="007D67E8" w:rsidRDefault="004A1D83" w:rsidP="003B60E8">
      <w:pPr>
        <w:ind w:left="851"/>
        <w:rPr>
          <w:noProof/>
          <w:sz w:val="24"/>
          <w:szCs w:val="24"/>
        </w:rPr>
      </w:pPr>
      <w:r w:rsidRPr="007D67E8">
        <w:rPr>
          <w:sz w:val="24"/>
          <w:szCs w:val="24"/>
        </w:rPr>
        <w:t xml:space="preserve">Der er ikke foretaget undersøgelser af fluconazols indflydelse på evnen til at føre motorkøretøj eller betjene maskiner. </w:t>
      </w:r>
    </w:p>
    <w:p w14:paraId="45F6D281" w14:textId="77777777" w:rsidR="004A1D83" w:rsidRPr="007D67E8" w:rsidRDefault="004A1D83" w:rsidP="003B60E8">
      <w:pPr>
        <w:ind w:left="851"/>
        <w:rPr>
          <w:noProof/>
          <w:sz w:val="24"/>
          <w:szCs w:val="24"/>
        </w:rPr>
      </w:pPr>
    </w:p>
    <w:p w14:paraId="28F67269" w14:textId="45161D71" w:rsidR="004A1D83" w:rsidRPr="007D67E8" w:rsidRDefault="004A1D83" w:rsidP="003B60E8">
      <w:pPr>
        <w:ind w:left="851"/>
        <w:rPr>
          <w:noProof/>
          <w:sz w:val="24"/>
          <w:szCs w:val="24"/>
        </w:rPr>
      </w:pPr>
      <w:r w:rsidRPr="007D67E8">
        <w:rPr>
          <w:sz w:val="24"/>
          <w:szCs w:val="24"/>
        </w:rPr>
        <w:t xml:space="preserve">Patienterne bør advares om risikoen for svimmelhed og krampeanfald (se pkt. 4.8), når de er i behandling med Fluconazol </w:t>
      </w:r>
      <w:r w:rsidR="00B705BB">
        <w:rPr>
          <w:sz w:val="24"/>
          <w:szCs w:val="24"/>
        </w:rPr>
        <w:t>"Vitabalans"</w:t>
      </w:r>
      <w:r w:rsidRPr="007D67E8">
        <w:rPr>
          <w:sz w:val="24"/>
          <w:szCs w:val="24"/>
        </w:rPr>
        <w:t>, og bør anbefales at undgå at føre motorkøretøj eller betjene maskiner, hvis disse symptomer forekommer.</w:t>
      </w:r>
    </w:p>
    <w:p w14:paraId="208811E3" w14:textId="77777777" w:rsidR="009260DE" w:rsidRPr="007D67E8" w:rsidRDefault="009260DE" w:rsidP="009260DE">
      <w:pPr>
        <w:tabs>
          <w:tab w:val="left" w:pos="851"/>
        </w:tabs>
        <w:ind w:left="851"/>
        <w:rPr>
          <w:sz w:val="24"/>
          <w:szCs w:val="24"/>
        </w:rPr>
      </w:pPr>
    </w:p>
    <w:p w14:paraId="1F22F79A" w14:textId="7FE79635" w:rsidR="009260DE" w:rsidRDefault="009260DE" w:rsidP="009260DE">
      <w:pPr>
        <w:tabs>
          <w:tab w:val="left" w:pos="851"/>
        </w:tabs>
        <w:ind w:left="851" w:hanging="851"/>
        <w:rPr>
          <w:b/>
          <w:sz w:val="24"/>
          <w:szCs w:val="24"/>
        </w:rPr>
      </w:pPr>
      <w:r w:rsidRPr="007D67E8">
        <w:rPr>
          <w:b/>
          <w:sz w:val="24"/>
          <w:szCs w:val="24"/>
        </w:rPr>
        <w:t>4.8</w:t>
      </w:r>
      <w:r w:rsidRPr="007D67E8">
        <w:rPr>
          <w:b/>
          <w:sz w:val="24"/>
          <w:szCs w:val="24"/>
        </w:rPr>
        <w:tab/>
        <w:t>Bivirkninger</w:t>
      </w:r>
    </w:p>
    <w:p w14:paraId="7A994193" w14:textId="77777777" w:rsidR="000F5BDF" w:rsidRPr="007E0722" w:rsidRDefault="000F5BDF" w:rsidP="000F5BDF">
      <w:pPr>
        <w:ind w:left="851"/>
        <w:rPr>
          <w:sz w:val="24"/>
          <w:szCs w:val="22"/>
          <w:u w:val="single"/>
          <w:lang w:val="nb-NO" w:eastAsia="da-DK"/>
        </w:rPr>
      </w:pPr>
      <w:r w:rsidRPr="007E0722">
        <w:rPr>
          <w:szCs w:val="22"/>
          <w:u w:val="single"/>
          <w:lang w:val="nb-NO"/>
        </w:rPr>
        <w:t>Opsummering af sikkerhedsprofilen</w:t>
      </w:r>
    </w:p>
    <w:p w14:paraId="6475A128" w14:textId="77777777" w:rsidR="000F5BDF" w:rsidRDefault="000F5BDF" w:rsidP="000F5BDF">
      <w:pPr>
        <w:ind w:left="851"/>
        <w:rPr>
          <w:szCs w:val="22"/>
          <w:lang w:val="nb-NO"/>
        </w:rPr>
      </w:pPr>
      <w:r>
        <w:rPr>
          <w:szCs w:val="22"/>
          <w:lang w:val="nb-NO"/>
        </w:rPr>
        <w:t>Der er rapporteret om lægemiddelreaktioner med eosinofili og systemiske symptomer (DRESS) i forbindelse med fluconazolbehandling (se pkt. 4.4).</w:t>
      </w:r>
    </w:p>
    <w:p w14:paraId="425CBBB1" w14:textId="77777777" w:rsidR="000F5BDF" w:rsidRPr="007D67E8" w:rsidRDefault="000F5BDF" w:rsidP="009260DE">
      <w:pPr>
        <w:tabs>
          <w:tab w:val="left" w:pos="851"/>
        </w:tabs>
        <w:ind w:left="851" w:hanging="851"/>
        <w:rPr>
          <w:b/>
          <w:sz w:val="24"/>
          <w:szCs w:val="24"/>
        </w:rPr>
      </w:pPr>
    </w:p>
    <w:p w14:paraId="7B638B30" w14:textId="77777777" w:rsidR="000F5BDF" w:rsidRPr="007D67E8" w:rsidRDefault="000F5BDF" w:rsidP="000F5BDF">
      <w:pPr>
        <w:ind w:left="851"/>
        <w:rPr>
          <w:noProof/>
          <w:sz w:val="24"/>
          <w:szCs w:val="24"/>
        </w:rPr>
      </w:pPr>
      <w:r w:rsidRPr="007D67E8">
        <w:rPr>
          <w:sz w:val="24"/>
          <w:szCs w:val="24"/>
        </w:rPr>
        <w:t>De hyppigst (</w:t>
      </w:r>
      <w:r w:rsidRPr="00D042A0">
        <w:rPr>
          <w:sz w:val="24"/>
          <w:szCs w:val="24"/>
        </w:rPr>
        <w:t>≥1/100 til &lt;1/10</w:t>
      </w:r>
      <w:r w:rsidRPr="007D67E8">
        <w:rPr>
          <w:sz w:val="24"/>
          <w:szCs w:val="24"/>
        </w:rPr>
        <w:t>) indberettede bivirkninger er hovedpine, mavesmerter, diarré, kvalme, opkastning, forhøjet alaninaminotransferase, forhøjet aspartataminotransferase, forhøjet alkalisk blodfosfatase, og udslæt.</w:t>
      </w:r>
    </w:p>
    <w:p w14:paraId="7C133305" w14:textId="77777777" w:rsidR="004A1D83" w:rsidRPr="007D67E8" w:rsidRDefault="004A1D83" w:rsidP="003B60E8">
      <w:pPr>
        <w:ind w:left="851"/>
        <w:rPr>
          <w:noProof/>
          <w:sz w:val="24"/>
          <w:szCs w:val="24"/>
        </w:rPr>
      </w:pPr>
    </w:p>
    <w:p w14:paraId="07993411" w14:textId="77777777" w:rsidR="004A1D83" w:rsidRPr="007D67E8" w:rsidRDefault="004A1D83" w:rsidP="003B60E8">
      <w:pPr>
        <w:ind w:left="851"/>
        <w:rPr>
          <w:noProof/>
          <w:sz w:val="24"/>
          <w:szCs w:val="24"/>
        </w:rPr>
      </w:pPr>
      <w:r w:rsidRPr="007D67E8">
        <w:rPr>
          <w:sz w:val="24"/>
          <w:szCs w:val="24"/>
        </w:rPr>
        <w:t>Følgende bivirkninger er observeret og rapporteret under behandling med Fluconazol med følgende hyppighed: Meget almindelig (≥ 1/10) almindelig (≥1/100 til &lt;1/10); ikke almindelig (≥1/1 000 til &lt;1/100); sjælden (≥1/10 000 til &lt;1/1 000) meget sjælden (&lt;1/10 000), ikke kendt (kan ikke beregnes ud fra foreliggende data).</w:t>
      </w:r>
    </w:p>
    <w:p w14:paraId="5E1480E1" w14:textId="77777777" w:rsidR="004A1D83" w:rsidRPr="007D67E8" w:rsidRDefault="004A1D83" w:rsidP="003B60E8">
      <w:pPr>
        <w:ind w:left="851"/>
        <w:rPr>
          <w:noProof/>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089"/>
        <w:gridCol w:w="1787"/>
        <w:gridCol w:w="1883"/>
        <w:gridCol w:w="1912"/>
        <w:gridCol w:w="1951"/>
      </w:tblGrid>
      <w:tr w:rsidR="004A1D83" w:rsidRPr="00D57D18" w14:paraId="5D992694"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10C61A35" w14:textId="77777777" w:rsidR="004A1D83" w:rsidRPr="00D57D18" w:rsidRDefault="004A1D83">
            <w:pPr>
              <w:tabs>
                <w:tab w:val="left" w:pos="1304"/>
              </w:tabs>
              <w:rPr>
                <w:color w:val="000000"/>
                <w:sz w:val="22"/>
                <w:szCs w:val="22"/>
              </w:rPr>
            </w:pPr>
            <w:r w:rsidRPr="00D57D18">
              <w:rPr>
                <w:b/>
                <w:bCs/>
                <w:color w:val="000000"/>
                <w:sz w:val="22"/>
                <w:szCs w:val="22"/>
              </w:rPr>
              <w:t>Systemorganklasse</w:t>
            </w:r>
            <w:r w:rsidRPr="00D57D18">
              <w:rPr>
                <w:color w:val="000000"/>
                <w:sz w:val="22"/>
                <w:szCs w:val="22"/>
              </w:rPr>
              <w:t xml:space="preserve"> </w:t>
            </w:r>
          </w:p>
        </w:tc>
        <w:tc>
          <w:tcPr>
            <w:tcW w:w="950" w:type="pct"/>
            <w:tcBorders>
              <w:top w:val="outset" w:sz="6" w:space="0" w:color="7B7B7B"/>
              <w:left w:val="outset" w:sz="6" w:space="0" w:color="7B7B7B"/>
              <w:bottom w:val="outset" w:sz="6" w:space="0" w:color="7B7B7B"/>
              <w:right w:val="outset" w:sz="6" w:space="0" w:color="7B7B7B"/>
            </w:tcBorders>
            <w:hideMark/>
          </w:tcPr>
          <w:p w14:paraId="1AE8172F" w14:textId="77777777" w:rsidR="004A1D83" w:rsidRPr="00D57D18" w:rsidRDefault="004A1D83">
            <w:pPr>
              <w:tabs>
                <w:tab w:val="left" w:pos="1304"/>
              </w:tabs>
              <w:jc w:val="center"/>
              <w:rPr>
                <w:color w:val="000000"/>
                <w:sz w:val="22"/>
                <w:szCs w:val="22"/>
              </w:rPr>
            </w:pPr>
            <w:r w:rsidRPr="00D57D18">
              <w:rPr>
                <w:b/>
                <w:bCs/>
                <w:color w:val="000000"/>
                <w:sz w:val="22"/>
                <w:szCs w:val="22"/>
              </w:rPr>
              <w:t>Almindelig</w:t>
            </w:r>
            <w:r w:rsidRPr="00D57D18">
              <w:rPr>
                <w:color w:val="000000"/>
                <w:sz w:val="22"/>
                <w:szCs w:val="22"/>
              </w:rPr>
              <w:t xml:space="preserve"> </w:t>
            </w:r>
          </w:p>
        </w:tc>
        <w:tc>
          <w:tcPr>
            <w:tcW w:w="1000" w:type="pct"/>
            <w:tcBorders>
              <w:top w:val="outset" w:sz="6" w:space="0" w:color="7B7B7B"/>
              <w:left w:val="outset" w:sz="6" w:space="0" w:color="7B7B7B"/>
              <w:bottom w:val="outset" w:sz="6" w:space="0" w:color="7B7B7B"/>
              <w:right w:val="outset" w:sz="6" w:space="0" w:color="7B7B7B"/>
            </w:tcBorders>
            <w:hideMark/>
          </w:tcPr>
          <w:p w14:paraId="54CE14D4" w14:textId="77777777" w:rsidR="004A1D83" w:rsidRPr="00D57D18" w:rsidRDefault="004A1D83">
            <w:pPr>
              <w:tabs>
                <w:tab w:val="left" w:pos="1304"/>
              </w:tabs>
              <w:jc w:val="center"/>
              <w:rPr>
                <w:color w:val="000000"/>
                <w:sz w:val="22"/>
                <w:szCs w:val="22"/>
              </w:rPr>
            </w:pPr>
            <w:r w:rsidRPr="00D57D18">
              <w:rPr>
                <w:b/>
                <w:bCs/>
                <w:color w:val="000000"/>
                <w:sz w:val="22"/>
                <w:szCs w:val="22"/>
              </w:rPr>
              <w:t>Ikke almindelig</w:t>
            </w:r>
            <w:r w:rsidRPr="00D57D18">
              <w:rPr>
                <w:color w:val="000000"/>
                <w:sz w:val="22"/>
                <w:szCs w:val="22"/>
              </w:rPr>
              <w:t xml:space="preserve"> </w:t>
            </w:r>
          </w:p>
        </w:tc>
        <w:tc>
          <w:tcPr>
            <w:tcW w:w="1000" w:type="pct"/>
            <w:tcBorders>
              <w:top w:val="outset" w:sz="6" w:space="0" w:color="7B7B7B"/>
              <w:left w:val="outset" w:sz="6" w:space="0" w:color="7B7B7B"/>
              <w:bottom w:val="outset" w:sz="6" w:space="0" w:color="7B7B7B"/>
              <w:right w:val="outset" w:sz="6" w:space="0" w:color="7B7B7B"/>
            </w:tcBorders>
            <w:hideMark/>
          </w:tcPr>
          <w:p w14:paraId="0101F00C" w14:textId="77777777" w:rsidR="004A1D83" w:rsidRPr="00D57D18" w:rsidRDefault="004A1D83">
            <w:pPr>
              <w:tabs>
                <w:tab w:val="left" w:pos="1304"/>
              </w:tabs>
              <w:jc w:val="center"/>
              <w:rPr>
                <w:color w:val="000000"/>
                <w:sz w:val="22"/>
                <w:szCs w:val="22"/>
              </w:rPr>
            </w:pPr>
            <w:r w:rsidRPr="00D57D18">
              <w:rPr>
                <w:b/>
                <w:bCs/>
                <w:color w:val="000000"/>
                <w:sz w:val="22"/>
                <w:szCs w:val="22"/>
              </w:rPr>
              <w:t>Sjælden</w:t>
            </w:r>
            <w:r w:rsidRPr="00D57D18">
              <w:rPr>
                <w:color w:val="000000"/>
                <w:sz w:val="22"/>
                <w:szCs w:val="22"/>
              </w:rPr>
              <w:t xml:space="preserve"> </w:t>
            </w:r>
          </w:p>
        </w:tc>
        <w:tc>
          <w:tcPr>
            <w:tcW w:w="1050" w:type="pct"/>
            <w:tcBorders>
              <w:top w:val="outset" w:sz="6" w:space="0" w:color="7B7B7B"/>
              <w:left w:val="outset" w:sz="6" w:space="0" w:color="7B7B7B"/>
              <w:bottom w:val="outset" w:sz="6" w:space="0" w:color="7B7B7B"/>
              <w:right w:val="outset" w:sz="6" w:space="0" w:color="7B7B7B"/>
            </w:tcBorders>
            <w:hideMark/>
          </w:tcPr>
          <w:p w14:paraId="4262A678" w14:textId="77777777" w:rsidR="004A1D83" w:rsidRPr="00D57D18" w:rsidRDefault="004A1D83">
            <w:pPr>
              <w:tabs>
                <w:tab w:val="left" w:pos="1304"/>
              </w:tabs>
              <w:jc w:val="center"/>
              <w:rPr>
                <w:color w:val="000000"/>
                <w:sz w:val="22"/>
                <w:szCs w:val="22"/>
              </w:rPr>
            </w:pPr>
            <w:r w:rsidRPr="00D57D18">
              <w:rPr>
                <w:b/>
                <w:bCs/>
                <w:color w:val="000000"/>
                <w:sz w:val="22"/>
                <w:szCs w:val="22"/>
              </w:rPr>
              <w:t>Ikke kendt</w:t>
            </w:r>
            <w:r w:rsidRPr="00D57D18">
              <w:rPr>
                <w:color w:val="000000"/>
                <w:sz w:val="22"/>
                <w:szCs w:val="22"/>
              </w:rPr>
              <w:t xml:space="preserve"> </w:t>
            </w:r>
          </w:p>
        </w:tc>
      </w:tr>
      <w:tr w:rsidR="004A1D83" w:rsidRPr="00D57D18" w14:paraId="0FC23143"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5769F107" w14:textId="63770A3A" w:rsidR="004A1D83" w:rsidRPr="00D57D18" w:rsidRDefault="00924BFF">
            <w:pPr>
              <w:tabs>
                <w:tab w:val="left" w:pos="1304"/>
              </w:tabs>
              <w:rPr>
                <w:color w:val="000000"/>
                <w:sz w:val="22"/>
                <w:szCs w:val="22"/>
              </w:rPr>
            </w:pPr>
            <w:r>
              <w:rPr>
                <w:b/>
                <w:bCs/>
                <w:color w:val="000000"/>
                <w:sz w:val="22"/>
                <w:szCs w:val="22"/>
              </w:rPr>
              <w:t>B</w:t>
            </w:r>
            <w:r w:rsidR="004A1D83" w:rsidRPr="00D57D18">
              <w:rPr>
                <w:b/>
                <w:bCs/>
                <w:color w:val="000000"/>
                <w:sz w:val="22"/>
                <w:szCs w:val="22"/>
              </w:rPr>
              <w:t>lod og lymfe</w:t>
            </w:r>
            <w:r>
              <w:rPr>
                <w:b/>
                <w:bCs/>
                <w:color w:val="000000"/>
                <w:sz w:val="22"/>
                <w:szCs w:val="22"/>
              </w:rPr>
              <w:t>system</w:t>
            </w:r>
          </w:p>
        </w:tc>
        <w:tc>
          <w:tcPr>
            <w:tcW w:w="950" w:type="pct"/>
            <w:tcBorders>
              <w:top w:val="outset" w:sz="6" w:space="0" w:color="7B7B7B"/>
              <w:left w:val="outset" w:sz="6" w:space="0" w:color="7B7B7B"/>
              <w:bottom w:val="outset" w:sz="6" w:space="0" w:color="7B7B7B"/>
              <w:right w:val="outset" w:sz="6" w:space="0" w:color="7B7B7B"/>
            </w:tcBorders>
            <w:hideMark/>
          </w:tcPr>
          <w:p w14:paraId="16507DA6" w14:textId="77777777" w:rsidR="004A1D83" w:rsidRPr="00D57D18" w:rsidRDefault="004A1D83">
            <w:pPr>
              <w:rPr>
                <w:color w:val="000000"/>
                <w:sz w:val="22"/>
                <w:szCs w:val="22"/>
              </w:rPr>
            </w:pPr>
          </w:p>
        </w:tc>
        <w:tc>
          <w:tcPr>
            <w:tcW w:w="1000" w:type="pct"/>
            <w:tcBorders>
              <w:top w:val="outset" w:sz="6" w:space="0" w:color="7B7B7B"/>
              <w:left w:val="outset" w:sz="6" w:space="0" w:color="7B7B7B"/>
              <w:bottom w:val="outset" w:sz="6" w:space="0" w:color="7B7B7B"/>
              <w:right w:val="outset" w:sz="6" w:space="0" w:color="7B7B7B"/>
            </w:tcBorders>
            <w:hideMark/>
          </w:tcPr>
          <w:p w14:paraId="28F1168F" w14:textId="77777777" w:rsidR="004A1D83" w:rsidRPr="00D57D18" w:rsidRDefault="004A1D83">
            <w:pPr>
              <w:tabs>
                <w:tab w:val="left" w:pos="1304"/>
              </w:tabs>
              <w:rPr>
                <w:color w:val="000000"/>
                <w:sz w:val="22"/>
                <w:szCs w:val="22"/>
              </w:rPr>
            </w:pPr>
            <w:r w:rsidRPr="00D57D18">
              <w:rPr>
                <w:color w:val="000000"/>
                <w:sz w:val="22"/>
                <w:szCs w:val="22"/>
              </w:rPr>
              <w:t>Anæmi</w:t>
            </w:r>
          </w:p>
        </w:tc>
        <w:tc>
          <w:tcPr>
            <w:tcW w:w="1000" w:type="pct"/>
            <w:tcBorders>
              <w:top w:val="outset" w:sz="6" w:space="0" w:color="7B7B7B"/>
              <w:left w:val="outset" w:sz="6" w:space="0" w:color="7B7B7B"/>
              <w:bottom w:val="outset" w:sz="6" w:space="0" w:color="7B7B7B"/>
              <w:right w:val="outset" w:sz="6" w:space="0" w:color="7B7B7B"/>
            </w:tcBorders>
            <w:hideMark/>
          </w:tcPr>
          <w:p w14:paraId="43FB29D7" w14:textId="77777777" w:rsidR="004A1D83" w:rsidRPr="00D57D18" w:rsidRDefault="004A1D83">
            <w:pPr>
              <w:tabs>
                <w:tab w:val="left" w:pos="1304"/>
              </w:tabs>
              <w:rPr>
                <w:color w:val="000000"/>
                <w:sz w:val="22"/>
                <w:szCs w:val="22"/>
              </w:rPr>
            </w:pPr>
            <w:r w:rsidRPr="00D57D18">
              <w:rPr>
                <w:color w:val="000000"/>
                <w:sz w:val="22"/>
                <w:szCs w:val="22"/>
              </w:rPr>
              <w:t xml:space="preserve">Agranulocytose, leukopeni, trombocytopeni, neutropeni </w:t>
            </w:r>
          </w:p>
        </w:tc>
        <w:tc>
          <w:tcPr>
            <w:tcW w:w="1050" w:type="pct"/>
            <w:tcBorders>
              <w:top w:val="outset" w:sz="6" w:space="0" w:color="7B7B7B"/>
              <w:left w:val="outset" w:sz="6" w:space="0" w:color="7B7B7B"/>
              <w:bottom w:val="outset" w:sz="6" w:space="0" w:color="7B7B7B"/>
              <w:right w:val="outset" w:sz="6" w:space="0" w:color="7B7B7B"/>
            </w:tcBorders>
            <w:hideMark/>
          </w:tcPr>
          <w:p w14:paraId="1580F84C" w14:textId="77777777" w:rsidR="004A1D83" w:rsidRPr="00D57D18" w:rsidRDefault="004A1D83">
            <w:pPr>
              <w:rPr>
                <w:color w:val="000000"/>
                <w:sz w:val="22"/>
                <w:szCs w:val="22"/>
              </w:rPr>
            </w:pPr>
          </w:p>
        </w:tc>
      </w:tr>
      <w:tr w:rsidR="004A1D83" w:rsidRPr="00D57D18" w14:paraId="6BD345DF"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27E88CEA" w14:textId="789DA315" w:rsidR="004A1D83" w:rsidRPr="00D57D18" w:rsidRDefault="00C85A53">
            <w:pPr>
              <w:tabs>
                <w:tab w:val="left" w:pos="1304"/>
              </w:tabs>
              <w:rPr>
                <w:color w:val="000000"/>
                <w:sz w:val="22"/>
                <w:szCs w:val="22"/>
              </w:rPr>
            </w:pPr>
            <w:r>
              <w:rPr>
                <w:b/>
                <w:bCs/>
                <w:color w:val="000000"/>
                <w:sz w:val="22"/>
                <w:szCs w:val="22"/>
              </w:rPr>
              <w:t>I</w:t>
            </w:r>
            <w:r w:rsidR="004A1D83" w:rsidRPr="00D57D18">
              <w:rPr>
                <w:b/>
                <w:bCs/>
                <w:color w:val="000000"/>
                <w:sz w:val="22"/>
                <w:szCs w:val="22"/>
              </w:rPr>
              <w:t>mmunsystemet</w:t>
            </w:r>
          </w:p>
        </w:tc>
        <w:tc>
          <w:tcPr>
            <w:tcW w:w="950" w:type="pct"/>
            <w:tcBorders>
              <w:top w:val="outset" w:sz="6" w:space="0" w:color="7B7B7B"/>
              <w:left w:val="outset" w:sz="6" w:space="0" w:color="7B7B7B"/>
              <w:bottom w:val="outset" w:sz="6" w:space="0" w:color="7B7B7B"/>
              <w:right w:val="outset" w:sz="6" w:space="0" w:color="7B7B7B"/>
            </w:tcBorders>
            <w:hideMark/>
          </w:tcPr>
          <w:p w14:paraId="1F72C1FB" w14:textId="77777777" w:rsidR="004A1D83" w:rsidRPr="00D57D18" w:rsidRDefault="004A1D83">
            <w:pPr>
              <w:rPr>
                <w:color w:val="000000"/>
                <w:sz w:val="22"/>
                <w:szCs w:val="22"/>
              </w:rPr>
            </w:pPr>
          </w:p>
        </w:tc>
        <w:tc>
          <w:tcPr>
            <w:tcW w:w="1000" w:type="pct"/>
            <w:tcBorders>
              <w:top w:val="outset" w:sz="6" w:space="0" w:color="7B7B7B"/>
              <w:left w:val="outset" w:sz="6" w:space="0" w:color="7B7B7B"/>
              <w:bottom w:val="outset" w:sz="6" w:space="0" w:color="7B7B7B"/>
              <w:right w:val="outset" w:sz="6" w:space="0" w:color="7B7B7B"/>
            </w:tcBorders>
            <w:hideMark/>
          </w:tcPr>
          <w:p w14:paraId="10886CEA" w14:textId="77777777" w:rsidR="004A1D83" w:rsidRPr="00D57D18" w:rsidRDefault="004A1D83">
            <w:pPr>
              <w:spacing w:line="276" w:lineRule="auto"/>
              <w:rPr>
                <w:rFonts w:eastAsiaTheme="minorHAnsi"/>
                <w:sz w:val="22"/>
                <w:szCs w:val="22"/>
                <w:lang w:eastAsia="da-DK"/>
              </w:rPr>
            </w:pPr>
          </w:p>
        </w:tc>
        <w:tc>
          <w:tcPr>
            <w:tcW w:w="1000" w:type="pct"/>
            <w:tcBorders>
              <w:top w:val="outset" w:sz="6" w:space="0" w:color="7B7B7B"/>
              <w:left w:val="outset" w:sz="6" w:space="0" w:color="7B7B7B"/>
              <w:bottom w:val="outset" w:sz="6" w:space="0" w:color="7B7B7B"/>
              <w:right w:val="outset" w:sz="6" w:space="0" w:color="7B7B7B"/>
            </w:tcBorders>
            <w:hideMark/>
          </w:tcPr>
          <w:p w14:paraId="5CC6FF5C" w14:textId="77777777" w:rsidR="004A1D83" w:rsidRPr="00D57D18" w:rsidRDefault="004A1D83">
            <w:pPr>
              <w:tabs>
                <w:tab w:val="left" w:pos="1304"/>
              </w:tabs>
              <w:rPr>
                <w:color w:val="000000"/>
                <w:sz w:val="22"/>
                <w:szCs w:val="22"/>
              </w:rPr>
            </w:pPr>
            <w:r w:rsidRPr="00D57D18">
              <w:rPr>
                <w:color w:val="000000"/>
                <w:sz w:val="22"/>
                <w:szCs w:val="22"/>
              </w:rPr>
              <w:t>Anafylaksi.</w:t>
            </w:r>
          </w:p>
        </w:tc>
        <w:tc>
          <w:tcPr>
            <w:tcW w:w="1050" w:type="pct"/>
            <w:tcBorders>
              <w:top w:val="outset" w:sz="6" w:space="0" w:color="7B7B7B"/>
              <w:left w:val="outset" w:sz="6" w:space="0" w:color="7B7B7B"/>
              <w:bottom w:val="outset" w:sz="6" w:space="0" w:color="7B7B7B"/>
              <w:right w:val="outset" w:sz="6" w:space="0" w:color="7B7B7B"/>
            </w:tcBorders>
            <w:hideMark/>
          </w:tcPr>
          <w:p w14:paraId="593F48A8" w14:textId="77777777" w:rsidR="004A1D83" w:rsidRPr="00D57D18" w:rsidRDefault="004A1D83">
            <w:pPr>
              <w:rPr>
                <w:color w:val="000000"/>
                <w:sz w:val="22"/>
                <w:szCs w:val="22"/>
              </w:rPr>
            </w:pPr>
          </w:p>
        </w:tc>
      </w:tr>
      <w:tr w:rsidR="004A1D83" w:rsidRPr="00D57D18" w14:paraId="77E8F2AE"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232C6AFC" w14:textId="3F7585E5" w:rsidR="004A1D83" w:rsidRPr="00D57D18" w:rsidRDefault="004A1D83">
            <w:pPr>
              <w:tabs>
                <w:tab w:val="left" w:pos="1304"/>
              </w:tabs>
              <w:rPr>
                <w:color w:val="000000"/>
                <w:sz w:val="22"/>
                <w:szCs w:val="22"/>
              </w:rPr>
            </w:pPr>
            <w:r w:rsidRPr="00D57D18">
              <w:rPr>
                <w:b/>
                <w:bCs/>
                <w:color w:val="000000"/>
                <w:sz w:val="22"/>
                <w:szCs w:val="22"/>
              </w:rPr>
              <w:t>Metabolis</w:t>
            </w:r>
            <w:r w:rsidR="00C85A53">
              <w:rPr>
                <w:b/>
                <w:bCs/>
                <w:color w:val="000000"/>
                <w:sz w:val="22"/>
                <w:szCs w:val="22"/>
              </w:rPr>
              <w:t>me og er</w:t>
            </w:r>
            <w:r w:rsidRPr="00D57D18">
              <w:rPr>
                <w:b/>
                <w:bCs/>
                <w:color w:val="000000"/>
                <w:sz w:val="22"/>
                <w:szCs w:val="22"/>
              </w:rPr>
              <w:t>næring</w:t>
            </w:r>
          </w:p>
        </w:tc>
        <w:tc>
          <w:tcPr>
            <w:tcW w:w="950" w:type="pct"/>
            <w:tcBorders>
              <w:top w:val="outset" w:sz="6" w:space="0" w:color="7B7B7B"/>
              <w:left w:val="outset" w:sz="6" w:space="0" w:color="7B7B7B"/>
              <w:bottom w:val="outset" w:sz="6" w:space="0" w:color="7B7B7B"/>
              <w:right w:val="outset" w:sz="6" w:space="0" w:color="7B7B7B"/>
            </w:tcBorders>
            <w:hideMark/>
          </w:tcPr>
          <w:p w14:paraId="7A10F978" w14:textId="77777777" w:rsidR="004A1D83" w:rsidRPr="00D57D18" w:rsidRDefault="004A1D83">
            <w:pPr>
              <w:rPr>
                <w:color w:val="000000"/>
                <w:sz w:val="22"/>
                <w:szCs w:val="22"/>
              </w:rPr>
            </w:pPr>
          </w:p>
        </w:tc>
        <w:tc>
          <w:tcPr>
            <w:tcW w:w="1000" w:type="pct"/>
            <w:tcBorders>
              <w:top w:val="outset" w:sz="6" w:space="0" w:color="7B7B7B"/>
              <w:left w:val="outset" w:sz="6" w:space="0" w:color="7B7B7B"/>
              <w:bottom w:val="outset" w:sz="6" w:space="0" w:color="7B7B7B"/>
              <w:right w:val="outset" w:sz="6" w:space="0" w:color="7B7B7B"/>
            </w:tcBorders>
            <w:hideMark/>
          </w:tcPr>
          <w:p w14:paraId="783F6C13" w14:textId="77777777" w:rsidR="004A1D83" w:rsidRPr="00D57D18" w:rsidRDefault="004A1D83">
            <w:pPr>
              <w:tabs>
                <w:tab w:val="left" w:pos="1304"/>
              </w:tabs>
              <w:rPr>
                <w:color w:val="000000"/>
                <w:sz w:val="22"/>
                <w:szCs w:val="22"/>
              </w:rPr>
            </w:pPr>
            <w:r w:rsidRPr="00D57D18">
              <w:rPr>
                <w:color w:val="000000"/>
                <w:sz w:val="22"/>
                <w:szCs w:val="22"/>
              </w:rPr>
              <w:t>Nedsat appetit</w:t>
            </w:r>
          </w:p>
        </w:tc>
        <w:tc>
          <w:tcPr>
            <w:tcW w:w="1000" w:type="pct"/>
            <w:tcBorders>
              <w:top w:val="outset" w:sz="6" w:space="0" w:color="7B7B7B"/>
              <w:left w:val="outset" w:sz="6" w:space="0" w:color="7B7B7B"/>
              <w:bottom w:val="outset" w:sz="6" w:space="0" w:color="7B7B7B"/>
              <w:right w:val="outset" w:sz="6" w:space="0" w:color="7B7B7B"/>
            </w:tcBorders>
            <w:hideMark/>
          </w:tcPr>
          <w:p w14:paraId="3421FBEE" w14:textId="77777777" w:rsidR="004A1D83" w:rsidRPr="00D57D18" w:rsidRDefault="004A1D83">
            <w:pPr>
              <w:tabs>
                <w:tab w:val="left" w:pos="1304"/>
              </w:tabs>
              <w:rPr>
                <w:color w:val="000000"/>
                <w:sz w:val="22"/>
                <w:szCs w:val="22"/>
              </w:rPr>
            </w:pPr>
            <w:r w:rsidRPr="00D57D18">
              <w:rPr>
                <w:color w:val="000000"/>
                <w:sz w:val="22"/>
                <w:szCs w:val="22"/>
              </w:rPr>
              <w:t xml:space="preserve">Hyperkolesterolæmi, hypertriglyceridæmi, hypokaliæmi </w:t>
            </w:r>
          </w:p>
        </w:tc>
        <w:tc>
          <w:tcPr>
            <w:tcW w:w="1050" w:type="pct"/>
            <w:tcBorders>
              <w:top w:val="outset" w:sz="6" w:space="0" w:color="7B7B7B"/>
              <w:left w:val="outset" w:sz="6" w:space="0" w:color="7B7B7B"/>
              <w:bottom w:val="outset" w:sz="6" w:space="0" w:color="7B7B7B"/>
              <w:right w:val="outset" w:sz="6" w:space="0" w:color="7B7B7B"/>
            </w:tcBorders>
            <w:hideMark/>
          </w:tcPr>
          <w:p w14:paraId="16CAAA03" w14:textId="77777777" w:rsidR="004A1D83" w:rsidRPr="00D57D18" w:rsidRDefault="004A1D83">
            <w:pPr>
              <w:rPr>
                <w:color w:val="000000"/>
                <w:sz w:val="22"/>
                <w:szCs w:val="22"/>
              </w:rPr>
            </w:pPr>
          </w:p>
        </w:tc>
      </w:tr>
      <w:tr w:rsidR="004A1D83" w:rsidRPr="00D57D18" w14:paraId="6C6EBAA0"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3EB2E2E4" w14:textId="1805470B" w:rsidR="004A1D83" w:rsidRPr="00D57D18" w:rsidRDefault="004A1D83">
            <w:pPr>
              <w:tabs>
                <w:tab w:val="left" w:pos="1304"/>
              </w:tabs>
              <w:rPr>
                <w:color w:val="000000"/>
                <w:sz w:val="22"/>
                <w:szCs w:val="22"/>
              </w:rPr>
            </w:pPr>
            <w:r w:rsidRPr="00D57D18">
              <w:rPr>
                <w:b/>
                <w:bCs/>
                <w:color w:val="000000"/>
                <w:sz w:val="22"/>
                <w:szCs w:val="22"/>
              </w:rPr>
              <w:t>Psyki</w:t>
            </w:r>
            <w:r w:rsidR="00C85A53">
              <w:rPr>
                <w:b/>
                <w:bCs/>
                <w:color w:val="000000"/>
                <w:sz w:val="22"/>
                <w:szCs w:val="22"/>
              </w:rPr>
              <w:t>ske forstyrrelser</w:t>
            </w:r>
          </w:p>
        </w:tc>
        <w:tc>
          <w:tcPr>
            <w:tcW w:w="950" w:type="pct"/>
            <w:tcBorders>
              <w:top w:val="outset" w:sz="6" w:space="0" w:color="7B7B7B"/>
              <w:left w:val="outset" w:sz="6" w:space="0" w:color="7B7B7B"/>
              <w:bottom w:val="outset" w:sz="6" w:space="0" w:color="7B7B7B"/>
              <w:right w:val="outset" w:sz="6" w:space="0" w:color="7B7B7B"/>
            </w:tcBorders>
            <w:hideMark/>
          </w:tcPr>
          <w:p w14:paraId="6FB70B09" w14:textId="77777777" w:rsidR="004A1D83" w:rsidRPr="00D57D18" w:rsidRDefault="004A1D83">
            <w:pPr>
              <w:rPr>
                <w:color w:val="000000"/>
                <w:sz w:val="22"/>
                <w:szCs w:val="22"/>
              </w:rPr>
            </w:pPr>
          </w:p>
        </w:tc>
        <w:tc>
          <w:tcPr>
            <w:tcW w:w="1000" w:type="pct"/>
            <w:tcBorders>
              <w:top w:val="outset" w:sz="6" w:space="0" w:color="7B7B7B"/>
              <w:left w:val="outset" w:sz="6" w:space="0" w:color="7B7B7B"/>
              <w:bottom w:val="outset" w:sz="6" w:space="0" w:color="7B7B7B"/>
              <w:right w:val="outset" w:sz="6" w:space="0" w:color="7B7B7B"/>
            </w:tcBorders>
            <w:hideMark/>
          </w:tcPr>
          <w:p w14:paraId="5C2F39AD" w14:textId="77777777" w:rsidR="004A1D83" w:rsidRPr="00D57D18" w:rsidRDefault="004A1D83">
            <w:pPr>
              <w:tabs>
                <w:tab w:val="left" w:pos="1304"/>
              </w:tabs>
              <w:rPr>
                <w:color w:val="000000"/>
                <w:sz w:val="22"/>
                <w:szCs w:val="22"/>
              </w:rPr>
            </w:pPr>
            <w:r w:rsidRPr="00D57D18">
              <w:rPr>
                <w:color w:val="000000"/>
                <w:sz w:val="22"/>
                <w:szCs w:val="22"/>
              </w:rPr>
              <w:t xml:space="preserve">Somnolens, søvnløshed </w:t>
            </w:r>
          </w:p>
        </w:tc>
        <w:tc>
          <w:tcPr>
            <w:tcW w:w="1000" w:type="pct"/>
            <w:tcBorders>
              <w:top w:val="outset" w:sz="6" w:space="0" w:color="7B7B7B"/>
              <w:left w:val="outset" w:sz="6" w:space="0" w:color="7B7B7B"/>
              <w:bottom w:val="outset" w:sz="6" w:space="0" w:color="7B7B7B"/>
              <w:right w:val="outset" w:sz="6" w:space="0" w:color="7B7B7B"/>
            </w:tcBorders>
            <w:hideMark/>
          </w:tcPr>
          <w:p w14:paraId="1AC480C9" w14:textId="77777777" w:rsidR="004A1D83" w:rsidRPr="00D57D18" w:rsidRDefault="004A1D83">
            <w:pPr>
              <w:rPr>
                <w:color w:val="000000"/>
                <w:sz w:val="22"/>
                <w:szCs w:val="22"/>
              </w:rPr>
            </w:pPr>
          </w:p>
        </w:tc>
        <w:tc>
          <w:tcPr>
            <w:tcW w:w="1050" w:type="pct"/>
            <w:tcBorders>
              <w:top w:val="outset" w:sz="6" w:space="0" w:color="7B7B7B"/>
              <w:left w:val="outset" w:sz="6" w:space="0" w:color="7B7B7B"/>
              <w:bottom w:val="outset" w:sz="6" w:space="0" w:color="7B7B7B"/>
              <w:right w:val="outset" w:sz="6" w:space="0" w:color="7B7B7B"/>
            </w:tcBorders>
            <w:hideMark/>
          </w:tcPr>
          <w:p w14:paraId="7F8D57D0" w14:textId="77777777" w:rsidR="004A1D83" w:rsidRPr="00D57D18" w:rsidRDefault="004A1D83">
            <w:pPr>
              <w:spacing w:line="276" w:lineRule="auto"/>
              <w:rPr>
                <w:rFonts w:eastAsiaTheme="minorHAnsi"/>
                <w:sz w:val="22"/>
                <w:szCs w:val="22"/>
                <w:lang w:eastAsia="da-DK"/>
              </w:rPr>
            </w:pPr>
          </w:p>
        </w:tc>
      </w:tr>
      <w:tr w:rsidR="004A1D83" w:rsidRPr="00D57D18" w14:paraId="272982D8"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6EFA73E6" w14:textId="65D1AEA0" w:rsidR="004A1D83" w:rsidRPr="00D57D18" w:rsidRDefault="00C85A53">
            <w:pPr>
              <w:tabs>
                <w:tab w:val="left" w:pos="1304"/>
              </w:tabs>
              <w:rPr>
                <w:color w:val="000000"/>
                <w:sz w:val="22"/>
                <w:szCs w:val="22"/>
              </w:rPr>
            </w:pPr>
            <w:r>
              <w:rPr>
                <w:b/>
                <w:bCs/>
                <w:color w:val="000000"/>
                <w:sz w:val="22"/>
                <w:szCs w:val="22"/>
              </w:rPr>
              <w:t>N</w:t>
            </w:r>
            <w:r w:rsidR="004A1D83" w:rsidRPr="00D57D18">
              <w:rPr>
                <w:b/>
                <w:bCs/>
                <w:color w:val="000000"/>
                <w:sz w:val="22"/>
                <w:szCs w:val="22"/>
              </w:rPr>
              <w:t>ervesystem</w:t>
            </w:r>
            <w:r>
              <w:rPr>
                <w:b/>
                <w:bCs/>
                <w:color w:val="000000"/>
                <w:sz w:val="22"/>
                <w:szCs w:val="22"/>
              </w:rPr>
              <w:t>et</w:t>
            </w:r>
          </w:p>
        </w:tc>
        <w:tc>
          <w:tcPr>
            <w:tcW w:w="950" w:type="pct"/>
            <w:tcBorders>
              <w:top w:val="outset" w:sz="6" w:space="0" w:color="7B7B7B"/>
              <w:left w:val="outset" w:sz="6" w:space="0" w:color="7B7B7B"/>
              <w:bottom w:val="outset" w:sz="6" w:space="0" w:color="7B7B7B"/>
              <w:right w:val="outset" w:sz="6" w:space="0" w:color="7B7B7B"/>
            </w:tcBorders>
            <w:hideMark/>
          </w:tcPr>
          <w:p w14:paraId="193D2E6D" w14:textId="77777777" w:rsidR="004A1D83" w:rsidRPr="00D57D18" w:rsidRDefault="004A1D83">
            <w:pPr>
              <w:tabs>
                <w:tab w:val="left" w:pos="1304"/>
              </w:tabs>
              <w:rPr>
                <w:color w:val="000000"/>
                <w:sz w:val="22"/>
                <w:szCs w:val="22"/>
              </w:rPr>
            </w:pPr>
            <w:r w:rsidRPr="00D57D18">
              <w:rPr>
                <w:color w:val="000000"/>
                <w:sz w:val="22"/>
                <w:szCs w:val="22"/>
              </w:rPr>
              <w:t>Hovedpine</w:t>
            </w:r>
          </w:p>
        </w:tc>
        <w:tc>
          <w:tcPr>
            <w:tcW w:w="1000" w:type="pct"/>
            <w:tcBorders>
              <w:top w:val="outset" w:sz="6" w:space="0" w:color="7B7B7B"/>
              <w:left w:val="outset" w:sz="6" w:space="0" w:color="7B7B7B"/>
              <w:bottom w:val="outset" w:sz="6" w:space="0" w:color="7B7B7B"/>
              <w:right w:val="outset" w:sz="6" w:space="0" w:color="7B7B7B"/>
            </w:tcBorders>
            <w:hideMark/>
          </w:tcPr>
          <w:p w14:paraId="5B2AC66A" w14:textId="77777777" w:rsidR="004A1D83" w:rsidRPr="00D57D18" w:rsidRDefault="004A1D83">
            <w:pPr>
              <w:tabs>
                <w:tab w:val="left" w:pos="1304"/>
              </w:tabs>
              <w:rPr>
                <w:color w:val="000000"/>
                <w:sz w:val="22"/>
                <w:szCs w:val="22"/>
              </w:rPr>
            </w:pPr>
            <w:r w:rsidRPr="00D57D18">
              <w:rPr>
                <w:color w:val="000000"/>
                <w:sz w:val="22"/>
                <w:szCs w:val="22"/>
              </w:rPr>
              <w:t xml:space="preserve">Krampeanfald, paræstesi, </w:t>
            </w:r>
            <w:r w:rsidRPr="00D57D18">
              <w:rPr>
                <w:color w:val="000000"/>
                <w:sz w:val="22"/>
                <w:szCs w:val="22"/>
              </w:rPr>
              <w:lastRenderedPageBreak/>
              <w:t>svimmelhed, smagsforvrængning</w:t>
            </w:r>
          </w:p>
        </w:tc>
        <w:tc>
          <w:tcPr>
            <w:tcW w:w="1000" w:type="pct"/>
            <w:tcBorders>
              <w:top w:val="outset" w:sz="6" w:space="0" w:color="7B7B7B"/>
              <w:left w:val="outset" w:sz="6" w:space="0" w:color="7B7B7B"/>
              <w:bottom w:val="outset" w:sz="6" w:space="0" w:color="7B7B7B"/>
              <w:right w:val="outset" w:sz="6" w:space="0" w:color="7B7B7B"/>
            </w:tcBorders>
            <w:hideMark/>
          </w:tcPr>
          <w:p w14:paraId="130AC0E7" w14:textId="77777777" w:rsidR="004A1D83" w:rsidRPr="00D57D18" w:rsidRDefault="004A1D83">
            <w:pPr>
              <w:tabs>
                <w:tab w:val="left" w:pos="1304"/>
              </w:tabs>
              <w:rPr>
                <w:color w:val="000000"/>
                <w:sz w:val="22"/>
                <w:szCs w:val="22"/>
              </w:rPr>
            </w:pPr>
            <w:r w:rsidRPr="00D57D18">
              <w:rPr>
                <w:color w:val="000000"/>
                <w:sz w:val="22"/>
                <w:szCs w:val="22"/>
              </w:rPr>
              <w:lastRenderedPageBreak/>
              <w:t>Tremor</w:t>
            </w:r>
          </w:p>
        </w:tc>
        <w:tc>
          <w:tcPr>
            <w:tcW w:w="1050" w:type="pct"/>
            <w:tcBorders>
              <w:top w:val="outset" w:sz="6" w:space="0" w:color="7B7B7B"/>
              <w:left w:val="outset" w:sz="6" w:space="0" w:color="7B7B7B"/>
              <w:bottom w:val="outset" w:sz="6" w:space="0" w:color="7B7B7B"/>
              <w:right w:val="outset" w:sz="6" w:space="0" w:color="7B7B7B"/>
            </w:tcBorders>
            <w:hideMark/>
          </w:tcPr>
          <w:p w14:paraId="1E972314" w14:textId="77777777" w:rsidR="004A1D83" w:rsidRPr="00D57D18" w:rsidRDefault="004A1D83">
            <w:pPr>
              <w:rPr>
                <w:color w:val="000000"/>
                <w:sz w:val="22"/>
                <w:szCs w:val="22"/>
              </w:rPr>
            </w:pPr>
          </w:p>
        </w:tc>
      </w:tr>
      <w:tr w:rsidR="004A1D83" w:rsidRPr="00D57D18" w14:paraId="0CA62F8C"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7E8D645E" w14:textId="00BC6A65" w:rsidR="004A1D83" w:rsidRPr="00D57D18" w:rsidRDefault="00F02756">
            <w:pPr>
              <w:tabs>
                <w:tab w:val="left" w:pos="1304"/>
              </w:tabs>
              <w:rPr>
                <w:color w:val="000000"/>
                <w:sz w:val="22"/>
                <w:szCs w:val="22"/>
              </w:rPr>
            </w:pPr>
            <w:r>
              <w:rPr>
                <w:b/>
                <w:bCs/>
                <w:color w:val="000000"/>
                <w:sz w:val="22"/>
                <w:szCs w:val="22"/>
              </w:rPr>
              <w:t>Øre og labyrint</w:t>
            </w:r>
          </w:p>
        </w:tc>
        <w:tc>
          <w:tcPr>
            <w:tcW w:w="950" w:type="pct"/>
            <w:tcBorders>
              <w:top w:val="outset" w:sz="6" w:space="0" w:color="7B7B7B"/>
              <w:left w:val="outset" w:sz="6" w:space="0" w:color="7B7B7B"/>
              <w:bottom w:val="outset" w:sz="6" w:space="0" w:color="7B7B7B"/>
              <w:right w:val="outset" w:sz="6" w:space="0" w:color="7B7B7B"/>
            </w:tcBorders>
            <w:hideMark/>
          </w:tcPr>
          <w:p w14:paraId="11506A6E" w14:textId="77777777" w:rsidR="004A1D83" w:rsidRPr="00D57D18" w:rsidRDefault="004A1D83">
            <w:pPr>
              <w:rPr>
                <w:color w:val="000000"/>
                <w:sz w:val="22"/>
                <w:szCs w:val="22"/>
              </w:rPr>
            </w:pPr>
          </w:p>
        </w:tc>
        <w:tc>
          <w:tcPr>
            <w:tcW w:w="1000" w:type="pct"/>
            <w:tcBorders>
              <w:top w:val="outset" w:sz="6" w:space="0" w:color="7B7B7B"/>
              <w:left w:val="outset" w:sz="6" w:space="0" w:color="7B7B7B"/>
              <w:bottom w:val="outset" w:sz="6" w:space="0" w:color="7B7B7B"/>
              <w:right w:val="outset" w:sz="6" w:space="0" w:color="7B7B7B"/>
            </w:tcBorders>
            <w:hideMark/>
          </w:tcPr>
          <w:p w14:paraId="550FB03D" w14:textId="77777777" w:rsidR="004A1D83" w:rsidRPr="00D57D18" w:rsidRDefault="004A1D83">
            <w:pPr>
              <w:tabs>
                <w:tab w:val="left" w:pos="1304"/>
              </w:tabs>
              <w:rPr>
                <w:color w:val="000000"/>
                <w:sz w:val="22"/>
                <w:szCs w:val="22"/>
              </w:rPr>
            </w:pPr>
            <w:r w:rsidRPr="00D57D18">
              <w:rPr>
                <w:color w:val="000000"/>
                <w:sz w:val="22"/>
                <w:szCs w:val="22"/>
              </w:rPr>
              <w:t>Vertigo</w:t>
            </w:r>
          </w:p>
        </w:tc>
        <w:tc>
          <w:tcPr>
            <w:tcW w:w="1000" w:type="pct"/>
            <w:tcBorders>
              <w:top w:val="outset" w:sz="6" w:space="0" w:color="7B7B7B"/>
              <w:left w:val="outset" w:sz="6" w:space="0" w:color="7B7B7B"/>
              <w:bottom w:val="outset" w:sz="6" w:space="0" w:color="7B7B7B"/>
              <w:right w:val="outset" w:sz="6" w:space="0" w:color="7B7B7B"/>
            </w:tcBorders>
            <w:hideMark/>
          </w:tcPr>
          <w:p w14:paraId="55E8E96D" w14:textId="77777777" w:rsidR="004A1D83" w:rsidRPr="00D57D18" w:rsidRDefault="004A1D83">
            <w:pPr>
              <w:rPr>
                <w:color w:val="000000"/>
                <w:sz w:val="22"/>
                <w:szCs w:val="22"/>
              </w:rPr>
            </w:pPr>
          </w:p>
        </w:tc>
        <w:tc>
          <w:tcPr>
            <w:tcW w:w="1050" w:type="pct"/>
            <w:tcBorders>
              <w:top w:val="outset" w:sz="6" w:space="0" w:color="7B7B7B"/>
              <w:left w:val="outset" w:sz="6" w:space="0" w:color="7B7B7B"/>
              <w:bottom w:val="outset" w:sz="6" w:space="0" w:color="7B7B7B"/>
              <w:right w:val="outset" w:sz="6" w:space="0" w:color="7B7B7B"/>
            </w:tcBorders>
            <w:hideMark/>
          </w:tcPr>
          <w:p w14:paraId="634FEF8F" w14:textId="77777777" w:rsidR="004A1D83" w:rsidRPr="00D57D18" w:rsidRDefault="004A1D83">
            <w:pPr>
              <w:spacing w:line="276" w:lineRule="auto"/>
              <w:rPr>
                <w:rFonts w:eastAsiaTheme="minorHAnsi"/>
                <w:sz w:val="22"/>
                <w:szCs w:val="22"/>
                <w:lang w:eastAsia="da-DK"/>
              </w:rPr>
            </w:pPr>
          </w:p>
        </w:tc>
      </w:tr>
      <w:tr w:rsidR="004A1D83" w:rsidRPr="00D57D18" w14:paraId="6E35B0C1"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5E7AC53B" w14:textId="5298E050" w:rsidR="004A1D83" w:rsidRPr="00D57D18" w:rsidRDefault="004529F8">
            <w:pPr>
              <w:tabs>
                <w:tab w:val="left" w:pos="1304"/>
              </w:tabs>
              <w:rPr>
                <w:color w:val="000000"/>
                <w:sz w:val="22"/>
                <w:szCs w:val="22"/>
              </w:rPr>
            </w:pPr>
            <w:r>
              <w:rPr>
                <w:b/>
                <w:bCs/>
                <w:color w:val="000000"/>
                <w:sz w:val="22"/>
                <w:szCs w:val="22"/>
              </w:rPr>
              <w:t>Hjerte</w:t>
            </w:r>
          </w:p>
        </w:tc>
        <w:tc>
          <w:tcPr>
            <w:tcW w:w="950" w:type="pct"/>
            <w:tcBorders>
              <w:top w:val="outset" w:sz="6" w:space="0" w:color="7B7B7B"/>
              <w:left w:val="outset" w:sz="6" w:space="0" w:color="7B7B7B"/>
              <w:bottom w:val="outset" w:sz="6" w:space="0" w:color="7B7B7B"/>
              <w:right w:val="outset" w:sz="6" w:space="0" w:color="7B7B7B"/>
            </w:tcBorders>
            <w:hideMark/>
          </w:tcPr>
          <w:p w14:paraId="26ED4B31" w14:textId="77777777" w:rsidR="004A1D83" w:rsidRPr="00D57D18" w:rsidRDefault="004A1D83">
            <w:pPr>
              <w:rPr>
                <w:color w:val="000000"/>
                <w:sz w:val="22"/>
                <w:szCs w:val="22"/>
              </w:rPr>
            </w:pPr>
          </w:p>
        </w:tc>
        <w:tc>
          <w:tcPr>
            <w:tcW w:w="1000" w:type="pct"/>
            <w:tcBorders>
              <w:top w:val="outset" w:sz="6" w:space="0" w:color="7B7B7B"/>
              <w:left w:val="outset" w:sz="6" w:space="0" w:color="7B7B7B"/>
              <w:bottom w:val="outset" w:sz="6" w:space="0" w:color="7B7B7B"/>
              <w:right w:val="outset" w:sz="6" w:space="0" w:color="7B7B7B"/>
            </w:tcBorders>
            <w:hideMark/>
          </w:tcPr>
          <w:p w14:paraId="786A59B5" w14:textId="77777777" w:rsidR="004A1D83" w:rsidRPr="00D57D18" w:rsidRDefault="004A1D83">
            <w:pPr>
              <w:spacing w:line="276" w:lineRule="auto"/>
              <w:rPr>
                <w:rFonts w:eastAsiaTheme="minorHAnsi"/>
                <w:sz w:val="22"/>
                <w:szCs w:val="22"/>
                <w:lang w:eastAsia="da-DK"/>
              </w:rPr>
            </w:pPr>
          </w:p>
        </w:tc>
        <w:tc>
          <w:tcPr>
            <w:tcW w:w="1000" w:type="pct"/>
            <w:tcBorders>
              <w:top w:val="outset" w:sz="6" w:space="0" w:color="7B7B7B"/>
              <w:left w:val="outset" w:sz="6" w:space="0" w:color="7B7B7B"/>
              <w:bottom w:val="outset" w:sz="6" w:space="0" w:color="7B7B7B"/>
              <w:right w:val="outset" w:sz="6" w:space="0" w:color="7B7B7B"/>
            </w:tcBorders>
            <w:hideMark/>
          </w:tcPr>
          <w:p w14:paraId="23007CD3" w14:textId="415C03B9" w:rsidR="004A1D83" w:rsidRPr="00D57D18" w:rsidRDefault="004A1D83">
            <w:pPr>
              <w:tabs>
                <w:tab w:val="left" w:pos="1304"/>
              </w:tabs>
              <w:rPr>
                <w:color w:val="000000"/>
                <w:sz w:val="22"/>
                <w:szCs w:val="22"/>
              </w:rPr>
            </w:pPr>
            <w:r w:rsidRPr="00D57D18">
              <w:rPr>
                <w:i/>
                <w:color w:val="000000"/>
                <w:sz w:val="22"/>
                <w:szCs w:val="22"/>
              </w:rPr>
              <w:t>Torsade de pointes</w:t>
            </w:r>
            <w:r w:rsidRPr="00D57D18">
              <w:rPr>
                <w:color w:val="000000"/>
                <w:sz w:val="22"/>
                <w:szCs w:val="22"/>
              </w:rPr>
              <w:t xml:space="preserve"> (se pkt.</w:t>
            </w:r>
            <w:r w:rsidR="00F019D7">
              <w:rPr>
                <w:color w:val="000000"/>
                <w:sz w:val="22"/>
                <w:szCs w:val="22"/>
              </w:rPr>
              <w:t xml:space="preserve"> </w:t>
            </w:r>
            <w:r w:rsidRPr="00D57D18">
              <w:rPr>
                <w:color w:val="000000"/>
                <w:sz w:val="22"/>
                <w:szCs w:val="22"/>
              </w:rPr>
              <w:t>4.4), QT-forlængelse (se pkt.</w:t>
            </w:r>
            <w:r w:rsidR="00F019D7">
              <w:rPr>
                <w:color w:val="000000"/>
                <w:sz w:val="22"/>
                <w:szCs w:val="22"/>
              </w:rPr>
              <w:t xml:space="preserve"> </w:t>
            </w:r>
            <w:r w:rsidRPr="00D57D18">
              <w:rPr>
                <w:color w:val="000000"/>
                <w:sz w:val="22"/>
                <w:szCs w:val="22"/>
              </w:rPr>
              <w:t>4.4)</w:t>
            </w:r>
          </w:p>
        </w:tc>
        <w:tc>
          <w:tcPr>
            <w:tcW w:w="1050" w:type="pct"/>
            <w:tcBorders>
              <w:top w:val="outset" w:sz="6" w:space="0" w:color="7B7B7B"/>
              <w:left w:val="outset" w:sz="6" w:space="0" w:color="7B7B7B"/>
              <w:bottom w:val="outset" w:sz="6" w:space="0" w:color="7B7B7B"/>
              <w:right w:val="outset" w:sz="6" w:space="0" w:color="7B7B7B"/>
            </w:tcBorders>
            <w:hideMark/>
          </w:tcPr>
          <w:p w14:paraId="64C17F18" w14:textId="77777777" w:rsidR="004A1D83" w:rsidRPr="00D57D18" w:rsidRDefault="004A1D83">
            <w:pPr>
              <w:rPr>
                <w:color w:val="000000"/>
                <w:sz w:val="22"/>
                <w:szCs w:val="22"/>
              </w:rPr>
            </w:pPr>
          </w:p>
        </w:tc>
      </w:tr>
      <w:tr w:rsidR="004A1D83" w:rsidRPr="00D57D18" w14:paraId="2CEB3109"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1CCAD1AE" w14:textId="3F7BB67D" w:rsidR="004A1D83" w:rsidRPr="00D57D18" w:rsidRDefault="00F02756">
            <w:pPr>
              <w:tabs>
                <w:tab w:val="left" w:pos="1304"/>
              </w:tabs>
              <w:rPr>
                <w:color w:val="000000"/>
                <w:sz w:val="22"/>
                <w:szCs w:val="22"/>
              </w:rPr>
            </w:pPr>
            <w:r>
              <w:rPr>
                <w:b/>
                <w:bCs/>
                <w:color w:val="000000"/>
                <w:sz w:val="22"/>
                <w:szCs w:val="22"/>
              </w:rPr>
              <w:t>Mave-tarm-kanalen</w:t>
            </w:r>
          </w:p>
        </w:tc>
        <w:tc>
          <w:tcPr>
            <w:tcW w:w="950" w:type="pct"/>
            <w:tcBorders>
              <w:top w:val="outset" w:sz="6" w:space="0" w:color="7B7B7B"/>
              <w:left w:val="outset" w:sz="6" w:space="0" w:color="7B7B7B"/>
              <w:bottom w:val="outset" w:sz="6" w:space="0" w:color="7B7B7B"/>
              <w:right w:val="outset" w:sz="6" w:space="0" w:color="7B7B7B"/>
            </w:tcBorders>
            <w:hideMark/>
          </w:tcPr>
          <w:p w14:paraId="2BDAB38A" w14:textId="77777777" w:rsidR="004A1D83" w:rsidRPr="00D57D18" w:rsidRDefault="004A1D83">
            <w:pPr>
              <w:tabs>
                <w:tab w:val="left" w:pos="1304"/>
              </w:tabs>
              <w:rPr>
                <w:color w:val="000000"/>
                <w:sz w:val="22"/>
                <w:szCs w:val="22"/>
              </w:rPr>
            </w:pPr>
            <w:r w:rsidRPr="00D57D18">
              <w:rPr>
                <w:color w:val="000000"/>
                <w:sz w:val="22"/>
                <w:szCs w:val="22"/>
              </w:rPr>
              <w:t xml:space="preserve">Gastrointestinale smerter, opkastning, diarré, kvalme </w:t>
            </w:r>
          </w:p>
        </w:tc>
        <w:tc>
          <w:tcPr>
            <w:tcW w:w="1000" w:type="pct"/>
            <w:tcBorders>
              <w:top w:val="outset" w:sz="6" w:space="0" w:color="7B7B7B"/>
              <w:left w:val="outset" w:sz="6" w:space="0" w:color="7B7B7B"/>
              <w:bottom w:val="outset" w:sz="6" w:space="0" w:color="7B7B7B"/>
              <w:right w:val="outset" w:sz="6" w:space="0" w:color="7B7B7B"/>
            </w:tcBorders>
            <w:hideMark/>
          </w:tcPr>
          <w:p w14:paraId="002678DF" w14:textId="77777777" w:rsidR="004A1D83" w:rsidRPr="00D57D18" w:rsidRDefault="004A1D83">
            <w:pPr>
              <w:tabs>
                <w:tab w:val="left" w:pos="1304"/>
              </w:tabs>
              <w:rPr>
                <w:color w:val="000000"/>
                <w:sz w:val="22"/>
                <w:szCs w:val="22"/>
              </w:rPr>
            </w:pPr>
            <w:r w:rsidRPr="00D57D18">
              <w:rPr>
                <w:color w:val="000000"/>
                <w:sz w:val="22"/>
                <w:szCs w:val="22"/>
              </w:rPr>
              <w:t xml:space="preserve">Forstoppelse dyspepsi, flatulens, mundtørhed </w:t>
            </w:r>
          </w:p>
        </w:tc>
        <w:tc>
          <w:tcPr>
            <w:tcW w:w="1000" w:type="pct"/>
            <w:tcBorders>
              <w:top w:val="outset" w:sz="6" w:space="0" w:color="7B7B7B"/>
              <w:left w:val="outset" w:sz="6" w:space="0" w:color="7B7B7B"/>
              <w:bottom w:val="outset" w:sz="6" w:space="0" w:color="7B7B7B"/>
              <w:right w:val="outset" w:sz="6" w:space="0" w:color="7B7B7B"/>
            </w:tcBorders>
            <w:hideMark/>
          </w:tcPr>
          <w:p w14:paraId="5EF7BE47" w14:textId="77777777" w:rsidR="004A1D83" w:rsidRPr="00D57D18" w:rsidRDefault="004A1D83">
            <w:pPr>
              <w:rPr>
                <w:color w:val="000000"/>
                <w:sz w:val="22"/>
                <w:szCs w:val="22"/>
              </w:rPr>
            </w:pPr>
          </w:p>
        </w:tc>
        <w:tc>
          <w:tcPr>
            <w:tcW w:w="1050" w:type="pct"/>
            <w:tcBorders>
              <w:top w:val="outset" w:sz="6" w:space="0" w:color="7B7B7B"/>
              <w:left w:val="outset" w:sz="6" w:space="0" w:color="7B7B7B"/>
              <w:bottom w:val="outset" w:sz="6" w:space="0" w:color="7B7B7B"/>
              <w:right w:val="outset" w:sz="6" w:space="0" w:color="7B7B7B"/>
            </w:tcBorders>
            <w:hideMark/>
          </w:tcPr>
          <w:p w14:paraId="614B9DA2" w14:textId="77777777" w:rsidR="004A1D83" w:rsidRPr="00D57D18" w:rsidRDefault="004A1D83">
            <w:pPr>
              <w:spacing w:line="276" w:lineRule="auto"/>
              <w:rPr>
                <w:rFonts w:eastAsiaTheme="minorHAnsi"/>
                <w:sz w:val="22"/>
                <w:szCs w:val="22"/>
                <w:lang w:eastAsia="da-DK"/>
              </w:rPr>
            </w:pPr>
          </w:p>
        </w:tc>
      </w:tr>
      <w:tr w:rsidR="004A1D83" w:rsidRPr="00D57D18" w14:paraId="501D4D73"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55C4F04C" w14:textId="41F727EA" w:rsidR="004A1D83" w:rsidRPr="00D57D18" w:rsidRDefault="004A1D83">
            <w:pPr>
              <w:tabs>
                <w:tab w:val="left" w:pos="1304"/>
              </w:tabs>
              <w:rPr>
                <w:color w:val="000000"/>
                <w:sz w:val="22"/>
                <w:szCs w:val="22"/>
              </w:rPr>
            </w:pPr>
            <w:r w:rsidRPr="00D57D18">
              <w:rPr>
                <w:b/>
                <w:bCs/>
                <w:color w:val="000000"/>
                <w:sz w:val="22"/>
                <w:szCs w:val="22"/>
              </w:rPr>
              <w:t>Lever og galdevej</w:t>
            </w:r>
            <w:r w:rsidR="00F02756">
              <w:rPr>
                <w:b/>
                <w:bCs/>
                <w:color w:val="000000"/>
                <w:sz w:val="22"/>
                <w:szCs w:val="22"/>
              </w:rPr>
              <w:t>e</w:t>
            </w:r>
          </w:p>
        </w:tc>
        <w:tc>
          <w:tcPr>
            <w:tcW w:w="950" w:type="pct"/>
            <w:tcBorders>
              <w:top w:val="outset" w:sz="6" w:space="0" w:color="7B7B7B"/>
              <w:left w:val="outset" w:sz="6" w:space="0" w:color="7B7B7B"/>
              <w:bottom w:val="outset" w:sz="6" w:space="0" w:color="7B7B7B"/>
              <w:right w:val="outset" w:sz="6" w:space="0" w:color="7B7B7B"/>
            </w:tcBorders>
            <w:hideMark/>
          </w:tcPr>
          <w:p w14:paraId="7F437F21" w14:textId="794604D3" w:rsidR="004A1D83" w:rsidRPr="00D57D18" w:rsidRDefault="004A1D83">
            <w:pPr>
              <w:tabs>
                <w:tab w:val="left" w:pos="1304"/>
              </w:tabs>
              <w:rPr>
                <w:color w:val="000000"/>
                <w:sz w:val="22"/>
                <w:szCs w:val="22"/>
              </w:rPr>
            </w:pPr>
            <w:r w:rsidRPr="00D57D18">
              <w:rPr>
                <w:color w:val="000000"/>
                <w:sz w:val="22"/>
                <w:szCs w:val="22"/>
              </w:rPr>
              <w:t>Forhøjet alanin-aminotransferase (se pkt.</w:t>
            </w:r>
            <w:r w:rsidR="00D16CBF">
              <w:rPr>
                <w:color w:val="000000"/>
                <w:sz w:val="22"/>
                <w:szCs w:val="22"/>
              </w:rPr>
              <w:t xml:space="preserve"> </w:t>
            </w:r>
            <w:r w:rsidRPr="00D57D18">
              <w:rPr>
                <w:color w:val="000000"/>
                <w:sz w:val="22"/>
                <w:szCs w:val="22"/>
              </w:rPr>
              <w:t>4.4), forhøjet aspartat-aminotransferase (se pkt.</w:t>
            </w:r>
            <w:r w:rsidR="00F019D7">
              <w:rPr>
                <w:color w:val="000000"/>
                <w:sz w:val="22"/>
                <w:szCs w:val="22"/>
              </w:rPr>
              <w:t xml:space="preserve"> </w:t>
            </w:r>
            <w:r w:rsidRPr="00D57D18">
              <w:rPr>
                <w:color w:val="000000"/>
                <w:sz w:val="22"/>
                <w:szCs w:val="22"/>
              </w:rPr>
              <w:t>4.4), forhøjet alkalisk blodfosfatase (se pkt.</w:t>
            </w:r>
            <w:r w:rsidR="00F019D7">
              <w:rPr>
                <w:color w:val="000000"/>
                <w:sz w:val="22"/>
                <w:szCs w:val="22"/>
              </w:rPr>
              <w:t xml:space="preserve"> </w:t>
            </w:r>
            <w:r w:rsidRPr="00D57D18">
              <w:rPr>
                <w:color w:val="000000"/>
                <w:sz w:val="22"/>
                <w:szCs w:val="22"/>
              </w:rPr>
              <w:t>4.4)</w:t>
            </w:r>
          </w:p>
        </w:tc>
        <w:tc>
          <w:tcPr>
            <w:tcW w:w="1000" w:type="pct"/>
            <w:tcBorders>
              <w:top w:val="outset" w:sz="6" w:space="0" w:color="7B7B7B"/>
              <w:left w:val="outset" w:sz="6" w:space="0" w:color="7B7B7B"/>
              <w:bottom w:val="outset" w:sz="6" w:space="0" w:color="7B7B7B"/>
              <w:right w:val="outset" w:sz="6" w:space="0" w:color="7B7B7B"/>
            </w:tcBorders>
            <w:hideMark/>
          </w:tcPr>
          <w:p w14:paraId="5B7107ED" w14:textId="0E33F8C9" w:rsidR="004A1D83" w:rsidRPr="00D57D18" w:rsidRDefault="004A1D83">
            <w:pPr>
              <w:tabs>
                <w:tab w:val="left" w:pos="1304"/>
              </w:tabs>
              <w:rPr>
                <w:color w:val="000000"/>
                <w:sz w:val="22"/>
                <w:szCs w:val="22"/>
              </w:rPr>
            </w:pPr>
            <w:r w:rsidRPr="00D57D18">
              <w:rPr>
                <w:color w:val="000000"/>
                <w:sz w:val="22"/>
                <w:szCs w:val="22"/>
              </w:rPr>
              <w:t>Kolestase (se pkt.</w:t>
            </w:r>
            <w:r w:rsidR="00D16CBF">
              <w:rPr>
                <w:color w:val="000000"/>
                <w:sz w:val="22"/>
                <w:szCs w:val="22"/>
              </w:rPr>
              <w:t xml:space="preserve"> </w:t>
            </w:r>
            <w:r w:rsidRPr="00D57D18">
              <w:rPr>
                <w:color w:val="000000"/>
                <w:sz w:val="22"/>
                <w:szCs w:val="22"/>
              </w:rPr>
              <w:t>4.4), ikterus (se pkt.</w:t>
            </w:r>
            <w:r w:rsidR="00D16CBF">
              <w:rPr>
                <w:color w:val="000000"/>
                <w:sz w:val="22"/>
                <w:szCs w:val="22"/>
              </w:rPr>
              <w:t xml:space="preserve"> </w:t>
            </w:r>
            <w:r w:rsidRPr="00D57D18">
              <w:rPr>
                <w:color w:val="000000"/>
                <w:sz w:val="22"/>
                <w:szCs w:val="22"/>
              </w:rPr>
              <w:t>4.4), forhøjet bilirubin (se pkt.</w:t>
            </w:r>
            <w:r w:rsidR="00F019D7">
              <w:rPr>
                <w:color w:val="000000"/>
                <w:sz w:val="22"/>
                <w:szCs w:val="22"/>
              </w:rPr>
              <w:t xml:space="preserve"> </w:t>
            </w:r>
            <w:r w:rsidRPr="00D57D18">
              <w:rPr>
                <w:color w:val="000000"/>
                <w:sz w:val="22"/>
                <w:szCs w:val="22"/>
              </w:rPr>
              <w:t>4.4)</w:t>
            </w:r>
          </w:p>
        </w:tc>
        <w:tc>
          <w:tcPr>
            <w:tcW w:w="1000" w:type="pct"/>
            <w:tcBorders>
              <w:top w:val="outset" w:sz="6" w:space="0" w:color="7B7B7B"/>
              <w:left w:val="outset" w:sz="6" w:space="0" w:color="7B7B7B"/>
              <w:bottom w:val="outset" w:sz="6" w:space="0" w:color="7B7B7B"/>
              <w:right w:val="outset" w:sz="6" w:space="0" w:color="7B7B7B"/>
            </w:tcBorders>
            <w:hideMark/>
          </w:tcPr>
          <w:p w14:paraId="1A4A0184" w14:textId="7ADBF13C" w:rsidR="004A1D83" w:rsidRPr="00D57D18" w:rsidRDefault="004A1D83">
            <w:pPr>
              <w:tabs>
                <w:tab w:val="left" w:pos="1304"/>
              </w:tabs>
              <w:rPr>
                <w:color w:val="000000"/>
                <w:sz w:val="22"/>
                <w:szCs w:val="22"/>
              </w:rPr>
            </w:pPr>
            <w:r w:rsidRPr="00D57D18">
              <w:rPr>
                <w:color w:val="000000"/>
                <w:sz w:val="22"/>
                <w:szCs w:val="22"/>
              </w:rPr>
              <w:t>Leverinsufficiens (se pkt.</w:t>
            </w:r>
            <w:r w:rsidR="00F019D7">
              <w:rPr>
                <w:color w:val="000000"/>
                <w:sz w:val="22"/>
                <w:szCs w:val="22"/>
              </w:rPr>
              <w:t xml:space="preserve"> </w:t>
            </w:r>
            <w:r w:rsidRPr="00D57D18">
              <w:rPr>
                <w:color w:val="000000"/>
                <w:sz w:val="22"/>
                <w:szCs w:val="22"/>
              </w:rPr>
              <w:t>4.4), hepatocellulær nekrose (se pkt. 4.4), hepatitis (se pkt. 4.4), hepatocellulær skade (se pkt. 4.4)</w:t>
            </w:r>
          </w:p>
        </w:tc>
        <w:tc>
          <w:tcPr>
            <w:tcW w:w="1050" w:type="pct"/>
            <w:tcBorders>
              <w:top w:val="outset" w:sz="6" w:space="0" w:color="7B7B7B"/>
              <w:left w:val="outset" w:sz="6" w:space="0" w:color="7B7B7B"/>
              <w:bottom w:val="outset" w:sz="6" w:space="0" w:color="7B7B7B"/>
              <w:right w:val="outset" w:sz="6" w:space="0" w:color="7B7B7B"/>
            </w:tcBorders>
            <w:hideMark/>
          </w:tcPr>
          <w:p w14:paraId="2428E671" w14:textId="77777777" w:rsidR="004A1D83" w:rsidRPr="00D57D18" w:rsidRDefault="004A1D83">
            <w:pPr>
              <w:rPr>
                <w:color w:val="000000"/>
                <w:sz w:val="22"/>
                <w:szCs w:val="22"/>
              </w:rPr>
            </w:pPr>
          </w:p>
        </w:tc>
      </w:tr>
      <w:tr w:rsidR="004A1D83" w:rsidRPr="00D57D18" w14:paraId="15873C84"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0F310ACC" w14:textId="15ABFFD2" w:rsidR="004A1D83" w:rsidRPr="00D57D18" w:rsidRDefault="004529F8">
            <w:pPr>
              <w:tabs>
                <w:tab w:val="left" w:pos="1304"/>
              </w:tabs>
              <w:rPr>
                <w:color w:val="000000"/>
                <w:sz w:val="22"/>
                <w:szCs w:val="22"/>
              </w:rPr>
            </w:pPr>
            <w:r>
              <w:rPr>
                <w:b/>
                <w:bCs/>
                <w:color w:val="000000"/>
                <w:sz w:val="22"/>
                <w:szCs w:val="22"/>
              </w:rPr>
              <w:t>Hud og subkutane væv</w:t>
            </w:r>
          </w:p>
        </w:tc>
        <w:tc>
          <w:tcPr>
            <w:tcW w:w="950" w:type="pct"/>
            <w:tcBorders>
              <w:top w:val="outset" w:sz="6" w:space="0" w:color="7B7B7B"/>
              <w:left w:val="outset" w:sz="6" w:space="0" w:color="7B7B7B"/>
              <w:bottom w:val="outset" w:sz="6" w:space="0" w:color="7B7B7B"/>
              <w:right w:val="outset" w:sz="6" w:space="0" w:color="7B7B7B"/>
            </w:tcBorders>
            <w:hideMark/>
          </w:tcPr>
          <w:p w14:paraId="6777FBAA" w14:textId="262A5A1C" w:rsidR="004A1D83" w:rsidRPr="00D57D18" w:rsidRDefault="004A1D83">
            <w:pPr>
              <w:tabs>
                <w:tab w:val="left" w:pos="1304"/>
              </w:tabs>
              <w:rPr>
                <w:color w:val="000000"/>
                <w:sz w:val="22"/>
                <w:szCs w:val="22"/>
              </w:rPr>
            </w:pPr>
            <w:r w:rsidRPr="00D57D18">
              <w:rPr>
                <w:color w:val="000000"/>
                <w:sz w:val="22"/>
                <w:szCs w:val="22"/>
              </w:rPr>
              <w:t xml:space="preserve">Udslæt (se </w:t>
            </w:r>
            <w:r w:rsidR="00346A4F">
              <w:rPr>
                <w:color w:val="000000"/>
                <w:sz w:val="22"/>
                <w:szCs w:val="22"/>
              </w:rPr>
              <w:t>pkt.</w:t>
            </w:r>
            <w:r w:rsidRPr="00D57D18">
              <w:rPr>
                <w:color w:val="000000"/>
                <w:sz w:val="22"/>
                <w:szCs w:val="22"/>
              </w:rPr>
              <w:t xml:space="preserve"> 4.4)</w:t>
            </w:r>
          </w:p>
        </w:tc>
        <w:tc>
          <w:tcPr>
            <w:tcW w:w="1000" w:type="pct"/>
            <w:tcBorders>
              <w:top w:val="outset" w:sz="6" w:space="0" w:color="7B7B7B"/>
              <w:left w:val="outset" w:sz="6" w:space="0" w:color="7B7B7B"/>
              <w:bottom w:val="outset" w:sz="6" w:space="0" w:color="7B7B7B"/>
              <w:right w:val="outset" w:sz="6" w:space="0" w:color="7B7B7B"/>
            </w:tcBorders>
            <w:hideMark/>
          </w:tcPr>
          <w:p w14:paraId="00FE9482" w14:textId="5D21A7BF" w:rsidR="004A1D83" w:rsidRPr="00D57D18" w:rsidRDefault="004A1D83">
            <w:pPr>
              <w:tabs>
                <w:tab w:val="left" w:pos="1304"/>
              </w:tabs>
              <w:rPr>
                <w:color w:val="000000"/>
                <w:sz w:val="22"/>
                <w:szCs w:val="22"/>
              </w:rPr>
            </w:pPr>
            <w:r w:rsidRPr="00D57D18">
              <w:rPr>
                <w:color w:val="000000"/>
                <w:sz w:val="22"/>
                <w:szCs w:val="22"/>
              </w:rPr>
              <w:t>Medikamentelt udslæt* (se pkt.</w:t>
            </w:r>
            <w:r w:rsidR="00F019D7">
              <w:rPr>
                <w:color w:val="000000"/>
                <w:sz w:val="22"/>
                <w:szCs w:val="22"/>
              </w:rPr>
              <w:t xml:space="preserve"> </w:t>
            </w:r>
            <w:r w:rsidRPr="00D57D18">
              <w:rPr>
                <w:color w:val="000000"/>
                <w:sz w:val="22"/>
                <w:szCs w:val="22"/>
              </w:rPr>
              <w:t>4.4), urticaria (se pkt.</w:t>
            </w:r>
            <w:r w:rsidR="00F019D7">
              <w:rPr>
                <w:color w:val="000000"/>
                <w:sz w:val="22"/>
                <w:szCs w:val="22"/>
              </w:rPr>
              <w:t xml:space="preserve"> </w:t>
            </w:r>
            <w:r w:rsidRPr="00D57D18">
              <w:rPr>
                <w:color w:val="000000"/>
                <w:sz w:val="22"/>
                <w:szCs w:val="22"/>
              </w:rPr>
              <w:t xml:space="preserve">4.4), pruritus, øget svedtendens </w:t>
            </w:r>
          </w:p>
        </w:tc>
        <w:tc>
          <w:tcPr>
            <w:tcW w:w="1000" w:type="pct"/>
            <w:tcBorders>
              <w:top w:val="outset" w:sz="6" w:space="0" w:color="7B7B7B"/>
              <w:left w:val="outset" w:sz="6" w:space="0" w:color="7B7B7B"/>
              <w:bottom w:val="outset" w:sz="6" w:space="0" w:color="7B7B7B"/>
              <w:right w:val="outset" w:sz="6" w:space="0" w:color="7B7B7B"/>
            </w:tcBorders>
            <w:hideMark/>
          </w:tcPr>
          <w:p w14:paraId="4193FA58" w14:textId="306ED63C" w:rsidR="004A1D83" w:rsidRPr="00D57D18" w:rsidRDefault="004A1D83">
            <w:pPr>
              <w:tabs>
                <w:tab w:val="left" w:pos="1304"/>
              </w:tabs>
              <w:rPr>
                <w:color w:val="000000"/>
                <w:sz w:val="22"/>
                <w:szCs w:val="22"/>
              </w:rPr>
            </w:pPr>
            <w:r w:rsidRPr="00D57D18">
              <w:rPr>
                <w:color w:val="000000"/>
                <w:sz w:val="22"/>
                <w:szCs w:val="22"/>
              </w:rPr>
              <w:t>Toksisk epidermal nekrolyse (se pkt.</w:t>
            </w:r>
            <w:r w:rsidR="00F019D7">
              <w:rPr>
                <w:color w:val="000000"/>
                <w:sz w:val="22"/>
                <w:szCs w:val="22"/>
              </w:rPr>
              <w:t xml:space="preserve"> </w:t>
            </w:r>
            <w:r w:rsidRPr="00D57D18">
              <w:rPr>
                <w:color w:val="000000"/>
                <w:sz w:val="22"/>
                <w:szCs w:val="22"/>
              </w:rPr>
              <w:t>4.4), Stevens-Johnson syndrom (se pkt.</w:t>
            </w:r>
            <w:r w:rsidR="00F019D7">
              <w:rPr>
                <w:color w:val="000000"/>
                <w:sz w:val="22"/>
                <w:szCs w:val="22"/>
              </w:rPr>
              <w:t xml:space="preserve"> </w:t>
            </w:r>
            <w:r w:rsidRPr="00D57D18">
              <w:rPr>
                <w:color w:val="000000"/>
                <w:sz w:val="22"/>
                <w:szCs w:val="22"/>
              </w:rPr>
              <w:t>4.4), akut generaliseret eksantematøs pustulose (se pkt.</w:t>
            </w:r>
            <w:r w:rsidR="00F019D7">
              <w:rPr>
                <w:color w:val="000000"/>
                <w:sz w:val="22"/>
                <w:szCs w:val="22"/>
              </w:rPr>
              <w:t xml:space="preserve"> </w:t>
            </w:r>
            <w:r w:rsidRPr="00D57D18">
              <w:rPr>
                <w:color w:val="000000"/>
                <w:sz w:val="22"/>
                <w:szCs w:val="22"/>
              </w:rPr>
              <w:t>4.4), eksfolierende dermatitis, angioødem, ansigtsødem, alopeci</w:t>
            </w:r>
          </w:p>
        </w:tc>
        <w:tc>
          <w:tcPr>
            <w:tcW w:w="1050" w:type="pct"/>
            <w:tcBorders>
              <w:top w:val="outset" w:sz="6" w:space="0" w:color="7B7B7B"/>
              <w:left w:val="outset" w:sz="6" w:space="0" w:color="7B7B7B"/>
              <w:bottom w:val="outset" w:sz="6" w:space="0" w:color="7B7B7B"/>
              <w:right w:val="outset" w:sz="6" w:space="0" w:color="7B7B7B"/>
            </w:tcBorders>
            <w:hideMark/>
          </w:tcPr>
          <w:p w14:paraId="64F7E7DF" w14:textId="77777777" w:rsidR="004A1D83" w:rsidRPr="00D57D18" w:rsidRDefault="004A1D83">
            <w:pPr>
              <w:tabs>
                <w:tab w:val="left" w:pos="1304"/>
              </w:tabs>
              <w:rPr>
                <w:color w:val="000000"/>
                <w:sz w:val="22"/>
                <w:szCs w:val="22"/>
              </w:rPr>
            </w:pPr>
            <w:r w:rsidRPr="00D57D18">
              <w:rPr>
                <w:color w:val="000000"/>
                <w:sz w:val="22"/>
                <w:szCs w:val="22"/>
              </w:rPr>
              <w:t>Lægemiddelreaktion med eosinofili og systemiske symptomer (DRESS)</w:t>
            </w:r>
          </w:p>
        </w:tc>
      </w:tr>
      <w:tr w:rsidR="004A1D83" w:rsidRPr="004529F8" w14:paraId="26AC19A6"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00295A04" w14:textId="614C4975" w:rsidR="004A1D83" w:rsidRPr="004529F8" w:rsidRDefault="004529F8" w:rsidP="004529F8">
            <w:pPr>
              <w:rPr>
                <w:b/>
                <w:noProof/>
                <w:sz w:val="22"/>
                <w:szCs w:val="22"/>
              </w:rPr>
            </w:pPr>
            <w:r w:rsidRPr="004529F8">
              <w:rPr>
                <w:b/>
                <w:noProof/>
                <w:sz w:val="22"/>
                <w:szCs w:val="22"/>
              </w:rPr>
              <w:t>Knogler, led, muskler og bindevæv</w:t>
            </w:r>
          </w:p>
        </w:tc>
        <w:tc>
          <w:tcPr>
            <w:tcW w:w="950" w:type="pct"/>
            <w:tcBorders>
              <w:top w:val="outset" w:sz="6" w:space="0" w:color="7B7B7B"/>
              <w:left w:val="outset" w:sz="6" w:space="0" w:color="7B7B7B"/>
              <w:bottom w:val="outset" w:sz="6" w:space="0" w:color="7B7B7B"/>
              <w:right w:val="outset" w:sz="6" w:space="0" w:color="7B7B7B"/>
            </w:tcBorders>
            <w:hideMark/>
          </w:tcPr>
          <w:p w14:paraId="4D6EF88F" w14:textId="77777777" w:rsidR="004A1D83" w:rsidRPr="004529F8" w:rsidRDefault="004A1D83">
            <w:pPr>
              <w:rPr>
                <w:color w:val="000000"/>
                <w:sz w:val="22"/>
                <w:szCs w:val="22"/>
              </w:rPr>
            </w:pPr>
          </w:p>
        </w:tc>
        <w:tc>
          <w:tcPr>
            <w:tcW w:w="1000" w:type="pct"/>
            <w:tcBorders>
              <w:top w:val="outset" w:sz="6" w:space="0" w:color="7B7B7B"/>
              <w:left w:val="outset" w:sz="6" w:space="0" w:color="7B7B7B"/>
              <w:bottom w:val="outset" w:sz="6" w:space="0" w:color="7B7B7B"/>
              <w:right w:val="outset" w:sz="6" w:space="0" w:color="7B7B7B"/>
            </w:tcBorders>
            <w:hideMark/>
          </w:tcPr>
          <w:p w14:paraId="35426D21" w14:textId="77777777" w:rsidR="004A1D83" w:rsidRPr="004529F8" w:rsidRDefault="004A1D83">
            <w:pPr>
              <w:tabs>
                <w:tab w:val="left" w:pos="1304"/>
              </w:tabs>
              <w:rPr>
                <w:color w:val="000000"/>
                <w:sz w:val="22"/>
                <w:szCs w:val="22"/>
              </w:rPr>
            </w:pPr>
            <w:r w:rsidRPr="004529F8">
              <w:rPr>
                <w:color w:val="000000"/>
                <w:sz w:val="22"/>
                <w:szCs w:val="22"/>
              </w:rPr>
              <w:t>Myalgi</w:t>
            </w:r>
          </w:p>
        </w:tc>
        <w:tc>
          <w:tcPr>
            <w:tcW w:w="1000" w:type="pct"/>
            <w:tcBorders>
              <w:top w:val="outset" w:sz="6" w:space="0" w:color="7B7B7B"/>
              <w:left w:val="outset" w:sz="6" w:space="0" w:color="7B7B7B"/>
              <w:bottom w:val="outset" w:sz="6" w:space="0" w:color="7B7B7B"/>
              <w:right w:val="outset" w:sz="6" w:space="0" w:color="7B7B7B"/>
            </w:tcBorders>
            <w:hideMark/>
          </w:tcPr>
          <w:p w14:paraId="5061516C" w14:textId="77777777" w:rsidR="004A1D83" w:rsidRPr="004529F8" w:rsidRDefault="004A1D83">
            <w:pPr>
              <w:rPr>
                <w:color w:val="000000"/>
                <w:sz w:val="22"/>
                <w:szCs w:val="22"/>
              </w:rPr>
            </w:pPr>
          </w:p>
        </w:tc>
        <w:tc>
          <w:tcPr>
            <w:tcW w:w="1050" w:type="pct"/>
            <w:tcBorders>
              <w:top w:val="outset" w:sz="6" w:space="0" w:color="7B7B7B"/>
              <w:left w:val="outset" w:sz="6" w:space="0" w:color="7B7B7B"/>
              <w:bottom w:val="outset" w:sz="6" w:space="0" w:color="7B7B7B"/>
              <w:right w:val="outset" w:sz="6" w:space="0" w:color="7B7B7B"/>
            </w:tcBorders>
            <w:hideMark/>
          </w:tcPr>
          <w:p w14:paraId="407D6C2F" w14:textId="77777777" w:rsidR="004A1D83" w:rsidRPr="004529F8" w:rsidRDefault="004A1D83">
            <w:pPr>
              <w:spacing w:line="276" w:lineRule="auto"/>
              <w:rPr>
                <w:rFonts w:eastAsiaTheme="minorHAnsi"/>
                <w:sz w:val="22"/>
                <w:szCs w:val="22"/>
                <w:lang w:eastAsia="da-DK"/>
              </w:rPr>
            </w:pPr>
          </w:p>
        </w:tc>
      </w:tr>
      <w:tr w:rsidR="004A1D83" w:rsidRPr="00D57D18" w14:paraId="3C159031" w14:textId="77777777" w:rsidTr="003B60E8">
        <w:tc>
          <w:tcPr>
            <w:tcW w:w="1000" w:type="pct"/>
            <w:tcBorders>
              <w:top w:val="outset" w:sz="6" w:space="0" w:color="7B7B7B"/>
              <w:left w:val="outset" w:sz="6" w:space="0" w:color="7B7B7B"/>
              <w:bottom w:val="outset" w:sz="6" w:space="0" w:color="7B7B7B"/>
              <w:right w:val="outset" w:sz="6" w:space="0" w:color="7B7B7B"/>
            </w:tcBorders>
            <w:hideMark/>
          </w:tcPr>
          <w:p w14:paraId="3360AF3A" w14:textId="1924EB4C" w:rsidR="004A1D83" w:rsidRPr="004529F8" w:rsidRDefault="004529F8" w:rsidP="004529F8">
            <w:pPr>
              <w:rPr>
                <w:b/>
                <w:noProof/>
                <w:sz w:val="22"/>
                <w:szCs w:val="22"/>
              </w:rPr>
            </w:pPr>
            <w:r w:rsidRPr="004529F8">
              <w:rPr>
                <w:b/>
                <w:noProof/>
                <w:sz w:val="22"/>
                <w:szCs w:val="22"/>
              </w:rPr>
              <w:t>Almene symptomer og reaktioner på administrationsstedet</w:t>
            </w:r>
          </w:p>
        </w:tc>
        <w:tc>
          <w:tcPr>
            <w:tcW w:w="950" w:type="pct"/>
            <w:tcBorders>
              <w:top w:val="outset" w:sz="6" w:space="0" w:color="7B7B7B"/>
              <w:left w:val="outset" w:sz="6" w:space="0" w:color="7B7B7B"/>
              <w:bottom w:val="outset" w:sz="6" w:space="0" w:color="7B7B7B"/>
              <w:right w:val="outset" w:sz="6" w:space="0" w:color="7B7B7B"/>
            </w:tcBorders>
            <w:hideMark/>
          </w:tcPr>
          <w:p w14:paraId="1F2F0735" w14:textId="77777777" w:rsidR="004A1D83" w:rsidRPr="00D57D18" w:rsidRDefault="004A1D83">
            <w:pPr>
              <w:rPr>
                <w:color w:val="000000"/>
                <w:sz w:val="22"/>
                <w:szCs w:val="22"/>
              </w:rPr>
            </w:pPr>
          </w:p>
        </w:tc>
        <w:tc>
          <w:tcPr>
            <w:tcW w:w="1000" w:type="pct"/>
            <w:tcBorders>
              <w:top w:val="outset" w:sz="6" w:space="0" w:color="7B7B7B"/>
              <w:left w:val="outset" w:sz="6" w:space="0" w:color="7B7B7B"/>
              <w:bottom w:val="outset" w:sz="6" w:space="0" w:color="7B7B7B"/>
              <w:right w:val="outset" w:sz="6" w:space="0" w:color="7B7B7B"/>
            </w:tcBorders>
            <w:hideMark/>
          </w:tcPr>
          <w:p w14:paraId="6A344C80" w14:textId="77777777" w:rsidR="004A1D83" w:rsidRPr="00D57D18" w:rsidRDefault="004A1D83">
            <w:pPr>
              <w:tabs>
                <w:tab w:val="left" w:pos="1304"/>
              </w:tabs>
              <w:rPr>
                <w:color w:val="000000"/>
                <w:sz w:val="22"/>
                <w:szCs w:val="22"/>
              </w:rPr>
            </w:pPr>
            <w:r w:rsidRPr="00D57D18">
              <w:rPr>
                <w:color w:val="000000"/>
                <w:sz w:val="22"/>
                <w:szCs w:val="22"/>
              </w:rPr>
              <w:t>Træthed, malaise, asteni, feber</w:t>
            </w:r>
          </w:p>
        </w:tc>
        <w:tc>
          <w:tcPr>
            <w:tcW w:w="1000" w:type="pct"/>
            <w:tcBorders>
              <w:top w:val="outset" w:sz="6" w:space="0" w:color="7B7B7B"/>
              <w:left w:val="outset" w:sz="6" w:space="0" w:color="7B7B7B"/>
              <w:bottom w:val="outset" w:sz="6" w:space="0" w:color="7B7B7B"/>
              <w:right w:val="outset" w:sz="6" w:space="0" w:color="7B7B7B"/>
            </w:tcBorders>
            <w:hideMark/>
          </w:tcPr>
          <w:p w14:paraId="7367B8F1" w14:textId="77777777" w:rsidR="004A1D83" w:rsidRPr="00D57D18" w:rsidRDefault="004A1D83">
            <w:pPr>
              <w:rPr>
                <w:color w:val="000000"/>
                <w:sz w:val="22"/>
                <w:szCs w:val="22"/>
              </w:rPr>
            </w:pPr>
          </w:p>
        </w:tc>
        <w:tc>
          <w:tcPr>
            <w:tcW w:w="1050" w:type="pct"/>
            <w:tcBorders>
              <w:top w:val="outset" w:sz="6" w:space="0" w:color="7B7B7B"/>
              <w:left w:val="outset" w:sz="6" w:space="0" w:color="7B7B7B"/>
              <w:bottom w:val="outset" w:sz="6" w:space="0" w:color="7B7B7B"/>
              <w:right w:val="outset" w:sz="6" w:space="0" w:color="7B7B7B"/>
            </w:tcBorders>
            <w:hideMark/>
          </w:tcPr>
          <w:p w14:paraId="6D2EEBB6" w14:textId="77777777" w:rsidR="004A1D83" w:rsidRPr="00D57D18" w:rsidRDefault="004A1D83">
            <w:pPr>
              <w:spacing w:line="276" w:lineRule="auto"/>
              <w:rPr>
                <w:rFonts w:eastAsiaTheme="minorHAnsi"/>
                <w:sz w:val="22"/>
                <w:szCs w:val="22"/>
                <w:lang w:eastAsia="da-DK"/>
              </w:rPr>
            </w:pPr>
          </w:p>
        </w:tc>
      </w:tr>
    </w:tbl>
    <w:p w14:paraId="22497102" w14:textId="77777777" w:rsidR="004A1D83" w:rsidRPr="00325436" w:rsidRDefault="004A1D83" w:rsidP="00DE1752">
      <w:pPr>
        <w:rPr>
          <w:noProof/>
          <w:sz w:val="20"/>
          <w:lang w:val="en"/>
        </w:rPr>
      </w:pPr>
      <w:r w:rsidRPr="00325436">
        <w:rPr>
          <w:sz w:val="20"/>
        </w:rPr>
        <w:t>* herunder fikseret medikamentelt udslæt</w:t>
      </w:r>
    </w:p>
    <w:p w14:paraId="087B233A" w14:textId="77777777" w:rsidR="00DE1752" w:rsidRPr="007D67E8" w:rsidRDefault="00DE1752" w:rsidP="00FF68BE">
      <w:pPr>
        <w:ind w:left="851"/>
        <w:rPr>
          <w:sz w:val="24"/>
          <w:szCs w:val="24"/>
          <w:u w:val="single"/>
        </w:rPr>
      </w:pPr>
    </w:p>
    <w:p w14:paraId="76811EF5" w14:textId="4CCDA68C" w:rsidR="004A1D83" w:rsidRPr="007D67E8" w:rsidRDefault="004A1D83" w:rsidP="00FF68BE">
      <w:pPr>
        <w:ind w:left="851"/>
        <w:rPr>
          <w:i/>
          <w:sz w:val="24"/>
          <w:szCs w:val="24"/>
        </w:rPr>
      </w:pPr>
      <w:r w:rsidRPr="007D67E8">
        <w:rPr>
          <w:sz w:val="24"/>
          <w:szCs w:val="24"/>
          <w:u w:val="single"/>
        </w:rPr>
        <w:t>Pædiatrisk population</w:t>
      </w:r>
    </w:p>
    <w:p w14:paraId="528D96E9" w14:textId="15489363" w:rsidR="004A1D83" w:rsidRPr="007D67E8" w:rsidRDefault="004A1D83" w:rsidP="00FF68BE">
      <w:pPr>
        <w:ind w:left="851"/>
        <w:rPr>
          <w:b/>
          <w:i/>
          <w:sz w:val="24"/>
          <w:szCs w:val="24"/>
        </w:rPr>
      </w:pPr>
      <w:r w:rsidRPr="007D67E8">
        <w:rPr>
          <w:sz w:val="24"/>
          <w:szCs w:val="24"/>
        </w:rPr>
        <w:t xml:space="preserve">Forekomsten af bivirkninger og abnorme laboratorieværdier registreret i pædiatriske kliniske studier </w:t>
      </w:r>
      <w:r w:rsidR="00F019D7">
        <w:rPr>
          <w:sz w:val="24"/>
          <w:szCs w:val="24"/>
        </w:rPr>
        <w:t>-</w:t>
      </w:r>
      <w:r w:rsidRPr="007D67E8">
        <w:rPr>
          <w:sz w:val="24"/>
          <w:szCs w:val="24"/>
        </w:rPr>
        <w:t xml:space="preserve"> bortset fra indikationen genital candidiasis </w:t>
      </w:r>
      <w:r w:rsidR="00F019D7">
        <w:rPr>
          <w:sz w:val="24"/>
          <w:szCs w:val="24"/>
        </w:rPr>
        <w:t>-</w:t>
      </w:r>
      <w:r w:rsidRPr="007D67E8">
        <w:rPr>
          <w:sz w:val="24"/>
          <w:szCs w:val="24"/>
        </w:rPr>
        <w:t xml:space="preserve"> er sammenlignelige i mønster og forekomst set hos voksne.</w:t>
      </w:r>
    </w:p>
    <w:p w14:paraId="1CE356DE" w14:textId="77777777" w:rsidR="004A1D83" w:rsidRPr="007D67E8" w:rsidRDefault="004A1D83" w:rsidP="00FF68BE">
      <w:pPr>
        <w:ind w:left="851"/>
        <w:rPr>
          <w:sz w:val="24"/>
          <w:szCs w:val="24"/>
        </w:rPr>
      </w:pPr>
    </w:p>
    <w:p w14:paraId="58883D8A" w14:textId="77777777" w:rsidR="004A1D83" w:rsidRPr="007D67E8" w:rsidRDefault="004A1D83" w:rsidP="00FF68BE">
      <w:pPr>
        <w:ind w:left="851"/>
        <w:rPr>
          <w:sz w:val="24"/>
          <w:szCs w:val="24"/>
          <w:u w:val="single"/>
        </w:rPr>
      </w:pPr>
      <w:r w:rsidRPr="007D67E8">
        <w:rPr>
          <w:sz w:val="24"/>
          <w:szCs w:val="24"/>
          <w:u w:val="single"/>
        </w:rPr>
        <w:t>Indberetning af formodede bivirkninger:</w:t>
      </w:r>
    </w:p>
    <w:p w14:paraId="7DADCE7D" w14:textId="1E51694A" w:rsidR="004A1D83" w:rsidRPr="007D67E8" w:rsidRDefault="004A1D83" w:rsidP="00FF68BE">
      <w:pPr>
        <w:ind w:left="851"/>
        <w:rPr>
          <w:sz w:val="24"/>
          <w:szCs w:val="24"/>
        </w:rPr>
      </w:pPr>
      <w:r w:rsidRPr="007D67E8">
        <w:rPr>
          <w:sz w:val="24"/>
          <w:szCs w:val="24"/>
        </w:rPr>
        <w:t xml:space="preserve">Når lægemidlet er godkendt, er indberetning af formodede bivirkninger vigtig. Det muliggør løbende overvågning af benefit/risk-forholdet for lægemidlet. </w:t>
      </w:r>
      <w:r w:rsidR="000F5BDF">
        <w:rPr>
          <w:sz w:val="24"/>
          <w:szCs w:val="24"/>
        </w:rPr>
        <w:t>Sundhedspersoner</w:t>
      </w:r>
      <w:r w:rsidRPr="007D67E8">
        <w:rPr>
          <w:sz w:val="24"/>
          <w:szCs w:val="24"/>
        </w:rPr>
        <w:t xml:space="preserve"> anmodes om at indberette alle formodede bivirkninger via: </w:t>
      </w:r>
    </w:p>
    <w:p w14:paraId="0FD79F2E" w14:textId="77777777" w:rsidR="004A1D83" w:rsidRPr="007D67E8" w:rsidRDefault="004A1D83" w:rsidP="00FF68BE">
      <w:pPr>
        <w:ind w:left="851"/>
        <w:rPr>
          <w:sz w:val="24"/>
          <w:szCs w:val="24"/>
          <w:lang w:eastAsia="da-DK"/>
        </w:rPr>
      </w:pPr>
    </w:p>
    <w:p w14:paraId="5E024E4C" w14:textId="77777777" w:rsidR="004A1D83" w:rsidRPr="007D67E8" w:rsidRDefault="004A1D83" w:rsidP="00FF68BE">
      <w:pPr>
        <w:ind w:left="851"/>
        <w:rPr>
          <w:sz w:val="24"/>
          <w:szCs w:val="24"/>
          <w:lang w:eastAsia="da-DK"/>
        </w:rPr>
      </w:pPr>
      <w:r w:rsidRPr="007D67E8">
        <w:rPr>
          <w:sz w:val="24"/>
          <w:szCs w:val="24"/>
          <w:lang w:eastAsia="da-DK"/>
        </w:rPr>
        <w:t>Lægemiddelstyrelsen</w:t>
      </w:r>
    </w:p>
    <w:p w14:paraId="1982A85B" w14:textId="77777777" w:rsidR="004A1D83" w:rsidRPr="007D67E8" w:rsidRDefault="004A1D83" w:rsidP="00FF68BE">
      <w:pPr>
        <w:ind w:left="851"/>
        <w:rPr>
          <w:sz w:val="24"/>
          <w:szCs w:val="24"/>
          <w:lang w:eastAsia="da-DK"/>
        </w:rPr>
      </w:pPr>
      <w:r w:rsidRPr="007D67E8">
        <w:rPr>
          <w:sz w:val="24"/>
          <w:szCs w:val="24"/>
          <w:lang w:eastAsia="da-DK"/>
        </w:rPr>
        <w:t>Axel Heides Gade 1</w:t>
      </w:r>
    </w:p>
    <w:p w14:paraId="4481705E" w14:textId="77777777" w:rsidR="004A1D83" w:rsidRPr="007D67E8" w:rsidRDefault="004A1D83" w:rsidP="00FF68BE">
      <w:pPr>
        <w:ind w:left="851"/>
        <w:rPr>
          <w:sz w:val="24"/>
          <w:szCs w:val="24"/>
          <w:lang w:eastAsia="da-DK"/>
        </w:rPr>
      </w:pPr>
      <w:r w:rsidRPr="007D67E8">
        <w:rPr>
          <w:sz w:val="24"/>
          <w:szCs w:val="24"/>
          <w:lang w:eastAsia="da-DK"/>
        </w:rPr>
        <w:t>DK-2300 København S</w:t>
      </w:r>
    </w:p>
    <w:p w14:paraId="34C0A0AA" w14:textId="77777777" w:rsidR="004A1D83" w:rsidRPr="007D67E8" w:rsidRDefault="004A1D83" w:rsidP="00FF68BE">
      <w:pPr>
        <w:ind w:left="851"/>
        <w:rPr>
          <w:sz w:val="24"/>
          <w:szCs w:val="24"/>
          <w:lang w:eastAsia="da-DK"/>
        </w:rPr>
      </w:pPr>
      <w:r w:rsidRPr="007D67E8">
        <w:rPr>
          <w:sz w:val="24"/>
          <w:szCs w:val="24"/>
          <w:lang w:eastAsia="da-DK"/>
        </w:rPr>
        <w:lastRenderedPageBreak/>
        <w:t xml:space="preserve">Websted: </w:t>
      </w:r>
      <w:hyperlink r:id="rId9" w:history="1">
        <w:r w:rsidRPr="007D67E8">
          <w:rPr>
            <w:rStyle w:val="Hyperlink"/>
            <w:sz w:val="24"/>
            <w:szCs w:val="24"/>
          </w:rPr>
          <w:t>www.meldenbivirkning.dk</w:t>
        </w:r>
      </w:hyperlink>
    </w:p>
    <w:p w14:paraId="528C39DF" w14:textId="77777777" w:rsidR="009260DE" w:rsidRPr="007D67E8" w:rsidRDefault="009260DE" w:rsidP="00A10294">
      <w:pPr>
        <w:tabs>
          <w:tab w:val="left" w:pos="851"/>
        </w:tabs>
        <w:ind w:left="851"/>
        <w:rPr>
          <w:sz w:val="24"/>
          <w:szCs w:val="24"/>
        </w:rPr>
      </w:pPr>
    </w:p>
    <w:p w14:paraId="6894FECB" w14:textId="77777777" w:rsidR="009260DE" w:rsidRPr="007D67E8" w:rsidRDefault="009260DE" w:rsidP="009260DE">
      <w:pPr>
        <w:tabs>
          <w:tab w:val="left" w:pos="851"/>
        </w:tabs>
        <w:ind w:left="851" w:hanging="851"/>
        <w:rPr>
          <w:b/>
          <w:sz w:val="24"/>
          <w:szCs w:val="24"/>
        </w:rPr>
      </w:pPr>
      <w:r w:rsidRPr="007D67E8">
        <w:rPr>
          <w:b/>
          <w:sz w:val="24"/>
          <w:szCs w:val="24"/>
        </w:rPr>
        <w:t>4.9</w:t>
      </w:r>
      <w:r w:rsidRPr="007D67E8">
        <w:rPr>
          <w:b/>
          <w:sz w:val="24"/>
          <w:szCs w:val="24"/>
        </w:rPr>
        <w:tab/>
        <w:t>Overdosering</w:t>
      </w:r>
    </w:p>
    <w:p w14:paraId="03784D8E" w14:textId="77777777" w:rsidR="004A1D83" w:rsidRPr="007D67E8" w:rsidRDefault="004A1D83" w:rsidP="00FF68BE">
      <w:pPr>
        <w:ind w:left="851"/>
        <w:rPr>
          <w:noProof/>
          <w:sz w:val="24"/>
          <w:szCs w:val="24"/>
        </w:rPr>
      </w:pPr>
      <w:r w:rsidRPr="007D67E8">
        <w:rPr>
          <w:sz w:val="24"/>
          <w:szCs w:val="24"/>
        </w:rPr>
        <w:t>Overdosering med fluconazol er blevet rapporteret. Hallucinationer og paranoid adfærd er beskrevet samtidigt.</w:t>
      </w:r>
    </w:p>
    <w:p w14:paraId="39440525" w14:textId="77777777" w:rsidR="004A1D83" w:rsidRPr="007D67E8" w:rsidRDefault="004A1D83" w:rsidP="00FF68BE">
      <w:pPr>
        <w:ind w:left="851"/>
        <w:rPr>
          <w:noProof/>
          <w:sz w:val="24"/>
          <w:szCs w:val="24"/>
        </w:rPr>
      </w:pPr>
    </w:p>
    <w:p w14:paraId="01863E01" w14:textId="77777777" w:rsidR="004A1D83" w:rsidRPr="007D67E8" w:rsidRDefault="004A1D83" w:rsidP="00FF68BE">
      <w:pPr>
        <w:ind w:left="851"/>
        <w:rPr>
          <w:noProof/>
          <w:sz w:val="24"/>
          <w:szCs w:val="24"/>
        </w:rPr>
      </w:pPr>
      <w:r w:rsidRPr="007D67E8">
        <w:rPr>
          <w:sz w:val="24"/>
          <w:szCs w:val="24"/>
        </w:rPr>
        <w:t>Ved overdosering er symptomatisk behandling (med understøttende foranstaltninger og om nødvendigt ventrikelskylning) tilstrækkeligt.</w:t>
      </w:r>
    </w:p>
    <w:p w14:paraId="16054C83" w14:textId="77777777" w:rsidR="004A1D83" w:rsidRPr="007D67E8" w:rsidRDefault="004A1D83" w:rsidP="00FF68BE">
      <w:pPr>
        <w:ind w:left="851"/>
        <w:rPr>
          <w:noProof/>
          <w:sz w:val="24"/>
          <w:szCs w:val="24"/>
        </w:rPr>
      </w:pPr>
    </w:p>
    <w:p w14:paraId="6454EE25" w14:textId="77777777" w:rsidR="004A1D83" w:rsidRPr="007D67E8" w:rsidRDefault="004A1D83" w:rsidP="00FF68BE">
      <w:pPr>
        <w:ind w:left="851"/>
        <w:rPr>
          <w:sz w:val="24"/>
          <w:szCs w:val="24"/>
        </w:rPr>
      </w:pPr>
      <w:r w:rsidRPr="007D67E8">
        <w:rPr>
          <w:sz w:val="24"/>
          <w:szCs w:val="24"/>
        </w:rPr>
        <w:t>Fluconazol udskilles hovedsagelig i urinen. Forceret diurese ville antagelig øge eliminationshastigheden. Tre timers hæmodialyse sænker plasmaniveauet med ca. 50 %.</w:t>
      </w:r>
    </w:p>
    <w:p w14:paraId="090FF7D3" w14:textId="77777777" w:rsidR="009260DE" w:rsidRPr="007D67E8" w:rsidRDefault="009260DE" w:rsidP="009260DE">
      <w:pPr>
        <w:tabs>
          <w:tab w:val="left" w:pos="851"/>
        </w:tabs>
        <w:ind w:left="851"/>
        <w:rPr>
          <w:sz w:val="24"/>
          <w:szCs w:val="24"/>
        </w:rPr>
      </w:pPr>
    </w:p>
    <w:p w14:paraId="44A31A3E" w14:textId="77777777" w:rsidR="009260DE" w:rsidRPr="007D67E8" w:rsidRDefault="009260DE" w:rsidP="009260DE">
      <w:pPr>
        <w:tabs>
          <w:tab w:val="left" w:pos="851"/>
        </w:tabs>
        <w:ind w:left="851" w:hanging="851"/>
        <w:rPr>
          <w:b/>
          <w:sz w:val="24"/>
          <w:szCs w:val="24"/>
        </w:rPr>
      </w:pPr>
      <w:r w:rsidRPr="007D67E8">
        <w:rPr>
          <w:b/>
          <w:sz w:val="24"/>
          <w:szCs w:val="24"/>
        </w:rPr>
        <w:t>4.10</w:t>
      </w:r>
      <w:r w:rsidRPr="007D67E8">
        <w:rPr>
          <w:b/>
          <w:sz w:val="24"/>
          <w:szCs w:val="24"/>
        </w:rPr>
        <w:tab/>
        <w:t>Udlevering</w:t>
      </w:r>
    </w:p>
    <w:p w14:paraId="5A150597" w14:textId="77777777" w:rsidR="004A1D83" w:rsidRPr="007D67E8" w:rsidRDefault="004A1D83" w:rsidP="00FF68BE">
      <w:pPr>
        <w:ind w:left="851"/>
        <w:outlineLvl w:val="0"/>
        <w:rPr>
          <w:noProof/>
          <w:sz w:val="24"/>
          <w:szCs w:val="24"/>
        </w:rPr>
      </w:pPr>
      <w:r w:rsidRPr="007D67E8">
        <w:rPr>
          <w:noProof/>
          <w:sz w:val="24"/>
          <w:szCs w:val="24"/>
        </w:rPr>
        <w:t>B</w:t>
      </w:r>
    </w:p>
    <w:p w14:paraId="40328607" w14:textId="0E8D341D" w:rsidR="009260DE" w:rsidRPr="007D67E8" w:rsidRDefault="009260DE" w:rsidP="009260DE">
      <w:pPr>
        <w:tabs>
          <w:tab w:val="left" w:pos="851"/>
        </w:tabs>
        <w:ind w:left="851"/>
        <w:rPr>
          <w:sz w:val="24"/>
          <w:szCs w:val="24"/>
        </w:rPr>
      </w:pPr>
    </w:p>
    <w:p w14:paraId="2EFC18BB" w14:textId="77777777" w:rsidR="009260DE" w:rsidRPr="007D67E8" w:rsidRDefault="009260DE" w:rsidP="009260DE">
      <w:pPr>
        <w:tabs>
          <w:tab w:val="left" w:pos="851"/>
        </w:tabs>
        <w:ind w:left="851"/>
        <w:rPr>
          <w:sz w:val="24"/>
          <w:szCs w:val="24"/>
        </w:rPr>
      </w:pPr>
    </w:p>
    <w:p w14:paraId="184D874B" w14:textId="77777777" w:rsidR="009260DE" w:rsidRPr="007D67E8" w:rsidRDefault="009260DE" w:rsidP="009260DE">
      <w:pPr>
        <w:tabs>
          <w:tab w:val="left" w:pos="851"/>
        </w:tabs>
        <w:ind w:left="851" w:hanging="851"/>
        <w:rPr>
          <w:b/>
          <w:sz w:val="24"/>
          <w:szCs w:val="24"/>
        </w:rPr>
      </w:pPr>
      <w:r w:rsidRPr="007D67E8">
        <w:rPr>
          <w:b/>
          <w:sz w:val="24"/>
          <w:szCs w:val="24"/>
        </w:rPr>
        <w:t>5.</w:t>
      </w:r>
      <w:r w:rsidRPr="007D67E8">
        <w:rPr>
          <w:b/>
          <w:sz w:val="24"/>
          <w:szCs w:val="24"/>
        </w:rPr>
        <w:tab/>
        <w:t>FARMAKOLOGISKE EGENSKABER</w:t>
      </w:r>
    </w:p>
    <w:p w14:paraId="714BF50D" w14:textId="77777777" w:rsidR="009260DE" w:rsidRPr="007D67E8" w:rsidRDefault="009260DE" w:rsidP="009260DE">
      <w:pPr>
        <w:tabs>
          <w:tab w:val="left" w:pos="851"/>
        </w:tabs>
        <w:ind w:left="851"/>
        <w:rPr>
          <w:sz w:val="24"/>
          <w:szCs w:val="24"/>
        </w:rPr>
      </w:pPr>
    </w:p>
    <w:p w14:paraId="6947AC09" w14:textId="77777777" w:rsidR="009260DE" w:rsidRPr="007D67E8" w:rsidRDefault="009260DE" w:rsidP="009260DE">
      <w:pPr>
        <w:tabs>
          <w:tab w:val="left" w:pos="851"/>
        </w:tabs>
        <w:ind w:left="851"/>
        <w:rPr>
          <w:sz w:val="24"/>
          <w:szCs w:val="24"/>
        </w:rPr>
      </w:pPr>
    </w:p>
    <w:p w14:paraId="7D9FC9C8" w14:textId="6314B4DA" w:rsidR="009260DE" w:rsidRDefault="009260DE" w:rsidP="009260DE">
      <w:pPr>
        <w:tabs>
          <w:tab w:val="num" w:pos="851"/>
        </w:tabs>
        <w:ind w:left="851" w:hanging="851"/>
        <w:rPr>
          <w:b/>
          <w:sz w:val="24"/>
          <w:szCs w:val="24"/>
        </w:rPr>
      </w:pPr>
      <w:r w:rsidRPr="007D67E8">
        <w:rPr>
          <w:b/>
          <w:sz w:val="24"/>
          <w:szCs w:val="24"/>
        </w:rPr>
        <w:t>5.1</w:t>
      </w:r>
      <w:r w:rsidRPr="007D67E8">
        <w:rPr>
          <w:b/>
          <w:sz w:val="24"/>
          <w:szCs w:val="24"/>
        </w:rPr>
        <w:tab/>
        <w:t>Farmakodynamiske egenskaber</w:t>
      </w:r>
    </w:p>
    <w:p w14:paraId="2C6AE969" w14:textId="2C1EDDA5" w:rsidR="006B17EE" w:rsidRDefault="006B17EE" w:rsidP="009260DE">
      <w:pPr>
        <w:tabs>
          <w:tab w:val="num" w:pos="851"/>
        </w:tabs>
        <w:ind w:left="851" w:hanging="851"/>
        <w:rPr>
          <w:b/>
          <w:sz w:val="24"/>
          <w:szCs w:val="24"/>
        </w:rPr>
      </w:pPr>
      <w:r>
        <w:rPr>
          <w:b/>
          <w:sz w:val="24"/>
          <w:szCs w:val="24"/>
        </w:rPr>
        <w:tab/>
      </w:r>
      <w:r w:rsidRPr="00F414E0">
        <w:rPr>
          <w:sz w:val="24"/>
          <w:szCs w:val="24"/>
        </w:rPr>
        <w:t>Farmakoterapeutisk klassifikation</w:t>
      </w:r>
      <w:r>
        <w:rPr>
          <w:sz w:val="24"/>
          <w:szCs w:val="24"/>
        </w:rPr>
        <w:t xml:space="preserve">: </w:t>
      </w:r>
      <w:r w:rsidRPr="007D67E8">
        <w:rPr>
          <w:sz w:val="24"/>
          <w:szCs w:val="24"/>
        </w:rPr>
        <w:t>Antimykotika til systemisk brug, triazolderivater</w:t>
      </w:r>
      <w:r>
        <w:rPr>
          <w:sz w:val="24"/>
          <w:szCs w:val="24"/>
        </w:rPr>
        <w:t>.</w:t>
      </w:r>
    </w:p>
    <w:p w14:paraId="493B61CA" w14:textId="3AE9884E" w:rsidR="006B17EE" w:rsidRPr="007D67E8" w:rsidRDefault="006B17EE" w:rsidP="006B17EE">
      <w:pPr>
        <w:ind w:left="851"/>
        <w:rPr>
          <w:sz w:val="24"/>
          <w:szCs w:val="24"/>
        </w:rPr>
      </w:pPr>
      <w:r w:rsidRPr="007D67E8">
        <w:rPr>
          <w:sz w:val="24"/>
          <w:szCs w:val="24"/>
        </w:rPr>
        <w:t>ATC-kode: J 02 AC 01.</w:t>
      </w:r>
    </w:p>
    <w:p w14:paraId="24DB3D73" w14:textId="77777777" w:rsidR="00A86F5F" w:rsidRPr="007D67E8" w:rsidRDefault="00A86F5F" w:rsidP="00FF68BE">
      <w:pPr>
        <w:ind w:left="851"/>
        <w:rPr>
          <w:sz w:val="24"/>
          <w:szCs w:val="24"/>
        </w:rPr>
      </w:pPr>
    </w:p>
    <w:p w14:paraId="0EF00807" w14:textId="5EB6C61D" w:rsidR="004A1D83" w:rsidRPr="007D67E8" w:rsidRDefault="004A1D83" w:rsidP="00FF68BE">
      <w:pPr>
        <w:ind w:left="851"/>
        <w:rPr>
          <w:sz w:val="24"/>
          <w:szCs w:val="24"/>
          <w:u w:val="single"/>
        </w:rPr>
      </w:pPr>
      <w:r w:rsidRPr="007D67E8">
        <w:rPr>
          <w:sz w:val="24"/>
          <w:szCs w:val="24"/>
          <w:u w:val="single"/>
        </w:rPr>
        <w:t>Virkningsmekanisme</w:t>
      </w:r>
    </w:p>
    <w:p w14:paraId="2970A253" w14:textId="77777777" w:rsidR="004A1D83" w:rsidRPr="007D67E8" w:rsidRDefault="004A1D83" w:rsidP="00FF68BE">
      <w:pPr>
        <w:ind w:left="851"/>
        <w:rPr>
          <w:color w:val="000000"/>
          <w:sz w:val="24"/>
          <w:szCs w:val="24"/>
        </w:rPr>
      </w:pPr>
      <w:r w:rsidRPr="007D67E8">
        <w:rPr>
          <w:color w:val="000000"/>
          <w:sz w:val="24"/>
          <w:szCs w:val="24"/>
        </w:rPr>
        <w:t>Fluconazol er et fungicid af triazoltypen. Dets primære virkningsmekanisme er hæmning af fungale cytokrom P-450-medieret demethylering af 14-alfa-lanosterol, et essentielt trin i den fungale biosyntese af ergosterol. Akkumuleringen af 14-alfa-methylsteroler korrelerer med det efterfølgende tab af ergosterol i den fungale cellemembran og kan være ansvarlig for fluconazols antifungale aktivitet. Fluconazol er påvist at være mere selektiv for fungale cytokrom P-450 enzymer end for forskellige mammalske cytokrom P-450 enzymsystemer.</w:t>
      </w:r>
    </w:p>
    <w:p w14:paraId="372055D4" w14:textId="77777777" w:rsidR="00A86F5F" w:rsidRPr="007D67E8" w:rsidRDefault="00A86F5F" w:rsidP="00FF68BE">
      <w:pPr>
        <w:ind w:left="851"/>
        <w:rPr>
          <w:color w:val="000000"/>
          <w:sz w:val="24"/>
          <w:szCs w:val="24"/>
        </w:rPr>
      </w:pPr>
    </w:p>
    <w:p w14:paraId="61102351" w14:textId="09D1225F" w:rsidR="004A1D83" w:rsidRPr="007D67E8" w:rsidRDefault="004A1D83" w:rsidP="00FF68BE">
      <w:pPr>
        <w:ind w:left="851"/>
        <w:rPr>
          <w:color w:val="000000"/>
          <w:sz w:val="24"/>
          <w:szCs w:val="24"/>
        </w:rPr>
      </w:pPr>
      <w:r w:rsidRPr="007D67E8">
        <w:rPr>
          <w:color w:val="000000"/>
          <w:sz w:val="24"/>
          <w:szCs w:val="24"/>
        </w:rPr>
        <w:t>Fluconazol 50 mg dagligt i op til 28 dage er påvist ikke at påvirke plasmakoncentrationen af testosteron hos mænd eller steroidkoncentrationen hos kvinder i den fødedygtige alder. Fluconazol 200-400 mg dagligt har ingen signifikant klinisk effekt på det endogene steroidniveau eller på ACTH-stimuleret respons hos raske, frivillige mænd. Interaktionsstudier med antipyrin viser, at en enkelt eller flere doser af fluconazol 50 mg ikke påvirker dets metabolisme.</w:t>
      </w:r>
    </w:p>
    <w:p w14:paraId="0D862CA6" w14:textId="77777777" w:rsidR="00A41AF8" w:rsidRPr="007D67E8" w:rsidRDefault="00A41AF8" w:rsidP="00FF68BE">
      <w:pPr>
        <w:ind w:left="851"/>
        <w:rPr>
          <w:color w:val="000000"/>
          <w:sz w:val="24"/>
          <w:szCs w:val="24"/>
        </w:rPr>
      </w:pPr>
    </w:p>
    <w:p w14:paraId="4327BA1C" w14:textId="4EE6F65D" w:rsidR="004A1D83" w:rsidRPr="007D67E8" w:rsidRDefault="004A1D83" w:rsidP="00FF68BE">
      <w:pPr>
        <w:ind w:left="851"/>
        <w:rPr>
          <w:color w:val="000000"/>
          <w:sz w:val="24"/>
          <w:szCs w:val="24"/>
          <w:u w:val="single"/>
        </w:rPr>
      </w:pPr>
      <w:r w:rsidRPr="007D67E8">
        <w:rPr>
          <w:color w:val="000000"/>
          <w:sz w:val="24"/>
          <w:szCs w:val="24"/>
          <w:u w:val="single"/>
        </w:rPr>
        <w:t xml:space="preserve">Følsomhed </w:t>
      </w:r>
      <w:r w:rsidRPr="007D67E8">
        <w:rPr>
          <w:i/>
          <w:color w:val="000000"/>
          <w:sz w:val="24"/>
          <w:szCs w:val="24"/>
          <w:u w:val="single"/>
        </w:rPr>
        <w:t>in vitro</w:t>
      </w:r>
      <w:r w:rsidRPr="007D67E8">
        <w:rPr>
          <w:color w:val="000000"/>
          <w:sz w:val="24"/>
          <w:szCs w:val="24"/>
          <w:u w:val="single"/>
        </w:rPr>
        <w:t>:</w:t>
      </w:r>
    </w:p>
    <w:p w14:paraId="661B9C49" w14:textId="1EC8B348" w:rsidR="004A1D83" w:rsidRDefault="004A1D83" w:rsidP="00FF68BE">
      <w:pPr>
        <w:ind w:left="851"/>
        <w:rPr>
          <w:color w:val="000000"/>
          <w:sz w:val="24"/>
          <w:szCs w:val="24"/>
        </w:rPr>
      </w:pPr>
      <w:r w:rsidRPr="007D67E8">
        <w:rPr>
          <w:color w:val="000000"/>
          <w:sz w:val="24"/>
          <w:szCs w:val="24"/>
        </w:rPr>
        <w:t xml:space="preserve">Fluconazol </w:t>
      </w:r>
      <w:r w:rsidRPr="007D67E8">
        <w:rPr>
          <w:i/>
          <w:color w:val="000000"/>
          <w:sz w:val="24"/>
          <w:szCs w:val="24"/>
        </w:rPr>
        <w:t>in vitro</w:t>
      </w:r>
      <w:r w:rsidRPr="007D67E8">
        <w:rPr>
          <w:color w:val="000000"/>
          <w:sz w:val="24"/>
          <w:szCs w:val="24"/>
        </w:rPr>
        <w:t xml:space="preserve"> udviser antimykotisk aktivitet mod de fleste klinisk almindeligt forekommende </w:t>
      </w:r>
      <w:r w:rsidRPr="007D67E8">
        <w:rPr>
          <w:i/>
          <w:iCs/>
          <w:color w:val="000000"/>
          <w:sz w:val="24"/>
          <w:szCs w:val="24"/>
        </w:rPr>
        <w:t>Candida</w:t>
      </w:r>
      <w:r w:rsidRPr="007D67E8">
        <w:rPr>
          <w:color w:val="000000"/>
          <w:sz w:val="24"/>
          <w:szCs w:val="24"/>
        </w:rPr>
        <w:t xml:space="preserve">-arter (herunder </w:t>
      </w:r>
      <w:r w:rsidRPr="007D67E8">
        <w:rPr>
          <w:i/>
          <w:iCs/>
          <w:color w:val="000000"/>
          <w:sz w:val="24"/>
          <w:szCs w:val="24"/>
        </w:rPr>
        <w:t>C. albicans, C. parapsilosis, C. tropicalis</w:t>
      </w:r>
      <w:r w:rsidRPr="007D67E8">
        <w:rPr>
          <w:color w:val="000000"/>
          <w:sz w:val="24"/>
          <w:szCs w:val="24"/>
        </w:rPr>
        <w:t xml:space="preserve">). </w:t>
      </w:r>
      <w:r w:rsidRPr="007D67E8">
        <w:rPr>
          <w:i/>
          <w:iCs/>
          <w:color w:val="000000"/>
          <w:sz w:val="24"/>
          <w:szCs w:val="24"/>
        </w:rPr>
        <w:t>C. glabrata</w:t>
      </w:r>
      <w:r w:rsidRPr="007D67E8">
        <w:rPr>
          <w:color w:val="000000"/>
          <w:sz w:val="24"/>
          <w:szCs w:val="24"/>
        </w:rPr>
        <w:t xml:space="preserve"> viser nedsat følsomhed over for fluconazol, mens </w:t>
      </w:r>
      <w:r w:rsidRPr="007D67E8">
        <w:rPr>
          <w:i/>
          <w:iCs/>
          <w:color w:val="000000"/>
          <w:sz w:val="24"/>
          <w:szCs w:val="24"/>
        </w:rPr>
        <w:t>C. kruisei</w:t>
      </w:r>
      <w:r w:rsidRPr="007D67E8">
        <w:rPr>
          <w:color w:val="000000"/>
          <w:sz w:val="24"/>
          <w:szCs w:val="24"/>
        </w:rPr>
        <w:t xml:space="preserve"> og </w:t>
      </w:r>
      <w:r w:rsidRPr="007D67E8">
        <w:rPr>
          <w:i/>
          <w:iCs/>
          <w:color w:val="000000"/>
          <w:sz w:val="24"/>
          <w:szCs w:val="24"/>
        </w:rPr>
        <w:t>C. auris</w:t>
      </w:r>
      <w:r w:rsidRPr="007D67E8">
        <w:rPr>
          <w:color w:val="000000"/>
          <w:sz w:val="24"/>
          <w:szCs w:val="24"/>
        </w:rPr>
        <w:t xml:space="preserve"> er resistente over for fluconazol. </w:t>
      </w:r>
    </w:p>
    <w:p w14:paraId="557DFAEF" w14:textId="77777777" w:rsidR="00433F6C" w:rsidRPr="007D67E8" w:rsidRDefault="00433F6C" w:rsidP="00433F6C">
      <w:pPr>
        <w:ind w:left="851"/>
        <w:rPr>
          <w:color w:val="000000"/>
          <w:sz w:val="24"/>
          <w:szCs w:val="24"/>
        </w:rPr>
      </w:pPr>
      <w:r w:rsidRPr="00772546">
        <w:rPr>
          <w:color w:val="000000"/>
          <w:sz w:val="24"/>
          <w:szCs w:val="24"/>
        </w:rPr>
        <w:t xml:space="preserve">Fluconazols mindste hæmmende koncentration (MIC) og epidemiologiske cut-off-værdi (ECOFF) for </w:t>
      </w:r>
      <w:r w:rsidRPr="007E0722">
        <w:rPr>
          <w:i/>
          <w:iCs/>
          <w:color w:val="000000"/>
          <w:sz w:val="24"/>
          <w:szCs w:val="24"/>
        </w:rPr>
        <w:t>C. guilliermondii</w:t>
      </w:r>
      <w:r w:rsidRPr="00772546">
        <w:rPr>
          <w:color w:val="000000"/>
          <w:sz w:val="24"/>
          <w:szCs w:val="24"/>
        </w:rPr>
        <w:t xml:space="preserve"> er højere end for </w:t>
      </w:r>
      <w:r w:rsidRPr="007E0722">
        <w:rPr>
          <w:i/>
          <w:iCs/>
          <w:color w:val="000000"/>
          <w:sz w:val="24"/>
          <w:szCs w:val="24"/>
        </w:rPr>
        <w:t>C. albicans</w:t>
      </w:r>
      <w:r w:rsidRPr="00772546">
        <w:rPr>
          <w:color w:val="000000"/>
          <w:sz w:val="24"/>
          <w:szCs w:val="24"/>
        </w:rPr>
        <w:t>.</w:t>
      </w:r>
    </w:p>
    <w:p w14:paraId="0C38802D" w14:textId="77777777" w:rsidR="00A41AF8" w:rsidRPr="007D67E8" w:rsidRDefault="00A41AF8" w:rsidP="00FF68BE">
      <w:pPr>
        <w:ind w:left="851"/>
        <w:rPr>
          <w:color w:val="000000"/>
          <w:sz w:val="24"/>
          <w:szCs w:val="24"/>
        </w:rPr>
      </w:pPr>
    </w:p>
    <w:p w14:paraId="4C478DBC" w14:textId="6F6B8E21" w:rsidR="004A1D83" w:rsidRPr="007D67E8" w:rsidRDefault="004A1D83" w:rsidP="00FF68BE">
      <w:pPr>
        <w:ind w:left="851"/>
        <w:rPr>
          <w:color w:val="000000"/>
          <w:sz w:val="24"/>
          <w:szCs w:val="24"/>
        </w:rPr>
      </w:pPr>
      <w:r w:rsidRPr="007D67E8">
        <w:rPr>
          <w:color w:val="000000"/>
          <w:sz w:val="24"/>
          <w:szCs w:val="24"/>
        </w:rPr>
        <w:t xml:space="preserve">Fluconazol udviser også aktivitet </w:t>
      </w:r>
      <w:r w:rsidRPr="007D67E8">
        <w:rPr>
          <w:i/>
          <w:color w:val="000000"/>
          <w:sz w:val="24"/>
          <w:szCs w:val="24"/>
        </w:rPr>
        <w:t>in vitro</w:t>
      </w:r>
      <w:r w:rsidRPr="007D67E8">
        <w:rPr>
          <w:color w:val="000000"/>
          <w:sz w:val="24"/>
          <w:szCs w:val="24"/>
        </w:rPr>
        <w:t xml:space="preserve"> mod </w:t>
      </w:r>
      <w:r w:rsidRPr="007D67E8">
        <w:rPr>
          <w:i/>
          <w:iCs/>
          <w:color w:val="000000"/>
          <w:sz w:val="24"/>
          <w:szCs w:val="24"/>
        </w:rPr>
        <w:t>Cryptococcus neoformans</w:t>
      </w:r>
      <w:r w:rsidRPr="007D67E8">
        <w:rPr>
          <w:color w:val="000000"/>
          <w:sz w:val="24"/>
          <w:szCs w:val="24"/>
        </w:rPr>
        <w:t xml:space="preserve"> og </w:t>
      </w:r>
      <w:r w:rsidRPr="007D67E8">
        <w:rPr>
          <w:i/>
          <w:iCs/>
          <w:color w:val="000000"/>
          <w:sz w:val="24"/>
          <w:szCs w:val="24"/>
        </w:rPr>
        <w:t>Cryptococcus gattii</w:t>
      </w:r>
      <w:r w:rsidRPr="007D67E8">
        <w:rPr>
          <w:color w:val="000000"/>
          <w:sz w:val="24"/>
          <w:szCs w:val="24"/>
        </w:rPr>
        <w:t xml:space="preserve"> såvel som de endemiske skimmelsvampe </w:t>
      </w:r>
      <w:r w:rsidRPr="007D67E8">
        <w:rPr>
          <w:i/>
          <w:iCs/>
          <w:color w:val="000000"/>
          <w:sz w:val="24"/>
          <w:szCs w:val="24"/>
        </w:rPr>
        <w:t>Blastomyces dermatiditis, Coccidioides immitis, Histoplasma capsulatum</w:t>
      </w:r>
      <w:r w:rsidRPr="007D67E8">
        <w:rPr>
          <w:color w:val="000000"/>
          <w:sz w:val="24"/>
          <w:szCs w:val="24"/>
        </w:rPr>
        <w:t xml:space="preserve"> og </w:t>
      </w:r>
      <w:r w:rsidRPr="007D67E8">
        <w:rPr>
          <w:i/>
          <w:iCs/>
          <w:color w:val="000000"/>
          <w:sz w:val="24"/>
          <w:szCs w:val="24"/>
        </w:rPr>
        <w:t>Paracoccidioides brasiliensis</w:t>
      </w:r>
      <w:r w:rsidRPr="007D67E8">
        <w:rPr>
          <w:color w:val="000000"/>
          <w:sz w:val="24"/>
          <w:szCs w:val="24"/>
        </w:rPr>
        <w:t xml:space="preserve">. </w:t>
      </w:r>
    </w:p>
    <w:p w14:paraId="24E4660C" w14:textId="77777777" w:rsidR="00A41AF8" w:rsidRPr="007D67E8" w:rsidRDefault="00A41AF8" w:rsidP="00FF68BE">
      <w:pPr>
        <w:ind w:left="851"/>
        <w:rPr>
          <w:color w:val="000000"/>
          <w:sz w:val="24"/>
          <w:szCs w:val="24"/>
        </w:rPr>
      </w:pPr>
    </w:p>
    <w:p w14:paraId="701550BE" w14:textId="6E99FF4F" w:rsidR="004A1D83" w:rsidRPr="007D67E8" w:rsidRDefault="004A1D83" w:rsidP="00FF68BE">
      <w:pPr>
        <w:ind w:left="851"/>
        <w:rPr>
          <w:color w:val="000000"/>
          <w:sz w:val="24"/>
          <w:szCs w:val="24"/>
          <w:u w:val="single"/>
        </w:rPr>
      </w:pPr>
      <w:r w:rsidRPr="007D67E8">
        <w:rPr>
          <w:color w:val="000000"/>
          <w:sz w:val="24"/>
          <w:szCs w:val="24"/>
          <w:u w:val="single"/>
        </w:rPr>
        <w:t>Farmakokinetik og farmakodynamik forhold</w:t>
      </w:r>
    </w:p>
    <w:p w14:paraId="7CC774FE" w14:textId="77777777" w:rsidR="004A1D83" w:rsidRPr="007D67E8" w:rsidRDefault="004A1D83" w:rsidP="00FF68BE">
      <w:pPr>
        <w:ind w:left="851"/>
        <w:rPr>
          <w:color w:val="000000"/>
          <w:sz w:val="24"/>
          <w:szCs w:val="24"/>
        </w:rPr>
      </w:pPr>
      <w:r w:rsidRPr="007D67E8">
        <w:rPr>
          <w:color w:val="000000"/>
          <w:sz w:val="24"/>
          <w:szCs w:val="24"/>
        </w:rPr>
        <w:lastRenderedPageBreak/>
        <w:t xml:space="preserve">I dyrestudier er der sammenhæng mellem MIC-værdier og virkningen mod eksperimentelle mykoser forårsaget af </w:t>
      </w:r>
      <w:r w:rsidRPr="007D67E8">
        <w:rPr>
          <w:i/>
          <w:iCs/>
          <w:color w:val="000000"/>
          <w:sz w:val="24"/>
          <w:szCs w:val="24"/>
        </w:rPr>
        <w:t>Candida</w:t>
      </w:r>
      <w:r w:rsidRPr="007D67E8">
        <w:rPr>
          <w:color w:val="000000"/>
          <w:sz w:val="24"/>
          <w:szCs w:val="24"/>
        </w:rPr>
        <w:t xml:space="preserve">-spp. I kliniske studier er der en næsten lineær 1:1-sammenhæng mellem AUC og dosis af fluconazol. Der er også et direkte, men ufuldstændig, forhold mellem AUC eller dosis og et vellykket klinisk respons på oral candidose og i mindre grad candidæmi over for behandlingen. Ligeledes er helbredelse mindre sandsynlig for infektioner forårsaget af stammer med højere MIC af fluconazol. </w:t>
      </w:r>
    </w:p>
    <w:p w14:paraId="4AB2F0F6" w14:textId="77777777" w:rsidR="00A41AF8" w:rsidRPr="007D67E8" w:rsidRDefault="00A41AF8" w:rsidP="00FF68BE">
      <w:pPr>
        <w:ind w:left="851"/>
        <w:rPr>
          <w:color w:val="000000"/>
          <w:sz w:val="24"/>
          <w:szCs w:val="24"/>
        </w:rPr>
      </w:pPr>
    </w:p>
    <w:p w14:paraId="0AE02ABD" w14:textId="692BA702" w:rsidR="004A1D83" w:rsidRPr="007D67E8" w:rsidRDefault="004A1D83" w:rsidP="00FF68BE">
      <w:pPr>
        <w:ind w:left="851"/>
        <w:rPr>
          <w:color w:val="000000"/>
          <w:sz w:val="24"/>
          <w:szCs w:val="24"/>
          <w:u w:val="single"/>
        </w:rPr>
      </w:pPr>
      <w:r w:rsidRPr="007D67E8">
        <w:rPr>
          <w:color w:val="000000"/>
          <w:sz w:val="24"/>
          <w:szCs w:val="24"/>
          <w:u w:val="single"/>
        </w:rPr>
        <w:t xml:space="preserve">Resistensmekanismer </w:t>
      </w:r>
    </w:p>
    <w:p w14:paraId="54D44EE1" w14:textId="5EB8FE57" w:rsidR="004A1D83" w:rsidRDefault="004A1D83" w:rsidP="00FF68BE">
      <w:pPr>
        <w:ind w:left="851"/>
        <w:rPr>
          <w:color w:val="000000"/>
          <w:sz w:val="24"/>
          <w:szCs w:val="24"/>
        </w:rPr>
      </w:pPr>
      <w:r w:rsidRPr="007D67E8">
        <w:rPr>
          <w:i/>
          <w:iCs/>
          <w:color w:val="000000"/>
          <w:sz w:val="24"/>
          <w:szCs w:val="24"/>
        </w:rPr>
        <w:t>Candida</w:t>
      </w:r>
      <w:r w:rsidRPr="007D67E8">
        <w:rPr>
          <w:color w:val="000000"/>
          <w:sz w:val="24"/>
          <w:szCs w:val="24"/>
        </w:rPr>
        <w:t xml:space="preserve"> spp har udviklet en række resistensmekanismer over for antimykotika. Svampestammer, der har udviklet en eller flere af disse resistensmekanismer, udviser høje mindste hæmmende koncentration (MIC) over for fluconazol, hvilket har negativ virkning på effekten </w:t>
      </w:r>
      <w:r w:rsidRPr="007D67E8">
        <w:rPr>
          <w:i/>
          <w:color w:val="000000"/>
          <w:sz w:val="24"/>
          <w:szCs w:val="24"/>
        </w:rPr>
        <w:t>in vivo</w:t>
      </w:r>
      <w:r w:rsidRPr="007D67E8">
        <w:rPr>
          <w:color w:val="000000"/>
          <w:sz w:val="24"/>
          <w:szCs w:val="24"/>
        </w:rPr>
        <w:t xml:space="preserve"> og klinisk.</w:t>
      </w:r>
    </w:p>
    <w:p w14:paraId="7A022F23" w14:textId="40D74242" w:rsidR="00433F6C" w:rsidRDefault="00433F6C" w:rsidP="00FF68BE">
      <w:pPr>
        <w:ind w:left="851"/>
        <w:rPr>
          <w:color w:val="000000"/>
          <w:sz w:val="24"/>
          <w:szCs w:val="24"/>
        </w:rPr>
      </w:pPr>
    </w:p>
    <w:p w14:paraId="643CA9FA" w14:textId="77777777" w:rsidR="00433F6C" w:rsidRDefault="00433F6C" w:rsidP="00433F6C">
      <w:pPr>
        <w:ind w:left="851"/>
        <w:rPr>
          <w:color w:val="000000"/>
          <w:sz w:val="24"/>
          <w:szCs w:val="24"/>
        </w:rPr>
      </w:pPr>
      <w:r w:rsidRPr="00772546">
        <w:rPr>
          <w:color w:val="000000"/>
          <w:sz w:val="24"/>
          <w:szCs w:val="24"/>
        </w:rPr>
        <w:t xml:space="preserve">Hos de almindeligvis følsomme arter af </w:t>
      </w:r>
      <w:r w:rsidRPr="007E0722">
        <w:rPr>
          <w:i/>
          <w:iCs/>
          <w:color w:val="000000"/>
          <w:sz w:val="24"/>
          <w:szCs w:val="24"/>
        </w:rPr>
        <w:t>Candida</w:t>
      </w:r>
      <w:r w:rsidRPr="00772546">
        <w:rPr>
          <w:color w:val="000000"/>
          <w:sz w:val="24"/>
          <w:szCs w:val="24"/>
        </w:rPr>
        <w:t xml:space="preserve"> omfatter den oftest forekommende resistensmekanisme målenzymerne for azolerne, som er ansvarlige for biosyntesen af ergosterol. Resistens kan være forårsaget af mutation, øget enzymproduktion, lægemiddelefflux mekanismer eller udvikling af kompenserende pathways.</w:t>
      </w:r>
    </w:p>
    <w:p w14:paraId="2E6174E9" w14:textId="77777777" w:rsidR="00A41AF8" w:rsidRPr="007D67E8" w:rsidRDefault="00A41AF8" w:rsidP="00FF68BE">
      <w:pPr>
        <w:ind w:left="851"/>
        <w:rPr>
          <w:color w:val="000000"/>
          <w:sz w:val="24"/>
          <w:szCs w:val="24"/>
        </w:rPr>
      </w:pPr>
    </w:p>
    <w:p w14:paraId="6FE2ECBF" w14:textId="4F5A6EDB" w:rsidR="004A1D83" w:rsidRDefault="004A1D83" w:rsidP="00FF68BE">
      <w:pPr>
        <w:ind w:left="851"/>
        <w:rPr>
          <w:color w:val="000000"/>
          <w:sz w:val="24"/>
          <w:szCs w:val="24"/>
        </w:rPr>
      </w:pPr>
      <w:r w:rsidRPr="007D67E8">
        <w:rPr>
          <w:color w:val="000000"/>
          <w:sz w:val="24"/>
          <w:szCs w:val="24"/>
        </w:rPr>
        <w:t xml:space="preserve">Der er beskrevet superinfektion med andre </w:t>
      </w:r>
      <w:r w:rsidRPr="007D67E8">
        <w:rPr>
          <w:i/>
          <w:iCs/>
          <w:color w:val="000000"/>
          <w:sz w:val="24"/>
          <w:szCs w:val="24"/>
        </w:rPr>
        <w:t>Candida</w:t>
      </w:r>
      <w:r w:rsidRPr="007D67E8">
        <w:rPr>
          <w:color w:val="000000"/>
          <w:sz w:val="24"/>
          <w:szCs w:val="24"/>
        </w:rPr>
        <w:t xml:space="preserve">-arter end </w:t>
      </w:r>
      <w:r w:rsidRPr="007D67E8">
        <w:rPr>
          <w:i/>
          <w:iCs/>
          <w:color w:val="000000"/>
          <w:sz w:val="24"/>
          <w:szCs w:val="24"/>
        </w:rPr>
        <w:t>C. albicans</w:t>
      </w:r>
      <w:r w:rsidRPr="007D67E8">
        <w:rPr>
          <w:color w:val="000000"/>
          <w:sz w:val="24"/>
          <w:szCs w:val="24"/>
        </w:rPr>
        <w:t>, som ofte af natur udviser nedsat følsomhed (</w:t>
      </w:r>
      <w:proofErr w:type="gramStart"/>
      <w:r w:rsidRPr="007D67E8">
        <w:rPr>
          <w:i/>
          <w:iCs/>
          <w:color w:val="000000"/>
          <w:sz w:val="24"/>
          <w:szCs w:val="24"/>
        </w:rPr>
        <w:t>C.glabrata</w:t>
      </w:r>
      <w:proofErr w:type="gramEnd"/>
      <w:r w:rsidRPr="007D67E8">
        <w:rPr>
          <w:color w:val="000000"/>
          <w:sz w:val="24"/>
          <w:szCs w:val="24"/>
        </w:rPr>
        <w:t xml:space="preserve">) eller resistens over for fluconazol (f.eks. </w:t>
      </w:r>
      <w:r w:rsidRPr="007D67E8">
        <w:rPr>
          <w:i/>
          <w:iCs/>
          <w:color w:val="000000"/>
          <w:sz w:val="24"/>
          <w:szCs w:val="24"/>
        </w:rPr>
        <w:t>C. krusei, C. auris</w:t>
      </w:r>
      <w:r w:rsidRPr="007D67E8">
        <w:rPr>
          <w:color w:val="000000"/>
          <w:sz w:val="24"/>
          <w:szCs w:val="24"/>
        </w:rPr>
        <w:t xml:space="preserve">). Sådanne infektioner kan kræve anden fungicid behandling. </w:t>
      </w:r>
    </w:p>
    <w:p w14:paraId="5B5B9DBA" w14:textId="64BEBE10" w:rsidR="00433F6C" w:rsidRPr="007D67E8" w:rsidRDefault="00433F6C" w:rsidP="00FF68BE">
      <w:pPr>
        <w:ind w:left="851"/>
        <w:rPr>
          <w:color w:val="000000"/>
          <w:sz w:val="24"/>
          <w:szCs w:val="24"/>
        </w:rPr>
      </w:pPr>
      <w:r w:rsidRPr="00772546">
        <w:rPr>
          <w:color w:val="000000"/>
          <w:sz w:val="24"/>
          <w:szCs w:val="24"/>
        </w:rPr>
        <w:t>Resistensmekanismerne er ikke fuldt belyst for nogle af de intrinsic resistente (</w:t>
      </w:r>
      <w:r w:rsidRPr="007E0722">
        <w:rPr>
          <w:i/>
          <w:iCs/>
          <w:color w:val="000000"/>
          <w:sz w:val="24"/>
          <w:szCs w:val="24"/>
        </w:rPr>
        <w:t>C. krusei</w:t>
      </w:r>
      <w:r w:rsidRPr="00772546">
        <w:rPr>
          <w:color w:val="000000"/>
          <w:sz w:val="24"/>
          <w:szCs w:val="24"/>
        </w:rPr>
        <w:t>) eller nye (</w:t>
      </w:r>
      <w:r w:rsidRPr="007E0722">
        <w:rPr>
          <w:i/>
          <w:iCs/>
          <w:color w:val="000000"/>
          <w:sz w:val="24"/>
          <w:szCs w:val="24"/>
        </w:rPr>
        <w:t>C. auris</w:t>
      </w:r>
      <w:r w:rsidRPr="00772546">
        <w:rPr>
          <w:color w:val="000000"/>
          <w:sz w:val="24"/>
          <w:szCs w:val="24"/>
        </w:rPr>
        <w:t xml:space="preserve">) arter af </w:t>
      </w:r>
      <w:r w:rsidRPr="007E0722">
        <w:rPr>
          <w:i/>
          <w:iCs/>
          <w:color w:val="000000"/>
          <w:sz w:val="24"/>
          <w:szCs w:val="24"/>
        </w:rPr>
        <w:t>Candida</w:t>
      </w:r>
      <w:r w:rsidRPr="00772546">
        <w:rPr>
          <w:color w:val="000000"/>
          <w:sz w:val="24"/>
          <w:szCs w:val="24"/>
        </w:rPr>
        <w:t>.</w:t>
      </w:r>
    </w:p>
    <w:p w14:paraId="7A833CAF" w14:textId="77777777" w:rsidR="00A41AF8" w:rsidRPr="007D67E8" w:rsidRDefault="00A41AF8" w:rsidP="00FF68BE">
      <w:pPr>
        <w:ind w:left="851"/>
        <w:rPr>
          <w:color w:val="000000"/>
          <w:sz w:val="24"/>
          <w:szCs w:val="24"/>
        </w:rPr>
      </w:pPr>
    </w:p>
    <w:p w14:paraId="6FA14183" w14:textId="6BCEE064" w:rsidR="004A1D83" w:rsidRPr="000B4873" w:rsidRDefault="004A1D83" w:rsidP="00FF68BE">
      <w:pPr>
        <w:ind w:left="851"/>
        <w:rPr>
          <w:color w:val="000000"/>
          <w:sz w:val="24"/>
          <w:szCs w:val="24"/>
          <w:u w:val="single"/>
          <w:lang w:val="en-US"/>
        </w:rPr>
      </w:pPr>
      <w:r w:rsidRPr="000B4873">
        <w:rPr>
          <w:color w:val="000000"/>
          <w:sz w:val="24"/>
          <w:szCs w:val="24"/>
          <w:u w:val="single"/>
          <w:lang w:val="en-US"/>
        </w:rPr>
        <w:t xml:space="preserve">Breakpoints (ifølge EUCAST) </w:t>
      </w:r>
    </w:p>
    <w:p w14:paraId="185B2E9C" w14:textId="1DEDE3A4" w:rsidR="004A1D83" w:rsidRPr="007D67E8" w:rsidRDefault="004A1D83" w:rsidP="00FF68BE">
      <w:pPr>
        <w:ind w:left="851"/>
        <w:rPr>
          <w:color w:val="000000"/>
          <w:sz w:val="24"/>
          <w:szCs w:val="24"/>
        </w:rPr>
      </w:pPr>
      <w:r w:rsidRPr="00433F6C">
        <w:rPr>
          <w:color w:val="000000"/>
          <w:sz w:val="24"/>
          <w:szCs w:val="24"/>
          <w:lang w:val="en-US"/>
        </w:rPr>
        <w:t xml:space="preserve">Baseret på analyser af farmakokinetiske/farmakodynamiske (PK-/PD)-data, følsomhed </w:t>
      </w:r>
      <w:r w:rsidRPr="00433F6C">
        <w:rPr>
          <w:i/>
          <w:color w:val="000000"/>
          <w:sz w:val="24"/>
          <w:szCs w:val="24"/>
          <w:lang w:val="en-US"/>
        </w:rPr>
        <w:t xml:space="preserve">in vitro </w:t>
      </w:r>
      <w:r w:rsidRPr="00433F6C">
        <w:rPr>
          <w:color w:val="000000"/>
          <w:sz w:val="24"/>
          <w:szCs w:val="24"/>
          <w:lang w:val="en-US"/>
        </w:rPr>
        <w:t xml:space="preserve">og klinisk respons har EUCAST-AFST (European Committee on Antimicrobial susceptibility Testing-subcommittee on Antifungal Susceptibility Testing) fastlagt breakpoints for fluconazol for </w:t>
      </w:r>
      <w:r w:rsidRPr="00433F6C">
        <w:rPr>
          <w:i/>
          <w:iCs/>
          <w:color w:val="000000"/>
          <w:sz w:val="24"/>
          <w:szCs w:val="24"/>
          <w:lang w:val="en-US"/>
        </w:rPr>
        <w:t>Candida</w:t>
      </w:r>
      <w:r w:rsidRPr="00433F6C">
        <w:rPr>
          <w:color w:val="000000"/>
          <w:sz w:val="24"/>
          <w:szCs w:val="24"/>
          <w:lang w:val="en-US"/>
        </w:rPr>
        <w:t>-arter (EUCAST Fluconazole rational document</w:t>
      </w:r>
      <w:r w:rsidR="00433F6C" w:rsidRPr="00433F6C">
        <w:rPr>
          <w:color w:val="000000"/>
          <w:sz w:val="24"/>
          <w:szCs w:val="24"/>
          <w:lang w:val="en-US"/>
        </w:rPr>
        <w:t xml:space="preserve">(2020)-version 3; European Committee on Antimicrobial Susceptibility Testing, Antifungal Agents, Breakpoint tables for interpretation of MICs, version 10.0, gældende fra 2020-02-04). </w:t>
      </w:r>
      <w:r w:rsidRPr="00433F6C">
        <w:rPr>
          <w:color w:val="000000"/>
          <w:sz w:val="24"/>
          <w:szCs w:val="24"/>
          <w:lang w:val="en-US"/>
        </w:rPr>
        <w:t xml:space="preserve"> </w:t>
      </w:r>
      <w:r w:rsidRPr="007D67E8">
        <w:rPr>
          <w:color w:val="000000"/>
          <w:sz w:val="24"/>
          <w:szCs w:val="24"/>
        </w:rPr>
        <w:t>Disse er opdelt i ikke-artsrelaterede breakpoints, som hovedsageligt er fastlagt på basis af PK/PD-data og er uafhængige af MIC-distributioner for specifikke arter, og artsrelaterede breakpoints for arter, der hyppigst forbindes med humane infektioner. Disse breakpoints er angivet i nedenstående tabel:</w:t>
      </w:r>
    </w:p>
    <w:p w14:paraId="20E08FF1" w14:textId="77777777" w:rsidR="00A41AF8" w:rsidRPr="007D67E8" w:rsidRDefault="00A41AF8" w:rsidP="00FF68BE">
      <w:pPr>
        <w:ind w:left="851"/>
        <w:rPr>
          <w:color w:val="000000"/>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594"/>
        <w:gridCol w:w="950"/>
        <w:gridCol w:w="1240"/>
        <w:gridCol w:w="1255"/>
        <w:gridCol w:w="955"/>
        <w:gridCol w:w="1245"/>
        <w:gridCol w:w="1030"/>
        <w:gridCol w:w="1353"/>
      </w:tblGrid>
      <w:tr w:rsidR="00433F6C" w:rsidRPr="007D67E8" w14:paraId="061895D5" w14:textId="77777777" w:rsidTr="000B4873">
        <w:tc>
          <w:tcPr>
            <w:tcW w:w="828" w:type="pct"/>
            <w:tcBorders>
              <w:top w:val="outset" w:sz="6" w:space="0" w:color="7B7B7B"/>
              <w:left w:val="outset" w:sz="6" w:space="0" w:color="7B7B7B"/>
              <w:bottom w:val="outset" w:sz="6" w:space="0" w:color="7B7B7B"/>
              <w:right w:val="outset" w:sz="6" w:space="0" w:color="7B7B7B"/>
            </w:tcBorders>
            <w:hideMark/>
          </w:tcPr>
          <w:p w14:paraId="442321EE" w14:textId="77777777" w:rsidR="00433F6C" w:rsidRPr="007D67E8" w:rsidRDefault="00433F6C" w:rsidP="000B4873">
            <w:pPr>
              <w:tabs>
                <w:tab w:val="left" w:pos="1304"/>
              </w:tabs>
              <w:rPr>
                <w:color w:val="000000"/>
                <w:sz w:val="24"/>
                <w:szCs w:val="24"/>
              </w:rPr>
            </w:pPr>
            <w:r w:rsidRPr="007D67E8">
              <w:rPr>
                <w:color w:val="000000"/>
                <w:sz w:val="24"/>
                <w:szCs w:val="24"/>
              </w:rPr>
              <w:t>Antimykotikum</w:t>
            </w:r>
          </w:p>
        </w:tc>
        <w:tc>
          <w:tcPr>
            <w:tcW w:w="3469" w:type="pct"/>
            <w:gridSpan w:val="6"/>
            <w:tcBorders>
              <w:top w:val="outset" w:sz="6" w:space="0" w:color="7B7B7B"/>
              <w:left w:val="outset" w:sz="6" w:space="0" w:color="7B7B7B"/>
              <w:bottom w:val="outset" w:sz="6" w:space="0" w:color="7B7B7B"/>
              <w:right w:val="outset" w:sz="6" w:space="0" w:color="7B7B7B"/>
            </w:tcBorders>
          </w:tcPr>
          <w:p w14:paraId="12D979CF" w14:textId="77777777" w:rsidR="00433F6C" w:rsidRPr="007D67E8" w:rsidRDefault="00433F6C" w:rsidP="000B4873">
            <w:pPr>
              <w:tabs>
                <w:tab w:val="left" w:pos="1304"/>
              </w:tabs>
              <w:rPr>
                <w:color w:val="000000"/>
                <w:sz w:val="24"/>
                <w:szCs w:val="24"/>
              </w:rPr>
            </w:pPr>
            <w:r w:rsidRPr="007D67E8">
              <w:rPr>
                <w:color w:val="000000"/>
                <w:sz w:val="24"/>
                <w:szCs w:val="24"/>
              </w:rPr>
              <w:t>Artsrelaterede breakpoints</w:t>
            </w:r>
            <w:r>
              <w:rPr>
                <w:color w:val="000000"/>
                <w:sz w:val="24"/>
                <w:szCs w:val="24"/>
              </w:rPr>
              <w:t xml:space="preserve"> i mg/l</w:t>
            </w:r>
            <w:r w:rsidRPr="007D67E8">
              <w:rPr>
                <w:color w:val="000000"/>
                <w:sz w:val="24"/>
                <w:szCs w:val="24"/>
              </w:rPr>
              <w:t xml:space="preserve"> (S≤/R&gt;)</w:t>
            </w:r>
          </w:p>
        </w:tc>
        <w:tc>
          <w:tcPr>
            <w:tcW w:w="703" w:type="pct"/>
            <w:tcBorders>
              <w:top w:val="outset" w:sz="6" w:space="0" w:color="7B7B7B"/>
              <w:left w:val="outset" w:sz="6" w:space="0" w:color="7B7B7B"/>
              <w:bottom w:val="outset" w:sz="6" w:space="0" w:color="7B7B7B"/>
              <w:right w:val="outset" w:sz="6" w:space="0" w:color="7B7B7B"/>
            </w:tcBorders>
            <w:hideMark/>
          </w:tcPr>
          <w:p w14:paraId="3C22C594" w14:textId="77777777" w:rsidR="00433F6C" w:rsidRPr="007D67E8" w:rsidRDefault="00433F6C" w:rsidP="000B4873">
            <w:pPr>
              <w:tabs>
                <w:tab w:val="left" w:pos="1304"/>
              </w:tabs>
              <w:rPr>
                <w:color w:val="000000"/>
                <w:sz w:val="24"/>
                <w:szCs w:val="24"/>
              </w:rPr>
            </w:pPr>
            <w:r w:rsidRPr="007D67E8">
              <w:rPr>
                <w:color w:val="000000"/>
                <w:sz w:val="24"/>
                <w:szCs w:val="24"/>
              </w:rPr>
              <w:t>Ikke-artsrelaterede breakpoints</w:t>
            </w:r>
            <w:r w:rsidRPr="007D67E8">
              <w:rPr>
                <w:color w:val="000000"/>
                <w:sz w:val="24"/>
                <w:szCs w:val="24"/>
                <w:vertAlign w:val="superscript"/>
              </w:rPr>
              <w:t>A</w:t>
            </w:r>
          </w:p>
          <w:p w14:paraId="1D028E44" w14:textId="77777777" w:rsidR="00433F6C" w:rsidRPr="007D67E8" w:rsidRDefault="00433F6C" w:rsidP="000B4873">
            <w:pPr>
              <w:tabs>
                <w:tab w:val="left" w:pos="1304"/>
              </w:tabs>
              <w:rPr>
                <w:color w:val="000000"/>
                <w:sz w:val="24"/>
                <w:szCs w:val="24"/>
              </w:rPr>
            </w:pPr>
            <w:r w:rsidRPr="007D67E8">
              <w:rPr>
                <w:color w:val="000000"/>
                <w:sz w:val="24"/>
                <w:szCs w:val="24"/>
              </w:rPr>
              <w:t>S≤/R&gt;</w:t>
            </w:r>
            <w:r>
              <w:rPr>
                <w:color w:val="000000"/>
                <w:sz w:val="24"/>
                <w:szCs w:val="24"/>
              </w:rPr>
              <w:t xml:space="preserve"> i mg/l</w:t>
            </w:r>
          </w:p>
        </w:tc>
      </w:tr>
      <w:tr w:rsidR="00433F6C" w:rsidRPr="007D67E8" w14:paraId="1D19B6D2" w14:textId="77777777" w:rsidTr="000B4873">
        <w:trPr>
          <w:trHeight w:val="611"/>
        </w:trPr>
        <w:tc>
          <w:tcPr>
            <w:tcW w:w="828" w:type="pct"/>
            <w:tcBorders>
              <w:top w:val="outset" w:sz="6" w:space="0" w:color="7B7B7B"/>
              <w:left w:val="outset" w:sz="6" w:space="0" w:color="7B7B7B"/>
              <w:bottom w:val="outset" w:sz="6" w:space="0" w:color="7B7B7B"/>
              <w:right w:val="outset" w:sz="6" w:space="0" w:color="7B7B7B"/>
            </w:tcBorders>
            <w:hideMark/>
          </w:tcPr>
          <w:p w14:paraId="7838B8A9" w14:textId="77777777" w:rsidR="00433F6C" w:rsidRPr="007D67E8" w:rsidRDefault="00433F6C" w:rsidP="000B4873">
            <w:pPr>
              <w:rPr>
                <w:color w:val="000000"/>
                <w:sz w:val="24"/>
                <w:szCs w:val="24"/>
              </w:rPr>
            </w:pPr>
          </w:p>
        </w:tc>
        <w:tc>
          <w:tcPr>
            <w:tcW w:w="494" w:type="pct"/>
            <w:tcBorders>
              <w:top w:val="outset" w:sz="6" w:space="0" w:color="7B7B7B"/>
              <w:left w:val="outset" w:sz="6" w:space="0" w:color="7B7B7B"/>
              <w:bottom w:val="outset" w:sz="6" w:space="0" w:color="7B7B7B"/>
              <w:right w:val="outset" w:sz="6" w:space="0" w:color="7B7B7B"/>
            </w:tcBorders>
            <w:hideMark/>
          </w:tcPr>
          <w:p w14:paraId="331112A6" w14:textId="77777777" w:rsidR="00433F6C" w:rsidRPr="007D67E8" w:rsidRDefault="00433F6C" w:rsidP="000B4873">
            <w:pPr>
              <w:tabs>
                <w:tab w:val="left" w:pos="1304"/>
              </w:tabs>
              <w:rPr>
                <w:color w:val="000000"/>
                <w:sz w:val="24"/>
                <w:szCs w:val="24"/>
              </w:rPr>
            </w:pPr>
            <w:r w:rsidRPr="007D67E8">
              <w:rPr>
                <w:i/>
                <w:iCs/>
                <w:color w:val="000000"/>
                <w:sz w:val="24"/>
                <w:szCs w:val="24"/>
              </w:rPr>
              <w:t>Candida albicans</w:t>
            </w:r>
            <w:r w:rsidRPr="007D67E8">
              <w:rPr>
                <w:color w:val="000000"/>
                <w:sz w:val="24"/>
                <w:szCs w:val="24"/>
              </w:rPr>
              <w:t xml:space="preserve"> </w:t>
            </w:r>
          </w:p>
        </w:tc>
        <w:tc>
          <w:tcPr>
            <w:tcW w:w="645" w:type="pct"/>
            <w:tcBorders>
              <w:top w:val="outset" w:sz="6" w:space="0" w:color="7B7B7B"/>
              <w:left w:val="outset" w:sz="6" w:space="0" w:color="7B7B7B"/>
              <w:bottom w:val="outset" w:sz="6" w:space="0" w:color="7B7B7B"/>
              <w:right w:val="outset" w:sz="6" w:space="0" w:color="7B7B7B"/>
            </w:tcBorders>
          </w:tcPr>
          <w:p w14:paraId="31052978" w14:textId="77777777" w:rsidR="00433F6C" w:rsidRPr="00C82BC7" w:rsidRDefault="00433F6C" w:rsidP="000B4873">
            <w:pPr>
              <w:tabs>
                <w:tab w:val="left" w:pos="1304"/>
              </w:tabs>
              <w:rPr>
                <w:i/>
                <w:iCs/>
                <w:color w:val="000000"/>
                <w:sz w:val="24"/>
                <w:szCs w:val="24"/>
              </w:rPr>
            </w:pPr>
            <w:r w:rsidRPr="00C82BC7">
              <w:rPr>
                <w:i/>
                <w:iCs/>
                <w:color w:val="000000"/>
                <w:sz w:val="24"/>
                <w:szCs w:val="24"/>
              </w:rPr>
              <w:t>Candida</w:t>
            </w:r>
          </w:p>
          <w:p w14:paraId="2E14BF28" w14:textId="77777777" w:rsidR="00433F6C" w:rsidRPr="007D67E8" w:rsidRDefault="00433F6C" w:rsidP="000B4873">
            <w:pPr>
              <w:tabs>
                <w:tab w:val="left" w:pos="1304"/>
              </w:tabs>
              <w:rPr>
                <w:i/>
                <w:iCs/>
                <w:color w:val="000000"/>
                <w:sz w:val="24"/>
                <w:szCs w:val="24"/>
              </w:rPr>
            </w:pPr>
            <w:r w:rsidRPr="00C82BC7">
              <w:rPr>
                <w:i/>
                <w:iCs/>
                <w:color w:val="000000"/>
                <w:sz w:val="24"/>
                <w:szCs w:val="24"/>
              </w:rPr>
              <w:t>dubliniensis</w:t>
            </w:r>
          </w:p>
        </w:tc>
        <w:tc>
          <w:tcPr>
            <w:tcW w:w="652" w:type="pct"/>
            <w:tcBorders>
              <w:top w:val="outset" w:sz="6" w:space="0" w:color="7B7B7B"/>
              <w:left w:val="outset" w:sz="6" w:space="0" w:color="7B7B7B"/>
              <w:bottom w:val="outset" w:sz="6" w:space="0" w:color="7B7B7B"/>
              <w:right w:val="outset" w:sz="6" w:space="0" w:color="7B7B7B"/>
            </w:tcBorders>
            <w:hideMark/>
          </w:tcPr>
          <w:p w14:paraId="6CF61DD9" w14:textId="77777777" w:rsidR="00433F6C" w:rsidRPr="007D67E8" w:rsidRDefault="00433F6C" w:rsidP="000B4873">
            <w:pPr>
              <w:tabs>
                <w:tab w:val="left" w:pos="1304"/>
              </w:tabs>
              <w:rPr>
                <w:color w:val="000000"/>
                <w:sz w:val="24"/>
                <w:szCs w:val="24"/>
              </w:rPr>
            </w:pPr>
            <w:r w:rsidRPr="007D67E8">
              <w:rPr>
                <w:i/>
                <w:iCs/>
                <w:color w:val="000000"/>
                <w:sz w:val="24"/>
                <w:szCs w:val="24"/>
              </w:rPr>
              <w:t>Candida glabrata</w:t>
            </w:r>
            <w:r w:rsidRPr="007D67E8">
              <w:rPr>
                <w:color w:val="000000"/>
                <w:sz w:val="24"/>
                <w:szCs w:val="24"/>
              </w:rPr>
              <w:t xml:space="preserve"> </w:t>
            </w:r>
          </w:p>
        </w:tc>
        <w:tc>
          <w:tcPr>
            <w:tcW w:w="496" w:type="pct"/>
            <w:tcBorders>
              <w:top w:val="outset" w:sz="6" w:space="0" w:color="7B7B7B"/>
              <w:left w:val="outset" w:sz="6" w:space="0" w:color="7B7B7B"/>
              <w:bottom w:val="outset" w:sz="6" w:space="0" w:color="7B7B7B"/>
              <w:right w:val="outset" w:sz="6" w:space="0" w:color="7B7B7B"/>
            </w:tcBorders>
            <w:hideMark/>
          </w:tcPr>
          <w:p w14:paraId="38E3F024" w14:textId="77777777" w:rsidR="00433F6C" w:rsidRPr="007D67E8" w:rsidRDefault="00433F6C" w:rsidP="000B4873">
            <w:pPr>
              <w:tabs>
                <w:tab w:val="left" w:pos="1304"/>
              </w:tabs>
              <w:rPr>
                <w:color w:val="000000"/>
                <w:sz w:val="24"/>
                <w:szCs w:val="24"/>
              </w:rPr>
            </w:pPr>
            <w:r w:rsidRPr="007D67E8">
              <w:rPr>
                <w:i/>
                <w:iCs/>
                <w:color w:val="000000"/>
                <w:sz w:val="24"/>
                <w:szCs w:val="24"/>
              </w:rPr>
              <w:t>Candida krusei</w:t>
            </w:r>
            <w:r w:rsidRPr="007D67E8">
              <w:rPr>
                <w:color w:val="000000"/>
                <w:sz w:val="24"/>
                <w:szCs w:val="24"/>
              </w:rPr>
              <w:t xml:space="preserve"> </w:t>
            </w:r>
          </w:p>
        </w:tc>
        <w:tc>
          <w:tcPr>
            <w:tcW w:w="647" w:type="pct"/>
            <w:tcBorders>
              <w:top w:val="outset" w:sz="6" w:space="0" w:color="7B7B7B"/>
              <w:left w:val="outset" w:sz="6" w:space="0" w:color="7B7B7B"/>
              <w:bottom w:val="outset" w:sz="6" w:space="0" w:color="7B7B7B"/>
              <w:right w:val="outset" w:sz="6" w:space="0" w:color="7B7B7B"/>
            </w:tcBorders>
            <w:hideMark/>
          </w:tcPr>
          <w:p w14:paraId="1B80548C" w14:textId="77777777" w:rsidR="00433F6C" w:rsidRPr="007D67E8" w:rsidRDefault="00433F6C" w:rsidP="000B4873">
            <w:pPr>
              <w:tabs>
                <w:tab w:val="left" w:pos="1304"/>
              </w:tabs>
              <w:rPr>
                <w:color w:val="000000"/>
                <w:sz w:val="24"/>
                <w:szCs w:val="24"/>
              </w:rPr>
            </w:pPr>
            <w:r w:rsidRPr="007D67E8">
              <w:rPr>
                <w:i/>
                <w:iCs/>
                <w:color w:val="000000"/>
                <w:sz w:val="24"/>
                <w:szCs w:val="24"/>
              </w:rPr>
              <w:t>Candida parapsilosis</w:t>
            </w:r>
            <w:r w:rsidRPr="007D67E8">
              <w:rPr>
                <w:color w:val="000000"/>
                <w:sz w:val="24"/>
                <w:szCs w:val="24"/>
              </w:rPr>
              <w:t xml:space="preserve"> </w:t>
            </w:r>
          </w:p>
        </w:tc>
        <w:tc>
          <w:tcPr>
            <w:tcW w:w="534" w:type="pct"/>
            <w:tcBorders>
              <w:top w:val="outset" w:sz="6" w:space="0" w:color="7B7B7B"/>
              <w:left w:val="outset" w:sz="6" w:space="0" w:color="7B7B7B"/>
              <w:bottom w:val="outset" w:sz="6" w:space="0" w:color="7B7B7B"/>
              <w:right w:val="outset" w:sz="6" w:space="0" w:color="7B7B7B"/>
            </w:tcBorders>
            <w:hideMark/>
          </w:tcPr>
          <w:p w14:paraId="25382C91" w14:textId="77777777" w:rsidR="00433F6C" w:rsidRPr="007D67E8" w:rsidRDefault="00433F6C" w:rsidP="000B4873">
            <w:pPr>
              <w:tabs>
                <w:tab w:val="left" w:pos="1304"/>
              </w:tabs>
              <w:rPr>
                <w:color w:val="000000"/>
                <w:sz w:val="24"/>
                <w:szCs w:val="24"/>
              </w:rPr>
            </w:pPr>
            <w:r w:rsidRPr="007D67E8">
              <w:rPr>
                <w:i/>
                <w:iCs/>
                <w:color w:val="000000"/>
                <w:sz w:val="24"/>
                <w:szCs w:val="24"/>
              </w:rPr>
              <w:t>Candida tropicalis</w:t>
            </w:r>
            <w:r w:rsidRPr="007D67E8">
              <w:rPr>
                <w:color w:val="000000"/>
                <w:sz w:val="24"/>
                <w:szCs w:val="24"/>
              </w:rPr>
              <w:t xml:space="preserve"> </w:t>
            </w:r>
          </w:p>
        </w:tc>
        <w:tc>
          <w:tcPr>
            <w:tcW w:w="703" w:type="pct"/>
            <w:tcBorders>
              <w:top w:val="outset" w:sz="6" w:space="0" w:color="7B7B7B"/>
              <w:left w:val="outset" w:sz="6" w:space="0" w:color="7B7B7B"/>
              <w:bottom w:val="outset" w:sz="6" w:space="0" w:color="7B7B7B"/>
              <w:right w:val="outset" w:sz="6" w:space="0" w:color="7B7B7B"/>
            </w:tcBorders>
            <w:hideMark/>
          </w:tcPr>
          <w:p w14:paraId="771288DE" w14:textId="77777777" w:rsidR="00433F6C" w:rsidRPr="007D67E8" w:rsidRDefault="00433F6C" w:rsidP="000B4873">
            <w:pPr>
              <w:rPr>
                <w:color w:val="000000"/>
                <w:sz w:val="24"/>
                <w:szCs w:val="24"/>
              </w:rPr>
            </w:pPr>
          </w:p>
        </w:tc>
      </w:tr>
      <w:tr w:rsidR="00433F6C" w:rsidRPr="007D67E8" w14:paraId="5481E6A9" w14:textId="77777777" w:rsidTr="000B4873">
        <w:tc>
          <w:tcPr>
            <w:tcW w:w="828" w:type="pct"/>
            <w:tcBorders>
              <w:top w:val="outset" w:sz="6" w:space="0" w:color="7B7B7B"/>
              <w:left w:val="outset" w:sz="6" w:space="0" w:color="7B7B7B"/>
              <w:bottom w:val="outset" w:sz="6" w:space="0" w:color="7B7B7B"/>
              <w:right w:val="outset" w:sz="6" w:space="0" w:color="7B7B7B"/>
            </w:tcBorders>
            <w:hideMark/>
          </w:tcPr>
          <w:p w14:paraId="7E8747AA" w14:textId="77777777" w:rsidR="00433F6C" w:rsidRPr="007D67E8" w:rsidRDefault="00433F6C" w:rsidP="000B4873">
            <w:pPr>
              <w:tabs>
                <w:tab w:val="left" w:pos="1304"/>
              </w:tabs>
              <w:rPr>
                <w:color w:val="000000"/>
                <w:sz w:val="24"/>
                <w:szCs w:val="24"/>
              </w:rPr>
            </w:pPr>
            <w:r w:rsidRPr="007D67E8">
              <w:rPr>
                <w:color w:val="000000"/>
                <w:sz w:val="24"/>
                <w:szCs w:val="24"/>
              </w:rPr>
              <w:t>Fluconazol</w:t>
            </w:r>
          </w:p>
        </w:tc>
        <w:tc>
          <w:tcPr>
            <w:tcW w:w="494" w:type="pct"/>
            <w:tcBorders>
              <w:top w:val="outset" w:sz="6" w:space="0" w:color="7B7B7B"/>
              <w:left w:val="outset" w:sz="6" w:space="0" w:color="7B7B7B"/>
              <w:bottom w:val="outset" w:sz="6" w:space="0" w:color="7B7B7B"/>
              <w:right w:val="outset" w:sz="6" w:space="0" w:color="7B7B7B"/>
            </w:tcBorders>
            <w:vAlign w:val="center"/>
            <w:hideMark/>
          </w:tcPr>
          <w:p w14:paraId="26D5397F" w14:textId="77777777" w:rsidR="00433F6C" w:rsidRPr="007D67E8" w:rsidRDefault="00433F6C" w:rsidP="000B4873">
            <w:pPr>
              <w:tabs>
                <w:tab w:val="left" w:pos="1304"/>
              </w:tabs>
              <w:rPr>
                <w:color w:val="000000"/>
                <w:sz w:val="24"/>
                <w:szCs w:val="24"/>
              </w:rPr>
            </w:pPr>
            <w:r w:rsidRPr="007D67E8">
              <w:rPr>
                <w:color w:val="000000"/>
                <w:sz w:val="24"/>
                <w:szCs w:val="24"/>
              </w:rPr>
              <w:t>2/4</w:t>
            </w:r>
          </w:p>
        </w:tc>
        <w:tc>
          <w:tcPr>
            <w:tcW w:w="645" w:type="pct"/>
            <w:tcBorders>
              <w:top w:val="outset" w:sz="6" w:space="0" w:color="7B7B7B"/>
              <w:left w:val="outset" w:sz="6" w:space="0" w:color="7B7B7B"/>
              <w:bottom w:val="outset" w:sz="6" w:space="0" w:color="7B7B7B"/>
              <w:right w:val="outset" w:sz="6" w:space="0" w:color="7B7B7B"/>
            </w:tcBorders>
          </w:tcPr>
          <w:p w14:paraId="5D0B96F9" w14:textId="77777777" w:rsidR="00433F6C" w:rsidRPr="007D67E8" w:rsidRDefault="00433F6C" w:rsidP="000B4873">
            <w:pPr>
              <w:tabs>
                <w:tab w:val="left" w:pos="1304"/>
              </w:tabs>
              <w:rPr>
                <w:color w:val="000000"/>
                <w:sz w:val="24"/>
                <w:szCs w:val="24"/>
              </w:rPr>
            </w:pPr>
            <w:r>
              <w:rPr>
                <w:color w:val="000000"/>
                <w:sz w:val="24"/>
                <w:szCs w:val="24"/>
              </w:rPr>
              <w:t>2/4</w:t>
            </w:r>
          </w:p>
        </w:tc>
        <w:tc>
          <w:tcPr>
            <w:tcW w:w="652" w:type="pct"/>
            <w:tcBorders>
              <w:top w:val="outset" w:sz="6" w:space="0" w:color="7B7B7B"/>
              <w:left w:val="outset" w:sz="6" w:space="0" w:color="7B7B7B"/>
              <w:bottom w:val="outset" w:sz="6" w:space="0" w:color="7B7B7B"/>
              <w:right w:val="outset" w:sz="6" w:space="0" w:color="7B7B7B"/>
            </w:tcBorders>
            <w:vAlign w:val="center"/>
            <w:hideMark/>
          </w:tcPr>
          <w:p w14:paraId="20ABC67F" w14:textId="77777777" w:rsidR="00433F6C" w:rsidRPr="007D67E8" w:rsidRDefault="00433F6C" w:rsidP="000B4873">
            <w:pPr>
              <w:tabs>
                <w:tab w:val="left" w:pos="1304"/>
              </w:tabs>
              <w:rPr>
                <w:color w:val="000000"/>
                <w:sz w:val="24"/>
                <w:szCs w:val="24"/>
              </w:rPr>
            </w:pPr>
            <w:r w:rsidRPr="00C82BC7">
              <w:rPr>
                <w:color w:val="000000"/>
                <w:sz w:val="24"/>
                <w:szCs w:val="24"/>
              </w:rPr>
              <w:t>0,001*/16</w:t>
            </w:r>
          </w:p>
        </w:tc>
        <w:tc>
          <w:tcPr>
            <w:tcW w:w="496" w:type="pct"/>
            <w:tcBorders>
              <w:top w:val="outset" w:sz="6" w:space="0" w:color="7B7B7B"/>
              <w:left w:val="outset" w:sz="6" w:space="0" w:color="7B7B7B"/>
              <w:bottom w:val="outset" w:sz="6" w:space="0" w:color="7B7B7B"/>
              <w:right w:val="outset" w:sz="6" w:space="0" w:color="7B7B7B"/>
            </w:tcBorders>
            <w:vAlign w:val="center"/>
            <w:hideMark/>
          </w:tcPr>
          <w:p w14:paraId="78EAA929" w14:textId="77777777" w:rsidR="00433F6C" w:rsidRPr="007D67E8" w:rsidRDefault="00433F6C" w:rsidP="000B4873">
            <w:pPr>
              <w:tabs>
                <w:tab w:val="left" w:pos="1304"/>
              </w:tabs>
              <w:rPr>
                <w:color w:val="000000"/>
                <w:sz w:val="24"/>
                <w:szCs w:val="24"/>
              </w:rPr>
            </w:pPr>
            <w:r w:rsidRPr="007D67E8">
              <w:rPr>
                <w:color w:val="000000"/>
                <w:sz w:val="24"/>
                <w:szCs w:val="24"/>
              </w:rPr>
              <w:t>--</w:t>
            </w:r>
          </w:p>
        </w:tc>
        <w:tc>
          <w:tcPr>
            <w:tcW w:w="647" w:type="pct"/>
            <w:tcBorders>
              <w:top w:val="outset" w:sz="6" w:space="0" w:color="7B7B7B"/>
              <w:left w:val="outset" w:sz="6" w:space="0" w:color="7B7B7B"/>
              <w:bottom w:val="outset" w:sz="6" w:space="0" w:color="7B7B7B"/>
              <w:right w:val="outset" w:sz="6" w:space="0" w:color="7B7B7B"/>
            </w:tcBorders>
            <w:vAlign w:val="center"/>
            <w:hideMark/>
          </w:tcPr>
          <w:p w14:paraId="5D687E7B" w14:textId="77777777" w:rsidR="00433F6C" w:rsidRPr="007D67E8" w:rsidRDefault="00433F6C" w:rsidP="000B4873">
            <w:pPr>
              <w:tabs>
                <w:tab w:val="left" w:pos="1304"/>
              </w:tabs>
              <w:rPr>
                <w:color w:val="000000"/>
                <w:sz w:val="24"/>
                <w:szCs w:val="24"/>
              </w:rPr>
            </w:pPr>
            <w:r w:rsidRPr="007D67E8">
              <w:rPr>
                <w:color w:val="000000"/>
                <w:sz w:val="24"/>
                <w:szCs w:val="24"/>
              </w:rPr>
              <w:t>2/4</w:t>
            </w:r>
          </w:p>
        </w:tc>
        <w:tc>
          <w:tcPr>
            <w:tcW w:w="534" w:type="pct"/>
            <w:tcBorders>
              <w:top w:val="outset" w:sz="6" w:space="0" w:color="7B7B7B"/>
              <w:left w:val="outset" w:sz="6" w:space="0" w:color="7B7B7B"/>
              <w:bottom w:val="outset" w:sz="6" w:space="0" w:color="7B7B7B"/>
              <w:right w:val="outset" w:sz="6" w:space="0" w:color="7B7B7B"/>
            </w:tcBorders>
            <w:vAlign w:val="center"/>
            <w:hideMark/>
          </w:tcPr>
          <w:p w14:paraId="0CC926CE" w14:textId="77777777" w:rsidR="00433F6C" w:rsidRPr="007D67E8" w:rsidRDefault="00433F6C" w:rsidP="000B4873">
            <w:pPr>
              <w:tabs>
                <w:tab w:val="left" w:pos="1304"/>
              </w:tabs>
              <w:rPr>
                <w:color w:val="000000"/>
                <w:sz w:val="24"/>
                <w:szCs w:val="24"/>
              </w:rPr>
            </w:pPr>
            <w:r w:rsidRPr="007D67E8">
              <w:rPr>
                <w:color w:val="000000"/>
                <w:sz w:val="24"/>
                <w:szCs w:val="24"/>
              </w:rPr>
              <w:t>2/4</w:t>
            </w:r>
          </w:p>
        </w:tc>
        <w:tc>
          <w:tcPr>
            <w:tcW w:w="703" w:type="pct"/>
            <w:tcBorders>
              <w:top w:val="outset" w:sz="6" w:space="0" w:color="7B7B7B"/>
              <w:left w:val="outset" w:sz="6" w:space="0" w:color="7B7B7B"/>
              <w:bottom w:val="outset" w:sz="6" w:space="0" w:color="7B7B7B"/>
              <w:right w:val="outset" w:sz="6" w:space="0" w:color="7B7B7B"/>
            </w:tcBorders>
            <w:hideMark/>
          </w:tcPr>
          <w:p w14:paraId="1BE25274" w14:textId="77777777" w:rsidR="00433F6C" w:rsidRPr="007D67E8" w:rsidRDefault="00433F6C" w:rsidP="000B4873">
            <w:pPr>
              <w:tabs>
                <w:tab w:val="left" w:pos="1304"/>
              </w:tabs>
              <w:rPr>
                <w:color w:val="000000"/>
                <w:sz w:val="24"/>
                <w:szCs w:val="24"/>
              </w:rPr>
            </w:pPr>
            <w:r w:rsidRPr="007D67E8">
              <w:rPr>
                <w:color w:val="000000"/>
                <w:sz w:val="24"/>
                <w:szCs w:val="24"/>
              </w:rPr>
              <w:t>2/4</w:t>
            </w:r>
          </w:p>
        </w:tc>
      </w:tr>
    </w:tbl>
    <w:p w14:paraId="5F462D64" w14:textId="64CB11F1" w:rsidR="004A1D83" w:rsidRPr="007D67E8" w:rsidRDefault="004A1D83" w:rsidP="00346A4F">
      <w:pPr>
        <w:rPr>
          <w:sz w:val="24"/>
          <w:szCs w:val="24"/>
        </w:rPr>
      </w:pPr>
      <w:r w:rsidRPr="007D67E8">
        <w:rPr>
          <w:sz w:val="24"/>
          <w:szCs w:val="24"/>
        </w:rPr>
        <w:t>S = følsom, R = resistent</w:t>
      </w:r>
    </w:p>
    <w:p w14:paraId="08A71035" w14:textId="77777777" w:rsidR="00A41AF8" w:rsidRPr="007D67E8" w:rsidRDefault="00A41AF8" w:rsidP="00346A4F">
      <w:pPr>
        <w:rPr>
          <w:sz w:val="24"/>
          <w:szCs w:val="24"/>
        </w:rPr>
      </w:pPr>
    </w:p>
    <w:p w14:paraId="224851A3" w14:textId="61FED7BB" w:rsidR="004A1D83" w:rsidRPr="007D67E8" w:rsidRDefault="004A1D83" w:rsidP="00346A4F">
      <w:pPr>
        <w:rPr>
          <w:sz w:val="24"/>
          <w:szCs w:val="24"/>
        </w:rPr>
      </w:pPr>
      <w:r w:rsidRPr="007D67E8">
        <w:rPr>
          <w:sz w:val="24"/>
          <w:szCs w:val="24"/>
        </w:rPr>
        <w:t>A = Ikke-artsrelaterede breakpoints er fastlagt hovedsageligt på basis af PK-/PD-data og er uafhængige af fordelingen af MIC-værdier for specifikke arter. De er kun til brug ved organismer, som ikke har specifikke breakpoints.</w:t>
      </w:r>
    </w:p>
    <w:p w14:paraId="1277ED11" w14:textId="77777777" w:rsidR="00A41AF8" w:rsidRPr="007D67E8" w:rsidRDefault="00A41AF8" w:rsidP="00346A4F">
      <w:pPr>
        <w:rPr>
          <w:sz w:val="24"/>
          <w:szCs w:val="24"/>
        </w:rPr>
      </w:pPr>
    </w:p>
    <w:p w14:paraId="4B709ACD" w14:textId="0C256A9E" w:rsidR="004A1D83" w:rsidRPr="007D67E8" w:rsidRDefault="004A1D83" w:rsidP="00346A4F">
      <w:pPr>
        <w:rPr>
          <w:sz w:val="24"/>
          <w:szCs w:val="24"/>
        </w:rPr>
      </w:pPr>
      <w:r w:rsidRPr="007D67E8">
        <w:rPr>
          <w:sz w:val="24"/>
          <w:szCs w:val="24"/>
        </w:rPr>
        <w:t>- = Følsomhedstests anbefales ikke, da arten er et dårligt mål for behandling med lægemidlet.</w:t>
      </w:r>
    </w:p>
    <w:p w14:paraId="0FF3668C" w14:textId="77777777" w:rsidR="00433F6C" w:rsidRDefault="00433F6C" w:rsidP="009260DE">
      <w:pPr>
        <w:tabs>
          <w:tab w:val="left" w:pos="851"/>
        </w:tabs>
        <w:ind w:left="851"/>
        <w:rPr>
          <w:sz w:val="24"/>
          <w:szCs w:val="24"/>
        </w:rPr>
      </w:pPr>
    </w:p>
    <w:p w14:paraId="684BF715" w14:textId="73EA9174" w:rsidR="009260DE" w:rsidRDefault="00433F6C" w:rsidP="009260DE">
      <w:pPr>
        <w:tabs>
          <w:tab w:val="left" w:pos="851"/>
        </w:tabs>
        <w:ind w:left="851"/>
        <w:rPr>
          <w:sz w:val="24"/>
          <w:szCs w:val="24"/>
        </w:rPr>
      </w:pPr>
      <w:r w:rsidRPr="00E64D79">
        <w:rPr>
          <w:sz w:val="24"/>
          <w:szCs w:val="24"/>
        </w:rPr>
        <w:t xml:space="preserve">*  </w:t>
      </w:r>
      <w:proofErr w:type="gramStart"/>
      <w:r w:rsidRPr="00E64D79">
        <w:rPr>
          <w:sz w:val="24"/>
          <w:szCs w:val="24"/>
        </w:rPr>
        <w:t>=  Alle</w:t>
      </w:r>
      <w:proofErr w:type="gramEnd"/>
      <w:r w:rsidRPr="00E64D79">
        <w:rPr>
          <w:sz w:val="24"/>
          <w:szCs w:val="24"/>
        </w:rPr>
        <w:t xml:space="preserve"> </w:t>
      </w:r>
      <w:r w:rsidRPr="007E0722">
        <w:rPr>
          <w:i/>
          <w:iCs/>
          <w:sz w:val="24"/>
          <w:szCs w:val="24"/>
        </w:rPr>
        <w:t>C. glabrata</w:t>
      </w:r>
      <w:r w:rsidRPr="00E64D79">
        <w:rPr>
          <w:sz w:val="24"/>
          <w:szCs w:val="24"/>
        </w:rPr>
        <w:t xml:space="preserve"> er i kategori I. MIC`s over for </w:t>
      </w:r>
      <w:r w:rsidRPr="007E0722">
        <w:rPr>
          <w:i/>
          <w:iCs/>
          <w:sz w:val="24"/>
          <w:szCs w:val="24"/>
        </w:rPr>
        <w:t>C. glabrata</w:t>
      </w:r>
      <w:r w:rsidRPr="00E64D79">
        <w:rPr>
          <w:sz w:val="24"/>
          <w:szCs w:val="24"/>
        </w:rPr>
        <w:t xml:space="preserve"> skal fortolkes som resistent, hvis de er over 16 mg/l. Hensigten med følsomhedskategorien (≤0,001 mg/l) er ganske enkelt at undgå forkert kategorisering af "I"-stammer som "S"-stammer. I – Følsom, øget eksponering: En mikroorganisme er kategoriseret som Følsom, øget eksponering, når der er stor sandsynlighed for terapeutisk succes, fordi eksponeringen for stoffet øges ved regulering af dosis eller gennem koncentrationen på infektionsstedet.</w:t>
      </w:r>
    </w:p>
    <w:p w14:paraId="08DAF6FF" w14:textId="59026309" w:rsidR="00A7642E" w:rsidRDefault="00A7642E">
      <w:pPr>
        <w:rPr>
          <w:sz w:val="24"/>
          <w:szCs w:val="24"/>
        </w:rPr>
      </w:pPr>
      <w:r>
        <w:rPr>
          <w:sz w:val="24"/>
          <w:szCs w:val="24"/>
        </w:rPr>
        <w:br w:type="page"/>
      </w:r>
    </w:p>
    <w:p w14:paraId="4B9E2C49" w14:textId="77777777" w:rsidR="00A7642E" w:rsidRPr="007D67E8" w:rsidRDefault="00A7642E" w:rsidP="009260DE">
      <w:pPr>
        <w:tabs>
          <w:tab w:val="left" w:pos="851"/>
        </w:tabs>
        <w:ind w:left="851"/>
        <w:rPr>
          <w:sz w:val="24"/>
          <w:szCs w:val="24"/>
        </w:rPr>
      </w:pPr>
    </w:p>
    <w:p w14:paraId="4552CF26" w14:textId="18A44A34" w:rsidR="009260DE" w:rsidRDefault="009260DE" w:rsidP="009260DE">
      <w:pPr>
        <w:tabs>
          <w:tab w:val="left" w:pos="851"/>
        </w:tabs>
        <w:ind w:left="851" w:hanging="851"/>
        <w:rPr>
          <w:b/>
          <w:sz w:val="24"/>
          <w:szCs w:val="24"/>
        </w:rPr>
      </w:pPr>
      <w:r w:rsidRPr="007D67E8">
        <w:rPr>
          <w:b/>
          <w:sz w:val="24"/>
          <w:szCs w:val="24"/>
        </w:rPr>
        <w:t>5.2</w:t>
      </w:r>
      <w:r w:rsidRPr="007D67E8">
        <w:rPr>
          <w:b/>
          <w:sz w:val="24"/>
          <w:szCs w:val="24"/>
        </w:rPr>
        <w:tab/>
        <w:t>Farmakokinetiske egenskaber</w:t>
      </w:r>
    </w:p>
    <w:p w14:paraId="1CEA6FCC" w14:textId="77777777" w:rsidR="00A7642E" w:rsidRDefault="00A7642E" w:rsidP="00A7642E">
      <w:pPr>
        <w:ind w:left="851"/>
        <w:rPr>
          <w:sz w:val="24"/>
          <w:szCs w:val="24"/>
        </w:rPr>
      </w:pPr>
      <w:r w:rsidRPr="00DE717A">
        <w:rPr>
          <w:sz w:val="24"/>
          <w:szCs w:val="24"/>
        </w:rPr>
        <w:t>Fluconazols farmakokinetiske egenskaber er ens efter intravenøs og oral indgift.</w:t>
      </w:r>
    </w:p>
    <w:p w14:paraId="02FA57AE" w14:textId="0E15B91A" w:rsidR="00A7642E" w:rsidRDefault="00A7642E">
      <w:pPr>
        <w:rPr>
          <w:sz w:val="24"/>
          <w:szCs w:val="24"/>
          <w:u w:val="single"/>
        </w:rPr>
      </w:pPr>
    </w:p>
    <w:p w14:paraId="090F7F51" w14:textId="68CFB25C" w:rsidR="00D24914" w:rsidRPr="007D67E8" w:rsidRDefault="00D24914" w:rsidP="00C80BC7">
      <w:pPr>
        <w:ind w:left="851"/>
        <w:rPr>
          <w:sz w:val="24"/>
          <w:szCs w:val="24"/>
          <w:u w:val="single"/>
        </w:rPr>
      </w:pPr>
      <w:r w:rsidRPr="007D67E8">
        <w:rPr>
          <w:sz w:val="24"/>
          <w:szCs w:val="24"/>
          <w:u w:val="single"/>
        </w:rPr>
        <w:t>Absorption</w:t>
      </w:r>
    </w:p>
    <w:p w14:paraId="3293EEF7" w14:textId="77777777" w:rsidR="00D24914" w:rsidRPr="007D67E8" w:rsidRDefault="00D24914" w:rsidP="00C80BC7">
      <w:pPr>
        <w:ind w:left="851"/>
        <w:rPr>
          <w:sz w:val="24"/>
          <w:szCs w:val="24"/>
        </w:rPr>
      </w:pPr>
      <w:r w:rsidRPr="007D67E8">
        <w:rPr>
          <w:sz w:val="24"/>
          <w:szCs w:val="24"/>
        </w:rPr>
        <w:t xml:space="preserve">Efter oral administration optages fluconazol godt, og plasmaniveauerne (og den systemiske biotilgængelighed) er over 90 % af de niveauer, der opnås efter intravenøs administration. Den orale optagelse påvirkes ikke af samtidig fødeindtagelse. De højeste plasmakoncentrationer i fastende tilstand forekommer mellem 0,5 og 1,5 time efter dosering. Plasmakoncentrationen er proportional med dosis. Halvfems procent af </w:t>
      </w:r>
      <w:r w:rsidRPr="007D67E8">
        <w:rPr>
          <w:i/>
          <w:sz w:val="24"/>
          <w:szCs w:val="24"/>
        </w:rPr>
        <w:t>steady state</w:t>
      </w:r>
      <w:r w:rsidRPr="007D67E8">
        <w:rPr>
          <w:sz w:val="24"/>
          <w:szCs w:val="24"/>
        </w:rPr>
        <w:t>-niveauet er nået 4-5 dage efter gentagen daglig éngangsdosering. Administration af en støddosis (på dag 1) af det dobbelte af sædvanlig dagsdosis giver plasmaniveauer på ca. 90 % af steady-state-niveau på dag 2.</w:t>
      </w:r>
    </w:p>
    <w:p w14:paraId="70433778" w14:textId="77777777" w:rsidR="00D24914" w:rsidRPr="007D67E8" w:rsidRDefault="00D24914" w:rsidP="00C80BC7">
      <w:pPr>
        <w:ind w:left="851"/>
        <w:rPr>
          <w:sz w:val="24"/>
          <w:szCs w:val="24"/>
        </w:rPr>
      </w:pPr>
    </w:p>
    <w:p w14:paraId="5DB3EA35" w14:textId="77777777" w:rsidR="00D24914" w:rsidRPr="007D67E8" w:rsidRDefault="00D24914" w:rsidP="00C80BC7">
      <w:pPr>
        <w:ind w:left="851"/>
        <w:rPr>
          <w:sz w:val="24"/>
          <w:szCs w:val="24"/>
          <w:u w:val="single"/>
        </w:rPr>
      </w:pPr>
      <w:r w:rsidRPr="007D67E8">
        <w:rPr>
          <w:sz w:val="24"/>
          <w:szCs w:val="24"/>
          <w:u w:val="single"/>
        </w:rPr>
        <w:t>Fordeling</w:t>
      </w:r>
    </w:p>
    <w:p w14:paraId="5A2CD795" w14:textId="726ABFFB" w:rsidR="00D24914" w:rsidRDefault="00D24914" w:rsidP="00C80BC7">
      <w:pPr>
        <w:ind w:left="851"/>
        <w:rPr>
          <w:sz w:val="24"/>
          <w:szCs w:val="24"/>
        </w:rPr>
      </w:pPr>
      <w:r w:rsidRPr="007D67E8">
        <w:rPr>
          <w:sz w:val="24"/>
          <w:szCs w:val="24"/>
        </w:rPr>
        <w:t xml:space="preserve">Det tilsyneladende fordelingsvolumen svarer omtrent til den samlede kropsvæske. Plasmaproteinbindingen er lav (11-12 %). </w:t>
      </w:r>
    </w:p>
    <w:p w14:paraId="04540077" w14:textId="77777777" w:rsidR="00A7642E" w:rsidRPr="007D67E8" w:rsidRDefault="00A7642E" w:rsidP="00C80BC7">
      <w:pPr>
        <w:ind w:left="851"/>
        <w:rPr>
          <w:sz w:val="24"/>
          <w:szCs w:val="24"/>
        </w:rPr>
      </w:pPr>
    </w:p>
    <w:p w14:paraId="0557514A" w14:textId="77777777" w:rsidR="00D24914" w:rsidRPr="007D67E8" w:rsidRDefault="00D24914" w:rsidP="00C80BC7">
      <w:pPr>
        <w:ind w:left="851"/>
        <w:rPr>
          <w:sz w:val="24"/>
          <w:szCs w:val="24"/>
        </w:rPr>
      </w:pPr>
      <w:r w:rsidRPr="007D67E8">
        <w:rPr>
          <w:sz w:val="24"/>
          <w:szCs w:val="24"/>
        </w:rPr>
        <w:t xml:space="preserve">Fluconazol opnår god fordeling i alle undersøgte kropsvæsker. Niveauet af fluconazol i spyt og sputum svarer til niveauet i plasma. Hos patienter med fungal meningitis er fluconazolniveauet i CSF ca. 80 % af det tilsvarende plasmaniveau. </w:t>
      </w:r>
    </w:p>
    <w:p w14:paraId="67355B7E" w14:textId="77777777" w:rsidR="00A7642E" w:rsidRDefault="00A7642E" w:rsidP="00C80BC7">
      <w:pPr>
        <w:ind w:left="851"/>
        <w:rPr>
          <w:sz w:val="24"/>
          <w:szCs w:val="24"/>
        </w:rPr>
      </w:pPr>
    </w:p>
    <w:p w14:paraId="01D6356A" w14:textId="0503E5BE" w:rsidR="00D24914" w:rsidRDefault="00D24914" w:rsidP="00C80BC7">
      <w:pPr>
        <w:ind w:left="851"/>
        <w:rPr>
          <w:sz w:val="24"/>
          <w:szCs w:val="24"/>
        </w:rPr>
      </w:pPr>
      <w:r w:rsidRPr="007D67E8">
        <w:rPr>
          <w:sz w:val="24"/>
          <w:szCs w:val="24"/>
        </w:rPr>
        <w:t>I stratum corneum, epidermis, dermis og ekkrin sved opnås højere koncentrationer af fluconazol end i serum. Fluconazol akkumuleres i stratum corneum. Ved en dosis på 50 mg én gang dagligt var koncentrationen af fluconazol efter 12 dage73 µg/g, og 7 dage efter behandlingens ophør var koncentrationen endnu 5,8 µg/g. Ved en dosis på 150 mg én gang om ugen var koncentrationen af fluconazol i stratum corneum 23,4 µg/g på 7. dagen, og 7 dage efter anden dosis endnu 7,1 µg/g.</w:t>
      </w:r>
    </w:p>
    <w:p w14:paraId="01914BE5" w14:textId="77777777" w:rsidR="00A7642E" w:rsidRPr="007D67E8" w:rsidRDefault="00A7642E" w:rsidP="00C80BC7">
      <w:pPr>
        <w:ind w:left="851"/>
        <w:rPr>
          <w:sz w:val="24"/>
          <w:szCs w:val="24"/>
        </w:rPr>
      </w:pPr>
    </w:p>
    <w:p w14:paraId="11CBD976" w14:textId="77777777" w:rsidR="00D24914" w:rsidRPr="007D67E8" w:rsidRDefault="00D24914" w:rsidP="00C80BC7">
      <w:pPr>
        <w:ind w:left="851"/>
        <w:rPr>
          <w:sz w:val="24"/>
          <w:szCs w:val="24"/>
        </w:rPr>
      </w:pPr>
      <w:r w:rsidRPr="007D67E8">
        <w:rPr>
          <w:sz w:val="24"/>
          <w:szCs w:val="24"/>
        </w:rPr>
        <w:t>Koncentrationen af fluconazol i negle var efter 4 måneder med 150 mg én gang om ugen 4,05 µg/g hos raske og 1,8 µg/g i syge negle. Fluconazol kunne stadig måles i negleprøver 6 måneder efter behandlings ophør.</w:t>
      </w:r>
    </w:p>
    <w:p w14:paraId="54622EF4" w14:textId="77777777" w:rsidR="00D24914" w:rsidRPr="007D67E8" w:rsidRDefault="00D24914" w:rsidP="00C80BC7">
      <w:pPr>
        <w:ind w:left="851"/>
        <w:rPr>
          <w:sz w:val="24"/>
          <w:szCs w:val="24"/>
        </w:rPr>
      </w:pPr>
    </w:p>
    <w:p w14:paraId="55B02221" w14:textId="77777777" w:rsidR="00D24914" w:rsidRPr="007D67E8" w:rsidRDefault="00D24914" w:rsidP="00C80BC7">
      <w:pPr>
        <w:ind w:left="851"/>
        <w:rPr>
          <w:sz w:val="24"/>
          <w:szCs w:val="24"/>
          <w:u w:val="single"/>
        </w:rPr>
      </w:pPr>
      <w:r w:rsidRPr="007D67E8">
        <w:rPr>
          <w:sz w:val="24"/>
          <w:szCs w:val="24"/>
          <w:u w:val="single"/>
        </w:rPr>
        <w:t>Biotransformation</w:t>
      </w:r>
    </w:p>
    <w:p w14:paraId="611A1D82" w14:textId="6A6328C7" w:rsidR="00D24914" w:rsidRPr="007D67E8" w:rsidRDefault="00D24914" w:rsidP="00C80BC7">
      <w:pPr>
        <w:ind w:left="851"/>
        <w:rPr>
          <w:sz w:val="24"/>
          <w:szCs w:val="24"/>
        </w:rPr>
      </w:pPr>
      <w:r w:rsidRPr="007D67E8">
        <w:rPr>
          <w:sz w:val="24"/>
          <w:szCs w:val="24"/>
        </w:rPr>
        <w:t xml:space="preserve">Fluconazol metaboliseres kun i ringe grad. Kun 11% af en radioaktiv dosis udskilles i ændret form i urinen. Fluconazol er en moderat hæmmer af isozymerne CYP2C9 og CYP3A4 (se </w:t>
      </w:r>
      <w:r w:rsidR="00346A4F">
        <w:rPr>
          <w:sz w:val="24"/>
          <w:szCs w:val="24"/>
        </w:rPr>
        <w:t>pkt.</w:t>
      </w:r>
      <w:r w:rsidRPr="007D67E8">
        <w:rPr>
          <w:sz w:val="24"/>
          <w:szCs w:val="24"/>
        </w:rPr>
        <w:t> 4.5). Fluconazol er desuden en stærk hæmmer af isoenzymet CYP2C19.</w:t>
      </w:r>
    </w:p>
    <w:p w14:paraId="41EAF60B" w14:textId="77777777" w:rsidR="00D24914" w:rsidRPr="007D67E8" w:rsidRDefault="00D24914" w:rsidP="00C80BC7">
      <w:pPr>
        <w:ind w:left="851"/>
        <w:rPr>
          <w:sz w:val="24"/>
          <w:szCs w:val="24"/>
        </w:rPr>
      </w:pPr>
    </w:p>
    <w:p w14:paraId="6DEDDA76" w14:textId="77777777" w:rsidR="00D24914" w:rsidRPr="007D67E8" w:rsidRDefault="00D24914" w:rsidP="00C80BC7">
      <w:pPr>
        <w:ind w:left="851"/>
        <w:rPr>
          <w:sz w:val="24"/>
          <w:szCs w:val="24"/>
          <w:u w:val="single"/>
        </w:rPr>
      </w:pPr>
      <w:r w:rsidRPr="007D67E8">
        <w:rPr>
          <w:sz w:val="24"/>
          <w:szCs w:val="24"/>
          <w:u w:val="single"/>
        </w:rPr>
        <w:t>Elimination</w:t>
      </w:r>
    </w:p>
    <w:p w14:paraId="58E2D23C" w14:textId="77777777" w:rsidR="00D24914" w:rsidRPr="007D67E8" w:rsidRDefault="00D24914" w:rsidP="00C80BC7">
      <w:pPr>
        <w:ind w:left="851"/>
        <w:rPr>
          <w:sz w:val="24"/>
          <w:szCs w:val="24"/>
        </w:rPr>
      </w:pPr>
      <w:r w:rsidRPr="007D67E8">
        <w:rPr>
          <w:sz w:val="24"/>
          <w:szCs w:val="24"/>
        </w:rPr>
        <w:t xml:space="preserve">Plasmahalveringstiden for fluconazol er ca. 30 timer. Fluconazol udskilles overvejende renalt, og ca. 80 % af den indtagne dosis udskilles i urinen som uomdannet lægemiddel. Fluconazolclearance er proportional med kreatininclearance. Der er ingen evidens for cirkulerende metabolitter. </w:t>
      </w:r>
    </w:p>
    <w:p w14:paraId="4ABD5D09" w14:textId="77777777" w:rsidR="009260FE" w:rsidRPr="007D67E8" w:rsidRDefault="009260FE" w:rsidP="00C80BC7">
      <w:pPr>
        <w:ind w:left="851"/>
        <w:rPr>
          <w:sz w:val="24"/>
          <w:szCs w:val="24"/>
        </w:rPr>
      </w:pPr>
    </w:p>
    <w:p w14:paraId="10A81AE5" w14:textId="3FBCD828" w:rsidR="00D24914" w:rsidRPr="007D67E8" w:rsidRDefault="00D24914" w:rsidP="00C80BC7">
      <w:pPr>
        <w:ind w:left="851"/>
        <w:rPr>
          <w:sz w:val="24"/>
          <w:szCs w:val="24"/>
        </w:rPr>
      </w:pPr>
      <w:r w:rsidRPr="007D67E8">
        <w:rPr>
          <w:sz w:val="24"/>
          <w:szCs w:val="24"/>
        </w:rPr>
        <w:t xml:space="preserve">Den lange plasmahalveringstid er grundlag for enkeltdosisbehandling af vaginal candidiasis og dosering én gang dagligt og én gang ugentligt til andre indikationer. </w:t>
      </w:r>
    </w:p>
    <w:p w14:paraId="1C1C8787" w14:textId="77777777" w:rsidR="00D24914" w:rsidRPr="007D67E8" w:rsidRDefault="00D24914" w:rsidP="00C80BC7">
      <w:pPr>
        <w:ind w:left="851"/>
        <w:rPr>
          <w:sz w:val="24"/>
          <w:szCs w:val="24"/>
        </w:rPr>
      </w:pPr>
    </w:p>
    <w:p w14:paraId="6ADB4211" w14:textId="77777777" w:rsidR="00A7642E" w:rsidRDefault="00A7642E">
      <w:pPr>
        <w:rPr>
          <w:iCs/>
          <w:sz w:val="24"/>
          <w:szCs w:val="24"/>
          <w:u w:val="single"/>
        </w:rPr>
      </w:pPr>
      <w:r>
        <w:rPr>
          <w:iCs/>
          <w:sz w:val="24"/>
          <w:szCs w:val="24"/>
          <w:u w:val="single"/>
        </w:rPr>
        <w:br w:type="page"/>
      </w:r>
    </w:p>
    <w:p w14:paraId="0D8812B3" w14:textId="3E194790" w:rsidR="00D24914" w:rsidRPr="007D67E8" w:rsidRDefault="00D24914" w:rsidP="00C80BC7">
      <w:pPr>
        <w:ind w:left="851"/>
        <w:rPr>
          <w:iCs/>
          <w:noProof/>
          <w:sz w:val="24"/>
          <w:szCs w:val="24"/>
          <w:u w:val="single"/>
        </w:rPr>
      </w:pPr>
      <w:r w:rsidRPr="007D67E8">
        <w:rPr>
          <w:iCs/>
          <w:sz w:val="24"/>
          <w:szCs w:val="24"/>
          <w:u w:val="single"/>
        </w:rPr>
        <w:lastRenderedPageBreak/>
        <w:t xml:space="preserve">Farmakokinetik ved nedsat nyrefunktion </w:t>
      </w:r>
    </w:p>
    <w:p w14:paraId="5874A290" w14:textId="77777777" w:rsidR="00D24914" w:rsidRPr="007D67E8" w:rsidRDefault="00D24914" w:rsidP="00C80BC7">
      <w:pPr>
        <w:ind w:left="851"/>
        <w:rPr>
          <w:iCs/>
          <w:noProof/>
          <w:sz w:val="24"/>
          <w:szCs w:val="24"/>
        </w:rPr>
      </w:pPr>
      <w:r w:rsidRPr="007D67E8">
        <w:rPr>
          <w:sz w:val="24"/>
          <w:szCs w:val="24"/>
        </w:rPr>
        <w:t>Hos patienter med svær nyreinsufficiens (GFR &lt;20 ml/min) stiger halveringstiden fra 30 til 98 timer. Dosisreduktion er derfor nødvendig. Fluconazol fjernes ved hæmodialyse og i mindre grad ved peritonealdialyse. Efter tre timers hæmodialyse er ca. 50 % af fluconazol elimineret fra blodet.</w:t>
      </w:r>
    </w:p>
    <w:p w14:paraId="40B23CD9" w14:textId="77777777" w:rsidR="00A7642E" w:rsidRDefault="00A7642E" w:rsidP="00C80BC7">
      <w:pPr>
        <w:ind w:left="851"/>
        <w:rPr>
          <w:iCs/>
          <w:sz w:val="24"/>
          <w:szCs w:val="24"/>
          <w:u w:val="single"/>
        </w:rPr>
      </w:pPr>
    </w:p>
    <w:p w14:paraId="7FF63342" w14:textId="78827AE9" w:rsidR="00D24914" w:rsidRPr="007D67E8" w:rsidRDefault="00D24914" w:rsidP="00C80BC7">
      <w:pPr>
        <w:ind w:left="851"/>
        <w:rPr>
          <w:iCs/>
          <w:noProof/>
          <w:sz w:val="24"/>
          <w:szCs w:val="24"/>
          <w:u w:val="single"/>
        </w:rPr>
      </w:pPr>
      <w:r w:rsidRPr="007D67E8">
        <w:rPr>
          <w:iCs/>
          <w:sz w:val="24"/>
          <w:szCs w:val="24"/>
          <w:u w:val="single"/>
        </w:rPr>
        <w:t xml:space="preserve">Farmakokinetik under amning </w:t>
      </w:r>
    </w:p>
    <w:p w14:paraId="222BAA49" w14:textId="77777777" w:rsidR="00D24914" w:rsidRPr="007D67E8" w:rsidRDefault="00D24914" w:rsidP="00C80BC7">
      <w:pPr>
        <w:ind w:left="851"/>
        <w:rPr>
          <w:iCs/>
          <w:noProof/>
          <w:sz w:val="24"/>
          <w:szCs w:val="24"/>
        </w:rPr>
      </w:pPr>
      <w:r w:rsidRPr="007D67E8">
        <w:rPr>
          <w:sz w:val="24"/>
          <w:szCs w:val="24"/>
        </w:rPr>
        <w:t>I et farmakokinetisk studie af ti ammende kvinder, der midlertidigt eller permanent var ophørt med at amme deres spædbørn, blev koncentrationen af fluconazol i plasma og brystmælk evalueret i 48 timer efter en enkelt dosis på 150 mg Diflucan. Fluconazol blev påvist i brystmælken i en gennemsnitlig koncentration på ca. 98 % af koncentrationen i moderens plasma. Den gennemsnitlige maksimale koncentration i brystmælk var 2,61 mg/l 5,2 timer efter dosering. Den estimerede daglige dosis til spædbørn af fluconazol fra brystmælk (ved en skønnet gennemsnitlig mælkeindtagelse på 150 ml/kg/dag), baseret på den gennemsnitlige maksimale mælkekoncentration, er 0,39 mg/kg/dag, hvilket er ca. 40 % af den anbefalede dosis til neonatale (&lt;2 uger gamle) eller 13 % af den anbefalede dosis til spædbørn ved mukøs candidiasis.</w:t>
      </w:r>
    </w:p>
    <w:p w14:paraId="00306639" w14:textId="77777777" w:rsidR="00D24914" w:rsidRPr="007D67E8" w:rsidRDefault="00D24914" w:rsidP="00C80BC7">
      <w:pPr>
        <w:ind w:left="851"/>
        <w:rPr>
          <w:iCs/>
          <w:noProof/>
          <w:sz w:val="24"/>
          <w:szCs w:val="24"/>
        </w:rPr>
      </w:pPr>
    </w:p>
    <w:p w14:paraId="5BCE58EB" w14:textId="77777777" w:rsidR="00D24914" w:rsidRPr="007D67E8" w:rsidRDefault="00D24914" w:rsidP="00C80BC7">
      <w:pPr>
        <w:ind w:left="851"/>
        <w:rPr>
          <w:iCs/>
          <w:noProof/>
          <w:sz w:val="24"/>
          <w:szCs w:val="24"/>
          <w:u w:val="single"/>
        </w:rPr>
      </w:pPr>
      <w:r w:rsidRPr="007D67E8">
        <w:rPr>
          <w:iCs/>
          <w:sz w:val="24"/>
          <w:szCs w:val="24"/>
          <w:u w:val="single"/>
        </w:rPr>
        <w:t xml:space="preserve">Farmakokinetik hos børn </w:t>
      </w:r>
    </w:p>
    <w:p w14:paraId="35E07093" w14:textId="77777777" w:rsidR="00D24914" w:rsidRPr="007D67E8" w:rsidRDefault="00D24914" w:rsidP="00C80BC7">
      <w:pPr>
        <w:ind w:left="851"/>
        <w:rPr>
          <w:iCs/>
          <w:noProof/>
          <w:sz w:val="24"/>
          <w:szCs w:val="24"/>
        </w:rPr>
      </w:pPr>
      <w:r w:rsidRPr="007D67E8">
        <w:rPr>
          <w:sz w:val="24"/>
          <w:szCs w:val="24"/>
        </w:rPr>
        <w:t>Farmakokinetiske data blev vurderet for 113 pædiatriske patienter fra 5 studier: 2 enkeltdosisstudier, 2 flerdosisstudier og ét studie af præmature nyfødte. Data fra ét studie kunne ikke fortolkes på grund af ændringer i formuleringen i løbet af studiet. Der forelå yderligere data fra et studie med særlig udleveringstilladelse.</w:t>
      </w:r>
    </w:p>
    <w:p w14:paraId="7E4B9A28" w14:textId="77777777" w:rsidR="00D24914" w:rsidRPr="007D67E8" w:rsidRDefault="00D24914" w:rsidP="00C80BC7">
      <w:pPr>
        <w:ind w:left="851"/>
        <w:rPr>
          <w:iCs/>
          <w:noProof/>
          <w:sz w:val="24"/>
          <w:szCs w:val="24"/>
        </w:rPr>
      </w:pPr>
    </w:p>
    <w:p w14:paraId="3565D9CE" w14:textId="77777777" w:rsidR="00D24914" w:rsidRPr="007D67E8" w:rsidRDefault="00D24914" w:rsidP="00C80BC7">
      <w:pPr>
        <w:ind w:left="851"/>
        <w:rPr>
          <w:iCs/>
          <w:noProof/>
          <w:sz w:val="24"/>
          <w:szCs w:val="24"/>
        </w:rPr>
      </w:pPr>
      <w:r w:rsidRPr="007D67E8">
        <w:rPr>
          <w:sz w:val="24"/>
          <w:szCs w:val="24"/>
        </w:rPr>
        <w:t>Efter administration af 2-8 mg/kg fluconazol til børn i alderen 9 måneder til 15 år fandtes en AUC på 38 µg·t/ml pr. 1 mg/kg dosisenhed. Den gennemsnitlige plasmahalveringstid for fluconazol var mellem 15 og 18 timer, og fordelingsvolumenet var ca. 880 ml/kg efter gentagne doser. Efter en enkelt dosis blev der fundet en højere plasmahalveringstid for fluconazol på ca. 24 timer. Dette er sammenligneligt med plasmahalveringstiden for fluconazol efter en enkelt administration på 3 mg/kg i.v. til børn i alderen 11 dage til 11 måneder. Fordelingsvolumenet i denne aldersgruppe var ca. 950 ml/kg.</w:t>
      </w:r>
    </w:p>
    <w:p w14:paraId="1F61959F" w14:textId="77777777" w:rsidR="00D24914" w:rsidRPr="007D67E8" w:rsidRDefault="00D24914" w:rsidP="00C80BC7">
      <w:pPr>
        <w:ind w:left="851"/>
        <w:rPr>
          <w:iCs/>
          <w:noProof/>
          <w:sz w:val="24"/>
          <w:szCs w:val="24"/>
        </w:rPr>
      </w:pPr>
    </w:p>
    <w:p w14:paraId="7DB5A9CF" w14:textId="77777777" w:rsidR="00D24914" w:rsidRPr="007D67E8" w:rsidRDefault="00D24914" w:rsidP="00C80BC7">
      <w:pPr>
        <w:ind w:left="851"/>
        <w:rPr>
          <w:iCs/>
          <w:noProof/>
          <w:sz w:val="24"/>
          <w:szCs w:val="24"/>
        </w:rPr>
      </w:pPr>
      <w:r w:rsidRPr="007D67E8">
        <w:rPr>
          <w:sz w:val="24"/>
          <w:szCs w:val="24"/>
        </w:rPr>
        <w:t xml:space="preserve">Erfaringerne med fluconazol hos nyfødte er begrænset til farmakokinetiske studier hos præmature nyfødte. Den gennemsnitlige alder ved første dosis var 24 timer (interval 9-36 timer), og den gennemsnitlige fødselsvægt var 0,9 kg (interval 0,75-1,10 kg), for 12 præmature nyfødte med gennemsnitligt gestationsalder på ca. 28 uger. Syv patienter gennemførte protokollen. Der blev maksimalt administreret fem intravenøse infusioner á 6 mg/kg fluconazol hver 72. time. Den gennemsnitlige halveringstid (timer) var 74 (interval 44-185) på dag 1, og aftog med tiden til et gennemsnit på 53 (interval 30-131) på dag 7, og 47 (interval 27-68) på dag 13. Arealet under kurven (mikrogram·h/ml) var 271 (interval 173-385) på dag 1, der steg til et gennemsnit på 490 (interval 292-734) på dag 7 og et gennemsnit på 360 (interval 167- 566) på dag 13. Fordelingsvoluminet (ml/kg) var 1 183 (interval 1 070-1 470) på dag 1 og steg til et gennemsnit på 1 184 (interval 510-2 130) på dag 7, og 1 328 (interval 1 040-1 680) på dag 13. </w:t>
      </w:r>
    </w:p>
    <w:p w14:paraId="3D405B1E" w14:textId="4F3BD7E8" w:rsidR="00690FFB" w:rsidRDefault="00690FFB">
      <w:pPr>
        <w:rPr>
          <w:iCs/>
          <w:noProof/>
          <w:sz w:val="24"/>
          <w:szCs w:val="24"/>
        </w:rPr>
      </w:pPr>
      <w:r>
        <w:rPr>
          <w:iCs/>
          <w:noProof/>
          <w:sz w:val="24"/>
          <w:szCs w:val="24"/>
        </w:rPr>
        <w:br w:type="page"/>
      </w:r>
    </w:p>
    <w:p w14:paraId="45D6BC44" w14:textId="77777777" w:rsidR="00D24914" w:rsidRPr="007D67E8" w:rsidRDefault="00D24914" w:rsidP="00C80BC7">
      <w:pPr>
        <w:ind w:left="851"/>
        <w:rPr>
          <w:iCs/>
          <w:noProof/>
          <w:sz w:val="24"/>
          <w:szCs w:val="24"/>
        </w:rPr>
      </w:pPr>
    </w:p>
    <w:p w14:paraId="68F45D8C" w14:textId="77777777" w:rsidR="00D24914" w:rsidRPr="007D67E8" w:rsidRDefault="00D24914" w:rsidP="00C80BC7">
      <w:pPr>
        <w:ind w:left="851"/>
        <w:rPr>
          <w:iCs/>
          <w:noProof/>
          <w:sz w:val="24"/>
          <w:szCs w:val="24"/>
          <w:u w:val="single"/>
        </w:rPr>
      </w:pPr>
      <w:r w:rsidRPr="007D67E8">
        <w:rPr>
          <w:iCs/>
          <w:sz w:val="24"/>
          <w:szCs w:val="24"/>
          <w:u w:val="single"/>
        </w:rPr>
        <w:t xml:space="preserve">Farmakokinetik hos ældre </w:t>
      </w:r>
    </w:p>
    <w:p w14:paraId="2FEB4824" w14:textId="77777777" w:rsidR="00D24914" w:rsidRPr="007D67E8" w:rsidRDefault="00D24914" w:rsidP="00C80BC7">
      <w:pPr>
        <w:ind w:left="851"/>
        <w:rPr>
          <w:iCs/>
          <w:noProof/>
          <w:sz w:val="24"/>
          <w:szCs w:val="24"/>
        </w:rPr>
      </w:pPr>
      <w:r w:rsidRPr="007D67E8">
        <w:rPr>
          <w:sz w:val="24"/>
          <w:szCs w:val="24"/>
        </w:rPr>
        <w:t>Der blev foretaget et farmakokinetisk studie hos 22 forsøgspersoner, der var 65 år eller ældre, og som fik en enkelt oral dosis på 50 mg fluconazol. Ti af disse patienter fik samtidig diuretika. C</w:t>
      </w:r>
      <w:r w:rsidRPr="007D67E8">
        <w:rPr>
          <w:sz w:val="24"/>
          <w:szCs w:val="24"/>
          <w:vertAlign w:val="subscript"/>
        </w:rPr>
        <w:t>max</w:t>
      </w:r>
      <w:r w:rsidRPr="007D67E8">
        <w:rPr>
          <w:sz w:val="24"/>
          <w:szCs w:val="24"/>
        </w:rPr>
        <w:t xml:space="preserve"> var 1,54 µg/ml og indtrådte 1,3 timer efter indtagelse af dosis. Det gennemsnitlige AUC var 76,4 ± 20,3 µg·h/ml, og den gennemsnitlige terminale halveringstid var 46,2 timer. Disse farmakokinetiske parametre er højere end tilsvarende værdier rapporteret hos raske, unge mandlige frivillige. Samtidig administration af diuretika ændrede ikke AUC eller C</w:t>
      </w:r>
      <w:r w:rsidRPr="00690FFB">
        <w:rPr>
          <w:sz w:val="24"/>
          <w:szCs w:val="24"/>
          <w:vertAlign w:val="subscript"/>
        </w:rPr>
        <w:t>max</w:t>
      </w:r>
      <w:r w:rsidRPr="007D67E8">
        <w:rPr>
          <w:sz w:val="24"/>
          <w:szCs w:val="24"/>
        </w:rPr>
        <w:t xml:space="preserve"> signifikant. Derudover var kreatininclearance (74 ml/min), den procentdel af lægemidlet, der blev genfundet uændret i urinen (0-24 timer, 22 %), og den beregnede renale clearance af fluconazol (0,124 ml/min/kg) for ældre, generelt lavere end for yngre forsøgspersoner. Ændringen i fluconazols fordeling hos ældre synes derfor at være relateret til nedsat nyrefunktion, som er karakteristisk hos denne patientgruppe. </w:t>
      </w:r>
    </w:p>
    <w:p w14:paraId="32E5B6EB" w14:textId="77777777" w:rsidR="009260DE" w:rsidRPr="007D67E8" w:rsidRDefault="009260DE" w:rsidP="00C80BC7">
      <w:pPr>
        <w:ind w:left="851"/>
        <w:rPr>
          <w:sz w:val="24"/>
          <w:szCs w:val="24"/>
        </w:rPr>
      </w:pPr>
    </w:p>
    <w:p w14:paraId="31A717E9" w14:textId="15019D56" w:rsidR="009260DE" w:rsidRPr="007D67E8" w:rsidRDefault="009260DE" w:rsidP="009260DE">
      <w:pPr>
        <w:tabs>
          <w:tab w:val="left" w:pos="851"/>
        </w:tabs>
        <w:ind w:left="851" w:hanging="851"/>
        <w:rPr>
          <w:b/>
          <w:sz w:val="24"/>
          <w:szCs w:val="24"/>
        </w:rPr>
      </w:pPr>
      <w:r w:rsidRPr="007D67E8">
        <w:rPr>
          <w:b/>
          <w:sz w:val="24"/>
          <w:szCs w:val="24"/>
        </w:rPr>
        <w:t>5.3</w:t>
      </w:r>
      <w:r w:rsidRPr="007D67E8">
        <w:rPr>
          <w:b/>
          <w:sz w:val="24"/>
          <w:szCs w:val="24"/>
        </w:rPr>
        <w:tab/>
      </w:r>
      <w:bookmarkStart w:id="46" w:name="_Hlk143256142"/>
      <w:r w:rsidR="006B17EE" w:rsidRPr="00421BF6">
        <w:rPr>
          <w:b/>
          <w:sz w:val="24"/>
          <w:szCs w:val="24"/>
        </w:rPr>
        <w:t>Non-kliniske sikkerhedsdata</w:t>
      </w:r>
      <w:bookmarkEnd w:id="46"/>
    </w:p>
    <w:p w14:paraId="07DF0DC4" w14:textId="77777777" w:rsidR="00D24914" w:rsidRPr="007D67E8" w:rsidRDefault="00D24914" w:rsidP="00C80BC7">
      <w:pPr>
        <w:ind w:left="851"/>
        <w:rPr>
          <w:sz w:val="24"/>
          <w:szCs w:val="24"/>
        </w:rPr>
      </w:pPr>
      <w:r w:rsidRPr="007D67E8">
        <w:rPr>
          <w:sz w:val="24"/>
          <w:szCs w:val="24"/>
        </w:rPr>
        <w:t>I de prækliniske forsøg blev der kun set virkninger efter doser, der i væsentlig grad overstiger den maksimale humane eksponering. Disse virkninger vurderes derfor til at være af ringe klinisk relevans.</w:t>
      </w:r>
    </w:p>
    <w:p w14:paraId="45B6054E" w14:textId="77777777" w:rsidR="00D24914" w:rsidRPr="007D67E8" w:rsidRDefault="00D24914" w:rsidP="00C80BC7">
      <w:pPr>
        <w:ind w:left="851"/>
        <w:rPr>
          <w:noProof/>
          <w:sz w:val="24"/>
          <w:szCs w:val="24"/>
        </w:rPr>
      </w:pPr>
    </w:p>
    <w:p w14:paraId="72F661B1" w14:textId="77777777" w:rsidR="00D24914" w:rsidRPr="007D67E8" w:rsidRDefault="00D24914" w:rsidP="00C80BC7">
      <w:pPr>
        <w:ind w:left="851"/>
        <w:rPr>
          <w:color w:val="000000"/>
          <w:sz w:val="24"/>
          <w:szCs w:val="24"/>
        </w:rPr>
      </w:pPr>
      <w:r w:rsidRPr="007D67E8">
        <w:rPr>
          <w:color w:val="000000"/>
          <w:sz w:val="24"/>
          <w:szCs w:val="24"/>
          <w:u w:val="single"/>
        </w:rPr>
        <w:t>Karcinogenicitet</w:t>
      </w:r>
    </w:p>
    <w:p w14:paraId="710EB3C4" w14:textId="77777777" w:rsidR="00D24914" w:rsidRPr="007D67E8" w:rsidRDefault="00D24914" w:rsidP="00C80BC7">
      <w:pPr>
        <w:ind w:left="851"/>
        <w:rPr>
          <w:color w:val="000000"/>
          <w:sz w:val="24"/>
          <w:szCs w:val="24"/>
        </w:rPr>
      </w:pPr>
      <w:r w:rsidRPr="007D67E8">
        <w:rPr>
          <w:color w:val="000000"/>
          <w:sz w:val="24"/>
          <w:szCs w:val="24"/>
        </w:rPr>
        <w:t>Fluconazol viste ingen tegn på karcinogenicitet hos mus og rotter, behandlet oralt i 24 måneder med doser på 2,5, 5 eller 10 mg/kg/dag (ca. 2-7 gange den anbefalede humane dosis). Hanrotter behandlet med 5 og 10 mg/kg/dag havde øget forekomst af hepatocellulære adenomer.</w:t>
      </w:r>
    </w:p>
    <w:p w14:paraId="13BE4E50" w14:textId="77777777" w:rsidR="007D67E8" w:rsidRPr="007D67E8" w:rsidRDefault="007D67E8" w:rsidP="00C80BC7">
      <w:pPr>
        <w:ind w:left="851"/>
        <w:rPr>
          <w:color w:val="000000"/>
          <w:sz w:val="24"/>
          <w:szCs w:val="24"/>
          <w:u w:val="single"/>
        </w:rPr>
      </w:pPr>
    </w:p>
    <w:p w14:paraId="5C1358C4" w14:textId="0C7586BA" w:rsidR="00D24914" w:rsidRPr="007D67E8" w:rsidRDefault="00D24914" w:rsidP="00C80BC7">
      <w:pPr>
        <w:ind w:left="851"/>
        <w:rPr>
          <w:color w:val="000000"/>
          <w:sz w:val="24"/>
          <w:szCs w:val="24"/>
        </w:rPr>
      </w:pPr>
      <w:r w:rsidRPr="007D67E8">
        <w:rPr>
          <w:color w:val="000000"/>
          <w:sz w:val="24"/>
          <w:szCs w:val="24"/>
          <w:u w:val="single"/>
        </w:rPr>
        <w:t xml:space="preserve">Mutagenicitet </w:t>
      </w:r>
    </w:p>
    <w:p w14:paraId="6D414D10" w14:textId="77777777" w:rsidR="00D24914" w:rsidRPr="007D67E8" w:rsidRDefault="00D24914" w:rsidP="00C80BC7">
      <w:pPr>
        <w:ind w:left="851"/>
        <w:rPr>
          <w:color w:val="000000"/>
          <w:sz w:val="24"/>
          <w:szCs w:val="24"/>
        </w:rPr>
      </w:pPr>
      <w:r w:rsidRPr="007D67E8">
        <w:rPr>
          <w:color w:val="000000"/>
          <w:sz w:val="24"/>
          <w:szCs w:val="24"/>
        </w:rPr>
        <w:t xml:space="preserve">Fluconazol, med eller uden metabolisk aktivering, var negativ i tests for mutagenicitet i 4 stammer af Salmonella typhimurium og i muselymfomsystemet L5178Y. Cytogenetiske </w:t>
      </w:r>
      <w:r w:rsidRPr="007D67E8">
        <w:rPr>
          <w:i/>
          <w:color w:val="000000"/>
          <w:sz w:val="24"/>
          <w:szCs w:val="24"/>
        </w:rPr>
        <w:t>in vivo</w:t>
      </w:r>
      <w:r w:rsidRPr="007D67E8">
        <w:rPr>
          <w:color w:val="000000"/>
          <w:sz w:val="24"/>
          <w:szCs w:val="24"/>
        </w:rPr>
        <w:t xml:space="preserve">-studier (murine knoglemarvsceller efter oral administration af fluconazol) og </w:t>
      </w:r>
      <w:r w:rsidRPr="007D67E8">
        <w:rPr>
          <w:i/>
          <w:color w:val="000000"/>
          <w:sz w:val="24"/>
          <w:szCs w:val="24"/>
        </w:rPr>
        <w:t>in vitro</w:t>
      </w:r>
      <w:r w:rsidRPr="007D67E8">
        <w:rPr>
          <w:color w:val="000000"/>
          <w:sz w:val="24"/>
          <w:szCs w:val="24"/>
        </w:rPr>
        <w:t>-studier (humane lymfocytter eksponeret for fluconazol, 1 000 μg/ml) viste ingen tegn på kromosomale mutationer.</w:t>
      </w:r>
    </w:p>
    <w:p w14:paraId="4EDEB1F1" w14:textId="77777777" w:rsidR="007D67E8" w:rsidRPr="007D67E8" w:rsidRDefault="007D67E8" w:rsidP="00C80BC7">
      <w:pPr>
        <w:ind w:left="851"/>
        <w:rPr>
          <w:color w:val="000000"/>
          <w:sz w:val="24"/>
          <w:szCs w:val="24"/>
          <w:u w:val="single"/>
        </w:rPr>
      </w:pPr>
    </w:p>
    <w:p w14:paraId="7D36544C" w14:textId="06CF0425" w:rsidR="00D24914" w:rsidRPr="007D67E8" w:rsidRDefault="00D24914" w:rsidP="00C80BC7">
      <w:pPr>
        <w:ind w:left="851"/>
        <w:rPr>
          <w:color w:val="000000"/>
          <w:sz w:val="24"/>
          <w:szCs w:val="24"/>
        </w:rPr>
      </w:pPr>
      <w:r w:rsidRPr="007D67E8">
        <w:rPr>
          <w:color w:val="000000"/>
          <w:sz w:val="24"/>
          <w:szCs w:val="24"/>
          <w:u w:val="single"/>
        </w:rPr>
        <w:t xml:space="preserve">Reproduktionstoksicitet </w:t>
      </w:r>
    </w:p>
    <w:p w14:paraId="284CE09F" w14:textId="77777777" w:rsidR="00D24914" w:rsidRPr="007D67E8" w:rsidRDefault="00D24914" w:rsidP="00C80BC7">
      <w:pPr>
        <w:ind w:left="851"/>
        <w:rPr>
          <w:color w:val="000000"/>
          <w:sz w:val="24"/>
          <w:szCs w:val="24"/>
        </w:rPr>
      </w:pPr>
      <w:r w:rsidRPr="007D67E8">
        <w:rPr>
          <w:color w:val="000000"/>
          <w:sz w:val="24"/>
          <w:szCs w:val="24"/>
        </w:rPr>
        <w:t>Fluconazol påvirkede ikke fertiliteten hos han- eller hunrotter behandlet oralt med daglige doser på 5, 10 eller 20 mg/kg eller med parenterale doser på 5, 25 eller 75 mg/kg.</w:t>
      </w:r>
    </w:p>
    <w:p w14:paraId="278825CF" w14:textId="77777777" w:rsidR="007D67E8" w:rsidRPr="007D67E8" w:rsidRDefault="007D67E8" w:rsidP="00C80BC7">
      <w:pPr>
        <w:ind w:left="851"/>
        <w:rPr>
          <w:color w:val="000000"/>
          <w:sz w:val="24"/>
          <w:szCs w:val="24"/>
        </w:rPr>
      </w:pPr>
    </w:p>
    <w:p w14:paraId="2851F4BA" w14:textId="505D54B9" w:rsidR="00D24914" w:rsidRPr="007D67E8" w:rsidRDefault="00D24914" w:rsidP="00C80BC7">
      <w:pPr>
        <w:ind w:left="851"/>
        <w:rPr>
          <w:color w:val="000000"/>
          <w:sz w:val="24"/>
          <w:szCs w:val="24"/>
        </w:rPr>
      </w:pPr>
      <w:r w:rsidRPr="007D67E8">
        <w:rPr>
          <w:color w:val="000000"/>
          <w:sz w:val="24"/>
          <w:szCs w:val="24"/>
        </w:rPr>
        <w:t xml:space="preserve">Der var ingen føtale virkninger ved 5 eller 10 mg/kg. Der blev observeret stigninger i føtale anatomiske varianter (overtallige ribben, nyrebækkendilatation) og forsinket ossifikation ved 25 og 50 mg/kg og højere doser. Ved doser fra 80 mg/kg til 320 mg/kg steg fosterdødeligheden hos rotter, og der var fosterabnormiteter som bølge-formede ribben, ganespalte og abnorm kraniofacial ossifikation. </w:t>
      </w:r>
    </w:p>
    <w:p w14:paraId="22D5FDC2" w14:textId="77777777" w:rsidR="007D67E8" w:rsidRPr="007D67E8" w:rsidRDefault="007D67E8" w:rsidP="00C80BC7">
      <w:pPr>
        <w:ind w:left="851"/>
        <w:rPr>
          <w:color w:val="000000"/>
          <w:sz w:val="24"/>
          <w:szCs w:val="24"/>
        </w:rPr>
      </w:pPr>
    </w:p>
    <w:p w14:paraId="6B26498D" w14:textId="2D1F3F8E" w:rsidR="00D24914" w:rsidRPr="007D67E8" w:rsidRDefault="00D24914" w:rsidP="00C80BC7">
      <w:pPr>
        <w:ind w:left="851"/>
        <w:rPr>
          <w:noProof/>
          <w:sz w:val="24"/>
          <w:szCs w:val="24"/>
        </w:rPr>
      </w:pPr>
      <w:r w:rsidRPr="007D67E8">
        <w:rPr>
          <w:color w:val="000000"/>
          <w:sz w:val="24"/>
          <w:szCs w:val="24"/>
        </w:rPr>
        <w:t xml:space="preserve">Fødslens indtræden var let forsinket ved 20 mg/kg oralt, og der blev observeret dystoci og forlænget fødsel hos nogle moderdyr ved 20 mg/kg og 40 mg/kg intravenøst. Fødselsforstyrrelserne afspejledes i en let stigning i antallet af dødfødte unger og nedsat neonatal overlevelse ved disse dosisniveauer. Disse virkninger på fødslen er i overensstemmelse med den artsspecifikke østrogensænkende virkning som følge af høje doser fluconazol. En sådan hormonel ændring er ikke observeret hos kvinder behandlet med fluconazol (se pkt. 5.1). </w:t>
      </w:r>
    </w:p>
    <w:p w14:paraId="0FB2D848" w14:textId="77777777" w:rsidR="009260DE" w:rsidRPr="007D67E8" w:rsidRDefault="009260DE" w:rsidP="00C80BC7">
      <w:pPr>
        <w:ind w:left="851"/>
        <w:rPr>
          <w:sz w:val="24"/>
          <w:szCs w:val="24"/>
        </w:rPr>
      </w:pPr>
    </w:p>
    <w:p w14:paraId="5B1FE8BE" w14:textId="77777777" w:rsidR="009260DE" w:rsidRPr="007D67E8" w:rsidRDefault="009260DE" w:rsidP="009260DE">
      <w:pPr>
        <w:tabs>
          <w:tab w:val="left" w:pos="851"/>
        </w:tabs>
        <w:ind w:left="851"/>
        <w:rPr>
          <w:sz w:val="24"/>
          <w:szCs w:val="24"/>
        </w:rPr>
      </w:pPr>
    </w:p>
    <w:p w14:paraId="7230AFC4" w14:textId="77777777" w:rsidR="009260DE" w:rsidRPr="007D67E8" w:rsidRDefault="009260DE" w:rsidP="009260DE">
      <w:pPr>
        <w:tabs>
          <w:tab w:val="left" w:pos="851"/>
        </w:tabs>
        <w:ind w:left="851" w:hanging="851"/>
        <w:rPr>
          <w:b/>
          <w:sz w:val="24"/>
          <w:szCs w:val="24"/>
        </w:rPr>
      </w:pPr>
      <w:r w:rsidRPr="007D67E8">
        <w:rPr>
          <w:b/>
          <w:sz w:val="24"/>
          <w:szCs w:val="24"/>
        </w:rPr>
        <w:t>6.</w:t>
      </w:r>
      <w:r w:rsidRPr="007D67E8">
        <w:rPr>
          <w:b/>
          <w:sz w:val="24"/>
          <w:szCs w:val="24"/>
        </w:rPr>
        <w:tab/>
        <w:t>FARMACEUTISKE OPLYSNINGER</w:t>
      </w:r>
    </w:p>
    <w:p w14:paraId="50D3DDE0" w14:textId="77777777" w:rsidR="009260DE" w:rsidRPr="007D67E8" w:rsidRDefault="009260DE" w:rsidP="009260DE">
      <w:pPr>
        <w:tabs>
          <w:tab w:val="left" w:pos="851"/>
        </w:tabs>
        <w:ind w:left="851"/>
        <w:rPr>
          <w:sz w:val="24"/>
          <w:szCs w:val="24"/>
        </w:rPr>
      </w:pPr>
    </w:p>
    <w:p w14:paraId="6AF3B4F6" w14:textId="77777777" w:rsidR="009260DE" w:rsidRPr="007D67E8" w:rsidRDefault="009260DE" w:rsidP="009260DE">
      <w:pPr>
        <w:tabs>
          <w:tab w:val="left" w:pos="851"/>
        </w:tabs>
        <w:ind w:left="851" w:hanging="851"/>
        <w:rPr>
          <w:b/>
          <w:sz w:val="24"/>
          <w:szCs w:val="24"/>
        </w:rPr>
      </w:pPr>
      <w:r w:rsidRPr="007D67E8">
        <w:rPr>
          <w:b/>
          <w:sz w:val="24"/>
          <w:szCs w:val="24"/>
        </w:rPr>
        <w:t>6.1</w:t>
      </w:r>
      <w:r w:rsidRPr="007D67E8">
        <w:rPr>
          <w:b/>
          <w:sz w:val="24"/>
          <w:szCs w:val="24"/>
        </w:rPr>
        <w:tab/>
        <w:t>Hjælpestoffer</w:t>
      </w:r>
    </w:p>
    <w:p w14:paraId="4141C54C" w14:textId="77777777" w:rsidR="00D24914" w:rsidRPr="007D67E8" w:rsidRDefault="00D24914" w:rsidP="00C80BC7">
      <w:pPr>
        <w:ind w:left="851"/>
        <w:rPr>
          <w:sz w:val="24"/>
          <w:szCs w:val="24"/>
        </w:rPr>
      </w:pPr>
      <w:r w:rsidRPr="007D67E8">
        <w:rPr>
          <w:sz w:val="24"/>
          <w:szCs w:val="24"/>
        </w:rPr>
        <w:t>Cellulose, mikrokrystallinsk</w:t>
      </w:r>
    </w:p>
    <w:p w14:paraId="133AB98C" w14:textId="77777777" w:rsidR="00D24914" w:rsidRPr="007D67E8" w:rsidRDefault="00D24914" w:rsidP="00C80BC7">
      <w:pPr>
        <w:ind w:left="851"/>
        <w:rPr>
          <w:sz w:val="24"/>
          <w:szCs w:val="24"/>
        </w:rPr>
      </w:pPr>
      <w:r w:rsidRPr="007D67E8">
        <w:rPr>
          <w:sz w:val="24"/>
          <w:szCs w:val="24"/>
        </w:rPr>
        <w:t>Stivelse, pregelatineret</w:t>
      </w:r>
    </w:p>
    <w:p w14:paraId="4EECE788" w14:textId="77777777" w:rsidR="00D24914" w:rsidRPr="007D67E8" w:rsidRDefault="00D24914" w:rsidP="00C80BC7">
      <w:pPr>
        <w:ind w:left="851"/>
        <w:rPr>
          <w:iCs/>
          <w:sz w:val="24"/>
          <w:szCs w:val="24"/>
        </w:rPr>
      </w:pPr>
      <w:r w:rsidRPr="007D67E8">
        <w:rPr>
          <w:sz w:val="24"/>
          <w:szCs w:val="24"/>
        </w:rPr>
        <w:t>Croscarmellosenatrium</w:t>
      </w:r>
    </w:p>
    <w:p w14:paraId="717B24AB" w14:textId="77777777" w:rsidR="00D24914" w:rsidRPr="007D67E8" w:rsidRDefault="00D24914" w:rsidP="00C80BC7">
      <w:pPr>
        <w:ind w:left="851"/>
        <w:rPr>
          <w:sz w:val="24"/>
          <w:szCs w:val="24"/>
        </w:rPr>
      </w:pPr>
      <w:r w:rsidRPr="007D67E8">
        <w:rPr>
          <w:sz w:val="24"/>
          <w:szCs w:val="24"/>
        </w:rPr>
        <w:t>Magnesiumstearat</w:t>
      </w:r>
    </w:p>
    <w:p w14:paraId="1C3AB347" w14:textId="77777777" w:rsidR="00D24914" w:rsidRPr="007D67E8" w:rsidRDefault="00D24914" w:rsidP="00C80BC7">
      <w:pPr>
        <w:ind w:left="851"/>
        <w:rPr>
          <w:sz w:val="24"/>
          <w:szCs w:val="24"/>
        </w:rPr>
      </w:pPr>
      <w:r w:rsidRPr="007D67E8">
        <w:rPr>
          <w:sz w:val="24"/>
          <w:szCs w:val="24"/>
        </w:rPr>
        <w:t>Silica, kolloid vandfri</w:t>
      </w:r>
    </w:p>
    <w:p w14:paraId="1202C9F8" w14:textId="77777777" w:rsidR="009260DE" w:rsidRPr="007D67E8" w:rsidRDefault="009260DE" w:rsidP="009260DE">
      <w:pPr>
        <w:tabs>
          <w:tab w:val="left" w:pos="851"/>
        </w:tabs>
        <w:ind w:left="851"/>
        <w:rPr>
          <w:sz w:val="24"/>
          <w:szCs w:val="24"/>
        </w:rPr>
      </w:pPr>
    </w:p>
    <w:p w14:paraId="100ADAB5" w14:textId="77777777" w:rsidR="009260DE" w:rsidRPr="007D67E8" w:rsidRDefault="009260DE" w:rsidP="009260DE">
      <w:pPr>
        <w:tabs>
          <w:tab w:val="left" w:pos="851"/>
        </w:tabs>
        <w:ind w:left="851" w:hanging="851"/>
        <w:rPr>
          <w:b/>
          <w:sz w:val="24"/>
          <w:szCs w:val="24"/>
        </w:rPr>
      </w:pPr>
      <w:r w:rsidRPr="007D67E8">
        <w:rPr>
          <w:b/>
          <w:sz w:val="24"/>
          <w:szCs w:val="24"/>
        </w:rPr>
        <w:t>6.2</w:t>
      </w:r>
      <w:r w:rsidRPr="007D67E8">
        <w:rPr>
          <w:b/>
          <w:sz w:val="24"/>
          <w:szCs w:val="24"/>
        </w:rPr>
        <w:tab/>
        <w:t>Uforligeligheder</w:t>
      </w:r>
    </w:p>
    <w:p w14:paraId="2071F064" w14:textId="77777777" w:rsidR="00D24914" w:rsidRPr="007D67E8" w:rsidRDefault="00D24914" w:rsidP="00C80BC7">
      <w:pPr>
        <w:ind w:left="851"/>
        <w:rPr>
          <w:noProof/>
          <w:sz w:val="24"/>
          <w:szCs w:val="24"/>
        </w:rPr>
      </w:pPr>
      <w:r w:rsidRPr="007D67E8">
        <w:rPr>
          <w:sz w:val="24"/>
          <w:szCs w:val="24"/>
        </w:rPr>
        <w:t>Ikke relevant.</w:t>
      </w:r>
    </w:p>
    <w:p w14:paraId="21B2CCFD" w14:textId="77777777" w:rsidR="009260DE" w:rsidRPr="007D67E8" w:rsidRDefault="009260DE" w:rsidP="009260DE">
      <w:pPr>
        <w:tabs>
          <w:tab w:val="left" w:pos="851"/>
        </w:tabs>
        <w:ind w:left="851"/>
        <w:rPr>
          <w:sz w:val="24"/>
          <w:szCs w:val="24"/>
        </w:rPr>
      </w:pPr>
    </w:p>
    <w:p w14:paraId="636ED329" w14:textId="77777777" w:rsidR="009260DE" w:rsidRPr="007D67E8" w:rsidRDefault="009260DE" w:rsidP="009260DE">
      <w:pPr>
        <w:tabs>
          <w:tab w:val="left" w:pos="851"/>
        </w:tabs>
        <w:ind w:left="851" w:hanging="851"/>
        <w:rPr>
          <w:b/>
          <w:sz w:val="24"/>
          <w:szCs w:val="24"/>
        </w:rPr>
      </w:pPr>
      <w:r w:rsidRPr="007D67E8">
        <w:rPr>
          <w:b/>
          <w:sz w:val="24"/>
          <w:szCs w:val="24"/>
        </w:rPr>
        <w:t>6.3</w:t>
      </w:r>
      <w:r w:rsidRPr="007D67E8">
        <w:rPr>
          <w:b/>
          <w:sz w:val="24"/>
          <w:szCs w:val="24"/>
        </w:rPr>
        <w:tab/>
        <w:t>Opbevaringstid</w:t>
      </w:r>
    </w:p>
    <w:p w14:paraId="106562B4" w14:textId="7DE56A7F" w:rsidR="00D24914" w:rsidRPr="007D67E8" w:rsidRDefault="00D24914" w:rsidP="00C80BC7">
      <w:pPr>
        <w:ind w:left="851"/>
        <w:rPr>
          <w:noProof/>
          <w:sz w:val="24"/>
          <w:szCs w:val="24"/>
        </w:rPr>
      </w:pPr>
      <w:r w:rsidRPr="007D67E8">
        <w:rPr>
          <w:sz w:val="24"/>
          <w:szCs w:val="24"/>
        </w:rPr>
        <w:t xml:space="preserve">Tabletbeholder: 3 år </w:t>
      </w:r>
    </w:p>
    <w:p w14:paraId="1C8841C6" w14:textId="77777777" w:rsidR="00D24914" w:rsidRPr="007D67E8" w:rsidRDefault="00D24914" w:rsidP="00C80BC7">
      <w:pPr>
        <w:ind w:left="851"/>
        <w:rPr>
          <w:noProof/>
          <w:sz w:val="24"/>
          <w:szCs w:val="24"/>
        </w:rPr>
      </w:pPr>
      <w:r w:rsidRPr="007D67E8">
        <w:rPr>
          <w:sz w:val="24"/>
          <w:szCs w:val="24"/>
        </w:rPr>
        <w:t>Blisterpakning: 4 år</w:t>
      </w:r>
    </w:p>
    <w:p w14:paraId="151D7CFF" w14:textId="77777777" w:rsidR="009260DE" w:rsidRPr="007D67E8" w:rsidRDefault="009260DE" w:rsidP="009260DE">
      <w:pPr>
        <w:tabs>
          <w:tab w:val="left" w:pos="851"/>
        </w:tabs>
        <w:ind w:left="851"/>
        <w:rPr>
          <w:sz w:val="24"/>
          <w:szCs w:val="24"/>
        </w:rPr>
      </w:pPr>
    </w:p>
    <w:p w14:paraId="2750F84A" w14:textId="77777777" w:rsidR="009260DE" w:rsidRPr="007D67E8" w:rsidRDefault="009260DE" w:rsidP="009260DE">
      <w:pPr>
        <w:tabs>
          <w:tab w:val="left" w:pos="851"/>
        </w:tabs>
        <w:ind w:left="851" w:hanging="851"/>
        <w:rPr>
          <w:b/>
          <w:sz w:val="24"/>
          <w:szCs w:val="24"/>
        </w:rPr>
      </w:pPr>
      <w:r w:rsidRPr="007D67E8">
        <w:rPr>
          <w:b/>
          <w:sz w:val="24"/>
          <w:szCs w:val="24"/>
        </w:rPr>
        <w:t>6.4</w:t>
      </w:r>
      <w:r w:rsidRPr="007D67E8">
        <w:rPr>
          <w:b/>
          <w:sz w:val="24"/>
          <w:szCs w:val="24"/>
        </w:rPr>
        <w:tab/>
        <w:t>Særlige opbevaringsforhold</w:t>
      </w:r>
    </w:p>
    <w:p w14:paraId="4BD290D8" w14:textId="77777777" w:rsidR="00D24914" w:rsidRPr="007D67E8" w:rsidRDefault="00D24914" w:rsidP="00C80BC7">
      <w:pPr>
        <w:ind w:left="851"/>
        <w:rPr>
          <w:noProof/>
          <w:sz w:val="24"/>
          <w:szCs w:val="24"/>
        </w:rPr>
      </w:pPr>
      <w:r w:rsidRPr="007D67E8">
        <w:rPr>
          <w:sz w:val="24"/>
          <w:szCs w:val="24"/>
        </w:rPr>
        <w:t>Ingen særlige krav til opbevaringsforhold.</w:t>
      </w:r>
    </w:p>
    <w:p w14:paraId="28B63179" w14:textId="77777777" w:rsidR="009260DE" w:rsidRPr="007D67E8" w:rsidRDefault="009260DE" w:rsidP="009260DE">
      <w:pPr>
        <w:tabs>
          <w:tab w:val="left" w:pos="851"/>
        </w:tabs>
        <w:ind w:left="851"/>
        <w:rPr>
          <w:sz w:val="24"/>
          <w:szCs w:val="24"/>
        </w:rPr>
      </w:pPr>
    </w:p>
    <w:p w14:paraId="7094C80B" w14:textId="5B10F5FD" w:rsidR="009260DE" w:rsidRPr="007D67E8" w:rsidRDefault="009260DE" w:rsidP="009260DE">
      <w:pPr>
        <w:tabs>
          <w:tab w:val="left" w:pos="851"/>
        </w:tabs>
        <w:ind w:left="851" w:hanging="851"/>
        <w:rPr>
          <w:b/>
          <w:sz w:val="24"/>
          <w:szCs w:val="24"/>
        </w:rPr>
      </w:pPr>
      <w:r w:rsidRPr="007D67E8">
        <w:rPr>
          <w:b/>
          <w:sz w:val="24"/>
          <w:szCs w:val="24"/>
        </w:rPr>
        <w:t>6.5</w:t>
      </w:r>
      <w:r w:rsidRPr="007D67E8">
        <w:rPr>
          <w:b/>
          <w:sz w:val="24"/>
          <w:szCs w:val="24"/>
        </w:rPr>
        <w:tab/>
      </w:r>
      <w:r w:rsidR="006B17EE" w:rsidRPr="00421BF6">
        <w:rPr>
          <w:b/>
          <w:sz w:val="24"/>
          <w:szCs w:val="24"/>
        </w:rPr>
        <w:t>Emballagetype og pakningsstørrelser</w:t>
      </w:r>
    </w:p>
    <w:p w14:paraId="6D8F76EE" w14:textId="77777777" w:rsidR="00D24914" w:rsidRPr="007D67E8" w:rsidRDefault="00D24914" w:rsidP="00C80BC7">
      <w:pPr>
        <w:ind w:left="851"/>
        <w:rPr>
          <w:sz w:val="24"/>
          <w:szCs w:val="24"/>
        </w:rPr>
      </w:pPr>
      <w:r w:rsidRPr="007D67E8">
        <w:rPr>
          <w:sz w:val="24"/>
          <w:szCs w:val="24"/>
        </w:rPr>
        <w:t>1, 2, 4, 6, 12 og 30 tabletter i PVC-/aluminiumblister.</w:t>
      </w:r>
    </w:p>
    <w:p w14:paraId="33D275B5" w14:textId="02139C9D" w:rsidR="00D24914" w:rsidRPr="007D67E8" w:rsidRDefault="00D24914" w:rsidP="00C80BC7">
      <w:pPr>
        <w:ind w:left="851"/>
        <w:rPr>
          <w:sz w:val="24"/>
          <w:szCs w:val="24"/>
        </w:rPr>
      </w:pPr>
      <w:r w:rsidRPr="007D67E8">
        <w:rPr>
          <w:sz w:val="24"/>
          <w:szCs w:val="24"/>
        </w:rPr>
        <w:t xml:space="preserve">12, 30 og 100 tabletter i flasker (beholder af </w:t>
      </w:r>
      <w:r w:rsidR="004560BC" w:rsidRPr="007D67E8">
        <w:rPr>
          <w:sz w:val="24"/>
          <w:szCs w:val="24"/>
        </w:rPr>
        <w:t>HDPE-plast</w:t>
      </w:r>
      <w:r w:rsidRPr="007D67E8">
        <w:rPr>
          <w:sz w:val="24"/>
          <w:szCs w:val="24"/>
        </w:rPr>
        <w:t xml:space="preserve"> (50 ml eller 150 ml) med låg af </w:t>
      </w:r>
      <w:r w:rsidR="004560BC" w:rsidRPr="007D67E8">
        <w:rPr>
          <w:sz w:val="24"/>
          <w:szCs w:val="24"/>
        </w:rPr>
        <w:t>LDPE-plast</w:t>
      </w:r>
      <w:r w:rsidRPr="007D67E8">
        <w:rPr>
          <w:sz w:val="24"/>
          <w:szCs w:val="24"/>
        </w:rPr>
        <w:t>).</w:t>
      </w:r>
    </w:p>
    <w:p w14:paraId="2BFA744D" w14:textId="77777777" w:rsidR="00D24914" w:rsidRPr="007D67E8" w:rsidRDefault="00D24914" w:rsidP="00C80BC7">
      <w:pPr>
        <w:ind w:left="851"/>
        <w:rPr>
          <w:noProof/>
          <w:sz w:val="24"/>
          <w:szCs w:val="24"/>
        </w:rPr>
      </w:pPr>
    </w:p>
    <w:p w14:paraId="424C75C1" w14:textId="77777777" w:rsidR="00D24914" w:rsidRPr="007D67E8" w:rsidRDefault="00D24914" w:rsidP="00C80BC7">
      <w:pPr>
        <w:ind w:left="851"/>
        <w:rPr>
          <w:noProof/>
          <w:sz w:val="24"/>
          <w:szCs w:val="24"/>
        </w:rPr>
      </w:pPr>
      <w:r w:rsidRPr="007D67E8">
        <w:rPr>
          <w:sz w:val="24"/>
          <w:szCs w:val="24"/>
        </w:rPr>
        <w:t>Ikke alle pakningsstørrelser er nødvendigvis markedsført.</w:t>
      </w:r>
    </w:p>
    <w:p w14:paraId="1058AE24" w14:textId="77777777" w:rsidR="009260DE" w:rsidRPr="007D67E8" w:rsidRDefault="009260DE" w:rsidP="009260DE">
      <w:pPr>
        <w:tabs>
          <w:tab w:val="left" w:pos="851"/>
        </w:tabs>
        <w:ind w:left="851"/>
        <w:rPr>
          <w:sz w:val="24"/>
          <w:szCs w:val="24"/>
        </w:rPr>
      </w:pPr>
    </w:p>
    <w:p w14:paraId="351D658F" w14:textId="3BF7136D" w:rsidR="009260DE" w:rsidRPr="007D67E8" w:rsidRDefault="009260DE" w:rsidP="009260DE">
      <w:pPr>
        <w:tabs>
          <w:tab w:val="left" w:pos="851"/>
        </w:tabs>
        <w:ind w:left="851" w:hanging="851"/>
        <w:rPr>
          <w:b/>
          <w:sz w:val="24"/>
          <w:szCs w:val="24"/>
        </w:rPr>
      </w:pPr>
      <w:r w:rsidRPr="007D67E8">
        <w:rPr>
          <w:b/>
          <w:sz w:val="24"/>
          <w:szCs w:val="24"/>
        </w:rPr>
        <w:t>6.6</w:t>
      </w:r>
      <w:r w:rsidRPr="007D67E8">
        <w:rPr>
          <w:b/>
          <w:sz w:val="24"/>
          <w:szCs w:val="24"/>
        </w:rPr>
        <w:tab/>
      </w:r>
      <w:bookmarkStart w:id="47" w:name="_Hlk143256191"/>
      <w:r w:rsidR="006B17EE" w:rsidRPr="00421BF6">
        <w:rPr>
          <w:b/>
          <w:noProof/>
          <w:sz w:val="24"/>
          <w:szCs w:val="24"/>
        </w:rPr>
        <w:t>Regler for bortskaffelse og anden håndtering</w:t>
      </w:r>
      <w:bookmarkEnd w:id="47"/>
    </w:p>
    <w:p w14:paraId="77F035B6" w14:textId="77777777" w:rsidR="00D24914" w:rsidRPr="007D67E8" w:rsidRDefault="00D24914" w:rsidP="00C80BC7">
      <w:pPr>
        <w:ind w:left="851"/>
        <w:rPr>
          <w:sz w:val="24"/>
          <w:szCs w:val="24"/>
        </w:rPr>
      </w:pPr>
      <w:r w:rsidRPr="007D67E8">
        <w:rPr>
          <w:sz w:val="24"/>
          <w:szCs w:val="24"/>
        </w:rPr>
        <w:t>Ingen særlige forholdsregler for bortskaffelse.</w:t>
      </w:r>
    </w:p>
    <w:p w14:paraId="55498FEF" w14:textId="77777777" w:rsidR="00D24914" w:rsidRPr="007D67E8" w:rsidRDefault="00D24914" w:rsidP="00C80BC7">
      <w:pPr>
        <w:ind w:left="851"/>
        <w:rPr>
          <w:sz w:val="24"/>
          <w:szCs w:val="24"/>
        </w:rPr>
      </w:pPr>
    </w:p>
    <w:p w14:paraId="0223B7BE" w14:textId="77777777" w:rsidR="00D24914" w:rsidRPr="007D67E8" w:rsidRDefault="00D24914" w:rsidP="00C80BC7">
      <w:pPr>
        <w:ind w:left="851"/>
        <w:rPr>
          <w:sz w:val="24"/>
          <w:szCs w:val="24"/>
        </w:rPr>
      </w:pPr>
      <w:r w:rsidRPr="007D67E8">
        <w:rPr>
          <w:sz w:val="24"/>
          <w:szCs w:val="24"/>
        </w:rPr>
        <w:t xml:space="preserve">Ikke anvendt lægemiddel samt affald heraf skal bortskaffes i henhold til lokale retningslinjer. </w:t>
      </w:r>
    </w:p>
    <w:p w14:paraId="4D390CCD" w14:textId="77777777" w:rsidR="009260DE" w:rsidRPr="007D67E8" w:rsidRDefault="009260DE" w:rsidP="000730CA">
      <w:pPr>
        <w:tabs>
          <w:tab w:val="left" w:pos="851"/>
        </w:tabs>
        <w:ind w:left="851"/>
        <w:rPr>
          <w:sz w:val="24"/>
          <w:szCs w:val="24"/>
        </w:rPr>
      </w:pPr>
    </w:p>
    <w:p w14:paraId="20ACE2A0" w14:textId="77777777" w:rsidR="009260DE" w:rsidRPr="007D67E8" w:rsidRDefault="009260DE" w:rsidP="009260DE">
      <w:pPr>
        <w:tabs>
          <w:tab w:val="left" w:pos="851"/>
        </w:tabs>
        <w:ind w:left="851" w:hanging="851"/>
        <w:rPr>
          <w:b/>
          <w:sz w:val="24"/>
          <w:szCs w:val="24"/>
        </w:rPr>
      </w:pPr>
      <w:r w:rsidRPr="007D67E8">
        <w:rPr>
          <w:b/>
          <w:sz w:val="24"/>
          <w:szCs w:val="24"/>
        </w:rPr>
        <w:t>7.</w:t>
      </w:r>
      <w:r w:rsidRPr="007D67E8">
        <w:rPr>
          <w:b/>
          <w:sz w:val="24"/>
          <w:szCs w:val="24"/>
        </w:rPr>
        <w:tab/>
        <w:t>INDEHAVER AF MARKEDSFØRINGSTILLADELSEN</w:t>
      </w:r>
    </w:p>
    <w:p w14:paraId="6AB71AFB" w14:textId="77777777" w:rsidR="00D24914" w:rsidRPr="007D67E8" w:rsidRDefault="00D24914" w:rsidP="00C80BC7">
      <w:pPr>
        <w:ind w:left="851"/>
        <w:rPr>
          <w:noProof/>
          <w:sz w:val="24"/>
          <w:szCs w:val="24"/>
        </w:rPr>
      </w:pPr>
      <w:r w:rsidRPr="007D67E8">
        <w:rPr>
          <w:sz w:val="24"/>
          <w:szCs w:val="24"/>
        </w:rPr>
        <w:t>Vitabalans Oy</w:t>
      </w:r>
    </w:p>
    <w:p w14:paraId="0D930978" w14:textId="77777777" w:rsidR="00D24914" w:rsidRPr="007D67E8" w:rsidRDefault="00D24914" w:rsidP="00C80BC7">
      <w:pPr>
        <w:ind w:left="851"/>
        <w:rPr>
          <w:noProof/>
          <w:sz w:val="24"/>
          <w:szCs w:val="24"/>
        </w:rPr>
      </w:pPr>
      <w:r w:rsidRPr="007D67E8">
        <w:rPr>
          <w:sz w:val="24"/>
          <w:szCs w:val="24"/>
        </w:rPr>
        <w:t>Varastokatu 8</w:t>
      </w:r>
    </w:p>
    <w:p w14:paraId="5CDF04DA" w14:textId="77777777" w:rsidR="00D24914" w:rsidRPr="007D67E8" w:rsidRDefault="00D24914" w:rsidP="00C80BC7">
      <w:pPr>
        <w:ind w:left="851"/>
        <w:rPr>
          <w:noProof/>
          <w:sz w:val="24"/>
          <w:szCs w:val="24"/>
        </w:rPr>
      </w:pPr>
      <w:r w:rsidRPr="007D67E8">
        <w:rPr>
          <w:sz w:val="24"/>
          <w:szCs w:val="24"/>
        </w:rPr>
        <w:t>FI-13500 Hämeenlinna</w:t>
      </w:r>
    </w:p>
    <w:p w14:paraId="237ED8E9" w14:textId="373D18FE" w:rsidR="009260DE" w:rsidRPr="007D67E8" w:rsidRDefault="00D24914" w:rsidP="00C80BC7">
      <w:pPr>
        <w:ind w:left="851"/>
        <w:rPr>
          <w:sz w:val="24"/>
          <w:szCs w:val="24"/>
        </w:rPr>
      </w:pPr>
      <w:r w:rsidRPr="007D67E8">
        <w:rPr>
          <w:sz w:val="24"/>
          <w:szCs w:val="24"/>
        </w:rPr>
        <w:t>F</w:t>
      </w:r>
      <w:r w:rsidR="00C80BC7" w:rsidRPr="007D67E8">
        <w:rPr>
          <w:sz w:val="24"/>
          <w:szCs w:val="24"/>
        </w:rPr>
        <w:t>inland</w:t>
      </w:r>
    </w:p>
    <w:p w14:paraId="545432BE" w14:textId="77777777" w:rsidR="009260DE" w:rsidRPr="007D67E8" w:rsidRDefault="009260DE" w:rsidP="00C80BC7">
      <w:pPr>
        <w:ind w:left="851"/>
        <w:rPr>
          <w:sz w:val="24"/>
          <w:szCs w:val="24"/>
        </w:rPr>
      </w:pPr>
    </w:p>
    <w:p w14:paraId="3D2B8388" w14:textId="483E04EE" w:rsidR="009260DE" w:rsidRPr="007D67E8" w:rsidRDefault="009260DE" w:rsidP="009260DE">
      <w:pPr>
        <w:tabs>
          <w:tab w:val="left" w:pos="851"/>
        </w:tabs>
        <w:ind w:left="851" w:hanging="851"/>
        <w:rPr>
          <w:b/>
          <w:sz w:val="24"/>
          <w:szCs w:val="24"/>
        </w:rPr>
      </w:pPr>
      <w:r w:rsidRPr="007D67E8">
        <w:rPr>
          <w:b/>
          <w:sz w:val="24"/>
          <w:szCs w:val="24"/>
        </w:rPr>
        <w:t>8.</w:t>
      </w:r>
      <w:r w:rsidRPr="007D67E8">
        <w:rPr>
          <w:b/>
          <w:sz w:val="24"/>
          <w:szCs w:val="24"/>
        </w:rPr>
        <w:tab/>
      </w:r>
      <w:bookmarkStart w:id="48" w:name="_Hlk143256216"/>
      <w:r w:rsidR="006B17EE" w:rsidRPr="00421BF6">
        <w:rPr>
          <w:b/>
          <w:sz w:val="24"/>
          <w:szCs w:val="24"/>
        </w:rPr>
        <w:t>MARKEDSFØRINGSTILLADELSESNUMMER (-NUMRE)</w:t>
      </w:r>
      <w:bookmarkEnd w:id="48"/>
    </w:p>
    <w:p w14:paraId="4961D072" w14:textId="3EDCB4E1" w:rsidR="009260DE" w:rsidRPr="007D67E8" w:rsidRDefault="00263B79" w:rsidP="009260DE">
      <w:pPr>
        <w:tabs>
          <w:tab w:val="left" w:pos="851"/>
        </w:tabs>
        <w:ind w:left="851"/>
        <w:rPr>
          <w:sz w:val="24"/>
          <w:szCs w:val="24"/>
        </w:rPr>
      </w:pPr>
      <w:r w:rsidRPr="007D67E8">
        <w:rPr>
          <w:sz w:val="24"/>
          <w:szCs w:val="24"/>
        </w:rPr>
        <w:t>64712</w:t>
      </w:r>
    </w:p>
    <w:p w14:paraId="48868FAA" w14:textId="77777777" w:rsidR="009260DE" w:rsidRPr="007D67E8" w:rsidRDefault="009260DE" w:rsidP="009260DE">
      <w:pPr>
        <w:tabs>
          <w:tab w:val="left" w:pos="851"/>
        </w:tabs>
        <w:ind w:left="851"/>
        <w:jc w:val="both"/>
        <w:rPr>
          <w:sz w:val="24"/>
          <w:szCs w:val="24"/>
        </w:rPr>
      </w:pPr>
    </w:p>
    <w:p w14:paraId="6D4235F6" w14:textId="77777777" w:rsidR="009260DE" w:rsidRPr="007D67E8" w:rsidRDefault="009260DE" w:rsidP="009260DE">
      <w:pPr>
        <w:tabs>
          <w:tab w:val="left" w:pos="851"/>
        </w:tabs>
        <w:ind w:left="851" w:hanging="851"/>
        <w:rPr>
          <w:b/>
          <w:sz w:val="24"/>
          <w:szCs w:val="24"/>
        </w:rPr>
      </w:pPr>
      <w:r w:rsidRPr="007D67E8">
        <w:rPr>
          <w:b/>
          <w:sz w:val="24"/>
          <w:szCs w:val="24"/>
        </w:rPr>
        <w:t>9.</w:t>
      </w:r>
      <w:r w:rsidRPr="007D67E8">
        <w:rPr>
          <w:b/>
          <w:sz w:val="24"/>
          <w:szCs w:val="24"/>
        </w:rPr>
        <w:tab/>
        <w:t>DATO FOR FØRSTE MARKEDSFØRINGSTILLADELSE</w:t>
      </w:r>
    </w:p>
    <w:p w14:paraId="201D09F7" w14:textId="28B8284F" w:rsidR="009260DE" w:rsidRPr="007D67E8" w:rsidRDefault="00903431" w:rsidP="009260DE">
      <w:pPr>
        <w:tabs>
          <w:tab w:val="left" w:pos="851"/>
        </w:tabs>
        <w:ind w:left="851"/>
        <w:rPr>
          <w:sz w:val="24"/>
          <w:szCs w:val="24"/>
        </w:rPr>
      </w:pPr>
      <w:r>
        <w:rPr>
          <w:sz w:val="24"/>
          <w:szCs w:val="24"/>
        </w:rPr>
        <w:t>15. september 2021</w:t>
      </w:r>
    </w:p>
    <w:p w14:paraId="15141C47" w14:textId="77777777" w:rsidR="009260DE" w:rsidRPr="007D67E8" w:rsidRDefault="009260DE" w:rsidP="009260DE">
      <w:pPr>
        <w:tabs>
          <w:tab w:val="left" w:pos="851"/>
        </w:tabs>
        <w:ind w:left="851"/>
        <w:rPr>
          <w:sz w:val="24"/>
          <w:szCs w:val="24"/>
        </w:rPr>
      </w:pPr>
    </w:p>
    <w:p w14:paraId="3F8D9793" w14:textId="77777777" w:rsidR="009260DE" w:rsidRPr="007D67E8" w:rsidRDefault="009260DE" w:rsidP="009260DE">
      <w:pPr>
        <w:tabs>
          <w:tab w:val="left" w:pos="851"/>
        </w:tabs>
        <w:ind w:left="851" w:hanging="851"/>
        <w:rPr>
          <w:b/>
          <w:sz w:val="24"/>
          <w:szCs w:val="24"/>
        </w:rPr>
      </w:pPr>
      <w:r w:rsidRPr="007D67E8">
        <w:rPr>
          <w:b/>
          <w:sz w:val="24"/>
          <w:szCs w:val="24"/>
        </w:rPr>
        <w:t>10.</w:t>
      </w:r>
      <w:r w:rsidRPr="007D67E8">
        <w:rPr>
          <w:b/>
          <w:sz w:val="24"/>
          <w:szCs w:val="24"/>
        </w:rPr>
        <w:tab/>
        <w:t>DATO FOR ÆNDRING AF TEKSTEN</w:t>
      </w:r>
    </w:p>
    <w:p w14:paraId="35FCBCB1" w14:textId="0E856213" w:rsidR="009260DE" w:rsidRPr="007D67E8" w:rsidRDefault="002C70B7" w:rsidP="009260DE">
      <w:pPr>
        <w:tabs>
          <w:tab w:val="left" w:pos="851"/>
        </w:tabs>
        <w:ind w:left="851"/>
        <w:rPr>
          <w:sz w:val="24"/>
          <w:szCs w:val="24"/>
        </w:rPr>
      </w:pPr>
      <w:r>
        <w:rPr>
          <w:sz w:val="24"/>
          <w:szCs w:val="24"/>
        </w:rPr>
        <w:t>1</w:t>
      </w:r>
      <w:r w:rsidR="00150D74">
        <w:rPr>
          <w:sz w:val="24"/>
          <w:szCs w:val="24"/>
        </w:rPr>
        <w:t>8</w:t>
      </w:r>
      <w:bookmarkStart w:id="49" w:name="_GoBack"/>
      <w:bookmarkEnd w:id="49"/>
      <w:r w:rsidR="003B563F">
        <w:rPr>
          <w:sz w:val="24"/>
          <w:szCs w:val="24"/>
        </w:rPr>
        <w:t xml:space="preserve">. </w:t>
      </w:r>
      <w:r>
        <w:rPr>
          <w:sz w:val="24"/>
          <w:szCs w:val="24"/>
        </w:rPr>
        <w:t>april</w:t>
      </w:r>
      <w:r w:rsidR="003B563F">
        <w:rPr>
          <w:sz w:val="24"/>
          <w:szCs w:val="24"/>
        </w:rPr>
        <w:t xml:space="preserve"> 2024</w:t>
      </w:r>
    </w:p>
    <w:sectPr w:rsidR="009260DE" w:rsidRPr="007D67E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646C5" w14:textId="77777777" w:rsidR="000B4873" w:rsidRDefault="000B4873">
      <w:r>
        <w:separator/>
      </w:r>
    </w:p>
  </w:endnote>
  <w:endnote w:type="continuationSeparator" w:id="0">
    <w:p w14:paraId="4178D707" w14:textId="77777777" w:rsidR="000B4873" w:rsidRDefault="000B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4911" w14:textId="77777777" w:rsidR="000B4873" w:rsidRDefault="000B4873">
    <w:pPr>
      <w:pStyle w:val="Sidefod"/>
      <w:pBdr>
        <w:bottom w:val="single" w:sz="6" w:space="1" w:color="auto"/>
      </w:pBdr>
    </w:pPr>
  </w:p>
  <w:p w14:paraId="2D62D2E4" w14:textId="77777777" w:rsidR="000B4873" w:rsidRDefault="000B4873" w:rsidP="00C42586">
    <w:pPr>
      <w:pStyle w:val="Sidefod"/>
      <w:tabs>
        <w:tab w:val="clear" w:pos="4819"/>
        <w:tab w:val="left" w:pos="8505"/>
      </w:tabs>
      <w:rPr>
        <w:i/>
        <w:sz w:val="18"/>
        <w:szCs w:val="18"/>
      </w:rPr>
    </w:pPr>
  </w:p>
  <w:p w14:paraId="434133C5" w14:textId="40157598" w:rsidR="000B4873" w:rsidRPr="00B373D7" w:rsidRDefault="000B487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Fluconazol Vitabalans, tabletter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BA2B4" w14:textId="77777777" w:rsidR="000B4873" w:rsidRDefault="000B4873">
      <w:r>
        <w:separator/>
      </w:r>
    </w:p>
  </w:footnote>
  <w:footnote w:type="continuationSeparator" w:id="0">
    <w:p w14:paraId="26E9E176" w14:textId="77777777" w:rsidR="000B4873" w:rsidRDefault="000B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6DE"/>
    <w:multiLevelType w:val="hybridMultilevel"/>
    <w:tmpl w:val="0C94C6DA"/>
    <w:lvl w:ilvl="0" w:tplc="924015C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5523AE"/>
    <w:multiLevelType w:val="hybridMultilevel"/>
    <w:tmpl w:val="C2B2CED4"/>
    <w:lvl w:ilvl="0" w:tplc="924015C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1E02D15"/>
    <w:multiLevelType w:val="hybridMultilevel"/>
    <w:tmpl w:val="71540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C0349FC"/>
    <w:multiLevelType w:val="hybridMultilevel"/>
    <w:tmpl w:val="BF1AECEC"/>
    <w:lvl w:ilvl="0" w:tplc="924015C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CA7D23"/>
    <w:multiLevelType w:val="hybridMultilevel"/>
    <w:tmpl w:val="0E1CA8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44"/>
    <w:rsid w:val="00000078"/>
    <w:rsid w:val="00007308"/>
    <w:rsid w:val="000259B9"/>
    <w:rsid w:val="00041491"/>
    <w:rsid w:val="00050D16"/>
    <w:rsid w:val="000730CA"/>
    <w:rsid w:val="00074F2A"/>
    <w:rsid w:val="000A1CA8"/>
    <w:rsid w:val="000A406B"/>
    <w:rsid w:val="000A466B"/>
    <w:rsid w:val="000B058C"/>
    <w:rsid w:val="000B4873"/>
    <w:rsid w:val="000E4EE6"/>
    <w:rsid w:val="000E7D58"/>
    <w:rsid w:val="000F5BDF"/>
    <w:rsid w:val="0014192F"/>
    <w:rsid w:val="001454E2"/>
    <w:rsid w:val="00150D74"/>
    <w:rsid w:val="001603C1"/>
    <w:rsid w:val="00182035"/>
    <w:rsid w:val="00202FEF"/>
    <w:rsid w:val="00206CE8"/>
    <w:rsid w:val="0021526C"/>
    <w:rsid w:val="00254659"/>
    <w:rsid w:val="00263B79"/>
    <w:rsid w:val="00283A2B"/>
    <w:rsid w:val="002B30AD"/>
    <w:rsid w:val="002C2C01"/>
    <w:rsid w:val="002C70B7"/>
    <w:rsid w:val="00325436"/>
    <w:rsid w:val="00346A4F"/>
    <w:rsid w:val="003A29AE"/>
    <w:rsid w:val="003A32D7"/>
    <w:rsid w:val="003B4074"/>
    <w:rsid w:val="003B563F"/>
    <w:rsid w:val="003B60E8"/>
    <w:rsid w:val="003C769A"/>
    <w:rsid w:val="003F1838"/>
    <w:rsid w:val="00433F6C"/>
    <w:rsid w:val="00444142"/>
    <w:rsid w:val="004529F8"/>
    <w:rsid w:val="004560BC"/>
    <w:rsid w:val="0045746C"/>
    <w:rsid w:val="004772C4"/>
    <w:rsid w:val="00482F44"/>
    <w:rsid w:val="0049104B"/>
    <w:rsid w:val="0049472C"/>
    <w:rsid w:val="004A1D83"/>
    <w:rsid w:val="004A3055"/>
    <w:rsid w:val="004A6BFF"/>
    <w:rsid w:val="004E3B12"/>
    <w:rsid w:val="0052664A"/>
    <w:rsid w:val="00532310"/>
    <w:rsid w:val="00562329"/>
    <w:rsid w:val="00565F0F"/>
    <w:rsid w:val="00594A86"/>
    <w:rsid w:val="00596D86"/>
    <w:rsid w:val="00637F5A"/>
    <w:rsid w:val="00651880"/>
    <w:rsid w:val="006560B1"/>
    <w:rsid w:val="006756DD"/>
    <w:rsid w:val="00690FFB"/>
    <w:rsid w:val="006A0CEC"/>
    <w:rsid w:val="006B17EE"/>
    <w:rsid w:val="00705807"/>
    <w:rsid w:val="00737275"/>
    <w:rsid w:val="00740EEC"/>
    <w:rsid w:val="00772FD4"/>
    <w:rsid w:val="0078011A"/>
    <w:rsid w:val="00780A18"/>
    <w:rsid w:val="00782AF4"/>
    <w:rsid w:val="00790EE7"/>
    <w:rsid w:val="007B6649"/>
    <w:rsid w:val="007D67E8"/>
    <w:rsid w:val="008015F1"/>
    <w:rsid w:val="0082576E"/>
    <w:rsid w:val="00884FA2"/>
    <w:rsid w:val="008A1214"/>
    <w:rsid w:val="00903431"/>
    <w:rsid w:val="00907F75"/>
    <w:rsid w:val="00924BFF"/>
    <w:rsid w:val="009260DE"/>
    <w:rsid w:val="009260FE"/>
    <w:rsid w:val="0093258A"/>
    <w:rsid w:val="009C394E"/>
    <w:rsid w:val="009C7BA3"/>
    <w:rsid w:val="009D1F5A"/>
    <w:rsid w:val="00A0367A"/>
    <w:rsid w:val="00A10294"/>
    <w:rsid w:val="00A41AF8"/>
    <w:rsid w:val="00A7642E"/>
    <w:rsid w:val="00A86F5F"/>
    <w:rsid w:val="00AF53A0"/>
    <w:rsid w:val="00B003BF"/>
    <w:rsid w:val="00B373D7"/>
    <w:rsid w:val="00B705BB"/>
    <w:rsid w:val="00B92B51"/>
    <w:rsid w:val="00C256C2"/>
    <w:rsid w:val="00C36276"/>
    <w:rsid w:val="00C42586"/>
    <w:rsid w:val="00C60CCD"/>
    <w:rsid w:val="00C80BC7"/>
    <w:rsid w:val="00C84483"/>
    <w:rsid w:val="00C85A53"/>
    <w:rsid w:val="00C95551"/>
    <w:rsid w:val="00CA5A1F"/>
    <w:rsid w:val="00CB20D7"/>
    <w:rsid w:val="00CB390B"/>
    <w:rsid w:val="00CC1130"/>
    <w:rsid w:val="00D020B0"/>
    <w:rsid w:val="00D11748"/>
    <w:rsid w:val="00D16CBF"/>
    <w:rsid w:val="00D24914"/>
    <w:rsid w:val="00D366CF"/>
    <w:rsid w:val="00D57D18"/>
    <w:rsid w:val="00DA4A4A"/>
    <w:rsid w:val="00DB5B24"/>
    <w:rsid w:val="00DD24AC"/>
    <w:rsid w:val="00DE1752"/>
    <w:rsid w:val="00E108AA"/>
    <w:rsid w:val="00E3749A"/>
    <w:rsid w:val="00E637DE"/>
    <w:rsid w:val="00E7437F"/>
    <w:rsid w:val="00E865B8"/>
    <w:rsid w:val="00EC0B9B"/>
    <w:rsid w:val="00EC2D60"/>
    <w:rsid w:val="00ED5E9F"/>
    <w:rsid w:val="00F019D7"/>
    <w:rsid w:val="00F02756"/>
    <w:rsid w:val="00F14805"/>
    <w:rsid w:val="00F66D4F"/>
    <w:rsid w:val="00FB6D01"/>
    <w:rsid w:val="00FF68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E4FD6"/>
  <w15:chartTrackingRefBased/>
  <w15:docId w15:val="{C901F7EF-4D82-4589-8140-9DA46BB9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CA5A1F"/>
    <w:pPr>
      <w:spacing w:after="143"/>
    </w:pPr>
    <w:rPr>
      <w:sz w:val="24"/>
      <w:szCs w:val="24"/>
      <w:lang w:eastAsia="fi-FI"/>
    </w:rPr>
  </w:style>
  <w:style w:type="paragraph" w:styleId="Ingenafstand">
    <w:name w:val="No Spacing"/>
    <w:uiPriority w:val="1"/>
    <w:qFormat/>
    <w:rsid w:val="00CA5A1F"/>
    <w:pPr>
      <w:tabs>
        <w:tab w:val="left" w:pos="567"/>
      </w:tabs>
    </w:pPr>
    <w:rPr>
      <w:sz w:val="22"/>
      <w:lang w:eastAsia="en-US"/>
    </w:rPr>
  </w:style>
  <w:style w:type="character" w:styleId="Hyperlink">
    <w:name w:val="Hyperlink"/>
    <w:semiHidden/>
    <w:unhideWhenUsed/>
    <w:rsid w:val="004A1D83"/>
    <w:rPr>
      <w:color w:val="0000FF"/>
      <w:u w:val="single"/>
    </w:rPr>
  </w:style>
  <w:style w:type="paragraph" w:styleId="Listeafsnit">
    <w:name w:val="List Paragraph"/>
    <w:basedOn w:val="Normal"/>
    <w:uiPriority w:val="34"/>
    <w:qFormat/>
    <w:rsid w:val="00477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9897">
      <w:bodyDiv w:val="1"/>
      <w:marLeft w:val="0"/>
      <w:marRight w:val="0"/>
      <w:marTop w:val="0"/>
      <w:marBottom w:val="0"/>
      <w:divBdr>
        <w:top w:val="none" w:sz="0" w:space="0" w:color="auto"/>
        <w:left w:val="none" w:sz="0" w:space="0" w:color="auto"/>
        <w:bottom w:val="none" w:sz="0" w:space="0" w:color="auto"/>
        <w:right w:val="none" w:sz="0" w:space="0" w:color="auto"/>
      </w:divBdr>
    </w:div>
    <w:div w:id="79064367">
      <w:bodyDiv w:val="1"/>
      <w:marLeft w:val="0"/>
      <w:marRight w:val="0"/>
      <w:marTop w:val="0"/>
      <w:marBottom w:val="0"/>
      <w:divBdr>
        <w:top w:val="none" w:sz="0" w:space="0" w:color="auto"/>
        <w:left w:val="none" w:sz="0" w:space="0" w:color="auto"/>
        <w:bottom w:val="none" w:sz="0" w:space="0" w:color="auto"/>
        <w:right w:val="none" w:sz="0" w:space="0" w:color="auto"/>
      </w:divBdr>
    </w:div>
    <w:div w:id="80953336">
      <w:bodyDiv w:val="1"/>
      <w:marLeft w:val="0"/>
      <w:marRight w:val="0"/>
      <w:marTop w:val="0"/>
      <w:marBottom w:val="0"/>
      <w:divBdr>
        <w:top w:val="none" w:sz="0" w:space="0" w:color="auto"/>
        <w:left w:val="none" w:sz="0" w:space="0" w:color="auto"/>
        <w:bottom w:val="none" w:sz="0" w:space="0" w:color="auto"/>
        <w:right w:val="none" w:sz="0" w:space="0" w:color="auto"/>
      </w:divBdr>
    </w:div>
    <w:div w:id="129135335">
      <w:bodyDiv w:val="1"/>
      <w:marLeft w:val="0"/>
      <w:marRight w:val="0"/>
      <w:marTop w:val="0"/>
      <w:marBottom w:val="0"/>
      <w:divBdr>
        <w:top w:val="none" w:sz="0" w:space="0" w:color="auto"/>
        <w:left w:val="none" w:sz="0" w:space="0" w:color="auto"/>
        <w:bottom w:val="none" w:sz="0" w:space="0" w:color="auto"/>
        <w:right w:val="none" w:sz="0" w:space="0" w:color="auto"/>
      </w:divBdr>
    </w:div>
    <w:div w:id="1512171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757119">
      <w:bodyDiv w:val="1"/>
      <w:marLeft w:val="0"/>
      <w:marRight w:val="0"/>
      <w:marTop w:val="0"/>
      <w:marBottom w:val="0"/>
      <w:divBdr>
        <w:top w:val="none" w:sz="0" w:space="0" w:color="auto"/>
        <w:left w:val="none" w:sz="0" w:space="0" w:color="auto"/>
        <w:bottom w:val="none" w:sz="0" w:space="0" w:color="auto"/>
        <w:right w:val="none" w:sz="0" w:space="0" w:color="auto"/>
      </w:divBdr>
    </w:div>
    <w:div w:id="179583719">
      <w:bodyDiv w:val="1"/>
      <w:marLeft w:val="0"/>
      <w:marRight w:val="0"/>
      <w:marTop w:val="0"/>
      <w:marBottom w:val="0"/>
      <w:divBdr>
        <w:top w:val="none" w:sz="0" w:space="0" w:color="auto"/>
        <w:left w:val="none" w:sz="0" w:space="0" w:color="auto"/>
        <w:bottom w:val="none" w:sz="0" w:space="0" w:color="auto"/>
        <w:right w:val="none" w:sz="0" w:space="0" w:color="auto"/>
      </w:divBdr>
    </w:div>
    <w:div w:id="238057021">
      <w:bodyDiv w:val="1"/>
      <w:marLeft w:val="0"/>
      <w:marRight w:val="0"/>
      <w:marTop w:val="0"/>
      <w:marBottom w:val="0"/>
      <w:divBdr>
        <w:top w:val="none" w:sz="0" w:space="0" w:color="auto"/>
        <w:left w:val="none" w:sz="0" w:space="0" w:color="auto"/>
        <w:bottom w:val="none" w:sz="0" w:space="0" w:color="auto"/>
        <w:right w:val="none" w:sz="0" w:space="0" w:color="auto"/>
      </w:divBdr>
    </w:div>
    <w:div w:id="265306207">
      <w:bodyDiv w:val="1"/>
      <w:marLeft w:val="0"/>
      <w:marRight w:val="0"/>
      <w:marTop w:val="0"/>
      <w:marBottom w:val="0"/>
      <w:divBdr>
        <w:top w:val="none" w:sz="0" w:space="0" w:color="auto"/>
        <w:left w:val="none" w:sz="0" w:space="0" w:color="auto"/>
        <w:bottom w:val="none" w:sz="0" w:space="0" w:color="auto"/>
        <w:right w:val="none" w:sz="0" w:space="0" w:color="auto"/>
      </w:divBdr>
    </w:div>
    <w:div w:id="357125510">
      <w:bodyDiv w:val="1"/>
      <w:marLeft w:val="0"/>
      <w:marRight w:val="0"/>
      <w:marTop w:val="0"/>
      <w:marBottom w:val="0"/>
      <w:divBdr>
        <w:top w:val="none" w:sz="0" w:space="0" w:color="auto"/>
        <w:left w:val="none" w:sz="0" w:space="0" w:color="auto"/>
        <w:bottom w:val="none" w:sz="0" w:space="0" w:color="auto"/>
        <w:right w:val="none" w:sz="0" w:space="0" w:color="auto"/>
      </w:divBdr>
    </w:div>
    <w:div w:id="451359791">
      <w:bodyDiv w:val="1"/>
      <w:marLeft w:val="0"/>
      <w:marRight w:val="0"/>
      <w:marTop w:val="0"/>
      <w:marBottom w:val="0"/>
      <w:divBdr>
        <w:top w:val="none" w:sz="0" w:space="0" w:color="auto"/>
        <w:left w:val="none" w:sz="0" w:space="0" w:color="auto"/>
        <w:bottom w:val="none" w:sz="0" w:space="0" w:color="auto"/>
        <w:right w:val="none" w:sz="0" w:space="0" w:color="auto"/>
      </w:divBdr>
    </w:div>
    <w:div w:id="533731455">
      <w:bodyDiv w:val="1"/>
      <w:marLeft w:val="0"/>
      <w:marRight w:val="0"/>
      <w:marTop w:val="0"/>
      <w:marBottom w:val="0"/>
      <w:divBdr>
        <w:top w:val="none" w:sz="0" w:space="0" w:color="auto"/>
        <w:left w:val="none" w:sz="0" w:space="0" w:color="auto"/>
        <w:bottom w:val="none" w:sz="0" w:space="0" w:color="auto"/>
        <w:right w:val="none" w:sz="0" w:space="0" w:color="auto"/>
      </w:divBdr>
    </w:div>
    <w:div w:id="543905490">
      <w:bodyDiv w:val="1"/>
      <w:marLeft w:val="0"/>
      <w:marRight w:val="0"/>
      <w:marTop w:val="0"/>
      <w:marBottom w:val="0"/>
      <w:divBdr>
        <w:top w:val="none" w:sz="0" w:space="0" w:color="auto"/>
        <w:left w:val="none" w:sz="0" w:space="0" w:color="auto"/>
        <w:bottom w:val="none" w:sz="0" w:space="0" w:color="auto"/>
        <w:right w:val="none" w:sz="0" w:space="0" w:color="auto"/>
      </w:divBdr>
    </w:div>
    <w:div w:id="764887408">
      <w:bodyDiv w:val="1"/>
      <w:marLeft w:val="0"/>
      <w:marRight w:val="0"/>
      <w:marTop w:val="0"/>
      <w:marBottom w:val="0"/>
      <w:divBdr>
        <w:top w:val="none" w:sz="0" w:space="0" w:color="auto"/>
        <w:left w:val="none" w:sz="0" w:space="0" w:color="auto"/>
        <w:bottom w:val="none" w:sz="0" w:space="0" w:color="auto"/>
        <w:right w:val="none" w:sz="0" w:space="0" w:color="auto"/>
      </w:divBdr>
    </w:div>
    <w:div w:id="830800536">
      <w:bodyDiv w:val="1"/>
      <w:marLeft w:val="0"/>
      <w:marRight w:val="0"/>
      <w:marTop w:val="0"/>
      <w:marBottom w:val="0"/>
      <w:divBdr>
        <w:top w:val="none" w:sz="0" w:space="0" w:color="auto"/>
        <w:left w:val="none" w:sz="0" w:space="0" w:color="auto"/>
        <w:bottom w:val="none" w:sz="0" w:space="0" w:color="auto"/>
        <w:right w:val="none" w:sz="0" w:space="0" w:color="auto"/>
      </w:divBdr>
    </w:div>
    <w:div w:id="841163710">
      <w:bodyDiv w:val="1"/>
      <w:marLeft w:val="0"/>
      <w:marRight w:val="0"/>
      <w:marTop w:val="0"/>
      <w:marBottom w:val="0"/>
      <w:divBdr>
        <w:top w:val="none" w:sz="0" w:space="0" w:color="auto"/>
        <w:left w:val="none" w:sz="0" w:space="0" w:color="auto"/>
        <w:bottom w:val="none" w:sz="0" w:space="0" w:color="auto"/>
        <w:right w:val="none" w:sz="0" w:space="0" w:color="auto"/>
      </w:divBdr>
    </w:div>
    <w:div w:id="1073938552">
      <w:bodyDiv w:val="1"/>
      <w:marLeft w:val="0"/>
      <w:marRight w:val="0"/>
      <w:marTop w:val="0"/>
      <w:marBottom w:val="0"/>
      <w:divBdr>
        <w:top w:val="none" w:sz="0" w:space="0" w:color="auto"/>
        <w:left w:val="none" w:sz="0" w:space="0" w:color="auto"/>
        <w:bottom w:val="none" w:sz="0" w:space="0" w:color="auto"/>
        <w:right w:val="none" w:sz="0" w:space="0" w:color="auto"/>
      </w:divBdr>
    </w:div>
    <w:div w:id="1126123756">
      <w:bodyDiv w:val="1"/>
      <w:marLeft w:val="0"/>
      <w:marRight w:val="0"/>
      <w:marTop w:val="0"/>
      <w:marBottom w:val="0"/>
      <w:divBdr>
        <w:top w:val="none" w:sz="0" w:space="0" w:color="auto"/>
        <w:left w:val="none" w:sz="0" w:space="0" w:color="auto"/>
        <w:bottom w:val="none" w:sz="0" w:space="0" w:color="auto"/>
        <w:right w:val="none" w:sz="0" w:space="0" w:color="auto"/>
      </w:divBdr>
    </w:div>
    <w:div w:id="1207453571">
      <w:bodyDiv w:val="1"/>
      <w:marLeft w:val="0"/>
      <w:marRight w:val="0"/>
      <w:marTop w:val="0"/>
      <w:marBottom w:val="0"/>
      <w:divBdr>
        <w:top w:val="none" w:sz="0" w:space="0" w:color="auto"/>
        <w:left w:val="none" w:sz="0" w:space="0" w:color="auto"/>
        <w:bottom w:val="none" w:sz="0" w:space="0" w:color="auto"/>
        <w:right w:val="none" w:sz="0" w:space="0" w:color="auto"/>
      </w:divBdr>
    </w:div>
    <w:div w:id="1242911768">
      <w:bodyDiv w:val="1"/>
      <w:marLeft w:val="0"/>
      <w:marRight w:val="0"/>
      <w:marTop w:val="0"/>
      <w:marBottom w:val="0"/>
      <w:divBdr>
        <w:top w:val="none" w:sz="0" w:space="0" w:color="auto"/>
        <w:left w:val="none" w:sz="0" w:space="0" w:color="auto"/>
        <w:bottom w:val="none" w:sz="0" w:space="0" w:color="auto"/>
        <w:right w:val="none" w:sz="0" w:space="0" w:color="auto"/>
      </w:divBdr>
    </w:div>
    <w:div w:id="1285385389">
      <w:bodyDiv w:val="1"/>
      <w:marLeft w:val="0"/>
      <w:marRight w:val="0"/>
      <w:marTop w:val="0"/>
      <w:marBottom w:val="0"/>
      <w:divBdr>
        <w:top w:val="none" w:sz="0" w:space="0" w:color="auto"/>
        <w:left w:val="none" w:sz="0" w:space="0" w:color="auto"/>
        <w:bottom w:val="none" w:sz="0" w:space="0" w:color="auto"/>
        <w:right w:val="none" w:sz="0" w:space="0" w:color="auto"/>
      </w:divBdr>
    </w:div>
    <w:div w:id="1290278945">
      <w:bodyDiv w:val="1"/>
      <w:marLeft w:val="0"/>
      <w:marRight w:val="0"/>
      <w:marTop w:val="0"/>
      <w:marBottom w:val="0"/>
      <w:divBdr>
        <w:top w:val="none" w:sz="0" w:space="0" w:color="auto"/>
        <w:left w:val="none" w:sz="0" w:space="0" w:color="auto"/>
        <w:bottom w:val="none" w:sz="0" w:space="0" w:color="auto"/>
        <w:right w:val="none" w:sz="0" w:space="0" w:color="auto"/>
      </w:divBdr>
    </w:div>
    <w:div w:id="1553692221">
      <w:bodyDiv w:val="1"/>
      <w:marLeft w:val="0"/>
      <w:marRight w:val="0"/>
      <w:marTop w:val="0"/>
      <w:marBottom w:val="0"/>
      <w:divBdr>
        <w:top w:val="none" w:sz="0" w:space="0" w:color="auto"/>
        <w:left w:val="none" w:sz="0" w:space="0" w:color="auto"/>
        <w:bottom w:val="none" w:sz="0" w:space="0" w:color="auto"/>
        <w:right w:val="none" w:sz="0" w:space="0" w:color="auto"/>
      </w:divBdr>
    </w:div>
    <w:div w:id="1636639822">
      <w:bodyDiv w:val="1"/>
      <w:marLeft w:val="0"/>
      <w:marRight w:val="0"/>
      <w:marTop w:val="0"/>
      <w:marBottom w:val="0"/>
      <w:divBdr>
        <w:top w:val="none" w:sz="0" w:space="0" w:color="auto"/>
        <w:left w:val="none" w:sz="0" w:space="0" w:color="auto"/>
        <w:bottom w:val="none" w:sz="0" w:space="0" w:color="auto"/>
        <w:right w:val="none" w:sz="0" w:space="0" w:color="auto"/>
      </w:divBdr>
    </w:div>
    <w:div w:id="1648852036">
      <w:bodyDiv w:val="1"/>
      <w:marLeft w:val="0"/>
      <w:marRight w:val="0"/>
      <w:marTop w:val="0"/>
      <w:marBottom w:val="0"/>
      <w:divBdr>
        <w:top w:val="none" w:sz="0" w:space="0" w:color="auto"/>
        <w:left w:val="none" w:sz="0" w:space="0" w:color="auto"/>
        <w:bottom w:val="none" w:sz="0" w:space="0" w:color="auto"/>
        <w:right w:val="none" w:sz="0" w:space="0" w:color="auto"/>
      </w:divBdr>
    </w:div>
    <w:div w:id="1673099251">
      <w:bodyDiv w:val="1"/>
      <w:marLeft w:val="0"/>
      <w:marRight w:val="0"/>
      <w:marTop w:val="0"/>
      <w:marBottom w:val="0"/>
      <w:divBdr>
        <w:top w:val="none" w:sz="0" w:space="0" w:color="auto"/>
        <w:left w:val="none" w:sz="0" w:space="0" w:color="auto"/>
        <w:bottom w:val="none" w:sz="0" w:space="0" w:color="auto"/>
        <w:right w:val="none" w:sz="0" w:space="0" w:color="auto"/>
      </w:divBdr>
    </w:div>
    <w:div w:id="1718965667">
      <w:bodyDiv w:val="1"/>
      <w:marLeft w:val="0"/>
      <w:marRight w:val="0"/>
      <w:marTop w:val="0"/>
      <w:marBottom w:val="0"/>
      <w:divBdr>
        <w:top w:val="none" w:sz="0" w:space="0" w:color="auto"/>
        <w:left w:val="none" w:sz="0" w:space="0" w:color="auto"/>
        <w:bottom w:val="none" w:sz="0" w:space="0" w:color="auto"/>
        <w:right w:val="none" w:sz="0" w:space="0" w:color="auto"/>
      </w:divBdr>
    </w:div>
    <w:div w:id="1747877656">
      <w:bodyDiv w:val="1"/>
      <w:marLeft w:val="0"/>
      <w:marRight w:val="0"/>
      <w:marTop w:val="0"/>
      <w:marBottom w:val="0"/>
      <w:divBdr>
        <w:top w:val="none" w:sz="0" w:space="0" w:color="auto"/>
        <w:left w:val="none" w:sz="0" w:space="0" w:color="auto"/>
        <w:bottom w:val="none" w:sz="0" w:space="0" w:color="auto"/>
        <w:right w:val="none" w:sz="0" w:space="0" w:color="auto"/>
      </w:divBdr>
    </w:div>
    <w:div w:id="1844738242">
      <w:bodyDiv w:val="1"/>
      <w:marLeft w:val="0"/>
      <w:marRight w:val="0"/>
      <w:marTop w:val="0"/>
      <w:marBottom w:val="0"/>
      <w:divBdr>
        <w:top w:val="none" w:sz="0" w:space="0" w:color="auto"/>
        <w:left w:val="none" w:sz="0" w:space="0" w:color="auto"/>
        <w:bottom w:val="none" w:sz="0" w:space="0" w:color="auto"/>
        <w:right w:val="none" w:sz="0" w:space="0" w:color="auto"/>
      </w:divBdr>
    </w:div>
    <w:div w:id="1947807060">
      <w:bodyDiv w:val="1"/>
      <w:marLeft w:val="0"/>
      <w:marRight w:val="0"/>
      <w:marTop w:val="0"/>
      <w:marBottom w:val="0"/>
      <w:divBdr>
        <w:top w:val="none" w:sz="0" w:space="0" w:color="auto"/>
        <w:left w:val="none" w:sz="0" w:space="0" w:color="auto"/>
        <w:bottom w:val="none" w:sz="0" w:space="0" w:color="auto"/>
        <w:right w:val="none" w:sz="0" w:space="0" w:color="auto"/>
      </w:divBdr>
    </w:div>
    <w:div w:id="2042317885">
      <w:bodyDiv w:val="1"/>
      <w:marLeft w:val="0"/>
      <w:marRight w:val="0"/>
      <w:marTop w:val="0"/>
      <w:marBottom w:val="0"/>
      <w:divBdr>
        <w:top w:val="none" w:sz="0" w:space="0" w:color="auto"/>
        <w:left w:val="none" w:sz="0" w:space="0" w:color="auto"/>
        <w:bottom w:val="none" w:sz="0" w:space="0" w:color="auto"/>
        <w:right w:val="none" w:sz="0" w:space="0" w:color="auto"/>
      </w:divBdr>
      <w:divsChild>
        <w:div w:id="1145897467">
          <w:marLeft w:val="0"/>
          <w:marRight w:val="0"/>
          <w:marTop w:val="0"/>
          <w:marBottom w:val="0"/>
          <w:divBdr>
            <w:top w:val="none" w:sz="0" w:space="0" w:color="auto"/>
            <w:left w:val="none" w:sz="0" w:space="0" w:color="auto"/>
            <w:bottom w:val="none" w:sz="0" w:space="0" w:color="auto"/>
            <w:right w:val="none" w:sz="0" w:space="0" w:color="auto"/>
          </w:divBdr>
          <w:divsChild>
            <w:div w:id="10836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986">
      <w:bodyDiv w:val="1"/>
      <w:marLeft w:val="0"/>
      <w:marRight w:val="0"/>
      <w:marTop w:val="0"/>
      <w:marBottom w:val="0"/>
      <w:divBdr>
        <w:top w:val="none" w:sz="0" w:space="0" w:color="auto"/>
        <w:left w:val="none" w:sz="0" w:space="0" w:color="auto"/>
        <w:bottom w:val="none" w:sz="0" w:space="0" w:color="auto"/>
        <w:right w:val="none" w:sz="0" w:space="0" w:color="auto"/>
      </w:divBdr>
      <w:divsChild>
        <w:div w:id="1038626195">
          <w:marLeft w:val="0"/>
          <w:marRight w:val="0"/>
          <w:marTop w:val="0"/>
          <w:marBottom w:val="0"/>
          <w:divBdr>
            <w:top w:val="none" w:sz="0" w:space="0" w:color="auto"/>
            <w:left w:val="none" w:sz="0" w:space="0" w:color="auto"/>
            <w:bottom w:val="none" w:sz="0" w:space="0" w:color="auto"/>
            <w:right w:val="none" w:sz="0" w:space="0" w:color="auto"/>
          </w:divBdr>
          <w:divsChild>
            <w:div w:id="2725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8219</Words>
  <Characters>50141</Characters>
  <Application>Microsoft Office Word</Application>
  <DocSecurity>0</DocSecurity>
  <Lines>417</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Rettelser: 4.4, 4.6</dc:description>
  <cp:lastModifiedBy>Gitte Ronnovius</cp:lastModifiedBy>
  <cp:revision>6</cp:revision>
  <cp:lastPrinted>2012-08-22T08:53:00Z</cp:lastPrinted>
  <dcterms:created xsi:type="dcterms:W3CDTF">2024-04-15T06:50:00Z</dcterms:created>
  <dcterms:modified xsi:type="dcterms:W3CDTF">2024-04-18T08:03:00Z</dcterms:modified>
</cp:coreProperties>
</file>