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2EE13" w14:textId="77777777" w:rsidR="009260DE" w:rsidRPr="00475DC9" w:rsidRDefault="0021526C" w:rsidP="009260DE">
      <w:pPr>
        <w:rPr>
          <w:sz w:val="24"/>
          <w:szCs w:val="24"/>
        </w:rPr>
      </w:pPr>
      <w:bookmarkStart w:id="0" w:name="_GoBack"/>
      <w:bookmarkEnd w:id="0"/>
      <w:r w:rsidRPr="00475DC9">
        <w:rPr>
          <w:noProof/>
          <w:sz w:val="24"/>
          <w:szCs w:val="24"/>
          <w:lang w:eastAsia="da-DK"/>
        </w:rPr>
        <w:drawing>
          <wp:anchor distT="0" distB="0" distL="114300" distR="114300" simplePos="0" relativeHeight="251658240" behindDoc="0" locked="0" layoutInCell="1" allowOverlap="1" wp14:anchorId="53E2B25B" wp14:editId="3AE12FD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75DC9">
        <w:rPr>
          <w:sz w:val="24"/>
          <w:szCs w:val="24"/>
        </w:rPr>
        <w:br w:type="textWrapping" w:clear="all"/>
      </w:r>
    </w:p>
    <w:p w14:paraId="00B4DE23" w14:textId="45BB35DF" w:rsidR="009260DE" w:rsidRPr="00475DC9" w:rsidRDefault="009260DE" w:rsidP="009260DE">
      <w:pPr>
        <w:pStyle w:val="Titel"/>
        <w:tabs>
          <w:tab w:val="right" w:pos="9356"/>
        </w:tabs>
        <w:jc w:val="left"/>
        <w:rPr>
          <w:b w:val="0"/>
          <w:szCs w:val="24"/>
          <w:lang w:eastAsia="en-US"/>
        </w:rPr>
      </w:pPr>
      <w:r w:rsidRPr="00475DC9">
        <w:rPr>
          <w:b w:val="0"/>
          <w:szCs w:val="24"/>
          <w:lang w:eastAsia="en-US"/>
        </w:rPr>
        <w:tab/>
      </w:r>
      <w:r w:rsidR="00395A81">
        <w:rPr>
          <w:szCs w:val="24"/>
        </w:rPr>
        <w:t>1. maj 2025</w:t>
      </w:r>
    </w:p>
    <w:p w14:paraId="35BA94BF" w14:textId="77777777" w:rsidR="009260DE" w:rsidRPr="00475DC9" w:rsidRDefault="009260DE" w:rsidP="009260DE">
      <w:pPr>
        <w:pStyle w:val="Titel"/>
        <w:tabs>
          <w:tab w:val="left" w:pos="8222"/>
        </w:tabs>
        <w:jc w:val="left"/>
        <w:rPr>
          <w:b w:val="0"/>
          <w:szCs w:val="24"/>
        </w:rPr>
      </w:pPr>
    </w:p>
    <w:p w14:paraId="1C858BE2" w14:textId="04C26E67" w:rsidR="007F6B63" w:rsidRPr="00475DC9" w:rsidRDefault="007F6B63" w:rsidP="009260DE">
      <w:pPr>
        <w:pStyle w:val="Titel"/>
        <w:jc w:val="left"/>
        <w:rPr>
          <w:b w:val="0"/>
          <w:szCs w:val="24"/>
        </w:rPr>
      </w:pPr>
    </w:p>
    <w:p w14:paraId="789A3CD6" w14:textId="77777777" w:rsidR="009260DE" w:rsidRPr="00475DC9" w:rsidRDefault="009260DE" w:rsidP="009260DE">
      <w:pPr>
        <w:pStyle w:val="Titel"/>
        <w:jc w:val="left"/>
        <w:rPr>
          <w:b w:val="0"/>
          <w:szCs w:val="24"/>
        </w:rPr>
      </w:pPr>
    </w:p>
    <w:p w14:paraId="501CDF71" w14:textId="77777777" w:rsidR="009260DE" w:rsidRPr="00475DC9" w:rsidRDefault="009260DE" w:rsidP="009260DE">
      <w:pPr>
        <w:jc w:val="center"/>
        <w:rPr>
          <w:b/>
          <w:sz w:val="24"/>
          <w:szCs w:val="24"/>
        </w:rPr>
      </w:pPr>
      <w:r w:rsidRPr="00475DC9">
        <w:rPr>
          <w:b/>
          <w:sz w:val="24"/>
          <w:szCs w:val="24"/>
        </w:rPr>
        <w:t>PRODUKTRESUMÉ</w:t>
      </w:r>
    </w:p>
    <w:p w14:paraId="7EB4DC12" w14:textId="77777777" w:rsidR="009260DE" w:rsidRPr="00475DC9" w:rsidRDefault="009260DE" w:rsidP="009260DE">
      <w:pPr>
        <w:jc w:val="center"/>
        <w:rPr>
          <w:b/>
          <w:sz w:val="24"/>
          <w:szCs w:val="24"/>
        </w:rPr>
      </w:pPr>
    </w:p>
    <w:p w14:paraId="7B6B9F90" w14:textId="77777777" w:rsidR="009260DE" w:rsidRPr="00475DC9" w:rsidRDefault="009260DE" w:rsidP="009260DE">
      <w:pPr>
        <w:jc w:val="center"/>
        <w:rPr>
          <w:b/>
          <w:sz w:val="24"/>
          <w:szCs w:val="24"/>
        </w:rPr>
      </w:pPr>
      <w:r w:rsidRPr="00475DC9">
        <w:rPr>
          <w:b/>
          <w:sz w:val="24"/>
          <w:szCs w:val="24"/>
        </w:rPr>
        <w:t>for</w:t>
      </w:r>
    </w:p>
    <w:p w14:paraId="6AD54F6C" w14:textId="77777777" w:rsidR="000B058C" w:rsidRPr="00475DC9" w:rsidRDefault="000B058C" w:rsidP="009260DE">
      <w:pPr>
        <w:jc w:val="center"/>
        <w:rPr>
          <w:b/>
          <w:sz w:val="24"/>
          <w:szCs w:val="24"/>
        </w:rPr>
      </w:pPr>
    </w:p>
    <w:p w14:paraId="1454C2AC" w14:textId="2BF8D9A6" w:rsidR="009260DE" w:rsidRPr="00475DC9" w:rsidRDefault="00395A81" w:rsidP="009260DE">
      <w:pPr>
        <w:jc w:val="center"/>
        <w:rPr>
          <w:b/>
          <w:sz w:val="24"/>
          <w:szCs w:val="24"/>
        </w:rPr>
      </w:pPr>
      <w:r>
        <w:rPr>
          <w:b/>
          <w:sz w:val="24"/>
          <w:szCs w:val="24"/>
        </w:rPr>
        <w:t>Fluconazole "Noridem"</w:t>
      </w:r>
      <w:r w:rsidR="00B467FD" w:rsidRPr="00475DC9">
        <w:rPr>
          <w:b/>
          <w:sz w:val="24"/>
          <w:szCs w:val="24"/>
        </w:rPr>
        <w:t>, infusionsvæske, opløsning</w:t>
      </w:r>
    </w:p>
    <w:p w14:paraId="12BCEB46" w14:textId="77777777" w:rsidR="009260DE" w:rsidRPr="00475DC9" w:rsidRDefault="009260DE" w:rsidP="009260DE">
      <w:pPr>
        <w:jc w:val="both"/>
        <w:rPr>
          <w:sz w:val="24"/>
          <w:szCs w:val="24"/>
        </w:rPr>
      </w:pPr>
    </w:p>
    <w:p w14:paraId="749A850A" w14:textId="77777777" w:rsidR="009260DE" w:rsidRPr="00475DC9" w:rsidRDefault="009260DE" w:rsidP="009260DE">
      <w:pPr>
        <w:jc w:val="both"/>
        <w:rPr>
          <w:sz w:val="24"/>
          <w:szCs w:val="24"/>
        </w:rPr>
      </w:pPr>
    </w:p>
    <w:p w14:paraId="66EEBBB4" w14:textId="77777777" w:rsidR="009260DE" w:rsidRPr="00475DC9" w:rsidRDefault="009260DE" w:rsidP="009260DE">
      <w:pPr>
        <w:tabs>
          <w:tab w:val="left" w:pos="851"/>
        </w:tabs>
        <w:ind w:left="851" w:hanging="851"/>
        <w:rPr>
          <w:b/>
          <w:sz w:val="24"/>
          <w:szCs w:val="24"/>
        </w:rPr>
      </w:pPr>
      <w:r w:rsidRPr="00475DC9">
        <w:rPr>
          <w:b/>
          <w:sz w:val="24"/>
          <w:szCs w:val="24"/>
        </w:rPr>
        <w:t>0.</w:t>
      </w:r>
      <w:r w:rsidRPr="00475DC9">
        <w:rPr>
          <w:b/>
          <w:sz w:val="24"/>
          <w:szCs w:val="24"/>
        </w:rPr>
        <w:tab/>
        <w:t>D.SP.NR.</w:t>
      </w:r>
    </w:p>
    <w:p w14:paraId="6FA3D7F5" w14:textId="6C85218D" w:rsidR="009260DE" w:rsidRPr="00475DC9" w:rsidRDefault="00B467FD" w:rsidP="009260DE">
      <w:pPr>
        <w:tabs>
          <w:tab w:val="left" w:pos="851"/>
        </w:tabs>
        <w:ind w:left="851"/>
        <w:rPr>
          <w:sz w:val="24"/>
          <w:szCs w:val="24"/>
        </w:rPr>
      </w:pPr>
      <w:r w:rsidRPr="00475DC9">
        <w:rPr>
          <w:sz w:val="24"/>
          <w:szCs w:val="24"/>
        </w:rPr>
        <w:t>34291</w:t>
      </w:r>
    </w:p>
    <w:p w14:paraId="7BA0BD99" w14:textId="77777777" w:rsidR="009260DE" w:rsidRPr="00475DC9" w:rsidRDefault="009260DE" w:rsidP="009260DE">
      <w:pPr>
        <w:tabs>
          <w:tab w:val="left" w:pos="851"/>
        </w:tabs>
        <w:ind w:left="851"/>
        <w:rPr>
          <w:sz w:val="24"/>
          <w:szCs w:val="24"/>
        </w:rPr>
      </w:pPr>
    </w:p>
    <w:p w14:paraId="6096907D" w14:textId="77777777" w:rsidR="009260DE" w:rsidRPr="00475DC9" w:rsidRDefault="009260DE" w:rsidP="009260DE">
      <w:pPr>
        <w:tabs>
          <w:tab w:val="left" w:pos="851"/>
        </w:tabs>
        <w:ind w:left="851" w:hanging="851"/>
        <w:rPr>
          <w:b/>
          <w:sz w:val="24"/>
          <w:szCs w:val="24"/>
        </w:rPr>
      </w:pPr>
      <w:r w:rsidRPr="00475DC9">
        <w:rPr>
          <w:b/>
          <w:sz w:val="24"/>
          <w:szCs w:val="24"/>
        </w:rPr>
        <w:t>1.</w:t>
      </w:r>
      <w:r w:rsidRPr="00475DC9">
        <w:rPr>
          <w:b/>
          <w:sz w:val="24"/>
          <w:szCs w:val="24"/>
        </w:rPr>
        <w:tab/>
        <w:t>LÆGEMIDLETS NAVN</w:t>
      </w:r>
    </w:p>
    <w:p w14:paraId="0B31F9A2" w14:textId="673F47E4" w:rsidR="009260DE" w:rsidRPr="00475DC9" w:rsidRDefault="00395A81" w:rsidP="009260DE">
      <w:pPr>
        <w:tabs>
          <w:tab w:val="left" w:pos="851"/>
        </w:tabs>
        <w:ind w:left="851"/>
        <w:rPr>
          <w:sz w:val="24"/>
          <w:szCs w:val="24"/>
        </w:rPr>
      </w:pPr>
      <w:r>
        <w:rPr>
          <w:sz w:val="24"/>
          <w:szCs w:val="24"/>
        </w:rPr>
        <w:t>Fluconazole "Noridem"</w:t>
      </w:r>
    </w:p>
    <w:p w14:paraId="174276BF" w14:textId="77777777" w:rsidR="009260DE" w:rsidRPr="00475DC9" w:rsidRDefault="009260DE" w:rsidP="009260DE">
      <w:pPr>
        <w:tabs>
          <w:tab w:val="left" w:pos="851"/>
        </w:tabs>
        <w:ind w:left="851"/>
        <w:rPr>
          <w:sz w:val="24"/>
          <w:szCs w:val="24"/>
        </w:rPr>
      </w:pPr>
    </w:p>
    <w:p w14:paraId="6BD24E62" w14:textId="77777777" w:rsidR="009260DE" w:rsidRPr="00475DC9" w:rsidRDefault="009260DE" w:rsidP="009260DE">
      <w:pPr>
        <w:tabs>
          <w:tab w:val="left" w:pos="851"/>
        </w:tabs>
        <w:ind w:left="851" w:hanging="851"/>
        <w:rPr>
          <w:b/>
          <w:sz w:val="24"/>
          <w:szCs w:val="24"/>
        </w:rPr>
      </w:pPr>
      <w:r w:rsidRPr="00475DC9">
        <w:rPr>
          <w:b/>
          <w:sz w:val="24"/>
          <w:szCs w:val="24"/>
        </w:rPr>
        <w:t>2.</w:t>
      </w:r>
      <w:r w:rsidRPr="00475DC9">
        <w:rPr>
          <w:b/>
          <w:sz w:val="24"/>
          <w:szCs w:val="24"/>
        </w:rPr>
        <w:tab/>
        <w:t>KVALITATIV OG KVANTITATIV SAMMENSÆTNING</w:t>
      </w:r>
    </w:p>
    <w:p w14:paraId="077F08FB" w14:textId="77777777" w:rsidR="008C5DDB" w:rsidRPr="00475DC9" w:rsidRDefault="008C5DDB" w:rsidP="001B4015">
      <w:pPr>
        <w:ind w:left="851"/>
        <w:rPr>
          <w:sz w:val="24"/>
          <w:szCs w:val="24"/>
        </w:rPr>
      </w:pPr>
      <w:r w:rsidRPr="00475DC9">
        <w:rPr>
          <w:sz w:val="24"/>
          <w:szCs w:val="24"/>
        </w:rPr>
        <w:t>1 ml infusionsvæske, opløsning indeholder 2 mg fluconazol.</w:t>
      </w:r>
    </w:p>
    <w:p w14:paraId="2F88488C" w14:textId="77777777" w:rsidR="008C5DDB" w:rsidRPr="00475DC9" w:rsidRDefault="008C5DDB" w:rsidP="001B4015">
      <w:pPr>
        <w:ind w:left="851"/>
        <w:rPr>
          <w:sz w:val="24"/>
          <w:szCs w:val="24"/>
        </w:rPr>
      </w:pPr>
    </w:p>
    <w:p w14:paraId="1A53E1A7" w14:textId="77777777" w:rsidR="008C5DDB" w:rsidRPr="00475DC9" w:rsidRDefault="008C5DDB" w:rsidP="001B4015">
      <w:pPr>
        <w:ind w:left="851"/>
        <w:rPr>
          <w:sz w:val="24"/>
          <w:szCs w:val="24"/>
        </w:rPr>
      </w:pPr>
      <w:r w:rsidRPr="00475DC9">
        <w:rPr>
          <w:sz w:val="24"/>
          <w:szCs w:val="24"/>
        </w:rPr>
        <w:t>Hver 50 ml pose indeholder 100 mg fluconazol.</w:t>
      </w:r>
    </w:p>
    <w:p w14:paraId="1F047F63" w14:textId="77777777" w:rsidR="008C5DDB" w:rsidRPr="00475DC9" w:rsidRDefault="008C5DDB" w:rsidP="001B4015">
      <w:pPr>
        <w:ind w:left="851"/>
        <w:rPr>
          <w:sz w:val="24"/>
          <w:szCs w:val="24"/>
        </w:rPr>
      </w:pPr>
      <w:r w:rsidRPr="00475DC9">
        <w:rPr>
          <w:sz w:val="24"/>
          <w:szCs w:val="24"/>
        </w:rPr>
        <w:t>Hver 100 ml pose indeholder 200 mg fluconazol.</w:t>
      </w:r>
    </w:p>
    <w:p w14:paraId="0A97C9E4" w14:textId="77777777" w:rsidR="008C5DDB" w:rsidRPr="00475DC9" w:rsidRDefault="008C5DDB" w:rsidP="001B4015">
      <w:pPr>
        <w:ind w:left="851"/>
        <w:rPr>
          <w:sz w:val="24"/>
          <w:szCs w:val="24"/>
        </w:rPr>
      </w:pPr>
      <w:r w:rsidRPr="00475DC9">
        <w:rPr>
          <w:sz w:val="24"/>
          <w:szCs w:val="24"/>
        </w:rPr>
        <w:t>Hver 100 ml flaske indeholder 200 mg fluconazol.</w:t>
      </w:r>
    </w:p>
    <w:p w14:paraId="7C28E9E5" w14:textId="77777777" w:rsidR="008C5DDB" w:rsidRPr="00475DC9" w:rsidRDefault="008C5DDB" w:rsidP="001B4015">
      <w:pPr>
        <w:ind w:left="851"/>
        <w:rPr>
          <w:sz w:val="24"/>
          <w:szCs w:val="24"/>
        </w:rPr>
      </w:pPr>
      <w:r w:rsidRPr="00475DC9">
        <w:rPr>
          <w:sz w:val="24"/>
          <w:szCs w:val="24"/>
        </w:rPr>
        <w:t>Hver 200 ml flaske indeholder 400 mg fluconazol.</w:t>
      </w:r>
    </w:p>
    <w:p w14:paraId="48A1EDA0" w14:textId="77777777" w:rsidR="008C5DDB" w:rsidRPr="00475DC9" w:rsidRDefault="008C5DDB" w:rsidP="001B4015">
      <w:pPr>
        <w:ind w:left="851"/>
        <w:rPr>
          <w:sz w:val="24"/>
          <w:szCs w:val="24"/>
        </w:rPr>
      </w:pPr>
    </w:p>
    <w:p w14:paraId="072601A6" w14:textId="77777777" w:rsidR="008C5DDB" w:rsidRPr="00475DC9" w:rsidRDefault="008C5DDB" w:rsidP="001B4015">
      <w:pPr>
        <w:ind w:left="851"/>
        <w:rPr>
          <w:sz w:val="24"/>
          <w:szCs w:val="24"/>
        </w:rPr>
      </w:pPr>
      <w:r w:rsidRPr="00475DC9">
        <w:rPr>
          <w:sz w:val="24"/>
          <w:szCs w:val="24"/>
          <w:u w:val="single"/>
        </w:rPr>
        <w:t>Hjælpestof(fer), som behandleren skal være opmærksom på</w:t>
      </w:r>
      <w:r w:rsidRPr="00475DC9">
        <w:rPr>
          <w:sz w:val="24"/>
          <w:szCs w:val="24"/>
        </w:rPr>
        <w:t>:</w:t>
      </w:r>
    </w:p>
    <w:p w14:paraId="5819EDB5" w14:textId="77777777" w:rsidR="008C5DDB" w:rsidRPr="00475DC9" w:rsidRDefault="008C5DDB" w:rsidP="001B4015">
      <w:pPr>
        <w:ind w:left="851"/>
        <w:rPr>
          <w:sz w:val="24"/>
          <w:szCs w:val="24"/>
        </w:rPr>
      </w:pPr>
      <w:r w:rsidRPr="00475DC9">
        <w:rPr>
          <w:sz w:val="24"/>
          <w:szCs w:val="24"/>
        </w:rPr>
        <w:t xml:space="preserve">Natrium 3,54 mg/ml </w:t>
      </w:r>
    </w:p>
    <w:p w14:paraId="24D987F3" w14:textId="77777777" w:rsidR="00475DC9" w:rsidRDefault="00475DC9" w:rsidP="001B4015">
      <w:pPr>
        <w:ind w:left="851"/>
        <w:rPr>
          <w:sz w:val="24"/>
          <w:szCs w:val="24"/>
        </w:rPr>
      </w:pPr>
    </w:p>
    <w:p w14:paraId="75C11FA1" w14:textId="52C68497" w:rsidR="008C5DDB" w:rsidRPr="00475DC9" w:rsidRDefault="008C5DDB" w:rsidP="001B4015">
      <w:pPr>
        <w:ind w:left="851"/>
        <w:rPr>
          <w:sz w:val="24"/>
          <w:szCs w:val="24"/>
        </w:rPr>
      </w:pPr>
      <w:r w:rsidRPr="00475DC9">
        <w:rPr>
          <w:sz w:val="24"/>
          <w:szCs w:val="24"/>
        </w:rPr>
        <w:t>Hver 50 ml pose indeholder 177 mg (7,7 mmol) natrium.</w:t>
      </w:r>
    </w:p>
    <w:p w14:paraId="0CE74C64" w14:textId="77777777" w:rsidR="008C5DDB" w:rsidRPr="00475DC9" w:rsidRDefault="008C5DDB" w:rsidP="001B4015">
      <w:pPr>
        <w:ind w:left="851"/>
        <w:rPr>
          <w:sz w:val="24"/>
          <w:szCs w:val="24"/>
        </w:rPr>
      </w:pPr>
      <w:r w:rsidRPr="00475DC9">
        <w:rPr>
          <w:sz w:val="24"/>
          <w:szCs w:val="24"/>
        </w:rPr>
        <w:t>Hver 100 ml pose/flaske indeholder 354 mg (15,4 mmol) natrium.</w:t>
      </w:r>
    </w:p>
    <w:p w14:paraId="206A5732" w14:textId="77777777" w:rsidR="008C5DDB" w:rsidRPr="00475DC9" w:rsidRDefault="008C5DDB" w:rsidP="001B4015">
      <w:pPr>
        <w:ind w:left="851"/>
        <w:rPr>
          <w:sz w:val="24"/>
          <w:szCs w:val="24"/>
        </w:rPr>
      </w:pPr>
      <w:r w:rsidRPr="00475DC9">
        <w:rPr>
          <w:sz w:val="24"/>
          <w:szCs w:val="24"/>
        </w:rPr>
        <w:t>Hver 200 ml flaske indeholder 708 mg (30,8 mmol) natrium.</w:t>
      </w:r>
    </w:p>
    <w:p w14:paraId="06C545CA" w14:textId="77777777" w:rsidR="00475DC9" w:rsidRDefault="00475DC9" w:rsidP="001B4015">
      <w:pPr>
        <w:ind w:left="851"/>
        <w:rPr>
          <w:sz w:val="24"/>
          <w:szCs w:val="24"/>
        </w:rPr>
      </w:pPr>
    </w:p>
    <w:p w14:paraId="2A9FDBDA" w14:textId="484128C1" w:rsidR="008C5DDB" w:rsidRPr="00475DC9" w:rsidRDefault="008C5DDB" w:rsidP="001B4015">
      <w:pPr>
        <w:ind w:left="851"/>
        <w:rPr>
          <w:sz w:val="24"/>
          <w:szCs w:val="24"/>
        </w:rPr>
      </w:pPr>
      <w:r w:rsidRPr="00475DC9">
        <w:rPr>
          <w:sz w:val="24"/>
          <w:szCs w:val="24"/>
        </w:rPr>
        <w:t>Alle hjælpestoffer er anført under pkt. 6.1.</w:t>
      </w:r>
    </w:p>
    <w:p w14:paraId="2A320C51" w14:textId="77777777" w:rsidR="009260DE" w:rsidRPr="00475DC9" w:rsidRDefault="009260DE" w:rsidP="009260DE">
      <w:pPr>
        <w:tabs>
          <w:tab w:val="left" w:pos="851"/>
        </w:tabs>
        <w:ind w:left="851"/>
        <w:rPr>
          <w:sz w:val="24"/>
          <w:szCs w:val="24"/>
        </w:rPr>
      </w:pPr>
    </w:p>
    <w:p w14:paraId="5D0F47E1" w14:textId="77777777" w:rsidR="009260DE" w:rsidRPr="00475DC9" w:rsidRDefault="009260DE" w:rsidP="009260DE">
      <w:pPr>
        <w:tabs>
          <w:tab w:val="left" w:pos="851"/>
        </w:tabs>
        <w:ind w:left="851" w:hanging="851"/>
        <w:rPr>
          <w:b/>
          <w:sz w:val="24"/>
          <w:szCs w:val="24"/>
        </w:rPr>
      </w:pPr>
      <w:r w:rsidRPr="00475DC9">
        <w:rPr>
          <w:b/>
          <w:sz w:val="24"/>
          <w:szCs w:val="24"/>
        </w:rPr>
        <w:t>3.</w:t>
      </w:r>
      <w:r w:rsidRPr="00475DC9">
        <w:rPr>
          <w:b/>
          <w:sz w:val="24"/>
          <w:szCs w:val="24"/>
        </w:rPr>
        <w:tab/>
        <w:t>LÆGEMIDDELFORM</w:t>
      </w:r>
    </w:p>
    <w:p w14:paraId="263F7401" w14:textId="59130968" w:rsidR="008C5DDB" w:rsidRPr="00475DC9" w:rsidRDefault="008C5DDB" w:rsidP="001B4015">
      <w:pPr>
        <w:ind w:left="851"/>
        <w:rPr>
          <w:sz w:val="24"/>
          <w:szCs w:val="24"/>
        </w:rPr>
      </w:pPr>
      <w:r w:rsidRPr="00475DC9">
        <w:rPr>
          <w:sz w:val="24"/>
          <w:szCs w:val="24"/>
        </w:rPr>
        <w:t>Infusionsvæske, opløsning</w:t>
      </w:r>
    </w:p>
    <w:p w14:paraId="6B520029" w14:textId="77777777" w:rsidR="008C5DDB" w:rsidRPr="00475DC9" w:rsidRDefault="008C5DDB" w:rsidP="001B4015">
      <w:pPr>
        <w:ind w:left="851"/>
        <w:rPr>
          <w:sz w:val="24"/>
          <w:szCs w:val="24"/>
        </w:rPr>
      </w:pPr>
    </w:p>
    <w:p w14:paraId="43DD0EC5" w14:textId="77777777" w:rsidR="008C5DDB" w:rsidRPr="00475DC9" w:rsidRDefault="008C5DDB" w:rsidP="001B4015">
      <w:pPr>
        <w:ind w:left="851"/>
        <w:rPr>
          <w:sz w:val="24"/>
          <w:szCs w:val="24"/>
        </w:rPr>
      </w:pPr>
      <w:r w:rsidRPr="00475DC9">
        <w:rPr>
          <w:sz w:val="24"/>
          <w:szCs w:val="24"/>
        </w:rPr>
        <w:t>Klar, farveløs, steril, vandig opløsning fri for synlige partikler.</w:t>
      </w:r>
    </w:p>
    <w:p w14:paraId="39B4E0A2" w14:textId="77777777" w:rsidR="009260DE" w:rsidRPr="00475DC9" w:rsidRDefault="009260DE" w:rsidP="009260DE">
      <w:pPr>
        <w:tabs>
          <w:tab w:val="left" w:pos="851"/>
        </w:tabs>
        <w:ind w:left="851"/>
        <w:rPr>
          <w:sz w:val="24"/>
          <w:szCs w:val="24"/>
        </w:rPr>
      </w:pPr>
    </w:p>
    <w:p w14:paraId="6B1A6AE2" w14:textId="77777777" w:rsidR="009260DE" w:rsidRPr="00475DC9" w:rsidRDefault="009260DE" w:rsidP="009260DE">
      <w:pPr>
        <w:tabs>
          <w:tab w:val="left" w:pos="851"/>
        </w:tabs>
        <w:ind w:left="851"/>
        <w:rPr>
          <w:sz w:val="24"/>
          <w:szCs w:val="24"/>
        </w:rPr>
      </w:pPr>
    </w:p>
    <w:p w14:paraId="6F835D9B" w14:textId="77777777" w:rsidR="009260DE" w:rsidRPr="00475DC9" w:rsidRDefault="009260DE" w:rsidP="009260DE">
      <w:pPr>
        <w:tabs>
          <w:tab w:val="left" w:pos="851"/>
        </w:tabs>
        <w:ind w:left="851" w:hanging="851"/>
        <w:rPr>
          <w:b/>
          <w:sz w:val="24"/>
          <w:szCs w:val="24"/>
        </w:rPr>
      </w:pPr>
      <w:r w:rsidRPr="00475DC9">
        <w:rPr>
          <w:b/>
          <w:sz w:val="24"/>
          <w:szCs w:val="24"/>
        </w:rPr>
        <w:t>4.</w:t>
      </w:r>
      <w:r w:rsidRPr="00475DC9">
        <w:rPr>
          <w:b/>
          <w:sz w:val="24"/>
          <w:szCs w:val="24"/>
        </w:rPr>
        <w:tab/>
        <w:t>KLINISKE OPLYSNINGER</w:t>
      </w:r>
    </w:p>
    <w:p w14:paraId="1DAAE6BE" w14:textId="77777777" w:rsidR="009260DE" w:rsidRPr="00475DC9" w:rsidRDefault="009260DE" w:rsidP="009260DE">
      <w:pPr>
        <w:tabs>
          <w:tab w:val="left" w:pos="851"/>
        </w:tabs>
        <w:ind w:left="851"/>
        <w:rPr>
          <w:b/>
          <w:sz w:val="24"/>
          <w:szCs w:val="24"/>
        </w:rPr>
      </w:pPr>
    </w:p>
    <w:p w14:paraId="4062BBFF" w14:textId="77777777" w:rsidR="009260DE" w:rsidRPr="00475DC9" w:rsidRDefault="009260DE" w:rsidP="009260DE">
      <w:pPr>
        <w:tabs>
          <w:tab w:val="left" w:pos="851"/>
        </w:tabs>
        <w:ind w:left="851" w:hanging="851"/>
        <w:rPr>
          <w:b/>
          <w:sz w:val="24"/>
          <w:szCs w:val="24"/>
          <w:u w:val="single"/>
        </w:rPr>
      </w:pPr>
      <w:r w:rsidRPr="00475DC9">
        <w:rPr>
          <w:b/>
          <w:sz w:val="24"/>
          <w:szCs w:val="24"/>
        </w:rPr>
        <w:t>4.1</w:t>
      </w:r>
      <w:r w:rsidRPr="00475DC9">
        <w:rPr>
          <w:b/>
          <w:sz w:val="24"/>
          <w:szCs w:val="24"/>
        </w:rPr>
        <w:tab/>
        <w:t>Terapeutiske indikationer</w:t>
      </w:r>
    </w:p>
    <w:p w14:paraId="52A47183" w14:textId="39D8032B" w:rsidR="008C5DDB" w:rsidRPr="00475DC9" w:rsidRDefault="00395A81" w:rsidP="001B4015">
      <w:pPr>
        <w:ind w:left="851"/>
        <w:rPr>
          <w:rFonts w:eastAsia="SimSun"/>
          <w:sz w:val="24"/>
          <w:szCs w:val="24"/>
        </w:rPr>
      </w:pPr>
      <w:r>
        <w:rPr>
          <w:sz w:val="24"/>
          <w:szCs w:val="24"/>
        </w:rPr>
        <w:t>Fluconazole "Noridem"</w:t>
      </w:r>
      <w:r w:rsidR="008C5DDB" w:rsidRPr="00475DC9">
        <w:rPr>
          <w:sz w:val="24"/>
          <w:szCs w:val="24"/>
        </w:rPr>
        <w:t xml:space="preserve"> er indiceret til nedenstående svampeinfektioner (se pkt. 5.1). </w:t>
      </w:r>
    </w:p>
    <w:p w14:paraId="09A383F0" w14:textId="0D6B3396" w:rsidR="00D35D6B" w:rsidRDefault="00D35D6B">
      <w:pPr>
        <w:rPr>
          <w:noProof/>
          <w:sz w:val="24"/>
          <w:szCs w:val="24"/>
          <w:u w:val="single"/>
        </w:rPr>
      </w:pPr>
      <w:r>
        <w:rPr>
          <w:noProof/>
          <w:sz w:val="24"/>
          <w:szCs w:val="24"/>
          <w:u w:val="single"/>
        </w:rPr>
        <w:br w:type="page"/>
      </w:r>
    </w:p>
    <w:p w14:paraId="64A6B5CA" w14:textId="77777777" w:rsidR="008C5DDB" w:rsidRPr="00475DC9" w:rsidRDefault="008C5DDB" w:rsidP="001B4015">
      <w:pPr>
        <w:ind w:left="851"/>
        <w:rPr>
          <w:noProof/>
          <w:sz w:val="24"/>
          <w:szCs w:val="24"/>
          <w:u w:val="single"/>
        </w:rPr>
      </w:pPr>
    </w:p>
    <w:p w14:paraId="61093D64" w14:textId="706A6DA9" w:rsidR="008C5DDB" w:rsidRPr="00475DC9" w:rsidRDefault="00395A81" w:rsidP="001B4015">
      <w:pPr>
        <w:ind w:left="851"/>
        <w:rPr>
          <w:rFonts w:eastAsia="SimSun"/>
          <w:sz w:val="24"/>
          <w:szCs w:val="24"/>
          <w:u w:val="single"/>
        </w:rPr>
      </w:pPr>
      <w:r>
        <w:rPr>
          <w:sz w:val="24"/>
          <w:szCs w:val="24"/>
          <w:u w:val="single"/>
        </w:rPr>
        <w:t>Fluconazole "Noridem"</w:t>
      </w:r>
      <w:r w:rsidR="008C5DDB" w:rsidRPr="00475DC9">
        <w:rPr>
          <w:sz w:val="24"/>
          <w:szCs w:val="24"/>
          <w:u w:val="single"/>
        </w:rPr>
        <w:t xml:space="preserve"> er indiceret til voksne til behandling af: </w:t>
      </w:r>
    </w:p>
    <w:p w14:paraId="3A850FCD" w14:textId="77777777" w:rsidR="008C5DDB" w:rsidRPr="00475DC9" w:rsidRDefault="008C5DDB" w:rsidP="00475DC9">
      <w:pPr>
        <w:pStyle w:val="Listeafsnit"/>
        <w:numPr>
          <w:ilvl w:val="0"/>
          <w:numId w:val="9"/>
        </w:numPr>
        <w:ind w:left="1276" w:hanging="425"/>
        <w:rPr>
          <w:rFonts w:eastAsia="SimSun"/>
          <w:sz w:val="24"/>
          <w:szCs w:val="24"/>
        </w:rPr>
      </w:pPr>
      <w:r w:rsidRPr="00475DC9">
        <w:rPr>
          <w:sz w:val="24"/>
          <w:szCs w:val="24"/>
        </w:rPr>
        <w:t xml:space="preserve">Kryptokokmeningitis (se pkt. 4.4). </w:t>
      </w:r>
    </w:p>
    <w:p w14:paraId="1DBC0996" w14:textId="77777777" w:rsidR="008C5DDB" w:rsidRPr="00475DC9" w:rsidRDefault="008C5DDB" w:rsidP="00475DC9">
      <w:pPr>
        <w:pStyle w:val="Listeafsnit"/>
        <w:numPr>
          <w:ilvl w:val="0"/>
          <w:numId w:val="9"/>
        </w:numPr>
        <w:ind w:left="1276" w:hanging="425"/>
        <w:rPr>
          <w:rFonts w:eastAsia="SimSun"/>
          <w:sz w:val="24"/>
          <w:szCs w:val="24"/>
        </w:rPr>
      </w:pPr>
      <w:r w:rsidRPr="00475DC9">
        <w:rPr>
          <w:sz w:val="24"/>
          <w:szCs w:val="24"/>
        </w:rPr>
        <w:t xml:space="preserve">Kokcidioidomykose (se pkt. 4.4). </w:t>
      </w:r>
    </w:p>
    <w:p w14:paraId="51C8785D" w14:textId="77777777" w:rsidR="008C5DDB" w:rsidRPr="00475DC9" w:rsidRDefault="008C5DDB" w:rsidP="00475DC9">
      <w:pPr>
        <w:pStyle w:val="Listeafsnit"/>
        <w:numPr>
          <w:ilvl w:val="0"/>
          <w:numId w:val="9"/>
        </w:numPr>
        <w:ind w:left="1276" w:hanging="425"/>
        <w:rPr>
          <w:rFonts w:eastAsia="SimSun"/>
          <w:sz w:val="24"/>
          <w:szCs w:val="24"/>
        </w:rPr>
      </w:pPr>
      <w:r w:rsidRPr="00475DC9">
        <w:rPr>
          <w:sz w:val="24"/>
          <w:szCs w:val="24"/>
        </w:rPr>
        <w:t xml:space="preserve">Invasiv candidiasis. </w:t>
      </w:r>
    </w:p>
    <w:p w14:paraId="12BE5C75" w14:textId="77777777" w:rsidR="008C5DDB" w:rsidRPr="00475DC9" w:rsidRDefault="008C5DDB" w:rsidP="00475DC9">
      <w:pPr>
        <w:pStyle w:val="Listeafsnit"/>
        <w:numPr>
          <w:ilvl w:val="0"/>
          <w:numId w:val="9"/>
        </w:numPr>
        <w:ind w:left="1276" w:hanging="425"/>
        <w:rPr>
          <w:rFonts w:eastAsia="SimSun"/>
          <w:sz w:val="24"/>
          <w:szCs w:val="24"/>
        </w:rPr>
      </w:pPr>
      <w:r w:rsidRPr="00475DC9">
        <w:rPr>
          <w:sz w:val="24"/>
          <w:szCs w:val="24"/>
        </w:rPr>
        <w:t xml:space="preserve">Mukøs candidiasis inklusive orofaryngeal, øsofageal candidiasis, candiduri og kronisk mukokutan candidiasis. </w:t>
      </w:r>
    </w:p>
    <w:p w14:paraId="2BEDB1B9" w14:textId="77777777" w:rsidR="008C5DDB" w:rsidRPr="00475DC9" w:rsidRDefault="008C5DDB" w:rsidP="00475DC9">
      <w:pPr>
        <w:pStyle w:val="Listeafsnit"/>
        <w:numPr>
          <w:ilvl w:val="0"/>
          <w:numId w:val="9"/>
        </w:numPr>
        <w:ind w:left="1276" w:hanging="425"/>
        <w:rPr>
          <w:rFonts w:eastAsia="SimSun"/>
          <w:sz w:val="24"/>
          <w:szCs w:val="24"/>
        </w:rPr>
      </w:pPr>
      <w:r w:rsidRPr="00475DC9">
        <w:rPr>
          <w:sz w:val="24"/>
          <w:szCs w:val="24"/>
        </w:rPr>
        <w:t xml:space="preserve">Kronisk oral atrofisk candidiasis (øm mund på grund af protese), hvis mundhygiejnen eller lokalbehandling er utilstrækkelig. </w:t>
      </w:r>
    </w:p>
    <w:p w14:paraId="58C7C90B" w14:textId="77777777" w:rsidR="008C5DDB" w:rsidRPr="00475DC9" w:rsidRDefault="008C5DDB" w:rsidP="001B4015">
      <w:pPr>
        <w:ind w:left="851"/>
        <w:rPr>
          <w:rFonts w:eastAsia="SimSun"/>
          <w:sz w:val="24"/>
          <w:szCs w:val="24"/>
          <w:lang w:eastAsia="zh-CN"/>
        </w:rPr>
      </w:pPr>
    </w:p>
    <w:p w14:paraId="037885BD" w14:textId="4EB5BA92" w:rsidR="008C5DDB" w:rsidRPr="00475DC9" w:rsidRDefault="00395A81" w:rsidP="001B4015">
      <w:pPr>
        <w:ind w:left="851"/>
        <w:rPr>
          <w:rFonts w:eastAsia="SimSun"/>
          <w:sz w:val="24"/>
          <w:szCs w:val="24"/>
          <w:u w:val="single"/>
        </w:rPr>
      </w:pPr>
      <w:r>
        <w:rPr>
          <w:sz w:val="24"/>
          <w:szCs w:val="24"/>
          <w:u w:val="single"/>
        </w:rPr>
        <w:t>Fluconazole "Noridem"</w:t>
      </w:r>
      <w:r w:rsidR="008C5DDB" w:rsidRPr="00475DC9">
        <w:rPr>
          <w:sz w:val="24"/>
          <w:szCs w:val="24"/>
          <w:u w:val="single"/>
        </w:rPr>
        <w:t xml:space="preserve"> er indiceret </w:t>
      </w:r>
      <w:r w:rsidR="008C5DDB" w:rsidRPr="00475DC9">
        <w:rPr>
          <w:spacing w:val="-3"/>
          <w:sz w:val="24"/>
          <w:szCs w:val="24"/>
          <w:u w:val="single"/>
        </w:rPr>
        <w:t>profylaktisk hos voksne</w:t>
      </w:r>
      <w:r w:rsidR="008C5DDB" w:rsidRPr="00475DC9">
        <w:rPr>
          <w:sz w:val="24"/>
          <w:szCs w:val="24"/>
          <w:u w:val="single"/>
        </w:rPr>
        <w:t xml:space="preserve">: </w:t>
      </w:r>
    </w:p>
    <w:p w14:paraId="41AF55DD" w14:textId="77777777" w:rsidR="008C5DDB" w:rsidRPr="00475DC9" w:rsidRDefault="008C5DDB" w:rsidP="00475DC9">
      <w:pPr>
        <w:pStyle w:val="Listeafsnit"/>
        <w:numPr>
          <w:ilvl w:val="0"/>
          <w:numId w:val="10"/>
        </w:numPr>
        <w:ind w:left="1276" w:hanging="425"/>
        <w:rPr>
          <w:rFonts w:eastAsia="SimSun"/>
          <w:sz w:val="24"/>
          <w:szCs w:val="24"/>
          <w:u w:val="single"/>
        </w:rPr>
      </w:pPr>
      <w:r w:rsidRPr="00475DC9">
        <w:rPr>
          <w:sz w:val="24"/>
          <w:szCs w:val="24"/>
        </w:rPr>
        <w:t xml:space="preserve">Tilbagefald af kryptokokmeningitis hos patienter med høj risiko for recidiv. </w:t>
      </w:r>
    </w:p>
    <w:p w14:paraId="7E7DCD95" w14:textId="77777777" w:rsidR="008C5DDB" w:rsidRPr="00475DC9" w:rsidRDefault="008C5DDB" w:rsidP="00475DC9">
      <w:pPr>
        <w:pStyle w:val="Listeafsnit"/>
        <w:numPr>
          <w:ilvl w:val="0"/>
          <w:numId w:val="10"/>
        </w:numPr>
        <w:ind w:left="1276" w:hanging="425"/>
        <w:rPr>
          <w:rFonts w:eastAsia="SimSun"/>
          <w:sz w:val="24"/>
          <w:szCs w:val="24"/>
          <w:u w:val="single"/>
        </w:rPr>
      </w:pPr>
      <w:r w:rsidRPr="00475DC9">
        <w:rPr>
          <w:sz w:val="24"/>
          <w:szCs w:val="24"/>
        </w:rPr>
        <w:t xml:space="preserve">Tilbagefald af orofaryngal eller øsofagal candidiasis hos patienter med hiv, som har høj risiko for recidiv. </w:t>
      </w:r>
    </w:p>
    <w:p w14:paraId="3B44C637" w14:textId="77777777" w:rsidR="008C5DDB" w:rsidRPr="00475DC9" w:rsidRDefault="008C5DDB" w:rsidP="00475DC9">
      <w:pPr>
        <w:pStyle w:val="Listeafsnit"/>
        <w:numPr>
          <w:ilvl w:val="0"/>
          <w:numId w:val="10"/>
        </w:numPr>
        <w:ind w:left="1276" w:hanging="425"/>
        <w:rPr>
          <w:rFonts w:eastAsia="SimSun"/>
          <w:sz w:val="24"/>
          <w:szCs w:val="24"/>
          <w:u w:val="single"/>
        </w:rPr>
      </w:pPr>
      <w:r w:rsidRPr="00475DC9">
        <w:rPr>
          <w:sz w:val="24"/>
          <w:szCs w:val="24"/>
        </w:rPr>
        <w:t xml:space="preserve">Svampeinfektioner hos patienter med forlænget neutropeni (f.eks. patienter med hæmatologiske maligniteter, der får kemoterapi, eller patienter der har fået hæmatopoietisk stamcelletransplantation (se pkt. 5.1)). </w:t>
      </w:r>
    </w:p>
    <w:p w14:paraId="5874F3D6" w14:textId="77777777" w:rsidR="008C5DDB" w:rsidRPr="00475DC9" w:rsidRDefault="008C5DDB" w:rsidP="001B4015">
      <w:pPr>
        <w:ind w:left="851"/>
        <w:rPr>
          <w:rFonts w:eastAsia="SimSun"/>
          <w:sz w:val="24"/>
          <w:szCs w:val="24"/>
          <w:lang w:eastAsia="zh-CN"/>
        </w:rPr>
      </w:pPr>
    </w:p>
    <w:p w14:paraId="19BB3A00" w14:textId="5CCAB580" w:rsidR="008C5DDB" w:rsidRPr="00475DC9" w:rsidRDefault="00395A81" w:rsidP="001B4015">
      <w:pPr>
        <w:ind w:left="851"/>
        <w:rPr>
          <w:rFonts w:eastAsia="SimSun"/>
          <w:sz w:val="24"/>
          <w:szCs w:val="24"/>
          <w:u w:val="single"/>
        </w:rPr>
      </w:pPr>
      <w:r>
        <w:rPr>
          <w:sz w:val="24"/>
          <w:szCs w:val="24"/>
          <w:u w:val="single"/>
        </w:rPr>
        <w:t>Fluconazole "Noridem"</w:t>
      </w:r>
      <w:r w:rsidR="008C5DDB" w:rsidRPr="00475DC9">
        <w:rPr>
          <w:sz w:val="24"/>
          <w:szCs w:val="24"/>
          <w:u w:val="single"/>
        </w:rPr>
        <w:t xml:space="preserve"> er indiceret til nyfødte (født til termin), spædbørn, småbørn, børn og unge i alderen 0-17 år:</w:t>
      </w:r>
      <w:r w:rsidR="008C5DDB" w:rsidRPr="00475DC9">
        <w:rPr>
          <w:b/>
          <w:sz w:val="24"/>
          <w:szCs w:val="24"/>
          <w:u w:val="single"/>
        </w:rPr>
        <w:t xml:space="preserve"> </w:t>
      </w:r>
    </w:p>
    <w:p w14:paraId="3EACE2FF" w14:textId="65AF82CC" w:rsidR="008C5DDB" w:rsidRPr="00475DC9" w:rsidRDefault="00395A81" w:rsidP="001B4015">
      <w:pPr>
        <w:ind w:left="851"/>
        <w:rPr>
          <w:rFonts w:eastAsia="SimSun"/>
          <w:sz w:val="24"/>
          <w:szCs w:val="24"/>
        </w:rPr>
      </w:pPr>
      <w:r>
        <w:rPr>
          <w:sz w:val="24"/>
          <w:szCs w:val="24"/>
        </w:rPr>
        <w:t>Fluconazole "Noridem"</w:t>
      </w:r>
      <w:r w:rsidR="008C5DDB" w:rsidRPr="00475DC9">
        <w:rPr>
          <w:sz w:val="24"/>
          <w:szCs w:val="24"/>
        </w:rPr>
        <w:t xml:space="preserve"> anvendes til behandling af mukøs candidiasis (orofaryngal, øsofagal), invasiv candidiasis, kryptokokmeningitis samt til forebyggelse af svampeinfektioner hos immunsupprimerede patienter. </w:t>
      </w:r>
      <w:r>
        <w:rPr>
          <w:sz w:val="24"/>
          <w:szCs w:val="24"/>
        </w:rPr>
        <w:t>Fluconazole "Noridem"</w:t>
      </w:r>
      <w:r w:rsidR="008C5DDB" w:rsidRPr="00475DC9">
        <w:rPr>
          <w:sz w:val="24"/>
          <w:szCs w:val="24"/>
        </w:rPr>
        <w:t xml:space="preserve"> kan anvendes som vedligeholde</w:t>
      </w:r>
      <w:r w:rsidR="00475DC9">
        <w:rPr>
          <w:sz w:val="24"/>
          <w:szCs w:val="24"/>
        </w:rPr>
        <w:t>l</w:t>
      </w:r>
      <w:r w:rsidR="008C5DDB" w:rsidRPr="00475DC9">
        <w:rPr>
          <w:sz w:val="24"/>
          <w:szCs w:val="24"/>
        </w:rPr>
        <w:t xml:space="preserve">sesbehandling til at forebygge tilbagefald af kryptokokmeningitis hos børn med høj risiko for recidiv (se pkt. 4.4). </w:t>
      </w:r>
    </w:p>
    <w:p w14:paraId="7B92D8C6" w14:textId="77777777" w:rsidR="00475DC9" w:rsidRDefault="00475DC9" w:rsidP="001B4015">
      <w:pPr>
        <w:ind w:left="851"/>
        <w:rPr>
          <w:sz w:val="24"/>
          <w:szCs w:val="24"/>
        </w:rPr>
      </w:pPr>
    </w:p>
    <w:p w14:paraId="098D380B" w14:textId="68BED233" w:rsidR="008C5DDB" w:rsidRPr="00475DC9" w:rsidRDefault="008C5DDB" w:rsidP="001B4015">
      <w:pPr>
        <w:ind w:left="851"/>
        <w:rPr>
          <w:rFonts w:eastAsia="SimSun"/>
          <w:sz w:val="24"/>
          <w:szCs w:val="24"/>
        </w:rPr>
      </w:pPr>
      <w:r w:rsidRPr="00475DC9">
        <w:rPr>
          <w:sz w:val="24"/>
          <w:szCs w:val="24"/>
        </w:rPr>
        <w:t xml:space="preserve">Behandling kan startes, før identifikation og resultaterne af andre laboratorieforsøg foreligger. Den antiinfektive behandling skal justeres i overensstemmelse med disse resultater, når de foreligger. </w:t>
      </w:r>
    </w:p>
    <w:p w14:paraId="09ABA496" w14:textId="77777777" w:rsidR="008C5DDB" w:rsidRPr="00475DC9" w:rsidRDefault="008C5DDB" w:rsidP="001B4015">
      <w:pPr>
        <w:ind w:left="851"/>
        <w:rPr>
          <w:sz w:val="24"/>
          <w:szCs w:val="24"/>
        </w:rPr>
      </w:pPr>
    </w:p>
    <w:p w14:paraId="18D5D6E0" w14:textId="77777777" w:rsidR="008C5DDB" w:rsidRPr="00475DC9" w:rsidRDefault="008C5DDB" w:rsidP="001B4015">
      <w:pPr>
        <w:ind w:left="851"/>
        <w:rPr>
          <w:rFonts w:eastAsia="SimSun"/>
          <w:sz w:val="24"/>
          <w:szCs w:val="24"/>
        </w:rPr>
      </w:pPr>
      <w:r w:rsidRPr="00475DC9">
        <w:rPr>
          <w:sz w:val="24"/>
          <w:szCs w:val="24"/>
        </w:rPr>
        <w:t xml:space="preserve">Officielle retningslinjer vedrørende korrekt brug af antimykotika bør følges. </w:t>
      </w:r>
    </w:p>
    <w:p w14:paraId="0A09C131" w14:textId="77777777" w:rsidR="009260DE" w:rsidRPr="00475DC9" w:rsidRDefault="009260DE" w:rsidP="009260DE">
      <w:pPr>
        <w:tabs>
          <w:tab w:val="left" w:pos="851"/>
        </w:tabs>
        <w:ind w:left="851"/>
        <w:rPr>
          <w:sz w:val="24"/>
          <w:szCs w:val="24"/>
        </w:rPr>
      </w:pPr>
    </w:p>
    <w:p w14:paraId="33452428" w14:textId="77777777" w:rsidR="009260DE" w:rsidRPr="00475DC9" w:rsidRDefault="009260DE" w:rsidP="009260DE">
      <w:pPr>
        <w:tabs>
          <w:tab w:val="left" w:pos="851"/>
        </w:tabs>
        <w:ind w:left="851" w:hanging="851"/>
        <w:rPr>
          <w:b/>
          <w:sz w:val="24"/>
          <w:szCs w:val="24"/>
        </w:rPr>
      </w:pPr>
      <w:r w:rsidRPr="00475DC9">
        <w:rPr>
          <w:b/>
          <w:sz w:val="24"/>
          <w:szCs w:val="24"/>
        </w:rPr>
        <w:t>4.2</w:t>
      </w:r>
      <w:r w:rsidRPr="00475DC9">
        <w:rPr>
          <w:b/>
          <w:sz w:val="24"/>
          <w:szCs w:val="24"/>
        </w:rPr>
        <w:tab/>
        <w:t xml:space="preserve">Dosering og </w:t>
      </w:r>
      <w:r w:rsidR="002C1EC0" w:rsidRPr="00475DC9">
        <w:rPr>
          <w:b/>
          <w:sz w:val="24"/>
          <w:szCs w:val="24"/>
        </w:rPr>
        <w:t>administration</w:t>
      </w:r>
    </w:p>
    <w:p w14:paraId="4C5A11B6" w14:textId="77777777" w:rsidR="00475DC9" w:rsidRDefault="00475DC9" w:rsidP="001B4015">
      <w:pPr>
        <w:ind w:left="851"/>
        <w:rPr>
          <w:sz w:val="24"/>
          <w:szCs w:val="24"/>
        </w:rPr>
      </w:pPr>
    </w:p>
    <w:p w14:paraId="2EB87275" w14:textId="645FDACF" w:rsidR="008C5DDB" w:rsidRPr="00475DC9" w:rsidRDefault="008C5DDB" w:rsidP="001B4015">
      <w:pPr>
        <w:ind w:left="851"/>
        <w:rPr>
          <w:rFonts w:eastAsia="SimSun"/>
          <w:sz w:val="24"/>
          <w:szCs w:val="24"/>
          <w:u w:val="single"/>
        </w:rPr>
      </w:pPr>
      <w:r w:rsidRPr="00475DC9">
        <w:rPr>
          <w:sz w:val="24"/>
          <w:szCs w:val="24"/>
          <w:u w:val="single"/>
        </w:rPr>
        <w:t xml:space="preserve">Dosering </w:t>
      </w:r>
    </w:p>
    <w:p w14:paraId="750BBEDA" w14:textId="77777777" w:rsidR="008C5DDB" w:rsidRPr="00475DC9" w:rsidRDefault="008C5DDB" w:rsidP="001B4015">
      <w:pPr>
        <w:ind w:left="851"/>
        <w:rPr>
          <w:rFonts w:eastAsia="SimSun"/>
          <w:sz w:val="24"/>
          <w:szCs w:val="24"/>
        </w:rPr>
      </w:pPr>
      <w:r w:rsidRPr="00475DC9">
        <w:rPr>
          <w:sz w:val="24"/>
          <w:szCs w:val="24"/>
        </w:rPr>
        <w:t xml:space="preserve">Dosis afhænger af svampeinfektionens art og sværhedsgrad. Ved infektioner, der kræver flergangsdosering, skal behandlingen fortsættes, indtil kliniske parametre eller laboratorieprøver viser, at den aktive svampeinfektion er aftaget. Hvis behandlingen er for kortvarig, kan det medføre recidiv af den aktive infektion. </w:t>
      </w:r>
    </w:p>
    <w:p w14:paraId="5EA5B4EB" w14:textId="77777777" w:rsidR="008C5DDB" w:rsidRPr="00475DC9" w:rsidRDefault="008C5DDB" w:rsidP="001B4015">
      <w:pPr>
        <w:ind w:left="851"/>
        <w:rPr>
          <w:rFonts w:eastAsia="SimSun"/>
          <w:sz w:val="24"/>
          <w:szCs w:val="24"/>
          <w:lang w:eastAsia="zh-CN"/>
        </w:rPr>
      </w:pPr>
    </w:p>
    <w:p w14:paraId="161A81CD" w14:textId="77777777" w:rsidR="008C5DDB" w:rsidRPr="00475DC9" w:rsidRDefault="008C5DDB" w:rsidP="001B4015">
      <w:pPr>
        <w:ind w:left="851"/>
        <w:rPr>
          <w:rFonts w:eastAsia="SimSun"/>
          <w:sz w:val="24"/>
          <w:szCs w:val="24"/>
          <w:u w:val="single"/>
        </w:rPr>
      </w:pPr>
      <w:r w:rsidRPr="00475DC9">
        <w:rPr>
          <w:sz w:val="24"/>
          <w:szCs w:val="24"/>
          <w:u w:val="single"/>
        </w:rPr>
        <w:t xml:space="preserve">Voksne: </w:t>
      </w:r>
    </w:p>
    <w:p w14:paraId="11F25491" w14:textId="77777777" w:rsidR="008C5DDB" w:rsidRPr="00475DC9" w:rsidRDefault="008C5DDB" w:rsidP="001B4015">
      <w:pPr>
        <w:ind w:left="851"/>
        <w:rPr>
          <w:sz w:val="24"/>
          <w:szCs w:val="24"/>
        </w:rPr>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80"/>
        <w:gridCol w:w="2235"/>
        <w:gridCol w:w="2262"/>
        <w:gridCol w:w="2641"/>
      </w:tblGrid>
      <w:tr w:rsidR="008C5DDB" w:rsidRPr="00D35D6B" w14:paraId="25BE0848" w14:textId="77777777" w:rsidTr="001B4015">
        <w:trPr>
          <w:trHeight w:val="293"/>
        </w:trPr>
        <w:tc>
          <w:tcPr>
            <w:tcW w:w="2451" w:type="pct"/>
            <w:gridSpan w:val="2"/>
            <w:tcBorders>
              <w:top w:val="single" w:sz="8" w:space="0" w:color="000000"/>
              <w:left w:val="single" w:sz="8" w:space="0" w:color="000000"/>
              <w:bottom w:val="single" w:sz="8" w:space="0" w:color="000000"/>
              <w:right w:val="single" w:sz="8" w:space="0" w:color="000000"/>
            </w:tcBorders>
            <w:hideMark/>
          </w:tcPr>
          <w:p w14:paraId="18A2EFE8" w14:textId="77777777" w:rsidR="008C5DDB" w:rsidRPr="00D35D6B" w:rsidRDefault="008C5DDB">
            <w:pPr>
              <w:pStyle w:val="Default"/>
              <w:rPr>
                <w:sz w:val="22"/>
                <w:szCs w:val="22"/>
                <w:lang w:bidi="he-IL"/>
              </w:rPr>
            </w:pPr>
            <w:r w:rsidRPr="00D35D6B">
              <w:rPr>
                <w:b/>
                <w:sz w:val="22"/>
                <w:szCs w:val="22"/>
                <w:lang w:bidi="he-IL"/>
              </w:rPr>
              <w:t>Indikation</w:t>
            </w:r>
          </w:p>
        </w:tc>
        <w:tc>
          <w:tcPr>
            <w:tcW w:w="1176" w:type="pct"/>
            <w:tcBorders>
              <w:top w:val="single" w:sz="8" w:space="0" w:color="000000"/>
              <w:left w:val="single" w:sz="8" w:space="0" w:color="000000"/>
              <w:bottom w:val="single" w:sz="8" w:space="0" w:color="000000"/>
              <w:right w:val="single" w:sz="8" w:space="0" w:color="000000"/>
            </w:tcBorders>
            <w:hideMark/>
          </w:tcPr>
          <w:p w14:paraId="3DDA57B8" w14:textId="77777777" w:rsidR="008C5DDB" w:rsidRPr="00D35D6B" w:rsidRDefault="008C5DDB">
            <w:pPr>
              <w:pStyle w:val="Default"/>
              <w:rPr>
                <w:sz w:val="22"/>
                <w:szCs w:val="22"/>
                <w:lang w:bidi="he-IL"/>
              </w:rPr>
            </w:pPr>
            <w:r w:rsidRPr="00D35D6B">
              <w:rPr>
                <w:b/>
                <w:sz w:val="22"/>
                <w:szCs w:val="22"/>
                <w:lang w:bidi="he-IL"/>
              </w:rPr>
              <w:t>Dosering</w:t>
            </w:r>
          </w:p>
        </w:tc>
        <w:tc>
          <w:tcPr>
            <w:tcW w:w="1373" w:type="pct"/>
            <w:tcBorders>
              <w:top w:val="single" w:sz="8" w:space="0" w:color="000000"/>
              <w:left w:val="single" w:sz="8" w:space="0" w:color="000000"/>
              <w:bottom w:val="single" w:sz="8" w:space="0" w:color="000000"/>
              <w:right w:val="single" w:sz="8" w:space="0" w:color="000000"/>
            </w:tcBorders>
            <w:hideMark/>
          </w:tcPr>
          <w:p w14:paraId="7C640FC6" w14:textId="77777777" w:rsidR="008C5DDB" w:rsidRPr="00D35D6B" w:rsidRDefault="008C5DDB">
            <w:pPr>
              <w:pStyle w:val="Default"/>
              <w:rPr>
                <w:sz w:val="22"/>
                <w:szCs w:val="22"/>
                <w:lang w:bidi="he-IL"/>
              </w:rPr>
            </w:pPr>
            <w:r w:rsidRPr="00D35D6B">
              <w:rPr>
                <w:b/>
                <w:sz w:val="22"/>
                <w:szCs w:val="22"/>
                <w:lang w:bidi="he-IL"/>
              </w:rPr>
              <w:t>Behandlingsvarighed</w:t>
            </w:r>
          </w:p>
        </w:tc>
      </w:tr>
      <w:tr w:rsidR="008C5DDB" w:rsidRPr="00D35D6B" w14:paraId="29A0B3F5" w14:textId="77777777" w:rsidTr="001B4015">
        <w:trPr>
          <w:trHeight w:val="1303"/>
        </w:trPr>
        <w:tc>
          <w:tcPr>
            <w:tcW w:w="1289" w:type="pct"/>
            <w:vMerge w:val="restart"/>
            <w:tcBorders>
              <w:top w:val="single" w:sz="8" w:space="0" w:color="000000"/>
              <w:left w:val="single" w:sz="8" w:space="0" w:color="000000"/>
              <w:bottom w:val="single" w:sz="8" w:space="0" w:color="000000"/>
              <w:right w:val="single" w:sz="8" w:space="0" w:color="000000"/>
            </w:tcBorders>
            <w:hideMark/>
          </w:tcPr>
          <w:p w14:paraId="0650749F" w14:textId="77777777" w:rsidR="008C5DDB" w:rsidRPr="00D35D6B" w:rsidRDefault="008C5DDB">
            <w:pPr>
              <w:pStyle w:val="Default"/>
              <w:rPr>
                <w:sz w:val="22"/>
                <w:szCs w:val="22"/>
                <w:lang w:bidi="he-IL"/>
              </w:rPr>
            </w:pPr>
            <w:r w:rsidRPr="00D35D6B">
              <w:rPr>
                <w:b/>
                <w:sz w:val="22"/>
                <w:szCs w:val="22"/>
                <w:lang w:bidi="he-IL"/>
              </w:rPr>
              <w:t>Kryptokokkose</w:t>
            </w:r>
          </w:p>
        </w:tc>
        <w:tc>
          <w:tcPr>
            <w:tcW w:w="1162" w:type="pct"/>
            <w:tcBorders>
              <w:top w:val="single" w:sz="8" w:space="0" w:color="000000"/>
              <w:left w:val="single" w:sz="8" w:space="0" w:color="000000"/>
              <w:bottom w:val="single" w:sz="8" w:space="0" w:color="000000"/>
              <w:right w:val="single" w:sz="8" w:space="0" w:color="000000"/>
            </w:tcBorders>
            <w:hideMark/>
          </w:tcPr>
          <w:p w14:paraId="5796AFA8" w14:textId="77777777" w:rsidR="008C5DDB" w:rsidRPr="00D35D6B" w:rsidRDefault="008C5DDB">
            <w:pPr>
              <w:pStyle w:val="Default"/>
              <w:rPr>
                <w:sz w:val="22"/>
                <w:szCs w:val="22"/>
                <w:lang w:bidi="he-IL"/>
              </w:rPr>
            </w:pPr>
            <w:r w:rsidRPr="00D35D6B">
              <w:rPr>
                <w:sz w:val="22"/>
                <w:szCs w:val="22"/>
                <w:lang w:bidi="he-IL"/>
              </w:rPr>
              <w:t xml:space="preserve">- Behandling af kryptokokmeningitis </w:t>
            </w:r>
          </w:p>
        </w:tc>
        <w:tc>
          <w:tcPr>
            <w:tcW w:w="1176" w:type="pct"/>
            <w:tcBorders>
              <w:top w:val="single" w:sz="8" w:space="0" w:color="000000"/>
              <w:left w:val="single" w:sz="8" w:space="0" w:color="000000"/>
              <w:bottom w:val="single" w:sz="8" w:space="0" w:color="000000"/>
              <w:right w:val="single" w:sz="8" w:space="0" w:color="000000"/>
            </w:tcBorders>
          </w:tcPr>
          <w:p w14:paraId="4ADDAD34" w14:textId="77777777" w:rsidR="008C5DDB" w:rsidRPr="00D35D6B" w:rsidRDefault="008C5DDB">
            <w:pPr>
              <w:pStyle w:val="Default"/>
              <w:rPr>
                <w:sz w:val="22"/>
                <w:szCs w:val="22"/>
                <w:lang w:bidi="he-IL"/>
              </w:rPr>
            </w:pPr>
            <w:r w:rsidRPr="00D35D6B">
              <w:rPr>
                <w:sz w:val="22"/>
                <w:szCs w:val="22"/>
                <w:lang w:bidi="he-IL"/>
              </w:rPr>
              <w:t xml:space="preserve">Støddosis: 400 mg på dag 1. </w:t>
            </w:r>
          </w:p>
          <w:p w14:paraId="354A7052" w14:textId="77777777" w:rsidR="008C5DDB" w:rsidRPr="00D35D6B" w:rsidRDefault="008C5DDB">
            <w:pPr>
              <w:pStyle w:val="Default"/>
              <w:rPr>
                <w:sz w:val="22"/>
                <w:szCs w:val="22"/>
                <w:lang w:bidi="he-IL"/>
              </w:rPr>
            </w:pPr>
          </w:p>
          <w:p w14:paraId="03C3B7C2" w14:textId="77777777" w:rsidR="008C5DDB" w:rsidRPr="00D35D6B" w:rsidRDefault="008C5DDB">
            <w:pPr>
              <w:pStyle w:val="Default"/>
              <w:rPr>
                <w:sz w:val="22"/>
                <w:szCs w:val="22"/>
                <w:lang w:bidi="he-IL"/>
              </w:rPr>
            </w:pPr>
            <w:r w:rsidRPr="00D35D6B">
              <w:rPr>
                <w:sz w:val="22"/>
                <w:szCs w:val="22"/>
                <w:lang w:bidi="he-IL"/>
              </w:rPr>
              <w:t xml:space="preserve">Efterfølgende dosis: 200 mg til 400 mg én gang dagligt </w:t>
            </w:r>
          </w:p>
        </w:tc>
        <w:tc>
          <w:tcPr>
            <w:tcW w:w="1373" w:type="pct"/>
            <w:tcBorders>
              <w:top w:val="single" w:sz="8" w:space="0" w:color="000000"/>
              <w:left w:val="single" w:sz="8" w:space="0" w:color="000000"/>
              <w:bottom w:val="single" w:sz="8" w:space="0" w:color="000000"/>
              <w:right w:val="single" w:sz="8" w:space="0" w:color="000000"/>
            </w:tcBorders>
            <w:hideMark/>
          </w:tcPr>
          <w:p w14:paraId="066D4946" w14:textId="77777777" w:rsidR="008C5DDB" w:rsidRPr="00D35D6B" w:rsidRDefault="008C5DDB">
            <w:pPr>
              <w:pStyle w:val="Default"/>
              <w:rPr>
                <w:sz w:val="22"/>
                <w:szCs w:val="22"/>
                <w:lang w:bidi="he-IL"/>
              </w:rPr>
            </w:pPr>
            <w:r w:rsidRPr="00D35D6B">
              <w:rPr>
                <w:sz w:val="22"/>
                <w:szCs w:val="22"/>
                <w:lang w:bidi="he-IL"/>
              </w:rPr>
              <w:t xml:space="preserve">Sædvanligvis mindst 6-8 uger. Ved livstruende infektioner kan den daglige dosis øges til 800 mg. </w:t>
            </w:r>
          </w:p>
        </w:tc>
      </w:tr>
      <w:tr w:rsidR="008C5DDB" w:rsidRPr="00D35D6B" w14:paraId="1E07F139" w14:textId="77777777" w:rsidTr="001B4015">
        <w:trPr>
          <w:trHeight w:val="1299"/>
        </w:trPr>
        <w:tc>
          <w:tcPr>
            <w:tcW w:w="1289" w:type="pct"/>
            <w:vMerge/>
            <w:tcBorders>
              <w:top w:val="single" w:sz="8" w:space="0" w:color="000000"/>
              <w:left w:val="single" w:sz="8" w:space="0" w:color="000000"/>
              <w:bottom w:val="single" w:sz="8" w:space="0" w:color="000000"/>
              <w:right w:val="single" w:sz="8" w:space="0" w:color="000000"/>
            </w:tcBorders>
            <w:vAlign w:val="center"/>
            <w:hideMark/>
          </w:tcPr>
          <w:p w14:paraId="15249A52" w14:textId="77777777" w:rsidR="008C5DDB" w:rsidRPr="00D35D6B" w:rsidRDefault="008C5DDB">
            <w:pPr>
              <w:rPr>
                <w:color w:val="000000"/>
                <w:sz w:val="22"/>
                <w:szCs w:val="22"/>
                <w:lang w:bidi="he-IL"/>
              </w:rPr>
            </w:pPr>
          </w:p>
        </w:tc>
        <w:tc>
          <w:tcPr>
            <w:tcW w:w="1162" w:type="pct"/>
            <w:tcBorders>
              <w:top w:val="single" w:sz="8" w:space="0" w:color="000000"/>
              <w:left w:val="single" w:sz="8" w:space="0" w:color="000000"/>
              <w:bottom w:val="single" w:sz="8" w:space="0" w:color="000000"/>
              <w:right w:val="single" w:sz="8" w:space="0" w:color="000000"/>
            </w:tcBorders>
            <w:hideMark/>
          </w:tcPr>
          <w:p w14:paraId="3840E6E0" w14:textId="77777777" w:rsidR="008C5DDB" w:rsidRPr="00D35D6B" w:rsidRDefault="008C5DDB">
            <w:pPr>
              <w:pStyle w:val="Default"/>
              <w:rPr>
                <w:sz w:val="22"/>
                <w:szCs w:val="22"/>
                <w:lang w:bidi="he-IL"/>
              </w:rPr>
            </w:pPr>
            <w:r w:rsidRPr="00D35D6B">
              <w:rPr>
                <w:sz w:val="22"/>
                <w:szCs w:val="22"/>
                <w:lang w:bidi="he-IL"/>
              </w:rPr>
              <w:t xml:space="preserve">-Vedligeholdelses-dosis til forebyggelse af tilbagefald af kryptokokmeningitis hos patienter med høj risiko for recidiv. </w:t>
            </w:r>
          </w:p>
        </w:tc>
        <w:tc>
          <w:tcPr>
            <w:tcW w:w="1176" w:type="pct"/>
            <w:tcBorders>
              <w:top w:val="single" w:sz="8" w:space="0" w:color="000000"/>
              <w:left w:val="single" w:sz="8" w:space="0" w:color="000000"/>
              <w:bottom w:val="single" w:sz="8" w:space="0" w:color="000000"/>
              <w:right w:val="single" w:sz="8" w:space="0" w:color="000000"/>
            </w:tcBorders>
            <w:hideMark/>
          </w:tcPr>
          <w:p w14:paraId="2CE5E3DC" w14:textId="77777777" w:rsidR="008C5DDB" w:rsidRPr="00D35D6B" w:rsidRDefault="008C5DDB">
            <w:pPr>
              <w:pStyle w:val="Default"/>
              <w:rPr>
                <w:sz w:val="22"/>
                <w:szCs w:val="22"/>
                <w:lang w:bidi="he-IL"/>
              </w:rPr>
            </w:pPr>
            <w:r w:rsidRPr="00D35D6B">
              <w:rPr>
                <w:sz w:val="22"/>
                <w:szCs w:val="22"/>
                <w:lang w:bidi="he-IL"/>
              </w:rPr>
              <w:t xml:space="preserve">200 mg én gang dagligt </w:t>
            </w:r>
          </w:p>
        </w:tc>
        <w:tc>
          <w:tcPr>
            <w:tcW w:w="1373" w:type="pct"/>
            <w:tcBorders>
              <w:top w:val="single" w:sz="8" w:space="0" w:color="000000"/>
              <w:left w:val="single" w:sz="8" w:space="0" w:color="000000"/>
              <w:bottom w:val="single" w:sz="8" w:space="0" w:color="000000"/>
              <w:right w:val="single" w:sz="8" w:space="0" w:color="000000"/>
            </w:tcBorders>
            <w:hideMark/>
          </w:tcPr>
          <w:p w14:paraId="0A634984" w14:textId="77777777" w:rsidR="008C5DDB" w:rsidRPr="00D35D6B" w:rsidRDefault="008C5DDB">
            <w:pPr>
              <w:pStyle w:val="Default"/>
              <w:rPr>
                <w:sz w:val="22"/>
                <w:szCs w:val="22"/>
                <w:lang w:bidi="he-IL"/>
              </w:rPr>
            </w:pPr>
            <w:r w:rsidRPr="00D35D6B">
              <w:rPr>
                <w:sz w:val="22"/>
                <w:szCs w:val="22"/>
                <w:lang w:bidi="he-IL"/>
              </w:rPr>
              <w:t>På ubestemt tid med en daglig dosis på 200 mg</w:t>
            </w:r>
          </w:p>
        </w:tc>
      </w:tr>
      <w:tr w:rsidR="008C5DDB" w:rsidRPr="00D35D6B" w14:paraId="5AC214D5" w14:textId="77777777" w:rsidTr="001B4015">
        <w:trPr>
          <w:trHeight w:val="1555"/>
        </w:trPr>
        <w:tc>
          <w:tcPr>
            <w:tcW w:w="1289" w:type="pct"/>
            <w:tcBorders>
              <w:top w:val="single" w:sz="8" w:space="0" w:color="000000"/>
              <w:left w:val="single" w:sz="8" w:space="0" w:color="000000"/>
              <w:bottom w:val="single" w:sz="8" w:space="0" w:color="000000"/>
              <w:right w:val="single" w:sz="8" w:space="0" w:color="000000"/>
            </w:tcBorders>
            <w:hideMark/>
          </w:tcPr>
          <w:p w14:paraId="31BDC7E3" w14:textId="77777777" w:rsidR="008C5DDB" w:rsidRPr="00D35D6B" w:rsidRDefault="008C5DDB">
            <w:pPr>
              <w:pStyle w:val="Default"/>
              <w:rPr>
                <w:sz w:val="22"/>
                <w:szCs w:val="22"/>
                <w:lang w:bidi="he-IL"/>
              </w:rPr>
            </w:pPr>
            <w:r w:rsidRPr="00D35D6B">
              <w:rPr>
                <w:b/>
                <w:sz w:val="22"/>
                <w:szCs w:val="22"/>
                <w:lang w:bidi="he-IL"/>
              </w:rPr>
              <w:t xml:space="preserve">Kokcidioidomykose </w:t>
            </w:r>
          </w:p>
        </w:tc>
        <w:tc>
          <w:tcPr>
            <w:tcW w:w="1162" w:type="pct"/>
            <w:tcBorders>
              <w:top w:val="single" w:sz="8" w:space="0" w:color="000000"/>
              <w:left w:val="single" w:sz="8" w:space="0" w:color="000000"/>
              <w:bottom w:val="single" w:sz="8" w:space="0" w:color="000000"/>
              <w:right w:val="single" w:sz="8" w:space="0" w:color="000000"/>
            </w:tcBorders>
          </w:tcPr>
          <w:p w14:paraId="58AA216F" w14:textId="77777777" w:rsidR="008C5DDB" w:rsidRPr="00D35D6B" w:rsidRDefault="008C5DDB">
            <w:pPr>
              <w:pStyle w:val="Default"/>
              <w:rPr>
                <w:sz w:val="22"/>
                <w:szCs w:val="22"/>
                <w:lang w:bidi="he-IL"/>
              </w:rPr>
            </w:pPr>
          </w:p>
        </w:tc>
        <w:tc>
          <w:tcPr>
            <w:tcW w:w="1176" w:type="pct"/>
            <w:tcBorders>
              <w:top w:val="single" w:sz="8" w:space="0" w:color="000000"/>
              <w:left w:val="single" w:sz="8" w:space="0" w:color="000000"/>
              <w:bottom w:val="single" w:sz="8" w:space="0" w:color="000000"/>
              <w:right w:val="single" w:sz="8" w:space="0" w:color="000000"/>
            </w:tcBorders>
            <w:hideMark/>
          </w:tcPr>
          <w:p w14:paraId="11D19497" w14:textId="77777777" w:rsidR="008C5DDB" w:rsidRPr="00D35D6B" w:rsidRDefault="008C5DDB">
            <w:pPr>
              <w:pStyle w:val="Default"/>
              <w:rPr>
                <w:sz w:val="22"/>
                <w:szCs w:val="22"/>
                <w:lang w:bidi="he-IL"/>
              </w:rPr>
            </w:pPr>
            <w:r w:rsidRPr="00D35D6B">
              <w:rPr>
                <w:sz w:val="22"/>
                <w:szCs w:val="22"/>
                <w:lang w:bidi="he-IL"/>
              </w:rPr>
              <w:t>200 mg til 400 mg én gang dagligt</w:t>
            </w:r>
          </w:p>
        </w:tc>
        <w:tc>
          <w:tcPr>
            <w:tcW w:w="1373" w:type="pct"/>
            <w:tcBorders>
              <w:top w:val="single" w:sz="8" w:space="0" w:color="000000"/>
              <w:left w:val="single" w:sz="8" w:space="0" w:color="000000"/>
              <w:bottom w:val="single" w:sz="8" w:space="0" w:color="000000"/>
              <w:right w:val="single" w:sz="8" w:space="0" w:color="000000"/>
            </w:tcBorders>
            <w:hideMark/>
          </w:tcPr>
          <w:p w14:paraId="303E2299" w14:textId="77777777" w:rsidR="008C5DDB" w:rsidRPr="00D35D6B" w:rsidRDefault="008C5DDB">
            <w:pPr>
              <w:pStyle w:val="Default"/>
              <w:rPr>
                <w:sz w:val="22"/>
                <w:szCs w:val="22"/>
                <w:lang w:bidi="he-IL"/>
              </w:rPr>
            </w:pPr>
            <w:r w:rsidRPr="00D35D6B">
              <w:rPr>
                <w:sz w:val="22"/>
                <w:szCs w:val="22"/>
                <w:lang w:bidi="he-IL"/>
              </w:rPr>
              <w:t xml:space="preserve">Fra 11 måneder og op til 24 måneder eller længere afhængig af patienten. 800 mg dagligt kan overvejes til nogle infektioner og især ved meningeale sygdomme. </w:t>
            </w:r>
          </w:p>
        </w:tc>
      </w:tr>
      <w:tr w:rsidR="008C5DDB" w:rsidRPr="00D35D6B" w14:paraId="73E983EC" w14:textId="77777777" w:rsidTr="001B4015">
        <w:trPr>
          <w:trHeight w:val="688"/>
        </w:trPr>
        <w:tc>
          <w:tcPr>
            <w:tcW w:w="1289" w:type="pct"/>
            <w:tcBorders>
              <w:top w:val="single" w:sz="8" w:space="0" w:color="000000"/>
              <w:left w:val="single" w:sz="8" w:space="0" w:color="000000"/>
              <w:bottom w:val="single" w:sz="8" w:space="0" w:color="000000"/>
              <w:right w:val="single" w:sz="8" w:space="0" w:color="000000"/>
            </w:tcBorders>
            <w:hideMark/>
          </w:tcPr>
          <w:p w14:paraId="62A613A2" w14:textId="77777777" w:rsidR="008C5DDB" w:rsidRPr="00D35D6B" w:rsidRDefault="008C5DDB">
            <w:pPr>
              <w:pStyle w:val="Default"/>
              <w:rPr>
                <w:sz w:val="22"/>
                <w:szCs w:val="22"/>
                <w:lang w:bidi="he-IL"/>
              </w:rPr>
            </w:pPr>
            <w:r w:rsidRPr="00D35D6B">
              <w:rPr>
                <w:b/>
                <w:sz w:val="22"/>
                <w:szCs w:val="22"/>
                <w:lang w:bidi="he-IL"/>
              </w:rPr>
              <w:t>Invasiv candidiasis</w:t>
            </w:r>
          </w:p>
        </w:tc>
        <w:tc>
          <w:tcPr>
            <w:tcW w:w="1162" w:type="pct"/>
            <w:tcBorders>
              <w:top w:val="single" w:sz="8" w:space="0" w:color="000000"/>
              <w:left w:val="single" w:sz="8" w:space="0" w:color="000000"/>
              <w:bottom w:val="single" w:sz="8" w:space="0" w:color="000000"/>
              <w:right w:val="single" w:sz="8" w:space="0" w:color="000000"/>
            </w:tcBorders>
          </w:tcPr>
          <w:p w14:paraId="184C090B" w14:textId="77777777" w:rsidR="008C5DDB" w:rsidRPr="00D35D6B" w:rsidRDefault="008C5DDB">
            <w:pPr>
              <w:pStyle w:val="Default"/>
              <w:rPr>
                <w:sz w:val="22"/>
                <w:szCs w:val="22"/>
                <w:lang w:bidi="he-IL"/>
              </w:rPr>
            </w:pPr>
          </w:p>
        </w:tc>
        <w:tc>
          <w:tcPr>
            <w:tcW w:w="1176" w:type="pct"/>
            <w:tcBorders>
              <w:top w:val="single" w:sz="8" w:space="0" w:color="000000"/>
              <w:left w:val="single" w:sz="8" w:space="0" w:color="000000"/>
              <w:bottom w:val="single" w:sz="8" w:space="0" w:color="000000"/>
              <w:right w:val="single" w:sz="8" w:space="0" w:color="000000"/>
            </w:tcBorders>
          </w:tcPr>
          <w:p w14:paraId="3803A0A5" w14:textId="77777777" w:rsidR="008C5DDB" w:rsidRPr="00D35D6B" w:rsidRDefault="008C5DDB">
            <w:pPr>
              <w:pStyle w:val="Default"/>
              <w:rPr>
                <w:sz w:val="22"/>
                <w:szCs w:val="22"/>
                <w:lang w:bidi="he-IL"/>
              </w:rPr>
            </w:pPr>
            <w:r w:rsidRPr="00D35D6B">
              <w:rPr>
                <w:sz w:val="22"/>
                <w:szCs w:val="22"/>
                <w:lang w:bidi="he-IL"/>
              </w:rPr>
              <w:t xml:space="preserve">Støddosis: 800 mg på dag 1. </w:t>
            </w:r>
          </w:p>
          <w:p w14:paraId="7E36B5E0" w14:textId="77777777" w:rsidR="008C5DDB" w:rsidRPr="00D35D6B" w:rsidRDefault="008C5DDB">
            <w:pPr>
              <w:pStyle w:val="Default"/>
              <w:rPr>
                <w:sz w:val="22"/>
                <w:szCs w:val="22"/>
                <w:lang w:bidi="he-IL"/>
              </w:rPr>
            </w:pPr>
          </w:p>
          <w:p w14:paraId="13EC4DB6" w14:textId="77777777" w:rsidR="008C5DDB" w:rsidRPr="00D35D6B" w:rsidRDefault="008C5DDB">
            <w:pPr>
              <w:pStyle w:val="Default"/>
              <w:rPr>
                <w:sz w:val="22"/>
                <w:szCs w:val="22"/>
                <w:lang w:bidi="he-IL"/>
              </w:rPr>
            </w:pPr>
            <w:r w:rsidRPr="00D35D6B">
              <w:rPr>
                <w:sz w:val="22"/>
                <w:szCs w:val="22"/>
                <w:lang w:bidi="he-IL"/>
              </w:rPr>
              <w:t xml:space="preserve">Efterfølgende dosis: 400 mg én gang dagligt </w:t>
            </w:r>
          </w:p>
        </w:tc>
        <w:tc>
          <w:tcPr>
            <w:tcW w:w="1373" w:type="pct"/>
            <w:tcBorders>
              <w:top w:val="single" w:sz="8" w:space="0" w:color="000000"/>
              <w:left w:val="single" w:sz="8" w:space="0" w:color="000000"/>
              <w:bottom w:val="single" w:sz="8" w:space="0" w:color="000000"/>
              <w:right w:val="single" w:sz="8" w:space="0" w:color="000000"/>
            </w:tcBorders>
            <w:hideMark/>
          </w:tcPr>
          <w:p w14:paraId="6B6DF1FE" w14:textId="77777777" w:rsidR="008C5DDB" w:rsidRPr="00D35D6B" w:rsidRDefault="008C5DDB">
            <w:pPr>
              <w:pStyle w:val="Default"/>
              <w:rPr>
                <w:sz w:val="22"/>
                <w:szCs w:val="22"/>
                <w:lang w:bidi="he-IL"/>
              </w:rPr>
            </w:pPr>
            <w:r w:rsidRPr="00D35D6B">
              <w:rPr>
                <w:sz w:val="22"/>
                <w:szCs w:val="22"/>
                <w:lang w:bidi="he-IL"/>
              </w:rPr>
              <w:t xml:space="preserve">I almindelighed er den anbefalede behandlingsvarighed for candidæmi 2 uger efter første negative bloddyrkning og manglende tegn og symptomer på candidæmi. </w:t>
            </w:r>
          </w:p>
        </w:tc>
      </w:tr>
      <w:tr w:rsidR="008C5DDB" w:rsidRPr="00D35D6B" w14:paraId="3E768377" w14:textId="77777777" w:rsidTr="001B4015">
        <w:trPr>
          <w:trHeight w:val="1808"/>
        </w:trPr>
        <w:tc>
          <w:tcPr>
            <w:tcW w:w="1289" w:type="pct"/>
            <w:vMerge w:val="restart"/>
            <w:tcBorders>
              <w:top w:val="single" w:sz="8" w:space="0" w:color="000000"/>
              <w:left w:val="single" w:sz="8" w:space="0" w:color="000000"/>
              <w:bottom w:val="single" w:sz="8" w:space="0" w:color="000000"/>
              <w:right w:val="single" w:sz="8" w:space="0" w:color="000000"/>
            </w:tcBorders>
            <w:hideMark/>
          </w:tcPr>
          <w:p w14:paraId="6076EF3E" w14:textId="77777777" w:rsidR="008C5DDB" w:rsidRPr="00D35D6B" w:rsidRDefault="008C5DDB">
            <w:pPr>
              <w:pStyle w:val="Default"/>
              <w:rPr>
                <w:sz w:val="22"/>
                <w:szCs w:val="22"/>
                <w:lang w:bidi="he-IL"/>
              </w:rPr>
            </w:pPr>
            <w:r w:rsidRPr="00D35D6B">
              <w:rPr>
                <w:b/>
                <w:sz w:val="22"/>
                <w:szCs w:val="22"/>
                <w:lang w:bidi="he-IL"/>
              </w:rPr>
              <w:t>Behandling af mukøs candidiasis</w:t>
            </w:r>
          </w:p>
        </w:tc>
        <w:tc>
          <w:tcPr>
            <w:tcW w:w="1162" w:type="pct"/>
            <w:tcBorders>
              <w:top w:val="single" w:sz="8" w:space="0" w:color="000000"/>
              <w:left w:val="single" w:sz="8" w:space="0" w:color="000000"/>
              <w:bottom w:val="single" w:sz="8" w:space="0" w:color="000000"/>
              <w:right w:val="single" w:sz="8" w:space="0" w:color="000000"/>
            </w:tcBorders>
            <w:hideMark/>
          </w:tcPr>
          <w:p w14:paraId="4DC4F6C3" w14:textId="77777777" w:rsidR="008C5DDB" w:rsidRPr="00D35D6B" w:rsidRDefault="008C5DDB">
            <w:pPr>
              <w:pStyle w:val="Default"/>
              <w:rPr>
                <w:sz w:val="22"/>
                <w:szCs w:val="22"/>
                <w:lang w:bidi="he-IL"/>
              </w:rPr>
            </w:pPr>
            <w:r w:rsidRPr="00D35D6B">
              <w:rPr>
                <w:sz w:val="22"/>
                <w:szCs w:val="22"/>
                <w:lang w:bidi="he-IL"/>
              </w:rPr>
              <w:t xml:space="preserve">- Orofaryngeal candidiasis </w:t>
            </w:r>
          </w:p>
        </w:tc>
        <w:tc>
          <w:tcPr>
            <w:tcW w:w="1176" w:type="pct"/>
            <w:tcBorders>
              <w:top w:val="single" w:sz="8" w:space="0" w:color="000000"/>
              <w:left w:val="single" w:sz="8" w:space="0" w:color="000000"/>
              <w:bottom w:val="single" w:sz="8" w:space="0" w:color="000000"/>
              <w:right w:val="single" w:sz="8" w:space="0" w:color="000000"/>
            </w:tcBorders>
          </w:tcPr>
          <w:p w14:paraId="183B7D7F" w14:textId="77777777" w:rsidR="008C5DDB" w:rsidRPr="00D35D6B" w:rsidRDefault="008C5DDB">
            <w:pPr>
              <w:pStyle w:val="Default"/>
              <w:rPr>
                <w:sz w:val="22"/>
                <w:szCs w:val="22"/>
                <w:lang w:bidi="he-IL"/>
              </w:rPr>
            </w:pPr>
            <w:r w:rsidRPr="00D35D6B">
              <w:rPr>
                <w:sz w:val="22"/>
                <w:szCs w:val="22"/>
                <w:lang w:bidi="he-IL"/>
              </w:rPr>
              <w:t xml:space="preserve">Støddosis: 200-400 mg på dag 1. </w:t>
            </w:r>
          </w:p>
          <w:p w14:paraId="3D4A1EC5" w14:textId="77777777" w:rsidR="008C5DDB" w:rsidRPr="00D35D6B" w:rsidRDefault="008C5DDB">
            <w:pPr>
              <w:pStyle w:val="Default"/>
              <w:rPr>
                <w:sz w:val="22"/>
                <w:szCs w:val="22"/>
                <w:lang w:bidi="he-IL"/>
              </w:rPr>
            </w:pPr>
          </w:p>
          <w:p w14:paraId="5F8B36CB" w14:textId="77777777" w:rsidR="008C5DDB" w:rsidRPr="00D35D6B" w:rsidRDefault="008C5DDB">
            <w:pPr>
              <w:pStyle w:val="Default"/>
              <w:rPr>
                <w:sz w:val="22"/>
                <w:szCs w:val="22"/>
                <w:lang w:bidi="he-IL"/>
              </w:rPr>
            </w:pPr>
            <w:r w:rsidRPr="00D35D6B">
              <w:rPr>
                <w:sz w:val="22"/>
                <w:szCs w:val="22"/>
                <w:lang w:bidi="he-IL"/>
              </w:rPr>
              <w:t xml:space="preserve">Efterfølgende dosis: 100 mg til 200 mg én gang dagligt </w:t>
            </w:r>
          </w:p>
          <w:p w14:paraId="7AC1F1AB" w14:textId="77777777" w:rsidR="008C5DDB" w:rsidRPr="00D35D6B" w:rsidRDefault="008C5DDB">
            <w:pPr>
              <w:pStyle w:val="Default"/>
              <w:rPr>
                <w:sz w:val="22"/>
                <w:szCs w:val="22"/>
                <w:lang w:bidi="he-IL"/>
              </w:rPr>
            </w:pPr>
          </w:p>
        </w:tc>
        <w:tc>
          <w:tcPr>
            <w:tcW w:w="1373" w:type="pct"/>
            <w:tcBorders>
              <w:top w:val="single" w:sz="8" w:space="0" w:color="000000"/>
              <w:left w:val="single" w:sz="8" w:space="0" w:color="000000"/>
              <w:bottom w:val="single" w:sz="8" w:space="0" w:color="000000"/>
              <w:right w:val="single" w:sz="8" w:space="0" w:color="000000"/>
            </w:tcBorders>
            <w:hideMark/>
          </w:tcPr>
          <w:p w14:paraId="7D612AD9" w14:textId="77777777" w:rsidR="008C5DDB" w:rsidRPr="00D35D6B" w:rsidRDefault="008C5DDB">
            <w:pPr>
              <w:pStyle w:val="Default"/>
              <w:rPr>
                <w:sz w:val="22"/>
                <w:szCs w:val="22"/>
                <w:lang w:bidi="he-IL"/>
              </w:rPr>
            </w:pPr>
            <w:r w:rsidRPr="00D35D6B">
              <w:rPr>
                <w:sz w:val="22"/>
                <w:szCs w:val="22"/>
                <w:lang w:bidi="he-IL"/>
              </w:rPr>
              <w:t xml:space="preserve">7–21 dage (indtil orofaryngeal candidiasis er i bedring). </w:t>
            </w:r>
          </w:p>
          <w:p w14:paraId="13B5BF3F" w14:textId="77777777" w:rsidR="008C5DDB" w:rsidRPr="00D35D6B" w:rsidRDefault="008C5DDB">
            <w:pPr>
              <w:pStyle w:val="Default"/>
              <w:rPr>
                <w:sz w:val="22"/>
                <w:szCs w:val="22"/>
                <w:lang w:bidi="he-IL"/>
              </w:rPr>
            </w:pPr>
            <w:r w:rsidRPr="00D35D6B">
              <w:rPr>
                <w:sz w:val="22"/>
                <w:szCs w:val="22"/>
                <w:lang w:bidi="he-IL"/>
              </w:rPr>
              <w:t xml:space="preserve">Længere perioder kan anvendes til patienter med alvorligt nedsat immunforsvar. </w:t>
            </w:r>
          </w:p>
        </w:tc>
      </w:tr>
      <w:tr w:rsidR="008C5DDB" w:rsidRPr="00D35D6B" w14:paraId="5177335E" w14:textId="77777777" w:rsidTr="001B4015">
        <w:trPr>
          <w:trHeight w:val="1806"/>
        </w:trPr>
        <w:tc>
          <w:tcPr>
            <w:tcW w:w="1289" w:type="pct"/>
            <w:vMerge/>
            <w:tcBorders>
              <w:top w:val="single" w:sz="8" w:space="0" w:color="000000"/>
              <w:left w:val="single" w:sz="8" w:space="0" w:color="000000"/>
              <w:bottom w:val="single" w:sz="8" w:space="0" w:color="000000"/>
              <w:right w:val="single" w:sz="8" w:space="0" w:color="000000"/>
            </w:tcBorders>
            <w:vAlign w:val="center"/>
            <w:hideMark/>
          </w:tcPr>
          <w:p w14:paraId="639E532E" w14:textId="77777777" w:rsidR="008C5DDB" w:rsidRPr="00D35D6B" w:rsidRDefault="008C5DDB">
            <w:pPr>
              <w:rPr>
                <w:color w:val="000000"/>
                <w:sz w:val="22"/>
                <w:szCs w:val="22"/>
                <w:lang w:bidi="he-IL"/>
              </w:rPr>
            </w:pPr>
          </w:p>
        </w:tc>
        <w:tc>
          <w:tcPr>
            <w:tcW w:w="1162" w:type="pct"/>
            <w:tcBorders>
              <w:top w:val="single" w:sz="8" w:space="0" w:color="000000"/>
              <w:left w:val="single" w:sz="8" w:space="0" w:color="000000"/>
              <w:bottom w:val="single" w:sz="8" w:space="0" w:color="000000"/>
              <w:right w:val="single" w:sz="8" w:space="0" w:color="000000"/>
            </w:tcBorders>
            <w:hideMark/>
          </w:tcPr>
          <w:p w14:paraId="4BE9FB94" w14:textId="77777777" w:rsidR="008C5DDB" w:rsidRPr="00D35D6B" w:rsidRDefault="008C5DDB">
            <w:pPr>
              <w:pStyle w:val="Default"/>
              <w:rPr>
                <w:sz w:val="22"/>
                <w:szCs w:val="22"/>
                <w:lang w:bidi="he-IL"/>
              </w:rPr>
            </w:pPr>
            <w:r w:rsidRPr="00D35D6B">
              <w:rPr>
                <w:sz w:val="22"/>
                <w:szCs w:val="22"/>
                <w:lang w:bidi="he-IL"/>
              </w:rPr>
              <w:t xml:space="preserve">- Øsofageal candidiasis </w:t>
            </w:r>
          </w:p>
        </w:tc>
        <w:tc>
          <w:tcPr>
            <w:tcW w:w="1176" w:type="pct"/>
            <w:tcBorders>
              <w:top w:val="single" w:sz="8" w:space="0" w:color="000000"/>
              <w:left w:val="single" w:sz="8" w:space="0" w:color="000000"/>
              <w:bottom w:val="single" w:sz="8" w:space="0" w:color="000000"/>
              <w:right w:val="single" w:sz="8" w:space="0" w:color="000000"/>
            </w:tcBorders>
          </w:tcPr>
          <w:p w14:paraId="6A653DDF" w14:textId="77777777" w:rsidR="008C5DDB" w:rsidRPr="00D35D6B" w:rsidRDefault="008C5DDB">
            <w:pPr>
              <w:pStyle w:val="Default"/>
              <w:rPr>
                <w:sz w:val="22"/>
                <w:szCs w:val="22"/>
                <w:lang w:bidi="he-IL"/>
              </w:rPr>
            </w:pPr>
            <w:r w:rsidRPr="00D35D6B">
              <w:rPr>
                <w:sz w:val="22"/>
                <w:szCs w:val="22"/>
                <w:lang w:bidi="he-IL"/>
              </w:rPr>
              <w:t xml:space="preserve">Støddosis: 200-400 mg på dag 1. </w:t>
            </w:r>
          </w:p>
          <w:p w14:paraId="49037D70" w14:textId="77777777" w:rsidR="008C5DDB" w:rsidRPr="00D35D6B" w:rsidRDefault="008C5DDB">
            <w:pPr>
              <w:pStyle w:val="Default"/>
              <w:rPr>
                <w:sz w:val="22"/>
                <w:szCs w:val="22"/>
                <w:lang w:bidi="he-IL"/>
              </w:rPr>
            </w:pPr>
          </w:p>
          <w:p w14:paraId="25EFFAF8" w14:textId="77777777" w:rsidR="008C5DDB" w:rsidRPr="00D35D6B" w:rsidRDefault="008C5DDB">
            <w:pPr>
              <w:pStyle w:val="Default"/>
              <w:rPr>
                <w:sz w:val="22"/>
                <w:szCs w:val="22"/>
                <w:lang w:bidi="he-IL"/>
              </w:rPr>
            </w:pPr>
            <w:r w:rsidRPr="00D35D6B">
              <w:rPr>
                <w:sz w:val="22"/>
                <w:szCs w:val="22"/>
                <w:lang w:bidi="he-IL"/>
              </w:rPr>
              <w:t xml:space="preserve">Efterfølgende dosis: 100 mg til 200 mg én gang dagligt </w:t>
            </w:r>
          </w:p>
          <w:p w14:paraId="027BC84D" w14:textId="77777777" w:rsidR="008C5DDB" w:rsidRPr="00D35D6B" w:rsidRDefault="008C5DDB">
            <w:pPr>
              <w:pStyle w:val="Default"/>
              <w:rPr>
                <w:sz w:val="22"/>
                <w:szCs w:val="22"/>
                <w:lang w:bidi="he-IL"/>
              </w:rPr>
            </w:pPr>
          </w:p>
        </w:tc>
        <w:tc>
          <w:tcPr>
            <w:tcW w:w="1373" w:type="pct"/>
            <w:tcBorders>
              <w:top w:val="single" w:sz="8" w:space="0" w:color="000000"/>
              <w:left w:val="single" w:sz="8" w:space="0" w:color="000000"/>
              <w:bottom w:val="single" w:sz="8" w:space="0" w:color="000000"/>
              <w:right w:val="single" w:sz="8" w:space="0" w:color="000000"/>
            </w:tcBorders>
            <w:hideMark/>
          </w:tcPr>
          <w:p w14:paraId="61BFDB08" w14:textId="77777777" w:rsidR="008C5DDB" w:rsidRPr="00D35D6B" w:rsidRDefault="008C5DDB">
            <w:pPr>
              <w:pStyle w:val="Default"/>
              <w:rPr>
                <w:sz w:val="22"/>
                <w:szCs w:val="22"/>
                <w:lang w:bidi="he-IL"/>
              </w:rPr>
            </w:pPr>
            <w:r w:rsidRPr="00D35D6B">
              <w:rPr>
                <w:sz w:val="22"/>
                <w:szCs w:val="22"/>
                <w:lang w:bidi="he-IL"/>
              </w:rPr>
              <w:t xml:space="preserve">14-30 dage (indtil øsofageal candidiasis er i bedring). </w:t>
            </w:r>
          </w:p>
          <w:p w14:paraId="1842B06E" w14:textId="77777777" w:rsidR="008C5DDB" w:rsidRPr="00D35D6B" w:rsidRDefault="008C5DDB">
            <w:pPr>
              <w:pStyle w:val="Default"/>
              <w:rPr>
                <w:sz w:val="22"/>
                <w:szCs w:val="22"/>
                <w:lang w:bidi="he-IL"/>
              </w:rPr>
            </w:pPr>
            <w:r w:rsidRPr="00D35D6B">
              <w:rPr>
                <w:sz w:val="22"/>
                <w:szCs w:val="22"/>
                <w:lang w:bidi="he-IL"/>
              </w:rPr>
              <w:t xml:space="preserve">Længere perioder kan anvendes til patienter med alvorligt nedsat immunforsvar. </w:t>
            </w:r>
          </w:p>
        </w:tc>
      </w:tr>
      <w:tr w:rsidR="008C5DDB" w:rsidRPr="00D35D6B" w14:paraId="784B9F8B" w14:textId="77777777" w:rsidTr="001B4015">
        <w:trPr>
          <w:trHeight w:val="1806"/>
        </w:trPr>
        <w:tc>
          <w:tcPr>
            <w:tcW w:w="1289" w:type="pct"/>
            <w:tcBorders>
              <w:top w:val="single" w:sz="8" w:space="0" w:color="000000"/>
              <w:left w:val="single" w:sz="8" w:space="0" w:color="000000"/>
              <w:bottom w:val="single" w:sz="8" w:space="0" w:color="000000"/>
              <w:right w:val="single" w:sz="8" w:space="0" w:color="000000"/>
            </w:tcBorders>
          </w:tcPr>
          <w:p w14:paraId="64FA7AF5" w14:textId="77777777" w:rsidR="008C5DDB" w:rsidRPr="00D35D6B" w:rsidRDefault="008C5DDB">
            <w:pPr>
              <w:pStyle w:val="Default"/>
              <w:rPr>
                <w:sz w:val="22"/>
                <w:szCs w:val="22"/>
                <w:lang w:bidi="he-IL"/>
              </w:rPr>
            </w:pPr>
          </w:p>
        </w:tc>
        <w:tc>
          <w:tcPr>
            <w:tcW w:w="1162" w:type="pct"/>
            <w:tcBorders>
              <w:top w:val="single" w:sz="8" w:space="0" w:color="000000"/>
              <w:left w:val="single" w:sz="8" w:space="0" w:color="000000"/>
              <w:bottom w:val="single" w:sz="8" w:space="0" w:color="000000"/>
              <w:right w:val="single" w:sz="8" w:space="0" w:color="000000"/>
            </w:tcBorders>
            <w:hideMark/>
          </w:tcPr>
          <w:p w14:paraId="784BF2BA"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Candiduri</w:t>
            </w:r>
          </w:p>
        </w:tc>
        <w:tc>
          <w:tcPr>
            <w:tcW w:w="1176" w:type="pct"/>
            <w:tcBorders>
              <w:top w:val="single" w:sz="8" w:space="0" w:color="000000"/>
              <w:left w:val="single" w:sz="8" w:space="0" w:color="000000"/>
              <w:bottom w:val="single" w:sz="8" w:space="0" w:color="000000"/>
              <w:right w:val="single" w:sz="8" w:space="0" w:color="000000"/>
            </w:tcBorders>
          </w:tcPr>
          <w:p w14:paraId="14ABAEBA"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200 mg til 400 mg én gang dagligt </w:t>
            </w:r>
          </w:p>
          <w:p w14:paraId="195AD171" w14:textId="77777777" w:rsidR="008C5DDB" w:rsidRPr="00D35D6B" w:rsidRDefault="008C5DDB">
            <w:pPr>
              <w:tabs>
                <w:tab w:val="left" w:pos="1304"/>
              </w:tabs>
              <w:autoSpaceDE w:val="0"/>
              <w:autoSpaceDN w:val="0"/>
              <w:adjustRightInd w:val="0"/>
              <w:rPr>
                <w:rFonts w:eastAsia="SimSun"/>
                <w:color w:val="000000"/>
                <w:sz w:val="22"/>
                <w:szCs w:val="22"/>
                <w:lang w:val="nl-NL" w:eastAsia="zh-CN" w:bidi="he-IL"/>
              </w:rPr>
            </w:pPr>
          </w:p>
        </w:tc>
        <w:tc>
          <w:tcPr>
            <w:tcW w:w="1373" w:type="pct"/>
            <w:tcBorders>
              <w:top w:val="single" w:sz="8" w:space="0" w:color="000000"/>
              <w:left w:val="single" w:sz="8" w:space="0" w:color="000000"/>
              <w:bottom w:val="single" w:sz="8" w:space="0" w:color="000000"/>
              <w:right w:val="single" w:sz="8" w:space="0" w:color="000000"/>
            </w:tcBorders>
            <w:hideMark/>
          </w:tcPr>
          <w:p w14:paraId="4C21948C" w14:textId="77777777" w:rsidR="008C5DDB" w:rsidRPr="00D35D6B" w:rsidRDefault="008C5DDB">
            <w:pPr>
              <w:tabs>
                <w:tab w:val="left" w:pos="1304"/>
              </w:tabs>
              <w:autoSpaceDE w:val="0"/>
              <w:autoSpaceDN w:val="0"/>
              <w:adjustRightInd w:val="0"/>
              <w:rPr>
                <w:color w:val="000000"/>
                <w:sz w:val="22"/>
                <w:szCs w:val="22"/>
                <w:lang w:bidi="he-IL"/>
              </w:rPr>
            </w:pPr>
            <w:r w:rsidRPr="00D35D6B">
              <w:rPr>
                <w:color w:val="000000"/>
                <w:sz w:val="22"/>
                <w:szCs w:val="22"/>
                <w:lang w:bidi="he-IL"/>
              </w:rPr>
              <w:t xml:space="preserve">7–21 dage. </w:t>
            </w:r>
          </w:p>
          <w:p w14:paraId="3F4C970D"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Længere perioder kan anvendes til patienter med alvorligt nedsat immunforsvar. </w:t>
            </w:r>
          </w:p>
        </w:tc>
      </w:tr>
      <w:tr w:rsidR="008C5DDB" w:rsidRPr="00D35D6B" w14:paraId="7EE22E87" w14:textId="77777777" w:rsidTr="001B4015">
        <w:trPr>
          <w:trHeight w:val="1806"/>
        </w:trPr>
        <w:tc>
          <w:tcPr>
            <w:tcW w:w="1289" w:type="pct"/>
            <w:tcBorders>
              <w:top w:val="single" w:sz="8" w:space="0" w:color="000000"/>
              <w:left w:val="single" w:sz="8" w:space="0" w:color="000000"/>
              <w:bottom w:val="single" w:sz="8" w:space="0" w:color="000000"/>
              <w:right w:val="single" w:sz="8" w:space="0" w:color="000000"/>
            </w:tcBorders>
          </w:tcPr>
          <w:p w14:paraId="08347ED3" w14:textId="77777777" w:rsidR="008C5DDB" w:rsidRPr="00D35D6B" w:rsidRDefault="008C5DDB">
            <w:pPr>
              <w:pStyle w:val="Default"/>
              <w:rPr>
                <w:sz w:val="22"/>
                <w:szCs w:val="22"/>
                <w:lang w:bidi="he-IL"/>
              </w:rPr>
            </w:pPr>
          </w:p>
        </w:tc>
        <w:tc>
          <w:tcPr>
            <w:tcW w:w="1162" w:type="pct"/>
            <w:tcBorders>
              <w:top w:val="single" w:sz="8" w:space="0" w:color="000000"/>
              <w:left w:val="single" w:sz="8" w:space="0" w:color="000000"/>
              <w:bottom w:val="single" w:sz="8" w:space="0" w:color="000000"/>
              <w:right w:val="single" w:sz="8" w:space="0" w:color="000000"/>
            </w:tcBorders>
            <w:hideMark/>
          </w:tcPr>
          <w:p w14:paraId="60F22AB5"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 Kronisk atrofisk candidiasis </w:t>
            </w:r>
          </w:p>
        </w:tc>
        <w:tc>
          <w:tcPr>
            <w:tcW w:w="1176" w:type="pct"/>
            <w:tcBorders>
              <w:top w:val="single" w:sz="8" w:space="0" w:color="000000"/>
              <w:left w:val="single" w:sz="8" w:space="0" w:color="000000"/>
              <w:bottom w:val="single" w:sz="8" w:space="0" w:color="000000"/>
              <w:right w:val="single" w:sz="8" w:space="0" w:color="000000"/>
            </w:tcBorders>
            <w:hideMark/>
          </w:tcPr>
          <w:p w14:paraId="455D5B96"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50 mg én gang dagligt </w:t>
            </w:r>
          </w:p>
        </w:tc>
        <w:tc>
          <w:tcPr>
            <w:tcW w:w="1373" w:type="pct"/>
            <w:tcBorders>
              <w:top w:val="single" w:sz="8" w:space="0" w:color="000000"/>
              <w:left w:val="single" w:sz="8" w:space="0" w:color="000000"/>
              <w:bottom w:val="single" w:sz="8" w:space="0" w:color="000000"/>
              <w:right w:val="single" w:sz="8" w:space="0" w:color="000000"/>
            </w:tcBorders>
            <w:hideMark/>
          </w:tcPr>
          <w:p w14:paraId="298F70AC"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14 dage </w:t>
            </w:r>
          </w:p>
        </w:tc>
      </w:tr>
      <w:tr w:rsidR="008C5DDB" w:rsidRPr="00D35D6B" w14:paraId="199316CF" w14:textId="77777777" w:rsidTr="001B4015">
        <w:trPr>
          <w:trHeight w:val="1806"/>
        </w:trPr>
        <w:tc>
          <w:tcPr>
            <w:tcW w:w="1289" w:type="pct"/>
            <w:tcBorders>
              <w:top w:val="single" w:sz="8" w:space="0" w:color="000000"/>
              <w:left w:val="single" w:sz="8" w:space="0" w:color="000000"/>
              <w:bottom w:val="single" w:sz="8" w:space="0" w:color="000000"/>
              <w:right w:val="single" w:sz="8" w:space="0" w:color="000000"/>
            </w:tcBorders>
          </w:tcPr>
          <w:p w14:paraId="461FEC26" w14:textId="77777777" w:rsidR="008C5DDB" w:rsidRPr="00D35D6B" w:rsidRDefault="008C5DDB">
            <w:pPr>
              <w:pStyle w:val="Default"/>
              <w:rPr>
                <w:sz w:val="22"/>
                <w:szCs w:val="22"/>
                <w:lang w:bidi="he-IL"/>
              </w:rPr>
            </w:pPr>
          </w:p>
        </w:tc>
        <w:tc>
          <w:tcPr>
            <w:tcW w:w="1162" w:type="pct"/>
            <w:tcBorders>
              <w:top w:val="single" w:sz="8" w:space="0" w:color="000000"/>
              <w:left w:val="single" w:sz="8" w:space="0" w:color="000000"/>
              <w:bottom w:val="single" w:sz="8" w:space="0" w:color="000000"/>
              <w:right w:val="single" w:sz="8" w:space="0" w:color="000000"/>
            </w:tcBorders>
            <w:hideMark/>
          </w:tcPr>
          <w:p w14:paraId="51B3586D"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 Kronisk mukokutan candidiasis </w:t>
            </w:r>
          </w:p>
        </w:tc>
        <w:tc>
          <w:tcPr>
            <w:tcW w:w="1176" w:type="pct"/>
            <w:tcBorders>
              <w:top w:val="single" w:sz="8" w:space="0" w:color="000000"/>
              <w:left w:val="single" w:sz="8" w:space="0" w:color="000000"/>
              <w:bottom w:val="single" w:sz="8" w:space="0" w:color="000000"/>
              <w:right w:val="single" w:sz="8" w:space="0" w:color="000000"/>
            </w:tcBorders>
          </w:tcPr>
          <w:p w14:paraId="685439A4"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50 mg til 100 mg én gang dagligt </w:t>
            </w:r>
          </w:p>
          <w:p w14:paraId="023445F0" w14:textId="77777777" w:rsidR="008C5DDB" w:rsidRPr="00D35D6B" w:rsidRDefault="008C5DDB">
            <w:pPr>
              <w:tabs>
                <w:tab w:val="left" w:pos="1304"/>
              </w:tabs>
              <w:autoSpaceDE w:val="0"/>
              <w:autoSpaceDN w:val="0"/>
              <w:adjustRightInd w:val="0"/>
              <w:rPr>
                <w:rFonts w:eastAsia="SimSun"/>
                <w:color w:val="000000"/>
                <w:sz w:val="22"/>
                <w:szCs w:val="22"/>
                <w:lang w:val="nl-NL" w:eastAsia="zh-CN" w:bidi="he-IL"/>
              </w:rPr>
            </w:pPr>
          </w:p>
        </w:tc>
        <w:tc>
          <w:tcPr>
            <w:tcW w:w="1373" w:type="pct"/>
            <w:tcBorders>
              <w:top w:val="single" w:sz="8" w:space="0" w:color="000000"/>
              <w:left w:val="single" w:sz="8" w:space="0" w:color="000000"/>
              <w:bottom w:val="single" w:sz="8" w:space="0" w:color="000000"/>
              <w:right w:val="single" w:sz="8" w:space="0" w:color="000000"/>
            </w:tcBorders>
            <w:hideMark/>
          </w:tcPr>
          <w:p w14:paraId="2A6BB73E" w14:textId="77777777" w:rsidR="008C5DDB" w:rsidRPr="00D35D6B" w:rsidRDefault="008C5DDB">
            <w:pPr>
              <w:tabs>
                <w:tab w:val="left" w:pos="1304"/>
              </w:tabs>
              <w:autoSpaceDE w:val="0"/>
              <w:autoSpaceDN w:val="0"/>
              <w:adjustRightInd w:val="0"/>
              <w:rPr>
                <w:color w:val="000000"/>
                <w:sz w:val="22"/>
                <w:szCs w:val="22"/>
                <w:lang w:bidi="he-IL"/>
              </w:rPr>
            </w:pPr>
            <w:r w:rsidRPr="00D35D6B">
              <w:rPr>
                <w:color w:val="000000"/>
                <w:sz w:val="22"/>
                <w:szCs w:val="22"/>
                <w:lang w:bidi="he-IL"/>
              </w:rPr>
              <w:t xml:space="preserve">Op til 28 dage. </w:t>
            </w:r>
          </w:p>
          <w:p w14:paraId="0161A211"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Længere afhængigt af både infektionens sværhedsgrad og underliggende immunsuppression og infektion. </w:t>
            </w:r>
          </w:p>
        </w:tc>
      </w:tr>
      <w:tr w:rsidR="008C5DDB" w:rsidRPr="00D35D6B" w14:paraId="1A1AB63D" w14:textId="77777777" w:rsidTr="001B4015">
        <w:trPr>
          <w:trHeight w:val="900"/>
        </w:trPr>
        <w:tc>
          <w:tcPr>
            <w:tcW w:w="1289" w:type="pct"/>
            <w:vMerge w:val="restart"/>
            <w:tcBorders>
              <w:top w:val="single" w:sz="8" w:space="0" w:color="000000"/>
              <w:left w:val="single" w:sz="8" w:space="0" w:color="000000"/>
              <w:bottom w:val="single" w:sz="8" w:space="0" w:color="000000"/>
              <w:right w:val="single" w:sz="8" w:space="0" w:color="000000"/>
            </w:tcBorders>
            <w:hideMark/>
          </w:tcPr>
          <w:p w14:paraId="3ADEB242"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b/>
                <w:color w:val="000000"/>
                <w:sz w:val="22"/>
                <w:szCs w:val="22"/>
                <w:lang w:bidi="he-IL"/>
              </w:rPr>
              <w:lastRenderedPageBreak/>
              <w:t xml:space="preserve">Forebyggelse af tilbagefald af mukøs candidiasis hos patienter med HIV, der har høj risiko for tilbagefald </w:t>
            </w:r>
          </w:p>
        </w:tc>
        <w:tc>
          <w:tcPr>
            <w:tcW w:w="1162" w:type="pct"/>
            <w:tcBorders>
              <w:top w:val="single" w:sz="8" w:space="0" w:color="000000"/>
              <w:left w:val="single" w:sz="8" w:space="0" w:color="000000"/>
              <w:bottom w:val="single" w:sz="8" w:space="0" w:color="000000"/>
              <w:right w:val="single" w:sz="8" w:space="0" w:color="000000"/>
            </w:tcBorders>
            <w:hideMark/>
          </w:tcPr>
          <w:p w14:paraId="0C694FA8"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 Orofaryngeal candidiasis </w:t>
            </w:r>
          </w:p>
        </w:tc>
        <w:tc>
          <w:tcPr>
            <w:tcW w:w="1176" w:type="pct"/>
            <w:tcBorders>
              <w:top w:val="single" w:sz="8" w:space="0" w:color="000000"/>
              <w:left w:val="single" w:sz="8" w:space="0" w:color="000000"/>
              <w:bottom w:val="single" w:sz="8" w:space="0" w:color="000000"/>
              <w:right w:val="single" w:sz="8" w:space="0" w:color="000000"/>
            </w:tcBorders>
            <w:hideMark/>
          </w:tcPr>
          <w:p w14:paraId="3F218858"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100 mg til 200 mg én gang dagligt eller 200 mg 3 gange om ugen. </w:t>
            </w:r>
          </w:p>
        </w:tc>
        <w:tc>
          <w:tcPr>
            <w:tcW w:w="1373" w:type="pct"/>
            <w:tcBorders>
              <w:top w:val="single" w:sz="8" w:space="0" w:color="000000"/>
              <w:left w:val="single" w:sz="8" w:space="0" w:color="000000"/>
              <w:bottom w:val="single" w:sz="8" w:space="0" w:color="000000"/>
              <w:right w:val="single" w:sz="8" w:space="0" w:color="000000"/>
            </w:tcBorders>
            <w:hideMark/>
          </w:tcPr>
          <w:p w14:paraId="0478672C"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Ubegrænset periode hos patienter med kronisk immunsuppression. </w:t>
            </w:r>
          </w:p>
        </w:tc>
      </w:tr>
      <w:tr w:rsidR="008C5DDB" w:rsidRPr="00D35D6B" w14:paraId="4716BF87" w14:textId="77777777" w:rsidTr="001B4015">
        <w:trPr>
          <w:trHeight w:val="900"/>
        </w:trPr>
        <w:tc>
          <w:tcPr>
            <w:tcW w:w="1289" w:type="pct"/>
            <w:vMerge/>
            <w:tcBorders>
              <w:top w:val="single" w:sz="8" w:space="0" w:color="000000"/>
              <w:left w:val="single" w:sz="8" w:space="0" w:color="000000"/>
              <w:bottom w:val="single" w:sz="8" w:space="0" w:color="000000"/>
              <w:right w:val="single" w:sz="8" w:space="0" w:color="000000"/>
            </w:tcBorders>
            <w:vAlign w:val="center"/>
            <w:hideMark/>
          </w:tcPr>
          <w:p w14:paraId="0DCDFEEE" w14:textId="77777777" w:rsidR="008C5DDB" w:rsidRPr="00D35D6B" w:rsidRDefault="008C5DDB">
            <w:pPr>
              <w:rPr>
                <w:rFonts w:eastAsia="SimSun"/>
                <w:color w:val="000000"/>
                <w:sz w:val="22"/>
                <w:szCs w:val="22"/>
                <w:lang w:bidi="he-IL"/>
              </w:rPr>
            </w:pPr>
          </w:p>
        </w:tc>
        <w:tc>
          <w:tcPr>
            <w:tcW w:w="1162" w:type="pct"/>
            <w:tcBorders>
              <w:top w:val="single" w:sz="8" w:space="0" w:color="000000"/>
              <w:left w:val="single" w:sz="8" w:space="0" w:color="000000"/>
              <w:bottom w:val="single" w:sz="8" w:space="0" w:color="000000"/>
              <w:right w:val="single" w:sz="8" w:space="0" w:color="000000"/>
            </w:tcBorders>
            <w:hideMark/>
          </w:tcPr>
          <w:p w14:paraId="32B9AFDA"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 Øsofageal candidiasis </w:t>
            </w:r>
          </w:p>
        </w:tc>
        <w:tc>
          <w:tcPr>
            <w:tcW w:w="1176" w:type="pct"/>
            <w:tcBorders>
              <w:top w:val="single" w:sz="8" w:space="0" w:color="000000"/>
              <w:left w:val="single" w:sz="8" w:space="0" w:color="000000"/>
              <w:bottom w:val="single" w:sz="8" w:space="0" w:color="000000"/>
              <w:right w:val="single" w:sz="8" w:space="0" w:color="000000"/>
            </w:tcBorders>
            <w:hideMark/>
          </w:tcPr>
          <w:p w14:paraId="189C0B4D"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100 mg til 200 mg én gang dagligt eller 200 mg 3 gange om ugen. </w:t>
            </w:r>
          </w:p>
        </w:tc>
        <w:tc>
          <w:tcPr>
            <w:tcW w:w="1373" w:type="pct"/>
            <w:tcBorders>
              <w:top w:val="single" w:sz="8" w:space="0" w:color="000000"/>
              <w:left w:val="single" w:sz="8" w:space="0" w:color="000000"/>
              <w:bottom w:val="single" w:sz="8" w:space="0" w:color="000000"/>
              <w:right w:val="single" w:sz="8" w:space="0" w:color="000000"/>
            </w:tcBorders>
            <w:hideMark/>
          </w:tcPr>
          <w:p w14:paraId="356A38EE"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Ubegrænset periode hos patienter med kronisk immunsuppression. </w:t>
            </w:r>
          </w:p>
        </w:tc>
      </w:tr>
      <w:tr w:rsidR="008C5DDB" w:rsidRPr="00D35D6B" w14:paraId="27401838" w14:textId="77777777" w:rsidTr="001B4015">
        <w:trPr>
          <w:trHeight w:val="1806"/>
        </w:trPr>
        <w:tc>
          <w:tcPr>
            <w:tcW w:w="1289" w:type="pct"/>
            <w:tcBorders>
              <w:top w:val="single" w:sz="8" w:space="0" w:color="000000"/>
              <w:left w:val="single" w:sz="8" w:space="0" w:color="000000"/>
              <w:bottom w:val="single" w:sz="8" w:space="0" w:color="000000"/>
              <w:right w:val="single" w:sz="8" w:space="0" w:color="000000"/>
            </w:tcBorders>
            <w:hideMark/>
          </w:tcPr>
          <w:p w14:paraId="4EBE794E"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b/>
                <w:color w:val="000000"/>
                <w:sz w:val="22"/>
                <w:szCs w:val="22"/>
                <w:lang w:bidi="he-IL"/>
              </w:rPr>
              <w:t xml:space="preserve">Forebyggelse af svampeinfektioner hos patienter med langvarig neutropeni </w:t>
            </w:r>
          </w:p>
        </w:tc>
        <w:tc>
          <w:tcPr>
            <w:tcW w:w="1162" w:type="pct"/>
            <w:tcBorders>
              <w:top w:val="single" w:sz="8" w:space="0" w:color="000000"/>
              <w:left w:val="single" w:sz="8" w:space="0" w:color="000000"/>
              <w:bottom w:val="single" w:sz="8" w:space="0" w:color="000000"/>
              <w:right w:val="single" w:sz="8" w:space="0" w:color="000000"/>
            </w:tcBorders>
          </w:tcPr>
          <w:p w14:paraId="7C408850" w14:textId="77777777" w:rsidR="008C5DDB" w:rsidRPr="00D35D6B" w:rsidRDefault="008C5DDB">
            <w:pPr>
              <w:tabs>
                <w:tab w:val="left" w:pos="1304"/>
              </w:tabs>
              <w:autoSpaceDE w:val="0"/>
              <w:autoSpaceDN w:val="0"/>
              <w:adjustRightInd w:val="0"/>
              <w:rPr>
                <w:rFonts w:eastAsia="SimSun"/>
                <w:color w:val="000000"/>
                <w:sz w:val="22"/>
                <w:szCs w:val="22"/>
                <w:lang w:eastAsia="zh-CN" w:bidi="he-IL"/>
              </w:rPr>
            </w:pPr>
          </w:p>
        </w:tc>
        <w:tc>
          <w:tcPr>
            <w:tcW w:w="1176" w:type="pct"/>
            <w:tcBorders>
              <w:top w:val="single" w:sz="8" w:space="0" w:color="000000"/>
              <w:left w:val="single" w:sz="8" w:space="0" w:color="000000"/>
              <w:bottom w:val="single" w:sz="8" w:space="0" w:color="000000"/>
              <w:right w:val="single" w:sz="8" w:space="0" w:color="000000"/>
            </w:tcBorders>
            <w:hideMark/>
          </w:tcPr>
          <w:p w14:paraId="52BA633E"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200 mg til 400 mg én gang dagligt</w:t>
            </w:r>
          </w:p>
        </w:tc>
        <w:tc>
          <w:tcPr>
            <w:tcW w:w="1373" w:type="pct"/>
            <w:tcBorders>
              <w:top w:val="single" w:sz="8" w:space="0" w:color="000000"/>
              <w:left w:val="single" w:sz="8" w:space="0" w:color="000000"/>
              <w:bottom w:val="single" w:sz="8" w:space="0" w:color="000000"/>
              <w:right w:val="single" w:sz="8" w:space="0" w:color="000000"/>
            </w:tcBorders>
            <w:hideMark/>
          </w:tcPr>
          <w:p w14:paraId="537E16DE"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Behandlingen bør indledes flere dage før, neutropeni forventes at opstå, og skal fortsættes i 7 dage efter patientens bedring efter neutropenien, efter neutrofiltallet er nået op over 1.000 celler pr. mm</w:t>
            </w:r>
            <w:r w:rsidRPr="00D35D6B">
              <w:rPr>
                <w:color w:val="000000"/>
                <w:sz w:val="22"/>
                <w:szCs w:val="22"/>
                <w:vertAlign w:val="superscript"/>
                <w:lang w:bidi="he-IL"/>
              </w:rPr>
              <w:t>3</w:t>
            </w:r>
            <w:r w:rsidRPr="00D35D6B">
              <w:rPr>
                <w:color w:val="000000"/>
                <w:sz w:val="22"/>
                <w:szCs w:val="22"/>
                <w:lang w:bidi="he-IL"/>
              </w:rPr>
              <w:t xml:space="preserve">. </w:t>
            </w:r>
          </w:p>
        </w:tc>
      </w:tr>
    </w:tbl>
    <w:p w14:paraId="20C8A041" w14:textId="77777777" w:rsidR="008C5DDB" w:rsidRPr="00475DC9" w:rsidRDefault="008C5DDB" w:rsidP="001B4015">
      <w:pPr>
        <w:ind w:left="851"/>
        <w:rPr>
          <w:rFonts w:eastAsia="SimSun"/>
          <w:sz w:val="24"/>
          <w:szCs w:val="24"/>
          <w:lang w:eastAsia="zh-CN"/>
        </w:rPr>
      </w:pPr>
    </w:p>
    <w:p w14:paraId="4BB8967C" w14:textId="77777777" w:rsidR="008C5DDB" w:rsidRPr="00475DC9" w:rsidRDefault="008C5DDB" w:rsidP="001B4015">
      <w:pPr>
        <w:ind w:left="851"/>
        <w:rPr>
          <w:rFonts w:eastAsia="SimSun"/>
          <w:sz w:val="24"/>
          <w:szCs w:val="24"/>
          <w:u w:val="single"/>
        </w:rPr>
      </w:pPr>
      <w:r w:rsidRPr="00475DC9">
        <w:rPr>
          <w:sz w:val="24"/>
          <w:szCs w:val="24"/>
          <w:u w:val="single"/>
        </w:rPr>
        <w:t xml:space="preserve">Særlige patientgrupper </w:t>
      </w:r>
    </w:p>
    <w:p w14:paraId="0371E7B8" w14:textId="77777777" w:rsidR="008C5DDB" w:rsidRPr="00475DC9" w:rsidRDefault="008C5DDB" w:rsidP="001B4015">
      <w:pPr>
        <w:ind w:left="851"/>
        <w:rPr>
          <w:rFonts w:eastAsia="SimSun"/>
          <w:i/>
          <w:iCs/>
          <w:sz w:val="24"/>
          <w:szCs w:val="24"/>
          <w:lang w:eastAsia="zh-CN"/>
        </w:rPr>
      </w:pPr>
    </w:p>
    <w:p w14:paraId="43D33B0F" w14:textId="77777777" w:rsidR="008C5DDB" w:rsidRPr="00475DC9" w:rsidRDefault="008C5DDB" w:rsidP="001B4015">
      <w:pPr>
        <w:ind w:left="851"/>
        <w:rPr>
          <w:rFonts w:eastAsia="SimSun"/>
          <w:sz w:val="24"/>
          <w:szCs w:val="24"/>
        </w:rPr>
      </w:pPr>
      <w:r w:rsidRPr="00475DC9">
        <w:rPr>
          <w:i/>
          <w:sz w:val="24"/>
          <w:szCs w:val="24"/>
        </w:rPr>
        <w:t xml:space="preserve">Ældre </w:t>
      </w:r>
    </w:p>
    <w:p w14:paraId="198D97A7" w14:textId="77777777" w:rsidR="008C5DDB" w:rsidRPr="00475DC9" w:rsidRDefault="008C5DDB" w:rsidP="001B4015">
      <w:pPr>
        <w:ind w:left="851"/>
        <w:rPr>
          <w:rFonts w:eastAsia="SimSun"/>
          <w:sz w:val="24"/>
          <w:szCs w:val="24"/>
        </w:rPr>
      </w:pPr>
      <w:r w:rsidRPr="00475DC9">
        <w:rPr>
          <w:sz w:val="24"/>
          <w:szCs w:val="24"/>
        </w:rPr>
        <w:t>Dosis bør justeres i henhold til nyrefunktionen (se ”</w:t>
      </w:r>
      <w:r w:rsidRPr="00475DC9">
        <w:rPr>
          <w:i/>
          <w:sz w:val="24"/>
          <w:szCs w:val="24"/>
        </w:rPr>
        <w:t>Nedsat nyrefunktion</w:t>
      </w:r>
      <w:r w:rsidRPr="00475DC9">
        <w:rPr>
          <w:sz w:val="24"/>
          <w:szCs w:val="24"/>
        </w:rPr>
        <w:t>”).</w:t>
      </w:r>
      <w:r w:rsidRPr="00475DC9">
        <w:rPr>
          <w:i/>
          <w:sz w:val="24"/>
          <w:szCs w:val="24"/>
        </w:rPr>
        <w:t xml:space="preserve"> </w:t>
      </w:r>
    </w:p>
    <w:p w14:paraId="67FF960A" w14:textId="77777777" w:rsidR="008C5DDB" w:rsidRPr="00475DC9" w:rsidRDefault="008C5DDB" w:rsidP="001B4015">
      <w:pPr>
        <w:ind w:left="851"/>
        <w:rPr>
          <w:rFonts w:eastAsia="SimSun"/>
          <w:i/>
          <w:iCs/>
          <w:sz w:val="24"/>
          <w:szCs w:val="24"/>
          <w:lang w:eastAsia="zh-CN"/>
        </w:rPr>
      </w:pPr>
    </w:p>
    <w:p w14:paraId="532BFC8F" w14:textId="77777777" w:rsidR="008C5DDB" w:rsidRPr="00475DC9" w:rsidRDefault="008C5DDB" w:rsidP="001B4015">
      <w:pPr>
        <w:ind w:left="851"/>
        <w:rPr>
          <w:rFonts w:eastAsia="SimSun"/>
          <w:sz w:val="24"/>
          <w:szCs w:val="24"/>
        </w:rPr>
      </w:pPr>
      <w:r w:rsidRPr="00475DC9">
        <w:rPr>
          <w:i/>
          <w:sz w:val="24"/>
          <w:szCs w:val="24"/>
        </w:rPr>
        <w:t xml:space="preserve">Nedsat nyrefunktion </w:t>
      </w:r>
    </w:p>
    <w:p w14:paraId="5984EE9D" w14:textId="54B70067" w:rsidR="008C5DDB" w:rsidRPr="00475DC9" w:rsidRDefault="00395A81" w:rsidP="001B4015">
      <w:pPr>
        <w:ind w:left="851"/>
        <w:rPr>
          <w:rFonts w:eastAsia="SimSun"/>
          <w:sz w:val="24"/>
          <w:szCs w:val="24"/>
        </w:rPr>
      </w:pPr>
      <w:r>
        <w:rPr>
          <w:sz w:val="24"/>
          <w:szCs w:val="24"/>
        </w:rPr>
        <w:t>Fluconazole "Noridem"</w:t>
      </w:r>
      <w:r w:rsidR="008C5DDB" w:rsidRPr="00475DC9">
        <w:rPr>
          <w:sz w:val="24"/>
          <w:szCs w:val="24"/>
        </w:rPr>
        <w:t xml:space="preserve"> udskilles fortrinsvist i urinen som uændret aktivt stof. Der kræves ingen ændring af enkeltdosisbehandling. Hos patienter (inklusive børn) med nedsat nyrefunktion, der skal i flerdosisbehandling med fluconazol, gives initialt 50-400 mg under hensyntagen til anbefalet daglig dosis for den pågældende indikation. Efter den initiale støddosis bør daglig dosis (under hensyntagen til indikation) baseres på følgende tabel: </w:t>
      </w:r>
    </w:p>
    <w:p w14:paraId="5BC2CFC1" w14:textId="77777777" w:rsidR="008C5DDB" w:rsidRPr="00475DC9" w:rsidRDefault="008C5DDB" w:rsidP="001B4015">
      <w:pPr>
        <w:ind w:left="851"/>
        <w:rPr>
          <w:rFonts w:eastAsia="SimSun"/>
          <w:sz w:val="24"/>
          <w:szCs w:val="24"/>
          <w:lang w:val="nl-NL"/>
        </w:rPr>
      </w:pPr>
    </w:p>
    <w:tbl>
      <w:tblPr>
        <w:tblW w:w="0" w:type="auto"/>
        <w:tblInd w:w="1527"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42"/>
        <w:gridCol w:w="3149"/>
      </w:tblGrid>
      <w:tr w:rsidR="008C5DDB" w:rsidRPr="00475DC9" w14:paraId="3A28AAB7" w14:textId="77777777" w:rsidTr="008C5DDB">
        <w:trPr>
          <w:trHeight w:val="293"/>
        </w:trPr>
        <w:tc>
          <w:tcPr>
            <w:tcW w:w="0" w:type="auto"/>
            <w:tcBorders>
              <w:top w:val="single" w:sz="8" w:space="0" w:color="000000"/>
              <w:left w:val="single" w:sz="8" w:space="0" w:color="000000"/>
              <w:bottom w:val="single" w:sz="8" w:space="0" w:color="000000"/>
              <w:right w:val="single" w:sz="8" w:space="0" w:color="000000"/>
            </w:tcBorders>
            <w:hideMark/>
          </w:tcPr>
          <w:p w14:paraId="5BA90D55" w14:textId="77777777" w:rsidR="008C5DDB" w:rsidRPr="00475DC9" w:rsidRDefault="008C5DDB">
            <w:pPr>
              <w:tabs>
                <w:tab w:val="left" w:pos="1304"/>
              </w:tabs>
              <w:autoSpaceDE w:val="0"/>
              <w:autoSpaceDN w:val="0"/>
              <w:adjustRightInd w:val="0"/>
              <w:rPr>
                <w:rFonts w:eastAsia="SimSun"/>
                <w:color w:val="000000"/>
                <w:sz w:val="24"/>
                <w:szCs w:val="24"/>
                <w:lang w:bidi="he-IL"/>
              </w:rPr>
            </w:pPr>
            <w:r w:rsidRPr="00475DC9">
              <w:rPr>
                <w:b/>
                <w:color w:val="000000"/>
                <w:sz w:val="24"/>
                <w:szCs w:val="24"/>
                <w:lang w:bidi="he-IL"/>
              </w:rPr>
              <w:t xml:space="preserve">Kreatininclearance (ml/min) </w:t>
            </w:r>
          </w:p>
        </w:tc>
        <w:tc>
          <w:tcPr>
            <w:tcW w:w="0" w:type="auto"/>
            <w:tcBorders>
              <w:top w:val="single" w:sz="8" w:space="0" w:color="000000"/>
              <w:left w:val="single" w:sz="8" w:space="0" w:color="000000"/>
              <w:bottom w:val="single" w:sz="8" w:space="0" w:color="000000"/>
              <w:right w:val="single" w:sz="8" w:space="0" w:color="000000"/>
            </w:tcBorders>
            <w:hideMark/>
          </w:tcPr>
          <w:p w14:paraId="7F715722" w14:textId="77777777" w:rsidR="008C5DDB" w:rsidRPr="00475DC9" w:rsidRDefault="008C5DDB">
            <w:pPr>
              <w:tabs>
                <w:tab w:val="left" w:pos="1304"/>
              </w:tabs>
              <w:autoSpaceDE w:val="0"/>
              <w:autoSpaceDN w:val="0"/>
              <w:adjustRightInd w:val="0"/>
              <w:rPr>
                <w:rFonts w:eastAsia="SimSun"/>
                <w:color w:val="000000"/>
                <w:sz w:val="24"/>
                <w:szCs w:val="24"/>
                <w:lang w:bidi="he-IL"/>
              </w:rPr>
            </w:pPr>
            <w:r w:rsidRPr="00475DC9">
              <w:rPr>
                <w:b/>
                <w:color w:val="000000"/>
                <w:sz w:val="24"/>
                <w:szCs w:val="24"/>
                <w:lang w:bidi="he-IL"/>
              </w:rPr>
              <w:t>Procent af anbefalet dosis</w:t>
            </w:r>
          </w:p>
        </w:tc>
      </w:tr>
      <w:tr w:rsidR="008C5DDB" w:rsidRPr="00475DC9" w14:paraId="54631F56" w14:textId="77777777" w:rsidTr="008C5DDB">
        <w:trPr>
          <w:trHeight w:val="289"/>
        </w:trPr>
        <w:tc>
          <w:tcPr>
            <w:tcW w:w="0" w:type="auto"/>
            <w:tcBorders>
              <w:top w:val="single" w:sz="8" w:space="0" w:color="000000"/>
              <w:left w:val="single" w:sz="8" w:space="0" w:color="000000"/>
              <w:bottom w:val="single" w:sz="8" w:space="0" w:color="000000"/>
              <w:right w:val="single" w:sz="8" w:space="0" w:color="000000"/>
            </w:tcBorders>
            <w:hideMark/>
          </w:tcPr>
          <w:p w14:paraId="4529EF98" w14:textId="77777777" w:rsidR="008C5DDB" w:rsidRPr="00475DC9" w:rsidRDefault="008C5DDB">
            <w:pPr>
              <w:tabs>
                <w:tab w:val="left" w:pos="1304"/>
              </w:tabs>
              <w:autoSpaceDE w:val="0"/>
              <w:autoSpaceDN w:val="0"/>
              <w:adjustRightInd w:val="0"/>
              <w:rPr>
                <w:rFonts w:eastAsia="SimSun"/>
                <w:color w:val="000000"/>
                <w:sz w:val="24"/>
                <w:szCs w:val="24"/>
                <w:lang w:bidi="he-IL"/>
              </w:rPr>
            </w:pPr>
            <w:r w:rsidRPr="00475DC9">
              <w:rPr>
                <w:color w:val="000000"/>
                <w:sz w:val="24"/>
                <w:szCs w:val="24"/>
                <w:lang w:bidi="he-IL"/>
              </w:rPr>
              <w:t xml:space="preserve">&gt;50 </w:t>
            </w:r>
          </w:p>
        </w:tc>
        <w:tc>
          <w:tcPr>
            <w:tcW w:w="0" w:type="auto"/>
            <w:tcBorders>
              <w:top w:val="single" w:sz="8" w:space="0" w:color="000000"/>
              <w:left w:val="single" w:sz="8" w:space="0" w:color="000000"/>
              <w:bottom w:val="single" w:sz="8" w:space="0" w:color="000000"/>
              <w:right w:val="single" w:sz="8" w:space="0" w:color="000000"/>
            </w:tcBorders>
            <w:hideMark/>
          </w:tcPr>
          <w:p w14:paraId="74D96E23" w14:textId="77777777" w:rsidR="008C5DDB" w:rsidRPr="00475DC9" w:rsidRDefault="008C5DDB">
            <w:pPr>
              <w:tabs>
                <w:tab w:val="left" w:pos="1304"/>
              </w:tabs>
              <w:autoSpaceDE w:val="0"/>
              <w:autoSpaceDN w:val="0"/>
              <w:adjustRightInd w:val="0"/>
              <w:rPr>
                <w:rFonts w:eastAsia="SimSun"/>
                <w:color w:val="000000"/>
                <w:sz w:val="24"/>
                <w:szCs w:val="24"/>
                <w:lang w:bidi="he-IL"/>
              </w:rPr>
            </w:pPr>
            <w:r w:rsidRPr="00475DC9">
              <w:rPr>
                <w:color w:val="000000"/>
                <w:sz w:val="24"/>
                <w:szCs w:val="24"/>
                <w:lang w:bidi="he-IL"/>
              </w:rPr>
              <w:t xml:space="preserve">100 % </w:t>
            </w:r>
          </w:p>
        </w:tc>
      </w:tr>
      <w:tr w:rsidR="008C5DDB" w:rsidRPr="00475DC9" w14:paraId="57920BD5" w14:textId="77777777" w:rsidTr="008C5DDB">
        <w:trPr>
          <w:trHeight w:val="289"/>
        </w:trPr>
        <w:tc>
          <w:tcPr>
            <w:tcW w:w="0" w:type="auto"/>
            <w:tcBorders>
              <w:top w:val="single" w:sz="8" w:space="0" w:color="000000"/>
              <w:left w:val="single" w:sz="8" w:space="0" w:color="000000"/>
              <w:bottom w:val="single" w:sz="8" w:space="0" w:color="000000"/>
              <w:right w:val="single" w:sz="8" w:space="0" w:color="000000"/>
            </w:tcBorders>
            <w:hideMark/>
          </w:tcPr>
          <w:p w14:paraId="79B6125C" w14:textId="77777777" w:rsidR="008C5DDB" w:rsidRPr="00475DC9" w:rsidRDefault="008C5DDB">
            <w:pPr>
              <w:tabs>
                <w:tab w:val="left" w:pos="1304"/>
              </w:tabs>
              <w:autoSpaceDE w:val="0"/>
              <w:autoSpaceDN w:val="0"/>
              <w:adjustRightInd w:val="0"/>
              <w:rPr>
                <w:rFonts w:eastAsia="SimSun"/>
                <w:color w:val="000000"/>
                <w:sz w:val="24"/>
                <w:szCs w:val="24"/>
                <w:lang w:bidi="he-IL"/>
              </w:rPr>
            </w:pPr>
            <w:r w:rsidRPr="00475DC9">
              <w:rPr>
                <w:color w:val="000000"/>
                <w:sz w:val="24"/>
                <w:szCs w:val="24"/>
                <w:lang w:bidi="he-IL"/>
              </w:rPr>
              <w:t xml:space="preserve">≤50 (ingen hæmodialyse) </w:t>
            </w:r>
          </w:p>
        </w:tc>
        <w:tc>
          <w:tcPr>
            <w:tcW w:w="0" w:type="auto"/>
            <w:tcBorders>
              <w:top w:val="single" w:sz="8" w:space="0" w:color="000000"/>
              <w:left w:val="single" w:sz="8" w:space="0" w:color="000000"/>
              <w:bottom w:val="single" w:sz="8" w:space="0" w:color="000000"/>
              <w:right w:val="single" w:sz="8" w:space="0" w:color="000000"/>
            </w:tcBorders>
            <w:hideMark/>
          </w:tcPr>
          <w:p w14:paraId="58EB57BE" w14:textId="77777777" w:rsidR="008C5DDB" w:rsidRPr="00475DC9" w:rsidRDefault="008C5DDB">
            <w:pPr>
              <w:tabs>
                <w:tab w:val="left" w:pos="1304"/>
              </w:tabs>
              <w:autoSpaceDE w:val="0"/>
              <w:autoSpaceDN w:val="0"/>
              <w:adjustRightInd w:val="0"/>
              <w:rPr>
                <w:rFonts w:eastAsia="SimSun"/>
                <w:color w:val="000000"/>
                <w:sz w:val="24"/>
                <w:szCs w:val="24"/>
                <w:lang w:bidi="he-IL"/>
              </w:rPr>
            </w:pPr>
            <w:r w:rsidRPr="00475DC9">
              <w:rPr>
                <w:color w:val="000000"/>
                <w:sz w:val="24"/>
                <w:szCs w:val="24"/>
                <w:lang w:bidi="he-IL"/>
              </w:rPr>
              <w:t xml:space="preserve">50 % </w:t>
            </w:r>
          </w:p>
        </w:tc>
      </w:tr>
      <w:tr w:rsidR="008C5DDB" w:rsidRPr="00475DC9" w14:paraId="1E3FDA07" w14:textId="77777777" w:rsidTr="008C5DDB">
        <w:trPr>
          <w:trHeight w:val="289"/>
        </w:trPr>
        <w:tc>
          <w:tcPr>
            <w:tcW w:w="0" w:type="auto"/>
            <w:tcBorders>
              <w:top w:val="single" w:sz="8" w:space="0" w:color="000000"/>
              <w:left w:val="single" w:sz="8" w:space="0" w:color="000000"/>
              <w:bottom w:val="single" w:sz="8" w:space="0" w:color="000000"/>
              <w:right w:val="single" w:sz="8" w:space="0" w:color="000000"/>
            </w:tcBorders>
            <w:hideMark/>
          </w:tcPr>
          <w:p w14:paraId="18DCD53B" w14:textId="77777777" w:rsidR="008C5DDB" w:rsidRPr="00475DC9" w:rsidRDefault="008C5DDB">
            <w:pPr>
              <w:tabs>
                <w:tab w:val="left" w:pos="1304"/>
              </w:tabs>
              <w:autoSpaceDE w:val="0"/>
              <w:autoSpaceDN w:val="0"/>
              <w:adjustRightInd w:val="0"/>
              <w:rPr>
                <w:rFonts w:eastAsia="SimSun"/>
                <w:color w:val="000000"/>
                <w:sz w:val="24"/>
                <w:szCs w:val="24"/>
                <w:lang w:bidi="he-IL"/>
              </w:rPr>
            </w:pPr>
            <w:r w:rsidRPr="00475DC9">
              <w:rPr>
                <w:color w:val="000000"/>
                <w:sz w:val="24"/>
                <w:szCs w:val="24"/>
                <w:lang w:bidi="he-IL"/>
              </w:rPr>
              <w:t>Hæmodialyse</w:t>
            </w:r>
          </w:p>
        </w:tc>
        <w:tc>
          <w:tcPr>
            <w:tcW w:w="0" w:type="auto"/>
            <w:tcBorders>
              <w:top w:val="single" w:sz="8" w:space="0" w:color="000000"/>
              <w:left w:val="single" w:sz="8" w:space="0" w:color="000000"/>
              <w:bottom w:val="single" w:sz="8" w:space="0" w:color="000000"/>
              <w:right w:val="single" w:sz="8" w:space="0" w:color="000000"/>
            </w:tcBorders>
            <w:hideMark/>
          </w:tcPr>
          <w:p w14:paraId="6AECECA8" w14:textId="77777777" w:rsidR="008C5DDB" w:rsidRPr="00475DC9" w:rsidRDefault="008C5DDB">
            <w:pPr>
              <w:tabs>
                <w:tab w:val="left" w:pos="1304"/>
              </w:tabs>
              <w:autoSpaceDE w:val="0"/>
              <w:autoSpaceDN w:val="0"/>
              <w:adjustRightInd w:val="0"/>
              <w:rPr>
                <w:rFonts w:eastAsia="SimSun"/>
                <w:color w:val="000000"/>
                <w:sz w:val="24"/>
                <w:szCs w:val="24"/>
                <w:lang w:bidi="he-IL"/>
              </w:rPr>
            </w:pPr>
            <w:r w:rsidRPr="00475DC9">
              <w:rPr>
                <w:color w:val="000000"/>
                <w:sz w:val="24"/>
                <w:szCs w:val="24"/>
                <w:lang w:bidi="he-IL"/>
              </w:rPr>
              <w:t xml:space="preserve">100 % efter hver hæmodialyse </w:t>
            </w:r>
          </w:p>
        </w:tc>
      </w:tr>
    </w:tbl>
    <w:p w14:paraId="129BEEBA" w14:textId="77777777" w:rsidR="008C5DDB" w:rsidRPr="00475DC9" w:rsidRDefault="008C5DDB" w:rsidP="001B4015">
      <w:pPr>
        <w:ind w:left="851"/>
        <w:rPr>
          <w:rFonts w:eastAsia="SimSun"/>
          <w:sz w:val="24"/>
          <w:szCs w:val="24"/>
          <w:lang w:val="el-GR" w:eastAsia="zh-CN"/>
        </w:rPr>
      </w:pPr>
    </w:p>
    <w:p w14:paraId="0322012F" w14:textId="77777777" w:rsidR="008C5DDB" w:rsidRPr="00475DC9" w:rsidRDefault="008C5DDB" w:rsidP="001B4015">
      <w:pPr>
        <w:ind w:left="851"/>
        <w:rPr>
          <w:rFonts w:eastAsia="SimSun"/>
          <w:sz w:val="24"/>
          <w:szCs w:val="24"/>
        </w:rPr>
      </w:pPr>
      <w:r w:rsidRPr="00475DC9">
        <w:rPr>
          <w:sz w:val="24"/>
          <w:szCs w:val="24"/>
        </w:rPr>
        <w:t>Patienter i hæmodialyse bør få 100 % af den anbefalede dosis efter hver hæmodialyse, og på ikke</w:t>
      </w:r>
      <w:r w:rsidRPr="00475DC9">
        <w:rPr>
          <w:sz w:val="24"/>
          <w:szCs w:val="24"/>
        </w:rPr>
        <w:noBreakHyphen/>
        <w:t xml:space="preserve">dialyse-dage bør patienten få en reduceret dosis i henhold til kreatininclearance. </w:t>
      </w:r>
    </w:p>
    <w:p w14:paraId="4A94109C" w14:textId="77777777" w:rsidR="008C5DDB" w:rsidRPr="00475DC9" w:rsidRDefault="008C5DDB" w:rsidP="001B4015">
      <w:pPr>
        <w:ind w:left="851"/>
        <w:rPr>
          <w:rFonts w:eastAsia="SimSun"/>
          <w:i/>
          <w:iCs/>
          <w:sz w:val="24"/>
          <w:szCs w:val="24"/>
          <w:lang w:eastAsia="zh-CN"/>
        </w:rPr>
      </w:pPr>
    </w:p>
    <w:p w14:paraId="2D4E14C8" w14:textId="77777777" w:rsidR="008C5DDB" w:rsidRPr="00475DC9" w:rsidRDefault="008C5DDB" w:rsidP="001B4015">
      <w:pPr>
        <w:ind w:left="851"/>
        <w:rPr>
          <w:rFonts w:eastAsia="SimSun"/>
          <w:sz w:val="24"/>
          <w:szCs w:val="24"/>
        </w:rPr>
      </w:pPr>
      <w:r w:rsidRPr="00475DC9">
        <w:rPr>
          <w:i/>
          <w:sz w:val="24"/>
          <w:szCs w:val="24"/>
        </w:rPr>
        <w:t xml:space="preserve">Nedsat leverfunktion </w:t>
      </w:r>
    </w:p>
    <w:p w14:paraId="277FFA8D" w14:textId="77777777" w:rsidR="008C5DDB" w:rsidRPr="00475DC9" w:rsidRDefault="008C5DDB" w:rsidP="001B4015">
      <w:pPr>
        <w:ind w:left="851"/>
        <w:rPr>
          <w:rFonts w:eastAsia="SimSun"/>
          <w:sz w:val="24"/>
          <w:szCs w:val="24"/>
        </w:rPr>
      </w:pPr>
      <w:r w:rsidRPr="00475DC9">
        <w:rPr>
          <w:sz w:val="24"/>
          <w:szCs w:val="24"/>
        </w:rPr>
        <w:t xml:space="preserve">Der er begrænsede tilgængelige data for patienter med nedsat leverfunktion. Fluconazol skal derfor administreres med forsigtighed til patienter med nedsat leverfunktion (se pkt. 4.4. og 4.8). </w:t>
      </w:r>
    </w:p>
    <w:p w14:paraId="73BBA80B" w14:textId="77777777" w:rsidR="008C5DDB" w:rsidRPr="00475DC9" w:rsidRDefault="008C5DDB" w:rsidP="001B4015">
      <w:pPr>
        <w:ind w:left="851"/>
        <w:rPr>
          <w:rFonts w:eastAsia="SimSun"/>
          <w:i/>
          <w:sz w:val="24"/>
          <w:szCs w:val="24"/>
          <w:lang w:eastAsia="zh-CN"/>
        </w:rPr>
      </w:pPr>
    </w:p>
    <w:p w14:paraId="012AB060" w14:textId="77777777" w:rsidR="008C5DDB" w:rsidRPr="00475DC9" w:rsidRDefault="008C5DDB" w:rsidP="001B4015">
      <w:pPr>
        <w:ind w:left="851"/>
        <w:rPr>
          <w:rFonts w:eastAsia="SimSun"/>
          <w:i/>
          <w:sz w:val="24"/>
          <w:szCs w:val="24"/>
        </w:rPr>
      </w:pPr>
      <w:r w:rsidRPr="00475DC9">
        <w:rPr>
          <w:i/>
          <w:sz w:val="24"/>
          <w:szCs w:val="24"/>
        </w:rPr>
        <w:t xml:space="preserve">Pædiatrisk patientgruppe </w:t>
      </w:r>
    </w:p>
    <w:p w14:paraId="5DBD0872" w14:textId="77777777" w:rsidR="008C5DDB" w:rsidRPr="00475DC9" w:rsidRDefault="008C5DDB" w:rsidP="001B4015">
      <w:pPr>
        <w:ind w:left="851"/>
        <w:rPr>
          <w:rFonts w:eastAsia="SimSun"/>
          <w:sz w:val="24"/>
          <w:szCs w:val="24"/>
        </w:rPr>
      </w:pPr>
      <w:r w:rsidRPr="00475DC9">
        <w:rPr>
          <w:sz w:val="24"/>
          <w:szCs w:val="24"/>
        </w:rPr>
        <w:t xml:space="preserve">Til børn bør en maksimaldosis på 400 mg dagligt ikke overskrides. </w:t>
      </w:r>
    </w:p>
    <w:p w14:paraId="37F9F8BF" w14:textId="4926B504" w:rsidR="008C5DDB" w:rsidRPr="00475DC9" w:rsidRDefault="008C5DDB" w:rsidP="001B4015">
      <w:pPr>
        <w:ind w:left="851"/>
        <w:rPr>
          <w:rFonts w:eastAsia="SimSun"/>
          <w:sz w:val="24"/>
          <w:szCs w:val="24"/>
        </w:rPr>
      </w:pPr>
      <w:r w:rsidRPr="00475DC9">
        <w:rPr>
          <w:sz w:val="24"/>
          <w:szCs w:val="24"/>
        </w:rPr>
        <w:t xml:space="preserve">Som ved tilsvarende infektioner hos voksne afhænger behandlingens varighed af den kliniske og mykologiske respons. </w:t>
      </w:r>
      <w:r w:rsidR="00395A81">
        <w:rPr>
          <w:sz w:val="24"/>
          <w:szCs w:val="24"/>
        </w:rPr>
        <w:t>Fluconazole "Noridem"</w:t>
      </w:r>
      <w:r w:rsidRPr="00475DC9">
        <w:rPr>
          <w:sz w:val="24"/>
          <w:szCs w:val="24"/>
        </w:rPr>
        <w:t xml:space="preserve"> gives som én enkelt daglig dosis. </w:t>
      </w:r>
    </w:p>
    <w:p w14:paraId="0BC89BF2" w14:textId="133CD52E" w:rsidR="008C5DDB" w:rsidRPr="00475DC9" w:rsidRDefault="008C5DDB" w:rsidP="001B4015">
      <w:pPr>
        <w:ind w:left="851"/>
        <w:rPr>
          <w:rFonts w:eastAsia="SimSun"/>
          <w:sz w:val="24"/>
          <w:szCs w:val="24"/>
        </w:rPr>
      </w:pPr>
      <w:r w:rsidRPr="00475DC9">
        <w:rPr>
          <w:sz w:val="24"/>
          <w:szCs w:val="24"/>
        </w:rPr>
        <w:t>Til børn med nedsat nyrefunktion, se dosering under ”</w:t>
      </w:r>
      <w:r w:rsidRPr="00475DC9">
        <w:rPr>
          <w:i/>
          <w:sz w:val="24"/>
          <w:szCs w:val="24"/>
        </w:rPr>
        <w:t>Nedsat nyrefunktion</w:t>
      </w:r>
      <w:r w:rsidRPr="00475DC9">
        <w:rPr>
          <w:sz w:val="24"/>
          <w:szCs w:val="24"/>
        </w:rPr>
        <w:t>”. Fluconazol</w:t>
      </w:r>
      <w:r w:rsidR="00BE4122">
        <w:rPr>
          <w:sz w:val="24"/>
          <w:szCs w:val="24"/>
        </w:rPr>
        <w:t>e</w:t>
      </w:r>
      <w:r w:rsidRPr="00475DC9">
        <w:rPr>
          <w:sz w:val="24"/>
          <w:szCs w:val="24"/>
        </w:rPr>
        <w:t xml:space="preserve"> </w:t>
      </w:r>
      <w:r w:rsidR="00566A0D" w:rsidRPr="00475DC9">
        <w:rPr>
          <w:sz w:val="24"/>
          <w:szCs w:val="24"/>
        </w:rPr>
        <w:t>"Noridem"</w:t>
      </w:r>
      <w:r w:rsidR="00BE4122">
        <w:rPr>
          <w:sz w:val="24"/>
          <w:szCs w:val="24"/>
        </w:rPr>
        <w:t>'s</w:t>
      </w:r>
      <w:r w:rsidRPr="00475DC9">
        <w:rPr>
          <w:sz w:val="24"/>
          <w:szCs w:val="24"/>
        </w:rPr>
        <w:t xml:space="preserve"> farmakokinetik er ikke blevet undersøgt hos børn med nedsat nyrefunktion (se nedenstående for ”Nyfødte (født til termin)”, som ofte udviser primær umoden nyrefunktion). </w:t>
      </w:r>
    </w:p>
    <w:p w14:paraId="2A133D40" w14:textId="0D8C7EB9" w:rsidR="00D35D6B" w:rsidRDefault="00D35D6B">
      <w:pPr>
        <w:rPr>
          <w:rFonts w:eastAsia="SimSun"/>
          <w:i/>
          <w:iCs/>
          <w:sz w:val="24"/>
          <w:szCs w:val="24"/>
          <w:lang w:eastAsia="zh-CN"/>
        </w:rPr>
      </w:pPr>
      <w:r>
        <w:rPr>
          <w:rFonts w:eastAsia="SimSun"/>
          <w:i/>
          <w:iCs/>
          <w:sz w:val="24"/>
          <w:szCs w:val="24"/>
          <w:lang w:eastAsia="zh-CN"/>
        </w:rPr>
        <w:br w:type="page"/>
      </w:r>
    </w:p>
    <w:p w14:paraId="61E635E8" w14:textId="77777777" w:rsidR="008C5DDB" w:rsidRPr="00475DC9" w:rsidRDefault="008C5DDB" w:rsidP="001B4015">
      <w:pPr>
        <w:ind w:left="851"/>
        <w:rPr>
          <w:rFonts w:eastAsia="SimSun"/>
          <w:i/>
          <w:iCs/>
          <w:sz w:val="24"/>
          <w:szCs w:val="24"/>
          <w:lang w:eastAsia="zh-CN"/>
        </w:rPr>
      </w:pPr>
    </w:p>
    <w:p w14:paraId="3F218BC7" w14:textId="77777777" w:rsidR="008C5DDB" w:rsidRPr="00475DC9" w:rsidRDefault="008C5DDB" w:rsidP="001B4015">
      <w:pPr>
        <w:ind w:left="851"/>
        <w:rPr>
          <w:rFonts w:eastAsia="SimSun"/>
          <w:sz w:val="24"/>
          <w:szCs w:val="24"/>
        </w:rPr>
      </w:pPr>
      <w:r w:rsidRPr="00475DC9">
        <w:rPr>
          <w:i/>
          <w:sz w:val="24"/>
          <w:szCs w:val="24"/>
        </w:rPr>
        <w:t xml:space="preserve">Spædbørn, småbørn og børn (fra 28 dage til 11 år): </w:t>
      </w:r>
    </w:p>
    <w:p w14:paraId="04FC2EBC" w14:textId="77777777" w:rsidR="008C5DDB" w:rsidRPr="00475DC9" w:rsidRDefault="008C5DDB" w:rsidP="001B4015">
      <w:pPr>
        <w:ind w:left="851"/>
        <w:rPr>
          <w:rFonts w:eastAsia="SimSun"/>
          <w:sz w:val="24"/>
          <w:szCs w:val="24"/>
        </w:rPr>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05"/>
        <w:gridCol w:w="2304"/>
        <w:gridCol w:w="3309"/>
      </w:tblGrid>
      <w:tr w:rsidR="008C5DDB" w:rsidRPr="00D35D6B" w14:paraId="0AF6952C" w14:textId="77777777" w:rsidTr="001B4015">
        <w:trPr>
          <w:trHeight w:val="293"/>
        </w:trPr>
        <w:tc>
          <w:tcPr>
            <w:tcW w:w="2082" w:type="pct"/>
            <w:tcBorders>
              <w:top w:val="single" w:sz="8" w:space="0" w:color="000000"/>
              <w:left w:val="single" w:sz="8" w:space="0" w:color="000000"/>
              <w:bottom w:val="single" w:sz="8" w:space="0" w:color="000000"/>
              <w:right w:val="single" w:sz="8" w:space="0" w:color="000000"/>
            </w:tcBorders>
            <w:hideMark/>
          </w:tcPr>
          <w:p w14:paraId="599982D1" w14:textId="77777777" w:rsidR="008C5DDB" w:rsidRPr="00D35D6B" w:rsidRDefault="008C5DDB">
            <w:pPr>
              <w:tabs>
                <w:tab w:val="left" w:pos="1304"/>
              </w:tabs>
              <w:autoSpaceDE w:val="0"/>
              <w:autoSpaceDN w:val="0"/>
              <w:adjustRightInd w:val="0"/>
              <w:jc w:val="center"/>
              <w:rPr>
                <w:rFonts w:eastAsia="SimSun"/>
                <w:color w:val="000000"/>
                <w:sz w:val="22"/>
                <w:szCs w:val="22"/>
                <w:lang w:bidi="he-IL"/>
              </w:rPr>
            </w:pPr>
            <w:r w:rsidRPr="00D35D6B">
              <w:rPr>
                <w:b/>
                <w:color w:val="000000"/>
                <w:sz w:val="22"/>
                <w:szCs w:val="22"/>
                <w:lang w:bidi="he-IL"/>
              </w:rPr>
              <w:t>Indikation</w:t>
            </w:r>
          </w:p>
        </w:tc>
        <w:tc>
          <w:tcPr>
            <w:tcW w:w="1198" w:type="pct"/>
            <w:tcBorders>
              <w:top w:val="single" w:sz="8" w:space="0" w:color="000000"/>
              <w:left w:val="single" w:sz="8" w:space="0" w:color="000000"/>
              <w:bottom w:val="single" w:sz="8" w:space="0" w:color="000000"/>
              <w:right w:val="single" w:sz="8" w:space="0" w:color="000000"/>
            </w:tcBorders>
            <w:hideMark/>
          </w:tcPr>
          <w:p w14:paraId="713C5F51" w14:textId="77777777" w:rsidR="008C5DDB" w:rsidRPr="00D35D6B" w:rsidRDefault="008C5DDB">
            <w:pPr>
              <w:tabs>
                <w:tab w:val="left" w:pos="1304"/>
              </w:tabs>
              <w:autoSpaceDE w:val="0"/>
              <w:autoSpaceDN w:val="0"/>
              <w:adjustRightInd w:val="0"/>
              <w:jc w:val="center"/>
              <w:rPr>
                <w:rFonts w:eastAsia="SimSun"/>
                <w:color w:val="000000"/>
                <w:sz w:val="22"/>
                <w:szCs w:val="22"/>
                <w:lang w:bidi="he-IL"/>
              </w:rPr>
            </w:pPr>
            <w:r w:rsidRPr="00D35D6B">
              <w:rPr>
                <w:b/>
                <w:color w:val="000000"/>
                <w:sz w:val="22"/>
                <w:szCs w:val="22"/>
                <w:lang w:bidi="he-IL"/>
              </w:rPr>
              <w:t>Dosering</w:t>
            </w:r>
          </w:p>
        </w:tc>
        <w:tc>
          <w:tcPr>
            <w:tcW w:w="1720" w:type="pct"/>
            <w:tcBorders>
              <w:top w:val="single" w:sz="8" w:space="0" w:color="000000"/>
              <w:left w:val="single" w:sz="8" w:space="0" w:color="000000"/>
              <w:bottom w:val="single" w:sz="8" w:space="0" w:color="000000"/>
              <w:right w:val="single" w:sz="8" w:space="0" w:color="000000"/>
            </w:tcBorders>
            <w:hideMark/>
          </w:tcPr>
          <w:p w14:paraId="3421ACFF" w14:textId="77777777" w:rsidR="008C5DDB" w:rsidRPr="00D35D6B" w:rsidRDefault="008C5DDB">
            <w:pPr>
              <w:tabs>
                <w:tab w:val="left" w:pos="1304"/>
              </w:tabs>
              <w:autoSpaceDE w:val="0"/>
              <w:autoSpaceDN w:val="0"/>
              <w:adjustRightInd w:val="0"/>
              <w:jc w:val="center"/>
              <w:rPr>
                <w:rFonts w:eastAsia="SimSun"/>
                <w:color w:val="000000"/>
                <w:sz w:val="22"/>
                <w:szCs w:val="22"/>
                <w:lang w:bidi="he-IL"/>
              </w:rPr>
            </w:pPr>
            <w:r w:rsidRPr="00D35D6B">
              <w:rPr>
                <w:b/>
                <w:color w:val="000000"/>
                <w:sz w:val="22"/>
                <w:szCs w:val="22"/>
                <w:lang w:bidi="he-IL"/>
              </w:rPr>
              <w:t>Anbefalinger</w:t>
            </w:r>
          </w:p>
        </w:tc>
      </w:tr>
      <w:tr w:rsidR="008C5DDB" w:rsidRPr="00D35D6B" w14:paraId="08D2F215" w14:textId="77777777" w:rsidTr="001B4015">
        <w:trPr>
          <w:trHeight w:val="794"/>
        </w:trPr>
        <w:tc>
          <w:tcPr>
            <w:tcW w:w="2082" w:type="pct"/>
            <w:tcBorders>
              <w:top w:val="single" w:sz="8" w:space="0" w:color="000000"/>
              <w:left w:val="single" w:sz="8" w:space="0" w:color="000000"/>
              <w:bottom w:val="single" w:sz="8" w:space="0" w:color="000000"/>
              <w:right w:val="single" w:sz="8" w:space="0" w:color="000000"/>
            </w:tcBorders>
            <w:hideMark/>
          </w:tcPr>
          <w:p w14:paraId="30C566FE"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 Mukøs candidiasis </w:t>
            </w:r>
          </w:p>
        </w:tc>
        <w:tc>
          <w:tcPr>
            <w:tcW w:w="1198" w:type="pct"/>
            <w:tcBorders>
              <w:top w:val="single" w:sz="8" w:space="0" w:color="000000"/>
              <w:left w:val="single" w:sz="8" w:space="0" w:color="000000"/>
              <w:bottom w:val="single" w:sz="8" w:space="0" w:color="000000"/>
              <w:right w:val="single" w:sz="8" w:space="0" w:color="000000"/>
            </w:tcBorders>
          </w:tcPr>
          <w:p w14:paraId="200CE5FB"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Initialdosis: 6 mg/kg </w:t>
            </w:r>
          </w:p>
          <w:p w14:paraId="29DFA181" w14:textId="77777777" w:rsidR="008C5DDB" w:rsidRPr="00D35D6B" w:rsidRDefault="008C5DDB">
            <w:pPr>
              <w:tabs>
                <w:tab w:val="left" w:pos="1304"/>
              </w:tabs>
              <w:autoSpaceDE w:val="0"/>
              <w:autoSpaceDN w:val="0"/>
              <w:adjustRightInd w:val="0"/>
              <w:rPr>
                <w:color w:val="000000"/>
                <w:sz w:val="22"/>
                <w:szCs w:val="22"/>
                <w:lang w:bidi="he-IL"/>
              </w:rPr>
            </w:pPr>
          </w:p>
          <w:p w14:paraId="0343AB1B" w14:textId="77777777" w:rsidR="008C5DDB" w:rsidRPr="00D35D6B" w:rsidRDefault="008C5DDB">
            <w:pPr>
              <w:tabs>
                <w:tab w:val="left" w:pos="1304"/>
              </w:tabs>
              <w:autoSpaceDE w:val="0"/>
              <w:autoSpaceDN w:val="0"/>
              <w:adjustRightInd w:val="0"/>
              <w:rPr>
                <w:color w:val="000000"/>
                <w:sz w:val="22"/>
                <w:szCs w:val="22"/>
                <w:lang w:bidi="he-IL"/>
              </w:rPr>
            </w:pPr>
            <w:r w:rsidRPr="00D35D6B">
              <w:rPr>
                <w:color w:val="000000"/>
                <w:sz w:val="22"/>
                <w:szCs w:val="22"/>
                <w:lang w:bidi="he-IL"/>
              </w:rPr>
              <w:t xml:space="preserve">Efterfølgende dosis: 3 mg/kg én gang dagligt </w:t>
            </w:r>
          </w:p>
        </w:tc>
        <w:tc>
          <w:tcPr>
            <w:tcW w:w="1720" w:type="pct"/>
            <w:tcBorders>
              <w:top w:val="single" w:sz="8" w:space="0" w:color="000000"/>
              <w:left w:val="single" w:sz="8" w:space="0" w:color="000000"/>
              <w:bottom w:val="single" w:sz="8" w:space="0" w:color="000000"/>
              <w:right w:val="single" w:sz="8" w:space="0" w:color="000000"/>
            </w:tcBorders>
            <w:hideMark/>
          </w:tcPr>
          <w:p w14:paraId="5607EB19"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Initialdosis kan gives den første dag for hurtigere at opnå steady state niveau. </w:t>
            </w:r>
          </w:p>
        </w:tc>
      </w:tr>
      <w:tr w:rsidR="008C5DDB" w:rsidRPr="00D35D6B" w14:paraId="21C8AE86" w14:textId="77777777" w:rsidTr="001B4015">
        <w:trPr>
          <w:trHeight w:val="542"/>
        </w:trPr>
        <w:tc>
          <w:tcPr>
            <w:tcW w:w="2082" w:type="pct"/>
            <w:tcBorders>
              <w:top w:val="single" w:sz="8" w:space="0" w:color="000000"/>
              <w:left w:val="single" w:sz="8" w:space="0" w:color="000000"/>
              <w:bottom w:val="single" w:sz="8" w:space="0" w:color="000000"/>
              <w:right w:val="single" w:sz="8" w:space="0" w:color="000000"/>
            </w:tcBorders>
            <w:hideMark/>
          </w:tcPr>
          <w:p w14:paraId="1F9DCB80"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 Invasiv candidiasis </w:t>
            </w:r>
          </w:p>
          <w:p w14:paraId="0394A600"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 Kryptokokmeningitis </w:t>
            </w:r>
          </w:p>
        </w:tc>
        <w:tc>
          <w:tcPr>
            <w:tcW w:w="1198" w:type="pct"/>
            <w:tcBorders>
              <w:top w:val="single" w:sz="8" w:space="0" w:color="000000"/>
              <w:left w:val="single" w:sz="8" w:space="0" w:color="000000"/>
              <w:bottom w:val="single" w:sz="8" w:space="0" w:color="000000"/>
              <w:right w:val="single" w:sz="8" w:space="0" w:color="000000"/>
            </w:tcBorders>
          </w:tcPr>
          <w:p w14:paraId="78B0FFD3"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Dosis: 6 til 12 mg/kg én gang dagligt </w:t>
            </w:r>
          </w:p>
          <w:p w14:paraId="395339D7" w14:textId="77777777" w:rsidR="008C5DDB" w:rsidRPr="00D35D6B" w:rsidRDefault="008C5DDB">
            <w:pPr>
              <w:tabs>
                <w:tab w:val="left" w:pos="1304"/>
              </w:tabs>
              <w:autoSpaceDE w:val="0"/>
              <w:autoSpaceDN w:val="0"/>
              <w:adjustRightInd w:val="0"/>
              <w:rPr>
                <w:rFonts w:eastAsia="SimSun"/>
                <w:color w:val="000000"/>
                <w:sz w:val="22"/>
                <w:szCs w:val="22"/>
                <w:lang w:val="nl-NL" w:eastAsia="zh-CN" w:bidi="he-IL"/>
              </w:rPr>
            </w:pPr>
          </w:p>
        </w:tc>
        <w:tc>
          <w:tcPr>
            <w:tcW w:w="1720" w:type="pct"/>
            <w:tcBorders>
              <w:top w:val="single" w:sz="8" w:space="0" w:color="000000"/>
              <w:left w:val="single" w:sz="8" w:space="0" w:color="000000"/>
              <w:bottom w:val="single" w:sz="8" w:space="0" w:color="000000"/>
              <w:right w:val="single" w:sz="8" w:space="0" w:color="000000"/>
            </w:tcBorders>
            <w:hideMark/>
          </w:tcPr>
          <w:p w14:paraId="48DEAE11"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Afhængigt af sygdommens sværhedsgrad. </w:t>
            </w:r>
          </w:p>
        </w:tc>
      </w:tr>
      <w:tr w:rsidR="008C5DDB" w:rsidRPr="00D35D6B" w14:paraId="6009E299" w14:textId="77777777" w:rsidTr="001B4015">
        <w:trPr>
          <w:trHeight w:val="1047"/>
        </w:trPr>
        <w:tc>
          <w:tcPr>
            <w:tcW w:w="2082" w:type="pct"/>
            <w:tcBorders>
              <w:top w:val="single" w:sz="8" w:space="0" w:color="000000"/>
              <w:left w:val="single" w:sz="8" w:space="0" w:color="000000"/>
              <w:bottom w:val="single" w:sz="8" w:space="0" w:color="000000"/>
              <w:right w:val="single" w:sz="8" w:space="0" w:color="000000"/>
            </w:tcBorders>
            <w:hideMark/>
          </w:tcPr>
          <w:p w14:paraId="2ADC172F"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Vedligeholdelsesbehandling til forebyggelse af tilbagefald af kryptokokmeningitis hos børn med høj risiko for recidiv </w:t>
            </w:r>
          </w:p>
        </w:tc>
        <w:tc>
          <w:tcPr>
            <w:tcW w:w="1198" w:type="pct"/>
            <w:tcBorders>
              <w:top w:val="single" w:sz="8" w:space="0" w:color="000000"/>
              <w:left w:val="single" w:sz="8" w:space="0" w:color="000000"/>
              <w:bottom w:val="single" w:sz="8" w:space="0" w:color="000000"/>
              <w:right w:val="single" w:sz="8" w:space="0" w:color="000000"/>
            </w:tcBorders>
            <w:hideMark/>
          </w:tcPr>
          <w:p w14:paraId="58722B02" w14:textId="77777777" w:rsidR="008C5DDB" w:rsidRPr="00D35D6B" w:rsidRDefault="008C5DDB">
            <w:pPr>
              <w:tabs>
                <w:tab w:val="left" w:pos="1304"/>
              </w:tabs>
              <w:autoSpaceDE w:val="0"/>
              <w:autoSpaceDN w:val="0"/>
              <w:adjustRightInd w:val="0"/>
              <w:rPr>
                <w:color w:val="000000"/>
                <w:sz w:val="22"/>
                <w:szCs w:val="22"/>
                <w:lang w:bidi="he-IL"/>
              </w:rPr>
            </w:pPr>
            <w:r w:rsidRPr="00D35D6B">
              <w:rPr>
                <w:color w:val="000000"/>
                <w:sz w:val="22"/>
                <w:szCs w:val="22"/>
                <w:lang w:bidi="he-IL"/>
              </w:rPr>
              <w:t xml:space="preserve">Dosis: 6 mg/kg </w:t>
            </w:r>
          </w:p>
          <w:p w14:paraId="2EE8C9C3"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én gang dagligt </w:t>
            </w:r>
          </w:p>
        </w:tc>
        <w:tc>
          <w:tcPr>
            <w:tcW w:w="1720" w:type="pct"/>
            <w:tcBorders>
              <w:top w:val="single" w:sz="8" w:space="0" w:color="000000"/>
              <w:left w:val="single" w:sz="8" w:space="0" w:color="000000"/>
              <w:bottom w:val="single" w:sz="8" w:space="0" w:color="000000"/>
              <w:right w:val="single" w:sz="8" w:space="0" w:color="000000"/>
            </w:tcBorders>
            <w:hideMark/>
          </w:tcPr>
          <w:p w14:paraId="3391161B"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Afhængigt af sygdommens sværhedsgrad. </w:t>
            </w:r>
          </w:p>
        </w:tc>
      </w:tr>
      <w:tr w:rsidR="008C5DDB" w:rsidRPr="00D35D6B" w14:paraId="7DF60BEC" w14:textId="77777777" w:rsidTr="001B4015">
        <w:trPr>
          <w:trHeight w:val="1046"/>
        </w:trPr>
        <w:tc>
          <w:tcPr>
            <w:tcW w:w="2082" w:type="pct"/>
            <w:tcBorders>
              <w:top w:val="single" w:sz="8" w:space="0" w:color="000000"/>
              <w:left w:val="single" w:sz="8" w:space="0" w:color="000000"/>
              <w:bottom w:val="single" w:sz="8" w:space="0" w:color="000000"/>
              <w:right w:val="single" w:sz="8" w:space="0" w:color="000000"/>
            </w:tcBorders>
            <w:hideMark/>
          </w:tcPr>
          <w:p w14:paraId="7646EAC9"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Forebyggelse af </w:t>
            </w:r>
            <w:r w:rsidRPr="00D35D6B">
              <w:rPr>
                <w:i/>
                <w:color w:val="000000"/>
                <w:sz w:val="22"/>
                <w:szCs w:val="22"/>
                <w:lang w:bidi="he-IL"/>
              </w:rPr>
              <w:t xml:space="preserve">Candida </w:t>
            </w:r>
            <w:r w:rsidRPr="00D35D6B">
              <w:rPr>
                <w:color w:val="000000"/>
                <w:sz w:val="22"/>
                <w:szCs w:val="22"/>
                <w:lang w:bidi="he-IL"/>
              </w:rPr>
              <w:t xml:space="preserve">hos immunsupprimerede patienter. </w:t>
            </w:r>
          </w:p>
        </w:tc>
        <w:tc>
          <w:tcPr>
            <w:tcW w:w="1198" w:type="pct"/>
            <w:tcBorders>
              <w:top w:val="single" w:sz="8" w:space="0" w:color="000000"/>
              <w:left w:val="single" w:sz="8" w:space="0" w:color="000000"/>
              <w:bottom w:val="single" w:sz="8" w:space="0" w:color="000000"/>
              <w:right w:val="single" w:sz="8" w:space="0" w:color="000000"/>
            </w:tcBorders>
            <w:hideMark/>
          </w:tcPr>
          <w:p w14:paraId="19AA0DBE"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Dosis: 3 til 12 mg/kg én gang dagligt </w:t>
            </w:r>
          </w:p>
        </w:tc>
        <w:tc>
          <w:tcPr>
            <w:tcW w:w="1720" w:type="pct"/>
            <w:tcBorders>
              <w:top w:val="single" w:sz="8" w:space="0" w:color="000000"/>
              <w:left w:val="single" w:sz="8" w:space="0" w:color="000000"/>
              <w:bottom w:val="single" w:sz="8" w:space="0" w:color="000000"/>
              <w:right w:val="single" w:sz="8" w:space="0" w:color="000000"/>
            </w:tcBorders>
            <w:hideMark/>
          </w:tcPr>
          <w:p w14:paraId="2BDDFB15"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Afhængigt af sværhedsgrad og varighed af den inducerede neutropeni (se under dosering til voksne). </w:t>
            </w:r>
          </w:p>
        </w:tc>
      </w:tr>
    </w:tbl>
    <w:p w14:paraId="63345EE2" w14:textId="77777777" w:rsidR="008C5DDB" w:rsidRPr="00475DC9" w:rsidRDefault="008C5DDB" w:rsidP="001B4015">
      <w:pPr>
        <w:ind w:left="851"/>
        <w:rPr>
          <w:rFonts w:eastAsia="SimSun"/>
          <w:sz w:val="24"/>
          <w:szCs w:val="24"/>
          <w:lang w:eastAsia="zh-CN"/>
        </w:rPr>
      </w:pPr>
    </w:p>
    <w:p w14:paraId="6B28F192" w14:textId="77777777" w:rsidR="008C5DDB" w:rsidRPr="00475DC9" w:rsidRDefault="008C5DDB" w:rsidP="001B4015">
      <w:pPr>
        <w:ind w:left="851"/>
        <w:rPr>
          <w:rFonts w:eastAsia="SimSun"/>
          <w:sz w:val="24"/>
          <w:szCs w:val="24"/>
        </w:rPr>
      </w:pPr>
      <w:r w:rsidRPr="00475DC9">
        <w:rPr>
          <w:i/>
          <w:sz w:val="24"/>
          <w:szCs w:val="24"/>
        </w:rPr>
        <w:t xml:space="preserve">Unge (mellem 12-17 år): </w:t>
      </w:r>
    </w:p>
    <w:p w14:paraId="1CC85657" w14:textId="77777777" w:rsidR="008C5DDB" w:rsidRPr="00475DC9" w:rsidRDefault="008C5DDB" w:rsidP="001B4015">
      <w:pPr>
        <w:ind w:left="851"/>
        <w:rPr>
          <w:rFonts w:eastAsia="SimSun"/>
          <w:sz w:val="24"/>
          <w:szCs w:val="24"/>
        </w:rPr>
      </w:pPr>
      <w:r w:rsidRPr="00475DC9">
        <w:rPr>
          <w:sz w:val="24"/>
          <w:szCs w:val="24"/>
        </w:rPr>
        <w:t xml:space="preserve">Afhængigt af vægt og pubertal udvikling vil lægen vurdere, hvilken dosering (voksne eller børn), der er den mest hensigtsmæssige. Kliniske data tyder på, at børn har en højere fluconazol-clearance end den, der ses hos voksne. Doser på 100, 200 og 400 mg til voksne svarer til doser på 3, 6 og 12 mg/kg til børn for opnåelse af samme systemiske eksponering. </w:t>
      </w:r>
    </w:p>
    <w:p w14:paraId="4CA51B73" w14:textId="77777777" w:rsidR="008C5DDB" w:rsidRPr="00475DC9" w:rsidRDefault="008C5DDB" w:rsidP="001B4015">
      <w:pPr>
        <w:ind w:left="851"/>
        <w:rPr>
          <w:rFonts w:eastAsia="SimSun"/>
          <w:i/>
          <w:iCs/>
          <w:sz w:val="24"/>
          <w:szCs w:val="24"/>
          <w:lang w:eastAsia="zh-CN"/>
        </w:rPr>
      </w:pPr>
    </w:p>
    <w:p w14:paraId="751AEE6E" w14:textId="77777777" w:rsidR="008C5DDB" w:rsidRPr="00475DC9" w:rsidRDefault="008C5DDB" w:rsidP="001B4015">
      <w:pPr>
        <w:ind w:left="851"/>
        <w:rPr>
          <w:rFonts w:eastAsia="SimSun"/>
          <w:sz w:val="24"/>
          <w:szCs w:val="24"/>
        </w:rPr>
      </w:pPr>
      <w:r w:rsidRPr="00475DC9">
        <w:rPr>
          <w:i/>
          <w:sz w:val="24"/>
          <w:szCs w:val="24"/>
        </w:rPr>
        <w:t xml:space="preserve">Nyfødte (født til termin) (0-27 dage): </w:t>
      </w:r>
    </w:p>
    <w:p w14:paraId="2539E221" w14:textId="77777777" w:rsidR="008C5DDB" w:rsidRPr="00475DC9" w:rsidRDefault="008C5DDB" w:rsidP="001B4015">
      <w:pPr>
        <w:ind w:left="851"/>
        <w:rPr>
          <w:rFonts w:eastAsia="SimSun"/>
          <w:sz w:val="24"/>
          <w:szCs w:val="24"/>
        </w:rPr>
      </w:pPr>
      <w:r w:rsidRPr="00475DC9">
        <w:rPr>
          <w:sz w:val="24"/>
          <w:szCs w:val="24"/>
        </w:rPr>
        <w:t xml:space="preserve">Nyfødte udskiller fluconazol langsomt. </w:t>
      </w:r>
    </w:p>
    <w:p w14:paraId="38A4E2AE" w14:textId="77777777" w:rsidR="008C5DDB" w:rsidRPr="00475DC9" w:rsidRDefault="008C5DDB" w:rsidP="001B4015">
      <w:pPr>
        <w:ind w:left="851"/>
        <w:rPr>
          <w:rFonts w:eastAsia="SimSun"/>
          <w:sz w:val="24"/>
          <w:szCs w:val="24"/>
        </w:rPr>
      </w:pPr>
      <w:r w:rsidRPr="00475DC9">
        <w:rPr>
          <w:sz w:val="24"/>
          <w:szCs w:val="24"/>
        </w:rPr>
        <w:t xml:space="preserve">Der er kun få farmakokinetiske data til at understøtte nedenstående dosering til nyfødte (se pkt. 5.2). </w:t>
      </w:r>
    </w:p>
    <w:p w14:paraId="28990D1F" w14:textId="77777777" w:rsidR="008C5DDB" w:rsidRPr="00475DC9" w:rsidRDefault="008C5DDB" w:rsidP="001B4015">
      <w:pPr>
        <w:ind w:left="851"/>
        <w:rPr>
          <w:rFonts w:eastAsia="SimSun"/>
          <w:sz w:val="24"/>
          <w:szCs w:val="24"/>
        </w:rPr>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49"/>
        <w:gridCol w:w="3328"/>
        <w:gridCol w:w="3141"/>
      </w:tblGrid>
      <w:tr w:rsidR="008C5DDB" w:rsidRPr="00D35D6B" w14:paraId="101D7034" w14:textId="77777777" w:rsidTr="001B4015">
        <w:trPr>
          <w:trHeight w:val="293"/>
        </w:trPr>
        <w:tc>
          <w:tcPr>
            <w:tcW w:w="1637" w:type="pct"/>
            <w:tcBorders>
              <w:top w:val="single" w:sz="8" w:space="0" w:color="000000"/>
              <w:left w:val="single" w:sz="8" w:space="0" w:color="000000"/>
              <w:bottom w:val="single" w:sz="8" w:space="0" w:color="000000"/>
              <w:right w:val="single" w:sz="8" w:space="0" w:color="000000"/>
            </w:tcBorders>
            <w:hideMark/>
          </w:tcPr>
          <w:p w14:paraId="129924EC" w14:textId="77777777" w:rsidR="008C5DDB" w:rsidRPr="00D35D6B" w:rsidRDefault="008C5DDB">
            <w:pPr>
              <w:tabs>
                <w:tab w:val="left" w:pos="1304"/>
              </w:tabs>
              <w:autoSpaceDE w:val="0"/>
              <w:autoSpaceDN w:val="0"/>
              <w:adjustRightInd w:val="0"/>
              <w:jc w:val="center"/>
              <w:rPr>
                <w:rFonts w:eastAsia="SimSun"/>
                <w:color w:val="000000"/>
                <w:sz w:val="22"/>
                <w:szCs w:val="22"/>
                <w:lang w:bidi="he-IL"/>
              </w:rPr>
            </w:pPr>
            <w:r w:rsidRPr="00D35D6B">
              <w:rPr>
                <w:b/>
                <w:color w:val="000000"/>
                <w:sz w:val="22"/>
                <w:szCs w:val="22"/>
                <w:lang w:bidi="he-IL"/>
              </w:rPr>
              <w:t>Aldersgruppe</w:t>
            </w:r>
          </w:p>
        </w:tc>
        <w:tc>
          <w:tcPr>
            <w:tcW w:w="1730" w:type="pct"/>
            <w:tcBorders>
              <w:top w:val="single" w:sz="8" w:space="0" w:color="000000"/>
              <w:left w:val="single" w:sz="8" w:space="0" w:color="000000"/>
              <w:bottom w:val="single" w:sz="8" w:space="0" w:color="000000"/>
              <w:right w:val="single" w:sz="8" w:space="0" w:color="000000"/>
            </w:tcBorders>
            <w:hideMark/>
          </w:tcPr>
          <w:p w14:paraId="182A303A" w14:textId="77777777" w:rsidR="008C5DDB" w:rsidRPr="00D35D6B" w:rsidRDefault="008C5DDB">
            <w:pPr>
              <w:tabs>
                <w:tab w:val="left" w:pos="1304"/>
              </w:tabs>
              <w:autoSpaceDE w:val="0"/>
              <w:autoSpaceDN w:val="0"/>
              <w:adjustRightInd w:val="0"/>
              <w:jc w:val="center"/>
              <w:rPr>
                <w:rFonts w:eastAsia="SimSun"/>
                <w:color w:val="000000"/>
                <w:sz w:val="22"/>
                <w:szCs w:val="22"/>
                <w:lang w:bidi="he-IL"/>
              </w:rPr>
            </w:pPr>
            <w:r w:rsidRPr="00D35D6B">
              <w:rPr>
                <w:b/>
                <w:color w:val="000000"/>
                <w:sz w:val="22"/>
                <w:szCs w:val="22"/>
                <w:lang w:bidi="he-IL"/>
              </w:rPr>
              <w:t>Dosering</w:t>
            </w:r>
          </w:p>
        </w:tc>
        <w:tc>
          <w:tcPr>
            <w:tcW w:w="1633" w:type="pct"/>
            <w:tcBorders>
              <w:top w:val="single" w:sz="8" w:space="0" w:color="000000"/>
              <w:left w:val="single" w:sz="8" w:space="0" w:color="000000"/>
              <w:bottom w:val="single" w:sz="8" w:space="0" w:color="000000"/>
              <w:right w:val="single" w:sz="8" w:space="0" w:color="000000"/>
            </w:tcBorders>
            <w:hideMark/>
          </w:tcPr>
          <w:p w14:paraId="2588E748" w14:textId="77777777" w:rsidR="008C5DDB" w:rsidRPr="00D35D6B" w:rsidRDefault="008C5DDB">
            <w:pPr>
              <w:tabs>
                <w:tab w:val="left" w:pos="1304"/>
              </w:tabs>
              <w:autoSpaceDE w:val="0"/>
              <w:autoSpaceDN w:val="0"/>
              <w:adjustRightInd w:val="0"/>
              <w:jc w:val="center"/>
              <w:rPr>
                <w:rFonts w:eastAsia="SimSun"/>
                <w:color w:val="000000"/>
                <w:sz w:val="22"/>
                <w:szCs w:val="22"/>
                <w:lang w:bidi="he-IL"/>
              </w:rPr>
            </w:pPr>
            <w:r w:rsidRPr="00D35D6B">
              <w:rPr>
                <w:b/>
                <w:color w:val="000000"/>
                <w:sz w:val="22"/>
                <w:szCs w:val="22"/>
                <w:lang w:bidi="he-IL"/>
              </w:rPr>
              <w:t>Anbefalinger</w:t>
            </w:r>
          </w:p>
        </w:tc>
      </w:tr>
      <w:tr w:rsidR="008C5DDB" w:rsidRPr="00D35D6B" w14:paraId="31E41067" w14:textId="77777777" w:rsidTr="001B4015">
        <w:trPr>
          <w:trHeight w:val="794"/>
        </w:trPr>
        <w:tc>
          <w:tcPr>
            <w:tcW w:w="1637" w:type="pct"/>
            <w:tcBorders>
              <w:top w:val="single" w:sz="8" w:space="0" w:color="000000"/>
              <w:left w:val="single" w:sz="8" w:space="0" w:color="000000"/>
              <w:bottom w:val="single" w:sz="8" w:space="0" w:color="000000"/>
              <w:right w:val="single" w:sz="8" w:space="0" w:color="000000"/>
            </w:tcBorders>
          </w:tcPr>
          <w:p w14:paraId="54663376"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Nyfødte (født til termin) (0-14 dage) </w:t>
            </w:r>
          </w:p>
          <w:p w14:paraId="6FD11506" w14:textId="77777777" w:rsidR="008C5DDB" w:rsidRPr="00D35D6B" w:rsidRDefault="008C5DDB">
            <w:pPr>
              <w:tabs>
                <w:tab w:val="left" w:pos="1304"/>
              </w:tabs>
              <w:autoSpaceDE w:val="0"/>
              <w:autoSpaceDN w:val="0"/>
              <w:adjustRightInd w:val="0"/>
              <w:rPr>
                <w:rFonts w:eastAsia="SimSun"/>
                <w:color w:val="000000"/>
                <w:sz w:val="22"/>
                <w:szCs w:val="22"/>
                <w:lang w:eastAsia="zh-CN" w:bidi="he-IL"/>
              </w:rPr>
            </w:pPr>
          </w:p>
        </w:tc>
        <w:tc>
          <w:tcPr>
            <w:tcW w:w="1730" w:type="pct"/>
            <w:tcBorders>
              <w:top w:val="single" w:sz="8" w:space="0" w:color="000000"/>
              <w:left w:val="single" w:sz="8" w:space="0" w:color="000000"/>
              <w:bottom w:val="single" w:sz="8" w:space="0" w:color="000000"/>
              <w:right w:val="single" w:sz="8" w:space="0" w:color="000000"/>
            </w:tcBorders>
            <w:hideMark/>
          </w:tcPr>
          <w:p w14:paraId="43207B3E"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Samme dosis mg/kg som til spædbørn, småbørn og børn skal gives hver 72. time. </w:t>
            </w:r>
          </w:p>
        </w:tc>
        <w:tc>
          <w:tcPr>
            <w:tcW w:w="1633" w:type="pct"/>
            <w:tcBorders>
              <w:top w:val="single" w:sz="8" w:space="0" w:color="000000"/>
              <w:left w:val="single" w:sz="8" w:space="0" w:color="000000"/>
              <w:bottom w:val="single" w:sz="8" w:space="0" w:color="000000"/>
              <w:right w:val="single" w:sz="8" w:space="0" w:color="000000"/>
            </w:tcBorders>
            <w:hideMark/>
          </w:tcPr>
          <w:p w14:paraId="5024E14C"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En maksimal dosis på 12 mg/kg hver 72. time bør ikke overskrides. </w:t>
            </w:r>
          </w:p>
        </w:tc>
      </w:tr>
      <w:tr w:rsidR="008C5DDB" w:rsidRPr="00D35D6B" w14:paraId="7B2E8AB2" w14:textId="77777777" w:rsidTr="001B4015">
        <w:trPr>
          <w:trHeight w:val="794"/>
        </w:trPr>
        <w:tc>
          <w:tcPr>
            <w:tcW w:w="1637" w:type="pct"/>
            <w:tcBorders>
              <w:top w:val="single" w:sz="8" w:space="0" w:color="000000"/>
              <w:left w:val="single" w:sz="8" w:space="0" w:color="000000"/>
              <w:bottom w:val="single" w:sz="8" w:space="0" w:color="000000"/>
              <w:right w:val="single" w:sz="8" w:space="0" w:color="000000"/>
            </w:tcBorders>
            <w:hideMark/>
          </w:tcPr>
          <w:p w14:paraId="1556198F"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Nyfødte (født til termin) (15-27 dage) </w:t>
            </w:r>
          </w:p>
        </w:tc>
        <w:tc>
          <w:tcPr>
            <w:tcW w:w="1730" w:type="pct"/>
            <w:tcBorders>
              <w:top w:val="single" w:sz="8" w:space="0" w:color="000000"/>
              <w:left w:val="single" w:sz="8" w:space="0" w:color="000000"/>
              <w:bottom w:val="single" w:sz="8" w:space="0" w:color="000000"/>
              <w:right w:val="single" w:sz="8" w:space="0" w:color="000000"/>
            </w:tcBorders>
            <w:hideMark/>
          </w:tcPr>
          <w:p w14:paraId="231F4A22"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Samme dosis mg/kg som til spædbørn, småbørn og børn skal gives hver 48. time. </w:t>
            </w:r>
          </w:p>
        </w:tc>
        <w:tc>
          <w:tcPr>
            <w:tcW w:w="1633" w:type="pct"/>
            <w:tcBorders>
              <w:top w:val="single" w:sz="8" w:space="0" w:color="000000"/>
              <w:left w:val="single" w:sz="8" w:space="0" w:color="000000"/>
              <w:bottom w:val="single" w:sz="8" w:space="0" w:color="000000"/>
              <w:right w:val="single" w:sz="8" w:space="0" w:color="000000"/>
            </w:tcBorders>
            <w:hideMark/>
          </w:tcPr>
          <w:p w14:paraId="026BC343" w14:textId="77777777" w:rsidR="008C5DDB" w:rsidRPr="00D35D6B" w:rsidRDefault="008C5DDB">
            <w:pPr>
              <w:tabs>
                <w:tab w:val="left" w:pos="1304"/>
              </w:tabs>
              <w:autoSpaceDE w:val="0"/>
              <w:autoSpaceDN w:val="0"/>
              <w:adjustRightInd w:val="0"/>
              <w:rPr>
                <w:rFonts w:eastAsia="SimSun"/>
                <w:color w:val="000000"/>
                <w:sz w:val="22"/>
                <w:szCs w:val="22"/>
                <w:lang w:bidi="he-IL"/>
              </w:rPr>
            </w:pPr>
            <w:r w:rsidRPr="00D35D6B">
              <w:rPr>
                <w:color w:val="000000"/>
                <w:sz w:val="22"/>
                <w:szCs w:val="22"/>
                <w:lang w:bidi="he-IL"/>
              </w:rPr>
              <w:t xml:space="preserve">En maksimal dosis på 12 mg/kg hver 48. time bør ikke overskrides. </w:t>
            </w:r>
          </w:p>
        </w:tc>
      </w:tr>
    </w:tbl>
    <w:p w14:paraId="438BD90F" w14:textId="77777777" w:rsidR="008C5DDB" w:rsidRPr="00475DC9" w:rsidRDefault="008C5DDB" w:rsidP="008C5DDB">
      <w:pPr>
        <w:tabs>
          <w:tab w:val="left" w:pos="1304"/>
        </w:tabs>
        <w:autoSpaceDE w:val="0"/>
        <w:autoSpaceDN w:val="0"/>
        <w:adjustRightInd w:val="0"/>
        <w:rPr>
          <w:rFonts w:eastAsia="SimSun"/>
          <w:color w:val="000000"/>
          <w:sz w:val="24"/>
          <w:szCs w:val="24"/>
          <w:lang w:eastAsia="zh-CN"/>
        </w:rPr>
      </w:pPr>
    </w:p>
    <w:p w14:paraId="6712F1BC" w14:textId="77777777" w:rsidR="008C5DDB" w:rsidRPr="00475DC9" w:rsidRDefault="008C5DDB" w:rsidP="001B4015">
      <w:pPr>
        <w:ind w:left="851"/>
        <w:rPr>
          <w:rFonts w:eastAsia="SimSun"/>
          <w:b/>
          <w:sz w:val="24"/>
          <w:szCs w:val="24"/>
        </w:rPr>
      </w:pPr>
      <w:r w:rsidRPr="00475DC9">
        <w:rPr>
          <w:b/>
          <w:sz w:val="24"/>
          <w:szCs w:val="24"/>
        </w:rPr>
        <w:t xml:space="preserve">Administration </w:t>
      </w:r>
    </w:p>
    <w:p w14:paraId="5CD0989B" w14:textId="7A8264E4" w:rsidR="008C5DDB" w:rsidRPr="00475DC9" w:rsidRDefault="00395A81" w:rsidP="001B4015">
      <w:pPr>
        <w:ind w:left="851"/>
        <w:rPr>
          <w:rFonts w:eastAsia="SimSun"/>
          <w:sz w:val="24"/>
          <w:szCs w:val="24"/>
        </w:rPr>
      </w:pPr>
      <w:r>
        <w:rPr>
          <w:sz w:val="24"/>
          <w:szCs w:val="24"/>
        </w:rPr>
        <w:t>Fluconazole "Noridem"</w:t>
      </w:r>
      <w:r w:rsidR="008C5DDB" w:rsidRPr="00475DC9">
        <w:rPr>
          <w:sz w:val="24"/>
          <w:szCs w:val="24"/>
        </w:rPr>
        <w:t xml:space="preserve"> kan administreres enten oralt eller ved intravenøs infusion. Indgivelsesvejen afhænger af patientens kliniske tilstand. Det er ikke nødvendigt at ændre den daglige dosis, når indgivelsesvejen ændres fra intravenøs til oral eller </w:t>
      </w:r>
      <w:r w:rsidR="008C5DDB" w:rsidRPr="00475DC9">
        <w:rPr>
          <w:i/>
          <w:sz w:val="24"/>
          <w:szCs w:val="24"/>
        </w:rPr>
        <w:t>vice versa</w:t>
      </w:r>
      <w:r w:rsidR="008C5DDB" w:rsidRPr="00475DC9">
        <w:rPr>
          <w:sz w:val="24"/>
          <w:szCs w:val="24"/>
        </w:rPr>
        <w:t xml:space="preserve">. </w:t>
      </w:r>
    </w:p>
    <w:p w14:paraId="497B4DF2" w14:textId="77777777" w:rsidR="008C5DDB" w:rsidRPr="00475DC9" w:rsidRDefault="008C5DDB" w:rsidP="001B4015">
      <w:pPr>
        <w:ind w:left="851"/>
        <w:rPr>
          <w:rFonts w:eastAsia="SimSun"/>
          <w:sz w:val="24"/>
          <w:szCs w:val="24"/>
        </w:rPr>
      </w:pPr>
      <w:r w:rsidRPr="00475DC9">
        <w:rPr>
          <w:sz w:val="24"/>
          <w:szCs w:val="24"/>
        </w:rPr>
        <w:t>Lægen bør ordinere den mest hensigtsmæssige lægemiddelform og -styrke i forhold til alder, vægt og dosis.</w:t>
      </w:r>
    </w:p>
    <w:p w14:paraId="1A6A1C60" w14:textId="745BB867" w:rsidR="008C5DDB" w:rsidRPr="00475DC9" w:rsidRDefault="008C5DDB" w:rsidP="001B4015">
      <w:pPr>
        <w:ind w:left="851"/>
        <w:rPr>
          <w:rFonts w:eastAsia="SimSun"/>
          <w:sz w:val="24"/>
          <w:szCs w:val="24"/>
        </w:rPr>
      </w:pPr>
      <w:r w:rsidRPr="00475DC9">
        <w:rPr>
          <w:sz w:val="24"/>
          <w:szCs w:val="24"/>
        </w:rPr>
        <w:t xml:space="preserve">Intravenøs infusion bør administreres med en hastighed, der ikke overskrider 10 ml/min. </w:t>
      </w:r>
      <w:r w:rsidR="00395A81">
        <w:rPr>
          <w:sz w:val="24"/>
          <w:szCs w:val="24"/>
        </w:rPr>
        <w:t>Fluconazole "Noridem"</w:t>
      </w:r>
      <w:r w:rsidRPr="00475DC9">
        <w:rPr>
          <w:sz w:val="24"/>
          <w:szCs w:val="24"/>
        </w:rPr>
        <w:t xml:space="preserve"> er formuleret i natriumchlorid 9 mg/ml (0,9%) infusionsvæske, opløsning, hver 200 mg (100 ml pose/flaske) indeholder 15,4 mmol og hver 400 mg (200 ml flaske) indeholder 30,8 mmol hver med Na</w:t>
      </w:r>
      <w:r w:rsidRPr="00475DC9">
        <w:rPr>
          <w:sz w:val="24"/>
          <w:szCs w:val="24"/>
          <w:vertAlign w:val="superscript"/>
        </w:rPr>
        <w:t>+</w:t>
      </w:r>
      <w:r w:rsidRPr="00475DC9">
        <w:rPr>
          <w:sz w:val="24"/>
          <w:szCs w:val="24"/>
        </w:rPr>
        <w:t xml:space="preserve"> og C1</w:t>
      </w:r>
      <w:r w:rsidRPr="00475DC9">
        <w:rPr>
          <w:sz w:val="24"/>
          <w:szCs w:val="24"/>
          <w:vertAlign w:val="superscript"/>
        </w:rPr>
        <w:t>-</w:t>
      </w:r>
      <w:r w:rsidRPr="00475DC9">
        <w:rPr>
          <w:sz w:val="24"/>
          <w:szCs w:val="24"/>
        </w:rPr>
        <w:t xml:space="preserve">. Da </w:t>
      </w:r>
      <w:r w:rsidR="00395A81">
        <w:rPr>
          <w:sz w:val="24"/>
          <w:szCs w:val="24"/>
        </w:rPr>
        <w:t>Fluconazole "Noridem"</w:t>
      </w:r>
      <w:r w:rsidRPr="00475DC9">
        <w:rPr>
          <w:sz w:val="24"/>
          <w:szCs w:val="24"/>
        </w:rPr>
        <w:t xml:space="preserve"> findes som fortyndet natriumchloridopløsning til patienter, som kræver natrium- eller væskerestriktion, bør hastigheden af væskeadministration overvejes. </w:t>
      </w:r>
    </w:p>
    <w:p w14:paraId="73CF5215" w14:textId="77777777" w:rsidR="008C5DDB" w:rsidRPr="00475DC9" w:rsidRDefault="008C5DDB" w:rsidP="001B4015">
      <w:pPr>
        <w:ind w:left="851"/>
        <w:rPr>
          <w:rFonts w:eastAsia="SimSun"/>
          <w:sz w:val="24"/>
          <w:szCs w:val="24"/>
          <w:lang w:eastAsia="zh-CN"/>
        </w:rPr>
      </w:pPr>
      <w:r w:rsidRPr="00475DC9">
        <w:rPr>
          <w:sz w:val="24"/>
          <w:szCs w:val="24"/>
        </w:rPr>
        <w:t xml:space="preserve">For instruktioner om fortynding af lægemidlet før administration, se pkt. 6.6. </w:t>
      </w:r>
    </w:p>
    <w:p w14:paraId="64B5D7A2" w14:textId="77777777" w:rsidR="009260DE" w:rsidRPr="00475DC9" w:rsidRDefault="009260DE" w:rsidP="009260DE">
      <w:pPr>
        <w:tabs>
          <w:tab w:val="left" w:pos="851"/>
        </w:tabs>
        <w:ind w:left="851"/>
        <w:rPr>
          <w:sz w:val="24"/>
          <w:szCs w:val="24"/>
        </w:rPr>
      </w:pPr>
    </w:p>
    <w:p w14:paraId="2F1E41FC" w14:textId="77777777" w:rsidR="009260DE" w:rsidRPr="00475DC9" w:rsidRDefault="009260DE" w:rsidP="009260DE">
      <w:pPr>
        <w:tabs>
          <w:tab w:val="left" w:pos="851"/>
        </w:tabs>
        <w:ind w:left="851" w:hanging="851"/>
        <w:rPr>
          <w:b/>
          <w:sz w:val="24"/>
          <w:szCs w:val="24"/>
        </w:rPr>
      </w:pPr>
      <w:r w:rsidRPr="00475DC9">
        <w:rPr>
          <w:b/>
          <w:sz w:val="24"/>
          <w:szCs w:val="24"/>
        </w:rPr>
        <w:t>4.3</w:t>
      </w:r>
      <w:r w:rsidRPr="00475DC9">
        <w:rPr>
          <w:b/>
          <w:sz w:val="24"/>
          <w:szCs w:val="24"/>
        </w:rPr>
        <w:tab/>
        <w:t>Kontraindikationer</w:t>
      </w:r>
    </w:p>
    <w:p w14:paraId="600CEBF2" w14:textId="77777777" w:rsidR="008C5DDB" w:rsidRPr="00475DC9" w:rsidRDefault="008C5DDB" w:rsidP="001B4015">
      <w:pPr>
        <w:ind w:left="851"/>
        <w:rPr>
          <w:rFonts w:eastAsia="SimSun"/>
          <w:sz w:val="24"/>
          <w:szCs w:val="24"/>
        </w:rPr>
      </w:pPr>
      <w:r w:rsidRPr="00475DC9">
        <w:rPr>
          <w:sz w:val="24"/>
          <w:szCs w:val="24"/>
        </w:rPr>
        <w:t xml:space="preserve">Overfølsomhed over for det aktive stof, andre azolderivater eller over for et eller flere af hjælpestofferne anført i pkt. 6.1. </w:t>
      </w:r>
    </w:p>
    <w:p w14:paraId="6AC47A47" w14:textId="77777777" w:rsidR="008C5DDB" w:rsidRPr="00475DC9" w:rsidRDefault="008C5DDB" w:rsidP="001B4015">
      <w:pPr>
        <w:ind w:left="851"/>
        <w:rPr>
          <w:rFonts w:eastAsia="SimSun"/>
          <w:sz w:val="24"/>
          <w:szCs w:val="24"/>
          <w:lang w:eastAsia="zh-CN"/>
        </w:rPr>
      </w:pPr>
    </w:p>
    <w:p w14:paraId="0E93EE0E" w14:textId="08FF22CE" w:rsidR="008C5DDB" w:rsidRPr="00475DC9" w:rsidRDefault="008C5DDB" w:rsidP="001B4015">
      <w:pPr>
        <w:ind w:left="851"/>
        <w:rPr>
          <w:rFonts w:eastAsia="SimSun"/>
          <w:sz w:val="24"/>
          <w:szCs w:val="24"/>
        </w:rPr>
      </w:pPr>
      <w:r w:rsidRPr="00475DC9">
        <w:rPr>
          <w:sz w:val="24"/>
          <w:szCs w:val="24"/>
        </w:rPr>
        <w:t xml:space="preserve">Samtidig behandling med terfenadin er kontraindiceret hos patienter, der får </w:t>
      </w:r>
      <w:r w:rsidR="00395A81">
        <w:rPr>
          <w:sz w:val="24"/>
          <w:szCs w:val="24"/>
        </w:rPr>
        <w:t>Fluconazole "Noridem"</w:t>
      </w:r>
      <w:r w:rsidRPr="00475DC9">
        <w:rPr>
          <w:sz w:val="24"/>
          <w:szCs w:val="24"/>
        </w:rPr>
        <w:t xml:space="preserve"> 400 mg dagligt eller højere i flergangsdosering, baseret på resultaterne i et interaktionsforsøg med flerdosisbehandling. Samtidig behandling med andre lægemidler kendt for at forlænge QT-intervallet, og som metaboliseres via cytokrom P450 (CYP) 3A4 som f.eks. cisaprid, astemizol, pimozid, quinidin og erythromycin er kontraindiceret hos patienter, der får fluconazol (se pkt. 4.4 og 4.5). </w:t>
      </w:r>
    </w:p>
    <w:p w14:paraId="53CCD6A9" w14:textId="77777777" w:rsidR="009260DE" w:rsidRPr="00475DC9" w:rsidRDefault="009260DE" w:rsidP="009260DE">
      <w:pPr>
        <w:tabs>
          <w:tab w:val="left" w:pos="851"/>
        </w:tabs>
        <w:ind w:left="851"/>
        <w:rPr>
          <w:sz w:val="24"/>
          <w:szCs w:val="24"/>
        </w:rPr>
      </w:pPr>
    </w:p>
    <w:p w14:paraId="7453FF16" w14:textId="77777777" w:rsidR="009260DE" w:rsidRPr="00475DC9" w:rsidRDefault="009260DE" w:rsidP="009260DE">
      <w:pPr>
        <w:tabs>
          <w:tab w:val="left" w:pos="851"/>
        </w:tabs>
        <w:ind w:left="851" w:hanging="851"/>
        <w:rPr>
          <w:b/>
          <w:sz w:val="24"/>
          <w:szCs w:val="24"/>
        </w:rPr>
      </w:pPr>
      <w:r w:rsidRPr="00475DC9">
        <w:rPr>
          <w:b/>
          <w:sz w:val="24"/>
          <w:szCs w:val="24"/>
        </w:rPr>
        <w:t>4.4</w:t>
      </w:r>
      <w:r w:rsidRPr="00475DC9">
        <w:rPr>
          <w:b/>
          <w:sz w:val="24"/>
          <w:szCs w:val="24"/>
        </w:rPr>
        <w:tab/>
        <w:t>Særlige advarsler og forsigtighedsregler vedrørende brugen</w:t>
      </w:r>
    </w:p>
    <w:p w14:paraId="101008BF" w14:textId="77777777" w:rsidR="00475DC9" w:rsidRDefault="00475DC9" w:rsidP="001B4015">
      <w:pPr>
        <w:ind w:left="851"/>
        <w:rPr>
          <w:sz w:val="24"/>
          <w:szCs w:val="24"/>
        </w:rPr>
      </w:pPr>
    </w:p>
    <w:p w14:paraId="5D420F1E" w14:textId="36665D24" w:rsidR="008C5DDB" w:rsidRPr="00475DC9" w:rsidRDefault="008C5DDB" w:rsidP="001B4015">
      <w:pPr>
        <w:ind w:left="851"/>
        <w:rPr>
          <w:rFonts w:eastAsia="SimSun"/>
          <w:i/>
          <w:sz w:val="24"/>
          <w:szCs w:val="24"/>
          <w:u w:val="single"/>
        </w:rPr>
      </w:pPr>
      <w:r w:rsidRPr="00475DC9">
        <w:rPr>
          <w:i/>
          <w:sz w:val="24"/>
          <w:szCs w:val="24"/>
          <w:u w:val="single"/>
        </w:rPr>
        <w:t xml:space="preserve">Tinea capitis </w:t>
      </w:r>
    </w:p>
    <w:p w14:paraId="4A4ACF42" w14:textId="1473E2DC" w:rsidR="008C5DDB" w:rsidRPr="00475DC9" w:rsidRDefault="00395A81" w:rsidP="001B4015">
      <w:pPr>
        <w:ind w:left="851"/>
        <w:rPr>
          <w:rFonts w:eastAsia="SimSun"/>
          <w:iCs/>
          <w:sz w:val="24"/>
          <w:szCs w:val="24"/>
        </w:rPr>
      </w:pPr>
      <w:r>
        <w:rPr>
          <w:sz w:val="24"/>
          <w:szCs w:val="24"/>
        </w:rPr>
        <w:t>Fluconazole "Noridem"</w:t>
      </w:r>
      <w:r w:rsidR="008C5DDB" w:rsidRPr="00475DC9">
        <w:rPr>
          <w:sz w:val="24"/>
          <w:szCs w:val="24"/>
        </w:rPr>
        <w:t xml:space="preserve"> er blevet undersøgt til behandling af tinea capitis hos børn. Resultatet er ikke bedre end for griseofulvin, og succesraten var generelt mindre end 20 %. Derfor bør </w:t>
      </w:r>
      <w:r>
        <w:rPr>
          <w:sz w:val="24"/>
          <w:szCs w:val="24"/>
        </w:rPr>
        <w:t>Fluconazole "Noridem"</w:t>
      </w:r>
      <w:r w:rsidR="008C5DDB" w:rsidRPr="00475DC9">
        <w:rPr>
          <w:sz w:val="24"/>
          <w:szCs w:val="24"/>
        </w:rPr>
        <w:t xml:space="preserve"> ikke anvendes mod tinea capitis. </w:t>
      </w:r>
    </w:p>
    <w:p w14:paraId="32FDFD41" w14:textId="77777777" w:rsidR="008C5DDB" w:rsidRPr="00475DC9" w:rsidRDefault="008C5DDB" w:rsidP="001B4015">
      <w:pPr>
        <w:ind w:left="851"/>
        <w:rPr>
          <w:rFonts w:eastAsia="SimSun"/>
          <w:sz w:val="24"/>
          <w:szCs w:val="24"/>
          <w:lang w:eastAsia="zh-CN"/>
        </w:rPr>
      </w:pPr>
    </w:p>
    <w:p w14:paraId="54E97E21" w14:textId="77777777" w:rsidR="008C5DDB" w:rsidRPr="00475DC9" w:rsidRDefault="008C5DDB" w:rsidP="001B4015">
      <w:pPr>
        <w:ind w:left="851"/>
        <w:rPr>
          <w:rFonts w:eastAsia="SimSun"/>
          <w:sz w:val="24"/>
          <w:szCs w:val="24"/>
          <w:u w:val="single"/>
        </w:rPr>
      </w:pPr>
      <w:r w:rsidRPr="00475DC9">
        <w:rPr>
          <w:sz w:val="24"/>
          <w:szCs w:val="24"/>
          <w:u w:val="single"/>
        </w:rPr>
        <w:t xml:space="preserve">Kryptokokkose </w:t>
      </w:r>
    </w:p>
    <w:p w14:paraId="1C9897D3" w14:textId="77777777" w:rsidR="008C5DDB" w:rsidRPr="00475DC9" w:rsidRDefault="008C5DDB" w:rsidP="001B4015">
      <w:pPr>
        <w:ind w:left="851"/>
        <w:rPr>
          <w:rFonts w:eastAsia="SimSun"/>
          <w:sz w:val="24"/>
          <w:szCs w:val="24"/>
        </w:rPr>
      </w:pPr>
      <w:r w:rsidRPr="00475DC9">
        <w:rPr>
          <w:sz w:val="24"/>
          <w:szCs w:val="24"/>
        </w:rPr>
        <w:t xml:space="preserve">Der er begrænset bevis for fluconazols virkning ved behandling af kryptokokkose andre steder (f.eks. pulmonal eller kutan kryptokokkose). Dosisanbefaling er derfor ikke mulig. </w:t>
      </w:r>
    </w:p>
    <w:p w14:paraId="25053958" w14:textId="77777777" w:rsidR="008C5DDB" w:rsidRPr="00475DC9" w:rsidRDefault="008C5DDB" w:rsidP="001B4015">
      <w:pPr>
        <w:ind w:left="851"/>
        <w:rPr>
          <w:rFonts w:eastAsia="SimSun"/>
          <w:sz w:val="24"/>
          <w:szCs w:val="24"/>
          <w:lang w:eastAsia="zh-CN"/>
        </w:rPr>
      </w:pPr>
    </w:p>
    <w:p w14:paraId="5475A794" w14:textId="77777777" w:rsidR="008C5DDB" w:rsidRPr="00475DC9" w:rsidRDefault="008C5DDB" w:rsidP="001B4015">
      <w:pPr>
        <w:ind w:left="851"/>
        <w:rPr>
          <w:rFonts w:eastAsia="SimSun"/>
          <w:sz w:val="24"/>
          <w:szCs w:val="24"/>
          <w:u w:val="single"/>
        </w:rPr>
      </w:pPr>
      <w:r w:rsidRPr="00475DC9">
        <w:rPr>
          <w:sz w:val="24"/>
          <w:szCs w:val="24"/>
          <w:u w:val="single"/>
        </w:rPr>
        <w:t xml:space="preserve">Dyb endemisk mykose </w:t>
      </w:r>
    </w:p>
    <w:p w14:paraId="40AAC4F6" w14:textId="77777777" w:rsidR="008C5DDB" w:rsidRPr="00475DC9" w:rsidRDefault="008C5DDB" w:rsidP="001B4015">
      <w:pPr>
        <w:ind w:left="851"/>
        <w:rPr>
          <w:rFonts w:eastAsia="SimSun"/>
          <w:sz w:val="24"/>
          <w:szCs w:val="24"/>
        </w:rPr>
      </w:pPr>
      <w:r w:rsidRPr="00475DC9">
        <w:rPr>
          <w:sz w:val="24"/>
          <w:szCs w:val="24"/>
        </w:rPr>
        <w:t xml:space="preserve">Der er begrænset bevis for fluconazols virkning ved behandling af andre former for endemiske mykoser som f.eks. </w:t>
      </w:r>
      <w:r w:rsidRPr="00D35D6B">
        <w:rPr>
          <w:i/>
          <w:iCs/>
          <w:sz w:val="24"/>
          <w:szCs w:val="24"/>
        </w:rPr>
        <w:t>parakokcidioidomykose, lymfokutan sporotrikose</w:t>
      </w:r>
      <w:r w:rsidRPr="00475DC9">
        <w:rPr>
          <w:sz w:val="24"/>
          <w:szCs w:val="24"/>
        </w:rPr>
        <w:t xml:space="preserve"> og </w:t>
      </w:r>
      <w:r w:rsidRPr="00D35D6B">
        <w:rPr>
          <w:i/>
          <w:iCs/>
          <w:sz w:val="24"/>
          <w:szCs w:val="24"/>
        </w:rPr>
        <w:t>histoplasmose</w:t>
      </w:r>
      <w:r w:rsidRPr="00475DC9">
        <w:rPr>
          <w:sz w:val="24"/>
          <w:szCs w:val="24"/>
        </w:rPr>
        <w:t xml:space="preserve">. Dosisanbefaling er derfor ikke mulig. </w:t>
      </w:r>
    </w:p>
    <w:p w14:paraId="7252F64B" w14:textId="77777777" w:rsidR="008C5DDB" w:rsidRPr="00475DC9" w:rsidRDefault="008C5DDB" w:rsidP="001B4015">
      <w:pPr>
        <w:ind w:left="851"/>
        <w:rPr>
          <w:rFonts w:eastAsia="SimSun"/>
          <w:sz w:val="24"/>
          <w:szCs w:val="24"/>
          <w:lang w:eastAsia="zh-CN"/>
        </w:rPr>
      </w:pPr>
    </w:p>
    <w:p w14:paraId="73BF8EC8" w14:textId="77777777" w:rsidR="008C5DDB" w:rsidRPr="00475DC9" w:rsidRDefault="008C5DDB" w:rsidP="001B4015">
      <w:pPr>
        <w:ind w:left="851"/>
        <w:rPr>
          <w:rFonts w:eastAsia="SimSun"/>
          <w:sz w:val="24"/>
          <w:szCs w:val="24"/>
          <w:u w:val="single"/>
        </w:rPr>
      </w:pPr>
      <w:r w:rsidRPr="00475DC9">
        <w:rPr>
          <w:sz w:val="24"/>
          <w:szCs w:val="24"/>
          <w:u w:val="single"/>
        </w:rPr>
        <w:t xml:space="preserve">Nyresystemet </w:t>
      </w:r>
    </w:p>
    <w:p w14:paraId="16D59275" w14:textId="011EBB5D" w:rsidR="008C5DDB" w:rsidRPr="00475DC9" w:rsidRDefault="00395A81" w:rsidP="001B4015">
      <w:pPr>
        <w:ind w:left="851"/>
        <w:rPr>
          <w:rFonts w:eastAsia="SimSun"/>
          <w:sz w:val="24"/>
          <w:szCs w:val="24"/>
        </w:rPr>
      </w:pPr>
      <w:r>
        <w:rPr>
          <w:sz w:val="24"/>
          <w:szCs w:val="24"/>
        </w:rPr>
        <w:t>Fluconazole "Noridem"</w:t>
      </w:r>
      <w:r w:rsidR="008C5DDB" w:rsidRPr="00475DC9">
        <w:rPr>
          <w:sz w:val="24"/>
          <w:szCs w:val="24"/>
        </w:rPr>
        <w:t xml:space="preserve"> bør anvendes med forsigtighed til patienter med nedsat nyrefunktion (se pkt. 4.2). </w:t>
      </w:r>
    </w:p>
    <w:p w14:paraId="1A605977" w14:textId="77777777" w:rsidR="008C5DDB" w:rsidRPr="00475DC9" w:rsidRDefault="008C5DDB" w:rsidP="001B4015">
      <w:pPr>
        <w:ind w:left="851"/>
        <w:rPr>
          <w:rFonts w:eastAsia="SimSun"/>
          <w:sz w:val="24"/>
          <w:szCs w:val="24"/>
          <w:lang w:eastAsia="zh-CN"/>
        </w:rPr>
      </w:pPr>
    </w:p>
    <w:p w14:paraId="7D54DE3A" w14:textId="77777777" w:rsidR="008C5DDB" w:rsidRPr="00475DC9" w:rsidRDefault="008C5DDB" w:rsidP="001B4015">
      <w:pPr>
        <w:ind w:left="851"/>
        <w:rPr>
          <w:rFonts w:eastAsia="SimSun"/>
          <w:sz w:val="24"/>
          <w:szCs w:val="24"/>
          <w:u w:val="single"/>
        </w:rPr>
      </w:pPr>
      <w:r w:rsidRPr="00475DC9">
        <w:rPr>
          <w:sz w:val="24"/>
          <w:szCs w:val="24"/>
          <w:u w:val="single"/>
        </w:rPr>
        <w:t>Binyrebarkinsufficiens</w:t>
      </w:r>
    </w:p>
    <w:p w14:paraId="3BDE5985" w14:textId="77777777" w:rsidR="008C5DDB" w:rsidRPr="00475DC9" w:rsidRDefault="008C5DDB" w:rsidP="001B4015">
      <w:pPr>
        <w:ind w:left="851"/>
        <w:rPr>
          <w:rFonts w:eastAsia="SimSun"/>
          <w:sz w:val="24"/>
          <w:szCs w:val="24"/>
        </w:rPr>
      </w:pPr>
      <w:r w:rsidRPr="00475DC9">
        <w:rPr>
          <w:sz w:val="24"/>
          <w:szCs w:val="24"/>
        </w:rPr>
        <w:t>Det er kendt, at ketoconazol kan forårsage binyrebarkinsufficiens, og dette kan i sjældne tilfælde, også gælde for fluconazol.</w:t>
      </w:r>
    </w:p>
    <w:p w14:paraId="5C1D264C" w14:textId="77777777" w:rsidR="008C5DDB" w:rsidRPr="00475DC9" w:rsidRDefault="008C5DDB" w:rsidP="001B4015">
      <w:pPr>
        <w:ind w:left="851"/>
        <w:rPr>
          <w:rFonts w:eastAsia="SimSun"/>
          <w:bCs/>
          <w:sz w:val="24"/>
          <w:szCs w:val="24"/>
        </w:rPr>
      </w:pPr>
      <w:r w:rsidRPr="00475DC9">
        <w:rPr>
          <w:sz w:val="24"/>
          <w:szCs w:val="24"/>
        </w:rPr>
        <w:t>Binyrebarkinsufficiens relateret til samtidig behandling med prednison, se pkt. 4.5. ”</w:t>
      </w:r>
      <w:r w:rsidRPr="00475DC9">
        <w:rPr>
          <w:bCs/>
          <w:sz w:val="24"/>
          <w:szCs w:val="24"/>
        </w:rPr>
        <w:t>Effekten af fluconazol på andre lægemidler”.</w:t>
      </w:r>
    </w:p>
    <w:p w14:paraId="6553096C" w14:textId="77777777" w:rsidR="008C5DDB" w:rsidRPr="00475DC9" w:rsidRDefault="008C5DDB" w:rsidP="001B4015">
      <w:pPr>
        <w:ind w:left="851"/>
        <w:rPr>
          <w:rFonts w:eastAsia="SimSun"/>
          <w:sz w:val="24"/>
          <w:szCs w:val="24"/>
          <w:lang w:eastAsia="zh-CN"/>
        </w:rPr>
      </w:pPr>
    </w:p>
    <w:p w14:paraId="3D9D6FF1" w14:textId="77777777" w:rsidR="008C5DDB" w:rsidRPr="00475DC9" w:rsidRDefault="008C5DDB" w:rsidP="001B4015">
      <w:pPr>
        <w:ind w:left="851"/>
        <w:rPr>
          <w:rFonts w:eastAsia="SimSun"/>
          <w:sz w:val="24"/>
          <w:szCs w:val="24"/>
          <w:u w:val="single"/>
        </w:rPr>
      </w:pPr>
      <w:r w:rsidRPr="00475DC9">
        <w:rPr>
          <w:sz w:val="24"/>
          <w:szCs w:val="24"/>
          <w:u w:val="single"/>
        </w:rPr>
        <w:t xml:space="preserve">Lever og galdeveje </w:t>
      </w:r>
    </w:p>
    <w:p w14:paraId="5BDC461E" w14:textId="7D11F26D" w:rsidR="008C5DDB" w:rsidRPr="00475DC9" w:rsidRDefault="00395A81" w:rsidP="001B4015">
      <w:pPr>
        <w:ind w:left="851"/>
        <w:rPr>
          <w:rFonts w:eastAsia="SimSun"/>
          <w:sz w:val="24"/>
          <w:szCs w:val="24"/>
        </w:rPr>
      </w:pPr>
      <w:r>
        <w:rPr>
          <w:sz w:val="24"/>
          <w:szCs w:val="24"/>
        </w:rPr>
        <w:t>Fluconazole "Noridem"</w:t>
      </w:r>
      <w:r w:rsidR="008C5DDB" w:rsidRPr="00475DC9">
        <w:rPr>
          <w:sz w:val="24"/>
          <w:szCs w:val="24"/>
        </w:rPr>
        <w:t xml:space="preserve"> bør administreres med forsigtighed til patienter med nedsat leverfunktion. </w:t>
      </w:r>
    </w:p>
    <w:p w14:paraId="2C7AD760" w14:textId="77777777" w:rsidR="008C5DDB" w:rsidRPr="00475DC9" w:rsidRDefault="008C5DDB" w:rsidP="001B4015">
      <w:pPr>
        <w:ind w:left="851"/>
        <w:rPr>
          <w:rFonts w:eastAsia="SimSun"/>
          <w:sz w:val="24"/>
          <w:szCs w:val="24"/>
          <w:lang w:eastAsia="zh-CN"/>
        </w:rPr>
      </w:pPr>
    </w:p>
    <w:p w14:paraId="7FA5359E" w14:textId="77777777" w:rsidR="008C5DDB" w:rsidRPr="00475DC9" w:rsidRDefault="008C5DDB" w:rsidP="001B4015">
      <w:pPr>
        <w:ind w:left="851"/>
        <w:rPr>
          <w:rFonts w:eastAsia="SimSun"/>
          <w:sz w:val="24"/>
          <w:szCs w:val="24"/>
        </w:rPr>
      </w:pPr>
      <w:r w:rsidRPr="00475DC9">
        <w:rPr>
          <w:sz w:val="24"/>
          <w:szCs w:val="24"/>
        </w:rPr>
        <w:t xml:space="preserve">Fluconazol er i sjældne tilfælde blevet forbundet med hepatotoksicitet, herunder letale tilfælde, primært hos patienter med alvorlige tilgrundliggende sygdomme. Der er ikke påvist nogen sammenhæng mellem hepatotoksicitet og den totale døgndosis af fluconazol, behandlingsvarigheden eller patientens køn eller alder. I de fleste tilfælde var hepatotoksiciteten reversibel efter seponering. </w:t>
      </w:r>
    </w:p>
    <w:p w14:paraId="0006F400" w14:textId="77777777" w:rsidR="008C5DDB" w:rsidRPr="00475DC9" w:rsidRDefault="008C5DDB" w:rsidP="001B4015">
      <w:pPr>
        <w:ind w:left="851"/>
        <w:rPr>
          <w:rFonts w:eastAsia="SimSun"/>
          <w:sz w:val="24"/>
          <w:szCs w:val="24"/>
          <w:lang w:eastAsia="zh-CN"/>
        </w:rPr>
      </w:pPr>
    </w:p>
    <w:p w14:paraId="25CB5262" w14:textId="77777777" w:rsidR="008C5DDB" w:rsidRPr="00475DC9" w:rsidRDefault="008C5DDB" w:rsidP="001B4015">
      <w:pPr>
        <w:ind w:left="851"/>
        <w:rPr>
          <w:rFonts w:eastAsia="SimSun"/>
          <w:sz w:val="24"/>
          <w:szCs w:val="24"/>
        </w:rPr>
      </w:pPr>
      <w:r w:rsidRPr="00475DC9">
        <w:rPr>
          <w:sz w:val="24"/>
          <w:szCs w:val="24"/>
        </w:rPr>
        <w:t xml:space="preserve">Patienter, som udvikler unormale leverfunktionsværdier under behandling med fluconazol, skal monitoreres tæt for udvikling af mere alvorlige leverskader. </w:t>
      </w:r>
    </w:p>
    <w:p w14:paraId="04243DCB" w14:textId="77777777" w:rsidR="008C5DDB" w:rsidRPr="00475DC9" w:rsidRDefault="008C5DDB" w:rsidP="001B4015">
      <w:pPr>
        <w:ind w:left="851"/>
        <w:rPr>
          <w:rFonts w:eastAsia="SimSun"/>
          <w:sz w:val="24"/>
          <w:szCs w:val="24"/>
        </w:rPr>
      </w:pPr>
      <w:r w:rsidRPr="00475DC9">
        <w:rPr>
          <w:sz w:val="24"/>
          <w:szCs w:val="24"/>
        </w:rPr>
        <w:lastRenderedPageBreak/>
        <w:t xml:space="preserve">Patienten skal informeres om mulige tegn på alvorlig leversygdom (hvor de vigtigste er: asteni, anoreksi, vedvarende kvalme, opkastning og gulsot). Behandlingen med fluconazol bør straks afbrydes, og patienten bør kontakte en læge. </w:t>
      </w:r>
    </w:p>
    <w:p w14:paraId="7D633ABB" w14:textId="77777777" w:rsidR="008C5DDB" w:rsidRPr="00475DC9" w:rsidRDefault="008C5DDB" w:rsidP="001B4015">
      <w:pPr>
        <w:ind w:left="851"/>
        <w:rPr>
          <w:rFonts w:eastAsia="SimSun"/>
          <w:sz w:val="24"/>
          <w:szCs w:val="24"/>
          <w:lang w:eastAsia="zh-CN"/>
        </w:rPr>
      </w:pPr>
    </w:p>
    <w:p w14:paraId="62D11BA8" w14:textId="77777777" w:rsidR="008C5DDB" w:rsidRPr="00475DC9" w:rsidRDefault="008C5DDB" w:rsidP="001B4015">
      <w:pPr>
        <w:ind w:left="851"/>
        <w:rPr>
          <w:rFonts w:eastAsia="SimSun"/>
          <w:sz w:val="24"/>
          <w:szCs w:val="24"/>
          <w:u w:val="single"/>
        </w:rPr>
      </w:pPr>
      <w:r w:rsidRPr="00475DC9">
        <w:rPr>
          <w:sz w:val="24"/>
          <w:szCs w:val="24"/>
          <w:u w:val="single"/>
        </w:rPr>
        <w:t xml:space="preserve">Kardiovaskulært system </w:t>
      </w:r>
    </w:p>
    <w:p w14:paraId="0B1EE276" w14:textId="77777777" w:rsidR="008C5DDB" w:rsidRPr="00475DC9" w:rsidRDefault="008C5DDB" w:rsidP="001B4015">
      <w:pPr>
        <w:ind w:left="851"/>
        <w:rPr>
          <w:rFonts w:eastAsia="SimSun"/>
          <w:sz w:val="24"/>
          <w:szCs w:val="24"/>
        </w:rPr>
      </w:pPr>
      <w:r w:rsidRPr="00475DC9">
        <w:rPr>
          <w:sz w:val="24"/>
          <w:szCs w:val="24"/>
        </w:rPr>
        <w:t xml:space="preserve">Nogle azoler, herunder fluconazol, er blevet forbundet med forlængelse af QT-intervallet i elektrokardiogrammet. Fluconazol forårsager forlængelse af QT-intervallet ved at hæmme den korrigerende kaliumstrøm (Ikr). Forlængelse af QT-intervallet, som forårsages af andre lægemidler (herunder amiodaron), kan forstærkes via hæmning af cytochrom P450 (CYP) 3A4. Efter markedsføring er der set meget sjældne tilfælde af forlængelse af QT-intervallet og </w:t>
      </w:r>
      <w:r w:rsidRPr="00475DC9">
        <w:rPr>
          <w:i/>
          <w:sz w:val="24"/>
          <w:szCs w:val="24"/>
        </w:rPr>
        <w:t>torsades de pointes</w:t>
      </w:r>
      <w:r w:rsidRPr="00475DC9">
        <w:rPr>
          <w:sz w:val="24"/>
          <w:szCs w:val="24"/>
        </w:rPr>
        <w:t xml:space="preserve"> hos patienter i behandling med fluconazol. Disse rapporter omfatter alvorligt syge patienter med flere sammenblandede risikofaktorer, som strukturel hjertesygdom, elektrolytforstyrrelser og samtidig behandling. Patienter med hypokaliæmi og fremskredent hjertesvigt har øget risiko for livstruende tilfælde af ventrikulære arytmier og </w:t>
      </w:r>
      <w:r w:rsidRPr="00475DC9">
        <w:rPr>
          <w:i/>
          <w:sz w:val="24"/>
          <w:szCs w:val="24"/>
        </w:rPr>
        <w:t>torsades de pointes</w:t>
      </w:r>
      <w:r w:rsidRPr="00475DC9">
        <w:rPr>
          <w:sz w:val="24"/>
          <w:szCs w:val="24"/>
        </w:rPr>
        <w:t xml:space="preserve">. </w:t>
      </w:r>
    </w:p>
    <w:p w14:paraId="3AE287F5" w14:textId="77777777" w:rsidR="008C5DDB" w:rsidRPr="00475DC9" w:rsidRDefault="008C5DDB" w:rsidP="001B4015">
      <w:pPr>
        <w:ind w:left="851"/>
        <w:rPr>
          <w:rFonts w:eastAsia="SimSun"/>
          <w:sz w:val="24"/>
          <w:szCs w:val="24"/>
          <w:lang w:eastAsia="zh-CN"/>
        </w:rPr>
      </w:pPr>
    </w:p>
    <w:p w14:paraId="1F869999" w14:textId="4DE697B4" w:rsidR="008C5DDB" w:rsidRPr="00475DC9" w:rsidRDefault="00395A81" w:rsidP="001B4015">
      <w:pPr>
        <w:ind w:left="851"/>
        <w:rPr>
          <w:rFonts w:eastAsia="SimSun"/>
          <w:sz w:val="24"/>
          <w:szCs w:val="24"/>
        </w:rPr>
      </w:pPr>
      <w:r>
        <w:rPr>
          <w:sz w:val="24"/>
          <w:szCs w:val="24"/>
        </w:rPr>
        <w:t>Fluconazole "Noridem"</w:t>
      </w:r>
      <w:r w:rsidR="008C5DDB" w:rsidRPr="00475DC9">
        <w:rPr>
          <w:sz w:val="24"/>
          <w:szCs w:val="24"/>
        </w:rPr>
        <w:t xml:space="preserve"> bør administreres med forsigtighed til patienter med potentielt proarytmiske tilstande. Samtidig administration af andre lægemidler, der er kendt for at forlænge QT-intervallet, og som metaboliseres via cytokromet P450 (CYP) 3A4 er kontraindiceret (se pkt. 4.3 og 4.5). </w:t>
      </w:r>
    </w:p>
    <w:p w14:paraId="09BF4306" w14:textId="77777777" w:rsidR="008C5DDB" w:rsidRPr="00475DC9" w:rsidRDefault="008C5DDB" w:rsidP="001B4015">
      <w:pPr>
        <w:ind w:left="851"/>
        <w:rPr>
          <w:rFonts w:eastAsia="SimSun"/>
          <w:sz w:val="24"/>
          <w:szCs w:val="24"/>
          <w:lang w:eastAsia="zh-CN"/>
        </w:rPr>
      </w:pPr>
    </w:p>
    <w:p w14:paraId="097AF8C0" w14:textId="77777777" w:rsidR="008C5DDB" w:rsidRPr="00475DC9" w:rsidRDefault="008C5DDB" w:rsidP="001B4015">
      <w:pPr>
        <w:ind w:left="851"/>
        <w:rPr>
          <w:rFonts w:eastAsia="SimSun"/>
          <w:sz w:val="24"/>
          <w:szCs w:val="24"/>
          <w:u w:val="single"/>
        </w:rPr>
      </w:pPr>
      <w:r w:rsidRPr="00475DC9">
        <w:rPr>
          <w:sz w:val="24"/>
          <w:szCs w:val="24"/>
          <w:u w:val="single"/>
        </w:rPr>
        <w:t xml:space="preserve">Halofantrin </w:t>
      </w:r>
    </w:p>
    <w:p w14:paraId="4DA5A0BC" w14:textId="77777777" w:rsidR="008C5DDB" w:rsidRPr="00475DC9" w:rsidRDefault="008C5DDB" w:rsidP="001B4015">
      <w:pPr>
        <w:ind w:left="851"/>
        <w:rPr>
          <w:rFonts w:eastAsia="SimSun"/>
          <w:sz w:val="24"/>
          <w:szCs w:val="24"/>
        </w:rPr>
      </w:pPr>
      <w:r w:rsidRPr="00475DC9">
        <w:rPr>
          <w:sz w:val="24"/>
          <w:szCs w:val="24"/>
        </w:rPr>
        <w:t xml:space="preserve">Det er blevet påvist, at den anbefalede terapeutiske dosis af halofantrin forlænger QTc-intervallet, og at det er et CYP3A4-substrat. Samtidig brug af fluconazol og halofantrin anbefales derfor ikke (se pkt. 4.5). </w:t>
      </w:r>
    </w:p>
    <w:p w14:paraId="661434F8" w14:textId="77777777" w:rsidR="008C5DDB" w:rsidRPr="00475DC9" w:rsidRDefault="008C5DDB" w:rsidP="001B4015">
      <w:pPr>
        <w:ind w:left="851"/>
        <w:rPr>
          <w:rFonts w:eastAsia="SimSun"/>
          <w:sz w:val="24"/>
          <w:szCs w:val="24"/>
          <w:lang w:eastAsia="zh-CN"/>
        </w:rPr>
      </w:pPr>
    </w:p>
    <w:p w14:paraId="304104C8" w14:textId="77777777" w:rsidR="008C5DDB" w:rsidRPr="00475DC9" w:rsidRDefault="008C5DDB" w:rsidP="001B4015">
      <w:pPr>
        <w:ind w:left="851"/>
        <w:rPr>
          <w:rFonts w:eastAsia="SimSun"/>
          <w:sz w:val="24"/>
          <w:szCs w:val="24"/>
          <w:u w:val="single"/>
        </w:rPr>
      </w:pPr>
      <w:r w:rsidRPr="00475DC9">
        <w:rPr>
          <w:sz w:val="24"/>
          <w:szCs w:val="24"/>
          <w:u w:val="single"/>
        </w:rPr>
        <w:t xml:space="preserve">Dermatologiske reaktioner </w:t>
      </w:r>
    </w:p>
    <w:p w14:paraId="49613BB5" w14:textId="77777777" w:rsidR="008C5DDB" w:rsidRPr="00475DC9" w:rsidRDefault="008C5DDB" w:rsidP="001B4015">
      <w:pPr>
        <w:ind w:left="851"/>
        <w:rPr>
          <w:rFonts w:eastAsia="SimSun"/>
          <w:sz w:val="24"/>
          <w:szCs w:val="24"/>
        </w:rPr>
      </w:pPr>
      <w:r w:rsidRPr="00475DC9">
        <w:rPr>
          <w:sz w:val="24"/>
          <w:szCs w:val="24"/>
        </w:rPr>
        <w:t xml:space="preserve">Patienter har i sjældne tilfælde udviklet eksfoliative kutane reaktioner, som f.eks. Stevens-Johnsons syndrom og toksisk epidermal nekrolyse under behandling med fluconazol. </w:t>
      </w:r>
      <w:bookmarkStart w:id="1" w:name="_Hlk147327211"/>
      <w:r w:rsidRPr="00475DC9">
        <w:rPr>
          <w:sz w:val="24"/>
          <w:szCs w:val="24"/>
        </w:rPr>
        <w:t>Der er indberettet om lægemiddelreaktioner med eosinofili og systemiske symptomer (DRESS).</w:t>
      </w:r>
      <w:bookmarkEnd w:id="1"/>
      <w:r w:rsidRPr="00475DC9">
        <w:rPr>
          <w:sz w:val="24"/>
          <w:szCs w:val="24"/>
        </w:rPr>
        <w:t xml:space="preserve"> Aids-patienter er mere tilbøjelige til at udvikle alvorlige hudreaktioner i forbindelse med mange lægemidler. Hvis der udvikles udslæt, der kan tilskrives fluconazol, hos en patient i behandling for en overfladisk svampeinfektion, skal fluconazol seponeres. Hvis patienter med invasive/systemiske svampeinfektioner udvikler udslæt, skal de monitoreres tæt og fluconazol seponeres, hvis der udvikles </w:t>
      </w:r>
      <w:r w:rsidRPr="00D35D6B">
        <w:rPr>
          <w:i/>
          <w:sz w:val="24"/>
          <w:szCs w:val="24"/>
        </w:rPr>
        <w:t>bulløse</w:t>
      </w:r>
      <w:r w:rsidRPr="00475DC9">
        <w:rPr>
          <w:sz w:val="24"/>
          <w:szCs w:val="24"/>
        </w:rPr>
        <w:t xml:space="preserve"> læsioner eller </w:t>
      </w:r>
      <w:r w:rsidRPr="00D35D6B">
        <w:rPr>
          <w:i/>
          <w:sz w:val="24"/>
          <w:szCs w:val="24"/>
        </w:rPr>
        <w:t>erythema</w:t>
      </w:r>
      <w:r w:rsidRPr="00475DC9">
        <w:rPr>
          <w:sz w:val="24"/>
          <w:szCs w:val="24"/>
        </w:rPr>
        <w:t xml:space="preserve"> multiforme. </w:t>
      </w:r>
    </w:p>
    <w:p w14:paraId="323C5A6F" w14:textId="77777777" w:rsidR="008C5DDB" w:rsidRPr="00475DC9" w:rsidRDefault="008C5DDB" w:rsidP="001B4015">
      <w:pPr>
        <w:ind w:left="851"/>
        <w:rPr>
          <w:rFonts w:eastAsia="SimSun"/>
          <w:sz w:val="24"/>
          <w:szCs w:val="24"/>
          <w:lang w:eastAsia="zh-CN"/>
        </w:rPr>
      </w:pPr>
    </w:p>
    <w:p w14:paraId="50661955" w14:textId="77777777" w:rsidR="008C5DDB" w:rsidRPr="00475DC9" w:rsidRDefault="008C5DDB" w:rsidP="001B4015">
      <w:pPr>
        <w:ind w:left="851"/>
        <w:rPr>
          <w:rFonts w:eastAsia="SimSun"/>
          <w:sz w:val="24"/>
          <w:szCs w:val="24"/>
          <w:u w:val="single"/>
        </w:rPr>
      </w:pPr>
      <w:r w:rsidRPr="00475DC9">
        <w:rPr>
          <w:sz w:val="24"/>
          <w:szCs w:val="24"/>
          <w:u w:val="single"/>
        </w:rPr>
        <w:t xml:space="preserve">Overfølsomhed </w:t>
      </w:r>
    </w:p>
    <w:p w14:paraId="77E6B6E1" w14:textId="77777777" w:rsidR="008C5DDB" w:rsidRPr="00475DC9" w:rsidRDefault="008C5DDB" w:rsidP="001B4015">
      <w:pPr>
        <w:ind w:left="851"/>
        <w:rPr>
          <w:rFonts w:eastAsia="SimSun"/>
          <w:sz w:val="24"/>
          <w:szCs w:val="24"/>
        </w:rPr>
      </w:pPr>
      <w:r w:rsidRPr="00475DC9">
        <w:rPr>
          <w:sz w:val="24"/>
          <w:szCs w:val="24"/>
        </w:rPr>
        <w:t xml:space="preserve">I sjældne tilfælde er der indberettet om anafylaktiske reaktioner (se pkt. 4.3). </w:t>
      </w:r>
    </w:p>
    <w:p w14:paraId="6902D03E" w14:textId="77777777" w:rsidR="008C5DDB" w:rsidRPr="00475DC9" w:rsidRDefault="008C5DDB" w:rsidP="001B4015">
      <w:pPr>
        <w:ind w:left="851"/>
        <w:rPr>
          <w:rFonts w:eastAsia="SimSun"/>
          <w:sz w:val="24"/>
          <w:szCs w:val="24"/>
          <w:lang w:eastAsia="zh-CN"/>
        </w:rPr>
      </w:pPr>
    </w:p>
    <w:p w14:paraId="2BFBDA21" w14:textId="77777777" w:rsidR="008C5DDB" w:rsidRPr="00475DC9" w:rsidRDefault="008C5DDB" w:rsidP="001B4015">
      <w:pPr>
        <w:ind w:left="851"/>
        <w:rPr>
          <w:rFonts w:eastAsia="SimSun"/>
          <w:sz w:val="24"/>
          <w:szCs w:val="24"/>
          <w:u w:val="single"/>
        </w:rPr>
      </w:pPr>
      <w:r w:rsidRPr="00475DC9">
        <w:rPr>
          <w:sz w:val="24"/>
          <w:szCs w:val="24"/>
          <w:u w:val="single"/>
        </w:rPr>
        <w:t xml:space="preserve">Cytokrom P450 </w:t>
      </w:r>
    </w:p>
    <w:p w14:paraId="77EBE446" w14:textId="73B72FF9" w:rsidR="008C5DDB" w:rsidRPr="00475DC9" w:rsidRDefault="008C5DDB" w:rsidP="001B4015">
      <w:pPr>
        <w:ind w:left="851"/>
        <w:rPr>
          <w:rFonts w:eastAsia="SimSun"/>
          <w:sz w:val="24"/>
          <w:szCs w:val="24"/>
        </w:rPr>
      </w:pPr>
      <w:r w:rsidRPr="00475DC9">
        <w:rPr>
          <w:sz w:val="24"/>
          <w:szCs w:val="24"/>
        </w:rPr>
        <w:t xml:space="preserve">Fluconazol er en moderat CYP2C9- og CYP3A4-hæmmer. Fluconazol er også en stærk CYP2C19-hæmmer. Patienter, der får </w:t>
      </w:r>
      <w:r w:rsidR="00395A81">
        <w:rPr>
          <w:sz w:val="24"/>
          <w:szCs w:val="24"/>
        </w:rPr>
        <w:t>Fluconazole "Noridem"</w:t>
      </w:r>
      <w:r w:rsidRPr="00475DC9">
        <w:rPr>
          <w:sz w:val="24"/>
          <w:szCs w:val="24"/>
        </w:rPr>
        <w:t xml:space="preserve"> samtidig med lægemidler med et smalt terapeutisk vindue, og som metaboliseres via CYP2C9, CYP2C19 og CYP3A4, skal monitoreres (se pkt. 4.5). </w:t>
      </w:r>
    </w:p>
    <w:p w14:paraId="2FA14BCA" w14:textId="77777777" w:rsidR="008C5DDB" w:rsidRPr="00475DC9" w:rsidRDefault="008C5DDB" w:rsidP="001B4015">
      <w:pPr>
        <w:ind w:left="851"/>
        <w:rPr>
          <w:rFonts w:eastAsia="SimSun"/>
          <w:sz w:val="24"/>
          <w:szCs w:val="24"/>
          <w:lang w:eastAsia="zh-CN"/>
        </w:rPr>
      </w:pPr>
    </w:p>
    <w:p w14:paraId="59E54FAF" w14:textId="77777777" w:rsidR="008C5DDB" w:rsidRPr="00475DC9" w:rsidRDefault="008C5DDB" w:rsidP="001B4015">
      <w:pPr>
        <w:ind w:left="851"/>
        <w:rPr>
          <w:rFonts w:eastAsia="SimSun"/>
          <w:sz w:val="24"/>
          <w:szCs w:val="24"/>
          <w:u w:val="single"/>
        </w:rPr>
      </w:pPr>
      <w:r w:rsidRPr="00475DC9">
        <w:rPr>
          <w:sz w:val="24"/>
          <w:szCs w:val="24"/>
          <w:u w:val="single"/>
        </w:rPr>
        <w:t xml:space="preserve">Terfenadin </w:t>
      </w:r>
    </w:p>
    <w:p w14:paraId="4D2EDB78" w14:textId="77777777" w:rsidR="008C5DDB" w:rsidRPr="00475DC9" w:rsidRDefault="008C5DDB" w:rsidP="001B4015">
      <w:pPr>
        <w:ind w:left="851"/>
        <w:rPr>
          <w:rFonts w:eastAsia="SimSun"/>
          <w:sz w:val="24"/>
          <w:szCs w:val="24"/>
        </w:rPr>
      </w:pPr>
      <w:r w:rsidRPr="00475DC9">
        <w:rPr>
          <w:sz w:val="24"/>
          <w:szCs w:val="24"/>
        </w:rPr>
        <w:t xml:space="preserve">Patienter i samtidig behandling med fluconazol i doser under 400 mg dagligt og terfenadin bør monitoreres omhyggeligt (se pkt. 4.3 og 4.5). </w:t>
      </w:r>
    </w:p>
    <w:p w14:paraId="19A65DD7" w14:textId="06137248" w:rsidR="00D35D6B" w:rsidRDefault="00D35D6B">
      <w:pPr>
        <w:rPr>
          <w:rFonts w:eastAsia="SimSun"/>
          <w:sz w:val="24"/>
          <w:szCs w:val="24"/>
          <w:lang w:eastAsia="zh-CN"/>
        </w:rPr>
      </w:pPr>
      <w:r>
        <w:rPr>
          <w:rFonts w:eastAsia="SimSun"/>
          <w:sz w:val="24"/>
          <w:szCs w:val="24"/>
          <w:lang w:eastAsia="zh-CN"/>
        </w:rPr>
        <w:br w:type="page"/>
      </w:r>
    </w:p>
    <w:p w14:paraId="3313F3EC" w14:textId="77777777" w:rsidR="008C5DDB" w:rsidRPr="00475DC9" w:rsidRDefault="008C5DDB" w:rsidP="001B4015">
      <w:pPr>
        <w:ind w:left="851"/>
        <w:rPr>
          <w:rFonts w:eastAsia="SimSun"/>
          <w:sz w:val="24"/>
          <w:szCs w:val="24"/>
          <w:lang w:eastAsia="zh-CN"/>
        </w:rPr>
      </w:pPr>
    </w:p>
    <w:p w14:paraId="1E6AD361" w14:textId="77777777" w:rsidR="008C5DDB" w:rsidRPr="00475DC9" w:rsidRDefault="008C5DDB" w:rsidP="001B4015">
      <w:pPr>
        <w:ind w:left="851"/>
        <w:rPr>
          <w:sz w:val="24"/>
          <w:szCs w:val="24"/>
          <w:u w:val="single"/>
        </w:rPr>
      </w:pPr>
      <w:r w:rsidRPr="00475DC9">
        <w:rPr>
          <w:sz w:val="24"/>
          <w:szCs w:val="24"/>
          <w:u w:val="single"/>
        </w:rPr>
        <w:t>Candidiasis</w:t>
      </w:r>
    </w:p>
    <w:p w14:paraId="033BF4A7" w14:textId="77777777" w:rsidR="008C5DDB" w:rsidRPr="00475DC9" w:rsidRDefault="008C5DDB" w:rsidP="001B4015">
      <w:pPr>
        <w:ind w:left="851"/>
        <w:rPr>
          <w:sz w:val="24"/>
          <w:szCs w:val="24"/>
        </w:rPr>
      </w:pPr>
      <w:r w:rsidRPr="00475DC9">
        <w:rPr>
          <w:sz w:val="24"/>
          <w:szCs w:val="24"/>
        </w:rPr>
        <w:t xml:space="preserve">I forsøg er der set en øget prævalens af infektion med andre </w:t>
      </w:r>
      <w:r w:rsidRPr="00475DC9">
        <w:rPr>
          <w:i/>
          <w:sz w:val="24"/>
          <w:szCs w:val="24"/>
        </w:rPr>
        <w:t>Candida</w:t>
      </w:r>
      <w:r w:rsidRPr="00475DC9">
        <w:rPr>
          <w:sz w:val="24"/>
          <w:szCs w:val="24"/>
        </w:rPr>
        <w:t xml:space="preserve">-arter end </w:t>
      </w:r>
      <w:r w:rsidRPr="00475DC9">
        <w:rPr>
          <w:i/>
          <w:sz w:val="24"/>
          <w:szCs w:val="24"/>
        </w:rPr>
        <w:t>C. albicans</w:t>
      </w:r>
      <w:r w:rsidRPr="00475DC9">
        <w:rPr>
          <w:sz w:val="24"/>
          <w:szCs w:val="24"/>
        </w:rPr>
        <w:t xml:space="preserve">. Disse er ofte naturligt resistente (f.eks. </w:t>
      </w:r>
      <w:r w:rsidRPr="00475DC9">
        <w:rPr>
          <w:i/>
          <w:sz w:val="24"/>
          <w:szCs w:val="24"/>
        </w:rPr>
        <w:t>C. krusei</w:t>
      </w:r>
      <w:r w:rsidRPr="00475DC9">
        <w:rPr>
          <w:sz w:val="24"/>
          <w:szCs w:val="24"/>
        </w:rPr>
        <w:t xml:space="preserve"> og </w:t>
      </w:r>
      <w:r w:rsidRPr="00475DC9">
        <w:rPr>
          <w:i/>
          <w:sz w:val="24"/>
          <w:szCs w:val="24"/>
        </w:rPr>
        <w:t>C. auris</w:t>
      </w:r>
      <w:r w:rsidRPr="00475DC9">
        <w:rPr>
          <w:sz w:val="24"/>
          <w:szCs w:val="24"/>
        </w:rPr>
        <w:t>) eller udviser nedsat følsomhed over for fluconazol (</w:t>
      </w:r>
      <w:r w:rsidRPr="00475DC9">
        <w:rPr>
          <w:i/>
          <w:sz w:val="24"/>
          <w:szCs w:val="24"/>
        </w:rPr>
        <w:t>C. glabrata</w:t>
      </w:r>
      <w:r w:rsidRPr="00475DC9">
        <w:rPr>
          <w:sz w:val="24"/>
          <w:szCs w:val="24"/>
        </w:rPr>
        <w:t xml:space="preserve">). Sådanne infektioner kan nødvendiggøre anden antimykotisk behandling sekundært til behandlingssvigt. Derfor bør læger tage højde for prævalensen af resistens over for fluconazol i diverse </w:t>
      </w:r>
      <w:r w:rsidRPr="00475DC9">
        <w:rPr>
          <w:i/>
          <w:sz w:val="24"/>
          <w:szCs w:val="24"/>
        </w:rPr>
        <w:t>Candida</w:t>
      </w:r>
      <w:r w:rsidRPr="00475DC9">
        <w:rPr>
          <w:sz w:val="24"/>
          <w:szCs w:val="24"/>
        </w:rPr>
        <w:t>-arter.</w:t>
      </w:r>
    </w:p>
    <w:p w14:paraId="2E2557ED" w14:textId="77777777" w:rsidR="008C5DDB" w:rsidRPr="00475DC9" w:rsidRDefault="008C5DDB" w:rsidP="001B4015">
      <w:pPr>
        <w:ind w:left="851"/>
        <w:rPr>
          <w:rFonts w:eastAsia="SimSun"/>
          <w:sz w:val="24"/>
          <w:szCs w:val="24"/>
          <w:lang w:eastAsia="zh-CN"/>
        </w:rPr>
      </w:pPr>
    </w:p>
    <w:p w14:paraId="69AAEDD9" w14:textId="77777777" w:rsidR="008C5DDB" w:rsidRPr="00475DC9" w:rsidRDefault="008C5DDB" w:rsidP="001B4015">
      <w:pPr>
        <w:ind w:left="851"/>
        <w:rPr>
          <w:rFonts w:eastAsia="SimSun"/>
          <w:sz w:val="24"/>
          <w:szCs w:val="24"/>
          <w:u w:val="single"/>
        </w:rPr>
      </w:pPr>
      <w:r w:rsidRPr="00475DC9">
        <w:rPr>
          <w:sz w:val="24"/>
          <w:szCs w:val="24"/>
          <w:u w:val="single"/>
        </w:rPr>
        <w:t xml:space="preserve">Hjælpestoffer </w:t>
      </w:r>
    </w:p>
    <w:p w14:paraId="5D738B00" w14:textId="77777777" w:rsidR="008C5DDB" w:rsidRPr="00475DC9" w:rsidRDefault="008C5DDB" w:rsidP="001B4015">
      <w:pPr>
        <w:ind w:left="851"/>
        <w:rPr>
          <w:rFonts w:eastAsia="SimSun"/>
          <w:sz w:val="24"/>
          <w:szCs w:val="24"/>
        </w:rPr>
      </w:pPr>
      <w:r w:rsidRPr="00475DC9">
        <w:rPr>
          <w:sz w:val="24"/>
          <w:szCs w:val="24"/>
        </w:rPr>
        <w:t>Dette lægemiddel indeholder 708 mg natrium pr. 200 ml, hvilket svarer til 35,4 % af den WHO-anbefalede maksimale daglige indtagelse på 2 g natrium for en voksen.</w:t>
      </w:r>
    </w:p>
    <w:p w14:paraId="34A871CB" w14:textId="77777777" w:rsidR="008C5DDB" w:rsidRPr="00475DC9" w:rsidRDefault="008C5DDB" w:rsidP="001B4015">
      <w:pPr>
        <w:ind w:left="851"/>
        <w:rPr>
          <w:rFonts w:eastAsia="SimSun"/>
          <w:sz w:val="24"/>
          <w:szCs w:val="24"/>
        </w:rPr>
      </w:pPr>
      <w:bookmarkStart w:id="2" w:name="_Hlk155360137"/>
      <w:r w:rsidRPr="00475DC9">
        <w:rPr>
          <w:sz w:val="24"/>
          <w:szCs w:val="24"/>
        </w:rPr>
        <w:t>17 mmol (391 mg) svarer til næsten 20 % af den WHO-anbefalede natriumindtagelse for en voksen og betragtes som et ”højt” natriumniveau.</w:t>
      </w:r>
    </w:p>
    <w:p w14:paraId="3D2236B6" w14:textId="77777777" w:rsidR="008C5DDB" w:rsidRPr="00475DC9" w:rsidRDefault="008C5DDB" w:rsidP="001B4015">
      <w:pPr>
        <w:ind w:left="851"/>
        <w:rPr>
          <w:rFonts w:eastAsia="SimSun"/>
          <w:sz w:val="24"/>
          <w:szCs w:val="24"/>
        </w:rPr>
      </w:pPr>
      <w:r w:rsidRPr="00475DC9">
        <w:rPr>
          <w:sz w:val="24"/>
          <w:szCs w:val="24"/>
        </w:rPr>
        <w:t>1 dosis på 100 ml (200 mg) eller 2 doser på 50 ml (100 mg) er det laveste antal doseringsenheder, for hvilken tærskelværdien på 17 mmol (391 mg) natrium er næsten nået/overskredet. (Se pkt. 2)</w:t>
      </w:r>
    </w:p>
    <w:bookmarkEnd w:id="2"/>
    <w:p w14:paraId="750B2815" w14:textId="77777777" w:rsidR="009260DE" w:rsidRPr="00475DC9" w:rsidRDefault="009260DE" w:rsidP="009260DE">
      <w:pPr>
        <w:tabs>
          <w:tab w:val="left" w:pos="851"/>
        </w:tabs>
        <w:ind w:left="851"/>
        <w:rPr>
          <w:sz w:val="24"/>
          <w:szCs w:val="24"/>
        </w:rPr>
      </w:pPr>
    </w:p>
    <w:p w14:paraId="480D9960" w14:textId="77777777" w:rsidR="009260DE" w:rsidRPr="00475DC9" w:rsidRDefault="009260DE" w:rsidP="009260DE">
      <w:pPr>
        <w:tabs>
          <w:tab w:val="left" w:pos="851"/>
        </w:tabs>
        <w:ind w:left="851" w:hanging="851"/>
        <w:rPr>
          <w:b/>
          <w:sz w:val="24"/>
          <w:szCs w:val="24"/>
        </w:rPr>
      </w:pPr>
      <w:r w:rsidRPr="00475DC9">
        <w:rPr>
          <w:b/>
          <w:sz w:val="24"/>
          <w:szCs w:val="24"/>
        </w:rPr>
        <w:t>4.5</w:t>
      </w:r>
      <w:r w:rsidRPr="00475DC9">
        <w:rPr>
          <w:b/>
          <w:sz w:val="24"/>
          <w:szCs w:val="24"/>
        </w:rPr>
        <w:tab/>
        <w:t>Interaktion med andre lægemidler og andre former for interaktion</w:t>
      </w:r>
    </w:p>
    <w:p w14:paraId="049ED030" w14:textId="77777777" w:rsidR="00475DC9" w:rsidRDefault="00475DC9" w:rsidP="001B4015">
      <w:pPr>
        <w:ind w:left="851"/>
        <w:rPr>
          <w:sz w:val="24"/>
          <w:szCs w:val="24"/>
        </w:rPr>
      </w:pPr>
    </w:p>
    <w:p w14:paraId="75B71897" w14:textId="522C329F" w:rsidR="008C5DDB" w:rsidRPr="00475DC9" w:rsidRDefault="008C5DDB" w:rsidP="001B4015">
      <w:pPr>
        <w:ind w:left="851"/>
        <w:rPr>
          <w:rFonts w:eastAsia="SimSun"/>
          <w:i/>
          <w:iCs/>
          <w:sz w:val="24"/>
          <w:szCs w:val="24"/>
          <w:u w:val="single"/>
        </w:rPr>
      </w:pPr>
      <w:r w:rsidRPr="00475DC9">
        <w:rPr>
          <w:i/>
          <w:sz w:val="24"/>
          <w:szCs w:val="24"/>
          <w:u w:val="single"/>
        </w:rPr>
        <w:t xml:space="preserve">Samtidig anvendelse af følgende lægemidler er kontraindiceret: </w:t>
      </w:r>
    </w:p>
    <w:p w14:paraId="0C374DF9" w14:textId="77777777" w:rsidR="008C5DDB" w:rsidRPr="00475DC9" w:rsidRDefault="008C5DDB" w:rsidP="001B4015">
      <w:pPr>
        <w:ind w:left="851"/>
        <w:rPr>
          <w:rFonts w:eastAsia="SimSun"/>
          <w:sz w:val="24"/>
          <w:szCs w:val="24"/>
          <w:lang w:eastAsia="zh-CN"/>
        </w:rPr>
      </w:pPr>
    </w:p>
    <w:p w14:paraId="40B6F956" w14:textId="77777777" w:rsidR="008C5DDB" w:rsidRPr="00475DC9" w:rsidRDefault="008C5DDB" w:rsidP="001B4015">
      <w:pPr>
        <w:ind w:left="851"/>
        <w:rPr>
          <w:sz w:val="24"/>
          <w:szCs w:val="24"/>
          <w:u w:val="single"/>
        </w:rPr>
      </w:pPr>
      <w:r w:rsidRPr="00475DC9">
        <w:rPr>
          <w:sz w:val="24"/>
          <w:szCs w:val="24"/>
          <w:u w:val="single"/>
        </w:rPr>
        <w:t xml:space="preserve">Cisaprid: </w:t>
      </w:r>
    </w:p>
    <w:p w14:paraId="468834B4" w14:textId="7463939C" w:rsidR="008C5DDB" w:rsidRPr="00475DC9" w:rsidRDefault="008C5DDB" w:rsidP="001B4015">
      <w:pPr>
        <w:ind w:left="851"/>
        <w:rPr>
          <w:rFonts w:eastAsia="SimSun"/>
          <w:sz w:val="24"/>
          <w:szCs w:val="24"/>
        </w:rPr>
      </w:pPr>
      <w:r w:rsidRPr="00475DC9">
        <w:rPr>
          <w:sz w:val="24"/>
          <w:szCs w:val="24"/>
        </w:rPr>
        <w:t xml:space="preserve">Der har været indberetninger om hjertetilfælde, herunder </w:t>
      </w:r>
      <w:r w:rsidRPr="00475DC9">
        <w:rPr>
          <w:i/>
          <w:sz w:val="24"/>
          <w:szCs w:val="24"/>
        </w:rPr>
        <w:t>torsades</w:t>
      </w:r>
      <w:r w:rsidRPr="00475DC9">
        <w:rPr>
          <w:sz w:val="24"/>
          <w:szCs w:val="24"/>
        </w:rPr>
        <w:t xml:space="preserve"> </w:t>
      </w:r>
      <w:r w:rsidRPr="00475DC9">
        <w:rPr>
          <w:i/>
          <w:sz w:val="24"/>
          <w:szCs w:val="24"/>
        </w:rPr>
        <w:t>de</w:t>
      </w:r>
      <w:r w:rsidRPr="00475DC9">
        <w:rPr>
          <w:sz w:val="24"/>
          <w:szCs w:val="24"/>
        </w:rPr>
        <w:t xml:space="preserve"> </w:t>
      </w:r>
      <w:r w:rsidRPr="00475DC9">
        <w:rPr>
          <w:i/>
          <w:sz w:val="24"/>
          <w:szCs w:val="24"/>
        </w:rPr>
        <w:t>pointes</w:t>
      </w:r>
      <w:r w:rsidRPr="00475DC9">
        <w:rPr>
          <w:sz w:val="24"/>
          <w:szCs w:val="24"/>
        </w:rPr>
        <w:t>, hos patienter, som fik fluconazol sammen med cisaprid. Et kontrolleret forsøg har vist, at fluconazol 200</w:t>
      </w:r>
      <w:r w:rsidR="00475DC9">
        <w:rPr>
          <w:sz w:val="24"/>
          <w:szCs w:val="24"/>
        </w:rPr>
        <w:t> </w:t>
      </w:r>
      <w:r w:rsidRPr="00475DC9">
        <w:rPr>
          <w:sz w:val="24"/>
          <w:szCs w:val="24"/>
        </w:rPr>
        <w:t xml:space="preserve">mg én gang dagligt sammen med cisaprid 20 mg 4 gange dagligt gav en signifikant stigning i plasmakoncentrationen af cisaprid og forlængelse af QTc-intervallet. Samtidig behandling med fluconazol og cisaprid er kontraindiceret (se pkt. 4.3). </w:t>
      </w:r>
    </w:p>
    <w:p w14:paraId="725ABCC6" w14:textId="77777777" w:rsidR="008C5DDB" w:rsidRPr="00475DC9" w:rsidRDefault="008C5DDB" w:rsidP="001B4015">
      <w:pPr>
        <w:ind w:left="851"/>
        <w:rPr>
          <w:rFonts w:eastAsia="SimSun"/>
          <w:sz w:val="24"/>
          <w:szCs w:val="24"/>
          <w:lang w:eastAsia="zh-CN"/>
        </w:rPr>
      </w:pPr>
    </w:p>
    <w:p w14:paraId="1E08DA8A" w14:textId="77777777" w:rsidR="008C5DDB" w:rsidRPr="00475DC9" w:rsidRDefault="008C5DDB" w:rsidP="001B4015">
      <w:pPr>
        <w:ind w:left="851"/>
        <w:rPr>
          <w:sz w:val="24"/>
          <w:szCs w:val="24"/>
          <w:u w:val="single"/>
        </w:rPr>
      </w:pPr>
      <w:r w:rsidRPr="00475DC9">
        <w:rPr>
          <w:sz w:val="24"/>
          <w:szCs w:val="24"/>
          <w:u w:val="single"/>
        </w:rPr>
        <w:t xml:space="preserve">Terfenadin: </w:t>
      </w:r>
    </w:p>
    <w:p w14:paraId="54B4951B" w14:textId="77777777" w:rsidR="008C5DDB" w:rsidRPr="00475DC9" w:rsidRDefault="008C5DDB" w:rsidP="001B4015">
      <w:pPr>
        <w:ind w:left="851"/>
        <w:rPr>
          <w:rFonts w:eastAsia="SimSun"/>
          <w:sz w:val="24"/>
          <w:szCs w:val="24"/>
        </w:rPr>
      </w:pPr>
      <w:r w:rsidRPr="00475DC9">
        <w:rPr>
          <w:sz w:val="24"/>
          <w:szCs w:val="24"/>
        </w:rPr>
        <w:t xml:space="preserve">Eftersom der er set alvorlige hjertearytmier sekundært til forlænget QTc-interval hos patienter i behandling med antimykotiske azoler og terfenadin, er der udført interaktionsforsøg. Et forsøg med 200 mg fluconazol som daglig dosis viste ingen forlængelse af QTc-intervallet. Et andet forsøg med henholdsvis 400 mg og 800 mg fluconazol som daglig dosis viste, at fluconazol i doser på 400 mg eller mere dagligt øger plasmakoncentrationen af terfenadin signifikant. Samtidig behandling med fluconazol i doser på 400 mg eller mere og terfenadin er kontraindiceret (se pkt. 4.3). Ved samtidig behandling med fluconazol i doser under 400 mg dagligt og terfenadin bør patienten monitoreres nøje. </w:t>
      </w:r>
    </w:p>
    <w:p w14:paraId="2EC916C2" w14:textId="77777777" w:rsidR="008C5DDB" w:rsidRPr="00475DC9" w:rsidRDefault="008C5DDB" w:rsidP="001B4015">
      <w:pPr>
        <w:ind w:left="851"/>
        <w:rPr>
          <w:rFonts w:eastAsia="SimSun"/>
          <w:sz w:val="24"/>
          <w:szCs w:val="24"/>
          <w:lang w:eastAsia="zh-CN"/>
        </w:rPr>
      </w:pPr>
    </w:p>
    <w:p w14:paraId="737AE42B" w14:textId="77777777" w:rsidR="008C5DDB" w:rsidRPr="00475DC9" w:rsidRDefault="008C5DDB" w:rsidP="001B4015">
      <w:pPr>
        <w:ind w:left="851"/>
        <w:rPr>
          <w:sz w:val="24"/>
          <w:szCs w:val="24"/>
          <w:u w:val="single"/>
        </w:rPr>
      </w:pPr>
      <w:r w:rsidRPr="00475DC9">
        <w:rPr>
          <w:sz w:val="24"/>
          <w:szCs w:val="24"/>
          <w:u w:val="single"/>
        </w:rPr>
        <w:t xml:space="preserve">Astemizol: </w:t>
      </w:r>
    </w:p>
    <w:p w14:paraId="4C9041B4" w14:textId="2B22BD89" w:rsidR="008C5DDB" w:rsidRPr="00475DC9" w:rsidRDefault="008C5DDB" w:rsidP="001B4015">
      <w:pPr>
        <w:ind w:left="851"/>
        <w:rPr>
          <w:rFonts w:eastAsia="SimSun"/>
          <w:sz w:val="24"/>
          <w:szCs w:val="24"/>
        </w:rPr>
      </w:pPr>
      <w:r w:rsidRPr="00475DC9">
        <w:rPr>
          <w:sz w:val="24"/>
          <w:szCs w:val="24"/>
        </w:rPr>
        <w:t xml:space="preserve">Samtidig behandling med fluconazol og astemizol kan nedsætte astemizols clearance. Den resulterende stigning i astemizols plasmakoncentration kan føre til QT-forlængelse og i sjældne tilfælde </w:t>
      </w:r>
      <w:r w:rsidRPr="00475DC9">
        <w:rPr>
          <w:i/>
          <w:sz w:val="24"/>
          <w:szCs w:val="24"/>
        </w:rPr>
        <w:t>torsades de pointes</w:t>
      </w:r>
      <w:r w:rsidRPr="00475DC9">
        <w:rPr>
          <w:sz w:val="24"/>
          <w:szCs w:val="24"/>
        </w:rPr>
        <w:t>. Samtidig behandling med fluconazol og astemizol er kontraindiceret (se pkt</w:t>
      </w:r>
      <w:r w:rsidR="00475DC9">
        <w:rPr>
          <w:sz w:val="24"/>
          <w:szCs w:val="24"/>
        </w:rPr>
        <w:t>.</w:t>
      </w:r>
      <w:r w:rsidRPr="00475DC9">
        <w:rPr>
          <w:sz w:val="24"/>
          <w:szCs w:val="24"/>
        </w:rPr>
        <w:t xml:space="preserve"> 4.3). </w:t>
      </w:r>
    </w:p>
    <w:p w14:paraId="55356870" w14:textId="77777777" w:rsidR="008C5DDB" w:rsidRPr="00475DC9" w:rsidRDefault="008C5DDB" w:rsidP="001B4015">
      <w:pPr>
        <w:ind w:left="851"/>
        <w:rPr>
          <w:rFonts w:eastAsia="SimSun"/>
          <w:sz w:val="24"/>
          <w:szCs w:val="24"/>
          <w:lang w:eastAsia="zh-CN"/>
        </w:rPr>
      </w:pPr>
    </w:p>
    <w:p w14:paraId="7CF4668D" w14:textId="77777777" w:rsidR="008C5DDB" w:rsidRPr="00475DC9" w:rsidRDefault="008C5DDB" w:rsidP="001B4015">
      <w:pPr>
        <w:ind w:left="851"/>
        <w:rPr>
          <w:sz w:val="24"/>
          <w:szCs w:val="24"/>
          <w:u w:val="single"/>
        </w:rPr>
      </w:pPr>
      <w:r w:rsidRPr="00475DC9">
        <w:rPr>
          <w:sz w:val="24"/>
          <w:szCs w:val="24"/>
          <w:u w:val="single"/>
        </w:rPr>
        <w:t xml:space="preserve">Pimozid: </w:t>
      </w:r>
    </w:p>
    <w:p w14:paraId="2D86EFBE" w14:textId="6FE1A6B5" w:rsidR="008C5DDB" w:rsidRPr="00475DC9" w:rsidRDefault="008C5DDB" w:rsidP="001B4015">
      <w:pPr>
        <w:ind w:left="851"/>
        <w:rPr>
          <w:rFonts w:eastAsia="SimSun"/>
          <w:sz w:val="24"/>
          <w:szCs w:val="24"/>
        </w:rPr>
      </w:pPr>
      <w:r w:rsidRPr="00475DC9">
        <w:rPr>
          <w:sz w:val="24"/>
          <w:szCs w:val="24"/>
        </w:rPr>
        <w:t xml:space="preserve">Selv om det ikke er undersøgt </w:t>
      </w:r>
      <w:r w:rsidRPr="00F00A10">
        <w:rPr>
          <w:i/>
          <w:sz w:val="24"/>
          <w:szCs w:val="24"/>
        </w:rPr>
        <w:t>in vitro</w:t>
      </w:r>
      <w:r w:rsidRPr="00475DC9">
        <w:rPr>
          <w:sz w:val="24"/>
          <w:szCs w:val="24"/>
        </w:rPr>
        <w:t xml:space="preserve"> eller </w:t>
      </w:r>
      <w:r w:rsidRPr="00F00A10">
        <w:rPr>
          <w:i/>
          <w:sz w:val="24"/>
          <w:szCs w:val="24"/>
        </w:rPr>
        <w:t>in vivo</w:t>
      </w:r>
      <w:r w:rsidRPr="00475DC9">
        <w:rPr>
          <w:sz w:val="24"/>
          <w:szCs w:val="24"/>
        </w:rPr>
        <w:t xml:space="preserve">, kan samtidig behandling med fluconazol og pimozid resultere i hæmning af pimozids metabolisme. Stigning i pimozids plasmakoncentration kan føre til QT-forlængelse og i sjældne tilfælde </w:t>
      </w:r>
      <w:r w:rsidRPr="00475DC9">
        <w:rPr>
          <w:i/>
          <w:iCs/>
          <w:sz w:val="24"/>
          <w:szCs w:val="24"/>
        </w:rPr>
        <w:t>torsades de pointes</w:t>
      </w:r>
      <w:r w:rsidRPr="00475DC9">
        <w:rPr>
          <w:iCs/>
          <w:sz w:val="24"/>
          <w:szCs w:val="24"/>
        </w:rPr>
        <w:t>.</w:t>
      </w:r>
      <w:r w:rsidRPr="00475DC9">
        <w:rPr>
          <w:sz w:val="24"/>
          <w:szCs w:val="24"/>
        </w:rPr>
        <w:t xml:space="preserve"> Samtidig behandling med fluconazol og pimozid er kontraindiceret (se pkt. 4.3). </w:t>
      </w:r>
    </w:p>
    <w:p w14:paraId="2CA80D5D" w14:textId="1FBF4C04" w:rsidR="00C24C12" w:rsidRDefault="00C24C12">
      <w:pPr>
        <w:rPr>
          <w:rFonts w:eastAsia="SimSun"/>
          <w:sz w:val="24"/>
          <w:szCs w:val="24"/>
          <w:lang w:eastAsia="zh-CN"/>
        </w:rPr>
      </w:pPr>
      <w:r>
        <w:rPr>
          <w:rFonts w:eastAsia="SimSun"/>
          <w:sz w:val="24"/>
          <w:szCs w:val="24"/>
          <w:lang w:eastAsia="zh-CN"/>
        </w:rPr>
        <w:br w:type="page"/>
      </w:r>
    </w:p>
    <w:p w14:paraId="08D406C1" w14:textId="77777777" w:rsidR="008C5DDB" w:rsidRPr="00475DC9" w:rsidRDefault="008C5DDB" w:rsidP="001B4015">
      <w:pPr>
        <w:ind w:left="851"/>
        <w:rPr>
          <w:rFonts w:eastAsia="SimSun"/>
          <w:sz w:val="24"/>
          <w:szCs w:val="24"/>
          <w:lang w:eastAsia="zh-CN"/>
        </w:rPr>
      </w:pPr>
    </w:p>
    <w:p w14:paraId="46156B3F" w14:textId="77777777" w:rsidR="008C5DDB" w:rsidRPr="00475DC9" w:rsidRDefault="008C5DDB" w:rsidP="001B4015">
      <w:pPr>
        <w:ind w:left="851"/>
        <w:rPr>
          <w:sz w:val="24"/>
          <w:szCs w:val="24"/>
          <w:u w:val="single"/>
        </w:rPr>
      </w:pPr>
      <w:r w:rsidRPr="00475DC9">
        <w:rPr>
          <w:sz w:val="24"/>
          <w:szCs w:val="24"/>
          <w:u w:val="single"/>
        </w:rPr>
        <w:t xml:space="preserve">Quinidin: </w:t>
      </w:r>
    </w:p>
    <w:p w14:paraId="3EC02E26" w14:textId="77777777" w:rsidR="008C5DDB" w:rsidRPr="00475DC9" w:rsidRDefault="008C5DDB" w:rsidP="001B4015">
      <w:pPr>
        <w:ind w:left="851"/>
        <w:rPr>
          <w:rFonts w:eastAsia="SimSun"/>
          <w:sz w:val="24"/>
          <w:szCs w:val="24"/>
        </w:rPr>
      </w:pPr>
      <w:r w:rsidRPr="00475DC9">
        <w:rPr>
          <w:sz w:val="24"/>
          <w:szCs w:val="24"/>
        </w:rPr>
        <w:t xml:space="preserve">Selv om det ikke er undersøgt </w:t>
      </w:r>
      <w:r w:rsidRPr="00C24C12">
        <w:rPr>
          <w:i/>
          <w:sz w:val="24"/>
          <w:szCs w:val="24"/>
        </w:rPr>
        <w:t>in vitro</w:t>
      </w:r>
      <w:r w:rsidRPr="00475DC9">
        <w:rPr>
          <w:sz w:val="24"/>
          <w:szCs w:val="24"/>
        </w:rPr>
        <w:t xml:space="preserve"> eller </w:t>
      </w:r>
      <w:r w:rsidRPr="00C24C12">
        <w:rPr>
          <w:i/>
          <w:sz w:val="24"/>
          <w:szCs w:val="24"/>
        </w:rPr>
        <w:t>in vivo</w:t>
      </w:r>
      <w:r w:rsidRPr="00475DC9">
        <w:rPr>
          <w:sz w:val="24"/>
          <w:szCs w:val="24"/>
        </w:rPr>
        <w:t xml:space="preserve">, kan samtidig administration af fluconazol og quinidin medføre hæmning af quinidins metabolisme. Behandling med quinidin er blevet associeret med QT-forlængelse og i sjældne tilfælde </w:t>
      </w:r>
      <w:r w:rsidRPr="00475DC9">
        <w:rPr>
          <w:i/>
          <w:sz w:val="24"/>
          <w:szCs w:val="24"/>
        </w:rPr>
        <w:t>torsades de pointes</w:t>
      </w:r>
      <w:r w:rsidRPr="00475DC9">
        <w:rPr>
          <w:sz w:val="24"/>
          <w:szCs w:val="24"/>
        </w:rPr>
        <w:t xml:space="preserve">. Samtidig behandling med fluconazol og quinidin er kontraindiceret (se pkt. 4.3). </w:t>
      </w:r>
    </w:p>
    <w:p w14:paraId="6DB72E9C" w14:textId="77777777" w:rsidR="008C5DDB" w:rsidRPr="00475DC9" w:rsidRDefault="008C5DDB" w:rsidP="001B4015">
      <w:pPr>
        <w:ind w:left="851"/>
        <w:rPr>
          <w:rFonts w:eastAsia="SimSun"/>
          <w:sz w:val="24"/>
          <w:szCs w:val="24"/>
          <w:lang w:eastAsia="zh-CN"/>
        </w:rPr>
      </w:pPr>
    </w:p>
    <w:p w14:paraId="27840977" w14:textId="77777777" w:rsidR="008C5DDB" w:rsidRPr="00412B8A" w:rsidRDefault="008C5DDB" w:rsidP="001B4015">
      <w:pPr>
        <w:ind w:left="851"/>
        <w:rPr>
          <w:sz w:val="24"/>
          <w:szCs w:val="24"/>
          <w:u w:val="single"/>
        </w:rPr>
      </w:pPr>
      <w:r w:rsidRPr="00412B8A">
        <w:rPr>
          <w:sz w:val="24"/>
          <w:szCs w:val="24"/>
          <w:u w:val="single"/>
        </w:rPr>
        <w:t xml:space="preserve">Erythromycin: </w:t>
      </w:r>
    </w:p>
    <w:p w14:paraId="0F6BD833" w14:textId="77777777" w:rsidR="008C5DDB" w:rsidRPr="00475DC9" w:rsidRDefault="008C5DDB" w:rsidP="001B4015">
      <w:pPr>
        <w:ind w:left="851"/>
        <w:rPr>
          <w:rFonts w:eastAsia="SimSun"/>
          <w:sz w:val="24"/>
          <w:szCs w:val="24"/>
        </w:rPr>
      </w:pPr>
      <w:r w:rsidRPr="00475DC9">
        <w:rPr>
          <w:sz w:val="24"/>
          <w:szCs w:val="24"/>
        </w:rPr>
        <w:t xml:space="preserve">Ved samtidig anvendelse af fluconazol og erythromycin er der øget risiko for kardiotoksicitet (forlænget QT-interval, </w:t>
      </w:r>
      <w:r w:rsidRPr="00475DC9">
        <w:rPr>
          <w:i/>
          <w:sz w:val="24"/>
          <w:szCs w:val="24"/>
        </w:rPr>
        <w:t>torsades de pointes</w:t>
      </w:r>
      <w:r w:rsidRPr="00475DC9">
        <w:rPr>
          <w:sz w:val="24"/>
          <w:szCs w:val="24"/>
        </w:rPr>
        <w:t xml:space="preserve">) og som følge deraf pludselig hjertedød. Samtidig behandling med fluconazol og erythromycin er kontraindiceret (se pkt. 4.3). </w:t>
      </w:r>
    </w:p>
    <w:p w14:paraId="3751D852" w14:textId="77777777" w:rsidR="008C5DDB" w:rsidRPr="00475DC9" w:rsidRDefault="008C5DDB" w:rsidP="001B4015">
      <w:pPr>
        <w:ind w:left="851"/>
        <w:rPr>
          <w:rFonts w:eastAsia="SimSun"/>
          <w:sz w:val="24"/>
          <w:szCs w:val="24"/>
          <w:lang w:eastAsia="zh-CN"/>
        </w:rPr>
      </w:pPr>
    </w:p>
    <w:p w14:paraId="59E499AE" w14:textId="77777777" w:rsidR="008C5DDB" w:rsidRPr="00412B8A" w:rsidRDefault="008C5DDB" w:rsidP="001B4015">
      <w:pPr>
        <w:ind w:left="851"/>
        <w:rPr>
          <w:rFonts w:eastAsia="SimSun"/>
          <w:i/>
          <w:iCs/>
          <w:sz w:val="24"/>
          <w:szCs w:val="24"/>
          <w:u w:val="single"/>
        </w:rPr>
      </w:pPr>
      <w:r w:rsidRPr="00412B8A">
        <w:rPr>
          <w:i/>
          <w:sz w:val="24"/>
          <w:szCs w:val="24"/>
          <w:u w:val="single"/>
        </w:rPr>
        <w:t xml:space="preserve">Samtidig anvendelse af følgende lægemidler kan ikke anbefales: </w:t>
      </w:r>
    </w:p>
    <w:p w14:paraId="31E88486" w14:textId="77777777" w:rsidR="008C5DDB" w:rsidRPr="00475DC9" w:rsidRDefault="008C5DDB" w:rsidP="001B4015">
      <w:pPr>
        <w:ind w:left="851"/>
        <w:rPr>
          <w:rFonts w:eastAsia="SimSun"/>
          <w:sz w:val="24"/>
          <w:szCs w:val="24"/>
          <w:lang w:eastAsia="zh-CN"/>
        </w:rPr>
      </w:pPr>
    </w:p>
    <w:p w14:paraId="4030DA21" w14:textId="77777777" w:rsidR="008C5DDB" w:rsidRPr="00412B8A" w:rsidRDefault="008C5DDB" w:rsidP="001B4015">
      <w:pPr>
        <w:ind w:left="851"/>
        <w:rPr>
          <w:sz w:val="24"/>
          <w:szCs w:val="24"/>
          <w:u w:val="single"/>
        </w:rPr>
      </w:pPr>
      <w:r w:rsidRPr="00412B8A">
        <w:rPr>
          <w:sz w:val="24"/>
          <w:szCs w:val="24"/>
          <w:u w:val="single"/>
        </w:rPr>
        <w:t xml:space="preserve">Halofantrin: </w:t>
      </w:r>
    </w:p>
    <w:p w14:paraId="2D2CE879" w14:textId="77777777" w:rsidR="008C5DDB" w:rsidRPr="00475DC9" w:rsidRDefault="008C5DDB" w:rsidP="001B4015">
      <w:pPr>
        <w:ind w:left="851"/>
        <w:rPr>
          <w:rFonts w:eastAsia="SimSun"/>
          <w:sz w:val="24"/>
          <w:szCs w:val="24"/>
        </w:rPr>
      </w:pPr>
      <w:r w:rsidRPr="00475DC9">
        <w:rPr>
          <w:sz w:val="24"/>
          <w:szCs w:val="24"/>
        </w:rPr>
        <w:t xml:space="preserve">Fluconazol kan øge halofantrins plasmakoncentration på grund af en hæmmende effekt på CYP3A4. Ved samtidig behandling med fluconazol og halofantrin er der øget risiko for kardiotoksicitet (forlænget QT-interval, </w:t>
      </w:r>
      <w:r w:rsidRPr="00475DC9">
        <w:rPr>
          <w:i/>
          <w:sz w:val="24"/>
          <w:szCs w:val="24"/>
        </w:rPr>
        <w:t>torsades de pointes</w:t>
      </w:r>
      <w:r w:rsidRPr="00475DC9">
        <w:rPr>
          <w:sz w:val="24"/>
          <w:szCs w:val="24"/>
        </w:rPr>
        <w:t xml:space="preserve">) og som følge deraf pludselig hjertedød. Kombinationen bør undgås (se pkt. 4.4). </w:t>
      </w:r>
    </w:p>
    <w:p w14:paraId="2EDF448C" w14:textId="77777777" w:rsidR="008C5DDB" w:rsidRPr="00475DC9" w:rsidRDefault="008C5DDB" w:rsidP="001B4015">
      <w:pPr>
        <w:ind w:left="851"/>
        <w:rPr>
          <w:rFonts w:eastAsia="SimSun"/>
          <w:sz w:val="24"/>
          <w:szCs w:val="24"/>
          <w:lang w:eastAsia="zh-CN"/>
        </w:rPr>
      </w:pPr>
    </w:p>
    <w:p w14:paraId="4655797D" w14:textId="77777777" w:rsidR="008C5DDB" w:rsidRPr="00412B8A" w:rsidRDefault="008C5DDB" w:rsidP="001B4015">
      <w:pPr>
        <w:ind w:left="851"/>
        <w:rPr>
          <w:rFonts w:eastAsia="SimSun"/>
          <w:i/>
          <w:sz w:val="24"/>
          <w:szCs w:val="24"/>
          <w:u w:val="single"/>
        </w:rPr>
      </w:pPr>
      <w:r w:rsidRPr="00412B8A">
        <w:rPr>
          <w:i/>
          <w:sz w:val="24"/>
          <w:szCs w:val="24"/>
          <w:u w:val="single"/>
        </w:rPr>
        <w:t>Samtidig brug af følgende lægemidler skal anvendes med forsigtighed:</w:t>
      </w:r>
    </w:p>
    <w:p w14:paraId="582286F4" w14:textId="77777777" w:rsidR="008C5DDB" w:rsidRPr="00475DC9" w:rsidRDefault="008C5DDB" w:rsidP="001B4015">
      <w:pPr>
        <w:ind w:left="851"/>
        <w:rPr>
          <w:sz w:val="24"/>
          <w:szCs w:val="24"/>
        </w:rPr>
      </w:pPr>
    </w:p>
    <w:p w14:paraId="3FA0109D" w14:textId="77777777" w:rsidR="008C5DDB" w:rsidRPr="00412B8A" w:rsidRDefault="008C5DDB" w:rsidP="001B4015">
      <w:pPr>
        <w:ind w:left="851"/>
        <w:rPr>
          <w:sz w:val="24"/>
          <w:szCs w:val="24"/>
          <w:u w:val="single"/>
        </w:rPr>
      </w:pPr>
      <w:r w:rsidRPr="00412B8A">
        <w:rPr>
          <w:sz w:val="24"/>
          <w:szCs w:val="24"/>
          <w:u w:val="single"/>
        </w:rPr>
        <w:t xml:space="preserve">Amiodaron: </w:t>
      </w:r>
    </w:p>
    <w:p w14:paraId="7AAA25EE" w14:textId="77777777" w:rsidR="008C5DDB" w:rsidRPr="00475DC9" w:rsidRDefault="008C5DDB" w:rsidP="001B4015">
      <w:pPr>
        <w:ind w:left="851"/>
        <w:rPr>
          <w:rFonts w:eastAsia="SimSun"/>
          <w:sz w:val="24"/>
          <w:szCs w:val="24"/>
        </w:rPr>
      </w:pPr>
      <w:r w:rsidRPr="00475DC9">
        <w:rPr>
          <w:sz w:val="24"/>
          <w:szCs w:val="24"/>
        </w:rPr>
        <w:t>Samtidig administration af fluconazol og amiodaron kan øget QT-forlængelsen. Der skal udvises forsigtighed, hvis samtidig administration af fluconazol og amiodaron er nødvendigt, især ved høje doser af fluconazol (800 mg).</w:t>
      </w:r>
    </w:p>
    <w:p w14:paraId="6C7E25ED" w14:textId="77777777" w:rsidR="008C5DDB" w:rsidRPr="00475DC9" w:rsidRDefault="008C5DDB" w:rsidP="001B4015">
      <w:pPr>
        <w:ind w:left="851"/>
        <w:rPr>
          <w:rFonts w:eastAsia="SimSun"/>
          <w:sz w:val="24"/>
          <w:szCs w:val="24"/>
          <w:lang w:eastAsia="zh-CN"/>
        </w:rPr>
      </w:pPr>
    </w:p>
    <w:p w14:paraId="3E81E8B6" w14:textId="77777777" w:rsidR="008C5DDB" w:rsidRPr="00412B8A" w:rsidRDefault="008C5DDB" w:rsidP="001B4015">
      <w:pPr>
        <w:ind w:left="851"/>
        <w:rPr>
          <w:rFonts w:eastAsia="SimSun"/>
          <w:i/>
          <w:sz w:val="24"/>
          <w:szCs w:val="24"/>
          <w:u w:val="single"/>
        </w:rPr>
      </w:pPr>
      <w:r w:rsidRPr="00412B8A">
        <w:rPr>
          <w:i/>
          <w:sz w:val="24"/>
          <w:szCs w:val="24"/>
          <w:u w:val="single"/>
        </w:rPr>
        <w:t xml:space="preserve">Samtidig anvendelse af følgende lægemidler medfører forsigtighedsregler og dosisjustering: </w:t>
      </w:r>
    </w:p>
    <w:p w14:paraId="18C97273" w14:textId="77777777" w:rsidR="008C5DDB" w:rsidRPr="00475DC9" w:rsidRDefault="008C5DDB" w:rsidP="001B4015">
      <w:pPr>
        <w:ind w:left="851"/>
        <w:rPr>
          <w:rFonts w:eastAsia="SimSun"/>
          <w:sz w:val="24"/>
          <w:szCs w:val="24"/>
          <w:lang w:eastAsia="zh-CN"/>
        </w:rPr>
      </w:pPr>
    </w:p>
    <w:p w14:paraId="03386193" w14:textId="77777777" w:rsidR="008C5DDB" w:rsidRPr="00412B8A" w:rsidRDefault="008C5DDB" w:rsidP="001B4015">
      <w:pPr>
        <w:ind w:left="851"/>
        <w:rPr>
          <w:rFonts w:eastAsia="SimSun"/>
          <w:sz w:val="24"/>
          <w:szCs w:val="24"/>
          <w:u w:val="single"/>
        </w:rPr>
      </w:pPr>
      <w:r w:rsidRPr="00412B8A">
        <w:rPr>
          <w:sz w:val="24"/>
          <w:szCs w:val="24"/>
          <w:u w:val="single"/>
        </w:rPr>
        <w:t xml:space="preserve">Andre lægemidlers virkninger på fluconazol </w:t>
      </w:r>
    </w:p>
    <w:p w14:paraId="2503F5EF" w14:textId="77777777" w:rsidR="008C5DDB" w:rsidRPr="00475DC9" w:rsidRDefault="008C5DDB" w:rsidP="001B4015">
      <w:pPr>
        <w:ind w:left="851"/>
        <w:rPr>
          <w:rFonts w:eastAsia="SimSun"/>
          <w:sz w:val="24"/>
          <w:szCs w:val="24"/>
          <w:lang w:eastAsia="zh-CN"/>
        </w:rPr>
      </w:pPr>
    </w:p>
    <w:p w14:paraId="23FE87C7" w14:textId="77777777" w:rsidR="008C5DDB" w:rsidRPr="00412B8A" w:rsidRDefault="008C5DDB" w:rsidP="001B4015">
      <w:pPr>
        <w:ind w:left="851"/>
        <w:rPr>
          <w:sz w:val="24"/>
          <w:szCs w:val="24"/>
          <w:u w:val="single"/>
        </w:rPr>
      </w:pPr>
      <w:r w:rsidRPr="00412B8A">
        <w:rPr>
          <w:sz w:val="24"/>
          <w:szCs w:val="24"/>
          <w:u w:val="single"/>
        </w:rPr>
        <w:t xml:space="preserve">Rifampicin: </w:t>
      </w:r>
    </w:p>
    <w:p w14:paraId="76AB9F60" w14:textId="77777777" w:rsidR="008C5DDB" w:rsidRPr="00475DC9" w:rsidRDefault="008C5DDB" w:rsidP="001B4015">
      <w:pPr>
        <w:ind w:left="851"/>
        <w:rPr>
          <w:rFonts w:eastAsia="SimSun"/>
          <w:sz w:val="24"/>
          <w:szCs w:val="24"/>
        </w:rPr>
      </w:pPr>
      <w:r w:rsidRPr="00475DC9">
        <w:rPr>
          <w:sz w:val="24"/>
          <w:szCs w:val="24"/>
        </w:rPr>
        <w:t xml:space="preserve">Samtidig behandling med fluconazol og rifampicin resulterer i et 25 % fald i AUC og en 20 % kortere halveringstid for fluconazol. Dosisøgning af fluconazol bør overvejes til patienter, der behandles med rifampicin samtidig. </w:t>
      </w:r>
    </w:p>
    <w:p w14:paraId="310E2E05" w14:textId="77777777" w:rsidR="008C5DDB" w:rsidRPr="00475DC9" w:rsidRDefault="008C5DDB" w:rsidP="001B4015">
      <w:pPr>
        <w:ind w:left="851"/>
        <w:rPr>
          <w:rFonts w:eastAsia="SimSun"/>
          <w:sz w:val="24"/>
          <w:szCs w:val="24"/>
          <w:lang w:eastAsia="zh-CN"/>
        </w:rPr>
      </w:pPr>
    </w:p>
    <w:p w14:paraId="0808514F" w14:textId="77777777" w:rsidR="008C5DDB" w:rsidRPr="00475DC9" w:rsidRDefault="008C5DDB" w:rsidP="001B4015">
      <w:pPr>
        <w:ind w:left="851"/>
        <w:rPr>
          <w:rFonts w:eastAsia="SimSun"/>
          <w:sz w:val="24"/>
          <w:szCs w:val="24"/>
        </w:rPr>
      </w:pPr>
      <w:r w:rsidRPr="00475DC9">
        <w:rPr>
          <w:sz w:val="24"/>
          <w:szCs w:val="24"/>
        </w:rPr>
        <w:t xml:space="preserve">Interaktionsforsøg har vist, at der ikke sker klinisk signifikant ændring i absorptionen af oralt administreret fluconazol ved anvendelse sammen med føde, cimetidin, antacida eller efter helkrops-strålebehandling i forbindelse med knoglemarvstransplantation. </w:t>
      </w:r>
    </w:p>
    <w:p w14:paraId="4223EEDC" w14:textId="77777777" w:rsidR="008C5DDB" w:rsidRPr="00475DC9" w:rsidRDefault="008C5DDB" w:rsidP="001B4015">
      <w:pPr>
        <w:ind w:left="851"/>
        <w:rPr>
          <w:rFonts w:eastAsia="SimSun"/>
          <w:sz w:val="24"/>
          <w:szCs w:val="24"/>
          <w:lang w:eastAsia="zh-CN"/>
        </w:rPr>
      </w:pPr>
    </w:p>
    <w:p w14:paraId="778F395F" w14:textId="77777777" w:rsidR="008C5DDB" w:rsidRPr="00412B8A" w:rsidRDefault="008C5DDB" w:rsidP="001B4015">
      <w:pPr>
        <w:ind w:left="851"/>
        <w:rPr>
          <w:sz w:val="24"/>
          <w:szCs w:val="24"/>
          <w:u w:val="single"/>
        </w:rPr>
      </w:pPr>
      <w:r w:rsidRPr="00412B8A">
        <w:rPr>
          <w:sz w:val="24"/>
          <w:szCs w:val="24"/>
          <w:u w:val="single"/>
        </w:rPr>
        <w:t xml:space="preserve">Hydrochlorthiazid: </w:t>
      </w:r>
    </w:p>
    <w:p w14:paraId="4C98EE58" w14:textId="1838C63A" w:rsidR="008C5DDB" w:rsidRPr="00475DC9" w:rsidRDefault="008C5DDB" w:rsidP="001B4015">
      <w:pPr>
        <w:ind w:left="851"/>
        <w:rPr>
          <w:rFonts w:eastAsia="SimSun"/>
          <w:sz w:val="24"/>
          <w:szCs w:val="24"/>
        </w:rPr>
      </w:pPr>
      <w:r w:rsidRPr="00475DC9">
        <w:rPr>
          <w:sz w:val="24"/>
          <w:szCs w:val="24"/>
        </w:rPr>
        <w:t>I et farmakokinetisk interaktionsforsøg, hvor raske frivillige fik flere doser af hydrochlorthiazid samtidig med fluconazol, blev plasmakoncentrationen af fluconazol forøget med 40</w:t>
      </w:r>
      <w:r w:rsidR="00C24C12">
        <w:rPr>
          <w:sz w:val="24"/>
          <w:szCs w:val="24"/>
        </w:rPr>
        <w:t> </w:t>
      </w:r>
      <w:r w:rsidRPr="00475DC9">
        <w:rPr>
          <w:sz w:val="24"/>
          <w:szCs w:val="24"/>
        </w:rPr>
        <w:t>%. En effekt af denne størrelsesorden kræver ikke nødvendigvis ændringer i doseringen af fluconazol til patienter, der samtidig får diuretika.</w:t>
      </w:r>
    </w:p>
    <w:p w14:paraId="21FC7120" w14:textId="77777777" w:rsidR="008C5DDB" w:rsidRPr="00475DC9" w:rsidRDefault="008C5DDB" w:rsidP="001B4015">
      <w:pPr>
        <w:ind w:left="851"/>
        <w:rPr>
          <w:rFonts w:eastAsia="SimSun"/>
          <w:sz w:val="24"/>
          <w:szCs w:val="24"/>
          <w:lang w:eastAsia="zh-CN"/>
        </w:rPr>
      </w:pPr>
    </w:p>
    <w:p w14:paraId="6C8C9337" w14:textId="77777777" w:rsidR="008C5DDB" w:rsidRPr="00412B8A" w:rsidRDefault="008C5DDB" w:rsidP="001B4015">
      <w:pPr>
        <w:ind w:left="851"/>
        <w:rPr>
          <w:rFonts w:eastAsia="SimSun"/>
          <w:sz w:val="24"/>
          <w:szCs w:val="24"/>
          <w:u w:val="single"/>
        </w:rPr>
      </w:pPr>
      <w:r w:rsidRPr="00412B8A">
        <w:rPr>
          <w:sz w:val="24"/>
          <w:szCs w:val="24"/>
          <w:u w:val="single"/>
        </w:rPr>
        <w:t xml:space="preserve">Fluconazols virkning på andre lægemidler: </w:t>
      </w:r>
    </w:p>
    <w:p w14:paraId="67F8A6D4" w14:textId="77777777" w:rsidR="008C5DDB" w:rsidRPr="00475DC9" w:rsidRDefault="008C5DDB" w:rsidP="001B4015">
      <w:pPr>
        <w:ind w:left="851"/>
        <w:rPr>
          <w:rFonts w:eastAsia="SimSun"/>
          <w:sz w:val="24"/>
          <w:szCs w:val="24"/>
          <w:lang w:eastAsia="zh-CN"/>
        </w:rPr>
      </w:pPr>
    </w:p>
    <w:p w14:paraId="49250AFA" w14:textId="77777777" w:rsidR="008C5DDB" w:rsidRPr="00475DC9" w:rsidRDefault="008C5DDB" w:rsidP="001B4015">
      <w:pPr>
        <w:ind w:left="851"/>
        <w:rPr>
          <w:rFonts w:eastAsia="SimSun"/>
          <w:sz w:val="24"/>
          <w:szCs w:val="24"/>
        </w:rPr>
      </w:pPr>
      <w:r w:rsidRPr="00475DC9">
        <w:rPr>
          <w:sz w:val="24"/>
          <w:szCs w:val="24"/>
        </w:rPr>
        <w:t xml:space="preserve">Fluconazol er en moderat hæmmer af cytochrom P450 (CYP) isoenzymerne 2C9 og 3A4. Fluconazol er også en stærk hæmmer af isoenzymet CYP2C19. Ud over de </w:t>
      </w:r>
      <w:r w:rsidRPr="00475DC9">
        <w:rPr>
          <w:sz w:val="24"/>
          <w:szCs w:val="24"/>
        </w:rPr>
        <w:lastRenderedPageBreak/>
        <w:t xml:space="preserve">observerede/dokumenterede interaktioner anført nedenfor er der en risiko for øget plasmakoncentration af andre stoffer metaboliseret af CYP2C9, CYP2C19 og CYP3A4 ved administration sammen med fluconazol. Der skal derfor udvises forsigtighed ved brug af disse kombinationer, og patienterne bør monitoreres nøje. Den enzymhæmmende effekt af fluconazol fortsætter i 4-5 dage efter seponering af fluconazolbehandling pga. fluconazols lange halveringstid (se pkt. 4.3). </w:t>
      </w:r>
    </w:p>
    <w:p w14:paraId="2D22EB3E" w14:textId="77777777" w:rsidR="008C5DDB" w:rsidRPr="00475DC9" w:rsidRDefault="008C5DDB" w:rsidP="001B4015">
      <w:pPr>
        <w:ind w:left="851"/>
        <w:rPr>
          <w:rFonts w:eastAsia="SimSun"/>
          <w:sz w:val="24"/>
          <w:szCs w:val="24"/>
          <w:lang w:eastAsia="zh-CN"/>
        </w:rPr>
      </w:pPr>
    </w:p>
    <w:p w14:paraId="2FA77BDF" w14:textId="77777777" w:rsidR="008C5DDB" w:rsidRPr="00412B8A" w:rsidRDefault="008C5DDB" w:rsidP="001B4015">
      <w:pPr>
        <w:ind w:left="851"/>
        <w:rPr>
          <w:sz w:val="24"/>
          <w:szCs w:val="24"/>
          <w:u w:val="single"/>
        </w:rPr>
      </w:pPr>
      <w:bookmarkStart w:id="3" w:name="_Hlk147327267"/>
      <w:r w:rsidRPr="00412B8A">
        <w:rPr>
          <w:sz w:val="24"/>
          <w:szCs w:val="24"/>
          <w:u w:val="single"/>
        </w:rPr>
        <w:t xml:space="preserve">Abrocitinib: </w:t>
      </w:r>
    </w:p>
    <w:p w14:paraId="4747E564" w14:textId="77777777" w:rsidR="008C5DDB" w:rsidRPr="00475DC9" w:rsidRDefault="008C5DDB" w:rsidP="001B4015">
      <w:pPr>
        <w:ind w:left="851"/>
        <w:rPr>
          <w:rFonts w:eastAsia="SimSun"/>
          <w:sz w:val="24"/>
          <w:szCs w:val="24"/>
        </w:rPr>
      </w:pPr>
      <w:r w:rsidRPr="00475DC9">
        <w:rPr>
          <w:sz w:val="24"/>
          <w:szCs w:val="24"/>
        </w:rPr>
        <w:t>Fluconazol (hæmmer af CYP2C19, 2C9, 3A4) øgede eksponeringen af den aktive del af abrocitinib med 155 %. Hvis fluconazol administreres samtidigt, justeres dosis for abrocitinib som angivet i produktresuméet for abrocitinib.</w:t>
      </w:r>
    </w:p>
    <w:bookmarkEnd w:id="3"/>
    <w:p w14:paraId="2C37FCD4" w14:textId="77777777" w:rsidR="008C5DDB" w:rsidRPr="00475DC9" w:rsidRDefault="008C5DDB" w:rsidP="001B4015">
      <w:pPr>
        <w:ind w:left="851"/>
        <w:rPr>
          <w:rFonts w:eastAsia="SimSun"/>
          <w:sz w:val="24"/>
          <w:szCs w:val="24"/>
          <w:lang w:eastAsia="zh-CN"/>
        </w:rPr>
      </w:pPr>
    </w:p>
    <w:p w14:paraId="7AEB2023" w14:textId="77777777" w:rsidR="008C5DDB" w:rsidRPr="00412B8A" w:rsidRDefault="008C5DDB" w:rsidP="001B4015">
      <w:pPr>
        <w:ind w:left="851"/>
        <w:rPr>
          <w:sz w:val="24"/>
          <w:szCs w:val="24"/>
          <w:u w:val="single"/>
        </w:rPr>
      </w:pPr>
      <w:r w:rsidRPr="00412B8A">
        <w:rPr>
          <w:sz w:val="24"/>
          <w:szCs w:val="24"/>
          <w:u w:val="single"/>
        </w:rPr>
        <w:t xml:space="preserve">Alfentanil: </w:t>
      </w:r>
    </w:p>
    <w:p w14:paraId="293CD7BA" w14:textId="77777777" w:rsidR="008C5DDB" w:rsidRPr="00475DC9" w:rsidRDefault="008C5DDB" w:rsidP="001B4015">
      <w:pPr>
        <w:ind w:left="851"/>
        <w:rPr>
          <w:rFonts w:eastAsia="SimSun"/>
          <w:sz w:val="24"/>
          <w:szCs w:val="24"/>
        </w:rPr>
      </w:pPr>
      <w:r w:rsidRPr="00475DC9">
        <w:rPr>
          <w:sz w:val="24"/>
          <w:szCs w:val="24"/>
        </w:rPr>
        <w:t xml:space="preserve">Ved samtidig behandling med fluconazol (400 mg) og intravenøs alfentanil (20 μg/kg) hos raske forsøgspersoner steg AUC10 for alfentanil til det dobbelte, sandsynligvis på grund af hæmning af CYP3A4. </w:t>
      </w:r>
    </w:p>
    <w:p w14:paraId="1E2CBB89" w14:textId="77777777" w:rsidR="008C5DDB" w:rsidRPr="00475DC9" w:rsidRDefault="008C5DDB" w:rsidP="001B4015">
      <w:pPr>
        <w:ind w:left="851"/>
        <w:rPr>
          <w:rFonts w:eastAsia="SimSun"/>
          <w:sz w:val="24"/>
          <w:szCs w:val="24"/>
        </w:rPr>
      </w:pPr>
      <w:r w:rsidRPr="00475DC9">
        <w:rPr>
          <w:sz w:val="24"/>
          <w:szCs w:val="24"/>
        </w:rPr>
        <w:t xml:space="preserve">Dosisjustering af alfentanil kan være nødvendig. </w:t>
      </w:r>
    </w:p>
    <w:p w14:paraId="35233CC1" w14:textId="77777777" w:rsidR="008C5DDB" w:rsidRPr="00475DC9" w:rsidRDefault="008C5DDB" w:rsidP="001B4015">
      <w:pPr>
        <w:ind w:left="851"/>
        <w:rPr>
          <w:rFonts w:eastAsia="SimSun"/>
          <w:sz w:val="24"/>
          <w:szCs w:val="24"/>
          <w:lang w:eastAsia="zh-CN"/>
        </w:rPr>
      </w:pPr>
    </w:p>
    <w:p w14:paraId="23DE849E" w14:textId="77777777" w:rsidR="008C5DDB" w:rsidRPr="00412B8A" w:rsidRDefault="008C5DDB" w:rsidP="001B4015">
      <w:pPr>
        <w:ind w:left="851"/>
        <w:rPr>
          <w:sz w:val="24"/>
          <w:szCs w:val="24"/>
          <w:u w:val="single"/>
        </w:rPr>
      </w:pPr>
      <w:r w:rsidRPr="00412B8A">
        <w:rPr>
          <w:sz w:val="24"/>
          <w:szCs w:val="24"/>
          <w:u w:val="single"/>
        </w:rPr>
        <w:t xml:space="preserve">Amitriptylin, nortriptylin: </w:t>
      </w:r>
    </w:p>
    <w:p w14:paraId="2A926656" w14:textId="77777777" w:rsidR="008C5DDB" w:rsidRPr="00475DC9" w:rsidRDefault="008C5DDB" w:rsidP="001B4015">
      <w:pPr>
        <w:ind w:left="851"/>
        <w:rPr>
          <w:rFonts w:eastAsia="SimSun"/>
          <w:sz w:val="24"/>
          <w:szCs w:val="24"/>
        </w:rPr>
      </w:pPr>
      <w:r w:rsidRPr="00475DC9">
        <w:rPr>
          <w:sz w:val="24"/>
          <w:szCs w:val="24"/>
        </w:rPr>
        <w:t xml:space="preserve">Fluconazol øger effekten af amitriptylin og nortriptylin. 5-nortriptylin og/eller S-amitriptylin kan evt. måles ved start af kombinationsbehandling og efter en uge. Dosis af amitriptylin/nortriptylin bør justeres, hvis nødvendigt. </w:t>
      </w:r>
    </w:p>
    <w:p w14:paraId="4D6CA8EA" w14:textId="77777777" w:rsidR="008C5DDB" w:rsidRPr="00475DC9" w:rsidRDefault="008C5DDB" w:rsidP="001B4015">
      <w:pPr>
        <w:ind w:left="851"/>
        <w:rPr>
          <w:rFonts w:eastAsia="SimSun"/>
          <w:sz w:val="24"/>
          <w:szCs w:val="24"/>
          <w:lang w:eastAsia="zh-CN"/>
        </w:rPr>
      </w:pPr>
    </w:p>
    <w:p w14:paraId="5C98F146" w14:textId="77777777" w:rsidR="008C5DDB" w:rsidRPr="00412B8A" w:rsidRDefault="008C5DDB" w:rsidP="001B4015">
      <w:pPr>
        <w:ind w:left="851"/>
        <w:rPr>
          <w:sz w:val="24"/>
          <w:szCs w:val="24"/>
          <w:u w:val="single"/>
        </w:rPr>
      </w:pPr>
      <w:r w:rsidRPr="00412B8A">
        <w:rPr>
          <w:sz w:val="24"/>
          <w:szCs w:val="24"/>
          <w:u w:val="single"/>
        </w:rPr>
        <w:t xml:space="preserve">Amphotericin B: </w:t>
      </w:r>
    </w:p>
    <w:p w14:paraId="726CE338" w14:textId="77777777" w:rsidR="008C5DDB" w:rsidRPr="00475DC9" w:rsidRDefault="008C5DDB" w:rsidP="001B4015">
      <w:pPr>
        <w:ind w:left="851"/>
        <w:rPr>
          <w:rFonts w:eastAsia="SimSun"/>
          <w:sz w:val="24"/>
          <w:szCs w:val="24"/>
        </w:rPr>
      </w:pPr>
      <w:r w:rsidRPr="00475DC9">
        <w:rPr>
          <w:sz w:val="24"/>
          <w:szCs w:val="24"/>
        </w:rPr>
        <w:t xml:space="preserve">Samtidig administration af fluconazol og amphotericin B hos inficerede normale og immunsupprimerede mus viste følgende resultater: en lille additiv antimykotisk effekt ved systemisk infektion med </w:t>
      </w:r>
      <w:r w:rsidRPr="00412B8A">
        <w:rPr>
          <w:i/>
          <w:sz w:val="24"/>
          <w:szCs w:val="24"/>
        </w:rPr>
        <w:t>C. albicans</w:t>
      </w:r>
      <w:r w:rsidRPr="00475DC9">
        <w:rPr>
          <w:sz w:val="24"/>
          <w:szCs w:val="24"/>
        </w:rPr>
        <w:t xml:space="preserve">, ingen interaktion ved intrakraniel infektion med </w:t>
      </w:r>
      <w:r w:rsidRPr="00412B8A">
        <w:rPr>
          <w:i/>
          <w:sz w:val="24"/>
          <w:szCs w:val="24"/>
        </w:rPr>
        <w:t>Cryptococcus neoformans</w:t>
      </w:r>
      <w:r w:rsidRPr="00475DC9">
        <w:rPr>
          <w:sz w:val="24"/>
          <w:szCs w:val="24"/>
        </w:rPr>
        <w:t xml:space="preserve">, og antagonisme mellem de to lægemidler ved systemisk infektion med </w:t>
      </w:r>
      <w:r w:rsidRPr="00412B8A">
        <w:rPr>
          <w:i/>
          <w:sz w:val="24"/>
          <w:szCs w:val="24"/>
        </w:rPr>
        <w:t>Aspergillus fumigatus</w:t>
      </w:r>
      <w:r w:rsidRPr="00475DC9">
        <w:rPr>
          <w:sz w:val="24"/>
          <w:szCs w:val="24"/>
        </w:rPr>
        <w:t xml:space="preserve">. Det vides ikke, om resultaterne fra disse forsøg er klinisk signifikante. </w:t>
      </w:r>
    </w:p>
    <w:p w14:paraId="5655BE8C" w14:textId="77777777" w:rsidR="008C5DDB" w:rsidRPr="00475DC9" w:rsidRDefault="008C5DDB" w:rsidP="001B4015">
      <w:pPr>
        <w:ind w:left="851"/>
        <w:rPr>
          <w:rFonts w:eastAsia="SimSun"/>
          <w:sz w:val="24"/>
          <w:szCs w:val="24"/>
          <w:lang w:eastAsia="zh-CN"/>
        </w:rPr>
      </w:pPr>
    </w:p>
    <w:p w14:paraId="327BED95" w14:textId="77777777" w:rsidR="008C5DDB" w:rsidRPr="00412B8A" w:rsidRDefault="008C5DDB" w:rsidP="001B4015">
      <w:pPr>
        <w:ind w:left="851"/>
        <w:rPr>
          <w:sz w:val="24"/>
          <w:szCs w:val="24"/>
          <w:u w:val="single"/>
        </w:rPr>
      </w:pPr>
      <w:r w:rsidRPr="00412B8A">
        <w:rPr>
          <w:sz w:val="24"/>
          <w:szCs w:val="24"/>
          <w:u w:val="single"/>
        </w:rPr>
        <w:t xml:space="preserve">Antikoagulantia: </w:t>
      </w:r>
    </w:p>
    <w:p w14:paraId="5756361C" w14:textId="77777777" w:rsidR="008C5DDB" w:rsidRPr="00475DC9" w:rsidRDefault="008C5DDB" w:rsidP="001B4015">
      <w:pPr>
        <w:ind w:left="851"/>
        <w:rPr>
          <w:rFonts w:eastAsia="SimSun"/>
          <w:sz w:val="24"/>
          <w:szCs w:val="24"/>
        </w:rPr>
      </w:pPr>
      <w:r w:rsidRPr="00475DC9">
        <w:rPr>
          <w:sz w:val="24"/>
          <w:szCs w:val="24"/>
        </w:rPr>
        <w:t xml:space="preserve">Som for andre antimykotiske azoler har erfaringer efter markedsføring vist blødningstilfælde (blå mærker, epistaxis, gastrointestinal blødning, hæmaturi og melæna) i forbindelse med forlænget protrombintid hos patienter, der får fluconazol samtidig med warfarin. Ved samtidig behandling med fluconazol og warfarin var protrombintiden forlænget til op til det dobbelte, sandsynligvis på grund af hæmning af warfarin-metabolismen via CYP2C9. Protrombintiden skal monitoreres nøje hos patienter, der får antikoagulantia af coumarin-typen eller indanedion samtidig med fluconazol. Dosisjustering af antikoagulanten kan blive nødvendig. </w:t>
      </w:r>
    </w:p>
    <w:p w14:paraId="2166A6DE" w14:textId="77777777" w:rsidR="008C5DDB" w:rsidRPr="00475DC9" w:rsidRDefault="008C5DDB" w:rsidP="001B4015">
      <w:pPr>
        <w:ind w:left="851"/>
        <w:rPr>
          <w:rFonts w:eastAsia="SimSun"/>
          <w:sz w:val="24"/>
          <w:szCs w:val="24"/>
          <w:lang w:eastAsia="zh-CN"/>
        </w:rPr>
      </w:pPr>
    </w:p>
    <w:p w14:paraId="7A1C4C31" w14:textId="77777777" w:rsidR="008C5DDB" w:rsidRPr="00412B8A" w:rsidRDefault="008C5DDB" w:rsidP="001B4015">
      <w:pPr>
        <w:ind w:left="851"/>
        <w:rPr>
          <w:sz w:val="24"/>
          <w:szCs w:val="24"/>
          <w:u w:val="single"/>
        </w:rPr>
      </w:pPr>
      <w:r w:rsidRPr="00412B8A">
        <w:rPr>
          <w:sz w:val="24"/>
          <w:szCs w:val="24"/>
          <w:u w:val="single"/>
        </w:rPr>
        <w:t xml:space="preserve">Benzodiazepiner (korttidsvirkende), f.eks. midazolam, triazolam: </w:t>
      </w:r>
    </w:p>
    <w:p w14:paraId="2AA3E0D3" w14:textId="77777777" w:rsidR="008C5DDB" w:rsidRPr="00475DC9" w:rsidRDefault="008C5DDB" w:rsidP="001B4015">
      <w:pPr>
        <w:ind w:left="851"/>
        <w:rPr>
          <w:rFonts w:eastAsia="SimSun"/>
          <w:sz w:val="24"/>
          <w:szCs w:val="24"/>
        </w:rPr>
      </w:pPr>
      <w:r w:rsidRPr="00475DC9">
        <w:rPr>
          <w:sz w:val="24"/>
          <w:szCs w:val="24"/>
        </w:rPr>
        <w:t xml:space="preserve">Efter oral administration af midazolam medførte fluconazol en væsentlig stigning i midazolams koncentration og en væsentligt øget psykomotorisk påvirkning. Samtidig oral administration af fluconazol 200 mg og midazolam 7,5 mg øgede midazolams AUC og halveringstid henholdsvis 3,7 og 2,2 gange. Samtidig oral administration af fluconazol 200 mg og triazolam 0,25 mg øgede triazolams AUC og halveringstid henholdsvis 4,4 og 2,3 gange. Potenseret og forlænget virkning af triazolam er set ved samtidig behandling med fluconazol. Hvis samtidig behandling med benzodiazepin er nødvendig hos patienter i behandling med fluconazol, bør det overvejes at give en mindre benzodiazepindosis, og patienterne bør monitoreres i passende grad. </w:t>
      </w:r>
    </w:p>
    <w:p w14:paraId="6BF4BD37" w14:textId="77777777" w:rsidR="008C5DDB" w:rsidRPr="00475DC9" w:rsidRDefault="008C5DDB" w:rsidP="001B4015">
      <w:pPr>
        <w:ind w:left="851"/>
        <w:rPr>
          <w:rFonts w:eastAsia="SimSun"/>
          <w:sz w:val="24"/>
          <w:szCs w:val="24"/>
          <w:lang w:eastAsia="zh-CN"/>
        </w:rPr>
      </w:pPr>
    </w:p>
    <w:p w14:paraId="270BDA86" w14:textId="77777777" w:rsidR="008C5DDB" w:rsidRPr="00412B8A" w:rsidRDefault="008C5DDB" w:rsidP="001B4015">
      <w:pPr>
        <w:ind w:left="851"/>
        <w:rPr>
          <w:sz w:val="24"/>
          <w:szCs w:val="24"/>
          <w:u w:val="single"/>
        </w:rPr>
      </w:pPr>
      <w:r w:rsidRPr="00412B8A">
        <w:rPr>
          <w:sz w:val="24"/>
          <w:szCs w:val="24"/>
          <w:u w:val="single"/>
        </w:rPr>
        <w:t xml:space="preserve">Carbamazepin: </w:t>
      </w:r>
    </w:p>
    <w:p w14:paraId="0CCAFDC1" w14:textId="178F582C" w:rsidR="008C5DDB" w:rsidRPr="00475DC9" w:rsidRDefault="008C5DDB" w:rsidP="001B4015">
      <w:pPr>
        <w:ind w:left="851"/>
        <w:rPr>
          <w:rFonts w:eastAsia="SimSun"/>
          <w:sz w:val="24"/>
          <w:szCs w:val="24"/>
        </w:rPr>
      </w:pPr>
      <w:r w:rsidRPr="00475DC9">
        <w:rPr>
          <w:sz w:val="24"/>
          <w:szCs w:val="24"/>
        </w:rPr>
        <w:t>Fluconazol hæmmer metabolismen af carbamazepin, og der er set stigning i serum-carbamazepin på ca. 30 %. Der er risiko for udvikling af carbamazepin-toksicitet. Dosisjustering af carbamazepin kan blive nødvendig afhængigt af koncentrations</w:t>
      </w:r>
      <w:r w:rsidR="00412B8A">
        <w:rPr>
          <w:sz w:val="24"/>
          <w:szCs w:val="24"/>
        </w:rPr>
        <w:softHyphen/>
      </w:r>
      <w:r w:rsidRPr="00475DC9">
        <w:rPr>
          <w:sz w:val="24"/>
          <w:szCs w:val="24"/>
        </w:rPr>
        <w:t xml:space="preserve">målinger/effekt. </w:t>
      </w:r>
    </w:p>
    <w:p w14:paraId="62759BFE" w14:textId="77777777" w:rsidR="008C5DDB" w:rsidRPr="00475DC9" w:rsidRDefault="008C5DDB" w:rsidP="001B4015">
      <w:pPr>
        <w:ind w:left="851"/>
        <w:rPr>
          <w:rFonts w:eastAsia="SimSun"/>
          <w:sz w:val="24"/>
          <w:szCs w:val="24"/>
          <w:lang w:eastAsia="zh-CN"/>
        </w:rPr>
      </w:pPr>
    </w:p>
    <w:p w14:paraId="54EE5908" w14:textId="77777777" w:rsidR="008C5DDB" w:rsidRPr="00412B8A" w:rsidRDefault="008C5DDB" w:rsidP="001B4015">
      <w:pPr>
        <w:ind w:left="851"/>
        <w:rPr>
          <w:sz w:val="24"/>
          <w:szCs w:val="24"/>
          <w:u w:val="single"/>
        </w:rPr>
      </w:pPr>
      <w:r w:rsidRPr="00412B8A">
        <w:rPr>
          <w:sz w:val="24"/>
          <w:szCs w:val="24"/>
          <w:u w:val="single"/>
        </w:rPr>
        <w:t xml:space="preserve">Calciumantagonister: </w:t>
      </w:r>
    </w:p>
    <w:p w14:paraId="13D90312" w14:textId="713645B5" w:rsidR="008C5DDB" w:rsidRPr="00475DC9" w:rsidRDefault="008C5DDB" w:rsidP="001B4015">
      <w:pPr>
        <w:ind w:left="851"/>
        <w:rPr>
          <w:rFonts w:eastAsia="SimSun"/>
          <w:sz w:val="24"/>
          <w:szCs w:val="24"/>
        </w:rPr>
      </w:pPr>
      <w:r w:rsidRPr="00475DC9">
        <w:rPr>
          <w:sz w:val="24"/>
          <w:szCs w:val="24"/>
        </w:rPr>
        <w:t xml:space="preserve">Visse calciumantagonister (nifedipin, isradipin, amlodipin, verapamil og felodipin) metaboliseres via CYP3A4. Fluconazol kan muligvis øge den systemiske eksponering af calciumantagonister. Hyppig monitorering for bivirkninger anbefales. </w:t>
      </w:r>
    </w:p>
    <w:p w14:paraId="0757778C" w14:textId="77777777" w:rsidR="008C5DDB" w:rsidRPr="00475DC9" w:rsidRDefault="008C5DDB" w:rsidP="001B4015">
      <w:pPr>
        <w:ind w:left="851"/>
        <w:rPr>
          <w:rFonts w:eastAsia="SimSun"/>
          <w:sz w:val="24"/>
          <w:szCs w:val="24"/>
          <w:lang w:eastAsia="zh-CN"/>
        </w:rPr>
      </w:pPr>
    </w:p>
    <w:p w14:paraId="4191FD91" w14:textId="77777777" w:rsidR="008C5DDB" w:rsidRPr="00412B8A" w:rsidRDefault="008C5DDB" w:rsidP="001B4015">
      <w:pPr>
        <w:ind w:left="851"/>
        <w:rPr>
          <w:sz w:val="24"/>
          <w:szCs w:val="24"/>
          <w:u w:val="single"/>
        </w:rPr>
      </w:pPr>
      <w:r w:rsidRPr="00412B8A">
        <w:rPr>
          <w:sz w:val="24"/>
          <w:szCs w:val="24"/>
          <w:u w:val="single"/>
        </w:rPr>
        <w:t xml:space="preserve">Celecoxib: </w:t>
      </w:r>
    </w:p>
    <w:p w14:paraId="18B97700" w14:textId="77777777" w:rsidR="008C5DDB" w:rsidRPr="00475DC9" w:rsidRDefault="008C5DDB" w:rsidP="001B4015">
      <w:pPr>
        <w:ind w:left="851"/>
        <w:rPr>
          <w:rFonts w:eastAsia="SimSun"/>
          <w:sz w:val="24"/>
          <w:szCs w:val="24"/>
        </w:rPr>
      </w:pPr>
      <w:r w:rsidRPr="00475DC9">
        <w:rPr>
          <w:sz w:val="24"/>
          <w:szCs w:val="24"/>
        </w:rPr>
        <w:t>Under samtidig behandling med fluconazol (200 mg dagligt) og celecoxib (200 mg) steg C</w:t>
      </w:r>
      <w:r w:rsidRPr="00475DC9">
        <w:rPr>
          <w:sz w:val="24"/>
          <w:szCs w:val="24"/>
          <w:vertAlign w:val="subscript"/>
        </w:rPr>
        <w:t>max</w:t>
      </w:r>
      <w:r w:rsidRPr="00475DC9">
        <w:rPr>
          <w:sz w:val="24"/>
          <w:szCs w:val="24"/>
        </w:rPr>
        <w:t xml:space="preserve"> og AUC for celecoxib med henholdsvis 68 % og 134 %. Det kan være nødvendigt at halvere celecoxibdosis ved samtidig behandling med fluconazol. </w:t>
      </w:r>
    </w:p>
    <w:p w14:paraId="1E16EDE1" w14:textId="77777777" w:rsidR="008C5DDB" w:rsidRPr="00475DC9" w:rsidRDefault="008C5DDB" w:rsidP="001B4015">
      <w:pPr>
        <w:ind w:left="851"/>
        <w:rPr>
          <w:rFonts w:eastAsia="SimSun"/>
          <w:sz w:val="24"/>
          <w:szCs w:val="24"/>
          <w:lang w:eastAsia="zh-CN"/>
        </w:rPr>
      </w:pPr>
    </w:p>
    <w:p w14:paraId="70B09106" w14:textId="77777777" w:rsidR="008C5DDB" w:rsidRPr="00412B8A" w:rsidRDefault="008C5DDB" w:rsidP="001B4015">
      <w:pPr>
        <w:ind w:left="851"/>
        <w:rPr>
          <w:sz w:val="24"/>
          <w:szCs w:val="24"/>
          <w:u w:val="single"/>
        </w:rPr>
      </w:pPr>
      <w:r w:rsidRPr="00412B8A">
        <w:rPr>
          <w:sz w:val="24"/>
          <w:szCs w:val="24"/>
          <w:u w:val="single"/>
        </w:rPr>
        <w:t xml:space="preserve">Cyclophosphamid: </w:t>
      </w:r>
    </w:p>
    <w:p w14:paraId="40B88D8A" w14:textId="77777777" w:rsidR="008C5DDB" w:rsidRPr="00475DC9" w:rsidRDefault="008C5DDB" w:rsidP="001B4015">
      <w:pPr>
        <w:ind w:left="851"/>
        <w:rPr>
          <w:rFonts w:eastAsia="SimSun"/>
          <w:sz w:val="24"/>
          <w:szCs w:val="24"/>
        </w:rPr>
      </w:pPr>
      <w:r w:rsidRPr="00475DC9">
        <w:rPr>
          <w:sz w:val="24"/>
          <w:szCs w:val="24"/>
        </w:rPr>
        <w:t xml:space="preserve">Kombinationsbehandling med cyclophosphamid og fluconazol fører til stigning i serum-bilirubin og serum-kreatinin. Kombinationen kan anvendes med øget opmærksomhed på risikoen for stigning i serum-bilirubin og serum-kreatinin. </w:t>
      </w:r>
    </w:p>
    <w:p w14:paraId="031AB271" w14:textId="77777777" w:rsidR="008C5DDB" w:rsidRPr="00475DC9" w:rsidRDefault="008C5DDB" w:rsidP="001B4015">
      <w:pPr>
        <w:ind w:left="851"/>
        <w:rPr>
          <w:rFonts w:eastAsia="SimSun"/>
          <w:sz w:val="24"/>
          <w:szCs w:val="24"/>
          <w:lang w:eastAsia="zh-CN"/>
        </w:rPr>
      </w:pPr>
    </w:p>
    <w:p w14:paraId="323C3B38" w14:textId="77777777" w:rsidR="008C5DDB" w:rsidRPr="00412B8A" w:rsidRDefault="008C5DDB" w:rsidP="001B4015">
      <w:pPr>
        <w:ind w:left="851"/>
        <w:rPr>
          <w:sz w:val="24"/>
          <w:szCs w:val="24"/>
          <w:u w:val="single"/>
        </w:rPr>
      </w:pPr>
      <w:r w:rsidRPr="00412B8A">
        <w:rPr>
          <w:sz w:val="24"/>
          <w:szCs w:val="24"/>
          <w:u w:val="single"/>
        </w:rPr>
        <w:t xml:space="preserve">Fentanyl: </w:t>
      </w:r>
    </w:p>
    <w:p w14:paraId="4BB8A697" w14:textId="77777777" w:rsidR="008C5DDB" w:rsidRPr="00475DC9" w:rsidRDefault="008C5DDB" w:rsidP="001B4015">
      <w:pPr>
        <w:ind w:left="851"/>
        <w:rPr>
          <w:rFonts w:eastAsia="SimSun"/>
          <w:sz w:val="24"/>
          <w:szCs w:val="24"/>
        </w:rPr>
      </w:pPr>
      <w:r w:rsidRPr="00475DC9">
        <w:rPr>
          <w:sz w:val="24"/>
          <w:szCs w:val="24"/>
        </w:rPr>
        <w:t xml:space="preserve">Et letalt tilfælde af fentanylforgiftning er blevet indberettet i forbindelse med en mulig fentanyl-fluconazol-interaktion. Endvidere er det hos raske forsøgspersoner vist, at fluconazol forsinkede eliminationen af fentanyl signifikant. En øget fentanylkoncentration kan føre til respirationsdepression. Patienter skal monitoreres nøje for en potentiel risiko for respirationsdepression. Dosisjustering af fentanyl kan blive nødvendig. </w:t>
      </w:r>
    </w:p>
    <w:p w14:paraId="05DBD822" w14:textId="77777777" w:rsidR="008C5DDB" w:rsidRPr="00475DC9" w:rsidRDefault="008C5DDB" w:rsidP="001B4015">
      <w:pPr>
        <w:ind w:left="851"/>
        <w:rPr>
          <w:rFonts w:eastAsia="SimSun"/>
          <w:sz w:val="24"/>
          <w:szCs w:val="24"/>
          <w:lang w:eastAsia="zh-CN"/>
        </w:rPr>
      </w:pPr>
    </w:p>
    <w:p w14:paraId="5DFF4BB1" w14:textId="77777777" w:rsidR="008C5DDB" w:rsidRPr="00412B8A" w:rsidRDefault="008C5DDB" w:rsidP="001B4015">
      <w:pPr>
        <w:ind w:left="851"/>
        <w:rPr>
          <w:sz w:val="24"/>
          <w:szCs w:val="24"/>
          <w:u w:val="single"/>
        </w:rPr>
      </w:pPr>
      <w:r w:rsidRPr="00412B8A">
        <w:rPr>
          <w:sz w:val="24"/>
          <w:szCs w:val="24"/>
          <w:u w:val="single"/>
        </w:rPr>
        <w:t xml:space="preserve">HMG-CoA-reduktasehæmmere: </w:t>
      </w:r>
    </w:p>
    <w:p w14:paraId="2607C01C" w14:textId="77777777" w:rsidR="008C5DDB" w:rsidRPr="00475DC9" w:rsidRDefault="008C5DDB" w:rsidP="001B4015">
      <w:pPr>
        <w:ind w:left="851"/>
        <w:rPr>
          <w:rFonts w:eastAsia="SimSun"/>
          <w:sz w:val="24"/>
          <w:szCs w:val="24"/>
        </w:rPr>
      </w:pPr>
      <w:r w:rsidRPr="00475DC9">
        <w:rPr>
          <w:sz w:val="24"/>
          <w:szCs w:val="24"/>
        </w:rPr>
        <w:t xml:space="preserve">Der er en øget risiko for myopati og rabdomyolyse </w:t>
      </w:r>
      <w:bookmarkStart w:id="4" w:name="_Hlk147327287"/>
      <w:r w:rsidRPr="00475DC9">
        <w:rPr>
          <w:sz w:val="24"/>
          <w:szCs w:val="24"/>
        </w:rPr>
        <w:t xml:space="preserve">(afhængig af dosis) </w:t>
      </w:r>
      <w:bookmarkEnd w:id="4"/>
      <w:r w:rsidRPr="00475DC9">
        <w:rPr>
          <w:sz w:val="24"/>
          <w:szCs w:val="24"/>
        </w:rPr>
        <w:t xml:space="preserve">ved samtidig anvendelse af fluconazol og HMG-CoA-reduktasehæmmere, der metaboliseres via CYP3A4, som f.eks. atorvastatin og simvastatin, eller via CYP2C9, som f.eks. fluvastatin </w:t>
      </w:r>
      <w:bookmarkStart w:id="5" w:name="_Hlk147327294"/>
      <w:r w:rsidRPr="00475DC9">
        <w:rPr>
          <w:sz w:val="24"/>
          <w:szCs w:val="24"/>
        </w:rPr>
        <w:t xml:space="preserve">(nedsat hepatisk metabolisme af statinet). </w:t>
      </w:r>
      <w:bookmarkEnd w:id="5"/>
      <w:r w:rsidRPr="00475DC9">
        <w:rPr>
          <w:sz w:val="24"/>
          <w:szCs w:val="24"/>
        </w:rPr>
        <w:t xml:space="preserve">Hvis samtidig behandling er nødvendig, skal patienten observeres for symptomer på myopati og rabdomyolyse, og kreatinkinase bør monitoreres. HMG-CoA-reduktase-hæmmere bør seponeres, hvis der ses markant stigning i kreatinkinase, eller hvis myopati/rabdomyolyse diagnosticeres eller mistænkes. </w:t>
      </w:r>
      <w:bookmarkStart w:id="6" w:name="_Hlk147327303"/>
      <w:r w:rsidRPr="00475DC9">
        <w:rPr>
          <w:sz w:val="24"/>
          <w:szCs w:val="24"/>
        </w:rPr>
        <w:t>Lavere doser af HMG-CoA-reduktasehæmmere kan være nødvendige som angivet i produktresuméet for statiner.</w:t>
      </w:r>
      <w:bookmarkEnd w:id="6"/>
    </w:p>
    <w:p w14:paraId="1261C0DA" w14:textId="77777777" w:rsidR="008C5DDB" w:rsidRPr="00475DC9" w:rsidRDefault="008C5DDB" w:rsidP="001B4015">
      <w:pPr>
        <w:ind w:left="851"/>
        <w:rPr>
          <w:rFonts w:eastAsia="SimSun"/>
          <w:sz w:val="24"/>
          <w:szCs w:val="24"/>
          <w:lang w:eastAsia="zh-CN"/>
        </w:rPr>
      </w:pPr>
    </w:p>
    <w:p w14:paraId="4B301408" w14:textId="77777777" w:rsidR="008C5DDB" w:rsidRPr="00412B8A" w:rsidRDefault="008C5DDB" w:rsidP="001B4015">
      <w:pPr>
        <w:ind w:left="851"/>
        <w:rPr>
          <w:sz w:val="24"/>
          <w:szCs w:val="24"/>
          <w:u w:val="single"/>
        </w:rPr>
      </w:pPr>
      <w:r w:rsidRPr="00412B8A">
        <w:rPr>
          <w:sz w:val="24"/>
          <w:szCs w:val="24"/>
          <w:u w:val="single"/>
        </w:rPr>
        <w:t xml:space="preserve">Ibutrinib: </w:t>
      </w:r>
    </w:p>
    <w:p w14:paraId="0E7D5086" w14:textId="77777777" w:rsidR="008C5DDB" w:rsidRPr="00475DC9" w:rsidRDefault="008C5DDB" w:rsidP="001B4015">
      <w:pPr>
        <w:ind w:left="851"/>
        <w:rPr>
          <w:rFonts w:eastAsia="SimSun"/>
          <w:sz w:val="24"/>
          <w:szCs w:val="24"/>
        </w:rPr>
      </w:pPr>
      <w:r w:rsidRPr="00475DC9">
        <w:rPr>
          <w:sz w:val="24"/>
          <w:szCs w:val="24"/>
        </w:rPr>
        <w:t>Moderate hæmmere af CYP3A4, såsom fluconazol, øger plasmakoncentrationerne af ibutrinib og kan øge risikoen for toksicitet. Hvis kombinationen ikke kan undgås, reduceres dosis af ibrutinib til 280 mg en gange dagligt (to kapsler), så længe hæmmeren anvendes, og der skal foretages tæt klinisk monitorering.</w:t>
      </w:r>
    </w:p>
    <w:p w14:paraId="7886E172" w14:textId="77777777" w:rsidR="008C5DDB" w:rsidRPr="00475DC9" w:rsidRDefault="008C5DDB" w:rsidP="001B4015">
      <w:pPr>
        <w:ind w:left="851"/>
        <w:rPr>
          <w:rFonts w:eastAsia="SimSun"/>
          <w:sz w:val="24"/>
          <w:szCs w:val="24"/>
          <w:lang w:eastAsia="zh-CN"/>
        </w:rPr>
      </w:pPr>
    </w:p>
    <w:p w14:paraId="6983B82A" w14:textId="77777777" w:rsidR="008C5DDB" w:rsidRPr="00475DC9" w:rsidRDefault="008C5DDB" w:rsidP="001B4015">
      <w:pPr>
        <w:ind w:left="851"/>
        <w:rPr>
          <w:sz w:val="24"/>
          <w:szCs w:val="24"/>
        </w:rPr>
      </w:pPr>
      <w:r w:rsidRPr="00412B8A">
        <w:rPr>
          <w:sz w:val="24"/>
          <w:szCs w:val="24"/>
          <w:u w:val="single"/>
        </w:rPr>
        <w:t>Ivacaftor</w:t>
      </w:r>
      <w:r w:rsidRPr="00475DC9">
        <w:rPr>
          <w:sz w:val="24"/>
          <w:szCs w:val="24"/>
        </w:rPr>
        <w:t xml:space="preserve"> </w:t>
      </w:r>
      <w:bookmarkStart w:id="7" w:name="_Hlk147327319"/>
      <w:r w:rsidRPr="00475DC9">
        <w:rPr>
          <w:sz w:val="24"/>
          <w:szCs w:val="24"/>
        </w:rPr>
        <w:t>(alene eller i kombination med lægemidler i samme terapeutiske klasse)</w:t>
      </w:r>
      <w:bookmarkEnd w:id="7"/>
      <w:r w:rsidRPr="00475DC9">
        <w:rPr>
          <w:sz w:val="24"/>
          <w:szCs w:val="24"/>
        </w:rPr>
        <w:t xml:space="preserve">: </w:t>
      </w:r>
    </w:p>
    <w:p w14:paraId="7D3D16DE" w14:textId="77777777" w:rsidR="008C5DDB" w:rsidRPr="00475DC9" w:rsidRDefault="008C5DDB" w:rsidP="001B4015">
      <w:pPr>
        <w:ind w:left="851"/>
        <w:rPr>
          <w:rFonts w:eastAsia="SimSun"/>
          <w:sz w:val="24"/>
          <w:szCs w:val="24"/>
        </w:rPr>
      </w:pPr>
      <w:r w:rsidRPr="00475DC9">
        <w:rPr>
          <w:sz w:val="24"/>
          <w:szCs w:val="24"/>
        </w:rPr>
        <w:t xml:space="preserve">Samtidig administration af ivacaftor, en cystisk fibrose transmembran konduktansregulator (CFTR) potentiator, forhøjede eksponeringen over for ivacaftor 3 gange, og eksponeringen over for hydroxymethyl-ivacaftor (M1) 1,9 gange. En reduktion af ivacaftor-dosis </w:t>
      </w:r>
      <w:bookmarkStart w:id="8" w:name="_Hlk147327332"/>
      <w:r w:rsidRPr="00475DC9">
        <w:rPr>
          <w:sz w:val="24"/>
          <w:szCs w:val="24"/>
        </w:rPr>
        <w:t>(alene eller i kombination) er nødvendig som anvist i produktresuméet for ivacaftor (alene eller i kombination)</w:t>
      </w:r>
      <w:bookmarkEnd w:id="8"/>
      <w:r w:rsidRPr="00475DC9">
        <w:rPr>
          <w:sz w:val="24"/>
          <w:szCs w:val="24"/>
        </w:rPr>
        <w:t>.</w:t>
      </w:r>
    </w:p>
    <w:p w14:paraId="2BA34D44" w14:textId="77777777" w:rsidR="008C5DDB" w:rsidRPr="00475DC9" w:rsidRDefault="008C5DDB" w:rsidP="001B4015">
      <w:pPr>
        <w:ind w:left="851"/>
        <w:rPr>
          <w:rFonts w:eastAsia="SimSun"/>
          <w:sz w:val="24"/>
          <w:szCs w:val="24"/>
          <w:lang w:eastAsia="zh-CN"/>
        </w:rPr>
      </w:pPr>
    </w:p>
    <w:p w14:paraId="32D8050B" w14:textId="77777777" w:rsidR="008C5DDB" w:rsidRPr="00412B8A" w:rsidRDefault="008C5DDB" w:rsidP="001B4015">
      <w:pPr>
        <w:ind w:left="851"/>
        <w:rPr>
          <w:sz w:val="24"/>
          <w:szCs w:val="24"/>
          <w:u w:val="single"/>
        </w:rPr>
      </w:pPr>
      <w:r w:rsidRPr="00412B8A">
        <w:rPr>
          <w:sz w:val="24"/>
          <w:szCs w:val="24"/>
          <w:u w:val="single"/>
        </w:rPr>
        <w:t xml:space="preserve">Olaparib: </w:t>
      </w:r>
    </w:p>
    <w:p w14:paraId="24463A95" w14:textId="77777777" w:rsidR="008C5DDB" w:rsidRPr="00475DC9" w:rsidRDefault="008C5DDB" w:rsidP="001B4015">
      <w:pPr>
        <w:ind w:left="851"/>
        <w:rPr>
          <w:rFonts w:eastAsia="SimSun"/>
          <w:sz w:val="24"/>
          <w:szCs w:val="24"/>
        </w:rPr>
      </w:pPr>
      <w:r w:rsidRPr="00475DC9">
        <w:rPr>
          <w:sz w:val="24"/>
          <w:szCs w:val="24"/>
        </w:rPr>
        <w:t>Moderate hæmmere af CYP3A4, såsom fluconazol, øger plasmakoncentrationen af olaparib, og samtidig brug anbefales ikke. Hvis kombinationen ikke kan undgås, skal dosis af olaparib begrænses til 200 mg to gange dagligt.</w:t>
      </w:r>
    </w:p>
    <w:p w14:paraId="354239D3" w14:textId="77777777" w:rsidR="008C5DDB" w:rsidRPr="00475DC9" w:rsidRDefault="008C5DDB" w:rsidP="001B4015">
      <w:pPr>
        <w:ind w:left="851"/>
        <w:rPr>
          <w:rFonts w:eastAsia="SimSun"/>
          <w:sz w:val="24"/>
          <w:szCs w:val="24"/>
          <w:lang w:eastAsia="zh-CN"/>
        </w:rPr>
      </w:pPr>
    </w:p>
    <w:p w14:paraId="48B1295F" w14:textId="77777777" w:rsidR="008C5DDB" w:rsidRPr="00412B8A" w:rsidRDefault="008C5DDB" w:rsidP="001B4015">
      <w:pPr>
        <w:ind w:left="851"/>
        <w:rPr>
          <w:rFonts w:eastAsia="SimSun"/>
          <w:sz w:val="24"/>
          <w:szCs w:val="24"/>
          <w:u w:val="single"/>
        </w:rPr>
      </w:pPr>
      <w:r w:rsidRPr="00412B8A">
        <w:rPr>
          <w:sz w:val="24"/>
          <w:szCs w:val="24"/>
          <w:u w:val="single"/>
        </w:rPr>
        <w:t xml:space="preserve">Immunsuppressiva (f.eks. ciclosporin, everolimus, sirolimus og tacrolimus): </w:t>
      </w:r>
    </w:p>
    <w:p w14:paraId="4F8CF38F" w14:textId="77777777" w:rsidR="008C5DDB" w:rsidRPr="00475DC9" w:rsidRDefault="008C5DDB" w:rsidP="001B4015">
      <w:pPr>
        <w:ind w:left="851"/>
        <w:rPr>
          <w:rFonts w:eastAsia="SimSun"/>
          <w:sz w:val="24"/>
          <w:szCs w:val="24"/>
          <w:lang w:eastAsia="zh-CN"/>
        </w:rPr>
      </w:pPr>
    </w:p>
    <w:p w14:paraId="6D688AD1" w14:textId="77777777" w:rsidR="008C5DDB" w:rsidRPr="00412B8A" w:rsidRDefault="008C5DDB" w:rsidP="001B4015">
      <w:pPr>
        <w:ind w:left="851"/>
        <w:rPr>
          <w:sz w:val="24"/>
          <w:szCs w:val="24"/>
          <w:u w:val="single"/>
        </w:rPr>
      </w:pPr>
      <w:r w:rsidRPr="00412B8A">
        <w:rPr>
          <w:sz w:val="24"/>
          <w:szCs w:val="24"/>
          <w:u w:val="single"/>
        </w:rPr>
        <w:t xml:space="preserve">Ciclosporin: </w:t>
      </w:r>
    </w:p>
    <w:p w14:paraId="5EA253E8" w14:textId="77777777" w:rsidR="008C5DDB" w:rsidRPr="00475DC9" w:rsidRDefault="008C5DDB" w:rsidP="001B4015">
      <w:pPr>
        <w:ind w:left="851"/>
        <w:rPr>
          <w:rFonts w:eastAsia="SimSun"/>
          <w:sz w:val="24"/>
          <w:szCs w:val="24"/>
        </w:rPr>
      </w:pPr>
      <w:r w:rsidRPr="00475DC9">
        <w:rPr>
          <w:sz w:val="24"/>
          <w:szCs w:val="24"/>
        </w:rPr>
        <w:t xml:space="preserve">Fluconazol øger koncentrationen og AUC af ciclosporin signifikant. Ved samtidig behandling med fluconazol 200 mg dagligt og ciclosporin (2,7 mg/kg dagligt) blev AUC for ciclosporin øget 1,8 gange. Kombinationen kan anvendes med dosisnedsættelse af ciclosporin afhængigt af ciclosporin-koncentrationen. </w:t>
      </w:r>
    </w:p>
    <w:p w14:paraId="1479DF59" w14:textId="77777777" w:rsidR="008C5DDB" w:rsidRPr="00475DC9" w:rsidRDefault="008C5DDB" w:rsidP="001B4015">
      <w:pPr>
        <w:ind w:left="851"/>
        <w:rPr>
          <w:rFonts w:eastAsia="SimSun"/>
          <w:sz w:val="24"/>
          <w:szCs w:val="24"/>
          <w:lang w:eastAsia="zh-CN"/>
        </w:rPr>
      </w:pPr>
    </w:p>
    <w:p w14:paraId="227A1AAC" w14:textId="77777777" w:rsidR="008C5DDB" w:rsidRPr="00412B8A" w:rsidRDefault="008C5DDB" w:rsidP="001B4015">
      <w:pPr>
        <w:ind w:left="851"/>
        <w:rPr>
          <w:sz w:val="24"/>
          <w:szCs w:val="24"/>
          <w:u w:val="single"/>
        </w:rPr>
      </w:pPr>
      <w:r w:rsidRPr="00412B8A">
        <w:rPr>
          <w:sz w:val="24"/>
          <w:szCs w:val="24"/>
          <w:u w:val="single"/>
        </w:rPr>
        <w:t xml:space="preserve">Everolimus: </w:t>
      </w:r>
    </w:p>
    <w:p w14:paraId="415DFAF2" w14:textId="77777777" w:rsidR="008C5DDB" w:rsidRPr="00475DC9" w:rsidRDefault="008C5DDB" w:rsidP="001B4015">
      <w:pPr>
        <w:ind w:left="851"/>
        <w:rPr>
          <w:rFonts w:eastAsia="SimSun"/>
          <w:sz w:val="24"/>
          <w:szCs w:val="24"/>
        </w:rPr>
      </w:pPr>
      <w:r w:rsidRPr="00475DC9">
        <w:rPr>
          <w:sz w:val="24"/>
          <w:szCs w:val="24"/>
        </w:rPr>
        <w:t xml:space="preserve">Selv om det ikke er undersøgt </w:t>
      </w:r>
      <w:r w:rsidRPr="00412B8A">
        <w:rPr>
          <w:i/>
          <w:sz w:val="24"/>
          <w:szCs w:val="24"/>
        </w:rPr>
        <w:t>in vivo</w:t>
      </w:r>
      <w:r w:rsidRPr="00475DC9">
        <w:rPr>
          <w:sz w:val="24"/>
          <w:szCs w:val="24"/>
        </w:rPr>
        <w:t xml:space="preserve"> og </w:t>
      </w:r>
      <w:r w:rsidRPr="00412B8A">
        <w:rPr>
          <w:i/>
          <w:sz w:val="24"/>
          <w:szCs w:val="24"/>
        </w:rPr>
        <w:t>in vitro</w:t>
      </w:r>
      <w:r w:rsidRPr="00475DC9">
        <w:rPr>
          <w:sz w:val="24"/>
          <w:szCs w:val="24"/>
        </w:rPr>
        <w:t xml:space="preserve">, kan fluconazol muligvis øge serum-koncentrationen af everolimus via hæmning af CYP3A4. </w:t>
      </w:r>
    </w:p>
    <w:p w14:paraId="4D70F42C" w14:textId="77777777" w:rsidR="008C5DDB" w:rsidRPr="00475DC9" w:rsidRDefault="008C5DDB" w:rsidP="001B4015">
      <w:pPr>
        <w:ind w:left="851"/>
        <w:rPr>
          <w:rFonts w:eastAsia="SimSun"/>
          <w:sz w:val="24"/>
          <w:szCs w:val="24"/>
          <w:lang w:eastAsia="zh-CN"/>
        </w:rPr>
      </w:pPr>
    </w:p>
    <w:p w14:paraId="01542929" w14:textId="77777777" w:rsidR="008C5DDB" w:rsidRPr="00412B8A" w:rsidRDefault="008C5DDB" w:rsidP="001B4015">
      <w:pPr>
        <w:ind w:left="851"/>
        <w:rPr>
          <w:sz w:val="24"/>
          <w:szCs w:val="24"/>
          <w:u w:val="single"/>
        </w:rPr>
      </w:pPr>
      <w:r w:rsidRPr="00412B8A">
        <w:rPr>
          <w:sz w:val="24"/>
          <w:szCs w:val="24"/>
          <w:u w:val="single"/>
        </w:rPr>
        <w:t xml:space="preserve">Sirolimus: </w:t>
      </w:r>
    </w:p>
    <w:p w14:paraId="14BBAFF6" w14:textId="77777777" w:rsidR="008C5DDB" w:rsidRPr="00475DC9" w:rsidRDefault="008C5DDB" w:rsidP="001B4015">
      <w:pPr>
        <w:ind w:left="851"/>
        <w:rPr>
          <w:rFonts w:eastAsia="SimSun"/>
          <w:sz w:val="24"/>
          <w:szCs w:val="24"/>
        </w:rPr>
      </w:pPr>
      <w:r w:rsidRPr="00475DC9">
        <w:rPr>
          <w:sz w:val="24"/>
          <w:szCs w:val="24"/>
        </w:rPr>
        <w:t xml:space="preserve">Fluconazol øger plasmakoncentrationen af sirolimus sandsynligvis ved at hæmme metabolismen af sirolimus via CYP3A4 og P-glykoprotein. Kombinationen kan anvendes med dosisjustering af sirolimus afhængigt af effekt/koncentrationsmålinger. </w:t>
      </w:r>
    </w:p>
    <w:p w14:paraId="7F5A2E55" w14:textId="77777777" w:rsidR="008C5DDB" w:rsidRPr="00475DC9" w:rsidRDefault="008C5DDB" w:rsidP="001B4015">
      <w:pPr>
        <w:ind w:left="851"/>
        <w:rPr>
          <w:rFonts w:eastAsia="SimSun"/>
          <w:sz w:val="24"/>
          <w:szCs w:val="24"/>
          <w:lang w:eastAsia="zh-CN"/>
        </w:rPr>
      </w:pPr>
    </w:p>
    <w:p w14:paraId="41B06089" w14:textId="77777777" w:rsidR="008C5DDB" w:rsidRPr="00412B8A" w:rsidRDefault="008C5DDB" w:rsidP="001B4015">
      <w:pPr>
        <w:ind w:left="851"/>
        <w:rPr>
          <w:sz w:val="24"/>
          <w:szCs w:val="24"/>
          <w:u w:val="single"/>
        </w:rPr>
      </w:pPr>
      <w:r w:rsidRPr="00412B8A">
        <w:rPr>
          <w:sz w:val="24"/>
          <w:szCs w:val="24"/>
          <w:u w:val="single"/>
        </w:rPr>
        <w:t xml:space="preserve">Tacrolimus: </w:t>
      </w:r>
    </w:p>
    <w:p w14:paraId="26744E59" w14:textId="1A7E62A1" w:rsidR="008C5DDB" w:rsidRPr="00475DC9" w:rsidRDefault="00395A81" w:rsidP="001B4015">
      <w:pPr>
        <w:ind w:left="851"/>
        <w:rPr>
          <w:rFonts w:eastAsia="SimSun"/>
          <w:sz w:val="24"/>
          <w:szCs w:val="24"/>
        </w:rPr>
      </w:pPr>
      <w:r>
        <w:rPr>
          <w:sz w:val="24"/>
          <w:szCs w:val="24"/>
        </w:rPr>
        <w:t>Fluconazole "Noridem"</w:t>
      </w:r>
      <w:r w:rsidR="008C5DDB" w:rsidRPr="00475DC9">
        <w:rPr>
          <w:sz w:val="24"/>
          <w:szCs w:val="24"/>
        </w:rPr>
        <w:t xml:space="preserve"> kan øge serumkoncentrationen af oralt administreret tacrolimus op til 5 gange pga. hæmning af metabolismen af tacrolimus via CYP3A4 i tarmen. Der ses ingen signifikante farmakokinetiske ændringer, hvis tacrolimus gives intravenøst. Forhøjet tacrolimus-koncentration er forbundet med nefrotoksicitet. Dosis af oral tacrolimus bør nedsættes afhængigt af tacrolimus-koncentrationen. </w:t>
      </w:r>
    </w:p>
    <w:p w14:paraId="56EE795B" w14:textId="77777777" w:rsidR="008C5DDB" w:rsidRPr="00475DC9" w:rsidRDefault="008C5DDB" w:rsidP="001B4015">
      <w:pPr>
        <w:ind w:left="851"/>
        <w:rPr>
          <w:rFonts w:eastAsia="SimSun"/>
          <w:sz w:val="24"/>
          <w:szCs w:val="24"/>
          <w:lang w:eastAsia="zh-CN"/>
        </w:rPr>
      </w:pPr>
    </w:p>
    <w:p w14:paraId="15B28DC6" w14:textId="77777777" w:rsidR="008C5DDB" w:rsidRPr="00412B8A" w:rsidRDefault="008C5DDB" w:rsidP="001B4015">
      <w:pPr>
        <w:ind w:left="851"/>
        <w:rPr>
          <w:sz w:val="24"/>
          <w:szCs w:val="24"/>
          <w:u w:val="single"/>
        </w:rPr>
      </w:pPr>
      <w:r w:rsidRPr="00412B8A">
        <w:rPr>
          <w:sz w:val="24"/>
          <w:szCs w:val="24"/>
          <w:u w:val="single"/>
        </w:rPr>
        <w:t xml:space="preserve">Losartan: </w:t>
      </w:r>
    </w:p>
    <w:p w14:paraId="7DF5A61D" w14:textId="77777777" w:rsidR="008C5DDB" w:rsidRPr="00475DC9" w:rsidRDefault="008C5DDB" w:rsidP="001B4015">
      <w:pPr>
        <w:ind w:left="851"/>
        <w:rPr>
          <w:rFonts w:eastAsia="SimSun"/>
          <w:sz w:val="24"/>
          <w:szCs w:val="24"/>
        </w:rPr>
      </w:pPr>
      <w:r w:rsidRPr="00475DC9">
        <w:rPr>
          <w:sz w:val="24"/>
          <w:szCs w:val="24"/>
        </w:rPr>
        <w:t xml:space="preserve">Fluconazol hæmmer losartans metabolisme til dets aktive metabolit (E-31 74), som er ansvarlig for størstedelen af angiotensin-II-receptor-antagonismen under losartanbehandling. Patienter bør løbende få kontrolleret deres blodtryk. </w:t>
      </w:r>
    </w:p>
    <w:p w14:paraId="53F2A7C9" w14:textId="77777777" w:rsidR="008C5DDB" w:rsidRPr="00475DC9" w:rsidRDefault="008C5DDB" w:rsidP="001B4015">
      <w:pPr>
        <w:ind w:left="851"/>
        <w:rPr>
          <w:rFonts w:eastAsia="SimSun"/>
          <w:sz w:val="24"/>
          <w:szCs w:val="24"/>
          <w:lang w:eastAsia="zh-CN"/>
        </w:rPr>
      </w:pPr>
    </w:p>
    <w:p w14:paraId="1F1BB099" w14:textId="77777777" w:rsidR="008C5DDB" w:rsidRPr="00412B8A" w:rsidRDefault="008C5DDB" w:rsidP="001B4015">
      <w:pPr>
        <w:ind w:left="851"/>
        <w:rPr>
          <w:sz w:val="24"/>
          <w:szCs w:val="24"/>
          <w:u w:val="single"/>
        </w:rPr>
      </w:pPr>
      <w:bookmarkStart w:id="9" w:name="_Hlk147327348"/>
      <w:r w:rsidRPr="00412B8A">
        <w:rPr>
          <w:sz w:val="24"/>
          <w:szCs w:val="24"/>
          <w:u w:val="single"/>
        </w:rPr>
        <w:t xml:space="preserve">Lurasidon: </w:t>
      </w:r>
    </w:p>
    <w:p w14:paraId="0452AA9D" w14:textId="77777777" w:rsidR="008C5DDB" w:rsidRPr="00475DC9" w:rsidRDefault="008C5DDB" w:rsidP="001B4015">
      <w:pPr>
        <w:ind w:left="851"/>
        <w:rPr>
          <w:rFonts w:eastAsia="SimSun"/>
          <w:sz w:val="24"/>
          <w:szCs w:val="24"/>
        </w:rPr>
      </w:pPr>
      <w:r w:rsidRPr="00475DC9">
        <w:rPr>
          <w:sz w:val="24"/>
          <w:szCs w:val="24"/>
        </w:rPr>
        <w:t>Moderate hæmmere af CYP3A4 såsom fluconazol kan øge lurasidons plasmakoncentrationer. Hvis samtidig behandling ikke kan undgås, nedsættes dosis af lurasidon som angivet i produktresuméet for lurasidon.</w:t>
      </w:r>
    </w:p>
    <w:bookmarkEnd w:id="9"/>
    <w:p w14:paraId="7267F205" w14:textId="77777777" w:rsidR="008C5DDB" w:rsidRPr="00475DC9" w:rsidRDefault="008C5DDB" w:rsidP="001B4015">
      <w:pPr>
        <w:ind w:left="851"/>
        <w:rPr>
          <w:rFonts w:eastAsia="SimSun"/>
          <w:sz w:val="24"/>
          <w:szCs w:val="24"/>
          <w:lang w:eastAsia="zh-CN"/>
        </w:rPr>
      </w:pPr>
    </w:p>
    <w:p w14:paraId="18BC915F" w14:textId="77777777" w:rsidR="008C5DDB" w:rsidRPr="00412B8A" w:rsidRDefault="008C5DDB" w:rsidP="001B4015">
      <w:pPr>
        <w:ind w:left="851"/>
        <w:rPr>
          <w:sz w:val="24"/>
          <w:szCs w:val="24"/>
          <w:u w:val="single"/>
        </w:rPr>
      </w:pPr>
      <w:r w:rsidRPr="00412B8A">
        <w:rPr>
          <w:sz w:val="24"/>
          <w:szCs w:val="24"/>
          <w:u w:val="single"/>
        </w:rPr>
        <w:t xml:space="preserve">Methadon: </w:t>
      </w:r>
    </w:p>
    <w:p w14:paraId="15219E30" w14:textId="77777777" w:rsidR="008C5DDB" w:rsidRPr="00475DC9" w:rsidRDefault="008C5DDB" w:rsidP="001B4015">
      <w:pPr>
        <w:ind w:left="851"/>
        <w:rPr>
          <w:rFonts w:eastAsia="SimSun"/>
          <w:sz w:val="24"/>
          <w:szCs w:val="24"/>
        </w:rPr>
      </w:pPr>
      <w:r w:rsidRPr="00475DC9">
        <w:rPr>
          <w:sz w:val="24"/>
          <w:szCs w:val="24"/>
        </w:rPr>
        <w:t xml:space="preserve">Fluconazol kan øge methadons serumkoncentration. Dosisjustering af methadon kan blive nødvendig. </w:t>
      </w:r>
    </w:p>
    <w:p w14:paraId="45BE6583" w14:textId="77777777" w:rsidR="008C5DDB" w:rsidRPr="00475DC9" w:rsidRDefault="008C5DDB" w:rsidP="001B4015">
      <w:pPr>
        <w:ind w:left="851"/>
        <w:rPr>
          <w:rFonts w:eastAsia="SimSun"/>
          <w:sz w:val="24"/>
          <w:szCs w:val="24"/>
          <w:lang w:eastAsia="zh-CN"/>
        </w:rPr>
      </w:pPr>
    </w:p>
    <w:p w14:paraId="344936C5" w14:textId="77777777" w:rsidR="008C5DDB" w:rsidRPr="00412B8A" w:rsidRDefault="008C5DDB" w:rsidP="001B4015">
      <w:pPr>
        <w:ind w:left="851"/>
        <w:rPr>
          <w:sz w:val="24"/>
          <w:szCs w:val="24"/>
          <w:u w:val="single"/>
        </w:rPr>
      </w:pPr>
      <w:r w:rsidRPr="00412B8A">
        <w:rPr>
          <w:sz w:val="24"/>
          <w:szCs w:val="24"/>
          <w:u w:val="single"/>
        </w:rPr>
        <w:t xml:space="preserve">Non-steroide antiinflammatoriske lægemidler: </w:t>
      </w:r>
    </w:p>
    <w:p w14:paraId="77C6F7C8" w14:textId="77777777" w:rsidR="008C5DDB" w:rsidRPr="00475DC9" w:rsidRDefault="008C5DDB" w:rsidP="001B4015">
      <w:pPr>
        <w:ind w:left="851"/>
        <w:rPr>
          <w:rFonts w:eastAsia="SimSun"/>
          <w:sz w:val="24"/>
          <w:szCs w:val="24"/>
        </w:rPr>
      </w:pPr>
      <w:r w:rsidRPr="00475DC9">
        <w:rPr>
          <w:sz w:val="24"/>
          <w:szCs w:val="24"/>
        </w:rPr>
        <w:t>C</w:t>
      </w:r>
      <w:r w:rsidRPr="00475DC9">
        <w:rPr>
          <w:sz w:val="24"/>
          <w:szCs w:val="24"/>
          <w:vertAlign w:val="subscript"/>
        </w:rPr>
        <w:t xml:space="preserve">max </w:t>
      </w:r>
      <w:r w:rsidRPr="00475DC9">
        <w:rPr>
          <w:sz w:val="24"/>
          <w:szCs w:val="24"/>
        </w:rPr>
        <w:t>og AUC for flurbiprofen blev øget med henholdsvis 23 % og 81 % ved kombinationsbehandling med fluconazol sammenlignet med administration af flurbiprofen alene. Tilsvarende blev C</w:t>
      </w:r>
      <w:r w:rsidRPr="00475DC9">
        <w:rPr>
          <w:sz w:val="24"/>
          <w:szCs w:val="24"/>
          <w:vertAlign w:val="subscript"/>
        </w:rPr>
        <w:t xml:space="preserve">max </w:t>
      </w:r>
      <w:r w:rsidRPr="00475DC9">
        <w:rPr>
          <w:sz w:val="24"/>
          <w:szCs w:val="24"/>
        </w:rPr>
        <w:t>og AUC for den farmakologisk aktive isomer [S-(</w:t>
      </w:r>
      <w:proofErr w:type="gramStart"/>
      <w:r w:rsidRPr="00475DC9">
        <w:rPr>
          <w:sz w:val="24"/>
          <w:szCs w:val="24"/>
        </w:rPr>
        <w:t>+)-</w:t>
      </w:r>
      <w:proofErr w:type="gramEnd"/>
      <w:r w:rsidRPr="00475DC9">
        <w:rPr>
          <w:sz w:val="24"/>
          <w:szCs w:val="24"/>
        </w:rPr>
        <w:t xml:space="preserve">ibuprofen] øget med henholdsvis 15 % og 82 %, når fluconazol blev administreret samtidig med racemisk ibuprofen (400 mg) sammenlignet med administration af racemisk ibuprofen alene. </w:t>
      </w:r>
    </w:p>
    <w:p w14:paraId="271CBA28" w14:textId="77777777" w:rsidR="008C5DDB" w:rsidRPr="00475DC9" w:rsidRDefault="008C5DDB" w:rsidP="001B4015">
      <w:pPr>
        <w:ind w:left="851"/>
        <w:rPr>
          <w:rFonts w:eastAsia="SimSun"/>
          <w:sz w:val="24"/>
          <w:szCs w:val="24"/>
          <w:lang w:eastAsia="zh-CN"/>
        </w:rPr>
      </w:pPr>
    </w:p>
    <w:p w14:paraId="141E45CF" w14:textId="77777777" w:rsidR="008C5DDB" w:rsidRPr="00475DC9" w:rsidRDefault="008C5DDB" w:rsidP="001B4015">
      <w:pPr>
        <w:ind w:left="851"/>
        <w:rPr>
          <w:rFonts w:eastAsia="SimSun"/>
          <w:sz w:val="24"/>
          <w:szCs w:val="24"/>
        </w:rPr>
      </w:pPr>
      <w:r w:rsidRPr="00475DC9">
        <w:rPr>
          <w:sz w:val="24"/>
          <w:szCs w:val="24"/>
        </w:rPr>
        <w:lastRenderedPageBreak/>
        <w:t xml:space="preserve">Selvom det ikke specifikt er undersøgt, kan fluconazol muligvis øge den systemiske eksponering af andre NSAID, som metaboliseres af CYP2C9 (f.eks. naproxen, lornoxicam, meloxicam, diclofenac). Hyppig monitorering for NSAID-relaterede bivirkninger og toksicitet anbefales. Dosisjustering af NSAID kan være nødvendig. </w:t>
      </w:r>
    </w:p>
    <w:p w14:paraId="6868CF4B" w14:textId="77777777" w:rsidR="008C5DDB" w:rsidRPr="00475DC9" w:rsidRDefault="008C5DDB" w:rsidP="001B4015">
      <w:pPr>
        <w:ind w:left="851"/>
        <w:rPr>
          <w:rFonts w:eastAsia="SimSun"/>
          <w:sz w:val="24"/>
          <w:szCs w:val="24"/>
          <w:lang w:val="nl-NL" w:eastAsia="zh-CN"/>
        </w:rPr>
      </w:pPr>
    </w:p>
    <w:p w14:paraId="17E559D3" w14:textId="77777777" w:rsidR="008C5DDB" w:rsidRPr="00412B8A" w:rsidRDefault="008C5DDB" w:rsidP="001B4015">
      <w:pPr>
        <w:ind w:left="851"/>
        <w:rPr>
          <w:sz w:val="24"/>
          <w:szCs w:val="24"/>
          <w:u w:val="single"/>
        </w:rPr>
      </w:pPr>
      <w:r w:rsidRPr="00412B8A">
        <w:rPr>
          <w:sz w:val="24"/>
          <w:szCs w:val="24"/>
          <w:u w:val="single"/>
        </w:rPr>
        <w:t xml:space="preserve">Phenytoin: </w:t>
      </w:r>
    </w:p>
    <w:p w14:paraId="54B3A481" w14:textId="77777777" w:rsidR="008C5DDB" w:rsidRPr="00475DC9" w:rsidRDefault="008C5DDB" w:rsidP="001B4015">
      <w:pPr>
        <w:ind w:left="851"/>
        <w:rPr>
          <w:rFonts w:eastAsia="SimSun"/>
          <w:sz w:val="24"/>
          <w:szCs w:val="24"/>
        </w:rPr>
      </w:pPr>
      <w:r w:rsidRPr="00475DC9">
        <w:rPr>
          <w:sz w:val="24"/>
          <w:szCs w:val="24"/>
        </w:rPr>
        <w:t>Fluconazol hæmmer den hepatiske metabolisme af phenytoin. Samtidig gentagen administration af 200 mg fluconazol og 250 mg phenytoin intravenøst forårsagede en stigning i phenytoins AUC</w:t>
      </w:r>
      <w:r w:rsidRPr="00475DC9">
        <w:rPr>
          <w:sz w:val="24"/>
          <w:szCs w:val="24"/>
          <w:vertAlign w:val="subscript"/>
        </w:rPr>
        <w:t xml:space="preserve">24 </w:t>
      </w:r>
      <w:r w:rsidRPr="00475DC9">
        <w:rPr>
          <w:sz w:val="24"/>
          <w:szCs w:val="24"/>
        </w:rPr>
        <w:t>med 75 % og C</w:t>
      </w:r>
      <w:r w:rsidRPr="00475DC9">
        <w:rPr>
          <w:sz w:val="24"/>
          <w:szCs w:val="24"/>
          <w:vertAlign w:val="subscript"/>
        </w:rPr>
        <w:t>min</w:t>
      </w:r>
      <w:r w:rsidRPr="00475DC9">
        <w:rPr>
          <w:sz w:val="24"/>
          <w:szCs w:val="24"/>
        </w:rPr>
        <w:t xml:space="preserve"> med 128 %. Ved kombinationsbehandling anbefales monitorering af serum-phenytoin-koncentrationer for at undgå phenytointoksicitet. </w:t>
      </w:r>
    </w:p>
    <w:p w14:paraId="0ABAD331" w14:textId="77777777" w:rsidR="008C5DDB" w:rsidRPr="00475DC9" w:rsidRDefault="008C5DDB" w:rsidP="001B4015">
      <w:pPr>
        <w:ind w:left="851"/>
        <w:rPr>
          <w:rFonts w:eastAsia="SimSun"/>
          <w:sz w:val="24"/>
          <w:szCs w:val="24"/>
          <w:lang w:eastAsia="zh-CN"/>
        </w:rPr>
      </w:pPr>
    </w:p>
    <w:p w14:paraId="3C44A89C" w14:textId="77777777" w:rsidR="008C5DDB" w:rsidRPr="00412B8A" w:rsidRDefault="008C5DDB" w:rsidP="001B4015">
      <w:pPr>
        <w:ind w:left="851"/>
        <w:rPr>
          <w:sz w:val="24"/>
          <w:szCs w:val="24"/>
          <w:u w:val="single"/>
        </w:rPr>
      </w:pPr>
      <w:r w:rsidRPr="00412B8A">
        <w:rPr>
          <w:sz w:val="24"/>
          <w:szCs w:val="24"/>
          <w:u w:val="single"/>
        </w:rPr>
        <w:t xml:space="preserve">Prednison: </w:t>
      </w:r>
    </w:p>
    <w:p w14:paraId="31055026" w14:textId="77777777" w:rsidR="008C5DDB" w:rsidRPr="00475DC9" w:rsidRDefault="008C5DDB" w:rsidP="001B4015">
      <w:pPr>
        <w:ind w:left="851"/>
        <w:rPr>
          <w:rFonts w:eastAsia="SimSun"/>
          <w:sz w:val="24"/>
          <w:szCs w:val="24"/>
        </w:rPr>
      </w:pPr>
      <w:r w:rsidRPr="00475DC9">
        <w:rPr>
          <w:sz w:val="24"/>
          <w:szCs w:val="24"/>
        </w:rPr>
        <w:t xml:space="preserve">Der har været en caserapport, hvor en levertransplanteret patient i behandling med prednison udviklede akut binyrebarkinsufficiens, da en tre måneders behandling med fluconazol blev seponeret. Seponeringen af fluconazol forårsagede formentlig en øget CYP3A4-aktivitet, som førte til øget metabolisme af prednison. Patienter i langtidsbehandling med fluconazol og prednison bør monitoreres nøje for binyrebarkinsufficiens, når fluconazol seponeres. </w:t>
      </w:r>
    </w:p>
    <w:p w14:paraId="33E095BA" w14:textId="77777777" w:rsidR="008C5DDB" w:rsidRPr="00412B8A" w:rsidRDefault="008C5DDB" w:rsidP="001B4015">
      <w:pPr>
        <w:ind w:left="851"/>
        <w:rPr>
          <w:rFonts w:eastAsia="SimSun"/>
          <w:bCs/>
          <w:sz w:val="24"/>
          <w:szCs w:val="24"/>
          <w:lang w:eastAsia="zh-CN"/>
        </w:rPr>
      </w:pPr>
    </w:p>
    <w:p w14:paraId="49DCC4D4" w14:textId="77777777" w:rsidR="008C5DDB" w:rsidRPr="00412B8A" w:rsidRDefault="008C5DDB" w:rsidP="001B4015">
      <w:pPr>
        <w:ind w:left="851"/>
        <w:rPr>
          <w:sz w:val="24"/>
          <w:szCs w:val="24"/>
          <w:u w:val="single"/>
        </w:rPr>
      </w:pPr>
      <w:r w:rsidRPr="00412B8A">
        <w:rPr>
          <w:sz w:val="24"/>
          <w:szCs w:val="24"/>
          <w:u w:val="single"/>
        </w:rPr>
        <w:t xml:space="preserve">Rifabutin: </w:t>
      </w:r>
    </w:p>
    <w:p w14:paraId="3577E510" w14:textId="77777777" w:rsidR="008C5DDB" w:rsidRPr="00475DC9" w:rsidRDefault="008C5DDB" w:rsidP="001B4015">
      <w:pPr>
        <w:ind w:left="851"/>
        <w:rPr>
          <w:rFonts w:eastAsia="SimSun"/>
          <w:bCs/>
          <w:sz w:val="24"/>
          <w:szCs w:val="24"/>
        </w:rPr>
      </w:pPr>
      <w:r w:rsidRPr="00475DC9">
        <w:rPr>
          <w:sz w:val="24"/>
          <w:szCs w:val="24"/>
        </w:rPr>
        <w:t xml:space="preserve">Fluconazol øger serumkoncentrationen af rifabutin, hvilket fører til en stigning i AUC for rifabutin med op til 80 %. Der har været indberetning om uveitis hos patienter, som blev behandlet med fluconazol og rifabutin samtidig. Ved kombinationsbehandling anbefales øget opmærksomhed på rifabutintoksicitet. </w:t>
      </w:r>
    </w:p>
    <w:p w14:paraId="539B6DCE" w14:textId="77777777" w:rsidR="008C5DDB" w:rsidRPr="00475DC9" w:rsidRDefault="008C5DDB" w:rsidP="001B4015">
      <w:pPr>
        <w:ind w:left="851"/>
        <w:rPr>
          <w:sz w:val="24"/>
          <w:szCs w:val="24"/>
        </w:rPr>
      </w:pPr>
    </w:p>
    <w:p w14:paraId="0CD04D42" w14:textId="77777777" w:rsidR="008C5DDB" w:rsidRPr="00412B8A" w:rsidRDefault="008C5DDB" w:rsidP="001B4015">
      <w:pPr>
        <w:ind w:left="851"/>
        <w:rPr>
          <w:sz w:val="24"/>
          <w:szCs w:val="24"/>
          <w:u w:val="single"/>
        </w:rPr>
      </w:pPr>
      <w:r w:rsidRPr="00412B8A">
        <w:rPr>
          <w:sz w:val="24"/>
          <w:szCs w:val="24"/>
          <w:u w:val="single"/>
        </w:rPr>
        <w:t xml:space="preserve">Saquinavir: </w:t>
      </w:r>
    </w:p>
    <w:p w14:paraId="2E309327" w14:textId="77777777" w:rsidR="008C5DDB" w:rsidRPr="00475DC9" w:rsidRDefault="008C5DDB" w:rsidP="001B4015">
      <w:pPr>
        <w:ind w:left="851"/>
        <w:rPr>
          <w:rFonts w:eastAsia="SimSun"/>
          <w:sz w:val="24"/>
          <w:szCs w:val="24"/>
        </w:rPr>
      </w:pPr>
      <w:r w:rsidRPr="00475DC9">
        <w:rPr>
          <w:sz w:val="24"/>
          <w:szCs w:val="24"/>
        </w:rPr>
        <w:t>Fluconazol øger AUC og C</w:t>
      </w:r>
      <w:r w:rsidRPr="00475DC9">
        <w:rPr>
          <w:sz w:val="24"/>
          <w:szCs w:val="24"/>
          <w:vertAlign w:val="subscript"/>
        </w:rPr>
        <w:t>max</w:t>
      </w:r>
      <w:r w:rsidRPr="00475DC9">
        <w:rPr>
          <w:sz w:val="24"/>
          <w:szCs w:val="24"/>
        </w:rPr>
        <w:t xml:space="preserve"> for saquinavir med henholdsvis ca. 50 % og ca. 55 % pga. hæmning af saquinavirs hepatiske metabolisme via CYP3A4 og hæmning af P-glykoprotein. Interaktion med sanquinavir/ritonavir er ikke blevet undersøgt og kan være betydelig. Dosisjustering af saquinavir kan være nødvendig. </w:t>
      </w:r>
    </w:p>
    <w:p w14:paraId="1889FF29" w14:textId="77777777" w:rsidR="008C5DDB" w:rsidRPr="00475DC9" w:rsidRDefault="008C5DDB" w:rsidP="001B4015">
      <w:pPr>
        <w:ind w:left="851"/>
        <w:rPr>
          <w:rFonts w:eastAsia="SimSun"/>
          <w:sz w:val="24"/>
          <w:szCs w:val="24"/>
          <w:lang w:eastAsia="zh-CN"/>
        </w:rPr>
      </w:pPr>
    </w:p>
    <w:p w14:paraId="010E8005" w14:textId="77777777" w:rsidR="008C5DDB" w:rsidRPr="00412B8A" w:rsidRDefault="008C5DDB" w:rsidP="001B4015">
      <w:pPr>
        <w:ind w:left="851"/>
        <w:rPr>
          <w:sz w:val="24"/>
          <w:szCs w:val="24"/>
          <w:u w:val="single"/>
        </w:rPr>
      </w:pPr>
      <w:r w:rsidRPr="00412B8A">
        <w:rPr>
          <w:sz w:val="24"/>
          <w:szCs w:val="24"/>
          <w:u w:val="single"/>
        </w:rPr>
        <w:t xml:space="preserve">Sulfonylurinstoffer: </w:t>
      </w:r>
    </w:p>
    <w:p w14:paraId="2451F52B" w14:textId="77777777" w:rsidR="008C5DDB" w:rsidRPr="00475DC9" w:rsidRDefault="008C5DDB" w:rsidP="001B4015">
      <w:pPr>
        <w:ind w:left="851"/>
        <w:rPr>
          <w:rFonts w:eastAsia="SimSun"/>
          <w:sz w:val="24"/>
          <w:szCs w:val="24"/>
        </w:rPr>
      </w:pPr>
      <w:r w:rsidRPr="00475DC9">
        <w:rPr>
          <w:sz w:val="24"/>
          <w:szCs w:val="24"/>
        </w:rPr>
        <w:t xml:space="preserve">Det er blevet påvist, at fluconazol forlænger serumhalveringstiden af samtidigt administrerede orale sulfonylurinstoffer (f.eks. chlorpropamid, glibenclamid, glipizid, tolbutamid) hos raske forsøgspersoner. Hyppig monitorering af blodglucose og passende dosisreduktion af sulfonylurinstofdosis anbefales ved kombinationsbehandling. </w:t>
      </w:r>
    </w:p>
    <w:p w14:paraId="773732AF" w14:textId="77777777" w:rsidR="008C5DDB" w:rsidRPr="00475DC9" w:rsidRDefault="008C5DDB" w:rsidP="001B4015">
      <w:pPr>
        <w:ind w:left="851"/>
        <w:rPr>
          <w:rFonts w:eastAsia="SimSun"/>
          <w:sz w:val="24"/>
          <w:szCs w:val="24"/>
          <w:lang w:eastAsia="zh-CN"/>
        </w:rPr>
      </w:pPr>
    </w:p>
    <w:p w14:paraId="1BA05488" w14:textId="77777777" w:rsidR="008C5DDB" w:rsidRPr="00412B8A" w:rsidRDefault="008C5DDB" w:rsidP="001B4015">
      <w:pPr>
        <w:ind w:left="851"/>
        <w:rPr>
          <w:sz w:val="24"/>
          <w:szCs w:val="24"/>
          <w:u w:val="single"/>
        </w:rPr>
      </w:pPr>
      <w:r w:rsidRPr="00412B8A">
        <w:rPr>
          <w:sz w:val="24"/>
          <w:szCs w:val="24"/>
          <w:u w:val="single"/>
        </w:rPr>
        <w:t xml:space="preserve">Theophyllin: </w:t>
      </w:r>
    </w:p>
    <w:p w14:paraId="70D7A551" w14:textId="77777777" w:rsidR="008C5DDB" w:rsidRPr="00475DC9" w:rsidRDefault="008C5DDB" w:rsidP="001B4015">
      <w:pPr>
        <w:ind w:left="851"/>
        <w:rPr>
          <w:rFonts w:eastAsia="SimSun"/>
          <w:sz w:val="24"/>
          <w:szCs w:val="24"/>
        </w:rPr>
      </w:pPr>
      <w:r w:rsidRPr="00475DC9">
        <w:rPr>
          <w:sz w:val="24"/>
          <w:szCs w:val="24"/>
        </w:rPr>
        <w:t xml:space="preserve">I et placebokontrolleret interaktionsforsøg resulterede administration af fluconazol 200 mg i 14 dage i et 18 % fald i gennemsnitlig plasmaclearance af theophyllin. Patienter i behandling med høje doser theophyllin, eller som af andre årsager har en øget risiko for theophyllintoksicitet, bør observeres for tegn på theophyllintoksicitet ved samtidig behandling med fluconazol. Behandlingen bør justeres, hvis der udvikles tegn på toksicitet. </w:t>
      </w:r>
    </w:p>
    <w:p w14:paraId="1BEE124F" w14:textId="77777777" w:rsidR="008C5DDB" w:rsidRPr="00475DC9" w:rsidRDefault="008C5DDB" w:rsidP="001B4015">
      <w:pPr>
        <w:ind w:left="851"/>
        <w:rPr>
          <w:rFonts w:eastAsia="SimSun"/>
          <w:sz w:val="24"/>
          <w:szCs w:val="24"/>
          <w:lang w:eastAsia="zh-CN"/>
        </w:rPr>
      </w:pPr>
    </w:p>
    <w:p w14:paraId="17411A2C" w14:textId="77777777" w:rsidR="008C5DDB" w:rsidRPr="00412B8A" w:rsidRDefault="008C5DDB" w:rsidP="001B4015">
      <w:pPr>
        <w:ind w:left="851"/>
        <w:rPr>
          <w:sz w:val="24"/>
          <w:szCs w:val="24"/>
          <w:u w:val="single"/>
        </w:rPr>
      </w:pPr>
      <w:r w:rsidRPr="00412B8A">
        <w:rPr>
          <w:sz w:val="24"/>
          <w:szCs w:val="24"/>
          <w:u w:val="single"/>
        </w:rPr>
        <w:t xml:space="preserve">Tofacitinib: </w:t>
      </w:r>
    </w:p>
    <w:p w14:paraId="3795C9AD" w14:textId="77777777" w:rsidR="008C5DDB" w:rsidRPr="00475DC9" w:rsidRDefault="008C5DDB" w:rsidP="001B4015">
      <w:pPr>
        <w:ind w:left="851"/>
        <w:rPr>
          <w:rFonts w:eastAsia="SimSun"/>
          <w:sz w:val="24"/>
          <w:szCs w:val="24"/>
        </w:rPr>
      </w:pPr>
      <w:r w:rsidRPr="00475DC9">
        <w:rPr>
          <w:sz w:val="24"/>
          <w:szCs w:val="24"/>
        </w:rPr>
        <w:t>Tofacitinib-eksponering forøges, når tofacitinib administreres samtidigt med lægemidler, der forårsager både moderat hæmning af CYP3A4 og stærk hæmning af CYP2C19 (f.eks. fluconazol). Derfor anbefales det at nedsætte tofacitinib-dosen til 5 mg dagligt, når den administreres samtidigt med disse lægemidler.</w:t>
      </w:r>
    </w:p>
    <w:p w14:paraId="0866B476" w14:textId="551968F3" w:rsidR="00C24C12" w:rsidRDefault="00C24C12">
      <w:pPr>
        <w:rPr>
          <w:rFonts w:eastAsia="SimSun"/>
          <w:sz w:val="24"/>
          <w:szCs w:val="24"/>
          <w:lang w:eastAsia="zh-CN"/>
        </w:rPr>
      </w:pPr>
      <w:r>
        <w:rPr>
          <w:rFonts w:eastAsia="SimSun"/>
          <w:sz w:val="24"/>
          <w:szCs w:val="24"/>
          <w:lang w:eastAsia="zh-CN"/>
        </w:rPr>
        <w:br w:type="page"/>
      </w:r>
    </w:p>
    <w:p w14:paraId="4ADC0FDD" w14:textId="77777777" w:rsidR="008C5DDB" w:rsidRPr="00475DC9" w:rsidRDefault="008C5DDB" w:rsidP="001B4015">
      <w:pPr>
        <w:ind w:left="851"/>
        <w:rPr>
          <w:rFonts w:eastAsia="SimSun"/>
          <w:sz w:val="24"/>
          <w:szCs w:val="24"/>
          <w:lang w:eastAsia="zh-CN"/>
        </w:rPr>
      </w:pPr>
    </w:p>
    <w:p w14:paraId="6725D8B3" w14:textId="77777777" w:rsidR="008C5DDB" w:rsidRPr="00412B8A" w:rsidRDefault="008C5DDB" w:rsidP="001B4015">
      <w:pPr>
        <w:ind w:left="851"/>
        <w:rPr>
          <w:sz w:val="24"/>
          <w:szCs w:val="24"/>
          <w:u w:val="single"/>
        </w:rPr>
      </w:pPr>
      <w:r w:rsidRPr="00412B8A">
        <w:rPr>
          <w:sz w:val="24"/>
          <w:szCs w:val="24"/>
          <w:u w:val="single"/>
        </w:rPr>
        <w:t xml:space="preserve">Tolvaptan: </w:t>
      </w:r>
    </w:p>
    <w:p w14:paraId="31F72FF5" w14:textId="77777777" w:rsidR="008C5DDB" w:rsidRPr="00475DC9" w:rsidRDefault="008C5DDB" w:rsidP="001B4015">
      <w:pPr>
        <w:ind w:left="851"/>
        <w:rPr>
          <w:rFonts w:eastAsia="SimSun"/>
          <w:sz w:val="24"/>
          <w:szCs w:val="24"/>
        </w:rPr>
      </w:pPr>
      <w:r w:rsidRPr="00475DC9">
        <w:rPr>
          <w:sz w:val="24"/>
          <w:szCs w:val="24"/>
        </w:rPr>
        <w:t>Tolvaptan-eksponering øges signifikant (200 % i AUC; 80 % i C</w:t>
      </w:r>
      <w:r w:rsidRPr="00475DC9">
        <w:rPr>
          <w:sz w:val="24"/>
          <w:szCs w:val="24"/>
          <w:vertAlign w:val="subscript"/>
        </w:rPr>
        <w:t>max</w:t>
      </w:r>
      <w:r w:rsidRPr="00475DC9">
        <w:rPr>
          <w:sz w:val="24"/>
          <w:szCs w:val="24"/>
        </w:rPr>
        <w:t>), når tolvaptan (et CYP3A4-substrat) administreres samtidig med fluconazol (en moderat CYP3A4-hæmmer), med risiko for betydelig stigning i bivirkninger især udtalt diurese, dehydrering og akut nyresvigt. Ved samtidig brug bør tolvaptan dosis nedsættes som angivet i produktresuméet for tolvaptan, og patienten bør hyppigt monitoreres for eventuelle bivirkninger forbundet med tolvaptan.</w:t>
      </w:r>
    </w:p>
    <w:p w14:paraId="72F7972D" w14:textId="77777777" w:rsidR="008C5DDB" w:rsidRPr="00475DC9" w:rsidRDefault="008C5DDB" w:rsidP="001B4015">
      <w:pPr>
        <w:ind w:left="851"/>
        <w:rPr>
          <w:rFonts w:eastAsia="SimSun"/>
          <w:sz w:val="24"/>
          <w:szCs w:val="24"/>
          <w:lang w:eastAsia="zh-CN"/>
        </w:rPr>
      </w:pPr>
    </w:p>
    <w:p w14:paraId="1F6F9D00" w14:textId="77777777" w:rsidR="008C5DDB" w:rsidRPr="00412B8A" w:rsidRDefault="008C5DDB" w:rsidP="001B4015">
      <w:pPr>
        <w:ind w:left="851"/>
        <w:rPr>
          <w:sz w:val="24"/>
          <w:szCs w:val="24"/>
          <w:u w:val="single"/>
        </w:rPr>
      </w:pPr>
      <w:r w:rsidRPr="00412B8A">
        <w:rPr>
          <w:sz w:val="24"/>
          <w:szCs w:val="24"/>
          <w:u w:val="single"/>
        </w:rPr>
        <w:t xml:space="preserve">Vinkaalkaloider: </w:t>
      </w:r>
    </w:p>
    <w:p w14:paraId="17E6C206" w14:textId="77777777" w:rsidR="008C5DDB" w:rsidRPr="00475DC9" w:rsidRDefault="008C5DDB" w:rsidP="001B4015">
      <w:pPr>
        <w:ind w:left="851"/>
        <w:rPr>
          <w:rFonts w:eastAsia="SimSun"/>
          <w:sz w:val="24"/>
          <w:szCs w:val="24"/>
        </w:rPr>
      </w:pPr>
      <w:r w:rsidRPr="00475DC9">
        <w:rPr>
          <w:sz w:val="24"/>
          <w:szCs w:val="24"/>
        </w:rPr>
        <w:t xml:space="preserve">Skønt det ikke er undersøgt, kan fluconazol muligvis øge plasmakoncentrationen af vinkaalkaloider (f.eks. vincristin og vinblastin) og medføre neurotoksicitet, som er mulig pga. en hæmmende effekt på CYP3A4. </w:t>
      </w:r>
    </w:p>
    <w:p w14:paraId="0AAE1C6D" w14:textId="77777777" w:rsidR="008C5DDB" w:rsidRPr="00475DC9" w:rsidRDefault="008C5DDB" w:rsidP="001B4015">
      <w:pPr>
        <w:ind w:left="851"/>
        <w:rPr>
          <w:rFonts w:eastAsia="SimSun"/>
          <w:sz w:val="24"/>
          <w:szCs w:val="24"/>
          <w:lang w:eastAsia="zh-CN"/>
        </w:rPr>
      </w:pPr>
    </w:p>
    <w:p w14:paraId="54853692" w14:textId="77777777" w:rsidR="008C5DDB" w:rsidRPr="00412B8A" w:rsidRDefault="008C5DDB" w:rsidP="001B4015">
      <w:pPr>
        <w:ind w:left="851"/>
        <w:rPr>
          <w:sz w:val="24"/>
          <w:szCs w:val="24"/>
          <w:u w:val="single"/>
        </w:rPr>
      </w:pPr>
      <w:r w:rsidRPr="00412B8A">
        <w:rPr>
          <w:sz w:val="24"/>
          <w:szCs w:val="24"/>
          <w:u w:val="single"/>
        </w:rPr>
        <w:t xml:space="preserve">Vitamin A: </w:t>
      </w:r>
    </w:p>
    <w:p w14:paraId="158B68FE" w14:textId="77777777" w:rsidR="008C5DDB" w:rsidRPr="00475DC9" w:rsidRDefault="008C5DDB" w:rsidP="001B4015">
      <w:pPr>
        <w:ind w:left="851"/>
        <w:rPr>
          <w:rFonts w:eastAsia="SimSun"/>
          <w:sz w:val="24"/>
          <w:szCs w:val="24"/>
        </w:rPr>
      </w:pPr>
      <w:r w:rsidRPr="00475DC9">
        <w:rPr>
          <w:sz w:val="24"/>
          <w:szCs w:val="24"/>
        </w:rPr>
        <w:t xml:space="preserve">Baseret på en caserapport på en patient, der fik kombinationsbehandling med all-trans-retinoidsyre (en syreform af vitamin A) og fluconazol, blev der set udvikling af CNS-bivirkninger i form af pseudotumor </w:t>
      </w:r>
      <w:r w:rsidRPr="00475DC9">
        <w:rPr>
          <w:iCs/>
          <w:sz w:val="24"/>
          <w:szCs w:val="24"/>
        </w:rPr>
        <w:t>cerebri</w:t>
      </w:r>
      <w:r w:rsidRPr="00475DC9">
        <w:rPr>
          <w:sz w:val="24"/>
          <w:szCs w:val="24"/>
        </w:rPr>
        <w:t xml:space="preserve">, som forsvandt efter seponering af fluconazol. Denne kombination kan anvendes, men med øget opmærksomhed på forekomsten af CNS-bivirkninger. </w:t>
      </w:r>
    </w:p>
    <w:p w14:paraId="2047859B" w14:textId="77777777" w:rsidR="008C5DDB" w:rsidRPr="00475DC9" w:rsidRDefault="008C5DDB" w:rsidP="001B4015">
      <w:pPr>
        <w:ind w:left="851"/>
        <w:rPr>
          <w:rFonts w:eastAsia="SimSun"/>
          <w:sz w:val="24"/>
          <w:szCs w:val="24"/>
          <w:lang w:eastAsia="zh-CN"/>
        </w:rPr>
      </w:pPr>
    </w:p>
    <w:p w14:paraId="72DD6106" w14:textId="77777777" w:rsidR="008C5DDB" w:rsidRPr="00475DC9" w:rsidRDefault="008C5DDB" w:rsidP="001B4015">
      <w:pPr>
        <w:ind w:left="851"/>
        <w:rPr>
          <w:sz w:val="24"/>
          <w:szCs w:val="24"/>
        </w:rPr>
      </w:pPr>
      <w:r w:rsidRPr="00412B8A">
        <w:rPr>
          <w:sz w:val="24"/>
          <w:szCs w:val="24"/>
          <w:u w:val="single"/>
        </w:rPr>
        <w:t>Voriconazole:</w:t>
      </w:r>
      <w:r w:rsidRPr="00475DC9">
        <w:rPr>
          <w:sz w:val="24"/>
          <w:szCs w:val="24"/>
        </w:rPr>
        <w:t xml:space="preserve"> (CYP2C9, CYP2C19 og CYP3A4-hæmmer): </w:t>
      </w:r>
    </w:p>
    <w:p w14:paraId="31E01B97" w14:textId="75073582" w:rsidR="008C5DDB" w:rsidRPr="00475DC9" w:rsidRDefault="008C5DDB" w:rsidP="001B4015">
      <w:pPr>
        <w:ind w:left="851"/>
        <w:rPr>
          <w:rFonts w:eastAsia="SimSun"/>
          <w:sz w:val="24"/>
          <w:szCs w:val="24"/>
        </w:rPr>
      </w:pPr>
      <w:r w:rsidRPr="00475DC9">
        <w:rPr>
          <w:sz w:val="24"/>
          <w:szCs w:val="24"/>
        </w:rPr>
        <w:t>Samtidig administration af oral voriconazol (400 mg/12 timer i 1 dag, derefter 200</w:t>
      </w:r>
      <w:r w:rsidR="00C24C12">
        <w:rPr>
          <w:sz w:val="24"/>
          <w:szCs w:val="24"/>
        </w:rPr>
        <w:t> </w:t>
      </w:r>
      <w:r w:rsidRPr="00475DC9">
        <w:rPr>
          <w:sz w:val="24"/>
          <w:szCs w:val="24"/>
        </w:rPr>
        <w:t>mg/12</w:t>
      </w:r>
      <w:r w:rsidR="00C24C12">
        <w:rPr>
          <w:sz w:val="24"/>
          <w:szCs w:val="24"/>
        </w:rPr>
        <w:t> </w:t>
      </w:r>
      <w:r w:rsidRPr="00475DC9">
        <w:rPr>
          <w:sz w:val="24"/>
          <w:szCs w:val="24"/>
        </w:rPr>
        <w:t>timer i 2,5 dage) og oral fluconazol (400 mg på dag 1, derefter 200 mg/24 timer i 4 dage) hos 8 raske mandlige forsøgspersoner resulterede i en stigning i C</w:t>
      </w:r>
      <w:r w:rsidRPr="00475DC9">
        <w:rPr>
          <w:sz w:val="24"/>
          <w:szCs w:val="24"/>
          <w:vertAlign w:val="subscript"/>
        </w:rPr>
        <w:t>max</w:t>
      </w:r>
      <w:r w:rsidRPr="00475DC9">
        <w:rPr>
          <w:sz w:val="24"/>
          <w:szCs w:val="24"/>
        </w:rPr>
        <w:t xml:space="preserve"> og AUCτ for voriconazol med gennemsnitligt 57 % (90 % CI: 20 %, 107 %) henholdsvis 79 % (90 % CI: 40 %, 128 %). Hvilken dosisreduktion og/eller doseringsfrekvens af voriconazol og fluconazol, der vil eliminere denne virkning, er ikke fastlagt. Monitorering for voriconazol-relaterede bivirkninger anbefales, hvis voriconazol anvendes sekventielt efter fluconazol. </w:t>
      </w:r>
    </w:p>
    <w:p w14:paraId="7D8F45CB" w14:textId="77777777" w:rsidR="008C5DDB" w:rsidRPr="00475DC9" w:rsidRDefault="008C5DDB" w:rsidP="001B4015">
      <w:pPr>
        <w:ind w:left="851"/>
        <w:rPr>
          <w:rFonts w:eastAsia="SimSun"/>
          <w:sz w:val="24"/>
          <w:szCs w:val="24"/>
          <w:lang w:eastAsia="zh-CN"/>
        </w:rPr>
      </w:pPr>
    </w:p>
    <w:p w14:paraId="7C758A0F" w14:textId="77777777" w:rsidR="008C5DDB" w:rsidRPr="00412B8A" w:rsidRDefault="008C5DDB" w:rsidP="001B4015">
      <w:pPr>
        <w:ind w:left="851"/>
        <w:rPr>
          <w:sz w:val="24"/>
          <w:szCs w:val="24"/>
          <w:u w:val="single"/>
        </w:rPr>
      </w:pPr>
      <w:r w:rsidRPr="00412B8A">
        <w:rPr>
          <w:sz w:val="24"/>
          <w:szCs w:val="24"/>
          <w:u w:val="single"/>
        </w:rPr>
        <w:t xml:space="preserve">Zidovudin: </w:t>
      </w:r>
    </w:p>
    <w:p w14:paraId="443E5178" w14:textId="77777777" w:rsidR="008C5DDB" w:rsidRPr="00475DC9" w:rsidRDefault="008C5DDB" w:rsidP="001B4015">
      <w:pPr>
        <w:ind w:left="851"/>
        <w:rPr>
          <w:rFonts w:eastAsia="SimSun"/>
          <w:sz w:val="24"/>
          <w:szCs w:val="24"/>
        </w:rPr>
      </w:pPr>
      <w:r w:rsidRPr="00475DC9">
        <w:rPr>
          <w:sz w:val="24"/>
          <w:szCs w:val="24"/>
        </w:rPr>
        <w:t>Fluconazol øger C</w:t>
      </w:r>
      <w:r w:rsidRPr="00475DC9">
        <w:rPr>
          <w:sz w:val="24"/>
          <w:szCs w:val="24"/>
          <w:vertAlign w:val="subscript"/>
        </w:rPr>
        <w:t xml:space="preserve">max </w:t>
      </w:r>
      <w:r w:rsidRPr="00475DC9">
        <w:rPr>
          <w:sz w:val="24"/>
          <w:szCs w:val="24"/>
        </w:rPr>
        <w:t xml:space="preserve">og AUC for zidovudin med henholdsvis 84 % og 74 % pga. fald i zidovudins orale clearance med ca. 45 %. Zidovudins halveringstid blev ligeledes forlænget med ca. 128 % ved kombinationsbehandling med fluconazol. Patienter, der bliver behandlet med denne kombination, bør monitoreres for udvikling af zidovudinrelaterede bivirkninger. Dosisreduktion af zidovudin kan være nødvendig. </w:t>
      </w:r>
    </w:p>
    <w:p w14:paraId="25C8315A" w14:textId="77777777" w:rsidR="008C5DDB" w:rsidRPr="00475DC9" w:rsidRDefault="008C5DDB" w:rsidP="001B4015">
      <w:pPr>
        <w:ind w:left="851"/>
        <w:rPr>
          <w:rFonts w:eastAsia="SimSun"/>
          <w:sz w:val="24"/>
          <w:szCs w:val="24"/>
          <w:lang w:eastAsia="zh-CN"/>
        </w:rPr>
      </w:pPr>
    </w:p>
    <w:p w14:paraId="0C1A0B7C" w14:textId="77777777" w:rsidR="008C5DDB" w:rsidRPr="00412B8A" w:rsidRDefault="008C5DDB" w:rsidP="001B4015">
      <w:pPr>
        <w:ind w:left="851"/>
        <w:rPr>
          <w:sz w:val="24"/>
          <w:szCs w:val="24"/>
          <w:u w:val="single"/>
        </w:rPr>
      </w:pPr>
      <w:r w:rsidRPr="00412B8A">
        <w:rPr>
          <w:sz w:val="24"/>
          <w:szCs w:val="24"/>
          <w:u w:val="single"/>
        </w:rPr>
        <w:t xml:space="preserve">Azithromycin: </w:t>
      </w:r>
    </w:p>
    <w:p w14:paraId="5E3759F4" w14:textId="309CAFFE" w:rsidR="008C5DDB" w:rsidRPr="00475DC9" w:rsidRDefault="008C5DDB" w:rsidP="001B4015">
      <w:pPr>
        <w:ind w:left="851"/>
        <w:rPr>
          <w:rFonts w:eastAsia="SimSun"/>
          <w:sz w:val="24"/>
          <w:szCs w:val="24"/>
        </w:rPr>
      </w:pPr>
      <w:r w:rsidRPr="00475DC9">
        <w:rPr>
          <w:sz w:val="24"/>
          <w:szCs w:val="24"/>
        </w:rPr>
        <w:t xml:space="preserve">I et åbent, randomiseret, trevejs-crossover forsøg med 18 raske forsøgspersoner blev det vurderet, om en enkelt oral dosis på 1.200 mg azithromycin havde effekt på farmakokinetikken af en enkelt oral dosis på 800 mg fluconazol såvel som fluconazols effekt på azithromycins farmakokinetik. Der var ingen signifikant farmakokinetisk interaktion mellem fluconazol og azithromycin. </w:t>
      </w:r>
    </w:p>
    <w:p w14:paraId="0C82D18A" w14:textId="77777777" w:rsidR="008C5DDB" w:rsidRPr="00475DC9" w:rsidRDefault="008C5DDB" w:rsidP="001B4015">
      <w:pPr>
        <w:ind w:left="851"/>
        <w:rPr>
          <w:rFonts w:eastAsia="SimSun"/>
          <w:sz w:val="24"/>
          <w:szCs w:val="24"/>
          <w:lang w:eastAsia="zh-CN"/>
        </w:rPr>
      </w:pPr>
    </w:p>
    <w:p w14:paraId="11AD6431" w14:textId="77777777" w:rsidR="008C5DDB" w:rsidRPr="00412B8A" w:rsidRDefault="008C5DDB" w:rsidP="001B4015">
      <w:pPr>
        <w:ind w:left="851"/>
        <w:rPr>
          <w:sz w:val="24"/>
          <w:szCs w:val="24"/>
          <w:u w:val="single"/>
        </w:rPr>
      </w:pPr>
      <w:r w:rsidRPr="00412B8A">
        <w:rPr>
          <w:sz w:val="24"/>
          <w:szCs w:val="24"/>
          <w:u w:val="single"/>
        </w:rPr>
        <w:t xml:space="preserve">Orale kontraceptiva: </w:t>
      </w:r>
    </w:p>
    <w:p w14:paraId="43E96319" w14:textId="77777777" w:rsidR="008C5DDB" w:rsidRPr="00475DC9" w:rsidRDefault="008C5DDB" w:rsidP="001B4015">
      <w:pPr>
        <w:ind w:left="851"/>
        <w:rPr>
          <w:rFonts w:eastAsia="SimSun"/>
          <w:sz w:val="24"/>
          <w:szCs w:val="24"/>
        </w:rPr>
      </w:pPr>
      <w:r w:rsidRPr="00475DC9">
        <w:rPr>
          <w:sz w:val="24"/>
          <w:szCs w:val="24"/>
        </w:rPr>
        <w:t xml:space="preserve">Der er udført 2 farmakokinetiske forsøg med et oral kontraceptivum af kombinationstypen og gentagen dosering med fluconazol. Hormonkoncentrationerne blev ikke påvirket i væsentlig grad i forsøget med 50 mg fluconazol, men ved døgndoser på 200 mg steg AUC for ethinylestradiol og levonorgestrel med henholdsvis 40 % og 24 %. Det er således næppe sandsynligt, at gentagne doser af fluconazol på dette niveau vil påvirke effekten af et oralt kontraceptivum af kombinationstypen. </w:t>
      </w:r>
    </w:p>
    <w:p w14:paraId="43C21DB4" w14:textId="77777777" w:rsidR="009260DE" w:rsidRPr="00475DC9" w:rsidRDefault="009260DE" w:rsidP="009260DE">
      <w:pPr>
        <w:tabs>
          <w:tab w:val="left" w:pos="851"/>
        </w:tabs>
        <w:ind w:left="851"/>
        <w:rPr>
          <w:sz w:val="24"/>
          <w:szCs w:val="24"/>
        </w:rPr>
      </w:pPr>
    </w:p>
    <w:p w14:paraId="08FA5531" w14:textId="77777777" w:rsidR="009260DE" w:rsidRPr="00475DC9" w:rsidRDefault="009260DE" w:rsidP="009260DE">
      <w:pPr>
        <w:tabs>
          <w:tab w:val="left" w:pos="851"/>
        </w:tabs>
        <w:ind w:left="851" w:hanging="851"/>
        <w:rPr>
          <w:b/>
          <w:sz w:val="24"/>
          <w:szCs w:val="24"/>
        </w:rPr>
      </w:pPr>
      <w:r w:rsidRPr="00475DC9">
        <w:rPr>
          <w:b/>
          <w:sz w:val="24"/>
          <w:szCs w:val="24"/>
        </w:rPr>
        <w:t>4.6</w:t>
      </w:r>
      <w:r w:rsidRPr="00475DC9">
        <w:rPr>
          <w:b/>
          <w:sz w:val="24"/>
          <w:szCs w:val="24"/>
        </w:rPr>
        <w:tab/>
      </w:r>
      <w:r w:rsidR="0071241E" w:rsidRPr="00475DC9">
        <w:rPr>
          <w:b/>
          <w:sz w:val="24"/>
          <w:szCs w:val="24"/>
        </w:rPr>
        <w:t>Fertilitet, g</w:t>
      </w:r>
      <w:r w:rsidRPr="00475DC9">
        <w:rPr>
          <w:b/>
          <w:sz w:val="24"/>
          <w:szCs w:val="24"/>
        </w:rPr>
        <w:t>raviditet og amning</w:t>
      </w:r>
    </w:p>
    <w:p w14:paraId="58880B3E" w14:textId="77777777" w:rsidR="00412B8A" w:rsidRDefault="00412B8A" w:rsidP="001B4015">
      <w:pPr>
        <w:ind w:left="851"/>
        <w:rPr>
          <w:sz w:val="24"/>
          <w:szCs w:val="24"/>
        </w:rPr>
      </w:pPr>
    </w:p>
    <w:p w14:paraId="603B2F3A" w14:textId="4A1D13A9" w:rsidR="008C5DDB" w:rsidRPr="00412B8A" w:rsidRDefault="008C5DDB" w:rsidP="001B4015">
      <w:pPr>
        <w:ind w:left="851"/>
        <w:rPr>
          <w:sz w:val="24"/>
          <w:szCs w:val="24"/>
          <w:u w:val="single"/>
        </w:rPr>
      </w:pPr>
      <w:r w:rsidRPr="00412B8A">
        <w:rPr>
          <w:sz w:val="24"/>
          <w:szCs w:val="24"/>
          <w:u w:val="single"/>
        </w:rPr>
        <w:t>Kvinder, der kan blive gravide</w:t>
      </w:r>
    </w:p>
    <w:p w14:paraId="598F9E95" w14:textId="77777777" w:rsidR="008C5DDB" w:rsidRPr="00475DC9" w:rsidRDefault="008C5DDB" w:rsidP="001B4015">
      <w:pPr>
        <w:ind w:left="851"/>
        <w:rPr>
          <w:sz w:val="24"/>
          <w:szCs w:val="24"/>
        </w:rPr>
      </w:pPr>
      <w:r w:rsidRPr="00475DC9">
        <w:rPr>
          <w:sz w:val="24"/>
          <w:szCs w:val="24"/>
        </w:rPr>
        <w:t>Før behandling indledes, bør patienten informeres om den potentielle risiko for fosteret.</w:t>
      </w:r>
    </w:p>
    <w:p w14:paraId="75C3A426" w14:textId="77777777" w:rsidR="008C5DDB" w:rsidRPr="00475DC9" w:rsidRDefault="008C5DDB" w:rsidP="001B4015">
      <w:pPr>
        <w:ind w:left="851"/>
        <w:rPr>
          <w:sz w:val="24"/>
          <w:szCs w:val="24"/>
        </w:rPr>
      </w:pPr>
      <w:r w:rsidRPr="00475DC9">
        <w:rPr>
          <w:sz w:val="24"/>
          <w:szCs w:val="24"/>
        </w:rPr>
        <w:t>Efter behandling med en enkelt dosis anbefales en udvaskningsperiode på en uge (svarende til 5-6 halveringstider), før patienten bliver gravid (se pkt. 5.2).</w:t>
      </w:r>
    </w:p>
    <w:p w14:paraId="6D7D46D4" w14:textId="77777777" w:rsidR="008C5DDB" w:rsidRPr="00475DC9" w:rsidRDefault="008C5DDB" w:rsidP="001B4015">
      <w:pPr>
        <w:ind w:left="851"/>
        <w:rPr>
          <w:sz w:val="24"/>
          <w:szCs w:val="24"/>
        </w:rPr>
      </w:pPr>
      <w:r w:rsidRPr="00475DC9">
        <w:rPr>
          <w:sz w:val="24"/>
          <w:szCs w:val="24"/>
        </w:rPr>
        <w:t>Ved længere behandlingsforløb kan kontraceptivum i givet fald overvejes hos kvinder, der kan blive gravide, i hele behandlingsperioden og i 1 uge efter den sidste dosis.</w:t>
      </w:r>
    </w:p>
    <w:p w14:paraId="7A132B1F" w14:textId="77777777" w:rsidR="008C5DDB" w:rsidRPr="00475DC9" w:rsidRDefault="008C5DDB" w:rsidP="001B4015">
      <w:pPr>
        <w:ind w:left="851"/>
        <w:rPr>
          <w:sz w:val="24"/>
          <w:szCs w:val="24"/>
        </w:rPr>
      </w:pPr>
    </w:p>
    <w:p w14:paraId="4C6A4B0F" w14:textId="77777777" w:rsidR="008C5DDB" w:rsidRPr="005251AE" w:rsidRDefault="008C5DDB" w:rsidP="001B4015">
      <w:pPr>
        <w:ind w:left="851"/>
        <w:rPr>
          <w:rFonts w:eastAsia="SimSun"/>
          <w:sz w:val="24"/>
          <w:szCs w:val="24"/>
          <w:u w:val="single"/>
        </w:rPr>
      </w:pPr>
      <w:r w:rsidRPr="005251AE">
        <w:rPr>
          <w:sz w:val="24"/>
          <w:szCs w:val="24"/>
          <w:u w:val="single"/>
        </w:rPr>
        <w:t xml:space="preserve">Graviditet </w:t>
      </w:r>
    </w:p>
    <w:p w14:paraId="24CE4F99" w14:textId="77777777" w:rsidR="008C5DDB" w:rsidRPr="00475DC9" w:rsidRDefault="008C5DDB" w:rsidP="001B4015">
      <w:pPr>
        <w:ind w:left="851"/>
        <w:rPr>
          <w:rFonts w:eastAsia="SimSun"/>
          <w:sz w:val="24"/>
          <w:szCs w:val="24"/>
        </w:rPr>
      </w:pPr>
      <w:r w:rsidRPr="00475DC9">
        <w:rPr>
          <w:sz w:val="24"/>
          <w:szCs w:val="24"/>
        </w:rPr>
        <w:t>Observationsstudier tyder på en øget risiko for spontan abort hos kvinder, der er blevet behandlet med fluconazol i første og/eller andet trimester, i forhold til kvinder, der ikke er behandlet med fluconazol, eller er behandlet med topiske azoler i samme periode.</w:t>
      </w:r>
    </w:p>
    <w:p w14:paraId="19D06F8F" w14:textId="3DC7F38E" w:rsidR="008C5DDB" w:rsidRPr="00475DC9" w:rsidRDefault="008C5DDB" w:rsidP="001B4015">
      <w:pPr>
        <w:ind w:left="851"/>
        <w:rPr>
          <w:rFonts w:eastAsia="SimSun"/>
          <w:sz w:val="24"/>
          <w:szCs w:val="24"/>
        </w:rPr>
      </w:pPr>
      <w:r w:rsidRPr="00475DC9">
        <w:rPr>
          <w:sz w:val="24"/>
          <w:szCs w:val="24"/>
        </w:rPr>
        <w:t>Data fra flere tusinde gravide kvinder, der blev behandlet med en kumulativ dosis på ≤</w:t>
      </w:r>
      <w:r w:rsidR="005A3C14">
        <w:rPr>
          <w:sz w:val="24"/>
          <w:szCs w:val="24"/>
        </w:rPr>
        <w:t> </w:t>
      </w:r>
      <w:r w:rsidRPr="00475DC9">
        <w:rPr>
          <w:sz w:val="24"/>
          <w:szCs w:val="24"/>
        </w:rPr>
        <w:t>150</w:t>
      </w:r>
      <w:r w:rsidR="005A3C14">
        <w:rPr>
          <w:sz w:val="24"/>
          <w:szCs w:val="24"/>
        </w:rPr>
        <w:t> </w:t>
      </w:r>
      <w:r w:rsidRPr="00475DC9">
        <w:rPr>
          <w:sz w:val="24"/>
          <w:szCs w:val="24"/>
        </w:rPr>
        <w:t>mg fluconazol, administreret i første trimester, viser ingen stigning i den samlede risiko for misdannelser hos fosteret. I et stort observationskohortestudie var eksponering for oralt fluconazol i første trimester forbundet med en let forøget risiko for muskuloskeletale misdannelser, svarende til cirka 1 yderligere tilfælde pr. 1.000 kvinder, der blev behandlet med kumulative doser på ≤ 450 mg, sammenlignet med kvinder, der blev behandlet med topiske azoler, og til cirka 4 yderligere tilfælde pr. 1.000 kvinder, der blev behandlet med kumulative doser over 450 mg. Den justerede relative risiko var 1,29 (95 % CI 1,05 til 1,58) for 150 mg oralt fluconazol og 1,98 (95 % CI 1,23 til 3,17) for doser over 450 mg fluconazol.</w:t>
      </w:r>
    </w:p>
    <w:p w14:paraId="6C5485A8" w14:textId="77777777" w:rsidR="008C5DDB" w:rsidRPr="00475DC9" w:rsidRDefault="008C5DDB" w:rsidP="001B4015">
      <w:pPr>
        <w:ind w:left="851"/>
        <w:rPr>
          <w:rFonts w:eastAsia="SimSun"/>
          <w:sz w:val="24"/>
          <w:szCs w:val="24"/>
          <w:lang w:eastAsia="zh-CN"/>
        </w:rPr>
      </w:pPr>
    </w:p>
    <w:p w14:paraId="01986D87" w14:textId="77777777" w:rsidR="008C5DDB" w:rsidRPr="00475DC9" w:rsidRDefault="008C5DDB" w:rsidP="001B4015">
      <w:pPr>
        <w:ind w:left="851"/>
        <w:rPr>
          <w:rFonts w:eastAsia="SimSun"/>
          <w:sz w:val="24"/>
          <w:szCs w:val="24"/>
        </w:rPr>
      </w:pPr>
      <w:r w:rsidRPr="00475DC9">
        <w:rPr>
          <w:sz w:val="24"/>
          <w:szCs w:val="24"/>
        </w:rPr>
        <w:t>Tilgængelige epidemiologiske studier af hjertemisdannelser ved brug af fluconazol under graviditet giver usammenhængende resultater.  En metaanalyse af fem observationsstudier, der omfattede flere tusinde gravide kvinder, som blev eksponeret for fluconazol i første trimester, peger imidlertid på en 1,8-2 gange øget risiko for hjertemisdannelser i forhold til ingen brug af fluconazol, og/eller topiske azoler.</w:t>
      </w:r>
    </w:p>
    <w:p w14:paraId="4FAE924F" w14:textId="77777777" w:rsidR="008C5DDB" w:rsidRPr="00475DC9" w:rsidRDefault="008C5DDB" w:rsidP="001B4015">
      <w:pPr>
        <w:ind w:left="851"/>
        <w:rPr>
          <w:rFonts w:eastAsia="SimSun"/>
          <w:sz w:val="24"/>
          <w:szCs w:val="24"/>
          <w:lang w:eastAsia="zh-CN"/>
        </w:rPr>
      </w:pPr>
    </w:p>
    <w:p w14:paraId="772FB85D" w14:textId="3AD76042" w:rsidR="008C5DDB" w:rsidRPr="00475DC9" w:rsidRDefault="008C5DDB" w:rsidP="001B4015">
      <w:pPr>
        <w:ind w:left="851"/>
        <w:rPr>
          <w:rFonts w:eastAsia="SimSun"/>
          <w:sz w:val="24"/>
          <w:szCs w:val="24"/>
        </w:rPr>
      </w:pPr>
      <w:r w:rsidRPr="00475DC9">
        <w:rPr>
          <w:sz w:val="24"/>
          <w:szCs w:val="24"/>
        </w:rPr>
        <w:t>Caserapporter tegner et mønster af fødselsdefekter hos spædbørn, hvis mødre fik fluconazol i høje doser (400-800 mg/dag) under graviditeten i 3 måneder eller derover til behandling af kokcidioidomykose. Fødselsdefekterne hos disse spædbørn omfatter brachycephali, øredysplasi, forstørrede forreste fontaneller, krumning af femur og radio-humeral synostose. Det er usikkert, om der er en kausal sammenhæng mellem anvendelsen af fluconazol og disse fødselsdefekter.</w:t>
      </w:r>
    </w:p>
    <w:p w14:paraId="7CC0C104" w14:textId="77777777" w:rsidR="008C5DDB" w:rsidRPr="00475DC9" w:rsidRDefault="008C5DDB" w:rsidP="001B4015">
      <w:pPr>
        <w:ind w:left="851"/>
        <w:rPr>
          <w:rFonts w:eastAsia="SimSun"/>
          <w:sz w:val="24"/>
          <w:szCs w:val="24"/>
          <w:lang w:eastAsia="zh-CN"/>
        </w:rPr>
      </w:pPr>
    </w:p>
    <w:p w14:paraId="09B9B2C3" w14:textId="77777777" w:rsidR="008C5DDB" w:rsidRPr="00475DC9" w:rsidRDefault="008C5DDB" w:rsidP="001B4015">
      <w:pPr>
        <w:ind w:left="851"/>
        <w:rPr>
          <w:rFonts w:eastAsia="SimSun"/>
          <w:sz w:val="24"/>
          <w:szCs w:val="24"/>
        </w:rPr>
      </w:pPr>
      <w:r w:rsidRPr="00475DC9">
        <w:rPr>
          <w:sz w:val="24"/>
          <w:szCs w:val="24"/>
        </w:rPr>
        <w:t xml:space="preserve">Fluconazol i standarddoser og kortvarige behandlinger bør ikke anvendes under graviditet, medmindre det vurderes klart nødvendigt. </w:t>
      </w:r>
    </w:p>
    <w:p w14:paraId="340BA381" w14:textId="77777777" w:rsidR="008C5DDB" w:rsidRPr="00475DC9" w:rsidRDefault="008C5DDB" w:rsidP="001B4015">
      <w:pPr>
        <w:ind w:left="851"/>
        <w:rPr>
          <w:rFonts w:eastAsia="SimSun"/>
          <w:sz w:val="24"/>
          <w:szCs w:val="24"/>
          <w:lang w:eastAsia="zh-CN"/>
        </w:rPr>
      </w:pPr>
    </w:p>
    <w:p w14:paraId="3D8C5C56" w14:textId="77777777" w:rsidR="008C5DDB" w:rsidRPr="00475DC9" w:rsidRDefault="008C5DDB" w:rsidP="001B4015">
      <w:pPr>
        <w:ind w:left="851"/>
        <w:rPr>
          <w:rFonts w:eastAsia="SimSun"/>
          <w:sz w:val="24"/>
          <w:szCs w:val="24"/>
        </w:rPr>
      </w:pPr>
      <w:r w:rsidRPr="00475DC9">
        <w:rPr>
          <w:sz w:val="24"/>
          <w:szCs w:val="24"/>
        </w:rPr>
        <w:t xml:space="preserve">Fluconazol i høje doser og/eller i længerevarende behandlingsforløb bør ikke anvendes under graviditet, undtagen ved potentielt livstruende infektioner. </w:t>
      </w:r>
    </w:p>
    <w:p w14:paraId="4CBF2C3A" w14:textId="77777777" w:rsidR="008C5DDB" w:rsidRPr="00475DC9" w:rsidRDefault="008C5DDB" w:rsidP="001B4015">
      <w:pPr>
        <w:ind w:left="851"/>
        <w:rPr>
          <w:rFonts w:eastAsia="SimSun"/>
          <w:sz w:val="24"/>
          <w:szCs w:val="24"/>
          <w:lang w:eastAsia="zh-CN"/>
        </w:rPr>
      </w:pPr>
    </w:p>
    <w:p w14:paraId="5D1096DE" w14:textId="77777777" w:rsidR="008C5DDB" w:rsidRPr="005A3C14" w:rsidRDefault="008C5DDB" w:rsidP="001B4015">
      <w:pPr>
        <w:ind w:left="851"/>
        <w:rPr>
          <w:rFonts w:eastAsia="SimSun"/>
          <w:sz w:val="24"/>
          <w:szCs w:val="24"/>
          <w:u w:val="single"/>
        </w:rPr>
      </w:pPr>
      <w:r w:rsidRPr="005A3C14">
        <w:rPr>
          <w:sz w:val="24"/>
          <w:szCs w:val="24"/>
          <w:u w:val="single"/>
        </w:rPr>
        <w:t xml:space="preserve">Amning </w:t>
      </w:r>
    </w:p>
    <w:p w14:paraId="6078AEC5" w14:textId="56BF43DB" w:rsidR="008C5DDB" w:rsidRPr="00475DC9" w:rsidRDefault="008C5DDB" w:rsidP="001B4015">
      <w:pPr>
        <w:ind w:left="851"/>
        <w:rPr>
          <w:rFonts w:eastAsia="SimSun"/>
          <w:sz w:val="24"/>
          <w:szCs w:val="24"/>
        </w:rPr>
      </w:pPr>
      <w:r w:rsidRPr="00475DC9">
        <w:rPr>
          <w:sz w:val="24"/>
          <w:szCs w:val="24"/>
        </w:rPr>
        <w:t xml:space="preserve">Fluconazol går over i modermælk og opnår en koncentration, der svarer til den i plasma (se pkt. 5.2). Amning kan fortsættes efter en enkelt dosis på 150 mg fluconazol. Amning anbefales ikke efter gentagne doser eller efter høje fluconazoldoser. De udviklings- og sundhedsmæssige fordele ved amning bør overvejes sammen med moderens kliniske behov for </w:t>
      </w:r>
      <w:r w:rsidR="00395A81">
        <w:rPr>
          <w:sz w:val="24"/>
          <w:szCs w:val="24"/>
        </w:rPr>
        <w:t>Fluconazole "Noridem"</w:t>
      </w:r>
      <w:r w:rsidRPr="00475DC9">
        <w:rPr>
          <w:sz w:val="24"/>
          <w:szCs w:val="24"/>
        </w:rPr>
        <w:t xml:space="preserve"> og eventuelle mulige bivirkninger på det ammede barn fra </w:t>
      </w:r>
      <w:r w:rsidR="00395A81">
        <w:rPr>
          <w:sz w:val="24"/>
          <w:szCs w:val="24"/>
        </w:rPr>
        <w:t>Fluconazole "Noridem"</w:t>
      </w:r>
      <w:r w:rsidRPr="00475DC9">
        <w:rPr>
          <w:sz w:val="24"/>
          <w:szCs w:val="24"/>
        </w:rPr>
        <w:t xml:space="preserve"> eller fra moderens underliggende sygdom.</w:t>
      </w:r>
    </w:p>
    <w:p w14:paraId="10D59988" w14:textId="77777777" w:rsidR="008C5DDB" w:rsidRPr="00475DC9" w:rsidRDefault="008C5DDB" w:rsidP="001B4015">
      <w:pPr>
        <w:ind w:left="851"/>
        <w:rPr>
          <w:rFonts w:eastAsia="SimSun"/>
          <w:sz w:val="24"/>
          <w:szCs w:val="24"/>
          <w:lang w:eastAsia="zh-CN"/>
        </w:rPr>
      </w:pPr>
    </w:p>
    <w:p w14:paraId="6D6FA156" w14:textId="77777777" w:rsidR="008C5DDB" w:rsidRPr="005A3C14" w:rsidRDefault="008C5DDB" w:rsidP="001B4015">
      <w:pPr>
        <w:ind w:left="851"/>
        <w:rPr>
          <w:rFonts w:eastAsia="SimSun"/>
          <w:sz w:val="24"/>
          <w:szCs w:val="24"/>
          <w:u w:val="single"/>
        </w:rPr>
      </w:pPr>
      <w:r w:rsidRPr="005A3C14">
        <w:rPr>
          <w:sz w:val="24"/>
          <w:szCs w:val="24"/>
          <w:u w:val="single"/>
        </w:rPr>
        <w:t xml:space="preserve">Fertilitet </w:t>
      </w:r>
    </w:p>
    <w:p w14:paraId="6E8D6384" w14:textId="1297B39F" w:rsidR="008C5DDB" w:rsidRPr="00475DC9" w:rsidRDefault="00395A81" w:rsidP="001B4015">
      <w:pPr>
        <w:ind w:left="851"/>
        <w:rPr>
          <w:rFonts w:eastAsia="SimSun"/>
          <w:sz w:val="24"/>
          <w:szCs w:val="24"/>
        </w:rPr>
      </w:pPr>
      <w:r>
        <w:rPr>
          <w:sz w:val="24"/>
          <w:szCs w:val="24"/>
        </w:rPr>
        <w:t>Fluconazole "Noridem"</w:t>
      </w:r>
      <w:r w:rsidR="008C5DDB" w:rsidRPr="00475DC9">
        <w:rPr>
          <w:sz w:val="24"/>
          <w:szCs w:val="24"/>
        </w:rPr>
        <w:t xml:space="preserve"> påvirker ikke fertiliteten hos han- eller hunrotter (se pkt. 5.3). </w:t>
      </w:r>
    </w:p>
    <w:p w14:paraId="31A8A47A" w14:textId="77777777" w:rsidR="009260DE" w:rsidRPr="00475DC9" w:rsidRDefault="009260DE" w:rsidP="009260DE">
      <w:pPr>
        <w:tabs>
          <w:tab w:val="left" w:pos="851"/>
        </w:tabs>
        <w:ind w:left="851"/>
        <w:rPr>
          <w:sz w:val="24"/>
          <w:szCs w:val="24"/>
        </w:rPr>
      </w:pPr>
    </w:p>
    <w:p w14:paraId="2DBAADB2" w14:textId="77777777" w:rsidR="009260DE" w:rsidRPr="00475DC9" w:rsidRDefault="009260DE" w:rsidP="009260DE">
      <w:pPr>
        <w:tabs>
          <w:tab w:val="left" w:pos="851"/>
        </w:tabs>
        <w:ind w:left="851" w:hanging="851"/>
        <w:rPr>
          <w:b/>
          <w:sz w:val="24"/>
          <w:szCs w:val="24"/>
        </w:rPr>
      </w:pPr>
      <w:r w:rsidRPr="00475DC9">
        <w:rPr>
          <w:b/>
          <w:sz w:val="24"/>
          <w:szCs w:val="24"/>
        </w:rPr>
        <w:t>4.7</w:t>
      </w:r>
      <w:r w:rsidRPr="00475DC9">
        <w:rPr>
          <w:b/>
          <w:sz w:val="24"/>
          <w:szCs w:val="24"/>
        </w:rPr>
        <w:tab/>
        <w:t xml:space="preserve">Virkning på evnen til at føre motorkøretøj </w:t>
      </w:r>
      <w:r w:rsidR="0071241E" w:rsidRPr="00475DC9">
        <w:rPr>
          <w:b/>
          <w:sz w:val="24"/>
          <w:szCs w:val="24"/>
        </w:rPr>
        <w:t>og</w:t>
      </w:r>
      <w:r w:rsidRPr="00475DC9">
        <w:rPr>
          <w:b/>
          <w:sz w:val="24"/>
          <w:szCs w:val="24"/>
        </w:rPr>
        <w:t xml:space="preserve"> betjene maskiner</w:t>
      </w:r>
    </w:p>
    <w:p w14:paraId="087236A6" w14:textId="77777777" w:rsidR="008C5DDB" w:rsidRPr="00475DC9" w:rsidRDefault="008C5DDB" w:rsidP="001B4015">
      <w:pPr>
        <w:ind w:left="851"/>
        <w:rPr>
          <w:sz w:val="24"/>
          <w:szCs w:val="24"/>
        </w:rPr>
      </w:pPr>
      <w:r w:rsidRPr="00475DC9">
        <w:rPr>
          <w:sz w:val="24"/>
          <w:szCs w:val="24"/>
        </w:rPr>
        <w:t>Ikke mærkning.</w:t>
      </w:r>
    </w:p>
    <w:p w14:paraId="20A72C50" w14:textId="77777777" w:rsidR="008C5DDB" w:rsidRPr="00475DC9" w:rsidRDefault="008C5DDB" w:rsidP="001B4015">
      <w:pPr>
        <w:ind w:left="851"/>
        <w:rPr>
          <w:sz w:val="24"/>
          <w:szCs w:val="24"/>
        </w:rPr>
      </w:pPr>
    </w:p>
    <w:p w14:paraId="485BCE6D" w14:textId="0B764282" w:rsidR="008C5DDB" w:rsidRPr="00475DC9" w:rsidRDefault="008C5DDB" w:rsidP="001B4015">
      <w:pPr>
        <w:ind w:left="851"/>
        <w:rPr>
          <w:rFonts w:eastAsia="SimSun"/>
          <w:sz w:val="24"/>
          <w:szCs w:val="24"/>
        </w:rPr>
      </w:pPr>
      <w:r w:rsidRPr="00475DC9">
        <w:rPr>
          <w:sz w:val="24"/>
          <w:szCs w:val="24"/>
        </w:rPr>
        <w:t xml:space="preserve">Der er ikke foretaget studier over virkning af </w:t>
      </w:r>
      <w:r w:rsidR="00395A81">
        <w:rPr>
          <w:sz w:val="24"/>
          <w:szCs w:val="24"/>
        </w:rPr>
        <w:t>Fluconazole "Noridem"</w:t>
      </w:r>
      <w:r w:rsidRPr="00475DC9">
        <w:rPr>
          <w:sz w:val="24"/>
          <w:szCs w:val="24"/>
        </w:rPr>
        <w:t xml:space="preserve"> på evnen til at føre motorkøretøj eller betjene maskiner. </w:t>
      </w:r>
    </w:p>
    <w:p w14:paraId="050AF94D" w14:textId="48A7F9EB" w:rsidR="008C5DDB" w:rsidRPr="00475DC9" w:rsidRDefault="008C5DDB" w:rsidP="001B4015">
      <w:pPr>
        <w:ind w:left="851"/>
        <w:rPr>
          <w:rFonts w:eastAsia="SimSun"/>
          <w:sz w:val="24"/>
          <w:szCs w:val="24"/>
        </w:rPr>
      </w:pPr>
      <w:r w:rsidRPr="00475DC9">
        <w:rPr>
          <w:sz w:val="24"/>
          <w:szCs w:val="24"/>
        </w:rPr>
        <w:t xml:space="preserve">Patienterne bør advares om risikoen for svimmelhed eller kramper (se pkt. 4.8), mens de tager </w:t>
      </w:r>
      <w:r w:rsidR="00395A81">
        <w:rPr>
          <w:sz w:val="24"/>
          <w:szCs w:val="24"/>
        </w:rPr>
        <w:t>Fluconazole "Noridem"</w:t>
      </w:r>
      <w:r w:rsidRPr="00475DC9">
        <w:rPr>
          <w:sz w:val="24"/>
          <w:szCs w:val="24"/>
        </w:rPr>
        <w:t xml:space="preserve">, og bør rådes til ikke at føre motorkøretøj eller betjene maskiner, hvis disse symptomer forekommer. </w:t>
      </w:r>
    </w:p>
    <w:p w14:paraId="1E6C1A6C" w14:textId="77777777" w:rsidR="009260DE" w:rsidRPr="00475DC9" w:rsidRDefault="009260DE" w:rsidP="009260DE">
      <w:pPr>
        <w:tabs>
          <w:tab w:val="left" w:pos="851"/>
        </w:tabs>
        <w:ind w:left="851"/>
        <w:rPr>
          <w:sz w:val="24"/>
          <w:szCs w:val="24"/>
        </w:rPr>
      </w:pPr>
    </w:p>
    <w:p w14:paraId="343E6B7D" w14:textId="77777777" w:rsidR="009260DE" w:rsidRPr="00475DC9" w:rsidRDefault="009260DE" w:rsidP="009260DE">
      <w:pPr>
        <w:tabs>
          <w:tab w:val="left" w:pos="851"/>
        </w:tabs>
        <w:ind w:left="851" w:hanging="851"/>
        <w:rPr>
          <w:b/>
          <w:sz w:val="24"/>
          <w:szCs w:val="24"/>
        </w:rPr>
      </w:pPr>
      <w:r w:rsidRPr="00475DC9">
        <w:rPr>
          <w:b/>
          <w:sz w:val="24"/>
          <w:szCs w:val="24"/>
        </w:rPr>
        <w:t>4.8</w:t>
      </w:r>
      <w:r w:rsidRPr="00475DC9">
        <w:rPr>
          <w:b/>
          <w:sz w:val="24"/>
          <w:szCs w:val="24"/>
        </w:rPr>
        <w:tab/>
        <w:t>Bivirkninger</w:t>
      </w:r>
    </w:p>
    <w:p w14:paraId="2765ED60" w14:textId="77777777" w:rsidR="005A3C14" w:rsidRDefault="005A3C14" w:rsidP="001B4015">
      <w:pPr>
        <w:ind w:left="851"/>
        <w:rPr>
          <w:sz w:val="24"/>
          <w:szCs w:val="24"/>
        </w:rPr>
      </w:pPr>
      <w:bookmarkStart w:id="10" w:name="_Hlk147327450"/>
    </w:p>
    <w:p w14:paraId="297E6CF0" w14:textId="73949D5D" w:rsidR="008C5DDB" w:rsidRPr="005A3C14" w:rsidRDefault="008C5DDB" w:rsidP="001B4015">
      <w:pPr>
        <w:ind w:left="851"/>
        <w:rPr>
          <w:sz w:val="24"/>
          <w:szCs w:val="24"/>
          <w:u w:val="single"/>
        </w:rPr>
      </w:pPr>
      <w:r w:rsidRPr="005A3C14">
        <w:rPr>
          <w:sz w:val="24"/>
          <w:szCs w:val="24"/>
          <w:u w:val="single"/>
        </w:rPr>
        <w:t>Opsummering af sikkerhedsprofilen:</w:t>
      </w:r>
    </w:p>
    <w:p w14:paraId="7225EA08" w14:textId="77777777" w:rsidR="008C5DDB" w:rsidRPr="00475DC9" w:rsidRDefault="008C5DDB" w:rsidP="001B4015">
      <w:pPr>
        <w:ind w:left="851"/>
        <w:rPr>
          <w:sz w:val="24"/>
          <w:szCs w:val="24"/>
        </w:rPr>
      </w:pPr>
      <w:r w:rsidRPr="00475DC9">
        <w:rPr>
          <w:sz w:val="24"/>
          <w:szCs w:val="24"/>
        </w:rPr>
        <w:t>Der er indberettet om lægemiddelreaktioner med eosinofili og systemiske symptomer (DRESS) i forbindelse med fluconazolbehandling (se pkt. 4.4).</w:t>
      </w:r>
    </w:p>
    <w:bookmarkEnd w:id="10"/>
    <w:p w14:paraId="3390339C" w14:textId="77777777" w:rsidR="008C5DDB" w:rsidRPr="00475DC9" w:rsidRDefault="008C5DDB" w:rsidP="001B4015">
      <w:pPr>
        <w:ind w:left="851"/>
        <w:rPr>
          <w:sz w:val="24"/>
          <w:szCs w:val="24"/>
        </w:rPr>
      </w:pPr>
    </w:p>
    <w:p w14:paraId="3E18C781" w14:textId="77777777" w:rsidR="008C5DDB" w:rsidRPr="00475DC9" w:rsidRDefault="008C5DDB" w:rsidP="001B4015">
      <w:pPr>
        <w:ind w:left="851"/>
        <w:rPr>
          <w:rFonts w:eastAsia="SimSun"/>
          <w:sz w:val="24"/>
          <w:szCs w:val="24"/>
        </w:rPr>
      </w:pPr>
      <w:r w:rsidRPr="00475DC9">
        <w:rPr>
          <w:sz w:val="24"/>
          <w:szCs w:val="24"/>
        </w:rPr>
        <w:t xml:space="preserve">De hyppigst indberettede bivirkninger (≥1/100 til &lt;1/10) er hovedpine, abdominalsmerter, diarré, kvalme, opkastning, forhøjet alanin-aminotransferase, forhøjet aspartat aminotransferase, forhøjet alkalisk fosfatase og udslæt. </w:t>
      </w:r>
    </w:p>
    <w:p w14:paraId="57AA85EA" w14:textId="77777777" w:rsidR="008C5DDB" w:rsidRPr="00475DC9" w:rsidRDefault="008C5DDB" w:rsidP="001B4015">
      <w:pPr>
        <w:ind w:left="851"/>
        <w:rPr>
          <w:rFonts w:eastAsia="SimSun"/>
          <w:sz w:val="24"/>
          <w:szCs w:val="24"/>
          <w:lang w:eastAsia="zh-CN"/>
        </w:rPr>
      </w:pPr>
    </w:p>
    <w:p w14:paraId="43E04AFC" w14:textId="71F40C5E" w:rsidR="008C5DDB" w:rsidRPr="00475DC9" w:rsidRDefault="008C5DDB" w:rsidP="001B4015">
      <w:pPr>
        <w:ind w:left="851"/>
        <w:rPr>
          <w:sz w:val="24"/>
          <w:szCs w:val="24"/>
        </w:rPr>
      </w:pPr>
      <w:r w:rsidRPr="00475DC9">
        <w:rPr>
          <w:sz w:val="24"/>
          <w:szCs w:val="24"/>
        </w:rPr>
        <w:t xml:space="preserve">Følgende bivirkninger er set ved behandling med </w:t>
      </w:r>
      <w:r w:rsidR="00395A81">
        <w:rPr>
          <w:sz w:val="24"/>
          <w:szCs w:val="24"/>
        </w:rPr>
        <w:t>Fluconazole "Noridem"</w:t>
      </w:r>
      <w:r w:rsidRPr="00475DC9">
        <w:rPr>
          <w:sz w:val="24"/>
          <w:szCs w:val="24"/>
        </w:rPr>
        <w:t xml:space="preserve"> med følgende hyppighed: </w:t>
      </w:r>
    </w:p>
    <w:p w14:paraId="0EA96B62" w14:textId="726DEB42" w:rsidR="008C5DDB" w:rsidRPr="00475DC9" w:rsidRDefault="008C5DDB" w:rsidP="001B4015">
      <w:pPr>
        <w:ind w:left="851"/>
        <w:rPr>
          <w:rFonts w:eastAsia="SimSun"/>
          <w:sz w:val="24"/>
          <w:szCs w:val="24"/>
        </w:rPr>
      </w:pPr>
      <w:r w:rsidRPr="00475DC9">
        <w:rPr>
          <w:sz w:val="24"/>
          <w:szCs w:val="24"/>
        </w:rPr>
        <w:t>Meget almindelig (≥1/10), almindelig (≥1/100 til &lt; 1/10), ikke almindelig (≥1/1.000 til &lt;</w:t>
      </w:r>
      <w:r w:rsidR="00C24C12">
        <w:rPr>
          <w:sz w:val="24"/>
          <w:szCs w:val="24"/>
        </w:rPr>
        <w:t> </w:t>
      </w:r>
      <w:r w:rsidRPr="00475DC9">
        <w:rPr>
          <w:sz w:val="24"/>
          <w:szCs w:val="24"/>
        </w:rPr>
        <w:t xml:space="preserve">1/100), sjælden (≥1/10.000 til &lt;1/1.000), meget sjælden (&lt;1/10.000), ikke kendt (kan ikke estimeres ud fra forhåndenværende data). </w:t>
      </w:r>
    </w:p>
    <w:p w14:paraId="14894D2B" w14:textId="77777777" w:rsidR="008C5DDB" w:rsidRPr="00475DC9" w:rsidRDefault="008C5DDB" w:rsidP="001B4015">
      <w:pPr>
        <w:ind w:left="851"/>
        <w:rPr>
          <w:rFonts w:eastAsia="SimSun"/>
          <w:sz w:val="24"/>
          <w:szCs w:val="24"/>
          <w:lang w:eastAsia="zh-CN"/>
        </w:rPr>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05"/>
        <w:gridCol w:w="1690"/>
        <w:gridCol w:w="1966"/>
        <w:gridCol w:w="1624"/>
        <w:gridCol w:w="2133"/>
      </w:tblGrid>
      <w:tr w:rsidR="008C5DDB" w:rsidRPr="005A3C14" w14:paraId="229A2343" w14:textId="77777777" w:rsidTr="001B4015">
        <w:trPr>
          <w:trHeight w:val="293"/>
        </w:trPr>
        <w:tc>
          <w:tcPr>
            <w:tcW w:w="1212" w:type="pct"/>
            <w:tcBorders>
              <w:top w:val="single" w:sz="8" w:space="0" w:color="000000"/>
              <w:left w:val="single" w:sz="8" w:space="0" w:color="000000"/>
              <w:bottom w:val="single" w:sz="8" w:space="0" w:color="000000"/>
              <w:right w:val="single" w:sz="8" w:space="0" w:color="000000"/>
            </w:tcBorders>
            <w:hideMark/>
          </w:tcPr>
          <w:p w14:paraId="726237CB"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Systemorganklasser</w:t>
            </w:r>
          </w:p>
        </w:tc>
        <w:tc>
          <w:tcPr>
            <w:tcW w:w="927" w:type="pct"/>
            <w:tcBorders>
              <w:top w:val="single" w:sz="8" w:space="0" w:color="000000"/>
              <w:left w:val="single" w:sz="8" w:space="0" w:color="000000"/>
              <w:bottom w:val="single" w:sz="8" w:space="0" w:color="000000"/>
              <w:right w:val="single" w:sz="8" w:space="0" w:color="000000"/>
            </w:tcBorders>
            <w:hideMark/>
          </w:tcPr>
          <w:p w14:paraId="3D036A65" w14:textId="77777777" w:rsidR="008C5DDB" w:rsidRPr="005A3C14" w:rsidRDefault="008C5DDB">
            <w:pPr>
              <w:tabs>
                <w:tab w:val="left" w:pos="1304"/>
              </w:tabs>
              <w:autoSpaceDE w:val="0"/>
              <w:autoSpaceDN w:val="0"/>
              <w:adjustRightInd w:val="0"/>
              <w:jc w:val="center"/>
              <w:rPr>
                <w:rFonts w:eastAsia="SimSun"/>
                <w:color w:val="000000"/>
                <w:sz w:val="22"/>
                <w:szCs w:val="22"/>
                <w:lang w:bidi="he-IL"/>
              </w:rPr>
            </w:pPr>
            <w:r w:rsidRPr="005A3C14">
              <w:rPr>
                <w:b/>
                <w:color w:val="000000"/>
                <w:sz w:val="22"/>
                <w:szCs w:val="22"/>
                <w:lang w:bidi="he-IL"/>
              </w:rPr>
              <w:t>Almindelig</w:t>
            </w:r>
          </w:p>
        </w:tc>
        <w:tc>
          <w:tcPr>
            <w:tcW w:w="747" w:type="pct"/>
            <w:tcBorders>
              <w:top w:val="single" w:sz="8" w:space="0" w:color="000000"/>
              <w:left w:val="single" w:sz="8" w:space="0" w:color="000000"/>
              <w:bottom w:val="single" w:sz="8" w:space="0" w:color="000000"/>
              <w:right w:val="single" w:sz="8" w:space="0" w:color="000000"/>
            </w:tcBorders>
            <w:hideMark/>
          </w:tcPr>
          <w:p w14:paraId="47158413" w14:textId="77777777" w:rsidR="008C5DDB" w:rsidRPr="005A3C14" w:rsidRDefault="008C5DDB">
            <w:pPr>
              <w:tabs>
                <w:tab w:val="left" w:pos="1304"/>
              </w:tabs>
              <w:autoSpaceDE w:val="0"/>
              <w:autoSpaceDN w:val="0"/>
              <w:adjustRightInd w:val="0"/>
              <w:jc w:val="center"/>
              <w:rPr>
                <w:rFonts w:eastAsia="SimSun"/>
                <w:color w:val="000000"/>
                <w:sz w:val="22"/>
                <w:szCs w:val="22"/>
                <w:lang w:bidi="he-IL"/>
              </w:rPr>
            </w:pPr>
            <w:r w:rsidRPr="005A3C14">
              <w:rPr>
                <w:b/>
                <w:color w:val="000000"/>
                <w:sz w:val="22"/>
                <w:szCs w:val="22"/>
                <w:lang w:bidi="he-IL"/>
              </w:rPr>
              <w:t>Ikke almindelig</w:t>
            </w:r>
          </w:p>
        </w:tc>
        <w:tc>
          <w:tcPr>
            <w:tcW w:w="1464" w:type="pct"/>
            <w:tcBorders>
              <w:top w:val="single" w:sz="8" w:space="0" w:color="000000"/>
              <w:left w:val="single" w:sz="8" w:space="0" w:color="000000"/>
              <w:bottom w:val="single" w:sz="8" w:space="0" w:color="000000"/>
              <w:right w:val="single" w:sz="8" w:space="0" w:color="000000"/>
            </w:tcBorders>
            <w:hideMark/>
          </w:tcPr>
          <w:p w14:paraId="1F78AF83" w14:textId="77777777" w:rsidR="008C5DDB" w:rsidRPr="005A3C14" w:rsidRDefault="008C5DDB">
            <w:pPr>
              <w:tabs>
                <w:tab w:val="left" w:pos="1304"/>
              </w:tabs>
              <w:autoSpaceDE w:val="0"/>
              <w:autoSpaceDN w:val="0"/>
              <w:adjustRightInd w:val="0"/>
              <w:jc w:val="center"/>
              <w:rPr>
                <w:rFonts w:eastAsia="SimSun"/>
                <w:color w:val="000000"/>
                <w:sz w:val="22"/>
                <w:szCs w:val="22"/>
                <w:lang w:bidi="he-IL"/>
              </w:rPr>
            </w:pPr>
            <w:r w:rsidRPr="005A3C14">
              <w:rPr>
                <w:b/>
                <w:color w:val="000000"/>
                <w:sz w:val="22"/>
                <w:szCs w:val="22"/>
                <w:lang w:bidi="he-IL"/>
              </w:rPr>
              <w:t xml:space="preserve">Sjælden </w:t>
            </w:r>
          </w:p>
        </w:tc>
        <w:tc>
          <w:tcPr>
            <w:tcW w:w="650" w:type="pct"/>
            <w:tcBorders>
              <w:top w:val="single" w:sz="8" w:space="0" w:color="000000"/>
              <w:left w:val="single" w:sz="8" w:space="0" w:color="000000"/>
              <w:bottom w:val="single" w:sz="8" w:space="0" w:color="000000"/>
              <w:right w:val="single" w:sz="8" w:space="0" w:color="000000"/>
            </w:tcBorders>
            <w:hideMark/>
          </w:tcPr>
          <w:p w14:paraId="73F1E990" w14:textId="77777777" w:rsidR="008C5DDB" w:rsidRPr="005A3C14" w:rsidRDefault="008C5DDB">
            <w:pPr>
              <w:tabs>
                <w:tab w:val="left" w:pos="1304"/>
              </w:tabs>
              <w:autoSpaceDE w:val="0"/>
              <w:autoSpaceDN w:val="0"/>
              <w:adjustRightInd w:val="0"/>
              <w:rPr>
                <w:rFonts w:eastAsia="SimSun"/>
                <w:b/>
                <w:bCs/>
                <w:color w:val="000000"/>
                <w:sz w:val="22"/>
                <w:szCs w:val="22"/>
                <w:lang w:bidi="he-IL"/>
              </w:rPr>
            </w:pPr>
            <w:r w:rsidRPr="005A3C14">
              <w:rPr>
                <w:b/>
                <w:color w:val="000000"/>
                <w:sz w:val="22"/>
                <w:szCs w:val="22"/>
                <w:lang w:bidi="he-IL"/>
              </w:rPr>
              <w:t>Ikke kendt</w:t>
            </w:r>
          </w:p>
        </w:tc>
      </w:tr>
      <w:tr w:rsidR="008C5DDB" w:rsidRPr="005A3C14" w14:paraId="2131E7F8" w14:textId="77777777" w:rsidTr="001B4015">
        <w:trPr>
          <w:trHeight w:val="949"/>
        </w:trPr>
        <w:tc>
          <w:tcPr>
            <w:tcW w:w="1212" w:type="pct"/>
            <w:tcBorders>
              <w:top w:val="single" w:sz="8" w:space="0" w:color="000000"/>
              <w:left w:val="single" w:sz="8" w:space="0" w:color="000000"/>
              <w:bottom w:val="single" w:sz="8" w:space="0" w:color="000000"/>
              <w:right w:val="single" w:sz="8" w:space="0" w:color="000000"/>
            </w:tcBorders>
            <w:hideMark/>
          </w:tcPr>
          <w:p w14:paraId="0E479530"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Blod og lymfesystemet</w:t>
            </w:r>
          </w:p>
        </w:tc>
        <w:tc>
          <w:tcPr>
            <w:tcW w:w="927" w:type="pct"/>
            <w:tcBorders>
              <w:top w:val="single" w:sz="8" w:space="0" w:color="000000"/>
              <w:left w:val="single" w:sz="8" w:space="0" w:color="000000"/>
              <w:bottom w:val="single" w:sz="8" w:space="0" w:color="000000"/>
              <w:right w:val="single" w:sz="8" w:space="0" w:color="000000"/>
            </w:tcBorders>
          </w:tcPr>
          <w:p w14:paraId="6B330FBA" w14:textId="77777777" w:rsidR="008C5DDB" w:rsidRPr="005A3C14" w:rsidRDefault="008C5DDB">
            <w:pPr>
              <w:tabs>
                <w:tab w:val="left" w:pos="1304"/>
              </w:tabs>
              <w:autoSpaceDE w:val="0"/>
              <w:autoSpaceDN w:val="0"/>
              <w:adjustRightInd w:val="0"/>
              <w:rPr>
                <w:rFonts w:eastAsia="SimSun"/>
                <w:color w:val="000000"/>
                <w:sz w:val="22"/>
                <w:szCs w:val="22"/>
                <w:lang w:eastAsia="zh-CN" w:bidi="he-IL"/>
              </w:rPr>
            </w:pPr>
          </w:p>
        </w:tc>
        <w:tc>
          <w:tcPr>
            <w:tcW w:w="747" w:type="pct"/>
            <w:tcBorders>
              <w:top w:val="single" w:sz="8" w:space="0" w:color="000000"/>
              <w:left w:val="single" w:sz="8" w:space="0" w:color="000000"/>
              <w:bottom w:val="single" w:sz="8" w:space="0" w:color="000000"/>
              <w:right w:val="single" w:sz="8" w:space="0" w:color="000000"/>
            </w:tcBorders>
            <w:hideMark/>
          </w:tcPr>
          <w:p w14:paraId="20EF42BD"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Anæmi </w:t>
            </w:r>
          </w:p>
        </w:tc>
        <w:tc>
          <w:tcPr>
            <w:tcW w:w="1464" w:type="pct"/>
            <w:tcBorders>
              <w:top w:val="single" w:sz="8" w:space="0" w:color="000000"/>
              <w:left w:val="single" w:sz="8" w:space="0" w:color="000000"/>
              <w:bottom w:val="single" w:sz="8" w:space="0" w:color="000000"/>
              <w:right w:val="single" w:sz="8" w:space="0" w:color="000000"/>
            </w:tcBorders>
            <w:hideMark/>
          </w:tcPr>
          <w:p w14:paraId="15E0235B" w14:textId="20FC89F4"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Agranulocytose</w:t>
            </w:r>
            <w:r w:rsidR="005A3C14">
              <w:rPr>
                <w:color w:val="000000"/>
                <w:sz w:val="22"/>
                <w:szCs w:val="22"/>
                <w:lang w:bidi="he-IL"/>
              </w:rPr>
              <w:t>,</w:t>
            </w:r>
            <w:r w:rsidRPr="005A3C14">
              <w:rPr>
                <w:color w:val="000000"/>
                <w:sz w:val="22"/>
                <w:szCs w:val="22"/>
                <w:lang w:bidi="he-IL"/>
              </w:rPr>
              <w:t xml:space="preserve"> leukopeni, trombocytopeni</w:t>
            </w:r>
            <w:r w:rsidR="005A3C14">
              <w:rPr>
                <w:color w:val="000000"/>
                <w:sz w:val="22"/>
                <w:szCs w:val="22"/>
                <w:lang w:bidi="he-IL"/>
              </w:rPr>
              <w:t xml:space="preserve">, </w:t>
            </w:r>
            <w:r w:rsidRPr="005A3C14">
              <w:rPr>
                <w:color w:val="000000"/>
                <w:sz w:val="22"/>
                <w:szCs w:val="22"/>
                <w:lang w:bidi="he-IL"/>
              </w:rPr>
              <w:t xml:space="preserve">neutropeni </w:t>
            </w:r>
          </w:p>
        </w:tc>
        <w:tc>
          <w:tcPr>
            <w:tcW w:w="650" w:type="pct"/>
            <w:tcBorders>
              <w:top w:val="single" w:sz="8" w:space="0" w:color="000000"/>
              <w:left w:val="single" w:sz="8" w:space="0" w:color="000000"/>
              <w:bottom w:val="single" w:sz="8" w:space="0" w:color="000000"/>
              <w:right w:val="single" w:sz="8" w:space="0" w:color="000000"/>
            </w:tcBorders>
          </w:tcPr>
          <w:p w14:paraId="52B9139A"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r>
      <w:tr w:rsidR="008C5DDB" w:rsidRPr="005A3C14" w14:paraId="33C1476B" w14:textId="77777777" w:rsidTr="001B4015">
        <w:trPr>
          <w:trHeight w:val="546"/>
        </w:trPr>
        <w:tc>
          <w:tcPr>
            <w:tcW w:w="1212" w:type="pct"/>
            <w:tcBorders>
              <w:top w:val="single" w:sz="8" w:space="0" w:color="000000"/>
              <w:left w:val="single" w:sz="8" w:space="0" w:color="000000"/>
              <w:bottom w:val="single" w:sz="8" w:space="0" w:color="000000"/>
              <w:right w:val="single" w:sz="8" w:space="0" w:color="000000"/>
            </w:tcBorders>
            <w:hideMark/>
          </w:tcPr>
          <w:p w14:paraId="129CD396"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Immunsystemet</w:t>
            </w:r>
          </w:p>
        </w:tc>
        <w:tc>
          <w:tcPr>
            <w:tcW w:w="927" w:type="pct"/>
            <w:tcBorders>
              <w:top w:val="single" w:sz="8" w:space="0" w:color="000000"/>
              <w:left w:val="single" w:sz="8" w:space="0" w:color="000000"/>
              <w:bottom w:val="single" w:sz="8" w:space="0" w:color="000000"/>
              <w:right w:val="single" w:sz="8" w:space="0" w:color="000000"/>
            </w:tcBorders>
          </w:tcPr>
          <w:p w14:paraId="256DE7B4"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c>
          <w:tcPr>
            <w:tcW w:w="747" w:type="pct"/>
            <w:tcBorders>
              <w:top w:val="single" w:sz="8" w:space="0" w:color="000000"/>
              <w:left w:val="single" w:sz="8" w:space="0" w:color="000000"/>
              <w:bottom w:val="single" w:sz="8" w:space="0" w:color="000000"/>
              <w:right w:val="single" w:sz="8" w:space="0" w:color="000000"/>
            </w:tcBorders>
          </w:tcPr>
          <w:p w14:paraId="045E9F70"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c>
          <w:tcPr>
            <w:tcW w:w="1464" w:type="pct"/>
            <w:tcBorders>
              <w:top w:val="single" w:sz="8" w:space="0" w:color="000000"/>
              <w:left w:val="single" w:sz="8" w:space="0" w:color="000000"/>
              <w:bottom w:val="single" w:sz="8" w:space="0" w:color="000000"/>
              <w:right w:val="single" w:sz="8" w:space="0" w:color="000000"/>
            </w:tcBorders>
            <w:hideMark/>
          </w:tcPr>
          <w:p w14:paraId="3D174442"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Anafylaksi </w:t>
            </w:r>
          </w:p>
        </w:tc>
        <w:tc>
          <w:tcPr>
            <w:tcW w:w="650" w:type="pct"/>
            <w:tcBorders>
              <w:top w:val="single" w:sz="8" w:space="0" w:color="000000"/>
              <w:left w:val="single" w:sz="8" w:space="0" w:color="000000"/>
              <w:bottom w:val="single" w:sz="8" w:space="0" w:color="000000"/>
              <w:right w:val="single" w:sz="8" w:space="0" w:color="000000"/>
            </w:tcBorders>
          </w:tcPr>
          <w:p w14:paraId="40A27723"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r>
      <w:tr w:rsidR="008C5DDB" w:rsidRPr="005A3C14" w14:paraId="7B3BF817" w14:textId="77777777" w:rsidTr="001B4015">
        <w:trPr>
          <w:trHeight w:val="603"/>
        </w:trPr>
        <w:tc>
          <w:tcPr>
            <w:tcW w:w="1212" w:type="pct"/>
            <w:tcBorders>
              <w:top w:val="single" w:sz="8" w:space="0" w:color="000000"/>
              <w:left w:val="single" w:sz="8" w:space="0" w:color="000000"/>
              <w:bottom w:val="single" w:sz="8" w:space="0" w:color="000000"/>
              <w:right w:val="single" w:sz="8" w:space="0" w:color="000000"/>
            </w:tcBorders>
            <w:hideMark/>
          </w:tcPr>
          <w:p w14:paraId="18DD9536"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Metabolisme og ernæring</w:t>
            </w:r>
          </w:p>
        </w:tc>
        <w:tc>
          <w:tcPr>
            <w:tcW w:w="927" w:type="pct"/>
            <w:tcBorders>
              <w:top w:val="single" w:sz="8" w:space="0" w:color="000000"/>
              <w:left w:val="single" w:sz="8" w:space="0" w:color="000000"/>
              <w:bottom w:val="single" w:sz="8" w:space="0" w:color="000000"/>
              <w:right w:val="single" w:sz="8" w:space="0" w:color="000000"/>
            </w:tcBorders>
          </w:tcPr>
          <w:p w14:paraId="07B1FB15" w14:textId="77777777" w:rsidR="008C5DDB" w:rsidRPr="005A3C14" w:rsidRDefault="008C5DDB">
            <w:pPr>
              <w:tabs>
                <w:tab w:val="left" w:pos="1304"/>
              </w:tabs>
              <w:autoSpaceDE w:val="0"/>
              <w:autoSpaceDN w:val="0"/>
              <w:adjustRightInd w:val="0"/>
              <w:rPr>
                <w:rFonts w:eastAsia="SimSun"/>
                <w:color w:val="000000"/>
                <w:sz w:val="22"/>
                <w:szCs w:val="22"/>
                <w:lang w:val="nl-NL" w:eastAsia="zh-CN" w:bidi="he-IL"/>
              </w:rPr>
            </w:pPr>
          </w:p>
        </w:tc>
        <w:tc>
          <w:tcPr>
            <w:tcW w:w="747" w:type="pct"/>
            <w:tcBorders>
              <w:top w:val="single" w:sz="8" w:space="0" w:color="000000"/>
              <w:left w:val="single" w:sz="8" w:space="0" w:color="000000"/>
              <w:bottom w:val="single" w:sz="8" w:space="0" w:color="000000"/>
              <w:right w:val="single" w:sz="8" w:space="0" w:color="000000"/>
            </w:tcBorders>
            <w:hideMark/>
          </w:tcPr>
          <w:p w14:paraId="51FA0C86"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Nedsat appetit </w:t>
            </w:r>
          </w:p>
        </w:tc>
        <w:tc>
          <w:tcPr>
            <w:tcW w:w="1464" w:type="pct"/>
            <w:tcBorders>
              <w:top w:val="single" w:sz="8" w:space="0" w:color="000000"/>
              <w:left w:val="single" w:sz="8" w:space="0" w:color="000000"/>
              <w:bottom w:val="single" w:sz="8" w:space="0" w:color="000000"/>
              <w:right w:val="single" w:sz="8" w:space="0" w:color="000000"/>
            </w:tcBorders>
            <w:hideMark/>
          </w:tcPr>
          <w:p w14:paraId="00BF5DDB" w14:textId="5D80D2C8"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Hyperkolester</w:t>
            </w:r>
            <w:r w:rsidR="005A3C14">
              <w:rPr>
                <w:color w:val="000000"/>
                <w:sz w:val="22"/>
                <w:szCs w:val="22"/>
                <w:lang w:bidi="he-IL"/>
              </w:rPr>
              <w:t>o</w:t>
            </w:r>
            <w:r w:rsidRPr="005A3C14">
              <w:rPr>
                <w:color w:val="000000"/>
                <w:sz w:val="22"/>
                <w:szCs w:val="22"/>
                <w:lang w:bidi="he-IL"/>
              </w:rPr>
              <w:t xml:space="preserve">læmi, hypertriglyceridæmi, hypokaliæmi </w:t>
            </w:r>
          </w:p>
        </w:tc>
        <w:tc>
          <w:tcPr>
            <w:tcW w:w="650" w:type="pct"/>
            <w:tcBorders>
              <w:top w:val="single" w:sz="8" w:space="0" w:color="000000"/>
              <w:left w:val="single" w:sz="8" w:space="0" w:color="000000"/>
              <w:bottom w:val="single" w:sz="8" w:space="0" w:color="000000"/>
              <w:right w:val="single" w:sz="8" w:space="0" w:color="000000"/>
            </w:tcBorders>
          </w:tcPr>
          <w:p w14:paraId="4880409F"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r>
      <w:tr w:rsidR="008C5DDB" w:rsidRPr="005A3C14" w14:paraId="066119C0" w14:textId="77777777" w:rsidTr="001B4015">
        <w:trPr>
          <w:trHeight w:val="293"/>
        </w:trPr>
        <w:tc>
          <w:tcPr>
            <w:tcW w:w="1212" w:type="pct"/>
            <w:tcBorders>
              <w:top w:val="single" w:sz="8" w:space="0" w:color="000000"/>
              <w:left w:val="single" w:sz="8" w:space="0" w:color="000000"/>
              <w:bottom w:val="single" w:sz="8" w:space="0" w:color="000000"/>
              <w:right w:val="single" w:sz="8" w:space="0" w:color="000000"/>
            </w:tcBorders>
            <w:hideMark/>
          </w:tcPr>
          <w:p w14:paraId="46A977FA"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Psykiatriske forstyrrelser</w:t>
            </w:r>
          </w:p>
        </w:tc>
        <w:tc>
          <w:tcPr>
            <w:tcW w:w="927" w:type="pct"/>
            <w:tcBorders>
              <w:top w:val="single" w:sz="8" w:space="0" w:color="000000"/>
              <w:left w:val="single" w:sz="8" w:space="0" w:color="000000"/>
              <w:bottom w:val="single" w:sz="8" w:space="0" w:color="000000"/>
              <w:right w:val="single" w:sz="8" w:space="0" w:color="000000"/>
            </w:tcBorders>
          </w:tcPr>
          <w:p w14:paraId="6E6C81C4"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c>
          <w:tcPr>
            <w:tcW w:w="747" w:type="pct"/>
            <w:tcBorders>
              <w:top w:val="single" w:sz="8" w:space="0" w:color="000000"/>
              <w:left w:val="single" w:sz="8" w:space="0" w:color="000000"/>
              <w:bottom w:val="single" w:sz="8" w:space="0" w:color="000000"/>
              <w:right w:val="single" w:sz="8" w:space="0" w:color="000000"/>
            </w:tcBorders>
            <w:hideMark/>
          </w:tcPr>
          <w:p w14:paraId="53BB3523"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Søvnighed, insomni </w:t>
            </w:r>
          </w:p>
        </w:tc>
        <w:tc>
          <w:tcPr>
            <w:tcW w:w="1464" w:type="pct"/>
            <w:tcBorders>
              <w:top w:val="single" w:sz="8" w:space="0" w:color="000000"/>
              <w:left w:val="single" w:sz="8" w:space="0" w:color="000000"/>
              <w:bottom w:val="single" w:sz="8" w:space="0" w:color="000000"/>
              <w:right w:val="single" w:sz="8" w:space="0" w:color="000000"/>
            </w:tcBorders>
          </w:tcPr>
          <w:p w14:paraId="4FF26026"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c>
          <w:tcPr>
            <w:tcW w:w="650" w:type="pct"/>
            <w:tcBorders>
              <w:top w:val="single" w:sz="8" w:space="0" w:color="000000"/>
              <w:left w:val="single" w:sz="8" w:space="0" w:color="000000"/>
              <w:bottom w:val="single" w:sz="8" w:space="0" w:color="000000"/>
              <w:right w:val="single" w:sz="8" w:space="0" w:color="000000"/>
            </w:tcBorders>
          </w:tcPr>
          <w:p w14:paraId="205F62E1"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r>
      <w:tr w:rsidR="008C5DDB" w:rsidRPr="005A3C14" w14:paraId="41DEB8B8" w14:textId="77777777" w:rsidTr="001B4015">
        <w:trPr>
          <w:trHeight w:val="797"/>
        </w:trPr>
        <w:tc>
          <w:tcPr>
            <w:tcW w:w="1212" w:type="pct"/>
            <w:tcBorders>
              <w:top w:val="single" w:sz="8" w:space="0" w:color="000000"/>
              <w:left w:val="single" w:sz="8" w:space="0" w:color="000000"/>
              <w:bottom w:val="single" w:sz="8" w:space="0" w:color="000000"/>
              <w:right w:val="single" w:sz="8" w:space="0" w:color="000000"/>
            </w:tcBorders>
            <w:hideMark/>
          </w:tcPr>
          <w:p w14:paraId="56257D37"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Nervesystemet</w:t>
            </w:r>
          </w:p>
        </w:tc>
        <w:tc>
          <w:tcPr>
            <w:tcW w:w="927" w:type="pct"/>
            <w:tcBorders>
              <w:top w:val="single" w:sz="8" w:space="0" w:color="000000"/>
              <w:left w:val="single" w:sz="8" w:space="0" w:color="000000"/>
              <w:bottom w:val="single" w:sz="8" w:space="0" w:color="000000"/>
              <w:right w:val="single" w:sz="8" w:space="0" w:color="000000"/>
            </w:tcBorders>
            <w:hideMark/>
          </w:tcPr>
          <w:p w14:paraId="77419619"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Hovedpine </w:t>
            </w:r>
          </w:p>
        </w:tc>
        <w:tc>
          <w:tcPr>
            <w:tcW w:w="747" w:type="pct"/>
            <w:tcBorders>
              <w:top w:val="single" w:sz="8" w:space="0" w:color="000000"/>
              <w:left w:val="single" w:sz="8" w:space="0" w:color="000000"/>
              <w:bottom w:val="single" w:sz="8" w:space="0" w:color="000000"/>
              <w:right w:val="single" w:sz="8" w:space="0" w:color="000000"/>
            </w:tcBorders>
            <w:hideMark/>
          </w:tcPr>
          <w:p w14:paraId="2A28253C"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Kramper, paræstesier, svimmelhed, smagsforstyrrelse </w:t>
            </w:r>
          </w:p>
        </w:tc>
        <w:tc>
          <w:tcPr>
            <w:tcW w:w="1464" w:type="pct"/>
            <w:tcBorders>
              <w:top w:val="single" w:sz="8" w:space="0" w:color="000000"/>
              <w:left w:val="single" w:sz="8" w:space="0" w:color="000000"/>
              <w:bottom w:val="single" w:sz="8" w:space="0" w:color="000000"/>
              <w:right w:val="single" w:sz="8" w:space="0" w:color="000000"/>
            </w:tcBorders>
            <w:hideMark/>
          </w:tcPr>
          <w:p w14:paraId="612934DA"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Tremor </w:t>
            </w:r>
          </w:p>
        </w:tc>
        <w:tc>
          <w:tcPr>
            <w:tcW w:w="650" w:type="pct"/>
            <w:tcBorders>
              <w:top w:val="single" w:sz="8" w:space="0" w:color="000000"/>
              <w:left w:val="single" w:sz="8" w:space="0" w:color="000000"/>
              <w:bottom w:val="single" w:sz="8" w:space="0" w:color="000000"/>
              <w:right w:val="single" w:sz="8" w:space="0" w:color="000000"/>
            </w:tcBorders>
          </w:tcPr>
          <w:p w14:paraId="04DD8908"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r>
      <w:tr w:rsidR="008C5DDB" w:rsidRPr="005A3C14" w14:paraId="3C29004F" w14:textId="77777777" w:rsidTr="001B4015">
        <w:trPr>
          <w:trHeight w:val="546"/>
        </w:trPr>
        <w:tc>
          <w:tcPr>
            <w:tcW w:w="1212" w:type="pct"/>
            <w:tcBorders>
              <w:top w:val="single" w:sz="8" w:space="0" w:color="000000"/>
              <w:left w:val="single" w:sz="8" w:space="0" w:color="000000"/>
              <w:bottom w:val="single" w:sz="8" w:space="0" w:color="000000"/>
              <w:right w:val="single" w:sz="8" w:space="0" w:color="000000"/>
            </w:tcBorders>
            <w:hideMark/>
          </w:tcPr>
          <w:p w14:paraId="18614942"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val="nb-NO" w:bidi="he-IL"/>
              </w:rPr>
              <w:t>Ø</w:t>
            </w:r>
            <w:r w:rsidRPr="005A3C14">
              <w:rPr>
                <w:b/>
                <w:color w:val="000000"/>
                <w:sz w:val="22"/>
                <w:szCs w:val="22"/>
                <w:lang w:bidi="he-IL"/>
              </w:rPr>
              <w:t>re og labyrint</w:t>
            </w:r>
          </w:p>
        </w:tc>
        <w:tc>
          <w:tcPr>
            <w:tcW w:w="927" w:type="pct"/>
            <w:tcBorders>
              <w:top w:val="single" w:sz="8" w:space="0" w:color="000000"/>
              <w:left w:val="single" w:sz="8" w:space="0" w:color="000000"/>
              <w:bottom w:val="single" w:sz="8" w:space="0" w:color="000000"/>
              <w:right w:val="single" w:sz="8" w:space="0" w:color="000000"/>
            </w:tcBorders>
          </w:tcPr>
          <w:p w14:paraId="6744175B" w14:textId="77777777" w:rsidR="008C5DDB" w:rsidRPr="005A3C14" w:rsidRDefault="008C5DDB">
            <w:pPr>
              <w:tabs>
                <w:tab w:val="left" w:pos="1304"/>
              </w:tabs>
              <w:autoSpaceDE w:val="0"/>
              <w:autoSpaceDN w:val="0"/>
              <w:adjustRightInd w:val="0"/>
              <w:rPr>
                <w:rFonts w:eastAsia="SimSun"/>
                <w:color w:val="000000"/>
                <w:sz w:val="22"/>
                <w:szCs w:val="22"/>
                <w:lang w:val="sv-SE" w:eastAsia="zh-CN" w:bidi="he-IL"/>
              </w:rPr>
            </w:pPr>
          </w:p>
        </w:tc>
        <w:tc>
          <w:tcPr>
            <w:tcW w:w="747" w:type="pct"/>
            <w:tcBorders>
              <w:top w:val="single" w:sz="8" w:space="0" w:color="000000"/>
              <w:left w:val="single" w:sz="8" w:space="0" w:color="000000"/>
              <w:bottom w:val="single" w:sz="8" w:space="0" w:color="000000"/>
              <w:right w:val="single" w:sz="8" w:space="0" w:color="000000"/>
            </w:tcBorders>
            <w:hideMark/>
          </w:tcPr>
          <w:p w14:paraId="3A40E89B"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Vertigo </w:t>
            </w:r>
          </w:p>
        </w:tc>
        <w:tc>
          <w:tcPr>
            <w:tcW w:w="1464" w:type="pct"/>
            <w:tcBorders>
              <w:top w:val="single" w:sz="8" w:space="0" w:color="000000"/>
              <w:left w:val="single" w:sz="8" w:space="0" w:color="000000"/>
              <w:bottom w:val="single" w:sz="8" w:space="0" w:color="000000"/>
              <w:right w:val="single" w:sz="8" w:space="0" w:color="000000"/>
            </w:tcBorders>
          </w:tcPr>
          <w:p w14:paraId="67286763"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c>
          <w:tcPr>
            <w:tcW w:w="650" w:type="pct"/>
            <w:tcBorders>
              <w:top w:val="single" w:sz="8" w:space="0" w:color="000000"/>
              <w:left w:val="single" w:sz="8" w:space="0" w:color="000000"/>
              <w:bottom w:val="single" w:sz="8" w:space="0" w:color="000000"/>
              <w:right w:val="single" w:sz="8" w:space="0" w:color="000000"/>
            </w:tcBorders>
          </w:tcPr>
          <w:p w14:paraId="14131C15"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r>
      <w:tr w:rsidR="008C5DDB" w:rsidRPr="005A3C14" w14:paraId="45D16DFF" w14:textId="77777777" w:rsidTr="001B4015">
        <w:trPr>
          <w:trHeight w:val="1051"/>
        </w:trPr>
        <w:tc>
          <w:tcPr>
            <w:tcW w:w="1212" w:type="pct"/>
            <w:tcBorders>
              <w:top w:val="single" w:sz="8" w:space="0" w:color="000000"/>
              <w:left w:val="single" w:sz="8" w:space="0" w:color="000000"/>
              <w:bottom w:val="single" w:sz="8" w:space="0" w:color="000000"/>
              <w:right w:val="single" w:sz="8" w:space="0" w:color="000000"/>
            </w:tcBorders>
            <w:hideMark/>
          </w:tcPr>
          <w:p w14:paraId="0BFDB6C3"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Hjerte</w:t>
            </w:r>
          </w:p>
        </w:tc>
        <w:tc>
          <w:tcPr>
            <w:tcW w:w="927" w:type="pct"/>
            <w:tcBorders>
              <w:top w:val="single" w:sz="8" w:space="0" w:color="000000"/>
              <w:left w:val="single" w:sz="8" w:space="0" w:color="000000"/>
              <w:bottom w:val="single" w:sz="8" w:space="0" w:color="000000"/>
              <w:right w:val="single" w:sz="8" w:space="0" w:color="000000"/>
            </w:tcBorders>
          </w:tcPr>
          <w:p w14:paraId="1F590513"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c>
          <w:tcPr>
            <w:tcW w:w="747" w:type="pct"/>
            <w:tcBorders>
              <w:top w:val="single" w:sz="8" w:space="0" w:color="000000"/>
              <w:left w:val="single" w:sz="8" w:space="0" w:color="000000"/>
              <w:bottom w:val="single" w:sz="8" w:space="0" w:color="000000"/>
              <w:right w:val="single" w:sz="8" w:space="0" w:color="000000"/>
            </w:tcBorders>
          </w:tcPr>
          <w:p w14:paraId="35246027"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c>
          <w:tcPr>
            <w:tcW w:w="1464" w:type="pct"/>
            <w:tcBorders>
              <w:top w:val="single" w:sz="8" w:space="0" w:color="000000"/>
              <w:left w:val="single" w:sz="8" w:space="0" w:color="000000"/>
              <w:bottom w:val="single" w:sz="8" w:space="0" w:color="000000"/>
              <w:right w:val="single" w:sz="8" w:space="0" w:color="000000"/>
            </w:tcBorders>
            <w:hideMark/>
          </w:tcPr>
          <w:p w14:paraId="4F897F20" w14:textId="32232005" w:rsidR="008C5DDB" w:rsidRPr="005A3C14" w:rsidRDefault="008C5DDB">
            <w:pPr>
              <w:tabs>
                <w:tab w:val="left" w:pos="1304"/>
              </w:tabs>
              <w:autoSpaceDE w:val="0"/>
              <w:autoSpaceDN w:val="0"/>
              <w:adjustRightInd w:val="0"/>
              <w:rPr>
                <w:rFonts w:eastAsia="SimSun"/>
                <w:color w:val="000000"/>
                <w:sz w:val="22"/>
                <w:szCs w:val="22"/>
                <w:lang w:bidi="he-IL"/>
              </w:rPr>
            </w:pPr>
            <w:r w:rsidRPr="005A3C14">
              <w:rPr>
                <w:i/>
                <w:iCs/>
                <w:color w:val="000000"/>
                <w:sz w:val="22"/>
                <w:szCs w:val="22"/>
                <w:lang w:bidi="he-IL"/>
              </w:rPr>
              <w:t xml:space="preserve">Torsades de pointes </w:t>
            </w:r>
            <w:r w:rsidRPr="005A3C14">
              <w:rPr>
                <w:color w:val="000000"/>
                <w:sz w:val="22"/>
                <w:szCs w:val="22"/>
                <w:lang w:bidi="he-IL"/>
              </w:rPr>
              <w:t>(se pkt</w:t>
            </w:r>
            <w:r w:rsidR="005A3C14">
              <w:rPr>
                <w:color w:val="000000"/>
                <w:sz w:val="22"/>
                <w:szCs w:val="22"/>
                <w:lang w:bidi="he-IL"/>
              </w:rPr>
              <w:t>.</w:t>
            </w:r>
            <w:r w:rsidRPr="005A3C14">
              <w:rPr>
                <w:color w:val="000000"/>
                <w:sz w:val="22"/>
                <w:szCs w:val="22"/>
                <w:lang w:bidi="he-IL"/>
              </w:rPr>
              <w:t xml:space="preserve"> 4.4), QT-forlængelse (se pkt. 4.4) </w:t>
            </w:r>
          </w:p>
        </w:tc>
        <w:tc>
          <w:tcPr>
            <w:tcW w:w="650" w:type="pct"/>
            <w:tcBorders>
              <w:top w:val="single" w:sz="8" w:space="0" w:color="000000"/>
              <w:left w:val="single" w:sz="8" w:space="0" w:color="000000"/>
              <w:bottom w:val="single" w:sz="8" w:space="0" w:color="000000"/>
              <w:right w:val="single" w:sz="8" w:space="0" w:color="000000"/>
            </w:tcBorders>
          </w:tcPr>
          <w:p w14:paraId="68DEC8FD" w14:textId="77777777" w:rsidR="008C5DDB" w:rsidRPr="005A3C14" w:rsidRDefault="008C5DDB">
            <w:pPr>
              <w:tabs>
                <w:tab w:val="left" w:pos="1304"/>
              </w:tabs>
              <w:autoSpaceDE w:val="0"/>
              <w:autoSpaceDN w:val="0"/>
              <w:adjustRightInd w:val="0"/>
              <w:rPr>
                <w:rFonts w:eastAsia="SimSun"/>
                <w:i/>
                <w:iCs/>
                <w:color w:val="000000"/>
                <w:sz w:val="22"/>
                <w:szCs w:val="22"/>
                <w:lang w:eastAsia="zh-CN" w:bidi="he-IL"/>
              </w:rPr>
            </w:pPr>
          </w:p>
        </w:tc>
      </w:tr>
      <w:tr w:rsidR="008C5DDB" w:rsidRPr="005A3C14" w14:paraId="0C011E22" w14:textId="77777777" w:rsidTr="001B4015">
        <w:trPr>
          <w:trHeight w:val="797"/>
        </w:trPr>
        <w:tc>
          <w:tcPr>
            <w:tcW w:w="1212" w:type="pct"/>
            <w:tcBorders>
              <w:top w:val="single" w:sz="8" w:space="0" w:color="000000"/>
              <w:left w:val="single" w:sz="8" w:space="0" w:color="000000"/>
              <w:bottom w:val="single" w:sz="8" w:space="0" w:color="000000"/>
              <w:right w:val="single" w:sz="8" w:space="0" w:color="000000"/>
            </w:tcBorders>
            <w:hideMark/>
          </w:tcPr>
          <w:p w14:paraId="0E75B28C"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lastRenderedPageBreak/>
              <w:t xml:space="preserve">Mave-tarm-kanalen  </w:t>
            </w:r>
            <w:r w:rsidRPr="005A3C14">
              <w:rPr>
                <w:b/>
                <w:color w:val="000000"/>
                <w:sz w:val="22"/>
                <w:szCs w:val="22"/>
                <w:lang w:val="el-GR" w:bidi="he-IL"/>
              </w:rPr>
              <w:t xml:space="preserve"> </w:t>
            </w:r>
          </w:p>
        </w:tc>
        <w:tc>
          <w:tcPr>
            <w:tcW w:w="927" w:type="pct"/>
            <w:tcBorders>
              <w:top w:val="single" w:sz="8" w:space="0" w:color="000000"/>
              <w:left w:val="single" w:sz="8" w:space="0" w:color="000000"/>
              <w:bottom w:val="single" w:sz="8" w:space="0" w:color="000000"/>
              <w:right w:val="single" w:sz="8" w:space="0" w:color="000000"/>
            </w:tcBorders>
            <w:hideMark/>
          </w:tcPr>
          <w:p w14:paraId="544F4F58"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Abdominale smerter, opkastning, diarré, kvalme </w:t>
            </w:r>
          </w:p>
        </w:tc>
        <w:tc>
          <w:tcPr>
            <w:tcW w:w="747" w:type="pct"/>
            <w:tcBorders>
              <w:top w:val="single" w:sz="8" w:space="0" w:color="000000"/>
              <w:left w:val="single" w:sz="8" w:space="0" w:color="000000"/>
              <w:bottom w:val="single" w:sz="8" w:space="0" w:color="000000"/>
              <w:right w:val="single" w:sz="8" w:space="0" w:color="000000"/>
            </w:tcBorders>
            <w:hideMark/>
          </w:tcPr>
          <w:p w14:paraId="01A3BC70"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Konstipation, dyspepsi, flatulens, mundtørhed </w:t>
            </w:r>
          </w:p>
        </w:tc>
        <w:tc>
          <w:tcPr>
            <w:tcW w:w="1464" w:type="pct"/>
            <w:tcBorders>
              <w:top w:val="single" w:sz="8" w:space="0" w:color="000000"/>
              <w:left w:val="single" w:sz="8" w:space="0" w:color="000000"/>
              <w:bottom w:val="single" w:sz="8" w:space="0" w:color="000000"/>
              <w:right w:val="single" w:sz="8" w:space="0" w:color="000000"/>
            </w:tcBorders>
          </w:tcPr>
          <w:p w14:paraId="0180C386" w14:textId="77777777" w:rsidR="008C5DDB" w:rsidRPr="005A3C14" w:rsidRDefault="008C5DDB">
            <w:pPr>
              <w:tabs>
                <w:tab w:val="left" w:pos="1304"/>
              </w:tabs>
              <w:autoSpaceDE w:val="0"/>
              <w:autoSpaceDN w:val="0"/>
              <w:adjustRightInd w:val="0"/>
              <w:rPr>
                <w:rFonts w:eastAsia="SimSun"/>
                <w:color w:val="000000"/>
                <w:sz w:val="22"/>
                <w:szCs w:val="22"/>
                <w:lang w:eastAsia="zh-CN" w:bidi="he-IL"/>
              </w:rPr>
            </w:pPr>
          </w:p>
        </w:tc>
        <w:tc>
          <w:tcPr>
            <w:tcW w:w="650" w:type="pct"/>
            <w:tcBorders>
              <w:top w:val="single" w:sz="8" w:space="0" w:color="000000"/>
              <w:left w:val="single" w:sz="8" w:space="0" w:color="000000"/>
              <w:bottom w:val="single" w:sz="8" w:space="0" w:color="000000"/>
              <w:right w:val="single" w:sz="8" w:space="0" w:color="000000"/>
            </w:tcBorders>
          </w:tcPr>
          <w:p w14:paraId="43D98CF3" w14:textId="77777777" w:rsidR="008C5DDB" w:rsidRPr="005A3C14" w:rsidRDefault="008C5DDB">
            <w:pPr>
              <w:tabs>
                <w:tab w:val="left" w:pos="1304"/>
              </w:tabs>
              <w:autoSpaceDE w:val="0"/>
              <w:autoSpaceDN w:val="0"/>
              <w:adjustRightInd w:val="0"/>
              <w:rPr>
                <w:rFonts w:eastAsia="SimSun"/>
                <w:color w:val="000000"/>
                <w:sz w:val="22"/>
                <w:szCs w:val="22"/>
                <w:lang w:eastAsia="zh-CN" w:bidi="he-IL"/>
              </w:rPr>
            </w:pPr>
          </w:p>
        </w:tc>
      </w:tr>
      <w:tr w:rsidR="008C5DDB" w:rsidRPr="005A3C14" w14:paraId="6D888C41" w14:textId="77777777" w:rsidTr="001B4015">
        <w:trPr>
          <w:trHeight w:val="1555"/>
        </w:trPr>
        <w:tc>
          <w:tcPr>
            <w:tcW w:w="1212" w:type="pct"/>
            <w:tcBorders>
              <w:top w:val="single" w:sz="8" w:space="0" w:color="000000"/>
              <w:left w:val="single" w:sz="8" w:space="0" w:color="000000"/>
              <w:bottom w:val="single" w:sz="8" w:space="0" w:color="000000"/>
              <w:right w:val="single" w:sz="8" w:space="0" w:color="000000"/>
            </w:tcBorders>
            <w:hideMark/>
          </w:tcPr>
          <w:p w14:paraId="21EDAD09"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Lever og galdeveje</w:t>
            </w:r>
          </w:p>
        </w:tc>
        <w:tc>
          <w:tcPr>
            <w:tcW w:w="927" w:type="pct"/>
            <w:tcBorders>
              <w:top w:val="single" w:sz="8" w:space="0" w:color="000000"/>
              <w:left w:val="single" w:sz="8" w:space="0" w:color="000000"/>
              <w:bottom w:val="single" w:sz="8" w:space="0" w:color="000000"/>
              <w:right w:val="single" w:sz="8" w:space="0" w:color="000000"/>
            </w:tcBorders>
            <w:hideMark/>
          </w:tcPr>
          <w:p w14:paraId="3613EBF7" w14:textId="1C1E2074"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Forhøjet alanin aminotransferas</w:t>
            </w:r>
            <w:r w:rsidR="005A3C14">
              <w:rPr>
                <w:color w:val="000000"/>
                <w:sz w:val="22"/>
                <w:szCs w:val="22"/>
                <w:lang w:bidi="he-IL"/>
              </w:rPr>
              <w:t>e</w:t>
            </w:r>
            <w:r w:rsidRPr="005A3C14">
              <w:rPr>
                <w:color w:val="000000"/>
                <w:sz w:val="22"/>
                <w:szCs w:val="22"/>
                <w:lang w:bidi="he-IL"/>
              </w:rPr>
              <w:t xml:space="preserve"> (se pkt. 4.4), forhøjet asparat aminotransferase (se pkt. 4.4), forhøjet alkalisk fosfatase (se pkt. 4.4)</w:t>
            </w:r>
          </w:p>
        </w:tc>
        <w:tc>
          <w:tcPr>
            <w:tcW w:w="747" w:type="pct"/>
            <w:tcBorders>
              <w:top w:val="single" w:sz="8" w:space="0" w:color="000000"/>
              <w:left w:val="single" w:sz="8" w:space="0" w:color="000000"/>
              <w:bottom w:val="single" w:sz="8" w:space="0" w:color="000000"/>
              <w:right w:val="single" w:sz="8" w:space="0" w:color="000000"/>
            </w:tcBorders>
            <w:hideMark/>
          </w:tcPr>
          <w:p w14:paraId="35503753"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Kolestase (se pkt. 4.4), gulsot (se pkt. 4.4), forhøjet bilirubin (se pkt. 4.4) </w:t>
            </w:r>
          </w:p>
        </w:tc>
        <w:tc>
          <w:tcPr>
            <w:tcW w:w="1464" w:type="pct"/>
            <w:tcBorders>
              <w:top w:val="single" w:sz="8" w:space="0" w:color="000000"/>
              <w:left w:val="single" w:sz="8" w:space="0" w:color="000000"/>
              <w:bottom w:val="single" w:sz="8" w:space="0" w:color="000000"/>
              <w:right w:val="single" w:sz="8" w:space="0" w:color="000000"/>
            </w:tcBorders>
            <w:hideMark/>
          </w:tcPr>
          <w:p w14:paraId="616747C3"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Leversvigt (se pkt. 4.4), hepatocellulær nekrose (se pkt. 4.4), hepatitis (se pkt. 4.4), hepatocellulær skade (se pkt. 4.4)</w:t>
            </w:r>
          </w:p>
        </w:tc>
        <w:tc>
          <w:tcPr>
            <w:tcW w:w="650" w:type="pct"/>
            <w:tcBorders>
              <w:top w:val="single" w:sz="8" w:space="0" w:color="000000"/>
              <w:left w:val="single" w:sz="8" w:space="0" w:color="000000"/>
              <w:bottom w:val="single" w:sz="8" w:space="0" w:color="000000"/>
              <w:right w:val="single" w:sz="8" w:space="0" w:color="000000"/>
            </w:tcBorders>
          </w:tcPr>
          <w:p w14:paraId="5238F129" w14:textId="77777777" w:rsidR="008C5DDB" w:rsidRPr="005A3C14" w:rsidRDefault="008C5DDB">
            <w:pPr>
              <w:tabs>
                <w:tab w:val="left" w:pos="1304"/>
              </w:tabs>
              <w:autoSpaceDE w:val="0"/>
              <w:autoSpaceDN w:val="0"/>
              <w:adjustRightInd w:val="0"/>
              <w:rPr>
                <w:rFonts w:eastAsia="SimSun"/>
                <w:color w:val="000000"/>
                <w:sz w:val="22"/>
                <w:szCs w:val="22"/>
                <w:lang w:eastAsia="zh-CN" w:bidi="he-IL"/>
              </w:rPr>
            </w:pPr>
          </w:p>
        </w:tc>
      </w:tr>
      <w:tr w:rsidR="008C5DDB" w:rsidRPr="005A3C14" w14:paraId="1C8F860F" w14:textId="77777777" w:rsidTr="001B4015">
        <w:trPr>
          <w:trHeight w:val="2162"/>
        </w:trPr>
        <w:tc>
          <w:tcPr>
            <w:tcW w:w="1212" w:type="pct"/>
            <w:tcBorders>
              <w:top w:val="single" w:sz="8" w:space="0" w:color="000000"/>
              <w:left w:val="single" w:sz="8" w:space="0" w:color="000000"/>
              <w:bottom w:val="single" w:sz="8" w:space="0" w:color="000000"/>
              <w:right w:val="single" w:sz="8" w:space="0" w:color="000000"/>
            </w:tcBorders>
            <w:hideMark/>
          </w:tcPr>
          <w:p w14:paraId="2A799C11"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Hud og subkutane væv</w:t>
            </w:r>
          </w:p>
        </w:tc>
        <w:tc>
          <w:tcPr>
            <w:tcW w:w="927" w:type="pct"/>
            <w:tcBorders>
              <w:top w:val="single" w:sz="8" w:space="0" w:color="000000"/>
              <w:left w:val="single" w:sz="8" w:space="0" w:color="000000"/>
              <w:bottom w:val="single" w:sz="8" w:space="0" w:color="000000"/>
              <w:right w:val="single" w:sz="8" w:space="0" w:color="000000"/>
            </w:tcBorders>
            <w:hideMark/>
          </w:tcPr>
          <w:p w14:paraId="1664F4CC"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Udslæt (se pkt. 4.4) </w:t>
            </w:r>
          </w:p>
        </w:tc>
        <w:tc>
          <w:tcPr>
            <w:tcW w:w="747" w:type="pct"/>
            <w:tcBorders>
              <w:top w:val="single" w:sz="8" w:space="0" w:color="000000"/>
              <w:left w:val="single" w:sz="8" w:space="0" w:color="000000"/>
              <w:bottom w:val="single" w:sz="8" w:space="0" w:color="000000"/>
              <w:right w:val="single" w:sz="8" w:space="0" w:color="000000"/>
            </w:tcBorders>
            <w:hideMark/>
          </w:tcPr>
          <w:p w14:paraId="3A0FE790"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Lægemiddeludslæt* (se pkt. 4.4), urticaria (se pkt. 4.4), pruritus, øget svedtendens </w:t>
            </w:r>
          </w:p>
        </w:tc>
        <w:tc>
          <w:tcPr>
            <w:tcW w:w="1464" w:type="pct"/>
            <w:tcBorders>
              <w:top w:val="single" w:sz="8" w:space="0" w:color="000000"/>
              <w:left w:val="single" w:sz="8" w:space="0" w:color="000000"/>
              <w:bottom w:val="single" w:sz="8" w:space="0" w:color="000000"/>
              <w:right w:val="single" w:sz="8" w:space="0" w:color="000000"/>
            </w:tcBorders>
            <w:hideMark/>
          </w:tcPr>
          <w:p w14:paraId="0F3354A9"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Toksisk epidermal nekrolyse (se pkt. 4.4), Stevens-Johnsons syndrom (se pkt. 4.4), akut generaliseret eksantematøs pustulose (se pkt. 4.4), eksfoliative kutanreaktioner, angioødem, ansigtsødem, alopeci </w:t>
            </w:r>
          </w:p>
        </w:tc>
        <w:tc>
          <w:tcPr>
            <w:tcW w:w="650" w:type="pct"/>
            <w:tcBorders>
              <w:top w:val="single" w:sz="8" w:space="0" w:color="000000"/>
              <w:left w:val="single" w:sz="8" w:space="0" w:color="000000"/>
              <w:bottom w:val="single" w:sz="8" w:space="0" w:color="000000"/>
              <w:right w:val="single" w:sz="8" w:space="0" w:color="000000"/>
            </w:tcBorders>
            <w:hideMark/>
          </w:tcPr>
          <w:p w14:paraId="3F43869A"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Lægemiddelfremkaldt reaktion med eosinofili og systemiske symptomer (DRESS)</w:t>
            </w:r>
          </w:p>
        </w:tc>
      </w:tr>
      <w:tr w:rsidR="008C5DDB" w:rsidRPr="005A3C14" w14:paraId="5257E215" w14:textId="77777777" w:rsidTr="001B4015">
        <w:trPr>
          <w:trHeight w:val="808"/>
        </w:trPr>
        <w:tc>
          <w:tcPr>
            <w:tcW w:w="1212" w:type="pct"/>
            <w:tcBorders>
              <w:top w:val="single" w:sz="8" w:space="0" w:color="000000"/>
              <w:left w:val="single" w:sz="8" w:space="0" w:color="000000"/>
              <w:bottom w:val="single" w:sz="8" w:space="0" w:color="000000"/>
              <w:right w:val="single" w:sz="8" w:space="0" w:color="000000"/>
            </w:tcBorders>
            <w:hideMark/>
          </w:tcPr>
          <w:p w14:paraId="4916A532"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Knogler, led, muskler og bindevæv</w:t>
            </w:r>
          </w:p>
        </w:tc>
        <w:tc>
          <w:tcPr>
            <w:tcW w:w="927" w:type="pct"/>
            <w:tcBorders>
              <w:top w:val="single" w:sz="8" w:space="0" w:color="000000"/>
              <w:left w:val="single" w:sz="8" w:space="0" w:color="000000"/>
              <w:bottom w:val="single" w:sz="8" w:space="0" w:color="000000"/>
              <w:right w:val="single" w:sz="8" w:space="0" w:color="000000"/>
            </w:tcBorders>
          </w:tcPr>
          <w:p w14:paraId="04CC4E67" w14:textId="77777777" w:rsidR="008C5DDB" w:rsidRPr="005A3C14" w:rsidRDefault="008C5DDB">
            <w:pPr>
              <w:tabs>
                <w:tab w:val="left" w:pos="1304"/>
              </w:tabs>
              <w:autoSpaceDE w:val="0"/>
              <w:autoSpaceDN w:val="0"/>
              <w:adjustRightInd w:val="0"/>
              <w:rPr>
                <w:rFonts w:eastAsia="SimSun"/>
                <w:color w:val="000000"/>
                <w:sz w:val="22"/>
                <w:szCs w:val="22"/>
                <w:lang w:eastAsia="zh-CN" w:bidi="he-IL"/>
              </w:rPr>
            </w:pPr>
          </w:p>
        </w:tc>
        <w:tc>
          <w:tcPr>
            <w:tcW w:w="747" w:type="pct"/>
            <w:tcBorders>
              <w:top w:val="single" w:sz="8" w:space="0" w:color="000000"/>
              <w:left w:val="single" w:sz="8" w:space="0" w:color="000000"/>
              <w:bottom w:val="single" w:sz="8" w:space="0" w:color="000000"/>
              <w:right w:val="single" w:sz="8" w:space="0" w:color="000000"/>
            </w:tcBorders>
            <w:hideMark/>
          </w:tcPr>
          <w:p w14:paraId="2CE873BA"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Myalgi </w:t>
            </w:r>
          </w:p>
        </w:tc>
        <w:tc>
          <w:tcPr>
            <w:tcW w:w="1464" w:type="pct"/>
            <w:tcBorders>
              <w:top w:val="single" w:sz="8" w:space="0" w:color="000000"/>
              <w:left w:val="single" w:sz="8" w:space="0" w:color="000000"/>
              <w:bottom w:val="single" w:sz="8" w:space="0" w:color="000000"/>
              <w:right w:val="single" w:sz="8" w:space="0" w:color="000000"/>
            </w:tcBorders>
          </w:tcPr>
          <w:p w14:paraId="6CAC63C9"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c>
          <w:tcPr>
            <w:tcW w:w="650" w:type="pct"/>
            <w:tcBorders>
              <w:top w:val="single" w:sz="8" w:space="0" w:color="000000"/>
              <w:left w:val="single" w:sz="8" w:space="0" w:color="000000"/>
              <w:bottom w:val="single" w:sz="8" w:space="0" w:color="000000"/>
              <w:right w:val="single" w:sz="8" w:space="0" w:color="000000"/>
            </w:tcBorders>
          </w:tcPr>
          <w:p w14:paraId="2C7CFF38"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r>
      <w:tr w:rsidR="008C5DDB" w:rsidRPr="005A3C14" w14:paraId="53C237B0" w14:textId="77777777" w:rsidTr="001B4015">
        <w:trPr>
          <w:trHeight w:val="1118"/>
        </w:trPr>
        <w:tc>
          <w:tcPr>
            <w:tcW w:w="1212" w:type="pct"/>
            <w:tcBorders>
              <w:top w:val="single" w:sz="8" w:space="0" w:color="000000"/>
              <w:left w:val="single" w:sz="8" w:space="0" w:color="000000"/>
              <w:bottom w:val="single" w:sz="8" w:space="0" w:color="000000"/>
              <w:right w:val="single" w:sz="8" w:space="0" w:color="000000"/>
            </w:tcBorders>
            <w:hideMark/>
          </w:tcPr>
          <w:p w14:paraId="10891833"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b/>
                <w:color w:val="000000"/>
                <w:sz w:val="22"/>
                <w:szCs w:val="22"/>
                <w:lang w:bidi="he-IL"/>
              </w:rPr>
              <w:t>Almene symptomer og reaktioner på administrationsstedet</w:t>
            </w:r>
          </w:p>
        </w:tc>
        <w:tc>
          <w:tcPr>
            <w:tcW w:w="927" w:type="pct"/>
            <w:tcBorders>
              <w:top w:val="single" w:sz="8" w:space="0" w:color="000000"/>
              <w:left w:val="single" w:sz="8" w:space="0" w:color="000000"/>
              <w:bottom w:val="single" w:sz="8" w:space="0" w:color="000000"/>
              <w:right w:val="single" w:sz="8" w:space="0" w:color="000000"/>
            </w:tcBorders>
          </w:tcPr>
          <w:p w14:paraId="76720476" w14:textId="77777777" w:rsidR="008C5DDB" w:rsidRPr="005A3C14" w:rsidRDefault="008C5DDB">
            <w:pPr>
              <w:tabs>
                <w:tab w:val="left" w:pos="1304"/>
              </w:tabs>
              <w:autoSpaceDE w:val="0"/>
              <w:autoSpaceDN w:val="0"/>
              <w:adjustRightInd w:val="0"/>
              <w:rPr>
                <w:rFonts w:eastAsia="SimSun"/>
                <w:color w:val="000000"/>
                <w:sz w:val="22"/>
                <w:szCs w:val="22"/>
                <w:lang w:eastAsia="zh-CN" w:bidi="he-IL"/>
              </w:rPr>
            </w:pPr>
          </w:p>
        </w:tc>
        <w:tc>
          <w:tcPr>
            <w:tcW w:w="747" w:type="pct"/>
            <w:tcBorders>
              <w:top w:val="single" w:sz="8" w:space="0" w:color="000000"/>
              <w:left w:val="single" w:sz="8" w:space="0" w:color="000000"/>
              <w:bottom w:val="single" w:sz="8" w:space="0" w:color="000000"/>
              <w:right w:val="single" w:sz="8" w:space="0" w:color="000000"/>
            </w:tcBorders>
            <w:hideMark/>
          </w:tcPr>
          <w:p w14:paraId="0F221BF4" w14:textId="77777777" w:rsidR="008C5DDB" w:rsidRPr="005A3C14" w:rsidRDefault="008C5DDB">
            <w:pPr>
              <w:tabs>
                <w:tab w:val="left" w:pos="1304"/>
              </w:tabs>
              <w:autoSpaceDE w:val="0"/>
              <w:autoSpaceDN w:val="0"/>
              <w:adjustRightInd w:val="0"/>
              <w:rPr>
                <w:rFonts w:eastAsia="SimSun"/>
                <w:color w:val="000000"/>
                <w:sz w:val="22"/>
                <w:szCs w:val="22"/>
                <w:lang w:bidi="he-IL"/>
              </w:rPr>
            </w:pPr>
            <w:r w:rsidRPr="005A3C14">
              <w:rPr>
                <w:color w:val="000000"/>
                <w:sz w:val="22"/>
                <w:szCs w:val="22"/>
                <w:lang w:bidi="he-IL"/>
              </w:rPr>
              <w:t xml:space="preserve">Træthed, utilpashed, asteni, feber </w:t>
            </w:r>
          </w:p>
        </w:tc>
        <w:tc>
          <w:tcPr>
            <w:tcW w:w="1464" w:type="pct"/>
            <w:tcBorders>
              <w:top w:val="single" w:sz="8" w:space="0" w:color="000000"/>
              <w:left w:val="single" w:sz="8" w:space="0" w:color="000000"/>
              <w:bottom w:val="single" w:sz="8" w:space="0" w:color="000000"/>
              <w:right w:val="single" w:sz="8" w:space="0" w:color="000000"/>
            </w:tcBorders>
          </w:tcPr>
          <w:p w14:paraId="2A972780"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c>
          <w:tcPr>
            <w:tcW w:w="650" w:type="pct"/>
            <w:tcBorders>
              <w:top w:val="single" w:sz="8" w:space="0" w:color="000000"/>
              <w:left w:val="single" w:sz="8" w:space="0" w:color="000000"/>
              <w:bottom w:val="single" w:sz="8" w:space="0" w:color="000000"/>
              <w:right w:val="single" w:sz="8" w:space="0" w:color="000000"/>
            </w:tcBorders>
          </w:tcPr>
          <w:p w14:paraId="03D31466" w14:textId="77777777" w:rsidR="008C5DDB" w:rsidRPr="005A3C14" w:rsidRDefault="008C5DDB">
            <w:pPr>
              <w:tabs>
                <w:tab w:val="left" w:pos="1304"/>
              </w:tabs>
              <w:autoSpaceDE w:val="0"/>
              <w:autoSpaceDN w:val="0"/>
              <w:adjustRightInd w:val="0"/>
              <w:rPr>
                <w:rFonts w:eastAsia="SimSun"/>
                <w:color w:val="000000"/>
                <w:sz w:val="22"/>
                <w:szCs w:val="22"/>
                <w:lang w:val="el-GR" w:eastAsia="zh-CN" w:bidi="he-IL"/>
              </w:rPr>
            </w:pPr>
          </w:p>
        </w:tc>
      </w:tr>
    </w:tbl>
    <w:p w14:paraId="5CDF4256" w14:textId="77777777" w:rsidR="008C5DDB" w:rsidRPr="00475DC9" w:rsidRDefault="008C5DDB" w:rsidP="001B4015">
      <w:pPr>
        <w:rPr>
          <w:rFonts w:eastAsia="SimSun"/>
          <w:sz w:val="24"/>
          <w:szCs w:val="24"/>
        </w:rPr>
      </w:pPr>
      <w:r w:rsidRPr="00475DC9">
        <w:rPr>
          <w:sz w:val="24"/>
          <w:szCs w:val="24"/>
        </w:rPr>
        <w:t xml:space="preserve"> *Inklusive ”Fixed Drug Eruption”</w:t>
      </w:r>
    </w:p>
    <w:p w14:paraId="7C00D08E" w14:textId="77777777" w:rsidR="008C5DDB" w:rsidRPr="00475DC9" w:rsidRDefault="008C5DDB" w:rsidP="001B4015">
      <w:pPr>
        <w:ind w:left="851"/>
        <w:rPr>
          <w:rFonts w:eastAsia="SimSun"/>
          <w:sz w:val="24"/>
          <w:szCs w:val="24"/>
          <w:lang w:eastAsia="zh-CN"/>
        </w:rPr>
      </w:pPr>
    </w:p>
    <w:p w14:paraId="464DC654" w14:textId="77777777" w:rsidR="008C5DDB" w:rsidRPr="00475DC9" w:rsidRDefault="008C5DDB" w:rsidP="001B4015">
      <w:pPr>
        <w:ind w:left="851"/>
        <w:rPr>
          <w:sz w:val="24"/>
          <w:szCs w:val="24"/>
        </w:rPr>
      </w:pPr>
      <w:r w:rsidRPr="00475DC9">
        <w:rPr>
          <w:sz w:val="24"/>
          <w:szCs w:val="24"/>
        </w:rPr>
        <w:t>Der er indberettet om lægemiddelreaktioner med eosinofili og systemiske symptomer (DRESS) i forbindelse med fluconazolbehandling (se pkt. 4.4).</w:t>
      </w:r>
    </w:p>
    <w:p w14:paraId="30BE7057" w14:textId="77777777" w:rsidR="008C5DDB" w:rsidRPr="00475DC9" w:rsidRDefault="008C5DDB" w:rsidP="001B4015">
      <w:pPr>
        <w:ind w:left="851"/>
        <w:rPr>
          <w:rFonts w:eastAsia="SimSun"/>
          <w:sz w:val="24"/>
          <w:szCs w:val="24"/>
          <w:lang w:val="nl-NL" w:eastAsia="zh-CN"/>
        </w:rPr>
      </w:pPr>
    </w:p>
    <w:p w14:paraId="14E87BB2" w14:textId="77777777" w:rsidR="008C5DDB" w:rsidRPr="00475DC9" w:rsidRDefault="008C5DDB" w:rsidP="001B4015">
      <w:pPr>
        <w:ind w:left="851"/>
        <w:rPr>
          <w:rFonts w:eastAsia="SimSun"/>
          <w:bCs/>
          <w:i/>
          <w:iCs/>
          <w:sz w:val="24"/>
          <w:szCs w:val="24"/>
        </w:rPr>
      </w:pPr>
      <w:r w:rsidRPr="00475DC9">
        <w:rPr>
          <w:i/>
          <w:sz w:val="24"/>
          <w:szCs w:val="24"/>
        </w:rPr>
        <w:t>Pædiatrisk population</w:t>
      </w:r>
    </w:p>
    <w:p w14:paraId="35DE1715" w14:textId="77777777" w:rsidR="008C5DDB" w:rsidRPr="00475DC9" w:rsidRDefault="008C5DDB" w:rsidP="001B4015">
      <w:pPr>
        <w:ind w:left="851"/>
        <w:rPr>
          <w:rFonts w:eastAsia="SimSun"/>
          <w:sz w:val="24"/>
          <w:szCs w:val="24"/>
        </w:rPr>
      </w:pPr>
      <w:r w:rsidRPr="00475DC9">
        <w:rPr>
          <w:sz w:val="24"/>
          <w:szCs w:val="24"/>
        </w:rPr>
        <w:t xml:space="preserve">Forekomsten af bivirkninger og abnorme laboratorieværdier set i pædiatriske kliniske forsøg er sammenlignelig med forekomsten af bivirkninger hos voksne. </w:t>
      </w:r>
    </w:p>
    <w:p w14:paraId="24285C0B" w14:textId="77777777" w:rsidR="008C5DDB" w:rsidRPr="00475DC9" w:rsidRDefault="008C5DDB" w:rsidP="001B4015">
      <w:pPr>
        <w:ind w:left="851"/>
        <w:rPr>
          <w:rFonts w:eastAsia="SimSun"/>
          <w:sz w:val="24"/>
          <w:szCs w:val="24"/>
          <w:lang w:eastAsia="zh-CN"/>
        </w:rPr>
      </w:pPr>
    </w:p>
    <w:p w14:paraId="3B5FDC8D" w14:textId="77777777" w:rsidR="008C5DDB" w:rsidRPr="00475DC9" w:rsidRDefault="008C5DDB" w:rsidP="001B4015">
      <w:pPr>
        <w:ind w:left="851"/>
        <w:rPr>
          <w:sz w:val="24"/>
          <w:szCs w:val="24"/>
          <w:u w:val="single"/>
        </w:rPr>
      </w:pPr>
      <w:r w:rsidRPr="00475DC9">
        <w:rPr>
          <w:sz w:val="24"/>
          <w:szCs w:val="24"/>
          <w:u w:val="single"/>
        </w:rPr>
        <w:t>Indberetning af formodede bivirkninger</w:t>
      </w:r>
    </w:p>
    <w:p w14:paraId="679CDCCB" w14:textId="77777777" w:rsidR="008C5DDB" w:rsidRPr="00475DC9" w:rsidRDefault="008C5DDB" w:rsidP="001B4015">
      <w:pPr>
        <w:ind w:left="851"/>
        <w:rPr>
          <w:sz w:val="24"/>
          <w:szCs w:val="24"/>
        </w:rPr>
      </w:pPr>
      <w:r w:rsidRPr="00475DC9">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7CF5435" w14:textId="77777777" w:rsidR="008C5DDB" w:rsidRPr="00475DC9" w:rsidRDefault="008C5DDB" w:rsidP="001B4015">
      <w:pPr>
        <w:ind w:left="851"/>
        <w:rPr>
          <w:sz w:val="24"/>
          <w:szCs w:val="24"/>
        </w:rPr>
      </w:pPr>
      <w:r w:rsidRPr="00475DC9">
        <w:rPr>
          <w:sz w:val="24"/>
          <w:szCs w:val="24"/>
        </w:rPr>
        <w:t xml:space="preserve"> </w:t>
      </w:r>
    </w:p>
    <w:p w14:paraId="37DE1D6B" w14:textId="77777777" w:rsidR="008C5DDB" w:rsidRPr="00475DC9" w:rsidRDefault="008C5DDB" w:rsidP="001B4015">
      <w:pPr>
        <w:ind w:left="851"/>
        <w:rPr>
          <w:sz w:val="24"/>
          <w:szCs w:val="24"/>
        </w:rPr>
      </w:pPr>
      <w:r w:rsidRPr="00475DC9">
        <w:rPr>
          <w:sz w:val="24"/>
          <w:szCs w:val="24"/>
        </w:rPr>
        <w:t xml:space="preserve">Lægemiddelstyrelsen </w:t>
      </w:r>
    </w:p>
    <w:p w14:paraId="5F1B5322" w14:textId="77777777" w:rsidR="008C5DDB" w:rsidRPr="00475DC9" w:rsidRDefault="008C5DDB" w:rsidP="001B4015">
      <w:pPr>
        <w:ind w:left="851"/>
        <w:rPr>
          <w:sz w:val="24"/>
          <w:szCs w:val="24"/>
        </w:rPr>
      </w:pPr>
      <w:r w:rsidRPr="00475DC9">
        <w:rPr>
          <w:sz w:val="24"/>
          <w:szCs w:val="24"/>
        </w:rPr>
        <w:t xml:space="preserve">Axel Heides Gade 1 </w:t>
      </w:r>
    </w:p>
    <w:p w14:paraId="36512135" w14:textId="77777777" w:rsidR="008C5DDB" w:rsidRPr="00475DC9" w:rsidRDefault="008C5DDB" w:rsidP="001B4015">
      <w:pPr>
        <w:ind w:left="851"/>
        <w:rPr>
          <w:sz w:val="24"/>
          <w:szCs w:val="24"/>
        </w:rPr>
      </w:pPr>
      <w:r w:rsidRPr="00475DC9">
        <w:rPr>
          <w:sz w:val="24"/>
          <w:szCs w:val="24"/>
        </w:rPr>
        <w:t xml:space="preserve">DK-2300 København S </w:t>
      </w:r>
    </w:p>
    <w:p w14:paraId="6173D0A2" w14:textId="77777777" w:rsidR="008C5DDB" w:rsidRPr="00475DC9" w:rsidRDefault="008C5DDB" w:rsidP="001B4015">
      <w:pPr>
        <w:ind w:left="851"/>
        <w:rPr>
          <w:noProof/>
          <w:sz w:val="24"/>
          <w:szCs w:val="24"/>
        </w:rPr>
      </w:pPr>
      <w:r w:rsidRPr="00475DC9">
        <w:rPr>
          <w:sz w:val="24"/>
          <w:szCs w:val="24"/>
        </w:rPr>
        <w:t xml:space="preserve">Website: </w:t>
      </w:r>
      <w:hyperlink r:id="rId8" w:history="1">
        <w:r w:rsidRPr="00475DC9">
          <w:rPr>
            <w:rStyle w:val="Hyperlink"/>
            <w:sz w:val="24"/>
            <w:szCs w:val="24"/>
          </w:rPr>
          <w:t>www.meldenbivirkning.dk</w:t>
        </w:r>
      </w:hyperlink>
      <w:r w:rsidRPr="00475DC9">
        <w:rPr>
          <w:color w:val="008000"/>
          <w:sz w:val="24"/>
          <w:szCs w:val="24"/>
        </w:rPr>
        <w:t xml:space="preserve"> </w:t>
      </w:r>
    </w:p>
    <w:p w14:paraId="14B72C89" w14:textId="77777777" w:rsidR="009260DE" w:rsidRPr="00475DC9" w:rsidRDefault="009260DE" w:rsidP="00A10294">
      <w:pPr>
        <w:tabs>
          <w:tab w:val="left" w:pos="851"/>
        </w:tabs>
        <w:ind w:left="851"/>
        <w:rPr>
          <w:sz w:val="24"/>
          <w:szCs w:val="24"/>
        </w:rPr>
      </w:pPr>
    </w:p>
    <w:p w14:paraId="523450CC" w14:textId="77777777" w:rsidR="009260DE" w:rsidRPr="00475DC9" w:rsidRDefault="009260DE" w:rsidP="009260DE">
      <w:pPr>
        <w:tabs>
          <w:tab w:val="left" w:pos="851"/>
        </w:tabs>
        <w:ind w:left="851" w:hanging="851"/>
        <w:rPr>
          <w:b/>
          <w:sz w:val="24"/>
          <w:szCs w:val="24"/>
        </w:rPr>
      </w:pPr>
      <w:r w:rsidRPr="00475DC9">
        <w:rPr>
          <w:b/>
          <w:sz w:val="24"/>
          <w:szCs w:val="24"/>
        </w:rPr>
        <w:t>4.9</w:t>
      </w:r>
      <w:r w:rsidRPr="00475DC9">
        <w:rPr>
          <w:b/>
          <w:sz w:val="24"/>
          <w:szCs w:val="24"/>
        </w:rPr>
        <w:tab/>
        <w:t>Overdosering</w:t>
      </w:r>
    </w:p>
    <w:p w14:paraId="1E900EFA" w14:textId="0FCED98E" w:rsidR="008C5DDB" w:rsidRPr="00475DC9" w:rsidRDefault="008C5DDB" w:rsidP="001B4015">
      <w:pPr>
        <w:ind w:left="851"/>
        <w:rPr>
          <w:rFonts w:eastAsia="SimSun"/>
          <w:sz w:val="24"/>
          <w:szCs w:val="24"/>
        </w:rPr>
      </w:pPr>
      <w:r w:rsidRPr="00475DC9">
        <w:rPr>
          <w:sz w:val="24"/>
          <w:szCs w:val="24"/>
        </w:rPr>
        <w:t xml:space="preserve">Der har været indberetninger om overdosering med </w:t>
      </w:r>
      <w:r w:rsidR="00395A81">
        <w:rPr>
          <w:sz w:val="24"/>
          <w:szCs w:val="24"/>
        </w:rPr>
        <w:t>Fluconazole "Noridem"</w:t>
      </w:r>
      <w:r w:rsidRPr="00475DC9">
        <w:rPr>
          <w:sz w:val="24"/>
          <w:szCs w:val="24"/>
        </w:rPr>
        <w:t xml:space="preserve">. Hallucinationer og paranoid opførsel er samtidig blevet indberettet. </w:t>
      </w:r>
    </w:p>
    <w:p w14:paraId="179B5E45" w14:textId="77777777" w:rsidR="008C5DDB" w:rsidRPr="00475DC9" w:rsidRDefault="008C5DDB" w:rsidP="001B4015">
      <w:pPr>
        <w:ind w:left="851"/>
        <w:rPr>
          <w:rFonts w:eastAsia="SimSun"/>
          <w:sz w:val="24"/>
          <w:szCs w:val="24"/>
        </w:rPr>
      </w:pPr>
      <w:r w:rsidRPr="00475DC9">
        <w:rPr>
          <w:sz w:val="24"/>
          <w:szCs w:val="24"/>
        </w:rPr>
        <w:t xml:space="preserve">I tilfælde af overdosering er symptomatisk behandling (med understøttende foranstaltninger og om nødvendigt maveskylning) sandsynligvis tilstrækkelig. </w:t>
      </w:r>
    </w:p>
    <w:p w14:paraId="3E7C418D" w14:textId="655CB8ED" w:rsidR="008C5DDB" w:rsidRPr="00475DC9" w:rsidRDefault="008C5DDB" w:rsidP="001B4015">
      <w:pPr>
        <w:ind w:left="851"/>
        <w:rPr>
          <w:rFonts w:eastAsia="SimSun"/>
          <w:sz w:val="24"/>
          <w:szCs w:val="24"/>
        </w:rPr>
      </w:pPr>
      <w:r w:rsidRPr="00475DC9">
        <w:rPr>
          <w:sz w:val="24"/>
          <w:szCs w:val="24"/>
        </w:rPr>
        <w:lastRenderedPageBreak/>
        <w:t xml:space="preserve">Fluconazol udskilles overvejende i urinen. Forceret volumen-diurese vil sandsynligvis øge eliminationshastigheden. 3-timers hæmodialyse nedsætter plasmakoncentrationen med ca. 50 %. </w:t>
      </w:r>
    </w:p>
    <w:p w14:paraId="44697D0E" w14:textId="77777777" w:rsidR="009260DE" w:rsidRPr="00475DC9" w:rsidRDefault="009260DE" w:rsidP="009260DE">
      <w:pPr>
        <w:tabs>
          <w:tab w:val="left" w:pos="851"/>
        </w:tabs>
        <w:ind w:left="851"/>
        <w:rPr>
          <w:sz w:val="24"/>
          <w:szCs w:val="24"/>
        </w:rPr>
      </w:pPr>
    </w:p>
    <w:p w14:paraId="1DEF5CFA" w14:textId="77777777" w:rsidR="009260DE" w:rsidRPr="00475DC9" w:rsidRDefault="009260DE" w:rsidP="009260DE">
      <w:pPr>
        <w:tabs>
          <w:tab w:val="left" w:pos="851"/>
        </w:tabs>
        <w:ind w:left="851" w:hanging="851"/>
        <w:rPr>
          <w:b/>
          <w:sz w:val="24"/>
          <w:szCs w:val="24"/>
        </w:rPr>
      </w:pPr>
      <w:r w:rsidRPr="00475DC9">
        <w:rPr>
          <w:b/>
          <w:sz w:val="24"/>
          <w:szCs w:val="24"/>
        </w:rPr>
        <w:t>4.10</w:t>
      </w:r>
      <w:r w:rsidRPr="00475DC9">
        <w:rPr>
          <w:b/>
          <w:sz w:val="24"/>
          <w:szCs w:val="24"/>
        </w:rPr>
        <w:tab/>
        <w:t>Udlevering</w:t>
      </w:r>
    </w:p>
    <w:p w14:paraId="02CEA2F7" w14:textId="07C2E459" w:rsidR="009260DE" w:rsidRPr="00475DC9" w:rsidRDefault="008C5DDB" w:rsidP="009260DE">
      <w:pPr>
        <w:tabs>
          <w:tab w:val="left" w:pos="851"/>
        </w:tabs>
        <w:ind w:left="851"/>
        <w:rPr>
          <w:sz w:val="24"/>
          <w:szCs w:val="24"/>
        </w:rPr>
      </w:pPr>
      <w:r w:rsidRPr="00475DC9">
        <w:rPr>
          <w:sz w:val="24"/>
          <w:szCs w:val="24"/>
        </w:rPr>
        <w:t>B</w:t>
      </w:r>
    </w:p>
    <w:p w14:paraId="4C4E7D6D" w14:textId="77777777" w:rsidR="009260DE" w:rsidRPr="00475DC9" w:rsidRDefault="009260DE" w:rsidP="009260DE">
      <w:pPr>
        <w:tabs>
          <w:tab w:val="left" w:pos="851"/>
        </w:tabs>
        <w:ind w:left="851"/>
        <w:rPr>
          <w:sz w:val="24"/>
          <w:szCs w:val="24"/>
        </w:rPr>
      </w:pPr>
    </w:p>
    <w:p w14:paraId="7A2E9211" w14:textId="77777777" w:rsidR="009260DE" w:rsidRPr="00475DC9" w:rsidRDefault="009260DE" w:rsidP="009260DE">
      <w:pPr>
        <w:tabs>
          <w:tab w:val="left" w:pos="851"/>
        </w:tabs>
        <w:ind w:left="851"/>
        <w:rPr>
          <w:sz w:val="24"/>
          <w:szCs w:val="24"/>
        </w:rPr>
      </w:pPr>
    </w:p>
    <w:p w14:paraId="67A6945A" w14:textId="77777777" w:rsidR="009260DE" w:rsidRPr="00475DC9" w:rsidRDefault="009260DE" w:rsidP="009260DE">
      <w:pPr>
        <w:tabs>
          <w:tab w:val="left" w:pos="851"/>
        </w:tabs>
        <w:ind w:left="851" w:hanging="851"/>
        <w:rPr>
          <w:b/>
          <w:sz w:val="24"/>
          <w:szCs w:val="24"/>
        </w:rPr>
      </w:pPr>
      <w:r w:rsidRPr="00475DC9">
        <w:rPr>
          <w:b/>
          <w:sz w:val="24"/>
          <w:szCs w:val="24"/>
        </w:rPr>
        <w:t>5.</w:t>
      </w:r>
      <w:r w:rsidRPr="00475DC9">
        <w:rPr>
          <w:b/>
          <w:sz w:val="24"/>
          <w:szCs w:val="24"/>
        </w:rPr>
        <w:tab/>
        <w:t>FARMAKOLOGISKE EGENSKABER</w:t>
      </w:r>
    </w:p>
    <w:p w14:paraId="7C963C66" w14:textId="77777777" w:rsidR="009260DE" w:rsidRPr="00475DC9" w:rsidRDefault="009260DE" w:rsidP="009260DE">
      <w:pPr>
        <w:tabs>
          <w:tab w:val="left" w:pos="851"/>
        </w:tabs>
        <w:ind w:left="851"/>
        <w:rPr>
          <w:sz w:val="24"/>
          <w:szCs w:val="24"/>
        </w:rPr>
      </w:pPr>
    </w:p>
    <w:p w14:paraId="2A9810FD" w14:textId="77777777" w:rsidR="009260DE" w:rsidRPr="00475DC9" w:rsidRDefault="009260DE" w:rsidP="009260DE">
      <w:pPr>
        <w:tabs>
          <w:tab w:val="num" w:pos="851"/>
        </w:tabs>
        <w:ind w:left="851" w:hanging="851"/>
        <w:rPr>
          <w:b/>
          <w:sz w:val="24"/>
          <w:szCs w:val="24"/>
        </w:rPr>
      </w:pPr>
      <w:r w:rsidRPr="00475DC9">
        <w:rPr>
          <w:b/>
          <w:sz w:val="24"/>
          <w:szCs w:val="24"/>
        </w:rPr>
        <w:t>5.1</w:t>
      </w:r>
      <w:r w:rsidRPr="00475DC9">
        <w:rPr>
          <w:b/>
          <w:sz w:val="24"/>
          <w:szCs w:val="24"/>
        </w:rPr>
        <w:tab/>
        <w:t>Farmakodynamiske egenskaber</w:t>
      </w:r>
    </w:p>
    <w:p w14:paraId="570F0E13" w14:textId="77777777" w:rsidR="00016480" w:rsidRPr="00475DC9" w:rsidRDefault="00016480" w:rsidP="001B4015">
      <w:pPr>
        <w:ind w:left="851"/>
        <w:rPr>
          <w:sz w:val="24"/>
          <w:szCs w:val="24"/>
        </w:rPr>
      </w:pPr>
      <w:r w:rsidRPr="00475DC9">
        <w:rPr>
          <w:sz w:val="24"/>
          <w:szCs w:val="24"/>
        </w:rPr>
        <w:t xml:space="preserve">Farmakoterapeutisk klassifikation: Antimykotika til systemisk brug, triazol-derivater, </w:t>
      </w:r>
    </w:p>
    <w:p w14:paraId="779BD5C7" w14:textId="77777777" w:rsidR="00016480" w:rsidRPr="00475DC9" w:rsidRDefault="00016480" w:rsidP="001B4015">
      <w:pPr>
        <w:ind w:left="851"/>
        <w:rPr>
          <w:sz w:val="24"/>
          <w:szCs w:val="24"/>
        </w:rPr>
      </w:pPr>
      <w:r w:rsidRPr="00475DC9">
        <w:rPr>
          <w:sz w:val="24"/>
          <w:szCs w:val="24"/>
        </w:rPr>
        <w:t>ATC-kode: J02AC01.</w:t>
      </w:r>
    </w:p>
    <w:p w14:paraId="30651C32" w14:textId="77777777" w:rsidR="00016480" w:rsidRPr="00475DC9" w:rsidRDefault="00016480" w:rsidP="001B4015">
      <w:pPr>
        <w:ind w:left="851"/>
        <w:rPr>
          <w:sz w:val="24"/>
          <w:szCs w:val="24"/>
        </w:rPr>
      </w:pPr>
    </w:p>
    <w:p w14:paraId="31F76908" w14:textId="77777777" w:rsidR="00016480" w:rsidRPr="00475DC9" w:rsidRDefault="00016480" w:rsidP="001B4015">
      <w:pPr>
        <w:ind w:left="851"/>
        <w:rPr>
          <w:b/>
          <w:sz w:val="24"/>
          <w:szCs w:val="24"/>
        </w:rPr>
      </w:pPr>
      <w:r w:rsidRPr="00475DC9">
        <w:rPr>
          <w:sz w:val="24"/>
          <w:szCs w:val="24"/>
          <w:u w:val="single"/>
        </w:rPr>
        <w:t>Virkningsmekanisme</w:t>
      </w:r>
      <w:r w:rsidRPr="00475DC9">
        <w:rPr>
          <w:b/>
          <w:sz w:val="24"/>
          <w:szCs w:val="24"/>
        </w:rPr>
        <w:t xml:space="preserve"> </w:t>
      </w:r>
    </w:p>
    <w:p w14:paraId="7B851A97" w14:textId="312F5508" w:rsidR="00016480" w:rsidRPr="00475DC9" w:rsidRDefault="00016480" w:rsidP="001B4015">
      <w:pPr>
        <w:ind w:left="851"/>
        <w:rPr>
          <w:sz w:val="24"/>
          <w:szCs w:val="24"/>
        </w:rPr>
      </w:pPr>
      <w:r w:rsidRPr="00475DC9">
        <w:rPr>
          <w:sz w:val="24"/>
          <w:szCs w:val="24"/>
        </w:rPr>
        <w:t xml:space="preserve">Fluconazol er et triazol-antimykotikum. Den primære virkningsmekanisme er hæmning af fungal cytochrom P450-medieret 14-alfa-lanosteroldemethylering, der er et vigtigt trin i svampenes ergosterolbiosyntese. Akkumulering af 14-alfa-methylsteroler korrelerer med det efterfølgende tab af ergosterol i svampens cellemembran og kan være ansvarlig for den den antimykotiske virkning af fluconazol. Det er blevet påvist, at fluconazol er mere selektiv for fungale cytochrom P450-enzymsystemer end for forskellige mammale cytochrom P450-enzymsystemer. </w:t>
      </w:r>
    </w:p>
    <w:p w14:paraId="3C5A0605" w14:textId="77777777" w:rsidR="00016480" w:rsidRPr="00475DC9" w:rsidRDefault="00016480" w:rsidP="001B4015">
      <w:pPr>
        <w:ind w:left="851"/>
        <w:rPr>
          <w:sz w:val="24"/>
          <w:szCs w:val="24"/>
        </w:rPr>
      </w:pPr>
    </w:p>
    <w:p w14:paraId="64A5CEB2" w14:textId="77777777" w:rsidR="00016480" w:rsidRPr="00475DC9" w:rsidRDefault="00016480" w:rsidP="001B4015">
      <w:pPr>
        <w:ind w:left="851"/>
        <w:rPr>
          <w:sz w:val="24"/>
          <w:szCs w:val="24"/>
        </w:rPr>
      </w:pPr>
      <w:r w:rsidRPr="00475DC9">
        <w:rPr>
          <w:sz w:val="24"/>
          <w:szCs w:val="24"/>
        </w:rPr>
        <w:t xml:space="preserve">Det er blevet påvist, at fluconazol 50 mg dagligt i op til 28 dage hverken påvirker plasma-testosteron hos mænd eller steroidkoncentrationen hos kvinder i den fertile alder. Fluconazol 200-400 mg dagligt har ingen klinisk signifikant effekt på endogene steroidniveauer eller på ACTH-stimuleret respons hos raske, mandlige, frivillige forsøgspersoner. Interaktionsforsøg med antipyrin tyder på, at enkeltdosis eller gentagne doser af fluconazol 50 mg ikke påvirker dets metabolisme. </w:t>
      </w:r>
    </w:p>
    <w:p w14:paraId="47F77D8C" w14:textId="77777777" w:rsidR="00016480" w:rsidRPr="00475DC9" w:rsidRDefault="00016480" w:rsidP="001B4015">
      <w:pPr>
        <w:ind w:left="851"/>
        <w:rPr>
          <w:sz w:val="24"/>
          <w:szCs w:val="24"/>
        </w:rPr>
      </w:pPr>
    </w:p>
    <w:p w14:paraId="7C983980" w14:textId="77777777" w:rsidR="00016480" w:rsidRPr="00475DC9" w:rsidRDefault="00016480" w:rsidP="001B4015">
      <w:pPr>
        <w:ind w:left="851"/>
        <w:rPr>
          <w:b/>
          <w:sz w:val="24"/>
          <w:szCs w:val="24"/>
        </w:rPr>
      </w:pPr>
      <w:r w:rsidRPr="00475DC9">
        <w:rPr>
          <w:b/>
          <w:sz w:val="24"/>
          <w:szCs w:val="24"/>
        </w:rPr>
        <w:t xml:space="preserve">Følsomhed </w:t>
      </w:r>
      <w:r w:rsidRPr="00475DC9">
        <w:rPr>
          <w:b/>
          <w:i/>
          <w:sz w:val="24"/>
          <w:szCs w:val="24"/>
        </w:rPr>
        <w:t xml:space="preserve">in vitro </w:t>
      </w:r>
    </w:p>
    <w:p w14:paraId="76E2D4F0" w14:textId="77777777" w:rsidR="00016480" w:rsidRPr="00475DC9" w:rsidRDefault="00016480" w:rsidP="001B4015">
      <w:pPr>
        <w:ind w:left="851"/>
        <w:rPr>
          <w:sz w:val="24"/>
          <w:szCs w:val="24"/>
        </w:rPr>
      </w:pPr>
      <w:r w:rsidRPr="00475DC9">
        <w:rPr>
          <w:sz w:val="24"/>
          <w:szCs w:val="24"/>
        </w:rPr>
        <w:t xml:space="preserve">Fluconazol viser </w:t>
      </w:r>
      <w:r w:rsidRPr="00475DC9">
        <w:rPr>
          <w:i/>
          <w:sz w:val="24"/>
          <w:szCs w:val="24"/>
        </w:rPr>
        <w:t xml:space="preserve">in vitro </w:t>
      </w:r>
      <w:r w:rsidRPr="00475DC9">
        <w:rPr>
          <w:sz w:val="24"/>
          <w:szCs w:val="24"/>
        </w:rPr>
        <w:t xml:space="preserve">en antimykotisk aktivitet mod klinisk almindelige </w:t>
      </w:r>
      <w:r w:rsidRPr="00475DC9">
        <w:rPr>
          <w:i/>
          <w:sz w:val="24"/>
          <w:szCs w:val="24"/>
        </w:rPr>
        <w:t>Candida-</w:t>
      </w:r>
      <w:r w:rsidRPr="00475DC9">
        <w:rPr>
          <w:sz w:val="24"/>
          <w:szCs w:val="24"/>
        </w:rPr>
        <w:t xml:space="preserve">arter (herunder </w:t>
      </w:r>
      <w:r w:rsidRPr="00475DC9">
        <w:rPr>
          <w:i/>
          <w:iCs/>
          <w:sz w:val="24"/>
          <w:szCs w:val="24"/>
        </w:rPr>
        <w:t>C. albicans, C. parapsilosis, C. tropicalis</w:t>
      </w:r>
      <w:r w:rsidRPr="00475DC9">
        <w:rPr>
          <w:sz w:val="24"/>
          <w:szCs w:val="24"/>
        </w:rPr>
        <w:t>).</w:t>
      </w:r>
      <w:r w:rsidRPr="00475DC9">
        <w:rPr>
          <w:i/>
          <w:sz w:val="24"/>
          <w:szCs w:val="24"/>
        </w:rPr>
        <w:t xml:space="preserve"> </w:t>
      </w:r>
      <w:r w:rsidRPr="00475DC9">
        <w:rPr>
          <w:i/>
          <w:iCs/>
          <w:sz w:val="24"/>
          <w:szCs w:val="24"/>
        </w:rPr>
        <w:t>C. glabrata</w:t>
      </w:r>
      <w:r w:rsidRPr="00475DC9">
        <w:rPr>
          <w:sz w:val="24"/>
          <w:szCs w:val="24"/>
        </w:rPr>
        <w:t xml:space="preserve"> udviser nedsat følsomhed over for fluconazol, hvorimod </w:t>
      </w:r>
      <w:r w:rsidRPr="00475DC9">
        <w:rPr>
          <w:i/>
          <w:iCs/>
          <w:sz w:val="24"/>
          <w:szCs w:val="24"/>
        </w:rPr>
        <w:t>C. krusei</w:t>
      </w:r>
      <w:r w:rsidRPr="00475DC9">
        <w:rPr>
          <w:sz w:val="24"/>
          <w:szCs w:val="24"/>
        </w:rPr>
        <w:t xml:space="preserve"> og </w:t>
      </w:r>
      <w:r w:rsidRPr="00475DC9">
        <w:rPr>
          <w:i/>
          <w:iCs/>
          <w:sz w:val="24"/>
          <w:szCs w:val="24"/>
        </w:rPr>
        <w:t>C. auris</w:t>
      </w:r>
      <w:r w:rsidRPr="00475DC9">
        <w:rPr>
          <w:sz w:val="24"/>
          <w:szCs w:val="24"/>
        </w:rPr>
        <w:t xml:space="preserve"> er resistente over for fluconazol. </w:t>
      </w:r>
      <w:bookmarkStart w:id="11" w:name="_Hlk147327493"/>
      <w:r w:rsidRPr="00475DC9">
        <w:rPr>
          <w:sz w:val="24"/>
          <w:szCs w:val="24"/>
        </w:rPr>
        <w:t xml:space="preserve">Fluconazols mindste hæmmende koncentration (MIC) og epidemiologiske cut off-værdi (ECOFF) for </w:t>
      </w:r>
      <w:r w:rsidRPr="00475DC9">
        <w:rPr>
          <w:i/>
          <w:iCs/>
          <w:sz w:val="24"/>
          <w:szCs w:val="24"/>
        </w:rPr>
        <w:t>C. guilliermondii</w:t>
      </w:r>
      <w:r w:rsidRPr="00475DC9">
        <w:rPr>
          <w:sz w:val="24"/>
          <w:szCs w:val="24"/>
        </w:rPr>
        <w:t xml:space="preserve"> er højere end for </w:t>
      </w:r>
      <w:r w:rsidRPr="00475DC9">
        <w:rPr>
          <w:i/>
          <w:iCs/>
          <w:sz w:val="24"/>
          <w:szCs w:val="24"/>
        </w:rPr>
        <w:t>C. albicans</w:t>
      </w:r>
      <w:r w:rsidRPr="00475DC9">
        <w:rPr>
          <w:sz w:val="24"/>
          <w:szCs w:val="24"/>
        </w:rPr>
        <w:t xml:space="preserve">. </w:t>
      </w:r>
      <w:bookmarkEnd w:id="11"/>
    </w:p>
    <w:p w14:paraId="770FFBB0" w14:textId="77777777" w:rsidR="00016480" w:rsidRPr="00475DC9" w:rsidRDefault="00016480" w:rsidP="001B4015">
      <w:pPr>
        <w:ind w:left="851"/>
        <w:rPr>
          <w:sz w:val="24"/>
          <w:szCs w:val="24"/>
        </w:rPr>
      </w:pPr>
    </w:p>
    <w:p w14:paraId="3B377C8F" w14:textId="77777777" w:rsidR="00016480" w:rsidRPr="00475DC9" w:rsidRDefault="00016480" w:rsidP="001B4015">
      <w:pPr>
        <w:ind w:left="851"/>
        <w:rPr>
          <w:sz w:val="24"/>
          <w:szCs w:val="24"/>
        </w:rPr>
      </w:pPr>
      <w:r w:rsidRPr="00475DC9">
        <w:rPr>
          <w:sz w:val="24"/>
          <w:szCs w:val="24"/>
        </w:rPr>
        <w:t xml:space="preserve">Fluconazol viser også aktivitet mod </w:t>
      </w:r>
      <w:r w:rsidRPr="00475DC9">
        <w:rPr>
          <w:i/>
          <w:iCs/>
          <w:sz w:val="24"/>
          <w:szCs w:val="24"/>
        </w:rPr>
        <w:t>Cryptococcus neoformans</w:t>
      </w:r>
      <w:r w:rsidRPr="00475DC9">
        <w:rPr>
          <w:sz w:val="24"/>
          <w:szCs w:val="24"/>
        </w:rPr>
        <w:t xml:space="preserve"> og </w:t>
      </w:r>
      <w:r w:rsidRPr="00475DC9">
        <w:rPr>
          <w:i/>
          <w:iCs/>
          <w:sz w:val="24"/>
          <w:szCs w:val="24"/>
        </w:rPr>
        <w:t>Cryptococcus gatti</w:t>
      </w:r>
      <w:r w:rsidRPr="00475DC9">
        <w:rPr>
          <w:sz w:val="24"/>
          <w:szCs w:val="24"/>
        </w:rPr>
        <w:t xml:space="preserve"> samt de endemiske skimmelsvampe </w:t>
      </w:r>
      <w:r w:rsidRPr="00475DC9">
        <w:rPr>
          <w:i/>
          <w:iCs/>
          <w:sz w:val="24"/>
          <w:szCs w:val="24"/>
        </w:rPr>
        <w:t>Blastomyces dermatitides, Coccidioides immitis, Histoplama capsulatum</w:t>
      </w:r>
      <w:r w:rsidRPr="00475DC9">
        <w:rPr>
          <w:sz w:val="24"/>
          <w:szCs w:val="24"/>
        </w:rPr>
        <w:t xml:space="preserve"> og </w:t>
      </w:r>
      <w:r w:rsidRPr="00475DC9">
        <w:rPr>
          <w:i/>
          <w:iCs/>
          <w:sz w:val="24"/>
          <w:szCs w:val="24"/>
        </w:rPr>
        <w:t>Paracoccidioides brasiliensis.</w:t>
      </w:r>
      <w:r w:rsidRPr="00475DC9">
        <w:rPr>
          <w:sz w:val="24"/>
          <w:szCs w:val="24"/>
        </w:rPr>
        <w:t xml:space="preserve"> </w:t>
      </w:r>
    </w:p>
    <w:p w14:paraId="5AB249E5" w14:textId="77777777" w:rsidR="00016480" w:rsidRPr="00475DC9" w:rsidRDefault="00016480" w:rsidP="001B4015">
      <w:pPr>
        <w:ind w:left="851"/>
        <w:rPr>
          <w:sz w:val="24"/>
          <w:szCs w:val="24"/>
        </w:rPr>
      </w:pPr>
    </w:p>
    <w:p w14:paraId="04C9CF21" w14:textId="77777777" w:rsidR="00016480" w:rsidRPr="00475DC9" w:rsidRDefault="00016480" w:rsidP="001B4015">
      <w:pPr>
        <w:ind w:left="851"/>
        <w:rPr>
          <w:b/>
          <w:sz w:val="24"/>
          <w:szCs w:val="24"/>
        </w:rPr>
      </w:pPr>
      <w:r w:rsidRPr="00475DC9">
        <w:rPr>
          <w:b/>
          <w:sz w:val="24"/>
          <w:szCs w:val="24"/>
        </w:rPr>
        <w:t xml:space="preserve">Farmakokinetiske/farmakodynamiske forhold </w:t>
      </w:r>
    </w:p>
    <w:p w14:paraId="4D1BDEE8" w14:textId="77777777" w:rsidR="00016480" w:rsidRPr="00475DC9" w:rsidRDefault="00016480" w:rsidP="001B4015">
      <w:pPr>
        <w:ind w:left="851"/>
        <w:rPr>
          <w:sz w:val="24"/>
          <w:szCs w:val="24"/>
        </w:rPr>
      </w:pPr>
      <w:r w:rsidRPr="00475DC9">
        <w:rPr>
          <w:sz w:val="24"/>
          <w:szCs w:val="24"/>
        </w:rPr>
        <w:t xml:space="preserve">Der er i dyreforsøg set korrelation mellem mindste hæmmende koncentrationsværdier (MIC) og effekt over for eksperimentelle mykoser pga. </w:t>
      </w:r>
      <w:r w:rsidRPr="00475DC9">
        <w:rPr>
          <w:i/>
          <w:iCs/>
          <w:sz w:val="24"/>
          <w:szCs w:val="24"/>
        </w:rPr>
        <w:t>Candida spp</w:t>
      </w:r>
      <w:r w:rsidRPr="00475DC9">
        <w:rPr>
          <w:sz w:val="24"/>
          <w:szCs w:val="24"/>
        </w:rPr>
        <w:t xml:space="preserve">. I kliniske forsøg er der en næsten 1:1 lineær sammenhæng mellem AUC og fluconazol-dosis. Der er også en direkte, men ufuldkommen sammenhæng mellem AUC eller dosis og en positiv klinisk respons på behandling af oral candidiasis og i mindre grad candidæmi. Ligeledes kureres i mindre grad infektioner forårsaget af stammer med en højere fluconazol MIC. </w:t>
      </w:r>
    </w:p>
    <w:p w14:paraId="414353C8" w14:textId="3678D33D" w:rsidR="00191625" w:rsidRDefault="00191625">
      <w:pPr>
        <w:rPr>
          <w:sz w:val="24"/>
          <w:szCs w:val="24"/>
        </w:rPr>
      </w:pPr>
      <w:r>
        <w:rPr>
          <w:sz w:val="24"/>
          <w:szCs w:val="24"/>
        </w:rPr>
        <w:br w:type="page"/>
      </w:r>
    </w:p>
    <w:p w14:paraId="544C93C4" w14:textId="77777777" w:rsidR="00016480" w:rsidRPr="00475DC9" w:rsidRDefault="00016480" w:rsidP="001B4015">
      <w:pPr>
        <w:ind w:left="851"/>
        <w:rPr>
          <w:sz w:val="24"/>
          <w:szCs w:val="24"/>
        </w:rPr>
      </w:pPr>
    </w:p>
    <w:p w14:paraId="4EF1EFE7" w14:textId="77777777" w:rsidR="00016480" w:rsidRPr="00475DC9" w:rsidRDefault="00016480" w:rsidP="001B4015">
      <w:pPr>
        <w:ind w:left="851"/>
        <w:rPr>
          <w:b/>
          <w:sz w:val="24"/>
          <w:szCs w:val="24"/>
        </w:rPr>
      </w:pPr>
      <w:r w:rsidRPr="00475DC9">
        <w:rPr>
          <w:b/>
          <w:sz w:val="24"/>
          <w:szCs w:val="24"/>
        </w:rPr>
        <w:t xml:space="preserve">Resistensmekanismer </w:t>
      </w:r>
    </w:p>
    <w:p w14:paraId="328D5F5D" w14:textId="77777777" w:rsidR="00016480" w:rsidRPr="00475DC9" w:rsidRDefault="00016480" w:rsidP="001B4015">
      <w:pPr>
        <w:ind w:left="851"/>
        <w:rPr>
          <w:sz w:val="24"/>
          <w:szCs w:val="24"/>
        </w:rPr>
      </w:pPr>
      <w:r w:rsidRPr="00475DC9">
        <w:rPr>
          <w:i/>
          <w:iCs/>
          <w:sz w:val="24"/>
          <w:szCs w:val="24"/>
        </w:rPr>
        <w:t>Candida spp</w:t>
      </w:r>
      <w:r w:rsidRPr="00475DC9">
        <w:rPr>
          <w:sz w:val="24"/>
          <w:szCs w:val="24"/>
        </w:rPr>
        <w:t xml:space="preserve"> har udviklet et antal resistensmekanismer mod azol-antimykotika. Svampearter, som har udviklet en eller flere resistensmekanismer, er kendte for at udvise høje mindste hæmmende koncentrationsværdier (MIC) over for fluconazol. Dette påvirker effekten </w:t>
      </w:r>
      <w:r w:rsidRPr="00475DC9">
        <w:rPr>
          <w:i/>
          <w:iCs/>
          <w:sz w:val="24"/>
          <w:szCs w:val="24"/>
        </w:rPr>
        <w:t>in vivo</w:t>
      </w:r>
      <w:r w:rsidRPr="00475DC9">
        <w:rPr>
          <w:sz w:val="24"/>
          <w:szCs w:val="24"/>
        </w:rPr>
        <w:t xml:space="preserve"> og klinisk negativt. </w:t>
      </w:r>
    </w:p>
    <w:p w14:paraId="74904295" w14:textId="77777777" w:rsidR="00016480" w:rsidRPr="00475DC9" w:rsidRDefault="00016480" w:rsidP="001B4015">
      <w:pPr>
        <w:ind w:left="851"/>
        <w:rPr>
          <w:sz w:val="24"/>
          <w:szCs w:val="24"/>
        </w:rPr>
      </w:pPr>
    </w:p>
    <w:p w14:paraId="5D573920" w14:textId="77777777" w:rsidR="00016480" w:rsidRPr="00475DC9" w:rsidRDefault="00016480" w:rsidP="001B4015">
      <w:pPr>
        <w:ind w:left="851"/>
        <w:rPr>
          <w:sz w:val="24"/>
          <w:szCs w:val="24"/>
        </w:rPr>
      </w:pPr>
      <w:r w:rsidRPr="00475DC9">
        <w:rPr>
          <w:sz w:val="24"/>
          <w:szCs w:val="24"/>
        </w:rPr>
        <w:t xml:space="preserve">Hos de almindeligvis følsomme arter af </w:t>
      </w:r>
      <w:r w:rsidRPr="00475DC9">
        <w:rPr>
          <w:i/>
          <w:iCs/>
          <w:sz w:val="24"/>
          <w:szCs w:val="24"/>
        </w:rPr>
        <w:t>Candida</w:t>
      </w:r>
      <w:r w:rsidRPr="00475DC9">
        <w:rPr>
          <w:sz w:val="24"/>
          <w:szCs w:val="24"/>
        </w:rPr>
        <w:t xml:space="preserve"> omfatter den oftest forekommende resistensmekanisme målenzymerne for azolerne, som er ansvarlige for ergosterolbiosyntesen. Resistens kan være forårsaget af mutation, øget enzymproduktion, lægemiddel-efflux mekanismer eller udvikling af kompenserende pathways.</w:t>
      </w:r>
    </w:p>
    <w:p w14:paraId="76376926" w14:textId="77777777" w:rsidR="00016480" w:rsidRPr="00475DC9" w:rsidRDefault="00016480" w:rsidP="001B4015">
      <w:pPr>
        <w:ind w:left="851"/>
        <w:rPr>
          <w:sz w:val="24"/>
          <w:szCs w:val="24"/>
        </w:rPr>
      </w:pPr>
    </w:p>
    <w:p w14:paraId="46C9BF8E" w14:textId="77777777" w:rsidR="00016480" w:rsidRPr="00475DC9" w:rsidRDefault="00016480" w:rsidP="001B4015">
      <w:pPr>
        <w:ind w:left="851"/>
        <w:rPr>
          <w:sz w:val="24"/>
          <w:szCs w:val="24"/>
        </w:rPr>
      </w:pPr>
      <w:r w:rsidRPr="00475DC9">
        <w:rPr>
          <w:sz w:val="24"/>
          <w:szCs w:val="24"/>
        </w:rPr>
        <w:t xml:space="preserve">Der har været indberetninger om superinfektion med andre </w:t>
      </w:r>
      <w:r w:rsidRPr="00475DC9">
        <w:rPr>
          <w:i/>
          <w:iCs/>
          <w:sz w:val="24"/>
          <w:szCs w:val="24"/>
        </w:rPr>
        <w:t>Candida</w:t>
      </w:r>
      <w:r w:rsidRPr="00475DC9">
        <w:rPr>
          <w:sz w:val="24"/>
          <w:szCs w:val="24"/>
        </w:rPr>
        <w:t xml:space="preserve">-arter end </w:t>
      </w:r>
      <w:r w:rsidRPr="00475DC9">
        <w:rPr>
          <w:i/>
          <w:iCs/>
          <w:sz w:val="24"/>
          <w:szCs w:val="24"/>
        </w:rPr>
        <w:t>C. albicans</w:t>
      </w:r>
      <w:r w:rsidRPr="00475DC9">
        <w:rPr>
          <w:sz w:val="24"/>
          <w:szCs w:val="24"/>
        </w:rPr>
        <w:t>, som ofte har naturligt nedsat følsomhed (</w:t>
      </w:r>
      <w:r w:rsidRPr="00475DC9">
        <w:rPr>
          <w:i/>
          <w:iCs/>
          <w:sz w:val="24"/>
          <w:szCs w:val="24"/>
        </w:rPr>
        <w:t>C. glabrata</w:t>
      </w:r>
      <w:r w:rsidRPr="00475DC9">
        <w:rPr>
          <w:sz w:val="24"/>
          <w:szCs w:val="24"/>
        </w:rPr>
        <w:t xml:space="preserve">) eller resistens over for fluconazol (f.eks. </w:t>
      </w:r>
      <w:r w:rsidRPr="00475DC9">
        <w:rPr>
          <w:i/>
          <w:iCs/>
          <w:sz w:val="24"/>
          <w:szCs w:val="24"/>
        </w:rPr>
        <w:t>C. krusei, C. auris</w:t>
      </w:r>
      <w:r w:rsidRPr="00475DC9">
        <w:rPr>
          <w:sz w:val="24"/>
          <w:szCs w:val="24"/>
        </w:rPr>
        <w:t>).  Sådanne infektioner kan nødvendiggøre anden antimykotisk behandling. Resistensmekanismerne er ikke fuldt belyst for nogle af de intrinsic resistente (</w:t>
      </w:r>
      <w:r w:rsidRPr="00475DC9">
        <w:rPr>
          <w:i/>
          <w:iCs/>
          <w:sz w:val="24"/>
          <w:szCs w:val="24"/>
        </w:rPr>
        <w:t>C. krusei</w:t>
      </w:r>
      <w:r w:rsidRPr="00475DC9">
        <w:rPr>
          <w:sz w:val="24"/>
          <w:szCs w:val="24"/>
        </w:rPr>
        <w:t>) eller nye (</w:t>
      </w:r>
      <w:r w:rsidRPr="00475DC9">
        <w:rPr>
          <w:i/>
          <w:iCs/>
          <w:sz w:val="24"/>
          <w:szCs w:val="24"/>
        </w:rPr>
        <w:t>C. auris</w:t>
      </w:r>
      <w:r w:rsidRPr="00475DC9">
        <w:rPr>
          <w:sz w:val="24"/>
          <w:szCs w:val="24"/>
        </w:rPr>
        <w:t xml:space="preserve">) arter af </w:t>
      </w:r>
      <w:r w:rsidRPr="00475DC9">
        <w:rPr>
          <w:i/>
          <w:iCs/>
          <w:sz w:val="24"/>
          <w:szCs w:val="24"/>
        </w:rPr>
        <w:t>Candida.</w:t>
      </w:r>
    </w:p>
    <w:p w14:paraId="44C68207" w14:textId="77777777" w:rsidR="00016480" w:rsidRPr="00475DC9" w:rsidRDefault="00016480" w:rsidP="001B4015">
      <w:pPr>
        <w:ind w:left="851"/>
        <w:rPr>
          <w:sz w:val="24"/>
          <w:szCs w:val="24"/>
        </w:rPr>
      </w:pPr>
    </w:p>
    <w:p w14:paraId="0E771F69" w14:textId="77777777" w:rsidR="00016480" w:rsidRPr="00475DC9" w:rsidRDefault="00016480" w:rsidP="001B4015">
      <w:pPr>
        <w:ind w:left="851"/>
        <w:rPr>
          <w:b/>
          <w:sz w:val="24"/>
          <w:szCs w:val="24"/>
          <w:lang w:val="en-US"/>
        </w:rPr>
      </w:pPr>
      <w:r w:rsidRPr="00475DC9">
        <w:rPr>
          <w:b/>
          <w:sz w:val="24"/>
          <w:szCs w:val="24"/>
          <w:lang w:val="en-US"/>
        </w:rPr>
        <w:t xml:space="preserve">EUCAST BREAKPOINTS </w:t>
      </w:r>
    </w:p>
    <w:p w14:paraId="0AFCC2F5" w14:textId="77777777" w:rsidR="00016480" w:rsidRPr="00475DC9" w:rsidRDefault="00016480" w:rsidP="001B4015">
      <w:pPr>
        <w:ind w:left="851"/>
        <w:rPr>
          <w:sz w:val="24"/>
          <w:szCs w:val="24"/>
        </w:rPr>
      </w:pPr>
      <w:r w:rsidRPr="00475DC9">
        <w:rPr>
          <w:sz w:val="24"/>
          <w:szCs w:val="24"/>
          <w:lang w:val="en-US"/>
        </w:rPr>
        <w:t xml:space="preserve">Baseret på analyser af farmakokinetiske/farmakodynamiske data (PK/PD), følsomheden </w:t>
      </w:r>
      <w:r w:rsidRPr="00475DC9">
        <w:rPr>
          <w:i/>
          <w:iCs/>
          <w:sz w:val="24"/>
          <w:szCs w:val="24"/>
          <w:lang w:val="en-US"/>
        </w:rPr>
        <w:t>in vitro</w:t>
      </w:r>
      <w:r w:rsidRPr="00475DC9">
        <w:rPr>
          <w:sz w:val="24"/>
          <w:szCs w:val="24"/>
          <w:lang w:val="en-US"/>
        </w:rPr>
        <w:t xml:space="preserve"> og klinisk respons har EUCAST-AFST (European Committee on Antimicrobial Susceptibility Testing Subcommittee on Antifungal Susceptibility Testing) fastlagt breakpoints for fluconazol for </w:t>
      </w:r>
      <w:r w:rsidRPr="00475DC9">
        <w:rPr>
          <w:i/>
          <w:iCs/>
          <w:sz w:val="24"/>
          <w:szCs w:val="24"/>
          <w:lang w:val="en-US"/>
        </w:rPr>
        <w:t>andida</w:t>
      </w:r>
      <w:r w:rsidRPr="00475DC9">
        <w:rPr>
          <w:sz w:val="24"/>
          <w:szCs w:val="24"/>
          <w:lang w:val="en-US"/>
        </w:rPr>
        <w:t xml:space="preserve">-arter (EUCAST Fluconazol rationale document (2020)-version 3; European Committee on Antimicrobial Susceptibility Testing, Antifungal Agents, Breakpoint tables for interpretation of MICs, version 10.0, gældende fra 2020-02-04). </w:t>
      </w:r>
      <w:r w:rsidRPr="00475DC9">
        <w:rPr>
          <w:sz w:val="24"/>
          <w:szCs w:val="24"/>
        </w:rPr>
        <w:t>Disse er blevet delt op i ikke-artsrelaterede breakpoints, som primært er fastlagt på baggrund af PK/PD-data og er uafhængige af MIC-fordelingen hos specifikke arter, og i artsrelaterede breakpoints for de arter, som hyppigst er forbundet med infektion hos mennesker. Disse breakpoints er angivet i tabellen nedenfor:</w:t>
      </w:r>
    </w:p>
    <w:p w14:paraId="1DCFF33E" w14:textId="77777777" w:rsidR="00016480" w:rsidRPr="00475DC9" w:rsidRDefault="00016480" w:rsidP="001B4015">
      <w:pPr>
        <w:ind w:left="851"/>
        <w:rPr>
          <w:sz w:val="24"/>
          <w:szCs w:val="24"/>
        </w:rPr>
      </w:pPr>
    </w:p>
    <w:tbl>
      <w:tblPr>
        <w:tblpPr w:leftFromText="141" w:rightFromText="141" w:vertAnchor="text" w:horzAnchor="margin" w:tblpX="216" w:tblpY="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995"/>
        <w:gridCol w:w="1315"/>
        <w:gridCol w:w="1103"/>
        <w:gridCol w:w="995"/>
        <w:gridCol w:w="1326"/>
        <w:gridCol w:w="1089"/>
        <w:gridCol w:w="1583"/>
      </w:tblGrid>
      <w:tr w:rsidR="00016480" w:rsidRPr="005A3C14" w14:paraId="5FEB2B63" w14:textId="77777777" w:rsidTr="001B4015">
        <w:tc>
          <w:tcPr>
            <w:tcW w:w="641" w:type="pct"/>
            <w:tcBorders>
              <w:top w:val="single" w:sz="4" w:space="0" w:color="auto"/>
              <w:left w:val="single" w:sz="4" w:space="0" w:color="auto"/>
              <w:bottom w:val="single" w:sz="4" w:space="0" w:color="auto"/>
              <w:right w:val="single" w:sz="4" w:space="0" w:color="auto"/>
            </w:tcBorders>
            <w:hideMark/>
          </w:tcPr>
          <w:p w14:paraId="4DB35AE1" w14:textId="77777777" w:rsidR="00016480" w:rsidRPr="005A3C14" w:rsidRDefault="00016480">
            <w:pPr>
              <w:rPr>
                <w:b/>
                <w:sz w:val="22"/>
                <w:szCs w:val="22"/>
                <w:lang w:bidi="he-IL"/>
              </w:rPr>
            </w:pPr>
            <w:r w:rsidRPr="005A3C14">
              <w:rPr>
                <w:b/>
                <w:sz w:val="22"/>
                <w:szCs w:val="22"/>
                <w:lang w:bidi="he-IL"/>
              </w:rPr>
              <w:t>Anti</w:t>
            </w:r>
            <w:r w:rsidRPr="005A3C14">
              <w:rPr>
                <w:b/>
                <w:sz w:val="22"/>
                <w:szCs w:val="22"/>
                <w:lang w:bidi="he-IL"/>
              </w:rPr>
              <w:softHyphen/>
              <w:t>mykoti</w:t>
            </w:r>
            <w:r w:rsidRPr="005A3C14">
              <w:rPr>
                <w:b/>
                <w:sz w:val="22"/>
                <w:szCs w:val="22"/>
                <w:lang w:bidi="he-IL"/>
              </w:rPr>
              <w:softHyphen/>
              <w:t>kum</w:t>
            </w:r>
          </w:p>
        </w:tc>
        <w:tc>
          <w:tcPr>
            <w:tcW w:w="3531" w:type="pct"/>
            <w:gridSpan w:val="6"/>
            <w:tcBorders>
              <w:top w:val="single" w:sz="4" w:space="0" w:color="auto"/>
              <w:left w:val="single" w:sz="4" w:space="0" w:color="auto"/>
              <w:bottom w:val="single" w:sz="4" w:space="0" w:color="auto"/>
              <w:right w:val="single" w:sz="4" w:space="0" w:color="auto"/>
            </w:tcBorders>
            <w:hideMark/>
          </w:tcPr>
          <w:p w14:paraId="74B23CE8" w14:textId="77777777" w:rsidR="00016480" w:rsidRPr="005A3C14" w:rsidRDefault="00016480">
            <w:pPr>
              <w:rPr>
                <w:b/>
                <w:sz w:val="22"/>
                <w:szCs w:val="22"/>
                <w:lang w:bidi="he-IL"/>
              </w:rPr>
            </w:pPr>
            <w:r w:rsidRPr="005A3C14">
              <w:rPr>
                <w:b/>
                <w:sz w:val="22"/>
                <w:szCs w:val="22"/>
                <w:lang w:bidi="he-IL"/>
              </w:rPr>
              <w:t>Artsrelaterede grænseværdier i mg/mL (S</w:t>
            </w:r>
            <w:r w:rsidRPr="005A3C14">
              <w:rPr>
                <w:rFonts w:eastAsia="Symbol"/>
                <w:b/>
                <w:sz w:val="22"/>
                <w:szCs w:val="22"/>
                <w:lang w:bidi="he-IL"/>
              </w:rPr>
              <w:t></w:t>
            </w:r>
            <w:r w:rsidRPr="005A3C14">
              <w:rPr>
                <w:b/>
                <w:sz w:val="22"/>
                <w:szCs w:val="22"/>
                <w:lang w:bidi="he-IL"/>
              </w:rPr>
              <w:t xml:space="preserve">/R&gt;) </w:t>
            </w:r>
          </w:p>
        </w:tc>
        <w:tc>
          <w:tcPr>
            <w:tcW w:w="828" w:type="pct"/>
            <w:tcBorders>
              <w:top w:val="single" w:sz="4" w:space="0" w:color="auto"/>
              <w:left w:val="single" w:sz="4" w:space="0" w:color="auto"/>
              <w:bottom w:val="single" w:sz="4" w:space="0" w:color="auto"/>
              <w:right w:val="single" w:sz="4" w:space="0" w:color="auto"/>
            </w:tcBorders>
            <w:hideMark/>
          </w:tcPr>
          <w:p w14:paraId="74D781F2" w14:textId="77777777" w:rsidR="00016480" w:rsidRPr="005A3C14" w:rsidRDefault="00016480">
            <w:pPr>
              <w:rPr>
                <w:b/>
                <w:sz w:val="22"/>
                <w:szCs w:val="22"/>
                <w:lang w:bidi="he-IL"/>
              </w:rPr>
            </w:pPr>
            <w:r w:rsidRPr="005A3C14">
              <w:rPr>
                <w:b/>
                <w:sz w:val="22"/>
                <w:szCs w:val="22"/>
                <w:lang w:bidi="he-IL"/>
              </w:rPr>
              <w:t>Ikke-artsrelaterede grænse</w:t>
            </w:r>
            <w:r w:rsidRPr="005A3C14">
              <w:rPr>
                <w:b/>
                <w:sz w:val="22"/>
                <w:szCs w:val="22"/>
                <w:lang w:bidi="he-IL"/>
              </w:rPr>
              <w:softHyphen/>
              <w:t>værdier</w:t>
            </w:r>
            <w:r w:rsidRPr="005A3C14">
              <w:rPr>
                <w:b/>
                <w:sz w:val="22"/>
                <w:szCs w:val="22"/>
                <w:vertAlign w:val="superscript"/>
                <w:lang w:bidi="he-IL"/>
              </w:rPr>
              <w:t>A</w:t>
            </w:r>
          </w:p>
          <w:p w14:paraId="0AA10FE3" w14:textId="586008CB" w:rsidR="00016480" w:rsidRPr="005A3C14" w:rsidRDefault="00016480">
            <w:pPr>
              <w:rPr>
                <w:sz w:val="22"/>
                <w:szCs w:val="22"/>
                <w:lang w:bidi="he-IL"/>
              </w:rPr>
            </w:pPr>
            <w:r w:rsidRPr="005A3C14">
              <w:rPr>
                <w:b/>
                <w:sz w:val="22"/>
                <w:szCs w:val="22"/>
                <w:lang w:bidi="he-IL"/>
              </w:rPr>
              <w:t>S</w:t>
            </w:r>
            <w:r w:rsidR="005A3C14">
              <w:rPr>
                <w:rFonts w:eastAsia="Symbol"/>
                <w:b/>
                <w:sz w:val="22"/>
                <w:szCs w:val="22"/>
                <w:lang w:bidi="he-IL"/>
              </w:rPr>
              <w:t>≤</w:t>
            </w:r>
            <w:r w:rsidRPr="005A3C14">
              <w:rPr>
                <w:b/>
                <w:sz w:val="22"/>
                <w:szCs w:val="22"/>
                <w:lang w:bidi="he-IL"/>
              </w:rPr>
              <w:t>/R&gt; i mg/l</w:t>
            </w:r>
          </w:p>
        </w:tc>
      </w:tr>
      <w:tr w:rsidR="00016480" w:rsidRPr="005A3C14" w14:paraId="227310ED" w14:textId="77777777" w:rsidTr="001B4015">
        <w:tc>
          <w:tcPr>
            <w:tcW w:w="641" w:type="pct"/>
            <w:tcBorders>
              <w:top w:val="single" w:sz="4" w:space="0" w:color="auto"/>
              <w:left w:val="single" w:sz="4" w:space="0" w:color="auto"/>
              <w:bottom w:val="single" w:sz="4" w:space="0" w:color="auto"/>
              <w:right w:val="single" w:sz="4" w:space="0" w:color="auto"/>
            </w:tcBorders>
          </w:tcPr>
          <w:p w14:paraId="5BEC7072" w14:textId="77777777" w:rsidR="00016480" w:rsidRPr="005A3C14" w:rsidRDefault="00016480">
            <w:pPr>
              <w:rPr>
                <w:sz w:val="22"/>
                <w:szCs w:val="22"/>
                <w:lang w:bidi="he-IL"/>
              </w:rPr>
            </w:pPr>
          </w:p>
        </w:tc>
        <w:tc>
          <w:tcPr>
            <w:tcW w:w="523" w:type="pct"/>
            <w:tcBorders>
              <w:top w:val="single" w:sz="4" w:space="0" w:color="auto"/>
              <w:left w:val="single" w:sz="4" w:space="0" w:color="auto"/>
              <w:bottom w:val="single" w:sz="4" w:space="0" w:color="auto"/>
              <w:right w:val="single" w:sz="4" w:space="0" w:color="auto"/>
            </w:tcBorders>
            <w:hideMark/>
          </w:tcPr>
          <w:p w14:paraId="18A2AC71" w14:textId="77777777" w:rsidR="00016480" w:rsidRPr="005A3C14" w:rsidRDefault="00016480">
            <w:pPr>
              <w:rPr>
                <w:sz w:val="22"/>
                <w:szCs w:val="22"/>
                <w:lang w:bidi="he-IL"/>
              </w:rPr>
            </w:pPr>
            <w:r w:rsidRPr="005A3C14">
              <w:rPr>
                <w:i/>
                <w:iCs/>
                <w:sz w:val="22"/>
                <w:szCs w:val="22"/>
                <w:lang w:bidi="he-IL"/>
              </w:rPr>
              <w:t>Candida albicans</w:t>
            </w:r>
          </w:p>
        </w:tc>
        <w:tc>
          <w:tcPr>
            <w:tcW w:w="689" w:type="pct"/>
            <w:tcBorders>
              <w:top w:val="single" w:sz="4" w:space="0" w:color="auto"/>
              <w:left w:val="single" w:sz="4" w:space="0" w:color="auto"/>
              <w:bottom w:val="single" w:sz="4" w:space="0" w:color="auto"/>
              <w:right w:val="single" w:sz="4" w:space="0" w:color="auto"/>
            </w:tcBorders>
            <w:hideMark/>
          </w:tcPr>
          <w:p w14:paraId="33BE3B86" w14:textId="77777777" w:rsidR="00016480" w:rsidRPr="005A3C14" w:rsidRDefault="00016480">
            <w:pPr>
              <w:tabs>
                <w:tab w:val="left" w:pos="851"/>
              </w:tabs>
              <w:rPr>
                <w:i/>
                <w:sz w:val="22"/>
                <w:szCs w:val="22"/>
                <w:lang w:bidi="he-IL"/>
              </w:rPr>
            </w:pPr>
            <w:r w:rsidRPr="005A3C14">
              <w:rPr>
                <w:i/>
                <w:sz w:val="22"/>
                <w:szCs w:val="22"/>
                <w:lang w:bidi="he-IL"/>
              </w:rPr>
              <w:t>Candida</w:t>
            </w:r>
          </w:p>
          <w:p w14:paraId="23FE60AB" w14:textId="77777777" w:rsidR="00016480" w:rsidRPr="005A3C14" w:rsidRDefault="00016480">
            <w:pPr>
              <w:rPr>
                <w:i/>
                <w:iCs/>
                <w:sz w:val="22"/>
                <w:szCs w:val="22"/>
                <w:lang w:bidi="he-IL"/>
              </w:rPr>
            </w:pPr>
            <w:r w:rsidRPr="005A3C14">
              <w:rPr>
                <w:i/>
                <w:sz w:val="22"/>
                <w:szCs w:val="22"/>
                <w:lang w:bidi="he-IL"/>
              </w:rPr>
              <w:t>dubliniensis</w:t>
            </w:r>
          </w:p>
        </w:tc>
        <w:tc>
          <w:tcPr>
            <w:tcW w:w="530" w:type="pct"/>
            <w:tcBorders>
              <w:top w:val="single" w:sz="4" w:space="0" w:color="auto"/>
              <w:left w:val="single" w:sz="4" w:space="0" w:color="auto"/>
              <w:bottom w:val="single" w:sz="4" w:space="0" w:color="auto"/>
              <w:right w:val="single" w:sz="4" w:space="0" w:color="auto"/>
            </w:tcBorders>
            <w:hideMark/>
          </w:tcPr>
          <w:p w14:paraId="70CF438E" w14:textId="77777777" w:rsidR="00016480" w:rsidRPr="005A3C14" w:rsidRDefault="00016480">
            <w:pPr>
              <w:rPr>
                <w:sz w:val="22"/>
                <w:szCs w:val="22"/>
                <w:lang w:bidi="he-IL"/>
              </w:rPr>
            </w:pPr>
            <w:r w:rsidRPr="005A3C14">
              <w:rPr>
                <w:i/>
                <w:iCs/>
                <w:sz w:val="22"/>
                <w:szCs w:val="22"/>
                <w:lang w:bidi="he-IL"/>
              </w:rPr>
              <w:t>Candida glabrata</w:t>
            </w:r>
          </w:p>
        </w:tc>
        <w:tc>
          <w:tcPr>
            <w:tcW w:w="523" w:type="pct"/>
            <w:tcBorders>
              <w:top w:val="single" w:sz="4" w:space="0" w:color="auto"/>
              <w:left w:val="single" w:sz="4" w:space="0" w:color="auto"/>
              <w:bottom w:val="single" w:sz="4" w:space="0" w:color="auto"/>
              <w:right w:val="single" w:sz="4" w:space="0" w:color="auto"/>
            </w:tcBorders>
            <w:hideMark/>
          </w:tcPr>
          <w:p w14:paraId="5A5F8AB5" w14:textId="77777777" w:rsidR="00016480" w:rsidRPr="005A3C14" w:rsidRDefault="00016480">
            <w:pPr>
              <w:rPr>
                <w:sz w:val="22"/>
                <w:szCs w:val="22"/>
                <w:lang w:bidi="he-IL"/>
              </w:rPr>
            </w:pPr>
            <w:r w:rsidRPr="005A3C14">
              <w:rPr>
                <w:i/>
                <w:iCs/>
                <w:sz w:val="22"/>
                <w:szCs w:val="22"/>
                <w:lang w:bidi="he-IL"/>
              </w:rPr>
              <w:t>Candida krusei</w:t>
            </w:r>
          </w:p>
        </w:tc>
        <w:tc>
          <w:tcPr>
            <w:tcW w:w="695" w:type="pct"/>
            <w:tcBorders>
              <w:top w:val="single" w:sz="4" w:space="0" w:color="auto"/>
              <w:left w:val="single" w:sz="4" w:space="0" w:color="auto"/>
              <w:bottom w:val="single" w:sz="4" w:space="0" w:color="auto"/>
              <w:right w:val="single" w:sz="4" w:space="0" w:color="auto"/>
            </w:tcBorders>
            <w:hideMark/>
          </w:tcPr>
          <w:p w14:paraId="1E591FCB" w14:textId="77777777" w:rsidR="00016480" w:rsidRPr="005A3C14" w:rsidRDefault="00016480">
            <w:pPr>
              <w:rPr>
                <w:sz w:val="22"/>
                <w:szCs w:val="22"/>
                <w:lang w:bidi="he-IL"/>
              </w:rPr>
            </w:pPr>
            <w:r w:rsidRPr="005A3C14">
              <w:rPr>
                <w:i/>
                <w:iCs/>
                <w:sz w:val="22"/>
                <w:szCs w:val="22"/>
                <w:lang w:bidi="he-IL"/>
              </w:rPr>
              <w:t>Candida parapsilosis</w:t>
            </w:r>
          </w:p>
        </w:tc>
        <w:tc>
          <w:tcPr>
            <w:tcW w:w="570" w:type="pct"/>
            <w:tcBorders>
              <w:top w:val="single" w:sz="4" w:space="0" w:color="auto"/>
              <w:left w:val="single" w:sz="4" w:space="0" w:color="auto"/>
              <w:bottom w:val="single" w:sz="4" w:space="0" w:color="auto"/>
              <w:right w:val="single" w:sz="4" w:space="0" w:color="auto"/>
            </w:tcBorders>
            <w:hideMark/>
          </w:tcPr>
          <w:p w14:paraId="5C2560A6" w14:textId="77777777" w:rsidR="00016480" w:rsidRPr="005A3C14" w:rsidRDefault="00016480">
            <w:pPr>
              <w:rPr>
                <w:sz w:val="22"/>
                <w:szCs w:val="22"/>
                <w:lang w:bidi="he-IL"/>
              </w:rPr>
            </w:pPr>
            <w:r w:rsidRPr="005A3C14">
              <w:rPr>
                <w:i/>
                <w:iCs/>
                <w:sz w:val="22"/>
                <w:szCs w:val="22"/>
                <w:lang w:bidi="he-IL"/>
              </w:rPr>
              <w:t>Candida tropicalis</w:t>
            </w:r>
          </w:p>
        </w:tc>
        <w:tc>
          <w:tcPr>
            <w:tcW w:w="828" w:type="pct"/>
            <w:tcBorders>
              <w:top w:val="single" w:sz="4" w:space="0" w:color="auto"/>
              <w:left w:val="single" w:sz="4" w:space="0" w:color="auto"/>
              <w:bottom w:val="single" w:sz="4" w:space="0" w:color="auto"/>
              <w:right w:val="single" w:sz="4" w:space="0" w:color="auto"/>
            </w:tcBorders>
          </w:tcPr>
          <w:p w14:paraId="20F99919" w14:textId="77777777" w:rsidR="00016480" w:rsidRPr="005A3C14" w:rsidRDefault="00016480">
            <w:pPr>
              <w:rPr>
                <w:sz w:val="22"/>
                <w:szCs w:val="22"/>
                <w:lang w:bidi="he-IL"/>
              </w:rPr>
            </w:pPr>
          </w:p>
        </w:tc>
      </w:tr>
      <w:tr w:rsidR="00016480" w:rsidRPr="005A3C14" w14:paraId="2480A4CD" w14:textId="77777777" w:rsidTr="001B4015">
        <w:tc>
          <w:tcPr>
            <w:tcW w:w="641" w:type="pct"/>
            <w:tcBorders>
              <w:top w:val="single" w:sz="4" w:space="0" w:color="auto"/>
              <w:left w:val="single" w:sz="4" w:space="0" w:color="auto"/>
              <w:bottom w:val="single" w:sz="4" w:space="0" w:color="auto"/>
              <w:right w:val="single" w:sz="4" w:space="0" w:color="auto"/>
            </w:tcBorders>
            <w:hideMark/>
          </w:tcPr>
          <w:p w14:paraId="335D1A75" w14:textId="77777777" w:rsidR="00016480" w:rsidRPr="005A3C14" w:rsidRDefault="00016480">
            <w:pPr>
              <w:rPr>
                <w:sz w:val="22"/>
                <w:szCs w:val="22"/>
                <w:lang w:bidi="he-IL"/>
              </w:rPr>
            </w:pPr>
            <w:r w:rsidRPr="005A3C14">
              <w:rPr>
                <w:sz w:val="22"/>
                <w:szCs w:val="22"/>
                <w:lang w:bidi="he-IL"/>
              </w:rPr>
              <w:t>Fluconazol</w:t>
            </w:r>
          </w:p>
        </w:tc>
        <w:tc>
          <w:tcPr>
            <w:tcW w:w="523" w:type="pct"/>
            <w:tcBorders>
              <w:top w:val="single" w:sz="4" w:space="0" w:color="auto"/>
              <w:left w:val="single" w:sz="4" w:space="0" w:color="auto"/>
              <w:bottom w:val="single" w:sz="4" w:space="0" w:color="auto"/>
              <w:right w:val="single" w:sz="4" w:space="0" w:color="auto"/>
            </w:tcBorders>
            <w:hideMark/>
          </w:tcPr>
          <w:p w14:paraId="15CCC37D" w14:textId="77777777" w:rsidR="00016480" w:rsidRPr="005A3C14" w:rsidRDefault="00016480">
            <w:pPr>
              <w:rPr>
                <w:sz w:val="22"/>
                <w:szCs w:val="22"/>
                <w:lang w:bidi="he-IL"/>
              </w:rPr>
            </w:pPr>
            <w:r w:rsidRPr="005A3C14">
              <w:rPr>
                <w:sz w:val="22"/>
                <w:szCs w:val="22"/>
                <w:lang w:bidi="he-IL"/>
              </w:rPr>
              <w:t>2/4</w:t>
            </w:r>
          </w:p>
        </w:tc>
        <w:tc>
          <w:tcPr>
            <w:tcW w:w="689" w:type="pct"/>
            <w:tcBorders>
              <w:top w:val="single" w:sz="4" w:space="0" w:color="auto"/>
              <w:left w:val="single" w:sz="4" w:space="0" w:color="auto"/>
              <w:bottom w:val="single" w:sz="4" w:space="0" w:color="auto"/>
              <w:right w:val="single" w:sz="4" w:space="0" w:color="auto"/>
            </w:tcBorders>
            <w:hideMark/>
          </w:tcPr>
          <w:p w14:paraId="6B7442BD" w14:textId="77777777" w:rsidR="00016480" w:rsidRPr="005A3C14" w:rsidRDefault="00016480">
            <w:pPr>
              <w:rPr>
                <w:sz w:val="22"/>
                <w:szCs w:val="22"/>
                <w:lang w:bidi="he-IL"/>
              </w:rPr>
            </w:pPr>
            <w:r w:rsidRPr="005A3C14">
              <w:rPr>
                <w:sz w:val="22"/>
                <w:szCs w:val="22"/>
                <w:lang w:bidi="he-IL"/>
              </w:rPr>
              <w:t>2/4</w:t>
            </w:r>
          </w:p>
        </w:tc>
        <w:tc>
          <w:tcPr>
            <w:tcW w:w="530" w:type="pct"/>
            <w:tcBorders>
              <w:top w:val="single" w:sz="4" w:space="0" w:color="auto"/>
              <w:left w:val="single" w:sz="4" w:space="0" w:color="auto"/>
              <w:bottom w:val="single" w:sz="4" w:space="0" w:color="auto"/>
              <w:right w:val="single" w:sz="4" w:space="0" w:color="auto"/>
            </w:tcBorders>
            <w:hideMark/>
          </w:tcPr>
          <w:p w14:paraId="66312C91" w14:textId="77777777" w:rsidR="00016480" w:rsidRPr="005A3C14" w:rsidRDefault="00016480">
            <w:pPr>
              <w:rPr>
                <w:sz w:val="22"/>
                <w:szCs w:val="22"/>
                <w:lang w:bidi="he-IL"/>
              </w:rPr>
            </w:pPr>
            <w:r w:rsidRPr="005A3C14">
              <w:rPr>
                <w:sz w:val="22"/>
                <w:szCs w:val="22"/>
                <w:lang w:bidi="he-IL"/>
              </w:rPr>
              <w:t>0,001*/16</w:t>
            </w:r>
          </w:p>
        </w:tc>
        <w:tc>
          <w:tcPr>
            <w:tcW w:w="523" w:type="pct"/>
            <w:tcBorders>
              <w:top w:val="single" w:sz="4" w:space="0" w:color="auto"/>
              <w:left w:val="single" w:sz="4" w:space="0" w:color="auto"/>
              <w:bottom w:val="single" w:sz="4" w:space="0" w:color="auto"/>
              <w:right w:val="single" w:sz="4" w:space="0" w:color="auto"/>
            </w:tcBorders>
            <w:hideMark/>
          </w:tcPr>
          <w:p w14:paraId="0787A3B3" w14:textId="77777777" w:rsidR="00016480" w:rsidRPr="005A3C14" w:rsidRDefault="00016480">
            <w:pPr>
              <w:rPr>
                <w:sz w:val="22"/>
                <w:szCs w:val="22"/>
                <w:lang w:bidi="he-IL"/>
              </w:rPr>
            </w:pPr>
            <w:r w:rsidRPr="005A3C14">
              <w:rPr>
                <w:sz w:val="22"/>
                <w:szCs w:val="22"/>
                <w:lang w:bidi="he-IL"/>
              </w:rPr>
              <w:t>--</w:t>
            </w:r>
          </w:p>
        </w:tc>
        <w:tc>
          <w:tcPr>
            <w:tcW w:w="695" w:type="pct"/>
            <w:tcBorders>
              <w:top w:val="single" w:sz="4" w:space="0" w:color="auto"/>
              <w:left w:val="single" w:sz="4" w:space="0" w:color="auto"/>
              <w:bottom w:val="single" w:sz="4" w:space="0" w:color="auto"/>
              <w:right w:val="single" w:sz="4" w:space="0" w:color="auto"/>
            </w:tcBorders>
            <w:hideMark/>
          </w:tcPr>
          <w:p w14:paraId="799FC884" w14:textId="77777777" w:rsidR="00016480" w:rsidRPr="005A3C14" w:rsidRDefault="00016480">
            <w:pPr>
              <w:rPr>
                <w:sz w:val="22"/>
                <w:szCs w:val="22"/>
                <w:lang w:bidi="he-IL"/>
              </w:rPr>
            </w:pPr>
            <w:r w:rsidRPr="005A3C14">
              <w:rPr>
                <w:sz w:val="22"/>
                <w:szCs w:val="22"/>
                <w:lang w:bidi="he-IL"/>
              </w:rPr>
              <w:t>2/4</w:t>
            </w:r>
          </w:p>
        </w:tc>
        <w:tc>
          <w:tcPr>
            <w:tcW w:w="570" w:type="pct"/>
            <w:tcBorders>
              <w:top w:val="single" w:sz="4" w:space="0" w:color="auto"/>
              <w:left w:val="single" w:sz="4" w:space="0" w:color="auto"/>
              <w:bottom w:val="single" w:sz="4" w:space="0" w:color="auto"/>
              <w:right w:val="single" w:sz="4" w:space="0" w:color="auto"/>
            </w:tcBorders>
            <w:hideMark/>
          </w:tcPr>
          <w:p w14:paraId="01DC5C87" w14:textId="77777777" w:rsidR="00016480" w:rsidRPr="005A3C14" w:rsidRDefault="00016480">
            <w:pPr>
              <w:rPr>
                <w:sz w:val="22"/>
                <w:szCs w:val="22"/>
                <w:lang w:bidi="he-IL"/>
              </w:rPr>
            </w:pPr>
            <w:r w:rsidRPr="005A3C14">
              <w:rPr>
                <w:sz w:val="22"/>
                <w:szCs w:val="22"/>
                <w:lang w:bidi="he-IL"/>
              </w:rPr>
              <w:t>2/4</w:t>
            </w:r>
          </w:p>
        </w:tc>
        <w:tc>
          <w:tcPr>
            <w:tcW w:w="828" w:type="pct"/>
            <w:tcBorders>
              <w:top w:val="single" w:sz="4" w:space="0" w:color="auto"/>
              <w:left w:val="single" w:sz="4" w:space="0" w:color="auto"/>
              <w:bottom w:val="single" w:sz="4" w:space="0" w:color="auto"/>
              <w:right w:val="single" w:sz="4" w:space="0" w:color="auto"/>
            </w:tcBorders>
            <w:hideMark/>
          </w:tcPr>
          <w:p w14:paraId="7DD66228" w14:textId="77777777" w:rsidR="00016480" w:rsidRPr="005A3C14" w:rsidRDefault="00016480">
            <w:pPr>
              <w:rPr>
                <w:sz w:val="22"/>
                <w:szCs w:val="22"/>
                <w:lang w:bidi="he-IL"/>
              </w:rPr>
            </w:pPr>
            <w:r w:rsidRPr="005A3C14">
              <w:rPr>
                <w:sz w:val="22"/>
                <w:szCs w:val="22"/>
                <w:lang w:bidi="he-IL"/>
              </w:rPr>
              <w:t>2/4</w:t>
            </w:r>
          </w:p>
        </w:tc>
      </w:tr>
    </w:tbl>
    <w:p w14:paraId="76ACEE63" w14:textId="77777777" w:rsidR="00016480" w:rsidRPr="00475DC9" w:rsidRDefault="00016480" w:rsidP="001B4015">
      <w:pPr>
        <w:ind w:left="851"/>
        <w:rPr>
          <w:sz w:val="24"/>
          <w:szCs w:val="24"/>
        </w:rPr>
      </w:pPr>
      <w:r w:rsidRPr="00475DC9">
        <w:rPr>
          <w:sz w:val="24"/>
          <w:szCs w:val="24"/>
        </w:rPr>
        <w:t xml:space="preserve">S = Følsom, R = Resistent </w:t>
      </w:r>
    </w:p>
    <w:p w14:paraId="634254DB" w14:textId="77777777" w:rsidR="00016480" w:rsidRPr="00475DC9" w:rsidRDefault="00016480" w:rsidP="001B4015">
      <w:pPr>
        <w:ind w:left="851"/>
        <w:rPr>
          <w:sz w:val="24"/>
          <w:szCs w:val="24"/>
        </w:rPr>
      </w:pPr>
      <w:r w:rsidRPr="00475DC9">
        <w:rPr>
          <w:sz w:val="24"/>
          <w:szCs w:val="24"/>
        </w:rPr>
        <w:t xml:space="preserve">A = Ikke-artsrelaterede breakpoints er blevet fastlagt primært på baggrund af PK/PD-data og er uafhængige af MIC-fordelingen hos specifikke arter. De er kun til brug ved organismer, som ikke har specifikke breakpoints. </w:t>
      </w:r>
    </w:p>
    <w:p w14:paraId="02BE505F" w14:textId="77777777" w:rsidR="00016480" w:rsidRPr="00475DC9" w:rsidRDefault="00016480" w:rsidP="001B4015">
      <w:pPr>
        <w:ind w:left="851"/>
        <w:rPr>
          <w:sz w:val="24"/>
          <w:szCs w:val="24"/>
        </w:rPr>
      </w:pPr>
      <w:r w:rsidRPr="00475DC9">
        <w:rPr>
          <w:sz w:val="24"/>
          <w:szCs w:val="24"/>
        </w:rPr>
        <w:t xml:space="preserve">-- = Følsomhedstest anbefales ikke, da arten er et dårligt mål for behandling med lægemidlet. </w:t>
      </w:r>
    </w:p>
    <w:p w14:paraId="5A1DF4D2" w14:textId="773E3107" w:rsidR="00016480" w:rsidRPr="00475DC9" w:rsidRDefault="00016480" w:rsidP="001B4015">
      <w:pPr>
        <w:ind w:left="851"/>
        <w:rPr>
          <w:sz w:val="24"/>
          <w:szCs w:val="24"/>
        </w:rPr>
      </w:pPr>
      <w:r w:rsidRPr="00475DC9">
        <w:rPr>
          <w:sz w:val="24"/>
          <w:szCs w:val="24"/>
        </w:rPr>
        <w:t xml:space="preserve">* = Alle </w:t>
      </w:r>
      <w:r w:rsidRPr="00475DC9">
        <w:rPr>
          <w:i/>
          <w:iCs/>
          <w:sz w:val="24"/>
          <w:szCs w:val="24"/>
        </w:rPr>
        <w:t>C. glabrata</w:t>
      </w:r>
      <w:r w:rsidRPr="00475DC9">
        <w:rPr>
          <w:sz w:val="24"/>
          <w:szCs w:val="24"/>
        </w:rPr>
        <w:t xml:space="preserve"> er i kategori I. MIC`s over for </w:t>
      </w:r>
      <w:r w:rsidRPr="00475DC9">
        <w:rPr>
          <w:i/>
          <w:iCs/>
          <w:sz w:val="24"/>
          <w:szCs w:val="24"/>
        </w:rPr>
        <w:t>C. glabrata</w:t>
      </w:r>
      <w:r w:rsidRPr="00475DC9">
        <w:rPr>
          <w:sz w:val="24"/>
          <w:szCs w:val="24"/>
        </w:rPr>
        <w:t xml:space="preserve"> skal fortolkes som resistent, hvis de er over 16 mg/l.</w:t>
      </w:r>
    </w:p>
    <w:p w14:paraId="4A4611DB" w14:textId="77777777" w:rsidR="00016480" w:rsidRPr="00475DC9" w:rsidRDefault="00016480" w:rsidP="001B4015">
      <w:pPr>
        <w:ind w:left="851"/>
        <w:rPr>
          <w:sz w:val="24"/>
          <w:szCs w:val="24"/>
        </w:rPr>
      </w:pPr>
      <w:r w:rsidRPr="00475DC9">
        <w:rPr>
          <w:sz w:val="24"/>
          <w:szCs w:val="24"/>
        </w:rPr>
        <w:t>Hensigten med følsomhedskategorien (≤0,001 mg/l) er ganske enkelt at undgå forkert kategorisering af "I"-stammer som "S"-stammer. I - følsom, øget eksponering: En mikroorganisme er kategoriseret som følsom, øget eksponering, når der er stor sandsynlighed for behandlingsmæssig succes, fordi eksponeringen for stoffet øges ved justering af dosis eller gennem koncentrationen på infektionsstedet.</w:t>
      </w:r>
    </w:p>
    <w:p w14:paraId="278523AB" w14:textId="77777777" w:rsidR="009260DE" w:rsidRPr="00475DC9" w:rsidRDefault="009260DE" w:rsidP="001B4015">
      <w:pPr>
        <w:ind w:left="851"/>
        <w:rPr>
          <w:sz w:val="24"/>
          <w:szCs w:val="24"/>
        </w:rPr>
      </w:pPr>
    </w:p>
    <w:p w14:paraId="39B62E1D" w14:textId="77777777" w:rsidR="009260DE" w:rsidRPr="00475DC9" w:rsidRDefault="009260DE" w:rsidP="009260DE">
      <w:pPr>
        <w:tabs>
          <w:tab w:val="left" w:pos="851"/>
        </w:tabs>
        <w:ind w:left="851" w:hanging="851"/>
        <w:rPr>
          <w:b/>
          <w:sz w:val="24"/>
          <w:szCs w:val="24"/>
        </w:rPr>
      </w:pPr>
      <w:r w:rsidRPr="00475DC9">
        <w:rPr>
          <w:b/>
          <w:sz w:val="24"/>
          <w:szCs w:val="24"/>
        </w:rPr>
        <w:lastRenderedPageBreak/>
        <w:t>5.2</w:t>
      </w:r>
      <w:r w:rsidRPr="00475DC9">
        <w:rPr>
          <w:b/>
          <w:sz w:val="24"/>
          <w:szCs w:val="24"/>
        </w:rPr>
        <w:tab/>
        <w:t>Farmakokinetiske egenskaber</w:t>
      </w:r>
    </w:p>
    <w:p w14:paraId="6B0884FE" w14:textId="77777777" w:rsidR="00016480" w:rsidRPr="00475DC9" w:rsidRDefault="00016480" w:rsidP="001B4015">
      <w:pPr>
        <w:ind w:left="851"/>
        <w:rPr>
          <w:sz w:val="24"/>
          <w:szCs w:val="24"/>
        </w:rPr>
      </w:pPr>
      <w:r w:rsidRPr="00475DC9">
        <w:rPr>
          <w:sz w:val="24"/>
          <w:szCs w:val="24"/>
        </w:rPr>
        <w:t xml:space="preserve">Fluconazols farmakokinetiske egenskaber er ens efter intravenøs og oral indgift. </w:t>
      </w:r>
    </w:p>
    <w:p w14:paraId="40E2E382" w14:textId="77777777" w:rsidR="00016480" w:rsidRPr="00475DC9" w:rsidRDefault="00016480" w:rsidP="001B4015">
      <w:pPr>
        <w:ind w:left="851"/>
        <w:rPr>
          <w:sz w:val="24"/>
          <w:szCs w:val="24"/>
        </w:rPr>
      </w:pPr>
    </w:p>
    <w:p w14:paraId="5B3EC6F8" w14:textId="77777777" w:rsidR="00016480" w:rsidRPr="00475DC9" w:rsidRDefault="00016480" w:rsidP="001B4015">
      <w:pPr>
        <w:ind w:left="851"/>
        <w:rPr>
          <w:sz w:val="24"/>
          <w:szCs w:val="24"/>
          <w:u w:val="single"/>
        </w:rPr>
      </w:pPr>
      <w:r w:rsidRPr="00475DC9">
        <w:rPr>
          <w:sz w:val="24"/>
          <w:szCs w:val="24"/>
          <w:u w:val="single"/>
        </w:rPr>
        <w:t xml:space="preserve">Absorption </w:t>
      </w:r>
    </w:p>
    <w:p w14:paraId="126402A5" w14:textId="77777777" w:rsidR="00016480" w:rsidRPr="00475DC9" w:rsidRDefault="00016480" w:rsidP="001B4015">
      <w:pPr>
        <w:ind w:left="851"/>
        <w:rPr>
          <w:sz w:val="24"/>
          <w:szCs w:val="24"/>
        </w:rPr>
      </w:pPr>
      <w:r w:rsidRPr="00475DC9">
        <w:rPr>
          <w:sz w:val="24"/>
          <w:szCs w:val="24"/>
        </w:rPr>
        <w:t xml:space="preserve">Fluconazol absorberes godt efter oral indgift, og plasmakoncentrationen (og den systemiske biotilgængelighed) er over 90 % af de niveauer, som nås efter intravenøs indgift. Den orale absorption påvirkes ikke af samtidig fødeindtagelse. Den maksimale plasmakoncentration i fastende tilstand nås 0,5-1,5 time efter dosisindtagelse. Plasmakoncentrationen er proportional med dosis 90 % af </w:t>
      </w:r>
      <w:r w:rsidRPr="00475DC9">
        <w:rPr>
          <w:i/>
          <w:sz w:val="24"/>
          <w:szCs w:val="24"/>
        </w:rPr>
        <w:t>steady state</w:t>
      </w:r>
      <w:r w:rsidRPr="00475DC9">
        <w:rPr>
          <w:sz w:val="24"/>
          <w:szCs w:val="24"/>
        </w:rPr>
        <w:t xml:space="preserve">-niveauet er nået 4-5 dage efter gentagen daglig éngangsdosering. Indgift af støddosis (på dag 1) af dobbelt normal daglig dosis giver plasmakoncentrationer på ca. 90 % af </w:t>
      </w:r>
      <w:r w:rsidRPr="00475DC9">
        <w:rPr>
          <w:i/>
          <w:sz w:val="24"/>
          <w:szCs w:val="24"/>
        </w:rPr>
        <w:t>steady state</w:t>
      </w:r>
      <w:r w:rsidRPr="00475DC9">
        <w:rPr>
          <w:sz w:val="24"/>
          <w:szCs w:val="24"/>
        </w:rPr>
        <w:t xml:space="preserve"> på dag 2. </w:t>
      </w:r>
    </w:p>
    <w:p w14:paraId="21C632A9" w14:textId="77777777" w:rsidR="00016480" w:rsidRPr="00475DC9" w:rsidRDefault="00016480" w:rsidP="001B4015">
      <w:pPr>
        <w:ind w:left="851"/>
        <w:rPr>
          <w:sz w:val="24"/>
          <w:szCs w:val="24"/>
        </w:rPr>
      </w:pPr>
    </w:p>
    <w:p w14:paraId="4B923225" w14:textId="77777777" w:rsidR="00016480" w:rsidRPr="00475DC9" w:rsidRDefault="00016480" w:rsidP="001B4015">
      <w:pPr>
        <w:ind w:left="851"/>
        <w:rPr>
          <w:sz w:val="24"/>
          <w:szCs w:val="24"/>
          <w:u w:val="single"/>
        </w:rPr>
      </w:pPr>
      <w:r w:rsidRPr="00475DC9">
        <w:rPr>
          <w:sz w:val="24"/>
          <w:szCs w:val="24"/>
          <w:u w:val="single"/>
        </w:rPr>
        <w:t xml:space="preserve">Fordeling </w:t>
      </w:r>
    </w:p>
    <w:p w14:paraId="429A8A7C" w14:textId="77777777" w:rsidR="00016480" w:rsidRPr="00475DC9" w:rsidRDefault="00016480" w:rsidP="001B4015">
      <w:pPr>
        <w:ind w:left="851"/>
        <w:rPr>
          <w:sz w:val="24"/>
          <w:szCs w:val="24"/>
        </w:rPr>
      </w:pPr>
      <w:r w:rsidRPr="00475DC9">
        <w:rPr>
          <w:sz w:val="24"/>
          <w:szCs w:val="24"/>
        </w:rPr>
        <w:t>Det tilsyneladende fordelingsvolumen svarer til kroppens totale vandindhold. Plasmaproteinbindingen er lav (11</w:t>
      </w:r>
      <w:r w:rsidRPr="00475DC9">
        <w:rPr>
          <w:sz w:val="24"/>
          <w:szCs w:val="24"/>
        </w:rPr>
        <w:noBreakHyphen/>
        <w:t xml:space="preserve">12 %). </w:t>
      </w:r>
    </w:p>
    <w:p w14:paraId="3DBF971B" w14:textId="77777777" w:rsidR="00016480" w:rsidRPr="00475DC9" w:rsidRDefault="00016480" w:rsidP="001B4015">
      <w:pPr>
        <w:ind w:left="851"/>
        <w:rPr>
          <w:sz w:val="24"/>
          <w:szCs w:val="24"/>
        </w:rPr>
      </w:pPr>
    </w:p>
    <w:p w14:paraId="7A14BB66" w14:textId="77777777" w:rsidR="00016480" w:rsidRPr="00475DC9" w:rsidRDefault="00016480" w:rsidP="001B4015">
      <w:pPr>
        <w:ind w:left="851"/>
        <w:rPr>
          <w:sz w:val="24"/>
          <w:szCs w:val="24"/>
        </w:rPr>
      </w:pPr>
      <w:r w:rsidRPr="00475DC9">
        <w:rPr>
          <w:sz w:val="24"/>
          <w:szCs w:val="24"/>
        </w:rPr>
        <w:t xml:space="preserve">Fluconazol har god gennemtrængning i hele legemets vandfase. Koncentrationen af fluconazol i spyt og sputum svarer til plasmakoncentrationen. Hos patienter med svampemeningitis er koncentrationen af fluconazol i cerebrospinalvæsken (CSF) ca. 80 % af den tilsvarende plasmakoncentration. </w:t>
      </w:r>
    </w:p>
    <w:p w14:paraId="08663B08" w14:textId="77777777" w:rsidR="00016480" w:rsidRPr="00475DC9" w:rsidRDefault="00016480" w:rsidP="001B4015">
      <w:pPr>
        <w:ind w:left="851"/>
        <w:rPr>
          <w:sz w:val="24"/>
          <w:szCs w:val="24"/>
        </w:rPr>
      </w:pPr>
    </w:p>
    <w:p w14:paraId="54F368DD" w14:textId="00EDBEF1" w:rsidR="00016480" w:rsidRPr="00475DC9" w:rsidRDefault="00016480" w:rsidP="001B4015">
      <w:pPr>
        <w:ind w:left="851"/>
        <w:rPr>
          <w:sz w:val="24"/>
          <w:szCs w:val="24"/>
        </w:rPr>
      </w:pPr>
      <w:r w:rsidRPr="00475DC9">
        <w:rPr>
          <w:sz w:val="24"/>
          <w:szCs w:val="24"/>
        </w:rPr>
        <w:t>I stratum corneum, epidermis-dermis og i ekkrin-sved opnås højere koncentrationer af fluconazol i hud end i serum. Fluconazol akkumuleres i stratum corneum. Ved en dosis på 50</w:t>
      </w:r>
      <w:r w:rsidR="00C24C12">
        <w:rPr>
          <w:sz w:val="24"/>
          <w:szCs w:val="24"/>
        </w:rPr>
        <w:t> </w:t>
      </w:r>
      <w:r w:rsidRPr="00475DC9">
        <w:rPr>
          <w:sz w:val="24"/>
          <w:szCs w:val="24"/>
        </w:rPr>
        <w:t xml:space="preserve">mg 1 gang dagligt var koncentrationen af fluconazol efter 12 dage 73 μg/g, og 7 dage efter behandlingsophør var den stadig 5,8 μg/g. Efter 150 mg 1 gang ugentligt var koncentrationen af fluconazol i stratum corneum 23,4 μg/g på 7. dagen og 7 dage efter anden dosis stadig 7,1 μg/g. </w:t>
      </w:r>
    </w:p>
    <w:p w14:paraId="190AC0A7" w14:textId="77777777" w:rsidR="00016480" w:rsidRPr="00475DC9" w:rsidRDefault="00016480" w:rsidP="001B4015">
      <w:pPr>
        <w:ind w:left="851"/>
        <w:rPr>
          <w:sz w:val="24"/>
          <w:szCs w:val="24"/>
        </w:rPr>
      </w:pPr>
    </w:p>
    <w:p w14:paraId="4C8D7C64" w14:textId="77777777" w:rsidR="00016480" w:rsidRPr="00475DC9" w:rsidRDefault="00016480" w:rsidP="001B4015">
      <w:pPr>
        <w:ind w:left="851"/>
        <w:rPr>
          <w:sz w:val="24"/>
          <w:szCs w:val="24"/>
        </w:rPr>
      </w:pPr>
      <w:r w:rsidRPr="00475DC9">
        <w:rPr>
          <w:sz w:val="24"/>
          <w:szCs w:val="24"/>
        </w:rPr>
        <w:t xml:space="preserve">Koncentrationen af fluconazol i negle efter 4 måneder med 150 mg 1 gang ugentligt var 4,05 μg/g i raske negle og 1,8 μg/g i syge negle. Fluconazol kunne stadig måles i negleprøver 6 måneder efter behandlingsophør. </w:t>
      </w:r>
    </w:p>
    <w:p w14:paraId="6AE9EB3B" w14:textId="77777777" w:rsidR="00016480" w:rsidRPr="00475DC9" w:rsidRDefault="00016480" w:rsidP="001B4015">
      <w:pPr>
        <w:ind w:left="851"/>
        <w:rPr>
          <w:sz w:val="24"/>
          <w:szCs w:val="24"/>
        </w:rPr>
      </w:pPr>
    </w:p>
    <w:p w14:paraId="2AF22DA5" w14:textId="77777777" w:rsidR="00016480" w:rsidRPr="00475DC9" w:rsidRDefault="00016480" w:rsidP="001B4015">
      <w:pPr>
        <w:ind w:left="851"/>
        <w:rPr>
          <w:sz w:val="24"/>
          <w:szCs w:val="24"/>
          <w:u w:val="single"/>
        </w:rPr>
      </w:pPr>
      <w:r w:rsidRPr="00475DC9">
        <w:rPr>
          <w:sz w:val="24"/>
          <w:szCs w:val="24"/>
          <w:u w:val="single"/>
        </w:rPr>
        <w:t xml:space="preserve">Biotransformation </w:t>
      </w:r>
    </w:p>
    <w:p w14:paraId="27CDEC7C" w14:textId="77777777" w:rsidR="00016480" w:rsidRPr="00475DC9" w:rsidRDefault="00016480" w:rsidP="001B4015">
      <w:pPr>
        <w:ind w:left="851"/>
        <w:rPr>
          <w:sz w:val="24"/>
          <w:szCs w:val="24"/>
        </w:rPr>
      </w:pPr>
      <w:r w:rsidRPr="00475DC9">
        <w:rPr>
          <w:sz w:val="24"/>
          <w:szCs w:val="24"/>
        </w:rPr>
        <w:t xml:space="preserve">Fluconazol metaboliseres kun i mindre omfang. Kun 11 % af en radioaktiv dosis udskilles i urinen som metabolitter. Fluconazol er en moderat hæmmer af isoenzymerne CYP2C9 og CYP3A4 (se pkt. 4.5). Fluconazol er også en stærk hæmmer af isoenzymet CYP2C19. </w:t>
      </w:r>
    </w:p>
    <w:p w14:paraId="21F606D9" w14:textId="77777777" w:rsidR="00016480" w:rsidRPr="00475DC9" w:rsidRDefault="00016480" w:rsidP="001B4015">
      <w:pPr>
        <w:ind w:left="851"/>
        <w:rPr>
          <w:sz w:val="24"/>
          <w:szCs w:val="24"/>
        </w:rPr>
      </w:pPr>
    </w:p>
    <w:p w14:paraId="76717657" w14:textId="77777777" w:rsidR="00016480" w:rsidRPr="00475DC9" w:rsidRDefault="00016480" w:rsidP="001B4015">
      <w:pPr>
        <w:ind w:left="851"/>
        <w:rPr>
          <w:bCs/>
          <w:sz w:val="24"/>
          <w:szCs w:val="24"/>
        </w:rPr>
      </w:pPr>
      <w:r w:rsidRPr="00475DC9">
        <w:rPr>
          <w:sz w:val="24"/>
          <w:szCs w:val="24"/>
          <w:u w:val="single"/>
        </w:rPr>
        <w:t>Elimination</w:t>
      </w:r>
    </w:p>
    <w:p w14:paraId="79D5DAB1" w14:textId="77777777" w:rsidR="00016480" w:rsidRPr="00475DC9" w:rsidRDefault="00016480" w:rsidP="001B4015">
      <w:pPr>
        <w:ind w:left="851"/>
        <w:rPr>
          <w:sz w:val="24"/>
          <w:szCs w:val="24"/>
        </w:rPr>
      </w:pPr>
      <w:r w:rsidRPr="00475DC9">
        <w:rPr>
          <w:sz w:val="24"/>
          <w:szCs w:val="24"/>
        </w:rPr>
        <w:t xml:space="preserve">Plasmahalveringstiden for fluconazol er ca. 30 timer. Fluconazol udskilles overvejende renalt, og ca. 80 % af den indtagne dosis udskilles i urinen som uomdannet lægemiddel. Fluconazol-clearance er proportional med kreatinin-clearance. Der er ikke påvist cirkulerende metabolitter. </w:t>
      </w:r>
    </w:p>
    <w:p w14:paraId="1C33B881" w14:textId="77777777" w:rsidR="00016480" w:rsidRPr="00475DC9" w:rsidRDefault="00016480" w:rsidP="001B4015">
      <w:pPr>
        <w:ind w:left="851"/>
        <w:rPr>
          <w:sz w:val="24"/>
          <w:szCs w:val="24"/>
        </w:rPr>
      </w:pPr>
    </w:p>
    <w:p w14:paraId="0739FE9D" w14:textId="77777777" w:rsidR="00016480" w:rsidRPr="00475DC9" w:rsidRDefault="00016480" w:rsidP="001B4015">
      <w:pPr>
        <w:ind w:left="851"/>
        <w:rPr>
          <w:sz w:val="24"/>
          <w:szCs w:val="24"/>
        </w:rPr>
      </w:pPr>
      <w:r w:rsidRPr="00475DC9">
        <w:rPr>
          <w:sz w:val="24"/>
          <w:szCs w:val="24"/>
        </w:rPr>
        <w:t xml:space="preserve">Den lange plasmahalveringstid har skabt basis for enkeltdosis behandling ved vaginal candidiasis og dosering 1 gang dagligt og 1 gang ugentligt ved andre indikationer. </w:t>
      </w:r>
    </w:p>
    <w:p w14:paraId="56E98707" w14:textId="3BC2CD70" w:rsidR="00C24C12" w:rsidRDefault="00C24C12">
      <w:pPr>
        <w:rPr>
          <w:sz w:val="24"/>
          <w:szCs w:val="24"/>
        </w:rPr>
      </w:pPr>
      <w:r>
        <w:rPr>
          <w:sz w:val="24"/>
          <w:szCs w:val="24"/>
        </w:rPr>
        <w:br w:type="page"/>
      </w:r>
    </w:p>
    <w:p w14:paraId="3B5009C5" w14:textId="77777777" w:rsidR="00016480" w:rsidRPr="00475DC9" w:rsidRDefault="00016480" w:rsidP="001B4015">
      <w:pPr>
        <w:ind w:left="851"/>
        <w:rPr>
          <w:sz w:val="24"/>
          <w:szCs w:val="24"/>
        </w:rPr>
      </w:pPr>
    </w:p>
    <w:p w14:paraId="57EE0802" w14:textId="77777777" w:rsidR="00016480" w:rsidRPr="00475DC9" w:rsidRDefault="00016480" w:rsidP="001B4015">
      <w:pPr>
        <w:ind w:left="851"/>
        <w:rPr>
          <w:bCs/>
          <w:sz w:val="24"/>
          <w:szCs w:val="24"/>
          <w:u w:val="single"/>
        </w:rPr>
      </w:pPr>
      <w:r w:rsidRPr="00475DC9">
        <w:rPr>
          <w:sz w:val="24"/>
          <w:szCs w:val="24"/>
          <w:u w:val="single"/>
        </w:rPr>
        <w:t xml:space="preserve">Farmakokinetik ved nedsat nyrefunktion </w:t>
      </w:r>
    </w:p>
    <w:p w14:paraId="61B62737" w14:textId="77777777" w:rsidR="00016480" w:rsidRPr="00475DC9" w:rsidRDefault="00016480" w:rsidP="001B4015">
      <w:pPr>
        <w:ind w:left="851"/>
        <w:rPr>
          <w:sz w:val="24"/>
          <w:szCs w:val="24"/>
        </w:rPr>
      </w:pPr>
      <w:r w:rsidRPr="00475DC9">
        <w:rPr>
          <w:sz w:val="24"/>
          <w:szCs w:val="24"/>
        </w:rPr>
        <w:t xml:space="preserve">Hos patienter med alvorligt nedsat nyrefunktion, (GFR&lt;20 ml/min) stiger halveringstiden fra 30 til 98 timer. Som konsekvens heraf er dosisreduktion nødvendig. Fluconazol fjernes ved hæmodialyse og i mindre grad ved peritonealdialyse. Efter 3 timers hæmodialysebehandling er ca. 50 % af fluconazol elimineret fra blodet. </w:t>
      </w:r>
    </w:p>
    <w:p w14:paraId="240B57CD" w14:textId="77777777" w:rsidR="00016480" w:rsidRPr="00475DC9" w:rsidRDefault="00016480" w:rsidP="001B4015">
      <w:pPr>
        <w:ind w:left="851"/>
        <w:rPr>
          <w:sz w:val="24"/>
          <w:szCs w:val="24"/>
        </w:rPr>
      </w:pPr>
    </w:p>
    <w:p w14:paraId="62341FBF" w14:textId="77777777" w:rsidR="00016480" w:rsidRPr="00475DC9" w:rsidRDefault="00016480" w:rsidP="001B4015">
      <w:pPr>
        <w:ind w:left="851"/>
        <w:rPr>
          <w:bCs/>
          <w:sz w:val="24"/>
          <w:szCs w:val="24"/>
          <w:u w:val="single"/>
        </w:rPr>
      </w:pPr>
      <w:r w:rsidRPr="00475DC9">
        <w:rPr>
          <w:sz w:val="24"/>
          <w:szCs w:val="24"/>
          <w:u w:val="single"/>
        </w:rPr>
        <w:t>Farmakokinetik under amning</w:t>
      </w:r>
    </w:p>
    <w:p w14:paraId="04B2DF25" w14:textId="06F35BB2" w:rsidR="00016480" w:rsidRPr="00475DC9" w:rsidRDefault="00016480" w:rsidP="001B4015">
      <w:pPr>
        <w:ind w:left="851"/>
        <w:rPr>
          <w:sz w:val="24"/>
          <w:szCs w:val="24"/>
        </w:rPr>
      </w:pPr>
      <w:r w:rsidRPr="00475DC9">
        <w:rPr>
          <w:sz w:val="24"/>
          <w:szCs w:val="24"/>
        </w:rPr>
        <w:t>I et farmakokinetisk forsøg med ti ammende kvinder, som midlertidigt eller permanent var stoppet med at amme deres spædbørn, blev koncentrationerne af fluconazol i plasma og modermælk målt i 48 timer efter en enkeltdosis på 150 mg fluconazol. Den gennemsnitlige koncentration af fluconazol, der blev påvist i modermælk, var ca. 98 % af de koncentrationer, der sås i moderens plasma. Den gennemsnitlige maksimale koncentration i modermælk var 2,6 mg/l 5,2 timer efter dosisindtagelse. Den estimerede daglige dosis af fluconazol fra modermælk hos spædbørn (forudsat en gennemsnitlig indtagelse af modermælk på 150 ml/kg/dag) baseret på den gennemsnitlige maksimale koncentration i mælk er 0,39</w:t>
      </w:r>
      <w:r w:rsidR="00C24C12">
        <w:rPr>
          <w:sz w:val="24"/>
          <w:szCs w:val="24"/>
        </w:rPr>
        <w:t> </w:t>
      </w:r>
      <w:r w:rsidRPr="00475DC9">
        <w:rPr>
          <w:sz w:val="24"/>
          <w:szCs w:val="24"/>
        </w:rPr>
        <w:t>mg/kg/dag, hvilket er ca. 40 % af den anbefalede dosis til nyfødte (&lt; 2 uger) eller 13</w:t>
      </w:r>
      <w:r w:rsidR="00C24C12">
        <w:rPr>
          <w:sz w:val="24"/>
          <w:szCs w:val="24"/>
        </w:rPr>
        <w:t> </w:t>
      </w:r>
      <w:r w:rsidRPr="00475DC9">
        <w:rPr>
          <w:sz w:val="24"/>
          <w:szCs w:val="24"/>
        </w:rPr>
        <w:t>% af den anbefalede dosis til spædbørn mod mukøs candidiasis.</w:t>
      </w:r>
    </w:p>
    <w:p w14:paraId="5D27527A" w14:textId="77777777" w:rsidR="00016480" w:rsidRPr="00475DC9" w:rsidRDefault="00016480" w:rsidP="001B4015">
      <w:pPr>
        <w:ind w:left="851"/>
        <w:rPr>
          <w:sz w:val="24"/>
          <w:szCs w:val="24"/>
        </w:rPr>
      </w:pPr>
    </w:p>
    <w:p w14:paraId="4893E976" w14:textId="77777777" w:rsidR="00016480" w:rsidRPr="00475DC9" w:rsidRDefault="00016480" w:rsidP="001B4015">
      <w:pPr>
        <w:ind w:left="851"/>
        <w:rPr>
          <w:bCs/>
          <w:sz w:val="24"/>
          <w:szCs w:val="24"/>
          <w:u w:val="single"/>
        </w:rPr>
      </w:pPr>
      <w:r w:rsidRPr="00475DC9">
        <w:rPr>
          <w:sz w:val="24"/>
          <w:szCs w:val="24"/>
          <w:u w:val="single"/>
        </w:rPr>
        <w:t xml:space="preserve">Farmakokinetik hos børn </w:t>
      </w:r>
    </w:p>
    <w:p w14:paraId="6D703738" w14:textId="77777777" w:rsidR="00016480" w:rsidRPr="00475DC9" w:rsidRDefault="00016480" w:rsidP="001B4015">
      <w:pPr>
        <w:ind w:left="851"/>
        <w:rPr>
          <w:sz w:val="24"/>
          <w:szCs w:val="24"/>
        </w:rPr>
      </w:pPr>
      <w:r w:rsidRPr="00475DC9">
        <w:rPr>
          <w:sz w:val="24"/>
          <w:szCs w:val="24"/>
        </w:rPr>
        <w:t xml:space="preserve">Farmakokinetiske data blev vurderet hos 113 pædiatriske patienter i 5 forsøg: 2 enkeltdosisforsøg, 2 flerdosisforsøg samt 1 forsøg med præmature nyfødte. Data fra et forsøg kunne ikke tolkes pga. ændringer i formuleringen i løbet af forsøget. Yderligere data var tilgængelige fra et specielt klinisk program (”compassionate use”). </w:t>
      </w:r>
    </w:p>
    <w:p w14:paraId="05035A01" w14:textId="77777777" w:rsidR="00016480" w:rsidRPr="00475DC9" w:rsidRDefault="00016480" w:rsidP="001B4015">
      <w:pPr>
        <w:ind w:left="851"/>
        <w:rPr>
          <w:sz w:val="24"/>
          <w:szCs w:val="24"/>
        </w:rPr>
      </w:pPr>
    </w:p>
    <w:p w14:paraId="6CA0992D" w14:textId="3229A8CC" w:rsidR="00016480" w:rsidRPr="00475DC9" w:rsidRDefault="00016480" w:rsidP="001B4015">
      <w:pPr>
        <w:ind w:left="851"/>
        <w:rPr>
          <w:sz w:val="24"/>
          <w:szCs w:val="24"/>
        </w:rPr>
      </w:pPr>
      <w:r w:rsidRPr="00475DC9">
        <w:rPr>
          <w:sz w:val="24"/>
          <w:szCs w:val="24"/>
        </w:rPr>
        <w:t xml:space="preserve">Efter administration af 2-8 mg/kg fluconazol til børn i alderen 9 måneder til 15 år fandtes en AUC på ca. 38 </w:t>
      </w:r>
      <w:r w:rsidR="005A3C14">
        <w:t>µg</w:t>
      </w:r>
      <w:r w:rsidR="005A3C14">
        <w:rPr>
          <w:rFonts w:ascii="Wingdings 2" w:hAnsi="Wingdings 2"/>
        </w:rPr>
        <w:t></w:t>
      </w:r>
      <w:r w:rsidR="005A3C14">
        <w:t>t</w:t>
      </w:r>
      <w:r w:rsidRPr="00475DC9">
        <w:rPr>
          <w:sz w:val="24"/>
          <w:szCs w:val="24"/>
        </w:rPr>
        <w:t xml:space="preserve">/ml pr. 1 mg/kg dosisenhed. Den gennemsnitlige plasmahalveringstid for fluconazol var 15-18 timer, og fordelingsvolumenet var ca. 880 ml/kg efter gentagne doser. Efter indgift af en enkelt dosis fandtes en højere plasmahalveringstid på ca. 24 timer. Denne er sammenlignelig med plasmahalveringstiden for fluconazol efter en enkelt indgift af 3 mg/kg i.v. til børn i alderen 11 dage til 11 måneder. Fordelingsvolumenet i denne aldersgruppe var ca. 950 ml/kg. </w:t>
      </w:r>
    </w:p>
    <w:p w14:paraId="682131C1" w14:textId="77777777" w:rsidR="00016480" w:rsidRPr="00475DC9" w:rsidRDefault="00016480" w:rsidP="001B4015">
      <w:pPr>
        <w:ind w:left="851"/>
        <w:rPr>
          <w:sz w:val="24"/>
          <w:szCs w:val="24"/>
        </w:rPr>
      </w:pPr>
    </w:p>
    <w:p w14:paraId="5C7EB438" w14:textId="77777777" w:rsidR="00016480" w:rsidRPr="00475DC9" w:rsidRDefault="00016480" w:rsidP="001B4015">
      <w:pPr>
        <w:ind w:left="851"/>
        <w:rPr>
          <w:sz w:val="24"/>
          <w:szCs w:val="24"/>
        </w:rPr>
      </w:pPr>
      <w:r w:rsidRPr="00475DC9">
        <w:rPr>
          <w:sz w:val="24"/>
          <w:szCs w:val="24"/>
        </w:rPr>
        <w:t>Erfaringerne med fluconazol hos nyfødte er begrænset til farmakokinetiske forsøg med præmature nyfødte. Den gennemsnitlige alder ved den første dosis var 24 timer (9-36 timer), og den gennemsnitlige fødselsvægt var 0,9 kg (0,75</w:t>
      </w:r>
      <w:r w:rsidRPr="00475DC9">
        <w:rPr>
          <w:sz w:val="24"/>
          <w:szCs w:val="24"/>
        </w:rPr>
        <w:noBreakHyphen/>
        <w:t xml:space="preserve">1,1 kg) for 12 for tidligt fødte med en gennemsnitlig gestationsalder på ca. 28 uger. 7 patienter gennemførte protokollen. Der blev maksimalt givet 5 intravenøse infusioner à 6 mg fluconazol/kg hver 72. time. Den gennemsnitlige halveringstid var 74 timer (44-185 timer) på dag 1 og faldt over tid til gennemsnitligt 53 timer (30-131 timer) på dag 7, og 47 timer (27-68 timer) på dag 13. Området under kurven var 271 µg∙t/ml (173-385) på dag 1 og steg til gennemsnitligt 490 µg∙t/ml (292-734) på dag 7, og faldt til gennemsnitligt 360 µg∙t/ml (167-566) på dag 13. Fordelingsvolumenet var 1.183 ml/kg (1.070-1.470) på dag 1 og steg over tid til gennemsnitligt 1.184 ml/kg (510-2.130) på dag 7 og 1.328 ml/kg (1.040-1.680) på dag 13. </w:t>
      </w:r>
    </w:p>
    <w:p w14:paraId="03D4B2E5" w14:textId="77777777" w:rsidR="00016480" w:rsidRPr="00475DC9" w:rsidRDefault="00016480" w:rsidP="001B4015">
      <w:pPr>
        <w:ind w:left="851"/>
        <w:rPr>
          <w:bCs/>
          <w:i/>
          <w:iCs/>
          <w:sz w:val="24"/>
          <w:szCs w:val="24"/>
        </w:rPr>
      </w:pPr>
    </w:p>
    <w:p w14:paraId="11DFB9E9" w14:textId="77777777" w:rsidR="00016480" w:rsidRPr="00475DC9" w:rsidRDefault="00016480" w:rsidP="001B4015">
      <w:pPr>
        <w:ind w:left="851"/>
        <w:rPr>
          <w:bCs/>
          <w:sz w:val="24"/>
          <w:szCs w:val="24"/>
          <w:u w:val="single"/>
        </w:rPr>
      </w:pPr>
      <w:r w:rsidRPr="00475DC9">
        <w:rPr>
          <w:sz w:val="24"/>
          <w:szCs w:val="24"/>
          <w:u w:val="single"/>
        </w:rPr>
        <w:t xml:space="preserve">Farmakokinetik hos ældre </w:t>
      </w:r>
    </w:p>
    <w:p w14:paraId="4EEBD465" w14:textId="3230AF1E" w:rsidR="00016480" w:rsidRPr="00475DC9" w:rsidRDefault="00016480" w:rsidP="001B4015">
      <w:pPr>
        <w:ind w:left="851"/>
        <w:rPr>
          <w:sz w:val="24"/>
          <w:szCs w:val="24"/>
        </w:rPr>
      </w:pPr>
      <w:r w:rsidRPr="00475DC9">
        <w:rPr>
          <w:sz w:val="24"/>
          <w:szCs w:val="24"/>
        </w:rPr>
        <w:t>Et farmakokinetisk forsøg blev foretaget med 22 personer, der var 65 år eller ældre, og som fik en enkelt oral 50 mg dosis fluconazol. 10 af disse patienter fik samtidig diuretika. C</w:t>
      </w:r>
      <w:r w:rsidRPr="00475DC9">
        <w:rPr>
          <w:sz w:val="24"/>
          <w:szCs w:val="24"/>
          <w:vertAlign w:val="subscript"/>
        </w:rPr>
        <w:t>max</w:t>
      </w:r>
      <w:r w:rsidRPr="00475DC9">
        <w:rPr>
          <w:sz w:val="24"/>
          <w:szCs w:val="24"/>
        </w:rPr>
        <w:t xml:space="preserve"> var 1,54 µg/ml og blev nået 1,3 timer efter dosisindtagelse. Gennemsnitligt AUC var 76,4 ± 20,3 </w:t>
      </w:r>
      <w:r w:rsidR="005A3C14">
        <w:t>µg</w:t>
      </w:r>
      <w:r w:rsidR="005A3C14">
        <w:rPr>
          <w:rFonts w:ascii="Wingdings 2" w:hAnsi="Wingdings 2"/>
        </w:rPr>
        <w:t></w:t>
      </w:r>
      <w:r w:rsidR="005A3C14">
        <w:t>t</w:t>
      </w:r>
      <w:r w:rsidRPr="00475DC9">
        <w:rPr>
          <w:sz w:val="24"/>
          <w:szCs w:val="24"/>
        </w:rPr>
        <w:t xml:space="preserve">/ml, og den gennemsnitlige halveringstid var 46,2 timer. Disse farmakokinetiske parametre er højere end de tilsvarende analoge værdier, der er indberettet hos unge, </w:t>
      </w:r>
      <w:r w:rsidRPr="00475DC9">
        <w:rPr>
          <w:sz w:val="24"/>
          <w:szCs w:val="24"/>
        </w:rPr>
        <w:lastRenderedPageBreak/>
        <w:t>raske, frivillige mænd. Samtidig administration af diuretika ændrede ikke AUC eller C</w:t>
      </w:r>
      <w:r w:rsidRPr="00475DC9">
        <w:rPr>
          <w:sz w:val="24"/>
          <w:szCs w:val="24"/>
          <w:vertAlign w:val="subscript"/>
        </w:rPr>
        <w:t>max</w:t>
      </w:r>
      <w:r w:rsidRPr="00475DC9">
        <w:rPr>
          <w:sz w:val="24"/>
          <w:szCs w:val="24"/>
        </w:rPr>
        <w:t xml:space="preserve"> signifikant. Kreatininclearance (74 ml/min), den procentdel af lægemidlet, der blev genfundet uomdannet i urinen (0-24 timer, 22 %), og estimater for fluconazols renale clearance (0,124 ml/min/kg) hos ældre var desuden generelt lavere end værdierne hos yngre, frivillige forsøgspersoner. Ændringen i fluconazols fordeling hos ældre synes derfor at være relateret til nedsat nyrefunktion, som er karakteristisk hos denne patientgruppe. </w:t>
      </w:r>
    </w:p>
    <w:p w14:paraId="1F1CE42E" w14:textId="77777777" w:rsidR="009260DE" w:rsidRPr="00475DC9" w:rsidRDefault="009260DE" w:rsidP="009260DE">
      <w:pPr>
        <w:tabs>
          <w:tab w:val="left" w:pos="851"/>
        </w:tabs>
        <w:ind w:left="851"/>
        <w:rPr>
          <w:sz w:val="24"/>
          <w:szCs w:val="24"/>
        </w:rPr>
      </w:pPr>
    </w:p>
    <w:p w14:paraId="326A78B3" w14:textId="77777777" w:rsidR="009260DE" w:rsidRPr="00475DC9" w:rsidRDefault="009260DE" w:rsidP="009260DE">
      <w:pPr>
        <w:tabs>
          <w:tab w:val="left" w:pos="851"/>
        </w:tabs>
        <w:ind w:left="851" w:hanging="851"/>
        <w:rPr>
          <w:b/>
          <w:sz w:val="24"/>
          <w:szCs w:val="24"/>
        </w:rPr>
      </w:pPr>
      <w:r w:rsidRPr="00475DC9">
        <w:rPr>
          <w:b/>
          <w:sz w:val="24"/>
          <w:szCs w:val="24"/>
        </w:rPr>
        <w:t>5.3</w:t>
      </w:r>
      <w:r w:rsidRPr="00475DC9">
        <w:rPr>
          <w:b/>
          <w:sz w:val="24"/>
          <w:szCs w:val="24"/>
        </w:rPr>
        <w:tab/>
      </w:r>
      <w:r w:rsidR="00BD7931" w:rsidRPr="00475DC9">
        <w:rPr>
          <w:b/>
          <w:sz w:val="24"/>
          <w:szCs w:val="24"/>
        </w:rPr>
        <w:t>Non-</w:t>
      </w:r>
      <w:r w:rsidRPr="00475DC9">
        <w:rPr>
          <w:b/>
          <w:sz w:val="24"/>
          <w:szCs w:val="24"/>
        </w:rPr>
        <w:t>kliniske sikkerhedsdata</w:t>
      </w:r>
    </w:p>
    <w:p w14:paraId="7C277CE1" w14:textId="77777777" w:rsidR="00016480" w:rsidRPr="00475DC9" w:rsidRDefault="00016480" w:rsidP="001B4015">
      <w:pPr>
        <w:ind w:left="851"/>
        <w:rPr>
          <w:sz w:val="24"/>
          <w:szCs w:val="24"/>
        </w:rPr>
      </w:pPr>
      <w:r w:rsidRPr="00475DC9">
        <w:rPr>
          <w:sz w:val="24"/>
          <w:szCs w:val="24"/>
        </w:rPr>
        <w:t xml:space="preserve">I non-kliniske forsøg blev der kun set virkninger ved doser, der i tilstrækkelig grad overstiger den maksimale humane eksponering. Disse virkninger vurderes derfor til at være af ringe klinisk relevans. </w:t>
      </w:r>
    </w:p>
    <w:p w14:paraId="11EED088" w14:textId="77777777" w:rsidR="00016480" w:rsidRPr="00475DC9" w:rsidRDefault="00016480" w:rsidP="001B4015">
      <w:pPr>
        <w:ind w:left="851"/>
        <w:rPr>
          <w:sz w:val="24"/>
          <w:szCs w:val="24"/>
        </w:rPr>
      </w:pPr>
    </w:p>
    <w:p w14:paraId="11C2B093" w14:textId="77777777" w:rsidR="00016480" w:rsidRPr="00475DC9" w:rsidRDefault="00016480" w:rsidP="001B4015">
      <w:pPr>
        <w:ind w:left="851"/>
        <w:rPr>
          <w:bCs/>
          <w:sz w:val="24"/>
          <w:szCs w:val="24"/>
          <w:u w:val="single"/>
        </w:rPr>
      </w:pPr>
      <w:r w:rsidRPr="00475DC9">
        <w:rPr>
          <w:sz w:val="24"/>
          <w:szCs w:val="24"/>
          <w:u w:val="single"/>
        </w:rPr>
        <w:t xml:space="preserve">Karcinogenicitet </w:t>
      </w:r>
    </w:p>
    <w:p w14:paraId="74FCAF98" w14:textId="77777777" w:rsidR="00016480" w:rsidRPr="00475DC9" w:rsidRDefault="00016480" w:rsidP="001B4015">
      <w:pPr>
        <w:ind w:left="851"/>
        <w:rPr>
          <w:sz w:val="24"/>
          <w:szCs w:val="24"/>
        </w:rPr>
      </w:pPr>
      <w:r w:rsidRPr="00475DC9">
        <w:rPr>
          <w:sz w:val="24"/>
          <w:szCs w:val="24"/>
        </w:rPr>
        <w:t xml:space="preserve">Fluconazol viste ikke tegn på karcinogenicitet hos mus og rotter behandlet i 24 måneder med doser på 2,5, 5 eller 10 mg/kg/dag oralt (ca. 2-7 gange den anbefalede humane dosis). Hanrotter behandlet med 5 og 10 mg/kg/dag havde en øget hyppighed af hepatocellulære adenomer. </w:t>
      </w:r>
    </w:p>
    <w:p w14:paraId="1CE96344" w14:textId="77777777" w:rsidR="00016480" w:rsidRPr="00475DC9" w:rsidRDefault="00016480" w:rsidP="001B4015">
      <w:pPr>
        <w:ind w:left="851"/>
        <w:rPr>
          <w:sz w:val="24"/>
          <w:szCs w:val="24"/>
        </w:rPr>
      </w:pPr>
    </w:p>
    <w:p w14:paraId="4091E3B9" w14:textId="77777777" w:rsidR="00016480" w:rsidRPr="00475DC9" w:rsidRDefault="00016480" w:rsidP="001B4015">
      <w:pPr>
        <w:ind w:left="851"/>
        <w:rPr>
          <w:bCs/>
          <w:sz w:val="24"/>
          <w:szCs w:val="24"/>
          <w:u w:val="single"/>
        </w:rPr>
      </w:pPr>
      <w:r w:rsidRPr="00475DC9">
        <w:rPr>
          <w:sz w:val="24"/>
          <w:szCs w:val="24"/>
          <w:u w:val="single"/>
        </w:rPr>
        <w:t>Mutagenese</w:t>
      </w:r>
    </w:p>
    <w:p w14:paraId="37D9F6A4" w14:textId="77777777" w:rsidR="00016480" w:rsidRPr="00475DC9" w:rsidRDefault="00016480" w:rsidP="001B4015">
      <w:pPr>
        <w:ind w:left="851"/>
        <w:rPr>
          <w:sz w:val="24"/>
          <w:szCs w:val="24"/>
        </w:rPr>
      </w:pPr>
      <w:r w:rsidRPr="00475DC9">
        <w:rPr>
          <w:sz w:val="24"/>
          <w:szCs w:val="24"/>
        </w:rPr>
        <w:t xml:space="preserve">Fluconazol, med eller uden metabolisk aktivering, viste negative mutagenicitetstest i 4 stammer af </w:t>
      </w:r>
      <w:r w:rsidRPr="00475DC9">
        <w:rPr>
          <w:i/>
          <w:sz w:val="24"/>
          <w:szCs w:val="24"/>
        </w:rPr>
        <w:t>Salmonella typhimurium</w:t>
      </w:r>
      <w:r w:rsidRPr="00475DC9">
        <w:rPr>
          <w:sz w:val="24"/>
          <w:szCs w:val="24"/>
        </w:rPr>
        <w:t xml:space="preserve">, og i lymphoma L5178Y-systemet hos mus. Cytogene </w:t>
      </w:r>
      <w:r w:rsidRPr="00475DC9">
        <w:rPr>
          <w:i/>
          <w:iCs/>
          <w:sz w:val="24"/>
          <w:szCs w:val="24"/>
        </w:rPr>
        <w:t>in vivo</w:t>
      </w:r>
      <w:r w:rsidRPr="00475DC9">
        <w:rPr>
          <w:sz w:val="24"/>
          <w:szCs w:val="24"/>
        </w:rPr>
        <w:t xml:space="preserve">-forsøg (murine knoglemarvsceller, efter oral indgift af fluconazol) og </w:t>
      </w:r>
      <w:r w:rsidRPr="00475DC9">
        <w:rPr>
          <w:i/>
          <w:iCs/>
          <w:sz w:val="24"/>
          <w:szCs w:val="24"/>
        </w:rPr>
        <w:t>in vitro</w:t>
      </w:r>
      <w:r w:rsidRPr="00475DC9">
        <w:rPr>
          <w:sz w:val="24"/>
          <w:szCs w:val="24"/>
        </w:rPr>
        <w:t>-forsøg (humane lymfocytter eksponeret for fluconazol ved 1.000 μg/ml) viste ingen tegn på kromosomale mutationer.</w:t>
      </w:r>
    </w:p>
    <w:p w14:paraId="3FD7C187" w14:textId="77777777" w:rsidR="00016480" w:rsidRPr="00475DC9" w:rsidRDefault="00016480" w:rsidP="001B4015">
      <w:pPr>
        <w:ind w:left="851"/>
        <w:rPr>
          <w:sz w:val="24"/>
          <w:szCs w:val="24"/>
        </w:rPr>
      </w:pPr>
    </w:p>
    <w:p w14:paraId="53282A9D" w14:textId="77777777" w:rsidR="00016480" w:rsidRPr="00475DC9" w:rsidRDefault="00016480" w:rsidP="001B4015">
      <w:pPr>
        <w:ind w:left="851"/>
        <w:rPr>
          <w:bCs/>
          <w:sz w:val="24"/>
          <w:szCs w:val="24"/>
          <w:u w:val="single"/>
        </w:rPr>
      </w:pPr>
      <w:r w:rsidRPr="00475DC9">
        <w:rPr>
          <w:sz w:val="24"/>
          <w:szCs w:val="24"/>
          <w:u w:val="single"/>
        </w:rPr>
        <w:t xml:space="preserve">Reproduktionstoksicitet </w:t>
      </w:r>
    </w:p>
    <w:p w14:paraId="46F7A951" w14:textId="77777777" w:rsidR="00016480" w:rsidRPr="00475DC9" w:rsidRDefault="00016480" w:rsidP="001B4015">
      <w:pPr>
        <w:ind w:left="851"/>
        <w:rPr>
          <w:sz w:val="24"/>
          <w:szCs w:val="24"/>
        </w:rPr>
      </w:pPr>
      <w:r w:rsidRPr="00475DC9">
        <w:rPr>
          <w:sz w:val="24"/>
          <w:szCs w:val="24"/>
        </w:rPr>
        <w:t xml:space="preserve">Fluconazol påvirkede ikke fertiliteten hos han- eller hunrotter behandlet med daglige doser på 5, 10 eller 20 mg/kg oralt eller 5, 25 eller 75 mg/kg parenteralt. </w:t>
      </w:r>
    </w:p>
    <w:p w14:paraId="262771ED" w14:textId="77777777" w:rsidR="00016480" w:rsidRPr="00475DC9" w:rsidRDefault="00016480" w:rsidP="001B4015">
      <w:pPr>
        <w:ind w:left="851"/>
        <w:rPr>
          <w:sz w:val="24"/>
          <w:szCs w:val="24"/>
        </w:rPr>
      </w:pPr>
    </w:p>
    <w:p w14:paraId="524A6158" w14:textId="77777777" w:rsidR="00016480" w:rsidRPr="00475DC9" w:rsidRDefault="00016480" w:rsidP="001B4015">
      <w:pPr>
        <w:ind w:left="851"/>
        <w:rPr>
          <w:sz w:val="24"/>
          <w:szCs w:val="24"/>
        </w:rPr>
      </w:pPr>
      <w:r w:rsidRPr="00475DC9">
        <w:rPr>
          <w:sz w:val="24"/>
          <w:szCs w:val="24"/>
        </w:rPr>
        <w:t xml:space="preserve">Der var ingen føtale virkninger ved 5 eller 10 mg/kg, stigninger i føtale anatomiske varianter (overtallige ribben, dilatation af pelvis renalis) og forsinket ossifikation blev set ved 25 og 50 mg/kg og højere doser. Ved doser mellem 80 og 320 mg/kg steg embryoletaliteten hos rotter og de føtale misdannelser inkluderede bølgeformede ribben, ganespalte og abnorm kraniofacial ossifikation. </w:t>
      </w:r>
    </w:p>
    <w:p w14:paraId="0A855B6B" w14:textId="77777777" w:rsidR="00016480" w:rsidRPr="00475DC9" w:rsidRDefault="00016480" w:rsidP="001B4015">
      <w:pPr>
        <w:ind w:left="851"/>
        <w:rPr>
          <w:sz w:val="24"/>
          <w:szCs w:val="24"/>
        </w:rPr>
      </w:pPr>
      <w:r w:rsidRPr="00475DC9">
        <w:rPr>
          <w:sz w:val="24"/>
          <w:szCs w:val="24"/>
        </w:rPr>
        <w:t xml:space="preserve">Fødslens indtræden var let forsinket efter 20 mg/kg oralt, og dystoci og forlænget fødsel blev set hos nogle få moderdyr efter 20 og 40 mg/kg intravenøst. Fødselsforstyrrelserne reflekteredes i en let stigning i antallet af dødfødte unger og nedsat neonatal overlevelse ved disse dosisniveauer. Disse virkninger på fødslen hos rotter er i overensstemmelse med den artsspecifikke østrogensænkende egenskab, som opstår efter høje doser fluconazol. Tilsvarende hormonforandringer er ikke set hos kvinder behandlet med fluconazol (se pkt. 5.1). </w:t>
      </w:r>
    </w:p>
    <w:p w14:paraId="1502024E" w14:textId="77777777" w:rsidR="009260DE" w:rsidRPr="00475DC9" w:rsidRDefault="009260DE" w:rsidP="009260DE">
      <w:pPr>
        <w:tabs>
          <w:tab w:val="left" w:pos="851"/>
        </w:tabs>
        <w:ind w:left="851"/>
        <w:rPr>
          <w:sz w:val="24"/>
          <w:szCs w:val="24"/>
        </w:rPr>
      </w:pPr>
    </w:p>
    <w:p w14:paraId="091F2A67" w14:textId="77777777" w:rsidR="009260DE" w:rsidRPr="00475DC9" w:rsidRDefault="009260DE" w:rsidP="009260DE">
      <w:pPr>
        <w:tabs>
          <w:tab w:val="left" w:pos="851"/>
        </w:tabs>
        <w:ind w:left="851"/>
        <w:rPr>
          <w:sz w:val="24"/>
          <w:szCs w:val="24"/>
        </w:rPr>
      </w:pPr>
    </w:p>
    <w:p w14:paraId="0BAA7083" w14:textId="77777777" w:rsidR="009260DE" w:rsidRPr="00475DC9" w:rsidRDefault="009260DE" w:rsidP="009260DE">
      <w:pPr>
        <w:tabs>
          <w:tab w:val="left" w:pos="851"/>
        </w:tabs>
        <w:ind w:left="851" w:hanging="851"/>
        <w:rPr>
          <w:b/>
          <w:sz w:val="24"/>
          <w:szCs w:val="24"/>
        </w:rPr>
      </w:pPr>
      <w:r w:rsidRPr="00475DC9">
        <w:rPr>
          <w:b/>
          <w:sz w:val="24"/>
          <w:szCs w:val="24"/>
        </w:rPr>
        <w:t>6.</w:t>
      </w:r>
      <w:r w:rsidRPr="00475DC9">
        <w:rPr>
          <w:b/>
          <w:sz w:val="24"/>
          <w:szCs w:val="24"/>
        </w:rPr>
        <w:tab/>
        <w:t>FARMACEUTISKE OPLYSNINGER</w:t>
      </w:r>
    </w:p>
    <w:p w14:paraId="24AB02D2" w14:textId="77777777" w:rsidR="009260DE" w:rsidRPr="00475DC9" w:rsidRDefault="009260DE" w:rsidP="009260DE">
      <w:pPr>
        <w:tabs>
          <w:tab w:val="left" w:pos="851"/>
        </w:tabs>
        <w:ind w:left="851"/>
        <w:rPr>
          <w:sz w:val="24"/>
          <w:szCs w:val="24"/>
        </w:rPr>
      </w:pPr>
    </w:p>
    <w:p w14:paraId="4F97F2BA" w14:textId="77777777" w:rsidR="009260DE" w:rsidRPr="00475DC9" w:rsidRDefault="009260DE" w:rsidP="009260DE">
      <w:pPr>
        <w:tabs>
          <w:tab w:val="left" w:pos="851"/>
        </w:tabs>
        <w:ind w:left="851" w:hanging="851"/>
        <w:rPr>
          <w:b/>
          <w:sz w:val="24"/>
          <w:szCs w:val="24"/>
        </w:rPr>
      </w:pPr>
      <w:r w:rsidRPr="00475DC9">
        <w:rPr>
          <w:b/>
          <w:sz w:val="24"/>
          <w:szCs w:val="24"/>
        </w:rPr>
        <w:t>6.1</w:t>
      </w:r>
      <w:r w:rsidRPr="00475DC9">
        <w:rPr>
          <w:b/>
          <w:sz w:val="24"/>
          <w:szCs w:val="24"/>
        </w:rPr>
        <w:tab/>
        <w:t>Hjælpestoffer</w:t>
      </w:r>
    </w:p>
    <w:p w14:paraId="3DDAD952" w14:textId="77777777" w:rsidR="00016480" w:rsidRPr="00475DC9" w:rsidRDefault="00016480" w:rsidP="001B4015">
      <w:pPr>
        <w:ind w:left="851"/>
        <w:rPr>
          <w:sz w:val="24"/>
          <w:szCs w:val="24"/>
        </w:rPr>
      </w:pPr>
      <w:r w:rsidRPr="00475DC9">
        <w:rPr>
          <w:sz w:val="24"/>
          <w:szCs w:val="24"/>
        </w:rPr>
        <w:t>Natriumchlorid</w:t>
      </w:r>
    </w:p>
    <w:p w14:paraId="0FCFE6B9" w14:textId="77777777" w:rsidR="00016480" w:rsidRPr="00475DC9" w:rsidRDefault="00016480" w:rsidP="001B4015">
      <w:pPr>
        <w:ind w:left="851"/>
        <w:rPr>
          <w:sz w:val="24"/>
          <w:szCs w:val="24"/>
        </w:rPr>
      </w:pPr>
      <w:r w:rsidRPr="00475DC9">
        <w:rPr>
          <w:sz w:val="24"/>
          <w:szCs w:val="24"/>
        </w:rPr>
        <w:t>Vand til injektioner</w:t>
      </w:r>
    </w:p>
    <w:p w14:paraId="35D30912" w14:textId="77777777" w:rsidR="00016480" w:rsidRPr="00475DC9" w:rsidRDefault="00016480" w:rsidP="001B4015">
      <w:pPr>
        <w:ind w:left="851"/>
        <w:rPr>
          <w:sz w:val="24"/>
          <w:szCs w:val="24"/>
        </w:rPr>
      </w:pPr>
      <w:r w:rsidRPr="00475DC9">
        <w:rPr>
          <w:sz w:val="24"/>
          <w:szCs w:val="24"/>
        </w:rPr>
        <w:t>Saltsyre</w:t>
      </w:r>
    </w:p>
    <w:p w14:paraId="3F8B36D9" w14:textId="41116074" w:rsidR="00C24C12" w:rsidRDefault="00C24C12">
      <w:pPr>
        <w:rPr>
          <w:sz w:val="24"/>
          <w:szCs w:val="24"/>
        </w:rPr>
      </w:pPr>
      <w:r>
        <w:rPr>
          <w:sz w:val="24"/>
          <w:szCs w:val="24"/>
        </w:rPr>
        <w:br w:type="page"/>
      </w:r>
    </w:p>
    <w:p w14:paraId="52AE2319" w14:textId="77777777" w:rsidR="009260DE" w:rsidRPr="00475DC9" w:rsidRDefault="009260DE" w:rsidP="009260DE">
      <w:pPr>
        <w:tabs>
          <w:tab w:val="left" w:pos="851"/>
        </w:tabs>
        <w:ind w:left="851"/>
        <w:rPr>
          <w:sz w:val="24"/>
          <w:szCs w:val="24"/>
        </w:rPr>
      </w:pPr>
    </w:p>
    <w:p w14:paraId="5AC40B81" w14:textId="77777777" w:rsidR="009260DE" w:rsidRPr="00475DC9" w:rsidRDefault="009260DE" w:rsidP="009260DE">
      <w:pPr>
        <w:tabs>
          <w:tab w:val="left" w:pos="851"/>
        </w:tabs>
        <w:ind w:left="851" w:hanging="851"/>
        <w:rPr>
          <w:b/>
          <w:sz w:val="24"/>
          <w:szCs w:val="24"/>
        </w:rPr>
      </w:pPr>
      <w:r w:rsidRPr="00475DC9">
        <w:rPr>
          <w:b/>
          <w:sz w:val="24"/>
          <w:szCs w:val="24"/>
        </w:rPr>
        <w:t>6.2</w:t>
      </w:r>
      <w:r w:rsidRPr="00475DC9">
        <w:rPr>
          <w:b/>
          <w:sz w:val="24"/>
          <w:szCs w:val="24"/>
        </w:rPr>
        <w:tab/>
        <w:t>Uforligeligheder</w:t>
      </w:r>
    </w:p>
    <w:p w14:paraId="13EF91A9" w14:textId="77777777" w:rsidR="00016480" w:rsidRPr="00475DC9" w:rsidRDefault="00016480" w:rsidP="001B4015">
      <w:pPr>
        <w:ind w:left="851"/>
        <w:rPr>
          <w:bCs/>
          <w:iCs/>
          <w:noProof/>
          <w:sz w:val="24"/>
          <w:szCs w:val="24"/>
        </w:rPr>
      </w:pPr>
      <w:r w:rsidRPr="00475DC9">
        <w:rPr>
          <w:sz w:val="24"/>
          <w:szCs w:val="24"/>
        </w:rPr>
        <w:t>Dette lægemiddel må ikke blandes med andre lægemidler end dem, der er anført under pkt. 6.6.</w:t>
      </w:r>
    </w:p>
    <w:p w14:paraId="760AD245" w14:textId="77777777" w:rsidR="009260DE" w:rsidRPr="00475DC9" w:rsidRDefault="009260DE" w:rsidP="009260DE">
      <w:pPr>
        <w:tabs>
          <w:tab w:val="left" w:pos="851"/>
        </w:tabs>
        <w:ind w:left="851"/>
        <w:rPr>
          <w:sz w:val="24"/>
          <w:szCs w:val="24"/>
        </w:rPr>
      </w:pPr>
    </w:p>
    <w:p w14:paraId="1831931C" w14:textId="77777777" w:rsidR="009260DE" w:rsidRPr="00475DC9" w:rsidRDefault="009260DE" w:rsidP="009260DE">
      <w:pPr>
        <w:tabs>
          <w:tab w:val="left" w:pos="851"/>
        </w:tabs>
        <w:ind w:left="851" w:hanging="851"/>
        <w:rPr>
          <w:b/>
          <w:sz w:val="24"/>
          <w:szCs w:val="24"/>
        </w:rPr>
      </w:pPr>
      <w:r w:rsidRPr="00475DC9">
        <w:rPr>
          <w:b/>
          <w:sz w:val="24"/>
          <w:szCs w:val="24"/>
        </w:rPr>
        <w:t>6.3</w:t>
      </w:r>
      <w:r w:rsidRPr="00475DC9">
        <w:rPr>
          <w:b/>
          <w:sz w:val="24"/>
          <w:szCs w:val="24"/>
        </w:rPr>
        <w:tab/>
        <w:t>Opbevaringstid</w:t>
      </w:r>
    </w:p>
    <w:p w14:paraId="4D04B0D3" w14:textId="77777777" w:rsidR="00016480" w:rsidRPr="00475DC9" w:rsidRDefault="00016480" w:rsidP="001B4015">
      <w:pPr>
        <w:ind w:left="851"/>
        <w:rPr>
          <w:sz w:val="24"/>
          <w:szCs w:val="24"/>
        </w:rPr>
      </w:pPr>
      <w:r w:rsidRPr="00475DC9">
        <w:rPr>
          <w:sz w:val="24"/>
          <w:szCs w:val="24"/>
        </w:rPr>
        <w:t>Uåbnet: 2 år</w:t>
      </w:r>
    </w:p>
    <w:p w14:paraId="48007621" w14:textId="77777777" w:rsidR="00016480" w:rsidRPr="00475DC9" w:rsidRDefault="00016480" w:rsidP="001B4015">
      <w:pPr>
        <w:ind w:left="851"/>
        <w:rPr>
          <w:sz w:val="24"/>
          <w:szCs w:val="24"/>
        </w:rPr>
      </w:pPr>
    </w:p>
    <w:p w14:paraId="54C0A3E8" w14:textId="77777777" w:rsidR="00016480" w:rsidRPr="00475DC9" w:rsidRDefault="00016480" w:rsidP="001B4015">
      <w:pPr>
        <w:ind w:left="851"/>
        <w:rPr>
          <w:noProof/>
          <w:sz w:val="24"/>
          <w:szCs w:val="24"/>
        </w:rPr>
      </w:pPr>
      <w:r w:rsidRPr="00475DC9">
        <w:rPr>
          <w:sz w:val="24"/>
          <w:szCs w:val="24"/>
        </w:rPr>
        <w:t>Kemisk og fysisk stabilitet efter fortynding er dokumenteret i 24 timer ved 25 °C. Ud fra et mikrobiologisk synspunkt skal præparatet bruges med det samme. Hvis præparatet ikke anvendes straks, er brugeren ansvarlig for opbevaringstid og -betingelser inden anvendelse, som normalt ikke bør overstige 24 timer ved 2-8 °C, medmindre fortyndingen har fundet sted i kontrollerede og validerede aseptiske omgivelser.</w:t>
      </w:r>
    </w:p>
    <w:p w14:paraId="3A60AF75" w14:textId="77777777" w:rsidR="009260DE" w:rsidRPr="00475DC9" w:rsidRDefault="009260DE" w:rsidP="009260DE">
      <w:pPr>
        <w:tabs>
          <w:tab w:val="left" w:pos="851"/>
        </w:tabs>
        <w:ind w:left="851"/>
        <w:rPr>
          <w:sz w:val="24"/>
          <w:szCs w:val="24"/>
        </w:rPr>
      </w:pPr>
    </w:p>
    <w:p w14:paraId="2A37E768" w14:textId="77777777" w:rsidR="009260DE" w:rsidRPr="00475DC9" w:rsidRDefault="009260DE" w:rsidP="009260DE">
      <w:pPr>
        <w:tabs>
          <w:tab w:val="left" w:pos="851"/>
        </w:tabs>
        <w:ind w:left="851" w:hanging="851"/>
        <w:rPr>
          <w:b/>
          <w:sz w:val="24"/>
          <w:szCs w:val="24"/>
        </w:rPr>
      </w:pPr>
      <w:r w:rsidRPr="00475DC9">
        <w:rPr>
          <w:b/>
          <w:sz w:val="24"/>
          <w:szCs w:val="24"/>
        </w:rPr>
        <w:t>6.4</w:t>
      </w:r>
      <w:r w:rsidRPr="00475DC9">
        <w:rPr>
          <w:b/>
          <w:sz w:val="24"/>
          <w:szCs w:val="24"/>
        </w:rPr>
        <w:tab/>
        <w:t>Særlige opbevaringsforhold</w:t>
      </w:r>
    </w:p>
    <w:p w14:paraId="62227B72" w14:textId="77777777" w:rsidR="00016480" w:rsidRPr="00475DC9" w:rsidRDefault="00016480" w:rsidP="001B4015">
      <w:pPr>
        <w:ind w:left="851"/>
        <w:rPr>
          <w:sz w:val="24"/>
          <w:szCs w:val="24"/>
        </w:rPr>
      </w:pPr>
      <w:r w:rsidRPr="00475DC9">
        <w:rPr>
          <w:sz w:val="24"/>
          <w:szCs w:val="24"/>
        </w:rPr>
        <w:t xml:space="preserve">Opbevares ved temperaturer under 25 °C. </w:t>
      </w:r>
    </w:p>
    <w:p w14:paraId="5FE6BAA6" w14:textId="77777777" w:rsidR="00016480" w:rsidRPr="00475DC9" w:rsidRDefault="00016480" w:rsidP="001B4015">
      <w:pPr>
        <w:ind w:left="851"/>
        <w:rPr>
          <w:sz w:val="24"/>
          <w:szCs w:val="24"/>
        </w:rPr>
      </w:pPr>
      <w:r w:rsidRPr="00475DC9">
        <w:rPr>
          <w:bCs/>
          <w:sz w:val="24"/>
          <w:szCs w:val="24"/>
        </w:rPr>
        <w:t>Må ikke opbevares i køleskab eller nedfryses.</w:t>
      </w:r>
      <w:r w:rsidRPr="00475DC9">
        <w:rPr>
          <w:sz w:val="24"/>
          <w:szCs w:val="24"/>
        </w:rPr>
        <w:t xml:space="preserve"> </w:t>
      </w:r>
    </w:p>
    <w:p w14:paraId="31936446" w14:textId="77777777" w:rsidR="00016480" w:rsidRPr="00475DC9" w:rsidRDefault="00016480" w:rsidP="001B4015">
      <w:pPr>
        <w:ind w:left="851"/>
        <w:rPr>
          <w:sz w:val="24"/>
          <w:szCs w:val="24"/>
        </w:rPr>
      </w:pPr>
      <w:r w:rsidRPr="00475DC9">
        <w:rPr>
          <w:sz w:val="24"/>
          <w:szCs w:val="24"/>
        </w:rPr>
        <w:t xml:space="preserve">Opbevar posen og flasken i den ydre æske for at beskytte dem mod lys. </w:t>
      </w:r>
    </w:p>
    <w:p w14:paraId="7E7A8F78" w14:textId="77777777" w:rsidR="00016480" w:rsidRPr="00475DC9" w:rsidRDefault="00016480" w:rsidP="001B4015">
      <w:pPr>
        <w:ind w:left="851"/>
        <w:rPr>
          <w:sz w:val="24"/>
          <w:szCs w:val="24"/>
        </w:rPr>
      </w:pPr>
      <w:r w:rsidRPr="00475DC9">
        <w:rPr>
          <w:sz w:val="24"/>
          <w:szCs w:val="24"/>
        </w:rPr>
        <w:t>Opbevaringsforhold efter fortynding af lægemidlet, se pkt. 6.3</w:t>
      </w:r>
    </w:p>
    <w:p w14:paraId="7165374D" w14:textId="77777777" w:rsidR="009260DE" w:rsidRPr="00475DC9" w:rsidRDefault="009260DE" w:rsidP="009260DE">
      <w:pPr>
        <w:tabs>
          <w:tab w:val="left" w:pos="851"/>
        </w:tabs>
        <w:ind w:left="851"/>
        <w:rPr>
          <w:sz w:val="24"/>
          <w:szCs w:val="24"/>
        </w:rPr>
      </w:pPr>
    </w:p>
    <w:p w14:paraId="5307809A" w14:textId="77777777" w:rsidR="009260DE" w:rsidRPr="00475DC9" w:rsidRDefault="009260DE" w:rsidP="009260DE">
      <w:pPr>
        <w:tabs>
          <w:tab w:val="left" w:pos="851"/>
        </w:tabs>
        <w:ind w:left="851" w:hanging="851"/>
        <w:rPr>
          <w:b/>
          <w:sz w:val="24"/>
          <w:szCs w:val="24"/>
        </w:rPr>
      </w:pPr>
      <w:r w:rsidRPr="00475DC9">
        <w:rPr>
          <w:b/>
          <w:sz w:val="24"/>
          <w:szCs w:val="24"/>
        </w:rPr>
        <w:t>6.5</w:t>
      </w:r>
      <w:r w:rsidRPr="00475DC9">
        <w:rPr>
          <w:b/>
          <w:sz w:val="24"/>
          <w:szCs w:val="24"/>
        </w:rPr>
        <w:tab/>
        <w:t>Emballagetype og pakningsstørrelser</w:t>
      </w:r>
    </w:p>
    <w:p w14:paraId="7E79D300" w14:textId="77777777" w:rsidR="00016480" w:rsidRPr="00475DC9" w:rsidRDefault="00016480" w:rsidP="001B4015">
      <w:pPr>
        <w:ind w:left="851"/>
        <w:rPr>
          <w:sz w:val="24"/>
          <w:szCs w:val="24"/>
        </w:rPr>
      </w:pPr>
      <w:r w:rsidRPr="00475DC9">
        <w:rPr>
          <w:sz w:val="24"/>
          <w:szCs w:val="24"/>
        </w:rPr>
        <w:t xml:space="preserve">50 ml eller 100 ml i plastposer af polypropylen med gummilukninger (type I) og aluminiumshætter med flip-top-låg i plast. </w:t>
      </w:r>
    </w:p>
    <w:p w14:paraId="22A0A39C" w14:textId="77777777" w:rsidR="00016480" w:rsidRPr="00475DC9" w:rsidRDefault="00016480" w:rsidP="001B4015">
      <w:pPr>
        <w:ind w:left="851"/>
        <w:rPr>
          <w:sz w:val="24"/>
          <w:szCs w:val="24"/>
        </w:rPr>
      </w:pPr>
      <w:r w:rsidRPr="00475DC9">
        <w:rPr>
          <w:sz w:val="24"/>
          <w:szCs w:val="24"/>
        </w:rPr>
        <w:t>Fås i pakker med 10 poser.</w:t>
      </w:r>
    </w:p>
    <w:p w14:paraId="07B14DD9" w14:textId="77777777" w:rsidR="00016480" w:rsidRPr="00475DC9" w:rsidRDefault="00016480" w:rsidP="001B4015">
      <w:pPr>
        <w:ind w:left="851"/>
        <w:rPr>
          <w:sz w:val="24"/>
          <w:szCs w:val="24"/>
        </w:rPr>
      </w:pPr>
    </w:p>
    <w:p w14:paraId="38043DD2" w14:textId="77777777" w:rsidR="00016480" w:rsidRPr="00475DC9" w:rsidRDefault="00016480" w:rsidP="001B4015">
      <w:pPr>
        <w:ind w:left="851"/>
        <w:rPr>
          <w:sz w:val="24"/>
          <w:szCs w:val="24"/>
        </w:rPr>
      </w:pPr>
      <w:r w:rsidRPr="00475DC9">
        <w:rPr>
          <w:sz w:val="24"/>
          <w:szCs w:val="24"/>
        </w:rPr>
        <w:t>100 ml eller 200 ml i polypropylenflasker med formede plasthætter og gummipakning og en trækring eller med plasthætter med tilhørende elastomere (elastomer). Fås i pakker med 10 eller 20 flasker.</w:t>
      </w:r>
    </w:p>
    <w:p w14:paraId="15C47FC7" w14:textId="77777777" w:rsidR="00016480" w:rsidRPr="00475DC9" w:rsidRDefault="00016480" w:rsidP="001B4015">
      <w:pPr>
        <w:ind w:left="851"/>
        <w:rPr>
          <w:sz w:val="24"/>
          <w:szCs w:val="24"/>
          <w:lang w:val="nl-NL"/>
        </w:rPr>
      </w:pPr>
    </w:p>
    <w:p w14:paraId="2E66AAA5" w14:textId="77777777" w:rsidR="00016480" w:rsidRPr="00475DC9" w:rsidRDefault="00016480" w:rsidP="001B4015">
      <w:pPr>
        <w:ind w:left="851"/>
        <w:rPr>
          <w:sz w:val="24"/>
          <w:szCs w:val="24"/>
        </w:rPr>
      </w:pPr>
      <w:r w:rsidRPr="00475DC9">
        <w:rPr>
          <w:sz w:val="24"/>
          <w:szCs w:val="24"/>
        </w:rPr>
        <w:t>Ikke alle pakningsstørrelser er nødvendigvis markedsført.</w:t>
      </w:r>
    </w:p>
    <w:p w14:paraId="0ADFDA9F" w14:textId="77777777" w:rsidR="009260DE" w:rsidRPr="00475DC9" w:rsidRDefault="009260DE" w:rsidP="009260DE">
      <w:pPr>
        <w:tabs>
          <w:tab w:val="left" w:pos="851"/>
        </w:tabs>
        <w:ind w:left="851"/>
        <w:rPr>
          <w:sz w:val="24"/>
          <w:szCs w:val="24"/>
        </w:rPr>
      </w:pPr>
    </w:p>
    <w:p w14:paraId="48D2B4E4" w14:textId="77777777" w:rsidR="009260DE" w:rsidRPr="00475DC9" w:rsidRDefault="009260DE" w:rsidP="009260DE">
      <w:pPr>
        <w:tabs>
          <w:tab w:val="left" w:pos="851"/>
        </w:tabs>
        <w:ind w:left="851" w:hanging="851"/>
        <w:rPr>
          <w:b/>
          <w:sz w:val="24"/>
          <w:szCs w:val="24"/>
        </w:rPr>
      </w:pPr>
      <w:r w:rsidRPr="00475DC9">
        <w:rPr>
          <w:b/>
          <w:sz w:val="24"/>
          <w:szCs w:val="24"/>
        </w:rPr>
        <w:t>6.6</w:t>
      </w:r>
      <w:r w:rsidRPr="00475DC9">
        <w:rPr>
          <w:b/>
          <w:sz w:val="24"/>
          <w:szCs w:val="24"/>
        </w:rPr>
        <w:tab/>
        <w:t xml:space="preserve">Regler for </w:t>
      </w:r>
      <w:r w:rsidR="00BD7931" w:rsidRPr="00475DC9">
        <w:rPr>
          <w:b/>
          <w:sz w:val="24"/>
          <w:szCs w:val="24"/>
        </w:rPr>
        <w:t>bortskaffelse</w:t>
      </w:r>
      <w:r w:rsidRPr="00475DC9">
        <w:rPr>
          <w:b/>
          <w:sz w:val="24"/>
          <w:szCs w:val="24"/>
        </w:rPr>
        <w:t xml:space="preserve"> og anden håndtering</w:t>
      </w:r>
    </w:p>
    <w:p w14:paraId="0A6F982E" w14:textId="77777777" w:rsidR="00DB68DF" w:rsidRPr="00475DC9" w:rsidRDefault="00DB68DF" w:rsidP="001B4015">
      <w:pPr>
        <w:ind w:left="851"/>
        <w:rPr>
          <w:sz w:val="24"/>
          <w:szCs w:val="24"/>
        </w:rPr>
      </w:pPr>
      <w:r w:rsidRPr="00475DC9">
        <w:rPr>
          <w:sz w:val="24"/>
          <w:szCs w:val="24"/>
        </w:rPr>
        <w:t xml:space="preserve">Kun til engangsbrug. Ubrugt opløsning skal bortskaffes. </w:t>
      </w:r>
    </w:p>
    <w:p w14:paraId="762DE46A" w14:textId="77777777" w:rsidR="00DB68DF" w:rsidRPr="00475DC9" w:rsidRDefault="00DB68DF" w:rsidP="001B4015">
      <w:pPr>
        <w:ind w:left="851"/>
        <w:rPr>
          <w:sz w:val="24"/>
          <w:szCs w:val="24"/>
        </w:rPr>
      </w:pPr>
    </w:p>
    <w:p w14:paraId="59A0B031" w14:textId="77777777" w:rsidR="00DB68DF" w:rsidRPr="00475DC9" w:rsidRDefault="00DB68DF" w:rsidP="001B4015">
      <w:pPr>
        <w:ind w:left="851"/>
        <w:rPr>
          <w:sz w:val="24"/>
          <w:szCs w:val="24"/>
        </w:rPr>
      </w:pPr>
      <w:r w:rsidRPr="00475DC9">
        <w:rPr>
          <w:sz w:val="24"/>
          <w:szCs w:val="24"/>
        </w:rPr>
        <w:t xml:space="preserve">Opløsningen skal inspiceres visuelt for partikler og misfarvning inden indgift. Opløsningen må kun anvendes, hvis den er klar og fri for partikler. </w:t>
      </w:r>
    </w:p>
    <w:p w14:paraId="0494210B" w14:textId="77777777" w:rsidR="00DB68DF" w:rsidRPr="00475DC9" w:rsidRDefault="00DB68DF" w:rsidP="001B4015">
      <w:pPr>
        <w:ind w:left="851"/>
        <w:rPr>
          <w:sz w:val="24"/>
          <w:szCs w:val="24"/>
        </w:rPr>
      </w:pPr>
    </w:p>
    <w:p w14:paraId="41C46349" w14:textId="0660FD58" w:rsidR="00DB68DF" w:rsidRPr="00475DC9" w:rsidRDefault="00395A81" w:rsidP="001B4015">
      <w:pPr>
        <w:ind w:left="851"/>
        <w:rPr>
          <w:sz w:val="24"/>
          <w:szCs w:val="24"/>
        </w:rPr>
      </w:pPr>
      <w:r>
        <w:rPr>
          <w:sz w:val="24"/>
          <w:szCs w:val="24"/>
        </w:rPr>
        <w:t>Fluconazole "Noridem"</w:t>
      </w:r>
      <w:r w:rsidR="00DB68DF" w:rsidRPr="00475DC9">
        <w:rPr>
          <w:sz w:val="24"/>
          <w:szCs w:val="24"/>
        </w:rPr>
        <w:t>, infusionsvæske, opløsning kan indgives via et infusionssystem (drop) ved hjælp af en af de følgende opløsninger og bør ikke blandes med andre lægemidler i en infusionsvæske, opløsning:</w:t>
      </w:r>
    </w:p>
    <w:tbl>
      <w:tblPr>
        <w:tblW w:w="85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3106"/>
      </w:tblGrid>
      <w:tr w:rsidR="00DB68DF" w:rsidRPr="00475DC9" w14:paraId="217972A9" w14:textId="77777777" w:rsidTr="00AC4C4B">
        <w:tc>
          <w:tcPr>
            <w:tcW w:w="5416" w:type="dxa"/>
            <w:tcBorders>
              <w:top w:val="single" w:sz="4" w:space="0" w:color="auto"/>
              <w:left w:val="single" w:sz="4" w:space="0" w:color="auto"/>
              <w:bottom w:val="single" w:sz="4" w:space="0" w:color="auto"/>
              <w:right w:val="single" w:sz="4" w:space="0" w:color="auto"/>
            </w:tcBorders>
            <w:hideMark/>
          </w:tcPr>
          <w:p w14:paraId="2621BB84" w14:textId="77777777" w:rsidR="00DB68DF" w:rsidRPr="00475DC9" w:rsidRDefault="00DB68DF" w:rsidP="00395A81">
            <w:pPr>
              <w:pStyle w:val="Brdtekst"/>
              <w:spacing w:after="0" w:line="240" w:lineRule="auto"/>
              <w:rPr>
                <w:b/>
                <w:bCs/>
                <w:iCs/>
                <w:color w:val="000000"/>
                <w:sz w:val="24"/>
                <w:szCs w:val="24"/>
                <w:lang w:bidi="he-IL"/>
              </w:rPr>
            </w:pPr>
            <w:r w:rsidRPr="00475DC9">
              <w:rPr>
                <w:b/>
                <w:color w:val="000000"/>
                <w:sz w:val="24"/>
                <w:szCs w:val="24"/>
                <w:lang w:bidi="he-IL"/>
              </w:rPr>
              <w:t>Fortynder</w:t>
            </w:r>
          </w:p>
        </w:tc>
        <w:tc>
          <w:tcPr>
            <w:tcW w:w="3106" w:type="dxa"/>
            <w:tcBorders>
              <w:top w:val="single" w:sz="4" w:space="0" w:color="auto"/>
              <w:left w:val="single" w:sz="4" w:space="0" w:color="auto"/>
              <w:bottom w:val="single" w:sz="4" w:space="0" w:color="auto"/>
              <w:right w:val="single" w:sz="4" w:space="0" w:color="auto"/>
            </w:tcBorders>
            <w:hideMark/>
          </w:tcPr>
          <w:p w14:paraId="7723822E" w14:textId="77777777" w:rsidR="00DB68DF" w:rsidRPr="00475DC9" w:rsidRDefault="00DB68DF" w:rsidP="00395A81">
            <w:pPr>
              <w:pStyle w:val="Brdtekst"/>
              <w:spacing w:after="0" w:line="240" w:lineRule="auto"/>
              <w:rPr>
                <w:b/>
                <w:bCs/>
                <w:iCs/>
                <w:color w:val="000000"/>
                <w:sz w:val="24"/>
                <w:szCs w:val="24"/>
                <w:lang w:bidi="he-IL"/>
              </w:rPr>
            </w:pPr>
            <w:r w:rsidRPr="00475DC9">
              <w:rPr>
                <w:b/>
                <w:color w:val="000000"/>
                <w:sz w:val="24"/>
                <w:szCs w:val="24"/>
                <w:lang w:bidi="he-IL"/>
              </w:rPr>
              <w:t>Resulterende koncentration</w:t>
            </w:r>
          </w:p>
          <w:p w14:paraId="284606A3" w14:textId="77777777" w:rsidR="00DB68DF" w:rsidRPr="00475DC9" w:rsidRDefault="00DB68DF" w:rsidP="00395A81">
            <w:pPr>
              <w:pStyle w:val="Brdtekst"/>
              <w:spacing w:after="0" w:line="240" w:lineRule="auto"/>
              <w:jc w:val="center"/>
              <w:rPr>
                <w:b/>
                <w:bCs/>
                <w:iCs/>
                <w:color w:val="000000"/>
                <w:sz w:val="24"/>
                <w:szCs w:val="24"/>
                <w:lang w:bidi="he-IL"/>
              </w:rPr>
            </w:pPr>
            <w:r w:rsidRPr="00475DC9">
              <w:rPr>
                <w:b/>
                <w:color w:val="000000"/>
                <w:sz w:val="24"/>
                <w:szCs w:val="24"/>
                <w:lang w:bidi="he-IL"/>
              </w:rPr>
              <w:t>af fluconazol</w:t>
            </w:r>
          </w:p>
        </w:tc>
      </w:tr>
      <w:tr w:rsidR="00DB68DF" w:rsidRPr="00475DC9" w14:paraId="19FF6E63" w14:textId="77777777" w:rsidTr="00AC4C4B">
        <w:trPr>
          <w:cantSplit/>
        </w:trPr>
        <w:tc>
          <w:tcPr>
            <w:tcW w:w="5416" w:type="dxa"/>
            <w:tcBorders>
              <w:top w:val="single" w:sz="4" w:space="0" w:color="auto"/>
              <w:left w:val="single" w:sz="4" w:space="0" w:color="auto"/>
              <w:bottom w:val="single" w:sz="4" w:space="0" w:color="auto"/>
              <w:right w:val="single" w:sz="4" w:space="0" w:color="auto"/>
            </w:tcBorders>
            <w:hideMark/>
          </w:tcPr>
          <w:p w14:paraId="4B306FE5" w14:textId="77777777" w:rsidR="00DB68DF" w:rsidRPr="00475DC9" w:rsidRDefault="00DB68DF" w:rsidP="00395A81">
            <w:pPr>
              <w:pStyle w:val="Brdtekst"/>
              <w:spacing w:after="0" w:line="240" w:lineRule="auto"/>
              <w:rPr>
                <w:color w:val="000000"/>
                <w:sz w:val="24"/>
                <w:szCs w:val="24"/>
                <w:lang w:bidi="he-IL"/>
              </w:rPr>
            </w:pPr>
            <w:r w:rsidRPr="00475DC9">
              <w:rPr>
                <w:color w:val="000000"/>
                <w:sz w:val="24"/>
                <w:szCs w:val="24"/>
                <w:lang w:bidi="he-IL"/>
              </w:rPr>
              <w:t>Natriumchlorid-injektion 0,9 %</w:t>
            </w:r>
          </w:p>
        </w:tc>
        <w:tc>
          <w:tcPr>
            <w:tcW w:w="3106" w:type="dxa"/>
            <w:tcBorders>
              <w:top w:val="single" w:sz="4" w:space="0" w:color="auto"/>
              <w:left w:val="single" w:sz="4" w:space="0" w:color="auto"/>
              <w:bottom w:val="single" w:sz="4" w:space="0" w:color="auto"/>
              <w:right w:val="single" w:sz="4" w:space="0" w:color="auto"/>
            </w:tcBorders>
            <w:hideMark/>
          </w:tcPr>
          <w:p w14:paraId="1C418E5E" w14:textId="77777777" w:rsidR="00DB68DF" w:rsidRPr="00475DC9" w:rsidRDefault="00DB68DF" w:rsidP="00395A81">
            <w:pPr>
              <w:pStyle w:val="Brdtekst2"/>
              <w:spacing w:after="0" w:line="240" w:lineRule="auto"/>
              <w:jc w:val="center"/>
              <w:rPr>
                <w:color w:val="000000"/>
                <w:sz w:val="24"/>
                <w:szCs w:val="24"/>
                <w:lang w:bidi="he-IL"/>
              </w:rPr>
            </w:pPr>
            <w:r w:rsidRPr="00475DC9">
              <w:rPr>
                <w:color w:val="000000"/>
                <w:sz w:val="24"/>
                <w:szCs w:val="24"/>
                <w:lang w:bidi="he-IL"/>
              </w:rPr>
              <w:t>1,0 mg/ml</w:t>
            </w:r>
          </w:p>
        </w:tc>
      </w:tr>
      <w:tr w:rsidR="00DB68DF" w:rsidRPr="00475DC9" w14:paraId="3578D1D2" w14:textId="77777777" w:rsidTr="00AC4C4B">
        <w:tc>
          <w:tcPr>
            <w:tcW w:w="5416" w:type="dxa"/>
            <w:tcBorders>
              <w:top w:val="single" w:sz="4" w:space="0" w:color="auto"/>
              <w:left w:val="single" w:sz="4" w:space="0" w:color="auto"/>
              <w:bottom w:val="single" w:sz="4" w:space="0" w:color="auto"/>
              <w:right w:val="single" w:sz="4" w:space="0" w:color="auto"/>
            </w:tcBorders>
            <w:hideMark/>
          </w:tcPr>
          <w:p w14:paraId="773A9551" w14:textId="77777777" w:rsidR="00DB68DF" w:rsidRPr="00475DC9" w:rsidRDefault="00DB68DF" w:rsidP="00395A81">
            <w:pPr>
              <w:pStyle w:val="Brdtekst"/>
              <w:spacing w:after="0" w:line="240" w:lineRule="auto"/>
              <w:rPr>
                <w:color w:val="000000"/>
                <w:sz w:val="24"/>
                <w:szCs w:val="24"/>
                <w:lang w:bidi="he-IL"/>
              </w:rPr>
            </w:pPr>
            <w:r w:rsidRPr="00475DC9">
              <w:rPr>
                <w:color w:val="000000"/>
                <w:sz w:val="24"/>
                <w:szCs w:val="24"/>
                <w:lang w:bidi="he-IL"/>
              </w:rPr>
              <w:t>Dextrose-injektion 20 %</w:t>
            </w:r>
          </w:p>
        </w:tc>
        <w:tc>
          <w:tcPr>
            <w:tcW w:w="3106" w:type="dxa"/>
            <w:tcBorders>
              <w:top w:val="single" w:sz="4" w:space="0" w:color="auto"/>
              <w:left w:val="single" w:sz="4" w:space="0" w:color="auto"/>
              <w:bottom w:val="single" w:sz="4" w:space="0" w:color="auto"/>
              <w:right w:val="single" w:sz="4" w:space="0" w:color="auto"/>
            </w:tcBorders>
            <w:hideMark/>
          </w:tcPr>
          <w:p w14:paraId="1D7F3DF6" w14:textId="77777777" w:rsidR="00DB68DF" w:rsidRPr="00475DC9" w:rsidRDefault="00DB68DF" w:rsidP="00395A81">
            <w:pPr>
              <w:pStyle w:val="Brdtekst2"/>
              <w:spacing w:after="0" w:line="240" w:lineRule="auto"/>
              <w:jc w:val="center"/>
              <w:rPr>
                <w:color w:val="000000"/>
                <w:sz w:val="24"/>
                <w:szCs w:val="24"/>
                <w:lang w:bidi="he-IL"/>
              </w:rPr>
            </w:pPr>
            <w:r w:rsidRPr="00475DC9">
              <w:rPr>
                <w:color w:val="000000"/>
                <w:sz w:val="24"/>
                <w:szCs w:val="24"/>
                <w:lang w:bidi="he-IL"/>
              </w:rPr>
              <w:t>1,0 mg/ml</w:t>
            </w:r>
          </w:p>
        </w:tc>
      </w:tr>
      <w:tr w:rsidR="00DB68DF" w:rsidRPr="00475DC9" w14:paraId="1F25DDC8" w14:textId="77777777" w:rsidTr="00AC4C4B">
        <w:trPr>
          <w:cantSplit/>
        </w:trPr>
        <w:tc>
          <w:tcPr>
            <w:tcW w:w="5416" w:type="dxa"/>
            <w:tcBorders>
              <w:top w:val="single" w:sz="4" w:space="0" w:color="auto"/>
              <w:left w:val="single" w:sz="4" w:space="0" w:color="auto"/>
              <w:bottom w:val="single" w:sz="4" w:space="0" w:color="auto"/>
              <w:right w:val="single" w:sz="4" w:space="0" w:color="auto"/>
            </w:tcBorders>
            <w:hideMark/>
          </w:tcPr>
          <w:p w14:paraId="77163BC1" w14:textId="77777777" w:rsidR="00DB68DF" w:rsidRPr="00475DC9" w:rsidRDefault="00DB68DF" w:rsidP="00395A81">
            <w:pPr>
              <w:pStyle w:val="Brdtekst"/>
              <w:spacing w:after="0" w:line="240" w:lineRule="auto"/>
              <w:rPr>
                <w:color w:val="000000"/>
                <w:sz w:val="24"/>
                <w:szCs w:val="24"/>
                <w:lang w:bidi="he-IL"/>
              </w:rPr>
            </w:pPr>
            <w:r w:rsidRPr="00475DC9">
              <w:rPr>
                <w:color w:val="000000"/>
                <w:sz w:val="24"/>
                <w:szCs w:val="24"/>
                <w:lang w:bidi="he-IL"/>
              </w:rPr>
              <w:t>Ringer-lactat-injektion</w:t>
            </w:r>
          </w:p>
        </w:tc>
        <w:tc>
          <w:tcPr>
            <w:tcW w:w="3106" w:type="dxa"/>
            <w:tcBorders>
              <w:top w:val="single" w:sz="4" w:space="0" w:color="auto"/>
              <w:left w:val="single" w:sz="4" w:space="0" w:color="auto"/>
              <w:bottom w:val="single" w:sz="4" w:space="0" w:color="auto"/>
              <w:right w:val="single" w:sz="4" w:space="0" w:color="auto"/>
            </w:tcBorders>
            <w:hideMark/>
          </w:tcPr>
          <w:p w14:paraId="2AFF4C7B" w14:textId="77777777" w:rsidR="00DB68DF" w:rsidRPr="00475DC9" w:rsidRDefault="00DB68DF" w:rsidP="00395A81">
            <w:pPr>
              <w:pStyle w:val="Brdtekst2"/>
              <w:spacing w:after="0" w:line="240" w:lineRule="auto"/>
              <w:jc w:val="center"/>
              <w:rPr>
                <w:color w:val="000000"/>
                <w:sz w:val="24"/>
                <w:szCs w:val="24"/>
                <w:lang w:bidi="he-IL"/>
              </w:rPr>
            </w:pPr>
            <w:r w:rsidRPr="00475DC9">
              <w:rPr>
                <w:color w:val="000000"/>
                <w:sz w:val="24"/>
                <w:szCs w:val="24"/>
                <w:lang w:bidi="he-IL"/>
              </w:rPr>
              <w:t>1,0 mg/ml</w:t>
            </w:r>
          </w:p>
        </w:tc>
      </w:tr>
      <w:tr w:rsidR="00DB68DF" w:rsidRPr="00475DC9" w14:paraId="06112FF9" w14:textId="77777777" w:rsidTr="00AC4C4B">
        <w:trPr>
          <w:cantSplit/>
        </w:trPr>
        <w:tc>
          <w:tcPr>
            <w:tcW w:w="5416" w:type="dxa"/>
            <w:tcBorders>
              <w:top w:val="single" w:sz="4" w:space="0" w:color="auto"/>
              <w:left w:val="single" w:sz="4" w:space="0" w:color="auto"/>
              <w:bottom w:val="single" w:sz="4" w:space="0" w:color="auto"/>
              <w:right w:val="single" w:sz="4" w:space="0" w:color="auto"/>
            </w:tcBorders>
            <w:hideMark/>
          </w:tcPr>
          <w:p w14:paraId="0ABA05FF" w14:textId="77777777" w:rsidR="00DB68DF" w:rsidRPr="00475DC9" w:rsidRDefault="00DB68DF" w:rsidP="00395A81">
            <w:pPr>
              <w:pStyle w:val="Brdtekst"/>
              <w:spacing w:after="0" w:line="240" w:lineRule="auto"/>
              <w:rPr>
                <w:color w:val="000000"/>
                <w:sz w:val="24"/>
                <w:szCs w:val="24"/>
                <w:lang w:bidi="he-IL"/>
              </w:rPr>
            </w:pPr>
            <w:r w:rsidRPr="00475DC9">
              <w:rPr>
                <w:color w:val="000000"/>
                <w:sz w:val="24"/>
                <w:szCs w:val="24"/>
                <w:lang w:bidi="he-IL"/>
              </w:rPr>
              <w:t>Ringer-injektion</w:t>
            </w:r>
          </w:p>
        </w:tc>
        <w:tc>
          <w:tcPr>
            <w:tcW w:w="3106" w:type="dxa"/>
            <w:tcBorders>
              <w:top w:val="single" w:sz="4" w:space="0" w:color="auto"/>
              <w:left w:val="single" w:sz="4" w:space="0" w:color="auto"/>
              <w:bottom w:val="single" w:sz="4" w:space="0" w:color="auto"/>
              <w:right w:val="single" w:sz="4" w:space="0" w:color="auto"/>
            </w:tcBorders>
            <w:hideMark/>
          </w:tcPr>
          <w:p w14:paraId="1D84ADED" w14:textId="77777777" w:rsidR="00DB68DF" w:rsidRPr="00475DC9" w:rsidRDefault="00DB68DF" w:rsidP="00395A81">
            <w:pPr>
              <w:pStyle w:val="Brdtekst2"/>
              <w:spacing w:after="0" w:line="240" w:lineRule="auto"/>
              <w:jc w:val="center"/>
              <w:rPr>
                <w:color w:val="000000"/>
                <w:sz w:val="24"/>
                <w:szCs w:val="24"/>
                <w:lang w:bidi="he-IL"/>
              </w:rPr>
            </w:pPr>
            <w:r w:rsidRPr="00475DC9">
              <w:rPr>
                <w:color w:val="000000"/>
                <w:sz w:val="24"/>
                <w:szCs w:val="24"/>
                <w:lang w:bidi="he-IL"/>
              </w:rPr>
              <w:t>1,0 mg/ml</w:t>
            </w:r>
          </w:p>
        </w:tc>
      </w:tr>
      <w:tr w:rsidR="00DB68DF" w:rsidRPr="00475DC9" w14:paraId="3C85AB6E" w14:textId="77777777" w:rsidTr="00AC4C4B">
        <w:trPr>
          <w:cantSplit/>
        </w:trPr>
        <w:tc>
          <w:tcPr>
            <w:tcW w:w="5416" w:type="dxa"/>
            <w:tcBorders>
              <w:top w:val="single" w:sz="4" w:space="0" w:color="auto"/>
              <w:left w:val="single" w:sz="4" w:space="0" w:color="auto"/>
              <w:bottom w:val="single" w:sz="4" w:space="0" w:color="auto"/>
              <w:right w:val="single" w:sz="4" w:space="0" w:color="auto"/>
            </w:tcBorders>
            <w:hideMark/>
          </w:tcPr>
          <w:p w14:paraId="5C6A12E3" w14:textId="274EA806" w:rsidR="00DB68DF" w:rsidRPr="00475DC9" w:rsidRDefault="00DB68DF" w:rsidP="00395A81">
            <w:pPr>
              <w:pStyle w:val="Brdtekst"/>
              <w:spacing w:after="0" w:line="240" w:lineRule="auto"/>
              <w:rPr>
                <w:color w:val="000000"/>
                <w:sz w:val="24"/>
                <w:szCs w:val="24"/>
                <w:lang w:bidi="he-IL"/>
              </w:rPr>
            </w:pPr>
            <w:bookmarkStart w:id="12" w:name="_Hlk195261156"/>
            <w:r w:rsidRPr="00475DC9">
              <w:rPr>
                <w:color w:val="000000"/>
                <w:sz w:val="24"/>
                <w:szCs w:val="24"/>
                <w:lang w:bidi="he-IL"/>
              </w:rPr>
              <w:t>Kaliumchlorid</w:t>
            </w:r>
            <w:bookmarkEnd w:id="12"/>
            <w:r w:rsidRPr="00475DC9">
              <w:rPr>
                <w:color w:val="000000"/>
                <w:sz w:val="24"/>
                <w:szCs w:val="24"/>
                <w:lang w:bidi="he-IL"/>
              </w:rPr>
              <w:t xml:space="preserve"> 0,3 %-Dextrose 5 % injektion</w:t>
            </w:r>
          </w:p>
        </w:tc>
        <w:tc>
          <w:tcPr>
            <w:tcW w:w="3106" w:type="dxa"/>
            <w:tcBorders>
              <w:top w:val="single" w:sz="4" w:space="0" w:color="auto"/>
              <w:left w:val="single" w:sz="4" w:space="0" w:color="auto"/>
              <w:bottom w:val="single" w:sz="4" w:space="0" w:color="auto"/>
              <w:right w:val="single" w:sz="4" w:space="0" w:color="auto"/>
            </w:tcBorders>
            <w:hideMark/>
          </w:tcPr>
          <w:p w14:paraId="6C63677A" w14:textId="77777777" w:rsidR="00DB68DF" w:rsidRPr="00475DC9" w:rsidRDefault="00DB68DF" w:rsidP="00395A81">
            <w:pPr>
              <w:pStyle w:val="Brdtekst2"/>
              <w:spacing w:after="0" w:line="240" w:lineRule="auto"/>
              <w:jc w:val="center"/>
              <w:rPr>
                <w:color w:val="000000"/>
                <w:sz w:val="24"/>
                <w:szCs w:val="24"/>
                <w:lang w:bidi="he-IL"/>
              </w:rPr>
            </w:pPr>
            <w:r w:rsidRPr="00475DC9">
              <w:rPr>
                <w:color w:val="000000"/>
                <w:sz w:val="24"/>
                <w:szCs w:val="24"/>
                <w:lang w:bidi="he-IL"/>
              </w:rPr>
              <w:t>1,0 mg/ml</w:t>
            </w:r>
          </w:p>
        </w:tc>
      </w:tr>
      <w:tr w:rsidR="00DB68DF" w:rsidRPr="00475DC9" w14:paraId="4291015C" w14:textId="77777777" w:rsidTr="00AC4C4B">
        <w:trPr>
          <w:cantSplit/>
        </w:trPr>
        <w:tc>
          <w:tcPr>
            <w:tcW w:w="5416" w:type="dxa"/>
            <w:tcBorders>
              <w:top w:val="single" w:sz="4" w:space="0" w:color="auto"/>
              <w:left w:val="single" w:sz="4" w:space="0" w:color="auto"/>
              <w:bottom w:val="single" w:sz="4" w:space="0" w:color="auto"/>
              <w:right w:val="single" w:sz="4" w:space="0" w:color="auto"/>
            </w:tcBorders>
            <w:hideMark/>
          </w:tcPr>
          <w:p w14:paraId="6F0E7B64" w14:textId="77777777" w:rsidR="00DB68DF" w:rsidRPr="00475DC9" w:rsidRDefault="00DB68DF" w:rsidP="00395A81">
            <w:pPr>
              <w:pStyle w:val="Brdtekst"/>
              <w:spacing w:after="0" w:line="240" w:lineRule="auto"/>
              <w:rPr>
                <w:color w:val="000000"/>
                <w:sz w:val="24"/>
                <w:szCs w:val="24"/>
                <w:lang w:bidi="he-IL"/>
              </w:rPr>
            </w:pPr>
            <w:r w:rsidRPr="00475DC9">
              <w:rPr>
                <w:color w:val="000000"/>
                <w:sz w:val="24"/>
                <w:szCs w:val="24"/>
                <w:lang w:bidi="he-IL"/>
              </w:rPr>
              <w:lastRenderedPageBreak/>
              <w:t xml:space="preserve">Natriumbicarbonat 4,2 % injektion </w:t>
            </w:r>
          </w:p>
        </w:tc>
        <w:tc>
          <w:tcPr>
            <w:tcW w:w="3106" w:type="dxa"/>
            <w:tcBorders>
              <w:top w:val="single" w:sz="4" w:space="0" w:color="auto"/>
              <w:left w:val="single" w:sz="4" w:space="0" w:color="auto"/>
              <w:bottom w:val="single" w:sz="4" w:space="0" w:color="auto"/>
              <w:right w:val="single" w:sz="4" w:space="0" w:color="auto"/>
            </w:tcBorders>
            <w:hideMark/>
          </w:tcPr>
          <w:p w14:paraId="19A0A2C4" w14:textId="77777777" w:rsidR="00DB68DF" w:rsidRPr="00475DC9" w:rsidRDefault="00DB68DF" w:rsidP="00395A81">
            <w:pPr>
              <w:pStyle w:val="Brdtekst2"/>
              <w:spacing w:after="0" w:line="240" w:lineRule="auto"/>
              <w:jc w:val="center"/>
              <w:rPr>
                <w:color w:val="000000"/>
                <w:sz w:val="24"/>
                <w:szCs w:val="24"/>
                <w:lang w:bidi="he-IL"/>
              </w:rPr>
            </w:pPr>
            <w:r w:rsidRPr="00475DC9">
              <w:rPr>
                <w:color w:val="000000"/>
                <w:sz w:val="24"/>
                <w:szCs w:val="24"/>
                <w:lang w:bidi="he-IL"/>
              </w:rPr>
              <w:t>1,0 mg/ml</w:t>
            </w:r>
          </w:p>
        </w:tc>
      </w:tr>
    </w:tbl>
    <w:p w14:paraId="4FEDFD30" w14:textId="77777777" w:rsidR="00DB68DF" w:rsidRPr="00475DC9" w:rsidRDefault="00DB68DF" w:rsidP="00AC4C4B">
      <w:pPr>
        <w:ind w:left="851"/>
        <w:rPr>
          <w:sz w:val="24"/>
          <w:szCs w:val="24"/>
        </w:rPr>
      </w:pPr>
    </w:p>
    <w:p w14:paraId="78170150" w14:textId="77777777" w:rsidR="00DB68DF" w:rsidRPr="00475DC9" w:rsidRDefault="00DB68DF" w:rsidP="00AC4C4B">
      <w:pPr>
        <w:ind w:left="851"/>
        <w:rPr>
          <w:bCs/>
          <w:noProof/>
          <w:sz w:val="24"/>
          <w:szCs w:val="24"/>
        </w:rPr>
      </w:pPr>
      <w:r w:rsidRPr="00475DC9">
        <w:rPr>
          <w:sz w:val="24"/>
          <w:szCs w:val="24"/>
        </w:rPr>
        <w:t xml:space="preserve">Ikke anvendt lægemiddel samt affald heraf skal bortskaffes i henhold til lokale retningslinjer. </w:t>
      </w:r>
    </w:p>
    <w:p w14:paraId="7F99091B" w14:textId="77777777" w:rsidR="009260DE" w:rsidRPr="00475DC9" w:rsidRDefault="009260DE" w:rsidP="000730CA">
      <w:pPr>
        <w:tabs>
          <w:tab w:val="left" w:pos="851"/>
        </w:tabs>
        <w:ind w:left="851"/>
        <w:rPr>
          <w:sz w:val="24"/>
          <w:szCs w:val="24"/>
        </w:rPr>
      </w:pPr>
    </w:p>
    <w:p w14:paraId="2CFF5608" w14:textId="77777777" w:rsidR="009260DE" w:rsidRPr="00475DC9" w:rsidRDefault="009260DE" w:rsidP="009260DE">
      <w:pPr>
        <w:tabs>
          <w:tab w:val="left" w:pos="851"/>
        </w:tabs>
        <w:ind w:left="851" w:hanging="851"/>
        <w:rPr>
          <w:b/>
          <w:sz w:val="24"/>
          <w:szCs w:val="24"/>
        </w:rPr>
      </w:pPr>
      <w:r w:rsidRPr="00475DC9">
        <w:rPr>
          <w:b/>
          <w:sz w:val="24"/>
          <w:szCs w:val="24"/>
        </w:rPr>
        <w:t>7.</w:t>
      </w:r>
      <w:r w:rsidRPr="00475DC9">
        <w:rPr>
          <w:b/>
          <w:sz w:val="24"/>
          <w:szCs w:val="24"/>
        </w:rPr>
        <w:tab/>
        <w:t>INDEHAVER AF MARKEDSFØRINGSTILLADELSEN</w:t>
      </w:r>
    </w:p>
    <w:p w14:paraId="47F52182" w14:textId="77777777" w:rsidR="00DB68DF" w:rsidRPr="00475DC9" w:rsidRDefault="00DB68DF" w:rsidP="00AC4C4B">
      <w:pPr>
        <w:ind w:left="851"/>
        <w:rPr>
          <w:sz w:val="24"/>
          <w:szCs w:val="24"/>
        </w:rPr>
      </w:pPr>
      <w:r w:rsidRPr="00475DC9">
        <w:rPr>
          <w:sz w:val="24"/>
          <w:szCs w:val="24"/>
        </w:rPr>
        <w:t>Noridem Enterprises Limited</w:t>
      </w:r>
    </w:p>
    <w:p w14:paraId="2213573D" w14:textId="77777777" w:rsidR="00DB68DF" w:rsidRPr="00475DC9" w:rsidRDefault="00DB68DF" w:rsidP="00AC4C4B">
      <w:pPr>
        <w:ind w:left="851"/>
        <w:rPr>
          <w:sz w:val="24"/>
          <w:szCs w:val="24"/>
          <w:lang w:val="en-US"/>
        </w:rPr>
      </w:pPr>
      <w:r w:rsidRPr="00475DC9">
        <w:rPr>
          <w:sz w:val="24"/>
          <w:szCs w:val="24"/>
          <w:lang w:val="en-US"/>
        </w:rPr>
        <w:t>Evagorou &amp; Makariou</w:t>
      </w:r>
    </w:p>
    <w:p w14:paraId="5B067EEC" w14:textId="77777777" w:rsidR="00DB68DF" w:rsidRPr="00475DC9" w:rsidRDefault="00DB68DF" w:rsidP="00AC4C4B">
      <w:pPr>
        <w:ind w:left="851"/>
        <w:rPr>
          <w:sz w:val="24"/>
          <w:szCs w:val="24"/>
          <w:lang w:val="en-US"/>
        </w:rPr>
      </w:pPr>
      <w:r w:rsidRPr="00475DC9">
        <w:rPr>
          <w:sz w:val="24"/>
          <w:szCs w:val="24"/>
          <w:lang w:val="en-US"/>
        </w:rPr>
        <w:t>Mitsi Building 3, Office 115</w:t>
      </w:r>
    </w:p>
    <w:p w14:paraId="234013AE" w14:textId="77777777" w:rsidR="00DB68DF" w:rsidRPr="00475DC9" w:rsidRDefault="00DB68DF" w:rsidP="00AC4C4B">
      <w:pPr>
        <w:ind w:left="851"/>
        <w:rPr>
          <w:sz w:val="24"/>
          <w:szCs w:val="24"/>
          <w:lang w:val="en-US"/>
        </w:rPr>
      </w:pPr>
      <w:r w:rsidRPr="00475DC9">
        <w:rPr>
          <w:sz w:val="24"/>
          <w:szCs w:val="24"/>
          <w:lang w:val="en-US"/>
        </w:rPr>
        <w:t xml:space="preserve">1065 Nicosia </w:t>
      </w:r>
    </w:p>
    <w:p w14:paraId="6C3FBBEC" w14:textId="77777777" w:rsidR="00DB68DF" w:rsidRPr="00475DC9" w:rsidRDefault="00DB68DF" w:rsidP="00AC4C4B">
      <w:pPr>
        <w:ind w:left="851"/>
        <w:rPr>
          <w:sz w:val="24"/>
          <w:szCs w:val="24"/>
          <w:lang w:val="en-US"/>
        </w:rPr>
      </w:pPr>
      <w:r w:rsidRPr="00475DC9">
        <w:rPr>
          <w:sz w:val="24"/>
          <w:szCs w:val="24"/>
          <w:lang w:val="en-US"/>
        </w:rPr>
        <w:t>Cypern</w:t>
      </w:r>
    </w:p>
    <w:p w14:paraId="05CAD5A6" w14:textId="77777777" w:rsidR="009260DE" w:rsidRPr="00475DC9" w:rsidRDefault="009260DE" w:rsidP="00AC4C4B">
      <w:pPr>
        <w:ind w:left="851"/>
        <w:rPr>
          <w:sz w:val="24"/>
          <w:szCs w:val="24"/>
          <w:lang w:val="en-US"/>
        </w:rPr>
      </w:pPr>
    </w:p>
    <w:p w14:paraId="5172FA06" w14:textId="77777777" w:rsidR="00641C65" w:rsidRPr="00475DC9" w:rsidRDefault="00641C65" w:rsidP="00AC4C4B">
      <w:pPr>
        <w:ind w:left="851"/>
        <w:rPr>
          <w:sz w:val="24"/>
          <w:szCs w:val="24"/>
          <w:lang w:val="en-US"/>
        </w:rPr>
      </w:pPr>
      <w:r w:rsidRPr="00475DC9">
        <w:rPr>
          <w:b/>
          <w:sz w:val="24"/>
          <w:szCs w:val="24"/>
          <w:lang w:val="en-US"/>
        </w:rPr>
        <w:t>Repræsentant</w:t>
      </w:r>
    </w:p>
    <w:p w14:paraId="3489D812" w14:textId="77777777" w:rsidR="00DB68DF" w:rsidRPr="00475DC9" w:rsidRDefault="00DB68DF" w:rsidP="00AC4C4B">
      <w:pPr>
        <w:ind w:left="851"/>
        <w:rPr>
          <w:sz w:val="24"/>
          <w:szCs w:val="24"/>
          <w:lang w:val="sv-SE"/>
        </w:rPr>
      </w:pPr>
      <w:r w:rsidRPr="00475DC9">
        <w:rPr>
          <w:sz w:val="24"/>
          <w:szCs w:val="24"/>
          <w:lang w:val="sv-SE"/>
        </w:rPr>
        <w:t>FrostPharma AB</w:t>
      </w:r>
    </w:p>
    <w:p w14:paraId="2732F924" w14:textId="77777777" w:rsidR="00DB68DF" w:rsidRPr="00475DC9" w:rsidRDefault="00DB68DF" w:rsidP="00AC4C4B">
      <w:pPr>
        <w:ind w:left="851"/>
        <w:rPr>
          <w:sz w:val="24"/>
          <w:szCs w:val="24"/>
          <w:lang w:val="sv-SE"/>
        </w:rPr>
      </w:pPr>
      <w:r w:rsidRPr="00475DC9">
        <w:rPr>
          <w:sz w:val="24"/>
          <w:szCs w:val="24"/>
          <w:lang w:val="sv-SE"/>
        </w:rPr>
        <w:t>Berga Backe 2</w:t>
      </w:r>
    </w:p>
    <w:p w14:paraId="698CA24F" w14:textId="77777777" w:rsidR="00DB68DF" w:rsidRPr="00475DC9" w:rsidRDefault="00DB68DF" w:rsidP="00AC4C4B">
      <w:pPr>
        <w:ind w:left="851"/>
        <w:rPr>
          <w:sz w:val="24"/>
          <w:szCs w:val="24"/>
        </w:rPr>
      </w:pPr>
      <w:r w:rsidRPr="00475DC9">
        <w:rPr>
          <w:sz w:val="24"/>
          <w:szCs w:val="24"/>
        </w:rPr>
        <w:t>182 53 Danderyd</w:t>
      </w:r>
    </w:p>
    <w:p w14:paraId="533B8E6F" w14:textId="77777777" w:rsidR="00DB68DF" w:rsidRPr="00475DC9" w:rsidRDefault="00DB68DF" w:rsidP="00AC4C4B">
      <w:pPr>
        <w:ind w:left="851"/>
        <w:rPr>
          <w:sz w:val="24"/>
          <w:szCs w:val="24"/>
        </w:rPr>
      </w:pPr>
      <w:r w:rsidRPr="00475DC9">
        <w:rPr>
          <w:sz w:val="24"/>
          <w:szCs w:val="24"/>
        </w:rPr>
        <w:t>Sverige</w:t>
      </w:r>
    </w:p>
    <w:p w14:paraId="58475A40" w14:textId="77777777" w:rsidR="00641C65" w:rsidRPr="00475DC9" w:rsidRDefault="00641C65" w:rsidP="009260DE">
      <w:pPr>
        <w:tabs>
          <w:tab w:val="left" w:pos="851"/>
        </w:tabs>
        <w:ind w:left="851"/>
        <w:rPr>
          <w:sz w:val="24"/>
          <w:szCs w:val="24"/>
        </w:rPr>
      </w:pPr>
    </w:p>
    <w:p w14:paraId="445E31B3" w14:textId="77777777" w:rsidR="009260DE" w:rsidRPr="00475DC9" w:rsidRDefault="009260DE" w:rsidP="009260DE">
      <w:pPr>
        <w:tabs>
          <w:tab w:val="left" w:pos="851"/>
        </w:tabs>
        <w:ind w:left="851" w:hanging="851"/>
        <w:rPr>
          <w:b/>
          <w:sz w:val="24"/>
          <w:szCs w:val="24"/>
        </w:rPr>
      </w:pPr>
      <w:r w:rsidRPr="00475DC9">
        <w:rPr>
          <w:b/>
          <w:sz w:val="24"/>
          <w:szCs w:val="24"/>
        </w:rPr>
        <w:t>8.</w:t>
      </w:r>
      <w:r w:rsidRPr="00475DC9">
        <w:rPr>
          <w:b/>
          <w:sz w:val="24"/>
          <w:szCs w:val="24"/>
        </w:rPr>
        <w:tab/>
        <w:t>MARKEDSFØRINGSTILLADELSESNUMMER (</w:t>
      </w:r>
      <w:r w:rsidR="00BF6243" w:rsidRPr="00475DC9">
        <w:rPr>
          <w:b/>
          <w:sz w:val="24"/>
          <w:szCs w:val="24"/>
        </w:rPr>
        <w:t>-</w:t>
      </w:r>
      <w:r w:rsidRPr="00475DC9">
        <w:rPr>
          <w:b/>
          <w:sz w:val="24"/>
          <w:szCs w:val="24"/>
        </w:rPr>
        <w:t>NUMRE)</w:t>
      </w:r>
    </w:p>
    <w:p w14:paraId="6CA581CE" w14:textId="2BC240BB" w:rsidR="009260DE" w:rsidRPr="00475DC9" w:rsidRDefault="00DB68DF" w:rsidP="009260DE">
      <w:pPr>
        <w:tabs>
          <w:tab w:val="left" w:pos="851"/>
        </w:tabs>
        <w:ind w:left="851"/>
        <w:rPr>
          <w:sz w:val="24"/>
          <w:szCs w:val="24"/>
        </w:rPr>
      </w:pPr>
      <w:r w:rsidRPr="00475DC9">
        <w:rPr>
          <w:sz w:val="24"/>
          <w:szCs w:val="24"/>
        </w:rPr>
        <w:t>72801</w:t>
      </w:r>
    </w:p>
    <w:p w14:paraId="2471BD9D" w14:textId="77777777" w:rsidR="009260DE" w:rsidRPr="00475DC9" w:rsidRDefault="009260DE" w:rsidP="009260DE">
      <w:pPr>
        <w:tabs>
          <w:tab w:val="left" w:pos="851"/>
        </w:tabs>
        <w:ind w:left="851"/>
        <w:jc w:val="both"/>
        <w:rPr>
          <w:sz w:val="24"/>
          <w:szCs w:val="24"/>
        </w:rPr>
      </w:pPr>
    </w:p>
    <w:p w14:paraId="3A83FA97" w14:textId="77777777" w:rsidR="009260DE" w:rsidRPr="00475DC9" w:rsidRDefault="009260DE" w:rsidP="009260DE">
      <w:pPr>
        <w:tabs>
          <w:tab w:val="left" w:pos="851"/>
        </w:tabs>
        <w:ind w:left="851" w:hanging="851"/>
        <w:rPr>
          <w:b/>
          <w:sz w:val="24"/>
          <w:szCs w:val="24"/>
        </w:rPr>
      </w:pPr>
      <w:r w:rsidRPr="00475DC9">
        <w:rPr>
          <w:b/>
          <w:sz w:val="24"/>
          <w:szCs w:val="24"/>
        </w:rPr>
        <w:t>9.</w:t>
      </w:r>
      <w:r w:rsidRPr="00475DC9">
        <w:rPr>
          <w:b/>
          <w:sz w:val="24"/>
          <w:szCs w:val="24"/>
        </w:rPr>
        <w:tab/>
        <w:t>DATO FOR FØRSTE MARKEDSFØRINGSTILLADELSE</w:t>
      </w:r>
    </w:p>
    <w:p w14:paraId="7431426D" w14:textId="7B0F5A17" w:rsidR="009260DE" w:rsidRPr="00475DC9" w:rsidRDefault="00191625" w:rsidP="009260DE">
      <w:pPr>
        <w:tabs>
          <w:tab w:val="left" w:pos="851"/>
        </w:tabs>
        <w:ind w:left="851"/>
        <w:rPr>
          <w:sz w:val="24"/>
          <w:szCs w:val="24"/>
        </w:rPr>
      </w:pPr>
      <w:r>
        <w:rPr>
          <w:sz w:val="24"/>
          <w:szCs w:val="24"/>
        </w:rPr>
        <w:t>22. april 2025</w:t>
      </w:r>
    </w:p>
    <w:p w14:paraId="20CE4C0E" w14:textId="77777777" w:rsidR="009260DE" w:rsidRPr="00475DC9" w:rsidRDefault="009260DE" w:rsidP="009260DE">
      <w:pPr>
        <w:tabs>
          <w:tab w:val="left" w:pos="851"/>
        </w:tabs>
        <w:ind w:left="851"/>
        <w:rPr>
          <w:sz w:val="24"/>
          <w:szCs w:val="24"/>
        </w:rPr>
      </w:pPr>
    </w:p>
    <w:p w14:paraId="254883B0" w14:textId="77777777" w:rsidR="009260DE" w:rsidRPr="00475DC9" w:rsidRDefault="009260DE" w:rsidP="009260DE">
      <w:pPr>
        <w:tabs>
          <w:tab w:val="left" w:pos="851"/>
        </w:tabs>
        <w:ind w:left="851" w:hanging="851"/>
        <w:rPr>
          <w:b/>
          <w:sz w:val="24"/>
          <w:szCs w:val="24"/>
        </w:rPr>
      </w:pPr>
      <w:r w:rsidRPr="00475DC9">
        <w:rPr>
          <w:b/>
          <w:sz w:val="24"/>
          <w:szCs w:val="24"/>
        </w:rPr>
        <w:t>10.</w:t>
      </w:r>
      <w:r w:rsidRPr="00475DC9">
        <w:rPr>
          <w:b/>
          <w:sz w:val="24"/>
          <w:szCs w:val="24"/>
        </w:rPr>
        <w:tab/>
        <w:t>DATO FOR ÆNDRING AF TEKSTEN</w:t>
      </w:r>
    </w:p>
    <w:p w14:paraId="69F0BF2B" w14:textId="7013A6A1" w:rsidR="009260DE" w:rsidRPr="00475DC9" w:rsidRDefault="00395A81" w:rsidP="009260DE">
      <w:pPr>
        <w:tabs>
          <w:tab w:val="left" w:pos="851"/>
        </w:tabs>
        <w:ind w:left="851"/>
        <w:rPr>
          <w:sz w:val="24"/>
          <w:szCs w:val="24"/>
        </w:rPr>
      </w:pPr>
      <w:r>
        <w:rPr>
          <w:sz w:val="24"/>
          <w:szCs w:val="24"/>
        </w:rPr>
        <w:t>1. maj 2025</w:t>
      </w:r>
    </w:p>
    <w:sectPr w:rsidR="009260DE" w:rsidRPr="00475DC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47EAC" w14:textId="77777777" w:rsidR="00BE4122" w:rsidRDefault="00BE4122">
      <w:r>
        <w:separator/>
      </w:r>
    </w:p>
  </w:endnote>
  <w:endnote w:type="continuationSeparator" w:id="0">
    <w:p w14:paraId="6C88A49E" w14:textId="77777777" w:rsidR="00BE4122" w:rsidRDefault="00BE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B7201" w14:textId="77777777" w:rsidR="00BE4122" w:rsidRDefault="00BE4122">
    <w:pPr>
      <w:pStyle w:val="Sidefod"/>
      <w:pBdr>
        <w:bottom w:val="single" w:sz="6" w:space="1" w:color="auto"/>
      </w:pBdr>
    </w:pPr>
  </w:p>
  <w:p w14:paraId="09C187CD" w14:textId="77777777" w:rsidR="00BE4122" w:rsidRDefault="00BE4122" w:rsidP="00C42586">
    <w:pPr>
      <w:pStyle w:val="Sidefod"/>
      <w:tabs>
        <w:tab w:val="clear" w:pos="4819"/>
        <w:tab w:val="left" w:pos="8505"/>
      </w:tabs>
      <w:rPr>
        <w:i/>
        <w:sz w:val="18"/>
        <w:szCs w:val="18"/>
      </w:rPr>
    </w:pPr>
  </w:p>
  <w:p w14:paraId="60838B7A" w14:textId="5C4B6CAF" w:rsidR="00BE4122" w:rsidRPr="00B373D7" w:rsidRDefault="00BE412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Fluconazole Noridem, infusionsvæske, opløsning 2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B1D04" w14:textId="77777777" w:rsidR="00BE4122" w:rsidRDefault="00BE4122">
      <w:r>
        <w:separator/>
      </w:r>
    </w:p>
  </w:footnote>
  <w:footnote w:type="continuationSeparator" w:id="0">
    <w:p w14:paraId="7656F0E6" w14:textId="77777777" w:rsidR="00BE4122" w:rsidRDefault="00BE4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7DA9"/>
    <w:multiLevelType w:val="hybridMultilevel"/>
    <w:tmpl w:val="1940273C"/>
    <w:lvl w:ilvl="0" w:tplc="04060001">
      <w:start w:val="1"/>
      <w:numFmt w:val="bullet"/>
      <w:lvlText w:val=""/>
      <w:lvlJc w:val="left"/>
      <w:pPr>
        <w:tabs>
          <w:tab w:val="num" w:pos="786"/>
        </w:tabs>
        <w:ind w:left="786"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32FD7"/>
    <w:multiLevelType w:val="hybridMultilevel"/>
    <w:tmpl w:val="2B2EF2A8"/>
    <w:lvl w:ilvl="0" w:tplc="04060001">
      <w:start w:val="1"/>
      <w:numFmt w:val="bullet"/>
      <w:lvlText w:val=""/>
      <w:lvlJc w:val="left"/>
      <w:pPr>
        <w:tabs>
          <w:tab w:val="num" w:pos="786"/>
        </w:tabs>
        <w:ind w:left="786"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9421EB1"/>
    <w:multiLevelType w:val="hybridMultilevel"/>
    <w:tmpl w:val="5A48E79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5D213FB"/>
    <w:multiLevelType w:val="hybridMultilevel"/>
    <w:tmpl w:val="4CE68AF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7BC"/>
    <w:rsid w:val="00016480"/>
    <w:rsid w:val="000259B9"/>
    <w:rsid w:val="00041491"/>
    <w:rsid w:val="00050D16"/>
    <w:rsid w:val="000730CA"/>
    <w:rsid w:val="00074F2A"/>
    <w:rsid w:val="000A1CA8"/>
    <w:rsid w:val="000A466B"/>
    <w:rsid w:val="000B058C"/>
    <w:rsid w:val="000D68B0"/>
    <w:rsid w:val="000E4EE6"/>
    <w:rsid w:val="001454E2"/>
    <w:rsid w:val="00191625"/>
    <w:rsid w:val="001B4015"/>
    <w:rsid w:val="00206CE8"/>
    <w:rsid w:val="0021526C"/>
    <w:rsid w:val="00283A2B"/>
    <w:rsid w:val="002B30AD"/>
    <w:rsid w:val="002C1EC0"/>
    <w:rsid w:val="002C2C01"/>
    <w:rsid w:val="002C648B"/>
    <w:rsid w:val="00395A81"/>
    <w:rsid w:val="003A29AE"/>
    <w:rsid w:val="003A32D7"/>
    <w:rsid w:val="003B4074"/>
    <w:rsid w:val="003C769A"/>
    <w:rsid w:val="003D3A90"/>
    <w:rsid w:val="003F1838"/>
    <w:rsid w:val="00412B8A"/>
    <w:rsid w:val="004251C1"/>
    <w:rsid w:val="0045462F"/>
    <w:rsid w:val="004567BC"/>
    <w:rsid w:val="0045746C"/>
    <w:rsid w:val="00475DC9"/>
    <w:rsid w:val="0049104B"/>
    <w:rsid w:val="004E3B12"/>
    <w:rsid w:val="005251AE"/>
    <w:rsid w:val="00532310"/>
    <w:rsid w:val="00565F0F"/>
    <w:rsid w:val="00566A0D"/>
    <w:rsid w:val="00594A86"/>
    <w:rsid w:val="00596D86"/>
    <w:rsid w:val="005A3C14"/>
    <w:rsid w:val="00637F5A"/>
    <w:rsid w:val="00641C65"/>
    <w:rsid w:val="006560B1"/>
    <w:rsid w:val="006756DD"/>
    <w:rsid w:val="0071241E"/>
    <w:rsid w:val="00737275"/>
    <w:rsid w:val="00740EEC"/>
    <w:rsid w:val="0078011A"/>
    <w:rsid w:val="00782AF4"/>
    <w:rsid w:val="00790EE7"/>
    <w:rsid w:val="007B6649"/>
    <w:rsid w:val="007F6B63"/>
    <w:rsid w:val="0082576E"/>
    <w:rsid w:val="0089346F"/>
    <w:rsid w:val="008C5DDB"/>
    <w:rsid w:val="00907F75"/>
    <w:rsid w:val="009260DE"/>
    <w:rsid w:val="0093258A"/>
    <w:rsid w:val="009C7BA3"/>
    <w:rsid w:val="009D1F5A"/>
    <w:rsid w:val="00A10294"/>
    <w:rsid w:val="00AC4C4B"/>
    <w:rsid w:val="00B003BF"/>
    <w:rsid w:val="00B373D7"/>
    <w:rsid w:val="00B467FD"/>
    <w:rsid w:val="00B55271"/>
    <w:rsid w:val="00BD7931"/>
    <w:rsid w:val="00BE4122"/>
    <w:rsid w:val="00BF6243"/>
    <w:rsid w:val="00C24C12"/>
    <w:rsid w:val="00C36276"/>
    <w:rsid w:val="00C42586"/>
    <w:rsid w:val="00C45F6B"/>
    <w:rsid w:val="00C60CCD"/>
    <w:rsid w:val="00C84483"/>
    <w:rsid w:val="00C95551"/>
    <w:rsid w:val="00CB20D7"/>
    <w:rsid w:val="00D020B0"/>
    <w:rsid w:val="00D11748"/>
    <w:rsid w:val="00D237F6"/>
    <w:rsid w:val="00D34D98"/>
    <w:rsid w:val="00D35D6B"/>
    <w:rsid w:val="00D366CF"/>
    <w:rsid w:val="00D93992"/>
    <w:rsid w:val="00DB68DF"/>
    <w:rsid w:val="00E108AA"/>
    <w:rsid w:val="00E3749A"/>
    <w:rsid w:val="00E7437F"/>
    <w:rsid w:val="00E865B8"/>
    <w:rsid w:val="00EC0B9B"/>
    <w:rsid w:val="00ED5E9F"/>
    <w:rsid w:val="00F00A1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AB331"/>
  <w15:chartTrackingRefBased/>
  <w15:docId w15:val="{9BCA324F-45BE-4F0E-8B19-2F309105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8C5DDB"/>
    <w:pPr>
      <w:keepNext/>
      <w:widowControl w:val="0"/>
      <w:shd w:val="clear" w:color="auto" w:fill="FFFFFF"/>
      <w:tabs>
        <w:tab w:val="left" w:pos="567"/>
      </w:tabs>
      <w:autoSpaceDE w:val="0"/>
      <w:autoSpaceDN w:val="0"/>
      <w:adjustRightInd w:val="0"/>
      <w:spacing w:before="240"/>
      <w:ind w:left="567" w:hanging="567"/>
      <w:outlineLvl w:val="1"/>
    </w:pPr>
    <w:rPr>
      <w:rFonts w:eastAsia="MS Mincho" w:cs="Arial"/>
      <w:b/>
      <w:bCs/>
      <w:sz w:val="22"/>
      <w:szCs w:val="22"/>
      <w:lang w:eastAsia="ja-JP"/>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8C5DDB"/>
    <w:pPr>
      <w:spacing w:before="120" w:after="120"/>
      <w:jc w:val="both"/>
    </w:pPr>
    <w:rPr>
      <w:sz w:val="22"/>
    </w:rPr>
  </w:style>
  <w:style w:type="paragraph" w:customStyle="1" w:styleId="Default">
    <w:name w:val="Default"/>
    <w:rsid w:val="008C5DDB"/>
    <w:pPr>
      <w:autoSpaceDE w:val="0"/>
      <w:autoSpaceDN w:val="0"/>
      <w:adjustRightInd w:val="0"/>
    </w:pPr>
    <w:rPr>
      <w:color w:val="000000"/>
      <w:sz w:val="24"/>
      <w:szCs w:val="24"/>
      <w:lang w:eastAsia="en-US"/>
    </w:rPr>
  </w:style>
  <w:style w:type="character" w:customStyle="1" w:styleId="Overskrift2Tegn">
    <w:name w:val="Overskrift 2 Tegn"/>
    <w:basedOn w:val="Standardskrifttypeiafsnit"/>
    <w:link w:val="Overskrift2"/>
    <w:semiHidden/>
    <w:rsid w:val="008C5DDB"/>
    <w:rPr>
      <w:rFonts w:eastAsia="MS Mincho" w:cs="Arial"/>
      <w:b/>
      <w:bCs/>
      <w:sz w:val="22"/>
      <w:szCs w:val="22"/>
      <w:shd w:val="clear" w:color="auto" w:fill="FFFFFF"/>
      <w:lang w:eastAsia="ja-JP"/>
    </w:rPr>
  </w:style>
  <w:style w:type="character" w:styleId="Hyperlink">
    <w:name w:val="Hyperlink"/>
    <w:semiHidden/>
    <w:unhideWhenUsed/>
    <w:rsid w:val="008C5DDB"/>
    <w:rPr>
      <w:color w:val="0000FF"/>
      <w:u w:val="single"/>
    </w:rPr>
  </w:style>
  <w:style w:type="character" w:customStyle="1" w:styleId="Bodytext2">
    <w:name w:val="Body text (2)_"/>
    <w:link w:val="Bodytext20"/>
    <w:locked/>
    <w:rsid w:val="00016480"/>
    <w:rPr>
      <w:sz w:val="22"/>
      <w:szCs w:val="22"/>
      <w:shd w:val="clear" w:color="auto" w:fill="FFFFFF"/>
    </w:rPr>
  </w:style>
  <w:style w:type="paragraph" w:customStyle="1" w:styleId="Bodytext20">
    <w:name w:val="Body text (2)"/>
    <w:basedOn w:val="Normal"/>
    <w:link w:val="Bodytext2"/>
    <w:rsid w:val="00016480"/>
    <w:pPr>
      <w:widowControl w:val="0"/>
      <w:shd w:val="clear" w:color="auto" w:fill="FFFFFF"/>
      <w:spacing w:after="260" w:line="244" w:lineRule="exact"/>
      <w:ind w:hanging="840"/>
      <w:jc w:val="both"/>
    </w:pPr>
    <w:rPr>
      <w:sz w:val="22"/>
      <w:szCs w:val="22"/>
      <w:lang w:eastAsia="da-DK"/>
    </w:rPr>
  </w:style>
  <w:style w:type="paragraph" w:styleId="Brdtekst">
    <w:name w:val="Body Text"/>
    <w:basedOn w:val="Normal"/>
    <w:link w:val="BrdtekstTegn"/>
    <w:semiHidden/>
    <w:unhideWhenUsed/>
    <w:rsid w:val="00DB68DF"/>
    <w:pPr>
      <w:tabs>
        <w:tab w:val="left" w:pos="567"/>
      </w:tabs>
      <w:spacing w:after="120" w:line="260" w:lineRule="exact"/>
    </w:pPr>
    <w:rPr>
      <w:sz w:val="22"/>
    </w:rPr>
  </w:style>
  <w:style w:type="character" w:customStyle="1" w:styleId="BrdtekstTegn">
    <w:name w:val="Brødtekst Tegn"/>
    <w:basedOn w:val="Standardskrifttypeiafsnit"/>
    <w:link w:val="Brdtekst"/>
    <w:semiHidden/>
    <w:rsid w:val="00DB68DF"/>
    <w:rPr>
      <w:sz w:val="22"/>
      <w:lang w:eastAsia="en-US"/>
    </w:rPr>
  </w:style>
  <w:style w:type="paragraph" w:styleId="Brdtekst2">
    <w:name w:val="Body Text 2"/>
    <w:basedOn w:val="Normal"/>
    <w:link w:val="Brdtekst2Tegn"/>
    <w:semiHidden/>
    <w:unhideWhenUsed/>
    <w:rsid w:val="00DB68DF"/>
    <w:pPr>
      <w:tabs>
        <w:tab w:val="left" w:pos="567"/>
      </w:tabs>
      <w:spacing w:after="120" w:line="480" w:lineRule="auto"/>
    </w:pPr>
    <w:rPr>
      <w:sz w:val="22"/>
    </w:rPr>
  </w:style>
  <w:style w:type="character" w:customStyle="1" w:styleId="Brdtekst2Tegn">
    <w:name w:val="Brødtekst 2 Tegn"/>
    <w:basedOn w:val="Standardskrifttypeiafsnit"/>
    <w:link w:val="Brdtekst2"/>
    <w:semiHidden/>
    <w:rsid w:val="00DB68DF"/>
    <w:rPr>
      <w:sz w:val="22"/>
      <w:lang w:eastAsia="en-US"/>
    </w:rPr>
  </w:style>
  <w:style w:type="paragraph" w:styleId="Listeafsnit">
    <w:name w:val="List Paragraph"/>
    <w:basedOn w:val="Normal"/>
    <w:uiPriority w:val="34"/>
    <w:qFormat/>
    <w:rsid w:val="00475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4421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1741587">
      <w:bodyDiv w:val="1"/>
      <w:marLeft w:val="0"/>
      <w:marRight w:val="0"/>
      <w:marTop w:val="0"/>
      <w:marBottom w:val="0"/>
      <w:divBdr>
        <w:top w:val="none" w:sz="0" w:space="0" w:color="auto"/>
        <w:left w:val="none" w:sz="0" w:space="0" w:color="auto"/>
        <w:bottom w:val="none" w:sz="0" w:space="0" w:color="auto"/>
        <w:right w:val="none" w:sz="0" w:space="0" w:color="auto"/>
      </w:divBdr>
    </w:div>
    <w:div w:id="330370995">
      <w:bodyDiv w:val="1"/>
      <w:marLeft w:val="0"/>
      <w:marRight w:val="0"/>
      <w:marTop w:val="0"/>
      <w:marBottom w:val="0"/>
      <w:divBdr>
        <w:top w:val="none" w:sz="0" w:space="0" w:color="auto"/>
        <w:left w:val="none" w:sz="0" w:space="0" w:color="auto"/>
        <w:bottom w:val="none" w:sz="0" w:space="0" w:color="auto"/>
        <w:right w:val="none" w:sz="0" w:space="0" w:color="auto"/>
      </w:divBdr>
    </w:div>
    <w:div w:id="415712804">
      <w:bodyDiv w:val="1"/>
      <w:marLeft w:val="0"/>
      <w:marRight w:val="0"/>
      <w:marTop w:val="0"/>
      <w:marBottom w:val="0"/>
      <w:divBdr>
        <w:top w:val="none" w:sz="0" w:space="0" w:color="auto"/>
        <w:left w:val="none" w:sz="0" w:space="0" w:color="auto"/>
        <w:bottom w:val="none" w:sz="0" w:space="0" w:color="auto"/>
        <w:right w:val="none" w:sz="0" w:space="0" w:color="auto"/>
      </w:divBdr>
    </w:div>
    <w:div w:id="516386890">
      <w:bodyDiv w:val="1"/>
      <w:marLeft w:val="0"/>
      <w:marRight w:val="0"/>
      <w:marTop w:val="0"/>
      <w:marBottom w:val="0"/>
      <w:divBdr>
        <w:top w:val="none" w:sz="0" w:space="0" w:color="auto"/>
        <w:left w:val="none" w:sz="0" w:space="0" w:color="auto"/>
        <w:bottom w:val="none" w:sz="0" w:space="0" w:color="auto"/>
        <w:right w:val="none" w:sz="0" w:space="0" w:color="auto"/>
      </w:divBdr>
    </w:div>
    <w:div w:id="644506666">
      <w:bodyDiv w:val="1"/>
      <w:marLeft w:val="0"/>
      <w:marRight w:val="0"/>
      <w:marTop w:val="0"/>
      <w:marBottom w:val="0"/>
      <w:divBdr>
        <w:top w:val="none" w:sz="0" w:space="0" w:color="auto"/>
        <w:left w:val="none" w:sz="0" w:space="0" w:color="auto"/>
        <w:bottom w:val="none" w:sz="0" w:space="0" w:color="auto"/>
        <w:right w:val="none" w:sz="0" w:space="0" w:color="auto"/>
      </w:divBdr>
    </w:div>
    <w:div w:id="953826017">
      <w:bodyDiv w:val="1"/>
      <w:marLeft w:val="0"/>
      <w:marRight w:val="0"/>
      <w:marTop w:val="0"/>
      <w:marBottom w:val="0"/>
      <w:divBdr>
        <w:top w:val="none" w:sz="0" w:space="0" w:color="auto"/>
        <w:left w:val="none" w:sz="0" w:space="0" w:color="auto"/>
        <w:bottom w:val="none" w:sz="0" w:space="0" w:color="auto"/>
        <w:right w:val="none" w:sz="0" w:space="0" w:color="auto"/>
      </w:divBdr>
    </w:div>
    <w:div w:id="1024207556">
      <w:bodyDiv w:val="1"/>
      <w:marLeft w:val="0"/>
      <w:marRight w:val="0"/>
      <w:marTop w:val="0"/>
      <w:marBottom w:val="0"/>
      <w:divBdr>
        <w:top w:val="none" w:sz="0" w:space="0" w:color="auto"/>
        <w:left w:val="none" w:sz="0" w:space="0" w:color="auto"/>
        <w:bottom w:val="none" w:sz="0" w:space="0" w:color="auto"/>
        <w:right w:val="none" w:sz="0" w:space="0" w:color="auto"/>
      </w:divBdr>
    </w:div>
    <w:div w:id="1280720091">
      <w:bodyDiv w:val="1"/>
      <w:marLeft w:val="0"/>
      <w:marRight w:val="0"/>
      <w:marTop w:val="0"/>
      <w:marBottom w:val="0"/>
      <w:divBdr>
        <w:top w:val="none" w:sz="0" w:space="0" w:color="auto"/>
        <w:left w:val="none" w:sz="0" w:space="0" w:color="auto"/>
        <w:bottom w:val="none" w:sz="0" w:space="0" w:color="auto"/>
        <w:right w:val="none" w:sz="0" w:space="0" w:color="auto"/>
      </w:divBdr>
    </w:div>
    <w:div w:id="1333410007">
      <w:bodyDiv w:val="1"/>
      <w:marLeft w:val="0"/>
      <w:marRight w:val="0"/>
      <w:marTop w:val="0"/>
      <w:marBottom w:val="0"/>
      <w:divBdr>
        <w:top w:val="none" w:sz="0" w:space="0" w:color="auto"/>
        <w:left w:val="none" w:sz="0" w:space="0" w:color="auto"/>
        <w:bottom w:val="none" w:sz="0" w:space="0" w:color="auto"/>
        <w:right w:val="none" w:sz="0" w:space="0" w:color="auto"/>
      </w:divBdr>
    </w:div>
    <w:div w:id="1498764100">
      <w:bodyDiv w:val="1"/>
      <w:marLeft w:val="0"/>
      <w:marRight w:val="0"/>
      <w:marTop w:val="0"/>
      <w:marBottom w:val="0"/>
      <w:divBdr>
        <w:top w:val="none" w:sz="0" w:space="0" w:color="auto"/>
        <w:left w:val="none" w:sz="0" w:space="0" w:color="auto"/>
        <w:bottom w:val="none" w:sz="0" w:space="0" w:color="auto"/>
        <w:right w:val="none" w:sz="0" w:space="0" w:color="auto"/>
      </w:divBdr>
    </w:div>
    <w:div w:id="1573084954">
      <w:bodyDiv w:val="1"/>
      <w:marLeft w:val="0"/>
      <w:marRight w:val="0"/>
      <w:marTop w:val="0"/>
      <w:marBottom w:val="0"/>
      <w:divBdr>
        <w:top w:val="none" w:sz="0" w:space="0" w:color="auto"/>
        <w:left w:val="none" w:sz="0" w:space="0" w:color="auto"/>
        <w:bottom w:val="none" w:sz="0" w:space="0" w:color="auto"/>
        <w:right w:val="none" w:sz="0" w:space="0" w:color="auto"/>
      </w:divBdr>
    </w:div>
    <w:div w:id="1618178814">
      <w:bodyDiv w:val="1"/>
      <w:marLeft w:val="0"/>
      <w:marRight w:val="0"/>
      <w:marTop w:val="0"/>
      <w:marBottom w:val="0"/>
      <w:divBdr>
        <w:top w:val="none" w:sz="0" w:space="0" w:color="auto"/>
        <w:left w:val="none" w:sz="0" w:space="0" w:color="auto"/>
        <w:bottom w:val="none" w:sz="0" w:space="0" w:color="auto"/>
        <w:right w:val="none" w:sz="0" w:space="0" w:color="auto"/>
      </w:divBdr>
    </w:div>
    <w:div w:id="1687825955">
      <w:bodyDiv w:val="1"/>
      <w:marLeft w:val="0"/>
      <w:marRight w:val="0"/>
      <w:marTop w:val="0"/>
      <w:marBottom w:val="0"/>
      <w:divBdr>
        <w:top w:val="none" w:sz="0" w:space="0" w:color="auto"/>
        <w:left w:val="none" w:sz="0" w:space="0" w:color="auto"/>
        <w:bottom w:val="none" w:sz="0" w:space="0" w:color="auto"/>
        <w:right w:val="none" w:sz="0" w:space="0" w:color="auto"/>
      </w:divBdr>
    </w:div>
    <w:div w:id="1741442774">
      <w:bodyDiv w:val="1"/>
      <w:marLeft w:val="0"/>
      <w:marRight w:val="0"/>
      <w:marTop w:val="0"/>
      <w:marBottom w:val="0"/>
      <w:divBdr>
        <w:top w:val="none" w:sz="0" w:space="0" w:color="auto"/>
        <w:left w:val="none" w:sz="0" w:space="0" w:color="auto"/>
        <w:bottom w:val="none" w:sz="0" w:space="0" w:color="auto"/>
        <w:right w:val="none" w:sz="0" w:space="0" w:color="auto"/>
      </w:divBdr>
    </w:div>
    <w:div w:id="1752043084">
      <w:bodyDiv w:val="1"/>
      <w:marLeft w:val="0"/>
      <w:marRight w:val="0"/>
      <w:marTop w:val="0"/>
      <w:marBottom w:val="0"/>
      <w:divBdr>
        <w:top w:val="none" w:sz="0" w:space="0" w:color="auto"/>
        <w:left w:val="none" w:sz="0" w:space="0" w:color="auto"/>
        <w:bottom w:val="none" w:sz="0" w:space="0" w:color="auto"/>
        <w:right w:val="none" w:sz="0" w:space="0" w:color="auto"/>
      </w:divBdr>
    </w:div>
    <w:div w:id="1757749636">
      <w:bodyDiv w:val="1"/>
      <w:marLeft w:val="0"/>
      <w:marRight w:val="0"/>
      <w:marTop w:val="0"/>
      <w:marBottom w:val="0"/>
      <w:divBdr>
        <w:top w:val="none" w:sz="0" w:space="0" w:color="auto"/>
        <w:left w:val="none" w:sz="0" w:space="0" w:color="auto"/>
        <w:bottom w:val="none" w:sz="0" w:space="0" w:color="auto"/>
        <w:right w:val="none" w:sz="0" w:space="0" w:color="auto"/>
      </w:divBdr>
    </w:div>
    <w:div w:id="1918634861">
      <w:bodyDiv w:val="1"/>
      <w:marLeft w:val="0"/>
      <w:marRight w:val="0"/>
      <w:marTop w:val="0"/>
      <w:marBottom w:val="0"/>
      <w:divBdr>
        <w:top w:val="none" w:sz="0" w:space="0" w:color="auto"/>
        <w:left w:val="none" w:sz="0" w:space="0" w:color="auto"/>
        <w:bottom w:val="none" w:sz="0" w:space="0" w:color="auto"/>
        <w:right w:val="none" w:sz="0" w:space="0" w:color="auto"/>
      </w:divBdr>
    </w:div>
    <w:div w:id="1935475956">
      <w:bodyDiv w:val="1"/>
      <w:marLeft w:val="0"/>
      <w:marRight w:val="0"/>
      <w:marTop w:val="0"/>
      <w:marBottom w:val="0"/>
      <w:divBdr>
        <w:top w:val="none" w:sz="0" w:space="0" w:color="auto"/>
        <w:left w:val="none" w:sz="0" w:space="0" w:color="auto"/>
        <w:bottom w:val="none" w:sz="0" w:space="0" w:color="auto"/>
        <w:right w:val="none" w:sz="0" w:space="0" w:color="auto"/>
      </w:divBdr>
    </w:div>
    <w:div w:id="2066416538">
      <w:bodyDiv w:val="1"/>
      <w:marLeft w:val="0"/>
      <w:marRight w:val="0"/>
      <w:marTop w:val="0"/>
      <w:marBottom w:val="0"/>
      <w:divBdr>
        <w:top w:val="none" w:sz="0" w:space="0" w:color="auto"/>
        <w:left w:val="none" w:sz="0" w:space="0" w:color="auto"/>
        <w:bottom w:val="none" w:sz="0" w:space="0" w:color="auto"/>
        <w:right w:val="none" w:sz="0" w:space="0" w:color="auto"/>
      </w:divBdr>
    </w:div>
    <w:div w:id="2077900843">
      <w:bodyDiv w:val="1"/>
      <w:marLeft w:val="0"/>
      <w:marRight w:val="0"/>
      <w:marTop w:val="0"/>
      <w:marBottom w:val="0"/>
      <w:divBdr>
        <w:top w:val="none" w:sz="0" w:space="0" w:color="auto"/>
        <w:left w:val="none" w:sz="0" w:space="0" w:color="auto"/>
        <w:bottom w:val="none" w:sz="0" w:space="0" w:color="auto"/>
        <w:right w:val="none" w:sz="0" w:space="0" w:color="auto"/>
      </w:divBdr>
    </w:div>
    <w:div w:id="210726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8</TotalTime>
  <Pages>25</Pages>
  <Words>7966</Words>
  <Characters>51457</Characters>
  <Application>Microsoft Office Word</Application>
  <DocSecurity>0</DocSecurity>
  <Lines>428</Lines>
  <Paragraphs>118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2024112309, navn ændret fra Fluconazol til Fluconazole</dc:description>
  <cp:lastModifiedBy>Gitte Jørgensen</cp:lastModifiedBy>
  <cp:revision>4</cp:revision>
  <cp:lastPrinted>2012-08-22T08:53:00Z</cp:lastPrinted>
  <dcterms:created xsi:type="dcterms:W3CDTF">2025-05-01T07:13:00Z</dcterms:created>
  <dcterms:modified xsi:type="dcterms:W3CDTF">2025-05-01T07:24:00Z</dcterms:modified>
</cp:coreProperties>
</file>