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1B4E5" w14:textId="77777777" w:rsidR="009260DE" w:rsidRPr="009B42CA" w:rsidRDefault="0021526C" w:rsidP="009260DE">
      <w:pPr>
        <w:rPr>
          <w:sz w:val="24"/>
          <w:szCs w:val="24"/>
        </w:rPr>
      </w:pPr>
      <w:r w:rsidRPr="009B42CA">
        <w:rPr>
          <w:noProof/>
          <w:sz w:val="24"/>
          <w:szCs w:val="24"/>
          <w:lang w:eastAsia="da-DK"/>
        </w:rPr>
        <w:drawing>
          <wp:anchor distT="0" distB="0" distL="114300" distR="114300" simplePos="0" relativeHeight="251658240" behindDoc="0" locked="0" layoutInCell="1" allowOverlap="1" wp14:anchorId="4954AEAC" wp14:editId="50BDE0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B42CA">
        <w:rPr>
          <w:sz w:val="24"/>
          <w:szCs w:val="24"/>
        </w:rPr>
        <w:br w:type="textWrapping" w:clear="all"/>
      </w:r>
    </w:p>
    <w:p w14:paraId="605586DD" w14:textId="30F20922" w:rsidR="009260DE" w:rsidRPr="009B42CA" w:rsidRDefault="009260DE" w:rsidP="009260DE">
      <w:pPr>
        <w:pStyle w:val="Titel"/>
        <w:tabs>
          <w:tab w:val="right" w:pos="9356"/>
        </w:tabs>
        <w:jc w:val="left"/>
        <w:rPr>
          <w:b w:val="0"/>
          <w:szCs w:val="24"/>
          <w:lang w:eastAsia="en-US"/>
        </w:rPr>
      </w:pPr>
    </w:p>
    <w:p w14:paraId="4C23A5AD" w14:textId="6CEF4B38" w:rsidR="009260DE" w:rsidRPr="009B42CA" w:rsidRDefault="009260DE" w:rsidP="009260DE">
      <w:pPr>
        <w:pStyle w:val="Titel"/>
        <w:tabs>
          <w:tab w:val="right" w:pos="9356"/>
        </w:tabs>
        <w:jc w:val="left"/>
        <w:rPr>
          <w:b w:val="0"/>
          <w:szCs w:val="24"/>
          <w:lang w:eastAsia="en-US"/>
        </w:rPr>
      </w:pPr>
      <w:r w:rsidRPr="009B42CA">
        <w:rPr>
          <w:b w:val="0"/>
          <w:szCs w:val="24"/>
          <w:lang w:eastAsia="en-US"/>
        </w:rPr>
        <w:tab/>
      </w:r>
      <w:r w:rsidR="000C5D8C">
        <w:rPr>
          <w:szCs w:val="24"/>
        </w:rPr>
        <w:t>6</w:t>
      </w:r>
      <w:r w:rsidR="00B74B5B">
        <w:rPr>
          <w:szCs w:val="24"/>
        </w:rPr>
        <w:t xml:space="preserve">. </w:t>
      </w:r>
      <w:r w:rsidR="000C5D8C">
        <w:rPr>
          <w:szCs w:val="24"/>
        </w:rPr>
        <w:t>marts</w:t>
      </w:r>
      <w:r w:rsidR="00B74B5B">
        <w:rPr>
          <w:szCs w:val="24"/>
        </w:rPr>
        <w:t xml:space="preserve"> 202</w:t>
      </w:r>
      <w:r w:rsidR="000C5D8C">
        <w:rPr>
          <w:szCs w:val="24"/>
        </w:rPr>
        <w:t>5</w:t>
      </w:r>
    </w:p>
    <w:p w14:paraId="0E97AC13" w14:textId="77777777" w:rsidR="009260DE" w:rsidRPr="009B42CA" w:rsidRDefault="009260DE" w:rsidP="009260DE">
      <w:pPr>
        <w:pStyle w:val="Titel"/>
        <w:tabs>
          <w:tab w:val="left" w:pos="8222"/>
        </w:tabs>
        <w:jc w:val="left"/>
        <w:rPr>
          <w:b w:val="0"/>
          <w:szCs w:val="24"/>
        </w:rPr>
      </w:pPr>
    </w:p>
    <w:p w14:paraId="6BB120A7" w14:textId="77777777" w:rsidR="009260DE" w:rsidRPr="009B42CA" w:rsidRDefault="009260DE" w:rsidP="009260DE">
      <w:pPr>
        <w:pStyle w:val="Titel"/>
        <w:jc w:val="left"/>
        <w:rPr>
          <w:b w:val="0"/>
          <w:szCs w:val="24"/>
        </w:rPr>
      </w:pPr>
    </w:p>
    <w:p w14:paraId="053E9903" w14:textId="77777777" w:rsidR="009260DE" w:rsidRPr="009B42CA" w:rsidRDefault="009260DE" w:rsidP="009260DE">
      <w:pPr>
        <w:pStyle w:val="Titel"/>
        <w:jc w:val="left"/>
        <w:rPr>
          <w:b w:val="0"/>
          <w:szCs w:val="24"/>
        </w:rPr>
      </w:pPr>
    </w:p>
    <w:p w14:paraId="4D80C2C2" w14:textId="77777777" w:rsidR="009260DE" w:rsidRPr="009B42CA" w:rsidRDefault="009260DE" w:rsidP="009260DE">
      <w:pPr>
        <w:jc w:val="center"/>
        <w:rPr>
          <w:b/>
          <w:sz w:val="24"/>
          <w:szCs w:val="24"/>
        </w:rPr>
      </w:pPr>
      <w:r w:rsidRPr="009B42CA">
        <w:rPr>
          <w:b/>
          <w:sz w:val="24"/>
          <w:szCs w:val="24"/>
        </w:rPr>
        <w:t>PRODUKTRESUMÉ</w:t>
      </w:r>
    </w:p>
    <w:p w14:paraId="5FBC6EEE" w14:textId="77777777" w:rsidR="009260DE" w:rsidRPr="009B42CA" w:rsidRDefault="009260DE" w:rsidP="009260DE">
      <w:pPr>
        <w:jc w:val="center"/>
        <w:rPr>
          <w:b/>
          <w:sz w:val="24"/>
          <w:szCs w:val="24"/>
        </w:rPr>
      </w:pPr>
    </w:p>
    <w:p w14:paraId="5AF89439" w14:textId="77777777" w:rsidR="009260DE" w:rsidRPr="009B42CA" w:rsidRDefault="009260DE" w:rsidP="009260DE">
      <w:pPr>
        <w:jc w:val="center"/>
        <w:rPr>
          <w:b/>
          <w:sz w:val="24"/>
          <w:szCs w:val="24"/>
        </w:rPr>
      </w:pPr>
      <w:r w:rsidRPr="009B42CA">
        <w:rPr>
          <w:b/>
          <w:sz w:val="24"/>
          <w:szCs w:val="24"/>
        </w:rPr>
        <w:t>for</w:t>
      </w:r>
    </w:p>
    <w:p w14:paraId="0D5B40E7" w14:textId="77777777" w:rsidR="000B058C" w:rsidRPr="009B42CA" w:rsidRDefault="000B058C" w:rsidP="009260DE">
      <w:pPr>
        <w:jc w:val="center"/>
        <w:rPr>
          <w:b/>
          <w:sz w:val="24"/>
          <w:szCs w:val="24"/>
        </w:rPr>
      </w:pPr>
    </w:p>
    <w:p w14:paraId="00D58A81" w14:textId="6253DA3B" w:rsidR="009260DE" w:rsidRPr="009B42CA" w:rsidRDefault="00700C01" w:rsidP="009260DE">
      <w:pPr>
        <w:jc w:val="center"/>
        <w:rPr>
          <w:b/>
          <w:sz w:val="24"/>
          <w:szCs w:val="24"/>
        </w:rPr>
      </w:pPr>
      <w:proofErr w:type="spellStart"/>
      <w:r w:rsidRPr="009B42CA">
        <w:rPr>
          <w:b/>
          <w:sz w:val="24"/>
          <w:szCs w:val="24"/>
        </w:rPr>
        <w:t>Fludarabinphosphat</w:t>
      </w:r>
      <w:proofErr w:type="spellEnd"/>
      <w:r w:rsidRPr="009B42CA">
        <w:rPr>
          <w:b/>
          <w:sz w:val="24"/>
          <w:szCs w:val="24"/>
        </w:rPr>
        <w:t xml:space="preserve"> "</w:t>
      </w:r>
      <w:proofErr w:type="spellStart"/>
      <w:r w:rsidRPr="009B42CA">
        <w:rPr>
          <w:b/>
          <w:sz w:val="24"/>
          <w:szCs w:val="24"/>
        </w:rPr>
        <w:t>Teva</w:t>
      </w:r>
      <w:proofErr w:type="spellEnd"/>
      <w:r w:rsidRPr="009B42CA">
        <w:rPr>
          <w:b/>
          <w:sz w:val="24"/>
          <w:szCs w:val="24"/>
        </w:rPr>
        <w:t>", koncentrat til injektions-/infusionsvæske, opløsning</w:t>
      </w:r>
    </w:p>
    <w:p w14:paraId="1B2F2D44" w14:textId="77777777" w:rsidR="009260DE" w:rsidRPr="009B42CA" w:rsidRDefault="009260DE" w:rsidP="009260DE">
      <w:pPr>
        <w:jc w:val="both"/>
        <w:rPr>
          <w:sz w:val="24"/>
          <w:szCs w:val="24"/>
        </w:rPr>
      </w:pPr>
    </w:p>
    <w:p w14:paraId="7BE8383B" w14:textId="77777777" w:rsidR="009260DE" w:rsidRPr="009B42CA" w:rsidRDefault="009260DE" w:rsidP="009260DE">
      <w:pPr>
        <w:jc w:val="both"/>
        <w:rPr>
          <w:sz w:val="24"/>
          <w:szCs w:val="24"/>
        </w:rPr>
      </w:pPr>
    </w:p>
    <w:p w14:paraId="16C2336C" w14:textId="77777777" w:rsidR="009260DE" w:rsidRPr="009B42CA" w:rsidRDefault="009260DE" w:rsidP="009260DE">
      <w:pPr>
        <w:tabs>
          <w:tab w:val="left" w:pos="851"/>
        </w:tabs>
        <w:ind w:left="851" w:hanging="851"/>
        <w:rPr>
          <w:b/>
          <w:sz w:val="24"/>
          <w:szCs w:val="24"/>
        </w:rPr>
      </w:pPr>
      <w:r w:rsidRPr="009B42CA">
        <w:rPr>
          <w:b/>
          <w:sz w:val="24"/>
          <w:szCs w:val="24"/>
        </w:rPr>
        <w:t>0.</w:t>
      </w:r>
      <w:r w:rsidRPr="009B42CA">
        <w:rPr>
          <w:b/>
          <w:sz w:val="24"/>
          <w:szCs w:val="24"/>
        </w:rPr>
        <w:tab/>
        <w:t>D.SP.NR.</w:t>
      </w:r>
    </w:p>
    <w:p w14:paraId="333B7B65" w14:textId="7F17AA62" w:rsidR="009260DE" w:rsidRPr="009B42CA" w:rsidRDefault="00700C01" w:rsidP="009260DE">
      <w:pPr>
        <w:tabs>
          <w:tab w:val="left" w:pos="851"/>
        </w:tabs>
        <w:ind w:left="851"/>
        <w:rPr>
          <w:sz w:val="24"/>
          <w:szCs w:val="24"/>
        </w:rPr>
      </w:pPr>
      <w:r w:rsidRPr="009B42CA">
        <w:rPr>
          <w:sz w:val="24"/>
          <w:szCs w:val="24"/>
        </w:rPr>
        <w:t>23178</w:t>
      </w:r>
    </w:p>
    <w:p w14:paraId="0BF99E46" w14:textId="77777777" w:rsidR="009260DE" w:rsidRPr="009B42CA" w:rsidRDefault="009260DE" w:rsidP="009260DE">
      <w:pPr>
        <w:tabs>
          <w:tab w:val="left" w:pos="851"/>
        </w:tabs>
        <w:ind w:left="851"/>
        <w:rPr>
          <w:sz w:val="24"/>
          <w:szCs w:val="24"/>
        </w:rPr>
      </w:pPr>
    </w:p>
    <w:p w14:paraId="023988F9" w14:textId="77777777" w:rsidR="009260DE" w:rsidRPr="009B42CA" w:rsidRDefault="009260DE" w:rsidP="009260DE">
      <w:pPr>
        <w:tabs>
          <w:tab w:val="left" w:pos="851"/>
        </w:tabs>
        <w:ind w:left="851" w:hanging="851"/>
        <w:rPr>
          <w:b/>
          <w:sz w:val="24"/>
          <w:szCs w:val="24"/>
        </w:rPr>
      </w:pPr>
      <w:r w:rsidRPr="009B42CA">
        <w:rPr>
          <w:b/>
          <w:sz w:val="24"/>
          <w:szCs w:val="24"/>
        </w:rPr>
        <w:t>1.</w:t>
      </w:r>
      <w:r w:rsidRPr="009B42CA">
        <w:rPr>
          <w:b/>
          <w:sz w:val="24"/>
          <w:szCs w:val="24"/>
        </w:rPr>
        <w:tab/>
        <w:t>LÆGEMIDLETS NAVN</w:t>
      </w:r>
    </w:p>
    <w:p w14:paraId="74486C01" w14:textId="43429687" w:rsidR="009260DE" w:rsidRPr="009B42CA" w:rsidRDefault="00700C01" w:rsidP="009260DE">
      <w:pPr>
        <w:tabs>
          <w:tab w:val="left" w:pos="851"/>
        </w:tabs>
        <w:ind w:left="851"/>
        <w:rPr>
          <w:sz w:val="24"/>
          <w:szCs w:val="24"/>
        </w:rPr>
      </w:pPr>
      <w:proofErr w:type="spellStart"/>
      <w:r w:rsidRPr="009B42CA">
        <w:rPr>
          <w:sz w:val="24"/>
          <w:szCs w:val="24"/>
        </w:rPr>
        <w:t>Fludarabinphosphat</w:t>
      </w:r>
      <w:proofErr w:type="spellEnd"/>
      <w:r w:rsidRPr="009B42CA">
        <w:rPr>
          <w:sz w:val="24"/>
          <w:szCs w:val="24"/>
        </w:rPr>
        <w:t xml:space="preserve"> "</w:t>
      </w:r>
      <w:proofErr w:type="spellStart"/>
      <w:r w:rsidRPr="009B42CA">
        <w:rPr>
          <w:sz w:val="24"/>
          <w:szCs w:val="24"/>
        </w:rPr>
        <w:t>Teva</w:t>
      </w:r>
      <w:proofErr w:type="spellEnd"/>
      <w:r w:rsidRPr="009B42CA">
        <w:rPr>
          <w:sz w:val="24"/>
          <w:szCs w:val="24"/>
        </w:rPr>
        <w:t>"</w:t>
      </w:r>
    </w:p>
    <w:p w14:paraId="1964615F" w14:textId="77777777" w:rsidR="009260DE" w:rsidRPr="009B42CA" w:rsidRDefault="009260DE" w:rsidP="009260DE">
      <w:pPr>
        <w:tabs>
          <w:tab w:val="left" w:pos="851"/>
        </w:tabs>
        <w:ind w:left="851"/>
        <w:rPr>
          <w:sz w:val="24"/>
          <w:szCs w:val="24"/>
        </w:rPr>
      </w:pPr>
    </w:p>
    <w:p w14:paraId="3AF83F6C" w14:textId="77777777" w:rsidR="009260DE" w:rsidRPr="009B42CA" w:rsidRDefault="009260DE" w:rsidP="009260DE">
      <w:pPr>
        <w:tabs>
          <w:tab w:val="left" w:pos="851"/>
        </w:tabs>
        <w:ind w:left="851" w:hanging="851"/>
        <w:rPr>
          <w:b/>
          <w:sz w:val="24"/>
          <w:szCs w:val="24"/>
        </w:rPr>
      </w:pPr>
      <w:r w:rsidRPr="009B42CA">
        <w:rPr>
          <w:b/>
          <w:sz w:val="24"/>
          <w:szCs w:val="24"/>
        </w:rPr>
        <w:t>2.</w:t>
      </w:r>
      <w:r w:rsidRPr="009B42CA">
        <w:rPr>
          <w:b/>
          <w:sz w:val="24"/>
          <w:szCs w:val="24"/>
        </w:rPr>
        <w:tab/>
        <w:t>KVALITATIV OG KVANTITATIV SAMMENSÆTNING</w:t>
      </w:r>
    </w:p>
    <w:p w14:paraId="34F1FC43" w14:textId="77777777" w:rsidR="004A59BF" w:rsidRPr="009B42CA" w:rsidRDefault="004A59BF" w:rsidP="00FF3E62">
      <w:pPr>
        <w:ind w:left="851"/>
        <w:rPr>
          <w:sz w:val="24"/>
          <w:szCs w:val="24"/>
        </w:rPr>
      </w:pPr>
      <w:r w:rsidRPr="009B42CA">
        <w:rPr>
          <w:sz w:val="24"/>
          <w:szCs w:val="24"/>
        </w:rPr>
        <w:t xml:space="preserve">1 ml koncentrat til injektions-/infusionsvæske, opløsning indeholder 25 mg </w:t>
      </w:r>
      <w:proofErr w:type="spellStart"/>
      <w:r w:rsidRPr="009B42CA">
        <w:rPr>
          <w:sz w:val="24"/>
          <w:szCs w:val="24"/>
        </w:rPr>
        <w:t>fludarabinphosphat</w:t>
      </w:r>
      <w:proofErr w:type="spellEnd"/>
      <w:r w:rsidRPr="009B42CA">
        <w:rPr>
          <w:sz w:val="24"/>
          <w:szCs w:val="24"/>
        </w:rPr>
        <w:t>.</w:t>
      </w:r>
    </w:p>
    <w:p w14:paraId="42675A3A" w14:textId="77777777" w:rsidR="004A59BF" w:rsidRPr="009B42CA" w:rsidRDefault="004A59BF" w:rsidP="00FF3E62">
      <w:pPr>
        <w:ind w:left="851"/>
        <w:rPr>
          <w:sz w:val="24"/>
          <w:szCs w:val="24"/>
        </w:rPr>
      </w:pPr>
      <w:r w:rsidRPr="009B42CA">
        <w:rPr>
          <w:sz w:val="24"/>
          <w:szCs w:val="24"/>
        </w:rPr>
        <w:t xml:space="preserve">Hvert hætteglas med 2 ml indeholder 50 mg </w:t>
      </w:r>
      <w:proofErr w:type="spellStart"/>
      <w:r w:rsidRPr="009B42CA">
        <w:rPr>
          <w:sz w:val="24"/>
          <w:szCs w:val="24"/>
        </w:rPr>
        <w:t>fludarabinphosphat</w:t>
      </w:r>
      <w:proofErr w:type="spellEnd"/>
      <w:r w:rsidRPr="009B42CA">
        <w:rPr>
          <w:sz w:val="24"/>
          <w:szCs w:val="24"/>
        </w:rPr>
        <w:t xml:space="preserve">. </w:t>
      </w:r>
    </w:p>
    <w:p w14:paraId="11FD2C47" w14:textId="77777777" w:rsidR="004A59BF" w:rsidRPr="009B42CA" w:rsidRDefault="004A59BF" w:rsidP="00FF3E62">
      <w:pPr>
        <w:ind w:left="851"/>
        <w:rPr>
          <w:sz w:val="24"/>
          <w:szCs w:val="24"/>
        </w:rPr>
      </w:pPr>
    </w:p>
    <w:p w14:paraId="38986507" w14:textId="77777777" w:rsidR="004A59BF" w:rsidRPr="009B42CA" w:rsidRDefault="004A59BF" w:rsidP="00FF3E62">
      <w:pPr>
        <w:ind w:left="851"/>
        <w:rPr>
          <w:sz w:val="24"/>
          <w:szCs w:val="24"/>
        </w:rPr>
      </w:pPr>
      <w:r w:rsidRPr="009B42CA">
        <w:rPr>
          <w:sz w:val="24"/>
          <w:szCs w:val="24"/>
        </w:rPr>
        <w:t>Alle hjælpestoffer er anført under pkt. 6.1.</w:t>
      </w:r>
    </w:p>
    <w:p w14:paraId="5553699F" w14:textId="77777777" w:rsidR="009260DE" w:rsidRPr="009B42CA" w:rsidRDefault="009260DE" w:rsidP="009260DE">
      <w:pPr>
        <w:tabs>
          <w:tab w:val="left" w:pos="851"/>
        </w:tabs>
        <w:ind w:left="851"/>
        <w:rPr>
          <w:sz w:val="24"/>
          <w:szCs w:val="24"/>
        </w:rPr>
      </w:pPr>
    </w:p>
    <w:p w14:paraId="7C07D66B" w14:textId="77777777" w:rsidR="009260DE" w:rsidRPr="009B42CA" w:rsidRDefault="009260DE" w:rsidP="009260DE">
      <w:pPr>
        <w:tabs>
          <w:tab w:val="left" w:pos="851"/>
        </w:tabs>
        <w:ind w:left="851" w:hanging="851"/>
        <w:rPr>
          <w:b/>
          <w:sz w:val="24"/>
          <w:szCs w:val="24"/>
        </w:rPr>
      </w:pPr>
      <w:r w:rsidRPr="009B42CA">
        <w:rPr>
          <w:b/>
          <w:sz w:val="24"/>
          <w:szCs w:val="24"/>
        </w:rPr>
        <w:t>3.</w:t>
      </w:r>
      <w:r w:rsidRPr="009B42CA">
        <w:rPr>
          <w:b/>
          <w:sz w:val="24"/>
          <w:szCs w:val="24"/>
        </w:rPr>
        <w:tab/>
        <w:t>LÆGEMIDDELFORM</w:t>
      </w:r>
    </w:p>
    <w:p w14:paraId="5923420A" w14:textId="4776D91D" w:rsidR="004A59BF" w:rsidRPr="009B42CA" w:rsidRDefault="004A59BF" w:rsidP="00FF3E62">
      <w:pPr>
        <w:ind w:left="851"/>
        <w:rPr>
          <w:sz w:val="24"/>
          <w:szCs w:val="24"/>
        </w:rPr>
      </w:pPr>
      <w:r w:rsidRPr="009B42CA">
        <w:rPr>
          <w:sz w:val="24"/>
          <w:szCs w:val="24"/>
        </w:rPr>
        <w:t>Koncentrat til injektions-/infusionsvæske, opløsning</w:t>
      </w:r>
    </w:p>
    <w:p w14:paraId="38A95798" w14:textId="77777777" w:rsidR="004A59BF" w:rsidRPr="009B42CA" w:rsidRDefault="004A59BF" w:rsidP="00FF3E62">
      <w:pPr>
        <w:ind w:left="851"/>
        <w:rPr>
          <w:sz w:val="24"/>
          <w:szCs w:val="24"/>
        </w:rPr>
      </w:pPr>
    </w:p>
    <w:p w14:paraId="53923384" w14:textId="52D01C9F" w:rsidR="004A59BF" w:rsidRPr="009B42CA" w:rsidRDefault="004A59BF" w:rsidP="00FF3E62">
      <w:pPr>
        <w:ind w:left="851"/>
        <w:rPr>
          <w:sz w:val="24"/>
          <w:szCs w:val="24"/>
        </w:rPr>
      </w:pPr>
      <w:proofErr w:type="spellStart"/>
      <w:r w:rsidRPr="009B42CA">
        <w:rPr>
          <w:sz w:val="24"/>
          <w:szCs w:val="24"/>
        </w:rPr>
        <w:t>Fludarabinphosphat</w:t>
      </w:r>
      <w:proofErr w:type="spellEnd"/>
      <w:r w:rsidRPr="009B42CA">
        <w:rPr>
          <w:sz w:val="24"/>
          <w:szCs w:val="24"/>
        </w:rPr>
        <w:t xml:space="preserve"> </w:t>
      </w:r>
      <w:r w:rsidR="00EC015B">
        <w:rPr>
          <w:sz w:val="24"/>
          <w:szCs w:val="24"/>
        </w:rPr>
        <w:t>"</w:t>
      </w:r>
      <w:proofErr w:type="spellStart"/>
      <w:r w:rsidR="00EC015B">
        <w:rPr>
          <w:sz w:val="24"/>
          <w:szCs w:val="24"/>
        </w:rPr>
        <w:t>Teva</w:t>
      </w:r>
      <w:proofErr w:type="spellEnd"/>
      <w:r w:rsidR="00EC015B">
        <w:rPr>
          <w:sz w:val="24"/>
          <w:szCs w:val="24"/>
        </w:rPr>
        <w:t>"</w:t>
      </w:r>
      <w:r w:rsidRPr="009B42CA">
        <w:rPr>
          <w:sz w:val="24"/>
          <w:szCs w:val="24"/>
        </w:rPr>
        <w:t xml:space="preserve"> er en klar, farveløs eller svagt gulbrun opløsning, essentielt fri for partikler.</w:t>
      </w:r>
    </w:p>
    <w:p w14:paraId="1961B24A" w14:textId="77777777" w:rsidR="009260DE" w:rsidRPr="009B42CA" w:rsidRDefault="009260DE" w:rsidP="009260DE">
      <w:pPr>
        <w:tabs>
          <w:tab w:val="left" w:pos="851"/>
        </w:tabs>
        <w:ind w:left="851"/>
        <w:rPr>
          <w:sz w:val="24"/>
          <w:szCs w:val="24"/>
        </w:rPr>
      </w:pPr>
    </w:p>
    <w:p w14:paraId="540182D2" w14:textId="77777777" w:rsidR="009260DE" w:rsidRPr="009B42CA" w:rsidRDefault="009260DE" w:rsidP="009260DE">
      <w:pPr>
        <w:tabs>
          <w:tab w:val="left" w:pos="851"/>
        </w:tabs>
        <w:ind w:left="851"/>
        <w:rPr>
          <w:sz w:val="24"/>
          <w:szCs w:val="24"/>
        </w:rPr>
      </w:pPr>
    </w:p>
    <w:p w14:paraId="59048622" w14:textId="77777777" w:rsidR="009260DE" w:rsidRPr="009B42CA" w:rsidRDefault="009260DE" w:rsidP="009260DE">
      <w:pPr>
        <w:tabs>
          <w:tab w:val="left" w:pos="851"/>
        </w:tabs>
        <w:ind w:left="851" w:hanging="851"/>
        <w:rPr>
          <w:b/>
          <w:sz w:val="24"/>
          <w:szCs w:val="24"/>
        </w:rPr>
      </w:pPr>
      <w:r w:rsidRPr="009B42CA">
        <w:rPr>
          <w:b/>
          <w:sz w:val="24"/>
          <w:szCs w:val="24"/>
        </w:rPr>
        <w:t>4.</w:t>
      </w:r>
      <w:r w:rsidRPr="009B42CA">
        <w:rPr>
          <w:b/>
          <w:sz w:val="24"/>
          <w:szCs w:val="24"/>
        </w:rPr>
        <w:tab/>
        <w:t>KLINISKE OPLYSNINGER</w:t>
      </w:r>
    </w:p>
    <w:p w14:paraId="1D9AAA02" w14:textId="77777777" w:rsidR="009260DE" w:rsidRPr="009B42CA" w:rsidRDefault="009260DE" w:rsidP="009260DE">
      <w:pPr>
        <w:tabs>
          <w:tab w:val="left" w:pos="851"/>
        </w:tabs>
        <w:ind w:left="851"/>
        <w:rPr>
          <w:b/>
          <w:sz w:val="24"/>
          <w:szCs w:val="24"/>
        </w:rPr>
      </w:pPr>
    </w:p>
    <w:p w14:paraId="5178D888" w14:textId="77777777" w:rsidR="009260DE" w:rsidRPr="009B42CA" w:rsidRDefault="009260DE" w:rsidP="009260DE">
      <w:pPr>
        <w:tabs>
          <w:tab w:val="left" w:pos="851"/>
        </w:tabs>
        <w:ind w:left="851" w:hanging="851"/>
        <w:rPr>
          <w:b/>
          <w:sz w:val="24"/>
          <w:szCs w:val="24"/>
          <w:u w:val="single"/>
        </w:rPr>
      </w:pPr>
      <w:r w:rsidRPr="009B42CA">
        <w:rPr>
          <w:b/>
          <w:sz w:val="24"/>
          <w:szCs w:val="24"/>
        </w:rPr>
        <w:t>4.1</w:t>
      </w:r>
      <w:r w:rsidRPr="009B42CA">
        <w:rPr>
          <w:b/>
          <w:sz w:val="24"/>
          <w:szCs w:val="24"/>
        </w:rPr>
        <w:tab/>
        <w:t>Terapeutiske indikationer</w:t>
      </w:r>
    </w:p>
    <w:p w14:paraId="3BD42D2F" w14:textId="77777777" w:rsidR="004A59BF" w:rsidRPr="009B42CA" w:rsidRDefault="004A59BF" w:rsidP="00FF3E62">
      <w:pPr>
        <w:ind w:left="851"/>
        <w:rPr>
          <w:sz w:val="24"/>
          <w:szCs w:val="24"/>
        </w:rPr>
      </w:pPr>
      <w:r w:rsidRPr="009B42CA">
        <w:rPr>
          <w:sz w:val="24"/>
          <w:szCs w:val="24"/>
        </w:rPr>
        <w:t xml:space="preserve">Behandling af kronisk B-celle lymfatisk leukæmi (CLL) hos voksne patienter med tilstrækkelige knoglemarvsreserver. </w:t>
      </w:r>
      <w:r w:rsidRPr="009B42CA">
        <w:rPr>
          <w:sz w:val="24"/>
          <w:szCs w:val="24"/>
        </w:rPr>
        <w:br/>
      </w:r>
      <w:r w:rsidRPr="009B42CA">
        <w:rPr>
          <w:sz w:val="24"/>
          <w:szCs w:val="24"/>
        </w:rPr>
        <w:br/>
        <w:t xml:space="preserve">Første linje-behandling med </w:t>
      </w:r>
      <w:proofErr w:type="spellStart"/>
      <w:r w:rsidRPr="009B42CA">
        <w:rPr>
          <w:sz w:val="24"/>
          <w:szCs w:val="24"/>
        </w:rPr>
        <w:t>fludarabin</w:t>
      </w:r>
      <w:proofErr w:type="spellEnd"/>
      <w:r w:rsidRPr="009B42CA">
        <w:rPr>
          <w:sz w:val="24"/>
          <w:szCs w:val="24"/>
        </w:rPr>
        <w:t xml:space="preserve"> bør kun indledes hos voksne patienter med fremskreden sygdom, Rai-stadium III/IV (</w:t>
      </w:r>
      <w:proofErr w:type="spellStart"/>
      <w:r w:rsidRPr="009B42CA">
        <w:rPr>
          <w:sz w:val="24"/>
          <w:szCs w:val="24"/>
        </w:rPr>
        <w:t>Binet</w:t>
      </w:r>
      <w:proofErr w:type="spellEnd"/>
      <w:r w:rsidRPr="009B42CA">
        <w:rPr>
          <w:sz w:val="24"/>
          <w:szCs w:val="24"/>
        </w:rPr>
        <w:t>-stadium C) eller Rai-stadium I/II (</w:t>
      </w:r>
      <w:proofErr w:type="spellStart"/>
      <w:r w:rsidRPr="009B42CA">
        <w:rPr>
          <w:sz w:val="24"/>
          <w:szCs w:val="24"/>
        </w:rPr>
        <w:t>Binet</w:t>
      </w:r>
      <w:proofErr w:type="spellEnd"/>
      <w:r w:rsidRPr="009B42CA">
        <w:rPr>
          <w:sz w:val="24"/>
          <w:szCs w:val="24"/>
        </w:rPr>
        <w:t>-stadium A/B), hvor patienten udviser sygdomsrelaterede symptomer eller tegn på progressiv sygdom.</w:t>
      </w:r>
    </w:p>
    <w:p w14:paraId="3BC8AF1F" w14:textId="6B8732E2" w:rsidR="00BB138E" w:rsidRDefault="00BB138E">
      <w:pPr>
        <w:rPr>
          <w:sz w:val="24"/>
          <w:szCs w:val="24"/>
        </w:rPr>
      </w:pPr>
      <w:r>
        <w:rPr>
          <w:sz w:val="24"/>
          <w:szCs w:val="24"/>
        </w:rPr>
        <w:br w:type="page"/>
      </w:r>
    </w:p>
    <w:p w14:paraId="3CB7E8D6" w14:textId="77777777" w:rsidR="009260DE" w:rsidRPr="009B42CA" w:rsidRDefault="009260DE" w:rsidP="009260DE">
      <w:pPr>
        <w:tabs>
          <w:tab w:val="left" w:pos="851"/>
        </w:tabs>
        <w:ind w:left="851"/>
        <w:rPr>
          <w:sz w:val="24"/>
          <w:szCs w:val="24"/>
        </w:rPr>
      </w:pPr>
    </w:p>
    <w:p w14:paraId="1CF3030B" w14:textId="77777777" w:rsidR="009260DE" w:rsidRPr="009B42CA" w:rsidRDefault="009260DE" w:rsidP="009260DE">
      <w:pPr>
        <w:tabs>
          <w:tab w:val="left" w:pos="851"/>
        </w:tabs>
        <w:ind w:left="851" w:hanging="851"/>
        <w:rPr>
          <w:b/>
          <w:sz w:val="24"/>
          <w:szCs w:val="24"/>
        </w:rPr>
      </w:pPr>
      <w:r w:rsidRPr="009B42CA">
        <w:rPr>
          <w:b/>
          <w:sz w:val="24"/>
          <w:szCs w:val="24"/>
        </w:rPr>
        <w:t>4.2</w:t>
      </w:r>
      <w:r w:rsidRPr="009B42CA">
        <w:rPr>
          <w:b/>
          <w:sz w:val="24"/>
          <w:szCs w:val="24"/>
        </w:rPr>
        <w:tab/>
        <w:t xml:space="preserve">Dosering og </w:t>
      </w:r>
      <w:r w:rsidR="002C1EC0" w:rsidRPr="009B42CA">
        <w:rPr>
          <w:b/>
          <w:sz w:val="24"/>
          <w:szCs w:val="24"/>
        </w:rPr>
        <w:t>administration</w:t>
      </w:r>
    </w:p>
    <w:p w14:paraId="179E5755" w14:textId="77777777" w:rsidR="004A59BF" w:rsidRPr="009B42CA" w:rsidRDefault="004A59BF" w:rsidP="004A59BF">
      <w:pPr>
        <w:rPr>
          <w:sz w:val="24"/>
          <w:szCs w:val="24"/>
        </w:rPr>
      </w:pPr>
    </w:p>
    <w:p w14:paraId="3089194B" w14:textId="77777777" w:rsidR="004A59BF" w:rsidRPr="009B42CA" w:rsidRDefault="004A59BF" w:rsidP="00FF3E62">
      <w:pPr>
        <w:ind w:left="851"/>
        <w:rPr>
          <w:sz w:val="24"/>
          <w:szCs w:val="24"/>
          <w:u w:val="single"/>
        </w:rPr>
      </w:pPr>
      <w:r w:rsidRPr="009B42CA">
        <w:rPr>
          <w:sz w:val="24"/>
          <w:szCs w:val="24"/>
          <w:u w:val="single"/>
        </w:rPr>
        <w:t>Dosering</w:t>
      </w:r>
    </w:p>
    <w:p w14:paraId="169C1BAE" w14:textId="77777777" w:rsidR="004A59BF" w:rsidRPr="009B42CA" w:rsidRDefault="004A59BF" w:rsidP="00FF3E62">
      <w:pPr>
        <w:ind w:left="851"/>
        <w:rPr>
          <w:sz w:val="24"/>
          <w:szCs w:val="24"/>
        </w:rPr>
      </w:pPr>
    </w:p>
    <w:p w14:paraId="7DDE95FC" w14:textId="77777777" w:rsidR="004A59BF" w:rsidRPr="009B42CA" w:rsidRDefault="004A59BF" w:rsidP="00FF3E62">
      <w:pPr>
        <w:ind w:left="851"/>
        <w:rPr>
          <w:sz w:val="24"/>
          <w:szCs w:val="24"/>
        </w:rPr>
      </w:pPr>
      <w:r w:rsidRPr="009B42CA">
        <w:rPr>
          <w:sz w:val="24"/>
          <w:szCs w:val="24"/>
        </w:rPr>
        <w:t xml:space="preserve">Den anbefalede dosis er 25 mg </w:t>
      </w:r>
      <w:proofErr w:type="spellStart"/>
      <w:r w:rsidRPr="009B42CA">
        <w:rPr>
          <w:sz w:val="24"/>
          <w:szCs w:val="24"/>
        </w:rPr>
        <w:t>fludarabinphosphat</w:t>
      </w:r>
      <w:proofErr w:type="spellEnd"/>
      <w:r w:rsidRPr="009B42CA">
        <w:rPr>
          <w:sz w:val="24"/>
          <w:szCs w:val="24"/>
        </w:rPr>
        <w:t>/m</w:t>
      </w:r>
      <w:r w:rsidRPr="009B42CA">
        <w:rPr>
          <w:sz w:val="24"/>
          <w:szCs w:val="24"/>
          <w:vertAlign w:val="superscript"/>
        </w:rPr>
        <w:t>2</w:t>
      </w:r>
      <w:r w:rsidRPr="009B42CA">
        <w:rPr>
          <w:sz w:val="24"/>
          <w:szCs w:val="24"/>
        </w:rPr>
        <w:t xml:space="preserve"> legemsoverfladeareal indgivet intravenøst dagligt i fem på hinanden følgende dage hver 28. dag. Den nødvendige dosis (beregnet på basis af patientens legemsoverfladeareal) af koncentratet trækkes op i en sprøjte. Ved intravenøs </w:t>
      </w:r>
      <w:proofErr w:type="spellStart"/>
      <w:r w:rsidRPr="009B42CA">
        <w:rPr>
          <w:sz w:val="24"/>
          <w:szCs w:val="24"/>
        </w:rPr>
        <w:t>bolusinjektion</w:t>
      </w:r>
      <w:proofErr w:type="spellEnd"/>
      <w:r w:rsidRPr="009B42CA">
        <w:rPr>
          <w:sz w:val="24"/>
          <w:szCs w:val="24"/>
        </w:rPr>
        <w:t xml:space="preserve"> fortyndes dosis yderligere i 10 ml 0,9 % </w:t>
      </w:r>
      <w:proofErr w:type="spellStart"/>
      <w:r w:rsidRPr="009B42CA">
        <w:rPr>
          <w:sz w:val="24"/>
          <w:szCs w:val="24"/>
        </w:rPr>
        <w:t>natriumchlorid</w:t>
      </w:r>
      <w:proofErr w:type="spellEnd"/>
      <w:r w:rsidRPr="009B42CA">
        <w:rPr>
          <w:sz w:val="24"/>
          <w:szCs w:val="24"/>
        </w:rPr>
        <w:t xml:space="preserve">. Ved infusion kan den krævede dosis alternativt fortyndes i 100 ml 0,9 % </w:t>
      </w:r>
      <w:proofErr w:type="spellStart"/>
      <w:r w:rsidRPr="009B42CA">
        <w:rPr>
          <w:sz w:val="24"/>
          <w:szCs w:val="24"/>
        </w:rPr>
        <w:t>natriumchlorid</w:t>
      </w:r>
      <w:proofErr w:type="spellEnd"/>
      <w:r w:rsidRPr="009B42CA">
        <w:rPr>
          <w:sz w:val="24"/>
          <w:szCs w:val="24"/>
        </w:rPr>
        <w:t xml:space="preserve"> og </w:t>
      </w:r>
      <w:proofErr w:type="spellStart"/>
      <w:r w:rsidRPr="009B42CA">
        <w:rPr>
          <w:sz w:val="24"/>
          <w:szCs w:val="24"/>
        </w:rPr>
        <w:t>infunderes</w:t>
      </w:r>
      <w:proofErr w:type="spellEnd"/>
      <w:r w:rsidRPr="009B42CA">
        <w:rPr>
          <w:sz w:val="24"/>
          <w:szCs w:val="24"/>
        </w:rPr>
        <w:t xml:space="preserve"> over ca. 30 minutter (se også pkt. 6.6). </w:t>
      </w:r>
      <w:r w:rsidRPr="009B42CA">
        <w:rPr>
          <w:sz w:val="24"/>
          <w:szCs w:val="24"/>
        </w:rPr>
        <w:br/>
        <w:t xml:space="preserve">Behandlingstiden afhænger af behandlingsresultatet og tolerancen over for lægemidlet. </w:t>
      </w:r>
      <w:r w:rsidRPr="009B42CA">
        <w:rPr>
          <w:sz w:val="24"/>
          <w:szCs w:val="24"/>
        </w:rPr>
        <w:br/>
        <w:t xml:space="preserve">Til </w:t>
      </w:r>
      <w:proofErr w:type="gramStart"/>
      <w:r w:rsidRPr="009B42CA">
        <w:rPr>
          <w:sz w:val="24"/>
          <w:szCs w:val="24"/>
        </w:rPr>
        <w:t>CLL patienter</w:t>
      </w:r>
      <w:proofErr w:type="gramEnd"/>
      <w:r w:rsidRPr="009B42CA">
        <w:rPr>
          <w:sz w:val="24"/>
          <w:szCs w:val="24"/>
        </w:rPr>
        <w:t xml:space="preserve"> skal </w:t>
      </w:r>
      <w:proofErr w:type="spellStart"/>
      <w:r w:rsidRPr="009B42CA">
        <w:rPr>
          <w:sz w:val="24"/>
          <w:szCs w:val="24"/>
        </w:rPr>
        <w:t>fludarabinphosphat</w:t>
      </w:r>
      <w:proofErr w:type="spellEnd"/>
      <w:r w:rsidRPr="009B42CA">
        <w:rPr>
          <w:sz w:val="24"/>
          <w:szCs w:val="24"/>
        </w:rPr>
        <w:t xml:space="preserve"> gives, indtil den bedste respons er opnået (hel eller delvis remission, normalt seks cykler), hvorefter behandlingen afsluttes. </w:t>
      </w:r>
    </w:p>
    <w:p w14:paraId="5F2CD217" w14:textId="77777777" w:rsidR="004A59BF" w:rsidRPr="009B42CA" w:rsidRDefault="004A59BF" w:rsidP="00FF3E62">
      <w:pPr>
        <w:ind w:left="851"/>
        <w:rPr>
          <w:sz w:val="24"/>
          <w:szCs w:val="24"/>
        </w:rPr>
      </w:pPr>
    </w:p>
    <w:p w14:paraId="5584ABC6" w14:textId="77777777" w:rsidR="004A59BF" w:rsidRPr="009B42CA" w:rsidRDefault="004A59BF" w:rsidP="00FF3E62">
      <w:pPr>
        <w:ind w:left="851"/>
        <w:rPr>
          <w:sz w:val="24"/>
          <w:szCs w:val="24"/>
          <w:u w:val="single"/>
        </w:rPr>
      </w:pPr>
      <w:r w:rsidRPr="009B42CA">
        <w:rPr>
          <w:sz w:val="24"/>
          <w:szCs w:val="24"/>
          <w:u w:val="single"/>
        </w:rPr>
        <w:t>Særlige populationer</w:t>
      </w:r>
    </w:p>
    <w:p w14:paraId="5DBEA897" w14:textId="77777777" w:rsidR="004A59BF" w:rsidRPr="009B42CA" w:rsidRDefault="004A59BF" w:rsidP="00FF3E62">
      <w:pPr>
        <w:ind w:left="851"/>
        <w:rPr>
          <w:sz w:val="24"/>
          <w:szCs w:val="24"/>
        </w:rPr>
      </w:pPr>
    </w:p>
    <w:p w14:paraId="765684A4" w14:textId="77777777" w:rsidR="004A59BF" w:rsidRPr="009B42CA" w:rsidRDefault="004A59BF" w:rsidP="00FF3E62">
      <w:pPr>
        <w:ind w:left="851"/>
        <w:rPr>
          <w:sz w:val="24"/>
          <w:szCs w:val="24"/>
        </w:rPr>
      </w:pPr>
      <w:r w:rsidRPr="009B42CA">
        <w:rPr>
          <w:i/>
          <w:iCs/>
          <w:sz w:val="24"/>
          <w:szCs w:val="24"/>
        </w:rPr>
        <w:t>Nedsat nyrefunktion</w:t>
      </w:r>
      <w:r w:rsidRPr="009B42CA">
        <w:rPr>
          <w:i/>
          <w:sz w:val="24"/>
          <w:szCs w:val="24"/>
        </w:rPr>
        <w:t xml:space="preserve"> </w:t>
      </w:r>
    </w:p>
    <w:p w14:paraId="702B74F9" w14:textId="77777777" w:rsidR="004A59BF" w:rsidRPr="009B42CA" w:rsidRDefault="004A59BF" w:rsidP="00FF3E62">
      <w:pPr>
        <w:ind w:left="851"/>
        <w:rPr>
          <w:sz w:val="24"/>
          <w:szCs w:val="24"/>
        </w:rPr>
      </w:pPr>
      <w:r w:rsidRPr="009B42CA">
        <w:rPr>
          <w:sz w:val="24"/>
          <w:szCs w:val="24"/>
        </w:rPr>
        <w:t xml:space="preserve">Dosis skal justeres hos patienter med nedsat nyrefunktion. Hvis </w:t>
      </w:r>
      <w:proofErr w:type="spellStart"/>
      <w:r w:rsidRPr="009B42CA">
        <w:rPr>
          <w:sz w:val="24"/>
          <w:szCs w:val="24"/>
        </w:rPr>
        <w:t>kreatininclearance</w:t>
      </w:r>
      <w:proofErr w:type="spellEnd"/>
      <w:r w:rsidRPr="009B42CA">
        <w:rPr>
          <w:sz w:val="24"/>
          <w:szCs w:val="24"/>
        </w:rPr>
        <w:t xml:space="preserve"> er mellem 30 og 70 ml/min, reduceres dosis med op til 50 % og tæt overvågning af de hæmatologiske parametre iværksættes for at vurdere toksiciteten (se pkt. 4.4).</w:t>
      </w:r>
    </w:p>
    <w:p w14:paraId="4E3355CA" w14:textId="77777777" w:rsidR="004A59BF" w:rsidRPr="009B42CA" w:rsidRDefault="004A59BF" w:rsidP="00FF3E62">
      <w:pPr>
        <w:ind w:left="851"/>
        <w:rPr>
          <w:sz w:val="24"/>
          <w:szCs w:val="24"/>
        </w:rPr>
      </w:pPr>
      <w:proofErr w:type="spellStart"/>
      <w:r w:rsidRPr="009B42CA">
        <w:rPr>
          <w:sz w:val="24"/>
          <w:szCs w:val="24"/>
        </w:rPr>
        <w:t>Fludarabin</w:t>
      </w:r>
      <w:proofErr w:type="spellEnd"/>
      <w:r w:rsidRPr="009B42CA">
        <w:rPr>
          <w:sz w:val="24"/>
          <w:szCs w:val="24"/>
        </w:rPr>
        <w:t xml:space="preserve">-behandling er kontraindiceret, hvis </w:t>
      </w:r>
      <w:proofErr w:type="spellStart"/>
      <w:r w:rsidRPr="009B42CA">
        <w:rPr>
          <w:sz w:val="24"/>
          <w:szCs w:val="24"/>
        </w:rPr>
        <w:t>kreatininclearance</w:t>
      </w:r>
      <w:proofErr w:type="spellEnd"/>
      <w:r w:rsidRPr="009B42CA">
        <w:rPr>
          <w:sz w:val="24"/>
          <w:szCs w:val="24"/>
        </w:rPr>
        <w:t xml:space="preserve"> er &lt; 30 ml/min (se pkt. 4.3).</w:t>
      </w:r>
    </w:p>
    <w:p w14:paraId="226EFE6D" w14:textId="77777777" w:rsidR="004A59BF" w:rsidRPr="009B42CA" w:rsidRDefault="004A59BF" w:rsidP="00FF3E62">
      <w:pPr>
        <w:ind w:left="851"/>
        <w:rPr>
          <w:sz w:val="24"/>
          <w:szCs w:val="24"/>
        </w:rPr>
      </w:pPr>
    </w:p>
    <w:p w14:paraId="17235F7C" w14:textId="77777777" w:rsidR="004A59BF" w:rsidRPr="009B42CA" w:rsidRDefault="004A59BF" w:rsidP="00FF3E62">
      <w:pPr>
        <w:ind w:left="851"/>
        <w:rPr>
          <w:i/>
          <w:iCs/>
          <w:sz w:val="24"/>
          <w:szCs w:val="24"/>
        </w:rPr>
      </w:pPr>
      <w:r w:rsidRPr="009B42CA">
        <w:rPr>
          <w:i/>
          <w:iCs/>
          <w:sz w:val="24"/>
          <w:szCs w:val="24"/>
        </w:rPr>
        <w:t>Nedsat leverfunktion</w:t>
      </w:r>
    </w:p>
    <w:p w14:paraId="4312E141" w14:textId="77777777" w:rsidR="004A59BF" w:rsidRPr="009B42CA" w:rsidRDefault="004A59BF" w:rsidP="00FF3E62">
      <w:pPr>
        <w:ind w:left="851"/>
        <w:rPr>
          <w:sz w:val="24"/>
          <w:szCs w:val="24"/>
        </w:rPr>
      </w:pPr>
      <w:r w:rsidRPr="009B42CA">
        <w:rPr>
          <w:sz w:val="24"/>
          <w:szCs w:val="24"/>
        </w:rPr>
        <w:t xml:space="preserve">Der findes ingen data vedrørende brug af </w:t>
      </w:r>
      <w:proofErr w:type="spellStart"/>
      <w:r w:rsidRPr="009B42CA">
        <w:rPr>
          <w:sz w:val="24"/>
          <w:szCs w:val="24"/>
        </w:rPr>
        <w:t>fludarabin</w:t>
      </w:r>
      <w:proofErr w:type="spellEnd"/>
      <w:r w:rsidRPr="009B42CA">
        <w:rPr>
          <w:sz w:val="24"/>
          <w:szCs w:val="24"/>
        </w:rPr>
        <w:t xml:space="preserve"> hos patienter med nedsat leverfunktion. Hos denne patientgruppe bør </w:t>
      </w:r>
      <w:proofErr w:type="spellStart"/>
      <w:r w:rsidRPr="009B42CA">
        <w:rPr>
          <w:sz w:val="24"/>
          <w:szCs w:val="24"/>
        </w:rPr>
        <w:t>fludarabin</w:t>
      </w:r>
      <w:proofErr w:type="spellEnd"/>
      <w:r w:rsidRPr="009B42CA">
        <w:rPr>
          <w:sz w:val="24"/>
          <w:szCs w:val="24"/>
        </w:rPr>
        <w:t xml:space="preserve"> bruges med forsigtighed (se desuden pkt. 4.4).</w:t>
      </w:r>
    </w:p>
    <w:p w14:paraId="46583FD9" w14:textId="77777777" w:rsidR="004A59BF" w:rsidRPr="009B42CA" w:rsidRDefault="004A59BF" w:rsidP="00FF3E62">
      <w:pPr>
        <w:ind w:left="851"/>
        <w:rPr>
          <w:sz w:val="24"/>
          <w:szCs w:val="24"/>
        </w:rPr>
      </w:pPr>
    </w:p>
    <w:p w14:paraId="42963B61" w14:textId="77777777" w:rsidR="004A59BF" w:rsidRPr="009B42CA" w:rsidRDefault="004A59BF" w:rsidP="00FF3E62">
      <w:pPr>
        <w:ind w:left="851"/>
        <w:rPr>
          <w:sz w:val="24"/>
          <w:szCs w:val="24"/>
        </w:rPr>
      </w:pPr>
      <w:r w:rsidRPr="009B42CA">
        <w:rPr>
          <w:i/>
          <w:sz w:val="24"/>
          <w:szCs w:val="24"/>
        </w:rPr>
        <w:t>Pædiatrisk population</w:t>
      </w:r>
    </w:p>
    <w:p w14:paraId="1870C006" w14:textId="77777777" w:rsidR="004A59BF" w:rsidRPr="009B42CA" w:rsidRDefault="004A59BF" w:rsidP="00FF3E62">
      <w:pPr>
        <w:ind w:left="851"/>
        <w:rPr>
          <w:sz w:val="24"/>
          <w:szCs w:val="24"/>
        </w:rPr>
      </w:pPr>
      <w:proofErr w:type="spellStart"/>
      <w:r w:rsidRPr="009B42CA">
        <w:rPr>
          <w:sz w:val="24"/>
          <w:szCs w:val="24"/>
        </w:rPr>
        <w:t>Fludarabins</w:t>
      </w:r>
      <w:proofErr w:type="spellEnd"/>
      <w:r w:rsidRPr="009B42CA">
        <w:rPr>
          <w:sz w:val="24"/>
          <w:szCs w:val="24"/>
        </w:rPr>
        <w:t xml:space="preserve"> sikkerhed og virkning ved behandling af børn under 18 år er ikke fastslået. </w:t>
      </w:r>
      <w:proofErr w:type="spellStart"/>
      <w:r w:rsidRPr="009B42CA">
        <w:rPr>
          <w:sz w:val="24"/>
          <w:szCs w:val="24"/>
        </w:rPr>
        <w:t>Fludarabin</w:t>
      </w:r>
      <w:proofErr w:type="spellEnd"/>
      <w:r w:rsidRPr="009B42CA">
        <w:rPr>
          <w:sz w:val="24"/>
          <w:szCs w:val="24"/>
        </w:rPr>
        <w:t xml:space="preserve"> bør derfor ikke anvendes til børn.</w:t>
      </w:r>
    </w:p>
    <w:p w14:paraId="38835A1B" w14:textId="77777777" w:rsidR="004A59BF" w:rsidRPr="009B42CA" w:rsidRDefault="004A59BF" w:rsidP="00FF3E62">
      <w:pPr>
        <w:ind w:left="851"/>
        <w:rPr>
          <w:i/>
          <w:sz w:val="24"/>
          <w:szCs w:val="24"/>
        </w:rPr>
      </w:pPr>
    </w:p>
    <w:p w14:paraId="222492EE" w14:textId="77777777" w:rsidR="004A59BF" w:rsidRPr="009B42CA" w:rsidRDefault="004A59BF" w:rsidP="00FF3E62">
      <w:pPr>
        <w:ind w:left="851"/>
        <w:rPr>
          <w:i/>
          <w:sz w:val="24"/>
          <w:szCs w:val="24"/>
        </w:rPr>
      </w:pPr>
      <w:r w:rsidRPr="009B42CA">
        <w:rPr>
          <w:i/>
          <w:sz w:val="24"/>
          <w:szCs w:val="24"/>
        </w:rPr>
        <w:t>Ældre</w:t>
      </w:r>
    </w:p>
    <w:p w14:paraId="7025751F" w14:textId="77777777" w:rsidR="004A59BF" w:rsidRPr="009B42CA" w:rsidRDefault="004A59BF" w:rsidP="00FF3E62">
      <w:pPr>
        <w:ind w:left="851"/>
        <w:rPr>
          <w:sz w:val="24"/>
          <w:szCs w:val="24"/>
        </w:rPr>
      </w:pPr>
      <w:r w:rsidRPr="009B42CA">
        <w:rPr>
          <w:sz w:val="24"/>
          <w:szCs w:val="24"/>
        </w:rPr>
        <w:t xml:space="preserve">Da data om brugen af </w:t>
      </w:r>
      <w:proofErr w:type="spellStart"/>
      <w:r w:rsidRPr="009B42CA">
        <w:rPr>
          <w:sz w:val="24"/>
          <w:szCs w:val="24"/>
        </w:rPr>
        <w:t>fludarabin</w:t>
      </w:r>
      <w:proofErr w:type="spellEnd"/>
      <w:r w:rsidRPr="009B42CA">
        <w:rPr>
          <w:sz w:val="24"/>
          <w:szCs w:val="24"/>
        </w:rPr>
        <w:t xml:space="preserve"> hos ældre patienter (&gt; 75 år) er begrænset, bør der udvises forsigtighed ved indgift af </w:t>
      </w:r>
      <w:proofErr w:type="spellStart"/>
      <w:r w:rsidRPr="009B42CA">
        <w:rPr>
          <w:sz w:val="24"/>
          <w:szCs w:val="24"/>
        </w:rPr>
        <w:t>fludarabin</w:t>
      </w:r>
      <w:proofErr w:type="spellEnd"/>
      <w:r w:rsidRPr="009B42CA">
        <w:rPr>
          <w:sz w:val="24"/>
          <w:szCs w:val="24"/>
        </w:rPr>
        <w:t xml:space="preserve"> hos denne patientgruppe (se desuden pkt. 4.4).</w:t>
      </w:r>
    </w:p>
    <w:p w14:paraId="680B1D19" w14:textId="77777777" w:rsidR="004A59BF" w:rsidRPr="009B42CA" w:rsidRDefault="004A59BF" w:rsidP="00FF3E62">
      <w:pPr>
        <w:ind w:left="851"/>
        <w:rPr>
          <w:sz w:val="24"/>
          <w:szCs w:val="24"/>
        </w:rPr>
      </w:pPr>
    </w:p>
    <w:p w14:paraId="0D682539" w14:textId="52FE9563" w:rsidR="004A59BF" w:rsidRPr="009B42CA" w:rsidRDefault="004A59BF" w:rsidP="00FF3E62">
      <w:pPr>
        <w:ind w:left="851"/>
        <w:rPr>
          <w:sz w:val="24"/>
          <w:szCs w:val="24"/>
        </w:rPr>
      </w:pPr>
      <w:r w:rsidRPr="009B42CA">
        <w:rPr>
          <w:sz w:val="24"/>
          <w:szCs w:val="24"/>
        </w:rPr>
        <w:t xml:space="preserve">Patienter over 65 år bør have deres </w:t>
      </w:r>
      <w:proofErr w:type="spellStart"/>
      <w:r w:rsidRPr="009B42CA">
        <w:rPr>
          <w:sz w:val="24"/>
          <w:szCs w:val="24"/>
        </w:rPr>
        <w:t>kreatininclearance</w:t>
      </w:r>
      <w:proofErr w:type="spellEnd"/>
      <w:r w:rsidRPr="009B42CA">
        <w:rPr>
          <w:sz w:val="24"/>
          <w:szCs w:val="24"/>
        </w:rPr>
        <w:t xml:space="preserve"> målt før opstart af behandling (se </w:t>
      </w:r>
      <w:r w:rsidR="007B6BAC">
        <w:rPr>
          <w:sz w:val="24"/>
          <w:szCs w:val="24"/>
        </w:rPr>
        <w:t>"</w:t>
      </w:r>
      <w:r w:rsidRPr="009B42CA">
        <w:rPr>
          <w:sz w:val="24"/>
          <w:szCs w:val="24"/>
        </w:rPr>
        <w:t>Nedsat nyrefunktion</w:t>
      </w:r>
      <w:r w:rsidR="007B6BAC">
        <w:rPr>
          <w:sz w:val="24"/>
          <w:szCs w:val="24"/>
        </w:rPr>
        <w:t>"</w:t>
      </w:r>
      <w:r w:rsidRPr="009B42CA">
        <w:rPr>
          <w:sz w:val="24"/>
          <w:szCs w:val="24"/>
        </w:rPr>
        <w:t xml:space="preserve"> og pkt. 4.4).</w:t>
      </w:r>
    </w:p>
    <w:p w14:paraId="6F68A6B7" w14:textId="77777777" w:rsidR="004A59BF" w:rsidRPr="009B42CA" w:rsidRDefault="004A59BF" w:rsidP="00FF3E62">
      <w:pPr>
        <w:ind w:left="851"/>
        <w:rPr>
          <w:sz w:val="24"/>
          <w:szCs w:val="24"/>
        </w:rPr>
      </w:pPr>
    </w:p>
    <w:p w14:paraId="1CD09E5D" w14:textId="77777777" w:rsidR="004A59BF" w:rsidRPr="009B42CA" w:rsidRDefault="004A59BF" w:rsidP="00FF3E62">
      <w:pPr>
        <w:ind w:left="851"/>
        <w:rPr>
          <w:sz w:val="24"/>
          <w:szCs w:val="24"/>
          <w:u w:val="single"/>
        </w:rPr>
      </w:pPr>
      <w:r w:rsidRPr="009B42CA">
        <w:rPr>
          <w:sz w:val="24"/>
          <w:szCs w:val="24"/>
          <w:u w:val="single"/>
        </w:rPr>
        <w:t xml:space="preserve">Administration </w:t>
      </w:r>
    </w:p>
    <w:p w14:paraId="6F25D879" w14:textId="77777777" w:rsidR="004A59BF" w:rsidRPr="009B42CA" w:rsidRDefault="004A59BF" w:rsidP="00FF3E62">
      <w:pPr>
        <w:ind w:left="851"/>
        <w:rPr>
          <w:sz w:val="24"/>
          <w:szCs w:val="24"/>
        </w:rPr>
      </w:pPr>
      <w:proofErr w:type="spellStart"/>
      <w:r w:rsidRPr="009B42CA">
        <w:rPr>
          <w:sz w:val="24"/>
          <w:szCs w:val="24"/>
        </w:rPr>
        <w:t>Fludarabin</w:t>
      </w:r>
      <w:proofErr w:type="spellEnd"/>
      <w:r w:rsidRPr="009B42CA">
        <w:rPr>
          <w:sz w:val="24"/>
          <w:szCs w:val="24"/>
        </w:rPr>
        <w:t xml:space="preserve"> bør ordineres af en speciallæge med erfaring i </w:t>
      </w:r>
      <w:proofErr w:type="spellStart"/>
      <w:r w:rsidRPr="009B42CA">
        <w:rPr>
          <w:sz w:val="24"/>
          <w:szCs w:val="24"/>
        </w:rPr>
        <w:t>antineoplastisk</w:t>
      </w:r>
      <w:proofErr w:type="spellEnd"/>
      <w:r w:rsidRPr="009B42CA">
        <w:rPr>
          <w:sz w:val="24"/>
          <w:szCs w:val="24"/>
        </w:rPr>
        <w:t xml:space="preserve"> behandling.</w:t>
      </w:r>
    </w:p>
    <w:p w14:paraId="19EE9644" w14:textId="77777777" w:rsidR="004A59BF" w:rsidRPr="009B42CA" w:rsidRDefault="004A59BF" w:rsidP="00FF3E62">
      <w:pPr>
        <w:ind w:left="851"/>
        <w:rPr>
          <w:sz w:val="24"/>
          <w:szCs w:val="24"/>
        </w:rPr>
      </w:pPr>
    </w:p>
    <w:p w14:paraId="71076F5D" w14:textId="77777777" w:rsidR="004A59BF" w:rsidRPr="009B42CA" w:rsidRDefault="004A59BF" w:rsidP="00FF3E62">
      <w:pPr>
        <w:ind w:left="851"/>
        <w:rPr>
          <w:sz w:val="24"/>
          <w:szCs w:val="24"/>
        </w:rPr>
      </w:pPr>
      <w:r w:rsidRPr="009B42CA">
        <w:rPr>
          <w:sz w:val="24"/>
          <w:szCs w:val="24"/>
        </w:rPr>
        <w:t xml:space="preserve">Det anbefales på det kraftigste kun at give </w:t>
      </w:r>
      <w:proofErr w:type="spellStart"/>
      <w:r w:rsidRPr="009B42CA">
        <w:rPr>
          <w:sz w:val="24"/>
          <w:szCs w:val="24"/>
        </w:rPr>
        <w:t>fludarabin</w:t>
      </w:r>
      <w:proofErr w:type="spellEnd"/>
      <w:r w:rsidRPr="009B42CA">
        <w:rPr>
          <w:sz w:val="24"/>
          <w:szCs w:val="24"/>
        </w:rPr>
        <w:t xml:space="preserve"> intravenøst. Der er ikke indberettet alvorlige bivirkninger ved </w:t>
      </w:r>
      <w:proofErr w:type="spellStart"/>
      <w:r w:rsidRPr="009B42CA">
        <w:rPr>
          <w:sz w:val="24"/>
          <w:szCs w:val="24"/>
        </w:rPr>
        <w:t>paravenøst</w:t>
      </w:r>
      <w:proofErr w:type="spellEnd"/>
      <w:r w:rsidRPr="009B42CA">
        <w:rPr>
          <w:sz w:val="24"/>
          <w:szCs w:val="24"/>
        </w:rPr>
        <w:t xml:space="preserve"> indgivet </w:t>
      </w:r>
      <w:proofErr w:type="spellStart"/>
      <w:r w:rsidRPr="009B42CA">
        <w:rPr>
          <w:sz w:val="24"/>
          <w:szCs w:val="24"/>
        </w:rPr>
        <w:t>fludarabin</w:t>
      </w:r>
      <w:proofErr w:type="spellEnd"/>
      <w:r w:rsidRPr="009B42CA">
        <w:rPr>
          <w:sz w:val="24"/>
          <w:szCs w:val="24"/>
        </w:rPr>
        <w:t xml:space="preserve">, men uforsætlig </w:t>
      </w:r>
      <w:proofErr w:type="spellStart"/>
      <w:r w:rsidRPr="009B42CA">
        <w:rPr>
          <w:sz w:val="24"/>
          <w:szCs w:val="24"/>
        </w:rPr>
        <w:t>paravenøs</w:t>
      </w:r>
      <w:proofErr w:type="spellEnd"/>
      <w:r w:rsidRPr="009B42CA">
        <w:rPr>
          <w:sz w:val="24"/>
          <w:szCs w:val="24"/>
        </w:rPr>
        <w:t xml:space="preserve"> indgivelse skal udgås.</w:t>
      </w:r>
    </w:p>
    <w:p w14:paraId="4548399F" w14:textId="77777777" w:rsidR="004A59BF" w:rsidRPr="009B42CA" w:rsidRDefault="004A59BF" w:rsidP="00FF3E62">
      <w:pPr>
        <w:ind w:left="851"/>
        <w:rPr>
          <w:sz w:val="24"/>
          <w:szCs w:val="24"/>
        </w:rPr>
      </w:pPr>
    </w:p>
    <w:p w14:paraId="7ED765E5" w14:textId="77777777" w:rsidR="004A59BF" w:rsidRPr="009B42CA" w:rsidRDefault="004A59BF" w:rsidP="00FF3E62">
      <w:pPr>
        <w:ind w:left="851"/>
        <w:rPr>
          <w:sz w:val="24"/>
          <w:szCs w:val="24"/>
        </w:rPr>
      </w:pPr>
      <w:r w:rsidRPr="009B42CA">
        <w:rPr>
          <w:sz w:val="24"/>
          <w:szCs w:val="24"/>
        </w:rPr>
        <w:t xml:space="preserve">For instruktioner om fortynding af lægemidlet før administration, se pkt. 6.6.  </w:t>
      </w:r>
    </w:p>
    <w:p w14:paraId="7327D143" w14:textId="0BB5E1F7" w:rsidR="007B6BAC" w:rsidRDefault="007B6BAC">
      <w:pPr>
        <w:rPr>
          <w:sz w:val="24"/>
          <w:szCs w:val="24"/>
        </w:rPr>
      </w:pPr>
      <w:r>
        <w:rPr>
          <w:sz w:val="24"/>
          <w:szCs w:val="24"/>
        </w:rPr>
        <w:br w:type="page"/>
      </w:r>
    </w:p>
    <w:p w14:paraId="5BAA82E4" w14:textId="77777777" w:rsidR="009260DE" w:rsidRPr="009B42CA" w:rsidRDefault="009260DE" w:rsidP="009260DE">
      <w:pPr>
        <w:tabs>
          <w:tab w:val="left" w:pos="851"/>
        </w:tabs>
        <w:ind w:left="851"/>
        <w:rPr>
          <w:sz w:val="24"/>
          <w:szCs w:val="24"/>
        </w:rPr>
      </w:pPr>
    </w:p>
    <w:p w14:paraId="5993ED5A" w14:textId="77777777" w:rsidR="009260DE" w:rsidRPr="009B42CA" w:rsidRDefault="009260DE" w:rsidP="009260DE">
      <w:pPr>
        <w:tabs>
          <w:tab w:val="left" w:pos="851"/>
        </w:tabs>
        <w:ind w:left="851" w:hanging="851"/>
        <w:rPr>
          <w:b/>
          <w:sz w:val="24"/>
          <w:szCs w:val="24"/>
        </w:rPr>
      </w:pPr>
      <w:r w:rsidRPr="009B42CA">
        <w:rPr>
          <w:b/>
          <w:sz w:val="24"/>
          <w:szCs w:val="24"/>
        </w:rPr>
        <w:t>4.3</w:t>
      </w:r>
      <w:r w:rsidRPr="009B42CA">
        <w:rPr>
          <w:b/>
          <w:sz w:val="24"/>
          <w:szCs w:val="24"/>
        </w:rPr>
        <w:tab/>
        <w:t>Kontraindikationer</w:t>
      </w:r>
    </w:p>
    <w:p w14:paraId="28F1BA94" w14:textId="77777777" w:rsidR="004A59BF" w:rsidRPr="009B42CA" w:rsidRDefault="004A59BF" w:rsidP="00FF3E62">
      <w:pPr>
        <w:pStyle w:val="Listeafsnit"/>
        <w:numPr>
          <w:ilvl w:val="0"/>
          <w:numId w:val="9"/>
        </w:numPr>
        <w:ind w:left="1276" w:hanging="425"/>
        <w:rPr>
          <w:sz w:val="24"/>
          <w:szCs w:val="24"/>
          <w:lang w:eastAsia="en-GB"/>
        </w:rPr>
      </w:pPr>
      <w:r w:rsidRPr="009B42CA">
        <w:rPr>
          <w:sz w:val="24"/>
          <w:szCs w:val="24"/>
          <w:lang w:eastAsia="en-GB"/>
        </w:rPr>
        <w:t>Overfølsomhed over for det aktive stof eller over for et eller flere af hjælpestofferne anført i pkt. 6.1.</w:t>
      </w:r>
    </w:p>
    <w:p w14:paraId="5C8F9422" w14:textId="77777777" w:rsidR="004A59BF" w:rsidRPr="009B42CA" w:rsidRDefault="004A59BF" w:rsidP="00FF3E62">
      <w:pPr>
        <w:pStyle w:val="Listeafsnit"/>
        <w:numPr>
          <w:ilvl w:val="0"/>
          <w:numId w:val="9"/>
        </w:numPr>
        <w:ind w:left="1276" w:hanging="425"/>
        <w:rPr>
          <w:sz w:val="24"/>
          <w:szCs w:val="24"/>
          <w:lang w:eastAsia="en-GB"/>
        </w:rPr>
      </w:pPr>
      <w:r w:rsidRPr="009B42CA">
        <w:rPr>
          <w:sz w:val="24"/>
          <w:szCs w:val="24"/>
          <w:lang w:eastAsia="en-GB"/>
        </w:rPr>
        <w:t xml:space="preserve">Nedsat nyrefunktion med </w:t>
      </w:r>
      <w:proofErr w:type="spellStart"/>
      <w:r w:rsidRPr="009B42CA">
        <w:rPr>
          <w:sz w:val="24"/>
          <w:szCs w:val="24"/>
          <w:lang w:eastAsia="en-GB"/>
        </w:rPr>
        <w:t>kreatininclearance</w:t>
      </w:r>
      <w:proofErr w:type="spellEnd"/>
      <w:r w:rsidRPr="009B42CA">
        <w:rPr>
          <w:sz w:val="24"/>
          <w:szCs w:val="24"/>
          <w:lang w:eastAsia="en-GB"/>
        </w:rPr>
        <w:t xml:space="preserve"> &lt; 30 ml/min.</w:t>
      </w:r>
    </w:p>
    <w:p w14:paraId="0B32CA6D" w14:textId="77777777" w:rsidR="004A59BF" w:rsidRPr="009B42CA" w:rsidRDefault="004A59BF" w:rsidP="00FF3E62">
      <w:pPr>
        <w:pStyle w:val="Listeafsnit"/>
        <w:numPr>
          <w:ilvl w:val="0"/>
          <w:numId w:val="9"/>
        </w:numPr>
        <w:ind w:left="1276" w:hanging="425"/>
        <w:rPr>
          <w:sz w:val="24"/>
          <w:szCs w:val="24"/>
          <w:lang w:eastAsia="en-GB"/>
        </w:rPr>
      </w:pPr>
      <w:proofErr w:type="spellStart"/>
      <w:r w:rsidRPr="009B42CA">
        <w:rPr>
          <w:sz w:val="24"/>
          <w:szCs w:val="24"/>
          <w:lang w:eastAsia="en-GB"/>
        </w:rPr>
        <w:t>Dekompenseret</w:t>
      </w:r>
      <w:proofErr w:type="spellEnd"/>
      <w:r w:rsidRPr="009B42CA">
        <w:rPr>
          <w:sz w:val="24"/>
          <w:szCs w:val="24"/>
          <w:lang w:eastAsia="en-GB"/>
        </w:rPr>
        <w:t xml:space="preserve"> </w:t>
      </w:r>
      <w:proofErr w:type="spellStart"/>
      <w:r w:rsidRPr="009B42CA">
        <w:rPr>
          <w:sz w:val="24"/>
          <w:szCs w:val="24"/>
          <w:lang w:eastAsia="en-GB"/>
        </w:rPr>
        <w:t>hæmolytisk</w:t>
      </w:r>
      <w:proofErr w:type="spellEnd"/>
      <w:r w:rsidRPr="009B42CA">
        <w:rPr>
          <w:sz w:val="24"/>
          <w:szCs w:val="24"/>
          <w:lang w:eastAsia="en-GB"/>
        </w:rPr>
        <w:t xml:space="preserve"> anæmi.</w:t>
      </w:r>
    </w:p>
    <w:p w14:paraId="368C648E" w14:textId="77777777" w:rsidR="004A59BF" w:rsidRPr="009B42CA" w:rsidRDefault="004A59BF" w:rsidP="00FF3E62">
      <w:pPr>
        <w:pStyle w:val="Listeafsnit"/>
        <w:numPr>
          <w:ilvl w:val="0"/>
          <w:numId w:val="9"/>
        </w:numPr>
        <w:ind w:left="1276" w:hanging="425"/>
        <w:rPr>
          <w:sz w:val="24"/>
          <w:szCs w:val="24"/>
          <w:lang w:eastAsia="en-GB"/>
        </w:rPr>
      </w:pPr>
      <w:r w:rsidRPr="009B42CA">
        <w:rPr>
          <w:sz w:val="24"/>
          <w:szCs w:val="24"/>
          <w:lang w:eastAsia="en-GB"/>
        </w:rPr>
        <w:t>Amning.</w:t>
      </w:r>
    </w:p>
    <w:p w14:paraId="3B1326C0" w14:textId="77777777" w:rsidR="009260DE" w:rsidRPr="009B42CA" w:rsidRDefault="009260DE" w:rsidP="009260DE">
      <w:pPr>
        <w:tabs>
          <w:tab w:val="left" w:pos="851"/>
        </w:tabs>
        <w:ind w:left="851"/>
        <w:rPr>
          <w:sz w:val="24"/>
          <w:szCs w:val="24"/>
        </w:rPr>
      </w:pPr>
    </w:p>
    <w:p w14:paraId="68C277A1" w14:textId="77777777" w:rsidR="009260DE" w:rsidRPr="009B42CA" w:rsidRDefault="009260DE" w:rsidP="009260DE">
      <w:pPr>
        <w:tabs>
          <w:tab w:val="left" w:pos="851"/>
        </w:tabs>
        <w:ind w:left="851" w:hanging="851"/>
        <w:rPr>
          <w:b/>
          <w:sz w:val="24"/>
          <w:szCs w:val="24"/>
        </w:rPr>
      </w:pPr>
      <w:r w:rsidRPr="009B42CA">
        <w:rPr>
          <w:b/>
          <w:sz w:val="24"/>
          <w:szCs w:val="24"/>
        </w:rPr>
        <w:t>4.4</w:t>
      </w:r>
      <w:r w:rsidRPr="009B42CA">
        <w:rPr>
          <w:b/>
          <w:sz w:val="24"/>
          <w:szCs w:val="24"/>
        </w:rPr>
        <w:tab/>
        <w:t>Særlige advarsler og forsigtighedsregler vedrørende brugen</w:t>
      </w:r>
    </w:p>
    <w:p w14:paraId="3E4FC10E" w14:textId="77777777" w:rsidR="009B42CA" w:rsidRDefault="009B42CA" w:rsidP="00FF3E62">
      <w:pPr>
        <w:ind w:left="851"/>
        <w:rPr>
          <w:sz w:val="24"/>
          <w:szCs w:val="24"/>
        </w:rPr>
      </w:pPr>
    </w:p>
    <w:p w14:paraId="18BB7725" w14:textId="3CE1D25B" w:rsidR="004A59BF" w:rsidRPr="009B42CA" w:rsidRDefault="004A59BF" w:rsidP="00FF3E62">
      <w:pPr>
        <w:ind w:left="851"/>
        <w:rPr>
          <w:sz w:val="24"/>
          <w:szCs w:val="24"/>
          <w:u w:val="single"/>
        </w:rPr>
      </w:pPr>
      <w:proofErr w:type="spellStart"/>
      <w:r w:rsidRPr="009B42CA">
        <w:rPr>
          <w:sz w:val="24"/>
          <w:szCs w:val="24"/>
          <w:u w:val="single"/>
        </w:rPr>
        <w:t>Myelosuppression</w:t>
      </w:r>
      <w:proofErr w:type="spellEnd"/>
    </w:p>
    <w:p w14:paraId="6AD695B7" w14:textId="77777777" w:rsidR="004A59BF" w:rsidRPr="009B42CA" w:rsidRDefault="004A59BF" w:rsidP="00FF3E62">
      <w:pPr>
        <w:ind w:left="851"/>
        <w:rPr>
          <w:sz w:val="24"/>
          <w:szCs w:val="24"/>
        </w:rPr>
      </w:pPr>
      <w:r w:rsidRPr="009B42CA">
        <w:rPr>
          <w:sz w:val="24"/>
          <w:szCs w:val="24"/>
        </w:rPr>
        <w:t xml:space="preserve">Alvorlig knoglemarvssuppression, især anæmi, </w:t>
      </w:r>
      <w:proofErr w:type="spellStart"/>
      <w:r w:rsidRPr="009B42CA">
        <w:rPr>
          <w:sz w:val="24"/>
          <w:szCs w:val="24"/>
        </w:rPr>
        <w:t>trombocytopeni</w:t>
      </w:r>
      <w:proofErr w:type="spellEnd"/>
      <w:r w:rsidRPr="009B42CA">
        <w:rPr>
          <w:sz w:val="24"/>
          <w:szCs w:val="24"/>
        </w:rPr>
        <w:t xml:space="preserve"> og </w:t>
      </w:r>
      <w:proofErr w:type="spellStart"/>
      <w:r w:rsidRPr="009B42CA">
        <w:rPr>
          <w:sz w:val="24"/>
          <w:szCs w:val="24"/>
        </w:rPr>
        <w:t>neutropeni</w:t>
      </w:r>
      <w:proofErr w:type="spellEnd"/>
      <w:r w:rsidRPr="009B42CA">
        <w:rPr>
          <w:sz w:val="24"/>
          <w:szCs w:val="24"/>
        </w:rPr>
        <w:t xml:space="preserve">, er rapporteret hos patienter under behandling med </w:t>
      </w:r>
      <w:proofErr w:type="spellStart"/>
      <w:r w:rsidRPr="009B42CA">
        <w:rPr>
          <w:sz w:val="24"/>
          <w:szCs w:val="24"/>
        </w:rPr>
        <w:t>fludarabin</w:t>
      </w:r>
      <w:proofErr w:type="spellEnd"/>
      <w:r w:rsidRPr="009B42CA">
        <w:rPr>
          <w:sz w:val="24"/>
          <w:szCs w:val="24"/>
        </w:rPr>
        <w:t xml:space="preserve">. I et intravenøst fase I-studie hos voksne patienter med solid tumor var mediantiden for det laveste antal </w:t>
      </w:r>
      <w:proofErr w:type="spellStart"/>
      <w:r w:rsidRPr="009B42CA">
        <w:rPr>
          <w:sz w:val="24"/>
          <w:szCs w:val="24"/>
        </w:rPr>
        <w:t>granolycytter</w:t>
      </w:r>
      <w:proofErr w:type="spellEnd"/>
      <w:r w:rsidRPr="009B42CA">
        <w:rPr>
          <w:sz w:val="24"/>
          <w:szCs w:val="24"/>
        </w:rPr>
        <w:t xml:space="preserve"> 13 dage (variation: 3-25 dage) og 16 dage for </w:t>
      </w:r>
      <w:proofErr w:type="spellStart"/>
      <w:r w:rsidRPr="009B42CA">
        <w:rPr>
          <w:sz w:val="24"/>
          <w:szCs w:val="24"/>
        </w:rPr>
        <w:t>trombocytter</w:t>
      </w:r>
      <w:proofErr w:type="spellEnd"/>
      <w:r w:rsidRPr="009B42CA">
        <w:rPr>
          <w:sz w:val="24"/>
          <w:szCs w:val="24"/>
        </w:rPr>
        <w:t xml:space="preserve"> (variation: 2-32 dage). De fleste patienter havde hæmatologisk forstyrrelse ved baseline enten som resultat af sygdom eller af forudgående </w:t>
      </w:r>
      <w:proofErr w:type="spellStart"/>
      <w:r w:rsidRPr="009B42CA">
        <w:rPr>
          <w:sz w:val="24"/>
          <w:szCs w:val="24"/>
        </w:rPr>
        <w:t>myelosuppressiv</w:t>
      </w:r>
      <w:proofErr w:type="spellEnd"/>
      <w:r w:rsidRPr="009B42CA">
        <w:rPr>
          <w:sz w:val="24"/>
          <w:szCs w:val="24"/>
        </w:rPr>
        <w:t xml:space="preserve"> behandling. </w:t>
      </w:r>
    </w:p>
    <w:p w14:paraId="453A6E10" w14:textId="77777777" w:rsidR="004A59BF" w:rsidRPr="009B42CA" w:rsidRDefault="004A59BF" w:rsidP="00FF3E62">
      <w:pPr>
        <w:ind w:left="851"/>
        <w:rPr>
          <w:sz w:val="24"/>
          <w:szCs w:val="24"/>
        </w:rPr>
      </w:pPr>
    </w:p>
    <w:p w14:paraId="6D9D3AE5" w14:textId="77777777" w:rsidR="004A59BF" w:rsidRPr="009B42CA" w:rsidRDefault="004A59BF" w:rsidP="00FF3E62">
      <w:pPr>
        <w:ind w:left="851"/>
        <w:rPr>
          <w:sz w:val="24"/>
          <w:szCs w:val="24"/>
        </w:rPr>
      </w:pPr>
      <w:r w:rsidRPr="009B42CA">
        <w:rPr>
          <w:sz w:val="24"/>
          <w:szCs w:val="24"/>
        </w:rPr>
        <w:t xml:space="preserve">Kumulativ </w:t>
      </w:r>
      <w:proofErr w:type="spellStart"/>
      <w:r w:rsidRPr="009B42CA">
        <w:rPr>
          <w:sz w:val="24"/>
          <w:szCs w:val="24"/>
        </w:rPr>
        <w:t>myelosuppression</w:t>
      </w:r>
      <w:proofErr w:type="spellEnd"/>
      <w:r w:rsidRPr="009B42CA">
        <w:rPr>
          <w:sz w:val="24"/>
          <w:szCs w:val="24"/>
        </w:rPr>
        <w:t xml:space="preserve"> kan ses. Mens kemoterapiinduceret </w:t>
      </w:r>
      <w:proofErr w:type="spellStart"/>
      <w:r w:rsidRPr="009B42CA">
        <w:rPr>
          <w:sz w:val="24"/>
          <w:szCs w:val="24"/>
        </w:rPr>
        <w:t>myelosuppression</w:t>
      </w:r>
      <w:proofErr w:type="spellEnd"/>
      <w:r w:rsidRPr="009B42CA">
        <w:rPr>
          <w:sz w:val="24"/>
          <w:szCs w:val="24"/>
        </w:rPr>
        <w:t xml:space="preserve"> ofte er reversibel, kræver administration af </w:t>
      </w:r>
      <w:proofErr w:type="spellStart"/>
      <w:r w:rsidRPr="009B42CA">
        <w:rPr>
          <w:sz w:val="24"/>
          <w:szCs w:val="24"/>
        </w:rPr>
        <w:t>fludarabinphosphat</w:t>
      </w:r>
      <w:proofErr w:type="spellEnd"/>
      <w:r w:rsidRPr="009B42CA">
        <w:rPr>
          <w:sz w:val="24"/>
          <w:szCs w:val="24"/>
        </w:rPr>
        <w:t xml:space="preserve"> nøje hæmatologisk monitorering. </w:t>
      </w:r>
    </w:p>
    <w:p w14:paraId="43E95049" w14:textId="77777777" w:rsidR="004A59BF" w:rsidRPr="009B42CA" w:rsidRDefault="004A59BF" w:rsidP="00FF3E62">
      <w:pPr>
        <w:ind w:left="851"/>
        <w:rPr>
          <w:sz w:val="24"/>
          <w:szCs w:val="24"/>
        </w:rPr>
      </w:pPr>
    </w:p>
    <w:p w14:paraId="68B9EC57" w14:textId="77777777" w:rsidR="004A59BF" w:rsidRPr="009B42CA" w:rsidRDefault="004A59BF" w:rsidP="00FF3E62">
      <w:pPr>
        <w:ind w:left="851"/>
        <w:rPr>
          <w:sz w:val="24"/>
          <w:szCs w:val="24"/>
        </w:rPr>
      </w:pPr>
      <w:proofErr w:type="spellStart"/>
      <w:r w:rsidRPr="009B42CA">
        <w:rPr>
          <w:sz w:val="24"/>
          <w:szCs w:val="24"/>
        </w:rPr>
        <w:t>Fludarabinphosphat</w:t>
      </w:r>
      <w:proofErr w:type="spellEnd"/>
      <w:r w:rsidRPr="009B42CA">
        <w:rPr>
          <w:sz w:val="24"/>
          <w:szCs w:val="24"/>
        </w:rPr>
        <w:t xml:space="preserve"> er et potent </w:t>
      </w:r>
      <w:proofErr w:type="spellStart"/>
      <w:r w:rsidRPr="009B42CA">
        <w:rPr>
          <w:sz w:val="24"/>
          <w:szCs w:val="24"/>
        </w:rPr>
        <w:t>antineoplastisk</w:t>
      </w:r>
      <w:proofErr w:type="spellEnd"/>
      <w:r w:rsidRPr="009B42CA">
        <w:rPr>
          <w:sz w:val="24"/>
          <w:szCs w:val="24"/>
        </w:rPr>
        <w:t xml:space="preserve"> lægemiddel med potentielt signifikante toksiske bivirkninger. Patienter i behandling bør overvåges nøje for tegn på hæmatologisk og ikke-hæmatologisk toksicitet. Regelmæssig kontrol af perifere blodtal anbefales med henblik på at opdage udviklingen af anæmi, </w:t>
      </w:r>
      <w:proofErr w:type="spellStart"/>
      <w:r w:rsidRPr="009B42CA">
        <w:rPr>
          <w:sz w:val="24"/>
          <w:szCs w:val="24"/>
        </w:rPr>
        <w:t>neutropeni</w:t>
      </w:r>
      <w:proofErr w:type="spellEnd"/>
      <w:r w:rsidRPr="009B42CA">
        <w:rPr>
          <w:sz w:val="24"/>
          <w:szCs w:val="24"/>
        </w:rPr>
        <w:t xml:space="preserve"> og </w:t>
      </w:r>
      <w:proofErr w:type="spellStart"/>
      <w:r w:rsidRPr="009B42CA">
        <w:rPr>
          <w:sz w:val="24"/>
          <w:szCs w:val="24"/>
        </w:rPr>
        <w:t>trombocytopeni</w:t>
      </w:r>
      <w:proofErr w:type="spellEnd"/>
      <w:r w:rsidRPr="009B42CA">
        <w:rPr>
          <w:sz w:val="24"/>
          <w:szCs w:val="24"/>
        </w:rPr>
        <w:t xml:space="preserve">. </w:t>
      </w:r>
    </w:p>
    <w:p w14:paraId="3FACAE0E" w14:textId="77777777" w:rsidR="004A59BF" w:rsidRPr="009B42CA" w:rsidRDefault="004A59BF" w:rsidP="00FF3E62">
      <w:pPr>
        <w:ind w:left="851"/>
        <w:rPr>
          <w:sz w:val="24"/>
          <w:szCs w:val="24"/>
        </w:rPr>
      </w:pPr>
    </w:p>
    <w:p w14:paraId="5E9E30DE" w14:textId="14AE0151" w:rsidR="004A59BF" w:rsidRPr="009B42CA" w:rsidRDefault="004A59BF" w:rsidP="00FF3E62">
      <w:pPr>
        <w:ind w:left="851"/>
        <w:rPr>
          <w:sz w:val="24"/>
          <w:szCs w:val="24"/>
        </w:rPr>
      </w:pPr>
      <w:r w:rsidRPr="009B42CA">
        <w:rPr>
          <w:sz w:val="24"/>
          <w:szCs w:val="24"/>
        </w:rPr>
        <w:t xml:space="preserve">Blandt voksne patienter er der rapporteret flere tilfælde af trestrenget </w:t>
      </w:r>
      <w:proofErr w:type="spellStart"/>
      <w:r w:rsidRPr="009B42CA">
        <w:rPr>
          <w:sz w:val="24"/>
          <w:szCs w:val="24"/>
        </w:rPr>
        <w:t>knoglemarvs</w:t>
      </w:r>
      <w:r w:rsidR="009B42CA">
        <w:rPr>
          <w:sz w:val="24"/>
          <w:szCs w:val="24"/>
        </w:rPr>
        <w:softHyphen/>
      </w:r>
      <w:r w:rsidRPr="009B42CA">
        <w:rPr>
          <w:sz w:val="24"/>
          <w:szCs w:val="24"/>
        </w:rPr>
        <w:t>hypoplasi</w:t>
      </w:r>
      <w:proofErr w:type="spellEnd"/>
      <w:r w:rsidRPr="009B42CA">
        <w:rPr>
          <w:sz w:val="24"/>
          <w:szCs w:val="24"/>
        </w:rPr>
        <w:t xml:space="preserve"> eller </w:t>
      </w:r>
      <w:r w:rsidRPr="009B42CA">
        <w:rPr>
          <w:sz w:val="24"/>
          <w:szCs w:val="24"/>
        </w:rPr>
        <w:noBreakHyphen/>
      </w:r>
      <w:proofErr w:type="spellStart"/>
      <w:r w:rsidRPr="009B42CA">
        <w:rPr>
          <w:sz w:val="24"/>
          <w:szCs w:val="24"/>
        </w:rPr>
        <w:t>aplasi</w:t>
      </w:r>
      <w:proofErr w:type="spellEnd"/>
      <w:r w:rsidRPr="009B42CA">
        <w:rPr>
          <w:sz w:val="24"/>
          <w:szCs w:val="24"/>
        </w:rPr>
        <w:t xml:space="preserve">, som medfører </w:t>
      </w:r>
      <w:proofErr w:type="spellStart"/>
      <w:r w:rsidRPr="009B42CA">
        <w:rPr>
          <w:sz w:val="24"/>
          <w:szCs w:val="24"/>
        </w:rPr>
        <w:t>pancytopeni</w:t>
      </w:r>
      <w:proofErr w:type="spellEnd"/>
      <w:r w:rsidRPr="009B42CA">
        <w:rPr>
          <w:sz w:val="24"/>
          <w:szCs w:val="24"/>
        </w:rPr>
        <w:t xml:space="preserve"> og i nogle tilfælde død. Varigheden af klinisk signifikant </w:t>
      </w:r>
      <w:proofErr w:type="spellStart"/>
      <w:r w:rsidRPr="009B42CA">
        <w:rPr>
          <w:sz w:val="24"/>
          <w:szCs w:val="24"/>
        </w:rPr>
        <w:t>cytopeni</w:t>
      </w:r>
      <w:proofErr w:type="spellEnd"/>
      <w:r w:rsidRPr="009B42CA">
        <w:rPr>
          <w:sz w:val="24"/>
          <w:szCs w:val="24"/>
        </w:rPr>
        <w:t xml:space="preserve"> varierede i de indberettede tilfælde fra ca. to måneder til omtrent et år. Disse tilfælde forekom hos både tidligere behandlede og ubehandlede patienter.</w:t>
      </w:r>
    </w:p>
    <w:p w14:paraId="75C5900F" w14:textId="77777777" w:rsidR="004A59BF" w:rsidRPr="009B42CA" w:rsidRDefault="004A59BF" w:rsidP="00FF3E62">
      <w:pPr>
        <w:ind w:left="851"/>
        <w:rPr>
          <w:sz w:val="24"/>
          <w:szCs w:val="24"/>
        </w:rPr>
      </w:pPr>
    </w:p>
    <w:p w14:paraId="3734805E" w14:textId="77777777" w:rsidR="004A59BF" w:rsidRPr="009B42CA" w:rsidRDefault="004A59BF" w:rsidP="00FF3E62">
      <w:pPr>
        <w:ind w:left="851"/>
        <w:rPr>
          <w:sz w:val="24"/>
          <w:szCs w:val="24"/>
        </w:rPr>
      </w:pPr>
      <w:r w:rsidRPr="009B42CA">
        <w:rPr>
          <w:sz w:val="24"/>
          <w:szCs w:val="24"/>
        </w:rPr>
        <w:t xml:space="preserve">Som med andre </w:t>
      </w:r>
      <w:proofErr w:type="spellStart"/>
      <w:r w:rsidRPr="009B42CA">
        <w:rPr>
          <w:sz w:val="24"/>
          <w:szCs w:val="24"/>
        </w:rPr>
        <w:t>cytotoksika</w:t>
      </w:r>
      <w:proofErr w:type="spellEnd"/>
      <w:r w:rsidRPr="009B42CA">
        <w:rPr>
          <w:sz w:val="24"/>
          <w:szCs w:val="24"/>
        </w:rPr>
        <w:t xml:space="preserve"> bør der udvises forsigtighed med </w:t>
      </w:r>
      <w:proofErr w:type="spellStart"/>
      <w:r w:rsidRPr="009B42CA">
        <w:rPr>
          <w:sz w:val="24"/>
          <w:szCs w:val="24"/>
        </w:rPr>
        <w:t>fludarabinphosphat</w:t>
      </w:r>
      <w:proofErr w:type="spellEnd"/>
      <w:r w:rsidRPr="009B42CA">
        <w:rPr>
          <w:sz w:val="24"/>
          <w:szCs w:val="24"/>
        </w:rPr>
        <w:t xml:space="preserve">, hvis der overvejes yderligere </w:t>
      </w:r>
      <w:proofErr w:type="spellStart"/>
      <w:r w:rsidRPr="009B42CA">
        <w:rPr>
          <w:sz w:val="24"/>
          <w:szCs w:val="24"/>
        </w:rPr>
        <w:t>hæmatopoietisk</w:t>
      </w:r>
      <w:proofErr w:type="spellEnd"/>
      <w:r w:rsidRPr="009B42CA">
        <w:rPr>
          <w:sz w:val="24"/>
          <w:szCs w:val="24"/>
        </w:rPr>
        <w:t xml:space="preserve"> stamcelleopsamling. </w:t>
      </w:r>
    </w:p>
    <w:p w14:paraId="742D65CB" w14:textId="77777777" w:rsidR="004A59BF" w:rsidRPr="009B42CA" w:rsidRDefault="004A59BF" w:rsidP="00FF3E62">
      <w:pPr>
        <w:ind w:left="851"/>
        <w:rPr>
          <w:sz w:val="24"/>
          <w:szCs w:val="24"/>
        </w:rPr>
      </w:pPr>
    </w:p>
    <w:p w14:paraId="0CA7202C" w14:textId="77777777" w:rsidR="004A59BF" w:rsidRPr="009B42CA" w:rsidRDefault="004A59BF" w:rsidP="00FF3E62">
      <w:pPr>
        <w:ind w:left="851"/>
        <w:rPr>
          <w:sz w:val="24"/>
          <w:szCs w:val="24"/>
          <w:u w:val="single"/>
        </w:rPr>
      </w:pPr>
      <w:r w:rsidRPr="009B42CA">
        <w:rPr>
          <w:sz w:val="24"/>
          <w:szCs w:val="24"/>
          <w:u w:val="single"/>
        </w:rPr>
        <w:t>Autoimmune sygdomme</w:t>
      </w:r>
    </w:p>
    <w:p w14:paraId="028A028B" w14:textId="77777777" w:rsidR="004A59BF" w:rsidRPr="009B42CA" w:rsidRDefault="004A59BF" w:rsidP="00FF3E62">
      <w:pPr>
        <w:ind w:left="851"/>
        <w:rPr>
          <w:sz w:val="24"/>
          <w:szCs w:val="24"/>
        </w:rPr>
      </w:pPr>
      <w:r w:rsidRPr="009B42CA">
        <w:rPr>
          <w:sz w:val="24"/>
          <w:szCs w:val="24"/>
        </w:rPr>
        <w:t xml:space="preserve">Uanset om der er autoimmune processer eller positiv </w:t>
      </w:r>
      <w:proofErr w:type="spellStart"/>
      <w:r w:rsidRPr="009B42CA">
        <w:rPr>
          <w:sz w:val="24"/>
          <w:szCs w:val="24"/>
        </w:rPr>
        <w:t>Coombs</w:t>
      </w:r>
      <w:proofErr w:type="spellEnd"/>
      <w:r w:rsidRPr="009B42CA">
        <w:rPr>
          <w:sz w:val="24"/>
          <w:szCs w:val="24"/>
        </w:rPr>
        <w:t xml:space="preserve">-test i anamnesen, er der blevet indberettet tilfælde af livstruende og til tider fatale autoimmune fænomener (se pkt. 4.8), der er opstået under eller efter behandling med </w:t>
      </w:r>
      <w:proofErr w:type="spellStart"/>
      <w:r w:rsidRPr="009B42CA">
        <w:rPr>
          <w:sz w:val="24"/>
          <w:szCs w:val="24"/>
        </w:rPr>
        <w:t>fludarabin</w:t>
      </w:r>
      <w:proofErr w:type="spellEnd"/>
      <w:r w:rsidRPr="009B42CA">
        <w:rPr>
          <w:sz w:val="24"/>
          <w:szCs w:val="24"/>
        </w:rPr>
        <w:t xml:space="preserve">. Størstedelen af de patienter, der oplevede </w:t>
      </w:r>
      <w:proofErr w:type="spellStart"/>
      <w:r w:rsidRPr="009B42CA">
        <w:rPr>
          <w:sz w:val="24"/>
          <w:szCs w:val="24"/>
        </w:rPr>
        <w:t>hæmolytisk</w:t>
      </w:r>
      <w:proofErr w:type="spellEnd"/>
      <w:r w:rsidRPr="009B42CA">
        <w:rPr>
          <w:sz w:val="24"/>
          <w:szCs w:val="24"/>
        </w:rPr>
        <w:t xml:space="preserve"> anæmi, udviklede recidiv i den </w:t>
      </w:r>
      <w:proofErr w:type="spellStart"/>
      <w:r w:rsidRPr="009B42CA">
        <w:rPr>
          <w:sz w:val="24"/>
          <w:szCs w:val="24"/>
        </w:rPr>
        <w:t>hæmolytiske</w:t>
      </w:r>
      <w:proofErr w:type="spellEnd"/>
      <w:r w:rsidRPr="009B42CA">
        <w:rPr>
          <w:sz w:val="24"/>
          <w:szCs w:val="24"/>
        </w:rPr>
        <w:t xml:space="preserve"> proces efter genbehandling med </w:t>
      </w:r>
      <w:proofErr w:type="spellStart"/>
      <w:r w:rsidRPr="009B42CA">
        <w:rPr>
          <w:sz w:val="24"/>
          <w:szCs w:val="24"/>
        </w:rPr>
        <w:t>fludarabin</w:t>
      </w:r>
      <w:proofErr w:type="spellEnd"/>
      <w:r w:rsidRPr="009B42CA">
        <w:rPr>
          <w:sz w:val="24"/>
          <w:szCs w:val="24"/>
        </w:rPr>
        <w:t>.</w:t>
      </w:r>
    </w:p>
    <w:p w14:paraId="039037B6" w14:textId="77777777" w:rsidR="004A59BF" w:rsidRPr="009B42CA" w:rsidRDefault="004A59BF" w:rsidP="00FF3E62">
      <w:pPr>
        <w:ind w:left="851"/>
        <w:rPr>
          <w:sz w:val="24"/>
          <w:szCs w:val="24"/>
        </w:rPr>
      </w:pPr>
      <w:r w:rsidRPr="009B42CA">
        <w:rPr>
          <w:sz w:val="24"/>
          <w:szCs w:val="24"/>
        </w:rPr>
        <w:t xml:space="preserve">Patienter i behandling med </w:t>
      </w:r>
      <w:proofErr w:type="spellStart"/>
      <w:r w:rsidRPr="009B42CA">
        <w:rPr>
          <w:sz w:val="24"/>
          <w:szCs w:val="24"/>
        </w:rPr>
        <w:t>fludarabin</w:t>
      </w:r>
      <w:proofErr w:type="spellEnd"/>
      <w:r w:rsidRPr="009B42CA">
        <w:rPr>
          <w:sz w:val="24"/>
          <w:szCs w:val="24"/>
        </w:rPr>
        <w:t xml:space="preserve"> bør monitoreres nøje for symptomer på </w:t>
      </w:r>
      <w:proofErr w:type="spellStart"/>
      <w:r w:rsidRPr="009B42CA">
        <w:rPr>
          <w:sz w:val="24"/>
          <w:szCs w:val="24"/>
        </w:rPr>
        <w:t>hæmolyse</w:t>
      </w:r>
      <w:proofErr w:type="spellEnd"/>
      <w:r w:rsidRPr="009B42CA">
        <w:rPr>
          <w:sz w:val="24"/>
          <w:szCs w:val="24"/>
        </w:rPr>
        <w:t>.</w:t>
      </w:r>
    </w:p>
    <w:p w14:paraId="4EB5F0D9" w14:textId="77777777" w:rsidR="004A59BF" w:rsidRPr="009B42CA" w:rsidRDefault="004A59BF" w:rsidP="00FF3E62">
      <w:pPr>
        <w:ind w:left="851"/>
        <w:rPr>
          <w:sz w:val="24"/>
          <w:szCs w:val="24"/>
        </w:rPr>
      </w:pPr>
      <w:r w:rsidRPr="009B42CA">
        <w:rPr>
          <w:sz w:val="24"/>
          <w:szCs w:val="24"/>
        </w:rPr>
        <w:t xml:space="preserve"> </w:t>
      </w:r>
    </w:p>
    <w:p w14:paraId="34E59A5A" w14:textId="77777777" w:rsidR="004A59BF" w:rsidRPr="009B42CA" w:rsidRDefault="004A59BF" w:rsidP="00FF3E62">
      <w:pPr>
        <w:ind w:left="851"/>
        <w:rPr>
          <w:sz w:val="24"/>
          <w:szCs w:val="24"/>
        </w:rPr>
      </w:pPr>
      <w:r w:rsidRPr="009B42CA">
        <w:rPr>
          <w:sz w:val="24"/>
          <w:szCs w:val="24"/>
        </w:rPr>
        <w:t xml:space="preserve">Det anbefales at seponere behandlingen med </w:t>
      </w:r>
      <w:proofErr w:type="spellStart"/>
      <w:r w:rsidRPr="009B42CA">
        <w:rPr>
          <w:sz w:val="24"/>
          <w:szCs w:val="24"/>
        </w:rPr>
        <w:t>fludarabin</w:t>
      </w:r>
      <w:proofErr w:type="spellEnd"/>
      <w:r w:rsidRPr="009B42CA">
        <w:rPr>
          <w:sz w:val="24"/>
          <w:szCs w:val="24"/>
        </w:rPr>
        <w:t xml:space="preserve">, hvis der opstår </w:t>
      </w:r>
      <w:proofErr w:type="spellStart"/>
      <w:r w:rsidRPr="009B42CA">
        <w:rPr>
          <w:sz w:val="24"/>
          <w:szCs w:val="24"/>
        </w:rPr>
        <w:t>hæmolyse</w:t>
      </w:r>
      <w:proofErr w:type="spellEnd"/>
      <w:r w:rsidRPr="009B42CA">
        <w:rPr>
          <w:sz w:val="24"/>
          <w:szCs w:val="24"/>
        </w:rPr>
        <w:t xml:space="preserve">. Blodtransfusioner (bestrålet blod, se nedenfor) og præparater med </w:t>
      </w:r>
      <w:proofErr w:type="spellStart"/>
      <w:r w:rsidRPr="009B42CA">
        <w:rPr>
          <w:sz w:val="24"/>
          <w:szCs w:val="24"/>
        </w:rPr>
        <w:t>kortikosteroider</w:t>
      </w:r>
      <w:proofErr w:type="spellEnd"/>
      <w:r w:rsidRPr="009B42CA">
        <w:rPr>
          <w:sz w:val="24"/>
          <w:szCs w:val="24"/>
        </w:rPr>
        <w:t xml:space="preserve"> er de mest almindelige behandlingsformer mod autoimmun </w:t>
      </w:r>
      <w:proofErr w:type="spellStart"/>
      <w:r w:rsidRPr="009B42CA">
        <w:rPr>
          <w:sz w:val="24"/>
          <w:szCs w:val="24"/>
        </w:rPr>
        <w:t>hæmolytisk</w:t>
      </w:r>
      <w:proofErr w:type="spellEnd"/>
      <w:r w:rsidRPr="009B42CA">
        <w:rPr>
          <w:sz w:val="24"/>
          <w:szCs w:val="24"/>
        </w:rPr>
        <w:t xml:space="preserve"> anæmi.</w:t>
      </w:r>
    </w:p>
    <w:p w14:paraId="675F3DF8" w14:textId="77777777" w:rsidR="004A59BF" w:rsidRPr="009B42CA" w:rsidRDefault="004A59BF" w:rsidP="00FF3E62">
      <w:pPr>
        <w:ind w:left="851"/>
        <w:rPr>
          <w:i/>
          <w:sz w:val="24"/>
          <w:szCs w:val="24"/>
        </w:rPr>
      </w:pPr>
    </w:p>
    <w:p w14:paraId="4BD933AD" w14:textId="77777777" w:rsidR="004A59BF" w:rsidRPr="009B42CA" w:rsidRDefault="004A59BF" w:rsidP="00FF3E62">
      <w:pPr>
        <w:ind w:left="851"/>
        <w:rPr>
          <w:sz w:val="24"/>
          <w:szCs w:val="24"/>
          <w:u w:val="single"/>
        </w:rPr>
      </w:pPr>
      <w:proofErr w:type="spellStart"/>
      <w:r w:rsidRPr="009B42CA">
        <w:rPr>
          <w:sz w:val="24"/>
          <w:szCs w:val="24"/>
          <w:u w:val="single"/>
        </w:rPr>
        <w:t>Neurotoksicitet</w:t>
      </w:r>
      <w:proofErr w:type="spellEnd"/>
    </w:p>
    <w:p w14:paraId="66A052DB" w14:textId="77777777" w:rsidR="004A59BF" w:rsidRPr="009B42CA" w:rsidRDefault="004A59BF" w:rsidP="00FF3E62">
      <w:pPr>
        <w:ind w:left="851"/>
        <w:rPr>
          <w:sz w:val="24"/>
          <w:szCs w:val="24"/>
        </w:rPr>
      </w:pPr>
      <w:r w:rsidRPr="009B42CA">
        <w:rPr>
          <w:sz w:val="24"/>
          <w:szCs w:val="24"/>
        </w:rPr>
        <w:t xml:space="preserve">Effekten på centralnervesystemet ved kronisk anvendelse af </w:t>
      </w:r>
      <w:proofErr w:type="spellStart"/>
      <w:r w:rsidRPr="009B42CA">
        <w:rPr>
          <w:sz w:val="24"/>
          <w:szCs w:val="24"/>
        </w:rPr>
        <w:t>fludarabin</w:t>
      </w:r>
      <w:proofErr w:type="spellEnd"/>
      <w:r w:rsidRPr="009B42CA">
        <w:rPr>
          <w:sz w:val="24"/>
          <w:szCs w:val="24"/>
        </w:rPr>
        <w:t xml:space="preserve"> kendes ikke. Dog har patienter tolereret den anbefalede dosis i relativt langvarige behandlingsperioder i nogle studier (i op til 26 behandlingsforløb). </w:t>
      </w:r>
      <w:r w:rsidRPr="009B42CA">
        <w:rPr>
          <w:sz w:val="24"/>
          <w:szCs w:val="24"/>
        </w:rPr>
        <w:br/>
      </w:r>
      <w:r w:rsidRPr="009B42CA">
        <w:rPr>
          <w:sz w:val="24"/>
          <w:szCs w:val="24"/>
        </w:rPr>
        <w:lastRenderedPageBreak/>
        <w:br/>
        <w:t xml:space="preserve">Patienter skal overvåges omhyggeligt for symptomer på neurologiske virkninger. </w:t>
      </w:r>
    </w:p>
    <w:p w14:paraId="2F9781B0" w14:textId="77777777" w:rsidR="004A59BF" w:rsidRPr="009B42CA" w:rsidRDefault="004A59BF" w:rsidP="00FF3E62">
      <w:pPr>
        <w:ind w:left="851"/>
        <w:rPr>
          <w:sz w:val="24"/>
          <w:szCs w:val="24"/>
        </w:rPr>
      </w:pPr>
    </w:p>
    <w:p w14:paraId="62570684" w14:textId="77777777" w:rsidR="004A59BF" w:rsidRPr="009B42CA" w:rsidRDefault="004A59BF" w:rsidP="00FF3E62">
      <w:pPr>
        <w:ind w:left="851"/>
        <w:rPr>
          <w:sz w:val="24"/>
          <w:szCs w:val="24"/>
        </w:rPr>
      </w:pPr>
      <w:r w:rsidRPr="009B42CA">
        <w:rPr>
          <w:sz w:val="24"/>
          <w:szCs w:val="24"/>
        </w:rPr>
        <w:t xml:space="preserve">I dosisstudier hos patienter med akut leukæmi har intravenøs </w:t>
      </w:r>
      <w:proofErr w:type="spellStart"/>
      <w:r w:rsidRPr="009B42CA">
        <w:rPr>
          <w:sz w:val="24"/>
          <w:szCs w:val="24"/>
        </w:rPr>
        <w:t>fludarabin</w:t>
      </w:r>
      <w:proofErr w:type="spellEnd"/>
      <w:r w:rsidRPr="009B42CA">
        <w:rPr>
          <w:sz w:val="24"/>
          <w:szCs w:val="24"/>
        </w:rPr>
        <w:t xml:space="preserve"> i høje doser vist sig at være forbundet med alvorlige neurologiske virkninger som blindhed, koma og død. Symptomerne opstod 21 til 60 dage efter sidste dosis. Denne alvorlige toksicitet i centralnervesystemet opstod hos 36 % af patienterne, som blev behandlet med doser, der var ca. fire gange højere (96 mg/m</w:t>
      </w:r>
      <w:r w:rsidRPr="009B42CA">
        <w:rPr>
          <w:sz w:val="24"/>
          <w:szCs w:val="24"/>
          <w:vertAlign w:val="superscript"/>
        </w:rPr>
        <w:t>2</w:t>
      </w:r>
      <w:r w:rsidRPr="009B42CA">
        <w:rPr>
          <w:sz w:val="24"/>
          <w:szCs w:val="24"/>
        </w:rPr>
        <w:t xml:space="preserve">/dag i 5-7 dage) end den anbefalede dosis. Hos patienter, der er behandlet med doser inden for det anbefalede dosisinterval for CLL, opstod der sjældent alvorlig toksicitet i centralnervesystemet (koma, krampeanfald og agitation) eller ualmindeligt (konfusion) (se pkt. 4.8). </w:t>
      </w:r>
    </w:p>
    <w:p w14:paraId="3FA1DE07" w14:textId="77777777" w:rsidR="004A59BF" w:rsidRPr="009B42CA" w:rsidRDefault="004A59BF" w:rsidP="00FF3E62">
      <w:pPr>
        <w:ind w:left="851"/>
        <w:rPr>
          <w:sz w:val="24"/>
          <w:szCs w:val="24"/>
        </w:rPr>
      </w:pPr>
    </w:p>
    <w:p w14:paraId="3FCF97D9" w14:textId="77777777" w:rsidR="004A59BF" w:rsidRPr="009B42CA" w:rsidRDefault="004A59BF" w:rsidP="00FF3E62">
      <w:pPr>
        <w:ind w:left="851"/>
        <w:rPr>
          <w:sz w:val="24"/>
          <w:szCs w:val="24"/>
        </w:rPr>
      </w:pPr>
      <w:r w:rsidRPr="009B42CA">
        <w:rPr>
          <w:sz w:val="24"/>
          <w:szCs w:val="24"/>
        </w:rPr>
        <w:t xml:space="preserve">Efter markedsføring er </w:t>
      </w:r>
      <w:proofErr w:type="spellStart"/>
      <w:r w:rsidRPr="009B42CA">
        <w:rPr>
          <w:sz w:val="24"/>
          <w:szCs w:val="24"/>
        </w:rPr>
        <w:t>neurotoksicitet</w:t>
      </w:r>
      <w:proofErr w:type="spellEnd"/>
      <w:r w:rsidRPr="009B42CA">
        <w:rPr>
          <w:sz w:val="24"/>
          <w:szCs w:val="24"/>
        </w:rPr>
        <w:t xml:space="preserve"> rapporteret som opstået tidligere eller senere end i de kliniske studier.</w:t>
      </w:r>
    </w:p>
    <w:p w14:paraId="1A01297D" w14:textId="77777777" w:rsidR="004A59BF" w:rsidRPr="009B42CA" w:rsidRDefault="004A59BF" w:rsidP="00FF3E62">
      <w:pPr>
        <w:ind w:left="851"/>
        <w:rPr>
          <w:sz w:val="24"/>
          <w:szCs w:val="24"/>
        </w:rPr>
      </w:pPr>
    </w:p>
    <w:p w14:paraId="39A16917" w14:textId="77777777" w:rsidR="004A59BF" w:rsidRPr="009B42CA" w:rsidRDefault="004A59BF" w:rsidP="00FF3E62">
      <w:pPr>
        <w:ind w:left="851"/>
        <w:rPr>
          <w:sz w:val="24"/>
          <w:szCs w:val="24"/>
        </w:rPr>
      </w:pPr>
      <w:r w:rsidRPr="009B42CA">
        <w:rPr>
          <w:sz w:val="24"/>
          <w:szCs w:val="24"/>
        </w:rPr>
        <w:t xml:space="preserve">Administration af </w:t>
      </w:r>
      <w:proofErr w:type="spellStart"/>
      <w:r w:rsidRPr="009B42CA">
        <w:rPr>
          <w:sz w:val="24"/>
          <w:szCs w:val="24"/>
        </w:rPr>
        <w:t>fludarabin</w:t>
      </w:r>
      <w:proofErr w:type="spellEnd"/>
      <w:r w:rsidRPr="009B42CA">
        <w:rPr>
          <w:sz w:val="24"/>
          <w:szCs w:val="24"/>
        </w:rPr>
        <w:t xml:space="preserve"> kan være forbundet med </w:t>
      </w:r>
      <w:proofErr w:type="spellStart"/>
      <w:r w:rsidRPr="009B42CA">
        <w:rPr>
          <w:sz w:val="24"/>
          <w:szCs w:val="24"/>
        </w:rPr>
        <w:t>leukoencephalopati</w:t>
      </w:r>
      <w:proofErr w:type="spellEnd"/>
      <w:r w:rsidRPr="009B42CA">
        <w:rPr>
          <w:sz w:val="24"/>
          <w:szCs w:val="24"/>
        </w:rPr>
        <w:t xml:space="preserve"> (LE), akut toksisk </w:t>
      </w:r>
      <w:proofErr w:type="spellStart"/>
      <w:r w:rsidRPr="009B42CA">
        <w:rPr>
          <w:sz w:val="24"/>
          <w:szCs w:val="24"/>
        </w:rPr>
        <w:t>leukoencephalopati</w:t>
      </w:r>
      <w:proofErr w:type="spellEnd"/>
      <w:r w:rsidRPr="009B42CA">
        <w:rPr>
          <w:sz w:val="24"/>
          <w:szCs w:val="24"/>
        </w:rPr>
        <w:t xml:space="preserve"> (ATL) eller reversibel </w:t>
      </w:r>
      <w:proofErr w:type="spellStart"/>
      <w:r w:rsidRPr="009B42CA">
        <w:rPr>
          <w:sz w:val="24"/>
          <w:szCs w:val="24"/>
        </w:rPr>
        <w:t>posterior</w:t>
      </w:r>
      <w:proofErr w:type="spellEnd"/>
      <w:r w:rsidRPr="009B42CA">
        <w:rPr>
          <w:sz w:val="24"/>
          <w:szCs w:val="24"/>
        </w:rPr>
        <w:t xml:space="preserve"> </w:t>
      </w:r>
      <w:proofErr w:type="spellStart"/>
      <w:r w:rsidRPr="009B42CA">
        <w:rPr>
          <w:sz w:val="24"/>
          <w:szCs w:val="24"/>
        </w:rPr>
        <w:t>leukoencephalopati</w:t>
      </w:r>
      <w:proofErr w:type="spellEnd"/>
      <w:r w:rsidRPr="009B42CA">
        <w:rPr>
          <w:sz w:val="24"/>
          <w:szCs w:val="24"/>
        </w:rPr>
        <w:t xml:space="preserve"> syndrom (RPLS). </w:t>
      </w:r>
    </w:p>
    <w:p w14:paraId="0049788B" w14:textId="77777777" w:rsidR="004A59BF" w:rsidRPr="009B42CA" w:rsidRDefault="004A59BF" w:rsidP="00FF3E62">
      <w:pPr>
        <w:ind w:left="851"/>
        <w:rPr>
          <w:sz w:val="24"/>
          <w:szCs w:val="24"/>
        </w:rPr>
      </w:pPr>
      <w:r w:rsidRPr="009B42CA">
        <w:rPr>
          <w:sz w:val="24"/>
          <w:szCs w:val="24"/>
        </w:rPr>
        <w:t>Disse kan forekomme:</w:t>
      </w:r>
    </w:p>
    <w:p w14:paraId="1DA2102A" w14:textId="77777777" w:rsidR="004A59BF" w:rsidRPr="009B42CA" w:rsidRDefault="004A59BF" w:rsidP="009B42CA">
      <w:pPr>
        <w:pStyle w:val="Listeafsnit"/>
        <w:numPr>
          <w:ilvl w:val="0"/>
          <w:numId w:val="10"/>
        </w:numPr>
        <w:ind w:left="1276" w:hanging="425"/>
        <w:rPr>
          <w:sz w:val="24"/>
          <w:szCs w:val="24"/>
        </w:rPr>
      </w:pPr>
      <w:r w:rsidRPr="009B42CA">
        <w:rPr>
          <w:sz w:val="24"/>
          <w:szCs w:val="24"/>
        </w:rPr>
        <w:t>ved den anbefalede dosis</w:t>
      </w:r>
    </w:p>
    <w:p w14:paraId="6D52E06A" w14:textId="77777777" w:rsidR="004A59BF" w:rsidRPr="009B42CA" w:rsidRDefault="004A59BF" w:rsidP="009B42CA">
      <w:pPr>
        <w:pStyle w:val="Listeafsnit"/>
        <w:numPr>
          <w:ilvl w:val="0"/>
          <w:numId w:val="11"/>
        </w:numPr>
        <w:ind w:left="1701" w:hanging="425"/>
        <w:rPr>
          <w:sz w:val="24"/>
          <w:szCs w:val="24"/>
        </w:rPr>
      </w:pPr>
      <w:r w:rsidRPr="009B42CA">
        <w:rPr>
          <w:sz w:val="24"/>
          <w:szCs w:val="24"/>
        </w:rPr>
        <w:t xml:space="preserve">når </w:t>
      </w:r>
      <w:proofErr w:type="spellStart"/>
      <w:r w:rsidRPr="009B42CA">
        <w:rPr>
          <w:sz w:val="24"/>
          <w:szCs w:val="24"/>
        </w:rPr>
        <w:t>fludarabin</w:t>
      </w:r>
      <w:proofErr w:type="spellEnd"/>
      <w:r w:rsidRPr="009B42CA">
        <w:rPr>
          <w:sz w:val="24"/>
          <w:szCs w:val="24"/>
        </w:rPr>
        <w:t xml:space="preserve"> anvendes efter behandling med, eller samtidig med, andre lægemidler, som er kendt for at være forbundet med LE, ATL eller RPLS. </w:t>
      </w:r>
    </w:p>
    <w:p w14:paraId="1F7843D6" w14:textId="77777777" w:rsidR="004A59BF" w:rsidRPr="009B42CA" w:rsidRDefault="004A59BF" w:rsidP="009B42CA">
      <w:pPr>
        <w:pStyle w:val="Listeafsnit"/>
        <w:numPr>
          <w:ilvl w:val="0"/>
          <w:numId w:val="11"/>
        </w:numPr>
        <w:ind w:left="1701" w:hanging="425"/>
        <w:rPr>
          <w:sz w:val="24"/>
          <w:szCs w:val="24"/>
        </w:rPr>
      </w:pPr>
      <w:r w:rsidRPr="009B42CA">
        <w:rPr>
          <w:sz w:val="24"/>
          <w:szCs w:val="24"/>
        </w:rPr>
        <w:t xml:space="preserve">eller når </w:t>
      </w:r>
      <w:proofErr w:type="spellStart"/>
      <w:r w:rsidRPr="009B42CA">
        <w:rPr>
          <w:sz w:val="24"/>
          <w:szCs w:val="24"/>
        </w:rPr>
        <w:t>fludarabin</w:t>
      </w:r>
      <w:proofErr w:type="spellEnd"/>
      <w:r w:rsidRPr="009B42CA">
        <w:rPr>
          <w:sz w:val="24"/>
          <w:szCs w:val="24"/>
        </w:rPr>
        <w:t xml:space="preserve"> gives til patienter med andre risikofaktorer såsom </w:t>
      </w:r>
      <w:proofErr w:type="spellStart"/>
      <w:r w:rsidRPr="009B42CA">
        <w:rPr>
          <w:sz w:val="24"/>
          <w:szCs w:val="24"/>
        </w:rPr>
        <w:t>kraniel</w:t>
      </w:r>
      <w:proofErr w:type="spellEnd"/>
      <w:r w:rsidRPr="009B42CA">
        <w:rPr>
          <w:sz w:val="24"/>
          <w:szCs w:val="24"/>
        </w:rPr>
        <w:t xml:space="preserve">- eller helkropsbestråling, </w:t>
      </w:r>
      <w:proofErr w:type="spellStart"/>
      <w:r w:rsidRPr="009B42CA">
        <w:rPr>
          <w:sz w:val="24"/>
          <w:szCs w:val="24"/>
        </w:rPr>
        <w:t>hæmatopoietisk</w:t>
      </w:r>
      <w:proofErr w:type="spellEnd"/>
      <w:r w:rsidRPr="009B42CA">
        <w:rPr>
          <w:sz w:val="24"/>
          <w:szCs w:val="24"/>
        </w:rPr>
        <w:t xml:space="preserve"> celletransplantation, </w:t>
      </w:r>
      <w:r w:rsidRPr="009B42CA">
        <w:rPr>
          <w:color w:val="333333"/>
          <w:sz w:val="24"/>
          <w:szCs w:val="24"/>
          <w:shd w:val="clear" w:color="auto" w:fill="FFFFFF"/>
        </w:rPr>
        <w:t>Graft-versus-host sygdom</w:t>
      </w:r>
      <w:r w:rsidRPr="009B42CA">
        <w:rPr>
          <w:sz w:val="24"/>
          <w:szCs w:val="24"/>
        </w:rPr>
        <w:t xml:space="preserve">, nedsat nyrefunktion eller </w:t>
      </w:r>
      <w:proofErr w:type="spellStart"/>
      <w:r w:rsidRPr="009B42CA">
        <w:rPr>
          <w:sz w:val="24"/>
          <w:szCs w:val="24"/>
        </w:rPr>
        <w:t>hepatisk</w:t>
      </w:r>
      <w:proofErr w:type="spellEnd"/>
      <w:r w:rsidRPr="009B42CA">
        <w:rPr>
          <w:sz w:val="24"/>
          <w:szCs w:val="24"/>
        </w:rPr>
        <w:t xml:space="preserve"> </w:t>
      </w:r>
      <w:proofErr w:type="spellStart"/>
      <w:r w:rsidRPr="009B42CA">
        <w:rPr>
          <w:sz w:val="24"/>
          <w:szCs w:val="24"/>
        </w:rPr>
        <w:t>encephalopati</w:t>
      </w:r>
      <w:proofErr w:type="spellEnd"/>
      <w:r w:rsidRPr="009B42CA">
        <w:rPr>
          <w:sz w:val="24"/>
          <w:szCs w:val="24"/>
        </w:rPr>
        <w:t xml:space="preserve">. </w:t>
      </w:r>
    </w:p>
    <w:p w14:paraId="63CF2FFF" w14:textId="77777777" w:rsidR="004A59BF" w:rsidRPr="009B42CA" w:rsidRDefault="004A59BF" w:rsidP="009B42CA">
      <w:pPr>
        <w:pStyle w:val="Listeafsnit"/>
        <w:numPr>
          <w:ilvl w:val="0"/>
          <w:numId w:val="10"/>
        </w:numPr>
        <w:ind w:left="1276" w:hanging="425"/>
        <w:rPr>
          <w:sz w:val="24"/>
          <w:szCs w:val="24"/>
        </w:rPr>
      </w:pPr>
      <w:r w:rsidRPr="009B42CA">
        <w:rPr>
          <w:sz w:val="24"/>
          <w:szCs w:val="24"/>
        </w:rPr>
        <w:t>ved højere doser end den anbefalede.</w:t>
      </w:r>
    </w:p>
    <w:p w14:paraId="1E713FE0" w14:textId="77777777" w:rsidR="004A59BF" w:rsidRPr="009B42CA" w:rsidRDefault="004A59BF" w:rsidP="00FF3E62">
      <w:pPr>
        <w:ind w:left="851"/>
        <w:rPr>
          <w:sz w:val="24"/>
          <w:szCs w:val="24"/>
        </w:rPr>
      </w:pPr>
    </w:p>
    <w:p w14:paraId="79AC3FF9" w14:textId="77777777" w:rsidR="004A59BF" w:rsidRPr="009B42CA" w:rsidRDefault="004A59BF" w:rsidP="00FF3E62">
      <w:pPr>
        <w:ind w:left="851"/>
        <w:rPr>
          <w:sz w:val="24"/>
          <w:szCs w:val="24"/>
        </w:rPr>
      </w:pPr>
      <w:r w:rsidRPr="009B42CA">
        <w:rPr>
          <w:sz w:val="24"/>
          <w:szCs w:val="24"/>
        </w:rPr>
        <w:t xml:space="preserve">Symptomer på LE, ATL og RPLS kan være hovedpine, kvalme og opkastninger, krampeanfald, synsforstyrrelser såsom synstab, ændret </w:t>
      </w:r>
      <w:proofErr w:type="spellStart"/>
      <w:r w:rsidRPr="009B42CA">
        <w:rPr>
          <w:sz w:val="24"/>
          <w:szCs w:val="24"/>
        </w:rPr>
        <w:t>sensorium</w:t>
      </w:r>
      <w:proofErr w:type="spellEnd"/>
      <w:r w:rsidRPr="009B42CA">
        <w:rPr>
          <w:sz w:val="24"/>
          <w:szCs w:val="24"/>
        </w:rPr>
        <w:t xml:space="preserve"> og </w:t>
      </w:r>
      <w:proofErr w:type="spellStart"/>
      <w:r w:rsidRPr="009B42CA">
        <w:rPr>
          <w:sz w:val="24"/>
          <w:szCs w:val="24"/>
        </w:rPr>
        <w:t>fokale</w:t>
      </w:r>
      <w:proofErr w:type="spellEnd"/>
      <w:r w:rsidRPr="009B42CA">
        <w:rPr>
          <w:sz w:val="24"/>
          <w:szCs w:val="24"/>
        </w:rPr>
        <w:t xml:space="preserve"> neurologiske udfald. Yderligere symptomer kan være optisk </w:t>
      </w:r>
      <w:proofErr w:type="spellStart"/>
      <w:r w:rsidRPr="009B42CA">
        <w:rPr>
          <w:sz w:val="24"/>
          <w:szCs w:val="24"/>
        </w:rPr>
        <w:t>neuritis</w:t>
      </w:r>
      <w:proofErr w:type="spellEnd"/>
      <w:r w:rsidRPr="009B42CA">
        <w:rPr>
          <w:sz w:val="24"/>
          <w:szCs w:val="24"/>
        </w:rPr>
        <w:t xml:space="preserve"> og </w:t>
      </w:r>
      <w:proofErr w:type="spellStart"/>
      <w:r w:rsidRPr="009B42CA">
        <w:rPr>
          <w:sz w:val="24"/>
          <w:szCs w:val="24"/>
        </w:rPr>
        <w:t>papillitis</w:t>
      </w:r>
      <w:proofErr w:type="spellEnd"/>
      <w:r w:rsidRPr="009B42CA">
        <w:rPr>
          <w:sz w:val="24"/>
          <w:szCs w:val="24"/>
        </w:rPr>
        <w:t xml:space="preserve">, forvirring, døsighed, agitation, </w:t>
      </w:r>
      <w:proofErr w:type="spellStart"/>
      <w:r w:rsidRPr="009B42CA">
        <w:rPr>
          <w:sz w:val="24"/>
          <w:szCs w:val="24"/>
        </w:rPr>
        <w:t>paraparese</w:t>
      </w:r>
      <w:proofErr w:type="spellEnd"/>
      <w:r w:rsidRPr="009B42CA">
        <w:rPr>
          <w:sz w:val="24"/>
          <w:szCs w:val="24"/>
        </w:rPr>
        <w:t>/</w:t>
      </w:r>
      <w:proofErr w:type="spellStart"/>
      <w:r w:rsidRPr="009B42CA">
        <w:rPr>
          <w:sz w:val="24"/>
          <w:szCs w:val="24"/>
        </w:rPr>
        <w:t>quadriparese</w:t>
      </w:r>
      <w:proofErr w:type="spellEnd"/>
      <w:r w:rsidRPr="009B42CA">
        <w:rPr>
          <w:sz w:val="24"/>
          <w:szCs w:val="24"/>
        </w:rPr>
        <w:t>, muskelspasmer og inkontinens.</w:t>
      </w:r>
    </w:p>
    <w:p w14:paraId="601F3E39" w14:textId="77777777" w:rsidR="004A59BF" w:rsidRPr="009B42CA" w:rsidRDefault="004A59BF" w:rsidP="00FF3E62">
      <w:pPr>
        <w:ind w:left="851"/>
        <w:rPr>
          <w:sz w:val="24"/>
          <w:szCs w:val="24"/>
        </w:rPr>
      </w:pPr>
      <w:r w:rsidRPr="009B42CA">
        <w:rPr>
          <w:sz w:val="24"/>
          <w:szCs w:val="24"/>
        </w:rPr>
        <w:t>LE/ ATL/ RPLS kan være irreversibel, livstruende eller fatal.</w:t>
      </w:r>
    </w:p>
    <w:p w14:paraId="29A2F9D5" w14:textId="77777777" w:rsidR="004A59BF" w:rsidRPr="009B42CA" w:rsidRDefault="004A59BF" w:rsidP="00FF3E62">
      <w:pPr>
        <w:ind w:left="851"/>
        <w:rPr>
          <w:sz w:val="24"/>
          <w:szCs w:val="24"/>
        </w:rPr>
      </w:pPr>
    </w:p>
    <w:p w14:paraId="6C573425" w14:textId="77777777" w:rsidR="004A59BF" w:rsidRPr="009B42CA" w:rsidRDefault="004A59BF" w:rsidP="00FF3E62">
      <w:pPr>
        <w:ind w:left="851"/>
        <w:rPr>
          <w:sz w:val="24"/>
          <w:szCs w:val="24"/>
        </w:rPr>
      </w:pPr>
      <w:r w:rsidRPr="009B42CA">
        <w:rPr>
          <w:sz w:val="24"/>
          <w:szCs w:val="24"/>
        </w:rPr>
        <w:t xml:space="preserve">Hvis der er mistanke om LE, ATL eller RPLS, skal behandlingen med </w:t>
      </w:r>
      <w:proofErr w:type="spellStart"/>
      <w:r w:rsidRPr="009B42CA">
        <w:rPr>
          <w:sz w:val="24"/>
          <w:szCs w:val="24"/>
        </w:rPr>
        <w:t>fludarabin</w:t>
      </w:r>
      <w:proofErr w:type="spellEnd"/>
      <w:r w:rsidRPr="009B42CA">
        <w:rPr>
          <w:sz w:val="24"/>
          <w:szCs w:val="24"/>
        </w:rPr>
        <w:t xml:space="preserve"> ophøre. Patienter skal monitoreres og en hjernescanning, fortrinsvis MRI, skal udføres. Hvis diagnosen bekræftes, skal behandlingen med </w:t>
      </w:r>
      <w:proofErr w:type="spellStart"/>
      <w:r w:rsidRPr="009B42CA">
        <w:rPr>
          <w:sz w:val="24"/>
          <w:szCs w:val="24"/>
        </w:rPr>
        <w:t>fludarabin</w:t>
      </w:r>
      <w:proofErr w:type="spellEnd"/>
      <w:r w:rsidRPr="009B42CA">
        <w:rPr>
          <w:sz w:val="24"/>
          <w:szCs w:val="24"/>
        </w:rPr>
        <w:t xml:space="preserve"> ophøre permanent.</w:t>
      </w:r>
    </w:p>
    <w:p w14:paraId="6878727D" w14:textId="77777777" w:rsidR="004A59BF" w:rsidRPr="009B42CA" w:rsidRDefault="004A59BF" w:rsidP="00FF3E62">
      <w:pPr>
        <w:ind w:left="851"/>
        <w:rPr>
          <w:sz w:val="24"/>
          <w:szCs w:val="24"/>
        </w:rPr>
      </w:pPr>
    </w:p>
    <w:p w14:paraId="6FCD19C5" w14:textId="77777777" w:rsidR="004A59BF" w:rsidRPr="009B42CA" w:rsidRDefault="004A59BF" w:rsidP="00FF3E62">
      <w:pPr>
        <w:ind w:left="851"/>
        <w:rPr>
          <w:sz w:val="24"/>
          <w:szCs w:val="24"/>
          <w:u w:val="single"/>
        </w:rPr>
      </w:pPr>
      <w:r w:rsidRPr="009B42CA">
        <w:rPr>
          <w:sz w:val="24"/>
          <w:szCs w:val="24"/>
          <w:u w:val="single"/>
        </w:rPr>
        <w:t>Tumorlysesyndrom</w:t>
      </w:r>
    </w:p>
    <w:p w14:paraId="2A629E24" w14:textId="77777777" w:rsidR="004A59BF" w:rsidRPr="009B42CA" w:rsidRDefault="004A59BF" w:rsidP="00FF3E62">
      <w:pPr>
        <w:ind w:left="851"/>
        <w:rPr>
          <w:sz w:val="24"/>
          <w:szCs w:val="24"/>
        </w:rPr>
      </w:pPr>
      <w:r w:rsidRPr="009B42CA">
        <w:rPr>
          <w:sz w:val="24"/>
          <w:szCs w:val="24"/>
        </w:rPr>
        <w:t xml:space="preserve">Der er rapporteret om tumorlysesyndrom hos CLL-patienter med væsentlig tumorbyrde. Da </w:t>
      </w:r>
      <w:proofErr w:type="spellStart"/>
      <w:r w:rsidRPr="009B42CA">
        <w:rPr>
          <w:sz w:val="24"/>
          <w:szCs w:val="24"/>
        </w:rPr>
        <w:t>fludarabin</w:t>
      </w:r>
      <w:proofErr w:type="spellEnd"/>
      <w:r w:rsidRPr="009B42CA">
        <w:rPr>
          <w:sz w:val="24"/>
          <w:szCs w:val="24"/>
        </w:rPr>
        <w:t xml:space="preserve"> kan inducere respons allerede i den første behandlingsuge, bør der tages forholdsregler hos patienter, der er i risiko for at udvikle denne komplikation, og indlæggelse bør overvejes for disse patienter under første behandlingsforløb.</w:t>
      </w:r>
    </w:p>
    <w:p w14:paraId="2459A36C" w14:textId="77777777" w:rsidR="004A59BF" w:rsidRPr="009B42CA" w:rsidRDefault="004A59BF" w:rsidP="00FF3E62">
      <w:pPr>
        <w:ind w:left="851"/>
        <w:rPr>
          <w:sz w:val="24"/>
          <w:szCs w:val="24"/>
        </w:rPr>
      </w:pPr>
    </w:p>
    <w:p w14:paraId="1DDF1FA2" w14:textId="77777777" w:rsidR="004A59BF" w:rsidRPr="009B42CA" w:rsidRDefault="004A59BF" w:rsidP="00FF3E62">
      <w:pPr>
        <w:ind w:left="851"/>
        <w:rPr>
          <w:sz w:val="24"/>
          <w:szCs w:val="24"/>
          <w:u w:val="single"/>
        </w:rPr>
      </w:pPr>
      <w:r w:rsidRPr="009B42CA">
        <w:rPr>
          <w:sz w:val="24"/>
          <w:szCs w:val="24"/>
          <w:u w:val="single"/>
        </w:rPr>
        <w:t>Transfusionsrelateret graft-versus-host-reaktion</w:t>
      </w:r>
    </w:p>
    <w:p w14:paraId="13CD4293" w14:textId="77777777" w:rsidR="004A59BF" w:rsidRPr="009B42CA" w:rsidRDefault="004A59BF" w:rsidP="00FF3E62">
      <w:pPr>
        <w:ind w:left="851"/>
        <w:rPr>
          <w:sz w:val="24"/>
          <w:szCs w:val="24"/>
        </w:rPr>
      </w:pPr>
      <w:r w:rsidRPr="009B42CA">
        <w:rPr>
          <w:sz w:val="24"/>
          <w:szCs w:val="24"/>
        </w:rPr>
        <w:t xml:space="preserve">Transfusionsrelateret graft-versus-host-reaktioner (reaktion ved de transfunderede immunkompetente host-lymfocytter) er observeret hos </w:t>
      </w:r>
      <w:proofErr w:type="spellStart"/>
      <w:r w:rsidRPr="009B42CA">
        <w:rPr>
          <w:sz w:val="24"/>
          <w:szCs w:val="24"/>
        </w:rPr>
        <w:t>fludarabin</w:t>
      </w:r>
      <w:proofErr w:type="spellEnd"/>
      <w:r w:rsidRPr="009B42CA">
        <w:rPr>
          <w:sz w:val="24"/>
          <w:szCs w:val="24"/>
        </w:rPr>
        <w:t xml:space="preserve">-behandlede patienter efter transfusion med ikke-bestrålet blod. Rapporter om patienter, der er døde som følge af denne sygdom, er indberettet hyppigt. For at minimere risikoen for transfusionsrelateret graft-versus-host-reaktion må patienter, som kræver blodtransfusion, og som er eller har været i behandling med </w:t>
      </w:r>
      <w:proofErr w:type="spellStart"/>
      <w:r w:rsidRPr="009B42CA">
        <w:rPr>
          <w:sz w:val="24"/>
          <w:szCs w:val="24"/>
        </w:rPr>
        <w:t>fludarabin</w:t>
      </w:r>
      <w:proofErr w:type="spellEnd"/>
      <w:r w:rsidRPr="009B42CA">
        <w:rPr>
          <w:sz w:val="24"/>
          <w:szCs w:val="24"/>
        </w:rPr>
        <w:t xml:space="preserve">, kun modtage bestrålet blod. </w:t>
      </w:r>
    </w:p>
    <w:p w14:paraId="447FC822" w14:textId="77777777" w:rsidR="004A59BF" w:rsidRPr="009B42CA" w:rsidRDefault="004A59BF" w:rsidP="00FF3E62">
      <w:pPr>
        <w:ind w:left="851"/>
        <w:rPr>
          <w:sz w:val="24"/>
          <w:szCs w:val="24"/>
          <w:highlight w:val="yellow"/>
        </w:rPr>
      </w:pPr>
    </w:p>
    <w:p w14:paraId="752DAC2C" w14:textId="77777777" w:rsidR="004A59BF" w:rsidRPr="009B42CA" w:rsidRDefault="004A59BF" w:rsidP="00FF3E62">
      <w:pPr>
        <w:ind w:left="851"/>
        <w:rPr>
          <w:sz w:val="24"/>
          <w:szCs w:val="24"/>
          <w:u w:val="single"/>
        </w:rPr>
      </w:pPr>
      <w:r w:rsidRPr="009B42CA">
        <w:rPr>
          <w:sz w:val="24"/>
          <w:szCs w:val="24"/>
          <w:u w:val="single"/>
        </w:rPr>
        <w:lastRenderedPageBreak/>
        <w:t>Hudkræft</w:t>
      </w:r>
    </w:p>
    <w:p w14:paraId="7432FC6E" w14:textId="77777777" w:rsidR="004A59BF" w:rsidRPr="009B42CA" w:rsidRDefault="004A59BF" w:rsidP="00FF3E62">
      <w:pPr>
        <w:ind w:left="851"/>
        <w:rPr>
          <w:sz w:val="24"/>
          <w:szCs w:val="24"/>
        </w:rPr>
      </w:pPr>
      <w:r w:rsidRPr="009B42CA">
        <w:rPr>
          <w:sz w:val="24"/>
          <w:szCs w:val="24"/>
        </w:rPr>
        <w:t xml:space="preserve">Der er rapporteret om forværring eller opblussen af eksisterende hudcancerlæsioner samt forekomst af ny hudkræft hos nogle patienter under eller efter behandling med </w:t>
      </w:r>
      <w:proofErr w:type="spellStart"/>
      <w:r w:rsidRPr="009B42CA">
        <w:rPr>
          <w:sz w:val="24"/>
          <w:szCs w:val="24"/>
        </w:rPr>
        <w:t>fludarabin</w:t>
      </w:r>
      <w:proofErr w:type="spellEnd"/>
      <w:r w:rsidRPr="009B42CA">
        <w:rPr>
          <w:sz w:val="24"/>
          <w:szCs w:val="24"/>
        </w:rPr>
        <w:t xml:space="preserve">. </w:t>
      </w:r>
    </w:p>
    <w:p w14:paraId="630B1041" w14:textId="77777777" w:rsidR="004A59BF" w:rsidRPr="009B42CA" w:rsidRDefault="004A59BF" w:rsidP="00FF3E62">
      <w:pPr>
        <w:ind w:left="851"/>
        <w:rPr>
          <w:sz w:val="24"/>
          <w:szCs w:val="24"/>
        </w:rPr>
      </w:pPr>
    </w:p>
    <w:p w14:paraId="3A7B770A" w14:textId="77777777" w:rsidR="004A59BF" w:rsidRPr="009B42CA" w:rsidRDefault="004A59BF" w:rsidP="00FF3E62">
      <w:pPr>
        <w:ind w:left="851"/>
        <w:rPr>
          <w:sz w:val="24"/>
          <w:szCs w:val="24"/>
          <w:u w:val="single"/>
        </w:rPr>
      </w:pPr>
      <w:r w:rsidRPr="009B42CA">
        <w:rPr>
          <w:sz w:val="24"/>
          <w:szCs w:val="24"/>
          <w:u w:val="single"/>
        </w:rPr>
        <w:t>Nedsat helbredstilstand</w:t>
      </w:r>
    </w:p>
    <w:p w14:paraId="2D9283EA" w14:textId="77777777" w:rsidR="004A59BF" w:rsidRPr="009B42CA" w:rsidRDefault="004A59BF" w:rsidP="00FF3E62">
      <w:pPr>
        <w:ind w:left="851"/>
        <w:rPr>
          <w:sz w:val="24"/>
          <w:szCs w:val="24"/>
        </w:rPr>
      </w:pPr>
      <w:r w:rsidRPr="009B42CA">
        <w:rPr>
          <w:sz w:val="24"/>
          <w:szCs w:val="24"/>
        </w:rPr>
        <w:t xml:space="preserve">Hos patienter med nedsat helbredstilstand bør </w:t>
      </w:r>
      <w:proofErr w:type="spellStart"/>
      <w:r w:rsidRPr="009B42CA">
        <w:rPr>
          <w:sz w:val="24"/>
          <w:szCs w:val="24"/>
        </w:rPr>
        <w:t>fludarabin</w:t>
      </w:r>
      <w:proofErr w:type="spellEnd"/>
      <w:r w:rsidRPr="009B42CA">
        <w:rPr>
          <w:sz w:val="24"/>
          <w:szCs w:val="24"/>
        </w:rPr>
        <w:t xml:space="preserve"> gives med forsigtighed og efter nøje overvejelse af </w:t>
      </w:r>
      <w:proofErr w:type="spellStart"/>
      <w:r w:rsidRPr="009B42CA">
        <w:rPr>
          <w:sz w:val="24"/>
          <w:szCs w:val="24"/>
        </w:rPr>
        <w:t>risk</w:t>
      </w:r>
      <w:proofErr w:type="spellEnd"/>
      <w:r w:rsidRPr="009B42CA">
        <w:rPr>
          <w:sz w:val="24"/>
          <w:szCs w:val="24"/>
        </w:rPr>
        <w:t>/benefit-forholdet. Dette gælder især for patienter med alvorlig nedsat knoglemarvsfunktion (</w:t>
      </w:r>
      <w:proofErr w:type="spellStart"/>
      <w:r w:rsidRPr="009B42CA">
        <w:rPr>
          <w:sz w:val="24"/>
          <w:szCs w:val="24"/>
        </w:rPr>
        <w:t>trombocytopeni</w:t>
      </w:r>
      <w:proofErr w:type="spellEnd"/>
      <w:r w:rsidRPr="009B42CA">
        <w:rPr>
          <w:sz w:val="24"/>
          <w:szCs w:val="24"/>
        </w:rPr>
        <w:t xml:space="preserve">, anæmi og/eller </w:t>
      </w:r>
      <w:proofErr w:type="spellStart"/>
      <w:r w:rsidRPr="009B42CA">
        <w:rPr>
          <w:sz w:val="24"/>
          <w:szCs w:val="24"/>
        </w:rPr>
        <w:t>granulocytopeni</w:t>
      </w:r>
      <w:proofErr w:type="spellEnd"/>
      <w:r w:rsidRPr="009B42CA">
        <w:rPr>
          <w:sz w:val="24"/>
          <w:szCs w:val="24"/>
        </w:rPr>
        <w:t xml:space="preserve">), nedsat immunforsvar eller med opportunistisk infektion i anamnesen. </w:t>
      </w:r>
    </w:p>
    <w:p w14:paraId="68DB7435" w14:textId="77777777" w:rsidR="004A59BF" w:rsidRPr="009B42CA" w:rsidRDefault="004A59BF" w:rsidP="00FF3E62">
      <w:pPr>
        <w:ind w:left="851"/>
        <w:rPr>
          <w:sz w:val="24"/>
          <w:szCs w:val="24"/>
        </w:rPr>
      </w:pPr>
    </w:p>
    <w:p w14:paraId="46060B0B" w14:textId="77777777" w:rsidR="004A59BF" w:rsidRPr="009B42CA" w:rsidRDefault="004A59BF" w:rsidP="00FF3E62">
      <w:pPr>
        <w:ind w:left="851"/>
        <w:rPr>
          <w:sz w:val="24"/>
          <w:szCs w:val="24"/>
          <w:u w:val="single"/>
        </w:rPr>
      </w:pPr>
      <w:r w:rsidRPr="009B42CA">
        <w:rPr>
          <w:sz w:val="24"/>
          <w:szCs w:val="24"/>
          <w:u w:val="single"/>
        </w:rPr>
        <w:t>Nyreinsufficiens</w:t>
      </w:r>
    </w:p>
    <w:p w14:paraId="70E26D26" w14:textId="77777777" w:rsidR="004A59BF" w:rsidRPr="009B42CA" w:rsidRDefault="004A59BF" w:rsidP="00FF3E62">
      <w:pPr>
        <w:ind w:left="851"/>
        <w:rPr>
          <w:sz w:val="24"/>
          <w:szCs w:val="24"/>
        </w:rPr>
      </w:pPr>
      <w:r w:rsidRPr="009B42CA">
        <w:rPr>
          <w:sz w:val="24"/>
          <w:szCs w:val="24"/>
        </w:rPr>
        <w:t xml:space="preserve">Den samlede </w:t>
      </w:r>
      <w:proofErr w:type="spellStart"/>
      <w:r w:rsidRPr="009B42CA">
        <w:rPr>
          <w:sz w:val="24"/>
          <w:szCs w:val="24"/>
        </w:rPr>
        <w:t>kropsclearance</w:t>
      </w:r>
      <w:proofErr w:type="spellEnd"/>
      <w:r w:rsidRPr="009B42CA">
        <w:rPr>
          <w:sz w:val="24"/>
          <w:szCs w:val="24"/>
        </w:rPr>
        <w:t xml:space="preserve"> af den primære metabolit i plasma 2-F-ara-A viser en sammenhæng med </w:t>
      </w:r>
      <w:proofErr w:type="spellStart"/>
      <w:r w:rsidRPr="009B42CA">
        <w:rPr>
          <w:sz w:val="24"/>
          <w:szCs w:val="24"/>
        </w:rPr>
        <w:t>kreatininclearance</w:t>
      </w:r>
      <w:proofErr w:type="spellEnd"/>
      <w:r w:rsidRPr="009B42CA">
        <w:rPr>
          <w:sz w:val="24"/>
          <w:szCs w:val="24"/>
        </w:rPr>
        <w:t>, hvilket peger på vigtigheden af, at stoffet udskilles via nyrerne. Patienter med nedsat nyrefunktion udviser øget samlet kropseksponering (AUC af 2F-ara-A). Kun begrænsede kliniske data er tilgængelige om patienter med nedsat nyrefunktion (</w:t>
      </w:r>
      <w:proofErr w:type="spellStart"/>
      <w:r w:rsidRPr="009B42CA">
        <w:rPr>
          <w:sz w:val="24"/>
          <w:szCs w:val="24"/>
        </w:rPr>
        <w:t>kreatininclearance</w:t>
      </w:r>
      <w:proofErr w:type="spellEnd"/>
      <w:r w:rsidRPr="009B42CA">
        <w:rPr>
          <w:sz w:val="24"/>
          <w:szCs w:val="24"/>
        </w:rPr>
        <w:t xml:space="preserve"> &lt; 70 ml/min).</w:t>
      </w:r>
    </w:p>
    <w:p w14:paraId="398247F0" w14:textId="77777777" w:rsidR="004A59BF" w:rsidRPr="009B42CA" w:rsidRDefault="004A59BF" w:rsidP="00FF3E62">
      <w:pPr>
        <w:ind w:left="851"/>
        <w:rPr>
          <w:sz w:val="24"/>
          <w:szCs w:val="24"/>
        </w:rPr>
      </w:pPr>
    </w:p>
    <w:p w14:paraId="560E82D9" w14:textId="77777777" w:rsidR="004A59BF" w:rsidRPr="009B42CA" w:rsidRDefault="004A59BF" w:rsidP="00FF3E62">
      <w:pPr>
        <w:ind w:left="851"/>
        <w:rPr>
          <w:sz w:val="24"/>
          <w:szCs w:val="24"/>
        </w:rPr>
      </w:pPr>
      <w:proofErr w:type="spellStart"/>
      <w:r w:rsidRPr="009B42CA">
        <w:rPr>
          <w:sz w:val="24"/>
          <w:szCs w:val="24"/>
        </w:rPr>
        <w:t>Fludarabin</w:t>
      </w:r>
      <w:proofErr w:type="spellEnd"/>
      <w:r w:rsidRPr="009B42CA">
        <w:rPr>
          <w:sz w:val="24"/>
          <w:szCs w:val="24"/>
        </w:rPr>
        <w:t xml:space="preserve"> skal administreres med forsigtighed hos patienter med nyreinsufficiens. Hos patienter med moderat nyreinsufficiens (</w:t>
      </w:r>
      <w:proofErr w:type="spellStart"/>
      <w:r w:rsidRPr="009B42CA">
        <w:rPr>
          <w:sz w:val="24"/>
          <w:szCs w:val="24"/>
        </w:rPr>
        <w:t>kreatininclearance</w:t>
      </w:r>
      <w:proofErr w:type="spellEnd"/>
      <w:r w:rsidRPr="009B42CA">
        <w:rPr>
          <w:sz w:val="24"/>
          <w:szCs w:val="24"/>
        </w:rPr>
        <w:t xml:space="preserve"> mellem 30 og 70 ml/min) bør dosis reduceres med op til 50 %, og patienten bør monitoreres nøje (se pkt. 4.2). Behandling med </w:t>
      </w:r>
      <w:proofErr w:type="spellStart"/>
      <w:r w:rsidRPr="009B42CA">
        <w:rPr>
          <w:sz w:val="24"/>
          <w:szCs w:val="24"/>
        </w:rPr>
        <w:t>fludarabin</w:t>
      </w:r>
      <w:proofErr w:type="spellEnd"/>
      <w:r w:rsidRPr="009B42CA">
        <w:rPr>
          <w:sz w:val="24"/>
          <w:szCs w:val="24"/>
        </w:rPr>
        <w:t xml:space="preserve"> er kontraindiceret, hvis </w:t>
      </w:r>
      <w:proofErr w:type="spellStart"/>
      <w:r w:rsidRPr="009B42CA">
        <w:rPr>
          <w:sz w:val="24"/>
          <w:szCs w:val="24"/>
        </w:rPr>
        <w:t>kreatininclearance</w:t>
      </w:r>
      <w:proofErr w:type="spellEnd"/>
      <w:r w:rsidRPr="009B42CA">
        <w:rPr>
          <w:sz w:val="24"/>
          <w:szCs w:val="24"/>
        </w:rPr>
        <w:t xml:space="preserve"> er &lt; 30 ml/min (se pkt. 4.3).</w:t>
      </w:r>
    </w:p>
    <w:p w14:paraId="05BEB5AC" w14:textId="77777777" w:rsidR="004A59BF" w:rsidRPr="009B42CA" w:rsidRDefault="004A59BF" w:rsidP="00FF3E62">
      <w:pPr>
        <w:ind w:left="851"/>
        <w:rPr>
          <w:sz w:val="24"/>
          <w:szCs w:val="24"/>
        </w:rPr>
      </w:pPr>
    </w:p>
    <w:p w14:paraId="004C3E1C" w14:textId="77777777" w:rsidR="004A59BF" w:rsidRPr="009B42CA" w:rsidRDefault="004A59BF" w:rsidP="00FF3E62">
      <w:pPr>
        <w:ind w:left="851"/>
        <w:rPr>
          <w:sz w:val="24"/>
          <w:szCs w:val="24"/>
          <w:u w:val="single"/>
        </w:rPr>
      </w:pPr>
      <w:r w:rsidRPr="009B42CA">
        <w:rPr>
          <w:sz w:val="24"/>
          <w:szCs w:val="24"/>
          <w:u w:val="single"/>
        </w:rPr>
        <w:t>Leverinsufficiens</w:t>
      </w:r>
    </w:p>
    <w:p w14:paraId="07F77B9C" w14:textId="77777777" w:rsidR="004A59BF" w:rsidRPr="009B42CA" w:rsidRDefault="004A59BF" w:rsidP="00FF3E62">
      <w:pPr>
        <w:ind w:left="851"/>
        <w:rPr>
          <w:sz w:val="24"/>
          <w:szCs w:val="24"/>
        </w:rPr>
      </w:pPr>
      <w:r w:rsidRPr="009B42CA">
        <w:rPr>
          <w:sz w:val="24"/>
          <w:szCs w:val="24"/>
        </w:rPr>
        <w:t xml:space="preserve">Hos patienter med nedsat leverfunktion bør </w:t>
      </w:r>
      <w:proofErr w:type="spellStart"/>
      <w:r w:rsidRPr="009B42CA">
        <w:rPr>
          <w:sz w:val="24"/>
          <w:szCs w:val="24"/>
        </w:rPr>
        <w:t>fludarabin</w:t>
      </w:r>
      <w:proofErr w:type="spellEnd"/>
      <w:r w:rsidRPr="009B42CA">
        <w:rPr>
          <w:sz w:val="24"/>
          <w:szCs w:val="24"/>
        </w:rPr>
        <w:t xml:space="preserve"> anvendes med forsigtighed, da det kan forårsage </w:t>
      </w:r>
      <w:proofErr w:type="spellStart"/>
      <w:r w:rsidRPr="009B42CA">
        <w:rPr>
          <w:sz w:val="24"/>
          <w:szCs w:val="24"/>
        </w:rPr>
        <w:t>hepatisk</w:t>
      </w:r>
      <w:proofErr w:type="spellEnd"/>
      <w:r w:rsidRPr="009B42CA">
        <w:rPr>
          <w:sz w:val="24"/>
          <w:szCs w:val="24"/>
        </w:rPr>
        <w:t xml:space="preserve"> toksicitet. </w:t>
      </w:r>
      <w:proofErr w:type="spellStart"/>
      <w:r w:rsidRPr="009B42CA">
        <w:rPr>
          <w:sz w:val="24"/>
          <w:szCs w:val="24"/>
        </w:rPr>
        <w:t>Fludarabin</w:t>
      </w:r>
      <w:proofErr w:type="spellEnd"/>
      <w:r w:rsidRPr="009B42CA">
        <w:rPr>
          <w:sz w:val="24"/>
          <w:szCs w:val="24"/>
        </w:rPr>
        <w:t xml:space="preserve"> bør kun administreres, hvis den oplevede fordel opvejer enhver potentiel risiko. Disse patienter bør monitoreres nøje for overdreven toksicitet, og dosis ændres eller lægemidlet seponeres i overensstemmelse hermed (se desuden pkt. 4.2).</w:t>
      </w:r>
    </w:p>
    <w:p w14:paraId="3C4DD56F" w14:textId="77777777" w:rsidR="004A59BF" w:rsidRPr="009B42CA" w:rsidRDefault="004A59BF" w:rsidP="00FF3E62">
      <w:pPr>
        <w:ind w:left="851"/>
        <w:rPr>
          <w:sz w:val="24"/>
          <w:szCs w:val="24"/>
        </w:rPr>
      </w:pPr>
    </w:p>
    <w:p w14:paraId="1101C94D" w14:textId="77777777" w:rsidR="004A59BF" w:rsidRPr="009B42CA" w:rsidRDefault="004A59BF" w:rsidP="00FF3E62">
      <w:pPr>
        <w:ind w:left="851"/>
        <w:rPr>
          <w:sz w:val="24"/>
          <w:szCs w:val="24"/>
          <w:u w:val="single"/>
        </w:rPr>
      </w:pPr>
      <w:r w:rsidRPr="009B42CA">
        <w:rPr>
          <w:sz w:val="24"/>
          <w:szCs w:val="24"/>
          <w:u w:val="single"/>
        </w:rPr>
        <w:t>Ældre</w:t>
      </w:r>
    </w:p>
    <w:p w14:paraId="0C944C31" w14:textId="77777777" w:rsidR="004A59BF" w:rsidRPr="009B42CA" w:rsidRDefault="004A59BF" w:rsidP="00FF3E62">
      <w:pPr>
        <w:ind w:left="851"/>
        <w:rPr>
          <w:sz w:val="24"/>
          <w:szCs w:val="24"/>
        </w:rPr>
      </w:pPr>
      <w:r w:rsidRPr="009B42CA">
        <w:rPr>
          <w:sz w:val="24"/>
          <w:szCs w:val="24"/>
        </w:rPr>
        <w:t xml:space="preserve">Da data om brugen af </w:t>
      </w:r>
      <w:proofErr w:type="spellStart"/>
      <w:r w:rsidRPr="009B42CA">
        <w:rPr>
          <w:sz w:val="24"/>
          <w:szCs w:val="24"/>
        </w:rPr>
        <w:t>fludarabin</w:t>
      </w:r>
      <w:proofErr w:type="spellEnd"/>
      <w:r w:rsidRPr="009B42CA">
        <w:rPr>
          <w:sz w:val="24"/>
          <w:szCs w:val="24"/>
        </w:rPr>
        <w:t xml:space="preserve"> hos ældre patienter (&gt; 75 år) er begrænset, bør der udvises forsigtighed ved administration af </w:t>
      </w:r>
      <w:proofErr w:type="spellStart"/>
      <w:r w:rsidRPr="009B42CA">
        <w:rPr>
          <w:sz w:val="24"/>
          <w:szCs w:val="24"/>
        </w:rPr>
        <w:t>fludarabin</w:t>
      </w:r>
      <w:proofErr w:type="spellEnd"/>
      <w:r w:rsidRPr="009B42CA">
        <w:rPr>
          <w:sz w:val="24"/>
          <w:szCs w:val="24"/>
        </w:rPr>
        <w:t xml:space="preserve"> hos denne patientgruppe (se desuden pkt. 4.2).</w:t>
      </w:r>
    </w:p>
    <w:p w14:paraId="303BB6A3" w14:textId="057607CE" w:rsidR="004A59BF" w:rsidRDefault="004A59BF" w:rsidP="00FF3E62">
      <w:pPr>
        <w:ind w:left="851"/>
        <w:rPr>
          <w:sz w:val="24"/>
          <w:szCs w:val="24"/>
        </w:rPr>
      </w:pPr>
      <w:r w:rsidRPr="009B42CA">
        <w:rPr>
          <w:sz w:val="24"/>
          <w:szCs w:val="24"/>
        </w:rPr>
        <w:t xml:space="preserve">Hos patienter der er 65 år eller derover bør </w:t>
      </w:r>
      <w:proofErr w:type="spellStart"/>
      <w:r w:rsidRPr="009B42CA">
        <w:rPr>
          <w:sz w:val="24"/>
          <w:szCs w:val="24"/>
        </w:rPr>
        <w:t>kreatininclearance</w:t>
      </w:r>
      <w:proofErr w:type="spellEnd"/>
      <w:r w:rsidRPr="009B42CA">
        <w:rPr>
          <w:sz w:val="24"/>
          <w:szCs w:val="24"/>
        </w:rPr>
        <w:t xml:space="preserve"> måles, før behandlingen iværksættes, se afsnittet </w:t>
      </w:r>
      <w:r w:rsidR="007B6BAC">
        <w:rPr>
          <w:sz w:val="24"/>
          <w:szCs w:val="24"/>
        </w:rPr>
        <w:t>"</w:t>
      </w:r>
      <w:r w:rsidRPr="009B42CA">
        <w:rPr>
          <w:sz w:val="24"/>
          <w:szCs w:val="24"/>
        </w:rPr>
        <w:t>Nyreinsufficiens</w:t>
      </w:r>
      <w:r w:rsidR="007B6BAC">
        <w:rPr>
          <w:sz w:val="24"/>
          <w:szCs w:val="24"/>
        </w:rPr>
        <w:t>"</w:t>
      </w:r>
      <w:r w:rsidRPr="009B42CA">
        <w:rPr>
          <w:sz w:val="24"/>
          <w:szCs w:val="24"/>
        </w:rPr>
        <w:t xml:space="preserve"> og pkt. 4.2.</w:t>
      </w:r>
    </w:p>
    <w:p w14:paraId="1C162CC0" w14:textId="77777777" w:rsidR="000C5D8C" w:rsidRPr="009B42CA" w:rsidRDefault="000C5D8C" w:rsidP="00FF3E62">
      <w:pPr>
        <w:ind w:left="851"/>
        <w:rPr>
          <w:sz w:val="24"/>
          <w:szCs w:val="24"/>
        </w:rPr>
      </w:pPr>
    </w:p>
    <w:p w14:paraId="56461C84" w14:textId="77777777" w:rsidR="000C5D8C" w:rsidRDefault="000C5D8C" w:rsidP="000C5D8C">
      <w:pPr>
        <w:ind w:left="851"/>
        <w:rPr>
          <w:sz w:val="24"/>
          <w:szCs w:val="24"/>
          <w:u w:val="single"/>
        </w:rPr>
      </w:pPr>
      <w:r>
        <w:rPr>
          <w:sz w:val="24"/>
          <w:szCs w:val="24"/>
          <w:u w:val="single"/>
        </w:rPr>
        <w:t>Graviditet</w:t>
      </w:r>
    </w:p>
    <w:p w14:paraId="5AC0C94C" w14:textId="77777777" w:rsidR="000C5D8C" w:rsidRDefault="000C5D8C" w:rsidP="000C5D8C">
      <w:pPr>
        <w:ind w:left="851"/>
        <w:rPr>
          <w:sz w:val="24"/>
          <w:szCs w:val="24"/>
        </w:rPr>
      </w:pPr>
      <w:r>
        <w:rPr>
          <w:sz w:val="24"/>
          <w:szCs w:val="24"/>
        </w:rPr>
        <w:t xml:space="preserve">Det er blevet påvist, at </w:t>
      </w:r>
      <w:proofErr w:type="spellStart"/>
      <w:r>
        <w:rPr>
          <w:sz w:val="24"/>
          <w:szCs w:val="24"/>
        </w:rPr>
        <w:t>fludarabinphosphat</w:t>
      </w:r>
      <w:proofErr w:type="spellEnd"/>
      <w:r>
        <w:rPr>
          <w:sz w:val="24"/>
          <w:szCs w:val="24"/>
        </w:rPr>
        <w:t xml:space="preserve"> er genotoksisk. Det er også blevet påvist, at </w:t>
      </w:r>
      <w:proofErr w:type="spellStart"/>
      <w:r>
        <w:rPr>
          <w:sz w:val="24"/>
          <w:szCs w:val="24"/>
        </w:rPr>
        <w:t>fludarabinphosphat</w:t>
      </w:r>
      <w:proofErr w:type="spellEnd"/>
      <w:r>
        <w:rPr>
          <w:sz w:val="24"/>
          <w:szCs w:val="24"/>
        </w:rPr>
        <w:t xml:space="preserve"> er både embryotoksisk og </w:t>
      </w:r>
      <w:proofErr w:type="spellStart"/>
      <w:r>
        <w:rPr>
          <w:sz w:val="24"/>
          <w:szCs w:val="24"/>
        </w:rPr>
        <w:t>føtotoksisk</w:t>
      </w:r>
      <w:proofErr w:type="spellEnd"/>
      <w:r>
        <w:rPr>
          <w:sz w:val="24"/>
          <w:szCs w:val="24"/>
        </w:rPr>
        <w:t xml:space="preserve"> hos kaniner og rotter (se pkt. 5.3). </w:t>
      </w:r>
      <w:proofErr w:type="spellStart"/>
      <w:r>
        <w:rPr>
          <w:sz w:val="24"/>
          <w:szCs w:val="24"/>
        </w:rPr>
        <w:t>Fludarabin</w:t>
      </w:r>
      <w:proofErr w:type="spellEnd"/>
      <w:r>
        <w:rPr>
          <w:sz w:val="24"/>
          <w:szCs w:val="24"/>
        </w:rPr>
        <w:t xml:space="preserve"> kan forårsage fosterskader, når det administreres til gravide kvinder. </w:t>
      </w:r>
      <w:proofErr w:type="spellStart"/>
      <w:r>
        <w:rPr>
          <w:sz w:val="24"/>
          <w:szCs w:val="24"/>
        </w:rPr>
        <w:t>Fludarabin</w:t>
      </w:r>
      <w:proofErr w:type="spellEnd"/>
      <w:r>
        <w:rPr>
          <w:sz w:val="24"/>
          <w:szCs w:val="24"/>
        </w:rPr>
        <w:t xml:space="preserve"> må derfor ikke anvendes under graviditet, medmindre den potentielle fordel for moderen opvejer de potentielle risici for fosteret.</w:t>
      </w:r>
    </w:p>
    <w:p w14:paraId="30F73E2E" w14:textId="77777777" w:rsidR="000C5D8C" w:rsidRDefault="000C5D8C" w:rsidP="000C5D8C">
      <w:pPr>
        <w:ind w:left="851"/>
        <w:rPr>
          <w:sz w:val="24"/>
          <w:szCs w:val="24"/>
        </w:rPr>
      </w:pPr>
    </w:p>
    <w:p w14:paraId="18192ED3" w14:textId="77777777" w:rsidR="000C5D8C" w:rsidRDefault="000C5D8C" w:rsidP="000C5D8C">
      <w:pPr>
        <w:ind w:left="851"/>
        <w:rPr>
          <w:sz w:val="24"/>
          <w:szCs w:val="24"/>
        </w:rPr>
      </w:pPr>
      <w:r>
        <w:rPr>
          <w:sz w:val="24"/>
          <w:szCs w:val="24"/>
        </w:rPr>
        <w:t xml:space="preserve">Kvinder i den fertile alder, der får </w:t>
      </w:r>
      <w:proofErr w:type="spellStart"/>
      <w:r>
        <w:rPr>
          <w:sz w:val="24"/>
          <w:szCs w:val="24"/>
        </w:rPr>
        <w:t>fludarabin</w:t>
      </w:r>
      <w:proofErr w:type="spellEnd"/>
      <w:r>
        <w:rPr>
          <w:sz w:val="24"/>
          <w:szCs w:val="24"/>
        </w:rPr>
        <w:t>, bør rådes til at undgå at blive gravide og omgående informere den behandlende læge, hvis dette skulle ske (se pkt. 4.6 og 5.3).</w:t>
      </w:r>
    </w:p>
    <w:p w14:paraId="19260C67" w14:textId="77777777" w:rsidR="000C5D8C" w:rsidRDefault="000C5D8C" w:rsidP="000C5D8C">
      <w:pPr>
        <w:ind w:left="851"/>
        <w:rPr>
          <w:sz w:val="24"/>
          <w:szCs w:val="24"/>
        </w:rPr>
      </w:pPr>
    </w:p>
    <w:p w14:paraId="63B68449" w14:textId="77777777" w:rsidR="000C5D8C" w:rsidRDefault="000C5D8C" w:rsidP="000C5D8C">
      <w:pPr>
        <w:ind w:left="851"/>
        <w:rPr>
          <w:sz w:val="24"/>
          <w:szCs w:val="24"/>
          <w:u w:val="single"/>
        </w:rPr>
      </w:pPr>
      <w:r>
        <w:rPr>
          <w:sz w:val="24"/>
          <w:szCs w:val="24"/>
          <w:u w:val="single"/>
        </w:rPr>
        <w:t>Prævention til mænd og kvinder</w:t>
      </w:r>
    </w:p>
    <w:p w14:paraId="6BFDDF8D" w14:textId="77777777" w:rsidR="000C5D8C" w:rsidRDefault="000C5D8C" w:rsidP="000C5D8C">
      <w:pPr>
        <w:ind w:left="851"/>
        <w:rPr>
          <w:sz w:val="24"/>
          <w:szCs w:val="24"/>
        </w:rPr>
      </w:pPr>
      <w:r>
        <w:rPr>
          <w:sz w:val="24"/>
          <w:szCs w:val="24"/>
        </w:rPr>
        <w:t xml:space="preserve">På grund af den genotoksiske risiko ved </w:t>
      </w:r>
      <w:proofErr w:type="spellStart"/>
      <w:r>
        <w:rPr>
          <w:sz w:val="24"/>
          <w:szCs w:val="24"/>
        </w:rPr>
        <w:t>fludarabinphosphat</w:t>
      </w:r>
      <w:proofErr w:type="spellEnd"/>
      <w:r>
        <w:rPr>
          <w:sz w:val="24"/>
          <w:szCs w:val="24"/>
        </w:rPr>
        <w:t xml:space="preserve"> skal kvinder i den fertile alder anvende sikker prævention, mens behandlingen står på og i mindst 6 måneder efter behandlingens ophør. Mandlige patienter skal anvende sikre præventionsmetoder og rådes til </w:t>
      </w:r>
      <w:r>
        <w:rPr>
          <w:sz w:val="24"/>
          <w:szCs w:val="24"/>
        </w:rPr>
        <w:lastRenderedPageBreak/>
        <w:t xml:space="preserve">ikke at gøre en kvinde gravid, mens de får </w:t>
      </w:r>
      <w:proofErr w:type="spellStart"/>
      <w:r>
        <w:rPr>
          <w:sz w:val="24"/>
          <w:szCs w:val="24"/>
        </w:rPr>
        <w:t>fludarabin</w:t>
      </w:r>
      <w:proofErr w:type="spellEnd"/>
      <w:r>
        <w:rPr>
          <w:sz w:val="24"/>
          <w:szCs w:val="24"/>
        </w:rPr>
        <w:t>, og i mindst 3 måneder efter behandlingens ophør (se pkt. 4.6).</w:t>
      </w:r>
    </w:p>
    <w:p w14:paraId="4259CDB6" w14:textId="77777777" w:rsidR="000C5D8C" w:rsidRDefault="000C5D8C" w:rsidP="00FF3E62">
      <w:pPr>
        <w:ind w:left="851"/>
        <w:rPr>
          <w:sz w:val="24"/>
          <w:szCs w:val="24"/>
          <w:u w:val="single"/>
        </w:rPr>
      </w:pPr>
    </w:p>
    <w:p w14:paraId="55E70F31" w14:textId="33258B32" w:rsidR="004A59BF" w:rsidRPr="009B42CA" w:rsidRDefault="004A59BF" w:rsidP="00FF3E62">
      <w:pPr>
        <w:ind w:left="851"/>
        <w:rPr>
          <w:sz w:val="24"/>
          <w:szCs w:val="24"/>
          <w:u w:val="single"/>
        </w:rPr>
      </w:pPr>
      <w:r w:rsidRPr="009B42CA">
        <w:rPr>
          <w:sz w:val="24"/>
          <w:szCs w:val="24"/>
          <w:u w:val="single"/>
        </w:rPr>
        <w:t>Vaccination</w:t>
      </w:r>
    </w:p>
    <w:p w14:paraId="1C3EAC49" w14:textId="77777777" w:rsidR="004A59BF" w:rsidRPr="009B42CA" w:rsidRDefault="004A59BF" w:rsidP="00FF3E62">
      <w:pPr>
        <w:ind w:left="851"/>
        <w:rPr>
          <w:sz w:val="24"/>
          <w:szCs w:val="24"/>
        </w:rPr>
      </w:pPr>
      <w:r w:rsidRPr="009B42CA">
        <w:rPr>
          <w:sz w:val="24"/>
          <w:szCs w:val="24"/>
        </w:rPr>
        <w:t xml:space="preserve">Vaccination med levende vacciner bør undgås under og efter behandling med </w:t>
      </w:r>
      <w:proofErr w:type="spellStart"/>
      <w:r w:rsidRPr="009B42CA">
        <w:rPr>
          <w:sz w:val="24"/>
          <w:szCs w:val="24"/>
        </w:rPr>
        <w:t>fludarabin</w:t>
      </w:r>
      <w:proofErr w:type="spellEnd"/>
      <w:r w:rsidRPr="009B42CA">
        <w:rPr>
          <w:sz w:val="24"/>
          <w:szCs w:val="24"/>
        </w:rPr>
        <w:t xml:space="preserve">. </w:t>
      </w:r>
    </w:p>
    <w:p w14:paraId="2B642C0F" w14:textId="77777777" w:rsidR="004A59BF" w:rsidRPr="009B42CA" w:rsidRDefault="004A59BF" w:rsidP="00FF3E62">
      <w:pPr>
        <w:ind w:left="851"/>
        <w:rPr>
          <w:sz w:val="24"/>
          <w:szCs w:val="24"/>
        </w:rPr>
      </w:pPr>
    </w:p>
    <w:p w14:paraId="3CFB167D" w14:textId="77777777" w:rsidR="004A59BF" w:rsidRPr="009B42CA" w:rsidRDefault="004A59BF" w:rsidP="00FF3E62">
      <w:pPr>
        <w:ind w:left="851"/>
        <w:rPr>
          <w:sz w:val="24"/>
          <w:szCs w:val="24"/>
          <w:u w:val="single"/>
        </w:rPr>
      </w:pPr>
      <w:r w:rsidRPr="009B42CA">
        <w:rPr>
          <w:sz w:val="24"/>
          <w:szCs w:val="24"/>
          <w:u w:val="single"/>
        </w:rPr>
        <w:t xml:space="preserve">Genbehandlingsmuligheder efter initial behandling med </w:t>
      </w:r>
      <w:proofErr w:type="spellStart"/>
      <w:r w:rsidRPr="009B42CA">
        <w:rPr>
          <w:sz w:val="24"/>
          <w:szCs w:val="24"/>
          <w:u w:val="single"/>
        </w:rPr>
        <w:t>fludarabin</w:t>
      </w:r>
      <w:proofErr w:type="spellEnd"/>
    </w:p>
    <w:p w14:paraId="079A877D" w14:textId="77777777" w:rsidR="004A59BF" w:rsidRPr="009B42CA" w:rsidRDefault="004A59BF" w:rsidP="00FF3E62">
      <w:pPr>
        <w:ind w:left="851"/>
        <w:rPr>
          <w:sz w:val="24"/>
          <w:szCs w:val="24"/>
        </w:rPr>
      </w:pPr>
      <w:r w:rsidRPr="009B42CA">
        <w:rPr>
          <w:sz w:val="24"/>
          <w:szCs w:val="24"/>
        </w:rPr>
        <w:t xml:space="preserve">Skift fra initial behandling med </w:t>
      </w:r>
      <w:proofErr w:type="spellStart"/>
      <w:r w:rsidRPr="009B42CA">
        <w:rPr>
          <w:sz w:val="24"/>
          <w:szCs w:val="24"/>
        </w:rPr>
        <w:t>fludarabin</w:t>
      </w:r>
      <w:proofErr w:type="spellEnd"/>
      <w:r w:rsidRPr="009B42CA">
        <w:rPr>
          <w:sz w:val="24"/>
          <w:szCs w:val="24"/>
        </w:rPr>
        <w:t xml:space="preserve"> til </w:t>
      </w:r>
      <w:proofErr w:type="spellStart"/>
      <w:r w:rsidRPr="009B42CA">
        <w:rPr>
          <w:sz w:val="24"/>
          <w:szCs w:val="24"/>
        </w:rPr>
        <w:t>chlorambucil</w:t>
      </w:r>
      <w:proofErr w:type="spellEnd"/>
      <w:r w:rsidRPr="009B42CA">
        <w:rPr>
          <w:sz w:val="24"/>
          <w:szCs w:val="24"/>
        </w:rPr>
        <w:t xml:space="preserve"> hos patienter, der ikke responderer på </w:t>
      </w:r>
      <w:proofErr w:type="spellStart"/>
      <w:r w:rsidRPr="009B42CA">
        <w:rPr>
          <w:sz w:val="24"/>
          <w:szCs w:val="24"/>
        </w:rPr>
        <w:t>fludarabin</w:t>
      </w:r>
      <w:proofErr w:type="spellEnd"/>
      <w:r w:rsidRPr="009B42CA">
        <w:rPr>
          <w:sz w:val="24"/>
          <w:szCs w:val="24"/>
        </w:rPr>
        <w:t xml:space="preserve">, bør undgås, da de fleste patienter, som er resistente over for </w:t>
      </w:r>
      <w:proofErr w:type="spellStart"/>
      <w:r w:rsidRPr="009B42CA">
        <w:rPr>
          <w:sz w:val="24"/>
          <w:szCs w:val="24"/>
        </w:rPr>
        <w:t>fludarabin</w:t>
      </w:r>
      <w:proofErr w:type="spellEnd"/>
      <w:r w:rsidRPr="009B42CA">
        <w:rPr>
          <w:sz w:val="24"/>
          <w:szCs w:val="24"/>
        </w:rPr>
        <w:t xml:space="preserve"> har udvist resistens over for </w:t>
      </w:r>
      <w:proofErr w:type="spellStart"/>
      <w:r w:rsidRPr="009B42CA">
        <w:rPr>
          <w:sz w:val="24"/>
          <w:szCs w:val="24"/>
        </w:rPr>
        <w:t>chlorambucil</w:t>
      </w:r>
      <w:proofErr w:type="spellEnd"/>
      <w:r w:rsidRPr="009B42CA">
        <w:rPr>
          <w:sz w:val="24"/>
          <w:szCs w:val="24"/>
        </w:rPr>
        <w:t>.</w:t>
      </w:r>
    </w:p>
    <w:p w14:paraId="4E4C843A" w14:textId="77777777" w:rsidR="004A59BF" w:rsidRPr="009B42CA" w:rsidRDefault="004A59BF" w:rsidP="00FF3E62">
      <w:pPr>
        <w:ind w:left="851"/>
        <w:rPr>
          <w:sz w:val="24"/>
          <w:szCs w:val="24"/>
        </w:rPr>
      </w:pPr>
    </w:p>
    <w:p w14:paraId="6879794A" w14:textId="77777777" w:rsidR="004A59BF" w:rsidRPr="009B42CA" w:rsidRDefault="004A59BF" w:rsidP="00FF3E62">
      <w:pPr>
        <w:ind w:left="851"/>
        <w:rPr>
          <w:sz w:val="24"/>
          <w:szCs w:val="24"/>
          <w:u w:val="single"/>
        </w:rPr>
      </w:pPr>
      <w:r w:rsidRPr="009B42CA">
        <w:rPr>
          <w:sz w:val="24"/>
          <w:szCs w:val="24"/>
          <w:u w:val="single"/>
        </w:rPr>
        <w:t>Hjælpestoffer</w:t>
      </w:r>
    </w:p>
    <w:p w14:paraId="172EEC05" w14:textId="77777777" w:rsidR="004A59BF" w:rsidRPr="009B42CA" w:rsidRDefault="004A59BF" w:rsidP="00FF3E62">
      <w:pPr>
        <w:ind w:left="851"/>
        <w:rPr>
          <w:sz w:val="24"/>
          <w:szCs w:val="24"/>
        </w:rPr>
      </w:pPr>
      <w:r w:rsidRPr="009B42CA">
        <w:rPr>
          <w:sz w:val="24"/>
          <w:szCs w:val="24"/>
        </w:rPr>
        <w:t>Dette lægemiddel indeholder mindre end 1 mmol (23 mg) natrium pr. hætteglas, dvs. det er i det væsentlige natriumfrit.</w:t>
      </w:r>
    </w:p>
    <w:p w14:paraId="10E980C9" w14:textId="77777777" w:rsidR="009260DE" w:rsidRPr="009B42CA" w:rsidRDefault="009260DE" w:rsidP="009260DE">
      <w:pPr>
        <w:tabs>
          <w:tab w:val="left" w:pos="851"/>
        </w:tabs>
        <w:ind w:left="851"/>
        <w:rPr>
          <w:sz w:val="24"/>
          <w:szCs w:val="24"/>
        </w:rPr>
      </w:pPr>
    </w:p>
    <w:p w14:paraId="68FE52B8" w14:textId="77777777" w:rsidR="009260DE" w:rsidRPr="009B42CA" w:rsidRDefault="009260DE" w:rsidP="009260DE">
      <w:pPr>
        <w:tabs>
          <w:tab w:val="left" w:pos="851"/>
        </w:tabs>
        <w:ind w:left="851" w:hanging="851"/>
        <w:rPr>
          <w:b/>
          <w:sz w:val="24"/>
          <w:szCs w:val="24"/>
        </w:rPr>
      </w:pPr>
      <w:r w:rsidRPr="009B42CA">
        <w:rPr>
          <w:b/>
          <w:sz w:val="24"/>
          <w:szCs w:val="24"/>
        </w:rPr>
        <w:t>4.5</w:t>
      </w:r>
      <w:r w:rsidRPr="009B42CA">
        <w:rPr>
          <w:b/>
          <w:sz w:val="24"/>
          <w:szCs w:val="24"/>
        </w:rPr>
        <w:tab/>
        <w:t>Interaktion med andre lægemidler og andre former for interaktion</w:t>
      </w:r>
    </w:p>
    <w:p w14:paraId="5DC424B4" w14:textId="77777777" w:rsidR="004A59BF" w:rsidRPr="009B42CA" w:rsidRDefault="004A59BF" w:rsidP="00FF3E62">
      <w:pPr>
        <w:ind w:left="851"/>
        <w:rPr>
          <w:sz w:val="24"/>
          <w:szCs w:val="24"/>
        </w:rPr>
      </w:pPr>
      <w:r w:rsidRPr="009B42CA">
        <w:rPr>
          <w:sz w:val="24"/>
          <w:szCs w:val="24"/>
        </w:rPr>
        <w:t xml:space="preserve">I et klinisk studie, hvor intravenøs </w:t>
      </w:r>
      <w:proofErr w:type="spellStart"/>
      <w:r w:rsidRPr="009B42CA">
        <w:rPr>
          <w:sz w:val="24"/>
          <w:szCs w:val="24"/>
        </w:rPr>
        <w:t>fludarabin</w:t>
      </w:r>
      <w:proofErr w:type="spellEnd"/>
      <w:r w:rsidRPr="009B42CA">
        <w:rPr>
          <w:sz w:val="24"/>
          <w:szCs w:val="24"/>
        </w:rPr>
        <w:t xml:space="preserve"> er brugt i kombination med </w:t>
      </w:r>
      <w:proofErr w:type="spellStart"/>
      <w:r w:rsidRPr="009B42CA">
        <w:rPr>
          <w:sz w:val="24"/>
          <w:szCs w:val="24"/>
        </w:rPr>
        <w:t>pentostatin</w:t>
      </w:r>
      <w:proofErr w:type="spellEnd"/>
      <w:r w:rsidRPr="009B42CA">
        <w:rPr>
          <w:sz w:val="24"/>
          <w:szCs w:val="24"/>
        </w:rPr>
        <w:t xml:space="preserve"> (</w:t>
      </w:r>
      <w:proofErr w:type="spellStart"/>
      <w:r w:rsidRPr="009B42CA">
        <w:rPr>
          <w:sz w:val="24"/>
          <w:szCs w:val="24"/>
        </w:rPr>
        <w:t>deoxycoformycin</w:t>
      </w:r>
      <w:proofErr w:type="spellEnd"/>
      <w:r w:rsidRPr="009B42CA">
        <w:rPr>
          <w:sz w:val="24"/>
          <w:szCs w:val="24"/>
        </w:rPr>
        <w:t xml:space="preserve">) til behandling af </w:t>
      </w:r>
      <w:proofErr w:type="spellStart"/>
      <w:r w:rsidRPr="009B42CA">
        <w:rPr>
          <w:sz w:val="24"/>
          <w:szCs w:val="24"/>
        </w:rPr>
        <w:t>refraktorisk</w:t>
      </w:r>
      <w:proofErr w:type="spellEnd"/>
      <w:r w:rsidRPr="009B42CA">
        <w:rPr>
          <w:sz w:val="24"/>
          <w:szCs w:val="24"/>
        </w:rPr>
        <w:t xml:space="preserve"> kronisk lymfatisk leukæmi (CLL), sås en uacceptabel høj forekomst af lungetoksicitet med dødeligt forløb. Brug af </w:t>
      </w:r>
      <w:proofErr w:type="spellStart"/>
      <w:r w:rsidRPr="009B42CA">
        <w:rPr>
          <w:sz w:val="24"/>
          <w:szCs w:val="24"/>
        </w:rPr>
        <w:t>fludarabin</w:t>
      </w:r>
      <w:proofErr w:type="spellEnd"/>
      <w:r w:rsidRPr="009B42CA">
        <w:rPr>
          <w:sz w:val="24"/>
          <w:szCs w:val="24"/>
        </w:rPr>
        <w:t xml:space="preserve"> i kombination med </w:t>
      </w:r>
      <w:proofErr w:type="spellStart"/>
      <w:r w:rsidRPr="009B42CA">
        <w:rPr>
          <w:sz w:val="24"/>
          <w:szCs w:val="24"/>
        </w:rPr>
        <w:t>pentostatin</w:t>
      </w:r>
      <w:proofErr w:type="spellEnd"/>
      <w:r w:rsidRPr="009B42CA">
        <w:rPr>
          <w:sz w:val="24"/>
          <w:szCs w:val="24"/>
        </w:rPr>
        <w:t xml:space="preserve"> frarådes derfor. </w:t>
      </w:r>
    </w:p>
    <w:p w14:paraId="48C0F444" w14:textId="77777777" w:rsidR="004A59BF" w:rsidRPr="009B42CA" w:rsidRDefault="004A59BF" w:rsidP="00FF3E62">
      <w:pPr>
        <w:ind w:left="851"/>
        <w:rPr>
          <w:sz w:val="24"/>
          <w:szCs w:val="24"/>
        </w:rPr>
      </w:pPr>
    </w:p>
    <w:p w14:paraId="2D67BD9B" w14:textId="77777777" w:rsidR="004A59BF" w:rsidRPr="009B42CA" w:rsidRDefault="004A59BF" w:rsidP="00FF3E62">
      <w:pPr>
        <w:ind w:left="851"/>
        <w:rPr>
          <w:sz w:val="24"/>
          <w:szCs w:val="24"/>
        </w:rPr>
      </w:pPr>
      <w:r w:rsidRPr="009B42CA">
        <w:rPr>
          <w:sz w:val="24"/>
          <w:szCs w:val="24"/>
        </w:rPr>
        <w:t xml:space="preserve">Den terapeutiske effekt af </w:t>
      </w:r>
      <w:proofErr w:type="spellStart"/>
      <w:r w:rsidRPr="009B42CA">
        <w:rPr>
          <w:sz w:val="24"/>
          <w:szCs w:val="24"/>
        </w:rPr>
        <w:t>fludarabin</w:t>
      </w:r>
      <w:proofErr w:type="spellEnd"/>
      <w:r w:rsidRPr="009B42CA">
        <w:rPr>
          <w:sz w:val="24"/>
          <w:szCs w:val="24"/>
        </w:rPr>
        <w:t xml:space="preserve"> kan reduceres af </w:t>
      </w:r>
      <w:proofErr w:type="spellStart"/>
      <w:r w:rsidRPr="009B42CA">
        <w:rPr>
          <w:sz w:val="24"/>
          <w:szCs w:val="24"/>
        </w:rPr>
        <w:t>dipyridamol</w:t>
      </w:r>
      <w:proofErr w:type="spellEnd"/>
      <w:r w:rsidRPr="009B42CA">
        <w:rPr>
          <w:sz w:val="24"/>
          <w:szCs w:val="24"/>
        </w:rPr>
        <w:t xml:space="preserve"> og andre </w:t>
      </w:r>
      <w:proofErr w:type="spellStart"/>
      <w:r w:rsidRPr="009B42CA">
        <w:rPr>
          <w:sz w:val="24"/>
          <w:szCs w:val="24"/>
        </w:rPr>
        <w:t>hæmmere</w:t>
      </w:r>
      <w:proofErr w:type="spellEnd"/>
      <w:r w:rsidRPr="009B42CA">
        <w:rPr>
          <w:sz w:val="24"/>
          <w:szCs w:val="24"/>
        </w:rPr>
        <w:t xml:space="preserve"> af </w:t>
      </w:r>
      <w:proofErr w:type="spellStart"/>
      <w:r w:rsidRPr="009B42CA">
        <w:rPr>
          <w:sz w:val="24"/>
          <w:szCs w:val="24"/>
        </w:rPr>
        <w:t>adenosinoptagelsen</w:t>
      </w:r>
      <w:proofErr w:type="spellEnd"/>
      <w:r w:rsidRPr="009B42CA">
        <w:rPr>
          <w:sz w:val="24"/>
          <w:szCs w:val="24"/>
        </w:rPr>
        <w:t xml:space="preserve">. </w:t>
      </w:r>
    </w:p>
    <w:p w14:paraId="7FE1A22B" w14:textId="77777777" w:rsidR="004A59BF" w:rsidRPr="009B42CA" w:rsidRDefault="004A59BF" w:rsidP="00FF3E62">
      <w:pPr>
        <w:ind w:left="851"/>
        <w:rPr>
          <w:sz w:val="24"/>
          <w:szCs w:val="24"/>
        </w:rPr>
      </w:pPr>
    </w:p>
    <w:p w14:paraId="0E175B0A" w14:textId="46D1AFBC" w:rsidR="004A59BF" w:rsidRPr="009B42CA" w:rsidRDefault="004A59BF" w:rsidP="00FF3E62">
      <w:pPr>
        <w:ind w:left="851"/>
        <w:rPr>
          <w:sz w:val="24"/>
          <w:szCs w:val="24"/>
        </w:rPr>
      </w:pPr>
      <w:r w:rsidRPr="009B42CA">
        <w:rPr>
          <w:sz w:val="24"/>
          <w:szCs w:val="24"/>
        </w:rPr>
        <w:t xml:space="preserve">Kliniske studier og </w:t>
      </w:r>
      <w:r w:rsidRPr="009B42CA">
        <w:rPr>
          <w:i/>
          <w:sz w:val="24"/>
          <w:szCs w:val="24"/>
        </w:rPr>
        <w:t xml:space="preserve">in </w:t>
      </w:r>
      <w:proofErr w:type="spellStart"/>
      <w:r w:rsidRPr="009B42CA">
        <w:rPr>
          <w:i/>
          <w:sz w:val="24"/>
          <w:szCs w:val="24"/>
        </w:rPr>
        <w:t>vitro</w:t>
      </w:r>
      <w:proofErr w:type="spellEnd"/>
      <w:r w:rsidRPr="009B42CA">
        <w:rPr>
          <w:i/>
          <w:sz w:val="24"/>
          <w:szCs w:val="24"/>
        </w:rPr>
        <w:t>-</w:t>
      </w:r>
      <w:r w:rsidRPr="009B42CA">
        <w:rPr>
          <w:sz w:val="24"/>
          <w:szCs w:val="24"/>
        </w:rPr>
        <w:t>eksperimenter viste, at den intracellulære maksimum</w:t>
      </w:r>
      <w:r w:rsidR="007B6BAC">
        <w:rPr>
          <w:sz w:val="24"/>
          <w:szCs w:val="24"/>
        </w:rPr>
        <w:softHyphen/>
      </w:r>
      <w:r w:rsidRPr="009B42CA">
        <w:rPr>
          <w:sz w:val="24"/>
          <w:szCs w:val="24"/>
        </w:rPr>
        <w:t>koncentration og intracellulære eksponering for Ara-CTP (</w:t>
      </w:r>
      <w:proofErr w:type="spellStart"/>
      <w:r w:rsidRPr="009B42CA">
        <w:rPr>
          <w:sz w:val="24"/>
          <w:szCs w:val="24"/>
        </w:rPr>
        <w:t>cytarabins</w:t>
      </w:r>
      <w:proofErr w:type="spellEnd"/>
      <w:r w:rsidRPr="009B42CA">
        <w:rPr>
          <w:sz w:val="24"/>
          <w:szCs w:val="24"/>
        </w:rPr>
        <w:t xml:space="preserve"> aktive metabolit) steg i de leukæmiske celler ved brug af </w:t>
      </w:r>
      <w:proofErr w:type="spellStart"/>
      <w:r w:rsidRPr="009B42CA">
        <w:rPr>
          <w:sz w:val="24"/>
          <w:szCs w:val="24"/>
        </w:rPr>
        <w:t>fludarabin</w:t>
      </w:r>
      <w:proofErr w:type="spellEnd"/>
      <w:r w:rsidRPr="009B42CA">
        <w:rPr>
          <w:sz w:val="24"/>
          <w:szCs w:val="24"/>
        </w:rPr>
        <w:t xml:space="preserve"> i kombination med </w:t>
      </w:r>
      <w:proofErr w:type="spellStart"/>
      <w:r w:rsidRPr="009B42CA">
        <w:rPr>
          <w:sz w:val="24"/>
          <w:szCs w:val="24"/>
        </w:rPr>
        <w:t>cytarabin</w:t>
      </w:r>
      <w:proofErr w:type="spellEnd"/>
      <w:r w:rsidRPr="009B42CA">
        <w:rPr>
          <w:sz w:val="24"/>
          <w:szCs w:val="24"/>
        </w:rPr>
        <w:t xml:space="preserve">. Plasmakoncentrationer af Ara-C og eliminationshastigheden af Ara-CTP blev ikke påvirket. </w:t>
      </w:r>
    </w:p>
    <w:p w14:paraId="5AFF5342" w14:textId="77777777" w:rsidR="009260DE" w:rsidRPr="009B42CA" w:rsidRDefault="009260DE" w:rsidP="009260DE">
      <w:pPr>
        <w:tabs>
          <w:tab w:val="left" w:pos="851"/>
        </w:tabs>
        <w:ind w:left="851"/>
        <w:rPr>
          <w:sz w:val="24"/>
          <w:szCs w:val="24"/>
        </w:rPr>
      </w:pPr>
    </w:p>
    <w:p w14:paraId="102A00B1" w14:textId="77777777" w:rsidR="009260DE" w:rsidRPr="009B42CA" w:rsidRDefault="009260DE" w:rsidP="009260DE">
      <w:pPr>
        <w:tabs>
          <w:tab w:val="left" w:pos="851"/>
        </w:tabs>
        <w:ind w:left="851" w:hanging="851"/>
        <w:rPr>
          <w:b/>
          <w:sz w:val="24"/>
          <w:szCs w:val="24"/>
        </w:rPr>
      </w:pPr>
      <w:r w:rsidRPr="009B42CA">
        <w:rPr>
          <w:b/>
          <w:sz w:val="24"/>
          <w:szCs w:val="24"/>
        </w:rPr>
        <w:t>4.6</w:t>
      </w:r>
      <w:r w:rsidRPr="009B42CA">
        <w:rPr>
          <w:b/>
          <w:sz w:val="24"/>
          <w:szCs w:val="24"/>
        </w:rPr>
        <w:tab/>
      </w:r>
      <w:r w:rsidR="0071241E" w:rsidRPr="009B42CA">
        <w:rPr>
          <w:b/>
          <w:sz w:val="24"/>
          <w:szCs w:val="24"/>
        </w:rPr>
        <w:t>Fertilitet, g</w:t>
      </w:r>
      <w:r w:rsidRPr="009B42CA">
        <w:rPr>
          <w:b/>
          <w:sz w:val="24"/>
          <w:szCs w:val="24"/>
        </w:rPr>
        <w:t>raviditet og amning</w:t>
      </w:r>
    </w:p>
    <w:p w14:paraId="44E33477" w14:textId="77777777" w:rsidR="009B42CA" w:rsidRDefault="009B42CA" w:rsidP="00FF3E62">
      <w:pPr>
        <w:ind w:left="851"/>
        <w:rPr>
          <w:sz w:val="24"/>
          <w:szCs w:val="24"/>
        </w:rPr>
      </w:pPr>
    </w:p>
    <w:p w14:paraId="49135BE5" w14:textId="77777777" w:rsidR="000C5D8C" w:rsidRDefault="000C5D8C" w:rsidP="000C5D8C">
      <w:pPr>
        <w:ind w:left="851"/>
        <w:rPr>
          <w:sz w:val="24"/>
          <w:szCs w:val="24"/>
          <w:u w:val="single"/>
        </w:rPr>
      </w:pPr>
      <w:r>
        <w:rPr>
          <w:sz w:val="24"/>
          <w:szCs w:val="24"/>
          <w:u w:val="single"/>
        </w:rPr>
        <w:t>Kvinder i den fertile alder/prævention til mænd og kvinder</w:t>
      </w:r>
    </w:p>
    <w:p w14:paraId="06B94F04" w14:textId="77777777" w:rsidR="000C5D8C" w:rsidRDefault="000C5D8C" w:rsidP="000C5D8C">
      <w:pPr>
        <w:ind w:left="851"/>
        <w:rPr>
          <w:sz w:val="24"/>
          <w:szCs w:val="24"/>
        </w:rPr>
      </w:pPr>
      <w:r>
        <w:rPr>
          <w:sz w:val="24"/>
          <w:szCs w:val="24"/>
        </w:rPr>
        <w:t xml:space="preserve">Kvinder i den fertile alder skal informeres om de mulige risici for fostret. På grund af den genotoksiske risiko ved </w:t>
      </w:r>
      <w:proofErr w:type="spellStart"/>
      <w:r>
        <w:rPr>
          <w:sz w:val="24"/>
          <w:szCs w:val="24"/>
        </w:rPr>
        <w:t>fludarabinphosphat</w:t>
      </w:r>
      <w:proofErr w:type="spellEnd"/>
      <w:r>
        <w:rPr>
          <w:sz w:val="24"/>
          <w:szCs w:val="24"/>
        </w:rPr>
        <w:t xml:space="preserve"> </w:t>
      </w:r>
      <w:proofErr w:type="gramStart"/>
      <w:r>
        <w:rPr>
          <w:sz w:val="24"/>
          <w:szCs w:val="24"/>
        </w:rPr>
        <w:t>skal  kvinder</w:t>
      </w:r>
      <w:proofErr w:type="gramEnd"/>
      <w:r>
        <w:rPr>
          <w:sz w:val="24"/>
          <w:szCs w:val="24"/>
        </w:rPr>
        <w:t xml:space="preserve"> i den fertile alder anvende effektive præventive foranstaltninger under og i mindst seks måneder efter behandlingsophør. Mandlige patienter skal anvende sikre præventionsmetoder og rådes til ikke at gøre en kvinde gravid, mens de får </w:t>
      </w:r>
      <w:proofErr w:type="spellStart"/>
      <w:r>
        <w:rPr>
          <w:sz w:val="24"/>
          <w:szCs w:val="24"/>
        </w:rPr>
        <w:t>fludarabin</w:t>
      </w:r>
      <w:proofErr w:type="spellEnd"/>
      <w:r>
        <w:rPr>
          <w:sz w:val="24"/>
          <w:szCs w:val="24"/>
        </w:rPr>
        <w:t>, og i mindst 3 måneder efter behandlingens afslutning.</w:t>
      </w:r>
    </w:p>
    <w:p w14:paraId="0E18F25F" w14:textId="77777777" w:rsidR="000C5D8C" w:rsidRDefault="000C5D8C" w:rsidP="000C5D8C">
      <w:pPr>
        <w:ind w:left="851"/>
        <w:rPr>
          <w:sz w:val="24"/>
          <w:szCs w:val="24"/>
        </w:rPr>
      </w:pPr>
    </w:p>
    <w:p w14:paraId="6E16D68A" w14:textId="77777777" w:rsidR="000C5D8C" w:rsidRDefault="000C5D8C" w:rsidP="000C5D8C">
      <w:pPr>
        <w:ind w:left="851"/>
        <w:rPr>
          <w:sz w:val="24"/>
          <w:szCs w:val="24"/>
          <w:u w:val="single"/>
        </w:rPr>
      </w:pPr>
      <w:r>
        <w:rPr>
          <w:sz w:val="24"/>
          <w:szCs w:val="24"/>
          <w:u w:val="single"/>
        </w:rPr>
        <w:t xml:space="preserve">Graviditet </w:t>
      </w:r>
    </w:p>
    <w:p w14:paraId="7D315687" w14:textId="77777777" w:rsidR="000C5D8C" w:rsidRDefault="000C5D8C" w:rsidP="000C5D8C">
      <w:pPr>
        <w:ind w:left="851"/>
        <w:rPr>
          <w:sz w:val="24"/>
          <w:szCs w:val="24"/>
        </w:rPr>
      </w:pPr>
      <w:r>
        <w:rPr>
          <w:sz w:val="24"/>
          <w:szCs w:val="24"/>
        </w:rPr>
        <w:t xml:space="preserve">Der er begrænsede data om anvendelsen af </w:t>
      </w:r>
      <w:proofErr w:type="spellStart"/>
      <w:r>
        <w:rPr>
          <w:sz w:val="24"/>
          <w:szCs w:val="24"/>
        </w:rPr>
        <w:t>fludarabinphosphat</w:t>
      </w:r>
      <w:proofErr w:type="spellEnd"/>
      <w:r>
        <w:rPr>
          <w:sz w:val="24"/>
          <w:szCs w:val="24"/>
        </w:rPr>
        <w:t xml:space="preserve"> til gravide kvinder. Det er blevet påvist, at </w:t>
      </w:r>
      <w:proofErr w:type="spellStart"/>
      <w:r>
        <w:rPr>
          <w:sz w:val="24"/>
          <w:szCs w:val="24"/>
        </w:rPr>
        <w:t>fludarabinphosphat</w:t>
      </w:r>
      <w:proofErr w:type="spellEnd"/>
      <w:r>
        <w:rPr>
          <w:sz w:val="24"/>
          <w:szCs w:val="24"/>
        </w:rPr>
        <w:t xml:space="preserve"> er genotoksisk. Dyrestudier har vist reproduktionstoksicitet (se pkt. 5.3). </w:t>
      </w:r>
      <w:proofErr w:type="spellStart"/>
      <w:r>
        <w:rPr>
          <w:sz w:val="24"/>
          <w:szCs w:val="24"/>
        </w:rPr>
        <w:t>Fludarabin</w:t>
      </w:r>
      <w:proofErr w:type="spellEnd"/>
      <w:r>
        <w:rPr>
          <w:sz w:val="24"/>
          <w:szCs w:val="24"/>
        </w:rPr>
        <w:t xml:space="preserve"> kan forårsage fosterskader, når det tages af gravide kvinder. </w:t>
      </w:r>
      <w:proofErr w:type="spellStart"/>
      <w:r>
        <w:rPr>
          <w:sz w:val="24"/>
          <w:szCs w:val="24"/>
        </w:rPr>
        <w:t>Fludarabin</w:t>
      </w:r>
      <w:proofErr w:type="spellEnd"/>
      <w:r>
        <w:rPr>
          <w:sz w:val="24"/>
          <w:szCs w:val="24"/>
        </w:rPr>
        <w:t xml:space="preserve"> må derfor ikke anvendes under graviditet, medmindre den potentielle fordel for moderen opvejer de potentielle risici for fosteret. Kvinder i den fertile alder, der får </w:t>
      </w:r>
      <w:proofErr w:type="spellStart"/>
      <w:r>
        <w:rPr>
          <w:sz w:val="24"/>
          <w:szCs w:val="24"/>
        </w:rPr>
        <w:t>fludarabin</w:t>
      </w:r>
      <w:proofErr w:type="spellEnd"/>
      <w:r>
        <w:rPr>
          <w:sz w:val="24"/>
          <w:szCs w:val="24"/>
        </w:rPr>
        <w:t>, bør rådes til at undgå at blive gravide og omgående informere den behandlende læge, hvis dette skulle ske (se pkt. 5.3).</w:t>
      </w:r>
    </w:p>
    <w:p w14:paraId="68D1768C" w14:textId="77777777" w:rsidR="000C5D8C" w:rsidRDefault="000C5D8C" w:rsidP="000C5D8C">
      <w:pPr>
        <w:ind w:left="851"/>
        <w:rPr>
          <w:sz w:val="24"/>
          <w:szCs w:val="24"/>
        </w:rPr>
      </w:pPr>
    </w:p>
    <w:p w14:paraId="46BDBC4A" w14:textId="77777777" w:rsidR="000C5D8C" w:rsidRDefault="000C5D8C" w:rsidP="000C5D8C">
      <w:pPr>
        <w:ind w:left="851"/>
        <w:rPr>
          <w:sz w:val="24"/>
          <w:szCs w:val="24"/>
          <w:u w:val="single"/>
        </w:rPr>
      </w:pPr>
      <w:r>
        <w:rPr>
          <w:sz w:val="24"/>
          <w:szCs w:val="24"/>
          <w:u w:val="single"/>
        </w:rPr>
        <w:t xml:space="preserve">Amning </w:t>
      </w:r>
    </w:p>
    <w:p w14:paraId="77ED3E24" w14:textId="77777777" w:rsidR="000C5D8C" w:rsidRDefault="000C5D8C" w:rsidP="000C5D8C">
      <w:pPr>
        <w:ind w:left="851"/>
        <w:rPr>
          <w:sz w:val="24"/>
          <w:szCs w:val="24"/>
        </w:rPr>
      </w:pPr>
      <w:r>
        <w:rPr>
          <w:sz w:val="24"/>
          <w:szCs w:val="24"/>
        </w:rPr>
        <w:t xml:space="preserve">Det vides ikke om </w:t>
      </w:r>
      <w:proofErr w:type="spellStart"/>
      <w:r>
        <w:rPr>
          <w:sz w:val="24"/>
          <w:szCs w:val="24"/>
        </w:rPr>
        <w:t>fludarabinphosphat</w:t>
      </w:r>
      <w:proofErr w:type="spellEnd"/>
      <w:r>
        <w:rPr>
          <w:sz w:val="24"/>
          <w:szCs w:val="24"/>
        </w:rPr>
        <w:t xml:space="preserve"> eller dets metabolitter udskilles i human modermælk. </w:t>
      </w:r>
    </w:p>
    <w:p w14:paraId="6375F46B" w14:textId="77777777" w:rsidR="000C5D8C" w:rsidRDefault="000C5D8C" w:rsidP="000C5D8C">
      <w:pPr>
        <w:ind w:left="851"/>
        <w:rPr>
          <w:sz w:val="24"/>
          <w:szCs w:val="24"/>
        </w:rPr>
      </w:pPr>
    </w:p>
    <w:p w14:paraId="3F2EAB20" w14:textId="77777777" w:rsidR="000C5D8C" w:rsidRDefault="000C5D8C" w:rsidP="000C5D8C">
      <w:pPr>
        <w:ind w:left="851"/>
        <w:rPr>
          <w:i/>
          <w:sz w:val="24"/>
          <w:szCs w:val="24"/>
        </w:rPr>
      </w:pPr>
      <w:r>
        <w:rPr>
          <w:sz w:val="24"/>
          <w:szCs w:val="24"/>
        </w:rPr>
        <w:t xml:space="preserve">Der findes dog bevis fra non-kliniske data for, at </w:t>
      </w:r>
      <w:proofErr w:type="spellStart"/>
      <w:r>
        <w:rPr>
          <w:sz w:val="24"/>
          <w:szCs w:val="24"/>
        </w:rPr>
        <w:t>fludarabinphosphat</w:t>
      </w:r>
      <w:proofErr w:type="spellEnd"/>
      <w:r>
        <w:rPr>
          <w:sz w:val="24"/>
          <w:szCs w:val="24"/>
        </w:rPr>
        <w:t xml:space="preserve"> og/eller -metabolitter overføres fra moderens blod til modermælken.</w:t>
      </w:r>
    </w:p>
    <w:p w14:paraId="7C67C6EF" w14:textId="77777777" w:rsidR="000C5D8C" w:rsidRDefault="000C5D8C" w:rsidP="000C5D8C">
      <w:pPr>
        <w:ind w:left="851"/>
        <w:rPr>
          <w:sz w:val="24"/>
          <w:szCs w:val="24"/>
        </w:rPr>
      </w:pPr>
    </w:p>
    <w:p w14:paraId="3447B6A3" w14:textId="77777777" w:rsidR="000C5D8C" w:rsidRDefault="000C5D8C" w:rsidP="000C5D8C">
      <w:pPr>
        <w:ind w:left="851"/>
        <w:rPr>
          <w:i/>
          <w:sz w:val="24"/>
          <w:szCs w:val="24"/>
        </w:rPr>
      </w:pPr>
      <w:proofErr w:type="spellStart"/>
      <w:r>
        <w:rPr>
          <w:sz w:val="24"/>
          <w:szCs w:val="24"/>
        </w:rPr>
        <w:t>Fludarabin</w:t>
      </w:r>
      <w:proofErr w:type="spellEnd"/>
      <w:r>
        <w:rPr>
          <w:sz w:val="24"/>
          <w:szCs w:val="24"/>
        </w:rPr>
        <w:t xml:space="preserve"> er kontraindiceret i </w:t>
      </w:r>
      <w:proofErr w:type="spellStart"/>
      <w:r>
        <w:rPr>
          <w:sz w:val="24"/>
          <w:szCs w:val="24"/>
        </w:rPr>
        <w:t>ammeperioden</w:t>
      </w:r>
      <w:proofErr w:type="spellEnd"/>
      <w:r>
        <w:rPr>
          <w:sz w:val="24"/>
          <w:szCs w:val="24"/>
        </w:rPr>
        <w:t xml:space="preserve"> på grund af muligheden for alvorlige bivirkninger forårsaget af </w:t>
      </w:r>
      <w:proofErr w:type="spellStart"/>
      <w:r>
        <w:rPr>
          <w:sz w:val="24"/>
          <w:szCs w:val="24"/>
        </w:rPr>
        <w:t>fludarabin</w:t>
      </w:r>
      <w:proofErr w:type="spellEnd"/>
      <w:r>
        <w:rPr>
          <w:sz w:val="24"/>
          <w:szCs w:val="24"/>
        </w:rPr>
        <w:t xml:space="preserve"> hos ammede spædbørn (se pkt. 4.3).</w:t>
      </w:r>
    </w:p>
    <w:p w14:paraId="3E364FC6" w14:textId="77777777" w:rsidR="000C5D8C" w:rsidRDefault="000C5D8C" w:rsidP="000C5D8C">
      <w:pPr>
        <w:tabs>
          <w:tab w:val="left" w:pos="851"/>
        </w:tabs>
        <w:ind w:left="851"/>
        <w:rPr>
          <w:sz w:val="24"/>
          <w:szCs w:val="24"/>
        </w:rPr>
      </w:pPr>
    </w:p>
    <w:p w14:paraId="449F407D" w14:textId="77777777" w:rsidR="000C5D8C" w:rsidRDefault="000C5D8C" w:rsidP="000C5D8C">
      <w:pPr>
        <w:tabs>
          <w:tab w:val="left" w:pos="851"/>
        </w:tabs>
        <w:ind w:left="851"/>
        <w:rPr>
          <w:sz w:val="24"/>
          <w:szCs w:val="24"/>
          <w:u w:val="single"/>
        </w:rPr>
      </w:pPr>
      <w:r>
        <w:rPr>
          <w:sz w:val="24"/>
          <w:szCs w:val="24"/>
          <w:u w:val="single"/>
        </w:rPr>
        <w:t>Fertilitet</w:t>
      </w:r>
    </w:p>
    <w:p w14:paraId="2C79C1EB" w14:textId="77777777" w:rsidR="000C5D8C" w:rsidRDefault="000C5D8C" w:rsidP="000C5D8C">
      <w:pPr>
        <w:tabs>
          <w:tab w:val="left" w:pos="851"/>
        </w:tabs>
        <w:ind w:left="851"/>
        <w:rPr>
          <w:sz w:val="24"/>
          <w:szCs w:val="24"/>
        </w:rPr>
      </w:pPr>
      <w:proofErr w:type="spellStart"/>
      <w:r>
        <w:rPr>
          <w:sz w:val="24"/>
          <w:szCs w:val="24"/>
        </w:rPr>
        <w:t>Fludarabin</w:t>
      </w:r>
      <w:proofErr w:type="spellEnd"/>
      <w:r>
        <w:rPr>
          <w:sz w:val="24"/>
          <w:szCs w:val="24"/>
        </w:rPr>
        <w:t xml:space="preserve"> påvirker fertiliteten hos både mænd og kvinder. Før behandling med </w:t>
      </w:r>
      <w:proofErr w:type="spellStart"/>
      <w:r>
        <w:rPr>
          <w:sz w:val="24"/>
          <w:szCs w:val="24"/>
        </w:rPr>
        <w:t>fludarabin</w:t>
      </w:r>
      <w:proofErr w:type="spellEnd"/>
      <w:r>
        <w:rPr>
          <w:sz w:val="24"/>
          <w:szCs w:val="24"/>
        </w:rPr>
        <w:t xml:space="preserve"> rådes patienter, der planlægger graviditet, til at søge genetisk rådgivning. Inden behandling med </w:t>
      </w:r>
      <w:proofErr w:type="spellStart"/>
      <w:r>
        <w:rPr>
          <w:sz w:val="24"/>
          <w:szCs w:val="24"/>
        </w:rPr>
        <w:t>fludarabin</w:t>
      </w:r>
      <w:proofErr w:type="spellEnd"/>
      <w:r>
        <w:rPr>
          <w:sz w:val="24"/>
          <w:szCs w:val="24"/>
        </w:rPr>
        <w:t xml:space="preserve"> skal mandlige patienter søge rådgivning om mulighederne for at bevare fertiliteten.</w:t>
      </w:r>
    </w:p>
    <w:p w14:paraId="7FE8614B" w14:textId="77777777" w:rsidR="009260DE" w:rsidRPr="009B42CA" w:rsidRDefault="009260DE" w:rsidP="009260DE">
      <w:pPr>
        <w:tabs>
          <w:tab w:val="left" w:pos="851"/>
        </w:tabs>
        <w:ind w:left="851"/>
        <w:rPr>
          <w:sz w:val="24"/>
          <w:szCs w:val="24"/>
        </w:rPr>
      </w:pPr>
    </w:p>
    <w:p w14:paraId="10E9871D" w14:textId="77777777" w:rsidR="009260DE" w:rsidRPr="009B42CA" w:rsidRDefault="009260DE" w:rsidP="009260DE">
      <w:pPr>
        <w:tabs>
          <w:tab w:val="left" w:pos="851"/>
        </w:tabs>
        <w:ind w:left="851" w:hanging="851"/>
        <w:rPr>
          <w:b/>
          <w:sz w:val="24"/>
          <w:szCs w:val="24"/>
        </w:rPr>
      </w:pPr>
      <w:r w:rsidRPr="009B42CA">
        <w:rPr>
          <w:b/>
          <w:sz w:val="24"/>
          <w:szCs w:val="24"/>
        </w:rPr>
        <w:t>4.7</w:t>
      </w:r>
      <w:r w:rsidRPr="009B42CA">
        <w:rPr>
          <w:b/>
          <w:sz w:val="24"/>
          <w:szCs w:val="24"/>
        </w:rPr>
        <w:tab/>
        <w:t xml:space="preserve">Virkning på evnen til at føre motorkøretøj </w:t>
      </w:r>
      <w:r w:rsidR="0071241E" w:rsidRPr="009B42CA">
        <w:rPr>
          <w:b/>
          <w:sz w:val="24"/>
          <w:szCs w:val="24"/>
        </w:rPr>
        <w:t>og</w:t>
      </w:r>
      <w:r w:rsidRPr="009B42CA">
        <w:rPr>
          <w:b/>
          <w:sz w:val="24"/>
          <w:szCs w:val="24"/>
        </w:rPr>
        <w:t xml:space="preserve"> betjene maskiner</w:t>
      </w:r>
    </w:p>
    <w:p w14:paraId="0384B2E8" w14:textId="77777777" w:rsidR="004A59BF" w:rsidRPr="009B42CA" w:rsidRDefault="004A59BF" w:rsidP="00FF3E62">
      <w:pPr>
        <w:ind w:left="851"/>
        <w:rPr>
          <w:sz w:val="24"/>
          <w:szCs w:val="24"/>
        </w:rPr>
      </w:pPr>
      <w:r w:rsidRPr="009B42CA">
        <w:rPr>
          <w:sz w:val="24"/>
          <w:szCs w:val="24"/>
        </w:rPr>
        <w:t>Ikke mærkning</w:t>
      </w:r>
    </w:p>
    <w:p w14:paraId="0F612484" w14:textId="77777777" w:rsidR="004A59BF" w:rsidRPr="009B42CA" w:rsidRDefault="004A59BF" w:rsidP="00FF3E62">
      <w:pPr>
        <w:ind w:left="851"/>
        <w:rPr>
          <w:sz w:val="24"/>
          <w:szCs w:val="24"/>
        </w:rPr>
      </w:pPr>
      <w:proofErr w:type="spellStart"/>
      <w:r w:rsidRPr="009B42CA">
        <w:rPr>
          <w:sz w:val="24"/>
          <w:szCs w:val="24"/>
        </w:rPr>
        <w:t>Fludarabin</w:t>
      </w:r>
      <w:proofErr w:type="spellEnd"/>
      <w:r w:rsidRPr="009B42CA">
        <w:rPr>
          <w:sz w:val="24"/>
          <w:szCs w:val="24"/>
        </w:rPr>
        <w:t xml:space="preserve"> kan påvirke evnen til at føre motorkøretøj og betjene maskiner, da der har været observeret fx træthed, svaghed, synsforstyrrelser, konfusion, agitation og krampeanfald.</w:t>
      </w:r>
    </w:p>
    <w:p w14:paraId="63D57FB0" w14:textId="77777777" w:rsidR="009260DE" w:rsidRPr="009B42CA" w:rsidRDefault="009260DE" w:rsidP="009260DE">
      <w:pPr>
        <w:tabs>
          <w:tab w:val="left" w:pos="851"/>
        </w:tabs>
        <w:ind w:left="851"/>
        <w:rPr>
          <w:sz w:val="24"/>
          <w:szCs w:val="24"/>
        </w:rPr>
      </w:pPr>
    </w:p>
    <w:p w14:paraId="10906A1E" w14:textId="77777777" w:rsidR="009260DE" w:rsidRPr="009B42CA" w:rsidRDefault="009260DE" w:rsidP="009260DE">
      <w:pPr>
        <w:tabs>
          <w:tab w:val="left" w:pos="851"/>
        </w:tabs>
        <w:ind w:left="851" w:hanging="851"/>
        <w:rPr>
          <w:b/>
          <w:sz w:val="24"/>
          <w:szCs w:val="24"/>
        </w:rPr>
      </w:pPr>
      <w:r w:rsidRPr="009B42CA">
        <w:rPr>
          <w:b/>
          <w:sz w:val="24"/>
          <w:szCs w:val="24"/>
        </w:rPr>
        <w:t>4.8</w:t>
      </w:r>
      <w:r w:rsidRPr="009B42CA">
        <w:rPr>
          <w:b/>
          <w:sz w:val="24"/>
          <w:szCs w:val="24"/>
        </w:rPr>
        <w:tab/>
        <w:t>Bivirkninger</w:t>
      </w:r>
    </w:p>
    <w:p w14:paraId="240ADECC" w14:textId="77777777" w:rsidR="009B42CA" w:rsidRDefault="009B42CA" w:rsidP="00FF3E62">
      <w:pPr>
        <w:ind w:left="851"/>
        <w:rPr>
          <w:sz w:val="24"/>
          <w:szCs w:val="24"/>
        </w:rPr>
      </w:pPr>
    </w:p>
    <w:p w14:paraId="0A4F99D4" w14:textId="5B609A43" w:rsidR="004A59BF" w:rsidRPr="00E9105A" w:rsidRDefault="004A59BF" w:rsidP="00FF3E62">
      <w:pPr>
        <w:ind w:left="851"/>
        <w:rPr>
          <w:sz w:val="24"/>
          <w:szCs w:val="24"/>
          <w:u w:val="single"/>
        </w:rPr>
      </w:pPr>
      <w:r w:rsidRPr="00E9105A">
        <w:rPr>
          <w:sz w:val="24"/>
          <w:szCs w:val="24"/>
          <w:u w:val="single"/>
        </w:rPr>
        <w:t>Resume af bivirkningsprofil</w:t>
      </w:r>
    </w:p>
    <w:p w14:paraId="2ACD136A" w14:textId="77777777" w:rsidR="004A59BF" w:rsidRPr="009B42CA" w:rsidRDefault="004A59BF" w:rsidP="00FF3E62">
      <w:pPr>
        <w:ind w:left="851"/>
        <w:rPr>
          <w:sz w:val="24"/>
          <w:szCs w:val="24"/>
        </w:rPr>
      </w:pPr>
      <w:r w:rsidRPr="009B42CA">
        <w:rPr>
          <w:sz w:val="24"/>
          <w:szCs w:val="24"/>
        </w:rPr>
        <w:t xml:space="preserve">Baseret på erfaringen med brug af </w:t>
      </w:r>
      <w:proofErr w:type="spellStart"/>
      <w:r w:rsidRPr="009B42CA">
        <w:rPr>
          <w:sz w:val="24"/>
          <w:szCs w:val="24"/>
        </w:rPr>
        <w:t>fludarabin</w:t>
      </w:r>
      <w:proofErr w:type="spellEnd"/>
      <w:r w:rsidRPr="009B42CA">
        <w:rPr>
          <w:sz w:val="24"/>
          <w:szCs w:val="24"/>
        </w:rPr>
        <w:t xml:space="preserve"> er de mest almindelige bivirkninger </w:t>
      </w:r>
      <w:proofErr w:type="spellStart"/>
      <w:r w:rsidRPr="009B42CA">
        <w:rPr>
          <w:sz w:val="24"/>
          <w:szCs w:val="24"/>
        </w:rPr>
        <w:t>myelosuppression</w:t>
      </w:r>
      <w:proofErr w:type="spellEnd"/>
      <w:r w:rsidRPr="009B42CA">
        <w:rPr>
          <w:sz w:val="24"/>
          <w:szCs w:val="24"/>
        </w:rPr>
        <w:t xml:space="preserve"> (</w:t>
      </w:r>
      <w:proofErr w:type="spellStart"/>
      <w:r w:rsidRPr="009B42CA">
        <w:rPr>
          <w:sz w:val="24"/>
          <w:szCs w:val="24"/>
        </w:rPr>
        <w:t>neutropeni</w:t>
      </w:r>
      <w:proofErr w:type="spellEnd"/>
      <w:r w:rsidRPr="009B42CA">
        <w:rPr>
          <w:sz w:val="24"/>
          <w:szCs w:val="24"/>
        </w:rPr>
        <w:t xml:space="preserve">, </w:t>
      </w:r>
      <w:proofErr w:type="spellStart"/>
      <w:r w:rsidRPr="009B42CA">
        <w:rPr>
          <w:sz w:val="24"/>
          <w:szCs w:val="24"/>
        </w:rPr>
        <w:t>trombocytopeni</w:t>
      </w:r>
      <w:proofErr w:type="spellEnd"/>
      <w:r w:rsidRPr="009B42CA">
        <w:rPr>
          <w:sz w:val="24"/>
          <w:szCs w:val="24"/>
        </w:rPr>
        <w:t xml:space="preserve"> og anæmi), infektion, herunder pneumoni, hoste, feber, træthed, svaghed, kvalme, opkastning og diarré. Andre almindeligt rapporterede bivirkninger inkluderer kulderystelser, ødemer, utilpashed, perifer </w:t>
      </w:r>
      <w:proofErr w:type="spellStart"/>
      <w:r w:rsidRPr="009B42CA">
        <w:rPr>
          <w:sz w:val="24"/>
          <w:szCs w:val="24"/>
        </w:rPr>
        <w:t>neuropati</w:t>
      </w:r>
      <w:proofErr w:type="spellEnd"/>
      <w:r w:rsidRPr="009B42CA">
        <w:rPr>
          <w:sz w:val="24"/>
          <w:szCs w:val="24"/>
        </w:rPr>
        <w:t xml:space="preserve">, synsforstyrrelser, anoreksi, </w:t>
      </w:r>
      <w:proofErr w:type="spellStart"/>
      <w:r w:rsidRPr="009B42CA">
        <w:rPr>
          <w:sz w:val="24"/>
          <w:szCs w:val="24"/>
        </w:rPr>
        <w:t>mucositis</w:t>
      </w:r>
      <w:proofErr w:type="spellEnd"/>
      <w:r w:rsidRPr="009B42CA">
        <w:rPr>
          <w:sz w:val="24"/>
          <w:szCs w:val="24"/>
        </w:rPr>
        <w:t xml:space="preserve">, </w:t>
      </w:r>
      <w:proofErr w:type="spellStart"/>
      <w:r w:rsidRPr="009B42CA">
        <w:rPr>
          <w:sz w:val="24"/>
          <w:szCs w:val="24"/>
        </w:rPr>
        <w:t>stomatitis</w:t>
      </w:r>
      <w:proofErr w:type="spellEnd"/>
      <w:r w:rsidRPr="009B42CA">
        <w:rPr>
          <w:sz w:val="24"/>
          <w:szCs w:val="24"/>
        </w:rPr>
        <w:t xml:space="preserve"> og hududslæt. Der er set alvorlige opportunistiske infektioner hos patienter, der behandles med </w:t>
      </w:r>
      <w:proofErr w:type="spellStart"/>
      <w:r w:rsidRPr="009B42CA">
        <w:rPr>
          <w:sz w:val="24"/>
          <w:szCs w:val="24"/>
        </w:rPr>
        <w:t>fludarabin</w:t>
      </w:r>
      <w:proofErr w:type="spellEnd"/>
      <w:r w:rsidRPr="009B42CA">
        <w:rPr>
          <w:sz w:val="24"/>
          <w:szCs w:val="24"/>
        </w:rPr>
        <w:t xml:space="preserve">. Der er rapporteret dødsfald som følge af alvorlige bivirkninger. </w:t>
      </w:r>
    </w:p>
    <w:p w14:paraId="186E823B" w14:textId="77777777" w:rsidR="004A59BF" w:rsidRPr="009B42CA" w:rsidRDefault="004A59BF" w:rsidP="00FF3E62">
      <w:pPr>
        <w:ind w:left="851"/>
        <w:rPr>
          <w:sz w:val="24"/>
          <w:szCs w:val="24"/>
        </w:rPr>
      </w:pPr>
    </w:p>
    <w:p w14:paraId="6286D82A" w14:textId="77777777" w:rsidR="004A59BF" w:rsidRPr="00E9105A" w:rsidRDefault="004A59BF" w:rsidP="00FF3E62">
      <w:pPr>
        <w:ind w:left="851"/>
        <w:rPr>
          <w:sz w:val="24"/>
          <w:szCs w:val="24"/>
          <w:u w:val="single"/>
        </w:rPr>
      </w:pPr>
      <w:r w:rsidRPr="00E9105A">
        <w:rPr>
          <w:sz w:val="24"/>
          <w:szCs w:val="24"/>
          <w:u w:val="single"/>
        </w:rPr>
        <w:t>Tabel over bivirkninger</w:t>
      </w:r>
    </w:p>
    <w:p w14:paraId="5C8C7AB7" w14:textId="6BB68455" w:rsidR="004A59BF" w:rsidRDefault="004A59BF" w:rsidP="000C5D8C">
      <w:pPr>
        <w:ind w:left="851"/>
        <w:rPr>
          <w:sz w:val="24"/>
          <w:szCs w:val="24"/>
        </w:rPr>
      </w:pPr>
      <w:r w:rsidRPr="009B42CA">
        <w:rPr>
          <w:sz w:val="24"/>
          <w:szCs w:val="24"/>
        </w:rPr>
        <w:t xml:space="preserve">Nedenstående tabel viser bivirkninger i overensstemmelse med </w:t>
      </w:r>
      <w:proofErr w:type="spellStart"/>
      <w:r w:rsidRPr="009B42CA">
        <w:rPr>
          <w:sz w:val="24"/>
          <w:szCs w:val="24"/>
        </w:rPr>
        <w:t>MedDRA</w:t>
      </w:r>
      <w:proofErr w:type="spellEnd"/>
      <w:r w:rsidRPr="009B42CA">
        <w:rPr>
          <w:sz w:val="24"/>
          <w:szCs w:val="24"/>
        </w:rPr>
        <w:t>-systemorganklasserne (</w:t>
      </w:r>
      <w:proofErr w:type="spellStart"/>
      <w:r w:rsidRPr="009B42CA">
        <w:rPr>
          <w:sz w:val="24"/>
          <w:szCs w:val="24"/>
        </w:rPr>
        <w:t>MedDRA</w:t>
      </w:r>
      <w:proofErr w:type="spellEnd"/>
      <w:r w:rsidRPr="009B42CA">
        <w:rPr>
          <w:sz w:val="24"/>
          <w:szCs w:val="24"/>
        </w:rPr>
        <w:t xml:space="preserve"> </w:t>
      </w:r>
      <w:proofErr w:type="spellStart"/>
      <w:r w:rsidRPr="009B42CA">
        <w:rPr>
          <w:sz w:val="24"/>
          <w:szCs w:val="24"/>
        </w:rPr>
        <w:t>SOCs</w:t>
      </w:r>
      <w:proofErr w:type="spellEnd"/>
      <w:r w:rsidRPr="009B42CA">
        <w:rPr>
          <w:sz w:val="24"/>
          <w:szCs w:val="24"/>
        </w:rPr>
        <w:t xml:space="preserve">). Hyppighederne er baseret på data fra kliniske forsøg uanset årsagssammenhængen med </w:t>
      </w:r>
      <w:proofErr w:type="spellStart"/>
      <w:r w:rsidRPr="009B42CA">
        <w:rPr>
          <w:sz w:val="24"/>
          <w:szCs w:val="24"/>
        </w:rPr>
        <w:t>fludarabin</w:t>
      </w:r>
      <w:proofErr w:type="spellEnd"/>
      <w:r w:rsidRPr="009B42CA">
        <w:rPr>
          <w:sz w:val="24"/>
          <w:szCs w:val="24"/>
        </w:rPr>
        <w:t>. De sjældne bivirkninger er primært identificeret efter markedsføring</w:t>
      </w:r>
    </w:p>
    <w:p w14:paraId="53FF9189" w14:textId="77777777" w:rsidR="000C5D8C" w:rsidRPr="009B42CA" w:rsidRDefault="000C5D8C" w:rsidP="000C5D8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0"/>
        <w:gridCol w:w="1552"/>
        <w:gridCol w:w="1737"/>
        <w:gridCol w:w="1506"/>
        <w:gridCol w:w="1706"/>
        <w:gridCol w:w="1527"/>
      </w:tblGrid>
      <w:tr w:rsidR="004A59BF" w:rsidRPr="007B6BAC" w14:paraId="7BB4C387" w14:textId="77777777" w:rsidTr="00FF3E62">
        <w:trPr>
          <w:cantSplit/>
          <w:tblHeader/>
        </w:trPr>
        <w:tc>
          <w:tcPr>
            <w:tcW w:w="831" w:type="pct"/>
            <w:tcBorders>
              <w:top w:val="single" w:sz="4" w:space="0" w:color="auto"/>
              <w:left w:val="single" w:sz="4" w:space="0" w:color="auto"/>
              <w:bottom w:val="single" w:sz="4" w:space="0" w:color="auto"/>
              <w:right w:val="single" w:sz="4" w:space="0" w:color="auto"/>
            </w:tcBorders>
          </w:tcPr>
          <w:p w14:paraId="144CA044" w14:textId="77777777" w:rsidR="004A59BF" w:rsidRPr="007B6BAC" w:rsidRDefault="004A59BF" w:rsidP="00FF3E62">
            <w:pPr>
              <w:rPr>
                <w:b/>
                <w:sz w:val="22"/>
                <w:szCs w:val="22"/>
              </w:rPr>
            </w:pPr>
            <w:r w:rsidRPr="007B6BAC">
              <w:rPr>
                <w:b/>
                <w:sz w:val="22"/>
                <w:szCs w:val="22"/>
              </w:rPr>
              <w:lastRenderedPageBreak/>
              <w:t>Systemorgan</w:t>
            </w:r>
            <w:r w:rsidRPr="007B6BAC">
              <w:rPr>
                <w:b/>
                <w:sz w:val="22"/>
                <w:szCs w:val="22"/>
              </w:rPr>
              <w:softHyphen/>
              <w:t>klasse</w:t>
            </w:r>
          </w:p>
          <w:p w14:paraId="5AAD05C0" w14:textId="77777777" w:rsidR="004A59BF" w:rsidRPr="007B6BAC" w:rsidRDefault="004A59BF" w:rsidP="00FF3E62">
            <w:pPr>
              <w:rPr>
                <w:b/>
                <w:sz w:val="22"/>
                <w:szCs w:val="22"/>
              </w:rPr>
            </w:pPr>
            <w:proofErr w:type="spellStart"/>
            <w:r w:rsidRPr="007B6BAC">
              <w:rPr>
                <w:b/>
                <w:sz w:val="22"/>
                <w:szCs w:val="22"/>
              </w:rPr>
              <w:t>MedDRA</w:t>
            </w:r>
            <w:proofErr w:type="spellEnd"/>
            <w:r w:rsidRPr="007B6BAC">
              <w:rPr>
                <w:b/>
                <w:sz w:val="22"/>
                <w:szCs w:val="22"/>
              </w:rPr>
              <w:t xml:space="preserve"> </w:t>
            </w:r>
          </w:p>
          <w:p w14:paraId="3AC287AB" w14:textId="77777777" w:rsidR="004A59BF" w:rsidRPr="007B6BAC" w:rsidRDefault="004A59BF" w:rsidP="00FF3E62">
            <w:pPr>
              <w:rPr>
                <w:b/>
                <w:sz w:val="22"/>
                <w:szCs w:val="22"/>
              </w:rPr>
            </w:pPr>
          </w:p>
        </w:tc>
        <w:tc>
          <w:tcPr>
            <w:tcW w:w="806" w:type="pct"/>
            <w:tcBorders>
              <w:top w:val="single" w:sz="4" w:space="0" w:color="auto"/>
              <w:left w:val="single" w:sz="4" w:space="0" w:color="auto"/>
              <w:bottom w:val="single" w:sz="4" w:space="0" w:color="auto"/>
              <w:right w:val="single" w:sz="4" w:space="0" w:color="auto"/>
            </w:tcBorders>
            <w:hideMark/>
          </w:tcPr>
          <w:p w14:paraId="53DB7AB2" w14:textId="77777777" w:rsidR="004A59BF" w:rsidRPr="007B6BAC" w:rsidRDefault="004A59BF" w:rsidP="00FF3E62">
            <w:pPr>
              <w:rPr>
                <w:b/>
                <w:sz w:val="22"/>
                <w:szCs w:val="22"/>
              </w:rPr>
            </w:pPr>
            <w:r w:rsidRPr="007B6BAC">
              <w:rPr>
                <w:b/>
                <w:sz w:val="22"/>
                <w:szCs w:val="22"/>
              </w:rPr>
              <w:t>Meget almindelige</w:t>
            </w:r>
          </w:p>
          <w:p w14:paraId="25FED4C2" w14:textId="77777777" w:rsidR="004A59BF" w:rsidRPr="007B6BAC" w:rsidRDefault="004A59BF" w:rsidP="00FF3E62">
            <w:pPr>
              <w:rPr>
                <w:sz w:val="22"/>
                <w:szCs w:val="22"/>
              </w:rPr>
            </w:pPr>
            <w:r w:rsidRPr="007B6BAC">
              <w:rPr>
                <w:sz w:val="22"/>
                <w:szCs w:val="22"/>
              </w:rPr>
              <w:sym w:font="Symbol" w:char="F0B3"/>
            </w:r>
            <w:r w:rsidRPr="007B6BAC">
              <w:rPr>
                <w:sz w:val="22"/>
                <w:szCs w:val="22"/>
              </w:rPr>
              <w:t>1/10</w:t>
            </w:r>
          </w:p>
        </w:tc>
        <w:tc>
          <w:tcPr>
            <w:tcW w:w="902" w:type="pct"/>
            <w:tcBorders>
              <w:top w:val="single" w:sz="4" w:space="0" w:color="auto"/>
              <w:left w:val="single" w:sz="4" w:space="0" w:color="auto"/>
              <w:bottom w:val="single" w:sz="4" w:space="0" w:color="auto"/>
              <w:right w:val="single" w:sz="4" w:space="0" w:color="auto"/>
            </w:tcBorders>
            <w:hideMark/>
          </w:tcPr>
          <w:p w14:paraId="3C34E501" w14:textId="77777777" w:rsidR="004A59BF" w:rsidRPr="007B6BAC" w:rsidRDefault="004A59BF" w:rsidP="00FF3E62">
            <w:pPr>
              <w:rPr>
                <w:b/>
                <w:sz w:val="22"/>
                <w:szCs w:val="22"/>
              </w:rPr>
            </w:pPr>
            <w:r w:rsidRPr="007B6BAC">
              <w:rPr>
                <w:b/>
                <w:sz w:val="22"/>
                <w:szCs w:val="22"/>
              </w:rPr>
              <w:t>Almindelige</w:t>
            </w:r>
          </w:p>
          <w:p w14:paraId="544218A0" w14:textId="77777777" w:rsidR="004A59BF" w:rsidRPr="007B6BAC" w:rsidRDefault="004A59BF" w:rsidP="00FF3E62">
            <w:pPr>
              <w:rPr>
                <w:sz w:val="22"/>
                <w:szCs w:val="22"/>
              </w:rPr>
            </w:pPr>
            <w:r w:rsidRPr="007B6BAC">
              <w:rPr>
                <w:sz w:val="22"/>
                <w:szCs w:val="22"/>
              </w:rPr>
              <w:t>≥1/100 til &lt;1/10</w:t>
            </w:r>
          </w:p>
        </w:tc>
        <w:tc>
          <w:tcPr>
            <w:tcW w:w="782" w:type="pct"/>
            <w:tcBorders>
              <w:top w:val="single" w:sz="4" w:space="0" w:color="auto"/>
              <w:left w:val="single" w:sz="4" w:space="0" w:color="auto"/>
              <w:bottom w:val="single" w:sz="4" w:space="0" w:color="auto"/>
              <w:right w:val="single" w:sz="4" w:space="0" w:color="auto"/>
            </w:tcBorders>
            <w:hideMark/>
          </w:tcPr>
          <w:p w14:paraId="06B793FC" w14:textId="77777777" w:rsidR="004A59BF" w:rsidRPr="007B6BAC" w:rsidRDefault="004A59BF" w:rsidP="00FF3E62">
            <w:pPr>
              <w:rPr>
                <w:b/>
                <w:sz w:val="22"/>
                <w:szCs w:val="22"/>
              </w:rPr>
            </w:pPr>
            <w:r w:rsidRPr="007B6BAC">
              <w:rPr>
                <w:b/>
                <w:sz w:val="22"/>
                <w:szCs w:val="22"/>
              </w:rPr>
              <w:t xml:space="preserve">Ikke almindelige </w:t>
            </w:r>
          </w:p>
          <w:p w14:paraId="4BB4E690" w14:textId="77777777" w:rsidR="004A59BF" w:rsidRPr="007B6BAC" w:rsidRDefault="004A59BF" w:rsidP="00FF3E62">
            <w:pPr>
              <w:rPr>
                <w:sz w:val="22"/>
                <w:szCs w:val="22"/>
              </w:rPr>
            </w:pPr>
            <w:r w:rsidRPr="007B6BAC">
              <w:rPr>
                <w:sz w:val="22"/>
                <w:szCs w:val="22"/>
              </w:rPr>
              <w:t>≥1/1000 til &lt;1/100</w:t>
            </w:r>
          </w:p>
        </w:tc>
        <w:tc>
          <w:tcPr>
            <w:tcW w:w="886" w:type="pct"/>
            <w:tcBorders>
              <w:top w:val="single" w:sz="4" w:space="0" w:color="auto"/>
              <w:left w:val="single" w:sz="4" w:space="0" w:color="auto"/>
              <w:bottom w:val="single" w:sz="4" w:space="0" w:color="auto"/>
              <w:right w:val="single" w:sz="4" w:space="0" w:color="auto"/>
            </w:tcBorders>
            <w:hideMark/>
          </w:tcPr>
          <w:p w14:paraId="75FE0F1B" w14:textId="77777777" w:rsidR="004A59BF" w:rsidRPr="007B6BAC" w:rsidRDefault="004A59BF" w:rsidP="00FF3E62">
            <w:pPr>
              <w:rPr>
                <w:b/>
                <w:sz w:val="22"/>
                <w:szCs w:val="22"/>
              </w:rPr>
            </w:pPr>
            <w:r w:rsidRPr="007B6BAC">
              <w:rPr>
                <w:b/>
                <w:sz w:val="22"/>
                <w:szCs w:val="22"/>
              </w:rPr>
              <w:t>Sjældne</w:t>
            </w:r>
          </w:p>
          <w:p w14:paraId="2E96751F" w14:textId="77777777" w:rsidR="004A59BF" w:rsidRPr="007B6BAC" w:rsidRDefault="004A59BF" w:rsidP="00FF3E62">
            <w:pPr>
              <w:rPr>
                <w:sz w:val="22"/>
                <w:szCs w:val="22"/>
              </w:rPr>
            </w:pPr>
            <w:r w:rsidRPr="007B6BAC">
              <w:rPr>
                <w:sz w:val="22"/>
                <w:szCs w:val="22"/>
              </w:rPr>
              <w:sym w:font="Symbol" w:char="F0B3"/>
            </w:r>
            <w:r w:rsidRPr="007B6BAC">
              <w:rPr>
                <w:sz w:val="22"/>
                <w:szCs w:val="22"/>
              </w:rPr>
              <w:t>1/10.000 til &lt;1/1.000)</w:t>
            </w:r>
          </w:p>
        </w:tc>
        <w:tc>
          <w:tcPr>
            <w:tcW w:w="793" w:type="pct"/>
            <w:tcBorders>
              <w:top w:val="single" w:sz="4" w:space="0" w:color="auto"/>
              <w:left w:val="single" w:sz="4" w:space="0" w:color="auto"/>
              <w:bottom w:val="single" w:sz="4" w:space="0" w:color="auto"/>
              <w:right w:val="single" w:sz="4" w:space="0" w:color="auto"/>
            </w:tcBorders>
            <w:hideMark/>
          </w:tcPr>
          <w:p w14:paraId="5D17F8E8" w14:textId="2BFDD934" w:rsidR="004A59BF" w:rsidRPr="007B6BAC" w:rsidRDefault="004A59BF" w:rsidP="00FF3E62">
            <w:pPr>
              <w:rPr>
                <w:sz w:val="22"/>
                <w:szCs w:val="22"/>
              </w:rPr>
            </w:pPr>
            <w:r w:rsidRPr="007B6BAC">
              <w:rPr>
                <w:b/>
                <w:sz w:val="22"/>
                <w:szCs w:val="22"/>
              </w:rPr>
              <w:t>Ikke kendt</w:t>
            </w:r>
            <w:r w:rsidRPr="007B6BAC">
              <w:rPr>
                <w:sz w:val="22"/>
                <w:szCs w:val="22"/>
              </w:rPr>
              <w:br/>
              <w:t>kan ikke estimeres ud fra forhåndenværende data</w:t>
            </w:r>
          </w:p>
        </w:tc>
      </w:tr>
      <w:tr w:rsidR="004A59BF" w:rsidRPr="007B6BAC" w14:paraId="4A2BE3E3"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0BE1DC8" w14:textId="77777777" w:rsidR="004A59BF" w:rsidRPr="007B6BAC" w:rsidRDefault="004A59BF" w:rsidP="00FF3E62">
            <w:pPr>
              <w:rPr>
                <w:b/>
                <w:sz w:val="22"/>
                <w:szCs w:val="22"/>
              </w:rPr>
            </w:pPr>
            <w:r w:rsidRPr="007B6BAC">
              <w:rPr>
                <w:b/>
                <w:sz w:val="22"/>
                <w:szCs w:val="22"/>
              </w:rPr>
              <w:t>Infektion og parasitære sygdomme</w:t>
            </w:r>
          </w:p>
        </w:tc>
        <w:tc>
          <w:tcPr>
            <w:tcW w:w="806" w:type="pct"/>
            <w:tcBorders>
              <w:top w:val="single" w:sz="4" w:space="0" w:color="auto"/>
              <w:left w:val="single" w:sz="4" w:space="0" w:color="auto"/>
              <w:bottom w:val="single" w:sz="4" w:space="0" w:color="auto"/>
              <w:right w:val="single" w:sz="4" w:space="0" w:color="auto"/>
            </w:tcBorders>
          </w:tcPr>
          <w:p w14:paraId="788978B7" w14:textId="4C7B3EDD" w:rsidR="004A59BF" w:rsidRPr="007B6BAC" w:rsidRDefault="004A59BF" w:rsidP="00FF3E62">
            <w:pPr>
              <w:rPr>
                <w:sz w:val="22"/>
                <w:szCs w:val="22"/>
              </w:rPr>
            </w:pPr>
            <w:r w:rsidRPr="007B6BAC">
              <w:rPr>
                <w:sz w:val="22"/>
                <w:szCs w:val="22"/>
              </w:rPr>
              <w:t xml:space="preserve">Infektioner/opportunistiske infektioner (som reaktivering af latent virus, f.eks. progressiv multifokal </w:t>
            </w:r>
            <w:proofErr w:type="spellStart"/>
            <w:r w:rsidRPr="007B6BAC">
              <w:rPr>
                <w:sz w:val="22"/>
                <w:szCs w:val="22"/>
              </w:rPr>
              <w:t>leukoencephalopati</w:t>
            </w:r>
            <w:proofErr w:type="spellEnd"/>
            <w:r w:rsidRPr="007B6BAC">
              <w:rPr>
                <w:sz w:val="22"/>
                <w:szCs w:val="22"/>
              </w:rPr>
              <w:t xml:space="preserve">, Herpes </w:t>
            </w:r>
            <w:proofErr w:type="spellStart"/>
            <w:r w:rsidRPr="007B6BAC">
              <w:rPr>
                <w:sz w:val="22"/>
                <w:szCs w:val="22"/>
              </w:rPr>
              <w:t>zoster</w:t>
            </w:r>
            <w:proofErr w:type="spellEnd"/>
            <w:r w:rsidRPr="007B6BAC">
              <w:rPr>
                <w:sz w:val="22"/>
                <w:szCs w:val="22"/>
              </w:rPr>
              <w:t xml:space="preserve">, </w:t>
            </w:r>
            <w:proofErr w:type="spellStart"/>
            <w:r w:rsidRPr="007B6BAC">
              <w:rPr>
                <w:sz w:val="22"/>
                <w:szCs w:val="22"/>
              </w:rPr>
              <w:t>Epstein</w:t>
            </w:r>
            <w:proofErr w:type="spellEnd"/>
            <w:r w:rsidRPr="007B6BAC">
              <w:rPr>
                <w:sz w:val="22"/>
                <w:szCs w:val="22"/>
              </w:rPr>
              <w:t>-Barr-virus), pneumoni</w:t>
            </w:r>
          </w:p>
          <w:p w14:paraId="4CE8F65F"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204077F3"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64466C28"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hideMark/>
          </w:tcPr>
          <w:p w14:paraId="7CB03449" w14:textId="2F27846B" w:rsidR="004A59BF" w:rsidRPr="007B6BAC" w:rsidRDefault="004A59BF" w:rsidP="00FF3E62">
            <w:pPr>
              <w:rPr>
                <w:sz w:val="22"/>
                <w:szCs w:val="22"/>
              </w:rPr>
            </w:pPr>
            <w:proofErr w:type="spellStart"/>
            <w:r w:rsidRPr="007B6BAC">
              <w:rPr>
                <w:sz w:val="22"/>
                <w:szCs w:val="22"/>
              </w:rPr>
              <w:t>Lymfoproliferative</w:t>
            </w:r>
            <w:proofErr w:type="spellEnd"/>
            <w:r w:rsidRPr="007B6BAC">
              <w:rPr>
                <w:sz w:val="22"/>
                <w:szCs w:val="22"/>
              </w:rPr>
              <w:t xml:space="preserve"> lidelse (EBV-relateret)</w:t>
            </w:r>
          </w:p>
        </w:tc>
        <w:tc>
          <w:tcPr>
            <w:tcW w:w="793" w:type="pct"/>
            <w:tcBorders>
              <w:top w:val="single" w:sz="4" w:space="0" w:color="auto"/>
              <w:left w:val="single" w:sz="4" w:space="0" w:color="auto"/>
              <w:bottom w:val="single" w:sz="4" w:space="0" w:color="auto"/>
              <w:right w:val="single" w:sz="4" w:space="0" w:color="auto"/>
            </w:tcBorders>
          </w:tcPr>
          <w:p w14:paraId="0ED2DB18" w14:textId="77777777" w:rsidR="004A59BF" w:rsidRPr="007B6BAC" w:rsidRDefault="004A59BF" w:rsidP="00FF3E62">
            <w:pPr>
              <w:rPr>
                <w:sz w:val="22"/>
                <w:szCs w:val="22"/>
              </w:rPr>
            </w:pPr>
          </w:p>
        </w:tc>
      </w:tr>
      <w:tr w:rsidR="004A59BF" w:rsidRPr="007B6BAC" w14:paraId="1647F197"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10D24FD6" w14:textId="77777777" w:rsidR="004A59BF" w:rsidRPr="007B6BAC" w:rsidRDefault="004A59BF" w:rsidP="00FF3E62">
            <w:pPr>
              <w:rPr>
                <w:b/>
                <w:sz w:val="22"/>
                <w:szCs w:val="22"/>
              </w:rPr>
            </w:pPr>
            <w:r w:rsidRPr="007B6BAC">
              <w:rPr>
                <w:b/>
                <w:sz w:val="22"/>
                <w:szCs w:val="22"/>
              </w:rPr>
              <w:t>Benigne, maligne og uspecificerede tumorer (inklusive cyster og polypper)</w:t>
            </w:r>
          </w:p>
        </w:tc>
        <w:tc>
          <w:tcPr>
            <w:tcW w:w="806" w:type="pct"/>
            <w:tcBorders>
              <w:top w:val="single" w:sz="4" w:space="0" w:color="auto"/>
              <w:left w:val="single" w:sz="4" w:space="0" w:color="auto"/>
              <w:bottom w:val="single" w:sz="4" w:space="0" w:color="auto"/>
              <w:right w:val="single" w:sz="4" w:space="0" w:color="auto"/>
            </w:tcBorders>
          </w:tcPr>
          <w:p w14:paraId="6F4D8C72"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hideMark/>
          </w:tcPr>
          <w:p w14:paraId="0D11EB1A" w14:textId="77777777" w:rsidR="004A59BF" w:rsidRPr="007B6BAC" w:rsidRDefault="004A59BF" w:rsidP="00FF3E62">
            <w:pPr>
              <w:rPr>
                <w:sz w:val="22"/>
                <w:szCs w:val="22"/>
              </w:rPr>
            </w:pPr>
            <w:proofErr w:type="spellStart"/>
            <w:r w:rsidRPr="007B6BAC">
              <w:rPr>
                <w:sz w:val="22"/>
                <w:szCs w:val="22"/>
              </w:rPr>
              <w:t>Myelodys</w:t>
            </w:r>
            <w:proofErr w:type="spellEnd"/>
            <w:r w:rsidRPr="007B6BAC">
              <w:rPr>
                <w:sz w:val="22"/>
                <w:szCs w:val="22"/>
              </w:rPr>
              <w:t xml:space="preserve">-plastisk syndrom og akut </w:t>
            </w:r>
            <w:proofErr w:type="spellStart"/>
            <w:r w:rsidRPr="007B6BAC">
              <w:rPr>
                <w:sz w:val="22"/>
                <w:szCs w:val="22"/>
              </w:rPr>
              <w:t>myoloid</w:t>
            </w:r>
            <w:proofErr w:type="spellEnd"/>
            <w:r w:rsidRPr="007B6BAC">
              <w:rPr>
                <w:sz w:val="22"/>
                <w:szCs w:val="22"/>
              </w:rPr>
              <w:t xml:space="preserve"> leukæmi (primært forbundet med forudgående, samtidig eller efterfølgende behandling med </w:t>
            </w:r>
            <w:proofErr w:type="spellStart"/>
            <w:r w:rsidRPr="007B6BAC">
              <w:rPr>
                <w:sz w:val="22"/>
                <w:szCs w:val="22"/>
              </w:rPr>
              <w:t>alkylerende</w:t>
            </w:r>
            <w:proofErr w:type="spellEnd"/>
            <w:r w:rsidRPr="007B6BAC">
              <w:rPr>
                <w:sz w:val="22"/>
                <w:szCs w:val="22"/>
              </w:rPr>
              <w:t xml:space="preserve"> stoffer, </w:t>
            </w:r>
            <w:proofErr w:type="spellStart"/>
            <w:r w:rsidRPr="007B6BAC">
              <w:rPr>
                <w:sz w:val="22"/>
                <w:szCs w:val="22"/>
              </w:rPr>
              <w:t>topoisomerase-hæmmere</w:t>
            </w:r>
            <w:proofErr w:type="spellEnd"/>
            <w:r w:rsidRPr="007B6BAC">
              <w:rPr>
                <w:sz w:val="22"/>
                <w:szCs w:val="22"/>
              </w:rPr>
              <w:t xml:space="preserve"> eller </w:t>
            </w:r>
            <w:proofErr w:type="spellStart"/>
            <w:r w:rsidRPr="007B6BAC">
              <w:rPr>
                <w:sz w:val="22"/>
                <w:szCs w:val="22"/>
              </w:rPr>
              <w:t>strålebehand-ling</w:t>
            </w:r>
            <w:proofErr w:type="spellEnd"/>
            <w:r w:rsidRPr="007B6BAC">
              <w:rPr>
                <w:sz w:val="22"/>
                <w:szCs w:val="22"/>
              </w:rPr>
              <w:t>)</w:t>
            </w:r>
          </w:p>
        </w:tc>
        <w:tc>
          <w:tcPr>
            <w:tcW w:w="782" w:type="pct"/>
            <w:tcBorders>
              <w:top w:val="single" w:sz="4" w:space="0" w:color="auto"/>
              <w:left w:val="single" w:sz="4" w:space="0" w:color="auto"/>
              <w:bottom w:val="single" w:sz="4" w:space="0" w:color="auto"/>
              <w:right w:val="single" w:sz="4" w:space="0" w:color="auto"/>
            </w:tcBorders>
          </w:tcPr>
          <w:p w14:paraId="0374F753"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3940EB71"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0A95220D" w14:textId="77777777" w:rsidR="004A59BF" w:rsidRPr="007B6BAC" w:rsidRDefault="004A59BF" w:rsidP="00FF3E62">
            <w:pPr>
              <w:rPr>
                <w:sz w:val="22"/>
                <w:szCs w:val="22"/>
              </w:rPr>
            </w:pPr>
          </w:p>
        </w:tc>
      </w:tr>
      <w:tr w:rsidR="004A59BF" w:rsidRPr="007B6BAC" w14:paraId="0268F4E1"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10BEF6B" w14:textId="77777777" w:rsidR="004A59BF" w:rsidRPr="007B6BAC" w:rsidRDefault="004A59BF" w:rsidP="00FF3E62">
            <w:pPr>
              <w:rPr>
                <w:b/>
                <w:sz w:val="22"/>
                <w:szCs w:val="22"/>
              </w:rPr>
            </w:pPr>
            <w:r w:rsidRPr="007B6BAC">
              <w:rPr>
                <w:b/>
                <w:sz w:val="22"/>
                <w:szCs w:val="22"/>
              </w:rPr>
              <w:t>Blod og lymfesystem</w:t>
            </w:r>
          </w:p>
        </w:tc>
        <w:tc>
          <w:tcPr>
            <w:tcW w:w="806" w:type="pct"/>
            <w:tcBorders>
              <w:top w:val="single" w:sz="4" w:space="0" w:color="auto"/>
              <w:left w:val="single" w:sz="4" w:space="0" w:color="auto"/>
              <w:bottom w:val="single" w:sz="4" w:space="0" w:color="auto"/>
              <w:right w:val="single" w:sz="4" w:space="0" w:color="auto"/>
            </w:tcBorders>
          </w:tcPr>
          <w:p w14:paraId="21ECB33D" w14:textId="77777777" w:rsidR="004A59BF" w:rsidRPr="007B6BAC" w:rsidRDefault="004A59BF" w:rsidP="00FF3E62">
            <w:pPr>
              <w:rPr>
                <w:sz w:val="22"/>
                <w:szCs w:val="22"/>
              </w:rPr>
            </w:pPr>
            <w:proofErr w:type="spellStart"/>
            <w:r w:rsidRPr="007B6BAC">
              <w:rPr>
                <w:sz w:val="22"/>
                <w:szCs w:val="22"/>
              </w:rPr>
              <w:t>Neutropeni</w:t>
            </w:r>
            <w:proofErr w:type="spellEnd"/>
            <w:r w:rsidRPr="007B6BAC">
              <w:rPr>
                <w:sz w:val="22"/>
                <w:szCs w:val="22"/>
              </w:rPr>
              <w:t>, anæmi,</w:t>
            </w:r>
          </w:p>
          <w:p w14:paraId="10A4FD0F" w14:textId="77777777" w:rsidR="004A59BF" w:rsidRPr="007B6BAC" w:rsidRDefault="004A59BF" w:rsidP="00FF3E62">
            <w:pPr>
              <w:rPr>
                <w:sz w:val="22"/>
                <w:szCs w:val="22"/>
              </w:rPr>
            </w:pPr>
            <w:proofErr w:type="spellStart"/>
            <w:r w:rsidRPr="007B6BAC">
              <w:rPr>
                <w:sz w:val="22"/>
                <w:szCs w:val="22"/>
              </w:rPr>
              <w:t>Trombocyto-peni</w:t>
            </w:r>
            <w:proofErr w:type="spellEnd"/>
            <w:r w:rsidRPr="007B6BAC">
              <w:rPr>
                <w:sz w:val="22"/>
                <w:szCs w:val="22"/>
              </w:rPr>
              <w:t xml:space="preserve"> </w:t>
            </w:r>
          </w:p>
          <w:p w14:paraId="248CF062"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hideMark/>
          </w:tcPr>
          <w:p w14:paraId="4DEEA177" w14:textId="77777777" w:rsidR="004A59BF" w:rsidRPr="007B6BAC" w:rsidRDefault="004A59BF" w:rsidP="00FF3E62">
            <w:pPr>
              <w:rPr>
                <w:sz w:val="22"/>
                <w:szCs w:val="22"/>
              </w:rPr>
            </w:pPr>
            <w:proofErr w:type="spellStart"/>
            <w:r w:rsidRPr="007B6BAC">
              <w:rPr>
                <w:sz w:val="22"/>
                <w:szCs w:val="22"/>
              </w:rPr>
              <w:t>Myelo</w:t>
            </w:r>
            <w:proofErr w:type="spellEnd"/>
            <w:r w:rsidRPr="007B6BAC">
              <w:rPr>
                <w:sz w:val="22"/>
                <w:szCs w:val="22"/>
              </w:rPr>
              <w:t>-suppression</w:t>
            </w:r>
          </w:p>
        </w:tc>
        <w:tc>
          <w:tcPr>
            <w:tcW w:w="782" w:type="pct"/>
            <w:tcBorders>
              <w:top w:val="single" w:sz="4" w:space="0" w:color="auto"/>
              <w:left w:val="single" w:sz="4" w:space="0" w:color="auto"/>
              <w:bottom w:val="single" w:sz="4" w:space="0" w:color="auto"/>
              <w:right w:val="single" w:sz="4" w:space="0" w:color="auto"/>
            </w:tcBorders>
          </w:tcPr>
          <w:p w14:paraId="56B51F1B"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7D773695"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6175E1EC" w14:textId="77777777" w:rsidR="004A59BF" w:rsidRPr="007B6BAC" w:rsidRDefault="004A59BF" w:rsidP="00FF3E62">
            <w:pPr>
              <w:rPr>
                <w:sz w:val="22"/>
                <w:szCs w:val="22"/>
              </w:rPr>
            </w:pPr>
          </w:p>
        </w:tc>
      </w:tr>
      <w:tr w:rsidR="004A59BF" w:rsidRPr="007B6BAC" w14:paraId="63A69470"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0F86FC8F" w14:textId="77777777" w:rsidR="004A59BF" w:rsidRPr="007B6BAC" w:rsidRDefault="004A59BF" w:rsidP="00FF3E62">
            <w:pPr>
              <w:rPr>
                <w:b/>
                <w:sz w:val="22"/>
                <w:szCs w:val="22"/>
              </w:rPr>
            </w:pPr>
            <w:r w:rsidRPr="007B6BAC">
              <w:rPr>
                <w:b/>
                <w:sz w:val="22"/>
                <w:szCs w:val="22"/>
              </w:rPr>
              <w:t>Immun-systemet</w:t>
            </w:r>
          </w:p>
        </w:tc>
        <w:tc>
          <w:tcPr>
            <w:tcW w:w="806" w:type="pct"/>
            <w:tcBorders>
              <w:top w:val="single" w:sz="4" w:space="0" w:color="auto"/>
              <w:left w:val="single" w:sz="4" w:space="0" w:color="auto"/>
              <w:bottom w:val="single" w:sz="4" w:space="0" w:color="auto"/>
              <w:right w:val="single" w:sz="4" w:space="0" w:color="auto"/>
            </w:tcBorders>
          </w:tcPr>
          <w:p w14:paraId="4893C2DB"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67A73248"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hideMark/>
          </w:tcPr>
          <w:p w14:paraId="1440F57C" w14:textId="77777777" w:rsidR="004A59BF" w:rsidRPr="007B6BAC" w:rsidRDefault="004A59BF" w:rsidP="00FF3E62">
            <w:pPr>
              <w:rPr>
                <w:sz w:val="22"/>
                <w:szCs w:val="22"/>
              </w:rPr>
            </w:pPr>
            <w:r w:rsidRPr="007B6BAC">
              <w:rPr>
                <w:sz w:val="22"/>
                <w:szCs w:val="22"/>
              </w:rPr>
              <w:t xml:space="preserve">Autoimmun sygdom (herunder autoimmun </w:t>
            </w:r>
            <w:proofErr w:type="spellStart"/>
            <w:r w:rsidRPr="007B6BAC">
              <w:rPr>
                <w:sz w:val="22"/>
                <w:szCs w:val="22"/>
              </w:rPr>
              <w:t>hæmolytisk</w:t>
            </w:r>
            <w:proofErr w:type="spellEnd"/>
            <w:r w:rsidRPr="007B6BAC">
              <w:rPr>
                <w:sz w:val="22"/>
                <w:szCs w:val="22"/>
              </w:rPr>
              <w:t xml:space="preserve"> anæmi, Evans syndrom, </w:t>
            </w:r>
            <w:proofErr w:type="spellStart"/>
            <w:r w:rsidRPr="007B6BAC">
              <w:rPr>
                <w:sz w:val="22"/>
                <w:szCs w:val="22"/>
              </w:rPr>
              <w:t>trombocytopen</w:t>
            </w:r>
            <w:proofErr w:type="spellEnd"/>
            <w:r w:rsidRPr="007B6BAC">
              <w:rPr>
                <w:sz w:val="22"/>
                <w:szCs w:val="22"/>
              </w:rPr>
              <w:t xml:space="preserve"> </w:t>
            </w:r>
            <w:proofErr w:type="spellStart"/>
            <w:r w:rsidRPr="007B6BAC">
              <w:rPr>
                <w:sz w:val="22"/>
                <w:szCs w:val="22"/>
              </w:rPr>
              <w:t>purpura</w:t>
            </w:r>
            <w:proofErr w:type="spellEnd"/>
            <w:r w:rsidRPr="007B6BAC">
              <w:rPr>
                <w:sz w:val="22"/>
                <w:szCs w:val="22"/>
              </w:rPr>
              <w:t xml:space="preserve">, erhvervet hæmofili, </w:t>
            </w:r>
            <w:proofErr w:type="spellStart"/>
            <w:r w:rsidRPr="007B6BAC">
              <w:rPr>
                <w:sz w:val="22"/>
                <w:szCs w:val="22"/>
              </w:rPr>
              <w:t>pemfigus</w:t>
            </w:r>
            <w:proofErr w:type="spellEnd"/>
            <w:r w:rsidRPr="007B6BAC">
              <w:rPr>
                <w:sz w:val="22"/>
                <w:szCs w:val="22"/>
              </w:rPr>
              <w:t>)</w:t>
            </w:r>
          </w:p>
        </w:tc>
        <w:tc>
          <w:tcPr>
            <w:tcW w:w="886" w:type="pct"/>
            <w:tcBorders>
              <w:top w:val="single" w:sz="4" w:space="0" w:color="auto"/>
              <w:left w:val="single" w:sz="4" w:space="0" w:color="auto"/>
              <w:bottom w:val="single" w:sz="4" w:space="0" w:color="auto"/>
              <w:right w:val="single" w:sz="4" w:space="0" w:color="auto"/>
            </w:tcBorders>
          </w:tcPr>
          <w:p w14:paraId="1B165D28"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44008978" w14:textId="77777777" w:rsidR="004A59BF" w:rsidRPr="007B6BAC" w:rsidRDefault="004A59BF" w:rsidP="00FF3E62">
            <w:pPr>
              <w:rPr>
                <w:sz w:val="22"/>
                <w:szCs w:val="22"/>
              </w:rPr>
            </w:pPr>
          </w:p>
        </w:tc>
      </w:tr>
      <w:tr w:rsidR="004A59BF" w:rsidRPr="007B6BAC" w14:paraId="0D2F29F4"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08997059" w14:textId="77777777" w:rsidR="004A59BF" w:rsidRPr="007B6BAC" w:rsidRDefault="004A59BF" w:rsidP="00FF3E62">
            <w:pPr>
              <w:rPr>
                <w:b/>
                <w:sz w:val="22"/>
                <w:szCs w:val="22"/>
              </w:rPr>
            </w:pPr>
            <w:r w:rsidRPr="007B6BAC">
              <w:rPr>
                <w:b/>
                <w:sz w:val="22"/>
                <w:szCs w:val="22"/>
              </w:rPr>
              <w:lastRenderedPageBreak/>
              <w:t>Metabolisme og ernæring</w:t>
            </w:r>
          </w:p>
        </w:tc>
        <w:tc>
          <w:tcPr>
            <w:tcW w:w="806" w:type="pct"/>
            <w:tcBorders>
              <w:top w:val="single" w:sz="4" w:space="0" w:color="auto"/>
              <w:left w:val="single" w:sz="4" w:space="0" w:color="auto"/>
              <w:bottom w:val="single" w:sz="4" w:space="0" w:color="auto"/>
              <w:right w:val="single" w:sz="4" w:space="0" w:color="auto"/>
            </w:tcBorders>
          </w:tcPr>
          <w:p w14:paraId="0177A9C7"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66B8E78B" w14:textId="77777777" w:rsidR="004A59BF" w:rsidRPr="007B6BAC" w:rsidRDefault="004A59BF" w:rsidP="00FF3E62">
            <w:pPr>
              <w:rPr>
                <w:sz w:val="22"/>
                <w:szCs w:val="22"/>
              </w:rPr>
            </w:pPr>
            <w:r w:rsidRPr="007B6BAC">
              <w:rPr>
                <w:sz w:val="22"/>
                <w:szCs w:val="22"/>
              </w:rPr>
              <w:t>Anoreksi</w:t>
            </w:r>
          </w:p>
          <w:p w14:paraId="5E97BECD"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7E7F94B6" w14:textId="42F78032" w:rsidR="004A59BF" w:rsidRPr="007B6BAC" w:rsidRDefault="004A59BF" w:rsidP="00FF3E62">
            <w:pPr>
              <w:rPr>
                <w:sz w:val="22"/>
                <w:szCs w:val="22"/>
              </w:rPr>
            </w:pPr>
            <w:r w:rsidRPr="007B6BAC">
              <w:rPr>
                <w:sz w:val="22"/>
                <w:szCs w:val="22"/>
              </w:rPr>
              <w:t xml:space="preserve">Tumorlyse-syndrom (herunder nyresvigt, metabolisk </w:t>
            </w:r>
            <w:proofErr w:type="spellStart"/>
            <w:r w:rsidRPr="007B6BAC">
              <w:rPr>
                <w:sz w:val="22"/>
                <w:szCs w:val="22"/>
              </w:rPr>
              <w:t>acidose</w:t>
            </w:r>
            <w:proofErr w:type="spellEnd"/>
            <w:r w:rsidRPr="007B6BAC">
              <w:rPr>
                <w:sz w:val="22"/>
                <w:szCs w:val="22"/>
              </w:rPr>
              <w:t xml:space="preserve">, </w:t>
            </w:r>
            <w:proofErr w:type="spellStart"/>
            <w:r w:rsidRPr="007B6BAC">
              <w:rPr>
                <w:sz w:val="22"/>
                <w:szCs w:val="22"/>
              </w:rPr>
              <w:t>hyperkaliæmi</w:t>
            </w:r>
            <w:proofErr w:type="spellEnd"/>
            <w:r w:rsidRPr="007B6BAC">
              <w:rPr>
                <w:sz w:val="22"/>
                <w:szCs w:val="22"/>
              </w:rPr>
              <w:t xml:space="preserve">, </w:t>
            </w:r>
            <w:proofErr w:type="spellStart"/>
            <w:r w:rsidRPr="007B6BAC">
              <w:rPr>
                <w:sz w:val="22"/>
                <w:szCs w:val="22"/>
              </w:rPr>
              <w:t>hypokalcæmi</w:t>
            </w:r>
            <w:proofErr w:type="spellEnd"/>
            <w:r w:rsidRPr="007B6BAC">
              <w:rPr>
                <w:sz w:val="22"/>
                <w:szCs w:val="22"/>
              </w:rPr>
              <w:t xml:space="preserve">, </w:t>
            </w:r>
            <w:proofErr w:type="spellStart"/>
            <w:r w:rsidRPr="007B6BAC">
              <w:rPr>
                <w:sz w:val="22"/>
                <w:szCs w:val="22"/>
              </w:rPr>
              <w:t>hyperurikæmi</w:t>
            </w:r>
            <w:proofErr w:type="spellEnd"/>
            <w:r w:rsidRPr="007B6BAC">
              <w:rPr>
                <w:sz w:val="22"/>
                <w:szCs w:val="22"/>
              </w:rPr>
              <w:t xml:space="preserve">, hæmaturi, urat </w:t>
            </w:r>
            <w:proofErr w:type="spellStart"/>
            <w:r w:rsidRPr="007B6BAC">
              <w:rPr>
                <w:sz w:val="22"/>
                <w:szCs w:val="22"/>
              </w:rPr>
              <w:t>krystaluri</w:t>
            </w:r>
            <w:proofErr w:type="spellEnd"/>
            <w:r w:rsidRPr="007B6BAC">
              <w:rPr>
                <w:sz w:val="22"/>
                <w:szCs w:val="22"/>
              </w:rPr>
              <w:t xml:space="preserve">, </w:t>
            </w:r>
            <w:proofErr w:type="spellStart"/>
            <w:r w:rsidRPr="007B6BAC">
              <w:rPr>
                <w:sz w:val="22"/>
                <w:szCs w:val="22"/>
              </w:rPr>
              <w:t>hyperphospha</w:t>
            </w:r>
            <w:r w:rsidR="007B6BAC" w:rsidRPr="007B6BAC">
              <w:rPr>
                <w:sz w:val="22"/>
                <w:szCs w:val="22"/>
              </w:rPr>
              <w:softHyphen/>
            </w:r>
            <w:r w:rsidRPr="007B6BAC">
              <w:rPr>
                <w:sz w:val="22"/>
                <w:szCs w:val="22"/>
              </w:rPr>
              <w:t>tæmi</w:t>
            </w:r>
            <w:proofErr w:type="spellEnd"/>
            <w:r w:rsidRPr="007B6BAC">
              <w:rPr>
                <w:sz w:val="22"/>
                <w:szCs w:val="22"/>
              </w:rPr>
              <w:t>)</w:t>
            </w:r>
          </w:p>
          <w:p w14:paraId="7F790CF0"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61F25915"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29506B3F" w14:textId="77777777" w:rsidR="004A59BF" w:rsidRPr="007B6BAC" w:rsidRDefault="004A59BF" w:rsidP="00FF3E62">
            <w:pPr>
              <w:rPr>
                <w:sz w:val="22"/>
                <w:szCs w:val="22"/>
              </w:rPr>
            </w:pPr>
          </w:p>
        </w:tc>
      </w:tr>
      <w:tr w:rsidR="004A59BF" w:rsidRPr="007B6BAC" w14:paraId="731C0017"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56935DA" w14:textId="77777777" w:rsidR="004A59BF" w:rsidRPr="007B6BAC" w:rsidRDefault="004A59BF" w:rsidP="00FF3E62">
            <w:pPr>
              <w:rPr>
                <w:b/>
                <w:sz w:val="22"/>
                <w:szCs w:val="22"/>
              </w:rPr>
            </w:pPr>
            <w:r w:rsidRPr="007B6BAC">
              <w:rPr>
                <w:b/>
                <w:sz w:val="22"/>
                <w:szCs w:val="22"/>
              </w:rPr>
              <w:t>Nervesystemet</w:t>
            </w:r>
          </w:p>
        </w:tc>
        <w:tc>
          <w:tcPr>
            <w:tcW w:w="806" w:type="pct"/>
            <w:tcBorders>
              <w:top w:val="single" w:sz="4" w:space="0" w:color="auto"/>
              <w:left w:val="single" w:sz="4" w:space="0" w:color="auto"/>
              <w:bottom w:val="single" w:sz="4" w:space="0" w:color="auto"/>
              <w:right w:val="single" w:sz="4" w:space="0" w:color="auto"/>
            </w:tcBorders>
          </w:tcPr>
          <w:p w14:paraId="1043DF97"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hideMark/>
          </w:tcPr>
          <w:p w14:paraId="16E54CD8" w14:textId="77777777" w:rsidR="004A59BF" w:rsidRPr="007B6BAC" w:rsidRDefault="004A59BF" w:rsidP="00FF3E62">
            <w:pPr>
              <w:rPr>
                <w:sz w:val="22"/>
                <w:szCs w:val="22"/>
              </w:rPr>
            </w:pPr>
            <w:r w:rsidRPr="007B6BAC">
              <w:rPr>
                <w:sz w:val="22"/>
                <w:szCs w:val="22"/>
              </w:rPr>
              <w:t xml:space="preserve">Perifer </w:t>
            </w:r>
            <w:proofErr w:type="spellStart"/>
            <w:r w:rsidRPr="007B6BAC">
              <w:rPr>
                <w:sz w:val="22"/>
                <w:szCs w:val="22"/>
              </w:rPr>
              <w:t>neuropati</w:t>
            </w:r>
            <w:proofErr w:type="spellEnd"/>
          </w:p>
        </w:tc>
        <w:tc>
          <w:tcPr>
            <w:tcW w:w="782" w:type="pct"/>
            <w:tcBorders>
              <w:top w:val="single" w:sz="4" w:space="0" w:color="auto"/>
              <w:left w:val="single" w:sz="4" w:space="0" w:color="auto"/>
              <w:bottom w:val="single" w:sz="4" w:space="0" w:color="auto"/>
              <w:right w:val="single" w:sz="4" w:space="0" w:color="auto"/>
            </w:tcBorders>
            <w:hideMark/>
          </w:tcPr>
          <w:p w14:paraId="75C1BBA7" w14:textId="77777777" w:rsidR="004A59BF" w:rsidRPr="007B6BAC" w:rsidRDefault="004A59BF" w:rsidP="00FF3E62">
            <w:pPr>
              <w:rPr>
                <w:sz w:val="22"/>
                <w:szCs w:val="22"/>
              </w:rPr>
            </w:pPr>
            <w:r w:rsidRPr="007B6BAC">
              <w:rPr>
                <w:sz w:val="22"/>
                <w:szCs w:val="22"/>
              </w:rPr>
              <w:t>Forvirring</w:t>
            </w:r>
          </w:p>
        </w:tc>
        <w:tc>
          <w:tcPr>
            <w:tcW w:w="886" w:type="pct"/>
            <w:tcBorders>
              <w:top w:val="single" w:sz="4" w:space="0" w:color="auto"/>
              <w:left w:val="single" w:sz="4" w:space="0" w:color="auto"/>
              <w:bottom w:val="single" w:sz="4" w:space="0" w:color="auto"/>
              <w:right w:val="single" w:sz="4" w:space="0" w:color="auto"/>
            </w:tcBorders>
          </w:tcPr>
          <w:p w14:paraId="2448F6EC" w14:textId="77777777" w:rsidR="004A59BF" w:rsidRPr="007B6BAC" w:rsidRDefault="004A59BF" w:rsidP="00FF3E62">
            <w:pPr>
              <w:rPr>
                <w:sz w:val="22"/>
                <w:szCs w:val="22"/>
              </w:rPr>
            </w:pPr>
            <w:r w:rsidRPr="007B6BAC">
              <w:rPr>
                <w:sz w:val="22"/>
                <w:szCs w:val="22"/>
              </w:rPr>
              <w:t>Koma,</w:t>
            </w:r>
          </w:p>
          <w:p w14:paraId="1E357BF3" w14:textId="77777777" w:rsidR="004A59BF" w:rsidRPr="007B6BAC" w:rsidRDefault="004A59BF" w:rsidP="00FF3E62">
            <w:pPr>
              <w:rPr>
                <w:sz w:val="22"/>
                <w:szCs w:val="22"/>
              </w:rPr>
            </w:pPr>
            <w:r w:rsidRPr="007B6BAC">
              <w:rPr>
                <w:sz w:val="22"/>
                <w:szCs w:val="22"/>
              </w:rPr>
              <w:t xml:space="preserve">krampeanfald, </w:t>
            </w:r>
          </w:p>
          <w:p w14:paraId="04E0E64F" w14:textId="77777777" w:rsidR="004A59BF" w:rsidRPr="007B6BAC" w:rsidRDefault="004A59BF" w:rsidP="00FF3E62">
            <w:pPr>
              <w:rPr>
                <w:sz w:val="22"/>
                <w:szCs w:val="22"/>
              </w:rPr>
            </w:pPr>
            <w:r w:rsidRPr="007B6BAC">
              <w:rPr>
                <w:sz w:val="22"/>
                <w:szCs w:val="22"/>
              </w:rPr>
              <w:t>agitation</w:t>
            </w:r>
          </w:p>
          <w:p w14:paraId="42F00DAF" w14:textId="77777777" w:rsidR="004A59BF" w:rsidRPr="007B6BAC" w:rsidRDefault="004A59BF" w:rsidP="00FF3E62">
            <w:pPr>
              <w:rPr>
                <w:sz w:val="22"/>
                <w:szCs w:val="22"/>
              </w:rPr>
            </w:pPr>
          </w:p>
          <w:p w14:paraId="0E49DA21"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hideMark/>
          </w:tcPr>
          <w:p w14:paraId="4241D883" w14:textId="77777777" w:rsidR="004A59BF" w:rsidRPr="007B6BAC" w:rsidRDefault="004A59BF" w:rsidP="00FF3E62">
            <w:pPr>
              <w:rPr>
                <w:sz w:val="22"/>
                <w:szCs w:val="22"/>
              </w:rPr>
            </w:pPr>
            <w:r w:rsidRPr="007B6BAC">
              <w:rPr>
                <w:sz w:val="22"/>
                <w:szCs w:val="22"/>
              </w:rPr>
              <w:t xml:space="preserve">Cerebral </w:t>
            </w:r>
            <w:proofErr w:type="spellStart"/>
            <w:r w:rsidRPr="007B6BAC">
              <w:rPr>
                <w:sz w:val="22"/>
                <w:szCs w:val="22"/>
              </w:rPr>
              <w:t>hæmoragi</w:t>
            </w:r>
            <w:proofErr w:type="spellEnd"/>
            <w:r w:rsidRPr="007B6BAC">
              <w:rPr>
                <w:sz w:val="22"/>
                <w:szCs w:val="22"/>
              </w:rPr>
              <w:t xml:space="preserve">, </w:t>
            </w:r>
            <w:proofErr w:type="spellStart"/>
            <w:r w:rsidRPr="007B6BAC">
              <w:rPr>
                <w:sz w:val="22"/>
                <w:szCs w:val="22"/>
              </w:rPr>
              <w:t>leukoencephalopati</w:t>
            </w:r>
            <w:proofErr w:type="spellEnd"/>
            <w:r w:rsidRPr="007B6BAC">
              <w:rPr>
                <w:sz w:val="22"/>
                <w:szCs w:val="22"/>
              </w:rPr>
              <w:t xml:space="preserve"> (se pkt. 4.4), akut toksisk </w:t>
            </w:r>
            <w:proofErr w:type="spellStart"/>
            <w:r w:rsidRPr="007B6BAC">
              <w:rPr>
                <w:sz w:val="22"/>
                <w:szCs w:val="22"/>
              </w:rPr>
              <w:t>leukoencephalopati</w:t>
            </w:r>
            <w:proofErr w:type="spellEnd"/>
            <w:r w:rsidRPr="007B6BAC">
              <w:rPr>
                <w:sz w:val="22"/>
                <w:szCs w:val="22"/>
              </w:rPr>
              <w:t xml:space="preserve"> (se pkt. 4.4), reversibel </w:t>
            </w:r>
            <w:proofErr w:type="spellStart"/>
            <w:r w:rsidRPr="007B6BAC">
              <w:rPr>
                <w:sz w:val="22"/>
                <w:szCs w:val="22"/>
              </w:rPr>
              <w:t>posterior</w:t>
            </w:r>
            <w:proofErr w:type="spellEnd"/>
            <w:r w:rsidRPr="007B6BAC">
              <w:rPr>
                <w:sz w:val="22"/>
                <w:szCs w:val="22"/>
              </w:rPr>
              <w:t xml:space="preserve"> </w:t>
            </w:r>
            <w:proofErr w:type="spellStart"/>
            <w:r w:rsidRPr="007B6BAC">
              <w:rPr>
                <w:sz w:val="22"/>
                <w:szCs w:val="22"/>
              </w:rPr>
              <w:t>leukoencephalopati</w:t>
            </w:r>
            <w:proofErr w:type="spellEnd"/>
            <w:r w:rsidRPr="007B6BAC">
              <w:rPr>
                <w:sz w:val="22"/>
                <w:szCs w:val="22"/>
              </w:rPr>
              <w:t xml:space="preserve"> syndrom (RPLS) (se pkt. 4.4)</w:t>
            </w:r>
          </w:p>
        </w:tc>
      </w:tr>
      <w:tr w:rsidR="004A59BF" w:rsidRPr="007B6BAC" w14:paraId="78EBCF54"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143C5EC8" w14:textId="77777777" w:rsidR="004A59BF" w:rsidRPr="007B6BAC" w:rsidRDefault="004A59BF" w:rsidP="00FF3E62">
            <w:pPr>
              <w:rPr>
                <w:b/>
                <w:sz w:val="22"/>
                <w:szCs w:val="22"/>
              </w:rPr>
            </w:pPr>
            <w:r w:rsidRPr="007B6BAC">
              <w:rPr>
                <w:b/>
                <w:sz w:val="22"/>
                <w:szCs w:val="22"/>
              </w:rPr>
              <w:t>Øjne</w:t>
            </w:r>
          </w:p>
        </w:tc>
        <w:tc>
          <w:tcPr>
            <w:tcW w:w="806" w:type="pct"/>
            <w:tcBorders>
              <w:top w:val="single" w:sz="4" w:space="0" w:color="auto"/>
              <w:left w:val="single" w:sz="4" w:space="0" w:color="auto"/>
              <w:bottom w:val="single" w:sz="4" w:space="0" w:color="auto"/>
              <w:right w:val="single" w:sz="4" w:space="0" w:color="auto"/>
            </w:tcBorders>
          </w:tcPr>
          <w:p w14:paraId="6B0CCBD6"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hideMark/>
          </w:tcPr>
          <w:p w14:paraId="64F4BEE3" w14:textId="1A0FD870" w:rsidR="004A59BF" w:rsidRPr="007B6BAC" w:rsidRDefault="004A59BF" w:rsidP="00FF3E62">
            <w:pPr>
              <w:rPr>
                <w:sz w:val="22"/>
                <w:szCs w:val="22"/>
              </w:rPr>
            </w:pPr>
            <w:r w:rsidRPr="007B6BAC">
              <w:rPr>
                <w:sz w:val="22"/>
                <w:szCs w:val="22"/>
              </w:rPr>
              <w:t>Synsforstyrrelser</w:t>
            </w:r>
          </w:p>
        </w:tc>
        <w:tc>
          <w:tcPr>
            <w:tcW w:w="782" w:type="pct"/>
            <w:tcBorders>
              <w:top w:val="single" w:sz="4" w:space="0" w:color="auto"/>
              <w:left w:val="single" w:sz="4" w:space="0" w:color="auto"/>
              <w:bottom w:val="single" w:sz="4" w:space="0" w:color="auto"/>
              <w:right w:val="single" w:sz="4" w:space="0" w:color="auto"/>
            </w:tcBorders>
          </w:tcPr>
          <w:p w14:paraId="1C4BE4E8"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269954FA" w14:textId="77777777" w:rsidR="004A59BF" w:rsidRPr="007B6BAC" w:rsidRDefault="004A59BF" w:rsidP="00FF3E62">
            <w:pPr>
              <w:rPr>
                <w:sz w:val="22"/>
                <w:szCs w:val="22"/>
              </w:rPr>
            </w:pPr>
            <w:r w:rsidRPr="007B6BAC">
              <w:rPr>
                <w:sz w:val="22"/>
                <w:szCs w:val="22"/>
              </w:rPr>
              <w:t xml:space="preserve">Blindhed, optisk </w:t>
            </w:r>
            <w:proofErr w:type="spellStart"/>
            <w:r w:rsidRPr="007B6BAC">
              <w:rPr>
                <w:sz w:val="22"/>
                <w:szCs w:val="22"/>
              </w:rPr>
              <w:t>neuritis</w:t>
            </w:r>
            <w:proofErr w:type="spellEnd"/>
            <w:r w:rsidRPr="007B6BAC">
              <w:rPr>
                <w:sz w:val="22"/>
                <w:szCs w:val="22"/>
              </w:rPr>
              <w:t xml:space="preserve">, optisk </w:t>
            </w:r>
            <w:proofErr w:type="spellStart"/>
            <w:r w:rsidRPr="007B6BAC">
              <w:rPr>
                <w:sz w:val="22"/>
                <w:szCs w:val="22"/>
              </w:rPr>
              <w:t>neuropati</w:t>
            </w:r>
            <w:proofErr w:type="spellEnd"/>
            <w:r w:rsidRPr="007B6BAC">
              <w:rPr>
                <w:sz w:val="22"/>
                <w:szCs w:val="22"/>
              </w:rPr>
              <w:t xml:space="preserve"> </w:t>
            </w:r>
          </w:p>
          <w:p w14:paraId="635DB33D"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1CB222C0" w14:textId="77777777" w:rsidR="004A59BF" w:rsidRPr="007B6BAC" w:rsidRDefault="004A59BF" w:rsidP="00FF3E62">
            <w:pPr>
              <w:rPr>
                <w:sz w:val="22"/>
                <w:szCs w:val="22"/>
              </w:rPr>
            </w:pPr>
          </w:p>
        </w:tc>
      </w:tr>
      <w:tr w:rsidR="004A59BF" w:rsidRPr="007B6BAC" w14:paraId="7526B91E"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097DB079" w14:textId="77777777" w:rsidR="004A59BF" w:rsidRPr="007B6BAC" w:rsidRDefault="004A59BF" w:rsidP="00FF3E62">
            <w:pPr>
              <w:rPr>
                <w:b/>
                <w:sz w:val="22"/>
                <w:szCs w:val="22"/>
              </w:rPr>
            </w:pPr>
            <w:r w:rsidRPr="007B6BAC">
              <w:rPr>
                <w:b/>
                <w:sz w:val="22"/>
                <w:szCs w:val="22"/>
              </w:rPr>
              <w:t>Hjerte</w:t>
            </w:r>
          </w:p>
        </w:tc>
        <w:tc>
          <w:tcPr>
            <w:tcW w:w="806" w:type="pct"/>
            <w:tcBorders>
              <w:top w:val="single" w:sz="4" w:space="0" w:color="auto"/>
              <w:left w:val="single" w:sz="4" w:space="0" w:color="auto"/>
              <w:bottom w:val="single" w:sz="4" w:space="0" w:color="auto"/>
              <w:right w:val="single" w:sz="4" w:space="0" w:color="auto"/>
            </w:tcBorders>
          </w:tcPr>
          <w:p w14:paraId="35E7B540"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152120EF"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32F92BA5"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1C0C22F9" w14:textId="77777777" w:rsidR="004A59BF" w:rsidRPr="007B6BAC" w:rsidRDefault="004A59BF" w:rsidP="00FF3E62">
            <w:pPr>
              <w:rPr>
                <w:sz w:val="22"/>
                <w:szCs w:val="22"/>
              </w:rPr>
            </w:pPr>
            <w:r w:rsidRPr="007B6BAC">
              <w:rPr>
                <w:sz w:val="22"/>
                <w:szCs w:val="22"/>
              </w:rPr>
              <w:t>Hjertesvigt,</w:t>
            </w:r>
          </w:p>
          <w:p w14:paraId="18A66F9E" w14:textId="77777777" w:rsidR="004A59BF" w:rsidRPr="007B6BAC" w:rsidRDefault="004A59BF" w:rsidP="00FF3E62">
            <w:pPr>
              <w:rPr>
                <w:sz w:val="22"/>
                <w:szCs w:val="22"/>
              </w:rPr>
            </w:pPr>
            <w:proofErr w:type="spellStart"/>
            <w:r w:rsidRPr="007B6BAC">
              <w:rPr>
                <w:sz w:val="22"/>
                <w:szCs w:val="22"/>
              </w:rPr>
              <w:t>arytmi</w:t>
            </w:r>
            <w:proofErr w:type="spellEnd"/>
          </w:p>
          <w:p w14:paraId="4414CCFA"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6D085EB8" w14:textId="77777777" w:rsidR="004A59BF" w:rsidRPr="007B6BAC" w:rsidRDefault="004A59BF" w:rsidP="00FF3E62">
            <w:pPr>
              <w:rPr>
                <w:sz w:val="22"/>
                <w:szCs w:val="22"/>
              </w:rPr>
            </w:pPr>
          </w:p>
        </w:tc>
      </w:tr>
      <w:tr w:rsidR="004A59BF" w:rsidRPr="007B6BAC" w14:paraId="27713B21"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998B2E6" w14:textId="77777777" w:rsidR="004A59BF" w:rsidRPr="007B6BAC" w:rsidRDefault="004A59BF" w:rsidP="00FF3E62">
            <w:pPr>
              <w:rPr>
                <w:b/>
                <w:sz w:val="22"/>
                <w:szCs w:val="22"/>
              </w:rPr>
            </w:pPr>
            <w:r w:rsidRPr="007B6BAC">
              <w:rPr>
                <w:b/>
                <w:sz w:val="22"/>
                <w:szCs w:val="22"/>
              </w:rPr>
              <w:t xml:space="preserve">Luftveje, thorax og </w:t>
            </w:r>
            <w:proofErr w:type="spellStart"/>
            <w:r w:rsidRPr="007B6BAC">
              <w:rPr>
                <w:b/>
                <w:sz w:val="22"/>
                <w:szCs w:val="22"/>
              </w:rPr>
              <w:t>mediastinum</w:t>
            </w:r>
            <w:proofErr w:type="spellEnd"/>
            <w:r w:rsidRPr="007B6BAC">
              <w:rPr>
                <w:b/>
                <w:sz w:val="22"/>
                <w:szCs w:val="22"/>
              </w:rPr>
              <w:t xml:space="preserve"> </w:t>
            </w:r>
          </w:p>
        </w:tc>
        <w:tc>
          <w:tcPr>
            <w:tcW w:w="806" w:type="pct"/>
            <w:tcBorders>
              <w:top w:val="single" w:sz="4" w:space="0" w:color="auto"/>
              <w:left w:val="single" w:sz="4" w:space="0" w:color="auto"/>
              <w:bottom w:val="single" w:sz="4" w:space="0" w:color="auto"/>
              <w:right w:val="single" w:sz="4" w:space="0" w:color="auto"/>
            </w:tcBorders>
            <w:hideMark/>
          </w:tcPr>
          <w:p w14:paraId="22141D43" w14:textId="77777777" w:rsidR="004A59BF" w:rsidRPr="007B6BAC" w:rsidRDefault="004A59BF" w:rsidP="00FF3E62">
            <w:pPr>
              <w:rPr>
                <w:sz w:val="22"/>
                <w:szCs w:val="22"/>
              </w:rPr>
            </w:pPr>
            <w:r w:rsidRPr="007B6BAC">
              <w:rPr>
                <w:sz w:val="22"/>
                <w:szCs w:val="22"/>
              </w:rPr>
              <w:t>Hoste</w:t>
            </w:r>
          </w:p>
        </w:tc>
        <w:tc>
          <w:tcPr>
            <w:tcW w:w="902" w:type="pct"/>
            <w:tcBorders>
              <w:top w:val="single" w:sz="4" w:space="0" w:color="auto"/>
              <w:left w:val="single" w:sz="4" w:space="0" w:color="auto"/>
              <w:bottom w:val="single" w:sz="4" w:space="0" w:color="auto"/>
              <w:right w:val="single" w:sz="4" w:space="0" w:color="auto"/>
            </w:tcBorders>
          </w:tcPr>
          <w:p w14:paraId="78B368E8"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15CC76C2" w14:textId="77777777" w:rsidR="004A59BF" w:rsidRPr="007B6BAC" w:rsidRDefault="004A59BF" w:rsidP="00FF3E62">
            <w:pPr>
              <w:rPr>
                <w:sz w:val="22"/>
                <w:szCs w:val="22"/>
              </w:rPr>
            </w:pPr>
            <w:r w:rsidRPr="007B6BAC">
              <w:rPr>
                <w:sz w:val="22"/>
                <w:szCs w:val="22"/>
              </w:rPr>
              <w:t>Lunge-toksicitet (herunder lungefibrose, pneumonitis, dyspnø)</w:t>
            </w:r>
          </w:p>
          <w:p w14:paraId="5FF4A84C"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47E951D0"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hideMark/>
          </w:tcPr>
          <w:p w14:paraId="5CF4691C" w14:textId="77777777" w:rsidR="004A59BF" w:rsidRPr="007B6BAC" w:rsidRDefault="004A59BF" w:rsidP="00FF3E62">
            <w:pPr>
              <w:rPr>
                <w:sz w:val="22"/>
                <w:szCs w:val="22"/>
              </w:rPr>
            </w:pPr>
            <w:proofErr w:type="spellStart"/>
            <w:r w:rsidRPr="007B6BAC">
              <w:rPr>
                <w:sz w:val="22"/>
                <w:szCs w:val="22"/>
              </w:rPr>
              <w:t>Pulmonær</w:t>
            </w:r>
            <w:proofErr w:type="spellEnd"/>
            <w:r w:rsidRPr="007B6BAC">
              <w:rPr>
                <w:sz w:val="22"/>
                <w:szCs w:val="22"/>
              </w:rPr>
              <w:t xml:space="preserve"> </w:t>
            </w:r>
            <w:proofErr w:type="spellStart"/>
            <w:r w:rsidRPr="007B6BAC">
              <w:rPr>
                <w:sz w:val="22"/>
                <w:szCs w:val="22"/>
              </w:rPr>
              <w:t>hæmoragi</w:t>
            </w:r>
            <w:proofErr w:type="spellEnd"/>
          </w:p>
        </w:tc>
      </w:tr>
      <w:tr w:rsidR="004A59BF" w:rsidRPr="007B6BAC" w14:paraId="16C6DF53"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3DF6204E" w14:textId="77777777" w:rsidR="004A59BF" w:rsidRPr="007B6BAC" w:rsidRDefault="004A59BF" w:rsidP="00FF3E62">
            <w:pPr>
              <w:rPr>
                <w:b/>
                <w:sz w:val="22"/>
                <w:szCs w:val="22"/>
              </w:rPr>
            </w:pPr>
            <w:r w:rsidRPr="007B6BAC">
              <w:rPr>
                <w:b/>
                <w:sz w:val="22"/>
                <w:szCs w:val="22"/>
              </w:rPr>
              <w:t>Mave-tarm-kanalen</w:t>
            </w:r>
          </w:p>
        </w:tc>
        <w:tc>
          <w:tcPr>
            <w:tcW w:w="806" w:type="pct"/>
            <w:tcBorders>
              <w:top w:val="single" w:sz="4" w:space="0" w:color="auto"/>
              <w:left w:val="single" w:sz="4" w:space="0" w:color="auto"/>
              <w:bottom w:val="single" w:sz="4" w:space="0" w:color="auto"/>
              <w:right w:val="single" w:sz="4" w:space="0" w:color="auto"/>
            </w:tcBorders>
          </w:tcPr>
          <w:p w14:paraId="26421679" w14:textId="77777777" w:rsidR="004A59BF" w:rsidRPr="007B6BAC" w:rsidRDefault="004A59BF" w:rsidP="00FF3E62">
            <w:pPr>
              <w:rPr>
                <w:sz w:val="22"/>
                <w:szCs w:val="22"/>
              </w:rPr>
            </w:pPr>
            <w:proofErr w:type="spellStart"/>
            <w:r w:rsidRPr="007B6BAC">
              <w:rPr>
                <w:sz w:val="22"/>
                <w:szCs w:val="22"/>
              </w:rPr>
              <w:t>Emesis</w:t>
            </w:r>
            <w:proofErr w:type="spellEnd"/>
            <w:r w:rsidRPr="007B6BAC">
              <w:rPr>
                <w:sz w:val="22"/>
                <w:szCs w:val="22"/>
              </w:rPr>
              <w:t>, diarré, kvalme</w:t>
            </w:r>
          </w:p>
          <w:p w14:paraId="5064D408"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472719F6" w14:textId="77777777" w:rsidR="004A59BF" w:rsidRPr="007B6BAC" w:rsidRDefault="004A59BF" w:rsidP="00FF3E62">
            <w:pPr>
              <w:rPr>
                <w:sz w:val="22"/>
                <w:szCs w:val="22"/>
              </w:rPr>
            </w:pPr>
            <w:proofErr w:type="spellStart"/>
            <w:r w:rsidRPr="007B6BAC">
              <w:rPr>
                <w:sz w:val="22"/>
                <w:szCs w:val="22"/>
              </w:rPr>
              <w:t>Stomatitis</w:t>
            </w:r>
            <w:proofErr w:type="spellEnd"/>
          </w:p>
          <w:p w14:paraId="421BD127"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hideMark/>
          </w:tcPr>
          <w:p w14:paraId="40339664" w14:textId="77777777" w:rsidR="004A59BF" w:rsidRPr="007B6BAC" w:rsidRDefault="004A59BF" w:rsidP="00FF3E62">
            <w:pPr>
              <w:rPr>
                <w:sz w:val="22"/>
                <w:szCs w:val="22"/>
              </w:rPr>
            </w:pPr>
            <w:proofErr w:type="spellStart"/>
            <w:r w:rsidRPr="007B6BAC">
              <w:rPr>
                <w:sz w:val="22"/>
                <w:szCs w:val="22"/>
              </w:rPr>
              <w:t>Gastro-intestinal</w:t>
            </w:r>
            <w:proofErr w:type="spellEnd"/>
            <w:r w:rsidRPr="007B6BAC">
              <w:rPr>
                <w:sz w:val="22"/>
                <w:szCs w:val="22"/>
              </w:rPr>
              <w:t xml:space="preserve"> </w:t>
            </w:r>
            <w:proofErr w:type="spellStart"/>
            <w:r w:rsidRPr="007B6BAC">
              <w:rPr>
                <w:sz w:val="22"/>
                <w:szCs w:val="22"/>
              </w:rPr>
              <w:t>hæmoragi</w:t>
            </w:r>
            <w:proofErr w:type="spellEnd"/>
            <w:r w:rsidRPr="007B6BAC">
              <w:rPr>
                <w:sz w:val="22"/>
                <w:szCs w:val="22"/>
              </w:rPr>
              <w:t xml:space="preserve">, uregelmæssige </w:t>
            </w:r>
            <w:proofErr w:type="spellStart"/>
            <w:r w:rsidRPr="007B6BAC">
              <w:rPr>
                <w:sz w:val="22"/>
                <w:szCs w:val="22"/>
              </w:rPr>
              <w:t>pankrease</w:t>
            </w:r>
            <w:proofErr w:type="spellEnd"/>
            <w:r w:rsidRPr="007B6BAC">
              <w:rPr>
                <w:sz w:val="22"/>
                <w:szCs w:val="22"/>
              </w:rPr>
              <w:t>-enzymer</w:t>
            </w:r>
          </w:p>
        </w:tc>
        <w:tc>
          <w:tcPr>
            <w:tcW w:w="886" w:type="pct"/>
            <w:tcBorders>
              <w:top w:val="single" w:sz="4" w:space="0" w:color="auto"/>
              <w:left w:val="single" w:sz="4" w:space="0" w:color="auto"/>
              <w:bottom w:val="single" w:sz="4" w:space="0" w:color="auto"/>
              <w:right w:val="single" w:sz="4" w:space="0" w:color="auto"/>
            </w:tcBorders>
          </w:tcPr>
          <w:p w14:paraId="161D5046"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7D9D4E04" w14:textId="77777777" w:rsidR="004A59BF" w:rsidRPr="007B6BAC" w:rsidRDefault="004A59BF" w:rsidP="00FF3E62">
            <w:pPr>
              <w:rPr>
                <w:sz w:val="22"/>
                <w:szCs w:val="22"/>
              </w:rPr>
            </w:pPr>
          </w:p>
        </w:tc>
      </w:tr>
      <w:tr w:rsidR="004A59BF" w:rsidRPr="007B6BAC" w14:paraId="50B93A14"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6722DF8" w14:textId="77777777" w:rsidR="004A59BF" w:rsidRPr="007B6BAC" w:rsidRDefault="004A59BF" w:rsidP="00FF3E62">
            <w:pPr>
              <w:rPr>
                <w:b/>
                <w:sz w:val="22"/>
                <w:szCs w:val="22"/>
              </w:rPr>
            </w:pPr>
            <w:r w:rsidRPr="007B6BAC">
              <w:rPr>
                <w:b/>
                <w:sz w:val="22"/>
                <w:szCs w:val="22"/>
              </w:rPr>
              <w:t>Lever og galdeveje</w:t>
            </w:r>
          </w:p>
        </w:tc>
        <w:tc>
          <w:tcPr>
            <w:tcW w:w="806" w:type="pct"/>
            <w:tcBorders>
              <w:top w:val="single" w:sz="4" w:space="0" w:color="auto"/>
              <w:left w:val="single" w:sz="4" w:space="0" w:color="auto"/>
              <w:bottom w:val="single" w:sz="4" w:space="0" w:color="auto"/>
              <w:right w:val="single" w:sz="4" w:space="0" w:color="auto"/>
            </w:tcBorders>
          </w:tcPr>
          <w:p w14:paraId="455A737C"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tcPr>
          <w:p w14:paraId="3A0D4792"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2A7F789E" w14:textId="77777777" w:rsidR="004A59BF" w:rsidRPr="007B6BAC" w:rsidRDefault="004A59BF" w:rsidP="00FF3E62">
            <w:pPr>
              <w:rPr>
                <w:sz w:val="22"/>
                <w:szCs w:val="22"/>
              </w:rPr>
            </w:pPr>
            <w:r w:rsidRPr="007B6BAC">
              <w:rPr>
                <w:sz w:val="22"/>
                <w:szCs w:val="22"/>
              </w:rPr>
              <w:t>Uregelmæssige leverenzymer</w:t>
            </w:r>
          </w:p>
          <w:p w14:paraId="7743114C"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62FB90E3"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67F22D1A" w14:textId="77777777" w:rsidR="004A59BF" w:rsidRPr="007B6BAC" w:rsidRDefault="004A59BF" w:rsidP="00FF3E62">
            <w:pPr>
              <w:rPr>
                <w:sz w:val="22"/>
                <w:szCs w:val="22"/>
              </w:rPr>
            </w:pPr>
          </w:p>
        </w:tc>
      </w:tr>
      <w:tr w:rsidR="004A59BF" w:rsidRPr="007B6BAC" w14:paraId="29BB56B7"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6CF5DFDD" w14:textId="77777777" w:rsidR="004A59BF" w:rsidRPr="007B6BAC" w:rsidRDefault="004A59BF" w:rsidP="00FF3E62">
            <w:pPr>
              <w:rPr>
                <w:b/>
                <w:sz w:val="22"/>
                <w:szCs w:val="22"/>
              </w:rPr>
            </w:pPr>
            <w:r w:rsidRPr="007B6BAC">
              <w:rPr>
                <w:b/>
                <w:sz w:val="22"/>
                <w:szCs w:val="22"/>
              </w:rPr>
              <w:lastRenderedPageBreak/>
              <w:t>Hud og subkutane væv</w:t>
            </w:r>
          </w:p>
        </w:tc>
        <w:tc>
          <w:tcPr>
            <w:tcW w:w="806" w:type="pct"/>
            <w:tcBorders>
              <w:top w:val="single" w:sz="4" w:space="0" w:color="auto"/>
              <w:left w:val="single" w:sz="4" w:space="0" w:color="auto"/>
              <w:bottom w:val="single" w:sz="4" w:space="0" w:color="auto"/>
              <w:right w:val="single" w:sz="4" w:space="0" w:color="auto"/>
            </w:tcBorders>
          </w:tcPr>
          <w:p w14:paraId="2F9A0FE1" w14:textId="77777777" w:rsidR="004A59BF" w:rsidRPr="007B6BAC" w:rsidRDefault="004A59BF" w:rsidP="00FF3E62">
            <w:pPr>
              <w:rPr>
                <w:sz w:val="22"/>
                <w:szCs w:val="22"/>
              </w:rPr>
            </w:pPr>
          </w:p>
        </w:tc>
        <w:tc>
          <w:tcPr>
            <w:tcW w:w="902" w:type="pct"/>
            <w:tcBorders>
              <w:top w:val="single" w:sz="4" w:space="0" w:color="auto"/>
              <w:left w:val="single" w:sz="4" w:space="0" w:color="auto"/>
              <w:bottom w:val="single" w:sz="4" w:space="0" w:color="auto"/>
              <w:right w:val="single" w:sz="4" w:space="0" w:color="auto"/>
            </w:tcBorders>
            <w:hideMark/>
          </w:tcPr>
          <w:p w14:paraId="44600879" w14:textId="77777777" w:rsidR="004A59BF" w:rsidRPr="007B6BAC" w:rsidRDefault="004A59BF" w:rsidP="00FF3E62">
            <w:pPr>
              <w:rPr>
                <w:sz w:val="22"/>
                <w:szCs w:val="22"/>
              </w:rPr>
            </w:pPr>
            <w:r w:rsidRPr="007B6BAC">
              <w:rPr>
                <w:sz w:val="22"/>
                <w:szCs w:val="22"/>
              </w:rPr>
              <w:t>Udslæt</w:t>
            </w:r>
          </w:p>
        </w:tc>
        <w:tc>
          <w:tcPr>
            <w:tcW w:w="782" w:type="pct"/>
            <w:tcBorders>
              <w:top w:val="single" w:sz="4" w:space="0" w:color="auto"/>
              <w:left w:val="single" w:sz="4" w:space="0" w:color="auto"/>
              <w:bottom w:val="single" w:sz="4" w:space="0" w:color="auto"/>
              <w:right w:val="single" w:sz="4" w:space="0" w:color="auto"/>
            </w:tcBorders>
          </w:tcPr>
          <w:p w14:paraId="3331ECB7"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hideMark/>
          </w:tcPr>
          <w:p w14:paraId="1D52EB65" w14:textId="77777777" w:rsidR="004A59BF" w:rsidRPr="007B6BAC" w:rsidRDefault="004A59BF" w:rsidP="00FF3E62">
            <w:pPr>
              <w:rPr>
                <w:sz w:val="22"/>
                <w:szCs w:val="22"/>
              </w:rPr>
            </w:pPr>
            <w:r w:rsidRPr="007B6BAC">
              <w:rPr>
                <w:sz w:val="22"/>
                <w:szCs w:val="22"/>
              </w:rPr>
              <w:t xml:space="preserve">Hudkræft, toksisk </w:t>
            </w:r>
            <w:proofErr w:type="spellStart"/>
            <w:r w:rsidRPr="007B6BAC">
              <w:rPr>
                <w:sz w:val="22"/>
                <w:szCs w:val="22"/>
              </w:rPr>
              <w:t>epidermal</w:t>
            </w:r>
            <w:proofErr w:type="spellEnd"/>
            <w:r w:rsidRPr="007B6BAC">
              <w:rPr>
                <w:sz w:val="22"/>
                <w:szCs w:val="22"/>
              </w:rPr>
              <w:t xml:space="preserve"> </w:t>
            </w:r>
            <w:proofErr w:type="spellStart"/>
            <w:r w:rsidRPr="007B6BAC">
              <w:rPr>
                <w:sz w:val="22"/>
                <w:szCs w:val="22"/>
              </w:rPr>
              <w:t>nekrolyse</w:t>
            </w:r>
            <w:proofErr w:type="spellEnd"/>
            <w:r w:rsidRPr="007B6BAC">
              <w:rPr>
                <w:sz w:val="22"/>
                <w:szCs w:val="22"/>
              </w:rPr>
              <w:t xml:space="preserve"> (</w:t>
            </w:r>
            <w:proofErr w:type="spellStart"/>
            <w:r w:rsidRPr="007B6BAC">
              <w:rPr>
                <w:sz w:val="22"/>
                <w:szCs w:val="22"/>
              </w:rPr>
              <w:t>Lyells</w:t>
            </w:r>
            <w:proofErr w:type="spellEnd"/>
            <w:r w:rsidRPr="007B6BAC">
              <w:rPr>
                <w:sz w:val="22"/>
                <w:szCs w:val="22"/>
              </w:rPr>
              <w:t>), Stevens-Johnsons syndrom</w:t>
            </w:r>
          </w:p>
        </w:tc>
        <w:tc>
          <w:tcPr>
            <w:tcW w:w="793" w:type="pct"/>
            <w:tcBorders>
              <w:top w:val="single" w:sz="4" w:space="0" w:color="auto"/>
              <w:left w:val="single" w:sz="4" w:space="0" w:color="auto"/>
              <w:bottom w:val="single" w:sz="4" w:space="0" w:color="auto"/>
              <w:right w:val="single" w:sz="4" w:space="0" w:color="auto"/>
            </w:tcBorders>
          </w:tcPr>
          <w:p w14:paraId="111D3D0A" w14:textId="77777777" w:rsidR="004A59BF" w:rsidRPr="007B6BAC" w:rsidRDefault="004A59BF" w:rsidP="00FF3E62">
            <w:pPr>
              <w:rPr>
                <w:sz w:val="22"/>
                <w:szCs w:val="22"/>
              </w:rPr>
            </w:pPr>
          </w:p>
        </w:tc>
      </w:tr>
      <w:tr w:rsidR="004A59BF" w:rsidRPr="007B6BAC" w14:paraId="0552BD51"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12FA7929" w14:textId="25E60342" w:rsidR="004A59BF" w:rsidRPr="007B6BAC" w:rsidRDefault="004A59BF" w:rsidP="00FF3E62">
            <w:pPr>
              <w:rPr>
                <w:b/>
                <w:sz w:val="22"/>
                <w:szCs w:val="22"/>
              </w:rPr>
            </w:pPr>
            <w:r w:rsidRPr="007B6BAC">
              <w:rPr>
                <w:b/>
                <w:sz w:val="22"/>
                <w:szCs w:val="22"/>
              </w:rPr>
              <w:t>Nyre- og urinvejslidelser</w:t>
            </w:r>
          </w:p>
        </w:tc>
        <w:tc>
          <w:tcPr>
            <w:tcW w:w="806" w:type="pct"/>
            <w:tcBorders>
              <w:top w:val="single" w:sz="4" w:space="0" w:color="auto"/>
              <w:left w:val="single" w:sz="4" w:space="0" w:color="auto"/>
              <w:bottom w:val="single" w:sz="4" w:space="0" w:color="auto"/>
              <w:right w:val="single" w:sz="4" w:space="0" w:color="auto"/>
            </w:tcBorders>
            <w:hideMark/>
          </w:tcPr>
          <w:p w14:paraId="2E06C2BB" w14:textId="77777777" w:rsidR="004A59BF" w:rsidRPr="007B6BAC" w:rsidRDefault="004A59BF" w:rsidP="00FF3E62">
            <w:pPr>
              <w:rPr>
                <w:sz w:val="22"/>
                <w:szCs w:val="22"/>
              </w:rPr>
            </w:pPr>
            <w:r w:rsidRPr="007B6BAC">
              <w:rPr>
                <w:sz w:val="22"/>
                <w:szCs w:val="22"/>
              </w:rPr>
              <w:tab/>
            </w:r>
          </w:p>
        </w:tc>
        <w:tc>
          <w:tcPr>
            <w:tcW w:w="902" w:type="pct"/>
            <w:tcBorders>
              <w:top w:val="single" w:sz="4" w:space="0" w:color="auto"/>
              <w:left w:val="single" w:sz="4" w:space="0" w:color="auto"/>
              <w:bottom w:val="single" w:sz="4" w:space="0" w:color="auto"/>
              <w:right w:val="single" w:sz="4" w:space="0" w:color="auto"/>
            </w:tcBorders>
          </w:tcPr>
          <w:p w14:paraId="5469598C"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689D32FD"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71B9F9A9"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hideMark/>
          </w:tcPr>
          <w:p w14:paraId="06ABBBDD" w14:textId="77777777" w:rsidR="004A59BF" w:rsidRPr="007B6BAC" w:rsidRDefault="004A59BF" w:rsidP="00FF3E62">
            <w:pPr>
              <w:rPr>
                <w:sz w:val="22"/>
                <w:szCs w:val="22"/>
              </w:rPr>
            </w:pPr>
            <w:proofErr w:type="spellStart"/>
            <w:r w:rsidRPr="007B6BAC">
              <w:rPr>
                <w:sz w:val="22"/>
                <w:szCs w:val="22"/>
              </w:rPr>
              <w:t>Hæmoragisk</w:t>
            </w:r>
            <w:proofErr w:type="spellEnd"/>
            <w:r w:rsidRPr="007B6BAC">
              <w:rPr>
                <w:sz w:val="22"/>
                <w:szCs w:val="22"/>
              </w:rPr>
              <w:t xml:space="preserve"> cystitis</w:t>
            </w:r>
          </w:p>
        </w:tc>
      </w:tr>
      <w:tr w:rsidR="004A59BF" w:rsidRPr="007B6BAC" w14:paraId="6715EB19" w14:textId="77777777" w:rsidTr="00FF3E62">
        <w:trPr>
          <w:cantSplit/>
        </w:trPr>
        <w:tc>
          <w:tcPr>
            <w:tcW w:w="831" w:type="pct"/>
            <w:tcBorders>
              <w:top w:val="single" w:sz="4" w:space="0" w:color="auto"/>
              <w:left w:val="single" w:sz="4" w:space="0" w:color="auto"/>
              <w:bottom w:val="single" w:sz="4" w:space="0" w:color="auto"/>
              <w:right w:val="single" w:sz="4" w:space="0" w:color="auto"/>
            </w:tcBorders>
            <w:hideMark/>
          </w:tcPr>
          <w:p w14:paraId="52359076" w14:textId="6CEEF2D0" w:rsidR="004A59BF" w:rsidRPr="007B6BAC" w:rsidRDefault="004A59BF" w:rsidP="00FF3E62">
            <w:pPr>
              <w:rPr>
                <w:b/>
                <w:sz w:val="22"/>
                <w:szCs w:val="22"/>
              </w:rPr>
            </w:pPr>
            <w:r w:rsidRPr="007B6BAC">
              <w:rPr>
                <w:b/>
                <w:sz w:val="22"/>
                <w:szCs w:val="22"/>
              </w:rPr>
              <w:t>Almene symptomer og reaktioner på administrationsstedet</w:t>
            </w:r>
          </w:p>
        </w:tc>
        <w:tc>
          <w:tcPr>
            <w:tcW w:w="806" w:type="pct"/>
            <w:tcBorders>
              <w:top w:val="single" w:sz="4" w:space="0" w:color="auto"/>
              <w:left w:val="single" w:sz="4" w:space="0" w:color="auto"/>
              <w:bottom w:val="single" w:sz="4" w:space="0" w:color="auto"/>
              <w:right w:val="single" w:sz="4" w:space="0" w:color="auto"/>
            </w:tcBorders>
            <w:hideMark/>
          </w:tcPr>
          <w:p w14:paraId="6BF3D602" w14:textId="77777777" w:rsidR="004A59BF" w:rsidRPr="007B6BAC" w:rsidRDefault="004A59BF" w:rsidP="00FF3E62">
            <w:pPr>
              <w:rPr>
                <w:sz w:val="22"/>
                <w:szCs w:val="22"/>
              </w:rPr>
            </w:pPr>
            <w:r w:rsidRPr="007B6BAC">
              <w:rPr>
                <w:sz w:val="22"/>
                <w:szCs w:val="22"/>
              </w:rPr>
              <w:t xml:space="preserve">Feber, træthed, svaghed </w:t>
            </w:r>
          </w:p>
        </w:tc>
        <w:tc>
          <w:tcPr>
            <w:tcW w:w="902" w:type="pct"/>
            <w:tcBorders>
              <w:top w:val="single" w:sz="4" w:space="0" w:color="auto"/>
              <w:left w:val="single" w:sz="4" w:space="0" w:color="auto"/>
              <w:bottom w:val="single" w:sz="4" w:space="0" w:color="auto"/>
              <w:right w:val="single" w:sz="4" w:space="0" w:color="auto"/>
            </w:tcBorders>
          </w:tcPr>
          <w:p w14:paraId="0465EE16" w14:textId="77777777" w:rsidR="004A59BF" w:rsidRPr="007B6BAC" w:rsidRDefault="004A59BF" w:rsidP="00FF3E62">
            <w:pPr>
              <w:rPr>
                <w:i/>
                <w:sz w:val="22"/>
                <w:szCs w:val="22"/>
              </w:rPr>
            </w:pPr>
            <w:r w:rsidRPr="007B6BAC">
              <w:rPr>
                <w:sz w:val="22"/>
                <w:szCs w:val="22"/>
              </w:rPr>
              <w:t xml:space="preserve">Ødem, </w:t>
            </w:r>
            <w:proofErr w:type="spellStart"/>
            <w:r w:rsidRPr="007B6BAC">
              <w:rPr>
                <w:sz w:val="22"/>
                <w:szCs w:val="22"/>
              </w:rPr>
              <w:t>mucositis</w:t>
            </w:r>
            <w:proofErr w:type="spellEnd"/>
            <w:r w:rsidRPr="007B6BAC">
              <w:rPr>
                <w:sz w:val="22"/>
                <w:szCs w:val="22"/>
              </w:rPr>
              <w:t xml:space="preserve">, kuldegysninger, utilpashed </w:t>
            </w:r>
          </w:p>
          <w:p w14:paraId="556B7012" w14:textId="77777777" w:rsidR="004A59BF" w:rsidRPr="007B6BAC" w:rsidRDefault="004A59BF" w:rsidP="00FF3E62">
            <w:pPr>
              <w:rPr>
                <w:sz w:val="22"/>
                <w:szCs w:val="22"/>
              </w:rPr>
            </w:pPr>
          </w:p>
        </w:tc>
        <w:tc>
          <w:tcPr>
            <w:tcW w:w="782" w:type="pct"/>
            <w:tcBorders>
              <w:top w:val="single" w:sz="4" w:space="0" w:color="auto"/>
              <w:left w:val="single" w:sz="4" w:space="0" w:color="auto"/>
              <w:bottom w:val="single" w:sz="4" w:space="0" w:color="auto"/>
              <w:right w:val="single" w:sz="4" w:space="0" w:color="auto"/>
            </w:tcBorders>
          </w:tcPr>
          <w:p w14:paraId="15B75794" w14:textId="77777777" w:rsidR="004A59BF" w:rsidRPr="007B6BAC" w:rsidRDefault="004A59BF" w:rsidP="00FF3E62">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35A797F7" w14:textId="77777777" w:rsidR="004A59BF" w:rsidRPr="007B6BAC" w:rsidRDefault="004A59BF" w:rsidP="00FF3E62">
            <w:pPr>
              <w:rPr>
                <w:sz w:val="22"/>
                <w:szCs w:val="22"/>
              </w:rPr>
            </w:pPr>
          </w:p>
        </w:tc>
        <w:tc>
          <w:tcPr>
            <w:tcW w:w="793" w:type="pct"/>
            <w:tcBorders>
              <w:top w:val="single" w:sz="4" w:space="0" w:color="auto"/>
              <w:left w:val="single" w:sz="4" w:space="0" w:color="auto"/>
              <w:bottom w:val="single" w:sz="4" w:space="0" w:color="auto"/>
              <w:right w:val="single" w:sz="4" w:space="0" w:color="auto"/>
            </w:tcBorders>
          </w:tcPr>
          <w:p w14:paraId="797DB857" w14:textId="77777777" w:rsidR="004A59BF" w:rsidRPr="007B6BAC" w:rsidRDefault="004A59BF" w:rsidP="00FF3E62">
            <w:pPr>
              <w:rPr>
                <w:sz w:val="22"/>
                <w:szCs w:val="22"/>
              </w:rPr>
            </w:pPr>
          </w:p>
        </w:tc>
      </w:tr>
    </w:tbl>
    <w:p w14:paraId="4EE903E9" w14:textId="77777777" w:rsidR="004A59BF" w:rsidRPr="009B42CA" w:rsidRDefault="004A59BF" w:rsidP="00FF3E62">
      <w:pPr>
        <w:ind w:left="851"/>
        <w:rPr>
          <w:sz w:val="24"/>
          <w:szCs w:val="24"/>
        </w:rPr>
      </w:pPr>
    </w:p>
    <w:p w14:paraId="5C47D5B6" w14:textId="77777777" w:rsidR="004A59BF" w:rsidRPr="009B42CA" w:rsidRDefault="004A59BF" w:rsidP="00FF3E62">
      <w:pPr>
        <w:ind w:left="851"/>
        <w:rPr>
          <w:sz w:val="24"/>
          <w:szCs w:val="24"/>
        </w:rPr>
      </w:pPr>
      <w:r w:rsidRPr="009B42CA">
        <w:rPr>
          <w:sz w:val="24"/>
          <w:szCs w:val="24"/>
        </w:rPr>
        <w:t xml:space="preserve">Den mest passende </w:t>
      </w:r>
      <w:proofErr w:type="spellStart"/>
      <w:r w:rsidRPr="009B42CA">
        <w:rPr>
          <w:sz w:val="24"/>
          <w:szCs w:val="24"/>
        </w:rPr>
        <w:t>MedDRA</w:t>
      </w:r>
      <w:proofErr w:type="spellEnd"/>
      <w:r w:rsidRPr="009B42CA">
        <w:rPr>
          <w:sz w:val="24"/>
          <w:szCs w:val="24"/>
        </w:rPr>
        <w:t xml:space="preserve">-term, som beskriver en specifik bivirkning er angivet. Synonymer eller relaterede tilstande er ikke angivet, men skal også tages i betragtning. Bivirkningsbeskrivelse er baseret på </w:t>
      </w:r>
      <w:proofErr w:type="spellStart"/>
      <w:r w:rsidRPr="009B42CA">
        <w:rPr>
          <w:sz w:val="24"/>
          <w:szCs w:val="24"/>
        </w:rPr>
        <w:t>MedDRA</w:t>
      </w:r>
      <w:proofErr w:type="spellEnd"/>
      <w:r w:rsidRPr="009B42CA">
        <w:rPr>
          <w:sz w:val="24"/>
          <w:szCs w:val="24"/>
        </w:rPr>
        <w:t xml:space="preserve"> version 12.0.</w:t>
      </w:r>
    </w:p>
    <w:p w14:paraId="4ADE9FAD" w14:textId="77777777" w:rsidR="004A59BF" w:rsidRPr="009B42CA" w:rsidRDefault="004A59BF" w:rsidP="00FF3E62">
      <w:pPr>
        <w:ind w:left="851"/>
        <w:rPr>
          <w:sz w:val="24"/>
          <w:szCs w:val="24"/>
        </w:rPr>
      </w:pPr>
    </w:p>
    <w:p w14:paraId="59A093A7" w14:textId="77777777" w:rsidR="004A59BF" w:rsidRPr="009B42CA" w:rsidRDefault="004A59BF" w:rsidP="00FF3E62">
      <w:pPr>
        <w:ind w:left="851"/>
        <w:rPr>
          <w:sz w:val="24"/>
          <w:szCs w:val="24"/>
        </w:rPr>
      </w:pPr>
      <w:r w:rsidRPr="009B42CA">
        <w:rPr>
          <w:sz w:val="24"/>
          <w:szCs w:val="24"/>
        </w:rPr>
        <w:t>Inden for hver enkelt hyppighedsgruppe er bivirkningerne opstillet efter, hvor alvorlige de er.</w:t>
      </w:r>
      <w:r w:rsidRPr="009B42CA">
        <w:rPr>
          <w:sz w:val="24"/>
          <w:szCs w:val="24"/>
        </w:rPr>
        <w:br/>
      </w:r>
    </w:p>
    <w:p w14:paraId="004D456A" w14:textId="77777777" w:rsidR="004A59BF" w:rsidRPr="009B42CA" w:rsidRDefault="004A59BF" w:rsidP="00FF3E62">
      <w:pPr>
        <w:ind w:left="851"/>
        <w:rPr>
          <w:sz w:val="24"/>
          <w:szCs w:val="24"/>
          <w:u w:val="single"/>
        </w:rPr>
      </w:pPr>
      <w:r w:rsidRPr="009B42CA">
        <w:rPr>
          <w:sz w:val="24"/>
          <w:szCs w:val="24"/>
          <w:u w:val="single"/>
        </w:rPr>
        <w:t>Indberetning af formodede bivirkninger</w:t>
      </w:r>
    </w:p>
    <w:p w14:paraId="2F6C9B85" w14:textId="77E213D4" w:rsidR="004A59BF" w:rsidRDefault="004A59BF" w:rsidP="00FF3E62">
      <w:pPr>
        <w:ind w:left="851"/>
        <w:rPr>
          <w:sz w:val="24"/>
          <w:szCs w:val="24"/>
        </w:rPr>
      </w:pPr>
      <w:r w:rsidRPr="009B42CA">
        <w:rPr>
          <w:sz w:val="24"/>
          <w:szCs w:val="24"/>
        </w:rPr>
        <w:t>Når lægemidlet er godkendt, er indberetning af formodede bivirkninger vigtig. Det muliggør løbende overvågning af benefit/</w:t>
      </w:r>
      <w:proofErr w:type="spellStart"/>
      <w:r w:rsidRPr="009B42CA">
        <w:rPr>
          <w:sz w:val="24"/>
          <w:szCs w:val="24"/>
        </w:rPr>
        <w:t>risk</w:t>
      </w:r>
      <w:proofErr w:type="spellEnd"/>
      <w:r w:rsidRPr="009B42CA">
        <w:rPr>
          <w:sz w:val="24"/>
          <w:szCs w:val="24"/>
        </w:rPr>
        <w:t xml:space="preserve">-forholdet for lægemidlet. Sundhedspersoner anmodes om at indberette alle formodede bivirkninger via </w:t>
      </w:r>
    </w:p>
    <w:p w14:paraId="371FA480" w14:textId="77777777" w:rsidR="00E9105A" w:rsidRPr="009B42CA" w:rsidRDefault="00E9105A" w:rsidP="00FF3E62">
      <w:pPr>
        <w:ind w:left="851"/>
        <w:rPr>
          <w:sz w:val="24"/>
          <w:szCs w:val="24"/>
        </w:rPr>
      </w:pPr>
    </w:p>
    <w:p w14:paraId="74971701" w14:textId="77777777" w:rsidR="004A59BF" w:rsidRPr="009B42CA" w:rsidRDefault="004A59BF" w:rsidP="00FF3E62">
      <w:pPr>
        <w:ind w:left="851"/>
        <w:rPr>
          <w:sz w:val="24"/>
          <w:szCs w:val="24"/>
          <w:lang w:eastAsia="da-DK"/>
        </w:rPr>
      </w:pPr>
      <w:r w:rsidRPr="009B42CA">
        <w:rPr>
          <w:sz w:val="24"/>
          <w:szCs w:val="24"/>
        </w:rPr>
        <w:t>Lægemiddelstyrelsen</w:t>
      </w:r>
      <w:r w:rsidRPr="009B42CA">
        <w:rPr>
          <w:sz w:val="24"/>
          <w:szCs w:val="24"/>
        </w:rPr>
        <w:br/>
        <w:t>Axel Heides Gade 1</w:t>
      </w:r>
      <w:r w:rsidRPr="009B42CA">
        <w:rPr>
          <w:sz w:val="24"/>
          <w:szCs w:val="24"/>
        </w:rPr>
        <w:br/>
        <w:t>DK-2300 København S</w:t>
      </w:r>
      <w:r w:rsidRPr="009B42CA">
        <w:rPr>
          <w:sz w:val="24"/>
          <w:szCs w:val="24"/>
        </w:rPr>
        <w:br/>
        <w:t xml:space="preserve">Websted: </w:t>
      </w:r>
      <w:hyperlink r:id="rId8" w:history="1">
        <w:r w:rsidRPr="009B42CA">
          <w:rPr>
            <w:rStyle w:val="Hyperlink"/>
            <w:sz w:val="24"/>
            <w:szCs w:val="24"/>
          </w:rPr>
          <w:t>www.meldenbivirkning.dk</w:t>
        </w:r>
      </w:hyperlink>
    </w:p>
    <w:p w14:paraId="341AF0A9" w14:textId="77777777" w:rsidR="009260DE" w:rsidRPr="009B42CA" w:rsidRDefault="009260DE" w:rsidP="00A10294">
      <w:pPr>
        <w:tabs>
          <w:tab w:val="left" w:pos="851"/>
        </w:tabs>
        <w:ind w:left="851"/>
        <w:rPr>
          <w:sz w:val="24"/>
          <w:szCs w:val="24"/>
        </w:rPr>
      </w:pPr>
    </w:p>
    <w:p w14:paraId="088F4795" w14:textId="77777777" w:rsidR="009260DE" w:rsidRPr="009B42CA" w:rsidRDefault="009260DE" w:rsidP="009260DE">
      <w:pPr>
        <w:tabs>
          <w:tab w:val="left" w:pos="851"/>
        </w:tabs>
        <w:ind w:left="851" w:hanging="851"/>
        <w:rPr>
          <w:b/>
          <w:sz w:val="24"/>
          <w:szCs w:val="24"/>
        </w:rPr>
      </w:pPr>
      <w:r w:rsidRPr="009B42CA">
        <w:rPr>
          <w:b/>
          <w:sz w:val="24"/>
          <w:szCs w:val="24"/>
        </w:rPr>
        <w:t>4.9</w:t>
      </w:r>
      <w:r w:rsidRPr="009B42CA">
        <w:rPr>
          <w:b/>
          <w:sz w:val="24"/>
          <w:szCs w:val="24"/>
        </w:rPr>
        <w:tab/>
        <w:t>Overdosering</w:t>
      </w:r>
    </w:p>
    <w:p w14:paraId="552E42AD" w14:textId="77777777" w:rsidR="004A59BF" w:rsidRPr="009B42CA" w:rsidRDefault="004A59BF" w:rsidP="00FF3E62">
      <w:pPr>
        <w:ind w:left="851"/>
        <w:rPr>
          <w:sz w:val="24"/>
          <w:szCs w:val="24"/>
        </w:rPr>
      </w:pPr>
      <w:r w:rsidRPr="009B42CA">
        <w:rPr>
          <w:sz w:val="24"/>
          <w:szCs w:val="24"/>
        </w:rPr>
        <w:t xml:space="preserve">Høje doser af </w:t>
      </w:r>
      <w:proofErr w:type="spellStart"/>
      <w:r w:rsidRPr="009B42CA">
        <w:rPr>
          <w:sz w:val="24"/>
          <w:szCs w:val="24"/>
        </w:rPr>
        <w:t>fludarabin</w:t>
      </w:r>
      <w:proofErr w:type="spellEnd"/>
      <w:r w:rsidRPr="009B42CA">
        <w:rPr>
          <w:sz w:val="24"/>
          <w:szCs w:val="24"/>
        </w:rPr>
        <w:t xml:space="preserve"> er forbundet med </w:t>
      </w:r>
      <w:proofErr w:type="spellStart"/>
      <w:r w:rsidRPr="009B42CA">
        <w:rPr>
          <w:sz w:val="24"/>
          <w:szCs w:val="24"/>
        </w:rPr>
        <w:t>leukoencephalopati</w:t>
      </w:r>
      <w:proofErr w:type="spellEnd"/>
      <w:r w:rsidRPr="009B42CA">
        <w:rPr>
          <w:sz w:val="24"/>
          <w:szCs w:val="24"/>
        </w:rPr>
        <w:t xml:space="preserve">, akut toksisk </w:t>
      </w:r>
      <w:proofErr w:type="spellStart"/>
      <w:r w:rsidRPr="009B42CA">
        <w:rPr>
          <w:sz w:val="24"/>
          <w:szCs w:val="24"/>
        </w:rPr>
        <w:t>leukoencephalopati</w:t>
      </w:r>
      <w:proofErr w:type="spellEnd"/>
      <w:r w:rsidRPr="009B42CA">
        <w:rPr>
          <w:sz w:val="24"/>
          <w:szCs w:val="24"/>
        </w:rPr>
        <w:t xml:space="preserve"> eller reversibel </w:t>
      </w:r>
      <w:proofErr w:type="spellStart"/>
      <w:r w:rsidRPr="009B42CA">
        <w:rPr>
          <w:sz w:val="24"/>
          <w:szCs w:val="24"/>
        </w:rPr>
        <w:t>posterior</w:t>
      </w:r>
      <w:proofErr w:type="spellEnd"/>
      <w:r w:rsidRPr="009B42CA">
        <w:rPr>
          <w:sz w:val="24"/>
          <w:szCs w:val="24"/>
        </w:rPr>
        <w:t xml:space="preserve"> </w:t>
      </w:r>
      <w:proofErr w:type="spellStart"/>
      <w:r w:rsidRPr="009B42CA">
        <w:rPr>
          <w:sz w:val="24"/>
          <w:szCs w:val="24"/>
        </w:rPr>
        <w:t>leukoencephalopati</w:t>
      </w:r>
      <w:proofErr w:type="spellEnd"/>
      <w:r w:rsidRPr="009B42CA">
        <w:rPr>
          <w:sz w:val="24"/>
          <w:szCs w:val="24"/>
        </w:rPr>
        <w:t xml:space="preserve"> syndrom (RPLS). Symptomer kan være hovedpine, kvalme og opkastninger, krampeanfald, synsforstyrrelser såsom synstab, ændret </w:t>
      </w:r>
      <w:proofErr w:type="spellStart"/>
      <w:r w:rsidRPr="009B42CA">
        <w:rPr>
          <w:sz w:val="24"/>
          <w:szCs w:val="24"/>
        </w:rPr>
        <w:t>sensorium</w:t>
      </w:r>
      <w:proofErr w:type="spellEnd"/>
      <w:r w:rsidRPr="009B42CA">
        <w:rPr>
          <w:sz w:val="24"/>
          <w:szCs w:val="24"/>
        </w:rPr>
        <w:t xml:space="preserve"> og </w:t>
      </w:r>
      <w:proofErr w:type="spellStart"/>
      <w:r w:rsidRPr="009B42CA">
        <w:rPr>
          <w:sz w:val="24"/>
          <w:szCs w:val="24"/>
        </w:rPr>
        <w:t>fokale</w:t>
      </w:r>
      <w:proofErr w:type="spellEnd"/>
      <w:r w:rsidRPr="009B42CA">
        <w:rPr>
          <w:sz w:val="24"/>
          <w:szCs w:val="24"/>
        </w:rPr>
        <w:t xml:space="preserve"> neurologiske udfald. Yderligere symptomer kan være optisk </w:t>
      </w:r>
      <w:proofErr w:type="spellStart"/>
      <w:r w:rsidRPr="009B42CA">
        <w:rPr>
          <w:sz w:val="24"/>
          <w:szCs w:val="24"/>
        </w:rPr>
        <w:t>neuritis</w:t>
      </w:r>
      <w:proofErr w:type="spellEnd"/>
      <w:r w:rsidRPr="009B42CA">
        <w:rPr>
          <w:sz w:val="24"/>
          <w:szCs w:val="24"/>
        </w:rPr>
        <w:t xml:space="preserve"> og </w:t>
      </w:r>
      <w:proofErr w:type="spellStart"/>
      <w:r w:rsidRPr="009B42CA">
        <w:rPr>
          <w:sz w:val="24"/>
          <w:szCs w:val="24"/>
        </w:rPr>
        <w:t>papillitis</w:t>
      </w:r>
      <w:proofErr w:type="spellEnd"/>
      <w:r w:rsidRPr="009B42CA">
        <w:rPr>
          <w:sz w:val="24"/>
          <w:szCs w:val="24"/>
        </w:rPr>
        <w:t xml:space="preserve">, forvirring, døsighed, agitation, </w:t>
      </w:r>
      <w:proofErr w:type="spellStart"/>
      <w:r w:rsidRPr="009B42CA">
        <w:rPr>
          <w:sz w:val="24"/>
          <w:szCs w:val="24"/>
        </w:rPr>
        <w:t>paraparese</w:t>
      </w:r>
      <w:proofErr w:type="spellEnd"/>
      <w:r w:rsidRPr="009B42CA">
        <w:rPr>
          <w:sz w:val="24"/>
          <w:szCs w:val="24"/>
        </w:rPr>
        <w:t>/</w:t>
      </w:r>
      <w:proofErr w:type="spellStart"/>
      <w:r w:rsidRPr="009B42CA">
        <w:rPr>
          <w:sz w:val="24"/>
          <w:szCs w:val="24"/>
        </w:rPr>
        <w:t>quadriparese</w:t>
      </w:r>
      <w:proofErr w:type="spellEnd"/>
      <w:r w:rsidRPr="009B42CA">
        <w:rPr>
          <w:sz w:val="24"/>
          <w:szCs w:val="24"/>
        </w:rPr>
        <w:t xml:space="preserve">, muskelspasmer, inkontinens, irreversibel toksisk påvirkning af centralnervesystemet karakteriseret ved forsinket blindhed, koma og død. Høje doser er desuden forbundet med alvorlig </w:t>
      </w:r>
      <w:proofErr w:type="spellStart"/>
      <w:r w:rsidRPr="009B42CA">
        <w:rPr>
          <w:sz w:val="24"/>
          <w:szCs w:val="24"/>
        </w:rPr>
        <w:t>trombocytopeni</w:t>
      </w:r>
      <w:proofErr w:type="spellEnd"/>
      <w:r w:rsidRPr="009B42CA">
        <w:rPr>
          <w:sz w:val="24"/>
          <w:szCs w:val="24"/>
        </w:rPr>
        <w:t xml:space="preserve"> og </w:t>
      </w:r>
      <w:proofErr w:type="spellStart"/>
      <w:r w:rsidRPr="009B42CA">
        <w:rPr>
          <w:sz w:val="24"/>
          <w:szCs w:val="24"/>
        </w:rPr>
        <w:t>neutropeni</w:t>
      </w:r>
      <w:proofErr w:type="spellEnd"/>
      <w:r w:rsidRPr="009B42CA">
        <w:rPr>
          <w:sz w:val="24"/>
          <w:szCs w:val="24"/>
        </w:rPr>
        <w:t xml:space="preserve"> på grund af knoglemarvssuppression. </w:t>
      </w:r>
    </w:p>
    <w:p w14:paraId="6AC0C8A0" w14:textId="77777777" w:rsidR="004A59BF" w:rsidRPr="009B42CA" w:rsidRDefault="004A59BF" w:rsidP="00FF3E62">
      <w:pPr>
        <w:ind w:left="851"/>
        <w:rPr>
          <w:sz w:val="24"/>
          <w:szCs w:val="24"/>
        </w:rPr>
      </w:pPr>
    </w:p>
    <w:p w14:paraId="00DDA3E8" w14:textId="77777777" w:rsidR="004A59BF" w:rsidRPr="009B42CA" w:rsidRDefault="004A59BF" w:rsidP="00FF3E62">
      <w:pPr>
        <w:ind w:left="851"/>
        <w:rPr>
          <w:sz w:val="24"/>
          <w:szCs w:val="24"/>
        </w:rPr>
      </w:pPr>
      <w:r w:rsidRPr="009B42CA">
        <w:rPr>
          <w:sz w:val="24"/>
          <w:szCs w:val="24"/>
        </w:rPr>
        <w:t xml:space="preserve">Der findes ingen kendt </w:t>
      </w:r>
      <w:proofErr w:type="spellStart"/>
      <w:r w:rsidRPr="009B42CA">
        <w:rPr>
          <w:sz w:val="24"/>
          <w:szCs w:val="24"/>
        </w:rPr>
        <w:t>antidot</w:t>
      </w:r>
      <w:proofErr w:type="spellEnd"/>
      <w:r w:rsidRPr="009B42CA">
        <w:rPr>
          <w:sz w:val="24"/>
          <w:szCs w:val="24"/>
        </w:rPr>
        <w:t xml:space="preserve"> mod overdosering af </w:t>
      </w:r>
      <w:proofErr w:type="spellStart"/>
      <w:r w:rsidRPr="009B42CA">
        <w:rPr>
          <w:sz w:val="24"/>
          <w:szCs w:val="24"/>
        </w:rPr>
        <w:t>fludarabin</w:t>
      </w:r>
      <w:proofErr w:type="spellEnd"/>
      <w:r w:rsidRPr="009B42CA">
        <w:rPr>
          <w:sz w:val="24"/>
          <w:szCs w:val="24"/>
        </w:rPr>
        <w:t xml:space="preserve">. Behandling består i </w:t>
      </w:r>
      <w:proofErr w:type="spellStart"/>
      <w:r w:rsidRPr="009B42CA">
        <w:rPr>
          <w:sz w:val="24"/>
          <w:szCs w:val="24"/>
        </w:rPr>
        <w:t>seponering</w:t>
      </w:r>
      <w:proofErr w:type="spellEnd"/>
      <w:r w:rsidRPr="009B42CA">
        <w:rPr>
          <w:sz w:val="24"/>
          <w:szCs w:val="24"/>
        </w:rPr>
        <w:t xml:space="preserve"> af lægemidlet og understøttende behandling.</w:t>
      </w:r>
    </w:p>
    <w:p w14:paraId="24808295" w14:textId="77777777" w:rsidR="009260DE" w:rsidRPr="009B42CA" w:rsidRDefault="009260DE" w:rsidP="009260DE">
      <w:pPr>
        <w:tabs>
          <w:tab w:val="left" w:pos="851"/>
        </w:tabs>
        <w:ind w:left="851"/>
        <w:rPr>
          <w:sz w:val="24"/>
          <w:szCs w:val="24"/>
        </w:rPr>
      </w:pPr>
    </w:p>
    <w:p w14:paraId="711E632B" w14:textId="77777777" w:rsidR="009260DE" w:rsidRPr="009B42CA" w:rsidRDefault="009260DE" w:rsidP="009260DE">
      <w:pPr>
        <w:tabs>
          <w:tab w:val="left" w:pos="851"/>
        </w:tabs>
        <w:ind w:left="851" w:hanging="851"/>
        <w:rPr>
          <w:b/>
          <w:sz w:val="24"/>
          <w:szCs w:val="24"/>
        </w:rPr>
      </w:pPr>
      <w:r w:rsidRPr="009B42CA">
        <w:rPr>
          <w:b/>
          <w:sz w:val="24"/>
          <w:szCs w:val="24"/>
        </w:rPr>
        <w:t>4.10</w:t>
      </w:r>
      <w:r w:rsidRPr="009B42CA">
        <w:rPr>
          <w:b/>
          <w:sz w:val="24"/>
          <w:szCs w:val="24"/>
        </w:rPr>
        <w:tab/>
        <w:t>Udlevering</w:t>
      </w:r>
    </w:p>
    <w:p w14:paraId="35CF6F0B" w14:textId="3DDD577E" w:rsidR="009260DE" w:rsidRPr="009B42CA" w:rsidRDefault="00FF3E62" w:rsidP="009260DE">
      <w:pPr>
        <w:tabs>
          <w:tab w:val="left" w:pos="851"/>
        </w:tabs>
        <w:ind w:left="851"/>
        <w:rPr>
          <w:sz w:val="24"/>
          <w:szCs w:val="24"/>
        </w:rPr>
      </w:pPr>
      <w:r w:rsidRPr="009B42CA">
        <w:rPr>
          <w:sz w:val="24"/>
          <w:szCs w:val="24"/>
        </w:rPr>
        <w:t>A</w:t>
      </w:r>
    </w:p>
    <w:p w14:paraId="71E3CDBD" w14:textId="77777777" w:rsidR="009260DE" w:rsidRPr="009B42CA" w:rsidRDefault="009260DE" w:rsidP="009260DE">
      <w:pPr>
        <w:tabs>
          <w:tab w:val="left" w:pos="851"/>
        </w:tabs>
        <w:ind w:left="851"/>
        <w:rPr>
          <w:sz w:val="24"/>
          <w:szCs w:val="24"/>
        </w:rPr>
      </w:pPr>
    </w:p>
    <w:p w14:paraId="4B58B635" w14:textId="77777777" w:rsidR="009260DE" w:rsidRPr="009B42CA" w:rsidRDefault="009260DE" w:rsidP="009260DE">
      <w:pPr>
        <w:tabs>
          <w:tab w:val="left" w:pos="851"/>
        </w:tabs>
        <w:ind w:left="851"/>
        <w:rPr>
          <w:sz w:val="24"/>
          <w:szCs w:val="24"/>
        </w:rPr>
      </w:pPr>
    </w:p>
    <w:p w14:paraId="2552F47C" w14:textId="77777777" w:rsidR="009260DE" w:rsidRPr="009B42CA" w:rsidRDefault="009260DE" w:rsidP="009260DE">
      <w:pPr>
        <w:tabs>
          <w:tab w:val="left" w:pos="851"/>
        </w:tabs>
        <w:ind w:left="851" w:hanging="851"/>
        <w:rPr>
          <w:b/>
          <w:sz w:val="24"/>
          <w:szCs w:val="24"/>
        </w:rPr>
      </w:pPr>
      <w:r w:rsidRPr="009B42CA">
        <w:rPr>
          <w:b/>
          <w:sz w:val="24"/>
          <w:szCs w:val="24"/>
        </w:rPr>
        <w:lastRenderedPageBreak/>
        <w:t>5.</w:t>
      </w:r>
      <w:r w:rsidRPr="009B42CA">
        <w:rPr>
          <w:b/>
          <w:sz w:val="24"/>
          <w:szCs w:val="24"/>
        </w:rPr>
        <w:tab/>
        <w:t>FARMAKOLOGISKE EGENSKABER</w:t>
      </w:r>
    </w:p>
    <w:p w14:paraId="7A79FBBB" w14:textId="77777777" w:rsidR="009260DE" w:rsidRPr="009B42CA" w:rsidRDefault="009260DE" w:rsidP="009260DE">
      <w:pPr>
        <w:tabs>
          <w:tab w:val="left" w:pos="851"/>
        </w:tabs>
        <w:ind w:left="851"/>
        <w:rPr>
          <w:sz w:val="24"/>
          <w:szCs w:val="24"/>
        </w:rPr>
      </w:pPr>
    </w:p>
    <w:p w14:paraId="34BB2819" w14:textId="77777777" w:rsidR="009260DE" w:rsidRPr="009B42CA" w:rsidRDefault="009260DE" w:rsidP="009260DE">
      <w:pPr>
        <w:tabs>
          <w:tab w:val="num" w:pos="851"/>
        </w:tabs>
        <w:ind w:left="851" w:hanging="851"/>
        <w:rPr>
          <w:b/>
          <w:sz w:val="24"/>
          <w:szCs w:val="24"/>
        </w:rPr>
      </w:pPr>
      <w:r w:rsidRPr="009B42CA">
        <w:rPr>
          <w:b/>
          <w:sz w:val="24"/>
          <w:szCs w:val="24"/>
        </w:rPr>
        <w:t>5.1</w:t>
      </w:r>
      <w:r w:rsidRPr="009B42CA">
        <w:rPr>
          <w:b/>
          <w:sz w:val="24"/>
          <w:szCs w:val="24"/>
        </w:rPr>
        <w:tab/>
      </w:r>
      <w:proofErr w:type="spellStart"/>
      <w:r w:rsidRPr="009B42CA">
        <w:rPr>
          <w:b/>
          <w:sz w:val="24"/>
          <w:szCs w:val="24"/>
        </w:rPr>
        <w:t>Farmakodynamiske</w:t>
      </w:r>
      <w:proofErr w:type="spellEnd"/>
      <w:r w:rsidRPr="009B42CA">
        <w:rPr>
          <w:b/>
          <w:sz w:val="24"/>
          <w:szCs w:val="24"/>
        </w:rPr>
        <w:t xml:space="preserve"> egenskaber</w:t>
      </w:r>
    </w:p>
    <w:p w14:paraId="6317E14E" w14:textId="0417D1D3" w:rsidR="004A59BF" w:rsidRPr="009B42CA" w:rsidRDefault="004A59BF" w:rsidP="00FF3E62">
      <w:pPr>
        <w:ind w:left="851"/>
        <w:rPr>
          <w:sz w:val="24"/>
          <w:szCs w:val="24"/>
        </w:rPr>
      </w:pPr>
      <w:proofErr w:type="spellStart"/>
      <w:r w:rsidRPr="009B42CA">
        <w:rPr>
          <w:sz w:val="24"/>
          <w:szCs w:val="24"/>
        </w:rPr>
        <w:t>Farmakoterapeutisk</w:t>
      </w:r>
      <w:proofErr w:type="spellEnd"/>
      <w:r w:rsidRPr="009B42CA">
        <w:rPr>
          <w:sz w:val="24"/>
          <w:szCs w:val="24"/>
        </w:rPr>
        <w:t xml:space="preserve"> klassifikation: </w:t>
      </w:r>
      <w:proofErr w:type="spellStart"/>
      <w:r w:rsidRPr="009B42CA">
        <w:rPr>
          <w:sz w:val="24"/>
          <w:szCs w:val="24"/>
        </w:rPr>
        <w:t>Antineoplastiske</w:t>
      </w:r>
      <w:proofErr w:type="spellEnd"/>
      <w:r w:rsidRPr="009B42CA">
        <w:rPr>
          <w:sz w:val="24"/>
          <w:szCs w:val="24"/>
        </w:rPr>
        <w:t xml:space="preserve"> stoffer, ATC-kode: L01BB05.</w:t>
      </w:r>
    </w:p>
    <w:p w14:paraId="262B50C5" w14:textId="77777777" w:rsidR="004A59BF" w:rsidRPr="009B42CA" w:rsidRDefault="004A59BF" w:rsidP="00FF3E62">
      <w:pPr>
        <w:ind w:left="851"/>
        <w:rPr>
          <w:sz w:val="24"/>
          <w:szCs w:val="24"/>
        </w:rPr>
      </w:pPr>
    </w:p>
    <w:p w14:paraId="66C64A77" w14:textId="77777777" w:rsidR="004A59BF" w:rsidRPr="009B42CA" w:rsidRDefault="004A59BF" w:rsidP="00FF3E62">
      <w:pPr>
        <w:ind w:left="851"/>
        <w:rPr>
          <w:bCs/>
          <w:sz w:val="24"/>
          <w:szCs w:val="24"/>
          <w:u w:val="single"/>
        </w:rPr>
      </w:pPr>
      <w:r w:rsidRPr="009B42CA">
        <w:rPr>
          <w:bCs/>
          <w:sz w:val="24"/>
          <w:szCs w:val="24"/>
          <w:u w:val="single"/>
        </w:rPr>
        <w:t xml:space="preserve">Virkningsmekanisme </w:t>
      </w:r>
    </w:p>
    <w:p w14:paraId="60239A36" w14:textId="76790326" w:rsidR="004A59BF" w:rsidRPr="009B42CA" w:rsidRDefault="004A59BF" w:rsidP="00FF3E62">
      <w:pPr>
        <w:ind w:left="851"/>
        <w:rPr>
          <w:bCs/>
          <w:sz w:val="24"/>
          <w:szCs w:val="24"/>
        </w:rPr>
      </w:pPr>
      <w:proofErr w:type="spellStart"/>
      <w:r w:rsidRPr="009B42CA">
        <w:rPr>
          <w:bCs/>
          <w:sz w:val="24"/>
          <w:szCs w:val="24"/>
        </w:rPr>
        <w:t>Fludarabinphosphat</w:t>
      </w:r>
      <w:proofErr w:type="spellEnd"/>
      <w:r w:rsidRPr="009B42CA">
        <w:rPr>
          <w:bCs/>
          <w:sz w:val="24"/>
          <w:szCs w:val="24"/>
        </w:rPr>
        <w:t xml:space="preserve"> </w:t>
      </w:r>
      <w:r w:rsidR="00EC015B">
        <w:rPr>
          <w:bCs/>
          <w:sz w:val="24"/>
          <w:szCs w:val="24"/>
        </w:rPr>
        <w:t>"</w:t>
      </w:r>
      <w:proofErr w:type="spellStart"/>
      <w:r w:rsidR="00EC015B">
        <w:rPr>
          <w:bCs/>
          <w:sz w:val="24"/>
          <w:szCs w:val="24"/>
        </w:rPr>
        <w:t>Teva</w:t>
      </w:r>
      <w:proofErr w:type="spellEnd"/>
      <w:r w:rsidR="00EC015B">
        <w:rPr>
          <w:bCs/>
          <w:sz w:val="24"/>
          <w:szCs w:val="24"/>
        </w:rPr>
        <w:t>"</w:t>
      </w:r>
      <w:r w:rsidRPr="009B42CA">
        <w:rPr>
          <w:bCs/>
          <w:sz w:val="24"/>
          <w:szCs w:val="24"/>
        </w:rPr>
        <w:t xml:space="preserve"> 25 mg/ml </w:t>
      </w:r>
      <w:r w:rsidRPr="009B42CA">
        <w:rPr>
          <w:sz w:val="24"/>
          <w:szCs w:val="24"/>
        </w:rPr>
        <w:t>injektions-/infusionsvæske, opløsning</w:t>
      </w:r>
      <w:r w:rsidRPr="009B42CA">
        <w:rPr>
          <w:bCs/>
          <w:sz w:val="24"/>
          <w:szCs w:val="24"/>
        </w:rPr>
        <w:t xml:space="preserve"> indeholder </w:t>
      </w:r>
      <w:proofErr w:type="spellStart"/>
      <w:r w:rsidRPr="009B42CA">
        <w:rPr>
          <w:bCs/>
          <w:sz w:val="24"/>
          <w:szCs w:val="24"/>
        </w:rPr>
        <w:t>fludarabinphosphat</w:t>
      </w:r>
      <w:proofErr w:type="spellEnd"/>
      <w:r w:rsidRPr="009B42CA">
        <w:rPr>
          <w:bCs/>
          <w:sz w:val="24"/>
          <w:szCs w:val="24"/>
        </w:rPr>
        <w:t xml:space="preserve">, en vandopløselig </w:t>
      </w:r>
      <w:proofErr w:type="spellStart"/>
      <w:r w:rsidRPr="009B42CA">
        <w:rPr>
          <w:bCs/>
          <w:sz w:val="24"/>
          <w:szCs w:val="24"/>
        </w:rPr>
        <w:t>fluoreret</w:t>
      </w:r>
      <w:proofErr w:type="spellEnd"/>
      <w:r w:rsidRPr="009B42CA">
        <w:rPr>
          <w:bCs/>
          <w:sz w:val="24"/>
          <w:szCs w:val="24"/>
        </w:rPr>
        <w:t xml:space="preserve"> </w:t>
      </w:r>
      <w:proofErr w:type="spellStart"/>
      <w:r w:rsidRPr="009B42CA">
        <w:rPr>
          <w:bCs/>
          <w:sz w:val="24"/>
          <w:szCs w:val="24"/>
        </w:rPr>
        <w:t>nukleosidanalog</w:t>
      </w:r>
      <w:proofErr w:type="spellEnd"/>
      <w:r w:rsidRPr="009B42CA">
        <w:rPr>
          <w:bCs/>
          <w:sz w:val="24"/>
          <w:szCs w:val="24"/>
        </w:rPr>
        <w:t xml:space="preserve"> til det antivirale stof </w:t>
      </w:r>
      <w:proofErr w:type="spellStart"/>
      <w:r w:rsidRPr="009B42CA">
        <w:rPr>
          <w:bCs/>
          <w:sz w:val="24"/>
          <w:szCs w:val="24"/>
        </w:rPr>
        <w:t>vidarabin</w:t>
      </w:r>
      <w:proofErr w:type="spellEnd"/>
      <w:r w:rsidRPr="009B42CA">
        <w:rPr>
          <w:bCs/>
          <w:sz w:val="24"/>
          <w:szCs w:val="24"/>
        </w:rPr>
        <w:t>, 9-β-D-</w:t>
      </w:r>
      <w:proofErr w:type="spellStart"/>
      <w:r w:rsidRPr="009B42CA">
        <w:rPr>
          <w:bCs/>
          <w:sz w:val="24"/>
          <w:szCs w:val="24"/>
        </w:rPr>
        <w:t>arabinofuranosyladenin</w:t>
      </w:r>
      <w:proofErr w:type="spellEnd"/>
      <w:r w:rsidRPr="009B42CA">
        <w:rPr>
          <w:bCs/>
          <w:sz w:val="24"/>
          <w:szCs w:val="24"/>
        </w:rPr>
        <w:t xml:space="preserve"> (ara-A), som er relativ resistent over for </w:t>
      </w:r>
      <w:proofErr w:type="spellStart"/>
      <w:r w:rsidRPr="009B42CA">
        <w:rPr>
          <w:bCs/>
          <w:sz w:val="24"/>
          <w:szCs w:val="24"/>
        </w:rPr>
        <w:t>deaminering</w:t>
      </w:r>
      <w:proofErr w:type="spellEnd"/>
      <w:r w:rsidRPr="009B42CA">
        <w:rPr>
          <w:bCs/>
          <w:sz w:val="24"/>
          <w:szCs w:val="24"/>
        </w:rPr>
        <w:t xml:space="preserve"> ved </w:t>
      </w:r>
      <w:proofErr w:type="spellStart"/>
      <w:r w:rsidRPr="009B42CA">
        <w:rPr>
          <w:bCs/>
          <w:sz w:val="24"/>
          <w:szCs w:val="24"/>
        </w:rPr>
        <w:t>adenosindeaminase</w:t>
      </w:r>
      <w:proofErr w:type="spellEnd"/>
      <w:r w:rsidRPr="009B42CA">
        <w:rPr>
          <w:bCs/>
          <w:sz w:val="24"/>
          <w:szCs w:val="24"/>
        </w:rPr>
        <w:t>.</w:t>
      </w:r>
    </w:p>
    <w:p w14:paraId="50DFE16F" w14:textId="77777777" w:rsidR="004A59BF" w:rsidRPr="009B42CA" w:rsidRDefault="004A59BF" w:rsidP="00FF3E62">
      <w:pPr>
        <w:ind w:left="851"/>
        <w:rPr>
          <w:bCs/>
          <w:sz w:val="24"/>
          <w:szCs w:val="24"/>
        </w:rPr>
      </w:pPr>
    </w:p>
    <w:p w14:paraId="37D834AB" w14:textId="77777777" w:rsidR="004A59BF" w:rsidRPr="009B42CA" w:rsidRDefault="004A59BF" w:rsidP="00FF3E62">
      <w:pPr>
        <w:ind w:left="851"/>
        <w:rPr>
          <w:sz w:val="24"/>
          <w:szCs w:val="24"/>
        </w:rPr>
      </w:pPr>
      <w:proofErr w:type="spellStart"/>
      <w:r w:rsidRPr="009B42CA">
        <w:rPr>
          <w:sz w:val="24"/>
          <w:szCs w:val="24"/>
        </w:rPr>
        <w:t>Fludarabinphosphat</w:t>
      </w:r>
      <w:proofErr w:type="spellEnd"/>
      <w:r w:rsidRPr="009B42CA">
        <w:rPr>
          <w:sz w:val="24"/>
          <w:szCs w:val="24"/>
        </w:rPr>
        <w:t xml:space="preserve"> </w:t>
      </w:r>
      <w:proofErr w:type="spellStart"/>
      <w:r w:rsidRPr="009B42CA">
        <w:rPr>
          <w:sz w:val="24"/>
          <w:szCs w:val="24"/>
        </w:rPr>
        <w:t>defosforyleres</w:t>
      </w:r>
      <w:proofErr w:type="spellEnd"/>
      <w:r w:rsidRPr="009B42CA">
        <w:rPr>
          <w:sz w:val="24"/>
          <w:szCs w:val="24"/>
        </w:rPr>
        <w:t xml:space="preserve"> hurtigt til 2F-ara-A, som optages af cellerne og efterfølgende </w:t>
      </w:r>
      <w:proofErr w:type="spellStart"/>
      <w:r w:rsidRPr="009B42CA">
        <w:rPr>
          <w:sz w:val="24"/>
          <w:szCs w:val="24"/>
        </w:rPr>
        <w:t>fosforyleres</w:t>
      </w:r>
      <w:proofErr w:type="spellEnd"/>
      <w:r w:rsidRPr="009B42CA">
        <w:rPr>
          <w:sz w:val="24"/>
          <w:szCs w:val="24"/>
        </w:rPr>
        <w:t xml:space="preserve"> intracellulært ved </w:t>
      </w:r>
      <w:proofErr w:type="spellStart"/>
      <w:r w:rsidRPr="009B42CA">
        <w:rPr>
          <w:sz w:val="24"/>
          <w:szCs w:val="24"/>
        </w:rPr>
        <w:t>deoxycytidinkinase</w:t>
      </w:r>
      <w:proofErr w:type="spellEnd"/>
      <w:r w:rsidRPr="009B42CA">
        <w:rPr>
          <w:sz w:val="24"/>
          <w:szCs w:val="24"/>
        </w:rPr>
        <w:t xml:space="preserve"> til det aktive trifosfat 2F-ara-ATP. Denne metabolit har vist sig at hæmme </w:t>
      </w:r>
      <w:proofErr w:type="spellStart"/>
      <w:r w:rsidRPr="009B42CA">
        <w:rPr>
          <w:sz w:val="24"/>
          <w:szCs w:val="24"/>
        </w:rPr>
        <w:t>ribonukleotidreduktase</w:t>
      </w:r>
      <w:proofErr w:type="spellEnd"/>
      <w:r w:rsidRPr="009B42CA">
        <w:rPr>
          <w:sz w:val="24"/>
          <w:szCs w:val="24"/>
        </w:rPr>
        <w:t>, DNA-polymerase α/δ og ε, DNA-</w:t>
      </w:r>
      <w:proofErr w:type="spellStart"/>
      <w:r w:rsidRPr="009B42CA">
        <w:rPr>
          <w:sz w:val="24"/>
          <w:szCs w:val="24"/>
        </w:rPr>
        <w:t>primase</w:t>
      </w:r>
      <w:proofErr w:type="spellEnd"/>
      <w:r w:rsidRPr="009B42CA">
        <w:rPr>
          <w:sz w:val="24"/>
          <w:szCs w:val="24"/>
        </w:rPr>
        <w:t xml:space="preserve"> og DNA-</w:t>
      </w:r>
      <w:proofErr w:type="spellStart"/>
      <w:r w:rsidRPr="009B42CA">
        <w:rPr>
          <w:sz w:val="24"/>
          <w:szCs w:val="24"/>
        </w:rPr>
        <w:t>ligase</w:t>
      </w:r>
      <w:proofErr w:type="spellEnd"/>
      <w:r w:rsidRPr="009B42CA">
        <w:rPr>
          <w:sz w:val="24"/>
          <w:szCs w:val="24"/>
        </w:rPr>
        <w:t>, hvorved DNA-syntesen hæmmes. Desuden hæmmes RNA-polymerase II delvist med efterfølgende reduktion i proteinsyntesen.</w:t>
      </w:r>
    </w:p>
    <w:p w14:paraId="7C6959B0" w14:textId="77777777" w:rsidR="004A59BF" w:rsidRPr="009B42CA" w:rsidRDefault="004A59BF" w:rsidP="00FF3E62">
      <w:pPr>
        <w:ind w:left="851"/>
        <w:rPr>
          <w:bCs/>
          <w:sz w:val="24"/>
          <w:szCs w:val="24"/>
        </w:rPr>
      </w:pPr>
    </w:p>
    <w:p w14:paraId="70A29F68" w14:textId="77777777" w:rsidR="004A59BF" w:rsidRPr="009B42CA" w:rsidRDefault="004A59BF" w:rsidP="00FF3E62">
      <w:pPr>
        <w:ind w:left="851"/>
        <w:rPr>
          <w:sz w:val="24"/>
          <w:szCs w:val="24"/>
        </w:rPr>
      </w:pPr>
      <w:r w:rsidRPr="009B42CA">
        <w:rPr>
          <w:sz w:val="24"/>
          <w:szCs w:val="24"/>
        </w:rPr>
        <w:t xml:space="preserve">Selv om nogle aspekter af virkningsmekanismen for 2F-ara-ATP stadig er uklare, antages det, at virkningerne på DNA, RNA og proteinsyntesen alle bidrager til at hæmme cellevækst, hvor hæmningen af DNA-syntesen udgør den vigtigste faktor. </w:t>
      </w:r>
      <w:r w:rsidRPr="009B42CA">
        <w:rPr>
          <w:i/>
          <w:iCs/>
          <w:sz w:val="24"/>
          <w:szCs w:val="24"/>
        </w:rPr>
        <w:t xml:space="preserve">In </w:t>
      </w:r>
      <w:proofErr w:type="spellStart"/>
      <w:r w:rsidRPr="009B42CA">
        <w:rPr>
          <w:i/>
          <w:iCs/>
          <w:sz w:val="24"/>
          <w:szCs w:val="24"/>
        </w:rPr>
        <w:t>vitro</w:t>
      </w:r>
      <w:proofErr w:type="spellEnd"/>
      <w:r w:rsidRPr="009B42CA">
        <w:rPr>
          <w:sz w:val="24"/>
          <w:szCs w:val="24"/>
        </w:rPr>
        <w:t xml:space="preserve">-studier har desuden vist, at eksponering af CLL-lymfocytter for 2F-ara-A udløser omfattende DNA-fragmentering og </w:t>
      </w:r>
      <w:proofErr w:type="spellStart"/>
      <w:r w:rsidRPr="009B42CA">
        <w:rPr>
          <w:sz w:val="24"/>
          <w:szCs w:val="24"/>
        </w:rPr>
        <w:t>celledød</w:t>
      </w:r>
      <w:proofErr w:type="spellEnd"/>
      <w:r w:rsidRPr="009B42CA">
        <w:rPr>
          <w:sz w:val="24"/>
          <w:szCs w:val="24"/>
        </w:rPr>
        <w:t xml:space="preserve"> karakteriseret ved </w:t>
      </w:r>
      <w:proofErr w:type="spellStart"/>
      <w:r w:rsidRPr="009B42CA">
        <w:rPr>
          <w:sz w:val="24"/>
          <w:szCs w:val="24"/>
        </w:rPr>
        <w:t>apoptose</w:t>
      </w:r>
      <w:proofErr w:type="spellEnd"/>
      <w:r w:rsidRPr="009B42CA">
        <w:rPr>
          <w:sz w:val="24"/>
          <w:szCs w:val="24"/>
        </w:rPr>
        <w:t>.</w:t>
      </w:r>
    </w:p>
    <w:p w14:paraId="29CA5D55" w14:textId="77777777" w:rsidR="004A59BF" w:rsidRPr="009B42CA" w:rsidRDefault="004A59BF" w:rsidP="00FF3E62">
      <w:pPr>
        <w:ind w:left="851"/>
        <w:rPr>
          <w:bCs/>
          <w:sz w:val="24"/>
          <w:szCs w:val="24"/>
        </w:rPr>
      </w:pPr>
    </w:p>
    <w:p w14:paraId="536B45CB" w14:textId="77777777" w:rsidR="004A59BF" w:rsidRPr="009B42CA" w:rsidRDefault="004A59BF" w:rsidP="00FF3E62">
      <w:pPr>
        <w:ind w:left="851"/>
        <w:rPr>
          <w:sz w:val="24"/>
          <w:szCs w:val="24"/>
          <w:u w:val="single"/>
        </w:rPr>
      </w:pPr>
      <w:r w:rsidRPr="009B42CA">
        <w:rPr>
          <w:bCs/>
          <w:sz w:val="24"/>
          <w:szCs w:val="24"/>
          <w:u w:val="single"/>
        </w:rPr>
        <w:t>Klinisk virkning og sikkerhed</w:t>
      </w:r>
      <w:r w:rsidRPr="009B42CA">
        <w:rPr>
          <w:sz w:val="24"/>
          <w:szCs w:val="24"/>
          <w:u w:val="single"/>
        </w:rPr>
        <w:t xml:space="preserve"> </w:t>
      </w:r>
    </w:p>
    <w:p w14:paraId="55615443" w14:textId="77777777" w:rsidR="004A59BF" w:rsidRPr="009B42CA" w:rsidRDefault="004A59BF" w:rsidP="00FF3E62">
      <w:pPr>
        <w:ind w:left="851"/>
        <w:rPr>
          <w:sz w:val="24"/>
          <w:szCs w:val="24"/>
        </w:rPr>
      </w:pPr>
      <w:r w:rsidRPr="009B42CA">
        <w:rPr>
          <w:sz w:val="24"/>
          <w:szCs w:val="24"/>
        </w:rPr>
        <w:t xml:space="preserve">Et fase III-studie hos patienter med ubehandlet B-kronisk lymfatisk leukæmi i anamnesen, som sammenlignede behandling med </w:t>
      </w:r>
      <w:proofErr w:type="spellStart"/>
      <w:r w:rsidRPr="009B42CA">
        <w:rPr>
          <w:sz w:val="24"/>
          <w:szCs w:val="24"/>
        </w:rPr>
        <w:t>fludarabin</w:t>
      </w:r>
      <w:proofErr w:type="spellEnd"/>
      <w:r w:rsidRPr="009B42CA">
        <w:rPr>
          <w:sz w:val="24"/>
          <w:szCs w:val="24"/>
        </w:rPr>
        <w:t xml:space="preserve"> vs. </w:t>
      </w:r>
      <w:proofErr w:type="spellStart"/>
      <w:r w:rsidRPr="009B42CA">
        <w:rPr>
          <w:sz w:val="24"/>
          <w:szCs w:val="24"/>
        </w:rPr>
        <w:t>chlorambucil</w:t>
      </w:r>
      <w:proofErr w:type="spellEnd"/>
      <w:r w:rsidRPr="009B42CA">
        <w:rPr>
          <w:sz w:val="24"/>
          <w:szCs w:val="24"/>
        </w:rPr>
        <w:t xml:space="preserve"> (40 mg/m</w:t>
      </w:r>
      <w:r w:rsidRPr="009B42CA">
        <w:rPr>
          <w:sz w:val="24"/>
          <w:szCs w:val="24"/>
          <w:vertAlign w:val="superscript"/>
        </w:rPr>
        <w:t>2</w:t>
      </w:r>
      <w:r w:rsidRPr="009B42CA">
        <w:rPr>
          <w:sz w:val="24"/>
          <w:szCs w:val="24"/>
        </w:rPr>
        <w:t xml:space="preserve"> q4 uger) hos henholdsvis 195 og 199 patienter, viste følgende: statistisk signifikant højere samlet respons og komplet respons efter første linje-behandling med </w:t>
      </w:r>
      <w:proofErr w:type="spellStart"/>
      <w:r w:rsidRPr="009B42CA">
        <w:rPr>
          <w:sz w:val="24"/>
          <w:szCs w:val="24"/>
        </w:rPr>
        <w:t>fludarabin</w:t>
      </w:r>
      <w:proofErr w:type="spellEnd"/>
      <w:r w:rsidRPr="009B42CA">
        <w:rPr>
          <w:sz w:val="24"/>
          <w:szCs w:val="24"/>
        </w:rPr>
        <w:t xml:space="preserve"> sammenlignet med </w:t>
      </w:r>
      <w:proofErr w:type="spellStart"/>
      <w:r w:rsidRPr="009B42CA">
        <w:rPr>
          <w:sz w:val="24"/>
          <w:szCs w:val="24"/>
        </w:rPr>
        <w:t>chlorambucil</w:t>
      </w:r>
      <w:proofErr w:type="spellEnd"/>
      <w:r w:rsidRPr="009B42CA">
        <w:rPr>
          <w:sz w:val="24"/>
          <w:szCs w:val="24"/>
        </w:rPr>
        <w:t xml:space="preserve"> (henholdsvis 61,1 % vs. 37,6 % og 14,9 % vs. 3,4 %), statistisk signifikant længere responstid (19 vs. 12,2 måneder) og tid til progression (17 vs. 13,2 måneder) for patienter, der fik </w:t>
      </w:r>
      <w:proofErr w:type="spellStart"/>
      <w:r w:rsidRPr="009B42CA">
        <w:rPr>
          <w:sz w:val="24"/>
          <w:szCs w:val="24"/>
        </w:rPr>
        <w:t>fludarabin</w:t>
      </w:r>
      <w:proofErr w:type="spellEnd"/>
      <w:r w:rsidRPr="009B42CA">
        <w:rPr>
          <w:sz w:val="24"/>
          <w:szCs w:val="24"/>
        </w:rPr>
        <w:t xml:space="preserve">. Den gennemsnitlige overlevelse i de to patientgrupper var 56,1 måneder for </w:t>
      </w:r>
      <w:proofErr w:type="spellStart"/>
      <w:r w:rsidRPr="009B42CA">
        <w:rPr>
          <w:sz w:val="24"/>
          <w:szCs w:val="24"/>
        </w:rPr>
        <w:t>fludarabin</w:t>
      </w:r>
      <w:proofErr w:type="spellEnd"/>
      <w:r w:rsidRPr="009B42CA">
        <w:rPr>
          <w:sz w:val="24"/>
          <w:szCs w:val="24"/>
        </w:rPr>
        <w:t xml:space="preserve"> og 55,1 måneder for </w:t>
      </w:r>
      <w:proofErr w:type="spellStart"/>
      <w:r w:rsidRPr="009B42CA">
        <w:rPr>
          <w:sz w:val="24"/>
          <w:szCs w:val="24"/>
        </w:rPr>
        <w:t>chlorambucil</w:t>
      </w:r>
      <w:proofErr w:type="spellEnd"/>
      <w:r w:rsidRPr="009B42CA">
        <w:rPr>
          <w:sz w:val="24"/>
          <w:szCs w:val="24"/>
        </w:rPr>
        <w:t xml:space="preserve">. Der var desuden ikke-signifikant forskel i performancestatus. Andelen af patienter, hvor der blev rapporteret toksicitet var sammenlignelig mellem patienter i behandling med hhv. </w:t>
      </w:r>
      <w:proofErr w:type="spellStart"/>
      <w:r w:rsidRPr="009B42CA">
        <w:rPr>
          <w:sz w:val="24"/>
          <w:szCs w:val="24"/>
        </w:rPr>
        <w:t>fludarabin</w:t>
      </w:r>
      <w:proofErr w:type="spellEnd"/>
      <w:r w:rsidRPr="009B42CA">
        <w:rPr>
          <w:sz w:val="24"/>
          <w:szCs w:val="24"/>
        </w:rPr>
        <w:t xml:space="preserve"> (89,7 %) og </w:t>
      </w:r>
      <w:proofErr w:type="spellStart"/>
      <w:r w:rsidRPr="009B42CA">
        <w:rPr>
          <w:sz w:val="24"/>
          <w:szCs w:val="24"/>
        </w:rPr>
        <w:t>chlorambucil</w:t>
      </w:r>
      <w:proofErr w:type="spellEnd"/>
      <w:r w:rsidRPr="009B42CA">
        <w:rPr>
          <w:sz w:val="24"/>
          <w:szCs w:val="24"/>
        </w:rPr>
        <w:t xml:space="preserve"> (89,9 %). Selv om der ikke var væsentlig forskel i den samlede forekomst af hæmatologisk toksicitet de to behandlingsgrupper imellem, oplevede en væsentlig højere andel af de patienter, der blev behandlet med </w:t>
      </w:r>
      <w:proofErr w:type="spellStart"/>
      <w:r w:rsidRPr="009B42CA">
        <w:rPr>
          <w:sz w:val="24"/>
          <w:szCs w:val="24"/>
        </w:rPr>
        <w:t>fludarabin</w:t>
      </w:r>
      <w:proofErr w:type="spellEnd"/>
      <w:r w:rsidRPr="009B42CA">
        <w:rPr>
          <w:sz w:val="24"/>
          <w:szCs w:val="24"/>
        </w:rPr>
        <w:t xml:space="preserve">, toksicitet i det hvide blodlegemer (p=0,0054) og lymfocytter (p=0,0240) end </w:t>
      </w:r>
      <w:proofErr w:type="spellStart"/>
      <w:r w:rsidRPr="009B42CA">
        <w:rPr>
          <w:sz w:val="24"/>
          <w:szCs w:val="24"/>
        </w:rPr>
        <w:t>chlorambucil</w:t>
      </w:r>
      <w:proofErr w:type="spellEnd"/>
      <w:r w:rsidRPr="009B42CA">
        <w:rPr>
          <w:sz w:val="24"/>
          <w:szCs w:val="24"/>
        </w:rPr>
        <w:t xml:space="preserve">-patienter. Andelen af patienter, der oplevede kvalme, opkastning og diarré, var betydeligt lavere blandt patienter i behandling med </w:t>
      </w:r>
      <w:proofErr w:type="spellStart"/>
      <w:r w:rsidRPr="009B42CA">
        <w:rPr>
          <w:sz w:val="24"/>
          <w:szCs w:val="24"/>
        </w:rPr>
        <w:t>fludarabin</w:t>
      </w:r>
      <w:proofErr w:type="spellEnd"/>
      <w:r w:rsidRPr="009B42CA">
        <w:rPr>
          <w:sz w:val="24"/>
          <w:szCs w:val="24"/>
        </w:rPr>
        <w:t xml:space="preserve"> (henholdsvis p&lt;0,0001, p&lt;0,0001 og p=0,0489) end blandt </w:t>
      </w:r>
      <w:proofErr w:type="spellStart"/>
      <w:r w:rsidRPr="009B42CA">
        <w:rPr>
          <w:sz w:val="24"/>
          <w:szCs w:val="24"/>
        </w:rPr>
        <w:t>chlorambucil</w:t>
      </w:r>
      <w:proofErr w:type="spellEnd"/>
      <w:r w:rsidRPr="009B42CA">
        <w:rPr>
          <w:sz w:val="24"/>
          <w:szCs w:val="24"/>
        </w:rPr>
        <w:t xml:space="preserve">-patienter. Der blev endvidere rapporteret om levertoksicitet hos en væsentlig lavere andel af patienter i gruppen, som fik </w:t>
      </w:r>
      <w:proofErr w:type="spellStart"/>
      <w:r w:rsidRPr="009B42CA">
        <w:rPr>
          <w:sz w:val="24"/>
          <w:szCs w:val="24"/>
        </w:rPr>
        <w:t>fludarabin</w:t>
      </w:r>
      <w:proofErr w:type="spellEnd"/>
      <w:r w:rsidRPr="009B42CA">
        <w:rPr>
          <w:sz w:val="24"/>
          <w:szCs w:val="24"/>
        </w:rPr>
        <w:t xml:space="preserve"> (p=0,0487), end i </w:t>
      </w:r>
      <w:proofErr w:type="spellStart"/>
      <w:r w:rsidRPr="009B42CA">
        <w:rPr>
          <w:sz w:val="24"/>
          <w:szCs w:val="24"/>
        </w:rPr>
        <w:t>chlorambucil</w:t>
      </w:r>
      <w:proofErr w:type="spellEnd"/>
      <w:r w:rsidRPr="009B42CA">
        <w:rPr>
          <w:sz w:val="24"/>
          <w:szCs w:val="24"/>
        </w:rPr>
        <w:t>-gruppen.</w:t>
      </w:r>
    </w:p>
    <w:p w14:paraId="11EA6E2D" w14:textId="77777777" w:rsidR="004A59BF" w:rsidRPr="009B42CA" w:rsidRDefault="004A59BF" w:rsidP="00FF3E62">
      <w:pPr>
        <w:ind w:left="851"/>
        <w:rPr>
          <w:bCs/>
          <w:sz w:val="24"/>
          <w:szCs w:val="24"/>
        </w:rPr>
      </w:pPr>
    </w:p>
    <w:p w14:paraId="69917409" w14:textId="77777777" w:rsidR="004A59BF" w:rsidRPr="009B42CA" w:rsidRDefault="004A59BF" w:rsidP="00FF3E62">
      <w:pPr>
        <w:ind w:left="851"/>
        <w:rPr>
          <w:bCs/>
          <w:sz w:val="24"/>
          <w:szCs w:val="24"/>
        </w:rPr>
      </w:pPr>
      <w:r w:rsidRPr="009B42CA">
        <w:rPr>
          <w:bCs/>
          <w:sz w:val="24"/>
          <w:szCs w:val="24"/>
        </w:rPr>
        <w:t xml:space="preserve">Patienter, der initialt responderer på </w:t>
      </w:r>
      <w:proofErr w:type="spellStart"/>
      <w:r w:rsidRPr="009B42CA">
        <w:rPr>
          <w:bCs/>
          <w:sz w:val="24"/>
          <w:szCs w:val="24"/>
        </w:rPr>
        <w:t>fludarabin</w:t>
      </w:r>
      <w:proofErr w:type="spellEnd"/>
      <w:r w:rsidRPr="009B42CA">
        <w:rPr>
          <w:bCs/>
          <w:sz w:val="24"/>
          <w:szCs w:val="24"/>
        </w:rPr>
        <w:t xml:space="preserve">, kan respondere igen på monoterapi med </w:t>
      </w:r>
      <w:proofErr w:type="spellStart"/>
      <w:r w:rsidRPr="009B42CA">
        <w:rPr>
          <w:bCs/>
          <w:sz w:val="24"/>
          <w:szCs w:val="24"/>
        </w:rPr>
        <w:t>fludarabin</w:t>
      </w:r>
      <w:proofErr w:type="spellEnd"/>
      <w:r w:rsidRPr="009B42CA">
        <w:rPr>
          <w:bCs/>
          <w:sz w:val="24"/>
          <w:szCs w:val="24"/>
        </w:rPr>
        <w:t xml:space="preserve">. </w:t>
      </w:r>
    </w:p>
    <w:p w14:paraId="0C1D663F" w14:textId="77777777" w:rsidR="004A59BF" w:rsidRPr="009B42CA" w:rsidRDefault="004A59BF" w:rsidP="00FF3E62">
      <w:pPr>
        <w:ind w:left="851"/>
        <w:rPr>
          <w:bCs/>
          <w:sz w:val="24"/>
          <w:szCs w:val="24"/>
        </w:rPr>
      </w:pPr>
    </w:p>
    <w:p w14:paraId="5EE844B8" w14:textId="5D9709CE" w:rsidR="004A59BF" w:rsidRPr="009B42CA" w:rsidRDefault="004A59BF" w:rsidP="00FF3E62">
      <w:pPr>
        <w:ind w:left="851"/>
        <w:rPr>
          <w:bCs/>
          <w:sz w:val="24"/>
          <w:szCs w:val="24"/>
        </w:rPr>
      </w:pPr>
      <w:r w:rsidRPr="009B42CA">
        <w:rPr>
          <w:bCs/>
          <w:sz w:val="24"/>
          <w:szCs w:val="24"/>
        </w:rPr>
        <w:t xml:space="preserve">Et randomiseret studie af </w:t>
      </w:r>
      <w:proofErr w:type="spellStart"/>
      <w:r w:rsidRPr="009B42CA">
        <w:rPr>
          <w:bCs/>
          <w:sz w:val="24"/>
          <w:szCs w:val="24"/>
        </w:rPr>
        <w:t>fludarabin</w:t>
      </w:r>
      <w:proofErr w:type="spellEnd"/>
      <w:r w:rsidRPr="009B42CA">
        <w:rPr>
          <w:bCs/>
          <w:sz w:val="24"/>
          <w:szCs w:val="24"/>
        </w:rPr>
        <w:t xml:space="preserve"> vs. </w:t>
      </w:r>
      <w:proofErr w:type="spellStart"/>
      <w:r w:rsidRPr="009B42CA">
        <w:rPr>
          <w:bCs/>
          <w:sz w:val="24"/>
          <w:szCs w:val="24"/>
        </w:rPr>
        <w:t>cyclofosfamid</w:t>
      </w:r>
      <w:proofErr w:type="spellEnd"/>
      <w:r w:rsidRPr="009B42CA">
        <w:rPr>
          <w:bCs/>
          <w:sz w:val="24"/>
          <w:szCs w:val="24"/>
        </w:rPr>
        <w:t xml:space="preserve">, </w:t>
      </w:r>
      <w:proofErr w:type="spellStart"/>
      <w:r w:rsidRPr="009B42CA">
        <w:rPr>
          <w:bCs/>
          <w:sz w:val="24"/>
          <w:szCs w:val="24"/>
        </w:rPr>
        <w:t>adriamycin</w:t>
      </w:r>
      <w:proofErr w:type="spellEnd"/>
      <w:r w:rsidRPr="009B42CA">
        <w:rPr>
          <w:bCs/>
          <w:sz w:val="24"/>
          <w:szCs w:val="24"/>
        </w:rPr>
        <w:t xml:space="preserve"> (</w:t>
      </w:r>
      <w:proofErr w:type="spellStart"/>
      <w:r w:rsidRPr="009B42CA">
        <w:rPr>
          <w:bCs/>
          <w:sz w:val="24"/>
          <w:szCs w:val="24"/>
        </w:rPr>
        <w:t>doxorubicin</w:t>
      </w:r>
      <w:proofErr w:type="spellEnd"/>
      <w:r w:rsidRPr="009B42CA">
        <w:rPr>
          <w:bCs/>
          <w:sz w:val="24"/>
          <w:szCs w:val="24"/>
        </w:rPr>
        <w:t xml:space="preserve">) og </w:t>
      </w:r>
      <w:proofErr w:type="spellStart"/>
      <w:r w:rsidRPr="009B42CA">
        <w:rPr>
          <w:bCs/>
          <w:sz w:val="24"/>
          <w:szCs w:val="24"/>
        </w:rPr>
        <w:t>predinison</w:t>
      </w:r>
      <w:proofErr w:type="spellEnd"/>
      <w:r w:rsidRPr="009B42CA">
        <w:rPr>
          <w:bCs/>
          <w:sz w:val="24"/>
          <w:szCs w:val="24"/>
        </w:rPr>
        <w:t xml:space="preserve"> (CAP) hos 208 patienter med CLL </w:t>
      </w:r>
      <w:proofErr w:type="spellStart"/>
      <w:r w:rsidRPr="009B42CA">
        <w:rPr>
          <w:bCs/>
          <w:sz w:val="24"/>
          <w:szCs w:val="24"/>
        </w:rPr>
        <w:t>Binet</w:t>
      </w:r>
      <w:proofErr w:type="spellEnd"/>
      <w:r w:rsidRPr="009B42CA">
        <w:rPr>
          <w:bCs/>
          <w:sz w:val="24"/>
          <w:szCs w:val="24"/>
        </w:rPr>
        <w:t xml:space="preserve"> stadium B eller C afslørede følgende resultater hos undergruppen af 103 tidligere behandlede patienter: den samlede respons og den komplette respons var højere med </w:t>
      </w:r>
      <w:proofErr w:type="spellStart"/>
      <w:r w:rsidRPr="009B42CA">
        <w:rPr>
          <w:bCs/>
          <w:sz w:val="24"/>
          <w:szCs w:val="24"/>
        </w:rPr>
        <w:t>fludarabin</w:t>
      </w:r>
      <w:proofErr w:type="spellEnd"/>
      <w:r w:rsidRPr="009B42CA">
        <w:rPr>
          <w:bCs/>
          <w:sz w:val="24"/>
          <w:szCs w:val="24"/>
        </w:rPr>
        <w:t xml:space="preserve"> sammenlignet med CAP (henholdsvis 45</w:t>
      </w:r>
      <w:r w:rsidR="00E9105A">
        <w:rPr>
          <w:bCs/>
          <w:sz w:val="24"/>
          <w:szCs w:val="24"/>
        </w:rPr>
        <w:t> </w:t>
      </w:r>
      <w:r w:rsidRPr="009B42CA">
        <w:rPr>
          <w:bCs/>
          <w:sz w:val="24"/>
          <w:szCs w:val="24"/>
        </w:rPr>
        <w:t xml:space="preserve">% vs. 26 % og 13 % vs. 6 %). Responstiden og samlet overlevelse var ens for </w:t>
      </w:r>
      <w:proofErr w:type="spellStart"/>
      <w:r w:rsidRPr="009B42CA">
        <w:rPr>
          <w:bCs/>
          <w:sz w:val="24"/>
          <w:szCs w:val="24"/>
        </w:rPr>
        <w:t>fludarabin</w:t>
      </w:r>
      <w:proofErr w:type="spellEnd"/>
      <w:r w:rsidRPr="009B42CA">
        <w:rPr>
          <w:bCs/>
          <w:sz w:val="24"/>
          <w:szCs w:val="24"/>
        </w:rPr>
        <w:t xml:space="preserve"> og </w:t>
      </w:r>
      <w:r w:rsidRPr="009B42CA">
        <w:rPr>
          <w:bCs/>
          <w:sz w:val="24"/>
          <w:szCs w:val="24"/>
        </w:rPr>
        <w:lastRenderedPageBreak/>
        <w:t xml:space="preserve">CAP. Inden for den fastsatte behandlingsperiode på 6 måneder var antallet af dødsfald 9 for </w:t>
      </w:r>
      <w:proofErr w:type="spellStart"/>
      <w:r w:rsidRPr="009B42CA">
        <w:rPr>
          <w:bCs/>
          <w:sz w:val="24"/>
          <w:szCs w:val="24"/>
        </w:rPr>
        <w:t>fludarabin</w:t>
      </w:r>
      <w:proofErr w:type="spellEnd"/>
      <w:r w:rsidRPr="009B42CA">
        <w:rPr>
          <w:bCs/>
          <w:sz w:val="24"/>
          <w:szCs w:val="24"/>
        </w:rPr>
        <w:t xml:space="preserve"> vs. 4 for CAP. </w:t>
      </w:r>
    </w:p>
    <w:p w14:paraId="0FA12BC7" w14:textId="17C3C96A" w:rsidR="004A59BF" w:rsidRPr="009B42CA" w:rsidRDefault="004A59BF" w:rsidP="00FF3E62">
      <w:pPr>
        <w:ind w:left="851"/>
        <w:rPr>
          <w:bCs/>
          <w:sz w:val="24"/>
          <w:szCs w:val="24"/>
        </w:rPr>
      </w:pPr>
    </w:p>
    <w:p w14:paraId="3519181B" w14:textId="77777777" w:rsidR="004A59BF" w:rsidRPr="009B42CA" w:rsidRDefault="004A59BF" w:rsidP="00FF3E62">
      <w:pPr>
        <w:ind w:left="851"/>
        <w:rPr>
          <w:bCs/>
          <w:sz w:val="24"/>
          <w:szCs w:val="24"/>
        </w:rPr>
      </w:pPr>
      <w:r w:rsidRPr="009B42CA">
        <w:rPr>
          <w:bCs/>
          <w:sz w:val="24"/>
          <w:szCs w:val="24"/>
        </w:rPr>
        <w:t xml:space="preserve">Post hoc-analyser, som kun gør brug af data for op til 6 måneder efter behandlingsstart, afslørede en forskel i overlevelseskurverne for </w:t>
      </w:r>
      <w:proofErr w:type="spellStart"/>
      <w:r w:rsidRPr="009B42CA">
        <w:rPr>
          <w:bCs/>
          <w:sz w:val="24"/>
          <w:szCs w:val="24"/>
        </w:rPr>
        <w:t>fludarabin</w:t>
      </w:r>
      <w:proofErr w:type="spellEnd"/>
      <w:r w:rsidRPr="009B42CA">
        <w:rPr>
          <w:bCs/>
          <w:sz w:val="24"/>
          <w:szCs w:val="24"/>
        </w:rPr>
        <w:t xml:space="preserve"> og CAP til fordel for CAP i undergruppen af </w:t>
      </w:r>
      <w:proofErr w:type="spellStart"/>
      <w:r w:rsidRPr="009B42CA">
        <w:rPr>
          <w:bCs/>
          <w:sz w:val="24"/>
          <w:szCs w:val="24"/>
        </w:rPr>
        <w:t>Binet</w:t>
      </w:r>
      <w:proofErr w:type="spellEnd"/>
      <w:r w:rsidRPr="009B42CA">
        <w:rPr>
          <w:bCs/>
          <w:sz w:val="24"/>
          <w:szCs w:val="24"/>
        </w:rPr>
        <w:t xml:space="preserve"> stadium C-patienter, som allerede havde været i behandling.</w:t>
      </w:r>
    </w:p>
    <w:p w14:paraId="53500340" w14:textId="77777777" w:rsidR="009260DE" w:rsidRPr="009B42CA" w:rsidRDefault="009260DE" w:rsidP="009260DE">
      <w:pPr>
        <w:tabs>
          <w:tab w:val="left" w:pos="851"/>
        </w:tabs>
        <w:ind w:left="851"/>
        <w:rPr>
          <w:sz w:val="24"/>
          <w:szCs w:val="24"/>
        </w:rPr>
      </w:pPr>
    </w:p>
    <w:p w14:paraId="3F9983E5" w14:textId="77777777" w:rsidR="009260DE" w:rsidRPr="009B42CA" w:rsidRDefault="009260DE" w:rsidP="009260DE">
      <w:pPr>
        <w:tabs>
          <w:tab w:val="left" w:pos="851"/>
        </w:tabs>
        <w:ind w:left="851" w:hanging="851"/>
        <w:rPr>
          <w:b/>
          <w:sz w:val="24"/>
          <w:szCs w:val="24"/>
        </w:rPr>
      </w:pPr>
      <w:r w:rsidRPr="009B42CA">
        <w:rPr>
          <w:b/>
          <w:sz w:val="24"/>
          <w:szCs w:val="24"/>
        </w:rPr>
        <w:t>5.2</w:t>
      </w:r>
      <w:r w:rsidRPr="009B42CA">
        <w:rPr>
          <w:b/>
          <w:sz w:val="24"/>
          <w:szCs w:val="24"/>
        </w:rPr>
        <w:tab/>
      </w:r>
      <w:proofErr w:type="spellStart"/>
      <w:r w:rsidRPr="009B42CA">
        <w:rPr>
          <w:b/>
          <w:sz w:val="24"/>
          <w:szCs w:val="24"/>
        </w:rPr>
        <w:t>Farmakokinetiske</w:t>
      </w:r>
      <w:proofErr w:type="spellEnd"/>
      <w:r w:rsidRPr="009B42CA">
        <w:rPr>
          <w:b/>
          <w:sz w:val="24"/>
          <w:szCs w:val="24"/>
        </w:rPr>
        <w:t xml:space="preserve"> egenskaber</w:t>
      </w:r>
    </w:p>
    <w:p w14:paraId="2C5CDE78" w14:textId="77777777" w:rsidR="00E9105A" w:rsidRDefault="00E9105A" w:rsidP="005E4292">
      <w:pPr>
        <w:ind w:left="851"/>
        <w:rPr>
          <w:sz w:val="24"/>
          <w:szCs w:val="24"/>
        </w:rPr>
      </w:pPr>
    </w:p>
    <w:p w14:paraId="76022B08" w14:textId="066002EC" w:rsidR="004A59BF" w:rsidRPr="00E9105A" w:rsidRDefault="004A59BF" w:rsidP="005E4292">
      <w:pPr>
        <w:ind w:left="851"/>
        <w:rPr>
          <w:sz w:val="24"/>
          <w:szCs w:val="24"/>
          <w:u w:val="single"/>
        </w:rPr>
      </w:pPr>
      <w:proofErr w:type="spellStart"/>
      <w:r w:rsidRPr="00E9105A">
        <w:rPr>
          <w:sz w:val="24"/>
          <w:szCs w:val="24"/>
          <w:u w:val="single"/>
        </w:rPr>
        <w:t>Fludarabins</w:t>
      </w:r>
      <w:proofErr w:type="spellEnd"/>
      <w:r w:rsidRPr="00E9105A">
        <w:rPr>
          <w:sz w:val="24"/>
          <w:szCs w:val="24"/>
          <w:u w:val="single"/>
        </w:rPr>
        <w:t xml:space="preserve"> (2F-ara-A) farmakokinetik i plasma og urin</w:t>
      </w:r>
    </w:p>
    <w:p w14:paraId="4C39BA35" w14:textId="77777777" w:rsidR="004A59BF" w:rsidRPr="009B42CA" w:rsidRDefault="004A59BF" w:rsidP="005E4292">
      <w:pPr>
        <w:ind w:left="851"/>
        <w:rPr>
          <w:sz w:val="24"/>
          <w:szCs w:val="24"/>
        </w:rPr>
      </w:pPr>
      <w:proofErr w:type="spellStart"/>
      <w:r w:rsidRPr="009B42CA">
        <w:rPr>
          <w:sz w:val="24"/>
          <w:szCs w:val="24"/>
        </w:rPr>
        <w:t>Fludarabins</w:t>
      </w:r>
      <w:proofErr w:type="spellEnd"/>
      <w:r w:rsidRPr="009B42CA">
        <w:rPr>
          <w:sz w:val="24"/>
          <w:szCs w:val="24"/>
        </w:rPr>
        <w:t xml:space="preserve"> (2F-ara-A) farmakokinetik er blevet undersøgt efter intravenøs indgift ved hurtig </w:t>
      </w:r>
      <w:proofErr w:type="spellStart"/>
      <w:r w:rsidRPr="009B42CA">
        <w:rPr>
          <w:sz w:val="24"/>
          <w:szCs w:val="24"/>
        </w:rPr>
        <w:t>bolusinjektion</w:t>
      </w:r>
      <w:proofErr w:type="spellEnd"/>
      <w:r w:rsidRPr="009B42CA">
        <w:rPr>
          <w:sz w:val="24"/>
          <w:szCs w:val="24"/>
        </w:rPr>
        <w:t xml:space="preserve">, kortvarig infusion samt efter kontinuerlig infusion af </w:t>
      </w:r>
      <w:proofErr w:type="spellStart"/>
      <w:r w:rsidRPr="009B42CA">
        <w:rPr>
          <w:sz w:val="24"/>
          <w:szCs w:val="24"/>
        </w:rPr>
        <w:t>fludarabin</w:t>
      </w:r>
      <w:proofErr w:type="spellEnd"/>
      <w:r w:rsidRPr="009B42CA">
        <w:rPr>
          <w:sz w:val="24"/>
          <w:szCs w:val="24"/>
        </w:rPr>
        <w:t xml:space="preserve"> (</w:t>
      </w:r>
      <w:proofErr w:type="spellStart"/>
      <w:r w:rsidRPr="009B42CA">
        <w:rPr>
          <w:sz w:val="24"/>
          <w:szCs w:val="24"/>
        </w:rPr>
        <w:t>fludarabin</w:t>
      </w:r>
      <w:proofErr w:type="spellEnd"/>
      <w:r w:rsidRPr="009B42CA">
        <w:rPr>
          <w:sz w:val="24"/>
          <w:szCs w:val="24"/>
        </w:rPr>
        <w:t xml:space="preserve">, 2F-ara-AMP). </w:t>
      </w:r>
    </w:p>
    <w:p w14:paraId="5DA95719" w14:textId="77777777" w:rsidR="004A59BF" w:rsidRPr="009B42CA" w:rsidRDefault="004A59BF" w:rsidP="005E4292">
      <w:pPr>
        <w:ind w:left="851"/>
        <w:rPr>
          <w:sz w:val="24"/>
          <w:szCs w:val="24"/>
        </w:rPr>
      </w:pPr>
    </w:p>
    <w:p w14:paraId="447F3DBD" w14:textId="77777777" w:rsidR="004A59BF" w:rsidRPr="009B42CA" w:rsidRDefault="004A59BF" w:rsidP="005E4292">
      <w:pPr>
        <w:ind w:left="851"/>
        <w:rPr>
          <w:sz w:val="24"/>
          <w:szCs w:val="24"/>
        </w:rPr>
      </w:pPr>
      <w:r w:rsidRPr="009B42CA">
        <w:rPr>
          <w:sz w:val="24"/>
          <w:szCs w:val="24"/>
        </w:rPr>
        <w:t>Der blev ikke fundet en entydig sammenhæng mellem farmakokinetikken for 2F-ara-A og behandlingseffekt hos kræftpatienter.</w:t>
      </w:r>
    </w:p>
    <w:p w14:paraId="60704576" w14:textId="77777777" w:rsidR="004A59BF" w:rsidRPr="009B42CA" w:rsidRDefault="004A59BF" w:rsidP="005E4292">
      <w:pPr>
        <w:ind w:left="851"/>
        <w:rPr>
          <w:sz w:val="24"/>
          <w:szCs w:val="24"/>
        </w:rPr>
      </w:pPr>
    </w:p>
    <w:p w14:paraId="4E25BCD9" w14:textId="77777777" w:rsidR="004A59BF" w:rsidRPr="009B42CA" w:rsidRDefault="004A59BF" w:rsidP="005E4292">
      <w:pPr>
        <w:ind w:left="851"/>
        <w:rPr>
          <w:sz w:val="24"/>
          <w:szCs w:val="24"/>
        </w:rPr>
      </w:pPr>
      <w:proofErr w:type="spellStart"/>
      <w:r w:rsidRPr="009B42CA">
        <w:rPr>
          <w:sz w:val="24"/>
          <w:szCs w:val="24"/>
        </w:rPr>
        <w:t>Neutropeni</w:t>
      </w:r>
      <w:proofErr w:type="spellEnd"/>
      <w:r w:rsidRPr="009B42CA">
        <w:rPr>
          <w:sz w:val="24"/>
          <w:szCs w:val="24"/>
        </w:rPr>
        <w:t xml:space="preserve"> og ændringer i hæmatokrit indikerede dog, at </w:t>
      </w:r>
      <w:proofErr w:type="spellStart"/>
      <w:r w:rsidRPr="009B42CA">
        <w:rPr>
          <w:sz w:val="24"/>
          <w:szCs w:val="24"/>
        </w:rPr>
        <w:t>fludarabinphosphats</w:t>
      </w:r>
      <w:proofErr w:type="spellEnd"/>
      <w:r w:rsidRPr="009B42CA">
        <w:rPr>
          <w:sz w:val="24"/>
          <w:szCs w:val="24"/>
        </w:rPr>
        <w:t xml:space="preserve"> </w:t>
      </w:r>
      <w:proofErr w:type="spellStart"/>
      <w:r w:rsidRPr="009B42CA">
        <w:rPr>
          <w:sz w:val="24"/>
          <w:szCs w:val="24"/>
        </w:rPr>
        <w:t>cytotoksicitet</w:t>
      </w:r>
      <w:proofErr w:type="spellEnd"/>
      <w:r w:rsidRPr="009B42CA">
        <w:rPr>
          <w:sz w:val="24"/>
          <w:szCs w:val="24"/>
        </w:rPr>
        <w:t xml:space="preserve"> hæmmer </w:t>
      </w:r>
      <w:proofErr w:type="spellStart"/>
      <w:r w:rsidRPr="009B42CA">
        <w:rPr>
          <w:sz w:val="24"/>
          <w:szCs w:val="24"/>
        </w:rPr>
        <w:t>hæmatopoiese</w:t>
      </w:r>
      <w:proofErr w:type="spellEnd"/>
      <w:r w:rsidRPr="009B42CA">
        <w:rPr>
          <w:sz w:val="24"/>
          <w:szCs w:val="24"/>
        </w:rPr>
        <w:t xml:space="preserve"> på en dosisafhængig måde.</w:t>
      </w:r>
    </w:p>
    <w:p w14:paraId="18CAA9C6" w14:textId="77777777" w:rsidR="004A59BF" w:rsidRPr="009B42CA" w:rsidRDefault="004A59BF" w:rsidP="005E4292">
      <w:pPr>
        <w:ind w:left="851"/>
        <w:rPr>
          <w:sz w:val="24"/>
          <w:szCs w:val="24"/>
        </w:rPr>
      </w:pPr>
    </w:p>
    <w:p w14:paraId="31DFDBB6" w14:textId="77777777" w:rsidR="004A59BF" w:rsidRPr="009B42CA" w:rsidRDefault="004A59BF" w:rsidP="005E4292">
      <w:pPr>
        <w:ind w:left="851"/>
        <w:rPr>
          <w:sz w:val="24"/>
          <w:szCs w:val="24"/>
        </w:rPr>
      </w:pPr>
      <w:r w:rsidRPr="009B42CA">
        <w:rPr>
          <w:i/>
          <w:sz w:val="24"/>
          <w:szCs w:val="24"/>
        </w:rPr>
        <w:t>Distribuering og biotransformation</w:t>
      </w:r>
      <w:r w:rsidRPr="009B42CA">
        <w:rPr>
          <w:sz w:val="24"/>
          <w:szCs w:val="24"/>
        </w:rPr>
        <w:t xml:space="preserve"> </w:t>
      </w:r>
    </w:p>
    <w:p w14:paraId="73FC933B" w14:textId="77777777" w:rsidR="004A59BF" w:rsidRPr="009B42CA" w:rsidRDefault="004A59BF" w:rsidP="005E4292">
      <w:pPr>
        <w:ind w:left="851"/>
        <w:rPr>
          <w:sz w:val="24"/>
          <w:szCs w:val="24"/>
        </w:rPr>
      </w:pPr>
      <w:r w:rsidRPr="009B42CA">
        <w:rPr>
          <w:sz w:val="24"/>
          <w:szCs w:val="24"/>
        </w:rPr>
        <w:t xml:space="preserve">2F-ara-AMP er </w:t>
      </w:r>
      <w:proofErr w:type="gramStart"/>
      <w:r w:rsidRPr="009B42CA">
        <w:rPr>
          <w:sz w:val="24"/>
          <w:szCs w:val="24"/>
        </w:rPr>
        <w:t>et vandopløseligt prodrug</w:t>
      </w:r>
      <w:proofErr w:type="gramEnd"/>
      <w:r w:rsidRPr="009B42CA">
        <w:rPr>
          <w:sz w:val="24"/>
          <w:szCs w:val="24"/>
        </w:rPr>
        <w:t xml:space="preserve"> af </w:t>
      </w:r>
      <w:proofErr w:type="spellStart"/>
      <w:r w:rsidRPr="009B42CA">
        <w:rPr>
          <w:sz w:val="24"/>
          <w:szCs w:val="24"/>
        </w:rPr>
        <w:t>fludarabin</w:t>
      </w:r>
      <w:proofErr w:type="spellEnd"/>
      <w:r w:rsidRPr="009B42CA">
        <w:rPr>
          <w:sz w:val="24"/>
          <w:szCs w:val="24"/>
        </w:rPr>
        <w:t xml:space="preserve"> (2F-ara-A), som hurtigt og kvantitativt </w:t>
      </w:r>
      <w:proofErr w:type="spellStart"/>
      <w:r w:rsidRPr="009B42CA">
        <w:rPr>
          <w:sz w:val="24"/>
          <w:szCs w:val="24"/>
        </w:rPr>
        <w:t>defosforyleres</w:t>
      </w:r>
      <w:proofErr w:type="spellEnd"/>
      <w:r w:rsidRPr="009B42CA">
        <w:rPr>
          <w:sz w:val="24"/>
          <w:szCs w:val="24"/>
        </w:rPr>
        <w:t xml:space="preserve"> i den menneskelige organisme til </w:t>
      </w:r>
      <w:proofErr w:type="spellStart"/>
      <w:r w:rsidRPr="009B42CA">
        <w:rPr>
          <w:sz w:val="24"/>
          <w:szCs w:val="24"/>
        </w:rPr>
        <w:t>nucleosidet</w:t>
      </w:r>
      <w:proofErr w:type="spellEnd"/>
      <w:r w:rsidRPr="009B42CA">
        <w:rPr>
          <w:sz w:val="24"/>
          <w:szCs w:val="24"/>
        </w:rPr>
        <w:t xml:space="preserve"> </w:t>
      </w:r>
      <w:proofErr w:type="spellStart"/>
      <w:r w:rsidRPr="009B42CA">
        <w:rPr>
          <w:sz w:val="24"/>
          <w:szCs w:val="24"/>
        </w:rPr>
        <w:t>fludarabin</w:t>
      </w:r>
      <w:proofErr w:type="spellEnd"/>
      <w:r w:rsidRPr="009B42CA">
        <w:rPr>
          <w:sz w:val="24"/>
          <w:szCs w:val="24"/>
        </w:rPr>
        <w:t xml:space="preserve"> (2F-ara-A). En anden metabolit, 2-F-ara-hypoxanthin, som er den største metabolit hos hunde, er kun observeret hos mennesker i et mindre omfang.</w:t>
      </w:r>
    </w:p>
    <w:p w14:paraId="3BA92E87" w14:textId="77777777" w:rsidR="004A59BF" w:rsidRPr="009B42CA" w:rsidRDefault="004A59BF" w:rsidP="005E4292">
      <w:pPr>
        <w:ind w:left="851"/>
        <w:rPr>
          <w:sz w:val="24"/>
          <w:szCs w:val="24"/>
        </w:rPr>
      </w:pPr>
    </w:p>
    <w:p w14:paraId="646AC0B1" w14:textId="77777777" w:rsidR="004A59BF" w:rsidRPr="009B42CA" w:rsidRDefault="004A59BF" w:rsidP="005E4292">
      <w:pPr>
        <w:ind w:left="851"/>
        <w:rPr>
          <w:sz w:val="24"/>
          <w:szCs w:val="24"/>
        </w:rPr>
      </w:pPr>
      <w:r w:rsidRPr="009B42CA">
        <w:rPr>
          <w:sz w:val="24"/>
          <w:szCs w:val="24"/>
        </w:rPr>
        <w:t xml:space="preserve">2F-ara-A nåede en gennemsnitlig maksimal koncentration i plasma på 3,5-3,7 </w:t>
      </w:r>
      <w:proofErr w:type="spellStart"/>
      <w:r w:rsidRPr="009B42CA">
        <w:rPr>
          <w:sz w:val="24"/>
          <w:szCs w:val="24"/>
        </w:rPr>
        <w:t>μM</w:t>
      </w:r>
      <w:proofErr w:type="spellEnd"/>
      <w:r w:rsidRPr="009B42CA">
        <w:rPr>
          <w:sz w:val="24"/>
          <w:szCs w:val="24"/>
        </w:rPr>
        <w:t xml:space="preserve"> ved afslutning af en enkeltdosisinfusion af 25 mg 2F-ara-AMP pr. m</w:t>
      </w:r>
      <w:r w:rsidRPr="009B42CA">
        <w:rPr>
          <w:sz w:val="24"/>
          <w:szCs w:val="24"/>
          <w:vertAlign w:val="superscript"/>
        </w:rPr>
        <w:t>2</w:t>
      </w:r>
      <w:r w:rsidRPr="009B42CA">
        <w:rPr>
          <w:sz w:val="24"/>
          <w:szCs w:val="24"/>
        </w:rPr>
        <w:t xml:space="preserve"> hos </w:t>
      </w:r>
      <w:proofErr w:type="gramStart"/>
      <w:r w:rsidRPr="009B42CA">
        <w:rPr>
          <w:sz w:val="24"/>
          <w:szCs w:val="24"/>
        </w:rPr>
        <w:t>CLL patienter</w:t>
      </w:r>
      <w:proofErr w:type="gramEnd"/>
      <w:r w:rsidRPr="009B42CA">
        <w:rPr>
          <w:sz w:val="24"/>
          <w:szCs w:val="24"/>
        </w:rPr>
        <w:t xml:space="preserve"> over 30 minutter. De tilsvarende 2F-ara-A-niveauer efter femte dosis viste en moderat akkumulering med gennemsnitlige maksimumniveauer på 4,4-4,8 µM ved afslutning af infusionen. I forbindelse med et 5-dages behandlingsprogram steg plasmakoncentrationerne af 2F-ara-A med en faktor på ca. 2. </w:t>
      </w:r>
    </w:p>
    <w:p w14:paraId="6E6F235C" w14:textId="77777777" w:rsidR="004A59BF" w:rsidRPr="009B42CA" w:rsidRDefault="004A59BF" w:rsidP="005E4292">
      <w:pPr>
        <w:ind w:left="851"/>
        <w:rPr>
          <w:sz w:val="24"/>
          <w:szCs w:val="24"/>
        </w:rPr>
      </w:pPr>
      <w:r w:rsidRPr="009B42CA">
        <w:rPr>
          <w:sz w:val="24"/>
          <w:szCs w:val="24"/>
        </w:rPr>
        <w:t xml:space="preserve">Akkumuleringen af 2F-ara-A over adskillige behandlingscyklusser kan udelukkes. Niveauerne efter maksimum faldt over 3 dispositionsfaser med en initial halveringstid på ca. 5 minutter, en </w:t>
      </w:r>
      <w:proofErr w:type="spellStart"/>
      <w:r w:rsidRPr="009B42CA">
        <w:rPr>
          <w:sz w:val="24"/>
          <w:szCs w:val="24"/>
        </w:rPr>
        <w:t>intermediær</w:t>
      </w:r>
      <w:proofErr w:type="spellEnd"/>
      <w:r w:rsidRPr="009B42CA">
        <w:rPr>
          <w:sz w:val="24"/>
          <w:szCs w:val="24"/>
        </w:rPr>
        <w:t xml:space="preserve"> halveringstid på 1-2 timer og en terminal halveringstid på ca. 20 timer.</w:t>
      </w:r>
    </w:p>
    <w:p w14:paraId="38AC7131" w14:textId="77777777" w:rsidR="004A59BF" w:rsidRPr="009B42CA" w:rsidRDefault="004A59BF" w:rsidP="005E4292">
      <w:pPr>
        <w:ind w:left="851"/>
        <w:rPr>
          <w:sz w:val="24"/>
          <w:szCs w:val="24"/>
        </w:rPr>
      </w:pPr>
    </w:p>
    <w:p w14:paraId="4A7F2683" w14:textId="77777777" w:rsidR="004A59BF" w:rsidRPr="009B42CA" w:rsidRDefault="004A59BF" w:rsidP="005E4292">
      <w:pPr>
        <w:ind w:left="851"/>
        <w:rPr>
          <w:sz w:val="24"/>
          <w:szCs w:val="24"/>
        </w:rPr>
      </w:pPr>
      <w:r w:rsidRPr="009B42CA">
        <w:rPr>
          <w:sz w:val="24"/>
          <w:szCs w:val="24"/>
        </w:rPr>
        <w:t xml:space="preserve">Et </w:t>
      </w:r>
      <w:proofErr w:type="spellStart"/>
      <w:r w:rsidRPr="009B42CA">
        <w:rPr>
          <w:sz w:val="24"/>
          <w:szCs w:val="24"/>
        </w:rPr>
        <w:t>interstudie</w:t>
      </w:r>
      <w:proofErr w:type="spellEnd"/>
      <w:r w:rsidRPr="009B42CA">
        <w:rPr>
          <w:sz w:val="24"/>
          <w:szCs w:val="24"/>
        </w:rPr>
        <w:t xml:space="preserve">, som sammenlignede 2F-ara-A-farmakokinetikker, resulterede i en gennemsnitlig samlet </w:t>
      </w:r>
      <w:proofErr w:type="spellStart"/>
      <w:r w:rsidRPr="009B42CA">
        <w:rPr>
          <w:sz w:val="24"/>
          <w:szCs w:val="24"/>
        </w:rPr>
        <w:t>plasmaclearance</w:t>
      </w:r>
      <w:proofErr w:type="spellEnd"/>
      <w:r w:rsidRPr="009B42CA">
        <w:rPr>
          <w:sz w:val="24"/>
          <w:szCs w:val="24"/>
        </w:rPr>
        <w:t xml:space="preserve"> (CL) på 79 ± 40 ml/min/m² (2,2 ± 1,2 ml/min/kg) og en gennemsnitlig fordelingsvolumen (</w:t>
      </w:r>
      <w:proofErr w:type="spellStart"/>
      <w:r w:rsidRPr="009B42CA">
        <w:rPr>
          <w:sz w:val="24"/>
          <w:szCs w:val="24"/>
        </w:rPr>
        <w:t>Vss</w:t>
      </w:r>
      <w:proofErr w:type="spellEnd"/>
      <w:r w:rsidRPr="009B42CA">
        <w:rPr>
          <w:sz w:val="24"/>
          <w:szCs w:val="24"/>
        </w:rPr>
        <w:t xml:space="preserve">) på 83 ± 55 l/m² (2,4 ± 1,6 l/kg).  Data viste stor </w:t>
      </w:r>
      <w:proofErr w:type="spellStart"/>
      <w:r w:rsidRPr="009B42CA">
        <w:rPr>
          <w:sz w:val="24"/>
          <w:szCs w:val="24"/>
        </w:rPr>
        <w:t>interindividuel</w:t>
      </w:r>
      <w:proofErr w:type="spellEnd"/>
      <w:r w:rsidRPr="009B42CA">
        <w:rPr>
          <w:sz w:val="24"/>
          <w:szCs w:val="24"/>
        </w:rPr>
        <w:t xml:space="preserve"> variation. Plasmaniveauerne af 2F-ara-A og arealerne under plasmakoncentrationstidskurverne steg lineært med dosis, hvorimod halveringstider, </w:t>
      </w:r>
      <w:proofErr w:type="spellStart"/>
      <w:r w:rsidRPr="009B42CA">
        <w:rPr>
          <w:sz w:val="24"/>
          <w:szCs w:val="24"/>
        </w:rPr>
        <w:t>plasmaclearance</w:t>
      </w:r>
      <w:proofErr w:type="spellEnd"/>
      <w:r w:rsidRPr="009B42CA">
        <w:rPr>
          <w:sz w:val="24"/>
          <w:szCs w:val="24"/>
        </w:rPr>
        <w:t xml:space="preserve"> og fordelingsvolumen forblev konstante uafhængig af dosis, hvilket indikerer dosislinearitet.</w:t>
      </w:r>
    </w:p>
    <w:p w14:paraId="0AF554E5" w14:textId="77777777" w:rsidR="004A59BF" w:rsidRPr="009B42CA" w:rsidRDefault="004A59BF" w:rsidP="005E4292">
      <w:pPr>
        <w:ind w:left="851"/>
        <w:rPr>
          <w:sz w:val="24"/>
          <w:szCs w:val="24"/>
        </w:rPr>
      </w:pPr>
    </w:p>
    <w:p w14:paraId="00C69EDA" w14:textId="77777777" w:rsidR="004A59BF" w:rsidRPr="009B42CA" w:rsidRDefault="004A59BF" w:rsidP="005E4292">
      <w:pPr>
        <w:ind w:left="851"/>
        <w:rPr>
          <w:i/>
          <w:sz w:val="24"/>
          <w:szCs w:val="24"/>
        </w:rPr>
      </w:pPr>
      <w:r w:rsidRPr="009B42CA">
        <w:rPr>
          <w:i/>
          <w:sz w:val="24"/>
          <w:szCs w:val="24"/>
        </w:rPr>
        <w:t xml:space="preserve">Elimination </w:t>
      </w:r>
    </w:p>
    <w:p w14:paraId="5EC8B383" w14:textId="77777777" w:rsidR="004A59BF" w:rsidRPr="009B42CA" w:rsidRDefault="004A59BF" w:rsidP="005E4292">
      <w:pPr>
        <w:ind w:left="851"/>
        <w:rPr>
          <w:sz w:val="24"/>
          <w:szCs w:val="24"/>
        </w:rPr>
      </w:pPr>
      <w:r w:rsidRPr="009B42CA">
        <w:rPr>
          <w:sz w:val="24"/>
          <w:szCs w:val="24"/>
        </w:rPr>
        <w:t xml:space="preserve">Eliminering af 2F-ara-A sker primært via nyrerne. 40 % til 60 % af den administrerede intravenøse dosis blev udskilt i urin. Massebalancestudier hos laboratoriedyr med ³H-2F-ara-AMP viste en fuldstændig genfinding af de radioaktivt mærkede stoffer i urinen. </w:t>
      </w:r>
    </w:p>
    <w:p w14:paraId="549B89C6" w14:textId="77777777" w:rsidR="004A59BF" w:rsidRPr="009B42CA" w:rsidRDefault="004A59BF" w:rsidP="005E4292">
      <w:pPr>
        <w:ind w:left="851"/>
        <w:rPr>
          <w:sz w:val="24"/>
          <w:szCs w:val="24"/>
        </w:rPr>
      </w:pPr>
    </w:p>
    <w:p w14:paraId="6E01466C" w14:textId="77777777" w:rsidR="004A59BF" w:rsidRPr="009B42CA" w:rsidRDefault="004A59BF" w:rsidP="005E4292">
      <w:pPr>
        <w:ind w:left="851"/>
        <w:rPr>
          <w:i/>
          <w:sz w:val="24"/>
          <w:szCs w:val="24"/>
        </w:rPr>
      </w:pPr>
      <w:r w:rsidRPr="009B42CA">
        <w:rPr>
          <w:i/>
          <w:sz w:val="24"/>
          <w:szCs w:val="24"/>
        </w:rPr>
        <w:t>Karakteristika hos patienter</w:t>
      </w:r>
    </w:p>
    <w:p w14:paraId="41F780BD" w14:textId="77777777" w:rsidR="004A59BF" w:rsidRPr="009B42CA" w:rsidRDefault="004A59BF" w:rsidP="005E4292">
      <w:pPr>
        <w:ind w:left="851"/>
        <w:rPr>
          <w:sz w:val="24"/>
          <w:szCs w:val="24"/>
        </w:rPr>
      </w:pPr>
      <w:r w:rsidRPr="009B42CA">
        <w:rPr>
          <w:sz w:val="24"/>
          <w:szCs w:val="24"/>
        </w:rPr>
        <w:lastRenderedPageBreak/>
        <w:t xml:space="preserve">Personer med nedsat nyrefunktion udviste nedsat </w:t>
      </w:r>
      <w:proofErr w:type="spellStart"/>
      <w:r w:rsidRPr="009B42CA">
        <w:rPr>
          <w:sz w:val="24"/>
          <w:szCs w:val="24"/>
        </w:rPr>
        <w:t>totalclearance</w:t>
      </w:r>
      <w:proofErr w:type="spellEnd"/>
      <w:r w:rsidRPr="009B42CA">
        <w:rPr>
          <w:sz w:val="24"/>
          <w:szCs w:val="24"/>
        </w:rPr>
        <w:t xml:space="preserve">, hvilket indikerer nødvendighed af dosisreduktion. </w:t>
      </w:r>
      <w:r w:rsidRPr="009B42CA">
        <w:rPr>
          <w:i/>
          <w:sz w:val="24"/>
          <w:szCs w:val="24"/>
        </w:rPr>
        <w:t xml:space="preserve">In </w:t>
      </w:r>
      <w:proofErr w:type="spellStart"/>
      <w:r w:rsidRPr="009B42CA">
        <w:rPr>
          <w:i/>
          <w:sz w:val="24"/>
          <w:szCs w:val="24"/>
        </w:rPr>
        <w:t>vitro</w:t>
      </w:r>
      <w:proofErr w:type="spellEnd"/>
      <w:r w:rsidRPr="009B42CA">
        <w:rPr>
          <w:sz w:val="24"/>
          <w:szCs w:val="24"/>
        </w:rPr>
        <w:t>-studier med humane plasmaproteiner afslørede ikke en udpræget tendens til 2F-ara-A-proteinbinding.</w:t>
      </w:r>
    </w:p>
    <w:p w14:paraId="4F12B4E4" w14:textId="77777777" w:rsidR="004A59BF" w:rsidRPr="009B42CA" w:rsidRDefault="004A59BF" w:rsidP="005E4292">
      <w:pPr>
        <w:ind w:left="851"/>
        <w:rPr>
          <w:sz w:val="24"/>
          <w:szCs w:val="24"/>
        </w:rPr>
      </w:pPr>
    </w:p>
    <w:p w14:paraId="1BB26DB1" w14:textId="77777777" w:rsidR="004A59BF" w:rsidRPr="00E9105A" w:rsidRDefault="004A59BF" w:rsidP="005E4292">
      <w:pPr>
        <w:ind w:left="851"/>
        <w:rPr>
          <w:sz w:val="24"/>
          <w:szCs w:val="24"/>
          <w:u w:val="single"/>
        </w:rPr>
      </w:pPr>
      <w:proofErr w:type="spellStart"/>
      <w:r w:rsidRPr="00E9105A">
        <w:rPr>
          <w:sz w:val="24"/>
          <w:szCs w:val="24"/>
          <w:u w:val="single"/>
        </w:rPr>
        <w:t>Fludarabintriphosphats</w:t>
      </w:r>
      <w:proofErr w:type="spellEnd"/>
      <w:r w:rsidRPr="00E9105A">
        <w:rPr>
          <w:sz w:val="24"/>
          <w:szCs w:val="24"/>
          <w:u w:val="single"/>
        </w:rPr>
        <w:t xml:space="preserve"> cellulære farmakokinetik</w:t>
      </w:r>
    </w:p>
    <w:p w14:paraId="7B9B380D" w14:textId="75945E42" w:rsidR="007B6BAC" w:rsidRDefault="004A59BF" w:rsidP="000C5D8C">
      <w:pPr>
        <w:ind w:left="851"/>
        <w:rPr>
          <w:sz w:val="24"/>
          <w:szCs w:val="24"/>
        </w:rPr>
      </w:pPr>
      <w:r w:rsidRPr="009B42CA">
        <w:rPr>
          <w:sz w:val="24"/>
          <w:szCs w:val="24"/>
        </w:rPr>
        <w:t xml:space="preserve">2F-ara-A transporteres aktivt ind i leukæmiceller, hvorefter det </w:t>
      </w:r>
      <w:proofErr w:type="spellStart"/>
      <w:r w:rsidRPr="009B42CA">
        <w:rPr>
          <w:sz w:val="24"/>
          <w:szCs w:val="24"/>
        </w:rPr>
        <w:t>refosforyleres</w:t>
      </w:r>
      <w:proofErr w:type="spellEnd"/>
      <w:r w:rsidRPr="009B42CA">
        <w:rPr>
          <w:sz w:val="24"/>
          <w:szCs w:val="24"/>
        </w:rPr>
        <w:t xml:space="preserve"> til monofosfat og efterfølgende til di- og trifosfat. Trifosfatet 2F-ara-ATP er den største intracellulære metabolit og den eneste metabolit, der vides at have </w:t>
      </w:r>
      <w:proofErr w:type="spellStart"/>
      <w:r w:rsidRPr="009B42CA">
        <w:rPr>
          <w:sz w:val="24"/>
          <w:szCs w:val="24"/>
        </w:rPr>
        <w:t>cytotoksisk</w:t>
      </w:r>
      <w:proofErr w:type="spellEnd"/>
      <w:r w:rsidRPr="009B42CA">
        <w:rPr>
          <w:sz w:val="24"/>
          <w:szCs w:val="24"/>
        </w:rPr>
        <w:t xml:space="preserve"> aktivitet. Der blev observeret maksimale 2F-ara-ATP-niveauer i leukæmiske lymfocytter hos CLL-patienter ved en mediantid på 4 timer, som udviste betydelig variation med en median maksimumkoncentration på ca. 20 µM. 2F-ara-ATP-niveauerne i leukæmiske celler var på alle tidspunkter højere end de maksimale 2F-ara-A-niveauer i plasma, hvilket indikerer en akkumulering i målcellerne. </w:t>
      </w:r>
      <w:r w:rsidRPr="009B42CA">
        <w:rPr>
          <w:i/>
          <w:sz w:val="24"/>
          <w:szCs w:val="24"/>
        </w:rPr>
        <w:t xml:space="preserve">In </w:t>
      </w:r>
      <w:proofErr w:type="spellStart"/>
      <w:r w:rsidRPr="009B42CA">
        <w:rPr>
          <w:i/>
          <w:sz w:val="24"/>
          <w:szCs w:val="24"/>
        </w:rPr>
        <w:t>vitro</w:t>
      </w:r>
      <w:r w:rsidRPr="009B42CA">
        <w:rPr>
          <w:sz w:val="24"/>
          <w:szCs w:val="24"/>
        </w:rPr>
        <w:t>-inkubering</w:t>
      </w:r>
      <w:proofErr w:type="spellEnd"/>
      <w:r w:rsidRPr="009B42CA">
        <w:rPr>
          <w:sz w:val="24"/>
          <w:szCs w:val="24"/>
        </w:rPr>
        <w:t xml:space="preserve"> af leukæmiske lymfocytter viste et lineært forhold mellem ekstracellulære 2F-ara-A-eksponering (produkt af 2F-ara-A-koncentration og inkubationstid) og intracellulær 2F-ara-ATP-opformering. 2F-ara-ATP-elimination fra målcellerne viste </w:t>
      </w:r>
      <w:proofErr w:type="spellStart"/>
      <w:r w:rsidRPr="009B42CA">
        <w:rPr>
          <w:sz w:val="24"/>
          <w:szCs w:val="24"/>
        </w:rPr>
        <w:t>mediane</w:t>
      </w:r>
      <w:proofErr w:type="spellEnd"/>
      <w:r w:rsidRPr="009B42CA">
        <w:rPr>
          <w:sz w:val="24"/>
          <w:szCs w:val="24"/>
        </w:rPr>
        <w:t xml:space="preserve"> halveringstider på 15 og 23 timer.</w:t>
      </w:r>
    </w:p>
    <w:p w14:paraId="46976658" w14:textId="77777777" w:rsidR="009260DE" w:rsidRPr="009B42CA" w:rsidRDefault="009260DE" w:rsidP="009260DE">
      <w:pPr>
        <w:tabs>
          <w:tab w:val="left" w:pos="851"/>
        </w:tabs>
        <w:ind w:left="851"/>
        <w:rPr>
          <w:sz w:val="24"/>
          <w:szCs w:val="24"/>
        </w:rPr>
      </w:pPr>
    </w:p>
    <w:p w14:paraId="0CC250C6" w14:textId="77777777" w:rsidR="009260DE" w:rsidRPr="009B42CA" w:rsidRDefault="009260DE" w:rsidP="009260DE">
      <w:pPr>
        <w:tabs>
          <w:tab w:val="left" w:pos="851"/>
        </w:tabs>
        <w:ind w:left="851" w:hanging="851"/>
        <w:rPr>
          <w:b/>
          <w:sz w:val="24"/>
          <w:szCs w:val="24"/>
        </w:rPr>
      </w:pPr>
      <w:r w:rsidRPr="009B42CA">
        <w:rPr>
          <w:b/>
          <w:sz w:val="24"/>
          <w:szCs w:val="24"/>
        </w:rPr>
        <w:t>5.3</w:t>
      </w:r>
      <w:r w:rsidRPr="009B42CA">
        <w:rPr>
          <w:b/>
          <w:sz w:val="24"/>
          <w:szCs w:val="24"/>
        </w:rPr>
        <w:tab/>
      </w:r>
      <w:r w:rsidR="00BD7931" w:rsidRPr="009B42CA">
        <w:rPr>
          <w:b/>
          <w:sz w:val="24"/>
          <w:szCs w:val="24"/>
        </w:rPr>
        <w:t>Non-</w:t>
      </w:r>
      <w:r w:rsidRPr="009B42CA">
        <w:rPr>
          <w:b/>
          <w:sz w:val="24"/>
          <w:szCs w:val="24"/>
        </w:rPr>
        <w:t>kliniske sikkerhedsdata</w:t>
      </w:r>
    </w:p>
    <w:p w14:paraId="0CB1462D" w14:textId="77777777" w:rsidR="00E9105A" w:rsidRDefault="00E9105A" w:rsidP="005E4292">
      <w:pPr>
        <w:ind w:left="851"/>
        <w:rPr>
          <w:sz w:val="24"/>
          <w:szCs w:val="24"/>
        </w:rPr>
      </w:pPr>
    </w:p>
    <w:p w14:paraId="12DB7722" w14:textId="01CF670E" w:rsidR="004A59BF" w:rsidRPr="00E9105A" w:rsidRDefault="004A59BF" w:rsidP="005E4292">
      <w:pPr>
        <w:ind w:left="851"/>
        <w:rPr>
          <w:sz w:val="24"/>
          <w:szCs w:val="24"/>
          <w:u w:val="single"/>
        </w:rPr>
      </w:pPr>
      <w:r w:rsidRPr="00E9105A">
        <w:rPr>
          <w:sz w:val="24"/>
          <w:szCs w:val="24"/>
          <w:u w:val="single"/>
        </w:rPr>
        <w:t>Systemisk toksicitet</w:t>
      </w:r>
    </w:p>
    <w:p w14:paraId="08760BA0" w14:textId="77777777" w:rsidR="004A59BF" w:rsidRPr="009B42CA" w:rsidRDefault="004A59BF" w:rsidP="005E4292">
      <w:pPr>
        <w:ind w:left="851"/>
        <w:rPr>
          <w:sz w:val="24"/>
          <w:szCs w:val="24"/>
        </w:rPr>
      </w:pPr>
      <w:r w:rsidRPr="009B42CA">
        <w:rPr>
          <w:sz w:val="24"/>
          <w:szCs w:val="24"/>
        </w:rPr>
        <w:t xml:space="preserve">I akutte toksicitetsstudier resulterede enkeltdoser af </w:t>
      </w:r>
      <w:proofErr w:type="spellStart"/>
      <w:r w:rsidRPr="009B42CA">
        <w:rPr>
          <w:sz w:val="24"/>
          <w:szCs w:val="24"/>
        </w:rPr>
        <w:t>fludarabinphosphat</w:t>
      </w:r>
      <w:proofErr w:type="spellEnd"/>
      <w:r w:rsidRPr="009B42CA">
        <w:rPr>
          <w:sz w:val="24"/>
          <w:szCs w:val="24"/>
        </w:rPr>
        <w:t xml:space="preserve"> i alvorlige toksiske symptomer eller død ved doser, som lå to størrelsesordener over terapeutisk dosis. Som det kan forventes af et </w:t>
      </w:r>
      <w:proofErr w:type="spellStart"/>
      <w:r w:rsidRPr="009B42CA">
        <w:rPr>
          <w:sz w:val="24"/>
          <w:szCs w:val="24"/>
        </w:rPr>
        <w:t>cytotoksisk</w:t>
      </w:r>
      <w:proofErr w:type="spellEnd"/>
      <w:r w:rsidRPr="009B42CA">
        <w:rPr>
          <w:sz w:val="24"/>
          <w:szCs w:val="24"/>
        </w:rPr>
        <w:t xml:space="preserve"> stof, blev knoglemarven, lymfeorganerne, slimhinderne i mave/tarm, nyrerne og testikler påvirket. Hos patienter, der blev behandlet med doser tættere på den anbefalede dosis (faktor 3 til 4), blev der observeret alvorlige bivirkninger, som omfattede </w:t>
      </w:r>
      <w:proofErr w:type="spellStart"/>
      <w:r w:rsidRPr="009B42CA">
        <w:rPr>
          <w:sz w:val="24"/>
          <w:szCs w:val="24"/>
        </w:rPr>
        <w:t>neurotoksisk</w:t>
      </w:r>
      <w:proofErr w:type="spellEnd"/>
      <w:r w:rsidRPr="009B42CA">
        <w:rPr>
          <w:sz w:val="24"/>
          <w:szCs w:val="24"/>
        </w:rPr>
        <w:t xml:space="preserve"> effekt delvist med dødelig udgang (se pkt. 4.9).</w:t>
      </w:r>
    </w:p>
    <w:p w14:paraId="33A8BC69" w14:textId="77777777" w:rsidR="004A59BF" w:rsidRPr="009B42CA" w:rsidRDefault="004A59BF" w:rsidP="005E4292">
      <w:pPr>
        <w:ind w:left="851"/>
        <w:rPr>
          <w:sz w:val="24"/>
          <w:szCs w:val="24"/>
        </w:rPr>
      </w:pPr>
    </w:p>
    <w:p w14:paraId="6B50E654" w14:textId="77777777" w:rsidR="004A59BF" w:rsidRPr="009B42CA" w:rsidRDefault="004A59BF" w:rsidP="005E4292">
      <w:pPr>
        <w:ind w:left="851"/>
        <w:rPr>
          <w:sz w:val="24"/>
          <w:szCs w:val="24"/>
        </w:rPr>
      </w:pPr>
      <w:r w:rsidRPr="009B42CA">
        <w:rPr>
          <w:sz w:val="24"/>
          <w:szCs w:val="24"/>
        </w:rPr>
        <w:t xml:space="preserve">Systemiske toksicitetsstudier efter gentagen administration af </w:t>
      </w:r>
      <w:proofErr w:type="spellStart"/>
      <w:r w:rsidRPr="009B42CA">
        <w:rPr>
          <w:sz w:val="24"/>
          <w:szCs w:val="24"/>
        </w:rPr>
        <w:t>fludarabinphosphat</w:t>
      </w:r>
      <w:proofErr w:type="spellEnd"/>
      <w:r w:rsidRPr="009B42CA">
        <w:rPr>
          <w:sz w:val="24"/>
          <w:szCs w:val="24"/>
        </w:rPr>
        <w:t xml:space="preserve"> viste desuden den forventede effekt på hurtigt udviklende væv over tærskeldosis. Alvorligheden af morfologiske manifestationer steg i takt med dosisniveauerne og doseringsvarigheden, og de observerede ændringer ansås generelt som værende reversible. Grundlæggende peger den tilgængelige viden fra terapeutisk brug af </w:t>
      </w:r>
      <w:proofErr w:type="spellStart"/>
      <w:r w:rsidRPr="009B42CA">
        <w:rPr>
          <w:sz w:val="24"/>
          <w:szCs w:val="24"/>
        </w:rPr>
        <w:t>fludarabin</w:t>
      </w:r>
      <w:proofErr w:type="spellEnd"/>
      <w:r w:rsidRPr="009B42CA">
        <w:rPr>
          <w:sz w:val="24"/>
          <w:szCs w:val="24"/>
        </w:rPr>
        <w:t xml:space="preserve"> på en sammenlignelig toksikologisk profil hos mennesker, selv om der blev observeret yderligere bivirkninger som f.eks. </w:t>
      </w:r>
      <w:proofErr w:type="spellStart"/>
      <w:r w:rsidRPr="009B42CA">
        <w:rPr>
          <w:sz w:val="24"/>
          <w:szCs w:val="24"/>
        </w:rPr>
        <w:t>neurotoksicitet</w:t>
      </w:r>
      <w:proofErr w:type="spellEnd"/>
      <w:r w:rsidRPr="009B42CA">
        <w:rPr>
          <w:sz w:val="24"/>
          <w:szCs w:val="24"/>
        </w:rPr>
        <w:t xml:space="preserve"> hos patienterne (se pkt. 4.8).</w:t>
      </w:r>
    </w:p>
    <w:p w14:paraId="19A10AB8" w14:textId="77777777" w:rsidR="004A59BF" w:rsidRPr="009B42CA" w:rsidRDefault="004A59BF" w:rsidP="005E4292">
      <w:pPr>
        <w:ind w:left="851"/>
        <w:rPr>
          <w:sz w:val="24"/>
          <w:szCs w:val="24"/>
        </w:rPr>
      </w:pPr>
    </w:p>
    <w:p w14:paraId="52250564" w14:textId="77777777" w:rsidR="004A59BF" w:rsidRPr="00E9105A" w:rsidRDefault="004A59BF" w:rsidP="005E4292">
      <w:pPr>
        <w:ind w:left="851"/>
        <w:rPr>
          <w:sz w:val="24"/>
          <w:szCs w:val="24"/>
          <w:u w:val="single"/>
        </w:rPr>
      </w:pPr>
      <w:r w:rsidRPr="00E9105A">
        <w:rPr>
          <w:sz w:val="24"/>
          <w:szCs w:val="24"/>
          <w:u w:val="single"/>
        </w:rPr>
        <w:t>Embryotoksicitet</w:t>
      </w:r>
    </w:p>
    <w:p w14:paraId="714CB148" w14:textId="77777777" w:rsidR="004A59BF" w:rsidRPr="009B42CA" w:rsidRDefault="004A59BF" w:rsidP="005E4292">
      <w:pPr>
        <w:ind w:left="851"/>
        <w:rPr>
          <w:sz w:val="24"/>
          <w:szCs w:val="24"/>
        </w:rPr>
      </w:pPr>
      <w:r w:rsidRPr="009B42CA">
        <w:rPr>
          <w:sz w:val="24"/>
          <w:szCs w:val="24"/>
        </w:rPr>
        <w:t xml:space="preserve">Resultaterne fra intravenøse embryotoksicitetsstudier i rotter og kaniner indikerer, at der er et embryoletalt og </w:t>
      </w:r>
      <w:proofErr w:type="spellStart"/>
      <w:r w:rsidRPr="009B42CA">
        <w:rPr>
          <w:sz w:val="24"/>
          <w:szCs w:val="24"/>
        </w:rPr>
        <w:t>teratogent</w:t>
      </w:r>
      <w:proofErr w:type="spellEnd"/>
      <w:r w:rsidRPr="009B42CA">
        <w:rPr>
          <w:sz w:val="24"/>
          <w:szCs w:val="24"/>
        </w:rPr>
        <w:t xml:space="preserve"> potentiale i forbindelse med </w:t>
      </w:r>
      <w:proofErr w:type="spellStart"/>
      <w:r w:rsidRPr="009B42CA">
        <w:rPr>
          <w:sz w:val="24"/>
          <w:szCs w:val="24"/>
        </w:rPr>
        <w:t>fludarabinphosphat</w:t>
      </w:r>
      <w:proofErr w:type="spellEnd"/>
      <w:r w:rsidRPr="009B42CA">
        <w:rPr>
          <w:sz w:val="24"/>
          <w:szCs w:val="24"/>
        </w:rPr>
        <w:t xml:space="preserve">, manifesteret som skeletale misdannelser, vægttab hor fostret og post-implantationstab. I lyset af den snævre sikkerhedsmargin mellem de </w:t>
      </w:r>
      <w:proofErr w:type="spellStart"/>
      <w:r w:rsidRPr="009B42CA">
        <w:rPr>
          <w:sz w:val="24"/>
          <w:szCs w:val="24"/>
        </w:rPr>
        <w:t>teratogene</w:t>
      </w:r>
      <w:proofErr w:type="spellEnd"/>
      <w:r w:rsidRPr="009B42CA">
        <w:rPr>
          <w:sz w:val="24"/>
          <w:szCs w:val="24"/>
        </w:rPr>
        <w:t xml:space="preserve"> doser hos dyr og den terapeutiske dosis hos mennesker samt sammenhængen med andre antimetabolitter, som formodes at interferere med differentieringsprocessen, er terapeutisk brug af </w:t>
      </w:r>
      <w:proofErr w:type="spellStart"/>
      <w:r w:rsidRPr="009B42CA">
        <w:rPr>
          <w:sz w:val="24"/>
          <w:szCs w:val="24"/>
        </w:rPr>
        <w:t>fludarabin</w:t>
      </w:r>
      <w:proofErr w:type="spellEnd"/>
      <w:r w:rsidRPr="009B42CA">
        <w:rPr>
          <w:sz w:val="24"/>
          <w:szCs w:val="24"/>
        </w:rPr>
        <w:t xml:space="preserve"> forbundet med en relevant risiko for at være </w:t>
      </w:r>
      <w:proofErr w:type="spellStart"/>
      <w:r w:rsidRPr="009B42CA">
        <w:rPr>
          <w:sz w:val="24"/>
          <w:szCs w:val="24"/>
        </w:rPr>
        <w:t>teratogen</w:t>
      </w:r>
      <w:proofErr w:type="spellEnd"/>
      <w:r w:rsidRPr="009B42CA">
        <w:rPr>
          <w:sz w:val="24"/>
          <w:szCs w:val="24"/>
        </w:rPr>
        <w:t xml:space="preserve"> hos mennesker (se pkt. 4.6).</w:t>
      </w:r>
    </w:p>
    <w:p w14:paraId="2639FCD6" w14:textId="77777777" w:rsidR="004A59BF" w:rsidRPr="009B42CA" w:rsidRDefault="004A59BF" w:rsidP="005E4292">
      <w:pPr>
        <w:ind w:left="851"/>
        <w:rPr>
          <w:sz w:val="24"/>
          <w:szCs w:val="24"/>
        </w:rPr>
      </w:pPr>
    </w:p>
    <w:p w14:paraId="19A563F4" w14:textId="77777777" w:rsidR="004A59BF" w:rsidRPr="00E9105A" w:rsidRDefault="004A59BF" w:rsidP="005E4292">
      <w:pPr>
        <w:ind w:left="851"/>
        <w:rPr>
          <w:sz w:val="24"/>
          <w:szCs w:val="24"/>
          <w:u w:val="single"/>
        </w:rPr>
      </w:pPr>
      <w:r w:rsidRPr="00E9105A">
        <w:rPr>
          <w:sz w:val="24"/>
          <w:szCs w:val="24"/>
          <w:u w:val="single"/>
        </w:rPr>
        <w:t xml:space="preserve">Genotoksisk potentiale, </w:t>
      </w:r>
      <w:proofErr w:type="spellStart"/>
      <w:r w:rsidRPr="00E9105A">
        <w:rPr>
          <w:sz w:val="24"/>
          <w:szCs w:val="24"/>
          <w:u w:val="single"/>
        </w:rPr>
        <w:t>tumorigenicitet</w:t>
      </w:r>
      <w:proofErr w:type="spellEnd"/>
    </w:p>
    <w:p w14:paraId="78F842AE" w14:textId="77777777" w:rsidR="004A59BF" w:rsidRPr="009B42CA" w:rsidRDefault="004A59BF" w:rsidP="005E4292">
      <w:pPr>
        <w:ind w:left="851"/>
        <w:rPr>
          <w:sz w:val="24"/>
          <w:szCs w:val="24"/>
        </w:rPr>
      </w:pPr>
      <w:proofErr w:type="spellStart"/>
      <w:r w:rsidRPr="009B42CA">
        <w:rPr>
          <w:sz w:val="24"/>
          <w:szCs w:val="24"/>
        </w:rPr>
        <w:t>Fludarabinphosphat</w:t>
      </w:r>
      <w:proofErr w:type="spellEnd"/>
      <w:r w:rsidRPr="009B42CA">
        <w:rPr>
          <w:sz w:val="24"/>
          <w:szCs w:val="24"/>
        </w:rPr>
        <w:t xml:space="preserve"> har vist at forårsage skade på DNA i en </w:t>
      </w:r>
      <w:proofErr w:type="spellStart"/>
      <w:r w:rsidRPr="009B42CA">
        <w:rPr>
          <w:sz w:val="24"/>
          <w:szCs w:val="24"/>
        </w:rPr>
        <w:t>søsterkromatid</w:t>
      </w:r>
      <w:r w:rsidRPr="009B42CA">
        <w:rPr>
          <w:color w:val="000000"/>
          <w:sz w:val="24"/>
          <w:szCs w:val="24"/>
          <w:shd w:val="clear" w:color="auto" w:fill="FFFFFF"/>
        </w:rPr>
        <w:t>udvekslings</w:t>
      </w:r>
      <w:r w:rsidRPr="009B42CA">
        <w:rPr>
          <w:sz w:val="24"/>
          <w:szCs w:val="24"/>
        </w:rPr>
        <w:t>test</w:t>
      </w:r>
      <w:proofErr w:type="spellEnd"/>
      <w:r w:rsidRPr="009B42CA">
        <w:rPr>
          <w:sz w:val="24"/>
          <w:szCs w:val="24"/>
        </w:rPr>
        <w:t xml:space="preserve">, at inducere kromosomforandringer i et </w:t>
      </w:r>
      <w:r w:rsidRPr="009B42CA">
        <w:rPr>
          <w:i/>
          <w:iCs/>
          <w:sz w:val="24"/>
          <w:szCs w:val="24"/>
        </w:rPr>
        <w:t xml:space="preserve">in </w:t>
      </w:r>
      <w:proofErr w:type="spellStart"/>
      <w:r w:rsidRPr="009B42CA">
        <w:rPr>
          <w:i/>
          <w:iCs/>
          <w:sz w:val="24"/>
          <w:szCs w:val="24"/>
        </w:rPr>
        <w:t>vitro</w:t>
      </w:r>
      <w:proofErr w:type="spellEnd"/>
      <w:r w:rsidRPr="009B42CA">
        <w:rPr>
          <w:sz w:val="24"/>
          <w:szCs w:val="24"/>
        </w:rPr>
        <w:t xml:space="preserve"> cytogenetisk </w:t>
      </w:r>
      <w:proofErr w:type="spellStart"/>
      <w:r w:rsidRPr="009B42CA">
        <w:rPr>
          <w:sz w:val="24"/>
          <w:szCs w:val="24"/>
        </w:rPr>
        <w:t>assay</w:t>
      </w:r>
      <w:proofErr w:type="spellEnd"/>
      <w:r w:rsidRPr="009B42CA">
        <w:rPr>
          <w:sz w:val="24"/>
          <w:szCs w:val="24"/>
        </w:rPr>
        <w:t xml:space="preserve"> samt at øge forekomsten af </w:t>
      </w:r>
      <w:proofErr w:type="spellStart"/>
      <w:r w:rsidRPr="009B42CA">
        <w:rPr>
          <w:sz w:val="24"/>
          <w:szCs w:val="24"/>
        </w:rPr>
        <w:t>mikronuklei</w:t>
      </w:r>
      <w:proofErr w:type="spellEnd"/>
      <w:r w:rsidRPr="009B42CA">
        <w:rPr>
          <w:sz w:val="24"/>
          <w:szCs w:val="24"/>
        </w:rPr>
        <w:t xml:space="preserve"> i </w:t>
      </w:r>
      <w:r w:rsidRPr="009B42CA">
        <w:rPr>
          <w:i/>
          <w:iCs/>
          <w:sz w:val="24"/>
          <w:szCs w:val="24"/>
        </w:rPr>
        <w:t xml:space="preserve">in </w:t>
      </w:r>
      <w:proofErr w:type="spellStart"/>
      <w:r w:rsidRPr="009B42CA">
        <w:rPr>
          <w:i/>
          <w:iCs/>
          <w:sz w:val="24"/>
          <w:szCs w:val="24"/>
        </w:rPr>
        <w:t>vivo</w:t>
      </w:r>
      <w:proofErr w:type="spellEnd"/>
      <w:r w:rsidRPr="009B42CA">
        <w:rPr>
          <w:i/>
          <w:iCs/>
          <w:sz w:val="24"/>
          <w:szCs w:val="24"/>
        </w:rPr>
        <w:t xml:space="preserve"> </w:t>
      </w:r>
      <w:proofErr w:type="spellStart"/>
      <w:r w:rsidRPr="009B42CA">
        <w:rPr>
          <w:sz w:val="24"/>
          <w:szCs w:val="24"/>
        </w:rPr>
        <w:t>micronukleustest</w:t>
      </w:r>
      <w:proofErr w:type="spellEnd"/>
      <w:r w:rsidRPr="009B42CA">
        <w:rPr>
          <w:sz w:val="24"/>
          <w:szCs w:val="24"/>
        </w:rPr>
        <w:t xml:space="preserve"> hos mus, men var negativ i </w:t>
      </w:r>
      <w:proofErr w:type="spellStart"/>
      <w:r w:rsidRPr="009B42CA">
        <w:rPr>
          <w:sz w:val="24"/>
          <w:szCs w:val="24"/>
        </w:rPr>
        <w:t>genmutationsassays</w:t>
      </w:r>
      <w:proofErr w:type="spellEnd"/>
      <w:r w:rsidRPr="009B42CA">
        <w:rPr>
          <w:sz w:val="24"/>
          <w:szCs w:val="24"/>
        </w:rPr>
        <w:t xml:space="preserve"> og den dominerende letaltest hos </w:t>
      </w:r>
      <w:proofErr w:type="spellStart"/>
      <w:r w:rsidRPr="009B42CA">
        <w:rPr>
          <w:sz w:val="24"/>
          <w:szCs w:val="24"/>
        </w:rPr>
        <w:t>hanmus</w:t>
      </w:r>
      <w:proofErr w:type="spellEnd"/>
      <w:r w:rsidRPr="009B42CA">
        <w:rPr>
          <w:sz w:val="24"/>
          <w:szCs w:val="24"/>
        </w:rPr>
        <w:t>. Det mutagene potentiale blev således påvist i somatiske celler, men kunne ikke påvises i kønsceller.</w:t>
      </w:r>
    </w:p>
    <w:p w14:paraId="67231282" w14:textId="77777777" w:rsidR="004A59BF" w:rsidRPr="009B42CA" w:rsidRDefault="004A59BF" w:rsidP="005E4292">
      <w:pPr>
        <w:ind w:left="851"/>
        <w:rPr>
          <w:sz w:val="24"/>
          <w:szCs w:val="24"/>
        </w:rPr>
      </w:pPr>
    </w:p>
    <w:p w14:paraId="4789E476" w14:textId="77777777" w:rsidR="004A59BF" w:rsidRPr="009B42CA" w:rsidRDefault="004A59BF" w:rsidP="005E4292">
      <w:pPr>
        <w:ind w:left="851"/>
        <w:rPr>
          <w:sz w:val="24"/>
          <w:szCs w:val="24"/>
        </w:rPr>
      </w:pPr>
      <w:r w:rsidRPr="009B42CA">
        <w:rPr>
          <w:sz w:val="24"/>
          <w:szCs w:val="24"/>
        </w:rPr>
        <w:lastRenderedPageBreak/>
        <w:t xml:space="preserve">Den aktivitet, som </w:t>
      </w:r>
      <w:proofErr w:type="spellStart"/>
      <w:r w:rsidRPr="009B42CA">
        <w:rPr>
          <w:sz w:val="24"/>
          <w:szCs w:val="24"/>
        </w:rPr>
        <w:t>fludarabinphosphat</w:t>
      </w:r>
      <w:proofErr w:type="spellEnd"/>
      <w:r w:rsidRPr="009B42CA">
        <w:rPr>
          <w:sz w:val="24"/>
          <w:szCs w:val="24"/>
        </w:rPr>
        <w:t xml:space="preserve"> vides at have på DNA-niveauet, og resultaterne fra </w:t>
      </w:r>
      <w:proofErr w:type="spellStart"/>
      <w:r w:rsidRPr="009B42CA">
        <w:rPr>
          <w:sz w:val="24"/>
          <w:szCs w:val="24"/>
        </w:rPr>
        <w:t>mutagenicitetsstudier</w:t>
      </w:r>
      <w:proofErr w:type="spellEnd"/>
      <w:r w:rsidRPr="009B42CA">
        <w:rPr>
          <w:sz w:val="24"/>
          <w:szCs w:val="24"/>
        </w:rPr>
        <w:t xml:space="preserve"> danner grundlaget for formodningen om </w:t>
      </w:r>
      <w:proofErr w:type="spellStart"/>
      <w:r w:rsidRPr="009B42CA">
        <w:rPr>
          <w:sz w:val="24"/>
          <w:szCs w:val="24"/>
        </w:rPr>
        <w:t>tumorigent</w:t>
      </w:r>
      <w:proofErr w:type="spellEnd"/>
      <w:r w:rsidRPr="009B42CA">
        <w:rPr>
          <w:sz w:val="24"/>
          <w:szCs w:val="24"/>
        </w:rPr>
        <w:t xml:space="preserve"> potentiale. Der er ikke udført dyrestudier, som direkte behandler spørgsmålet om </w:t>
      </w:r>
      <w:proofErr w:type="spellStart"/>
      <w:r w:rsidRPr="009B42CA">
        <w:rPr>
          <w:sz w:val="24"/>
          <w:szCs w:val="24"/>
        </w:rPr>
        <w:t>tumorgenicitet</w:t>
      </w:r>
      <w:proofErr w:type="spellEnd"/>
      <w:r w:rsidRPr="009B42CA">
        <w:rPr>
          <w:sz w:val="24"/>
          <w:szCs w:val="24"/>
        </w:rPr>
        <w:t xml:space="preserve">, da formodningen om øget risiko for sekundære tumorer grundet behandling med </w:t>
      </w:r>
      <w:proofErr w:type="spellStart"/>
      <w:r w:rsidRPr="009B42CA">
        <w:rPr>
          <w:sz w:val="24"/>
          <w:szCs w:val="24"/>
        </w:rPr>
        <w:t>fludarabin</w:t>
      </w:r>
      <w:proofErr w:type="spellEnd"/>
      <w:r w:rsidRPr="009B42CA">
        <w:rPr>
          <w:sz w:val="24"/>
          <w:szCs w:val="24"/>
        </w:rPr>
        <w:t xml:space="preserve"> udelukkende kan verificeres af epidemiologiske data. </w:t>
      </w:r>
    </w:p>
    <w:p w14:paraId="100E578A" w14:textId="77777777" w:rsidR="004A59BF" w:rsidRPr="009B42CA" w:rsidRDefault="004A59BF" w:rsidP="005E4292">
      <w:pPr>
        <w:ind w:left="851"/>
        <w:rPr>
          <w:sz w:val="24"/>
          <w:szCs w:val="24"/>
        </w:rPr>
      </w:pPr>
    </w:p>
    <w:p w14:paraId="1141065A" w14:textId="77777777" w:rsidR="004A59BF" w:rsidRPr="00E9105A" w:rsidRDefault="004A59BF" w:rsidP="005E4292">
      <w:pPr>
        <w:ind w:left="851"/>
        <w:rPr>
          <w:sz w:val="24"/>
          <w:szCs w:val="24"/>
          <w:u w:val="single"/>
        </w:rPr>
      </w:pPr>
      <w:r w:rsidRPr="00E9105A">
        <w:rPr>
          <w:sz w:val="24"/>
          <w:szCs w:val="24"/>
          <w:u w:val="single"/>
        </w:rPr>
        <w:t>Lokal tolerance</w:t>
      </w:r>
    </w:p>
    <w:p w14:paraId="069D6D89" w14:textId="77777777" w:rsidR="004A59BF" w:rsidRPr="009B42CA" w:rsidRDefault="004A59BF" w:rsidP="005E4292">
      <w:pPr>
        <w:ind w:left="851"/>
        <w:rPr>
          <w:sz w:val="24"/>
          <w:szCs w:val="24"/>
        </w:rPr>
      </w:pPr>
      <w:r w:rsidRPr="009B42CA">
        <w:rPr>
          <w:sz w:val="24"/>
          <w:szCs w:val="24"/>
        </w:rPr>
        <w:t xml:space="preserve">Ifølge resultaterne fra dyrestudier efter intravenøs administration af </w:t>
      </w:r>
      <w:proofErr w:type="spellStart"/>
      <w:r w:rsidRPr="009B42CA">
        <w:rPr>
          <w:sz w:val="24"/>
          <w:szCs w:val="24"/>
        </w:rPr>
        <w:t>fludarabinphosphat</w:t>
      </w:r>
      <w:proofErr w:type="spellEnd"/>
      <w:r w:rsidRPr="009B42CA">
        <w:rPr>
          <w:sz w:val="24"/>
          <w:szCs w:val="24"/>
        </w:rPr>
        <w:t xml:space="preserve"> kan der ikke forventes nævneværdig lokal irritation på injektionsstedet. Selv i tilfælde af fejlplacerede injektioner blev der ikke observeret relevant lokal irritation efter </w:t>
      </w:r>
      <w:proofErr w:type="spellStart"/>
      <w:r w:rsidRPr="009B42CA">
        <w:rPr>
          <w:sz w:val="24"/>
          <w:szCs w:val="24"/>
        </w:rPr>
        <w:t>paravenøs</w:t>
      </w:r>
      <w:proofErr w:type="spellEnd"/>
      <w:r w:rsidRPr="009B42CA">
        <w:rPr>
          <w:sz w:val="24"/>
          <w:szCs w:val="24"/>
        </w:rPr>
        <w:t xml:space="preserve">, </w:t>
      </w:r>
      <w:proofErr w:type="spellStart"/>
      <w:r w:rsidRPr="009B42CA">
        <w:rPr>
          <w:sz w:val="24"/>
          <w:szCs w:val="24"/>
        </w:rPr>
        <w:t>interarteriel</w:t>
      </w:r>
      <w:proofErr w:type="spellEnd"/>
      <w:r w:rsidRPr="009B42CA">
        <w:rPr>
          <w:sz w:val="24"/>
          <w:szCs w:val="24"/>
        </w:rPr>
        <w:t xml:space="preserve"> og intramuskulær administration af en vandig opløsning indeholdende 7,5 mg </w:t>
      </w:r>
      <w:proofErr w:type="spellStart"/>
      <w:r w:rsidRPr="009B42CA">
        <w:rPr>
          <w:sz w:val="24"/>
          <w:szCs w:val="24"/>
        </w:rPr>
        <w:t>fludarabinphosphat</w:t>
      </w:r>
      <w:proofErr w:type="spellEnd"/>
      <w:r w:rsidRPr="009B42CA">
        <w:rPr>
          <w:sz w:val="24"/>
          <w:szCs w:val="24"/>
        </w:rPr>
        <w:t>/ml.</w:t>
      </w:r>
    </w:p>
    <w:p w14:paraId="607FD525" w14:textId="77777777" w:rsidR="004A59BF" w:rsidRPr="009B42CA" w:rsidRDefault="004A59BF" w:rsidP="005E4292">
      <w:pPr>
        <w:ind w:left="851"/>
        <w:rPr>
          <w:sz w:val="24"/>
          <w:szCs w:val="24"/>
        </w:rPr>
      </w:pPr>
    </w:p>
    <w:p w14:paraId="2320C502" w14:textId="77777777" w:rsidR="004A59BF" w:rsidRPr="009B42CA" w:rsidRDefault="004A59BF" w:rsidP="005E4292">
      <w:pPr>
        <w:ind w:left="851"/>
        <w:rPr>
          <w:sz w:val="24"/>
          <w:szCs w:val="24"/>
        </w:rPr>
      </w:pPr>
      <w:r w:rsidRPr="009B42CA">
        <w:rPr>
          <w:sz w:val="24"/>
          <w:szCs w:val="24"/>
        </w:rPr>
        <w:t xml:space="preserve">Ligheden af de observerede typer læsioner i mave-tarm-kanalen efter intravenøs eller intragastrisk dosering i dyrestudier understøtter den antagelse, at </w:t>
      </w:r>
      <w:proofErr w:type="spellStart"/>
      <w:r w:rsidRPr="009B42CA">
        <w:rPr>
          <w:sz w:val="24"/>
          <w:szCs w:val="24"/>
        </w:rPr>
        <w:t>fludarabinphosphat</w:t>
      </w:r>
      <w:proofErr w:type="spellEnd"/>
      <w:r w:rsidRPr="009B42CA">
        <w:rPr>
          <w:sz w:val="24"/>
          <w:szCs w:val="24"/>
        </w:rPr>
        <w:t xml:space="preserve">-induceret </w:t>
      </w:r>
      <w:proofErr w:type="spellStart"/>
      <w:r w:rsidRPr="009B42CA">
        <w:rPr>
          <w:sz w:val="24"/>
          <w:szCs w:val="24"/>
        </w:rPr>
        <w:t>enteritis</w:t>
      </w:r>
      <w:proofErr w:type="spellEnd"/>
      <w:r w:rsidRPr="009B42CA">
        <w:rPr>
          <w:sz w:val="24"/>
          <w:szCs w:val="24"/>
        </w:rPr>
        <w:t xml:space="preserve"> er en systemisk virkning.</w:t>
      </w:r>
    </w:p>
    <w:p w14:paraId="6CFC7D4C" w14:textId="77777777" w:rsidR="009260DE" w:rsidRPr="009B42CA" w:rsidRDefault="009260DE" w:rsidP="009260DE">
      <w:pPr>
        <w:tabs>
          <w:tab w:val="left" w:pos="851"/>
        </w:tabs>
        <w:ind w:left="851"/>
        <w:rPr>
          <w:sz w:val="24"/>
          <w:szCs w:val="24"/>
        </w:rPr>
      </w:pPr>
    </w:p>
    <w:p w14:paraId="2D5FB3F0" w14:textId="77777777" w:rsidR="009260DE" w:rsidRPr="009B42CA" w:rsidRDefault="009260DE" w:rsidP="009260DE">
      <w:pPr>
        <w:tabs>
          <w:tab w:val="left" w:pos="851"/>
        </w:tabs>
        <w:ind w:left="851"/>
        <w:rPr>
          <w:sz w:val="24"/>
          <w:szCs w:val="24"/>
        </w:rPr>
      </w:pPr>
    </w:p>
    <w:p w14:paraId="4B86C43F" w14:textId="77777777" w:rsidR="009260DE" w:rsidRPr="009B42CA" w:rsidRDefault="009260DE" w:rsidP="009260DE">
      <w:pPr>
        <w:tabs>
          <w:tab w:val="left" w:pos="851"/>
        </w:tabs>
        <w:ind w:left="851" w:hanging="851"/>
        <w:rPr>
          <w:b/>
          <w:sz w:val="24"/>
          <w:szCs w:val="24"/>
        </w:rPr>
      </w:pPr>
      <w:r w:rsidRPr="009B42CA">
        <w:rPr>
          <w:b/>
          <w:sz w:val="24"/>
          <w:szCs w:val="24"/>
        </w:rPr>
        <w:t>6.</w:t>
      </w:r>
      <w:r w:rsidRPr="009B42CA">
        <w:rPr>
          <w:b/>
          <w:sz w:val="24"/>
          <w:szCs w:val="24"/>
        </w:rPr>
        <w:tab/>
        <w:t>FARMACEUTISKE OPLYSNINGER</w:t>
      </w:r>
    </w:p>
    <w:p w14:paraId="0C23785C" w14:textId="77777777" w:rsidR="009260DE" w:rsidRPr="009B42CA" w:rsidRDefault="009260DE" w:rsidP="009260DE">
      <w:pPr>
        <w:tabs>
          <w:tab w:val="left" w:pos="851"/>
        </w:tabs>
        <w:ind w:left="851"/>
        <w:rPr>
          <w:sz w:val="24"/>
          <w:szCs w:val="24"/>
        </w:rPr>
      </w:pPr>
    </w:p>
    <w:p w14:paraId="47CD223C" w14:textId="77777777" w:rsidR="009260DE" w:rsidRPr="009B42CA" w:rsidRDefault="009260DE" w:rsidP="009260DE">
      <w:pPr>
        <w:tabs>
          <w:tab w:val="left" w:pos="851"/>
        </w:tabs>
        <w:ind w:left="851" w:hanging="851"/>
        <w:rPr>
          <w:b/>
          <w:sz w:val="24"/>
          <w:szCs w:val="24"/>
        </w:rPr>
      </w:pPr>
      <w:r w:rsidRPr="009B42CA">
        <w:rPr>
          <w:b/>
          <w:sz w:val="24"/>
          <w:szCs w:val="24"/>
        </w:rPr>
        <w:t>6.1</w:t>
      </w:r>
      <w:r w:rsidRPr="009B42CA">
        <w:rPr>
          <w:b/>
          <w:sz w:val="24"/>
          <w:szCs w:val="24"/>
        </w:rPr>
        <w:tab/>
        <w:t>Hjælpestoffer</w:t>
      </w:r>
    </w:p>
    <w:p w14:paraId="67E87727" w14:textId="77777777" w:rsidR="004A59BF" w:rsidRPr="009B42CA" w:rsidRDefault="004A59BF" w:rsidP="005E4292">
      <w:pPr>
        <w:ind w:left="851"/>
        <w:rPr>
          <w:sz w:val="24"/>
          <w:szCs w:val="24"/>
        </w:rPr>
      </w:pPr>
      <w:proofErr w:type="spellStart"/>
      <w:r w:rsidRPr="009B42CA">
        <w:rPr>
          <w:sz w:val="24"/>
          <w:szCs w:val="24"/>
        </w:rPr>
        <w:t>Mannitol</w:t>
      </w:r>
      <w:proofErr w:type="spellEnd"/>
      <w:r w:rsidRPr="009B42CA">
        <w:rPr>
          <w:sz w:val="24"/>
          <w:szCs w:val="24"/>
        </w:rPr>
        <w:t xml:space="preserve"> (E421)</w:t>
      </w:r>
    </w:p>
    <w:p w14:paraId="5C2FFD91" w14:textId="77777777" w:rsidR="004A59BF" w:rsidRPr="009B42CA" w:rsidRDefault="004A59BF" w:rsidP="005E4292">
      <w:pPr>
        <w:ind w:left="851"/>
        <w:rPr>
          <w:sz w:val="24"/>
          <w:szCs w:val="24"/>
        </w:rPr>
      </w:pPr>
      <w:r w:rsidRPr="009B42CA">
        <w:rPr>
          <w:sz w:val="24"/>
          <w:szCs w:val="24"/>
        </w:rPr>
        <w:t>Natriumhydroxid (E524, til pH-justering)</w:t>
      </w:r>
    </w:p>
    <w:p w14:paraId="381F7AD1" w14:textId="77777777" w:rsidR="004A59BF" w:rsidRPr="009B42CA" w:rsidRDefault="004A59BF" w:rsidP="005E4292">
      <w:pPr>
        <w:ind w:left="851"/>
        <w:rPr>
          <w:sz w:val="24"/>
          <w:szCs w:val="24"/>
        </w:rPr>
      </w:pPr>
      <w:r w:rsidRPr="009B42CA">
        <w:rPr>
          <w:sz w:val="24"/>
          <w:szCs w:val="24"/>
        </w:rPr>
        <w:t>Vand til injektionsvæsker</w:t>
      </w:r>
    </w:p>
    <w:p w14:paraId="60D763FF" w14:textId="77777777" w:rsidR="009260DE" w:rsidRPr="009B42CA" w:rsidRDefault="009260DE" w:rsidP="009260DE">
      <w:pPr>
        <w:tabs>
          <w:tab w:val="left" w:pos="851"/>
        </w:tabs>
        <w:ind w:left="851"/>
        <w:rPr>
          <w:sz w:val="24"/>
          <w:szCs w:val="24"/>
        </w:rPr>
      </w:pPr>
    </w:p>
    <w:p w14:paraId="4224182F" w14:textId="77777777" w:rsidR="009260DE" w:rsidRPr="009B42CA" w:rsidRDefault="009260DE" w:rsidP="009260DE">
      <w:pPr>
        <w:tabs>
          <w:tab w:val="left" w:pos="851"/>
        </w:tabs>
        <w:ind w:left="851" w:hanging="851"/>
        <w:rPr>
          <w:b/>
          <w:sz w:val="24"/>
          <w:szCs w:val="24"/>
        </w:rPr>
      </w:pPr>
      <w:r w:rsidRPr="009B42CA">
        <w:rPr>
          <w:b/>
          <w:sz w:val="24"/>
          <w:szCs w:val="24"/>
        </w:rPr>
        <w:t>6.2</w:t>
      </w:r>
      <w:r w:rsidRPr="009B42CA">
        <w:rPr>
          <w:b/>
          <w:sz w:val="24"/>
          <w:szCs w:val="24"/>
        </w:rPr>
        <w:tab/>
        <w:t>Uforligeligheder</w:t>
      </w:r>
    </w:p>
    <w:p w14:paraId="47FF4B4C" w14:textId="77777777" w:rsidR="004A59BF" w:rsidRPr="009B42CA" w:rsidRDefault="004A59BF" w:rsidP="005E4292">
      <w:pPr>
        <w:ind w:left="851"/>
        <w:rPr>
          <w:sz w:val="24"/>
          <w:szCs w:val="24"/>
        </w:rPr>
      </w:pPr>
      <w:r w:rsidRPr="009B42CA">
        <w:rPr>
          <w:sz w:val="24"/>
          <w:szCs w:val="24"/>
        </w:rPr>
        <w:t>Grundet manglende kompatibilitetsstudier må dette lægemiddel ikke blandes med andre lægemidler end dem nævnt under pkt. 6.6.</w:t>
      </w:r>
    </w:p>
    <w:p w14:paraId="62FFBB47" w14:textId="77777777" w:rsidR="009260DE" w:rsidRPr="009B42CA" w:rsidRDefault="009260DE" w:rsidP="009260DE">
      <w:pPr>
        <w:tabs>
          <w:tab w:val="left" w:pos="851"/>
        </w:tabs>
        <w:ind w:left="851"/>
        <w:rPr>
          <w:sz w:val="24"/>
          <w:szCs w:val="24"/>
        </w:rPr>
      </w:pPr>
    </w:p>
    <w:p w14:paraId="07C08E34" w14:textId="77777777" w:rsidR="009260DE" w:rsidRPr="009B42CA" w:rsidRDefault="009260DE" w:rsidP="009260DE">
      <w:pPr>
        <w:tabs>
          <w:tab w:val="left" w:pos="851"/>
        </w:tabs>
        <w:ind w:left="851" w:hanging="851"/>
        <w:rPr>
          <w:b/>
          <w:sz w:val="24"/>
          <w:szCs w:val="24"/>
        </w:rPr>
      </w:pPr>
      <w:r w:rsidRPr="009B42CA">
        <w:rPr>
          <w:b/>
          <w:sz w:val="24"/>
          <w:szCs w:val="24"/>
        </w:rPr>
        <w:t>6.3</w:t>
      </w:r>
      <w:r w:rsidRPr="009B42CA">
        <w:rPr>
          <w:b/>
          <w:sz w:val="24"/>
          <w:szCs w:val="24"/>
        </w:rPr>
        <w:tab/>
        <w:t>Opbevaringstid</w:t>
      </w:r>
    </w:p>
    <w:p w14:paraId="66FB70EA" w14:textId="77777777" w:rsidR="004A59BF" w:rsidRPr="009B42CA" w:rsidRDefault="004A59BF" w:rsidP="004A59BF">
      <w:pPr>
        <w:rPr>
          <w:sz w:val="24"/>
          <w:szCs w:val="24"/>
        </w:rPr>
      </w:pPr>
    </w:p>
    <w:p w14:paraId="5727B5BF" w14:textId="77777777" w:rsidR="004A59BF" w:rsidRPr="00E9105A" w:rsidRDefault="004A59BF" w:rsidP="005E4292">
      <w:pPr>
        <w:ind w:left="851"/>
        <w:rPr>
          <w:sz w:val="24"/>
          <w:szCs w:val="24"/>
          <w:u w:val="single"/>
        </w:rPr>
      </w:pPr>
      <w:r w:rsidRPr="00E9105A">
        <w:rPr>
          <w:sz w:val="24"/>
          <w:szCs w:val="24"/>
          <w:u w:val="single"/>
        </w:rPr>
        <w:t>Uåbnet hætteglas</w:t>
      </w:r>
    </w:p>
    <w:p w14:paraId="29672F1B" w14:textId="77777777" w:rsidR="000D2F71" w:rsidRPr="009B42CA" w:rsidRDefault="000D2F71" w:rsidP="000D2F71">
      <w:pPr>
        <w:ind w:left="851"/>
        <w:rPr>
          <w:sz w:val="24"/>
          <w:szCs w:val="24"/>
        </w:rPr>
      </w:pPr>
      <w:r w:rsidRPr="009B42CA">
        <w:rPr>
          <w:sz w:val="24"/>
          <w:szCs w:val="24"/>
        </w:rPr>
        <w:t>3</w:t>
      </w:r>
      <w:r>
        <w:rPr>
          <w:sz w:val="24"/>
          <w:szCs w:val="24"/>
        </w:rPr>
        <w:t xml:space="preserve"> år</w:t>
      </w:r>
      <w:r w:rsidRPr="009B42CA">
        <w:rPr>
          <w:sz w:val="24"/>
          <w:szCs w:val="24"/>
        </w:rPr>
        <w:t>.</w:t>
      </w:r>
    </w:p>
    <w:p w14:paraId="6AE4D500" w14:textId="77777777" w:rsidR="004A59BF" w:rsidRPr="009B42CA" w:rsidRDefault="004A59BF" w:rsidP="005E4292">
      <w:pPr>
        <w:ind w:left="851"/>
        <w:rPr>
          <w:i/>
          <w:iCs/>
          <w:sz w:val="24"/>
          <w:szCs w:val="24"/>
        </w:rPr>
      </w:pPr>
    </w:p>
    <w:p w14:paraId="67CC42A1" w14:textId="77777777" w:rsidR="004A59BF" w:rsidRPr="00E9105A" w:rsidRDefault="004A59BF" w:rsidP="005E4292">
      <w:pPr>
        <w:ind w:left="851"/>
        <w:rPr>
          <w:sz w:val="24"/>
          <w:szCs w:val="24"/>
          <w:u w:val="single"/>
        </w:rPr>
      </w:pPr>
      <w:r w:rsidRPr="00E9105A">
        <w:rPr>
          <w:sz w:val="24"/>
          <w:szCs w:val="24"/>
          <w:u w:val="single"/>
        </w:rPr>
        <w:t>Efter fortynding</w:t>
      </w:r>
    </w:p>
    <w:p w14:paraId="22250E68" w14:textId="77777777" w:rsidR="004A59BF" w:rsidRPr="009B42CA" w:rsidRDefault="004A59BF" w:rsidP="005E4292">
      <w:pPr>
        <w:ind w:left="851"/>
        <w:rPr>
          <w:sz w:val="24"/>
          <w:szCs w:val="24"/>
        </w:rPr>
      </w:pPr>
      <w:r w:rsidRPr="009B42CA">
        <w:rPr>
          <w:sz w:val="24"/>
          <w:szCs w:val="24"/>
        </w:rPr>
        <w:t>Kemisk og fysisk stabilitet under brug af den injektions- eller infusionsklare opløsning er påvist som:</w:t>
      </w:r>
    </w:p>
    <w:p w14:paraId="02A65F30" w14:textId="07DDE7C6" w:rsidR="004A59BF" w:rsidRPr="009B42CA" w:rsidRDefault="004A59BF" w:rsidP="005E4292">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2216"/>
        <w:gridCol w:w="1718"/>
        <w:gridCol w:w="4150"/>
      </w:tblGrid>
      <w:tr w:rsidR="004A59BF" w:rsidRPr="009B42CA" w14:paraId="763D56B5" w14:textId="77777777" w:rsidTr="005E4292">
        <w:tc>
          <w:tcPr>
            <w:tcW w:w="802" w:type="pct"/>
            <w:tcBorders>
              <w:top w:val="single" w:sz="4" w:space="0" w:color="auto"/>
              <w:left w:val="single" w:sz="4" w:space="0" w:color="auto"/>
              <w:bottom w:val="single" w:sz="4" w:space="0" w:color="auto"/>
              <w:right w:val="single" w:sz="4" w:space="0" w:color="auto"/>
            </w:tcBorders>
            <w:hideMark/>
          </w:tcPr>
          <w:p w14:paraId="439E58C7" w14:textId="77777777" w:rsidR="004A59BF" w:rsidRPr="009B42CA" w:rsidRDefault="004A59BF">
            <w:pPr>
              <w:tabs>
                <w:tab w:val="left" w:pos="0"/>
              </w:tabs>
              <w:autoSpaceDE w:val="0"/>
              <w:autoSpaceDN w:val="0"/>
              <w:adjustRightInd w:val="0"/>
              <w:spacing w:line="240" w:lineRule="atLeast"/>
              <w:rPr>
                <w:color w:val="000000"/>
                <w:sz w:val="24"/>
                <w:szCs w:val="24"/>
                <w:lang w:val="en-GB"/>
              </w:rPr>
            </w:pPr>
            <w:proofErr w:type="spellStart"/>
            <w:r w:rsidRPr="009B42CA">
              <w:rPr>
                <w:color w:val="000000"/>
                <w:sz w:val="24"/>
                <w:szCs w:val="24"/>
                <w:lang w:val="en-GB"/>
              </w:rPr>
              <w:t>Opbevaring</w:t>
            </w:r>
            <w:proofErr w:type="spellEnd"/>
            <w:r w:rsidRPr="009B42CA">
              <w:rPr>
                <w:color w:val="000000"/>
                <w:sz w:val="24"/>
                <w:szCs w:val="24"/>
                <w:lang w:val="en-GB"/>
              </w:rPr>
              <w:t xml:space="preserve"> </w:t>
            </w:r>
            <w:proofErr w:type="spellStart"/>
            <w:r w:rsidRPr="009B42CA">
              <w:rPr>
                <w:color w:val="000000"/>
                <w:sz w:val="24"/>
                <w:szCs w:val="24"/>
                <w:lang w:val="en-GB"/>
              </w:rPr>
              <w:t>i</w:t>
            </w:r>
            <w:proofErr w:type="spellEnd"/>
          </w:p>
        </w:tc>
        <w:tc>
          <w:tcPr>
            <w:tcW w:w="1151" w:type="pct"/>
            <w:tcBorders>
              <w:top w:val="single" w:sz="4" w:space="0" w:color="auto"/>
              <w:left w:val="single" w:sz="4" w:space="0" w:color="auto"/>
              <w:bottom w:val="single" w:sz="4" w:space="0" w:color="auto"/>
              <w:right w:val="single" w:sz="4" w:space="0" w:color="auto"/>
            </w:tcBorders>
            <w:hideMark/>
          </w:tcPr>
          <w:p w14:paraId="2CC0A7CF"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Medium</w:t>
            </w:r>
          </w:p>
        </w:tc>
        <w:tc>
          <w:tcPr>
            <w:tcW w:w="892" w:type="pct"/>
            <w:tcBorders>
              <w:top w:val="single" w:sz="4" w:space="0" w:color="auto"/>
              <w:left w:val="single" w:sz="4" w:space="0" w:color="auto"/>
              <w:bottom w:val="single" w:sz="4" w:space="0" w:color="auto"/>
              <w:right w:val="single" w:sz="4" w:space="0" w:color="auto"/>
            </w:tcBorders>
            <w:hideMark/>
          </w:tcPr>
          <w:p w14:paraId="75F26EB0" w14:textId="77777777" w:rsidR="004A59BF" w:rsidRPr="009B42CA" w:rsidRDefault="004A59BF">
            <w:pPr>
              <w:tabs>
                <w:tab w:val="left" w:pos="0"/>
              </w:tabs>
              <w:autoSpaceDE w:val="0"/>
              <w:autoSpaceDN w:val="0"/>
              <w:adjustRightInd w:val="0"/>
              <w:spacing w:line="240" w:lineRule="atLeast"/>
              <w:rPr>
                <w:color w:val="000000"/>
                <w:sz w:val="24"/>
                <w:szCs w:val="24"/>
                <w:lang w:val="en-GB"/>
              </w:rPr>
            </w:pPr>
            <w:proofErr w:type="spellStart"/>
            <w:r w:rsidRPr="009B42CA">
              <w:rPr>
                <w:color w:val="000000"/>
                <w:sz w:val="24"/>
                <w:szCs w:val="24"/>
                <w:lang w:val="en-GB"/>
              </w:rPr>
              <w:t>Koncentration</w:t>
            </w:r>
            <w:proofErr w:type="spellEnd"/>
          </w:p>
        </w:tc>
        <w:tc>
          <w:tcPr>
            <w:tcW w:w="2155" w:type="pct"/>
            <w:tcBorders>
              <w:top w:val="single" w:sz="4" w:space="0" w:color="auto"/>
              <w:left w:val="single" w:sz="4" w:space="0" w:color="auto"/>
              <w:bottom w:val="single" w:sz="4" w:space="0" w:color="auto"/>
              <w:right w:val="single" w:sz="4" w:space="0" w:color="auto"/>
            </w:tcBorders>
            <w:hideMark/>
          </w:tcPr>
          <w:p w14:paraId="708D4282" w14:textId="77777777" w:rsidR="004A59BF" w:rsidRPr="009B42CA" w:rsidRDefault="004A59BF">
            <w:pPr>
              <w:tabs>
                <w:tab w:val="left" w:pos="0"/>
              </w:tabs>
              <w:autoSpaceDE w:val="0"/>
              <w:autoSpaceDN w:val="0"/>
              <w:adjustRightInd w:val="0"/>
              <w:spacing w:line="240" w:lineRule="atLeast"/>
              <w:rPr>
                <w:color w:val="000000"/>
                <w:sz w:val="24"/>
                <w:szCs w:val="24"/>
                <w:lang w:val="en-GB"/>
              </w:rPr>
            </w:pPr>
            <w:proofErr w:type="spellStart"/>
            <w:r w:rsidRPr="009B42CA">
              <w:rPr>
                <w:color w:val="000000"/>
                <w:sz w:val="24"/>
                <w:szCs w:val="24"/>
                <w:lang w:val="en-GB"/>
              </w:rPr>
              <w:t>Stabilt</w:t>
            </w:r>
            <w:proofErr w:type="spellEnd"/>
            <w:r w:rsidRPr="009B42CA">
              <w:rPr>
                <w:color w:val="000000"/>
                <w:sz w:val="24"/>
                <w:szCs w:val="24"/>
                <w:lang w:val="en-GB"/>
              </w:rPr>
              <w:t xml:space="preserve"> </w:t>
            </w:r>
            <w:proofErr w:type="spellStart"/>
            <w:r w:rsidRPr="009B42CA">
              <w:rPr>
                <w:color w:val="000000"/>
                <w:sz w:val="24"/>
                <w:szCs w:val="24"/>
                <w:lang w:val="en-GB"/>
              </w:rPr>
              <w:t>i</w:t>
            </w:r>
            <w:proofErr w:type="spellEnd"/>
          </w:p>
        </w:tc>
      </w:tr>
      <w:tr w:rsidR="004A59BF" w:rsidRPr="009B42CA" w14:paraId="4B6873C5" w14:textId="77777777" w:rsidTr="005E4292">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2A3443BC" w14:textId="77777777" w:rsidR="004A59BF" w:rsidRPr="009B42CA" w:rsidRDefault="004A59BF">
            <w:pPr>
              <w:tabs>
                <w:tab w:val="left" w:pos="0"/>
              </w:tabs>
              <w:autoSpaceDE w:val="0"/>
              <w:autoSpaceDN w:val="0"/>
              <w:adjustRightInd w:val="0"/>
              <w:spacing w:line="240" w:lineRule="atLeast"/>
              <w:rPr>
                <w:color w:val="000000"/>
                <w:sz w:val="24"/>
                <w:szCs w:val="24"/>
                <w:lang w:val="en-GB"/>
              </w:rPr>
            </w:pPr>
            <w:proofErr w:type="spellStart"/>
            <w:r w:rsidRPr="009B42CA">
              <w:rPr>
                <w:color w:val="000000"/>
                <w:sz w:val="24"/>
                <w:szCs w:val="24"/>
                <w:lang w:val="en-GB"/>
              </w:rPr>
              <w:t>Ikke</w:t>
            </w:r>
            <w:proofErr w:type="spellEnd"/>
            <w:r w:rsidRPr="009B42CA">
              <w:rPr>
                <w:color w:val="000000"/>
                <w:sz w:val="24"/>
                <w:szCs w:val="24"/>
                <w:lang w:val="en-GB"/>
              </w:rPr>
              <w:t>-PVC poser</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2173F04"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 xml:space="preserve">0,9 % </w:t>
            </w:r>
            <w:proofErr w:type="spellStart"/>
            <w:r w:rsidRPr="009B42CA">
              <w:rPr>
                <w:color w:val="000000"/>
                <w:sz w:val="24"/>
                <w:szCs w:val="24"/>
                <w:lang w:val="en-GB"/>
              </w:rPr>
              <w:t>natriumklorid</w:t>
            </w:r>
            <w:proofErr w:type="spellEnd"/>
          </w:p>
        </w:tc>
        <w:tc>
          <w:tcPr>
            <w:tcW w:w="892" w:type="pct"/>
            <w:tcBorders>
              <w:top w:val="single" w:sz="4" w:space="0" w:color="auto"/>
              <w:left w:val="single" w:sz="4" w:space="0" w:color="auto"/>
              <w:bottom w:val="single" w:sz="4" w:space="0" w:color="auto"/>
              <w:right w:val="single" w:sz="4" w:space="0" w:color="auto"/>
            </w:tcBorders>
            <w:vAlign w:val="center"/>
            <w:hideMark/>
          </w:tcPr>
          <w:p w14:paraId="40D94D60"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0,3-6 mg/ml</w:t>
            </w:r>
          </w:p>
        </w:tc>
        <w:tc>
          <w:tcPr>
            <w:tcW w:w="2155" w:type="pct"/>
            <w:tcBorders>
              <w:top w:val="single" w:sz="4" w:space="0" w:color="auto"/>
              <w:left w:val="single" w:sz="4" w:space="0" w:color="auto"/>
              <w:bottom w:val="single" w:sz="4" w:space="0" w:color="auto"/>
              <w:right w:val="single" w:sz="4" w:space="0" w:color="auto"/>
            </w:tcBorders>
            <w:hideMark/>
          </w:tcPr>
          <w:p w14:paraId="6B7A3C4E"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5 dage i køleskab (2 °C -8 °C) eller ved stuetemperatur og normal indendørsbelysning</w:t>
            </w:r>
          </w:p>
        </w:tc>
      </w:tr>
      <w:tr w:rsidR="004A59BF" w:rsidRPr="009B42CA" w14:paraId="10957FAA" w14:textId="77777777" w:rsidTr="005E4292">
        <w:tc>
          <w:tcPr>
            <w:tcW w:w="802" w:type="pct"/>
            <w:vMerge/>
            <w:tcBorders>
              <w:top w:val="single" w:sz="4" w:space="0" w:color="auto"/>
              <w:left w:val="single" w:sz="4" w:space="0" w:color="auto"/>
              <w:bottom w:val="single" w:sz="4" w:space="0" w:color="auto"/>
              <w:right w:val="single" w:sz="4" w:space="0" w:color="auto"/>
            </w:tcBorders>
            <w:vAlign w:val="center"/>
            <w:hideMark/>
          </w:tcPr>
          <w:p w14:paraId="012E3B17" w14:textId="77777777" w:rsidR="004A59BF" w:rsidRPr="009B42CA" w:rsidRDefault="004A59BF">
            <w:pPr>
              <w:rPr>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659D91C2"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 xml:space="preserve">5 % </w:t>
            </w:r>
            <w:proofErr w:type="spellStart"/>
            <w:r w:rsidRPr="009B42CA">
              <w:rPr>
                <w:color w:val="000000"/>
                <w:sz w:val="24"/>
                <w:szCs w:val="24"/>
                <w:lang w:val="en-GB"/>
              </w:rPr>
              <w:t>glukose</w:t>
            </w:r>
            <w:proofErr w:type="spellEnd"/>
          </w:p>
        </w:tc>
        <w:tc>
          <w:tcPr>
            <w:tcW w:w="892" w:type="pct"/>
            <w:tcBorders>
              <w:top w:val="single" w:sz="4" w:space="0" w:color="auto"/>
              <w:left w:val="single" w:sz="4" w:space="0" w:color="auto"/>
              <w:bottom w:val="single" w:sz="4" w:space="0" w:color="auto"/>
              <w:right w:val="single" w:sz="4" w:space="0" w:color="auto"/>
            </w:tcBorders>
            <w:vAlign w:val="center"/>
            <w:hideMark/>
          </w:tcPr>
          <w:p w14:paraId="68EDA65A"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0,3-6 mg/ml</w:t>
            </w:r>
          </w:p>
        </w:tc>
        <w:tc>
          <w:tcPr>
            <w:tcW w:w="2155" w:type="pct"/>
            <w:tcBorders>
              <w:top w:val="single" w:sz="4" w:space="0" w:color="auto"/>
              <w:left w:val="single" w:sz="4" w:space="0" w:color="auto"/>
              <w:bottom w:val="single" w:sz="4" w:space="0" w:color="auto"/>
              <w:right w:val="single" w:sz="4" w:space="0" w:color="auto"/>
            </w:tcBorders>
            <w:hideMark/>
          </w:tcPr>
          <w:p w14:paraId="0013BF10"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5 dage i køleskab (2 °C -8 °C) eller ved stuetemperatur og normal indendørsbelysning</w:t>
            </w:r>
          </w:p>
        </w:tc>
      </w:tr>
      <w:tr w:rsidR="004A59BF" w:rsidRPr="009B42CA" w14:paraId="5ACE9EDB" w14:textId="77777777" w:rsidTr="005E4292">
        <w:tc>
          <w:tcPr>
            <w:tcW w:w="802" w:type="pct"/>
            <w:vMerge w:val="restart"/>
            <w:tcBorders>
              <w:top w:val="single" w:sz="4" w:space="0" w:color="auto"/>
              <w:left w:val="single" w:sz="4" w:space="0" w:color="auto"/>
              <w:bottom w:val="single" w:sz="4" w:space="0" w:color="auto"/>
              <w:right w:val="single" w:sz="4" w:space="0" w:color="auto"/>
            </w:tcBorders>
            <w:vAlign w:val="center"/>
            <w:hideMark/>
          </w:tcPr>
          <w:p w14:paraId="524F4EBC" w14:textId="77777777" w:rsidR="004A59BF" w:rsidRPr="009B42CA" w:rsidRDefault="004A59BF">
            <w:pPr>
              <w:tabs>
                <w:tab w:val="left" w:pos="0"/>
              </w:tabs>
              <w:autoSpaceDE w:val="0"/>
              <w:autoSpaceDN w:val="0"/>
              <w:adjustRightInd w:val="0"/>
              <w:spacing w:line="240" w:lineRule="atLeast"/>
              <w:rPr>
                <w:color w:val="000000"/>
                <w:sz w:val="24"/>
                <w:szCs w:val="24"/>
                <w:lang w:val="en-GB"/>
              </w:rPr>
            </w:pPr>
            <w:proofErr w:type="spellStart"/>
            <w:r w:rsidRPr="009B42CA">
              <w:rPr>
                <w:color w:val="000000"/>
                <w:sz w:val="24"/>
                <w:szCs w:val="24"/>
                <w:lang w:val="en-GB"/>
              </w:rPr>
              <w:t>Glasbeholder</w:t>
            </w:r>
            <w:proofErr w:type="spellEnd"/>
          </w:p>
        </w:tc>
        <w:tc>
          <w:tcPr>
            <w:tcW w:w="1151" w:type="pct"/>
            <w:tcBorders>
              <w:top w:val="single" w:sz="4" w:space="0" w:color="auto"/>
              <w:left w:val="single" w:sz="4" w:space="0" w:color="auto"/>
              <w:bottom w:val="single" w:sz="4" w:space="0" w:color="auto"/>
              <w:right w:val="single" w:sz="4" w:space="0" w:color="auto"/>
            </w:tcBorders>
            <w:vAlign w:val="center"/>
            <w:hideMark/>
          </w:tcPr>
          <w:p w14:paraId="478C6FB6"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 xml:space="preserve">0,9 % </w:t>
            </w:r>
            <w:proofErr w:type="spellStart"/>
            <w:r w:rsidRPr="009B42CA">
              <w:rPr>
                <w:color w:val="000000"/>
                <w:sz w:val="24"/>
                <w:szCs w:val="24"/>
                <w:lang w:val="en-GB"/>
              </w:rPr>
              <w:t>natriumklorid</w:t>
            </w:r>
            <w:proofErr w:type="spellEnd"/>
          </w:p>
        </w:tc>
        <w:tc>
          <w:tcPr>
            <w:tcW w:w="892" w:type="pct"/>
            <w:tcBorders>
              <w:top w:val="single" w:sz="4" w:space="0" w:color="auto"/>
              <w:left w:val="single" w:sz="4" w:space="0" w:color="auto"/>
              <w:bottom w:val="single" w:sz="4" w:space="0" w:color="auto"/>
              <w:right w:val="single" w:sz="4" w:space="0" w:color="auto"/>
            </w:tcBorders>
            <w:vAlign w:val="center"/>
            <w:hideMark/>
          </w:tcPr>
          <w:p w14:paraId="71A67294"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0,3-6 mg/ml</w:t>
            </w:r>
          </w:p>
        </w:tc>
        <w:tc>
          <w:tcPr>
            <w:tcW w:w="2155" w:type="pct"/>
            <w:tcBorders>
              <w:top w:val="single" w:sz="4" w:space="0" w:color="auto"/>
              <w:left w:val="single" w:sz="4" w:space="0" w:color="auto"/>
              <w:bottom w:val="single" w:sz="4" w:space="0" w:color="auto"/>
              <w:right w:val="single" w:sz="4" w:space="0" w:color="auto"/>
            </w:tcBorders>
            <w:hideMark/>
          </w:tcPr>
          <w:p w14:paraId="19869353"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5 dage i køleskab (2 °C -8 °C) eller ved stuetemperatur og normal indendørsbelysning</w:t>
            </w:r>
          </w:p>
        </w:tc>
      </w:tr>
      <w:tr w:rsidR="004A59BF" w:rsidRPr="009B42CA" w14:paraId="12AED88A" w14:textId="77777777" w:rsidTr="005E4292">
        <w:tc>
          <w:tcPr>
            <w:tcW w:w="802" w:type="pct"/>
            <w:vMerge/>
            <w:tcBorders>
              <w:top w:val="single" w:sz="4" w:space="0" w:color="auto"/>
              <w:left w:val="single" w:sz="4" w:space="0" w:color="auto"/>
              <w:bottom w:val="single" w:sz="4" w:space="0" w:color="auto"/>
              <w:right w:val="single" w:sz="4" w:space="0" w:color="auto"/>
            </w:tcBorders>
            <w:vAlign w:val="center"/>
            <w:hideMark/>
          </w:tcPr>
          <w:p w14:paraId="43B1313E" w14:textId="77777777" w:rsidR="004A59BF" w:rsidRPr="009B42CA" w:rsidRDefault="004A59BF">
            <w:pPr>
              <w:rPr>
                <w:color w:val="000000"/>
                <w:sz w:val="24"/>
                <w:szCs w:val="24"/>
              </w:rPr>
            </w:pPr>
          </w:p>
        </w:tc>
        <w:tc>
          <w:tcPr>
            <w:tcW w:w="1151" w:type="pct"/>
            <w:vMerge w:val="restart"/>
            <w:tcBorders>
              <w:top w:val="single" w:sz="4" w:space="0" w:color="auto"/>
              <w:left w:val="single" w:sz="4" w:space="0" w:color="auto"/>
              <w:bottom w:val="single" w:sz="4" w:space="0" w:color="auto"/>
              <w:right w:val="single" w:sz="4" w:space="0" w:color="auto"/>
            </w:tcBorders>
            <w:vAlign w:val="center"/>
            <w:hideMark/>
          </w:tcPr>
          <w:p w14:paraId="7FBAF0C2"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 xml:space="preserve">5 % </w:t>
            </w:r>
            <w:proofErr w:type="spellStart"/>
            <w:r w:rsidRPr="009B42CA">
              <w:rPr>
                <w:color w:val="000000"/>
                <w:sz w:val="24"/>
                <w:szCs w:val="24"/>
                <w:lang w:val="en-GB"/>
              </w:rPr>
              <w:t>glukose</w:t>
            </w:r>
            <w:proofErr w:type="spellEnd"/>
          </w:p>
        </w:tc>
        <w:tc>
          <w:tcPr>
            <w:tcW w:w="892" w:type="pct"/>
            <w:tcBorders>
              <w:top w:val="single" w:sz="4" w:space="0" w:color="auto"/>
              <w:left w:val="single" w:sz="4" w:space="0" w:color="auto"/>
              <w:bottom w:val="single" w:sz="4" w:space="0" w:color="auto"/>
              <w:right w:val="single" w:sz="4" w:space="0" w:color="auto"/>
            </w:tcBorders>
            <w:vAlign w:val="center"/>
            <w:hideMark/>
          </w:tcPr>
          <w:p w14:paraId="41B34F7E"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0,3 mg/ml</w:t>
            </w:r>
          </w:p>
        </w:tc>
        <w:tc>
          <w:tcPr>
            <w:tcW w:w="2155" w:type="pct"/>
            <w:tcBorders>
              <w:top w:val="single" w:sz="4" w:space="0" w:color="auto"/>
              <w:left w:val="single" w:sz="4" w:space="0" w:color="auto"/>
              <w:bottom w:val="single" w:sz="4" w:space="0" w:color="auto"/>
              <w:right w:val="single" w:sz="4" w:space="0" w:color="auto"/>
            </w:tcBorders>
            <w:hideMark/>
          </w:tcPr>
          <w:p w14:paraId="16FD68EC"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5 dage i køleskab (2 °C -8 °C) eller ved stuetemperatur og normal indendørsbelysning</w:t>
            </w:r>
          </w:p>
        </w:tc>
      </w:tr>
      <w:tr w:rsidR="004A59BF" w:rsidRPr="009B42CA" w14:paraId="1CB55D22" w14:textId="77777777" w:rsidTr="005E4292">
        <w:tc>
          <w:tcPr>
            <w:tcW w:w="802" w:type="pct"/>
            <w:vMerge/>
            <w:tcBorders>
              <w:top w:val="single" w:sz="4" w:space="0" w:color="auto"/>
              <w:left w:val="single" w:sz="4" w:space="0" w:color="auto"/>
              <w:bottom w:val="single" w:sz="4" w:space="0" w:color="auto"/>
              <w:right w:val="single" w:sz="4" w:space="0" w:color="auto"/>
            </w:tcBorders>
            <w:vAlign w:val="center"/>
            <w:hideMark/>
          </w:tcPr>
          <w:p w14:paraId="58B5DF74" w14:textId="77777777" w:rsidR="004A59BF" w:rsidRPr="009B42CA" w:rsidRDefault="004A59BF">
            <w:pPr>
              <w:rPr>
                <w:color w:val="000000"/>
                <w:sz w:val="24"/>
                <w:szCs w:val="24"/>
              </w:rPr>
            </w:pPr>
          </w:p>
        </w:tc>
        <w:tc>
          <w:tcPr>
            <w:tcW w:w="1151" w:type="pct"/>
            <w:vMerge/>
            <w:tcBorders>
              <w:top w:val="single" w:sz="4" w:space="0" w:color="auto"/>
              <w:left w:val="single" w:sz="4" w:space="0" w:color="auto"/>
              <w:bottom w:val="single" w:sz="4" w:space="0" w:color="auto"/>
              <w:right w:val="single" w:sz="4" w:space="0" w:color="auto"/>
            </w:tcBorders>
            <w:vAlign w:val="center"/>
            <w:hideMark/>
          </w:tcPr>
          <w:p w14:paraId="544A3D41" w14:textId="77777777" w:rsidR="004A59BF" w:rsidRPr="009B42CA" w:rsidRDefault="004A59BF">
            <w:pPr>
              <w:rPr>
                <w:color w:val="000000"/>
                <w:sz w:val="24"/>
                <w:szCs w:val="24"/>
              </w:rPr>
            </w:pPr>
          </w:p>
        </w:tc>
        <w:tc>
          <w:tcPr>
            <w:tcW w:w="892" w:type="pct"/>
            <w:tcBorders>
              <w:top w:val="single" w:sz="4" w:space="0" w:color="auto"/>
              <w:left w:val="single" w:sz="4" w:space="0" w:color="auto"/>
              <w:bottom w:val="single" w:sz="4" w:space="0" w:color="auto"/>
              <w:right w:val="single" w:sz="4" w:space="0" w:color="auto"/>
            </w:tcBorders>
            <w:vAlign w:val="center"/>
            <w:hideMark/>
          </w:tcPr>
          <w:p w14:paraId="3F1CD7D5" w14:textId="77777777" w:rsidR="004A59BF" w:rsidRPr="009B42CA" w:rsidRDefault="004A59BF">
            <w:pPr>
              <w:tabs>
                <w:tab w:val="left" w:pos="0"/>
              </w:tabs>
              <w:autoSpaceDE w:val="0"/>
              <w:autoSpaceDN w:val="0"/>
              <w:adjustRightInd w:val="0"/>
              <w:spacing w:line="240" w:lineRule="atLeast"/>
              <w:rPr>
                <w:color w:val="000000"/>
                <w:sz w:val="24"/>
                <w:szCs w:val="24"/>
                <w:lang w:val="en-GB"/>
              </w:rPr>
            </w:pPr>
            <w:r w:rsidRPr="009B42CA">
              <w:rPr>
                <w:color w:val="000000"/>
                <w:sz w:val="24"/>
                <w:szCs w:val="24"/>
                <w:lang w:val="en-GB"/>
              </w:rPr>
              <w:t>6 mg/ml</w:t>
            </w:r>
          </w:p>
        </w:tc>
        <w:tc>
          <w:tcPr>
            <w:tcW w:w="2155" w:type="pct"/>
            <w:tcBorders>
              <w:top w:val="single" w:sz="4" w:space="0" w:color="auto"/>
              <w:left w:val="single" w:sz="4" w:space="0" w:color="auto"/>
              <w:bottom w:val="single" w:sz="4" w:space="0" w:color="auto"/>
              <w:right w:val="single" w:sz="4" w:space="0" w:color="auto"/>
            </w:tcBorders>
            <w:hideMark/>
          </w:tcPr>
          <w:p w14:paraId="5090CB76"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 xml:space="preserve">5 dage i køleskab (2 °C -8 °C) eller </w:t>
            </w:r>
          </w:p>
          <w:p w14:paraId="5DDA59D6" w14:textId="77777777" w:rsidR="004A59BF" w:rsidRPr="009B42CA" w:rsidRDefault="004A59BF">
            <w:pPr>
              <w:tabs>
                <w:tab w:val="left" w:pos="0"/>
              </w:tabs>
              <w:autoSpaceDE w:val="0"/>
              <w:autoSpaceDN w:val="0"/>
              <w:adjustRightInd w:val="0"/>
              <w:spacing w:line="240" w:lineRule="atLeast"/>
              <w:rPr>
                <w:color w:val="000000"/>
                <w:sz w:val="24"/>
                <w:szCs w:val="24"/>
              </w:rPr>
            </w:pPr>
            <w:r w:rsidRPr="009B42CA">
              <w:rPr>
                <w:color w:val="000000"/>
                <w:sz w:val="24"/>
                <w:szCs w:val="24"/>
              </w:rPr>
              <w:t>3 dage ved stuetemperatur og normal indendørsbelysning</w:t>
            </w:r>
          </w:p>
        </w:tc>
      </w:tr>
    </w:tbl>
    <w:p w14:paraId="74C29486" w14:textId="77777777" w:rsidR="004A59BF" w:rsidRPr="009B42CA" w:rsidRDefault="004A59BF" w:rsidP="004A59BF">
      <w:pPr>
        <w:tabs>
          <w:tab w:val="left" w:pos="0"/>
        </w:tabs>
        <w:rPr>
          <w:sz w:val="24"/>
          <w:szCs w:val="24"/>
        </w:rPr>
      </w:pPr>
    </w:p>
    <w:p w14:paraId="67C8DB34" w14:textId="77777777" w:rsidR="004A59BF" w:rsidRPr="009B42CA" w:rsidRDefault="004A59BF" w:rsidP="005E4292">
      <w:pPr>
        <w:ind w:left="851"/>
        <w:rPr>
          <w:sz w:val="24"/>
          <w:szCs w:val="24"/>
        </w:rPr>
      </w:pPr>
      <w:r w:rsidRPr="009B42CA">
        <w:rPr>
          <w:sz w:val="24"/>
          <w:szCs w:val="24"/>
        </w:rPr>
        <w:t xml:space="preserve">Ud fra et mikrobiologisk synspunkt skal lægemidlet anvendes umiddelbart efter fortynding. Hvis det ikke anvendes straks, hviler ansvaret for opbevaringstiden inden anvendelse og forholdene før anvendelsen på brugeren. Opbevaringstiden vil normalt ikke være længere end 24 timer ved 2 </w:t>
      </w:r>
      <w:r w:rsidRPr="009B42CA">
        <w:rPr>
          <w:color w:val="000000"/>
          <w:sz w:val="24"/>
          <w:szCs w:val="24"/>
        </w:rPr>
        <w:t>°C</w:t>
      </w:r>
      <w:r w:rsidRPr="009B42CA">
        <w:rPr>
          <w:sz w:val="24"/>
          <w:szCs w:val="24"/>
        </w:rPr>
        <w:t xml:space="preserve"> -8 °C, medmindre fortynding har fundet sted under kontrollerede og validerede aseptiske forhold.</w:t>
      </w:r>
    </w:p>
    <w:p w14:paraId="2E34C116" w14:textId="77777777" w:rsidR="009260DE" w:rsidRPr="009B42CA" w:rsidRDefault="009260DE" w:rsidP="009260DE">
      <w:pPr>
        <w:tabs>
          <w:tab w:val="left" w:pos="851"/>
        </w:tabs>
        <w:ind w:left="851"/>
        <w:rPr>
          <w:sz w:val="24"/>
          <w:szCs w:val="24"/>
        </w:rPr>
      </w:pPr>
    </w:p>
    <w:p w14:paraId="38E0459B" w14:textId="77777777" w:rsidR="009260DE" w:rsidRPr="009B42CA" w:rsidRDefault="009260DE" w:rsidP="009260DE">
      <w:pPr>
        <w:tabs>
          <w:tab w:val="left" w:pos="851"/>
        </w:tabs>
        <w:ind w:left="851" w:hanging="851"/>
        <w:rPr>
          <w:b/>
          <w:sz w:val="24"/>
          <w:szCs w:val="24"/>
        </w:rPr>
      </w:pPr>
      <w:r w:rsidRPr="009B42CA">
        <w:rPr>
          <w:b/>
          <w:sz w:val="24"/>
          <w:szCs w:val="24"/>
        </w:rPr>
        <w:t>6.4</w:t>
      </w:r>
      <w:r w:rsidRPr="009B42CA">
        <w:rPr>
          <w:b/>
          <w:sz w:val="24"/>
          <w:szCs w:val="24"/>
        </w:rPr>
        <w:tab/>
        <w:t>Særlige opbevaringsforhold</w:t>
      </w:r>
    </w:p>
    <w:p w14:paraId="1420ADCD" w14:textId="77777777" w:rsidR="000D2F71" w:rsidRPr="009B42CA" w:rsidRDefault="000D2F71" w:rsidP="000D2F71">
      <w:pPr>
        <w:ind w:left="851"/>
        <w:rPr>
          <w:sz w:val="24"/>
          <w:szCs w:val="24"/>
        </w:rPr>
      </w:pPr>
      <w:r w:rsidRPr="009B42CA">
        <w:rPr>
          <w:sz w:val="24"/>
          <w:szCs w:val="24"/>
        </w:rPr>
        <w:t xml:space="preserve">Opbevares i køleskab (2 </w:t>
      </w:r>
      <w:r w:rsidRPr="009B42CA">
        <w:rPr>
          <w:color w:val="000000"/>
          <w:sz w:val="24"/>
          <w:szCs w:val="24"/>
        </w:rPr>
        <w:t>°C</w:t>
      </w:r>
      <w:r w:rsidRPr="009B42CA">
        <w:rPr>
          <w:sz w:val="24"/>
          <w:szCs w:val="24"/>
        </w:rPr>
        <w:t>-8 °C).</w:t>
      </w:r>
    </w:p>
    <w:p w14:paraId="406EFCCF" w14:textId="77777777" w:rsidR="004A59BF" w:rsidRPr="009B42CA" w:rsidRDefault="004A59BF" w:rsidP="005E4292">
      <w:pPr>
        <w:ind w:left="851"/>
        <w:rPr>
          <w:sz w:val="24"/>
          <w:szCs w:val="24"/>
        </w:rPr>
      </w:pPr>
      <w:r w:rsidRPr="009B42CA">
        <w:rPr>
          <w:sz w:val="24"/>
          <w:szCs w:val="24"/>
        </w:rPr>
        <w:t>Må ikke nedfryses.</w:t>
      </w:r>
    </w:p>
    <w:p w14:paraId="0711D142" w14:textId="552063FF" w:rsidR="007B6BAC" w:rsidRPr="000C5D8C" w:rsidRDefault="004A59BF" w:rsidP="000C5D8C">
      <w:pPr>
        <w:ind w:left="851"/>
        <w:rPr>
          <w:sz w:val="24"/>
          <w:szCs w:val="24"/>
          <w:highlight w:val="yellow"/>
        </w:rPr>
      </w:pPr>
      <w:r w:rsidRPr="009B42CA">
        <w:rPr>
          <w:sz w:val="24"/>
          <w:szCs w:val="24"/>
        </w:rPr>
        <w:t>Opbevaringsforhold efter fortynding af lægemidlet, se pkt. 6.3.</w:t>
      </w:r>
    </w:p>
    <w:p w14:paraId="1FE77D92" w14:textId="77777777" w:rsidR="009260DE" w:rsidRPr="009B42CA" w:rsidRDefault="009260DE" w:rsidP="009260DE">
      <w:pPr>
        <w:tabs>
          <w:tab w:val="left" w:pos="851"/>
        </w:tabs>
        <w:ind w:left="851"/>
        <w:rPr>
          <w:sz w:val="24"/>
          <w:szCs w:val="24"/>
        </w:rPr>
      </w:pPr>
    </w:p>
    <w:p w14:paraId="5195776A" w14:textId="77777777" w:rsidR="009260DE" w:rsidRPr="009B42CA" w:rsidRDefault="009260DE" w:rsidP="009260DE">
      <w:pPr>
        <w:tabs>
          <w:tab w:val="left" w:pos="851"/>
        </w:tabs>
        <w:ind w:left="851" w:hanging="851"/>
        <w:rPr>
          <w:b/>
          <w:sz w:val="24"/>
          <w:szCs w:val="24"/>
        </w:rPr>
      </w:pPr>
      <w:r w:rsidRPr="009B42CA">
        <w:rPr>
          <w:b/>
          <w:sz w:val="24"/>
          <w:szCs w:val="24"/>
        </w:rPr>
        <w:t>6.5</w:t>
      </w:r>
      <w:r w:rsidRPr="009B42CA">
        <w:rPr>
          <w:b/>
          <w:sz w:val="24"/>
          <w:szCs w:val="24"/>
        </w:rPr>
        <w:tab/>
        <w:t>Emballagetype og pakningsstørrelser</w:t>
      </w:r>
    </w:p>
    <w:p w14:paraId="7371D37F" w14:textId="0034DE95" w:rsidR="004A59BF" w:rsidRPr="009B42CA" w:rsidRDefault="000D2F71" w:rsidP="005E4292">
      <w:pPr>
        <w:ind w:left="851"/>
        <w:rPr>
          <w:sz w:val="24"/>
          <w:szCs w:val="24"/>
        </w:rPr>
      </w:pPr>
      <w:r w:rsidRPr="009B42CA">
        <w:rPr>
          <w:sz w:val="24"/>
          <w:szCs w:val="24"/>
        </w:rPr>
        <w:t xml:space="preserve">Hætteglas forseglet </w:t>
      </w:r>
      <w:r w:rsidR="004A59BF" w:rsidRPr="009B42CA">
        <w:rPr>
          <w:sz w:val="24"/>
          <w:szCs w:val="24"/>
        </w:rPr>
        <w:t xml:space="preserve">med gummiprop af </w:t>
      </w:r>
      <w:proofErr w:type="spellStart"/>
      <w:r w:rsidR="004A59BF" w:rsidRPr="009B42CA">
        <w:rPr>
          <w:sz w:val="24"/>
          <w:szCs w:val="24"/>
        </w:rPr>
        <w:t>brombutyl</w:t>
      </w:r>
      <w:proofErr w:type="spellEnd"/>
      <w:r w:rsidR="004A59BF" w:rsidRPr="009B42CA">
        <w:rPr>
          <w:sz w:val="24"/>
          <w:szCs w:val="24"/>
        </w:rPr>
        <w:t>, aluminiumhætte og snaplåg af polypropylen. Hætteglasset indeholder 2 ml opløsning.</w:t>
      </w:r>
    </w:p>
    <w:p w14:paraId="69B336F9" w14:textId="77777777" w:rsidR="009260DE" w:rsidRPr="009B42CA" w:rsidRDefault="009260DE" w:rsidP="009260DE">
      <w:pPr>
        <w:tabs>
          <w:tab w:val="left" w:pos="851"/>
        </w:tabs>
        <w:ind w:left="851"/>
        <w:rPr>
          <w:sz w:val="24"/>
          <w:szCs w:val="24"/>
        </w:rPr>
      </w:pPr>
    </w:p>
    <w:p w14:paraId="1B50EEA9" w14:textId="77777777" w:rsidR="009260DE" w:rsidRPr="009B42CA" w:rsidRDefault="009260DE" w:rsidP="009260DE">
      <w:pPr>
        <w:tabs>
          <w:tab w:val="left" w:pos="851"/>
        </w:tabs>
        <w:ind w:left="851" w:hanging="851"/>
        <w:rPr>
          <w:b/>
          <w:sz w:val="24"/>
          <w:szCs w:val="24"/>
        </w:rPr>
      </w:pPr>
      <w:r w:rsidRPr="009B42CA">
        <w:rPr>
          <w:b/>
          <w:sz w:val="24"/>
          <w:szCs w:val="24"/>
        </w:rPr>
        <w:t>6.6</w:t>
      </w:r>
      <w:r w:rsidRPr="009B42CA">
        <w:rPr>
          <w:b/>
          <w:sz w:val="24"/>
          <w:szCs w:val="24"/>
        </w:rPr>
        <w:tab/>
        <w:t xml:space="preserve">Regler for </w:t>
      </w:r>
      <w:r w:rsidR="00BD7931" w:rsidRPr="009B42CA">
        <w:rPr>
          <w:b/>
          <w:sz w:val="24"/>
          <w:szCs w:val="24"/>
        </w:rPr>
        <w:t>bortskaffelse</w:t>
      </w:r>
      <w:r w:rsidRPr="009B42CA">
        <w:rPr>
          <w:b/>
          <w:sz w:val="24"/>
          <w:szCs w:val="24"/>
        </w:rPr>
        <w:t xml:space="preserve"> og anden håndtering</w:t>
      </w:r>
    </w:p>
    <w:p w14:paraId="1B4F0545" w14:textId="77777777" w:rsidR="00E9105A" w:rsidRDefault="00E9105A" w:rsidP="005E4292">
      <w:pPr>
        <w:ind w:left="851"/>
        <w:rPr>
          <w:sz w:val="24"/>
          <w:szCs w:val="24"/>
        </w:rPr>
      </w:pPr>
    </w:p>
    <w:p w14:paraId="6C62DC20" w14:textId="67113C9B" w:rsidR="004A59BF" w:rsidRPr="00E9105A" w:rsidRDefault="004A59BF" w:rsidP="005E4292">
      <w:pPr>
        <w:ind w:left="851"/>
        <w:rPr>
          <w:sz w:val="24"/>
          <w:szCs w:val="24"/>
          <w:u w:val="single"/>
        </w:rPr>
      </w:pPr>
      <w:r w:rsidRPr="00E9105A">
        <w:rPr>
          <w:sz w:val="24"/>
          <w:szCs w:val="24"/>
          <w:u w:val="single"/>
        </w:rPr>
        <w:t>Fortynding</w:t>
      </w:r>
    </w:p>
    <w:p w14:paraId="27A3AD44" w14:textId="77777777" w:rsidR="004A59BF" w:rsidRPr="009B42CA" w:rsidRDefault="004A59BF" w:rsidP="005E4292">
      <w:pPr>
        <w:ind w:left="851"/>
        <w:rPr>
          <w:sz w:val="24"/>
          <w:szCs w:val="24"/>
        </w:rPr>
      </w:pPr>
      <w:r w:rsidRPr="009B42CA">
        <w:rPr>
          <w:sz w:val="24"/>
          <w:szCs w:val="24"/>
        </w:rPr>
        <w:t xml:space="preserve">Den nødvendige dosis (beregnet på basis af patientens legemsoverflade) trækkes op i en sprøjte. </w:t>
      </w:r>
    </w:p>
    <w:p w14:paraId="4D3AC412" w14:textId="77777777" w:rsidR="004A59BF" w:rsidRPr="009B42CA" w:rsidRDefault="004A59BF" w:rsidP="005E4292">
      <w:pPr>
        <w:ind w:left="851"/>
        <w:rPr>
          <w:sz w:val="24"/>
          <w:szCs w:val="24"/>
        </w:rPr>
      </w:pPr>
      <w:r w:rsidRPr="009B42CA">
        <w:rPr>
          <w:sz w:val="24"/>
          <w:szCs w:val="24"/>
        </w:rPr>
        <w:t xml:space="preserve">Før intravenøs </w:t>
      </w:r>
      <w:proofErr w:type="spellStart"/>
      <w:r w:rsidRPr="009B42CA">
        <w:rPr>
          <w:sz w:val="24"/>
          <w:szCs w:val="24"/>
        </w:rPr>
        <w:t>bolusinjektion</w:t>
      </w:r>
      <w:proofErr w:type="spellEnd"/>
      <w:r w:rsidRPr="009B42CA">
        <w:rPr>
          <w:sz w:val="24"/>
          <w:szCs w:val="24"/>
        </w:rPr>
        <w:t xml:space="preserve"> fortyndes denne dosis yderligere i 10 ml 0,9 % </w:t>
      </w:r>
      <w:proofErr w:type="spellStart"/>
      <w:r w:rsidRPr="009B42CA">
        <w:rPr>
          <w:sz w:val="24"/>
          <w:szCs w:val="24"/>
        </w:rPr>
        <w:t>natriumchlorid</w:t>
      </w:r>
      <w:proofErr w:type="spellEnd"/>
      <w:r w:rsidRPr="009B42CA">
        <w:rPr>
          <w:sz w:val="24"/>
          <w:szCs w:val="24"/>
        </w:rPr>
        <w:t>. Alternativt, ved infusion, kan den nødvendige dosis fortyndes i 100 ml 0,9 % natriumklorid og indgives over ca. 30 minutter.</w:t>
      </w:r>
    </w:p>
    <w:p w14:paraId="6280D37C" w14:textId="77777777" w:rsidR="004A59BF" w:rsidRPr="009B42CA" w:rsidRDefault="004A59BF" w:rsidP="005E4292">
      <w:pPr>
        <w:ind w:left="851"/>
        <w:rPr>
          <w:sz w:val="24"/>
          <w:szCs w:val="24"/>
        </w:rPr>
      </w:pPr>
      <w:r w:rsidRPr="009B42CA">
        <w:rPr>
          <w:sz w:val="24"/>
          <w:szCs w:val="24"/>
        </w:rPr>
        <w:t xml:space="preserve">I kliniske studier er </w:t>
      </w:r>
      <w:proofErr w:type="spellStart"/>
      <w:r w:rsidRPr="009B42CA">
        <w:rPr>
          <w:sz w:val="24"/>
          <w:szCs w:val="24"/>
        </w:rPr>
        <w:t>fludarabin</w:t>
      </w:r>
      <w:proofErr w:type="spellEnd"/>
      <w:r w:rsidRPr="009B42CA">
        <w:rPr>
          <w:sz w:val="24"/>
          <w:szCs w:val="24"/>
        </w:rPr>
        <w:t xml:space="preserve"> blevet fortyndet i 100 ml eller 125 ml 5 % </w:t>
      </w:r>
      <w:proofErr w:type="spellStart"/>
      <w:r w:rsidRPr="009B42CA">
        <w:rPr>
          <w:sz w:val="24"/>
          <w:szCs w:val="24"/>
        </w:rPr>
        <w:t>dextrose</w:t>
      </w:r>
      <w:proofErr w:type="spellEnd"/>
      <w:r w:rsidRPr="009B42CA">
        <w:rPr>
          <w:sz w:val="24"/>
          <w:szCs w:val="24"/>
        </w:rPr>
        <w:t xml:space="preserve"> til injektion eller 0,9 % natriumklorid.</w:t>
      </w:r>
    </w:p>
    <w:p w14:paraId="033E19F0" w14:textId="77777777" w:rsidR="004A59BF" w:rsidRPr="009B42CA" w:rsidRDefault="004A59BF" w:rsidP="005E4292">
      <w:pPr>
        <w:ind w:left="851"/>
        <w:rPr>
          <w:sz w:val="24"/>
          <w:szCs w:val="24"/>
        </w:rPr>
      </w:pPr>
      <w:r w:rsidRPr="009B42CA">
        <w:rPr>
          <w:sz w:val="24"/>
          <w:szCs w:val="24"/>
        </w:rPr>
        <w:t xml:space="preserve"> </w:t>
      </w:r>
    </w:p>
    <w:p w14:paraId="0075B028" w14:textId="77777777" w:rsidR="004A59BF" w:rsidRPr="00E9105A" w:rsidRDefault="004A59BF" w:rsidP="005E4292">
      <w:pPr>
        <w:ind w:left="851"/>
        <w:rPr>
          <w:sz w:val="24"/>
          <w:szCs w:val="24"/>
          <w:u w:val="single"/>
        </w:rPr>
      </w:pPr>
      <w:r w:rsidRPr="00E9105A">
        <w:rPr>
          <w:sz w:val="24"/>
          <w:szCs w:val="24"/>
          <w:u w:val="single"/>
        </w:rPr>
        <w:t>Inspektion før anvendelse</w:t>
      </w:r>
    </w:p>
    <w:p w14:paraId="3DF3A934" w14:textId="77777777" w:rsidR="004A59BF" w:rsidRPr="009B42CA" w:rsidRDefault="004A59BF" w:rsidP="005E4292">
      <w:pPr>
        <w:ind w:left="851"/>
        <w:rPr>
          <w:sz w:val="24"/>
          <w:szCs w:val="24"/>
        </w:rPr>
      </w:pPr>
      <w:r w:rsidRPr="009B42CA">
        <w:rPr>
          <w:sz w:val="24"/>
          <w:szCs w:val="24"/>
        </w:rPr>
        <w:t>Kun klare og farveløse opløsninger uden partikler må bruges. Produktet må ikke bruges, hvis beholderen er defekt.</w:t>
      </w:r>
    </w:p>
    <w:p w14:paraId="47AF02FB" w14:textId="77777777" w:rsidR="004A59BF" w:rsidRPr="009B42CA" w:rsidRDefault="004A59BF" w:rsidP="005E4292">
      <w:pPr>
        <w:ind w:left="851"/>
        <w:rPr>
          <w:sz w:val="24"/>
          <w:szCs w:val="24"/>
        </w:rPr>
      </w:pPr>
    </w:p>
    <w:p w14:paraId="20122EC7" w14:textId="77777777" w:rsidR="004A59BF" w:rsidRPr="00E9105A" w:rsidRDefault="004A59BF" w:rsidP="005E4292">
      <w:pPr>
        <w:ind w:left="851"/>
        <w:rPr>
          <w:sz w:val="24"/>
          <w:szCs w:val="24"/>
          <w:u w:val="single"/>
        </w:rPr>
      </w:pPr>
      <w:r w:rsidRPr="00E9105A">
        <w:rPr>
          <w:sz w:val="24"/>
          <w:szCs w:val="24"/>
          <w:u w:val="single"/>
        </w:rPr>
        <w:t>Håndtering og bortskaffelse</w:t>
      </w:r>
    </w:p>
    <w:p w14:paraId="749948BA" w14:textId="77777777" w:rsidR="004A59BF" w:rsidRPr="009B42CA" w:rsidRDefault="004A59BF" w:rsidP="005E4292">
      <w:pPr>
        <w:ind w:left="851"/>
        <w:rPr>
          <w:sz w:val="24"/>
          <w:szCs w:val="24"/>
        </w:rPr>
      </w:pPr>
      <w:proofErr w:type="spellStart"/>
      <w:r w:rsidRPr="009B42CA">
        <w:rPr>
          <w:sz w:val="24"/>
          <w:szCs w:val="24"/>
        </w:rPr>
        <w:t>Fludarabin</w:t>
      </w:r>
      <w:proofErr w:type="spellEnd"/>
      <w:r w:rsidRPr="009B42CA">
        <w:rPr>
          <w:sz w:val="24"/>
          <w:szCs w:val="24"/>
        </w:rPr>
        <w:t xml:space="preserve"> må ikke håndteres af gravide. </w:t>
      </w:r>
    </w:p>
    <w:p w14:paraId="37880FDE" w14:textId="77777777" w:rsidR="004A59BF" w:rsidRPr="009B42CA" w:rsidRDefault="004A59BF" w:rsidP="005E4292">
      <w:pPr>
        <w:ind w:left="851"/>
        <w:rPr>
          <w:sz w:val="24"/>
          <w:szCs w:val="24"/>
        </w:rPr>
      </w:pPr>
    </w:p>
    <w:p w14:paraId="79D57AB5" w14:textId="77777777" w:rsidR="004A59BF" w:rsidRPr="009B42CA" w:rsidRDefault="004A59BF" w:rsidP="005E4292">
      <w:pPr>
        <w:ind w:left="851"/>
        <w:rPr>
          <w:sz w:val="24"/>
          <w:szCs w:val="24"/>
        </w:rPr>
      </w:pPr>
      <w:r w:rsidRPr="009B42CA">
        <w:rPr>
          <w:sz w:val="24"/>
          <w:szCs w:val="24"/>
        </w:rPr>
        <w:t xml:space="preserve">Procedurer for korrekt håndtering skal overholdes i overensstemmelse med lokale krav for </w:t>
      </w:r>
      <w:proofErr w:type="spellStart"/>
      <w:r w:rsidRPr="009B42CA">
        <w:rPr>
          <w:sz w:val="24"/>
          <w:szCs w:val="24"/>
        </w:rPr>
        <w:t>cytotoksiske</w:t>
      </w:r>
      <w:proofErr w:type="spellEnd"/>
      <w:r w:rsidRPr="009B42CA">
        <w:rPr>
          <w:sz w:val="24"/>
          <w:szCs w:val="24"/>
        </w:rPr>
        <w:t xml:space="preserve"> lægemidler. </w:t>
      </w:r>
    </w:p>
    <w:p w14:paraId="0DD16167" w14:textId="77777777" w:rsidR="004A59BF" w:rsidRPr="009B42CA" w:rsidRDefault="004A59BF" w:rsidP="005E4292">
      <w:pPr>
        <w:ind w:left="851"/>
        <w:rPr>
          <w:sz w:val="24"/>
          <w:szCs w:val="24"/>
        </w:rPr>
      </w:pPr>
    </w:p>
    <w:p w14:paraId="34925268" w14:textId="77777777" w:rsidR="004A59BF" w:rsidRPr="009B42CA" w:rsidRDefault="004A59BF" w:rsidP="005E4292">
      <w:pPr>
        <w:ind w:left="851"/>
        <w:rPr>
          <w:sz w:val="24"/>
          <w:szCs w:val="24"/>
        </w:rPr>
      </w:pPr>
      <w:r w:rsidRPr="009B42CA">
        <w:rPr>
          <w:sz w:val="24"/>
          <w:szCs w:val="24"/>
        </w:rPr>
        <w:t xml:space="preserve">Der skal udvises forsigtighed ved håndtering og forberedelse af </w:t>
      </w:r>
      <w:proofErr w:type="spellStart"/>
      <w:r w:rsidRPr="009B42CA">
        <w:rPr>
          <w:sz w:val="24"/>
          <w:szCs w:val="24"/>
        </w:rPr>
        <w:t>fludarabin</w:t>
      </w:r>
      <w:proofErr w:type="spellEnd"/>
      <w:r w:rsidRPr="009B42CA">
        <w:rPr>
          <w:sz w:val="24"/>
          <w:szCs w:val="24"/>
        </w:rPr>
        <w:t xml:space="preserve">-opløsning. Det anbefales at bruge latexhandsker og sikkerhedsbriller for at undgå eksponering, hvis hætteglasset går itu eller ved andet uheld. Hvis opløsningen kommer i kontakt med huden eller slimhinderne, skal det pågældende område vaskes grundigt med vand og sæbe. Ved kontakt med øjnene skal de skylles grundigt med rigelige mængder vand. Inhalation skal undgås. </w:t>
      </w:r>
    </w:p>
    <w:p w14:paraId="6C703D24" w14:textId="77777777" w:rsidR="004A59BF" w:rsidRPr="009B42CA" w:rsidRDefault="004A59BF" w:rsidP="005E4292">
      <w:pPr>
        <w:ind w:left="851"/>
        <w:rPr>
          <w:sz w:val="24"/>
          <w:szCs w:val="24"/>
        </w:rPr>
      </w:pPr>
    </w:p>
    <w:p w14:paraId="2C0A9EA7" w14:textId="0EC9023D" w:rsidR="004A59BF" w:rsidRPr="009B42CA" w:rsidRDefault="004A59BF" w:rsidP="005E4292">
      <w:pPr>
        <w:ind w:left="851"/>
        <w:rPr>
          <w:sz w:val="24"/>
          <w:szCs w:val="24"/>
        </w:rPr>
      </w:pPr>
      <w:r w:rsidRPr="009B42CA">
        <w:rPr>
          <w:sz w:val="24"/>
          <w:szCs w:val="24"/>
        </w:rPr>
        <w:t xml:space="preserve">Lægemidlet er kun beregnet til engangsbrug. Ikke anvendt lægemiddel samt affald heraf skal bortskaffes i henhold til lokale retningslinjer for </w:t>
      </w:r>
      <w:proofErr w:type="spellStart"/>
      <w:r w:rsidRPr="009B42CA">
        <w:rPr>
          <w:sz w:val="24"/>
          <w:szCs w:val="24"/>
        </w:rPr>
        <w:t>cytotoksiske</w:t>
      </w:r>
      <w:proofErr w:type="spellEnd"/>
      <w:r w:rsidRPr="009B42CA">
        <w:rPr>
          <w:sz w:val="24"/>
          <w:szCs w:val="24"/>
        </w:rPr>
        <w:t xml:space="preserve"> lægemidler.</w:t>
      </w:r>
    </w:p>
    <w:p w14:paraId="65A9B490" w14:textId="77777777" w:rsidR="009260DE" w:rsidRPr="009B42CA" w:rsidRDefault="009260DE" w:rsidP="000730CA">
      <w:pPr>
        <w:tabs>
          <w:tab w:val="left" w:pos="851"/>
        </w:tabs>
        <w:ind w:left="851"/>
        <w:rPr>
          <w:sz w:val="24"/>
          <w:szCs w:val="24"/>
        </w:rPr>
      </w:pPr>
    </w:p>
    <w:p w14:paraId="3A80ECE7" w14:textId="77777777" w:rsidR="009260DE" w:rsidRPr="009B42CA" w:rsidRDefault="009260DE" w:rsidP="000C5D8C">
      <w:pPr>
        <w:keepNext/>
        <w:tabs>
          <w:tab w:val="left" w:pos="851"/>
        </w:tabs>
        <w:ind w:left="851" w:hanging="851"/>
        <w:rPr>
          <w:b/>
          <w:sz w:val="24"/>
          <w:szCs w:val="24"/>
        </w:rPr>
      </w:pPr>
      <w:r w:rsidRPr="009B42CA">
        <w:rPr>
          <w:b/>
          <w:sz w:val="24"/>
          <w:szCs w:val="24"/>
        </w:rPr>
        <w:lastRenderedPageBreak/>
        <w:t>7.</w:t>
      </w:r>
      <w:r w:rsidRPr="009B42CA">
        <w:rPr>
          <w:b/>
          <w:sz w:val="24"/>
          <w:szCs w:val="24"/>
        </w:rPr>
        <w:tab/>
        <w:t>INDEHAVER AF MARKEDSFØRINGSTILLADELSEN</w:t>
      </w:r>
    </w:p>
    <w:p w14:paraId="5FB77C7A" w14:textId="77777777" w:rsidR="004A59BF" w:rsidRPr="00E9105A" w:rsidRDefault="004A59BF" w:rsidP="005E4292">
      <w:pPr>
        <w:ind w:left="851"/>
        <w:rPr>
          <w:sz w:val="24"/>
          <w:szCs w:val="24"/>
          <w:lang w:eastAsia="da-DK"/>
        </w:rPr>
      </w:pPr>
      <w:proofErr w:type="spellStart"/>
      <w:r w:rsidRPr="00E9105A">
        <w:rPr>
          <w:sz w:val="24"/>
          <w:szCs w:val="24"/>
        </w:rPr>
        <w:t>Teva</w:t>
      </w:r>
      <w:proofErr w:type="spellEnd"/>
      <w:r w:rsidRPr="00E9105A">
        <w:rPr>
          <w:sz w:val="24"/>
          <w:szCs w:val="24"/>
        </w:rPr>
        <w:t xml:space="preserve"> B.V.</w:t>
      </w:r>
    </w:p>
    <w:p w14:paraId="1D2F2B51" w14:textId="77777777" w:rsidR="004A59BF" w:rsidRPr="00B037AA" w:rsidRDefault="004A59BF" w:rsidP="005E4292">
      <w:pPr>
        <w:ind w:left="851"/>
        <w:rPr>
          <w:sz w:val="24"/>
          <w:szCs w:val="24"/>
        </w:rPr>
      </w:pPr>
      <w:proofErr w:type="spellStart"/>
      <w:r w:rsidRPr="00B037AA">
        <w:rPr>
          <w:sz w:val="24"/>
          <w:szCs w:val="24"/>
        </w:rPr>
        <w:t>Swensweg</w:t>
      </w:r>
      <w:proofErr w:type="spellEnd"/>
      <w:r w:rsidRPr="00B037AA">
        <w:rPr>
          <w:sz w:val="24"/>
          <w:szCs w:val="24"/>
        </w:rPr>
        <w:t xml:space="preserve"> 5</w:t>
      </w:r>
    </w:p>
    <w:p w14:paraId="359D717B" w14:textId="77777777" w:rsidR="004A59BF" w:rsidRPr="00B037AA" w:rsidRDefault="004A59BF" w:rsidP="005E4292">
      <w:pPr>
        <w:ind w:left="851"/>
        <w:rPr>
          <w:sz w:val="24"/>
          <w:szCs w:val="24"/>
        </w:rPr>
      </w:pPr>
      <w:r w:rsidRPr="00B037AA">
        <w:rPr>
          <w:sz w:val="24"/>
          <w:szCs w:val="24"/>
        </w:rPr>
        <w:t xml:space="preserve">2031 GA </w:t>
      </w:r>
      <w:proofErr w:type="spellStart"/>
      <w:r w:rsidRPr="00B037AA">
        <w:rPr>
          <w:sz w:val="24"/>
          <w:szCs w:val="24"/>
        </w:rPr>
        <w:t>Haarlem</w:t>
      </w:r>
      <w:proofErr w:type="spellEnd"/>
    </w:p>
    <w:p w14:paraId="74175838" w14:textId="77777777" w:rsidR="004A59BF" w:rsidRPr="00B037AA" w:rsidRDefault="004A59BF" w:rsidP="005E4292">
      <w:pPr>
        <w:ind w:left="851"/>
        <w:rPr>
          <w:sz w:val="24"/>
          <w:szCs w:val="24"/>
        </w:rPr>
      </w:pPr>
      <w:r w:rsidRPr="00B037AA">
        <w:rPr>
          <w:sz w:val="24"/>
          <w:szCs w:val="24"/>
        </w:rPr>
        <w:t>Holland</w:t>
      </w:r>
    </w:p>
    <w:p w14:paraId="3EA042B2" w14:textId="77777777" w:rsidR="004A59BF" w:rsidRPr="00B037AA" w:rsidRDefault="004A59BF" w:rsidP="005E4292">
      <w:pPr>
        <w:ind w:left="851"/>
        <w:rPr>
          <w:sz w:val="24"/>
          <w:szCs w:val="24"/>
        </w:rPr>
      </w:pPr>
    </w:p>
    <w:p w14:paraId="252B854D" w14:textId="3FD28D8C" w:rsidR="004A59BF" w:rsidRPr="00B037AA" w:rsidRDefault="004A59BF" w:rsidP="005E4292">
      <w:pPr>
        <w:ind w:left="851"/>
        <w:rPr>
          <w:b/>
          <w:sz w:val="24"/>
          <w:szCs w:val="24"/>
        </w:rPr>
      </w:pPr>
      <w:r w:rsidRPr="00B037AA">
        <w:rPr>
          <w:b/>
          <w:sz w:val="24"/>
          <w:szCs w:val="24"/>
        </w:rPr>
        <w:t>Repræsentant</w:t>
      </w:r>
    </w:p>
    <w:p w14:paraId="11A59E43" w14:textId="77777777" w:rsidR="004A59BF" w:rsidRPr="00B037AA" w:rsidRDefault="004A59BF" w:rsidP="005E4292">
      <w:pPr>
        <w:ind w:left="851"/>
        <w:rPr>
          <w:sz w:val="24"/>
          <w:szCs w:val="24"/>
        </w:rPr>
      </w:pPr>
      <w:proofErr w:type="spellStart"/>
      <w:r w:rsidRPr="00B037AA">
        <w:rPr>
          <w:sz w:val="24"/>
          <w:szCs w:val="24"/>
        </w:rPr>
        <w:t>Teva</w:t>
      </w:r>
      <w:proofErr w:type="spellEnd"/>
      <w:r w:rsidRPr="00B037AA">
        <w:rPr>
          <w:sz w:val="24"/>
          <w:szCs w:val="24"/>
        </w:rPr>
        <w:t xml:space="preserve"> Denmark A/S</w:t>
      </w:r>
    </w:p>
    <w:p w14:paraId="19B5282A" w14:textId="77777777" w:rsidR="004A59BF" w:rsidRPr="009B42CA" w:rsidRDefault="004A59BF" w:rsidP="005E4292">
      <w:pPr>
        <w:ind w:left="851"/>
        <w:rPr>
          <w:sz w:val="24"/>
          <w:szCs w:val="24"/>
        </w:rPr>
      </w:pPr>
      <w:r w:rsidRPr="009B42CA">
        <w:rPr>
          <w:sz w:val="24"/>
          <w:szCs w:val="24"/>
        </w:rPr>
        <w:t>Vandtårnsvej 83A</w:t>
      </w:r>
    </w:p>
    <w:p w14:paraId="55D29319" w14:textId="77777777" w:rsidR="004A59BF" w:rsidRPr="009B42CA" w:rsidRDefault="004A59BF" w:rsidP="005E4292">
      <w:pPr>
        <w:ind w:left="851"/>
        <w:rPr>
          <w:sz w:val="24"/>
          <w:szCs w:val="24"/>
        </w:rPr>
      </w:pPr>
      <w:r w:rsidRPr="009B42CA">
        <w:rPr>
          <w:sz w:val="24"/>
          <w:szCs w:val="24"/>
        </w:rPr>
        <w:t>2860 Søborg</w:t>
      </w:r>
    </w:p>
    <w:p w14:paraId="319D487E" w14:textId="77777777" w:rsidR="00641C65" w:rsidRPr="009B42CA" w:rsidRDefault="00641C65" w:rsidP="009260DE">
      <w:pPr>
        <w:tabs>
          <w:tab w:val="left" w:pos="851"/>
        </w:tabs>
        <w:ind w:left="851"/>
        <w:rPr>
          <w:sz w:val="24"/>
          <w:szCs w:val="24"/>
        </w:rPr>
      </w:pPr>
    </w:p>
    <w:p w14:paraId="79F2D5AC" w14:textId="77777777" w:rsidR="009260DE" w:rsidRPr="009B42CA" w:rsidRDefault="009260DE" w:rsidP="009260DE">
      <w:pPr>
        <w:tabs>
          <w:tab w:val="left" w:pos="851"/>
        </w:tabs>
        <w:ind w:left="851" w:hanging="851"/>
        <w:rPr>
          <w:b/>
          <w:sz w:val="24"/>
          <w:szCs w:val="24"/>
        </w:rPr>
      </w:pPr>
      <w:r w:rsidRPr="009B42CA">
        <w:rPr>
          <w:b/>
          <w:sz w:val="24"/>
          <w:szCs w:val="24"/>
        </w:rPr>
        <w:t>8.</w:t>
      </w:r>
      <w:r w:rsidRPr="009B42CA">
        <w:rPr>
          <w:b/>
          <w:sz w:val="24"/>
          <w:szCs w:val="24"/>
        </w:rPr>
        <w:tab/>
        <w:t>MARKEDSFØRINGSTILLADELSESNUMMER (</w:t>
      </w:r>
      <w:r w:rsidR="00BF6243" w:rsidRPr="009B42CA">
        <w:rPr>
          <w:b/>
          <w:sz w:val="24"/>
          <w:szCs w:val="24"/>
        </w:rPr>
        <w:t>-</w:t>
      </w:r>
      <w:r w:rsidRPr="009B42CA">
        <w:rPr>
          <w:b/>
          <w:sz w:val="24"/>
          <w:szCs w:val="24"/>
        </w:rPr>
        <w:t>NUMRE)</w:t>
      </w:r>
    </w:p>
    <w:p w14:paraId="2B8E3C7B" w14:textId="2E627B8E" w:rsidR="007B6BAC" w:rsidRDefault="004A59BF" w:rsidP="000C5D8C">
      <w:pPr>
        <w:tabs>
          <w:tab w:val="left" w:pos="851"/>
        </w:tabs>
        <w:ind w:left="851"/>
        <w:rPr>
          <w:sz w:val="24"/>
          <w:szCs w:val="24"/>
        </w:rPr>
      </w:pPr>
      <w:r w:rsidRPr="009B42CA">
        <w:rPr>
          <w:sz w:val="24"/>
          <w:szCs w:val="24"/>
        </w:rPr>
        <w:t>68858</w:t>
      </w:r>
    </w:p>
    <w:p w14:paraId="319E1CA1" w14:textId="77777777" w:rsidR="009260DE" w:rsidRPr="009B42CA" w:rsidRDefault="009260DE" w:rsidP="009260DE">
      <w:pPr>
        <w:tabs>
          <w:tab w:val="left" w:pos="851"/>
        </w:tabs>
        <w:ind w:left="851"/>
        <w:jc w:val="both"/>
        <w:rPr>
          <w:sz w:val="24"/>
          <w:szCs w:val="24"/>
        </w:rPr>
      </w:pPr>
    </w:p>
    <w:p w14:paraId="0AB31008" w14:textId="77777777" w:rsidR="009260DE" w:rsidRPr="009B42CA" w:rsidRDefault="009260DE" w:rsidP="009260DE">
      <w:pPr>
        <w:tabs>
          <w:tab w:val="left" w:pos="851"/>
        </w:tabs>
        <w:ind w:left="851" w:hanging="851"/>
        <w:rPr>
          <w:b/>
          <w:sz w:val="24"/>
          <w:szCs w:val="24"/>
        </w:rPr>
      </w:pPr>
      <w:r w:rsidRPr="009B42CA">
        <w:rPr>
          <w:b/>
          <w:sz w:val="24"/>
          <w:szCs w:val="24"/>
        </w:rPr>
        <w:t>9.</w:t>
      </w:r>
      <w:r w:rsidRPr="009B42CA">
        <w:rPr>
          <w:b/>
          <w:sz w:val="24"/>
          <w:szCs w:val="24"/>
        </w:rPr>
        <w:tab/>
        <w:t>DATO FOR FØRSTE MARKEDSFØRINGSTILLADELSE</w:t>
      </w:r>
    </w:p>
    <w:p w14:paraId="127AB21D" w14:textId="2B41BA81" w:rsidR="009260DE" w:rsidRPr="009B42CA" w:rsidRDefault="000D53F4" w:rsidP="009260DE">
      <w:pPr>
        <w:tabs>
          <w:tab w:val="left" w:pos="851"/>
        </w:tabs>
        <w:ind w:left="851"/>
        <w:rPr>
          <w:sz w:val="24"/>
          <w:szCs w:val="24"/>
        </w:rPr>
      </w:pPr>
      <w:r>
        <w:rPr>
          <w:sz w:val="24"/>
          <w:szCs w:val="24"/>
        </w:rPr>
        <w:t>3. november 2023</w:t>
      </w:r>
    </w:p>
    <w:p w14:paraId="080FC6A6" w14:textId="77777777" w:rsidR="009260DE" w:rsidRPr="009B42CA" w:rsidRDefault="009260DE" w:rsidP="009260DE">
      <w:pPr>
        <w:tabs>
          <w:tab w:val="left" w:pos="851"/>
        </w:tabs>
        <w:ind w:left="851"/>
        <w:rPr>
          <w:sz w:val="24"/>
          <w:szCs w:val="24"/>
        </w:rPr>
      </w:pPr>
    </w:p>
    <w:p w14:paraId="6044860D" w14:textId="77777777" w:rsidR="009260DE" w:rsidRPr="009B42CA" w:rsidRDefault="009260DE" w:rsidP="009260DE">
      <w:pPr>
        <w:tabs>
          <w:tab w:val="left" w:pos="851"/>
        </w:tabs>
        <w:ind w:left="851" w:hanging="851"/>
        <w:rPr>
          <w:b/>
          <w:sz w:val="24"/>
          <w:szCs w:val="24"/>
        </w:rPr>
      </w:pPr>
      <w:r w:rsidRPr="009B42CA">
        <w:rPr>
          <w:b/>
          <w:sz w:val="24"/>
          <w:szCs w:val="24"/>
        </w:rPr>
        <w:t>10.</w:t>
      </w:r>
      <w:r w:rsidRPr="009B42CA">
        <w:rPr>
          <w:b/>
          <w:sz w:val="24"/>
          <w:szCs w:val="24"/>
        </w:rPr>
        <w:tab/>
        <w:t>DATO FOR ÆNDRING AF TEKSTEN</w:t>
      </w:r>
    </w:p>
    <w:p w14:paraId="3FD77FF5" w14:textId="2EE7D4AD" w:rsidR="009260DE" w:rsidRPr="009B42CA" w:rsidRDefault="000C5D8C" w:rsidP="009260DE">
      <w:pPr>
        <w:tabs>
          <w:tab w:val="left" w:pos="851"/>
        </w:tabs>
        <w:ind w:left="851"/>
        <w:rPr>
          <w:sz w:val="24"/>
          <w:szCs w:val="24"/>
        </w:rPr>
      </w:pPr>
      <w:r>
        <w:rPr>
          <w:sz w:val="24"/>
          <w:szCs w:val="24"/>
        </w:rPr>
        <w:t>6</w:t>
      </w:r>
      <w:r w:rsidR="000D2F71">
        <w:rPr>
          <w:sz w:val="24"/>
          <w:szCs w:val="24"/>
        </w:rPr>
        <w:t xml:space="preserve">. </w:t>
      </w:r>
      <w:r>
        <w:rPr>
          <w:sz w:val="24"/>
          <w:szCs w:val="24"/>
        </w:rPr>
        <w:t>marts</w:t>
      </w:r>
      <w:r w:rsidR="000D2F71">
        <w:rPr>
          <w:sz w:val="24"/>
          <w:szCs w:val="24"/>
        </w:rPr>
        <w:t xml:space="preserve"> 202</w:t>
      </w:r>
      <w:r>
        <w:rPr>
          <w:sz w:val="24"/>
          <w:szCs w:val="24"/>
        </w:rPr>
        <w:t>5</w:t>
      </w:r>
      <w:bookmarkStart w:id="0" w:name="_GoBack"/>
      <w:bookmarkEnd w:id="0"/>
    </w:p>
    <w:sectPr w:rsidR="009260DE" w:rsidRPr="009B42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E687" w14:textId="77777777" w:rsidR="00DD1E0E" w:rsidRDefault="00DD1E0E">
      <w:r>
        <w:separator/>
      </w:r>
    </w:p>
  </w:endnote>
  <w:endnote w:type="continuationSeparator" w:id="0">
    <w:p w14:paraId="1639C9FA" w14:textId="77777777" w:rsidR="00DD1E0E" w:rsidRDefault="00DD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D0E88" w14:textId="77777777" w:rsidR="000259B9" w:rsidRDefault="000259B9">
    <w:pPr>
      <w:pStyle w:val="Sidefod"/>
      <w:pBdr>
        <w:bottom w:val="single" w:sz="6" w:space="1" w:color="auto"/>
      </w:pBdr>
    </w:pPr>
  </w:p>
  <w:p w14:paraId="6C73349F" w14:textId="77777777" w:rsidR="000259B9" w:rsidRDefault="000259B9" w:rsidP="00C42586">
    <w:pPr>
      <w:pStyle w:val="Sidefod"/>
      <w:tabs>
        <w:tab w:val="clear" w:pos="4819"/>
        <w:tab w:val="left" w:pos="8505"/>
      </w:tabs>
      <w:rPr>
        <w:i/>
        <w:sz w:val="18"/>
        <w:szCs w:val="18"/>
      </w:rPr>
    </w:pPr>
  </w:p>
  <w:p w14:paraId="1AB6A0F7" w14:textId="38D1442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D2F71">
      <w:rPr>
        <w:i/>
        <w:noProof/>
        <w:sz w:val="18"/>
        <w:szCs w:val="18"/>
      </w:rPr>
      <w:t>Fludarabinphosphat Teva, koncentrat til injektions--infusionsvæske,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988B" w14:textId="77777777" w:rsidR="00DD1E0E" w:rsidRDefault="00DD1E0E">
      <w:r>
        <w:separator/>
      </w:r>
    </w:p>
  </w:footnote>
  <w:footnote w:type="continuationSeparator" w:id="0">
    <w:p w14:paraId="73B27195" w14:textId="77777777" w:rsidR="00DD1E0E" w:rsidRDefault="00DD1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21C4"/>
    <w:multiLevelType w:val="hybridMultilevel"/>
    <w:tmpl w:val="2C94AD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2F4DCB"/>
    <w:multiLevelType w:val="hybridMultilevel"/>
    <w:tmpl w:val="660896CC"/>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FD1D77"/>
    <w:multiLevelType w:val="hybridMultilevel"/>
    <w:tmpl w:val="2A929658"/>
    <w:lvl w:ilvl="0" w:tplc="62C47F6E">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4A973BBB"/>
    <w:multiLevelType w:val="hybridMultilevel"/>
    <w:tmpl w:val="57023C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4EE26BB2"/>
    <w:multiLevelType w:val="hybridMultilevel"/>
    <w:tmpl w:val="C6EA71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0E"/>
    <w:rsid w:val="000259B9"/>
    <w:rsid w:val="00041491"/>
    <w:rsid w:val="00050D16"/>
    <w:rsid w:val="000730CA"/>
    <w:rsid w:val="00074F2A"/>
    <w:rsid w:val="000A1CA8"/>
    <w:rsid w:val="000A466B"/>
    <w:rsid w:val="000B058C"/>
    <w:rsid w:val="000C5D8C"/>
    <w:rsid w:val="000D2F71"/>
    <w:rsid w:val="000D53F4"/>
    <w:rsid w:val="000D68B0"/>
    <w:rsid w:val="000E4EE6"/>
    <w:rsid w:val="001454E2"/>
    <w:rsid w:val="00206CE8"/>
    <w:rsid w:val="0021526C"/>
    <w:rsid w:val="00230375"/>
    <w:rsid w:val="00283A2B"/>
    <w:rsid w:val="002B30AD"/>
    <w:rsid w:val="002C1EC0"/>
    <w:rsid w:val="002C2C01"/>
    <w:rsid w:val="003A29AE"/>
    <w:rsid w:val="003A32D7"/>
    <w:rsid w:val="003B4074"/>
    <w:rsid w:val="003C769A"/>
    <w:rsid w:val="003D3A90"/>
    <w:rsid w:val="003F1838"/>
    <w:rsid w:val="004251C1"/>
    <w:rsid w:val="0045746C"/>
    <w:rsid w:val="0049104B"/>
    <w:rsid w:val="004A59BF"/>
    <w:rsid w:val="004E3B12"/>
    <w:rsid w:val="00532310"/>
    <w:rsid w:val="00565F0F"/>
    <w:rsid w:val="00594A86"/>
    <w:rsid w:val="00596D86"/>
    <w:rsid w:val="005D1757"/>
    <w:rsid w:val="005E4292"/>
    <w:rsid w:val="00637F5A"/>
    <w:rsid w:val="00641C65"/>
    <w:rsid w:val="006560B1"/>
    <w:rsid w:val="006756DD"/>
    <w:rsid w:val="00700C01"/>
    <w:rsid w:val="0071241E"/>
    <w:rsid w:val="00737275"/>
    <w:rsid w:val="00740EEC"/>
    <w:rsid w:val="0078011A"/>
    <w:rsid w:val="00782AF4"/>
    <w:rsid w:val="00790EE7"/>
    <w:rsid w:val="007B6649"/>
    <w:rsid w:val="007B6BAC"/>
    <w:rsid w:val="007D1B1E"/>
    <w:rsid w:val="0082576E"/>
    <w:rsid w:val="0089346F"/>
    <w:rsid w:val="00907F75"/>
    <w:rsid w:val="009260DE"/>
    <w:rsid w:val="0093258A"/>
    <w:rsid w:val="009B42CA"/>
    <w:rsid w:val="009C7BA3"/>
    <w:rsid w:val="009D1F5A"/>
    <w:rsid w:val="00A10294"/>
    <w:rsid w:val="00B003BF"/>
    <w:rsid w:val="00B037AA"/>
    <w:rsid w:val="00B373D7"/>
    <w:rsid w:val="00B55271"/>
    <w:rsid w:val="00B74B5B"/>
    <w:rsid w:val="00BB138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1E0E"/>
    <w:rsid w:val="00E108AA"/>
    <w:rsid w:val="00E3749A"/>
    <w:rsid w:val="00E7437F"/>
    <w:rsid w:val="00E865B8"/>
    <w:rsid w:val="00E9105A"/>
    <w:rsid w:val="00EC015B"/>
    <w:rsid w:val="00EC0B9B"/>
    <w:rsid w:val="00ED5E9F"/>
    <w:rsid w:val="00F66D4F"/>
    <w:rsid w:val="00FA3637"/>
    <w:rsid w:val="00FB41B0"/>
    <w:rsid w:val="00FB6D01"/>
    <w:rsid w:val="00FF3E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859D0"/>
  <w15:chartTrackingRefBased/>
  <w15:docId w15:val="{584986F0-492D-4DBA-8562-C60B0271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Para0sZchn">
    <w:name w:val="Para:0:s Zchn"/>
    <w:link w:val="Para0s"/>
    <w:locked/>
    <w:rsid w:val="004A59BF"/>
    <w:rPr>
      <w:rFonts w:ascii="Helvetica" w:hAnsi="Helvetica"/>
      <w:sz w:val="22"/>
      <w:lang w:val="en-US" w:eastAsia="ja-JP"/>
    </w:rPr>
  </w:style>
  <w:style w:type="paragraph" w:customStyle="1" w:styleId="Para0s">
    <w:name w:val="Para:0:s"/>
    <w:basedOn w:val="Normal"/>
    <w:link w:val="Para0sZchn"/>
    <w:rsid w:val="004A59BF"/>
    <w:pPr>
      <w:spacing w:after="220"/>
    </w:pPr>
    <w:rPr>
      <w:rFonts w:ascii="Helvetica" w:hAnsi="Helvetica"/>
      <w:sz w:val="22"/>
      <w:lang w:val="en-US" w:eastAsia="ja-JP"/>
    </w:rPr>
  </w:style>
  <w:style w:type="paragraph" w:styleId="Listeafsnit">
    <w:name w:val="List Paragraph"/>
    <w:basedOn w:val="Normal"/>
    <w:uiPriority w:val="34"/>
    <w:qFormat/>
    <w:rsid w:val="004A59BF"/>
    <w:pPr>
      <w:ind w:left="720"/>
      <w:contextualSpacing/>
    </w:pPr>
  </w:style>
  <w:style w:type="character" w:styleId="Hyperlink">
    <w:name w:val="Hyperlink"/>
    <w:uiPriority w:val="99"/>
    <w:semiHidden/>
    <w:unhideWhenUsed/>
    <w:rsid w:val="004A59BF"/>
    <w:rPr>
      <w:color w:val="0000FF"/>
      <w:u w:val="single"/>
    </w:rPr>
  </w:style>
  <w:style w:type="paragraph" w:styleId="Korrektur">
    <w:name w:val="Revision"/>
    <w:hidden/>
    <w:uiPriority w:val="99"/>
    <w:semiHidden/>
    <w:rsid w:val="00FF3E6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719">
      <w:bodyDiv w:val="1"/>
      <w:marLeft w:val="0"/>
      <w:marRight w:val="0"/>
      <w:marTop w:val="0"/>
      <w:marBottom w:val="0"/>
      <w:divBdr>
        <w:top w:val="none" w:sz="0" w:space="0" w:color="auto"/>
        <w:left w:val="none" w:sz="0" w:space="0" w:color="auto"/>
        <w:bottom w:val="none" w:sz="0" w:space="0" w:color="auto"/>
        <w:right w:val="none" w:sz="0" w:space="0" w:color="auto"/>
      </w:divBdr>
    </w:div>
    <w:div w:id="92554222">
      <w:bodyDiv w:val="1"/>
      <w:marLeft w:val="0"/>
      <w:marRight w:val="0"/>
      <w:marTop w:val="0"/>
      <w:marBottom w:val="0"/>
      <w:divBdr>
        <w:top w:val="none" w:sz="0" w:space="0" w:color="auto"/>
        <w:left w:val="none" w:sz="0" w:space="0" w:color="auto"/>
        <w:bottom w:val="none" w:sz="0" w:space="0" w:color="auto"/>
        <w:right w:val="none" w:sz="0" w:space="0" w:color="auto"/>
      </w:divBdr>
    </w:div>
    <w:div w:id="102040693">
      <w:bodyDiv w:val="1"/>
      <w:marLeft w:val="0"/>
      <w:marRight w:val="0"/>
      <w:marTop w:val="0"/>
      <w:marBottom w:val="0"/>
      <w:divBdr>
        <w:top w:val="none" w:sz="0" w:space="0" w:color="auto"/>
        <w:left w:val="none" w:sz="0" w:space="0" w:color="auto"/>
        <w:bottom w:val="none" w:sz="0" w:space="0" w:color="auto"/>
        <w:right w:val="none" w:sz="0" w:space="0" w:color="auto"/>
      </w:divBdr>
    </w:div>
    <w:div w:id="1405871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797007">
      <w:bodyDiv w:val="1"/>
      <w:marLeft w:val="0"/>
      <w:marRight w:val="0"/>
      <w:marTop w:val="0"/>
      <w:marBottom w:val="0"/>
      <w:divBdr>
        <w:top w:val="none" w:sz="0" w:space="0" w:color="auto"/>
        <w:left w:val="none" w:sz="0" w:space="0" w:color="auto"/>
        <w:bottom w:val="none" w:sz="0" w:space="0" w:color="auto"/>
        <w:right w:val="none" w:sz="0" w:space="0" w:color="auto"/>
      </w:divBdr>
    </w:div>
    <w:div w:id="241918899">
      <w:bodyDiv w:val="1"/>
      <w:marLeft w:val="0"/>
      <w:marRight w:val="0"/>
      <w:marTop w:val="0"/>
      <w:marBottom w:val="0"/>
      <w:divBdr>
        <w:top w:val="none" w:sz="0" w:space="0" w:color="auto"/>
        <w:left w:val="none" w:sz="0" w:space="0" w:color="auto"/>
        <w:bottom w:val="none" w:sz="0" w:space="0" w:color="auto"/>
        <w:right w:val="none" w:sz="0" w:space="0" w:color="auto"/>
      </w:divBdr>
    </w:div>
    <w:div w:id="463084038">
      <w:bodyDiv w:val="1"/>
      <w:marLeft w:val="0"/>
      <w:marRight w:val="0"/>
      <w:marTop w:val="0"/>
      <w:marBottom w:val="0"/>
      <w:divBdr>
        <w:top w:val="none" w:sz="0" w:space="0" w:color="auto"/>
        <w:left w:val="none" w:sz="0" w:space="0" w:color="auto"/>
        <w:bottom w:val="none" w:sz="0" w:space="0" w:color="auto"/>
        <w:right w:val="none" w:sz="0" w:space="0" w:color="auto"/>
      </w:divBdr>
    </w:div>
    <w:div w:id="466162252">
      <w:bodyDiv w:val="1"/>
      <w:marLeft w:val="0"/>
      <w:marRight w:val="0"/>
      <w:marTop w:val="0"/>
      <w:marBottom w:val="0"/>
      <w:divBdr>
        <w:top w:val="none" w:sz="0" w:space="0" w:color="auto"/>
        <w:left w:val="none" w:sz="0" w:space="0" w:color="auto"/>
        <w:bottom w:val="none" w:sz="0" w:space="0" w:color="auto"/>
        <w:right w:val="none" w:sz="0" w:space="0" w:color="auto"/>
      </w:divBdr>
    </w:div>
    <w:div w:id="511798200">
      <w:bodyDiv w:val="1"/>
      <w:marLeft w:val="0"/>
      <w:marRight w:val="0"/>
      <w:marTop w:val="0"/>
      <w:marBottom w:val="0"/>
      <w:divBdr>
        <w:top w:val="none" w:sz="0" w:space="0" w:color="auto"/>
        <w:left w:val="none" w:sz="0" w:space="0" w:color="auto"/>
        <w:bottom w:val="none" w:sz="0" w:space="0" w:color="auto"/>
        <w:right w:val="none" w:sz="0" w:space="0" w:color="auto"/>
      </w:divBdr>
    </w:div>
    <w:div w:id="538011095">
      <w:bodyDiv w:val="1"/>
      <w:marLeft w:val="0"/>
      <w:marRight w:val="0"/>
      <w:marTop w:val="0"/>
      <w:marBottom w:val="0"/>
      <w:divBdr>
        <w:top w:val="none" w:sz="0" w:space="0" w:color="auto"/>
        <w:left w:val="none" w:sz="0" w:space="0" w:color="auto"/>
        <w:bottom w:val="none" w:sz="0" w:space="0" w:color="auto"/>
        <w:right w:val="none" w:sz="0" w:space="0" w:color="auto"/>
      </w:divBdr>
    </w:div>
    <w:div w:id="883177396">
      <w:bodyDiv w:val="1"/>
      <w:marLeft w:val="0"/>
      <w:marRight w:val="0"/>
      <w:marTop w:val="0"/>
      <w:marBottom w:val="0"/>
      <w:divBdr>
        <w:top w:val="none" w:sz="0" w:space="0" w:color="auto"/>
        <w:left w:val="none" w:sz="0" w:space="0" w:color="auto"/>
        <w:bottom w:val="none" w:sz="0" w:space="0" w:color="auto"/>
        <w:right w:val="none" w:sz="0" w:space="0" w:color="auto"/>
      </w:divBdr>
    </w:div>
    <w:div w:id="905919023">
      <w:bodyDiv w:val="1"/>
      <w:marLeft w:val="0"/>
      <w:marRight w:val="0"/>
      <w:marTop w:val="0"/>
      <w:marBottom w:val="0"/>
      <w:divBdr>
        <w:top w:val="none" w:sz="0" w:space="0" w:color="auto"/>
        <w:left w:val="none" w:sz="0" w:space="0" w:color="auto"/>
        <w:bottom w:val="none" w:sz="0" w:space="0" w:color="auto"/>
        <w:right w:val="none" w:sz="0" w:space="0" w:color="auto"/>
      </w:divBdr>
    </w:div>
    <w:div w:id="1004670675">
      <w:bodyDiv w:val="1"/>
      <w:marLeft w:val="0"/>
      <w:marRight w:val="0"/>
      <w:marTop w:val="0"/>
      <w:marBottom w:val="0"/>
      <w:divBdr>
        <w:top w:val="none" w:sz="0" w:space="0" w:color="auto"/>
        <w:left w:val="none" w:sz="0" w:space="0" w:color="auto"/>
        <w:bottom w:val="none" w:sz="0" w:space="0" w:color="auto"/>
        <w:right w:val="none" w:sz="0" w:space="0" w:color="auto"/>
      </w:divBdr>
    </w:div>
    <w:div w:id="1056509763">
      <w:bodyDiv w:val="1"/>
      <w:marLeft w:val="0"/>
      <w:marRight w:val="0"/>
      <w:marTop w:val="0"/>
      <w:marBottom w:val="0"/>
      <w:divBdr>
        <w:top w:val="none" w:sz="0" w:space="0" w:color="auto"/>
        <w:left w:val="none" w:sz="0" w:space="0" w:color="auto"/>
        <w:bottom w:val="none" w:sz="0" w:space="0" w:color="auto"/>
        <w:right w:val="none" w:sz="0" w:space="0" w:color="auto"/>
      </w:divBdr>
    </w:div>
    <w:div w:id="1144472602">
      <w:bodyDiv w:val="1"/>
      <w:marLeft w:val="0"/>
      <w:marRight w:val="0"/>
      <w:marTop w:val="0"/>
      <w:marBottom w:val="0"/>
      <w:divBdr>
        <w:top w:val="none" w:sz="0" w:space="0" w:color="auto"/>
        <w:left w:val="none" w:sz="0" w:space="0" w:color="auto"/>
        <w:bottom w:val="none" w:sz="0" w:space="0" w:color="auto"/>
        <w:right w:val="none" w:sz="0" w:space="0" w:color="auto"/>
      </w:divBdr>
    </w:div>
    <w:div w:id="1633823385">
      <w:bodyDiv w:val="1"/>
      <w:marLeft w:val="0"/>
      <w:marRight w:val="0"/>
      <w:marTop w:val="0"/>
      <w:marBottom w:val="0"/>
      <w:divBdr>
        <w:top w:val="none" w:sz="0" w:space="0" w:color="auto"/>
        <w:left w:val="none" w:sz="0" w:space="0" w:color="auto"/>
        <w:bottom w:val="none" w:sz="0" w:space="0" w:color="auto"/>
        <w:right w:val="none" w:sz="0" w:space="0" w:color="auto"/>
      </w:divBdr>
    </w:div>
    <w:div w:id="1660841815">
      <w:bodyDiv w:val="1"/>
      <w:marLeft w:val="0"/>
      <w:marRight w:val="0"/>
      <w:marTop w:val="0"/>
      <w:marBottom w:val="0"/>
      <w:divBdr>
        <w:top w:val="none" w:sz="0" w:space="0" w:color="auto"/>
        <w:left w:val="none" w:sz="0" w:space="0" w:color="auto"/>
        <w:bottom w:val="none" w:sz="0" w:space="0" w:color="auto"/>
        <w:right w:val="none" w:sz="0" w:space="0" w:color="auto"/>
      </w:divBdr>
    </w:div>
    <w:div w:id="1663656741">
      <w:bodyDiv w:val="1"/>
      <w:marLeft w:val="0"/>
      <w:marRight w:val="0"/>
      <w:marTop w:val="0"/>
      <w:marBottom w:val="0"/>
      <w:divBdr>
        <w:top w:val="none" w:sz="0" w:space="0" w:color="auto"/>
        <w:left w:val="none" w:sz="0" w:space="0" w:color="auto"/>
        <w:bottom w:val="none" w:sz="0" w:space="0" w:color="auto"/>
        <w:right w:val="none" w:sz="0" w:space="0" w:color="auto"/>
      </w:divBdr>
    </w:div>
    <w:div w:id="1842315248">
      <w:bodyDiv w:val="1"/>
      <w:marLeft w:val="0"/>
      <w:marRight w:val="0"/>
      <w:marTop w:val="0"/>
      <w:marBottom w:val="0"/>
      <w:divBdr>
        <w:top w:val="none" w:sz="0" w:space="0" w:color="auto"/>
        <w:left w:val="none" w:sz="0" w:space="0" w:color="auto"/>
        <w:bottom w:val="none" w:sz="0" w:space="0" w:color="auto"/>
        <w:right w:val="none" w:sz="0" w:space="0" w:color="auto"/>
      </w:divBdr>
    </w:div>
    <w:div w:id="1934896802">
      <w:bodyDiv w:val="1"/>
      <w:marLeft w:val="0"/>
      <w:marRight w:val="0"/>
      <w:marTop w:val="0"/>
      <w:marBottom w:val="0"/>
      <w:divBdr>
        <w:top w:val="none" w:sz="0" w:space="0" w:color="auto"/>
        <w:left w:val="none" w:sz="0" w:space="0" w:color="auto"/>
        <w:bottom w:val="none" w:sz="0" w:space="0" w:color="auto"/>
        <w:right w:val="none" w:sz="0" w:space="0" w:color="auto"/>
      </w:divBdr>
    </w:div>
    <w:div w:id="1960646495">
      <w:bodyDiv w:val="1"/>
      <w:marLeft w:val="0"/>
      <w:marRight w:val="0"/>
      <w:marTop w:val="0"/>
      <w:marBottom w:val="0"/>
      <w:divBdr>
        <w:top w:val="none" w:sz="0" w:space="0" w:color="auto"/>
        <w:left w:val="none" w:sz="0" w:space="0" w:color="auto"/>
        <w:bottom w:val="none" w:sz="0" w:space="0" w:color="auto"/>
        <w:right w:val="none" w:sz="0" w:space="0" w:color="auto"/>
      </w:divBdr>
    </w:div>
    <w:div w:id="2059547622">
      <w:bodyDiv w:val="1"/>
      <w:marLeft w:val="0"/>
      <w:marRight w:val="0"/>
      <w:marTop w:val="0"/>
      <w:marBottom w:val="0"/>
      <w:divBdr>
        <w:top w:val="none" w:sz="0" w:space="0" w:color="auto"/>
        <w:left w:val="none" w:sz="0" w:space="0" w:color="auto"/>
        <w:bottom w:val="none" w:sz="0" w:space="0" w:color="auto"/>
        <w:right w:val="none" w:sz="0" w:space="0" w:color="auto"/>
      </w:divBdr>
    </w:div>
    <w:div w:id="20946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16</Pages>
  <Words>4414</Words>
  <Characters>29995</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2024091968_x000d_
SPC pkt. 4.4, 4.6</dc:description>
  <cp:lastModifiedBy>Victoria Alexsandra Ringgaard</cp:lastModifiedBy>
  <cp:revision>3</cp:revision>
  <cp:lastPrinted>2012-08-22T08:53:00Z</cp:lastPrinted>
  <dcterms:created xsi:type="dcterms:W3CDTF">2025-02-28T14:01:00Z</dcterms:created>
  <dcterms:modified xsi:type="dcterms:W3CDTF">2025-02-28T14:05:00Z</dcterms:modified>
</cp:coreProperties>
</file>