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E8F4B" w14:textId="052712AE" w:rsidR="009260DE" w:rsidRPr="002F7765" w:rsidRDefault="0021526C" w:rsidP="002F7765">
      <w:pPr>
        <w:rPr>
          <w:b/>
          <w:sz w:val="24"/>
          <w:szCs w:val="24"/>
        </w:rPr>
      </w:pPr>
      <w:bookmarkStart w:id="0" w:name="_GoBack"/>
      <w:bookmarkEnd w:id="0"/>
      <w:r w:rsidRPr="002F7765">
        <w:rPr>
          <w:noProof/>
          <w:sz w:val="24"/>
          <w:szCs w:val="24"/>
          <w:lang w:eastAsia="da-DK"/>
        </w:rPr>
        <w:drawing>
          <wp:anchor distT="0" distB="0" distL="114300" distR="114300" simplePos="0" relativeHeight="251658240" behindDoc="0" locked="0" layoutInCell="1" allowOverlap="1" wp14:anchorId="7D33B06B" wp14:editId="4304029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2F7765">
        <w:rPr>
          <w:sz w:val="24"/>
          <w:szCs w:val="24"/>
        </w:rPr>
        <w:br w:type="textWrapping" w:clear="all"/>
      </w:r>
    </w:p>
    <w:p w14:paraId="7BABEFC8" w14:textId="082041F5" w:rsidR="009260DE" w:rsidRPr="002F7765" w:rsidRDefault="009260DE" w:rsidP="009260DE">
      <w:pPr>
        <w:pStyle w:val="Titel"/>
        <w:tabs>
          <w:tab w:val="right" w:pos="9356"/>
        </w:tabs>
        <w:jc w:val="left"/>
        <w:rPr>
          <w:b w:val="0"/>
          <w:szCs w:val="24"/>
          <w:lang w:eastAsia="en-US"/>
        </w:rPr>
      </w:pPr>
      <w:r w:rsidRPr="002F7765">
        <w:rPr>
          <w:b w:val="0"/>
          <w:szCs w:val="24"/>
          <w:lang w:eastAsia="en-US"/>
        </w:rPr>
        <w:tab/>
      </w:r>
      <w:r w:rsidR="00971BDA">
        <w:rPr>
          <w:szCs w:val="24"/>
        </w:rPr>
        <w:t>22. april 2021</w:t>
      </w:r>
    </w:p>
    <w:p w14:paraId="0E1ACD10" w14:textId="77777777" w:rsidR="009260DE" w:rsidRPr="002F7765" w:rsidRDefault="009260DE" w:rsidP="009260DE">
      <w:pPr>
        <w:pStyle w:val="Titel"/>
        <w:tabs>
          <w:tab w:val="left" w:pos="8222"/>
        </w:tabs>
        <w:jc w:val="left"/>
        <w:rPr>
          <w:b w:val="0"/>
          <w:szCs w:val="24"/>
        </w:rPr>
      </w:pPr>
    </w:p>
    <w:p w14:paraId="3539869A" w14:textId="77777777" w:rsidR="009260DE" w:rsidRPr="002F7765" w:rsidRDefault="009260DE" w:rsidP="009260DE">
      <w:pPr>
        <w:pStyle w:val="Titel"/>
        <w:jc w:val="left"/>
        <w:rPr>
          <w:b w:val="0"/>
          <w:szCs w:val="24"/>
        </w:rPr>
      </w:pPr>
    </w:p>
    <w:p w14:paraId="7AED86BA" w14:textId="77777777" w:rsidR="009260DE" w:rsidRPr="002F7765" w:rsidRDefault="009260DE" w:rsidP="009260DE">
      <w:pPr>
        <w:pStyle w:val="Titel"/>
        <w:jc w:val="left"/>
        <w:rPr>
          <w:b w:val="0"/>
          <w:szCs w:val="24"/>
        </w:rPr>
      </w:pPr>
    </w:p>
    <w:p w14:paraId="05568409" w14:textId="77777777" w:rsidR="009260DE" w:rsidRPr="002F7765" w:rsidRDefault="009260DE" w:rsidP="009260DE">
      <w:pPr>
        <w:jc w:val="center"/>
        <w:rPr>
          <w:b/>
          <w:sz w:val="24"/>
          <w:szCs w:val="24"/>
        </w:rPr>
      </w:pPr>
      <w:r w:rsidRPr="002F7765">
        <w:rPr>
          <w:b/>
          <w:sz w:val="24"/>
          <w:szCs w:val="24"/>
        </w:rPr>
        <w:t>PRODUKTRESUMÉ</w:t>
      </w:r>
    </w:p>
    <w:p w14:paraId="6314077D" w14:textId="77777777" w:rsidR="009260DE" w:rsidRPr="002F7765" w:rsidRDefault="009260DE" w:rsidP="009260DE">
      <w:pPr>
        <w:jc w:val="center"/>
        <w:rPr>
          <w:b/>
          <w:sz w:val="24"/>
          <w:szCs w:val="24"/>
        </w:rPr>
      </w:pPr>
    </w:p>
    <w:p w14:paraId="1270256C" w14:textId="77777777" w:rsidR="009260DE" w:rsidRPr="002F7765" w:rsidRDefault="009260DE" w:rsidP="009260DE">
      <w:pPr>
        <w:jc w:val="center"/>
        <w:rPr>
          <w:b/>
          <w:sz w:val="24"/>
          <w:szCs w:val="24"/>
        </w:rPr>
      </w:pPr>
      <w:r w:rsidRPr="002F7765">
        <w:rPr>
          <w:b/>
          <w:sz w:val="24"/>
          <w:szCs w:val="24"/>
        </w:rPr>
        <w:t>for</w:t>
      </w:r>
    </w:p>
    <w:p w14:paraId="73585FFF" w14:textId="77777777" w:rsidR="000B058C" w:rsidRPr="002F7765" w:rsidRDefault="000B058C" w:rsidP="009260DE">
      <w:pPr>
        <w:jc w:val="center"/>
        <w:rPr>
          <w:b/>
          <w:sz w:val="24"/>
          <w:szCs w:val="24"/>
        </w:rPr>
      </w:pPr>
    </w:p>
    <w:p w14:paraId="2067A995" w14:textId="69A22304" w:rsidR="009260DE" w:rsidRPr="002F7765" w:rsidRDefault="0052316F" w:rsidP="009260DE">
      <w:pPr>
        <w:jc w:val="center"/>
        <w:rPr>
          <w:b/>
          <w:sz w:val="24"/>
          <w:szCs w:val="24"/>
        </w:rPr>
      </w:pPr>
      <w:proofErr w:type="spellStart"/>
      <w:r w:rsidRPr="002F7765">
        <w:rPr>
          <w:b/>
          <w:sz w:val="24"/>
          <w:szCs w:val="24"/>
        </w:rPr>
        <w:t>Flurhin</w:t>
      </w:r>
      <w:proofErr w:type="spellEnd"/>
      <w:r w:rsidRPr="002F7765">
        <w:rPr>
          <w:b/>
          <w:sz w:val="24"/>
          <w:szCs w:val="24"/>
        </w:rPr>
        <w:t>, næsespray, suspension</w:t>
      </w:r>
    </w:p>
    <w:p w14:paraId="43E17AFE" w14:textId="77777777" w:rsidR="009260DE" w:rsidRPr="002F7765" w:rsidRDefault="009260DE" w:rsidP="009260DE">
      <w:pPr>
        <w:jc w:val="both"/>
        <w:rPr>
          <w:sz w:val="24"/>
          <w:szCs w:val="24"/>
        </w:rPr>
      </w:pPr>
    </w:p>
    <w:p w14:paraId="3C382F27" w14:textId="77777777" w:rsidR="009260DE" w:rsidRPr="002F7765" w:rsidRDefault="009260DE" w:rsidP="009260DE">
      <w:pPr>
        <w:jc w:val="both"/>
        <w:rPr>
          <w:sz w:val="24"/>
          <w:szCs w:val="24"/>
        </w:rPr>
      </w:pPr>
    </w:p>
    <w:p w14:paraId="5275AC94" w14:textId="77777777" w:rsidR="009260DE" w:rsidRPr="002F7765" w:rsidRDefault="009260DE" w:rsidP="009260DE">
      <w:pPr>
        <w:tabs>
          <w:tab w:val="left" w:pos="851"/>
        </w:tabs>
        <w:ind w:left="851" w:hanging="851"/>
        <w:rPr>
          <w:b/>
          <w:sz w:val="24"/>
          <w:szCs w:val="24"/>
        </w:rPr>
      </w:pPr>
      <w:r w:rsidRPr="002F7765">
        <w:rPr>
          <w:b/>
          <w:sz w:val="24"/>
          <w:szCs w:val="24"/>
        </w:rPr>
        <w:t>0.</w:t>
      </w:r>
      <w:r w:rsidRPr="002F7765">
        <w:rPr>
          <w:b/>
          <w:sz w:val="24"/>
          <w:szCs w:val="24"/>
        </w:rPr>
        <w:tab/>
        <w:t>D.SP.NR.</w:t>
      </w:r>
    </w:p>
    <w:p w14:paraId="076A9990" w14:textId="59790677" w:rsidR="009260DE" w:rsidRPr="002F7765" w:rsidRDefault="0052316F" w:rsidP="009260DE">
      <w:pPr>
        <w:tabs>
          <w:tab w:val="left" w:pos="851"/>
        </w:tabs>
        <w:ind w:left="851"/>
        <w:rPr>
          <w:sz w:val="24"/>
          <w:szCs w:val="24"/>
        </w:rPr>
      </w:pPr>
      <w:r w:rsidRPr="002F7765">
        <w:rPr>
          <w:sz w:val="24"/>
          <w:szCs w:val="24"/>
        </w:rPr>
        <w:t>31835</w:t>
      </w:r>
    </w:p>
    <w:p w14:paraId="1F91DD17" w14:textId="77777777" w:rsidR="009260DE" w:rsidRPr="002F7765" w:rsidRDefault="009260DE" w:rsidP="009260DE">
      <w:pPr>
        <w:tabs>
          <w:tab w:val="left" w:pos="851"/>
        </w:tabs>
        <w:ind w:left="851"/>
        <w:rPr>
          <w:sz w:val="24"/>
          <w:szCs w:val="24"/>
        </w:rPr>
      </w:pPr>
    </w:p>
    <w:p w14:paraId="39DB828A" w14:textId="77777777" w:rsidR="009260DE" w:rsidRPr="002F7765" w:rsidRDefault="009260DE" w:rsidP="009260DE">
      <w:pPr>
        <w:tabs>
          <w:tab w:val="left" w:pos="851"/>
        </w:tabs>
        <w:ind w:left="851" w:hanging="851"/>
        <w:rPr>
          <w:b/>
          <w:sz w:val="24"/>
          <w:szCs w:val="24"/>
        </w:rPr>
      </w:pPr>
      <w:r w:rsidRPr="002F7765">
        <w:rPr>
          <w:b/>
          <w:sz w:val="24"/>
          <w:szCs w:val="24"/>
        </w:rPr>
        <w:t>1.</w:t>
      </w:r>
      <w:r w:rsidRPr="002F7765">
        <w:rPr>
          <w:b/>
          <w:sz w:val="24"/>
          <w:szCs w:val="24"/>
        </w:rPr>
        <w:tab/>
        <w:t>LÆGEMIDLETS NAVN</w:t>
      </w:r>
    </w:p>
    <w:p w14:paraId="352BB10A" w14:textId="5ED1CCBA" w:rsidR="009260DE" w:rsidRPr="002F7765" w:rsidRDefault="0052316F" w:rsidP="009260DE">
      <w:pPr>
        <w:tabs>
          <w:tab w:val="left" w:pos="851"/>
        </w:tabs>
        <w:ind w:left="851"/>
        <w:rPr>
          <w:sz w:val="24"/>
          <w:szCs w:val="24"/>
        </w:rPr>
      </w:pPr>
      <w:proofErr w:type="spellStart"/>
      <w:r w:rsidRPr="002F7765">
        <w:rPr>
          <w:sz w:val="24"/>
          <w:szCs w:val="24"/>
        </w:rPr>
        <w:t>Flurhin</w:t>
      </w:r>
      <w:proofErr w:type="spellEnd"/>
    </w:p>
    <w:p w14:paraId="68339C5B" w14:textId="77777777" w:rsidR="009260DE" w:rsidRPr="002F7765" w:rsidRDefault="009260DE" w:rsidP="009260DE">
      <w:pPr>
        <w:tabs>
          <w:tab w:val="left" w:pos="851"/>
        </w:tabs>
        <w:ind w:left="851"/>
        <w:rPr>
          <w:sz w:val="24"/>
          <w:szCs w:val="24"/>
        </w:rPr>
      </w:pPr>
    </w:p>
    <w:p w14:paraId="1F023317" w14:textId="77777777" w:rsidR="009260DE" w:rsidRPr="002F7765" w:rsidRDefault="009260DE" w:rsidP="009260DE">
      <w:pPr>
        <w:tabs>
          <w:tab w:val="left" w:pos="851"/>
        </w:tabs>
        <w:ind w:left="851" w:hanging="851"/>
        <w:rPr>
          <w:b/>
          <w:sz w:val="24"/>
          <w:szCs w:val="24"/>
        </w:rPr>
      </w:pPr>
      <w:r w:rsidRPr="002F7765">
        <w:rPr>
          <w:b/>
          <w:sz w:val="24"/>
          <w:szCs w:val="24"/>
        </w:rPr>
        <w:t>2.</w:t>
      </w:r>
      <w:r w:rsidRPr="002F7765">
        <w:rPr>
          <w:b/>
          <w:sz w:val="24"/>
          <w:szCs w:val="24"/>
        </w:rPr>
        <w:tab/>
        <w:t>KVALITATIV OG KVANTITATIV SAMMENSÆTNING</w:t>
      </w:r>
    </w:p>
    <w:p w14:paraId="7FEA6F91" w14:textId="77777777" w:rsidR="00DC427A" w:rsidRPr="002F7765" w:rsidRDefault="00DC427A" w:rsidP="00F004B7">
      <w:pPr>
        <w:ind w:left="851"/>
        <w:rPr>
          <w:sz w:val="24"/>
          <w:szCs w:val="24"/>
        </w:rPr>
      </w:pPr>
      <w:r w:rsidRPr="002F7765">
        <w:rPr>
          <w:sz w:val="24"/>
          <w:szCs w:val="24"/>
        </w:rPr>
        <w:t xml:space="preserve">Indeholder 50 mikrogram </w:t>
      </w:r>
      <w:proofErr w:type="spellStart"/>
      <w:r w:rsidRPr="002F7765">
        <w:rPr>
          <w:sz w:val="24"/>
          <w:szCs w:val="24"/>
        </w:rPr>
        <w:t>fluticasonpropionat</w:t>
      </w:r>
      <w:proofErr w:type="spellEnd"/>
      <w:r w:rsidRPr="002F7765">
        <w:rPr>
          <w:sz w:val="24"/>
          <w:szCs w:val="24"/>
        </w:rPr>
        <w:t xml:space="preserve"> pr. dosis (pust).</w:t>
      </w:r>
    </w:p>
    <w:p w14:paraId="5FC70329" w14:textId="77777777" w:rsidR="00DC427A" w:rsidRPr="002F7765" w:rsidRDefault="00DC427A" w:rsidP="00F004B7">
      <w:pPr>
        <w:ind w:left="851"/>
        <w:rPr>
          <w:sz w:val="24"/>
          <w:szCs w:val="24"/>
        </w:rPr>
      </w:pPr>
    </w:p>
    <w:p w14:paraId="70D134E7" w14:textId="77777777" w:rsidR="00DC427A" w:rsidRPr="002F7765" w:rsidRDefault="00DC427A" w:rsidP="00F004B7">
      <w:pPr>
        <w:ind w:left="851"/>
        <w:rPr>
          <w:sz w:val="24"/>
          <w:szCs w:val="24"/>
        </w:rPr>
      </w:pPr>
      <w:r w:rsidRPr="002F7765">
        <w:rPr>
          <w:sz w:val="24"/>
          <w:szCs w:val="24"/>
          <w:u w:val="single"/>
        </w:rPr>
        <w:t>Hjælpestoffer, som behandleren skal være opmærksom på:</w:t>
      </w:r>
      <w:r w:rsidRPr="002F7765">
        <w:rPr>
          <w:sz w:val="24"/>
          <w:szCs w:val="24"/>
        </w:rPr>
        <w:t xml:space="preserve"> </w:t>
      </w:r>
      <w:proofErr w:type="spellStart"/>
      <w:r w:rsidRPr="002F7765">
        <w:rPr>
          <w:sz w:val="24"/>
          <w:szCs w:val="24"/>
        </w:rPr>
        <w:t>benzalkoniumchlorid</w:t>
      </w:r>
      <w:proofErr w:type="spellEnd"/>
      <w:r w:rsidRPr="002F7765">
        <w:rPr>
          <w:sz w:val="24"/>
          <w:szCs w:val="24"/>
        </w:rPr>
        <w:t>.</w:t>
      </w:r>
    </w:p>
    <w:p w14:paraId="24E7692C" w14:textId="77777777" w:rsidR="00DC427A" w:rsidRPr="002F7765" w:rsidRDefault="00DC427A" w:rsidP="00F004B7">
      <w:pPr>
        <w:ind w:left="851"/>
        <w:rPr>
          <w:sz w:val="24"/>
          <w:szCs w:val="24"/>
        </w:rPr>
      </w:pPr>
      <w:r w:rsidRPr="002F7765">
        <w:rPr>
          <w:sz w:val="24"/>
          <w:szCs w:val="24"/>
        </w:rPr>
        <w:t xml:space="preserve">Hver dosis indeholder 20 mikrogram </w:t>
      </w:r>
      <w:proofErr w:type="spellStart"/>
      <w:r w:rsidRPr="002F7765">
        <w:rPr>
          <w:sz w:val="24"/>
          <w:szCs w:val="24"/>
        </w:rPr>
        <w:t>benzalkoniumchlorid</w:t>
      </w:r>
      <w:proofErr w:type="spellEnd"/>
      <w:r w:rsidRPr="002F7765">
        <w:rPr>
          <w:sz w:val="24"/>
          <w:szCs w:val="24"/>
        </w:rPr>
        <w:t>.</w:t>
      </w:r>
    </w:p>
    <w:p w14:paraId="5CBA7C26" w14:textId="77777777" w:rsidR="00DC427A" w:rsidRPr="002F7765" w:rsidRDefault="00DC427A" w:rsidP="00F004B7">
      <w:pPr>
        <w:ind w:left="851"/>
        <w:rPr>
          <w:sz w:val="24"/>
          <w:szCs w:val="24"/>
        </w:rPr>
      </w:pPr>
    </w:p>
    <w:p w14:paraId="79399C5C" w14:textId="77777777" w:rsidR="00DC427A" w:rsidRPr="002F7765" w:rsidRDefault="00DC427A" w:rsidP="00F004B7">
      <w:pPr>
        <w:ind w:left="851"/>
        <w:rPr>
          <w:sz w:val="24"/>
          <w:szCs w:val="24"/>
        </w:rPr>
      </w:pPr>
      <w:r w:rsidRPr="002F7765">
        <w:rPr>
          <w:sz w:val="24"/>
          <w:szCs w:val="24"/>
        </w:rPr>
        <w:t>Alle hjælpestoffer er anført under pkt. 6.1.</w:t>
      </w:r>
    </w:p>
    <w:p w14:paraId="5DBAB897" w14:textId="77777777" w:rsidR="009260DE" w:rsidRPr="002F7765" w:rsidRDefault="009260DE" w:rsidP="009260DE">
      <w:pPr>
        <w:tabs>
          <w:tab w:val="left" w:pos="851"/>
        </w:tabs>
        <w:ind w:left="851"/>
        <w:rPr>
          <w:sz w:val="24"/>
          <w:szCs w:val="24"/>
        </w:rPr>
      </w:pPr>
    </w:p>
    <w:p w14:paraId="5F4853AB" w14:textId="77777777" w:rsidR="009260DE" w:rsidRPr="002F7765" w:rsidRDefault="009260DE" w:rsidP="009260DE">
      <w:pPr>
        <w:tabs>
          <w:tab w:val="left" w:pos="851"/>
        </w:tabs>
        <w:ind w:left="851" w:hanging="851"/>
        <w:rPr>
          <w:b/>
          <w:sz w:val="24"/>
          <w:szCs w:val="24"/>
        </w:rPr>
      </w:pPr>
      <w:r w:rsidRPr="002F7765">
        <w:rPr>
          <w:b/>
          <w:sz w:val="24"/>
          <w:szCs w:val="24"/>
        </w:rPr>
        <w:t>3.</w:t>
      </w:r>
      <w:r w:rsidRPr="002F7765">
        <w:rPr>
          <w:b/>
          <w:sz w:val="24"/>
          <w:szCs w:val="24"/>
        </w:rPr>
        <w:tab/>
        <w:t>LÆGEMIDDELFORM</w:t>
      </w:r>
    </w:p>
    <w:p w14:paraId="2C45571E" w14:textId="77777777" w:rsidR="00DC427A" w:rsidRPr="002F7765" w:rsidRDefault="00DC427A" w:rsidP="00F004B7">
      <w:pPr>
        <w:ind w:left="851"/>
        <w:rPr>
          <w:iCs/>
          <w:sz w:val="24"/>
          <w:szCs w:val="24"/>
        </w:rPr>
      </w:pPr>
      <w:r w:rsidRPr="002F7765">
        <w:rPr>
          <w:sz w:val="24"/>
          <w:szCs w:val="24"/>
        </w:rPr>
        <w:t>Næsespray, suspension</w:t>
      </w:r>
    </w:p>
    <w:p w14:paraId="7B2BE9D8" w14:textId="77777777" w:rsidR="00DC427A" w:rsidRPr="002F7765" w:rsidRDefault="00DC427A" w:rsidP="00F004B7">
      <w:pPr>
        <w:ind w:left="851"/>
        <w:rPr>
          <w:sz w:val="24"/>
          <w:szCs w:val="24"/>
        </w:rPr>
      </w:pPr>
    </w:p>
    <w:p w14:paraId="5EB6FC67" w14:textId="77777777" w:rsidR="00DC427A" w:rsidRPr="002F7765" w:rsidRDefault="00DC427A" w:rsidP="00F004B7">
      <w:pPr>
        <w:ind w:left="851"/>
        <w:rPr>
          <w:sz w:val="24"/>
          <w:szCs w:val="24"/>
        </w:rPr>
      </w:pPr>
      <w:r w:rsidRPr="002F7765">
        <w:rPr>
          <w:sz w:val="24"/>
          <w:szCs w:val="24"/>
        </w:rPr>
        <w:t>Hvid, uigennemsigtig suspension.</w:t>
      </w:r>
    </w:p>
    <w:p w14:paraId="510C4536" w14:textId="77777777" w:rsidR="009260DE" w:rsidRPr="002F7765" w:rsidRDefault="009260DE" w:rsidP="009260DE">
      <w:pPr>
        <w:tabs>
          <w:tab w:val="left" w:pos="851"/>
        </w:tabs>
        <w:ind w:left="851"/>
        <w:rPr>
          <w:sz w:val="24"/>
          <w:szCs w:val="24"/>
        </w:rPr>
      </w:pPr>
    </w:p>
    <w:p w14:paraId="5EC7FBDC" w14:textId="77777777" w:rsidR="009260DE" w:rsidRPr="002F7765" w:rsidRDefault="009260DE" w:rsidP="009260DE">
      <w:pPr>
        <w:tabs>
          <w:tab w:val="left" w:pos="851"/>
        </w:tabs>
        <w:ind w:left="851"/>
        <w:rPr>
          <w:sz w:val="24"/>
          <w:szCs w:val="24"/>
        </w:rPr>
      </w:pPr>
    </w:p>
    <w:p w14:paraId="39161F8F" w14:textId="77777777" w:rsidR="009260DE" w:rsidRPr="002F7765" w:rsidRDefault="009260DE" w:rsidP="009260DE">
      <w:pPr>
        <w:tabs>
          <w:tab w:val="left" w:pos="851"/>
        </w:tabs>
        <w:ind w:left="851" w:hanging="851"/>
        <w:rPr>
          <w:b/>
          <w:sz w:val="24"/>
          <w:szCs w:val="24"/>
        </w:rPr>
      </w:pPr>
      <w:r w:rsidRPr="002F7765">
        <w:rPr>
          <w:b/>
          <w:sz w:val="24"/>
          <w:szCs w:val="24"/>
        </w:rPr>
        <w:t>4.</w:t>
      </w:r>
      <w:r w:rsidRPr="002F7765">
        <w:rPr>
          <w:b/>
          <w:sz w:val="24"/>
          <w:szCs w:val="24"/>
        </w:rPr>
        <w:tab/>
        <w:t>KLINISKE OPLYSNINGER</w:t>
      </w:r>
    </w:p>
    <w:p w14:paraId="20C5755C" w14:textId="77777777" w:rsidR="009260DE" w:rsidRPr="002F7765" w:rsidRDefault="009260DE" w:rsidP="009260DE">
      <w:pPr>
        <w:tabs>
          <w:tab w:val="left" w:pos="851"/>
        </w:tabs>
        <w:ind w:left="851"/>
        <w:rPr>
          <w:b/>
          <w:sz w:val="24"/>
          <w:szCs w:val="24"/>
        </w:rPr>
      </w:pPr>
    </w:p>
    <w:p w14:paraId="52341E0B" w14:textId="77777777" w:rsidR="009260DE" w:rsidRPr="002F7765" w:rsidRDefault="009260DE" w:rsidP="009260DE">
      <w:pPr>
        <w:tabs>
          <w:tab w:val="left" w:pos="851"/>
        </w:tabs>
        <w:ind w:left="851" w:hanging="851"/>
        <w:rPr>
          <w:b/>
          <w:sz w:val="24"/>
          <w:szCs w:val="24"/>
          <w:u w:val="single"/>
        </w:rPr>
      </w:pPr>
      <w:r w:rsidRPr="002F7765">
        <w:rPr>
          <w:b/>
          <w:sz w:val="24"/>
          <w:szCs w:val="24"/>
        </w:rPr>
        <w:t>4.1</w:t>
      </w:r>
      <w:r w:rsidRPr="002F7765">
        <w:rPr>
          <w:b/>
          <w:sz w:val="24"/>
          <w:szCs w:val="24"/>
        </w:rPr>
        <w:tab/>
        <w:t>Terapeutiske indikationer</w:t>
      </w:r>
    </w:p>
    <w:p w14:paraId="677E9124" w14:textId="77777777" w:rsidR="00DC427A" w:rsidRPr="002F7765" w:rsidRDefault="00DC427A" w:rsidP="00F004B7">
      <w:pPr>
        <w:ind w:left="851"/>
        <w:rPr>
          <w:sz w:val="24"/>
          <w:szCs w:val="24"/>
        </w:rPr>
      </w:pPr>
      <w:r w:rsidRPr="002F7765">
        <w:rPr>
          <w:sz w:val="24"/>
          <w:szCs w:val="24"/>
        </w:rPr>
        <w:t xml:space="preserve">Profylakse og behandling af sæsonbetinget allergisk </w:t>
      </w:r>
      <w:proofErr w:type="spellStart"/>
      <w:r w:rsidRPr="002F7765">
        <w:rPr>
          <w:sz w:val="24"/>
          <w:szCs w:val="24"/>
        </w:rPr>
        <w:t>rhinitis</w:t>
      </w:r>
      <w:proofErr w:type="spellEnd"/>
      <w:r w:rsidRPr="002F7765">
        <w:rPr>
          <w:sz w:val="24"/>
          <w:szCs w:val="24"/>
        </w:rPr>
        <w:t xml:space="preserve"> og </w:t>
      </w:r>
      <w:proofErr w:type="spellStart"/>
      <w:r w:rsidRPr="002F7765">
        <w:rPr>
          <w:sz w:val="24"/>
          <w:szCs w:val="24"/>
        </w:rPr>
        <w:t>helårsrhinitis</w:t>
      </w:r>
      <w:proofErr w:type="spellEnd"/>
      <w:r w:rsidRPr="002F7765">
        <w:rPr>
          <w:sz w:val="24"/>
          <w:szCs w:val="24"/>
        </w:rPr>
        <w:t>.</w:t>
      </w:r>
    </w:p>
    <w:p w14:paraId="7D92FE1F" w14:textId="77777777" w:rsidR="00DC427A" w:rsidRPr="002F7765" w:rsidRDefault="00DC427A" w:rsidP="00F004B7">
      <w:pPr>
        <w:ind w:left="851"/>
        <w:rPr>
          <w:i/>
          <w:color w:val="000000"/>
          <w:sz w:val="24"/>
          <w:szCs w:val="24"/>
        </w:rPr>
      </w:pPr>
      <w:proofErr w:type="spellStart"/>
      <w:r w:rsidRPr="002F7765">
        <w:rPr>
          <w:sz w:val="24"/>
          <w:szCs w:val="24"/>
        </w:rPr>
        <w:t>Flurhin</w:t>
      </w:r>
      <w:proofErr w:type="spellEnd"/>
      <w:r w:rsidRPr="002F7765">
        <w:rPr>
          <w:color w:val="000000"/>
          <w:sz w:val="24"/>
          <w:szCs w:val="24"/>
        </w:rPr>
        <w:t xml:space="preserve"> </w:t>
      </w:r>
      <w:r w:rsidRPr="002F7765">
        <w:rPr>
          <w:sz w:val="24"/>
          <w:szCs w:val="24"/>
        </w:rPr>
        <w:t>er indiceret til voksne og unge 12 år og ældre og børn i alderen 4 til 12 år.</w:t>
      </w:r>
    </w:p>
    <w:p w14:paraId="7BB3278D" w14:textId="77777777" w:rsidR="009260DE" w:rsidRPr="002F7765" w:rsidRDefault="009260DE" w:rsidP="009260DE">
      <w:pPr>
        <w:tabs>
          <w:tab w:val="left" w:pos="851"/>
        </w:tabs>
        <w:ind w:left="851"/>
        <w:rPr>
          <w:sz w:val="24"/>
          <w:szCs w:val="24"/>
        </w:rPr>
      </w:pPr>
    </w:p>
    <w:p w14:paraId="23014815" w14:textId="77777777" w:rsidR="009260DE" w:rsidRPr="002F7765" w:rsidRDefault="009260DE" w:rsidP="009260DE">
      <w:pPr>
        <w:tabs>
          <w:tab w:val="left" w:pos="851"/>
        </w:tabs>
        <w:ind w:left="851" w:hanging="851"/>
        <w:rPr>
          <w:b/>
          <w:sz w:val="24"/>
          <w:szCs w:val="24"/>
        </w:rPr>
      </w:pPr>
      <w:r w:rsidRPr="002F7765">
        <w:rPr>
          <w:b/>
          <w:sz w:val="24"/>
          <w:szCs w:val="24"/>
        </w:rPr>
        <w:t>4.2</w:t>
      </w:r>
      <w:r w:rsidRPr="002F7765">
        <w:rPr>
          <w:b/>
          <w:sz w:val="24"/>
          <w:szCs w:val="24"/>
        </w:rPr>
        <w:tab/>
        <w:t>Dosering og indgivelsesmåde</w:t>
      </w:r>
    </w:p>
    <w:p w14:paraId="3B95DD39" w14:textId="62B4EA4E" w:rsidR="00DC427A" w:rsidRPr="002F7765" w:rsidRDefault="00DC427A" w:rsidP="00F004B7">
      <w:pPr>
        <w:ind w:left="851"/>
        <w:rPr>
          <w:sz w:val="24"/>
          <w:szCs w:val="24"/>
        </w:rPr>
      </w:pPr>
      <w:proofErr w:type="spellStart"/>
      <w:r w:rsidRPr="002F7765">
        <w:rPr>
          <w:sz w:val="24"/>
          <w:szCs w:val="24"/>
        </w:rPr>
        <w:t>Flurhin</w:t>
      </w:r>
      <w:proofErr w:type="spellEnd"/>
      <w:r w:rsidR="0009272C">
        <w:rPr>
          <w:sz w:val="24"/>
          <w:szCs w:val="24"/>
        </w:rPr>
        <w:t xml:space="preserve"> </w:t>
      </w:r>
      <w:r w:rsidRPr="002F7765">
        <w:rPr>
          <w:sz w:val="24"/>
          <w:szCs w:val="24"/>
        </w:rPr>
        <w:t>er udelukkende til nasal anvendelse.</w:t>
      </w:r>
    </w:p>
    <w:p w14:paraId="7F54AEE4" w14:textId="77777777" w:rsidR="00DC427A" w:rsidRPr="002F7765" w:rsidRDefault="00DC427A" w:rsidP="00F004B7">
      <w:pPr>
        <w:ind w:left="851"/>
        <w:rPr>
          <w:sz w:val="24"/>
          <w:szCs w:val="24"/>
          <w:u w:val="single"/>
        </w:rPr>
      </w:pPr>
      <w:r w:rsidRPr="002F7765">
        <w:rPr>
          <w:sz w:val="24"/>
          <w:szCs w:val="24"/>
        </w:rPr>
        <w:t>Kontakt med øjnene skal undgås.</w:t>
      </w:r>
    </w:p>
    <w:p w14:paraId="6EC66333" w14:textId="518DAF8A" w:rsidR="0009272C" w:rsidRDefault="0009272C">
      <w:pPr>
        <w:rPr>
          <w:sz w:val="24"/>
          <w:szCs w:val="24"/>
        </w:rPr>
      </w:pPr>
      <w:r>
        <w:rPr>
          <w:sz w:val="24"/>
          <w:szCs w:val="24"/>
        </w:rPr>
        <w:br w:type="page"/>
      </w:r>
    </w:p>
    <w:p w14:paraId="43942EFA" w14:textId="77777777" w:rsidR="00DC427A" w:rsidRPr="002F7765" w:rsidRDefault="00DC427A" w:rsidP="00F004B7">
      <w:pPr>
        <w:ind w:left="851"/>
        <w:rPr>
          <w:sz w:val="24"/>
          <w:szCs w:val="24"/>
        </w:rPr>
      </w:pPr>
    </w:p>
    <w:p w14:paraId="4BD89DD4" w14:textId="77777777" w:rsidR="00DC427A" w:rsidRPr="002F7765" w:rsidRDefault="00DC427A" w:rsidP="00F004B7">
      <w:pPr>
        <w:ind w:left="851"/>
        <w:rPr>
          <w:sz w:val="24"/>
          <w:szCs w:val="24"/>
          <w:u w:val="single"/>
        </w:rPr>
      </w:pPr>
      <w:r w:rsidRPr="002F7765">
        <w:rPr>
          <w:sz w:val="24"/>
          <w:szCs w:val="24"/>
          <w:u w:val="single"/>
        </w:rPr>
        <w:t>Dosering</w:t>
      </w:r>
    </w:p>
    <w:p w14:paraId="502BA30F" w14:textId="77777777" w:rsidR="00DC427A" w:rsidRPr="002F7765" w:rsidRDefault="00DC427A" w:rsidP="00F004B7">
      <w:pPr>
        <w:ind w:left="851"/>
        <w:rPr>
          <w:sz w:val="24"/>
          <w:szCs w:val="24"/>
        </w:rPr>
      </w:pPr>
    </w:p>
    <w:p w14:paraId="351B5682" w14:textId="77777777" w:rsidR="00DC427A" w:rsidRPr="002F7765" w:rsidRDefault="00DC427A" w:rsidP="00F004B7">
      <w:pPr>
        <w:ind w:left="851"/>
        <w:rPr>
          <w:i/>
          <w:sz w:val="24"/>
          <w:szCs w:val="24"/>
        </w:rPr>
      </w:pPr>
      <w:r w:rsidRPr="002F7765">
        <w:rPr>
          <w:i/>
          <w:sz w:val="24"/>
          <w:szCs w:val="24"/>
        </w:rPr>
        <w:t>Voksne og unge (12 år og ældre):</w:t>
      </w:r>
    </w:p>
    <w:p w14:paraId="74D28DD1" w14:textId="77777777" w:rsidR="00DC427A" w:rsidRPr="002F7765" w:rsidRDefault="00DC427A" w:rsidP="00F004B7">
      <w:pPr>
        <w:ind w:left="851"/>
        <w:rPr>
          <w:sz w:val="24"/>
          <w:szCs w:val="24"/>
        </w:rPr>
      </w:pPr>
      <w:r w:rsidRPr="002F7765">
        <w:rPr>
          <w:sz w:val="24"/>
          <w:szCs w:val="24"/>
        </w:rPr>
        <w:t>Den anbefalede dosis er to pust i hvert næsebor én gang om dagen, helst om morgenen. I nogle tilfælde kan det være nødvendigt med to pust i hvert næsebor to gange dagligt. Den maksimale daglige dosis er fire pust pr. næsebor.</w:t>
      </w:r>
    </w:p>
    <w:p w14:paraId="4C978DE6" w14:textId="77777777" w:rsidR="00DC427A" w:rsidRPr="002F7765" w:rsidRDefault="00DC427A" w:rsidP="00F004B7">
      <w:pPr>
        <w:ind w:left="851"/>
        <w:rPr>
          <w:sz w:val="24"/>
          <w:szCs w:val="24"/>
        </w:rPr>
      </w:pPr>
    </w:p>
    <w:p w14:paraId="6D2B9DDF" w14:textId="77777777" w:rsidR="00DC427A" w:rsidRPr="002F7765" w:rsidRDefault="00DC427A" w:rsidP="00F004B7">
      <w:pPr>
        <w:ind w:left="851"/>
        <w:rPr>
          <w:sz w:val="24"/>
          <w:szCs w:val="24"/>
        </w:rPr>
      </w:pPr>
      <w:r w:rsidRPr="002F7765">
        <w:rPr>
          <w:i/>
          <w:sz w:val="24"/>
          <w:szCs w:val="24"/>
        </w:rPr>
        <w:t>Pædiatrisk population</w:t>
      </w:r>
    </w:p>
    <w:p w14:paraId="3D5474BD" w14:textId="77777777" w:rsidR="00DC427A" w:rsidRPr="002F7765" w:rsidRDefault="00DC427A" w:rsidP="00F004B7">
      <w:pPr>
        <w:ind w:left="851"/>
        <w:rPr>
          <w:i/>
          <w:sz w:val="24"/>
          <w:szCs w:val="24"/>
        </w:rPr>
      </w:pPr>
      <w:r w:rsidRPr="002F7765">
        <w:rPr>
          <w:i/>
          <w:sz w:val="24"/>
          <w:szCs w:val="24"/>
        </w:rPr>
        <w:t>Børn i alderen 4 til 12 år</w:t>
      </w:r>
    </w:p>
    <w:p w14:paraId="6C0F52E5" w14:textId="77777777" w:rsidR="00DC427A" w:rsidRPr="002F7765" w:rsidRDefault="00DC427A" w:rsidP="00F004B7">
      <w:pPr>
        <w:ind w:left="851"/>
        <w:rPr>
          <w:sz w:val="24"/>
          <w:szCs w:val="24"/>
        </w:rPr>
      </w:pPr>
      <w:r w:rsidRPr="002F7765">
        <w:rPr>
          <w:sz w:val="24"/>
          <w:szCs w:val="24"/>
        </w:rPr>
        <w:t>Den anbefalede dosis er ét pust i hvert næsebor én gang om dagen, helst om morgenen. I nogle tilfælde kan det være nødvendigt med ét pust i hvert næsebor to gange dagligt. Den maksimale daglige dosis er to pust pr. næsebor.</w:t>
      </w:r>
    </w:p>
    <w:p w14:paraId="22EC0C09" w14:textId="77777777" w:rsidR="00DC427A" w:rsidRPr="002F7765" w:rsidRDefault="00DC427A" w:rsidP="00F004B7">
      <w:pPr>
        <w:ind w:left="851"/>
        <w:rPr>
          <w:sz w:val="24"/>
          <w:szCs w:val="24"/>
        </w:rPr>
      </w:pPr>
    </w:p>
    <w:p w14:paraId="54967E06" w14:textId="77777777" w:rsidR="00DC427A" w:rsidRPr="002F7765" w:rsidRDefault="00DC427A" w:rsidP="00F004B7">
      <w:pPr>
        <w:ind w:left="851"/>
        <w:rPr>
          <w:i/>
          <w:sz w:val="24"/>
          <w:szCs w:val="24"/>
        </w:rPr>
      </w:pPr>
      <w:r w:rsidRPr="002F7765">
        <w:rPr>
          <w:i/>
          <w:sz w:val="24"/>
          <w:szCs w:val="24"/>
        </w:rPr>
        <w:t>Børn under 4 år</w:t>
      </w:r>
    </w:p>
    <w:p w14:paraId="2C6D9455" w14:textId="77777777" w:rsidR="00DC427A" w:rsidRPr="002F7765" w:rsidRDefault="00DC427A" w:rsidP="00F004B7">
      <w:pPr>
        <w:ind w:left="851"/>
        <w:rPr>
          <w:sz w:val="24"/>
          <w:szCs w:val="24"/>
        </w:rPr>
      </w:pPr>
      <w:proofErr w:type="spellStart"/>
      <w:r w:rsidRPr="002F7765">
        <w:rPr>
          <w:sz w:val="24"/>
          <w:szCs w:val="24"/>
        </w:rPr>
        <w:t>Flurhin</w:t>
      </w:r>
      <w:proofErr w:type="spellEnd"/>
      <w:r w:rsidRPr="002F7765">
        <w:rPr>
          <w:sz w:val="24"/>
          <w:szCs w:val="24"/>
        </w:rPr>
        <w:t xml:space="preserve"> bør ikke anvendes til børn under 4 år, da sikkerheden og virkningen ikke er klarlagt.</w:t>
      </w:r>
    </w:p>
    <w:p w14:paraId="02E046CB" w14:textId="77777777" w:rsidR="00DC427A" w:rsidRPr="002F7765" w:rsidRDefault="00DC427A" w:rsidP="00F004B7">
      <w:pPr>
        <w:ind w:left="851"/>
        <w:rPr>
          <w:sz w:val="24"/>
          <w:szCs w:val="24"/>
        </w:rPr>
      </w:pPr>
    </w:p>
    <w:p w14:paraId="710878EA" w14:textId="77777777" w:rsidR="00DC427A" w:rsidRPr="002F7765" w:rsidRDefault="00DC427A" w:rsidP="00F004B7">
      <w:pPr>
        <w:ind w:left="851"/>
        <w:rPr>
          <w:i/>
          <w:sz w:val="24"/>
          <w:szCs w:val="24"/>
        </w:rPr>
      </w:pPr>
      <w:r w:rsidRPr="002F7765">
        <w:rPr>
          <w:i/>
          <w:sz w:val="24"/>
          <w:szCs w:val="24"/>
        </w:rPr>
        <w:t>Ældre population</w:t>
      </w:r>
    </w:p>
    <w:p w14:paraId="6D13986D" w14:textId="77777777" w:rsidR="00DC427A" w:rsidRPr="002F7765" w:rsidRDefault="00DC427A" w:rsidP="00F004B7">
      <w:pPr>
        <w:ind w:left="851"/>
        <w:rPr>
          <w:sz w:val="24"/>
          <w:szCs w:val="24"/>
        </w:rPr>
      </w:pPr>
      <w:r w:rsidRPr="002F7765">
        <w:rPr>
          <w:sz w:val="24"/>
          <w:szCs w:val="24"/>
        </w:rPr>
        <w:t>Der kan anvendes den normale dosering til voksne.</w:t>
      </w:r>
    </w:p>
    <w:p w14:paraId="23CB8243" w14:textId="77777777" w:rsidR="00DC427A" w:rsidRPr="002F7765" w:rsidRDefault="00DC427A" w:rsidP="00F004B7">
      <w:pPr>
        <w:ind w:left="851"/>
        <w:rPr>
          <w:sz w:val="24"/>
          <w:szCs w:val="24"/>
        </w:rPr>
      </w:pPr>
    </w:p>
    <w:p w14:paraId="51511723" w14:textId="77777777" w:rsidR="00DC427A" w:rsidRPr="002F7765" w:rsidRDefault="00DC427A" w:rsidP="00F004B7">
      <w:pPr>
        <w:ind w:left="851"/>
        <w:rPr>
          <w:sz w:val="24"/>
          <w:szCs w:val="24"/>
        </w:rPr>
      </w:pPr>
      <w:r w:rsidRPr="002F7765">
        <w:rPr>
          <w:sz w:val="24"/>
          <w:szCs w:val="24"/>
        </w:rPr>
        <w:t>Skal anvendes regelmæssigt for at opnå optimal klinisk virkning. Patienten skal informeres om, at virkningen ikke er øjeblikkelig, idet der kan gå 3 til 4 dage efter opstart af behandlingen, før der opnås maksimal lindring.</w:t>
      </w:r>
    </w:p>
    <w:p w14:paraId="2EF1688A" w14:textId="77777777" w:rsidR="00DC427A" w:rsidRPr="002F7765" w:rsidRDefault="00DC427A" w:rsidP="00F004B7">
      <w:pPr>
        <w:ind w:left="851"/>
        <w:rPr>
          <w:sz w:val="24"/>
          <w:szCs w:val="24"/>
        </w:rPr>
      </w:pPr>
    </w:p>
    <w:p w14:paraId="7E445344" w14:textId="77777777" w:rsidR="00DC427A" w:rsidRPr="002F7765" w:rsidRDefault="00DC427A" w:rsidP="00F004B7">
      <w:pPr>
        <w:ind w:left="851"/>
        <w:rPr>
          <w:sz w:val="24"/>
          <w:szCs w:val="24"/>
          <w:u w:val="single"/>
        </w:rPr>
      </w:pPr>
      <w:r w:rsidRPr="002F7765">
        <w:rPr>
          <w:sz w:val="24"/>
          <w:szCs w:val="24"/>
          <w:u w:val="single"/>
        </w:rPr>
        <w:t>Administration</w:t>
      </w:r>
    </w:p>
    <w:p w14:paraId="64635FB7" w14:textId="77777777" w:rsidR="00DC427A" w:rsidRPr="002F7765" w:rsidRDefault="00DC427A" w:rsidP="00F004B7">
      <w:pPr>
        <w:ind w:left="851"/>
        <w:rPr>
          <w:sz w:val="24"/>
          <w:szCs w:val="24"/>
        </w:rPr>
      </w:pPr>
      <w:r w:rsidRPr="002F7765">
        <w:rPr>
          <w:sz w:val="24"/>
          <w:szCs w:val="24"/>
        </w:rPr>
        <w:t>Omrystes inden brug.</w:t>
      </w:r>
    </w:p>
    <w:p w14:paraId="535BDC20" w14:textId="77777777" w:rsidR="00DC427A" w:rsidRPr="002F7765" w:rsidRDefault="00DC427A" w:rsidP="00F004B7">
      <w:pPr>
        <w:ind w:left="851"/>
        <w:rPr>
          <w:sz w:val="24"/>
          <w:szCs w:val="24"/>
        </w:rPr>
      </w:pPr>
    </w:p>
    <w:p w14:paraId="0618A001" w14:textId="77777777" w:rsidR="00DC427A" w:rsidRPr="002F7765" w:rsidRDefault="00DC427A" w:rsidP="00F004B7">
      <w:pPr>
        <w:ind w:left="851"/>
        <w:rPr>
          <w:sz w:val="24"/>
          <w:szCs w:val="24"/>
        </w:rPr>
      </w:pPr>
      <w:r w:rsidRPr="002F7765">
        <w:rPr>
          <w:sz w:val="24"/>
          <w:szCs w:val="24"/>
        </w:rPr>
        <w:t>Nye flasker og flasker, der ikke er blevet brugt i nogen tid, skal klargøres inden brug ved at trykke på pumpen, indtil der dannes et fint væskestøv.</w:t>
      </w:r>
    </w:p>
    <w:p w14:paraId="79BEFACF" w14:textId="77777777" w:rsidR="00DC427A" w:rsidRPr="002F7765" w:rsidRDefault="00DC427A" w:rsidP="00F004B7">
      <w:pPr>
        <w:ind w:left="851"/>
        <w:rPr>
          <w:sz w:val="24"/>
          <w:szCs w:val="24"/>
        </w:rPr>
      </w:pPr>
    </w:p>
    <w:p w14:paraId="2EA8DD19" w14:textId="77777777" w:rsidR="00DC427A" w:rsidRPr="002F7765" w:rsidRDefault="00DC427A" w:rsidP="00F004B7">
      <w:pPr>
        <w:ind w:left="851"/>
        <w:rPr>
          <w:sz w:val="24"/>
          <w:szCs w:val="24"/>
        </w:rPr>
      </w:pPr>
      <w:r w:rsidRPr="002F7765">
        <w:rPr>
          <w:sz w:val="24"/>
          <w:szCs w:val="24"/>
        </w:rPr>
        <w:t>Sådan anvendes sprayen: Tuden anbringes i det ene næsebor, mens det andet næsebor lukkes. Tuden skal pege væk fra næseskillevæggen. Lægemidlet sprøjtes ind i næseboret, idet der tages en indånding, hvorefter der pustes ud gennem munden.</w:t>
      </w:r>
    </w:p>
    <w:p w14:paraId="1F36D257" w14:textId="77777777" w:rsidR="00DC427A" w:rsidRPr="002F7765" w:rsidRDefault="00DC427A" w:rsidP="00F004B7">
      <w:pPr>
        <w:ind w:left="851"/>
        <w:rPr>
          <w:sz w:val="24"/>
          <w:szCs w:val="24"/>
        </w:rPr>
      </w:pPr>
    </w:p>
    <w:p w14:paraId="1530074F" w14:textId="77777777" w:rsidR="00DC427A" w:rsidRPr="002F7765" w:rsidRDefault="00DC427A" w:rsidP="00F004B7">
      <w:pPr>
        <w:tabs>
          <w:tab w:val="left" w:pos="567"/>
        </w:tabs>
        <w:ind w:left="851"/>
        <w:rPr>
          <w:sz w:val="24"/>
          <w:szCs w:val="24"/>
        </w:rPr>
      </w:pPr>
      <w:r w:rsidRPr="002F7765">
        <w:rPr>
          <w:sz w:val="24"/>
          <w:szCs w:val="24"/>
        </w:rPr>
        <w:t>Pumpen skal rengøres efter brug.</w:t>
      </w:r>
    </w:p>
    <w:p w14:paraId="71A7E9AA" w14:textId="77777777" w:rsidR="009260DE" w:rsidRPr="002F7765" w:rsidRDefault="009260DE" w:rsidP="009260DE">
      <w:pPr>
        <w:tabs>
          <w:tab w:val="left" w:pos="851"/>
        </w:tabs>
        <w:ind w:left="851"/>
        <w:rPr>
          <w:sz w:val="24"/>
          <w:szCs w:val="24"/>
        </w:rPr>
      </w:pPr>
    </w:p>
    <w:p w14:paraId="51BC1FDC" w14:textId="77777777" w:rsidR="009260DE" w:rsidRPr="002F7765" w:rsidRDefault="009260DE" w:rsidP="009260DE">
      <w:pPr>
        <w:tabs>
          <w:tab w:val="left" w:pos="851"/>
        </w:tabs>
        <w:ind w:left="851" w:hanging="851"/>
        <w:rPr>
          <w:b/>
          <w:sz w:val="24"/>
          <w:szCs w:val="24"/>
        </w:rPr>
      </w:pPr>
      <w:r w:rsidRPr="002F7765">
        <w:rPr>
          <w:b/>
          <w:sz w:val="24"/>
          <w:szCs w:val="24"/>
        </w:rPr>
        <w:t>4.3</w:t>
      </w:r>
      <w:r w:rsidRPr="002F7765">
        <w:rPr>
          <w:b/>
          <w:sz w:val="24"/>
          <w:szCs w:val="24"/>
        </w:rPr>
        <w:tab/>
        <w:t>Kontraindikationer</w:t>
      </w:r>
    </w:p>
    <w:p w14:paraId="119CA207" w14:textId="77777777" w:rsidR="00DC427A" w:rsidRPr="002F7765" w:rsidRDefault="00DC427A" w:rsidP="00F004B7">
      <w:pPr>
        <w:ind w:left="851"/>
        <w:rPr>
          <w:sz w:val="24"/>
          <w:szCs w:val="24"/>
        </w:rPr>
      </w:pPr>
      <w:r w:rsidRPr="002F7765">
        <w:rPr>
          <w:sz w:val="24"/>
          <w:szCs w:val="24"/>
        </w:rPr>
        <w:t>Overfølsomhed over for det aktive stof eller over for et eller flere af hjælpestofferne anført i pkt. 6.1.</w:t>
      </w:r>
    </w:p>
    <w:p w14:paraId="7BADE901" w14:textId="77777777" w:rsidR="009260DE" w:rsidRPr="002F7765" w:rsidRDefault="009260DE" w:rsidP="009260DE">
      <w:pPr>
        <w:tabs>
          <w:tab w:val="left" w:pos="851"/>
        </w:tabs>
        <w:ind w:left="851"/>
        <w:rPr>
          <w:sz w:val="24"/>
          <w:szCs w:val="24"/>
        </w:rPr>
      </w:pPr>
    </w:p>
    <w:p w14:paraId="59D0C545" w14:textId="77777777" w:rsidR="009260DE" w:rsidRPr="002F7765" w:rsidRDefault="009260DE" w:rsidP="009260DE">
      <w:pPr>
        <w:tabs>
          <w:tab w:val="left" w:pos="851"/>
        </w:tabs>
        <w:ind w:left="851" w:hanging="851"/>
        <w:rPr>
          <w:b/>
          <w:sz w:val="24"/>
          <w:szCs w:val="24"/>
        </w:rPr>
      </w:pPr>
      <w:r w:rsidRPr="002F7765">
        <w:rPr>
          <w:b/>
          <w:sz w:val="24"/>
          <w:szCs w:val="24"/>
        </w:rPr>
        <w:t>4.4</w:t>
      </w:r>
      <w:r w:rsidRPr="002F7765">
        <w:rPr>
          <w:b/>
          <w:sz w:val="24"/>
          <w:szCs w:val="24"/>
        </w:rPr>
        <w:tab/>
        <w:t>Særlige advarsler og forsigtighedsregler vedrørende brugen</w:t>
      </w:r>
    </w:p>
    <w:p w14:paraId="4C533A4D" w14:textId="77777777" w:rsidR="00DC427A" w:rsidRPr="002F7765" w:rsidRDefault="00DC427A" w:rsidP="00F004B7">
      <w:pPr>
        <w:ind w:left="851"/>
        <w:rPr>
          <w:sz w:val="24"/>
          <w:szCs w:val="24"/>
        </w:rPr>
      </w:pPr>
      <w:r w:rsidRPr="002F7765">
        <w:rPr>
          <w:sz w:val="24"/>
          <w:szCs w:val="24"/>
        </w:rPr>
        <w:t>Der kan gå 3 til 4 dage efter opstart af behandling, før der opnås maksimal lindring.</w:t>
      </w:r>
    </w:p>
    <w:p w14:paraId="2FF07D28" w14:textId="77777777" w:rsidR="00DC427A" w:rsidRPr="002F7765" w:rsidRDefault="00DC427A" w:rsidP="00F004B7">
      <w:pPr>
        <w:ind w:left="851"/>
        <w:rPr>
          <w:sz w:val="24"/>
          <w:szCs w:val="24"/>
        </w:rPr>
      </w:pPr>
    </w:p>
    <w:p w14:paraId="37FE3190" w14:textId="77777777" w:rsidR="00DC427A" w:rsidRPr="002F7765" w:rsidRDefault="00DC427A" w:rsidP="00F004B7">
      <w:pPr>
        <w:ind w:left="851"/>
        <w:rPr>
          <w:sz w:val="24"/>
          <w:szCs w:val="24"/>
        </w:rPr>
      </w:pPr>
      <w:r w:rsidRPr="002F7765">
        <w:rPr>
          <w:sz w:val="24"/>
          <w:szCs w:val="24"/>
        </w:rPr>
        <w:t xml:space="preserve">Lokale infektioner: Infektioner i de nasale luftveje skal behandles på behørig vis, men udgør ikke en specifik kontraindikation for behandling med intranasalt </w:t>
      </w:r>
      <w:proofErr w:type="spellStart"/>
      <w:r w:rsidRPr="002F7765">
        <w:rPr>
          <w:sz w:val="24"/>
          <w:szCs w:val="24"/>
        </w:rPr>
        <w:t>fluticasonpropionat</w:t>
      </w:r>
      <w:proofErr w:type="spellEnd"/>
      <w:r w:rsidRPr="002F7765">
        <w:rPr>
          <w:sz w:val="24"/>
          <w:szCs w:val="24"/>
        </w:rPr>
        <w:t>.</w:t>
      </w:r>
    </w:p>
    <w:p w14:paraId="2DC02679" w14:textId="77777777" w:rsidR="00DC427A" w:rsidRPr="002F7765" w:rsidRDefault="00DC427A" w:rsidP="00F004B7">
      <w:pPr>
        <w:ind w:left="851"/>
        <w:rPr>
          <w:sz w:val="24"/>
          <w:szCs w:val="24"/>
        </w:rPr>
      </w:pPr>
    </w:p>
    <w:p w14:paraId="3F90BC89" w14:textId="77777777" w:rsidR="00DC427A" w:rsidRPr="002F7765" w:rsidRDefault="00DC427A" w:rsidP="00F004B7">
      <w:pPr>
        <w:ind w:left="851"/>
        <w:rPr>
          <w:sz w:val="24"/>
          <w:szCs w:val="24"/>
        </w:rPr>
      </w:pPr>
      <w:r w:rsidRPr="002F7765">
        <w:rPr>
          <w:sz w:val="24"/>
          <w:szCs w:val="24"/>
        </w:rPr>
        <w:t xml:space="preserve">Selvom der i de fleste tilfælde kan opnås kontrol over sæsonbetinget allergisk </w:t>
      </w:r>
      <w:proofErr w:type="spellStart"/>
      <w:r w:rsidRPr="002F7765">
        <w:rPr>
          <w:sz w:val="24"/>
          <w:szCs w:val="24"/>
        </w:rPr>
        <w:t>rhinitis</w:t>
      </w:r>
      <w:proofErr w:type="spellEnd"/>
      <w:r w:rsidRPr="002F7765">
        <w:rPr>
          <w:sz w:val="24"/>
          <w:szCs w:val="24"/>
        </w:rPr>
        <w:t xml:space="preserve"> med </w:t>
      </w:r>
      <w:proofErr w:type="spellStart"/>
      <w:r w:rsidRPr="002F7765">
        <w:rPr>
          <w:sz w:val="24"/>
          <w:szCs w:val="24"/>
        </w:rPr>
        <w:t>Flurhin</w:t>
      </w:r>
      <w:proofErr w:type="spellEnd"/>
      <w:r w:rsidRPr="002F7765">
        <w:rPr>
          <w:sz w:val="24"/>
          <w:szCs w:val="24"/>
        </w:rPr>
        <w:t>, kan det i visse tilfælde med abnormt høje niveauer af allergener i sommerperioden være nødvendigt med yderligere relevant behandling.</w:t>
      </w:r>
    </w:p>
    <w:p w14:paraId="2E9D9FAC" w14:textId="77777777" w:rsidR="00DC427A" w:rsidRPr="002F7765" w:rsidRDefault="00DC427A" w:rsidP="00F004B7">
      <w:pPr>
        <w:ind w:left="851"/>
        <w:rPr>
          <w:sz w:val="24"/>
          <w:szCs w:val="24"/>
        </w:rPr>
      </w:pPr>
    </w:p>
    <w:p w14:paraId="70036365" w14:textId="77777777" w:rsidR="00DC427A" w:rsidRPr="002F7765" w:rsidRDefault="00DC427A" w:rsidP="00F004B7">
      <w:pPr>
        <w:ind w:left="851"/>
        <w:rPr>
          <w:sz w:val="24"/>
          <w:szCs w:val="24"/>
        </w:rPr>
      </w:pPr>
      <w:r w:rsidRPr="002F7765">
        <w:rPr>
          <w:sz w:val="24"/>
          <w:szCs w:val="24"/>
        </w:rPr>
        <w:lastRenderedPageBreak/>
        <w:t xml:space="preserve">Behandling med nasale </w:t>
      </w:r>
      <w:proofErr w:type="spellStart"/>
      <w:r w:rsidRPr="002F7765">
        <w:rPr>
          <w:sz w:val="24"/>
          <w:szCs w:val="24"/>
        </w:rPr>
        <w:t>kortikosteroider</w:t>
      </w:r>
      <w:proofErr w:type="spellEnd"/>
      <w:r w:rsidRPr="002F7765">
        <w:rPr>
          <w:sz w:val="24"/>
          <w:szCs w:val="24"/>
        </w:rPr>
        <w:t xml:space="preserve"> i højere doser end anbefalet kan medføre klinisk signifikant binyrebarkinsufficiens. Hvis der er tegn på brug af højere doser end anbefalet, bør det overvejes at supplere med systemiske </w:t>
      </w:r>
      <w:proofErr w:type="spellStart"/>
      <w:r w:rsidRPr="002F7765">
        <w:rPr>
          <w:sz w:val="24"/>
          <w:szCs w:val="24"/>
        </w:rPr>
        <w:t>kortikosteroider</w:t>
      </w:r>
      <w:proofErr w:type="spellEnd"/>
      <w:r w:rsidRPr="002F7765">
        <w:rPr>
          <w:sz w:val="24"/>
          <w:szCs w:val="24"/>
        </w:rPr>
        <w:t xml:space="preserve"> i perioder med stress eller </w:t>
      </w:r>
      <w:proofErr w:type="spellStart"/>
      <w:r w:rsidRPr="002F7765">
        <w:rPr>
          <w:sz w:val="24"/>
          <w:szCs w:val="24"/>
        </w:rPr>
        <w:t>elektiv</w:t>
      </w:r>
      <w:proofErr w:type="spellEnd"/>
      <w:r w:rsidRPr="002F7765">
        <w:rPr>
          <w:sz w:val="24"/>
          <w:szCs w:val="24"/>
        </w:rPr>
        <w:t xml:space="preserve"> kirurgi (se dataene for intranasalt </w:t>
      </w:r>
      <w:proofErr w:type="spellStart"/>
      <w:r w:rsidRPr="002F7765">
        <w:rPr>
          <w:sz w:val="24"/>
          <w:szCs w:val="24"/>
        </w:rPr>
        <w:t>fluticasonpropionat</w:t>
      </w:r>
      <w:proofErr w:type="spellEnd"/>
      <w:r w:rsidRPr="002F7765">
        <w:rPr>
          <w:sz w:val="24"/>
          <w:szCs w:val="24"/>
        </w:rPr>
        <w:t xml:space="preserve"> i pkt. 5.1).</w:t>
      </w:r>
    </w:p>
    <w:p w14:paraId="4D0918B2" w14:textId="77777777" w:rsidR="00DC427A" w:rsidRPr="002F7765" w:rsidRDefault="00DC427A" w:rsidP="00F004B7">
      <w:pPr>
        <w:ind w:left="851"/>
        <w:rPr>
          <w:sz w:val="24"/>
          <w:szCs w:val="24"/>
        </w:rPr>
      </w:pPr>
    </w:p>
    <w:p w14:paraId="71053A01" w14:textId="34F6F09A" w:rsidR="00DC427A" w:rsidRPr="002F7765" w:rsidRDefault="00DC427A" w:rsidP="00F004B7">
      <w:pPr>
        <w:ind w:left="851"/>
        <w:rPr>
          <w:sz w:val="24"/>
          <w:szCs w:val="24"/>
        </w:rPr>
      </w:pPr>
      <w:r w:rsidRPr="002F7765">
        <w:rPr>
          <w:sz w:val="24"/>
          <w:szCs w:val="24"/>
        </w:rPr>
        <w:t xml:space="preserve">Efter markedsføringen er der rapporteret om klinisk relevante lægemiddelinteraktioner hos patienter i behandling med både </w:t>
      </w:r>
      <w:proofErr w:type="spellStart"/>
      <w:r w:rsidRPr="002F7765">
        <w:rPr>
          <w:sz w:val="24"/>
          <w:szCs w:val="24"/>
        </w:rPr>
        <w:t>fluticasonpropionat</w:t>
      </w:r>
      <w:proofErr w:type="spellEnd"/>
      <w:r w:rsidRPr="002F7765">
        <w:rPr>
          <w:sz w:val="24"/>
          <w:szCs w:val="24"/>
        </w:rPr>
        <w:t xml:space="preserve"> og </w:t>
      </w:r>
      <w:proofErr w:type="spellStart"/>
      <w:r w:rsidRPr="002F7765">
        <w:rPr>
          <w:sz w:val="24"/>
          <w:szCs w:val="24"/>
        </w:rPr>
        <w:t>ritonavir</w:t>
      </w:r>
      <w:proofErr w:type="spellEnd"/>
      <w:r w:rsidRPr="002F7765">
        <w:rPr>
          <w:sz w:val="24"/>
          <w:szCs w:val="24"/>
        </w:rPr>
        <w:t xml:space="preserve">. Samtidig brug medførte systemiske </w:t>
      </w:r>
      <w:proofErr w:type="spellStart"/>
      <w:r w:rsidRPr="002F7765">
        <w:rPr>
          <w:sz w:val="24"/>
          <w:szCs w:val="24"/>
        </w:rPr>
        <w:t>kortikosteroidbivirkninger</w:t>
      </w:r>
      <w:proofErr w:type="spellEnd"/>
      <w:r w:rsidRPr="002F7765">
        <w:rPr>
          <w:sz w:val="24"/>
          <w:szCs w:val="24"/>
        </w:rPr>
        <w:t xml:space="preserve">, herunder </w:t>
      </w:r>
      <w:proofErr w:type="spellStart"/>
      <w:r w:rsidRPr="002F7765">
        <w:rPr>
          <w:sz w:val="24"/>
          <w:szCs w:val="24"/>
        </w:rPr>
        <w:t>Cushings</w:t>
      </w:r>
      <w:proofErr w:type="spellEnd"/>
      <w:r w:rsidRPr="002F7765">
        <w:rPr>
          <w:sz w:val="24"/>
          <w:szCs w:val="24"/>
        </w:rPr>
        <w:t xml:space="preserve"> syndrom og binyrebark</w:t>
      </w:r>
      <w:r w:rsidR="0009272C">
        <w:rPr>
          <w:sz w:val="24"/>
          <w:szCs w:val="24"/>
        </w:rPr>
        <w:softHyphen/>
      </w:r>
      <w:r w:rsidRPr="002F7765">
        <w:rPr>
          <w:sz w:val="24"/>
          <w:szCs w:val="24"/>
        </w:rPr>
        <w:t xml:space="preserve">insufficiens. Derfor bør samtidig brug undgås, medmindre den potentielle fordel for patienten opvejer risikoen for systemiske </w:t>
      </w:r>
      <w:proofErr w:type="spellStart"/>
      <w:r w:rsidRPr="002F7765">
        <w:rPr>
          <w:sz w:val="24"/>
          <w:szCs w:val="24"/>
        </w:rPr>
        <w:t>kortikosteroidbivirkninger</w:t>
      </w:r>
      <w:proofErr w:type="spellEnd"/>
      <w:r w:rsidRPr="002F7765">
        <w:rPr>
          <w:sz w:val="24"/>
          <w:szCs w:val="24"/>
        </w:rPr>
        <w:t xml:space="preserve"> (se pkt. 4.5).</w:t>
      </w:r>
    </w:p>
    <w:p w14:paraId="708F344B" w14:textId="77777777" w:rsidR="00DC427A" w:rsidRPr="002F7765" w:rsidRDefault="00DC427A" w:rsidP="00F004B7">
      <w:pPr>
        <w:ind w:left="851"/>
        <w:rPr>
          <w:sz w:val="24"/>
          <w:szCs w:val="24"/>
        </w:rPr>
      </w:pPr>
    </w:p>
    <w:p w14:paraId="40D60BDF" w14:textId="77777777" w:rsidR="00DC427A" w:rsidRPr="002F7765" w:rsidRDefault="00DC427A" w:rsidP="00F004B7">
      <w:pPr>
        <w:ind w:left="851"/>
        <w:rPr>
          <w:sz w:val="24"/>
          <w:szCs w:val="24"/>
        </w:rPr>
      </w:pPr>
      <w:r w:rsidRPr="002F7765">
        <w:rPr>
          <w:sz w:val="24"/>
          <w:szCs w:val="24"/>
        </w:rPr>
        <w:t xml:space="preserve">Der skal udvises forsigtighed ved skift fra systemisk steroidbehandling til </w:t>
      </w:r>
      <w:proofErr w:type="spellStart"/>
      <w:r w:rsidRPr="002F7765">
        <w:rPr>
          <w:sz w:val="24"/>
          <w:szCs w:val="24"/>
        </w:rPr>
        <w:t>Flurhin</w:t>
      </w:r>
      <w:proofErr w:type="spellEnd"/>
      <w:r w:rsidRPr="002F7765">
        <w:rPr>
          <w:sz w:val="24"/>
          <w:szCs w:val="24"/>
        </w:rPr>
        <w:t>, hvis der er anledning til at formode, at patientens binyrebarkfunktion er nedsat.</w:t>
      </w:r>
    </w:p>
    <w:p w14:paraId="6E922FC4" w14:textId="77777777" w:rsidR="00DC427A" w:rsidRPr="002F7765" w:rsidRDefault="00DC427A" w:rsidP="00F004B7">
      <w:pPr>
        <w:ind w:left="851"/>
        <w:rPr>
          <w:sz w:val="24"/>
          <w:szCs w:val="24"/>
        </w:rPr>
      </w:pPr>
    </w:p>
    <w:p w14:paraId="793F7686" w14:textId="77777777" w:rsidR="00DC427A" w:rsidRPr="002F7765" w:rsidRDefault="00DC427A" w:rsidP="00F004B7">
      <w:pPr>
        <w:ind w:left="851"/>
        <w:rPr>
          <w:sz w:val="24"/>
          <w:szCs w:val="24"/>
        </w:rPr>
      </w:pPr>
      <w:r w:rsidRPr="002F7765">
        <w:rPr>
          <w:sz w:val="24"/>
          <w:szCs w:val="24"/>
        </w:rPr>
        <w:t xml:space="preserve">Der kan opstå systemiske virkninger med nasale </w:t>
      </w:r>
      <w:proofErr w:type="spellStart"/>
      <w:r w:rsidRPr="002F7765">
        <w:rPr>
          <w:sz w:val="24"/>
          <w:szCs w:val="24"/>
        </w:rPr>
        <w:t>kortikosteroider</w:t>
      </w:r>
      <w:proofErr w:type="spellEnd"/>
      <w:r w:rsidRPr="002F7765">
        <w:rPr>
          <w:sz w:val="24"/>
          <w:szCs w:val="24"/>
        </w:rPr>
        <w:t xml:space="preserve">, især ved ordination af høje doser i længere perioder. Sammenlignet med orale </w:t>
      </w:r>
      <w:proofErr w:type="spellStart"/>
      <w:r w:rsidRPr="002F7765">
        <w:rPr>
          <w:sz w:val="24"/>
          <w:szCs w:val="24"/>
        </w:rPr>
        <w:t>kortikosteroidpræparater</w:t>
      </w:r>
      <w:proofErr w:type="spellEnd"/>
      <w:r w:rsidRPr="002F7765">
        <w:rPr>
          <w:sz w:val="24"/>
          <w:szCs w:val="24"/>
        </w:rPr>
        <w:t xml:space="preserve"> er der meget mindre risiko for sådanne virkninger, og virkningerne kan variere fra patient til patient og fra præparat til præparat. Potentielle systemiske virkninger omfatter </w:t>
      </w:r>
      <w:proofErr w:type="spellStart"/>
      <w:r w:rsidRPr="002F7765">
        <w:rPr>
          <w:sz w:val="24"/>
          <w:szCs w:val="24"/>
        </w:rPr>
        <w:t>Cushings</w:t>
      </w:r>
      <w:proofErr w:type="spellEnd"/>
      <w:r w:rsidRPr="002F7765">
        <w:rPr>
          <w:sz w:val="24"/>
          <w:szCs w:val="24"/>
        </w:rPr>
        <w:t xml:space="preserve"> syndrom, </w:t>
      </w:r>
      <w:proofErr w:type="spellStart"/>
      <w:r w:rsidRPr="002F7765">
        <w:rPr>
          <w:sz w:val="24"/>
          <w:szCs w:val="24"/>
        </w:rPr>
        <w:t>cushingoide</w:t>
      </w:r>
      <w:proofErr w:type="spellEnd"/>
      <w:r w:rsidRPr="002F7765">
        <w:rPr>
          <w:sz w:val="24"/>
          <w:szCs w:val="24"/>
        </w:rPr>
        <w:t xml:space="preserve"> træk, binyrebarkinsufficiens og i sjældnere tilfælde katarakt, </w:t>
      </w:r>
      <w:proofErr w:type="spellStart"/>
      <w:r w:rsidRPr="002F7765">
        <w:rPr>
          <w:sz w:val="24"/>
          <w:szCs w:val="24"/>
        </w:rPr>
        <w:t>glaukom</w:t>
      </w:r>
      <w:proofErr w:type="spellEnd"/>
      <w:r w:rsidRPr="002F7765">
        <w:rPr>
          <w:sz w:val="24"/>
          <w:szCs w:val="24"/>
        </w:rPr>
        <w:t xml:space="preserve"> og en række psykologiske eller adfærdsmæssige virkninger, herunder </w:t>
      </w:r>
      <w:proofErr w:type="spellStart"/>
      <w:r w:rsidRPr="002F7765">
        <w:rPr>
          <w:sz w:val="24"/>
          <w:szCs w:val="24"/>
        </w:rPr>
        <w:t>psykomotorisk</w:t>
      </w:r>
      <w:proofErr w:type="spellEnd"/>
      <w:r w:rsidRPr="002F7765">
        <w:rPr>
          <w:sz w:val="24"/>
          <w:szCs w:val="24"/>
        </w:rPr>
        <w:t xml:space="preserve"> hyperaktivitet, søvnforstyrrelser, angst, depression eller aggression (især hos børn).</w:t>
      </w:r>
    </w:p>
    <w:p w14:paraId="12B2EA7E" w14:textId="77777777" w:rsidR="00DC427A" w:rsidRPr="002F7765" w:rsidRDefault="00DC427A" w:rsidP="00F004B7">
      <w:pPr>
        <w:ind w:left="851"/>
        <w:rPr>
          <w:sz w:val="24"/>
          <w:szCs w:val="24"/>
        </w:rPr>
      </w:pPr>
      <w:r w:rsidRPr="002F7765">
        <w:rPr>
          <w:sz w:val="24"/>
          <w:szCs w:val="24"/>
        </w:rPr>
        <w:t xml:space="preserve">Der er rapporteret om væksthæmning hos børn i behandling med visse nasale </w:t>
      </w:r>
      <w:proofErr w:type="spellStart"/>
      <w:r w:rsidRPr="002F7765">
        <w:rPr>
          <w:sz w:val="24"/>
          <w:szCs w:val="24"/>
        </w:rPr>
        <w:t>kortikosteroider</w:t>
      </w:r>
      <w:proofErr w:type="spellEnd"/>
      <w:r w:rsidRPr="002F7765">
        <w:rPr>
          <w:sz w:val="24"/>
          <w:szCs w:val="24"/>
        </w:rPr>
        <w:t xml:space="preserve"> i de godkendte doser (se pædiatriske oplysninger).</w:t>
      </w:r>
    </w:p>
    <w:p w14:paraId="74DAA854" w14:textId="77777777" w:rsidR="00DC427A" w:rsidRPr="002F7765" w:rsidRDefault="00DC427A" w:rsidP="00F004B7">
      <w:pPr>
        <w:ind w:left="851"/>
        <w:rPr>
          <w:sz w:val="24"/>
          <w:szCs w:val="24"/>
        </w:rPr>
      </w:pPr>
    </w:p>
    <w:p w14:paraId="0378A671" w14:textId="77777777" w:rsidR="00DC427A" w:rsidRPr="002F7765" w:rsidRDefault="00DC427A" w:rsidP="00F004B7">
      <w:pPr>
        <w:ind w:left="851"/>
        <w:rPr>
          <w:sz w:val="24"/>
          <w:szCs w:val="24"/>
        </w:rPr>
      </w:pPr>
      <w:r w:rsidRPr="002F7765">
        <w:rPr>
          <w:sz w:val="24"/>
          <w:szCs w:val="24"/>
        </w:rPr>
        <w:t xml:space="preserve">Synsforstyrrelser kan forekomme ved brug af systemiske og topiske </w:t>
      </w:r>
      <w:proofErr w:type="spellStart"/>
      <w:r w:rsidRPr="002F7765">
        <w:rPr>
          <w:sz w:val="24"/>
          <w:szCs w:val="24"/>
        </w:rPr>
        <w:t>kortikosteroider</w:t>
      </w:r>
      <w:proofErr w:type="spellEnd"/>
      <w:r w:rsidRPr="002F7765">
        <w:rPr>
          <w:sz w:val="24"/>
          <w:szCs w:val="24"/>
        </w:rPr>
        <w:t xml:space="preserve">. Hvis patienten får symptomer såsom sløret syn eller andre synsforstyrrelser, bør det overvejes at henvise patienten til en oftalmolog med henblik på en vurdering af mulige årsager, herunder katarakt, </w:t>
      </w:r>
      <w:proofErr w:type="spellStart"/>
      <w:r w:rsidRPr="002F7765">
        <w:rPr>
          <w:sz w:val="24"/>
          <w:szCs w:val="24"/>
        </w:rPr>
        <w:t>glaukom</w:t>
      </w:r>
      <w:proofErr w:type="spellEnd"/>
      <w:r w:rsidRPr="002F7765">
        <w:rPr>
          <w:sz w:val="24"/>
          <w:szCs w:val="24"/>
        </w:rPr>
        <w:t xml:space="preserve"> eller sjældne tilstande såsom central serøs </w:t>
      </w:r>
      <w:proofErr w:type="spellStart"/>
      <w:r w:rsidRPr="002F7765">
        <w:rPr>
          <w:sz w:val="24"/>
          <w:szCs w:val="24"/>
        </w:rPr>
        <w:t>korioretinopati</w:t>
      </w:r>
      <w:proofErr w:type="spellEnd"/>
      <w:r w:rsidRPr="002F7765">
        <w:rPr>
          <w:sz w:val="24"/>
          <w:szCs w:val="24"/>
        </w:rPr>
        <w:t xml:space="preserve"> (CSCR), som er blevet indberettet efter brug af systemiske og topiske </w:t>
      </w:r>
      <w:proofErr w:type="spellStart"/>
      <w:r w:rsidRPr="002F7765">
        <w:rPr>
          <w:sz w:val="24"/>
          <w:szCs w:val="24"/>
        </w:rPr>
        <w:t>kortikosteroider</w:t>
      </w:r>
      <w:proofErr w:type="spellEnd"/>
      <w:r w:rsidRPr="002F7765">
        <w:rPr>
          <w:sz w:val="24"/>
          <w:szCs w:val="24"/>
        </w:rPr>
        <w:t>.</w:t>
      </w:r>
    </w:p>
    <w:p w14:paraId="4695DD58" w14:textId="77777777" w:rsidR="00DC427A" w:rsidRPr="002F7765" w:rsidRDefault="00DC427A" w:rsidP="00F004B7">
      <w:pPr>
        <w:ind w:left="851"/>
        <w:rPr>
          <w:sz w:val="24"/>
          <w:szCs w:val="24"/>
        </w:rPr>
      </w:pPr>
    </w:p>
    <w:p w14:paraId="7E595DD2" w14:textId="77777777" w:rsidR="00DC427A" w:rsidRPr="002F7765" w:rsidRDefault="00DC427A" w:rsidP="00F004B7">
      <w:pPr>
        <w:ind w:left="851"/>
        <w:rPr>
          <w:sz w:val="24"/>
          <w:szCs w:val="24"/>
        </w:rPr>
      </w:pPr>
      <w:proofErr w:type="spellStart"/>
      <w:r w:rsidRPr="002F7765">
        <w:rPr>
          <w:sz w:val="24"/>
          <w:szCs w:val="24"/>
        </w:rPr>
        <w:t>Flurhin</w:t>
      </w:r>
      <w:proofErr w:type="spellEnd"/>
      <w:r w:rsidRPr="002F7765">
        <w:rPr>
          <w:sz w:val="24"/>
          <w:szCs w:val="24"/>
        </w:rPr>
        <w:t xml:space="preserve"> indeholder </w:t>
      </w:r>
      <w:proofErr w:type="spellStart"/>
      <w:r w:rsidRPr="002F7765">
        <w:rPr>
          <w:sz w:val="24"/>
          <w:szCs w:val="24"/>
        </w:rPr>
        <w:t>benzalkoniumchlorid</w:t>
      </w:r>
      <w:proofErr w:type="spellEnd"/>
    </w:p>
    <w:p w14:paraId="7E65F945" w14:textId="77777777" w:rsidR="0082528B" w:rsidRDefault="00DC427A" w:rsidP="00F004B7">
      <w:pPr>
        <w:ind w:left="851"/>
        <w:rPr>
          <w:sz w:val="24"/>
          <w:szCs w:val="24"/>
        </w:rPr>
      </w:pPr>
      <w:r w:rsidRPr="002F7765">
        <w:rPr>
          <w:sz w:val="24"/>
          <w:szCs w:val="24"/>
        </w:rPr>
        <w:t xml:space="preserve">Hver dosis indeholder 20 mikrogram </w:t>
      </w:r>
      <w:proofErr w:type="spellStart"/>
      <w:r w:rsidRPr="002F7765">
        <w:rPr>
          <w:sz w:val="24"/>
          <w:szCs w:val="24"/>
        </w:rPr>
        <w:t>benzalkoniumchlorid</w:t>
      </w:r>
      <w:proofErr w:type="spellEnd"/>
      <w:r w:rsidRPr="002F7765">
        <w:rPr>
          <w:sz w:val="24"/>
          <w:szCs w:val="24"/>
        </w:rPr>
        <w:t>.</w:t>
      </w:r>
    </w:p>
    <w:p w14:paraId="21F93268" w14:textId="63CB0404" w:rsidR="00DC427A" w:rsidRPr="002F7765" w:rsidRDefault="00DC427A" w:rsidP="00F004B7">
      <w:pPr>
        <w:ind w:left="851"/>
        <w:rPr>
          <w:sz w:val="24"/>
          <w:szCs w:val="24"/>
        </w:rPr>
      </w:pPr>
      <w:r w:rsidRPr="002F7765">
        <w:rPr>
          <w:sz w:val="24"/>
          <w:szCs w:val="24"/>
        </w:rPr>
        <w:t>Langvarig anvendelse kan medføre ødem af næseslimhinden.</w:t>
      </w:r>
    </w:p>
    <w:p w14:paraId="700F7F51" w14:textId="77777777" w:rsidR="00DC427A" w:rsidRPr="002F7765" w:rsidRDefault="00DC427A" w:rsidP="00F004B7">
      <w:pPr>
        <w:ind w:left="851"/>
        <w:rPr>
          <w:sz w:val="24"/>
          <w:szCs w:val="24"/>
        </w:rPr>
      </w:pPr>
    </w:p>
    <w:p w14:paraId="1D9447D4" w14:textId="77777777" w:rsidR="00DC427A" w:rsidRPr="002F7765" w:rsidRDefault="00DC427A" w:rsidP="00F004B7">
      <w:pPr>
        <w:ind w:left="851"/>
        <w:rPr>
          <w:sz w:val="24"/>
          <w:szCs w:val="24"/>
          <w:u w:val="single"/>
        </w:rPr>
      </w:pPr>
      <w:r w:rsidRPr="002F7765">
        <w:rPr>
          <w:sz w:val="24"/>
          <w:szCs w:val="24"/>
          <w:u w:val="single"/>
        </w:rPr>
        <w:t>Pædiatrisk population</w:t>
      </w:r>
    </w:p>
    <w:p w14:paraId="42ED5C68" w14:textId="77777777" w:rsidR="00DC427A" w:rsidRPr="002F7765" w:rsidRDefault="00DC427A" w:rsidP="00F004B7">
      <w:pPr>
        <w:ind w:left="851"/>
        <w:rPr>
          <w:sz w:val="24"/>
          <w:szCs w:val="24"/>
        </w:rPr>
      </w:pPr>
      <w:r w:rsidRPr="002F7765">
        <w:rPr>
          <w:sz w:val="24"/>
          <w:szCs w:val="24"/>
        </w:rPr>
        <w:t>Potentielle systemiske virkninger kan omfatte væksthæmning hos unge og depression eller aggression.</w:t>
      </w:r>
    </w:p>
    <w:p w14:paraId="26FED1E2" w14:textId="77777777" w:rsidR="00DC427A" w:rsidRPr="002F7765" w:rsidRDefault="00DC427A" w:rsidP="00F004B7">
      <w:pPr>
        <w:ind w:left="851"/>
        <w:rPr>
          <w:sz w:val="24"/>
          <w:szCs w:val="24"/>
        </w:rPr>
      </w:pPr>
    </w:p>
    <w:p w14:paraId="18C68540" w14:textId="77777777" w:rsidR="00DC427A" w:rsidRPr="002F7765" w:rsidRDefault="00DC427A" w:rsidP="00F004B7">
      <w:pPr>
        <w:ind w:left="851"/>
        <w:rPr>
          <w:sz w:val="24"/>
          <w:szCs w:val="24"/>
        </w:rPr>
      </w:pPr>
      <w:r w:rsidRPr="002F7765">
        <w:rPr>
          <w:sz w:val="24"/>
          <w:szCs w:val="24"/>
        </w:rPr>
        <w:t xml:space="preserve">Der er rapporteret om væksthæmning hos børn i behandling med nasale </w:t>
      </w:r>
      <w:proofErr w:type="spellStart"/>
      <w:r w:rsidRPr="002F7765">
        <w:rPr>
          <w:sz w:val="24"/>
          <w:szCs w:val="24"/>
        </w:rPr>
        <w:t>kortikosteroider</w:t>
      </w:r>
      <w:proofErr w:type="spellEnd"/>
      <w:r w:rsidRPr="002F7765">
        <w:rPr>
          <w:sz w:val="24"/>
          <w:szCs w:val="24"/>
        </w:rPr>
        <w:t xml:space="preserve"> i de godkendte doser. Det anbefales at måle højden regelmæssigt hos børn i langvarig behandling med nasale </w:t>
      </w:r>
      <w:proofErr w:type="spellStart"/>
      <w:r w:rsidRPr="002F7765">
        <w:rPr>
          <w:sz w:val="24"/>
          <w:szCs w:val="24"/>
        </w:rPr>
        <w:t>kortikosteroider</w:t>
      </w:r>
      <w:proofErr w:type="spellEnd"/>
      <w:r w:rsidRPr="002F7765">
        <w:rPr>
          <w:sz w:val="24"/>
          <w:szCs w:val="24"/>
        </w:rPr>
        <w:t xml:space="preserve"> (f.eks. med et </w:t>
      </w:r>
      <w:proofErr w:type="spellStart"/>
      <w:r w:rsidRPr="002F7765">
        <w:rPr>
          <w:sz w:val="24"/>
          <w:szCs w:val="24"/>
        </w:rPr>
        <w:t>stadiometer</w:t>
      </w:r>
      <w:proofErr w:type="spellEnd"/>
      <w:r w:rsidRPr="002F7765">
        <w:rPr>
          <w:sz w:val="24"/>
          <w:szCs w:val="24"/>
        </w:rPr>
        <w:t xml:space="preserve">). Hvis der er mistanke om langsom vækst, bør behandlingen revurderes med henblik på, om muligt, at reducere dosen af nasale </w:t>
      </w:r>
      <w:proofErr w:type="spellStart"/>
      <w:r w:rsidRPr="002F7765">
        <w:rPr>
          <w:sz w:val="24"/>
          <w:szCs w:val="24"/>
        </w:rPr>
        <w:t>kortikosteroider</w:t>
      </w:r>
      <w:proofErr w:type="spellEnd"/>
      <w:r w:rsidRPr="002F7765">
        <w:rPr>
          <w:sz w:val="24"/>
          <w:szCs w:val="24"/>
        </w:rPr>
        <w:t xml:space="preserve"> til den laveste dosis, hvormed der kan fastholdes effektiv symptomkontrol. Derudover bør det overvejes at henvise patienten til en pædiatrisk specialist.</w:t>
      </w:r>
    </w:p>
    <w:p w14:paraId="08258FC8" w14:textId="77777777" w:rsidR="009260DE" w:rsidRPr="002F7765" w:rsidRDefault="009260DE" w:rsidP="009260DE">
      <w:pPr>
        <w:tabs>
          <w:tab w:val="left" w:pos="851"/>
        </w:tabs>
        <w:ind w:left="851"/>
        <w:rPr>
          <w:sz w:val="24"/>
          <w:szCs w:val="24"/>
        </w:rPr>
      </w:pPr>
    </w:p>
    <w:p w14:paraId="2409964B" w14:textId="77777777" w:rsidR="009260DE" w:rsidRPr="002F7765" w:rsidRDefault="009260DE" w:rsidP="009260DE">
      <w:pPr>
        <w:tabs>
          <w:tab w:val="left" w:pos="851"/>
        </w:tabs>
        <w:ind w:left="851" w:hanging="851"/>
        <w:rPr>
          <w:b/>
          <w:sz w:val="24"/>
          <w:szCs w:val="24"/>
        </w:rPr>
      </w:pPr>
      <w:r w:rsidRPr="002F7765">
        <w:rPr>
          <w:b/>
          <w:sz w:val="24"/>
          <w:szCs w:val="24"/>
        </w:rPr>
        <w:t>4.5</w:t>
      </w:r>
      <w:r w:rsidRPr="002F7765">
        <w:rPr>
          <w:b/>
          <w:sz w:val="24"/>
          <w:szCs w:val="24"/>
        </w:rPr>
        <w:tab/>
        <w:t>Interaktion med andre lægemidler og andre former for interaktion</w:t>
      </w:r>
    </w:p>
    <w:p w14:paraId="357FA9DE" w14:textId="77777777" w:rsidR="00DC427A" w:rsidRPr="002F7765" w:rsidRDefault="00DC427A" w:rsidP="00F004B7">
      <w:pPr>
        <w:ind w:left="851"/>
        <w:rPr>
          <w:sz w:val="24"/>
          <w:szCs w:val="24"/>
        </w:rPr>
      </w:pPr>
      <w:r w:rsidRPr="002F7765">
        <w:rPr>
          <w:sz w:val="24"/>
          <w:szCs w:val="24"/>
        </w:rPr>
        <w:t xml:space="preserve">Under normale omstændigheder opnås der lave plasmakoncentrationer af </w:t>
      </w:r>
      <w:proofErr w:type="spellStart"/>
      <w:r w:rsidRPr="002F7765">
        <w:rPr>
          <w:sz w:val="24"/>
          <w:szCs w:val="24"/>
        </w:rPr>
        <w:t>fluticasonpropionat</w:t>
      </w:r>
      <w:proofErr w:type="spellEnd"/>
      <w:r w:rsidRPr="002F7765">
        <w:rPr>
          <w:sz w:val="24"/>
          <w:szCs w:val="24"/>
        </w:rPr>
        <w:t xml:space="preserve"> efter intranasal administration som følge af omfattende førstepassage-metabolisme og høj systemisk </w:t>
      </w:r>
      <w:proofErr w:type="spellStart"/>
      <w:r w:rsidRPr="002F7765">
        <w:rPr>
          <w:sz w:val="24"/>
          <w:szCs w:val="24"/>
        </w:rPr>
        <w:t>clearance</w:t>
      </w:r>
      <w:proofErr w:type="spellEnd"/>
      <w:r w:rsidRPr="002F7765">
        <w:rPr>
          <w:sz w:val="24"/>
          <w:szCs w:val="24"/>
        </w:rPr>
        <w:t xml:space="preserve"> via </w:t>
      </w:r>
      <w:proofErr w:type="spellStart"/>
      <w:r w:rsidRPr="002F7765">
        <w:rPr>
          <w:sz w:val="24"/>
          <w:szCs w:val="24"/>
        </w:rPr>
        <w:t>cytochrom</w:t>
      </w:r>
      <w:proofErr w:type="spellEnd"/>
      <w:r w:rsidRPr="002F7765">
        <w:rPr>
          <w:sz w:val="24"/>
          <w:szCs w:val="24"/>
        </w:rPr>
        <w:t xml:space="preserve"> P450 3A4 i tarmen og leveren. Det </w:t>
      </w:r>
      <w:r w:rsidRPr="002F7765">
        <w:rPr>
          <w:sz w:val="24"/>
          <w:szCs w:val="24"/>
        </w:rPr>
        <w:lastRenderedPageBreak/>
        <w:t xml:space="preserve">er derfor usandsynligt, at </w:t>
      </w:r>
      <w:proofErr w:type="spellStart"/>
      <w:r w:rsidRPr="002F7765">
        <w:rPr>
          <w:sz w:val="24"/>
          <w:szCs w:val="24"/>
        </w:rPr>
        <w:t>fluticasonpropionat</w:t>
      </w:r>
      <w:proofErr w:type="spellEnd"/>
      <w:r w:rsidRPr="002F7765">
        <w:rPr>
          <w:sz w:val="24"/>
          <w:szCs w:val="24"/>
        </w:rPr>
        <w:t xml:space="preserve"> vil medføre klinisk signifikante lægemiddelinteraktioner.</w:t>
      </w:r>
    </w:p>
    <w:p w14:paraId="7DA47326" w14:textId="77777777" w:rsidR="00DC427A" w:rsidRPr="002F7765" w:rsidRDefault="00DC427A" w:rsidP="00DC427A">
      <w:pPr>
        <w:rPr>
          <w:sz w:val="24"/>
          <w:szCs w:val="24"/>
        </w:rPr>
      </w:pPr>
    </w:p>
    <w:p w14:paraId="28E28047" w14:textId="77777777" w:rsidR="00DC427A" w:rsidRPr="002F7765" w:rsidRDefault="00DC427A" w:rsidP="00F004B7">
      <w:pPr>
        <w:ind w:left="851"/>
        <w:rPr>
          <w:sz w:val="24"/>
          <w:szCs w:val="24"/>
        </w:rPr>
      </w:pPr>
      <w:r w:rsidRPr="002F7765">
        <w:rPr>
          <w:sz w:val="24"/>
          <w:szCs w:val="24"/>
        </w:rPr>
        <w:t xml:space="preserve">Samtidig behandling med andre potente CYP3A4-hæmmere, herunder </w:t>
      </w:r>
      <w:proofErr w:type="spellStart"/>
      <w:r w:rsidRPr="002F7765">
        <w:rPr>
          <w:sz w:val="24"/>
          <w:szCs w:val="24"/>
        </w:rPr>
        <w:t>cobicistatholdige</w:t>
      </w:r>
      <w:proofErr w:type="spellEnd"/>
      <w:r w:rsidRPr="002F7765">
        <w:rPr>
          <w:sz w:val="24"/>
          <w:szCs w:val="24"/>
        </w:rPr>
        <w:t xml:space="preserve"> præparater, forventes at øge risikoen for systemiske bivirkninger. Samtidig brug bør undgås, medmindre den potentielle fordel for patienten opvejer den øgede risiko for systemiske </w:t>
      </w:r>
      <w:proofErr w:type="spellStart"/>
      <w:r w:rsidRPr="002F7765">
        <w:rPr>
          <w:sz w:val="24"/>
          <w:szCs w:val="24"/>
        </w:rPr>
        <w:t>kortikosteroidbivirkninger</w:t>
      </w:r>
      <w:proofErr w:type="spellEnd"/>
      <w:r w:rsidRPr="002F7765">
        <w:rPr>
          <w:sz w:val="24"/>
          <w:szCs w:val="24"/>
        </w:rPr>
        <w:t xml:space="preserve">, og i så fald skal patienten monitoreres for systemiske </w:t>
      </w:r>
      <w:proofErr w:type="spellStart"/>
      <w:r w:rsidRPr="002F7765">
        <w:rPr>
          <w:sz w:val="24"/>
          <w:szCs w:val="24"/>
        </w:rPr>
        <w:t>kortikosteroidbivirkninger</w:t>
      </w:r>
      <w:proofErr w:type="spellEnd"/>
      <w:r w:rsidRPr="002F7765">
        <w:rPr>
          <w:sz w:val="24"/>
          <w:szCs w:val="24"/>
        </w:rPr>
        <w:t>.</w:t>
      </w:r>
    </w:p>
    <w:p w14:paraId="145FE6DB" w14:textId="77777777" w:rsidR="00DC427A" w:rsidRPr="002F7765" w:rsidRDefault="00DC427A" w:rsidP="00F004B7">
      <w:pPr>
        <w:ind w:left="851"/>
        <w:rPr>
          <w:sz w:val="24"/>
          <w:szCs w:val="24"/>
        </w:rPr>
      </w:pPr>
    </w:p>
    <w:p w14:paraId="3E2828D7" w14:textId="77777777" w:rsidR="00DC427A" w:rsidRPr="002F7765" w:rsidRDefault="00DC427A" w:rsidP="00F004B7">
      <w:pPr>
        <w:ind w:left="851"/>
        <w:rPr>
          <w:sz w:val="24"/>
          <w:szCs w:val="24"/>
        </w:rPr>
      </w:pPr>
      <w:r w:rsidRPr="002F7765">
        <w:rPr>
          <w:sz w:val="24"/>
          <w:szCs w:val="24"/>
        </w:rPr>
        <w:t xml:space="preserve">I et interaktionsstudie med intranasalt </w:t>
      </w:r>
      <w:proofErr w:type="spellStart"/>
      <w:r w:rsidRPr="002F7765">
        <w:rPr>
          <w:sz w:val="24"/>
          <w:szCs w:val="24"/>
        </w:rPr>
        <w:t>fluticasonpropionat</w:t>
      </w:r>
      <w:proofErr w:type="spellEnd"/>
      <w:r w:rsidRPr="002F7765">
        <w:rPr>
          <w:sz w:val="24"/>
          <w:szCs w:val="24"/>
        </w:rPr>
        <w:t xml:space="preserve"> hos raske forsøgsdeltagere medførte </w:t>
      </w:r>
      <w:proofErr w:type="spellStart"/>
      <w:r w:rsidRPr="002F7765">
        <w:rPr>
          <w:sz w:val="24"/>
          <w:szCs w:val="24"/>
        </w:rPr>
        <w:t>ritonavir</w:t>
      </w:r>
      <w:proofErr w:type="spellEnd"/>
      <w:r w:rsidRPr="002F7765">
        <w:rPr>
          <w:sz w:val="24"/>
          <w:szCs w:val="24"/>
        </w:rPr>
        <w:t xml:space="preserve"> (en meget potent </w:t>
      </w:r>
      <w:proofErr w:type="spellStart"/>
      <w:r w:rsidRPr="002F7765">
        <w:rPr>
          <w:sz w:val="24"/>
          <w:szCs w:val="24"/>
        </w:rPr>
        <w:t>cytochrom</w:t>
      </w:r>
      <w:proofErr w:type="spellEnd"/>
      <w:r w:rsidRPr="002F7765">
        <w:rPr>
          <w:sz w:val="24"/>
          <w:szCs w:val="24"/>
        </w:rPr>
        <w:t xml:space="preserve"> P450 3A4-hæmmer) 100 mg to gange dagligt en signifikant stigning i plasmakoncentrationen af </w:t>
      </w:r>
      <w:proofErr w:type="spellStart"/>
      <w:r w:rsidRPr="002F7765">
        <w:rPr>
          <w:sz w:val="24"/>
          <w:szCs w:val="24"/>
        </w:rPr>
        <w:t>fluticasonpropionat</w:t>
      </w:r>
      <w:proofErr w:type="spellEnd"/>
      <w:r w:rsidRPr="002F7765">
        <w:rPr>
          <w:sz w:val="24"/>
          <w:szCs w:val="24"/>
        </w:rPr>
        <w:t xml:space="preserve">, hvilket resulterede i signifikant reducerede serumkoncentrationer af kortisol. Efter markedsføringen er der rapporteret om klinisk signifikante lægemiddelinteraktioner hos patienter, der både fik </w:t>
      </w:r>
      <w:proofErr w:type="spellStart"/>
      <w:r w:rsidRPr="002F7765">
        <w:rPr>
          <w:sz w:val="24"/>
          <w:szCs w:val="24"/>
        </w:rPr>
        <w:t>fluticasonpropionat</w:t>
      </w:r>
      <w:proofErr w:type="spellEnd"/>
      <w:r w:rsidRPr="002F7765">
        <w:rPr>
          <w:sz w:val="24"/>
          <w:szCs w:val="24"/>
        </w:rPr>
        <w:t xml:space="preserve"> intranasalt eller via inhalation og </w:t>
      </w:r>
      <w:proofErr w:type="spellStart"/>
      <w:r w:rsidRPr="002F7765">
        <w:rPr>
          <w:sz w:val="24"/>
          <w:szCs w:val="24"/>
        </w:rPr>
        <w:t>ritonavir</w:t>
      </w:r>
      <w:proofErr w:type="spellEnd"/>
      <w:r w:rsidRPr="002F7765">
        <w:rPr>
          <w:sz w:val="24"/>
          <w:szCs w:val="24"/>
        </w:rPr>
        <w:t xml:space="preserve">. Samtidig brug medførte systemiske </w:t>
      </w:r>
      <w:proofErr w:type="spellStart"/>
      <w:r w:rsidRPr="002F7765">
        <w:rPr>
          <w:sz w:val="24"/>
          <w:szCs w:val="24"/>
        </w:rPr>
        <w:t>kortikosteroidbivirkninger</w:t>
      </w:r>
      <w:proofErr w:type="spellEnd"/>
      <w:r w:rsidRPr="002F7765">
        <w:rPr>
          <w:sz w:val="24"/>
          <w:szCs w:val="24"/>
        </w:rPr>
        <w:t xml:space="preserve">, herunder </w:t>
      </w:r>
      <w:proofErr w:type="spellStart"/>
      <w:r w:rsidRPr="002F7765">
        <w:rPr>
          <w:sz w:val="24"/>
          <w:szCs w:val="24"/>
        </w:rPr>
        <w:t>Cushings</w:t>
      </w:r>
      <w:proofErr w:type="spellEnd"/>
      <w:r w:rsidRPr="002F7765">
        <w:rPr>
          <w:sz w:val="24"/>
          <w:szCs w:val="24"/>
        </w:rPr>
        <w:t xml:space="preserve"> syndrom og binyrebarkinsufficiens. Derfor bør samtidig brug undgås, medmindre fordelen opvejer risikoen for systemiske </w:t>
      </w:r>
      <w:proofErr w:type="spellStart"/>
      <w:r w:rsidRPr="002F7765">
        <w:rPr>
          <w:sz w:val="24"/>
          <w:szCs w:val="24"/>
        </w:rPr>
        <w:t>kortikosteroidbivirkninger</w:t>
      </w:r>
      <w:proofErr w:type="spellEnd"/>
      <w:r w:rsidRPr="002F7765">
        <w:rPr>
          <w:sz w:val="24"/>
          <w:szCs w:val="24"/>
        </w:rPr>
        <w:t xml:space="preserve"> (se pkt. 4.4 og 5.2).</w:t>
      </w:r>
    </w:p>
    <w:p w14:paraId="25B38C4F" w14:textId="77777777" w:rsidR="00DC427A" w:rsidRPr="002F7765" w:rsidRDefault="00DC427A" w:rsidP="00F004B7">
      <w:pPr>
        <w:ind w:left="851"/>
        <w:rPr>
          <w:sz w:val="24"/>
          <w:szCs w:val="24"/>
        </w:rPr>
      </w:pPr>
    </w:p>
    <w:p w14:paraId="741A821F" w14:textId="77777777" w:rsidR="00DC427A" w:rsidRPr="002F7765" w:rsidRDefault="00DC427A" w:rsidP="00F004B7">
      <w:pPr>
        <w:ind w:left="851"/>
        <w:rPr>
          <w:sz w:val="24"/>
          <w:szCs w:val="24"/>
        </w:rPr>
      </w:pPr>
      <w:r w:rsidRPr="002F7765">
        <w:rPr>
          <w:sz w:val="24"/>
          <w:szCs w:val="24"/>
        </w:rPr>
        <w:t>Andre CYP3A4-hæmmere medfører ubetydelige (</w:t>
      </w:r>
      <w:proofErr w:type="spellStart"/>
      <w:r w:rsidRPr="002F7765">
        <w:rPr>
          <w:sz w:val="24"/>
          <w:szCs w:val="24"/>
        </w:rPr>
        <w:t>erythromycin</w:t>
      </w:r>
      <w:proofErr w:type="spellEnd"/>
      <w:r w:rsidRPr="002F7765">
        <w:rPr>
          <w:sz w:val="24"/>
          <w:szCs w:val="24"/>
        </w:rPr>
        <w:t>) og mindre (</w:t>
      </w:r>
      <w:proofErr w:type="spellStart"/>
      <w:r w:rsidRPr="002F7765">
        <w:rPr>
          <w:sz w:val="24"/>
          <w:szCs w:val="24"/>
        </w:rPr>
        <w:t>ketoconazol</w:t>
      </w:r>
      <w:proofErr w:type="spellEnd"/>
      <w:r w:rsidRPr="002F7765">
        <w:rPr>
          <w:sz w:val="24"/>
          <w:szCs w:val="24"/>
        </w:rPr>
        <w:t xml:space="preserve">) stigninger i den systemiske eksponering for </w:t>
      </w:r>
      <w:proofErr w:type="spellStart"/>
      <w:r w:rsidRPr="002F7765">
        <w:rPr>
          <w:sz w:val="24"/>
          <w:szCs w:val="24"/>
        </w:rPr>
        <w:t>fluticasonpropionat</w:t>
      </w:r>
      <w:proofErr w:type="spellEnd"/>
      <w:r w:rsidRPr="002F7765">
        <w:rPr>
          <w:sz w:val="24"/>
          <w:szCs w:val="24"/>
        </w:rPr>
        <w:t xml:space="preserve"> uden bemærkelsesværdige fald i serumkoncentrationen af kortisol. Samtidig brug bør undgås, medmindre fordelen opvejer den øgede risiko for systemiske </w:t>
      </w:r>
      <w:proofErr w:type="spellStart"/>
      <w:r w:rsidRPr="002F7765">
        <w:rPr>
          <w:sz w:val="24"/>
          <w:szCs w:val="24"/>
        </w:rPr>
        <w:t>kortikosteroidbivirkninger</w:t>
      </w:r>
      <w:proofErr w:type="spellEnd"/>
      <w:r w:rsidRPr="002F7765">
        <w:rPr>
          <w:sz w:val="24"/>
          <w:szCs w:val="24"/>
        </w:rPr>
        <w:t xml:space="preserve">, og i så fald skal patienten monitoreres for systemiske </w:t>
      </w:r>
      <w:proofErr w:type="spellStart"/>
      <w:r w:rsidRPr="002F7765">
        <w:rPr>
          <w:sz w:val="24"/>
          <w:szCs w:val="24"/>
        </w:rPr>
        <w:t>kortikosteroidbivirkninger</w:t>
      </w:r>
      <w:proofErr w:type="spellEnd"/>
      <w:r w:rsidRPr="002F7765">
        <w:rPr>
          <w:sz w:val="24"/>
          <w:szCs w:val="24"/>
        </w:rPr>
        <w:t>.</w:t>
      </w:r>
    </w:p>
    <w:p w14:paraId="37FECDC8" w14:textId="77777777" w:rsidR="00DC427A" w:rsidRPr="002F7765" w:rsidRDefault="00DC427A" w:rsidP="00DC427A">
      <w:pPr>
        <w:rPr>
          <w:sz w:val="24"/>
          <w:szCs w:val="24"/>
        </w:rPr>
      </w:pPr>
    </w:p>
    <w:tbl>
      <w:tblPr>
        <w:tblStyle w:val="Tabel-Gitter"/>
        <w:tblW w:w="8644" w:type="dxa"/>
        <w:tblInd w:w="851" w:type="dxa"/>
        <w:tblLook w:val="04A0" w:firstRow="1" w:lastRow="0" w:firstColumn="1" w:lastColumn="0" w:noHBand="0" w:noVBand="1"/>
      </w:tblPr>
      <w:tblGrid>
        <w:gridCol w:w="2264"/>
        <w:gridCol w:w="1705"/>
        <w:gridCol w:w="2410"/>
        <w:gridCol w:w="2265"/>
      </w:tblGrid>
      <w:tr w:rsidR="009A2324" w:rsidRPr="001E09DF" w14:paraId="42A9639F" w14:textId="1BB4087E" w:rsidTr="009A2324">
        <w:tc>
          <w:tcPr>
            <w:tcW w:w="2264" w:type="dxa"/>
            <w:tcBorders>
              <w:top w:val="nil"/>
              <w:left w:val="nil"/>
              <w:bottom w:val="single" w:sz="4" w:space="0" w:color="auto"/>
              <w:right w:val="single" w:sz="4" w:space="0" w:color="auto"/>
            </w:tcBorders>
            <w:vAlign w:val="center"/>
          </w:tcPr>
          <w:p w14:paraId="45294880" w14:textId="77777777" w:rsidR="009A2324" w:rsidRPr="001E09DF" w:rsidRDefault="009A2324">
            <w:pPr>
              <w:rPr>
                <w:sz w:val="22"/>
                <w:szCs w:val="22"/>
              </w:rPr>
            </w:pPr>
          </w:p>
        </w:tc>
        <w:tc>
          <w:tcPr>
            <w:tcW w:w="4115" w:type="dxa"/>
            <w:gridSpan w:val="2"/>
            <w:tcBorders>
              <w:top w:val="nil"/>
              <w:left w:val="single" w:sz="4" w:space="0" w:color="auto"/>
              <w:bottom w:val="single" w:sz="4" w:space="0" w:color="auto"/>
              <w:right w:val="single" w:sz="4" w:space="0" w:color="auto"/>
            </w:tcBorders>
            <w:vAlign w:val="center"/>
            <w:hideMark/>
          </w:tcPr>
          <w:p w14:paraId="5BCF1DFB" w14:textId="77777777" w:rsidR="009A2324" w:rsidRPr="001E09DF" w:rsidRDefault="009A2324">
            <w:pPr>
              <w:jc w:val="center"/>
              <w:rPr>
                <w:sz w:val="22"/>
                <w:szCs w:val="22"/>
              </w:rPr>
            </w:pPr>
            <w:proofErr w:type="spellStart"/>
            <w:r w:rsidRPr="001E09DF">
              <w:rPr>
                <w:sz w:val="22"/>
                <w:szCs w:val="22"/>
              </w:rPr>
              <w:t>Fluticason</w:t>
            </w:r>
            <w:proofErr w:type="spellEnd"/>
          </w:p>
        </w:tc>
        <w:tc>
          <w:tcPr>
            <w:tcW w:w="2265" w:type="dxa"/>
            <w:tcBorders>
              <w:top w:val="nil"/>
              <w:left w:val="single" w:sz="4" w:space="0" w:color="auto"/>
              <w:bottom w:val="single" w:sz="4" w:space="0" w:color="auto"/>
              <w:right w:val="nil"/>
            </w:tcBorders>
            <w:vAlign w:val="center"/>
            <w:hideMark/>
          </w:tcPr>
          <w:p w14:paraId="33BE0AF7" w14:textId="77777777" w:rsidR="009A2324" w:rsidRPr="001E09DF" w:rsidRDefault="009A2324">
            <w:pPr>
              <w:jc w:val="center"/>
              <w:rPr>
                <w:sz w:val="22"/>
                <w:szCs w:val="22"/>
              </w:rPr>
            </w:pPr>
            <w:r w:rsidRPr="001E09DF">
              <w:rPr>
                <w:sz w:val="22"/>
                <w:szCs w:val="22"/>
              </w:rPr>
              <w:t>Kortisol</w:t>
            </w:r>
          </w:p>
        </w:tc>
      </w:tr>
      <w:tr w:rsidR="009A2324" w:rsidRPr="001E09DF" w14:paraId="60DBC4EA" w14:textId="48FB25E5" w:rsidTr="009A2324">
        <w:tc>
          <w:tcPr>
            <w:tcW w:w="2264" w:type="dxa"/>
            <w:tcBorders>
              <w:top w:val="single" w:sz="4" w:space="0" w:color="auto"/>
              <w:left w:val="nil"/>
              <w:bottom w:val="single" w:sz="4" w:space="0" w:color="auto"/>
              <w:right w:val="single" w:sz="4" w:space="0" w:color="auto"/>
            </w:tcBorders>
            <w:vAlign w:val="center"/>
            <w:hideMark/>
          </w:tcPr>
          <w:p w14:paraId="775FA951" w14:textId="77777777" w:rsidR="009A2324" w:rsidRPr="001E09DF" w:rsidRDefault="009A2324">
            <w:pPr>
              <w:rPr>
                <w:sz w:val="22"/>
                <w:szCs w:val="22"/>
              </w:rPr>
            </w:pPr>
            <w:r w:rsidRPr="001E09DF">
              <w:rPr>
                <w:sz w:val="22"/>
                <w:szCs w:val="22"/>
              </w:rPr>
              <w:t>Behandling</w:t>
            </w:r>
          </w:p>
        </w:tc>
        <w:tc>
          <w:tcPr>
            <w:tcW w:w="1705" w:type="dxa"/>
            <w:tcBorders>
              <w:top w:val="single" w:sz="4" w:space="0" w:color="auto"/>
              <w:left w:val="single" w:sz="4" w:space="0" w:color="auto"/>
              <w:bottom w:val="single" w:sz="4" w:space="0" w:color="auto"/>
              <w:right w:val="single" w:sz="4" w:space="0" w:color="auto"/>
            </w:tcBorders>
            <w:vAlign w:val="center"/>
            <w:hideMark/>
          </w:tcPr>
          <w:p w14:paraId="2BEF9179" w14:textId="77777777" w:rsidR="009A2324" w:rsidRPr="001E09DF" w:rsidRDefault="009A2324">
            <w:pPr>
              <w:jc w:val="center"/>
              <w:rPr>
                <w:sz w:val="22"/>
                <w:szCs w:val="22"/>
              </w:rPr>
            </w:pPr>
            <w:proofErr w:type="spellStart"/>
            <w:r w:rsidRPr="001E09DF">
              <w:rPr>
                <w:sz w:val="22"/>
                <w:szCs w:val="22"/>
              </w:rPr>
              <w:t>C</w:t>
            </w:r>
            <w:r w:rsidRPr="001E09DF">
              <w:rPr>
                <w:sz w:val="22"/>
                <w:szCs w:val="22"/>
                <w:vertAlign w:val="subscript"/>
              </w:rPr>
              <w:t>max</w:t>
            </w:r>
            <w:proofErr w:type="spellEnd"/>
            <w:r w:rsidRPr="001E09DF">
              <w:rPr>
                <w:sz w:val="22"/>
                <w:szCs w:val="22"/>
              </w:rPr>
              <w:t xml:space="preserve"> (</w:t>
            </w:r>
            <w:proofErr w:type="spellStart"/>
            <w:r w:rsidRPr="001E09DF">
              <w:rPr>
                <w:sz w:val="22"/>
                <w:szCs w:val="22"/>
              </w:rPr>
              <w:t>pg</w:t>
            </w:r>
            <w:proofErr w:type="spellEnd"/>
            <w:r w:rsidRPr="001E09DF">
              <w:rPr>
                <w:sz w:val="22"/>
                <w:szCs w:val="22"/>
              </w:rPr>
              <w:t>/ml)</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0AC8AFA" w14:textId="77777777" w:rsidR="009A2324" w:rsidRPr="001E09DF" w:rsidRDefault="009A2324">
            <w:pPr>
              <w:jc w:val="center"/>
              <w:rPr>
                <w:sz w:val="22"/>
                <w:szCs w:val="22"/>
                <w:lang w:val="en-US"/>
              </w:rPr>
            </w:pPr>
            <w:r w:rsidRPr="001E09DF">
              <w:rPr>
                <w:sz w:val="22"/>
                <w:szCs w:val="22"/>
                <w:lang w:val="en-US"/>
              </w:rPr>
              <w:t>AUC</w:t>
            </w:r>
            <w:r w:rsidRPr="001E09DF">
              <w:rPr>
                <w:sz w:val="22"/>
                <w:szCs w:val="22"/>
                <w:vertAlign w:val="subscript"/>
                <w:lang w:val="en-US"/>
              </w:rPr>
              <w:t>0-t</w:t>
            </w:r>
            <w:r w:rsidRPr="001E09DF">
              <w:rPr>
                <w:sz w:val="22"/>
                <w:szCs w:val="22"/>
                <w:lang w:val="en-US"/>
              </w:rPr>
              <w:t xml:space="preserve"> (</w:t>
            </w:r>
            <w:proofErr w:type="spellStart"/>
            <w:r w:rsidRPr="001E09DF">
              <w:rPr>
                <w:sz w:val="22"/>
                <w:szCs w:val="22"/>
                <w:lang w:val="en-US"/>
              </w:rPr>
              <w:t>pg</w:t>
            </w:r>
            <w:proofErr w:type="spellEnd"/>
            <w:r w:rsidRPr="001E09DF">
              <w:rPr>
                <w:sz w:val="22"/>
                <w:szCs w:val="22"/>
                <w:lang w:val="en-US"/>
              </w:rPr>
              <w:t>*h/ml)</w:t>
            </w:r>
          </w:p>
        </w:tc>
        <w:tc>
          <w:tcPr>
            <w:tcW w:w="2265" w:type="dxa"/>
            <w:tcBorders>
              <w:top w:val="single" w:sz="4" w:space="0" w:color="auto"/>
              <w:left w:val="single" w:sz="4" w:space="0" w:color="auto"/>
              <w:bottom w:val="single" w:sz="4" w:space="0" w:color="auto"/>
              <w:right w:val="nil"/>
            </w:tcBorders>
            <w:vAlign w:val="center"/>
            <w:hideMark/>
          </w:tcPr>
          <w:p w14:paraId="165C5F41" w14:textId="77777777" w:rsidR="009A2324" w:rsidRPr="001E09DF" w:rsidRDefault="009A2324">
            <w:pPr>
              <w:jc w:val="center"/>
              <w:rPr>
                <w:sz w:val="22"/>
                <w:szCs w:val="22"/>
              </w:rPr>
            </w:pPr>
            <w:r w:rsidRPr="001E09DF">
              <w:rPr>
                <w:sz w:val="22"/>
                <w:szCs w:val="22"/>
              </w:rPr>
              <w:t>Ratio AUC</w:t>
            </w:r>
            <w:r w:rsidRPr="001E09DF">
              <w:rPr>
                <w:sz w:val="22"/>
                <w:szCs w:val="22"/>
                <w:vertAlign w:val="subscript"/>
              </w:rPr>
              <w:t>24</w:t>
            </w:r>
          </w:p>
          <w:p w14:paraId="70BF108F" w14:textId="77777777" w:rsidR="009A2324" w:rsidRPr="001E09DF" w:rsidRDefault="009A2324">
            <w:pPr>
              <w:jc w:val="center"/>
              <w:rPr>
                <w:sz w:val="22"/>
                <w:szCs w:val="22"/>
              </w:rPr>
            </w:pPr>
            <w:r w:rsidRPr="001E09DF">
              <w:rPr>
                <w:sz w:val="22"/>
                <w:szCs w:val="22"/>
              </w:rPr>
              <w:t>(behandling/placebo</w:t>
            </w:r>
          </w:p>
        </w:tc>
      </w:tr>
      <w:tr w:rsidR="009A2324" w:rsidRPr="001E09DF" w14:paraId="045AEEE4" w14:textId="4E10D0B5" w:rsidTr="009A2324">
        <w:tc>
          <w:tcPr>
            <w:tcW w:w="2264" w:type="dxa"/>
            <w:tcBorders>
              <w:top w:val="single" w:sz="4" w:space="0" w:color="auto"/>
              <w:left w:val="nil"/>
              <w:bottom w:val="single" w:sz="4" w:space="0" w:color="auto"/>
              <w:right w:val="single" w:sz="4" w:space="0" w:color="auto"/>
            </w:tcBorders>
            <w:vAlign w:val="center"/>
            <w:hideMark/>
          </w:tcPr>
          <w:p w14:paraId="6A1E3A58" w14:textId="77777777" w:rsidR="009A2324" w:rsidRPr="001E09DF" w:rsidRDefault="009A2324">
            <w:pPr>
              <w:rPr>
                <w:sz w:val="22"/>
                <w:szCs w:val="22"/>
              </w:rPr>
            </w:pPr>
            <w:proofErr w:type="spellStart"/>
            <w:r w:rsidRPr="001E09DF">
              <w:rPr>
                <w:sz w:val="22"/>
                <w:szCs w:val="22"/>
              </w:rPr>
              <w:t>Fluticason</w:t>
            </w:r>
            <w:proofErr w:type="spellEnd"/>
          </w:p>
          <w:p w14:paraId="24B12D0B" w14:textId="77777777" w:rsidR="009A2324" w:rsidRPr="001E09DF" w:rsidRDefault="009A2324">
            <w:pPr>
              <w:rPr>
                <w:sz w:val="22"/>
                <w:szCs w:val="22"/>
              </w:rPr>
            </w:pPr>
            <w:r w:rsidRPr="001E09DF">
              <w:rPr>
                <w:sz w:val="22"/>
                <w:szCs w:val="22"/>
              </w:rPr>
              <w:t>(200 µg intranasalt)</w:t>
            </w:r>
          </w:p>
        </w:tc>
        <w:tc>
          <w:tcPr>
            <w:tcW w:w="1705" w:type="dxa"/>
            <w:tcBorders>
              <w:top w:val="single" w:sz="4" w:space="0" w:color="auto"/>
              <w:left w:val="single" w:sz="4" w:space="0" w:color="auto"/>
              <w:bottom w:val="single" w:sz="4" w:space="0" w:color="auto"/>
              <w:right w:val="single" w:sz="4" w:space="0" w:color="auto"/>
            </w:tcBorders>
            <w:vAlign w:val="center"/>
            <w:hideMark/>
          </w:tcPr>
          <w:p w14:paraId="3C19C820" w14:textId="77777777" w:rsidR="009A2324" w:rsidRPr="001E09DF" w:rsidRDefault="009A2324">
            <w:pPr>
              <w:jc w:val="center"/>
              <w:rPr>
                <w:sz w:val="22"/>
                <w:szCs w:val="22"/>
              </w:rPr>
            </w:pPr>
            <w:r w:rsidRPr="001E09DF">
              <w:rPr>
                <w:sz w:val="22"/>
                <w:szCs w:val="22"/>
              </w:rPr>
              <w:t>12</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41F5841" w14:textId="77777777" w:rsidR="009A2324" w:rsidRPr="001E09DF" w:rsidRDefault="009A2324">
            <w:pPr>
              <w:jc w:val="center"/>
              <w:rPr>
                <w:sz w:val="22"/>
                <w:szCs w:val="22"/>
              </w:rPr>
            </w:pPr>
            <w:r w:rsidRPr="001E09DF">
              <w:rPr>
                <w:sz w:val="22"/>
                <w:szCs w:val="22"/>
              </w:rPr>
              <w:t>8</w:t>
            </w:r>
          </w:p>
        </w:tc>
        <w:tc>
          <w:tcPr>
            <w:tcW w:w="2265" w:type="dxa"/>
            <w:tcBorders>
              <w:top w:val="single" w:sz="4" w:space="0" w:color="auto"/>
              <w:left w:val="single" w:sz="4" w:space="0" w:color="auto"/>
              <w:bottom w:val="single" w:sz="4" w:space="0" w:color="auto"/>
              <w:right w:val="nil"/>
            </w:tcBorders>
            <w:vAlign w:val="center"/>
            <w:hideMark/>
          </w:tcPr>
          <w:p w14:paraId="01898D49" w14:textId="77777777" w:rsidR="009A2324" w:rsidRPr="001E09DF" w:rsidRDefault="009A2324">
            <w:pPr>
              <w:jc w:val="center"/>
              <w:rPr>
                <w:sz w:val="22"/>
                <w:szCs w:val="22"/>
              </w:rPr>
            </w:pPr>
            <w:r w:rsidRPr="001E09DF">
              <w:rPr>
                <w:sz w:val="22"/>
                <w:szCs w:val="22"/>
              </w:rPr>
              <w:t>1,03</w:t>
            </w:r>
          </w:p>
          <w:p w14:paraId="14FDCA91" w14:textId="77777777" w:rsidR="009A2324" w:rsidRPr="001E09DF" w:rsidRDefault="009A2324">
            <w:pPr>
              <w:jc w:val="center"/>
              <w:rPr>
                <w:sz w:val="22"/>
                <w:szCs w:val="22"/>
              </w:rPr>
            </w:pPr>
            <w:r w:rsidRPr="001E09DF">
              <w:rPr>
                <w:sz w:val="22"/>
                <w:szCs w:val="22"/>
              </w:rPr>
              <w:t>(90 % KI 0,82 – 1,29)</w:t>
            </w:r>
          </w:p>
        </w:tc>
      </w:tr>
      <w:tr w:rsidR="009A2324" w:rsidRPr="001E09DF" w14:paraId="400FE739" w14:textId="4CEF378E" w:rsidTr="009A2324">
        <w:tc>
          <w:tcPr>
            <w:tcW w:w="2264" w:type="dxa"/>
            <w:tcBorders>
              <w:top w:val="single" w:sz="4" w:space="0" w:color="auto"/>
              <w:left w:val="nil"/>
              <w:bottom w:val="single" w:sz="4" w:space="0" w:color="auto"/>
              <w:right w:val="single" w:sz="4" w:space="0" w:color="auto"/>
            </w:tcBorders>
            <w:vAlign w:val="center"/>
            <w:hideMark/>
          </w:tcPr>
          <w:p w14:paraId="2F8B4D43" w14:textId="77777777" w:rsidR="009A2324" w:rsidRPr="001E09DF" w:rsidRDefault="009A2324">
            <w:pPr>
              <w:rPr>
                <w:sz w:val="22"/>
                <w:szCs w:val="22"/>
              </w:rPr>
            </w:pPr>
            <w:r w:rsidRPr="001E09DF">
              <w:rPr>
                <w:sz w:val="22"/>
                <w:szCs w:val="22"/>
              </w:rPr>
              <w:t xml:space="preserve">+ </w:t>
            </w:r>
            <w:proofErr w:type="spellStart"/>
            <w:r w:rsidRPr="001E09DF">
              <w:rPr>
                <w:sz w:val="22"/>
                <w:szCs w:val="22"/>
              </w:rPr>
              <w:t>erythromycin</w:t>
            </w:r>
            <w:proofErr w:type="spellEnd"/>
          </w:p>
          <w:p w14:paraId="0E1FD22B" w14:textId="77777777" w:rsidR="009A2324" w:rsidRPr="001E09DF" w:rsidRDefault="009A2324">
            <w:pPr>
              <w:rPr>
                <w:sz w:val="22"/>
                <w:szCs w:val="22"/>
              </w:rPr>
            </w:pPr>
            <w:r w:rsidRPr="001E09DF">
              <w:rPr>
                <w:sz w:val="22"/>
                <w:szCs w:val="22"/>
              </w:rPr>
              <w:t>(500 mg to gange dagligt)</w:t>
            </w:r>
          </w:p>
        </w:tc>
        <w:tc>
          <w:tcPr>
            <w:tcW w:w="1705" w:type="dxa"/>
            <w:tcBorders>
              <w:top w:val="single" w:sz="4" w:space="0" w:color="auto"/>
              <w:left w:val="single" w:sz="4" w:space="0" w:color="auto"/>
              <w:bottom w:val="single" w:sz="4" w:space="0" w:color="auto"/>
              <w:right w:val="single" w:sz="4" w:space="0" w:color="auto"/>
            </w:tcBorders>
            <w:vAlign w:val="center"/>
            <w:hideMark/>
          </w:tcPr>
          <w:p w14:paraId="75CE7264" w14:textId="77777777" w:rsidR="009A2324" w:rsidRPr="001E09DF" w:rsidRDefault="009A2324">
            <w:pPr>
              <w:jc w:val="center"/>
              <w:rPr>
                <w:sz w:val="22"/>
                <w:szCs w:val="22"/>
              </w:rPr>
            </w:pPr>
            <w:r w:rsidRPr="001E09DF">
              <w:rPr>
                <w:sz w:val="22"/>
                <w:szCs w:val="22"/>
              </w:rPr>
              <w:t>15</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C075E11" w14:textId="77777777" w:rsidR="009A2324" w:rsidRPr="001E09DF" w:rsidRDefault="009A2324">
            <w:pPr>
              <w:jc w:val="center"/>
              <w:rPr>
                <w:sz w:val="22"/>
                <w:szCs w:val="22"/>
              </w:rPr>
            </w:pPr>
            <w:r w:rsidRPr="001E09DF">
              <w:rPr>
                <w:sz w:val="22"/>
                <w:szCs w:val="22"/>
              </w:rPr>
              <w:t>55</w:t>
            </w:r>
          </w:p>
        </w:tc>
        <w:tc>
          <w:tcPr>
            <w:tcW w:w="2265" w:type="dxa"/>
            <w:tcBorders>
              <w:top w:val="single" w:sz="4" w:space="0" w:color="auto"/>
              <w:left w:val="single" w:sz="4" w:space="0" w:color="auto"/>
              <w:bottom w:val="single" w:sz="4" w:space="0" w:color="auto"/>
              <w:right w:val="nil"/>
            </w:tcBorders>
            <w:vAlign w:val="center"/>
            <w:hideMark/>
          </w:tcPr>
          <w:p w14:paraId="11B06FD8" w14:textId="77777777" w:rsidR="009A2324" w:rsidRPr="001E09DF" w:rsidRDefault="009A2324">
            <w:pPr>
              <w:jc w:val="center"/>
              <w:rPr>
                <w:sz w:val="22"/>
                <w:szCs w:val="22"/>
              </w:rPr>
            </w:pPr>
            <w:r w:rsidRPr="001E09DF">
              <w:rPr>
                <w:sz w:val="22"/>
                <w:szCs w:val="22"/>
              </w:rPr>
              <w:t>0,98</w:t>
            </w:r>
          </w:p>
          <w:p w14:paraId="38BF77C1" w14:textId="77777777" w:rsidR="009A2324" w:rsidRPr="001E09DF" w:rsidRDefault="009A2324">
            <w:pPr>
              <w:jc w:val="center"/>
              <w:rPr>
                <w:sz w:val="22"/>
                <w:szCs w:val="22"/>
              </w:rPr>
            </w:pPr>
            <w:r w:rsidRPr="001E09DF">
              <w:rPr>
                <w:sz w:val="22"/>
                <w:szCs w:val="22"/>
              </w:rPr>
              <w:t>(90 % KI 0,80 – 1,20)</w:t>
            </w:r>
          </w:p>
        </w:tc>
      </w:tr>
      <w:tr w:rsidR="009A2324" w:rsidRPr="001E09DF" w14:paraId="6E154FB9" w14:textId="1243E561" w:rsidTr="009A2324">
        <w:tc>
          <w:tcPr>
            <w:tcW w:w="2264" w:type="dxa"/>
            <w:tcBorders>
              <w:top w:val="single" w:sz="4" w:space="0" w:color="auto"/>
              <w:left w:val="nil"/>
              <w:bottom w:val="single" w:sz="4" w:space="0" w:color="auto"/>
              <w:right w:val="single" w:sz="4" w:space="0" w:color="auto"/>
            </w:tcBorders>
            <w:vAlign w:val="center"/>
            <w:hideMark/>
          </w:tcPr>
          <w:p w14:paraId="3D263FE3" w14:textId="77777777" w:rsidR="009A2324" w:rsidRPr="001E09DF" w:rsidRDefault="009A2324">
            <w:pPr>
              <w:rPr>
                <w:sz w:val="22"/>
                <w:szCs w:val="22"/>
              </w:rPr>
            </w:pPr>
            <w:r w:rsidRPr="001E09DF">
              <w:rPr>
                <w:sz w:val="22"/>
                <w:szCs w:val="22"/>
              </w:rPr>
              <w:t xml:space="preserve">+ </w:t>
            </w:r>
            <w:proofErr w:type="spellStart"/>
            <w:r w:rsidRPr="001E09DF">
              <w:rPr>
                <w:sz w:val="22"/>
                <w:szCs w:val="22"/>
              </w:rPr>
              <w:t>ketoconazol</w:t>
            </w:r>
            <w:proofErr w:type="spellEnd"/>
          </w:p>
          <w:p w14:paraId="7F6DBA8F" w14:textId="77777777" w:rsidR="009A2324" w:rsidRPr="001E09DF" w:rsidRDefault="009A2324">
            <w:pPr>
              <w:rPr>
                <w:sz w:val="22"/>
                <w:szCs w:val="22"/>
              </w:rPr>
            </w:pPr>
            <w:r w:rsidRPr="001E09DF">
              <w:rPr>
                <w:sz w:val="22"/>
                <w:szCs w:val="22"/>
              </w:rPr>
              <w:t>(200 mg én gang dagligt)</w:t>
            </w:r>
          </w:p>
        </w:tc>
        <w:tc>
          <w:tcPr>
            <w:tcW w:w="1705" w:type="dxa"/>
            <w:tcBorders>
              <w:top w:val="single" w:sz="4" w:space="0" w:color="auto"/>
              <w:left w:val="single" w:sz="4" w:space="0" w:color="auto"/>
              <w:bottom w:val="single" w:sz="4" w:space="0" w:color="auto"/>
              <w:right w:val="single" w:sz="4" w:space="0" w:color="auto"/>
            </w:tcBorders>
            <w:vAlign w:val="center"/>
            <w:hideMark/>
          </w:tcPr>
          <w:p w14:paraId="2F9AEAA6" w14:textId="77777777" w:rsidR="009A2324" w:rsidRPr="001E09DF" w:rsidRDefault="009A2324">
            <w:pPr>
              <w:jc w:val="center"/>
              <w:rPr>
                <w:sz w:val="22"/>
                <w:szCs w:val="22"/>
              </w:rPr>
            </w:pPr>
            <w:r w:rsidRPr="001E09DF">
              <w:rPr>
                <w:sz w:val="22"/>
                <w:szCs w:val="22"/>
              </w:rPr>
              <w:t>44</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528AEF4" w14:textId="77777777" w:rsidR="009A2324" w:rsidRPr="001E09DF" w:rsidRDefault="009A2324">
            <w:pPr>
              <w:jc w:val="center"/>
              <w:rPr>
                <w:sz w:val="22"/>
                <w:szCs w:val="22"/>
              </w:rPr>
            </w:pPr>
            <w:r w:rsidRPr="001E09DF">
              <w:rPr>
                <w:sz w:val="22"/>
                <w:szCs w:val="22"/>
              </w:rPr>
              <w:t>162</w:t>
            </w:r>
          </w:p>
        </w:tc>
        <w:tc>
          <w:tcPr>
            <w:tcW w:w="2265" w:type="dxa"/>
            <w:tcBorders>
              <w:top w:val="single" w:sz="4" w:space="0" w:color="auto"/>
              <w:left w:val="single" w:sz="4" w:space="0" w:color="auto"/>
              <w:bottom w:val="single" w:sz="4" w:space="0" w:color="auto"/>
              <w:right w:val="nil"/>
            </w:tcBorders>
            <w:vAlign w:val="center"/>
            <w:hideMark/>
          </w:tcPr>
          <w:p w14:paraId="64CCBFDF" w14:textId="77777777" w:rsidR="009A2324" w:rsidRPr="001E09DF" w:rsidRDefault="009A2324">
            <w:pPr>
              <w:jc w:val="center"/>
              <w:rPr>
                <w:sz w:val="22"/>
                <w:szCs w:val="22"/>
              </w:rPr>
            </w:pPr>
            <w:r w:rsidRPr="001E09DF">
              <w:rPr>
                <w:sz w:val="22"/>
                <w:szCs w:val="22"/>
              </w:rPr>
              <w:t>0,93</w:t>
            </w:r>
          </w:p>
          <w:p w14:paraId="1DE9CA2C" w14:textId="77777777" w:rsidR="009A2324" w:rsidRPr="001E09DF" w:rsidRDefault="009A2324">
            <w:pPr>
              <w:jc w:val="center"/>
              <w:rPr>
                <w:sz w:val="22"/>
                <w:szCs w:val="22"/>
              </w:rPr>
            </w:pPr>
            <w:r w:rsidRPr="001E09DF">
              <w:rPr>
                <w:sz w:val="22"/>
                <w:szCs w:val="22"/>
              </w:rPr>
              <w:t>(90 % KI 0,75 – 1,14)</w:t>
            </w:r>
          </w:p>
        </w:tc>
      </w:tr>
      <w:tr w:rsidR="009A2324" w:rsidRPr="001E09DF" w14:paraId="6D5C563E" w14:textId="517D1557" w:rsidTr="009A2324">
        <w:tc>
          <w:tcPr>
            <w:tcW w:w="2264" w:type="dxa"/>
            <w:tcBorders>
              <w:top w:val="single" w:sz="4" w:space="0" w:color="auto"/>
              <w:left w:val="nil"/>
              <w:bottom w:val="single" w:sz="4" w:space="0" w:color="auto"/>
              <w:right w:val="single" w:sz="4" w:space="0" w:color="auto"/>
            </w:tcBorders>
            <w:vAlign w:val="center"/>
            <w:hideMark/>
          </w:tcPr>
          <w:p w14:paraId="42A05CAD" w14:textId="77777777" w:rsidR="009A2324" w:rsidRPr="001E09DF" w:rsidRDefault="009A2324">
            <w:pPr>
              <w:rPr>
                <w:sz w:val="22"/>
                <w:szCs w:val="22"/>
              </w:rPr>
            </w:pPr>
            <w:r w:rsidRPr="001E09DF">
              <w:rPr>
                <w:sz w:val="22"/>
                <w:szCs w:val="22"/>
              </w:rPr>
              <w:t xml:space="preserve">+ </w:t>
            </w:r>
            <w:proofErr w:type="spellStart"/>
            <w:r w:rsidRPr="001E09DF">
              <w:rPr>
                <w:sz w:val="22"/>
                <w:szCs w:val="22"/>
              </w:rPr>
              <w:t>ritonavir</w:t>
            </w:r>
            <w:proofErr w:type="spellEnd"/>
          </w:p>
          <w:p w14:paraId="1D10250D" w14:textId="77777777" w:rsidR="009A2324" w:rsidRPr="001E09DF" w:rsidRDefault="009A2324">
            <w:pPr>
              <w:rPr>
                <w:sz w:val="22"/>
                <w:szCs w:val="22"/>
              </w:rPr>
            </w:pPr>
            <w:r w:rsidRPr="001E09DF">
              <w:rPr>
                <w:sz w:val="22"/>
                <w:szCs w:val="22"/>
              </w:rPr>
              <w:t>(100 mg to gange dagligt)</w:t>
            </w:r>
          </w:p>
        </w:tc>
        <w:tc>
          <w:tcPr>
            <w:tcW w:w="1705" w:type="dxa"/>
            <w:tcBorders>
              <w:top w:val="single" w:sz="4" w:space="0" w:color="auto"/>
              <w:left w:val="single" w:sz="4" w:space="0" w:color="auto"/>
              <w:bottom w:val="single" w:sz="4" w:space="0" w:color="auto"/>
              <w:right w:val="single" w:sz="4" w:space="0" w:color="auto"/>
            </w:tcBorders>
            <w:vAlign w:val="center"/>
            <w:hideMark/>
          </w:tcPr>
          <w:p w14:paraId="0F6A3326" w14:textId="77777777" w:rsidR="009A2324" w:rsidRPr="001E09DF" w:rsidRDefault="009A2324">
            <w:pPr>
              <w:jc w:val="center"/>
              <w:rPr>
                <w:sz w:val="22"/>
                <w:szCs w:val="22"/>
              </w:rPr>
            </w:pPr>
            <w:r w:rsidRPr="001E09DF">
              <w:rPr>
                <w:sz w:val="22"/>
                <w:szCs w:val="22"/>
              </w:rPr>
              <w:t>318</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83900F5" w14:textId="77777777" w:rsidR="009A2324" w:rsidRPr="001E09DF" w:rsidRDefault="009A2324">
            <w:pPr>
              <w:jc w:val="center"/>
              <w:rPr>
                <w:sz w:val="22"/>
                <w:szCs w:val="22"/>
              </w:rPr>
            </w:pPr>
            <w:r w:rsidRPr="001E09DF">
              <w:rPr>
                <w:sz w:val="22"/>
                <w:szCs w:val="22"/>
              </w:rPr>
              <w:t>3103</w:t>
            </w:r>
          </w:p>
        </w:tc>
        <w:tc>
          <w:tcPr>
            <w:tcW w:w="2265" w:type="dxa"/>
            <w:tcBorders>
              <w:top w:val="single" w:sz="4" w:space="0" w:color="auto"/>
              <w:left w:val="single" w:sz="4" w:space="0" w:color="auto"/>
              <w:bottom w:val="single" w:sz="4" w:space="0" w:color="auto"/>
              <w:right w:val="nil"/>
            </w:tcBorders>
            <w:vAlign w:val="center"/>
            <w:hideMark/>
          </w:tcPr>
          <w:p w14:paraId="3DE6B422" w14:textId="77777777" w:rsidR="009A2324" w:rsidRPr="001E09DF" w:rsidRDefault="009A2324">
            <w:pPr>
              <w:jc w:val="center"/>
              <w:rPr>
                <w:sz w:val="22"/>
                <w:szCs w:val="22"/>
              </w:rPr>
            </w:pPr>
            <w:r w:rsidRPr="001E09DF">
              <w:rPr>
                <w:sz w:val="22"/>
                <w:szCs w:val="22"/>
              </w:rPr>
              <w:t>0,14</w:t>
            </w:r>
          </w:p>
          <w:p w14:paraId="56996360" w14:textId="77777777" w:rsidR="009A2324" w:rsidRPr="001E09DF" w:rsidRDefault="009A2324">
            <w:pPr>
              <w:jc w:val="center"/>
              <w:rPr>
                <w:sz w:val="22"/>
                <w:szCs w:val="22"/>
              </w:rPr>
            </w:pPr>
            <w:r w:rsidRPr="001E09DF">
              <w:rPr>
                <w:sz w:val="22"/>
                <w:szCs w:val="22"/>
              </w:rPr>
              <w:t>(90 % KI 0,11 – 0,18)</w:t>
            </w:r>
          </w:p>
        </w:tc>
      </w:tr>
    </w:tbl>
    <w:p w14:paraId="4BC7C978" w14:textId="77777777" w:rsidR="009260DE" w:rsidRPr="002F7765" w:rsidRDefault="009260DE" w:rsidP="009260DE">
      <w:pPr>
        <w:tabs>
          <w:tab w:val="left" w:pos="851"/>
        </w:tabs>
        <w:ind w:left="851"/>
        <w:rPr>
          <w:sz w:val="24"/>
          <w:szCs w:val="24"/>
        </w:rPr>
      </w:pPr>
    </w:p>
    <w:p w14:paraId="4A88EF56" w14:textId="77777777" w:rsidR="009260DE" w:rsidRPr="002F7765" w:rsidRDefault="009260DE" w:rsidP="009260DE">
      <w:pPr>
        <w:tabs>
          <w:tab w:val="left" w:pos="851"/>
        </w:tabs>
        <w:ind w:left="851" w:hanging="851"/>
        <w:rPr>
          <w:b/>
          <w:sz w:val="24"/>
          <w:szCs w:val="24"/>
        </w:rPr>
      </w:pPr>
      <w:r w:rsidRPr="002F7765">
        <w:rPr>
          <w:b/>
          <w:sz w:val="24"/>
          <w:szCs w:val="24"/>
        </w:rPr>
        <w:t>4.6</w:t>
      </w:r>
      <w:r w:rsidRPr="002F7765">
        <w:rPr>
          <w:b/>
          <w:sz w:val="24"/>
          <w:szCs w:val="24"/>
        </w:rPr>
        <w:tab/>
        <w:t>Graviditet og amning</w:t>
      </w:r>
    </w:p>
    <w:p w14:paraId="66E149DA" w14:textId="77777777" w:rsidR="001E09DF" w:rsidRDefault="001E09DF" w:rsidP="009A2324">
      <w:pPr>
        <w:ind w:left="851"/>
        <w:rPr>
          <w:sz w:val="24"/>
          <w:szCs w:val="24"/>
          <w:u w:val="single"/>
        </w:rPr>
      </w:pPr>
    </w:p>
    <w:p w14:paraId="70350DD2" w14:textId="7A248A79" w:rsidR="00DC427A" w:rsidRPr="002F7765" w:rsidRDefault="00DC427A" w:rsidP="009A2324">
      <w:pPr>
        <w:ind w:left="851"/>
        <w:rPr>
          <w:noProof/>
          <w:sz w:val="24"/>
          <w:szCs w:val="24"/>
          <w:u w:val="single"/>
        </w:rPr>
      </w:pPr>
      <w:r w:rsidRPr="002F7765">
        <w:rPr>
          <w:sz w:val="24"/>
          <w:szCs w:val="24"/>
          <w:u w:val="single"/>
        </w:rPr>
        <w:t>Graviditet</w:t>
      </w:r>
    </w:p>
    <w:p w14:paraId="07BFA9E9" w14:textId="77777777" w:rsidR="00DC427A" w:rsidRPr="002F7765" w:rsidRDefault="00DC427A" w:rsidP="009A2324">
      <w:pPr>
        <w:ind w:left="851"/>
        <w:rPr>
          <w:sz w:val="24"/>
          <w:szCs w:val="24"/>
        </w:rPr>
      </w:pPr>
      <w:r w:rsidRPr="002F7765">
        <w:rPr>
          <w:sz w:val="24"/>
          <w:szCs w:val="24"/>
        </w:rPr>
        <w:t xml:space="preserve">Der er ingen eller utilstrækkelige data fra anvendelse af </w:t>
      </w:r>
      <w:proofErr w:type="spellStart"/>
      <w:r w:rsidRPr="002F7765">
        <w:rPr>
          <w:sz w:val="24"/>
          <w:szCs w:val="24"/>
        </w:rPr>
        <w:t>fluticasonpropionat</w:t>
      </w:r>
      <w:proofErr w:type="spellEnd"/>
      <w:r w:rsidRPr="002F7765">
        <w:rPr>
          <w:sz w:val="24"/>
          <w:szCs w:val="24"/>
        </w:rPr>
        <w:t xml:space="preserve"> til gravide kvinder. Dyreforsøg har vist, at </w:t>
      </w:r>
      <w:proofErr w:type="spellStart"/>
      <w:r w:rsidRPr="002F7765">
        <w:rPr>
          <w:sz w:val="24"/>
          <w:szCs w:val="24"/>
        </w:rPr>
        <w:t>fluticasonpropionat</w:t>
      </w:r>
      <w:proofErr w:type="spellEnd"/>
      <w:r w:rsidRPr="002F7765">
        <w:rPr>
          <w:sz w:val="24"/>
          <w:szCs w:val="24"/>
        </w:rPr>
        <w:t xml:space="preserve"> forårsager medfødte misdannelser (se pkt. 5.3). Den systemiske koncentration af </w:t>
      </w:r>
      <w:proofErr w:type="spellStart"/>
      <w:r w:rsidRPr="002F7765">
        <w:rPr>
          <w:sz w:val="24"/>
          <w:szCs w:val="24"/>
        </w:rPr>
        <w:t>fluticason</w:t>
      </w:r>
      <w:proofErr w:type="spellEnd"/>
      <w:r w:rsidRPr="002F7765">
        <w:rPr>
          <w:sz w:val="24"/>
          <w:szCs w:val="24"/>
        </w:rPr>
        <w:t xml:space="preserve"> efter inhalation er imidlertid meget lav, og placenta er en rig kilde til enzymer, som kan </w:t>
      </w:r>
      <w:proofErr w:type="spellStart"/>
      <w:r w:rsidRPr="002F7765">
        <w:rPr>
          <w:sz w:val="24"/>
          <w:szCs w:val="24"/>
        </w:rPr>
        <w:t>metabolisere</w:t>
      </w:r>
      <w:proofErr w:type="spellEnd"/>
      <w:r w:rsidRPr="002F7765">
        <w:rPr>
          <w:sz w:val="24"/>
          <w:szCs w:val="24"/>
        </w:rPr>
        <w:t xml:space="preserve"> </w:t>
      </w:r>
      <w:proofErr w:type="spellStart"/>
      <w:r w:rsidRPr="002F7765">
        <w:rPr>
          <w:sz w:val="24"/>
          <w:szCs w:val="24"/>
        </w:rPr>
        <w:t>kortikosteroider</w:t>
      </w:r>
      <w:proofErr w:type="spellEnd"/>
      <w:r w:rsidRPr="002F7765">
        <w:rPr>
          <w:sz w:val="24"/>
          <w:szCs w:val="24"/>
        </w:rPr>
        <w:t>. Derfor er det usandsynligt, at embryoet eller fosteret bliver eksponeret i klinisk signifikant grad.</w:t>
      </w:r>
    </w:p>
    <w:p w14:paraId="5EE5F1A9" w14:textId="77777777" w:rsidR="00DC427A" w:rsidRPr="002F7765" w:rsidRDefault="00DC427A" w:rsidP="009A2324">
      <w:pPr>
        <w:ind w:left="851"/>
        <w:rPr>
          <w:sz w:val="24"/>
          <w:szCs w:val="24"/>
        </w:rPr>
      </w:pPr>
    </w:p>
    <w:p w14:paraId="3674CC11" w14:textId="77777777" w:rsidR="00DC427A" w:rsidRPr="002F7765" w:rsidRDefault="00DC427A" w:rsidP="009A2324">
      <w:pPr>
        <w:ind w:left="851"/>
        <w:rPr>
          <w:iCs/>
          <w:sz w:val="24"/>
          <w:szCs w:val="24"/>
        </w:rPr>
      </w:pPr>
      <w:r w:rsidRPr="002F7765">
        <w:rPr>
          <w:sz w:val="24"/>
          <w:szCs w:val="24"/>
        </w:rPr>
        <w:t xml:space="preserve">Af forsigtighedshensyn er det bedst at undgå brug af </w:t>
      </w:r>
      <w:proofErr w:type="spellStart"/>
      <w:r w:rsidRPr="002F7765">
        <w:rPr>
          <w:sz w:val="24"/>
          <w:szCs w:val="24"/>
        </w:rPr>
        <w:t>Flurhin</w:t>
      </w:r>
      <w:proofErr w:type="spellEnd"/>
      <w:r w:rsidRPr="002F7765">
        <w:rPr>
          <w:sz w:val="24"/>
          <w:szCs w:val="24"/>
        </w:rPr>
        <w:t xml:space="preserve"> i graviditeten.</w:t>
      </w:r>
    </w:p>
    <w:p w14:paraId="39C582B1" w14:textId="00792282" w:rsidR="0009272C" w:rsidRDefault="0009272C">
      <w:pPr>
        <w:rPr>
          <w:noProof/>
          <w:sz w:val="24"/>
          <w:szCs w:val="24"/>
        </w:rPr>
      </w:pPr>
      <w:r>
        <w:rPr>
          <w:noProof/>
          <w:sz w:val="24"/>
          <w:szCs w:val="24"/>
        </w:rPr>
        <w:br w:type="page"/>
      </w:r>
    </w:p>
    <w:p w14:paraId="422D918B" w14:textId="77777777" w:rsidR="00DC427A" w:rsidRPr="002F7765" w:rsidRDefault="00DC427A" w:rsidP="009A2324">
      <w:pPr>
        <w:ind w:left="851"/>
        <w:rPr>
          <w:noProof/>
          <w:sz w:val="24"/>
          <w:szCs w:val="24"/>
        </w:rPr>
      </w:pPr>
    </w:p>
    <w:p w14:paraId="693383F5" w14:textId="77777777" w:rsidR="00DC427A" w:rsidRPr="002F7765" w:rsidRDefault="00DC427A" w:rsidP="009A2324">
      <w:pPr>
        <w:ind w:left="851"/>
        <w:rPr>
          <w:noProof/>
          <w:sz w:val="24"/>
          <w:szCs w:val="24"/>
          <w:u w:val="single"/>
        </w:rPr>
      </w:pPr>
      <w:r w:rsidRPr="002F7765">
        <w:rPr>
          <w:sz w:val="24"/>
          <w:szCs w:val="24"/>
          <w:u w:val="single"/>
        </w:rPr>
        <w:t>Amning</w:t>
      </w:r>
    </w:p>
    <w:p w14:paraId="3B96B781" w14:textId="77777777" w:rsidR="00DC427A" w:rsidRPr="002F7765" w:rsidRDefault="00DC427A" w:rsidP="009A2324">
      <w:pPr>
        <w:ind w:left="851"/>
        <w:rPr>
          <w:sz w:val="24"/>
          <w:szCs w:val="24"/>
        </w:rPr>
      </w:pPr>
      <w:r w:rsidRPr="002F7765">
        <w:rPr>
          <w:sz w:val="24"/>
          <w:szCs w:val="24"/>
        </w:rPr>
        <w:t xml:space="preserve">Det er ukendt, om </w:t>
      </w:r>
      <w:proofErr w:type="spellStart"/>
      <w:r w:rsidRPr="002F7765">
        <w:rPr>
          <w:sz w:val="24"/>
          <w:szCs w:val="24"/>
        </w:rPr>
        <w:t>fluticasonpropionat</w:t>
      </w:r>
      <w:proofErr w:type="spellEnd"/>
      <w:r w:rsidRPr="002F7765">
        <w:rPr>
          <w:sz w:val="24"/>
          <w:szCs w:val="24"/>
        </w:rPr>
        <w:t xml:space="preserve">/metabolitter udskilles i human mælk. Subkutan administration af </w:t>
      </w:r>
      <w:proofErr w:type="spellStart"/>
      <w:r w:rsidRPr="002F7765">
        <w:rPr>
          <w:sz w:val="24"/>
          <w:szCs w:val="24"/>
        </w:rPr>
        <w:t>fluticasonpropionat</w:t>
      </w:r>
      <w:proofErr w:type="spellEnd"/>
      <w:r w:rsidRPr="002F7765">
        <w:rPr>
          <w:sz w:val="24"/>
          <w:szCs w:val="24"/>
        </w:rPr>
        <w:t xml:space="preserve"> hos rotter frembragte målbare plasmaniveauer og evidens for </w:t>
      </w:r>
      <w:proofErr w:type="spellStart"/>
      <w:r w:rsidRPr="002F7765">
        <w:rPr>
          <w:sz w:val="24"/>
          <w:szCs w:val="24"/>
        </w:rPr>
        <w:t>fluticasonpropionat</w:t>
      </w:r>
      <w:proofErr w:type="spellEnd"/>
      <w:r w:rsidRPr="002F7765">
        <w:rPr>
          <w:sz w:val="24"/>
          <w:szCs w:val="24"/>
        </w:rPr>
        <w:t xml:space="preserve"> i mælken. Efter intranasal administration forventes der imidlertid ingen virkninger på ammede nyfødte/spædbørn, da den systemiske eksponering for </w:t>
      </w:r>
      <w:proofErr w:type="spellStart"/>
      <w:r w:rsidRPr="002F7765">
        <w:rPr>
          <w:sz w:val="24"/>
          <w:szCs w:val="24"/>
        </w:rPr>
        <w:t>fluticasonpropionat</w:t>
      </w:r>
      <w:proofErr w:type="spellEnd"/>
      <w:r w:rsidRPr="002F7765">
        <w:rPr>
          <w:sz w:val="24"/>
          <w:szCs w:val="24"/>
        </w:rPr>
        <w:t xml:space="preserve"> hos kvinden er ubetydelig.</w:t>
      </w:r>
    </w:p>
    <w:p w14:paraId="200AA25D" w14:textId="77777777" w:rsidR="00DC427A" w:rsidRPr="002F7765" w:rsidRDefault="00DC427A" w:rsidP="009A2324">
      <w:pPr>
        <w:autoSpaceDE w:val="0"/>
        <w:autoSpaceDN w:val="0"/>
        <w:adjustRightInd w:val="0"/>
        <w:ind w:left="851"/>
        <w:rPr>
          <w:rFonts w:eastAsia="SimSun"/>
          <w:color w:val="000000"/>
          <w:sz w:val="24"/>
          <w:szCs w:val="24"/>
          <w:lang w:eastAsia="zh-CN"/>
        </w:rPr>
      </w:pPr>
    </w:p>
    <w:p w14:paraId="53037CBC" w14:textId="77777777" w:rsidR="00DC427A" w:rsidRPr="002F7765" w:rsidRDefault="00DC427A" w:rsidP="009A2324">
      <w:pPr>
        <w:ind w:left="851"/>
        <w:rPr>
          <w:rFonts w:eastAsiaTheme="minorHAnsi"/>
          <w:sz w:val="24"/>
          <w:szCs w:val="24"/>
        </w:rPr>
      </w:pPr>
      <w:proofErr w:type="spellStart"/>
      <w:r w:rsidRPr="002F7765">
        <w:rPr>
          <w:sz w:val="24"/>
          <w:szCs w:val="24"/>
        </w:rPr>
        <w:t>Fluticasonpropionat</w:t>
      </w:r>
      <w:proofErr w:type="spellEnd"/>
      <w:r w:rsidRPr="002F7765">
        <w:rPr>
          <w:sz w:val="24"/>
          <w:szCs w:val="24"/>
        </w:rPr>
        <w:t xml:space="preserve"> kan anvendes under amning.</w:t>
      </w:r>
    </w:p>
    <w:p w14:paraId="47D525EB" w14:textId="77777777" w:rsidR="00DC427A" w:rsidRPr="002F7765" w:rsidRDefault="00DC427A" w:rsidP="009A2324">
      <w:pPr>
        <w:ind w:left="851"/>
        <w:rPr>
          <w:sz w:val="24"/>
          <w:szCs w:val="24"/>
          <w:lang w:eastAsia="zh-CN"/>
        </w:rPr>
      </w:pPr>
    </w:p>
    <w:p w14:paraId="571C783E" w14:textId="77777777" w:rsidR="00DC427A" w:rsidRPr="002F7765" w:rsidRDefault="00DC427A" w:rsidP="009A2324">
      <w:pPr>
        <w:ind w:left="851"/>
        <w:rPr>
          <w:sz w:val="24"/>
          <w:szCs w:val="24"/>
          <w:u w:val="single"/>
        </w:rPr>
      </w:pPr>
      <w:r w:rsidRPr="002F7765">
        <w:rPr>
          <w:sz w:val="24"/>
          <w:szCs w:val="24"/>
          <w:u w:val="single"/>
        </w:rPr>
        <w:t>Fertilitet</w:t>
      </w:r>
    </w:p>
    <w:p w14:paraId="310DA3D1" w14:textId="77777777" w:rsidR="00DC427A" w:rsidRPr="002F7765" w:rsidRDefault="00DC427A" w:rsidP="009A2324">
      <w:pPr>
        <w:ind w:left="851"/>
        <w:rPr>
          <w:sz w:val="24"/>
          <w:szCs w:val="24"/>
        </w:rPr>
      </w:pPr>
      <w:r w:rsidRPr="002F7765">
        <w:rPr>
          <w:sz w:val="24"/>
          <w:szCs w:val="24"/>
        </w:rPr>
        <w:t xml:space="preserve">Der er ingen tilgængelige oplysninger om </w:t>
      </w:r>
      <w:proofErr w:type="spellStart"/>
      <w:r w:rsidRPr="002F7765">
        <w:rPr>
          <w:sz w:val="24"/>
          <w:szCs w:val="24"/>
        </w:rPr>
        <w:t>fluticasonpropionats</w:t>
      </w:r>
      <w:proofErr w:type="spellEnd"/>
      <w:r w:rsidRPr="002F7765">
        <w:rPr>
          <w:sz w:val="24"/>
          <w:szCs w:val="24"/>
        </w:rPr>
        <w:t xml:space="preserve"> virkning på fertiliteten hos mennesker. Dyreforsøg indikerer hverken direkte eller indirekte skadelige virkninger, hvad angår fertilitet.</w:t>
      </w:r>
    </w:p>
    <w:p w14:paraId="371A6886" w14:textId="77777777" w:rsidR="009260DE" w:rsidRPr="002F7765" w:rsidRDefault="009260DE" w:rsidP="009260DE">
      <w:pPr>
        <w:tabs>
          <w:tab w:val="left" w:pos="851"/>
        </w:tabs>
        <w:ind w:left="851"/>
        <w:rPr>
          <w:sz w:val="24"/>
          <w:szCs w:val="24"/>
        </w:rPr>
      </w:pPr>
    </w:p>
    <w:p w14:paraId="0B28A059" w14:textId="77777777" w:rsidR="009260DE" w:rsidRPr="002F7765" w:rsidRDefault="009260DE" w:rsidP="009260DE">
      <w:pPr>
        <w:tabs>
          <w:tab w:val="left" w:pos="851"/>
        </w:tabs>
        <w:ind w:left="851" w:hanging="851"/>
        <w:rPr>
          <w:b/>
          <w:sz w:val="24"/>
          <w:szCs w:val="24"/>
        </w:rPr>
      </w:pPr>
      <w:r w:rsidRPr="002F7765">
        <w:rPr>
          <w:b/>
          <w:sz w:val="24"/>
          <w:szCs w:val="24"/>
        </w:rPr>
        <w:t>4.7</w:t>
      </w:r>
      <w:r w:rsidRPr="002F7765">
        <w:rPr>
          <w:b/>
          <w:sz w:val="24"/>
          <w:szCs w:val="24"/>
        </w:rPr>
        <w:tab/>
        <w:t>Virkninger på evnen til at føre motorkøretøj eller betjene maskiner</w:t>
      </w:r>
    </w:p>
    <w:p w14:paraId="2E54F7B7" w14:textId="77777777" w:rsidR="009A2324" w:rsidRPr="002F7765" w:rsidRDefault="009A2324" w:rsidP="009A2324">
      <w:pPr>
        <w:ind w:left="851"/>
        <w:rPr>
          <w:sz w:val="24"/>
          <w:szCs w:val="24"/>
        </w:rPr>
      </w:pPr>
      <w:r w:rsidRPr="002F7765">
        <w:rPr>
          <w:sz w:val="24"/>
          <w:szCs w:val="24"/>
        </w:rPr>
        <w:t>Ikke mærkning.</w:t>
      </w:r>
    </w:p>
    <w:p w14:paraId="27CCDF23" w14:textId="6BEE4188" w:rsidR="00DC427A" w:rsidRPr="002F7765" w:rsidRDefault="00DC427A" w:rsidP="009A2324">
      <w:pPr>
        <w:ind w:left="851"/>
        <w:rPr>
          <w:sz w:val="24"/>
          <w:szCs w:val="24"/>
        </w:rPr>
      </w:pPr>
      <w:proofErr w:type="spellStart"/>
      <w:r w:rsidRPr="002F7765">
        <w:rPr>
          <w:sz w:val="24"/>
          <w:szCs w:val="24"/>
        </w:rPr>
        <w:t>Flurhin</w:t>
      </w:r>
      <w:proofErr w:type="spellEnd"/>
      <w:r w:rsidRPr="002F7765">
        <w:rPr>
          <w:sz w:val="24"/>
          <w:szCs w:val="24"/>
        </w:rPr>
        <w:t xml:space="preserve"> påvirker ikke eller kun i ubetydelig grad evnen til at føre motorkøretøj og betjene maskiner.</w:t>
      </w:r>
    </w:p>
    <w:p w14:paraId="79990047" w14:textId="77777777" w:rsidR="00DC427A" w:rsidRPr="002F7765" w:rsidRDefault="00DC427A" w:rsidP="009A2324">
      <w:pPr>
        <w:ind w:left="851"/>
        <w:rPr>
          <w:sz w:val="24"/>
          <w:szCs w:val="24"/>
        </w:rPr>
      </w:pPr>
    </w:p>
    <w:p w14:paraId="7DAC9754" w14:textId="77777777" w:rsidR="00DC427A" w:rsidRPr="002F7765" w:rsidRDefault="00DC427A" w:rsidP="009A2324">
      <w:pPr>
        <w:ind w:left="851"/>
        <w:rPr>
          <w:sz w:val="24"/>
          <w:szCs w:val="24"/>
        </w:rPr>
      </w:pPr>
      <w:r w:rsidRPr="002F7765">
        <w:rPr>
          <w:sz w:val="24"/>
          <w:szCs w:val="24"/>
        </w:rPr>
        <w:t xml:space="preserve">Der er rapporteret om synsforstyrrelser med intranasalt </w:t>
      </w:r>
      <w:proofErr w:type="spellStart"/>
      <w:r w:rsidRPr="002F7765">
        <w:rPr>
          <w:sz w:val="24"/>
          <w:szCs w:val="24"/>
        </w:rPr>
        <w:t>fluticasonpropionat</w:t>
      </w:r>
      <w:proofErr w:type="spellEnd"/>
      <w:r w:rsidRPr="002F7765">
        <w:rPr>
          <w:sz w:val="24"/>
          <w:szCs w:val="24"/>
        </w:rPr>
        <w:t>. Patienter, der oplever sløret syn eller andre synsforstyrrelser, bør informeres om, at de skal undgå aktiviteter såsom bilkørsel og betjening af maskiner.</w:t>
      </w:r>
    </w:p>
    <w:p w14:paraId="6FCF14F5" w14:textId="77777777" w:rsidR="009260DE" w:rsidRPr="002F7765" w:rsidRDefault="009260DE" w:rsidP="009260DE">
      <w:pPr>
        <w:tabs>
          <w:tab w:val="left" w:pos="851"/>
        </w:tabs>
        <w:ind w:left="851"/>
        <w:rPr>
          <w:sz w:val="24"/>
          <w:szCs w:val="24"/>
        </w:rPr>
      </w:pPr>
    </w:p>
    <w:p w14:paraId="7663F49C" w14:textId="77777777" w:rsidR="009260DE" w:rsidRPr="002F7765" w:rsidRDefault="009260DE" w:rsidP="009260DE">
      <w:pPr>
        <w:tabs>
          <w:tab w:val="left" w:pos="851"/>
        </w:tabs>
        <w:ind w:left="851" w:hanging="851"/>
        <w:rPr>
          <w:b/>
          <w:sz w:val="24"/>
          <w:szCs w:val="24"/>
        </w:rPr>
      </w:pPr>
      <w:r w:rsidRPr="002F7765">
        <w:rPr>
          <w:b/>
          <w:sz w:val="24"/>
          <w:szCs w:val="24"/>
        </w:rPr>
        <w:t>4.8</w:t>
      </w:r>
      <w:r w:rsidRPr="002F7765">
        <w:rPr>
          <w:b/>
          <w:sz w:val="24"/>
          <w:szCs w:val="24"/>
        </w:rPr>
        <w:tab/>
        <w:t>Bivirkninger</w:t>
      </w:r>
    </w:p>
    <w:p w14:paraId="242B1117" w14:textId="77777777" w:rsidR="00684DD2" w:rsidRPr="002F7765" w:rsidRDefault="00684DD2" w:rsidP="009A2324">
      <w:pPr>
        <w:autoSpaceDE w:val="0"/>
        <w:autoSpaceDN w:val="0"/>
        <w:adjustRightInd w:val="0"/>
        <w:ind w:left="851"/>
        <w:rPr>
          <w:sz w:val="24"/>
          <w:szCs w:val="24"/>
        </w:rPr>
      </w:pPr>
      <w:r w:rsidRPr="002F7765">
        <w:rPr>
          <w:sz w:val="24"/>
          <w:szCs w:val="24"/>
        </w:rPr>
        <w:t xml:space="preserve">Den mest almindelige bivirkning efter administration er </w:t>
      </w:r>
      <w:proofErr w:type="spellStart"/>
      <w:r w:rsidRPr="002F7765">
        <w:rPr>
          <w:sz w:val="24"/>
          <w:szCs w:val="24"/>
        </w:rPr>
        <w:t>epistaxis</w:t>
      </w:r>
      <w:proofErr w:type="spellEnd"/>
      <w:r w:rsidRPr="002F7765">
        <w:rPr>
          <w:sz w:val="24"/>
          <w:szCs w:val="24"/>
        </w:rPr>
        <w:t xml:space="preserve">, som i de fleste tilfælde er ikke-alvorlig og selvbegrænsende. De mest alvorlige bivirkninger er </w:t>
      </w:r>
      <w:proofErr w:type="spellStart"/>
      <w:r w:rsidRPr="002F7765">
        <w:rPr>
          <w:sz w:val="24"/>
          <w:szCs w:val="24"/>
        </w:rPr>
        <w:t>anafylaktiske</w:t>
      </w:r>
      <w:proofErr w:type="spellEnd"/>
      <w:r w:rsidRPr="002F7765">
        <w:rPr>
          <w:sz w:val="24"/>
          <w:szCs w:val="24"/>
        </w:rPr>
        <w:t>/</w:t>
      </w:r>
      <w:proofErr w:type="spellStart"/>
      <w:r w:rsidRPr="002F7765">
        <w:rPr>
          <w:sz w:val="24"/>
          <w:szCs w:val="24"/>
        </w:rPr>
        <w:t>anafylaktoide</w:t>
      </w:r>
      <w:proofErr w:type="spellEnd"/>
      <w:r w:rsidRPr="002F7765">
        <w:rPr>
          <w:sz w:val="24"/>
          <w:szCs w:val="24"/>
        </w:rPr>
        <w:t xml:space="preserve"> reaktioner, </w:t>
      </w:r>
      <w:proofErr w:type="spellStart"/>
      <w:r w:rsidRPr="002F7765">
        <w:rPr>
          <w:sz w:val="24"/>
          <w:szCs w:val="24"/>
        </w:rPr>
        <w:t>bronkospasmer</w:t>
      </w:r>
      <w:proofErr w:type="spellEnd"/>
      <w:r w:rsidRPr="002F7765">
        <w:rPr>
          <w:sz w:val="24"/>
          <w:szCs w:val="24"/>
        </w:rPr>
        <w:t xml:space="preserve"> og perforation af næseskillevæggen.</w:t>
      </w:r>
    </w:p>
    <w:p w14:paraId="233B77EC" w14:textId="77777777" w:rsidR="00684DD2" w:rsidRPr="002F7765" w:rsidRDefault="00684DD2" w:rsidP="009A2324">
      <w:pPr>
        <w:ind w:left="851"/>
        <w:rPr>
          <w:sz w:val="24"/>
          <w:szCs w:val="24"/>
        </w:rPr>
      </w:pPr>
    </w:p>
    <w:p w14:paraId="3B746709" w14:textId="77777777" w:rsidR="00684DD2" w:rsidRPr="002F7765" w:rsidRDefault="00684DD2" w:rsidP="009A2324">
      <w:pPr>
        <w:ind w:left="851"/>
        <w:rPr>
          <w:sz w:val="24"/>
          <w:szCs w:val="24"/>
        </w:rPr>
      </w:pPr>
      <w:r w:rsidRPr="002F7765">
        <w:rPr>
          <w:sz w:val="24"/>
          <w:szCs w:val="24"/>
        </w:rPr>
        <w:t xml:space="preserve">Meget almindelige og almindelige hændelser er generelt udledt af kliniske studiedata. Meget sjældne hændelser er generelt udledt af spontane indberetninger efter markedsføringen. Ved tildelingen af hyppigheder er der ikke taget højde for </w:t>
      </w:r>
      <w:proofErr w:type="spellStart"/>
      <w:r w:rsidRPr="002F7765">
        <w:rPr>
          <w:sz w:val="24"/>
          <w:szCs w:val="24"/>
        </w:rPr>
        <w:t>baggrundsincidensen</w:t>
      </w:r>
      <w:proofErr w:type="spellEnd"/>
      <w:r w:rsidRPr="002F7765">
        <w:rPr>
          <w:sz w:val="24"/>
          <w:szCs w:val="24"/>
        </w:rPr>
        <w:t xml:space="preserve"> i placebogrupperne.</w:t>
      </w:r>
    </w:p>
    <w:p w14:paraId="7BA196FD" w14:textId="77777777" w:rsidR="00684DD2" w:rsidRPr="002F7765" w:rsidRDefault="00684DD2" w:rsidP="009A2324">
      <w:pPr>
        <w:ind w:left="851"/>
        <w:rPr>
          <w:sz w:val="24"/>
          <w:szCs w:val="24"/>
        </w:rPr>
      </w:pPr>
      <w:r w:rsidRPr="002F7765">
        <w:rPr>
          <w:sz w:val="24"/>
          <w:szCs w:val="24"/>
        </w:rPr>
        <w:t>Bivirkningerne er angivet nedenfor efter systemorganklasse og følgende hyppighedskategorier:</w:t>
      </w:r>
    </w:p>
    <w:p w14:paraId="012A5622" w14:textId="77777777" w:rsidR="00684DD2" w:rsidRPr="002F7765" w:rsidRDefault="00684DD2" w:rsidP="009A2324">
      <w:pPr>
        <w:ind w:left="851"/>
        <w:rPr>
          <w:sz w:val="24"/>
          <w:szCs w:val="24"/>
        </w:rPr>
      </w:pPr>
    </w:p>
    <w:p w14:paraId="50371152" w14:textId="77777777" w:rsidR="00684DD2" w:rsidRPr="002F7765" w:rsidRDefault="00684DD2" w:rsidP="009A2324">
      <w:pPr>
        <w:tabs>
          <w:tab w:val="left" w:pos="1701"/>
        </w:tabs>
        <w:ind w:left="851"/>
        <w:rPr>
          <w:sz w:val="24"/>
          <w:szCs w:val="24"/>
        </w:rPr>
      </w:pPr>
      <w:r w:rsidRPr="002F7765">
        <w:rPr>
          <w:sz w:val="24"/>
          <w:szCs w:val="24"/>
        </w:rPr>
        <w:t>Meget almindelig</w:t>
      </w:r>
      <w:r w:rsidRPr="002F7765">
        <w:rPr>
          <w:sz w:val="24"/>
          <w:szCs w:val="24"/>
        </w:rPr>
        <w:tab/>
        <w:t>≥1/10</w:t>
      </w:r>
    </w:p>
    <w:p w14:paraId="6BA04EC1" w14:textId="77777777" w:rsidR="00684DD2" w:rsidRPr="002F7765" w:rsidRDefault="00684DD2" w:rsidP="009A2324">
      <w:pPr>
        <w:tabs>
          <w:tab w:val="left" w:pos="1701"/>
        </w:tabs>
        <w:ind w:left="851"/>
        <w:rPr>
          <w:sz w:val="24"/>
          <w:szCs w:val="24"/>
        </w:rPr>
      </w:pPr>
      <w:r w:rsidRPr="002F7765">
        <w:rPr>
          <w:sz w:val="24"/>
          <w:szCs w:val="24"/>
        </w:rPr>
        <w:t>Almindelig</w:t>
      </w:r>
      <w:r w:rsidRPr="002F7765">
        <w:rPr>
          <w:sz w:val="24"/>
          <w:szCs w:val="24"/>
        </w:rPr>
        <w:tab/>
        <w:t>≥1/100 til &lt;1/10</w:t>
      </w:r>
    </w:p>
    <w:p w14:paraId="7FFA30DB" w14:textId="77777777" w:rsidR="00684DD2" w:rsidRPr="002F7765" w:rsidRDefault="00684DD2" w:rsidP="009A2324">
      <w:pPr>
        <w:tabs>
          <w:tab w:val="left" w:pos="1701"/>
        </w:tabs>
        <w:ind w:left="851"/>
        <w:rPr>
          <w:sz w:val="24"/>
          <w:szCs w:val="24"/>
        </w:rPr>
      </w:pPr>
      <w:r w:rsidRPr="002F7765">
        <w:rPr>
          <w:sz w:val="24"/>
          <w:szCs w:val="24"/>
        </w:rPr>
        <w:t>Meget sjælden</w:t>
      </w:r>
      <w:r w:rsidRPr="002F7765">
        <w:rPr>
          <w:sz w:val="24"/>
          <w:szCs w:val="24"/>
        </w:rPr>
        <w:tab/>
        <w:t>&lt;1/10.000</w:t>
      </w:r>
    </w:p>
    <w:p w14:paraId="3C312D62" w14:textId="77777777" w:rsidR="00684DD2" w:rsidRPr="002F7765" w:rsidRDefault="00684DD2" w:rsidP="009A2324">
      <w:pPr>
        <w:tabs>
          <w:tab w:val="left" w:pos="1701"/>
        </w:tabs>
        <w:ind w:left="851"/>
        <w:rPr>
          <w:sz w:val="24"/>
          <w:szCs w:val="24"/>
        </w:rPr>
      </w:pPr>
      <w:r w:rsidRPr="002F7765">
        <w:rPr>
          <w:sz w:val="24"/>
          <w:szCs w:val="24"/>
        </w:rPr>
        <w:t>Ikke kendt</w:t>
      </w:r>
      <w:r w:rsidRPr="002F7765">
        <w:rPr>
          <w:sz w:val="24"/>
          <w:szCs w:val="24"/>
        </w:rPr>
        <w:tab/>
        <w:t>Hyppigheden kan ikke estimeres ud fra de forhåndenværende data</w:t>
      </w:r>
    </w:p>
    <w:p w14:paraId="45A6CAC3" w14:textId="77777777" w:rsidR="00684DD2" w:rsidRPr="002F7765" w:rsidRDefault="00684DD2" w:rsidP="00684DD2">
      <w:pPr>
        <w:rPr>
          <w:sz w:val="24"/>
          <w:szCs w:val="24"/>
        </w:rPr>
      </w:pPr>
    </w:p>
    <w:tbl>
      <w:tblPr>
        <w:tblStyle w:val="Tabel-Gitter"/>
        <w:tblW w:w="8788" w:type="dxa"/>
        <w:tblInd w:w="851" w:type="dxa"/>
        <w:tblBorders>
          <w:top w:val="none" w:sz="0" w:space="0" w:color="auto"/>
          <w:left w:val="none" w:sz="0" w:space="0" w:color="auto"/>
          <w:right w:val="none" w:sz="0" w:space="0" w:color="auto"/>
        </w:tblBorders>
        <w:tblLook w:val="04A0" w:firstRow="1" w:lastRow="0" w:firstColumn="1" w:lastColumn="0" w:noHBand="0" w:noVBand="1"/>
      </w:tblPr>
      <w:tblGrid>
        <w:gridCol w:w="2193"/>
        <w:gridCol w:w="1327"/>
        <w:gridCol w:w="1380"/>
        <w:gridCol w:w="2899"/>
        <w:gridCol w:w="1113"/>
      </w:tblGrid>
      <w:tr w:rsidR="00E62721" w:rsidRPr="002F7765" w14:paraId="55825DA2" w14:textId="77777777" w:rsidTr="00E62721">
        <w:trPr>
          <w:cantSplit/>
          <w:tblHeader/>
        </w:trPr>
        <w:tc>
          <w:tcPr>
            <w:tcW w:w="2123" w:type="dxa"/>
            <w:tcBorders>
              <w:top w:val="nil"/>
              <w:left w:val="nil"/>
              <w:bottom w:val="double" w:sz="4" w:space="0" w:color="auto"/>
              <w:right w:val="single" w:sz="4" w:space="0" w:color="auto"/>
            </w:tcBorders>
          </w:tcPr>
          <w:p w14:paraId="436E0F26" w14:textId="77777777" w:rsidR="00E62721" w:rsidRPr="002F7765" w:rsidRDefault="00E62721" w:rsidP="000659C0">
            <w:pPr>
              <w:ind w:left="30"/>
              <w:rPr>
                <w:b/>
                <w:sz w:val="24"/>
                <w:szCs w:val="24"/>
              </w:rPr>
            </w:pPr>
            <w:r w:rsidRPr="002F7765">
              <w:rPr>
                <w:b/>
                <w:sz w:val="24"/>
                <w:szCs w:val="24"/>
              </w:rPr>
              <w:t>Systemorganklasse</w:t>
            </w:r>
          </w:p>
        </w:tc>
        <w:tc>
          <w:tcPr>
            <w:tcW w:w="1252" w:type="dxa"/>
            <w:tcBorders>
              <w:top w:val="nil"/>
              <w:left w:val="single" w:sz="4" w:space="0" w:color="auto"/>
              <w:bottom w:val="double" w:sz="4" w:space="0" w:color="auto"/>
              <w:right w:val="single" w:sz="4" w:space="0" w:color="auto"/>
            </w:tcBorders>
            <w:hideMark/>
          </w:tcPr>
          <w:p w14:paraId="7047EFBB" w14:textId="77777777" w:rsidR="00E62721" w:rsidRPr="002F7765" w:rsidRDefault="00E62721" w:rsidP="000659C0">
            <w:pPr>
              <w:ind w:left="30"/>
              <w:rPr>
                <w:b/>
                <w:sz w:val="24"/>
                <w:szCs w:val="24"/>
              </w:rPr>
            </w:pPr>
            <w:r w:rsidRPr="002F7765">
              <w:rPr>
                <w:b/>
                <w:sz w:val="24"/>
                <w:szCs w:val="24"/>
              </w:rPr>
              <w:t>Meget almindelig</w:t>
            </w:r>
          </w:p>
        </w:tc>
        <w:tc>
          <w:tcPr>
            <w:tcW w:w="1540" w:type="dxa"/>
            <w:tcBorders>
              <w:top w:val="nil"/>
              <w:left w:val="single" w:sz="4" w:space="0" w:color="auto"/>
              <w:bottom w:val="double" w:sz="4" w:space="0" w:color="auto"/>
              <w:right w:val="single" w:sz="4" w:space="0" w:color="auto"/>
            </w:tcBorders>
          </w:tcPr>
          <w:p w14:paraId="22B9FD42" w14:textId="77777777" w:rsidR="00E62721" w:rsidRPr="002F7765" w:rsidRDefault="00E62721" w:rsidP="000659C0">
            <w:pPr>
              <w:ind w:left="30"/>
              <w:rPr>
                <w:b/>
                <w:sz w:val="24"/>
                <w:szCs w:val="24"/>
              </w:rPr>
            </w:pPr>
            <w:r w:rsidRPr="002F7765">
              <w:rPr>
                <w:b/>
                <w:sz w:val="24"/>
                <w:szCs w:val="24"/>
              </w:rPr>
              <w:t>Almindelig</w:t>
            </w:r>
          </w:p>
        </w:tc>
        <w:tc>
          <w:tcPr>
            <w:tcW w:w="2758" w:type="dxa"/>
            <w:tcBorders>
              <w:top w:val="nil"/>
              <w:left w:val="single" w:sz="4" w:space="0" w:color="auto"/>
              <w:bottom w:val="double" w:sz="4" w:space="0" w:color="auto"/>
              <w:right w:val="single" w:sz="4" w:space="0" w:color="auto"/>
            </w:tcBorders>
          </w:tcPr>
          <w:p w14:paraId="28EE95DE" w14:textId="77777777" w:rsidR="00E62721" w:rsidRPr="002F7765" w:rsidRDefault="00E62721" w:rsidP="000659C0">
            <w:pPr>
              <w:ind w:left="30"/>
              <w:rPr>
                <w:b/>
                <w:sz w:val="24"/>
                <w:szCs w:val="24"/>
              </w:rPr>
            </w:pPr>
            <w:r w:rsidRPr="002F7765">
              <w:rPr>
                <w:b/>
                <w:sz w:val="24"/>
                <w:szCs w:val="24"/>
              </w:rPr>
              <w:t>Meget sjælden</w:t>
            </w:r>
          </w:p>
        </w:tc>
        <w:tc>
          <w:tcPr>
            <w:tcW w:w="1115" w:type="dxa"/>
            <w:tcBorders>
              <w:top w:val="nil"/>
              <w:left w:val="single" w:sz="4" w:space="0" w:color="auto"/>
              <w:bottom w:val="double" w:sz="4" w:space="0" w:color="auto"/>
              <w:right w:val="nil"/>
            </w:tcBorders>
          </w:tcPr>
          <w:p w14:paraId="42F96EFE" w14:textId="77777777" w:rsidR="00E62721" w:rsidRPr="002F7765" w:rsidRDefault="00E62721" w:rsidP="000659C0">
            <w:pPr>
              <w:ind w:left="30"/>
              <w:rPr>
                <w:b/>
                <w:sz w:val="24"/>
                <w:szCs w:val="24"/>
              </w:rPr>
            </w:pPr>
            <w:r w:rsidRPr="002F7765">
              <w:rPr>
                <w:b/>
                <w:sz w:val="24"/>
                <w:szCs w:val="24"/>
              </w:rPr>
              <w:t>Ikke kendt</w:t>
            </w:r>
          </w:p>
        </w:tc>
      </w:tr>
      <w:tr w:rsidR="00E62721" w:rsidRPr="002F7765" w14:paraId="3BC07E53" w14:textId="77777777" w:rsidTr="00E62721">
        <w:trPr>
          <w:cantSplit/>
        </w:trPr>
        <w:tc>
          <w:tcPr>
            <w:tcW w:w="2123" w:type="dxa"/>
            <w:tcBorders>
              <w:top w:val="double" w:sz="4" w:space="0" w:color="auto"/>
              <w:left w:val="nil"/>
              <w:bottom w:val="single" w:sz="4" w:space="0" w:color="auto"/>
              <w:right w:val="single" w:sz="4" w:space="0" w:color="auto"/>
            </w:tcBorders>
          </w:tcPr>
          <w:p w14:paraId="401777BA" w14:textId="588CD1DA" w:rsidR="00E62721" w:rsidRPr="002F7765" w:rsidRDefault="00E62721" w:rsidP="001E09DF">
            <w:pPr>
              <w:ind w:left="30"/>
              <w:rPr>
                <w:sz w:val="24"/>
                <w:szCs w:val="24"/>
              </w:rPr>
            </w:pPr>
            <w:r w:rsidRPr="002F7765">
              <w:rPr>
                <w:sz w:val="24"/>
                <w:szCs w:val="24"/>
              </w:rPr>
              <w:t>Immunsystemet</w:t>
            </w:r>
          </w:p>
        </w:tc>
        <w:tc>
          <w:tcPr>
            <w:tcW w:w="1252" w:type="dxa"/>
            <w:tcBorders>
              <w:top w:val="double" w:sz="4" w:space="0" w:color="auto"/>
              <w:left w:val="single" w:sz="4" w:space="0" w:color="auto"/>
              <w:bottom w:val="single" w:sz="4" w:space="0" w:color="auto"/>
              <w:right w:val="single" w:sz="4" w:space="0" w:color="auto"/>
            </w:tcBorders>
          </w:tcPr>
          <w:p w14:paraId="5F58E9FE" w14:textId="77777777" w:rsidR="00E62721" w:rsidRPr="002F7765" w:rsidRDefault="00E62721" w:rsidP="000659C0">
            <w:pPr>
              <w:ind w:left="30"/>
              <w:rPr>
                <w:sz w:val="24"/>
                <w:szCs w:val="24"/>
              </w:rPr>
            </w:pPr>
          </w:p>
        </w:tc>
        <w:tc>
          <w:tcPr>
            <w:tcW w:w="1540" w:type="dxa"/>
            <w:tcBorders>
              <w:top w:val="double" w:sz="4" w:space="0" w:color="auto"/>
              <w:left w:val="single" w:sz="4" w:space="0" w:color="auto"/>
              <w:bottom w:val="single" w:sz="4" w:space="0" w:color="auto"/>
              <w:right w:val="single" w:sz="4" w:space="0" w:color="auto"/>
            </w:tcBorders>
          </w:tcPr>
          <w:p w14:paraId="7115A3CA" w14:textId="77777777" w:rsidR="00E62721" w:rsidRPr="002F7765" w:rsidRDefault="00E62721" w:rsidP="000659C0">
            <w:pPr>
              <w:ind w:left="30"/>
              <w:rPr>
                <w:sz w:val="24"/>
                <w:szCs w:val="24"/>
              </w:rPr>
            </w:pPr>
          </w:p>
        </w:tc>
        <w:tc>
          <w:tcPr>
            <w:tcW w:w="2758" w:type="dxa"/>
            <w:tcBorders>
              <w:top w:val="double" w:sz="4" w:space="0" w:color="auto"/>
              <w:left w:val="single" w:sz="4" w:space="0" w:color="auto"/>
              <w:bottom w:val="single" w:sz="4" w:space="0" w:color="auto"/>
              <w:right w:val="single" w:sz="4" w:space="0" w:color="auto"/>
            </w:tcBorders>
            <w:hideMark/>
          </w:tcPr>
          <w:p w14:paraId="66397983" w14:textId="77777777" w:rsidR="00E62721" w:rsidRPr="002F7765" w:rsidRDefault="00E62721" w:rsidP="000659C0">
            <w:pPr>
              <w:autoSpaceDE w:val="0"/>
              <w:autoSpaceDN w:val="0"/>
              <w:adjustRightInd w:val="0"/>
              <w:ind w:left="30"/>
              <w:rPr>
                <w:sz w:val="24"/>
                <w:szCs w:val="24"/>
              </w:rPr>
            </w:pPr>
            <w:r w:rsidRPr="002F7765">
              <w:rPr>
                <w:sz w:val="24"/>
                <w:szCs w:val="24"/>
              </w:rPr>
              <w:t xml:space="preserve">Overfølsomhedsreaktioner, </w:t>
            </w:r>
            <w:proofErr w:type="spellStart"/>
            <w:r w:rsidRPr="002F7765">
              <w:rPr>
                <w:sz w:val="24"/>
                <w:szCs w:val="24"/>
              </w:rPr>
              <w:t>anafylaktiske</w:t>
            </w:r>
            <w:proofErr w:type="spellEnd"/>
            <w:r w:rsidRPr="002F7765">
              <w:rPr>
                <w:sz w:val="24"/>
                <w:szCs w:val="24"/>
              </w:rPr>
              <w:t>/</w:t>
            </w:r>
            <w:proofErr w:type="spellStart"/>
            <w:r w:rsidRPr="002F7765">
              <w:rPr>
                <w:sz w:val="24"/>
                <w:szCs w:val="24"/>
              </w:rPr>
              <w:t>anafylaktoide</w:t>
            </w:r>
            <w:proofErr w:type="spellEnd"/>
            <w:r w:rsidRPr="002F7765">
              <w:rPr>
                <w:sz w:val="24"/>
                <w:szCs w:val="24"/>
              </w:rPr>
              <w:t xml:space="preserve"> reaktioner, </w:t>
            </w:r>
            <w:proofErr w:type="spellStart"/>
            <w:r w:rsidRPr="002F7765">
              <w:rPr>
                <w:sz w:val="24"/>
                <w:szCs w:val="24"/>
              </w:rPr>
              <w:t>bronkospasmer</w:t>
            </w:r>
            <w:proofErr w:type="spellEnd"/>
            <w:r w:rsidRPr="002F7765">
              <w:rPr>
                <w:sz w:val="24"/>
                <w:szCs w:val="24"/>
              </w:rPr>
              <w:t>, hududslæt, ødem i ansigt og tunge.</w:t>
            </w:r>
          </w:p>
        </w:tc>
        <w:tc>
          <w:tcPr>
            <w:tcW w:w="1115" w:type="dxa"/>
            <w:tcBorders>
              <w:top w:val="double" w:sz="4" w:space="0" w:color="auto"/>
              <w:left w:val="single" w:sz="4" w:space="0" w:color="auto"/>
              <w:bottom w:val="single" w:sz="4" w:space="0" w:color="auto"/>
              <w:right w:val="nil"/>
            </w:tcBorders>
          </w:tcPr>
          <w:p w14:paraId="45F77D9E" w14:textId="77777777" w:rsidR="00E62721" w:rsidRPr="002F7765" w:rsidRDefault="00E62721" w:rsidP="000659C0">
            <w:pPr>
              <w:ind w:left="30"/>
              <w:rPr>
                <w:sz w:val="24"/>
                <w:szCs w:val="24"/>
              </w:rPr>
            </w:pPr>
          </w:p>
        </w:tc>
      </w:tr>
      <w:tr w:rsidR="00E62721" w:rsidRPr="002F7765" w14:paraId="70257CD4" w14:textId="77777777" w:rsidTr="00E62721">
        <w:trPr>
          <w:cantSplit/>
        </w:trPr>
        <w:tc>
          <w:tcPr>
            <w:tcW w:w="2123" w:type="dxa"/>
            <w:tcBorders>
              <w:top w:val="single" w:sz="4" w:space="0" w:color="auto"/>
              <w:left w:val="nil"/>
              <w:bottom w:val="single" w:sz="4" w:space="0" w:color="auto"/>
              <w:right w:val="single" w:sz="4" w:space="0" w:color="auto"/>
            </w:tcBorders>
          </w:tcPr>
          <w:p w14:paraId="3A30F9AD" w14:textId="2D5B7329" w:rsidR="00E62721" w:rsidRPr="002F7765" w:rsidRDefault="00E62721" w:rsidP="001E09DF">
            <w:pPr>
              <w:ind w:left="30"/>
              <w:rPr>
                <w:sz w:val="24"/>
                <w:szCs w:val="24"/>
              </w:rPr>
            </w:pPr>
            <w:r w:rsidRPr="002F7765">
              <w:rPr>
                <w:sz w:val="24"/>
                <w:szCs w:val="24"/>
              </w:rPr>
              <w:lastRenderedPageBreak/>
              <w:t>Nervesystemet</w:t>
            </w:r>
          </w:p>
        </w:tc>
        <w:tc>
          <w:tcPr>
            <w:tcW w:w="1252" w:type="dxa"/>
            <w:tcBorders>
              <w:top w:val="single" w:sz="4" w:space="0" w:color="auto"/>
              <w:left w:val="single" w:sz="4" w:space="0" w:color="auto"/>
              <w:bottom w:val="single" w:sz="4" w:space="0" w:color="auto"/>
              <w:right w:val="single" w:sz="4" w:space="0" w:color="auto"/>
            </w:tcBorders>
          </w:tcPr>
          <w:p w14:paraId="03E7285C" w14:textId="77777777" w:rsidR="00E62721" w:rsidRPr="002F7765" w:rsidRDefault="00E62721" w:rsidP="000659C0">
            <w:pPr>
              <w:ind w:left="30"/>
              <w:rPr>
                <w:sz w:val="24"/>
                <w:szCs w:val="24"/>
              </w:rPr>
            </w:pPr>
          </w:p>
        </w:tc>
        <w:tc>
          <w:tcPr>
            <w:tcW w:w="1540" w:type="dxa"/>
            <w:tcBorders>
              <w:top w:val="single" w:sz="4" w:space="0" w:color="auto"/>
              <w:left w:val="single" w:sz="4" w:space="0" w:color="auto"/>
              <w:bottom w:val="single" w:sz="4" w:space="0" w:color="auto"/>
              <w:right w:val="single" w:sz="4" w:space="0" w:color="auto"/>
            </w:tcBorders>
            <w:hideMark/>
          </w:tcPr>
          <w:p w14:paraId="560401F9" w14:textId="77777777" w:rsidR="00E62721" w:rsidRPr="002F7765" w:rsidRDefault="00E62721" w:rsidP="000659C0">
            <w:pPr>
              <w:ind w:left="30"/>
              <w:rPr>
                <w:sz w:val="24"/>
                <w:szCs w:val="24"/>
              </w:rPr>
            </w:pPr>
            <w:r w:rsidRPr="002F7765">
              <w:rPr>
                <w:sz w:val="24"/>
                <w:szCs w:val="24"/>
              </w:rPr>
              <w:t>Hovedpine, ubehagelig smag, ubehagelig lugt</w:t>
            </w:r>
          </w:p>
        </w:tc>
        <w:tc>
          <w:tcPr>
            <w:tcW w:w="2758" w:type="dxa"/>
            <w:tcBorders>
              <w:top w:val="single" w:sz="4" w:space="0" w:color="auto"/>
              <w:left w:val="single" w:sz="4" w:space="0" w:color="auto"/>
              <w:bottom w:val="single" w:sz="4" w:space="0" w:color="auto"/>
              <w:right w:val="single" w:sz="4" w:space="0" w:color="auto"/>
            </w:tcBorders>
          </w:tcPr>
          <w:p w14:paraId="72CCA244" w14:textId="77777777" w:rsidR="00E62721" w:rsidRPr="002F7765" w:rsidRDefault="00E62721" w:rsidP="000659C0">
            <w:pPr>
              <w:ind w:left="30"/>
              <w:rPr>
                <w:sz w:val="24"/>
                <w:szCs w:val="24"/>
              </w:rPr>
            </w:pPr>
          </w:p>
        </w:tc>
        <w:tc>
          <w:tcPr>
            <w:tcW w:w="1115" w:type="dxa"/>
            <w:tcBorders>
              <w:top w:val="single" w:sz="4" w:space="0" w:color="auto"/>
              <w:left w:val="single" w:sz="4" w:space="0" w:color="auto"/>
              <w:bottom w:val="single" w:sz="4" w:space="0" w:color="auto"/>
              <w:right w:val="nil"/>
            </w:tcBorders>
          </w:tcPr>
          <w:p w14:paraId="2F7A11BA" w14:textId="77777777" w:rsidR="00E62721" w:rsidRPr="002F7765" w:rsidRDefault="00E62721" w:rsidP="000659C0">
            <w:pPr>
              <w:ind w:left="30"/>
              <w:rPr>
                <w:sz w:val="24"/>
                <w:szCs w:val="24"/>
              </w:rPr>
            </w:pPr>
          </w:p>
        </w:tc>
      </w:tr>
      <w:tr w:rsidR="00E62721" w:rsidRPr="002F7765" w14:paraId="285D3E2C" w14:textId="77777777" w:rsidTr="00E62721">
        <w:trPr>
          <w:cantSplit/>
        </w:trPr>
        <w:tc>
          <w:tcPr>
            <w:tcW w:w="2123" w:type="dxa"/>
            <w:tcBorders>
              <w:top w:val="single" w:sz="4" w:space="0" w:color="auto"/>
              <w:left w:val="nil"/>
              <w:bottom w:val="single" w:sz="4" w:space="0" w:color="auto"/>
              <w:right w:val="single" w:sz="4" w:space="0" w:color="auto"/>
            </w:tcBorders>
          </w:tcPr>
          <w:p w14:paraId="59E8242D" w14:textId="285DB301" w:rsidR="00E62721" w:rsidRPr="002F7765" w:rsidRDefault="00E62721" w:rsidP="001E09DF">
            <w:pPr>
              <w:ind w:left="30"/>
              <w:rPr>
                <w:sz w:val="24"/>
                <w:szCs w:val="24"/>
              </w:rPr>
            </w:pPr>
            <w:r w:rsidRPr="002F7765">
              <w:rPr>
                <w:sz w:val="24"/>
                <w:szCs w:val="24"/>
              </w:rPr>
              <w:t>Øjne</w:t>
            </w:r>
          </w:p>
        </w:tc>
        <w:tc>
          <w:tcPr>
            <w:tcW w:w="1252" w:type="dxa"/>
            <w:tcBorders>
              <w:top w:val="single" w:sz="4" w:space="0" w:color="auto"/>
              <w:left w:val="single" w:sz="4" w:space="0" w:color="auto"/>
              <w:bottom w:val="single" w:sz="4" w:space="0" w:color="auto"/>
              <w:right w:val="single" w:sz="4" w:space="0" w:color="auto"/>
            </w:tcBorders>
          </w:tcPr>
          <w:p w14:paraId="39C0C9C9" w14:textId="77777777" w:rsidR="00E62721" w:rsidRPr="002F7765" w:rsidRDefault="00E62721" w:rsidP="000659C0">
            <w:pPr>
              <w:ind w:left="30"/>
              <w:rPr>
                <w:sz w:val="24"/>
                <w:szCs w:val="24"/>
              </w:rPr>
            </w:pPr>
          </w:p>
        </w:tc>
        <w:tc>
          <w:tcPr>
            <w:tcW w:w="1540" w:type="dxa"/>
            <w:tcBorders>
              <w:top w:val="single" w:sz="4" w:space="0" w:color="auto"/>
              <w:left w:val="single" w:sz="4" w:space="0" w:color="auto"/>
              <w:bottom w:val="single" w:sz="4" w:space="0" w:color="auto"/>
              <w:right w:val="single" w:sz="4" w:space="0" w:color="auto"/>
            </w:tcBorders>
          </w:tcPr>
          <w:p w14:paraId="3409EC07" w14:textId="77777777" w:rsidR="00E62721" w:rsidRPr="002F7765" w:rsidRDefault="00E62721" w:rsidP="000659C0">
            <w:pPr>
              <w:ind w:left="30"/>
              <w:rPr>
                <w:sz w:val="24"/>
                <w:szCs w:val="24"/>
              </w:rPr>
            </w:pPr>
          </w:p>
        </w:tc>
        <w:tc>
          <w:tcPr>
            <w:tcW w:w="2758" w:type="dxa"/>
            <w:tcBorders>
              <w:top w:val="single" w:sz="4" w:space="0" w:color="auto"/>
              <w:left w:val="single" w:sz="4" w:space="0" w:color="auto"/>
              <w:bottom w:val="single" w:sz="4" w:space="0" w:color="auto"/>
              <w:right w:val="single" w:sz="4" w:space="0" w:color="auto"/>
            </w:tcBorders>
            <w:hideMark/>
          </w:tcPr>
          <w:p w14:paraId="7BB0915F" w14:textId="59BBABD4" w:rsidR="00E62721" w:rsidRPr="002F7765" w:rsidRDefault="00E62721" w:rsidP="000659C0">
            <w:pPr>
              <w:ind w:left="30"/>
              <w:rPr>
                <w:sz w:val="24"/>
                <w:szCs w:val="24"/>
              </w:rPr>
            </w:pPr>
            <w:proofErr w:type="spellStart"/>
            <w:r w:rsidRPr="002F7765">
              <w:rPr>
                <w:sz w:val="24"/>
                <w:szCs w:val="24"/>
              </w:rPr>
              <w:t>Glaukom</w:t>
            </w:r>
            <w:proofErr w:type="spellEnd"/>
            <w:r w:rsidR="001E09DF" w:rsidRPr="00F34793">
              <w:rPr>
                <w:sz w:val="24"/>
                <w:szCs w:val="24"/>
                <w:vertAlign w:val="superscript"/>
              </w:rPr>
              <w:t>*</w:t>
            </w:r>
            <w:r w:rsidRPr="002F7765">
              <w:rPr>
                <w:sz w:val="24"/>
                <w:szCs w:val="24"/>
              </w:rPr>
              <w:t xml:space="preserve">, </w:t>
            </w:r>
            <w:proofErr w:type="spellStart"/>
            <w:r w:rsidRPr="002F7765">
              <w:rPr>
                <w:sz w:val="24"/>
                <w:szCs w:val="24"/>
              </w:rPr>
              <w:t>intraokulært</w:t>
            </w:r>
            <w:proofErr w:type="spellEnd"/>
            <w:r w:rsidRPr="002F7765">
              <w:rPr>
                <w:sz w:val="24"/>
                <w:szCs w:val="24"/>
              </w:rPr>
              <w:t xml:space="preserve"> tryk, katarakt</w:t>
            </w:r>
          </w:p>
        </w:tc>
        <w:tc>
          <w:tcPr>
            <w:tcW w:w="1115" w:type="dxa"/>
            <w:tcBorders>
              <w:top w:val="single" w:sz="4" w:space="0" w:color="auto"/>
              <w:left w:val="single" w:sz="4" w:space="0" w:color="auto"/>
              <w:bottom w:val="single" w:sz="4" w:space="0" w:color="auto"/>
              <w:right w:val="nil"/>
            </w:tcBorders>
            <w:hideMark/>
          </w:tcPr>
          <w:p w14:paraId="241480B7" w14:textId="1DC6725D" w:rsidR="00E62721" w:rsidRPr="002F7765" w:rsidRDefault="00E62721" w:rsidP="001E09DF">
            <w:pPr>
              <w:ind w:left="30"/>
              <w:rPr>
                <w:sz w:val="24"/>
                <w:szCs w:val="24"/>
              </w:rPr>
            </w:pPr>
            <w:r w:rsidRPr="002F7765">
              <w:rPr>
                <w:sz w:val="24"/>
                <w:szCs w:val="24"/>
              </w:rPr>
              <w:t>Sløret syn</w:t>
            </w:r>
            <w:r w:rsidR="001E09DF">
              <w:rPr>
                <w:sz w:val="24"/>
                <w:szCs w:val="24"/>
              </w:rPr>
              <w:t xml:space="preserve"> </w:t>
            </w:r>
            <w:r w:rsidRPr="002F7765">
              <w:rPr>
                <w:sz w:val="24"/>
                <w:szCs w:val="24"/>
              </w:rPr>
              <w:t>(se pkt. 4.4).</w:t>
            </w:r>
          </w:p>
        </w:tc>
      </w:tr>
      <w:tr w:rsidR="00E62721" w:rsidRPr="002F7765" w14:paraId="025C96CD" w14:textId="77777777" w:rsidTr="00E62721">
        <w:trPr>
          <w:cantSplit/>
        </w:trPr>
        <w:tc>
          <w:tcPr>
            <w:tcW w:w="2123" w:type="dxa"/>
            <w:tcBorders>
              <w:top w:val="single" w:sz="4" w:space="0" w:color="auto"/>
              <w:left w:val="nil"/>
              <w:bottom w:val="single" w:sz="4" w:space="0" w:color="auto"/>
              <w:right w:val="single" w:sz="4" w:space="0" w:color="auto"/>
            </w:tcBorders>
          </w:tcPr>
          <w:p w14:paraId="1E09AACF" w14:textId="2DA8EF4D" w:rsidR="00E62721" w:rsidRPr="002F7765" w:rsidRDefault="00E62721" w:rsidP="001E09DF">
            <w:pPr>
              <w:ind w:left="30"/>
              <w:rPr>
                <w:sz w:val="24"/>
                <w:szCs w:val="24"/>
              </w:rPr>
            </w:pPr>
            <w:r w:rsidRPr="002F7765">
              <w:rPr>
                <w:sz w:val="24"/>
                <w:szCs w:val="24"/>
              </w:rPr>
              <w:t xml:space="preserve">Luftveje, thorax og </w:t>
            </w:r>
            <w:proofErr w:type="spellStart"/>
            <w:r w:rsidRPr="002F7765">
              <w:rPr>
                <w:sz w:val="24"/>
                <w:szCs w:val="24"/>
              </w:rPr>
              <w:t>mediastinum</w:t>
            </w:r>
            <w:proofErr w:type="spellEnd"/>
          </w:p>
        </w:tc>
        <w:tc>
          <w:tcPr>
            <w:tcW w:w="1252" w:type="dxa"/>
            <w:tcBorders>
              <w:top w:val="single" w:sz="4" w:space="0" w:color="auto"/>
              <w:left w:val="single" w:sz="4" w:space="0" w:color="auto"/>
              <w:bottom w:val="single" w:sz="4" w:space="0" w:color="auto"/>
              <w:right w:val="single" w:sz="4" w:space="0" w:color="auto"/>
            </w:tcBorders>
          </w:tcPr>
          <w:p w14:paraId="317162F9" w14:textId="0BDF0EF0" w:rsidR="00E62721" w:rsidRPr="002F7765" w:rsidRDefault="00E62721" w:rsidP="001E09DF">
            <w:pPr>
              <w:ind w:left="30"/>
              <w:rPr>
                <w:sz w:val="24"/>
                <w:szCs w:val="24"/>
              </w:rPr>
            </w:pPr>
            <w:proofErr w:type="spellStart"/>
            <w:r w:rsidRPr="002F7765">
              <w:rPr>
                <w:sz w:val="24"/>
                <w:szCs w:val="24"/>
              </w:rPr>
              <w:t>Epistaxis</w:t>
            </w:r>
            <w:proofErr w:type="spellEnd"/>
          </w:p>
        </w:tc>
        <w:tc>
          <w:tcPr>
            <w:tcW w:w="1540" w:type="dxa"/>
            <w:tcBorders>
              <w:top w:val="single" w:sz="4" w:space="0" w:color="auto"/>
              <w:left w:val="single" w:sz="4" w:space="0" w:color="auto"/>
              <w:bottom w:val="single" w:sz="4" w:space="0" w:color="auto"/>
              <w:right w:val="single" w:sz="4" w:space="0" w:color="auto"/>
            </w:tcBorders>
            <w:hideMark/>
          </w:tcPr>
          <w:p w14:paraId="65EEAC78" w14:textId="77777777" w:rsidR="00E62721" w:rsidRPr="002F7765" w:rsidRDefault="00E62721" w:rsidP="000659C0">
            <w:pPr>
              <w:ind w:left="30"/>
              <w:rPr>
                <w:sz w:val="24"/>
                <w:szCs w:val="24"/>
              </w:rPr>
            </w:pPr>
            <w:r w:rsidRPr="002F7765">
              <w:rPr>
                <w:sz w:val="24"/>
                <w:szCs w:val="24"/>
              </w:rPr>
              <w:t>Nasal tørhed, nasal irritation, tørhed i halsen, irritation i halsen</w:t>
            </w:r>
          </w:p>
        </w:tc>
        <w:tc>
          <w:tcPr>
            <w:tcW w:w="2758" w:type="dxa"/>
            <w:tcBorders>
              <w:top w:val="single" w:sz="4" w:space="0" w:color="auto"/>
              <w:left w:val="single" w:sz="4" w:space="0" w:color="auto"/>
              <w:bottom w:val="single" w:sz="4" w:space="0" w:color="auto"/>
              <w:right w:val="single" w:sz="4" w:space="0" w:color="auto"/>
            </w:tcBorders>
          </w:tcPr>
          <w:p w14:paraId="1F0AD09B" w14:textId="72D1FE63" w:rsidR="00E62721" w:rsidRPr="002F7765" w:rsidRDefault="00E62721" w:rsidP="001E09DF">
            <w:pPr>
              <w:ind w:left="30"/>
              <w:rPr>
                <w:sz w:val="24"/>
                <w:szCs w:val="24"/>
              </w:rPr>
            </w:pPr>
            <w:r w:rsidRPr="002F7765">
              <w:rPr>
                <w:sz w:val="24"/>
                <w:szCs w:val="24"/>
              </w:rPr>
              <w:t>Perforation af næseskillevæggen</w:t>
            </w:r>
            <w:r w:rsidR="001E09DF" w:rsidRPr="00F34793">
              <w:rPr>
                <w:sz w:val="24"/>
                <w:szCs w:val="24"/>
                <w:vertAlign w:val="superscript"/>
              </w:rPr>
              <w:t>**</w:t>
            </w:r>
          </w:p>
        </w:tc>
        <w:tc>
          <w:tcPr>
            <w:tcW w:w="1115" w:type="dxa"/>
            <w:tcBorders>
              <w:top w:val="single" w:sz="4" w:space="0" w:color="auto"/>
              <w:left w:val="single" w:sz="4" w:space="0" w:color="auto"/>
              <w:bottom w:val="single" w:sz="4" w:space="0" w:color="auto"/>
              <w:right w:val="nil"/>
            </w:tcBorders>
          </w:tcPr>
          <w:p w14:paraId="79A0EE17" w14:textId="3B5EA9FD" w:rsidR="00E62721" w:rsidRPr="002F7765" w:rsidRDefault="00E62721" w:rsidP="001E09DF">
            <w:pPr>
              <w:ind w:left="30"/>
              <w:rPr>
                <w:sz w:val="24"/>
                <w:szCs w:val="24"/>
              </w:rPr>
            </w:pPr>
            <w:r w:rsidRPr="002F7765">
              <w:rPr>
                <w:sz w:val="24"/>
                <w:szCs w:val="24"/>
              </w:rPr>
              <w:t>Sår i næsen</w:t>
            </w:r>
          </w:p>
        </w:tc>
      </w:tr>
    </w:tbl>
    <w:p w14:paraId="3511DFAF" w14:textId="77777777" w:rsidR="00684DD2" w:rsidRPr="002F7765" w:rsidRDefault="00684DD2" w:rsidP="00E62721">
      <w:pPr>
        <w:pStyle w:val="Billedtekst"/>
        <w:ind w:left="1134" w:hanging="284"/>
        <w:rPr>
          <w:sz w:val="24"/>
          <w:szCs w:val="24"/>
        </w:rPr>
      </w:pPr>
      <w:r w:rsidRPr="002F7765">
        <w:rPr>
          <w:sz w:val="24"/>
          <w:szCs w:val="24"/>
          <w:vertAlign w:val="superscript"/>
        </w:rPr>
        <w:t>*</w:t>
      </w:r>
      <w:r w:rsidRPr="002F7765">
        <w:rPr>
          <w:sz w:val="24"/>
          <w:szCs w:val="24"/>
        </w:rPr>
        <w:tab/>
        <w:t>Bivirkninger, der er indberettet spontant efter markedsføringen efter langvarig behandling.</w:t>
      </w:r>
    </w:p>
    <w:p w14:paraId="09BF12AC" w14:textId="77777777" w:rsidR="00684DD2" w:rsidRPr="002F7765" w:rsidRDefault="00684DD2" w:rsidP="00E62721">
      <w:pPr>
        <w:pStyle w:val="Billedtekst"/>
        <w:ind w:left="1134" w:hanging="284"/>
        <w:rPr>
          <w:sz w:val="24"/>
          <w:szCs w:val="24"/>
        </w:rPr>
      </w:pPr>
      <w:r w:rsidRPr="002F7765">
        <w:rPr>
          <w:sz w:val="24"/>
          <w:szCs w:val="24"/>
          <w:vertAlign w:val="superscript"/>
        </w:rPr>
        <w:t>**</w:t>
      </w:r>
      <w:r w:rsidRPr="002F7765">
        <w:rPr>
          <w:sz w:val="24"/>
          <w:szCs w:val="24"/>
        </w:rPr>
        <w:tab/>
        <w:t xml:space="preserve">Klasseeffekt: Indberettet efter brug af intranasale </w:t>
      </w:r>
      <w:proofErr w:type="spellStart"/>
      <w:r w:rsidRPr="002F7765">
        <w:rPr>
          <w:sz w:val="24"/>
          <w:szCs w:val="24"/>
        </w:rPr>
        <w:t>kortikosteroider</w:t>
      </w:r>
      <w:proofErr w:type="spellEnd"/>
      <w:r w:rsidRPr="002F7765">
        <w:rPr>
          <w:sz w:val="24"/>
          <w:szCs w:val="24"/>
        </w:rPr>
        <w:t>.</w:t>
      </w:r>
    </w:p>
    <w:p w14:paraId="023C0FA7" w14:textId="77777777" w:rsidR="00684DD2" w:rsidRPr="002F7765" w:rsidRDefault="00684DD2" w:rsidP="00684DD2">
      <w:pPr>
        <w:rPr>
          <w:sz w:val="24"/>
          <w:szCs w:val="24"/>
        </w:rPr>
      </w:pPr>
    </w:p>
    <w:p w14:paraId="553131DD" w14:textId="77777777" w:rsidR="00684DD2" w:rsidRPr="002F7765" w:rsidRDefault="00684DD2" w:rsidP="00E62721">
      <w:pPr>
        <w:ind w:left="851"/>
        <w:rPr>
          <w:sz w:val="24"/>
          <w:szCs w:val="24"/>
        </w:rPr>
      </w:pPr>
      <w:r w:rsidRPr="002F7765">
        <w:rPr>
          <w:sz w:val="24"/>
          <w:szCs w:val="24"/>
        </w:rPr>
        <w:t xml:space="preserve">Systemiske virkninger kan forekomme med visse nasale </w:t>
      </w:r>
      <w:proofErr w:type="spellStart"/>
      <w:r w:rsidRPr="002F7765">
        <w:rPr>
          <w:sz w:val="24"/>
          <w:szCs w:val="24"/>
        </w:rPr>
        <w:t>kortikosteroider</w:t>
      </w:r>
      <w:proofErr w:type="spellEnd"/>
      <w:r w:rsidRPr="002F7765">
        <w:rPr>
          <w:sz w:val="24"/>
          <w:szCs w:val="24"/>
        </w:rPr>
        <w:t>, især ved ordination af høje doser i længere perioder (se pkt. 4.4).</w:t>
      </w:r>
    </w:p>
    <w:p w14:paraId="5B52CDF7" w14:textId="77777777" w:rsidR="00684DD2" w:rsidRPr="002F7765" w:rsidRDefault="00684DD2" w:rsidP="00E62721">
      <w:pPr>
        <w:ind w:left="851"/>
        <w:rPr>
          <w:sz w:val="24"/>
          <w:szCs w:val="24"/>
        </w:rPr>
      </w:pPr>
    </w:p>
    <w:p w14:paraId="12B4760B" w14:textId="77777777" w:rsidR="00684DD2" w:rsidRPr="002F7765" w:rsidRDefault="00684DD2" w:rsidP="00E62721">
      <w:pPr>
        <w:ind w:left="851"/>
        <w:rPr>
          <w:sz w:val="24"/>
          <w:szCs w:val="24"/>
          <w:u w:val="single"/>
        </w:rPr>
      </w:pPr>
      <w:r w:rsidRPr="002F7765">
        <w:rPr>
          <w:sz w:val="24"/>
          <w:szCs w:val="24"/>
          <w:u w:val="single"/>
        </w:rPr>
        <w:t>Pædiatrisk population</w:t>
      </w:r>
    </w:p>
    <w:p w14:paraId="05CA0997" w14:textId="77777777" w:rsidR="00684DD2" w:rsidRPr="002F7765" w:rsidRDefault="00684DD2" w:rsidP="00E62721">
      <w:pPr>
        <w:ind w:left="851"/>
        <w:rPr>
          <w:sz w:val="24"/>
          <w:szCs w:val="24"/>
        </w:rPr>
      </w:pPr>
      <w:r w:rsidRPr="002F7765">
        <w:rPr>
          <w:sz w:val="24"/>
          <w:szCs w:val="24"/>
        </w:rPr>
        <w:t xml:space="preserve">Systemiske virkninger kan forekomme med visse nasale </w:t>
      </w:r>
      <w:proofErr w:type="spellStart"/>
      <w:r w:rsidRPr="002F7765">
        <w:rPr>
          <w:sz w:val="24"/>
          <w:szCs w:val="24"/>
        </w:rPr>
        <w:t>kortikosteroider</w:t>
      </w:r>
      <w:proofErr w:type="spellEnd"/>
      <w:r w:rsidRPr="002F7765">
        <w:rPr>
          <w:sz w:val="24"/>
          <w:szCs w:val="24"/>
        </w:rPr>
        <w:t>, især ved ordination af høje doser i længere perioder (se pkt. 4.4).</w:t>
      </w:r>
    </w:p>
    <w:p w14:paraId="32DE919D" w14:textId="77777777" w:rsidR="00684DD2" w:rsidRPr="002F7765" w:rsidRDefault="00684DD2" w:rsidP="00E62721">
      <w:pPr>
        <w:ind w:left="851"/>
        <w:rPr>
          <w:sz w:val="24"/>
          <w:szCs w:val="24"/>
        </w:rPr>
      </w:pPr>
    </w:p>
    <w:p w14:paraId="1F8510E0" w14:textId="77777777" w:rsidR="00684DD2" w:rsidRPr="002F7765" w:rsidRDefault="00684DD2" w:rsidP="00E62721">
      <w:pPr>
        <w:ind w:left="851"/>
        <w:rPr>
          <w:sz w:val="24"/>
          <w:szCs w:val="24"/>
        </w:rPr>
      </w:pPr>
      <w:r w:rsidRPr="002F7765">
        <w:rPr>
          <w:sz w:val="24"/>
          <w:szCs w:val="24"/>
        </w:rPr>
        <w:t xml:space="preserve">Der er rapporteret om væksthæmning hos børn i behandling med visse nasale </w:t>
      </w:r>
      <w:proofErr w:type="spellStart"/>
      <w:r w:rsidRPr="002F7765">
        <w:rPr>
          <w:sz w:val="24"/>
          <w:szCs w:val="24"/>
        </w:rPr>
        <w:t>kortikosteroider</w:t>
      </w:r>
      <w:proofErr w:type="spellEnd"/>
      <w:r w:rsidRPr="002F7765">
        <w:rPr>
          <w:sz w:val="24"/>
          <w:szCs w:val="24"/>
        </w:rPr>
        <w:t xml:space="preserve"> i de godkendte doser (se pkt. 4.4).</w:t>
      </w:r>
    </w:p>
    <w:p w14:paraId="4EE516E0" w14:textId="77777777" w:rsidR="00684DD2" w:rsidRPr="002F7765" w:rsidRDefault="00684DD2" w:rsidP="00E62721">
      <w:pPr>
        <w:ind w:left="851"/>
        <w:rPr>
          <w:sz w:val="24"/>
          <w:szCs w:val="24"/>
        </w:rPr>
      </w:pPr>
    </w:p>
    <w:p w14:paraId="45AB5D60" w14:textId="77777777" w:rsidR="00684DD2" w:rsidRPr="002F7765" w:rsidRDefault="00684DD2" w:rsidP="00E62721">
      <w:pPr>
        <w:ind w:left="851"/>
        <w:rPr>
          <w:sz w:val="24"/>
          <w:szCs w:val="24"/>
          <w:u w:val="single"/>
        </w:rPr>
      </w:pPr>
      <w:r w:rsidRPr="002F7765">
        <w:rPr>
          <w:sz w:val="24"/>
          <w:szCs w:val="24"/>
          <w:u w:val="single"/>
        </w:rPr>
        <w:t>Indberetning af formodede bivirkninger</w:t>
      </w:r>
    </w:p>
    <w:p w14:paraId="5A2A0916" w14:textId="77777777" w:rsidR="00684DD2" w:rsidRPr="002F7765" w:rsidRDefault="00684DD2" w:rsidP="00E62721">
      <w:pPr>
        <w:ind w:left="851"/>
        <w:rPr>
          <w:sz w:val="24"/>
          <w:szCs w:val="24"/>
        </w:rPr>
      </w:pPr>
      <w:r w:rsidRPr="002F7765">
        <w:rPr>
          <w:sz w:val="24"/>
          <w:szCs w:val="24"/>
        </w:rPr>
        <w:t>Når lægemidlet er godkendt, er indberetning af formodede bivirkninger vigtig. Det muliggør løbende overvågning af benefit/</w:t>
      </w:r>
      <w:proofErr w:type="spellStart"/>
      <w:r w:rsidRPr="002F7765">
        <w:rPr>
          <w:sz w:val="24"/>
          <w:szCs w:val="24"/>
        </w:rPr>
        <w:t>risk</w:t>
      </w:r>
      <w:proofErr w:type="spellEnd"/>
      <w:r w:rsidRPr="002F7765">
        <w:rPr>
          <w:sz w:val="24"/>
          <w:szCs w:val="24"/>
        </w:rPr>
        <w:t>-forholdet for lægemidlet. Sundhedspersoner anmodes om at indberette alle formodede bivirkninger via:</w:t>
      </w:r>
    </w:p>
    <w:p w14:paraId="19AB6956" w14:textId="77777777" w:rsidR="00684DD2" w:rsidRPr="002F7765" w:rsidRDefault="00684DD2" w:rsidP="00E62721">
      <w:pPr>
        <w:autoSpaceDE w:val="0"/>
        <w:autoSpaceDN w:val="0"/>
        <w:adjustRightInd w:val="0"/>
        <w:ind w:left="851"/>
        <w:rPr>
          <w:noProof/>
          <w:color w:val="000000"/>
          <w:sz w:val="24"/>
          <w:szCs w:val="24"/>
        </w:rPr>
      </w:pPr>
    </w:p>
    <w:p w14:paraId="5FF4C1A3" w14:textId="77777777" w:rsidR="00684DD2" w:rsidRPr="002F7765" w:rsidRDefault="00684DD2" w:rsidP="00E62721">
      <w:pPr>
        <w:autoSpaceDE w:val="0"/>
        <w:autoSpaceDN w:val="0"/>
        <w:adjustRightInd w:val="0"/>
        <w:ind w:left="851"/>
        <w:rPr>
          <w:noProof/>
          <w:color w:val="000000"/>
          <w:sz w:val="24"/>
          <w:szCs w:val="24"/>
        </w:rPr>
      </w:pPr>
      <w:r w:rsidRPr="002F7765">
        <w:rPr>
          <w:noProof/>
          <w:color w:val="000000"/>
          <w:sz w:val="24"/>
          <w:szCs w:val="24"/>
        </w:rPr>
        <w:t>Lægemiddelstyrelsen</w:t>
      </w:r>
    </w:p>
    <w:p w14:paraId="4BB5694C" w14:textId="77777777" w:rsidR="00684DD2" w:rsidRPr="002F7765" w:rsidRDefault="00684DD2" w:rsidP="00E62721">
      <w:pPr>
        <w:autoSpaceDE w:val="0"/>
        <w:autoSpaceDN w:val="0"/>
        <w:adjustRightInd w:val="0"/>
        <w:ind w:left="851"/>
        <w:rPr>
          <w:noProof/>
          <w:color w:val="000000"/>
          <w:sz w:val="24"/>
          <w:szCs w:val="24"/>
        </w:rPr>
      </w:pPr>
      <w:r w:rsidRPr="002F7765">
        <w:rPr>
          <w:noProof/>
          <w:color w:val="000000"/>
          <w:sz w:val="24"/>
          <w:szCs w:val="24"/>
        </w:rPr>
        <w:t>Axel Heides Gade 1</w:t>
      </w:r>
    </w:p>
    <w:p w14:paraId="099575B5" w14:textId="77777777" w:rsidR="00684DD2" w:rsidRPr="002F7765" w:rsidRDefault="00684DD2" w:rsidP="00E62721">
      <w:pPr>
        <w:autoSpaceDE w:val="0"/>
        <w:autoSpaceDN w:val="0"/>
        <w:adjustRightInd w:val="0"/>
        <w:ind w:left="851"/>
        <w:rPr>
          <w:noProof/>
          <w:color w:val="000000"/>
          <w:sz w:val="24"/>
          <w:szCs w:val="24"/>
        </w:rPr>
      </w:pPr>
      <w:r w:rsidRPr="002F7765">
        <w:rPr>
          <w:noProof/>
          <w:color w:val="000000"/>
          <w:sz w:val="24"/>
          <w:szCs w:val="24"/>
        </w:rPr>
        <w:t>DK-2300 København S</w:t>
      </w:r>
    </w:p>
    <w:p w14:paraId="45D16636" w14:textId="77777777" w:rsidR="00684DD2" w:rsidRPr="002F7765" w:rsidRDefault="00684DD2" w:rsidP="00E62721">
      <w:pPr>
        <w:autoSpaceDE w:val="0"/>
        <w:autoSpaceDN w:val="0"/>
        <w:adjustRightInd w:val="0"/>
        <w:ind w:left="851"/>
        <w:rPr>
          <w:color w:val="000000"/>
          <w:sz w:val="24"/>
          <w:szCs w:val="24"/>
        </w:rPr>
      </w:pPr>
      <w:r w:rsidRPr="002F7765">
        <w:rPr>
          <w:noProof/>
          <w:color w:val="000000"/>
          <w:sz w:val="24"/>
          <w:szCs w:val="24"/>
        </w:rPr>
        <w:t xml:space="preserve">Websted: </w:t>
      </w:r>
      <w:r w:rsidRPr="002F7765">
        <w:rPr>
          <w:color w:val="000000"/>
          <w:sz w:val="24"/>
          <w:szCs w:val="24"/>
        </w:rPr>
        <w:t>www.meldenbivirkning.dk</w:t>
      </w:r>
    </w:p>
    <w:p w14:paraId="2824640E" w14:textId="77777777" w:rsidR="009260DE" w:rsidRPr="002F7765" w:rsidRDefault="009260DE" w:rsidP="009260DE">
      <w:pPr>
        <w:pStyle w:val="Sidehoved"/>
        <w:tabs>
          <w:tab w:val="left" w:pos="851"/>
        </w:tabs>
        <w:ind w:left="851"/>
        <w:rPr>
          <w:szCs w:val="24"/>
        </w:rPr>
      </w:pPr>
    </w:p>
    <w:p w14:paraId="171F43A2" w14:textId="77777777" w:rsidR="009260DE" w:rsidRPr="002F7765" w:rsidRDefault="009260DE" w:rsidP="009260DE">
      <w:pPr>
        <w:tabs>
          <w:tab w:val="left" w:pos="851"/>
        </w:tabs>
        <w:ind w:left="851" w:hanging="851"/>
        <w:rPr>
          <w:b/>
          <w:sz w:val="24"/>
          <w:szCs w:val="24"/>
        </w:rPr>
      </w:pPr>
      <w:r w:rsidRPr="002F7765">
        <w:rPr>
          <w:b/>
          <w:sz w:val="24"/>
          <w:szCs w:val="24"/>
        </w:rPr>
        <w:t>4.9</w:t>
      </w:r>
      <w:r w:rsidRPr="002F7765">
        <w:rPr>
          <w:b/>
          <w:sz w:val="24"/>
          <w:szCs w:val="24"/>
        </w:rPr>
        <w:tab/>
        <w:t>Overdosering</w:t>
      </w:r>
    </w:p>
    <w:p w14:paraId="3A5CF502" w14:textId="77777777" w:rsidR="00684DD2" w:rsidRPr="002F7765" w:rsidRDefault="00684DD2" w:rsidP="000659C0">
      <w:pPr>
        <w:ind w:left="851"/>
        <w:rPr>
          <w:sz w:val="24"/>
          <w:szCs w:val="24"/>
        </w:rPr>
      </w:pPr>
      <w:r w:rsidRPr="002F7765">
        <w:rPr>
          <w:sz w:val="24"/>
          <w:szCs w:val="24"/>
        </w:rPr>
        <w:t xml:space="preserve">Der er ingen tilgængelige data vedrørende virkningen af akut eller kronisk overdosering af intranasalt </w:t>
      </w:r>
      <w:proofErr w:type="spellStart"/>
      <w:r w:rsidRPr="002F7765">
        <w:rPr>
          <w:sz w:val="24"/>
          <w:szCs w:val="24"/>
        </w:rPr>
        <w:t>fluticasonpropionat</w:t>
      </w:r>
      <w:proofErr w:type="spellEnd"/>
      <w:r w:rsidRPr="002F7765">
        <w:rPr>
          <w:sz w:val="24"/>
          <w:szCs w:val="24"/>
        </w:rPr>
        <w:t xml:space="preserve">. Intranasal administration af 2 mg </w:t>
      </w:r>
      <w:proofErr w:type="spellStart"/>
      <w:r w:rsidRPr="002F7765">
        <w:rPr>
          <w:sz w:val="24"/>
          <w:szCs w:val="24"/>
        </w:rPr>
        <w:t>fluticasonpropionat</w:t>
      </w:r>
      <w:proofErr w:type="spellEnd"/>
      <w:r w:rsidRPr="002F7765">
        <w:rPr>
          <w:sz w:val="24"/>
          <w:szCs w:val="24"/>
        </w:rPr>
        <w:t xml:space="preserve"> to gange dagligt i syv dage hos raske frivillige havde inden indvirkning på funktionen af </w:t>
      </w:r>
      <w:proofErr w:type="spellStart"/>
      <w:r w:rsidRPr="002F7765">
        <w:rPr>
          <w:sz w:val="24"/>
          <w:szCs w:val="24"/>
        </w:rPr>
        <w:t>hypothalamus</w:t>
      </w:r>
      <w:proofErr w:type="spellEnd"/>
      <w:r w:rsidRPr="002F7765">
        <w:rPr>
          <w:sz w:val="24"/>
          <w:szCs w:val="24"/>
        </w:rPr>
        <w:t>-hypofyse-binyre-aksen (HPA-aksen).</w:t>
      </w:r>
    </w:p>
    <w:p w14:paraId="2C7902C5" w14:textId="77777777" w:rsidR="009260DE" w:rsidRPr="002F7765" w:rsidRDefault="009260DE" w:rsidP="009260DE">
      <w:pPr>
        <w:tabs>
          <w:tab w:val="left" w:pos="851"/>
        </w:tabs>
        <w:ind w:left="851"/>
        <w:rPr>
          <w:sz w:val="24"/>
          <w:szCs w:val="24"/>
        </w:rPr>
      </w:pPr>
    </w:p>
    <w:p w14:paraId="396BFD4F" w14:textId="77777777" w:rsidR="009260DE" w:rsidRPr="002F7765" w:rsidRDefault="009260DE" w:rsidP="009260DE">
      <w:pPr>
        <w:tabs>
          <w:tab w:val="left" w:pos="851"/>
        </w:tabs>
        <w:ind w:left="851" w:hanging="851"/>
        <w:rPr>
          <w:b/>
          <w:sz w:val="24"/>
          <w:szCs w:val="24"/>
        </w:rPr>
      </w:pPr>
      <w:r w:rsidRPr="002F7765">
        <w:rPr>
          <w:b/>
          <w:sz w:val="24"/>
          <w:szCs w:val="24"/>
        </w:rPr>
        <w:t>4.10</w:t>
      </w:r>
      <w:r w:rsidRPr="002F7765">
        <w:rPr>
          <w:b/>
          <w:sz w:val="24"/>
          <w:szCs w:val="24"/>
        </w:rPr>
        <w:tab/>
        <w:t>Udlevering</w:t>
      </w:r>
    </w:p>
    <w:p w14:paraId="7EE18CF2" w14:textId="0A84F824" w:rsidR="009260DE" w:rsidRPr="002F7765" w:rsidRDefault="000659C0" w:rsidP="009260DE">
      <w:pPr>
        <w:tabs>
          <w:tab w:val="left" w:pos="851"/>
        </w:tabs>
        <w:ind w:left="851"/>
        <w:rPr>
          <w:sz w:val="24"/>
          <w:szCs w:val="24"/>
        </w:rPr>
      </w:pPr>
      <w:r w:rsidRPr="002F7765">
        <w:rPr>
          <w:sz w:val="24"/>
          <w:szCs w:val="24"/>
        </w:rPr>
        <w:t>B</w:t>
      </w:r>
    </w:p>
    <w:p w14:paraId="2DE92A88" w14:textId="77777777" w:rsidR="009260DE" w:rsidRPr="002F7765" w:rsidRDefault="009260DE" w:rsidP="009260DE">
      <w:pPr>
        <w:tabs>
          <w:tab w:val="left" w:pos="851"/>
        </w:tabs>
        <w:ind w:left="851"/>
        <w:rPr>
          <w:sz w:val="24"/>
          <w:szCs w:val="24"/>
        </w:rPr>
      </w:pPr>
    </w:p>
    <w:p w14:paraId="65117EBE" w14:textId="77777777" w:rsidR="009260DE" w:rsidRPr="002F7765" w:rsidRDefault="009260DE" w:rsidP="009260DE">
      <w:pPr>
        <w:tabs>
          <w:tab w:val="left" w:pos="851"/>
        </w:tabs>
        <w:ind w:left="851"/>
        <w:rPr>
          <w:sz w:val="24"/>
          <w:szCs w:val="24"/>
        </w:rPr>
      </w:pPr>
    </w:p>
    <w:p w14:paraId="6B3828F8" w14:textId="77777777" w:rsidR="009260DE" w:rsidRPr="002F7765" w:rsidRDefault="009260DE" w:rsidP="009260DE">
      <w:pPr>
        <w:tabs>
          <w:tab w:val="left" w:pos="851"/>
        </w:tabs>
        <w:ind w:left="851" w:hanging="851"/>
        <w:rPr>
          <w:b/>
          <w:sz w:val="24"/>
          <w:szCs w:val="24"/>
        </w:rPr>
      </w:pPr>
      <w:r w:rsidRPr="002F7765">
        <w:rPr>
          <w:b/>
          <w:sz w:val="24"/>
          <w:szCs w:val="24"/>
        </w:rPr>
        <w:t>5.</w:t>
      </w:r>
      <w:r w:rsidRPr="002F7765">
        <w:rPr>
          <w:b/>
          <w:sz w:val="24"/>
          <w:szCs w:val="24"/>
        </w:rPr>
        <w:tab/>
        <w:t>FARMAKOLOGISKE EGENSKABER</w:t>
      </w:r>
    </w:p>
    <w:p w14:paraId="6488AC26" w14:textId="77777777" w:rsidR="009260DE" w:rsidRPr="002F7765" w:rsidRDefault="009260DE" w:rsidP="009260DE">
      <w:pPr>
        <w:tabs>
          <w:tab w:val="left" w:pos="851"/>
        </w:tabs>
        <w:ind w:left="851"/>
        <w:rPr>
          <w:sz w:val="24"/>
          <w:szCs w:val="24"/>
        </w:rPr>
      </w:pPr>
    </w:p>
    <w:p w14:paraId="6A4129F5" w14:textId="77777777" w:rsidR="009260DE" w:rsidRPr="002F7765" w:rsidRDefault="009260DE" w:rsidP="009260DE">
      <w:pPr>
        <w:tabs>
          <w:tab w:val="left" w:pos="851"/>
        </w:tabs>
        <w:ind w:left="851" w:hanging="851"/>
        <w:rPr>
          <w:b/>
          <w:sz w:val="24"/>
          <w:szCs w:val="24"/>
        </w:rPr>
      </w:pPr>
      <w:r w:rsidRPr="002F7765">
        <w:rPr>
          <w:b/>
          <w:sz w:val="24"/>
          <w:szCs w:val="24"/>
        </w:rPr>
        <w:t>5.0</w:t>
      </w:r>
      <w:r w:rsidRPr="002F7765">
        <w:rPr>
          <w:b/>
          <w:sz w:val="24"/>
          <w:szCs w:val="24"/>
        </w:rPr>
        <w:tab/>
        <w:t>Terapeutisk klassifikation</w:t>
      </w:r>
    </w:p>
    <w:p w14:paraId="7FAE05EE" w14:textId="33E4C120" w:rsidR="00684DD2" w:rsidRPr="002F7765" w:rsidRDefault="00684DD2" w:rsidP="000659C0">
      <w:pPr>
        <w:ind w:left="851"/>
        <w:rPr>
          <w:sz w:val="24"/>
          <w:szCs w:val="24"/>
        </w:rPr>
      </w:pPr>
      <w:r w:rsidRPr="002F7765">
        <w:rPr>
          <w:sz w:val="24"/>
          <w:szCs w:val="24"/>
        </w:rPr>
        <w:t>ATC-kode: R</w:t>
      </w:r>
      <w:r w:rsidR="00F34793">
        <w:rPr>
          <w:sz w:val="24"/>
          <w:szCs w:val="24"/>
        </w:rPr>
        <w:t xml:space="preserve"> </w:t>
      </w:r>
      <w:r w:rsidRPr="002F7765">
        <w:rPr>
          <w:sz w:val="24"/>
          <w:szCs w:val="24"/>
        </w:rPr>
        <w:t>01</w:t>
      </w:r>
      <w:r w:rsidR="00F34793">
        <w:rPr>
          <w:sz w:val="24"/>
          <w:szCs w:val="24"/>
        </w:rPr>
        <w:t xml:space="preserve"> </w:t>
      </w:r>
      <w:r w:rsidRPr="002F7765">
        <w:rPr>
          <w:sz w:val="24"/>
          <w:szCs w:val="24"/>
        </w:rPr>
        <w:t>AD</w:t>
      </w:r>
      <w:r w:rsidR="00F34793">
        <w:rPr>
          <w:sz w:val="24"/>
          <w:szCs w:val="24"/>
        </w:rPr>
        <w:t xml:space="preserve"> </w:t>
      </w:r>
      <w:r w:rsidRPr="002F7765">
        <w:rPr>
          <w:sz w:val="24"/>
          <w:szCs w:val="24"/>
        </w:rPr>
        <w:t>08</w:t>
      </w:r>
      <w:r w:rsidR="00F34793">
        <w:rPr>
          <w:sz w:val="24"/>
          <w:szCs w:val="24"/>
        </w:rPr>
        <w:t>. N</w:t>
      </w:r>
      <w:r w:rsidRPr="002F7765">
        <w:rPr>
          <w:sz w:val="24"/>
          <w:szCs w:val="24"/>
        </w:rPr>
        <w:t xml:space="preserve">asale præparater, </w:t>
      </w:r>
      <w:proofErr w:type="spellStart"/>
      <w:r w:rsidRPr="002F7765">
        <w:rPr>
          <w:sz w:val="24"/>
          <w:szCs w:val="24"/>
        </w:rPr>
        <w:t>kortikosteroider</w:t>
      </w:r>
      <w:proofErr w:type="spellEnd"/>
      <w:r w:rsidRPr="002F7765">
        <w:rPr>
          <w:sz w:val="24"/>
          <w:szCs w:val="24"/>
        </w:rPr>
        <w:t>.</w:t>
      </w:r>
    </w:p>
    <w:p w14:paraId="7C9CD058" w14:textId="77777777" w:rsidR="009260DE" w:rsidRPr="002F7765" w:rsidRDefault="009260DE" w:rsidP="009260DE">
      <w:pPr>
        <w:tabs>
          <w:tab w:val="left" w:pos="851"/>
        </w:tabs>
        <w:ind w:left="851"/>
        <w:rPr>
          <w:sz w:val="24"/>
          <w:szCs w:val="24"/>
        </w:rPr>
      </w:pPr>
    </w:p>
    <w:p w14:paraId="26F1C6B1" w14:textId="77777777" w:rsidR="009260DE" w:rsidRPr="002F7765" w:rsidRDefault="009260DE" w:rsidP="009260DE">
      <w:pPr>
        <w:tabs>
          <w:tab w:val="num" w:pos="851"/>
        </w:tabs>
        <w:ind w:left="851" w:hanging="851"/>
        <w:rPr>
          <w:b/>
          <w:sz w:val="24"/>
          <w:szCs w:val="24"/>
        </w:rPr>
      </w:pPr>
      <w:r w:rsidRPr="002F7765">
        <w:rPr>
          <w:b/>
          <w:sz w:val="24"/>
          <w:szCs w:val="24"/>
        </w:rPr>
        <w:t>5.1</w:t>
      </w:r>
      <w:r w:rsidRPr="002F7765">
        <w:rPr>
          <w:b/>
          <w:sz w:val="24"/>
          <w:szCs w:val="24"/>
        </w:rPr>
        <w:tab/>
      </w:r>
      <w:proofErr w:type="spellStart"/>
      <w:r w:rsidRPr="002F7765">
        <w:rPr>
          <w:b/>
          <w:sz w:val="24"/>
          <w:szCs w:val="24"/>
        </w:rPr>
        <w:t>Farmakodynamiske</w:t>
      </w:r>
      <w:proofErr w:type="spellEnd"/>
      <w:r w:rsidRPr="002F7765">
        <w:rPr>
          <w:b/>
          <w:sz w:val="24"/>
          <w:szCs w:val="24"/>
        </w:rPr>
        <w:t xml:space="preserve"> egenskaber</w:t>
      </w:r>
    </w:p>
    <w:p w14:paraId="2FEA37B9" w14:textId="77777777" w:rsidR="00F34793" w:rsidRDefault="00F34793" w:rsidP="000659C0">
      <w:pPr>
        <w:ind w:left="851"/>
        <w:rPr>
          <w:sz w:val="24"/>
          <w:szCs w:val="24"/>
          <w:u w:val="single"/>
        </w:rPr>
      </w:pPr>
    </w:p>
    <w:p w14:paraId="020E2D94" w14:textId="69D1C7C8" w:rsidR="00684DD2" w:rsidRPr="002F7765" w:rsidRDefault="00684DD2" w:rsidP="000659C0">
      <w:pPr>
        <w:ind w:left="851"/>
        <w:rPr>
          <w:sz w:val="24"/>
          <w:szCs w:val="24"/>
          <w:u w:val="single"/>
        </w:rPr>
      </w:pPr>
      <w:r w:rsidRPr="002F7765">
        <w:rPr>
          <w:sz w:val="24"/>
          <w:szCs w:val="24"/>
          <w:u w:val="single"/>
        </w:rPr>
        <w:t>Virkningsmekanisme</w:t>
      </w:r>
    </w:p>
    <w:p w14:paraId="48F2CBAF" w14:textId="77777777" w:rsidR="00684DD2" w:rsidRPr="002F7765" w:rsidRDefault="00684DD2" w:rsidP="000659C0">
      <w:pPr>
        <w:ind w:left="851"/>
        <w:rPr>
          <w:sz w:val="24"/>
          <w:szCs w:val="24"/>
        </w:rPr>
      </w:pPr>
      <w:proofErr w:type="spellStart"/>
      <w:r w:rsidRPr="002F7765">
        <w:rPr>
          <w:sz w:val="24"/>
          <w:szCs w:val="24"/>
        </w:rPr>
        <w:t>Fluticasonpropionat</w:t>
      </w:r>
      <w:proofErr w:type="spellEnd"/>
      <w:r w:rsidRPr="002F7765">
        <w:rPr>
          <w:sz w:val="24"/>
          <w:szCs w:val="24"/>
        </w:rPr>
        <w:t xml:space="preserve"> har potent antiinflammatorisk virkning, men ingen målbar systemisk virkning ved intranasal administration.</w:t>
      </w:r>
    </w:p>
    <w:p w14:paraId="257CD590" w14:textId="77777777" w:rsidR="00684DD2" w:rsidRPr="002F7765" w:rsidRDefault="00684DD2" w:rsidP="000659C0">
      <w:pPr>
        <w:ind w:left="851"/>
        <w:rPr>
          <w:sz w:val="24"/>
          <w:szCs w:val="24"/>
        </w:rPr>
      </w:pPr>
    </w:p>
    <w:p w14:paraId="4119B8C0" w14:textId="77777777" w:rsidR="00684DD2" w:rsidRPr="002F7765" w:rsidRDefault="00684DD2" w:rsidP="000659C0">
      <w:pPr>
        <w:ind w:left="851"/>
        <w:rPr>
          <w:sz w:val="24"/>
          <w:szCs w:val="24"/>
          <w:u w:val="single"/>
        </w:rPr>
      </w:pPr>
      <w:proofErr w:type="spellStart"/>
      <w:r w:rsidRPr="002F7765">
        <w:rPr>
          <w:sz w:val="24"/>
          <w:szCs w:val="24"/>
          <w:u w:val="single"/>
        </w:rPr>
        <w:t>Farmakodynamisk</w:t>
      </w:r>
      <w:proofErr w:type="spellEnd"/>
      <w:r w:rsidRPr="002F7765">
        <w:rPr>
          <w:sz w:val="24"/>
          <w:szCs w:val="24"/>
          <w:u w:val="single"/>
        </w:rPr>
        <w:t xml:space="preserve"> virkning</w:t>
      </w:r>
    </w:p>
    <w:p w14:paraId="05E35031" w14:textId="77777777" w:rsidR="00684DD2" w:rsidRPr="002F7765" w:rsidRDefault="00684DD2" w:rsidP="000659C0">
      <w:pPr>
        <w:ind w:left="851"/>
        <w:rPr>
          <w:sz w:val="24"/>
          <w:szCs w:val="24"/>
        </w:rPr>
      </w:pPr>
      <w:proofErr w:type="spellStart"/>
      <w:r w:rsidRPr="002F7765">
        <w:rPr>
          <w:sz w:val="24"/>
          <w:szCs w:val="24"/>
        </w:rPr>
        <w:t>Fluticasonpropionat</w:t>
      </w:r>
      <w:proofErr w:type="spellEnd"/>
      <w:r w:rsidRPr="002F7765">
        <w:rPr>
          <w:sz w:val="24"/>
          <w:szCs w:val="24"/>
        </w:rPr>
        <w:t xml:space="preserve"> forårsager kun en smule eller slet ingen hæmning af </w:t>
      </w:r>
      <w:proofErr w:type="spellStart"/>
      <w:r w:rsidRPr="002F7765">
        <w:rPr>
          <w:sz w:val="24"/>
          <w:szCs w:val="24"/>
        </w:rPr>
        <w:t>hypothalamus</w:t>
      </w:r>
      <w:proofErr w:type="spellEnd"/>
      <w:r w:rsidRPr="002F7765">
        <w:rPr>
          <w:sz w:val="24"/>
          <w:szCs w:val="24"/>
        </w:rPr>
        <w:t>-hypofyse-binyre-aksen efter intranasal eller topisk (</w:t>
      </w:r>
      <w:proofErr w:type="spellStart"/>
      <w:r w:rsidRPr="002F7765">
        <w:rPr>
          <w:sz w:val="24"/>
          <w:szCs w:val="24"/>
        </w:rPr>
        <w:t>dermal</w:t>
      </w:r>
      <w:proofErr w:type="spellEnd"/>
      <w:r w:rsidRPr="002F7765">
        <w:rPr>
          <w:sz w:val="24"/>
          <w:szCs w:val="24"/>
        </w:rPr>
        <w:t>) administration.</w:t>
      </w:r>
    </w:p>
    <w:p w14:paraId="7C8812BB" w14:textId="77777777" w:rsidR="00684DD2" w:rsidRPr="002F7765" w:rsidRDefault="00684DD2" w:rsidP="000659C0">
      <w:pPr>
        <w:ind w:left="851"/>
        <w:rPr>
          <w:sz w:val="24"/>
          <w:szCs w:val="24"/>
        </w:rPr>
      </w:pPr>
    </w:p>
    <w:p w14:paraId="0B439336" w14:textId="77777777" w:rsidR="00684DD2" w:rsidRPr="002F7765" w:rsidRDefault="00684DD2" w:rsidP="000659C0">
      <w:pPr>
        <w:ind w:left="851"/>
        <w:rPr>
          <w:sz w:val="24"/>
          <w:szCs w:val="24"/>
        </w:rPr>
      </w:pPr>
      <w:r w:rsidRPr="002F7765">
        <w:rPr>
          <w:sz w:val="24"/>
          <w:szCs w:val="24"/>
        </w:rPr>
        <w:t xml:space="preserve">Efter intranasal administration af </w:t>
      </w:r>
      <w:proofErr w:type="spellStart"/>
      <w:r w:rsidRPr="002F7765">
        <w:rPr>
          <w:sz w:val="24"/>
          <w:szCs w:val="24"/>
        </w:rPr>
        <w:t>fluticasonpropionat</w:t>
      </w:r>
      <w:proofErr w:type="spellEnd"/>
      <w:r w:rsidRPr="002F7765">
        <w:rPr>
          <w:sz w:val="24"/>
          <w:szCs w:val="24"/>
        </w:rPr>
        <w:t xml:space="preserve"> (200 mikrogram/dag) blev der ikke set nogen signifikant ændring i AUC over 24 timer for serumkortisol sammenlignet med placebo (ratio 1,01; 90 % CI 0,9-1,14).</w:t>
      </w:r>
    </w:p>
    <w:p w14:paraId="3A733B16" w14:textId="77777777" w:rsidR="00684DD2" w:rsidRPr="002F7765" w:rsidRDefault="00684DD2" w:rsidP="000659C0">
      <w:pPr>
        <w:ind w:left="851"/>
        <w:rPr>
          <w:sz w:val="24"/>
          <w:szCs w:val="24"/>
        </w:rPr>
      </w:pPr>
    </w:p>
    <w:p w14:paraId="71AE84DE" w14:textId="77777777" w:rsidR="00684DD2" w:rsidRPr="002F7765" w:rsidRDefault="00684DD2" w:rsidP="000659C0">
      <w:pPr>
        <w:ind w:left="851"/>
        <w:rPr>
          <w:bCs/>
          <w:iCs/>
          <w:sz w:val="24"/>
          <w:szCs w:val="24"/>
          <w:u w:val="single"/>
        </w:rPr>
      </w:pPr>
      <w:r w:rsidRPr="002F7765">
        <w:rPr>
          <w:bCs/>
          <w:iCs/>
          <w:sz w:val="24"/>
          <w:szCs w:val="24"/>
          <w:u w:val="single"/>
        </w:rPr>
        <w:t>Pædiatrisk population</w:t>
      </w:r>
    </w:p>
    <w:p w14:paraId="6F1D8E79" w14:textId="4768758B" w:rsidR="00684DD2" w:rsidRPr="002F7765" w:rsidRDefault="00684DD2" w:rsidP="000659C0">
      <w:pPr>
        <w:ind w:left="851"/>
        <w:rPr>
          <w:bCs/>
          <w:iCs/>
          <w:sz w:val="24"/>
          <w:szCs w:val="24"/>
        </w:rPr>
      </w:pPr>
      <w:r w:rsidRPr="002F7765">
        <w:rPr>
          <w:sz w:val="24"/>
          <w:szCs w:val="24"/>
        </w:rPr>
        <w:t xml:space="preserve">I et 1-års randomiseret, dobbeltblindet, placebokontrolleret, parallelgruppestudie af væksten hos præpubertære børn i alderen 3 til 9 år (56 patienter fik intranasalt </w:t>
      </w:r>
      <w:proofErr w:type="spellStart"/>
      <w:r w:rsidRPr="002F7765">
        <w:rPr>
          <w:sz w:val="24"/>
          <w:szCs w:val="24"/>
        </w:rPr>
        <w:t>fluticasonpropionat</w:t>
      </w:r>
      <w:proofErr w:type="spellEnd"/>
      <w:r w:rsidRPr="002F7765">
        <w:rPr>
          <w:sz w:val="24"/>
          <w:szCs w:val="24"/>
        </w:rPr>
        <w:t xml:space="preserve">, og 52 fik placebo), blev der ikke set nogen statistisk signifikant forskel i væksthastigheden hos de patienter, der fik intranasalt </w:t>
      </w:r>
      <w:proofErr w:type="spellStart"/>
      <w:r w:rsidRPr="002F7765">
        <w:rPr>
          <w:sz w:val="24"/>
          <w:szCs w:val="24"/>
        </w:rPr>
        <w:t>fluticasonpropionat</w:t>
      </w:r>
      <w:proofErr w:type="spellEnd"/>
      <w:r w:rsidRPr="002F7765">
        <w:rPr>
          <w:sz w:val="24"/>
          <w:szCs w:val="24"/>
        </w:rPr>
        <w:t xml:space="preserve"> (200 mikrogram næsespray dagligt), sammenlignet med placebo. Den estimerede væksthastighed over et år med behandling var 6,20 cm/år (SE = 0,23) i placebogruppen og 5,99 cm/år (SE = 0,23) i </w:t>
      </w:r>
      <w:proofErr w:type="spellStart"/>
      <w:r w:rsidRPr="002F7765">
        <w:rPr>
          <w:sz w:val="24"/>
          <w:szCs w:val="24"/>
        </w:rPr>
        <w:t>fluticasonpropionatgruppen</w:t>
      </w:r>
      <w:proofErr w:type="spellEnd"/>
      <w:r w:rsidRPr="002F7765">
        <w:rPr>
          <w:sz w:val="24"/>
          <w:szCs w:val="24"/>
        </w:rPr>
        <w:t>; den gennemsnitlige forskel i væksthastigheden mellem behandlingerne efter et år var 0,20 cm/år (SE = 0,28, 95 % CI = -0,35; 0,76). Der blev ikke set tegn på klinisk relevante forandringer i HPA-aksefunktionen eller knoglemineraltætheden vurderet ud fra hhv. kortisoludskillelse i urin over 12 timer og DXA-scanning.</w:t>
      </w:r>
    </w:p>
    <w:p w14:paraId="1B4CA7A7" w14:textId="77777777" w:rsidR="009260DE" w:rsidRPr="002F7765" w:rsidRDefault="009260DE" w:rsidP="009260DE">
      <w:pPr>
        <w:tabs>
          <w:tab w:val="left" w:pos="851"/>
        </w:tabs>
        <w:ind w:left="851"/>
        <w:rPr>
          <w:sz w:val="24"/>
          <w:szCs w:val="24"/>
        </w:rPr>
      </w:pPr>
    </w:p>
    <w:p w14:paraId="66C871E1" w14:textId="77777777" w:rsidR="009260DE" w:rsidRPr="002F7765" w:rsidRDefault="009260DE" w:rsidP="009260DE">
      <w:pPr>
        <w:tabs>
          <w:tab w:val="left" w:pos="851"/>
        </w:tabs>
        <w:ind w:left="851" w:hanging="851"/>
        <w:rPr>
          <w:b/>
          <w:sz w:val="24"/>
          <w:szCs w:val="24"/>
        </w:rPr>
      </w:pPr>
      <w:r w:rsidRPr="002F7765">
        <w:rPr>
          <w:b/>
          <w:sz w:val="24"/>
          <w:szCs w:val="24"/>
        </w:rPr>
        <w:t>5.2</w:t>
      </w:r>
      <w:r w:rsidRPr="002F7765">
        <w:rPr>
          <w:b/>
          <w:sz w:val="24"/>
          <w:szCs w:val="24"/>
        </w:rPr>
        <w:tab/>
      </w:r>
      <w:proofErr w:type="spellStart"/>
      <w:r w:rsidRPr="002F7765">
        <w:rPr>
          <w:b/>
          <w:sz w:val="24"/>
          <w:szCs w:val="24"/>
        </w:rPr>
        <w:t>Farmakokinetiske</w:t>
      </w:r>
      <w:proofErr w:type="spellEnd"/>
      <w:r w:rsidRPr="002F7765">
        <w:rPr>
          <w:b/>
          <w:sz w:val="24"/>
          <w:szCs w:val="24"/>
        </w:rPr>
        <w:t xml:space="preserve"> egenskaber</w:t>
      </w:r>
    </w:p>
    <w:p w14:paraId="72CDAE0C" w14:textId="77777777" w:rsidR="00F34793" w:rsidRDefault="00F34793" w:rsidP="000659C0">
      <w:pPr>
        <w:ind w:left="851"/>
        <w:rPr>
          <w:sz w:val="24"/>
          <w:szCs w:val="24"/>
          <w:u w:val="single"/>
        </w:rPr>
      </w:pPr>
    </w:p>
    <w:p w14:paraId="21485562" w14:textId="0D723E53" w:rsidR="00684DD2" w:rsidRPr="002F7765" w:rsidRDefault="00684DD2" w:rsidP="000659C0">
      <w:pPr>
        <w:ind w:left="851"/>
        <w:rPr>
          <w:noProof/>
          <w:sz w:val="24"/>
          <w:szCs w:val="24"/>
          <w:u w:val="single"/>
        </w:rPr>
      </w:pPr>
      <w:r w:rsidRPr="002F7765">
        <w:rPr>
          <w:sz w:val="24"/>
          <w:szCs w:val="24"/>
          <w:u w:val="single"/>
        </w:rPr>
        <w:t>Absorption</w:t>
      </w:r>
    </w:p>
    <w:p w14:paraId="7CFD8E5C" w14:textId="77777777" w:rsidR="00684DD2" w:rsidRPr="002F7765" w:rsidRDefault="00684DD2" w:rsidP="000659C0">
      <w:pPr>
        <w:ind w:left="851"/>
        <w:rPr>
          <w:noProof/>
          <w:sz w:val="24"/>
          <w:szCs w:val="24"/>
        </w:rPr>
      </w:pPr>
      <w:r w:rsidRPr="002F7765">
        <w:rPr>
          <w:sz w:val="24"/>
          <w:szCs w:val="24"/>
        </w:rPr>
        <w:t xml:space="preserve">Efter intranasal administration af </w:t>
      </w:r>
      <w:proofErr w:type="spellStart"/>
      <w:r w:rsidRPr="002F7765">
        <w:rPr>
          <w:sz w:val="24"/>
          <w:szCs w:val="24"/>
        </w:rPr>
        <w:t>fluticasonpropionat</w:t>
      </w:r>
      <w:proofErr w:type="spellEnd"/>
      <w:r w:rsidRPr="002F7765">
        <w:rPr>
          <w:sz w:val="24"/>
          <w:szCs w:val="24"/>
        </w:rPr>
        <w:t xml:space="preserve"> (200 mikrogram/dag) var de maksimale plasmakoncentrationer ved </w:t>
      </w:r>
      <w:proofErr w:type="spellStart"/>
      <w:r w:rsidRPr="002F7765">
        <w:rPr>
          <w:sz w:val="24"/>
          <w:szCs w:val="24"/>
        </w:rPr>
        <w:t>steady</w:t>
      </w:r>
      <w:proofErr w:type="spellEnd"/>
      <w:r w:rsidRPr="002F7765">
        <w:rPr>
          <w:sz w:val="24"/>
          <w:szCs w:val="24"/>
        </w:rPr>
        <w:t xml:space="preserve"> </w:t>
      </w:r>
      <w:proofErr w:type="spellStart"/>
      <w:r w:rsidRPr="002F7765">
        <w:rPr>
          <w:sz w:val="24"/>
          <w:szCs w:val="24"/>
        </w:rPr>
        <w:t>state</w:t>
      </w:r>
      <w:proofErr w:type="spellEnd"/>
      <w:r w:rsidRPr="002F7765">
        <w:rPr>
          <w:sz w:val="24"/>
          <w:szCs w:val="24"/>
        </w:rPr>
        <w:t xml:space="preserve"> ikke kvantificerbare hos de fleste forsøgsdeltagere (&lt; 0,01 </w:t>
      </w:r>
      <w:proofErr w:type="spellStart"/>
      <w:r w:rsidRPr="002F7765">
        <w:rPr>
          <w:sz w:val="24"/>
          <w:szCs w:val="24"/>
        </w:rPr>
        <w:t>ng</w:t>
      </w:r>
      <w:proofErr w:type="spellEnd"/>
      <w:r w:rsidRPr="002F7765">
        <w:rPr>
          <w:sz w:val="24"/>
          <w:szCs w:val="24"/>
        </w:rPr>
        <w:t xml:space="preserve">/ml). Den højeste observerede </w:t>
      </w:r>
      <w:proofErr w:type="spellStart"/>
      <w:r w:rsidRPr="002F7765">
        <w:rPr>
          <w:sz w:val="24"/>
          <w:szCs w:val="24"/>
        </w:rPr>
        <w:t>C</w:t>
      </w:r>
      <w:r w:rsidRPr="002F7765">
        <w:rPr>
          <w:sz w:val="24"/>
          <w:szCs w:val="24"/>
          <w:vertAlign w:val="subscript"/>
        </w:rPr>
        <w:t>max</w:t>
      </w:r>
      <w:proofErr w:type="spellEnd"/>
      <w:r w:rsidRPr="002F7765">
        <w:rPr>
          <w:sz w:val="24"/>
          <w:szCs w:val="24"/>
        </w:rPr>
        <w:t xml:space="preserve"> var 0,017 </w:t>
      </w:r>
      <w:proofErr w:type="spellStart"/>
      <w:r w:rsidRPr="002F7765">
        <w:rPr>
          <w:sz w:val="24"/>
          <w:szCs w:val="24"/>
        </w:rPr>
        <w:t>ng</w:t>
      </w:r>
      <w:proofErr w:type="spellEnd"/>
      <w:r w:rsidRPr="002F7765">
        <w:rPr>
          <w:sz w:val="24"/>
          <w:szCs w:val="24"/>
        </w:rPr>
        <w:t>/ml. Direkte absorption i næsen er ubetydelig på grund af den lave vandopløselighed, så størstedelen af dosen i sidste ende bliver slugt. Ved oral administration er den systemiske eksponering &lt; 1 % på grund af ringe absorption og præsystemisk metabolisme. Den totale systemiske absorption som følge af både nasal absorption og oral absorption af den slugte dosis er derfor ubetydelig.</w:t>
      </w:r>
    </w:p>
    <w:p w14:paraId="264B5270" w14:textId="77777777" w:rsidR="00684DD2" w:rsidRPr="002F7765" w:rsidRDefault="00684DD2" w:rsidP="000659C0">
      <w:pPr>
        <w:ind w:left="851"/>
        <w:rPr>
          <w:noProof/>
          <w:sz w:val="24"/>
          <w:szCs w:val="24"/>
        </w:rPr>
      </w:pPr>
    </w:p>
    <w:p w14:paraId="32A665A2" w14:textId="77777777" w:rsidR="00684DD2" w:rsidRPr="002F7765" w:rsidRDefault="00684DD2" w:rsidP="000659C0">
      <w:pPr>
        <w:ind w:left="851"/>
        <w:rPr>
          <w:noProof/>
          <w:sz w:val="24"/>
          <w:szCs w:val="24"/>
          <w:u w:val="single"/>
        </w:rPr>
      </w:pPr>
      <w:r w:rsidRPr="002F7765">
        <w:rPr>
          <w:sz w:val="24"/>
          <w:szCs w:val="24"/>
          <w:u w:val="single"/>
        </w:rPr>
        <w:t>Fordeling</w:t>
      </w:r>
    </w:p>
    <w:p w14:paraId="730A5FED" w14:textId="77777777" w:rsidR="00684DD2" w:rsidRPr="002F7765" w:rsidRDefault="00684DD2" w:rsidP="000659C0">
      <w:pPr>
        <w:ind w:left="851"/>
        <w:rPr>
          <w:sz w:val="24"/>
          <w:szCs w:val="24"/>
        </w:rPr>
      </w:pPr>
      <w:proofErr w:type="spellStart"/>
      <w:r w:rsidRPr="002F7765">
        <w:rPr>
          <w:sz w:val="24"/>
          <w:szCs w:val="24"/>
        </w:rPr>
        <w:t>Fluticasonpropionat</w:t>
      </w:r>
      <w:proofErr w:type="spellEnd"/>
      <w:r w:rsidRPr="002F7765">
        <w:rPr>
          <w:sz w:val="24"/>
          <w:szCs w:val="24"/>
        </w:rPr>
        <w:t xml:space="preserve"> har et stort fordelingsvolumen ved </w:t>
      </w:r>
      <w:proofErr w:type="spellStart"/>
      <w:r w:rsidRPr="002F7765">
        <w:rPr>
          <w:sz w:val="24"/>
          <w:szCs w:val="24"/>
        </w:rPr>
        <w:t>steady</w:t>
      </w:r>
      <w:proofErr w:type="spellEnd"/>
      <w:r w:rsidRPr="002F7765">
        <w:rPr>
          <w:sz w:val="24"/>
          <w:szCs w:val="24"/>
        </w:rPr>
        <w:t xml:space="preserve"> </w:t>
      </w:r>
      <w:proofErr w:type="spellStart"/>
      <w:r w:rsidRPr="002F7765">
        <w:rPr>
          <w:sz w:val="24"/>
          <w:szCs w:val="24"/>
        </w:rPr>
        <w:t>state</w:t>
      </w:r>
      <w:proofErr w:type="spellEnd"/>
      <w:r w:rsidRPr="002F7765">
        <w:rPr>
          <w:sz w:val="24"/>
          <w:szCs w:val="24"/>
        </w:rPr>
        <w:t xml:space="preserve"> (cirka 318 l). Plasmaproteinbindingsgraden er moderat høj (91 %).</w:t>
      </w:r>
    </w:p>
    <w:p w14:paraId="700EFF94" w14:textId="3C43750D" w:rsidR="004D1FDB" w:rsidRDefault="004D1FDB">
      <w:pPr>
        <w:rPr>
          <w:noProof/>
          <w:sz w:val="24"/>
          <w:szCs w:val="24"/>
        </w:rPr>
      </w:pPr>
      <w:r>
        <w:rPr>
          <w:noProof/>
          <w:sz w:val="24"/>
          <w:szCs w:val="24"/>
        </w:rPr>
        <w:br w:type="page"/>
      </w:r>
    </w:p>
    <w:p w14:paraId="02EE532F" w14:textId="77777777" w:rsidR="00684DD2" w:rsidRPr="002F7765" w:rsidRDefault="00684DD2" w:rsidP="000659C0">
      <w:pPr>
        <w:ind w:left="851"/>
        <w:rPr>
          <w:noProof/>
          <w:sz w:val="24"/>
          <w:szCs w:val="24"/>
        </w:rPr>
      </w:pPr>
    </w:p>
    <w:p w14:paraId="0A6FD3F8" w14:textId="77777777" w:rsidR="00684DD2" w:rsidRPr="002F7765" w:rsidRDefault="00684DD2" w:rsidP="000659C0">
      <w:pPr>
        <w:ind w:left="851"/>
        <w:rPr>
          <w:noProof/>
          <w:sz w:val="24"/>
          <w:szCs w:val="24"/>
          <w:u w:val="single"/>
        </w:rPr>
      </w:pPr>
      <w:r w:rsidRPr="002F7765">
        <w:rPr>
          <w:sz w:val="24"/>
          <w:szCs w:val="24"/>
          <w:u w:val="single"/>
        </w:rPr>
        <w:t>Biotransformation</w:t>
      </w:r>
    </w:p>
    <w:p w14:paraId="10F22318" w14:textId="77777777" w:rsidR="00684DD2" w:rsidRPr="002F7765" w:rsidRDefault="00684DD2" w:rsidP="000659C0">
      <w:pPr>
        <w:ind w:left="851"/>
        <w:rPr>
          <w:sz w:val="24"/>
          <w:szCs w:val="24"/>
        </w:rPr>
      </w:pPr>
      <w:proofErr w:type="spellStart"/>
      <w:r w:rsidRPr="002F7765">
        <w:rPr>
          <w:sz w:val="24"/>
          <w:szCs w:val="24"/>
        </w:rPr>
        <w:t>Fluticasonpropionat</w:t>
      </w:r>
      <w:proofErr w:type="spellEnd"/>
      <w:r w:rsidRPr="002F7765">
        <w:rPr>
          <w:sz w:val="24"/>
          <w:szCs w:val="24"/>
        </w:rPr>
        <w:t xml:space="preserve"> elimineres hurtigt fra det systemiske kredsløb, primært via </w:t>
      </w:r>
      <w:proofErr w:type="spellStart"/>
      <w:r w:rsidRPr="002F7765">
        <w:rPr>
          <w:sz w:val="24"/>
          <w:szCs w:val="24"/>
        </w:rPr>
        <w:t>hepatisk</w:t>
      </w:r>
      <w:proofErr w:type="spellEnd"/>
      <w:r w:rsidRPr="002F7765">
        <w:rPr>
          <w:sz w:val="24"/>
          <w:szCs w:val="24"/>
        </w:rPr>
        <w:t xml:space="preserve"> metabolisme til en inaktiv carboxylsyremetabolit via </w:t>
      </w:r>
      <w:proofErr w:type="spellStart"/>
      <w:r w:rsidRPr="002F7765">
        <w:rPr>
          <w:sz w:val="24"/>
          <w:szCs w:val="24"/>
        </w:rPr>
        <w:t>cytochrom</w:t>
      </w:r>
      <w:proofErr w:type="spellEnd"/>
      <w:r w:rsidRPr="002F7765">
        <w:rPr>
          <w:sz w:val="24"/>
          <w:szCs w:val="24"/>
        </w:rPr>
        <w:t xml:space="preserve"> P450-enzymet CYP3A4. Slugt </w:t>
      </w:r>
      <w:proofErr w:type="spellStart"/>
      <w:r w:rsidRPr="002F7765">
        <w:rPr>
          <w:sz w:val="24"/>
          <w:szCs w:val="24"/>
        </w:rPr>
        <w:t>fluticasonpropionat</w:t>
      </w:r>
      <w:proofErr w:type="spellEnd"/>
      <w:r w:rsidRPr="002F7765">
        <w:rPr>
          <w:sz w:val="24"/>
          <w:szCs w:val="24"/>
        </w:rPr>
        <w:t xml:space="preserve"> gennemgår også omfattende førstepassage-metabolisme. Der bør udvises forsigtighed ved samtidig administration af potente CYP3A4-hæmmere såsom </w:t>
      </w:r>
      <w:proofErr w:type="spellStart"/>
      <w:r w:rsidRPr="002F7765">
        <w:rPr>
          <w:sz w:val="24"/>
          <w:szCs w:val="24"/>
        </w:rPr>
        <w:t>ketoconazol</w:t>
      </w:r>
      <w:proofErr w:type="spellEnd"/>
      <w:r w:rsidRPr="002F7765">
        <w:rPr>
          <w:sz w:val="24"/>
          <w:szCs w:val="24"/>
        </w:rPr>
        <w:t xml:space="preserve"> og </w:t>
      </w:r>
      <w:proofErr w:type="spellStart"/>
      <w:r w:rsidRPr="002F7765">
        <w:rPr>
          <w:sz w:val="24"/>
          <w:szCs w:val="24"/>
        </w:rPr>
        <w:t>ritonavir</w:t>
      </w:r>
      <w:proofErr w:type="spellEnd"/>
      <w:r w:rsidRPr="002F7765">
        <w:rPr>
          <w:sz w:val="24"/>
          <w:szCs w:val="24"/>
        </w:rPr>
        <w:t xml:space="preserve">, da der er risiko for øget systemisk eksponering for </w:t>
      </w:r>
      <w:proofErr w:type="spellStart"/>
      <w:r w:rsidRPr="002F7765">
        <w:rPr>
          <w:sz w:val="24"/>
          <w:szCs w:val="24"/>
        </w:rPr>
        <w:t>fluticasonpropionat</w:t>
      </w:r>
      <w:proofErr w:type="spellEnd"/>
      <w:r w:rsidRPr="002F7765">
        <w:rPr>
          <w:sz w:val="24"/>
          <w:szCs w:val="24"/>
        </w:rPr>
        <w:t>.</w:t>
      </w:r>
    </w:p>
    <w:p w14:paraId="34390299" w14:textId="77777777" w:rsidR="00684DD2" w:rsidRPr="002F7765" w:rsidRDefault="00684DD2" w:rsidP="000659C0">
      <w:pPr>
        <w:ind w:left="851"/>
        <w:rPr>
          <w:noProof/>
          <w:sz w:val="24"/>
          <w:szCs w:val="24"/>
          <w:u w:val="single"/>
        </w:rPr>
      </w:pPr>
    </w:p>
    <w:p w14:paraId="0A2567E0" w14:textId="77777777" w:rsidR="00684DD2" w:rsidRPr="002F7765" w:rsidRDefault="00684DD2" w:rsidP="000659C0">
      <w:pPr>
        <w:ind w:left="851"/>
        <w:rPr>
          <w:noProof/>
          <w:sz w:val="24"/>
          <w:szCs w:val="24"/>
          <w:u w:val="single"/>
        </w:rPr>
      </w:pPr>
      <w:r w:rsidRPr="002F7765">
        <w:rPr>
          <w:sz w:val="24"/>
          <w:szCs w:val="24"/>
          <w:u w:val="single"/>
        </w:rPr>
        <w:t>Elimination</w:t>
      </w:r>
    </w:p>
    <w:p w14:paraId="459CD9F4" w14:textId="77777777" w:rsidR="00684DD2" w:rsidRPr="002F7765" w:rsidRDefault="00684DD2" w:rsidP="000659C0">
      <w:pPr>
        <w:ind w:left="851"/>
        <w:rPr>
          <w:sz w:val="24"/>
          <w:szCs w:val="24"/>
        </w:rPr>
      </w:pPr>
      <w:r w:rsidRPr="002F7765">
        <w:rPr>
          <w:sz w:val="24"/>
          <w:szCs w:val="24"/>
        </w:rPr>
        <w:t xml:space="preserve">Eliminationshastigheden for intravenøst administreret </w:t>
      </w:r>
      <w:proofErr w:type="spellStart"/>
      <w:r w:rsidRPr="002F7765">
        <w:rPr>
          <w:sz w:val="24"/>
          <w:szCs w:val="24"/>
        </w:rPr>
        <w:t>fluticasonpropionat</w:t>
      </w:r>
      <w:proofErr w:type="spellEnd"/>
      <w:r w:rsidRPr="002F7765">
        <w:rPr>
          <w:sz w:val="24"/>
          <w:szCs w:val="24"/>
        </w:rPr>
        <w:t xml:space="preserve"> er lineær i dosisområdet 250-1.000 mikrogram og er kendetegnet ved en høj </w:t>
      </w:r>
      <w:proofErr w:type="spellStart"/>
      <w:r w:rsidRPr="002F7765">
        <w:rPr>
          <w:sz w:val="24"/>
          <w:szCs w:val="24"/>
        </w:rPr>
        <w:t>plasmaclearance</w:t>
      </w:r>
      <w:proofErr w:type="spellEnd"/>
      <w:r w:rsidRPr="002F7765">
        <w:rPr>
          <w:sz w:val="24"/>
          <w:szCs w:val="24"/>
        </w:rPr>
        <w:t xml:space="preserve"> (CL = 1,1 l/min). Den maksimale plasmakoncentration falder med cirka 98 % inden for 3-4 timer, og den terminale halveringstid på 7,8 timer var kun forbundet med lave plasmakoncentrationer. Den </w:t>
      </w:r>
      <w:proofErr w:type="spellStart"/>
      <w:r w:rsidRPr="002F7765">
        <w:rPr>
          <w:sz w:val="24"/>
          <w:szCs w:val="24"/>
        </w:rPr>
        <w:t>renale</w:t>
      </w:r>
      <w:proofErr w:type="spellEnd"/>
      <w:r w:rsidRPr="002F7765">
        <w:rPr>
          <w:sz w:val="24"/>
          <w:szCs w:val="24"/>
        </w:rPr>
        <w:t xml:space="preserve"> </w:t>
      </w:r>
      <w:proofErr w:type="spellStart"/>
      <w:r w:rsidRPr="002F7765">
        <w:rPr>
          <w:sz w:val="24"/>
          <w:szCs w:val="24"/>
        </w:rPr>
        <w:t>clearance</w:t>
      </w:r>
      <w:proofErr w:type="spellEnd"/>
      <w:r w:rsidRPr="002F7765">
        <w:rPr>
          <w:sz w:val="24"/>
          <w:szCs w:val="24"/>
        </w:rPr>
        <w:t xml:space="preserve"> af </w:t>
      </w:r>
      <w:proofErr w:type="spellStart"/>
      <w:r w:rsidRPr="002F7765">
        <w:rPr>
          <w:sz w:val="24"/>
          <w:szCs w:val="24"/>
        </w:rPr>
        <w:t>fluticasonpropionat</w:t>
      </w:r>
      <w:proofErr w:type="spellEnd"/>
      <w:r w:rsidRPr="002F7765">
        <w:rPr>
          <w:sz w:val="24"/>
          <w:szCs w:val="24"/>
        </w:rPr>
        <w:t xml:space="preserve"> er ubetydelig (&lt; 0,2 %) og mindre end 5 % som carboxylsyremetabolitten.</w:t>
      </w:r>
    </w:p>
    <w:p w14:paraId="2D624D91" w14:textId="77777777" w:rsidR="00684DD2" w:rsidRPr="002F7765" w:rsidRDefault="00684DD2" w:rsidP="000659C0">
      <w:pPr>
        <w:ind w:left="851"/>
        <w:rPr>
          <w:sz w:val="24"/>
          <w:szCs w:val="24"/>
        </w:rPr>
      </w:pPr>
      <w:r w:rsidRPr="002F7765">
        <w:rPr>
          <w:sz w:val="24"/>
          <w:szCs w:val="24"/>
        </w:rPr>
        <w:t xml:space="preserve">Eliminationen foregår primært via udskillelse af </w:t>
      </w:r>
      <w:proofErr w:type="spellStart"/>
      <w:r w:rsidRPr="002F7765">
        <w:rPr>
          <w:sz w:val="24"/>
          <w:szCs w:val="24"/>
        </w:rPr>
        <w:t>fluticasonpropionat</w:t>
      </w:r>
      <w:proofErr w:type="spellEnd"/>
      <w:r w:rsidRPr="002F7765">
        <w:rPr>
          <w:sz w:val="24"/>
          <w:szCs w:val="24"/>
        </w:rPr>
        <w:t xml:space="preserve"> og dets metabolitter. </w:t>
      </w:r>
    </w:p>
    <w:p w14:paraId="66359956" w14:textId="77777777" w:rsidR="009260DE" w:rsidRPr="002F7765" w:rsidRDefault="009260DE" w:rsidP="009260DE">
      <w:pPr>
        <w:tabs>
          <w:tab w:val="left" w:pos="851"/>
        </w:tabs>
        <w:ind w:left="851"/>
        <w:rPr>
          <w:sz w:val="24"/>
          <w:szCs w:val="24"/>
        </w:rPr>
      </w:pPr>
    </w:p>
    <w:p w14:paraId="31485FCB" w14:textId="77777777" w:rsidR="009260DE" w:rsidRPr="002F7765" w:rsidRDefault="009260DE" w:rsidP="009260DE">
      <w:pPr>
        <w:tabs>
          <w:tab w:val="left" w:pos="851"/>
        </w:tabs>
        <w:ind w:left="851" w:hanging="851"/>
        <w:rPr>
          <w:b/>
          <w:sz w:val="24"/>
          <w:szCs w:val="24"/>
        </w:rPr>
      </w:pPr>
      <w:r w:rsidRPr="002F7765">
        <w:rPr>
          <w:b/>
          <w:sz w:val="24"/>
          <w:szCs w:val="24"/>
        </w:rPr>
        <w:t>5.3</w:t>
      </w:r>
      <w:r w:rsidRPr="002F7765">
        <w:rPr>
          <w:b/>
          <w:sz w:val="24"/>
          <w:szCs w:val="24"/>
        </w:rPr>
        <w:tab/>
        <w:t>Prækliniske sikkerhedsdata</w:t>
      </w:r>
    </w:p>
    <w:p w14:paraId="08BDE8EF" w14:textId="77777777" w:rsidR="00684DD2" w:rsidRPr="002F7765" w:rsidRDefault="00684DD2" w:rsidP="000659C0">
      <w:pPr>
        <w:ind w:left="851"/>
        <w:rPr>
          <w:sz w:val="24"/>
          <w:szCs w:val="24"/>
        </w:rPr>
      </w:pPr>
      <w:r w:rsidRPr="002F7765">
        <w:rPr>
          <w:sz w:val="24"/>
          <w:szCs w:val="24"/>
        </w:rPr>
        <w:t xml:space="preserve">Toksikologistudier hos dyr, herunder reproduktions- og udviklingstoksikologiske studier, har vist klasseeffekter, der er typiske for et potent </w:t>
      </w:r>
      <w:proofErr w:type="spellStart"/>
      <w:r w:rsidRPr="002F7765">
        <w:rPr>
          <w:sz w:val="24"/>
          <w:szCs w:val="24"/>
        </w:rPr>
        <w:t>kortikosteroid</w:t>
      </w:r>
      <w:proofErr w:type="spellEnd"/>
      <w:r w:rsidRPr="002F7765">
        <w:rPr>
          <w:sz w:val="24"/>
          <w:szCs w:val="24"/>
        </w:rPr>
        <w:t>, men kun ved doser, der var meget højere end de anbefalede doser til terapeutisk brug. Der blev ikke identificeret nogen nye virkninger i studier af toksiciteten efter gentagne doser.</w:t>
      </w:r>
    </w:p>
    <w:p w14:paraId="789DC4F4" w14:textId="77777777" w:rsidR="00684DD2" w:rsidRPr="002F7765" w:rsidRDefault="00684DD2" w:rsidP="000659C0">
      <w:pPr>
        <w:ind w:left="851"/>
        <w:rPr>
          <w:sz w:val="24"/>
          <w:szCs w:val="24"/>
        </w:rPr>
      </w:pPr>
    </w:p>
    <w:p w14:paraId="5799C451" w14:textId="77777777" w:rsidR="00684DD2" w:rsidRPr="002F7765" w:rsidRDefault="00684DD2" w:rsidP="000659C0">
      <w:pPr>
        <w:ind w:left="851"/>
        <w:rPr>
          <w:sz w:val="24"/>
          <w:szCs w:val="24"/>
        </w:rPr>
      </w:pPr>
      <w:proofErr w:type="spellStart"/>
      <w:r w:rsidRPr="002F7765">
        <w:rPr>
          <w:sz w:val="24"/>
          <w:szCs w:val="24"/>
        </w:rPr>
        <w:t>Fluticasonpropionat</w:t>
      </w:r>
      <w:proofErr w:type="spellEnd"/>
      <w:r w:rsidRPr="002F7765">
        <w:rPr>
          <w:sz w:val="24"/>
          <w:szCs w:val="24"/>
        </w:rPr>
        <w:t xml:space="preserve"> har ingen mutagen virkning </w:t>
      </w:r>
      <w:r w:rsidRPr="002F7765">
        <w:rPr>
          <w:i/>
          <w:iCs/>
          <w:sz w:val="24"/>
          <w:szCs w:val="24"/>
        </w:rPr>
        <w:t xml:space="preserve">in </w:t>
      </w:r>
      <w:proofErr w:type="spellStart"/>
      <w:r w:rsidRPr="002F7765">
        <w:rPr>
          <w:i/>
          <w:iCs/>
          <w:sz w:val="24"/>
          <w:szCs w:val="24"/>
        </w:rPr>
        <w:t>vitro</w:t>
      </w:r>
      <w:proofErr w:type="spellEnd"/>
      <w:r w:rsidRPr="002F7765">
        <w:rPr>
          <w:i/>
          <w:iCs/>
          <w:sz w:val="24"/>
          <w:szCs w:val="24"/>
        </w:rPr>
        <w:t xml:space="preserve"> </w:t>
      </w:r>
      <w:r w:rsidRPr="002F7765">
        <w:rPr>
          <w:sz w:val="24"/>
          <w:szCs w:val="24"/>
        </w:rPr>
        <w:t xml:space="preserve">og </w:t>
      </w:r>
      <w:r w:rsidRPr="002F7765">
        <w:rPr>
          <w:i/>
          <w:iCs/>
          <w:sz w:val="24"/>
          <w:szCs w:val="24"/>
        </w:rPr>
        <w:t xml:space="preserve">in </w:t>
      </w:r>
      <w:proofErr w:type="spellStart"/>
      <w:r w:rsidRPr="002F7765">
        <w:rPr>
          <w:i/>
          <w:iCs/>
          <w:sz w:val="24"/>
          <w:szCs w:val="24"/>
        </w:rPr>
        <w:t>vivo</w:t>
      </w:r>
      <w:proofErr w:type="spellEnd"/>
      <w:r w:rsidRPr="002F7765">
        <w:rPr>
          <w:i/>
          <w:iCs/>
          <w:sz w:val="24"/>
          <w:szCs w:val="24"/>
        </w:rPr>
        <w:t xml:space="preserve"> </w:t>
      </w:r>
      <w:r w:rsidRPr="002F7765">
        <w:rPr>
          <w:sz w:val="24"/>
          <w:szCs w:val="24"/>
        </w:rPr>
        <w:t xml:space="preserve">og udviste ikke </w:t>
      </w:r>
      <w:proofErr w:type="spellStart"/>
      <w:r w:rsidRPr="002F7765">
        <w:rPr>
          <w:sz w:val="24"/>
          <w:szCs w:val="24"/>
        </w:rPr>
        <w:t>tumorigent</w:t>
      </w:r>
      <w:proofErr w:type="spellEnd"/>
      <w:r w:rsidRPr="002F7765">
        <w:rPr>
          <w:sz w:val="24"/>
          <w:szCs w:val="24"/>
        </w:rPr>
        <w:t xml:space="preserve"> potentiale hos gnavere. Det er både ikke-irriterende og ikke-sensibiliserende i dyremodeller.</w:t>
      </w:r>
    </w:p>
    <w:p w14:paraId="6737325A" w14:textId="77777777" w:rsidR="009260DE" w:rsidRPr="002F7765" w:rsidRDefault="009260DE" w:rsidP="009260DE">
      <w:pPr>
        <w:tabs>
          <w:tab w:val="left" w:pos="851"/>
        </w:tabs>
        <w:ind w:left="851"/>
        <w:rPr>
          <w:sz w:val="24"/>
          <w:szCs w:val="24"/>
        </w:rPr>
      </w:pPr>
    </w:p>
    <w:p w14:paraId="4B93931E" w14:textId="77777777" w:rsidR="009260DE" w:rsidRPr="002F7765" w:rsidRDefault="009260DE" w:rsidP="009260DE">
      <w:pPr>
        <w:tabs>
          <w:tab w:val="left" w:pos="851"/>
        </w:tabs>
        <w:ind w:left="851"/>
        <w:rPr>
          <w:sz w:val="24"/>
          <w:szCs w:val="24"/>
        </w:rPr>
      </w:pPr>
    </w:p>
    <w:p w14:paraId="777FB95E" w14:textId="77777777" w:rsidR="009260DE" w:rsidRPr="002F7765" w:rsidRDefault="009260DE" w:rsidP="009260DE">
      <w:pPr>
        <w:tabs>
          <w:tab w:val="left" w:pos="851"/>
        </w:tabs>
        <w:ind w:left="851" w:hanging="851"/>
        <w:rPr>
          <w:b/>
          <w:sz w:val="24"/>
          <w:szCs w:val="24"/>
        </w:rPr>
      </w:pPr>
      <w:r w:rsidRPr="002F7765">
        <w:rPr>
          <w:b/>
          <w:sz w:val="24"/>
          <w:szCs w:val="24"/>
        </w:rPr>
        <w:t>6.</w:t>
      </w:r>
      <w:r w:rsidRPr="002F7765">
        <w:rPr>
          <w:b/>
          <w:sz w:val="24"/>
          <w:szCs w:val="24"/>
        </w:rPr>
        <w:tab/>
        <w:t>FARMACEUTISKE OPLYSNINGER</w:t>
      </w:r>
    </w:p>
    <w:p w14:paraId="79F73252" w14:textId="77777777" w:rsidR="009260DE" w:rsidRPr="002F7765" w:rsidRDefault="009260DE" w:rsidP="009260DE">
      <w:pPr>
        <w:tabs>
          <w:tab w:val="left" w:pos="851"/>
        </w:tabs>
        <w:ind w:left="851"/>
        <w:rPr>
          <w:sz w:val="24"/>
          <w:szCs w:val="24"/>
        </w:rPr>
      </w:pPr>
    </w:p>
    <w:p w14:paraId="1B5278A4" w14:textId="77777777" w:rsidR="009260DE" w:rsidRPr="002F7765" w:rsidRDefault="009260DE" w:rsidP="009260DE">
      <w:pPr>
        <w:tabs>
          <w:tab w:val="left" w:pos="851"/>
        </w:tabs>
        <w:ind w:left="851" w:hanging="851"/>
        <w:rPr>
          <w:b/>
          <w:sz w:val="24"/>
          <w:szCs w:val="24"/>
        </w:rPr>
      </w:pPr>
      <w:r w:rsidRPr="002F7765">
        <w:rPr>
          <w:b/>
          <w:sz w:val="24"/>
          <w:szCs w:val="24"/>
        </w:rPr>
        <w:t>6.1</w:t>
      </w:r>
      <w:r w:rsidRPr="002F7765">
        <w:rPr>
          <w:b/>
          <w:sz w:val="24"/>
          <w:szCs w:val="24"/>
        </w:rPr>
        <w:tab/>
        <w:t>Hjælpestoffer</w:t>
      </w:r>
    </w:p>
    <w:p w14:paraId="6AF173EC" w14:textId="77777777" w:rsidR="00684DD2" w:rsidRPr="002F7765" w:rsidRDefault="00684DD2" w:rsidP="000659C0">
      <w:pPr>
        <w:ind w:left="851"/>
        <w:rPr>
          <w:noProof/>
          <w:sz w:val="24"/>
          <w:szCs w:val="24"/>
        </w:rPr>
      </w:pPr>
      <w:proofErr w:type="spellStart"/>
      <w:r w:rsidRPr="002F7765">
        <w:rPr>
          <w:sz w:val="24"/>
          <w:szCs w:val="24"/>
        </w:rPr>
        <w:t>Benzalkoniumchlorid</w:t>
      </w:r>
      <w:proofErr w:type="spellEnd"/>
    </w:p>
    <w:p w14:paraId="4BF91820" w14:textId="77777777" w:rsidR="00684DD2" w:rsidRPr="002F7765" w:rsidRDefault="00684DD2" w:rsidP="000659C0">
      <w:pPr>
        <w:ind w:left="851"/>
        <w:rPr>
          <w:noProof/>
          <w:sz w:val="24"/>
          <w:szCs w:val="24"/>
        </w:rPr>
      </w:pPr>
      <w:proofErr w:type="spellStart"/>
      <w:r w:rsidRPr="002F7765">
        <w:rPr>
          <w:sz w:val="24"/>
          <w:szCs w:val="24"/>
        </w:rPr>
        <w:t>Glucose</w:t>
      </w:r>
      <w:proofErr w:type="spellEnd"/>
    </w:p>
    <w:p w14:paraId="2E1F52FA" w14:textId="77777777" w:rsidR="00684DD2" w:rsidRPr="002F7765" w:rsidRDefault="00684DD2" w:rsidP="000659C0">
      <w:pPr>
        <w:ind w:left="851"/>
        <w:rPr>
          <w:sz w:val="24"/>
          <w:szCs w:val="24"/>
        </w:rPr>
      </w:pPr>
      <w:r w:rsidRPr="002F7765">
        <w:rPr>
          <w:sz w:val="24"/>
          <w:szCs w:val="24"/>
        </w:rPr>
        <w:t xml:space="preserve">Mikrokrystallinsk cellulose (E460i) og </w:t>
      </w:r>
      <w:proofErr w:type="spellStart"/>
      <w:r w:rsidRPr="002F7765">
        <w:rPr>
          <w:sz w:val="24"/>
          <w:szCs w:val="24"/>
        </w:rPr>
        <w:t>carmellosenatrium</w:t>
      </w:r>
      <w:proofErr w:type="spellEnd"/>
      <w:r w:rsidRPr="002F7765">
        <w:rPr>
          <w:sz w:val="24"/>
          <w:szCs w:val="24"/>
        </w:rPr>
        <w:t xml:space="preserve"> (E466)</w:t>
      </w:r>
    </w:p>
    <w:p w14:paraId="02BF0203" w14:textId="77777777" w:rsidR="00684DD2" w:rsidRPr="002F7765" w:rsidRDefault="00684DD2" w:rsidP="000659C0">
      <w:pPr>
        <w:ind w:left="851"/>
        <w:rPr>
          <w:sz w:val="24"/>
          <w:szCs w:val="24"/>
        </w:rPr>
      </w:pPr>
      <w:proofErr w:type="spellStart"/>
      <w:r w:rsidRPr="002F7765">
        <w:rPr>
          <w:sz w:val="24"/>
          <w:szCs w:val="24"/>
        </w:rPr>
        <w:t>Phenylethylalkohol</w:t>
      </w:r>
      <w:proofErr w:type="spellEnd"/>
    </w:p>
    <w:p w14:paraId="74BCE19D" w14:textId="77777777" w:rsidR="00684DD2" w:rsidRPr="002F7765" w:rsidRDefault="00684DD2" w:rsidP="000659C0">
      <w:pPr>
        <w:ind w:left="851"/>
        <w:rPr>
          <w:sz w:val="24"/>
          <w:szCs w:val="24"/>
        </w:rPr>
      </w:pPr>
      <w:proofErr w:type="spellStart"/>
      <w:r w:rsidRPr="002F7765">
        <w:rPr>
          <w:sz w:val="24"/>
          <w:szCs w:val="24"/>
        </w:rPr>
        <w:t>Polysorbat</w:t>
      </w:r>
      <w:proofErr w:type="spellEnd"/>
      <w:r w:rsidRPr="002F7765">
        <w:rPr>
          <w:sz w:val="24"/>
          <w:szCs w:val="24"/>
        </w:rPr>
        <w:t> 80</w:t>
      </w:r>
    </w:p>
    <w:p w14:paraId="0D282A8B" w14:textId="77777777" w:rsidR="00684DD2" w:rsidRPr="002F7765" w:rsidRDefault="00684DD2" w:rsidP="000659C0">
      <w:pPr>
        <w:ind w:left="851"/>
        <w:rPr>
          <w:sz w:val="24"/>
          <w:szCs w:val="24"/>
        </w:rPr>
      </w:pPr>
      <w:r w:rsidRPr="002F7765">
        <w:rPr>
          <w:sz w:val="24"/>
          <w:szCs w:val="24"/>
        </w:rPr>
        <w:t>Vand, renset</w:t>
      </w:r>
    </w:p>
    <w:p w14:paraId="5EC6AA65" w14:textId="77777777" w:rsidR="009260DE" w:rsidRPr="002F7765" w:rsidRDefault="009260DE" w:rsidP="009260DE">
      <w:pPr>
        <w:tabs>
          <w:tab w:val="left" w:pos="851"/>
        </w:tabs>
        <w:ind w:left="851"/>
        <w:rPr>
          <w:sz w:val="24"/>
          <w:szCs w:val="24"/>
        </w:rPr>
      </w:pPr>
    </w:p>
    <w:p w14:paraId="0683C607" w14:textId="77777777" w:rsidR="009260DE" w:rsidRPr="002F7765" w:rsidRDefault="009260DE" w:rsidP="009260DE">
      <w:pPr>
        <w:tabs>
          <w:tab w:val="left" w:pos="851"/>
        </w:tabs>
        <w:ind w:left="851" w:hanging="851"/>
        <w:rPr>
          <w:b/>
          <w:sz w:val="24"/>
          <w:szCs w:val="24"/>
        </w:rPr>
      </w:pPr>
      <w:r w:rsidRPr="002F7765">
        <w:rPr>
          <w:b/>
          <w:sz w:val="24"/>
          <w:szCs w:val="24"/>
        </w:rPr>
        <w:t>6.2</w:t>
      </w:r>
      <w:r w:rsidRPr="002F7765">
        <w:rPr>
          <w:b/>
          <w:sz w:val="24"/>
          <w:szCs w:val="24"/>
        </w:rPr>
        <w:tab/>
        <w:t>Uforligeligheder</w:t>
      </w:r>
    </w:p>
    <w:p w14:paraId="74900E43" w14:textId="77777777" w:rsidR="00684DD2" w:rsidRPr="002F7765" w:rsidRDefault="00684DD2" w:rsidP="000659C0">
      <w:pPr>
        <w:ind w:left="851"/>
        <w:rPr>
          <w:sz w:val="24"/>
          <w:szCs w:val="24"/>
        </w:rPr>
      </w:pPr>
      <w:r w:rsidRPr="002F7765">
        <w:rPr>
          <w:sz w:val="24"/>
          <w:szCs w:val="24"/>
        </w:rPr>
        <w:t>Ikke relevant.</w:t>
      </w:r>
    </w:p>
    <w:p w14:paraId="19E8EAB9" w14:textId="77777777" w:rsidR="009260DE" w:rsidRPr="002F7765" w:rsidRDefault="009260DE" w:rsidP="009260DE">
      <w:pPr>
        <w:tabs>
          <w:tab w:val="left" w:pos="851"/>
        </w:tabs>
        <w:ind w:left="851"/>
        <w:rPr>
          <w:sz w:val="24"/>
          <w:szCs w:val="24"/>
        </w:rPr>
      </w:pPr>
    </w:p>
    <w:p w14:paraId="17818889" w14:textId="77777777" w:rsidR="009260DE" w:rsidRPr="002F7765" w:rsidRDefault="009260DE" w:rsidP="009260DE">
      <w:pPr>
        <w:tabs>
          <w:tab w:val="left" w:pos="851"/>
        </w:tabs>
        <w:ind w:left="851" w:hanging="851"/>
        <w:rPr>
          <w:b/>
          <w:sz w:val="24"/>
          <w:szCs w:val="24"/>
        </w:rPr>
      </w:pPr>
      <w:r w:rsidRPr="002F7765">
        <w:rPr>
          <w:b/>
          <w:sz w:val="24"/>
          <w:szCs w:val="24"/>
        </w:rPr>
        <w:t>6.3</w:t>
      </w:r>
      <w:r w:rsidRPr="002F7765">
        <w:rPr>
          <w:b/>
          <w:sz w:val="24"/>
          <w:szCs w:val="24"/>
        </w:rPr>
        <w:tab/>
        <w:t>Opbevaringstid</w:t>
      </w:r>
    </w:p>
    <w:p w14:paraId="60D68164" w14:textId="579AEF87" w:rsidR="00684DD2" w:rsidRPr="002F7765" w:rsidRDefault="00684DD2" w:rsidP="000659C0">
      <w:pPr>
        <w:ind w:left="851"/>
        <w:rPr>
          <w:sz w:val="24"/>
          <w:szCs w:val="24"/>
        </w:rPr>
      </w:pPr>
      <w:r w:rsidRPr="002F7765">
        <w:rPr>
          <w:sz w:val="24"/>
          <w:szCs w:val="24"/>
        </w:rPr>
        <w:t>Uåbnet flaske: 30 måneder</w:t>
      </w:r>
    </w:p>
    <w:p w14:paraId="202EC6CD" w14:textId="77777777" w:rsidR="00684DD2" w:rsidRPr="002F7765" w:rsidRDefault="00684DD2" w:rsidP="000659C0">
      <w:pPr>
        <w:ind w:left="851"/>
        <w:rPr>
          <w:sz w:val="24"/>
          <w:szCs w:val="24"/>
        </w:rPr>
      </w:pPr>
      <w:r w:rsidRPr="002F7765">
        <w:rPr>
          <w:sz w:val="24"/>
          <w:szCs w:val="24"/>
        </w:rPr>
        <w:t>Åbnet flaske: 3 måneder</w:t>
      </w:r>
    </w:p>
    <w:p w14:paraId="75A15B8D" w14:textId="77777777" w:rsidR="009260DE" w:rsidRPr="002F7765" w:rsidRDefault="009260DE" w:rsidP="009260DE">
      <w:pPr>
        <w:tabs>
          <w:tab w:val="left" w:pos="851"/>
        </w:tabs>
        <w:ind w:left="851"/>
        <w:rPr>
          <w:sz w:val="24"/>
          <w:szCs w:val="24"/>
        </w:rPr>
      </w:pPr>
    </w:p>
    <w:p w14:paraId="4A4232F9" w14:textId="77777777" w:rsidR="009260DE" w:rsidRPr="002F7765" w:rsidRDefault="009260DE" w:rsidP="009260DE">
      <w:pPr>
        <w:tabs>
          <w:tab w:val="left" w:pos="851"/>
        </w:tabs>
        <w:ind w:left="851" w:hanging="851"/>
        <w:rPr>
          <w:b/>
          <w:sz w:val="24"/>
          <w:szCs w:val="24"/>
        </w:rPr>
      </w:pPr>
      <w:r w:rsidRPr="002F7765">
        <w:rPr>
          <w:b/>
          <w:sz w:val="24"/>
          <w:szCs w:val="24"/>
        </w:rPr>
        <w:t>6.4</w:t>
      </w:r>
      <w:r w:rsidRPr="002F7765">
        <w:rPr>
          <w:b/>
          <w:sz w:val="24"/>
          <w:szCs w:val="24"/>
        </w:rPr>
        <w:tab/>
        <w:t>Særlige opbevaringsforhold</w:t>
      </w:r>
    </w:p>
    <w:p w14:paraId="38387EEF" w14:textId="77777777" w:rsidR="00684DD2" w:rsidRPr="002F7765" w:rsidRDefault="00684DD2" w:rsidP="000659C0">
      <w:pPr>
        <w:ind w:left="851"/>
        <w:rPr>
          <w:sz w:val="24"/>
          <w:szCs w:val="24"/>
        </w:rPr>
      </w:pPr>
      <w:r w:rsidRPr="002F7765">
        <w:rPr>
          <w:sz w:val="24"/>
          <w:szCs w:val="24"/>
        </w:rPr>
        <w:t>Opbevares stående.</w:t>
      </w:r>
    </w:p>
    <w:p w14:paraId="693CFB9B" w14:textId="77777777" w:rsidR="009260DE" w:rsidRPr="002F7765" w:rsidRDefault="009260DE" w:rsidP="009260DE">
      <w:pPr>
        <w:tabs>
          <w:tab w:val="left" w:pos="851"/>
        </w:tabs>
        <w:ind w:left="851"/>
        <w:rPr>
          <w:sz w:val="24"/>
          <w:szCs w:val="24"/>
        </w:rPr>
      </w:pPr>
    </w:p>
    <w:p w14:paraId="638D6683" w14:textId="77777777" w:rsidR="009260DE" w:rsidRPr="002F7765" w:rsidRDefault="009260DE" w:rsidP="009260DE">
      <w:pPr>
        <w:tabs>
          <w:tab w:val="left" w:pos="851"/>
        </w:tabs>
        <w:ind w:left="851" w:hanging="851"/>
        <w:rPr>
          <w:b/>
          <w:sz w:val="24"/>
          <w:szCs w:val="24"/>
        </w:rPr>
      </w:pPr>
      <w:r w:rsidRPr="002F7765">
        <w:rPr>
          <w:b/>
          <w:sz w:val="24"/>
          <w:szCs w:val="24"/>
        </w:rPr>
        <w:t>6.5</w:t>
      </w:r>
      <w:r w:rsidRPr="002F7765">
        <w:rPr>
          <w:b/>
          <w:sz w:val="24"/>
          <w:szCs w:val="24"/>
        </w:rPr>
        <w:tab/>
        <w:t>Emballagetyper og pakningsstørrelser</w:t>
      </w:r>
    </w:p>
    <w:p w14:paraId="3EB6AE47" w14:textId="77777777" w:rsidR="00684DD2" w:rsidRPr="002F7765" w:rsidRDefault="00684DD2" w:rsidP="000659C0">
      <w:pPr>
        <w:ind w:left="851"/>
        <w:rPr>
          <w:sz w:val="24"/>
          <w:szCs w:val="24"/>
        </w:rPr>
      </w:pPr>
      <w:r w:rsidRPr="002F7765">
        <w:rPr>
          <w:sz w:val="24"/>
          <w:szCs w:val="24"/>
        </w:rPr>
        <w:t>Hvid flaske af PP med spraypumpe af PE/PP/EVA.</w:t>
      </w:r>
    </w:p>
    <w:p w14:paraId="0148BFA0" w14:textId="77777777" w:rsidR="00684DD2" w:rsidRPr="002F7765" w:rsidRDefault="00684DD2" w:rsidP="000659C0">
      <w:pPr>
        <w:ind w:left="851"/>
        <w:rPr>
          <w:sz w:val="24"/>
          <w:szCs w:val="24"/>
        </w:rPr>
      </w:pPr>
    </w:p>
    <w:p w14:paraId="5EEC0AD4" w14:textId="6AAAE3FB" w:rsidR="00684DD2" w:rsidRPr="007C0E32" w:rsidRDefault="00684DD2" w:rsidP="000659C0">
      <w:pPr>
        <w:ind w:left="851"/>
        <w:rPr>
          <w:sz w:val="24"/>
          <w:szCs w:val="24"/>
        </w:rPr>
      </w:pPr>
      <w:r w:rsidRPr="007C0E32">
        <w:rPr>
          <w:sz w:val="24"/>
          <w:szCs w:val="24"/>
        </w:rPr>
        <w:t>Pakningsstørrelser: 60, 120, 360 (3 </w:t>
      </w:r>
      <w:r w:rsidR="00730D9F" w:rsidRPr="007C0E32">
        <w:rPr>
          <w:sz w:val="24"/>
          <w:szCs w:val="24"/>
        </w:rPr>
        <w:t>×</w:t>
      </w:r>
      <w:r w:rsidRPr="007C0E32">
        <w:rPr>
          <w:sz w:val="24"/>
          <w:szCs w:val="24"/>
        </w:rPr>
        <w:t> 120) og 150 pust.</w:t>
      </w:r>
    </w:p>
    <w:p w14:paraId="20685F94" w14:textId="77777777" w:rsidR="00684DD2" w:rsidRPr="002F7765" w:rsidRDefault="00684DD2" w:rsidP="000659C0">
      <w:pPr>
        <w:ind w:left="851"/>
        <w:rPr>
          <w:sz w:val="24"/>
          <w:szCs w:val="24"/>
        </w:rPr>
      </w:pPr>
    </w:p>
    <w:p w14:paraId="5F2779AB" w14:textId="77777777" w:rsidR="00684DD2" w:rsidRPr="002F7765" w:rsidRDefault="00684DD2" w:rsidP="000659C0">
      <w:pPr>
        <w:ind w:left="851"/>
        <w:rPr>
          <w:sz w:val="24"/>
          <w:szCs w:val="24"/>
        </w:rPr>
      </w:pPr>
      <w:r w:rsidRPr="002F7765">
        <w:rPr>
          <w:sz w:val="24"/>
          <w:szCs w:val="24"/>
        </w:rPr>
        <w:t>Ikke alle pakningsstørrelser er nødvendigvis markedsført.</w:t>
      </w:r>
    </w:p>
    <w:p w14:paraId="737E901A" w14:textId="77777777" w:rsidR="009260DE" w:rsidRPr="002F7765" w:rsidRDefault="009260DE" w:rsidP="009260DE">
      <w:pPr>
        <w:tabs>
          <w:tab w:val="left" w:pos="851"/>
        </w:tabs>
        <w:ind w:left="851"/>
        <w:rPr>
          <w:sz w:val="24"/>
          <w:szCs w:val="24"/>
        </w:rPr>
      </w:pPr>
    </w:p>
    <w:p w14:paraId="596B1B0C" w14:textId="77777777" w:rsidR="009260DE" w:rsidRPr="002F7765" w:rsidRDefault="009260DE" w:rsidP="009260DE">
      <w:pPr>
        <w:tabs>
          <w:tab w:val="left" w:pos="851"/>
        </w:tabs>
        <w:ind w:left="851" w:hanging="851"/>
        <w:rPr>
          <w:b/>
          <w:sz w:val="24"/>
          <w:szCs w:val="24"/>
        </w:rPr>
      </w:pPr>
      <w:r w:rsidRPr="002F7765">
        <w:rPr>
          <w:b/>
          <w:sz w:val="24"/>
          <w:szCs w:val="24"/>
        </w:rPr>
        <w:t>6.6</w:t>
      </w:r>
      <w:r w:rsidRPr="002F7765">
        <w:rPr>
          <w:b/>
          <w:sz w:val="24"/>
          <w:szCs w:val="24"/>
        </w:rPr>
        <w:tab/>
        <w:t>Regler for destruktion og anden håndtering</w:t>
      </w:r>
    </w:p>
    <w:p w14:paraId="63960374" w14:textId="77777777" w:rsidR="00684DD2" w:rsidRPr="002F7765" w:rsidRDefault="00684DD2" w:rsidP="000659C0">
      <w:pPr>
        <w:ind w:left="851"/>
        <w:rPr>
          <w:sz w:val="24"/>
          <w:szCs w:val="24"/>
        </w:rPr>
      </w:pPr>
      <w:r w:rsidRPr="002F7765">
        <w:rPr>
          <w:sz w:val="24"/>
          <w:szCs w:val="24"/>
        </w:rPr>
        <w:t>Ingen særlige forholdsregler.</w:t>
      </w:r>
    </w:p>
    <w:p w14:paraId="0D0F6E42" w14:textId="77777777" w:rsidR="00684DD2" w:rsidRPr="002F7765" w:rsidRDefault="00684DD2" w:rsidP="000659C0">
      <w:pPr>
        <w:ind w:left="851"/>
        <w:rPr>
          <w:sz w:val="24"/>
          <w:szCs w:val="24"/>
        </w:rPr>
      </w:pPr>
    </w:p>
    <w:p w14:paraId="240589C8" w14:textId="77777777" w:rsidR="00684DD2" w:rsidRPr="002F7765" w:rsidRDefault="00684DD2" w:rsidP="000659C0">
      <w:pPr>
        <w:ind w:left="851"/>
        <w:rPr>
          <w:sz w:val="24"/>
          <w:szCs w:val="24"/>
        </w:rPr>
      </w:pPr>
      <w:r w:rsidRPr="002F7765">
        <w:rPr>
          <w:sz w:val="24"/>
          <w:szCs w:val="24"/>
        </w:rPr>
        <w:t>Ikke anvendt lægemiddel samt affald heraf skal bortskaffes i henhold til lokale retningslinjer.</w:t>
      </w:r>
    </w:p>
    <w:p w14:paraId="0AD26307" w14:textId="77777777" w:rsidR="009260DE" w:rsidRPr="002F7765" w:rsidRDefault="009260DE" w:rsidP="009260DE">
      <w:pPr>
        <w:tabs>
          <w:tab w:val="left" w:pos="851"/>
        </w:tabs>
        <w:ind w:left="851"/>
        <w:jc w:val="both"/>
        <w:rPr>
          <w:sz w:val="24"/>
          <w:szCs w:val="24"/>
        </w:rPr>
      </w:pPr>
    </w:p>
    <w:p w14:paraId="442DC003" w14:textId="77777777" w:rsidR="009260DE" w:rsidRPr="002F7765" w:rsidRDefault="009260DE" w:rsidP="009260DE">
      <w:pPr>
        <w:tabs>
          <w:tab w:val="left" w:pos="851"/>
        </w:tabs>
        <w:ind w:left="851" w:hanging="851"/>
        <w:rPr>
          <w:b/>
          <w:sz w:val="24"/>
          <w:szCs w:val="24"/>
        </w:rPr>
      </w:pPr>
      <w:r w:rsidRPr="002F7765">
        <w:rPr>
          <w:b/>
          <w:sz w:val="24"/>
          <w:szCs w:val="24"/>
        </w:rPr>
        <w:t>7.</w:t>
      </w:r>
      <w:r w:rsidRPr="002F7765">
        <w:rPr>
          <w:b/>
          <w:sz w:val="24"/>
          <w:szCs w:val="24"/>
        </w:rPr>
        <w:tab/>
        <w:t>INDEHAVER AF MARKEDSFØRINGSTILLADELSEN</w:t>
      </w:r>
    </w:p>
    <w:p w14:paraId="504121DB" w14:textId="77777777" w:rsidR="00684DD2" w:rsidRPr="002F7765" w:rsidRDefault="00684DD2" w:rsidP="000659C0">
      <w:pPr>
        <w:ind w:left="851"/>
        <w:rPr>
          <w:sz w:val="24"/>
          <w:szCs w:val="24"/>
        </w:rPr>
      </w:pPr>
      <w:r w:rsidRPr="002F7765">
        <w:rPr>
          <w:sz w:val="24"/>
          <w:szCs w:val="24"/>
        </w:rPr>
        <w:t xml:space="preserve">2care4 </w:t>
      </w:r>
      <w:proofErr w:type="spellStart"/>
      <w:r w:rsidRPr="002F7765">
        <w:rPr>
          <w:sz w:val="24"/>
          <w:szCs w:val="24"/>
        </w:rPr>
        <w:t>Generics</w:t>
      </w:r>
      <w:proofErr w:type="spellEnd"/>
      <w:r w:rsidRPr="002F7765">
        <w:rPr>
          <w:sz w:val="24"/>
          <w:szCs w:val="24"/>
        </w:rPr>
        <w:t xml:space="preserve"> ApS</w:t>
      </w:r>
    </w:p>
    <w:p w14:paraId="6DBCA459" w14:textId="77777777" w:rsidR="00684DD2" w:rsidRPr="002F7765" w:rsidRDefault="00684DD2" w:rsidP="000659C0">
      <w:pPr>
        <w:ind w:left="851"/>
        <w:rPr>
          <w:sz w:val="24"/>
          <w:szCs w:val="24"/>
        </w:rPr>
      </w:pPr>
      <w:r w:rsidRPr="002F7765">
        <w:rPr>
          <w:sz w:val="24"/>
          <w:szCs w:val="24"/>
        </w:rPr>
        <w:t>Stenhuggervej 12-14</w:t>
      </w:r>
    </w:p>
    <w:p w14:paraId="78F9E9B5" w14:textId="77777777" w:rsidR="00684DD2" w:rsidRPr="002F7765" w:rsidRDefault="00684DD2" w:rsidP="000659C0">
      <w:pPr>
        <w:ind w:left="851"/>
        <w:rPr>
          <w:iCs/>
          <w:sz w:val="24"/>
          <w:szCs w:val="24"/>
        </w:rPr>
      </w:pPr>
      <w:r w:rsidRPr="002F7765">
        <w:rPr>
          <w:sz w:val="24"/>
          <w:szCs w:val="24"/>
        </w:rPr>
        <w:t>6710 Esbjerg V</w:t>
      </w:r>
    </w:p>
    <w:p w14:paraId="749493AD" w14:textId="77777777" w:rsidR="009260DE" w:rsidRPr="002F7765" w:rsidRDefault="009260DE" w:rsidP="009260DE">
      <w:pPr>
        <w:tabs>
          <w:tab w:val="left" w:pos="851"/>
        </w:tabs>
        <w:ind w:left="851"/>
        <w:rPr>
          <w:sz w:val="24"/>
          <w:szCs w:val="24"/>
        </w:rPr>
      </w:pPr>
    </w:p>
    <w:p w14:paraId="02F24F09" w14:textId="77777777" w:rsidR="009260DE" w:rsidRPr="002F7765" w:rsidRDefault="009260DE" w:rsidP="009260DE">
      <w:pPr>
        <w:tabs>
          <w:tab w:val="left" w:pos="851"/>
        </w:tabs>
        <w:ind w:left="851" w:hanging="851"/>
        <w:rPr>
          <w:b/>
          <w:sz w:val="24"/>
          <w:szCs w:val="24"/>
        </w:rPr>
      </w:pPr>
      <w:r w:rsidRPr="002F7765">
        <w:rPr>
          <w:b/>
          <w:sz w:val="24"/>
          <w:szCs w:val="24"/>
        </w:rPr>
        <w:t>8.</w:t>
      </w:r>
      <w:r w:rsidRPr="002F7765">
        <w:rPr>
          <w:b/>
          <w:sz w:val="24"/>
          <w:szCs w:val="24"/>
        </w:rPr>
        <w:tab/>
        <w:t>MARKEDSFØRINGSTILLADELSESNUMMER (NUMRE)</w:t>
      </w:r>
    </w:p>
    <w:p w14:paraId="24CEB110" w14:textId="62D38EC7" w:rsidR="009260DE" w:rsidRPr="002F7765" w:rsidRDefault="0071356D" w:rsidP="009260DE">
      <w:pPr>
        <w:tabs>
          <w:tab w:val="left" w:pos="851"/>
        </w:tabs>
        <w:ind w:left="851"/>
        <w:rPr>
          <w:sz w:val="24"/>
          <w:szCs w:val="24"/>
        </w:rPr>
      </w:pPr>
      <w:r w:rsidRPr="002F7765">
        <w:rPr>
          <w:sz w:val="24"/>
          <w:szCs w:val="24"/>
        </w:rPr>
        <w:t>63579</w:t>
      </w:r>
    </w:p>
    <w:p w14:paraId="286B6D69" w14:textId="77777777" w:rsidR="009260DE" w:rsidRPr="002F7765" w:rsidRDefault="009260DE" w:rsidP="009260DE">
      <w:pPr>
        <w:tabs>
          <w:tab w:val="left" w:pos="851"/>
        </w:tabs>
        <w:ind w:left="851"/>
        <w:jc w:val="both"/>
        <w:rPr>
          <w:sz w:val="24"/>
          <w:szCs w:val="24"/>
        </w:rPr>
      </w:pPr>
    </w:p>
    <w:p w14:paraId="3C512146" w14:textId="77777777" w:rsidR="009260DE" w:rsidRPr="002F7765" w:rsidRDefault="009260DE" w:rsidP="009260DE">
      <w:pPr>
        <w:tabs>
          <w:tab w:val="left" w:pos="851"/>
        </w:tabs>
        <w:ind w:left="851" w:hanging="851"/>
        <w:rPr>
          <w:b/>
          <w:sz w:val="24"/>
          <w:szCs w:val="24"/>
        </w:rPr>
      </w:pPr>
      <w:r w:rsidRPr="002F7765">
        <w:rPr>
          <w:b/>
          <w:sz w:val="24"/>
          <w:szCs w:val="24"/>
        </w:rPr>
        <w:t>9.</w:t>
      </w:r>
      <w:r w:rsidRPr="002F7765">
        <w:rPr>
          <w:b/>
          <w:sz w:val="24"/>
          <w:szCs w:val="24"/>
        </w:rPr>
        <w:tab/>
        <w:t>DATO FOR FØRSTE MARKEDSFØRINGSTILLADELSE</w:t>
      </w:r>
    </w:p>
    <w:p w14:paraId="0F7642E3" w14:textId="20B9ADB2" w:rsidR="009260DE" w:rsidRPr="002F7765" w:rsidRDefault="00971BDA" w:rsidP="009260DE">
      <w:pPr>
        <w:tabs>
          <w:tab w:val="left" w:pos="851"/>
        </w:tabs>
        <w:ind w:left="851"/>
        <w:rPr>
          <w:sz w:val="24"/>
          <w:szCs w:val="24"/>
        </w:rPr>
      </w:pPr>
      <w:r>
        <w:rPr>
          <w:sz w:val="24"/>
          <w:szCs w:val="24"/>
        </w:rPr>
        <w:t>22. april 2021</w:t>
      </w:r>
    </w:p>
    <w:p w14:paraId="46F0CABE" w14:textId="77777777" w:rsidR="009260DE" w:rsidRPr="002F7765" w:rsidRDefault="009260DE" w:rsidP="009260DE">
      <w:pPr>
        <w:tabs>
          <w:tab w:val="left" w:pos="851"/>
        </w:tabs>
        <w:ind w:left="851"/>
        <w:rPr>
          <w:sz w:val="24"/>
          <w:szCs w:val="24"/>
        </w:rPr>
      </w:pPr>
    </w:p>
    <w:p w14:paraId="1E9EB16B" w14:textId="77777777" w:rsidR="009260DE" w:rsidRPr="002F7765" w:rsidRDefault="009260DE" w:rsidP="009260DE">
      <w:pPr>
        <w:tabs>
          <w:tab w:val="left" w:pos="851"/>
        </w:tabs>
        <w:ind w:left="851" w:hanging="851"/>
        <w:rPr>
          <w:b/>
          <w:sz w:val="24"/>
          <w:szCs w:val="24"/>
        </w:rPr>
      </w:pPr>
      <w:r w:rsidRPr="002F7765">
        <w:rPr>
          <w:b/>
          <w:sz w:val="24"/>
          <w:szCs w:val="24"/>
        </w:rPr>
        <w:t>10.</w:t>
      </w:r>
      <w:r w:rsidRPr="002F7765">
        <w:rPr>
          <w:b/>
          <w:sz w:val="24"/>
          <w:szCs w:val="24"/>
        </w:rPr>
        <w:tab/>
        <w:t>DATO FOR ÆNDRING AF TEKSTEN</w:t>
      </w:r>
    </w:p>
    <w:p w14:paraId="490919E8" w14:textId="6D5E9EB4" w:rsidR="009260DE" w:rsidRPr="002F7765" w:rsidRDefault="0071356D" w:rsidP="009260DE">
      <w:pPr>
        <w:tabs>
          <w:tab w:val="left" w:pos="851"/>
        </w:tabs>
        <w:ind w:left="851"/>
        <w:rPr>
          <w:sz w:val="24"/>
          <w:szCs w:val="24"/>
        </w:rPr>
      </w:pPr>
      <w:r w:rsidRPr="002F7765">
        <w:rPr>
          <w:sz w:val="24"/>
          <w:szCs w:val="24"/>
        </w:rPr>
        <w:t>-</w:t>
      </w:r>
    </w:p>
    <w:sectPr w:rsidR="009260DE" w:rsidRPr="002F7765"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A3D6F" w14:textId="77777777" w:rsidR="00E4061B" w:rsidRDefault="00E4061B">
      <w:r>
        <w:separator/>
      </w:r>
    </w:p>
  </w:endnote>
  <w:endnote w:type="continuationSeparator" w:id="0">
    <w:p w14:paraId="43D0F1FF" w14:textId="77777777" w:rsidR="00E4061B" w:rsidRDefault="00E40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9F137" w14:textId="77777777" w:rsidR="000259B9" w:rsidRDefault="000259B9">
    <w:pPr>
      <w:pStyle w:val="Sidefod"/>
      <w:pBdr>
        <w:bottom w:val="single" w:sz="6" w:space="1" w:color="auto"/>
      </w:pBdr>
    </w:pPr>
  </w:p>
  <w:p w14:paraId="6137C3B0" w14:textId="77777777" w:rsidR="000259B9" w:rsidRDefault="000259B9" w:rsidP="00C42586">
    <w:pPr>
      <w:pStyle w:val="Sidefod"/>
      <w:tabs>
        <w:tab w:val="clear" w:pos="4819"/>
        <w:tab w:val="left" w:pos="8505"/>
      </w:tabs>
      <w:rPr>
        <w:i/>
        <w:sz w:val="18"/>
        <w:szCs w:val="18"/>
      </w:rPr>
    </w:pPr>
  </w:p>
  <w:p w14:paraId="335B28AE" w14:textId="3D3F002F"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9272C">
      <w:rPr>
        <w:i/>
        <w:noProof/>
        <w:sz w:val="18"/>
        <w:szCs w:val="18"/>
      </w:rPr>
      <w:t>Flurhin, næsespray, suspension 50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CA488" w14:textId="77777777" w:rsidR="00E4061B" w:rsidRDefault="00E4061B">
      <w:r>
        <w:separator/>
      </w:r>
    </w:p>
  </w:footnote>
  <w:footnote w:type="continuationSeparator" w:id="0">
    <w:p w14:paraId="7E82CB8A" w14:textId="77777777" w:rsidR="00E4061B" w:rsidRDefault="00E40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61B"/>
    <w:rsid w:val="000259B9"/>
    <w:rsid w:val="00041491"/>
    <w:rsid w:val="00050D16"/>
    <w:rsid w:val="000659C0"/>
    <w:rsid w:val="00074F2A"/>
    <w:rsid w:val="0009272C"/>
    <w:rsid w:val="000A1CA8"/>
    <w:rsid w:val="000A466B"/>
    <w:rsid w:val="000B058C"/>
    <w:rsid w:val="000E4EE6"/>
    <w:rsid w:val="001454E2"/>
    <w:rsid w:val="001E09DF"/>
    <w:rsid w:val="00206CE8"/>
    <w:rsid w:val="0021526C"/>
    <w:rsid w:val="00283A2B"/>
    <w:rsid w:val="002B30AD"/>
    <w:rsid w:val="002C2C01"/>
    <w:rsid w:val="002F7765"/>
    <w:rsid w:val="003A29AE"/>
    <w:rsid w:val="003A32D7"/>
    <w:rsid w:val="003B4074"/>
    <w:rsid w:val="003C769A"/>
    <w:rsid w:val="003F1838"/>
    <w:rsid w:val="0045746C"/>
    <w:rsid w:val="0049104B"/>
    <w:rsid w:val="004D1FDB"/>
    <w:rsid w:val="004E3B12"/>
    <w:rsid w:val="0052316F"/>
    <w:rsid w:val="00532310"/>
    <w:rsid w:val="00565F0F"/>
    <w:rsid w:val="00594A86"/>
    <w:rsid w:val="00596D86"/>
    <w:rsid w:val="00637F5A"/>
    <w:rsid w:val="006560B1"/>
    <w:rsid w:val="006756DD"/>
    <w:rsid w:val="00681F3C"/>
    <w:rsid w:val="00684DD2"/>
    <w:rsid w:val="0071356D"/>
    <w:rsid w:val="00730D9F"/>
    <w:rsid w:val="00737275"/>
    <w:rsid w:val="00740EEC"/>
    <w:rsid w:val="0078011A"/>
    <w:rsid w:val="00782AF4"/>
    <w:rsid w:val="007854A7"/>
    <w:rsid w:val="00790EE7"/>
    <w:rsid w:val="007B6649"/>
    <w:rsid w:val="007C0E32"/>
    <w:rsid w:val="0082528B"/>
    <w:rsid w:val="0082576E"/>
    <w:rsid w:val="00907F75"/>
    <w:rsid w:val="009260DE"/>
    <w:rsid w:val="0093258A"/>
    <w:rsid w:val="00971BDA"/>
    <w:rsid w:val="009A2324"/>
    <w:rsid w:val="009C7BA3"/>
    <w:rsid w:val="009D1F5A"/>
    <w:rsid w:val="00B003BF"/>
    <w:rsid w:val="00B373D7"/>
    <w:rsid w:val="00C36276"/>
    <w:rsid w:val="00C42586"/>
    <w:rsid w:val="00C60CCD"/>
    <w:rsid w:val="00C6546A"/>
    <w:rsid w:val="00C84483"/>
    <w:rsid w:val="00C95551"/>
    <w:rsid w:val="00CB20D7"/>
    <w:rsid w:val="00D020B0"/>
    <w:rsid w:val="00D11748"/>
    <w:rsid w:val="00D366CF"/>
    <w:rsid w:val="00DC427A"/>
    <w:rsid w:val="00DF213C"/>
    <w:rsid w:val="00E108AA"/>
    <w:rsid w:val="00E3749A"/>
    <w:rsid w:val="00E4061B"/>
    <w:rsid w:val="00E62721"/>
    <w:rsid w:val="00E7437F"/>
    <w:rsid w:val="00E865B8"/>
    <w:rsid w:val="00EC0B9B"/>
    <w:rsid w:val="00ED5E9F"/>
    <w:rsid w:val="00F004B7"/>
    <w:rsid w:val="00F3479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970E0"/>
  <w15:chartTrackingRefBased/>
  <w15:docId w15:val="{9C70CC61-1FC4-4538-9125-5E5A25FDD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DC427A"/>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semiHidden/>
    <w:unhideWhenUsed/>
    <w:qFormat/>
    <w:rsid w:val="00684DD2"/>
    <w:rPr>
      <w:rFonts w:eastAsiaTheme="minorHAnsi"/>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4195">
      <w:bodyDiv w:val="1"/>
      <w:marLeft w:val="0"/>
      <w:marRight w:val="0"/>
      <w:marTop w:val="0"/>
      <w:marBottom w:val="0"/>
      <w:divBdr>
        <w:top w:val="none" w:sz="0" w:space="0" w:color="auto"/>
        <w:left w:val="none" w:sz="0" w:space="0" w:color="auto"/>
        <w:bottom w:val="none" w:sz="0" w:space="0" w:color="auto"/>
        <w:right w:val="none" w:sz="0" w:space="0" w:color="auto"/>
      </w:divBdr>
    </w:div>
    <w:div w:id="15278210">
      <w:bodyDiv w:val="1"/>
      <w:marLeft w:val="0"/>
      <w:marRight w:val="0"/>
      <w:marTop w:val="0"/>
      <w:marBottom w:val="0"/>
      <w:divBdr>
        <w:top w:val="none" w:sz="0" w:space="0" w:color="auto"/>
        <w:left w:val="none" w:sz="0" w:space="0" w:color="auto"/>
        <w:bottom w:val="none" w:sz="0" w:space="0" w:color="auto"/>
        <w:right w:val="none" w:sz="0" w:space="0" w:color="auto"/>
      </w:divBdr>
    </w:div>
    <w:div w:id="60521479">
      <w:bodyDiv w:val="1"/>
      <w:marLeft w:val="0"/>
      <w:marRight w:val="0"/>
      <w:marTop w:val="0"/>
      <w:marBottom w:val="0"/>
      <w:divBdr>
        <w:top w:val="none" w:sz="0" w:space="0" w:color="auto"/>
        <w:left w:val="none" w:sz="0" w:space="0" w:color="auto"/>
        <w:bottom w:val="none" w:sz="0" w:space="0" w:color="auto"/>
        <w:right w:val="none" w:sz="0" w:space="0" w:color="auto"/>
      </w:divBdr>
    </w:div>
    <w:div w:id="86200472">
      <w:bodyDiv w:val="1"/>
      <w:marLeft w:val="0"/>
      <w:marRight w:val="0"/>
      <w:marTop w:val="0"/>
      <w:marBottom w:val="0"/>
      <w:divBdr>
        <w:top w:val="none" w:sz="0" w:space="0" w:color="auto"/>
        <w:left w:val="none" w:sz="0" w:space="0" w:color="auto"/>
        <w:bottom w:val="none" w:sz="0" w:space="0" w:color="auto"/>
        <w:right w:val="none" w:sz="0" w:space="0" w:color="auto"/>
      </w:divBdr>
    </w:div>
    <w:div w:id="102266037">
      <w:bodyDiv w:val="1"/>
      <w:marLeft w:val="0"/>
      <w:marRight w:val="0"/>
      <w:marTop w:val="0"/>
      <w:marBottom w:val="0"/>
      <w:divBdr>
        <w:top w:val="none" w:sz="0" w:space="0" w:color="auto"/>
        <w:left w:val="none" w:sz="0" w:space="0" w:color="auto"/>
        <w:bottom w:val="none" w:sz="0" w:space="0" w:color="auto"/>
        <w:right w:val="none" w:sz="0" w:space="0" w:color="auto"/>
      </w:divBdr>
    </w:div>
    <w:div w:id="12177531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30525149">
      <w:bodyDiv w:val="1"/>
      <w:marLeft w:val="0"/>
      <w:marRight w:val="0"/>
      <w:marTop w:val="0"/>
      <w:marBottom w:val="0"/>
      <w:divBdr>
        <w:top w:val="none" w:sz="0" w:space="0" w:color="auto"/>
        <w:left w:val="none" w:sz="0" w:space="0" w:color="auto"/>
        <w:bottom w:val="none" w:sz="0" w:space="0" w:color="auto"/>
        <w:right w:val="none" w:sz="0" w:space="0" w:color="auto"/>
      </w:divBdr>
    </w:div>
    <w:div w:id="464128842">
      <w:bodyDiv w:val="1"/>
      <w:marLeft w:val="0"/>
      <w:marRight w:val="0"/>
      <w:marTop w:val="0"/>
      <w:marBottom w:val="0"/>
      <w:divBdr>
        <w:top w:val="none" w:sz="0" w:space="0" w:color="auto"/>
        <w:left w:val="none" w:sz="0" w:space="0" w:color="auto"/>
        <w:bottom w:val="none" w:sz="0" w:space="0" w:color="auto"/>
        <w:right w:val="none" w:sz="0" w:space="0" w:color="auto"/>
      </w:divBdr>
    </w:div>
    <w:div w:id="523858612">
      <w:bodyDiv w:val="1"/>
      <w:marLeft w:val="0"/>
      <w:marRight w:val="0"/>
      <w:marTop w:val="0"/>
      <w:marBottom w:val="0"/>
      <w:divBdr>
        <w:top w:val="none" w:sz="0" w:space="0" w:color="auto"/>
        <w:left w:val="none" w:sz="0" w:space="0" w:color="auto"/>
        <w:bottom w:val="none" w:sz="0" w:space="0" w:color="auto"/>
        <w:right w:val="none" w:sz="0" w:space="0" w:color="auto"/>
      </w:divBdr>
    </w:div>
    <w:div w:id="762726000">
      <w:bodyDiv w:val="1"/>
      <w:marLeft w:val="0"/>
      <w:marRight w:val="0"/>
      <w:marTop w:val="0"/>
      <w:marBottom w:val="0"/>
      <w:divBdr>
        <w:top w:val="none" w:sz="0" w:space="0" w:color="auto"/>
        <w:left w:val="none" w:sz="0" w:space="0" w:color="auto"/>
        <w:bottom w:val="none" w:sz="0" w:space="0" w:color="auto"/>
        <w:right w:val="none" w:sz="0" w:space="0" w:color="auto"/>
      </w:divBdr>
    </w:div>
    <w:div w:id="838545095">
      <w:bodyDiv w:val="1"/>
      <w:marLeft w:val="0"/>
      <w:marRight w:val="0"/>
      <w:marTop w:val="0"/>
      <w:marBottom w:val="0"/>
      <w:divBdr>
        <w:top w:val="none" w:sz="0" w:space="0" w:color="auto"/>
        <w:left w:val="none" w:sz="0" w:space="0" w:color="auto"/>
        <w:bottom w:val="none" w:sz="0" w:space="0" w:color="auto"/>
        <w:right w:val="none" w:sz="0" w:space="0" w:color="auto"/>
      </w:divBdr>
    </w:div>
    <w:div w:id="946159231">
      <w:bodyDiv w:val="1"/>
      <w:marLeft w:val="0"/>
      <w:marRight w:val="0"/>
      <w:marTop w:val="0"/>
      <w:marBottom w:val="0"/>
      <w:divBdr>
        <w:top w:val="none" w:sz="0" w:space="0" w:color="auto"/>
        <w:left w:val="none" w:sz="0" w:space="0" w:color="auto"/>
        <w:bottom w:val="none" w:sz="0" w:space="0" w:color="auto"/>
        <w:right w:val="none" w:sz="0" w:space="0" w:color="auto"/>
      </w:divBdr>
    </w:div>
    <w:div w:id="999232344">
      <w:bodyDiv w:val="1"/>
      <w:marLeft w:val="0"/>
      <w:marRight w:val="0"/>
      <w:marTop w:val="0"/>
      <w:marBottom w:val="0"/>
      <w:divBdr>
        <w:top w:val="none" w:sz="0" w:space="0" w:color="auto"/>
        <w:left w:val="none" w:sz="0" w:space="0" w:color="auto"/>
        <w:bottom w:val="none" w:sz="0" w:space="0" w:color="auto"/>
        <w:right w:val="none" w:sz="0" w:space="0" w:color="auto"/>
      </w:divBdr>
    </w:div>
    <w:div w:id="1019696379">
      <w:bodyDiv w:val="1"/>
      <w:marLeft w:val="0"/>
      <w:marRight w:val="0"/>
      <w:marTop w:val="0"/>
      <w:marBottom w:val="0"/>
      <w:divBdr>
        <w:top w:val="none" w:sz="0" w:space="0" w:color="auto"/>
        <w:left w:val="none" w:sz="0" w:space="0" w:color="auto"/>
        <w:bottom w:val="none" w:sz="0" w:space="0" w:color="auto"/>
        <w:right w:val="none" w:sz="0" w:space="0" w:color="auto"/>
      </w:divBdr>
    </w:div>
    <w:div w:id="1084911212">
      <w:bodyDiv w:val="1"/>
      <w:marLeft w:val="0"/>
      <w:marRight w:val="0"/>
      <w:marTop w:val="0"/>
      <w:marBottom w:val="0"/>
      <w:divBdr>
        <w:top w:val="none" w:sz="0" w:space="0" w:color="auto"/>
        <w:left w:val="none" w:sz="0" w:space="0" w:color="auto"/>
        <w:bottom w:val="none" w:sz="0" w:space="0" w:color="auto"/>
        <w:right w:val="none" w:sz="0" w:space="0" w:color="auto"/>
      </w:divBdr>
    </w:div>
    <w:div w:id="1209144227">
      <w:bodyDiv w:val="1"/>
      <w:marLeft w:val="0"/>
      <w:marRight w:val="0"/>
      <w:marTop w:val="0"/>
      <w:marBottom w:val="0"/>
      <w:divBdr>
        <w:top w:val="none" w:sz="0" w:space="0" w:color="auto"/>
        <w:left w:val="none" w:sz="0" w:space="0" w:color="auto"/>
        <w:bottom w:val="none" w:sz="0" w:space="0" w:color="auto"/>
        <w:right w:val="none" w:sz="0" w:space="0" w:color="auto"/>
      </w:divBdr>
    </w:div>
    <w:div w:id="1216087975">
      <w:bodyDiv w:val="1"/>
      <w:marLeft w:val="0"/>
      <w:marRight w:val="0"/>
      <w:marTop w:val="0"/>
      <w:marBottom w:val="0"/>
      <w:divBdr>
        <w:top w:val="none" w:sz="0" w:space="0" w:color="auto"/>
        <w:left w:val="none" w:sz="0" w:space="0" w:color="auto"/>
        <w:bottom w:val="none" w:sz="0" w:space="0" w:color="auto"/>
        <w:right w:val="none" w:sz="0" w:space="0" w:color="auto"/>
      </w:divBdr>
    </w:div>
    <w:div w:id="1272015115">
      <w:bodyDiv w:val="1"/>
      <w:marLeft w:val="0"/>
      <w:marRight w:val="0"/>
      <w:marTop w:val="0"/>
      <w:marBottom w:val="0"/>
      <w:divBdr>
        <w:top w:val="none" w:sz="0" w:space="0" w:color="auto"/>
        <w:left w:val="none" w:sz="0" w:space="0" w:color="auto"/>
        <w:bottom w:val="none" w:sz="0" w:space="0" w:color="auto"/>
        <w:right w:val="none" w:sz="0" w:space="0" w:color="auto"/>
      </w:divBdr>
    </w:div>
    <w:div w:id="1577321824">
      <w:bodyDiv w:val="1"/>
      <w:marLeft w:val="0"/>
      <w:marRight w:val="0"/>
      <w:marTop w:val="0"/>
      <w:marBottom w:val="0"/>
      <w:divBdr>
        <w:top w:val="none" w:sz="0" w:space="0" w:color="auto"/>
        <w:left w:val="none" w:sz="0" w:space="0" w:color="auto"/>
        <w:bottom w:val="none" w:sz="0" w:space="0" w:color="auto"/>
        <w:right w:val="none" w:sz="0" w:space="0" w:color="auto"/>
      </w:divBdr>
    </w:div>
    <w:div w:id="1828669547">
      <w:bodyDiv w:val="1"/>
      <w:marLeft w:val="0"/>
      <w:marRight w:val="0"/>
      <w:marTop w:val="0"/>
      <w:marBottom w:val="0"/>
      <w:divBdr>
        <w:top w:val="none" w:sz="0" w:space="0" w:color="auto"/>
        <w:left w:val="none" w:sz="0" w:space="0" w:color="auto"/>
        <w:bottom w:val="none" w:sz="0" w:space="0" w:color="auto"/>
        <w:right w:val="none" w:sz="0" w:space="0" w:color="auto"/>
      </w:divBdr>
    </w:div>
    <w:div w:id="1914004541">
      <w:bodyDiv w:val="1"/>
      <w:marLeft w:val="0"/>
      <w:marRight w:val="0"/>
      <w:marTop w:val="0"/>
      <w:marBottom w:val="0"/>
      <w:divBdr>
        <w:top w:val="none" w:sz="0" w:space="0" w:color="auto"/>
        <w:left w:val="none" w:sz="0" w:space="0" w:color="auto"/>
        <w:bottom w:val="none" w:sz="0" w:space="0" w:color="auto"/>
        <w:right w:val="none" w:sz="0" w:space="0" w:color="auto"/>
      </w:divBdr>
    </w:div>
    <w:div w:id="197999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68</TotalTime>
  <Pages>9</Pages>
  <Words>2271</Words>
  <Characters>15191</Characters>
  <Application>Microsoft Office Word</Application>
  <DocSecurity>0</DocSecurity>
  <Lines>126</Lines>
  <Paragraphs>34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2019111121, MT</dc:description>
  <cp:lastModifiedBy>Gitte Jørgensen</cp:lastModifiedBy>
  <cp:revision>8</cp:revision>
  <cp:lastPrinted>2012-08-22T08:53:00Z</cp:lastPrinted>
  <dcterms:created xsi:type="dcterms:W3CDTF">2021-04-22T10:38:00Z</dcterms:created>
  <dcterms:modified xsi:type="dcterms:W3CDTF">2021-04-22T12:07:00Z</dcterms:modified>
</cp:coreProperties>
</file>