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BF4C7" w14:textId="77777777"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725F91D4" wp14:editId="576A7810">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523A4F75" w14:textId="77777777" w:rsidR="009260DE" w:rsidRPr="00C84483" w:rsidRDefault="009260DE" w:rsidP="009260DE">
      <w:pPr>
        <w:pStyle w:val="Titel"/>
        <w:tabs>
          <w:tab w:val="right" w:pos="9356"/>
        </w:tabs>
        <w:jc w:val="left"/>
        <w:rPr>
          <w:b w:val="0"/>
          <w:szCs w:val="24"/>
          <w:lang w:eastAsia="en-US"/>
        </w:rPr>
      </w:pPr>
    </w:p>
    <w:p w14:paraId="22071B31" w14:textId="3C577FF5"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F5467A">
        <w:rPr>
          <w:szCs w:val="24"/>
        </w:rPr>
        <w:t>1</w:t>
      </w:r>
      <w:r w:rsidR="00842B25">
        <w:rPr>
          <w:szCs w:val="24"/>
        </w:rPr>
        <w:t>7</w:t>
      </w:r>
      <w:r w:rsidR="00F5467A">
        <w:rPr>
          <w:szCs w:val="24"/>
        </w:rPr>
        <w:t>. april 2026</w:t>
      </w:r>
    </w:p>
    <w:p w14:paraId="05AAD88F" w14:textId="77777777" w:rsidR="009260DE" w:rsidRPr="00C84483" w:rsidRDefault="009260DE" w:rsidP="009260DE">
      <w:pPr>
        <w:pStyle w:val="Titel"/>
        <w:tabs>
          <w:tab w:val="left" w:pos="8222"/>
        </w:tabs>
        <w:jc w:val="left"/>
        <w:rPr>
          <w:b w:val="0"/>
          <w:szCs w:val="24"/>
        </w:rPr>
      </w:pPr>
    </w:p>
    <w:p w14:paraId="06428A71" w14:textId="77777777" w:rsidR="009260DE" w:rsidRPr="00C84483" w:rsidRDefault="009260DE" w:rsidP="009260DE">
      <w:pPr>
        <w:pStyle w:val="Titel"/>
        <w:jc w:val="left"/>
        <w:rPr>
          <w:b w:val="0"/>
          <w:szCs w:val="24"/>
        </w:rPr>
      </w:pPr>
    </w:p>
    <w:p w14:paraId="41C5D623" w14:textId="77777777" w:rsidR="009260DE" w:rsidRPr="00C84483" w:rsidRDefault="009260DE" w:rsidP="009260DE">
      <w:pPr>
        <w:pStyle w:val="Titel"/>
        <w:jc w:val="left"/>
        <w:rPr>
          <w:b w:val="0"/>
          <w:szCs w:val="24"/>
        </w:rPr>
      </w:pPr>
    </w:p>
    <w:p w14:paraId="5DB4C252" w14:textId="77777777" w:rsidR="009260DE" w:rsidRPr="00C84483" w:rsidRDefault="009260DE" w:rsidP="009260DE">
      <w:pPr>
        <w:jc w:val="center"/>
        <w:rPr>
          <w:b/>
          <w:sz w:val="24"/>
          <w:szCs w:val="24"/>
        </w:rPr>
      </w:pPr>
      <w:r w:rsidRPr="00C84483">
        <w:rPr>
          <w:b/>
          <w:sz w:val="24"/>
          <w:szCs w:val="24"/>
        </w:rPr>
        <w:t>PRODUKTRESUMÉ</w:t>
      </w:r>
    </w:p>
    <w:p w14:paraId="7A8FBA2C" w14:textId="77777777" w:rsidR="009260DE" w:rsidRPr="00C84483" w:rsidRDefault="009260DE" w:rsidP="009260DE">
      <w:pPr>
        <w:jc w:val="center"/>
        <w:rPr>
          <w:b/>
          <w:sz w:val="24"/>
          <w:szCs w:val="24"/>
        </w:rPr>
      </w:pPr>
    </w:p>
    <w:p w14:paraId="76E629E2" w14:textId="77777777" w:rsidR="009260DE" w:rsidRDefault="009260DE" w:rsidP="009260DE">
      <w:pPr>
        <w:jc w:val="center"/>
        <w:rPr>
          <w:b/>
          <w:sz w:val="24"/>
          <w:szCs w:val="24"/>
        </w:rPr>
      </w:pPr>
      <w:r w:rsidRPr="00C84483">
        <w:rPr>
          <w:b/>
          <w:sz w:val="24"/>
          <w:szCs w:val="24"/>
        </w:rPr>
        <w:t>for</w:t>
      </w:r>
    </w:p>
    <w:p w14:paraId="76E1C5B3" w14:textId="77777777" w:rsidR="000B058C" w:rsidRPr="00C84483" w:rsidRDefault="000B058C" w:rsidP="009260DE">
      <w:pPr>
        <w:jc w:val="center"/>
        <w:rPr>
          <w:b/>
          <w:sz w:val="24"/>
          <w:szCs w:val="24"/>
        </w:rPr>
      </w:pPr>
    </w:p>
    <w:p w14:paraId="4E6A54F2" w14:textId="609378E3" w:rsidR="009260DE" w:rsidRPr="00C84483" w:rsidRDefault="00A95FB5" w:rsidP="009260DE">
      <w:pPr>
        <w:jc w:val="center"/>
        <w:rPr>
          <w:b/>
          <w:sz w:val="24"/>
          <w:szCs w:val="24"/>
        </w:rPr>
      </w:pPr>
      <w:r>
        <w:rPr>
          <w:b/>
          <w:sz w:val="24"/>
          <w:szCs w:val="24"/>
        </w:rPr>
        <w:t>Fluttasino, næsedråber, suspension</w:t>
      </w:r>
      <w:r w:rsidR="00F5467A">
        <w:rPr>
          <w:b/>
          <w:sz w:val="24"/>
          <w:szCs w:val="24"/>
        </w:rPr>
        <w:t xml:space="preserve"> (</w:t>
      </w:r>
      <w:r w:rsidR="00F5467A" w:rsidRPr="00F5467A">
        <w:rPr>
          <w:b/>
          <w:sz w:val="24"/>
          <w:szCs w:val="24"/>
        </w:rPr>
        <w:t>Nordic Prime</w:t>
      </w:r>
      <w:r w:rsidR="00F5467A">
        <w:rPr>
          <w:b/>
          <w:sz w:val="24"/>
          <w:szCs w:val="24"/>
        </w:rPr>
        <w:t>)</w:t>
      </w:r>
    </w:p>
    <w:p w14:paraId="60499790" w14:textId="77777777" w:rsidR="009260DE" w:rsidRPr="00C84483" w:rsidRDefault="009260DE" w:rsidP="009260DE">
      <w:pPr>
        <w:jc w:val="both"/>
        <w:rPr>
          <w:sz w:val="24"/>
          <w:szCs w:val="24"/>
        </w:rPr>
      </w:pPr>
    </w:p>
    <w:p w14:paraId="02484C61" w14:textId="77777777" w:rsidR="009260DE" w:rsidRPr="00C84483" w:rsidRDefault="009260DE" w:rsidP="009260DE">
      <w:pPr>
        <w:jc w:val="both"/>
        <w:rPr>
          <w:sz w:val="24"/>
          <w:szCs w:val="24"/>
        </w:rPr>
      </w:pPr>
    </w:p>
    <w:p w14:paraId="2AA6C948"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5B8490CB" w14:textId="77777777" w:rsidR="009260DE" w:rsidRPr="00C84483" w:rsidRDefault="00A95FB5" w:rsidP="009260DE">
      <w:pPr>
        <w:tabs>
          <w:tab w:val="left" w:pos="851"/>
        </w:tabs>
        <w:ind w:left="851"/>
        <w:rPr>
          <w:sz w:val="24"/>
          <w:szCs w:val="24"/>
        </w:rPr>
      </w:pPr>
      <w:r>
        <w:rPr>
          <w:sz w:val="24"/>
          <w:szCs w:val="24"/>
        </w:rPr>
        <w:t>33729</w:t>
      </w:r>
    </w:p>
    <w:p w14:paraId="07B3B116" w14:textId="77777777" w:rsidR="009260DE" w:rsidRPr="00C84483" w:rsidRDefault="009260DE" w:rsidP="009260DE">
      <w:pPr>
        <w:tabs>
          <w:tab w:val="left" w:pos="851"/>
        </w:tabs>
        <w:ind w:left="851"/>
        <w:rPr>
          <w:sz w:val="24"/>
          <w:szCs w:val="24"/>
        </w:rPr>
      </w:pPr>
    </w:p>
    <w:p w14:paraId="139D5DB4"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17208B86" w14:textId="77777777" w:rsidR="009260DE" w:rsidRPr="00C84483" w:rsidRDefault="00A95FB5" w:rsidP="009260DE">
      <w:pPr>
        <w:tabs>
          <w:tab w:val="left" w:pos="851"/>
        </w:tabs>
        <w:ind w:left="851"/>
        <w:rPr>
          <w:sz w:val="24"/>
          <w:szCs w:val="24"/>
        </w:rPr>
      </w:pPr>
      <w:r>
        <w:rPr>
          <w:sz w:val="24"/>
          <w:szCs w:val="24"/>
        </w:rPr>
        <w:t>Fluttasino</w:t>
      </w:r>
    </w:p>
    <w:p w14:paraId="569551F2" w14:textId="77777777" w:rsidR="009260DE" w:rsidRPr="00C84483" w:rsidRDefault="009260DE" w:rsidP="009260DE">
      <w:pPr>
        <w:tabs>
          <w:tab w:val="left" w:pos="851"/>
        </w:tabs>
        <w:ind w:left="851"/>
        <w:rPr>
          <w:sz w:val="24"/>
          <w:szCs w:val="24"/>
        </w:rPr>
      </w:pPr>
    </w:p>
    <w:p w14:paraId="39758895"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6D058388" w14:textId="77777777" w:rsidR="00A95FB5" w:rsidRPr="00A95FB5" w:rsidRDefault="00A95FB5" w:rsidP="00A95FB5">
      <w:pPr>
        <w:tabs>
          <w:tab w:val="left" w:pos="851"/>
        </w:tabs>
        <w:ind w:left="851"/>
        <w:rPr>
          <w:sz w:val="24"/>
          <w:szCs w:val="24"/>
        </w:rPr>
      </w:pPr>
      <w:r w:rsidRPr="00A95FB5">
        <w:rPr>
          <w:sz w:val="24"/>
          <w:szCs w:val="24"/>
        </w:rPr>
        <w:t xml:space="preserve">Hver dosis indeholder 400 mikrogram fluticasonpropionat. </w:t>
      </w:r>
    </w:p>
    <w:p w14:paraId="0793FC95" w14:textId="77777777" w:rsidR="00A95FB5" w:rsidRPr="00A95FB5" w:rsidRDefault="00A95FB5" w:rsidP="00A95FB5">
      <w:pPr>
        <w:tabs>
          <w:tab w:val="left" w:pos="851"/>
        </w:tabs>
        <w:ind w:left="851"/>
        <w:rPr>
          <w:sz w:val="24"/>
          <w:szCs w:val="24"/>
        </w:rPr>
      </w:pPr>
      <w:r w:rsidRPr="00A95FB5">
        <w:rPr>
          <w:sz w:val="24"/>
          <w:szCs w:val="24"/>
        </w:rPr>
        <w:t xml:space="preserve">1 ml indeholder 1 mg fluticasonpropionat. </w:t>
      </w:r>
    </w:p>
    <w:p w14:paraId="534DA37D" w14:textId="77777777" w:rsidR="00A95FB5" w:rsidRPr="00A95FB5" w:rsidRDefault="00A95FB5" w:rsidP="00A95FB5">
      <w:pPr>
        <w:tabs>
          <w:tab w:val="left" w:pos="851"/>
        </w:tabs>
        <w:ind w:left="851"/>
        <w:rPr>
          <w:sz w:val="24"/>
          <w:szCs w:val="24"/>
        </w:rPr>
      </w:pPr>
    </w:p>
    <w:p w14:paraId="6485D790" w14:textId="77777777" w:rsidR="00A95FB5" w:rsidRPr="00A95FB5" w:rsidRDefault="00A95FB5" w:rsidP="00A95FB5">
      <w:pPr>
        <w:tabs>
          <w:tab w:val="left" w:pos="851"/>
        </w:tabs>
        <w:ind w:left="851"/>
        <w:rPr>
          <w:sz w:val="24"/>
          <w:szCs w:val="24"/>
        </w:rPr>
      </w:pPr>
      <w:r w:rsidRPr="00A95FB5">
        <w:rPr>
          <w:sz w:val="24"/>
          <w:szCs w:val="24"/>
        </w:rPr>
        <w:t>Alle hjælpestoffer er anført under pkt. 6.1.</w:t>
      </w:r>
    </w:p>
    <w:p w14:paraId="7DAB9164" w14:textId="77777777" w:rsidR="009260DE" w:rsidRPr="00C84483" w:rsidRDefault="009260DE" w:rsidP="009260DE">
      <w:pPr>
        <w:tabs>
          <w:tab w:val="left" w:pos="851"/>
        </w:tabs>
        <w:ind w:left="851"/>
        <w:rPr>
          <w:sz w:val="24"/>
          <w:szCs w:val="24"/>
        </w:rPr>
      </w:pPr>
    </w:p>
    <w:p w14:paraId="39F5A09D"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5DDC4D28" w14:textId="403A1E25" w:rsidR="008A114C" w:rsidRPr="008A114C" w:rsidRDefault="008A114C" w:rsidP="00F5467A">
      <w:pPr>
        <w:tabs>
          <w:tab w:val="left" w:pos="851"/>
        </w:tabs>
        <w:ind w:left="851"/>
        <w:rPr>
          <w:sz w:val="24"/>
          <w:szCs w:val="24"/>
        </w:rPr>
      </w:pPr>
      <w:r w:rsidRPr="008A114C">
        <w:rPr>
          <w:sz w:val="24"/>
          <w:szCs w:val="24"/>
        </w:rPr>
        <w:t>Næsedråber, suspension</w:t>
      </w:r>
      <w:r w:rsidR="00F5467A">
        <w:rPr>
          <w:sz w:val="24"/>
          <w:szCs w:val="24"/>
        </w:rPr>
        <w:t xml:space="preserve"> (</w:t>
      </w:r>
      <w:r w:rsidR="00F5467A" w:rsidRPr="00F5467A">
        <w:rPr>
          <w:sz w:val="24"/>
          <w:szCs w:val="24"/>
        </w:rPr>
        <w:t>Nordic Prime</w:t>
      </w:r>
      <w:r w:rsidR="00F5467A">
        <w:rPr>
          <w:sz w:val="24"/>
          <w:szCs w:val="24"/>
        </w:rPr>
        <w:t>).</w:t>
      </w:r>
      <w:r w:rsidRPr="008A114C">
        <w:rPr>
          <w:sz w:val="24"/>
          <w:szCs w:val="24"/>
        </w:rPr>
        <w:t xml:space="preserve">  </w:t>
      </w:r>
    </w:p>
    <w:p w14:paraId="179CD7AB" w14:textId="77777777" w:rsidR="009260DE" w:rsidRPr="00C84483" w:rsidRDefault="009260DE" w:rsidP="009260DE">
      <w:pPr>
        <w:tabs>
          <w:tab w:val="left" w:pos="851"/>
        </w:tabs>
        <w:ind w:left="851"/>
        <w:rPr>
          <w:sz w:val="24"/>
          <w:szCs w:val="24"/>
        </w:rPr>
      </w:pPr>
    </w:p>
    <w:p w14:paraId="770A8320" w14:textId="77777777" w:rsidR="009260DE" w:rsidRPr="00C84483" w:rsidRDefault="009260DE" w:rsidP="009260DE">
      <w:pPr>
        <w:tabs>
          <w:tab w:val="left" w:pos="851"/>
        </w:tabs>
        <w:ind w:left="851"/>
        <w:rPr>
          <w:sz w:val="24"/>
          <w:szCs w:val="24"/>
        </w:rPr>
      </w:pPr>
    </w:p>
    <w:p w14:paraId="695551D1"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0930AE0C" w14:textId="77777777" w:rsidR="009260DE" w:rsidRPr="00C84483" w:rsidRDefault="009260DE" w:rsidP="009260DE">
      <w:pPr>
        <w:tabs>
          <w:tab w:val="left" w:pos="851"/>
        </w:tabs>
        <w:ind w:left="851"/>
        <w:rPr>
          <w:b/>
          <w:sz w:val="24"/>
          <w:szCs w:val="24"/>
        </w:rPr>
      </w:pPr>
    </w:p>
    <w:p w14:paraId="2B91C426"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667396F5" w14:textId="77777777" w:rsidR="008A114C" w:rsidRPr="008A114C" w:rsidRDefault="008A114C" w:rsidP="008A114C">
      <w:pPr>
        <w:tabs>
          <w:tab w:val="left" w:pos="851"/>
        </w:tabs>
        <w:ind w:left="851"/>
        <w:rPr>
          <w:sz w:val="24"/>
          <w:szCs w:val="24"/>
        </w:rPr>
      </w:pPr>
      <w:r w:rsidRPr="008A114C">
        <w:rPr>
          <w:sz w:val="24"/>
          <w:szCs w:val="24"/>
        </w:rPr>
        <w:t>Fluttasino er indiceret til regelmæssig behandling af næsepolypper og tilstødende symptomer på nasal obstruktion.</w:t>
      </w:r>
    </w:p>
    <w:p w14:paraId="3DAE5104" w14:textId="77777777" w:rsidR="009260DE" w:rsidRPr="00C84483" w:rsidRDefault="009260DE" w:rsidP="009260DE">
      <w:pPr>
        <w:tabs>
          <w:tab w:val="left" w:pos="851"/>
        </w:tabs>
        <w:ind w:left="851"/>
        <w:rPr>
          <w:sz w:val="24"/>
          <w:szCs w:val="24"/>
        </w:rPr>
      </w:pPr>
    </w:p>
    <w:p w14:paraId="6366CF82"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6440702C" w14:textId="77777777" w:rsidR="008A114C" w:rsidRPr="008A114C" w:rsidRDefault="008A114C" w:rsidP="008A114C">
      <w:pPr>
        <w:tabs>
          <w:tab w:val="left" w:pos="851"/>
        </w:tabs>
        <w:ind w:left="851"/>
        <w:rPr>
          <w:sz w:val="24"/>
          <w:szCs w:val="24"/>
        </w:rPr>
      </w:pPr>
    </w:p>
    <w:p w14:paraId="171C29C5" w14:textId="77777777" w:rsidR="008A114C" w:rsidRPr="008A114C" w:rsidRDefault="008A114C" w:rsidP="008A114C">
      <w:pPr>
        <w:tabs>
          <w:tab w:val="left" w:pos="851"/>
        </w:tabs>
        <w:ind w:left="851"/>
        <w:rPr>
          <w:sz w:val="24"/>
          <w:szCs w:val="24"/>
          <w:u w:val="single"/>
        </w:rPr>
      </w:pPr>
      <w:r w:rsidRPr="008A114C">
        <w:rPr>
          <w:sz w:val="24"/>
          <w:szCs w:val="24"/>
          <w:u w:val="single"/>
        </w:rPr>
        <w:t>Dosering</w:t>
      </w:r>
    </w:p>
    <w:p w14:paraId="4478BAF4" w14:textId="77777777" w:rsidR="008A114C" w:rsidRPr="008A114C" w:rsidRDefault="008A114C" w:rsidP="008A114C">
      <w:pPr>
        <w:tabs>
          <w:tab w:val="left" w:pos="851"/>
        </w:tabs>
        <w:ind w:left="851"/>
        <w:rPr>
          <w:iCs/>
          <w:sz w:val="24"/>
          <w:szCs w:val="24"/>
        </w:rPr>
      </w:pPr>
      <w:r w:rsidRPr="008A114C">
        <w:rPr>
          <w:iCs/>
          <w:sz w:val="24"/>
          <w:szCs w:val="24"/>
        </w:rPr>
        <w:t>Titrering til laveste effektive dosis, som holder sygdommen under kontrol.</w:t>
      </w:r>
    </w:p>
    <w:p w14:paraId="66A8F236" w14:textId="77777777" w:rsidR="008A114C" w:rsidRPr="008A114C" w:rsidRDefault="008A114C" w:rsidP="008A114C">
      <w:pPr>
        <w:tabs>
          <w:tab w:val="left" w:pos="851"/>
        </w:tabs>
        <w:ind w:left="851"/>
        <w:rPr>
          <w:iCs/>
          <w:sz w:val="24"/>
          <w:szCs w:val="24"/>
        </w:rPr>
      </w:pPr>
    </w:p>
    <w:p w14:paraId="7A60FE12" w14:textId="77777777" w:rsidR="008A114C" w:rsidRPr="008A114C" w:rsidRDefault="008A114C" w:rsidP="008A114C">
      <w:pPr>
        <w:tabs>
          <w:tab w:val="left" w:pos="851"/>
        </w:tabs>
        <w:ind w:left="851"/>
        <w:rPr>
          <w:iCs/>
          <w:sz w:val="24"/>
          <w:szCs w:val="24"/>
        </w:rPr>
      </w:pPr>
      <w:r w:rsidRPr="008A114C">
        <w:rPr>
          <w:iCs/>
          <w:sz w:val="24"/>
          <w:szCs w:val="24"/>
        </w:rPr>
        <w:t>Næsedråberne skal tages regelmæssigt for at opnå fuld effekt. Patienten bør vide, at virkningen ikke indtræder straks, men at der sædvanligvis først opnås optimal virkning efter nogle uger. Hvis der ingen bedring ses efter 4-6 uger, bør anden behandling overvejes.</w:t>
      </w:r>
    </w:p>
    <w:p w14:paraId="75FFED6D" w14:textId="77777777" w:rsidR="008A114C" w:rsidRPr="008A114C" w:rsidRDefault="008A114C" w:rsidP="008A114C">
      <w:pPr>
        <w:tabs>
          <w:tab w:val="left" w:pos="851"/>
        </w:tabs>
        <w:ind w:left="851"/>
        <w:rPr>
          <w:iCs/>
          <w:sz w:val="24"/>
          <w:szCs w:val="24"/>
        </w:rPr>
      </w:pPr>
    </w:p>
    <w:p w14:paraId="76445638" w14:textId="77777777" w:rsidR="008A114C" w:rsidRPr="008A114C" w:rsidRDefault="008A114C" w:rsidP="008A114C">
      <w:pPr>
        <w:tabs>
          <w:tab w:val="left" w:pos="851"/>
        </w:tabs>
        <w:ind w:left="851"/>
        <w:rPr>
          <w:iCs/>
          <w:sz w:val="24"/>
          <w:szCs w:val="24"/>
        </w:rPr>
      </w:pPr>
      <w:r w:rsidRPr="008A114C">
        <w:rPr>
          <w:iCs/>
          <w:sz w:val="24"/>
          <w:szCs w:val="24"/>
        </w:rPr>
        <w:t>Ensidige næsepolypper forekommer sjældent og kan være tegn på andre sygdomme. Diagnosen skal bekræftes af en specialist.</w:t>
      </w:r>
    </w:p>
    <w:p w14:paraId="36ACAAA4" w14:textId="77777777" w:rsidR="008A114C" w:rsidRPr="008A114C" w:rsidRDefault="008A114C" w:rsidP="008A114C">
      <w:pPr>
        <w:tabs>
          <w:tab w:val="left" w:pos="851"/>
        </w:tabs>
        <w:ind w:left="851"/>
        <w:rPr>
          <w:iCs/>
          <w:sz w:val="24"/>
          <w:szCs w:val="24"/>
        </w:rPr>
      </w:pPr>
    </w:p>
    <w:p w14:paraId="191B18A4" w14:textId="77777777" w:rsidR="008A114C" w:rsidRPr="008A114C" w:rsidRDefault="008A114C" w:rsidP="008A114C">
      <w:pPr>
        <w:tabs>
          <w:tab w:val="left" w:pos="851"/>
        </w:tabs>
        <w:ind w:left="851"/>
        <w:rPr>
          <w:iCs/>
          <w:sz w:val="24"/>
          <w:szCs w:val="24"/>
        </w:rPr>
      </w:pPr>
      <w:r w:rsidRPr="008A114C">
        <w:rPr>
          <w:i/>
          <w:sz w:val="24"/>
          <w:szCs w:val="24"/>
        </w:rPr>
        <w:t>Voksne</w:t>
      </w:r>
    </w:p>
    <w:p w14:paraId="3F8D14DC" w14:textId="77777777" w:rsidR="008A114C" w:rsidRPr="008A114C" w:rsidRDefault="008A114C" w:rsidP="008A114C">
      <w:pPr>
        <w:tabs>
          <w:tab w:val="left" w:pos="851"/>
        </w:tabs>
        <w:ind w:left="851"/>
        <w:rPr>
          <w:iCs/>
          <w:sz w:val="24"/>
          <w:szCs w:val="24"/>
        </w:rPr>
      </w:pPr>
      <w:r w:rsidRPr="008A114C">
        <w:rPr>
          <w:iCs/>
          <w:sz w:val="24"/>
          <w:szCs w:val="24"/>
        </w:rPr>
        <w:t>Indholdet af 1 beholder (400 mikrogram) fordeles i næseborene 1-2 gange daglig.</w:t>
      </w:r>
    </w:p>
    <w:p w14:paraId="22660820" w14:textId="77777777" w:rsidR="008A114C" w:rsidRPr="008A114C" w:rsidRDefault="008A114C" w:rsidP="008A114C">
      <w:pPr>
        <w:tabs>
          <w:tab w:val="left" w:pos="851"/>
        </w:tabs>
        <w:ind w:left="851"/>
        <w:rPr>
          <w:i/>
          <w:sz w:val="24"/>
          <w:szCs w:val="24"/>
        </w:rPr>
      </w:pPr>
    </w:p>
    <w:p w14:paraId="3F52830D" w14:textId="77777777" w:rsidR="008A114C" w:rsidRPr="008A114C" w:rsidRDefault="008A114C" w:rsidP="008A114C">
      <w:pPr>
        <w:tabs>
          <w:tab w:val="left" w:pos="851"/>
        </w:tabs>
        <w:ind w:left="851"/>
        <w:rPr>
          <w:iCs/>
          <w:sz w:val="24"/>
          <w:szCs w:val="24"/>
        </w:rPr>
      </w:pPr>
      <w:r w:rsidRPr="008A114C">
        <w:rPr>
          <w:i/>
          <w:sz w:val="24"/>
          <w:szCs w:val="24"/>
        </w:rPr>
        <w:t>Ældre</w:t>
      </w:r>
    </w:p>
    <w:p w14:paraId="5B7A51E1" w14:textId="77777777" w:rsidR="008A114C" w:rsidRPr="008A114C" w:rsidRDefault="008A114C" w:rsidP="008A114C">
      <w:pPr>
        <w:tabs>
          <w:tab w:val="left" w:pos="851"/>
        </w:tabs>
        <w:ind w:left="851"/>
        <w:rPr>
          <w:iCs/>
          <w:sz w:val="24"/>
          <w:szCs w:val="24"/>
        </w:rPr>
      </w:pPr>
      <w:r w:rsidRPr="008A114C">
        <w:rPr>
          <w:iCs/>
          <w:sz w:val="24"/>
          <w:szCs w:val="24"/>
        </w:rPr>
        <w:t>Den sædvanlige dosis til voksne anbefales.</w:t>
      </w:r>
    </w:p>
    <w:p w14:paraId="7EA3FB80" w14:textId="77777777" w:rsidR="008A114C" w:rsidRPr="008A114C" w:rsidRDefault="008A114C" w:rsidP="008A114C">
      <w:pPr>
        <w:tabs>
          <w:tab w:val="left" w:pos="851"/>
        </w:tabs>
        <w:ind w:left="851"/>
        <w:rPr>
          <w:i/>
          <w:sz w:val="24"/>
          <w:szCs w:val="24"/>
        </w:rPr>
      </w:pPr>
    </w:p>
    <w:p w14:paraId="73F46ABD" w14:textId="77777777" w:rsidR="008A114C" w:rsidRPr="008A114C" w:rsidRDefault="008A114C" w:rsidP="008A114C">
      <w:pPr>
        <w:tabs>
          <w:tab w:val="left" w:pos="851"/>
        </w:tabs>
        <w:ind w:left="851"/>
        <w:rPr>
          <w:sz w:val="24"/>
          <w:szCs w:val="24"/>
        </w:rPr>
      </w:pPr>
      <w:r w:rsidRPr="008A114C">
        <w:rPr>
          <w:i/>
          <w:sz w:val="24"/>
          <w:szCs w:val="24"/>
        </w:rPr>
        <w:t>Pædiatrisk population</w:t>
      </w:r>
    </w:p>
    <w:p w14:paraId="02AFBDA4" w14:textId="77777777" w:rsidR="008A114C" w:rsidRPr="008A114C" w:rsidRDefault="008A114C" w:rsidP="008A114C">
      <w:pPr>
        <w:tabs>
          <w:tab w:val="left" w:pos="851"/>
        </w:tabs>
        <w:ind w:left="851"/>
        <w:rPr>
          <w:sz w:val="24"/>
          <w:szCs w:val="24"/>
        </w:rPr>
      </w:pPr>
      <w:r w:rsidRPr="008A114C">
        <w:rPr>
          <w:sz w:val="24"/>
          <w:szCs w:val="24"/>
        </w:rPr>
        <w:t>Bør ikke anvendes til behandling af næsepolypper hos børn under 16 år på grund af utilstrækkelig dokumentation.</w:t>
      </w:r>
    </w:p>
    <w:p w14:paraId="2B0ADC20" w14:textId="77777777" w:rsidR="008A114C" w:rsidRPr="008A114C" w:rsidRDefault="008A114C" w:rsidP="008A114C">
      <w:pPr>
        <w:tabs>
          <w:tab w:val="left" w:pos="851"/>
        </w:tabs>
        <w:ind w:left="851"/>
        <w:rPr>
          <w:sz w:val="24"/>
          <w:szCs w:val="24"/>
        </w:rPr>
      </w:pPr>
    </w:p>
    <w:p w14:paraId="5AAB7D29" w14:textId="77777777" w:rsidR="008A114C" w:rsidRPr="008A114C" w:rsidRDefault="008A114C" w:rsidP="008A114C">
      <w:pPr>
        <w:tabs>
          <w:tab w:val="left" w:pos="851"/>
        </w:tabs>
        <w:ind w:left="851"/>
        <w:rPr>
          <w:sz w:val="24"/>
          <w:szCs w:val="24"/>
          <w:u w:val="single"/>
        </w:rPr>
      </w:pPr>
      <w:r w:rsidRPr="008A114C">
        <w:rPr>
          <w:sz w:val="24"/>
          <w:szCs w:val="24"/>
          <w:u w:val="single"/>
        </w:rPr>
        <w:t>Administration</w:t>
      </w:r>
    </w:p>
    <w:p w14:paraId="529FFE3C" w14:textId="77777777" w:rsidR="008A114C" w:rsidRPr="008A114C" w:rsidRDefault="008A114C" w:rsidP="008A114C">
      <w:pPr>
        <w:tabs>
          <w:tab w:val="left" w:pos="851"/>
        </w:tabs>
        <w:ind w:left="851"/>
        <w:rPr>
          <w:sz w:val="24"/>
          <w:szCs w:val="24"/>
        </w:rPr>
      </w:pPr>
      <w:r w:rsidRPr="008A114C">
        <w:rPr>
          <w:sz w:val="24"/>
          <w:szCs w:val="24"/>
        </w:rPr>
        <w:t>Fluttasino næsedråber er kun beregnet til intranasal administration. Kontakt med øjnene skal undgås.</w:t>
      </w:r>
    </w:p>
    <w:p w14:paraId="5EE9207B" w14:textId="77777777" w:rsidR="008A114C" w:rsidRPr="008A114C" w:rsidRDefault="008A114C" w:rsidP="008A114C">
      <w:pPr>
        <w:tabs>
          <w:tab w:val="left" w:pos="851"/>
        </w:tabs>
        <w:ind w:left="851"/>
        <w:rPr>
          <w:sz w:val="24"/>
          <w:szCs w:val="24"/>
        </w:rPr>
      </w:pPr>
      <w:r w:rsidRPr="008A114C">
        <w:rPr>
          <w:sz w:val="24"/>
          <w:szCs w:val="24"/>
        </w:rPr>
        <w:t>Efter omrystning i 30 sekunder og åbning af beholderen skal patienten indtage en af de stillinger, som er beskrevet i indlægssedlen. Dosis fordeles mellem næseborene, enten med cirka 6 dråber i hvert næsebor eller ved at holde på beholderens fordybninger og trykke én gang i hvert næsebor (et tryk svarer til omkring halvdelen af dosis).</w:t>
      </w:r>
    </w:p>
    <w:p w14:paraId="309002F9" w14:textId="77777777" w:rsidR="008A114C" w:rsidRPr="008A114C" w:rsidRDefault="008A114C" w:rsidP="008A114C">
      <w:pPr>
        <w:tabs>
          <w:tab w:val="left" w:pos="851"/>
        </w:tabs>
        <w:ind w:left="851"/>
        <w:rPr>
          <w:sz w:val="24"/>
          <w:szCs w:val="24"/>
        </w:rPr>
      </w:pPr>
    </w:p>
    <w:p w14:paraId="1FCEE0B4" w14:textId="77777777" w:rsidR="008A114C" w:rsidRPr="008A114C" w:rsidRDefault="008A114C" w:rsidP="008A114C">
      <w:pPr>
        <w:tabs>
          <w:tab w:val="left" w:pos="851"/>
        </w:tabs>
        <w:ind w:left="851"/>
        <w:rPr>
          <w:sz w:val="24"/>
          <w:szCs w:val="24"/>
        </w:rPr>
      </w:pPr>
      <w:r w:rsidRPr="008A114C">
        <w:rPr>
          <w:sz w:val="24"/>
          <w:szCs w:val="24"/>
        </w:rPr>
        <w:t>Komplet instruktion for anvendelse er anført i indlægssedlen.</w:t>
      </w:r>
    </w:p>
    <w:p w14:paraId="268A5F41" w14:textId="77777777" w:rsidR="009260DE" w:rsidRPr="00C84483" w:rsidRDefault="009260DE" w:rsidP="009260DE">
      <w:pPr>
        <w:tabs>
          <w:tab w:val="left" w:pos="851"/>
        </w:tabs>
        <w:ind w:left="851"/>
        <w:rPr>
          <w:sz w:val="24"/>
          <w:szCs w:val="24"/>
        </w:rPr>
      </w:pPr>
    </w:p>
    <w:p w14:paraId="257507B9"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1E2C4FDA" w14:textId="77777777" w:rsidR="008A114C" w:rsidRPr="008A114C" w:rsidRDefault="008A114C" w:rsidP="008A114C">
      <w:pPr>
        <w:tabs>
          <w:tab w:val="left" w:pos="851"/>
        </w:tabs>
        <w:ind w:left="851"/>
        <w:rPr>
          <w:sz w:val="24"/>
          <w:szCs w:val="24"/>
        </w:rPr>
      </w:pPr>
      <w:r w:rsidRPr="008A114C">
        <w:rPr>
          <w:sz w:val="24"/>
          <w:szCs w:val="24"/>
        </w:rPr>
        <w:t>Overfølsomhed over for det aktive stof eller over for et eller flere af hjælpestofferne anført i pkt. 6.1.</w:t>
      </w:r>
    </w:p>
    <w:p w14:paraId="03168D4A" w14:textId="77777777" w:rsidR="009260DE" w:rsidRPr="00C84483" w:rsidRDefault="009260DE" w:rsidP="009260DE">
      <w:pPr>
        <w:tabs>
          <w:tab w:val="left" w:pos="851"/>
        </w:tabs>
        <w:ind w:left="851"/>
        <w:rPr>
          <w:sz w:val="24"/>
          <w:szCs w:val="24"/>
        </w:rPr>
      </w:pPr>
    </w:p>
    <w:p w14:paraId="13370D2D"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4E7702A7" w14:textId="77777777" w:rsidR="008A114C" w:rsidRPr="008A114C" w:rsidRDefault="008A114C" w:rsidP="008A114C">
      <w:pPr>
        <w:tabs>
          <w:tab w:val="left" w:pos="851"/>
        </w:tabs>
        <w:ind w:left="851"/>
        <w:rPr>
          <w:sz w:val="24"/>
          <w:szCs w:val="24"/>
        </w:rPr>
      </w:pPr>
      <w:r w:rsidRPr="008A114C">
        <w:rPr>
          <w:sz w:val="24"/>
          <w:szCs w:val="24"/>
        </w:rPr>
        <w:t>Lokale infektioner: Infektioner i næsen bør behandles passende, men er ikke en specifik kontraindikation til behandling med Fluttasino.</w:t>
      </w:r>
    </w:p>
    <w:p w14:paraId="46ADAA51" w14:textId="77777777" w:rsidR="008A114C" w:rsidRPr="008A114C" w:rsidRDefault="008A114C" w:rsidP="008A114C">
      <w:pPr>
        <w:tabs>
          <w:tab w:val="left" w:pos="851"/>
        </w:tabs>
        <w:ind w:left="851"/>
        <w:rPr>
          <w:sz w:val="24"/>
          <w:szCs w:val="24"/>
        </w:rPr>
      </w:pPr>
    </w:p>
    <w:p w14:paraId="0F6BC39D" w14:textId="77777777" w:rsidR="008A114C" w:rsidRPr="008A114C" w:rsidRDefault="008A114C" w:rsidP="008A114C">
      <w:pPr>
        <w:tabs>
          <w:tab w:val="left" w:pos="851"/>
        </w:tabs>
        <w:ind w:left="851"/>
        <w:rPr>
          <w:sz w:val="24"/>
          <w:szCs w:val="24"/>
        </w:rPr>
      </w:pPr>
      <w:r w:rsidRPr="008A114C">
        <w:rPr>
          <w:sz w:val="24"/>
          <w:szCs w:val="24"/>
        </w:rPr>
        <w:t>Ensidige næsepolypper ses sjældent og kan tyde på anden sygdom. Diagnosen skal bekræftes af en speciallæge.</w:t>
      </w:r>
    </w:p>
    <w:p w14:paraId="343C1DE0" w14:textId="77777777" w:rsidR="008A114C" w:rsidRPr="008A114C" w:rsidRDefault="008A114C" w:rsidP="008A114C">
      <w:pPr>
        <w:tabs>
          <w:tab w:val="left" w:pos="851"/>
        </w:tabs>
        <w:ind w:left="851"/>
        <w:rPr>
          <w:sz w:val="24"/>
          <w:szCs w:val="24"/>
        </w:rPr>
      </w:pPr>
    </w:p>
    <w:p w14:paraId="0152EAED" w14:textId="77777777" w:rsidR="008A114C" w:rsidRPr="008A114C" w:rsidRDefault="008A114C" w:rsidP="008A114C">
      <w:pPr>
        <w:tabs>
          <w:tab w:val="left" w:pos="851"/>
        </w:tabs>
        <w:ind w:left="851"/>
        <w:rPr>
          <w:sz w:val="24"/>
          <w:szCs w:val="24"/>
        </w:rPr>
      </w:pPr>
      <w:r w:rsidRPr="008A114C">
        <w:rPr>
          <w:sz w:val="24"/>
          <w:szCs w:val="24"/>
        </w:rPr>
        <w:t>Sværhedsgraden af næsepolypperne skal undersøges regelmæssigt.</w:t>
      </w:r>
    </w:p>
    <w:p w14:paraId="650B43B0" w14:textId="77777777" w:rsidR="008A114C" w:rsidRPr="008A114C" w:rsidRDefault="008A114C" w:rsidP="008A114C">
      <w:pPr>
        <w:tabs>
          <w:tab w:val="left" w:pos="851"/>
        </w:tabs>
        <w:ind w:left="851"/>
        <w:rPr>
          <w:sz w:val="24"/>
          <w:szCs w:val="24"/>
        </w:rPr>
      </w:pPr>
      <w:r w:rsidRPr="008A114C">
        <w:rPr>
          <w:sz w:val="24"/>
          <w:szCs w:val="24"/>
        </w:rPr>
        <w:t>Undgå kontakt med øjnene og beskadiget hud.</w:t>
      </w:r>
    </w:p>
    <w:p w14:paraId="7C309C9D" w14:textId="77777777" w:rsidR="008A114C" w:rsidRPr="008A114C" w:rsidRDefault="008A114C" w:rsidP="008A114C">
      <w:pPr>
        <w:tabs>
          <w:tab w:val="left" w:pos="851"/>
        </w:tabs>
        <w:ind w:left="851"/>
        <w:rPr>
          <w:sz w:val="24"/>
          <w:szCs w:val="24"/>
        </w:rPr>
      </w:pPr>
    </w:p>
    <w:p w14:paraId="6FF52AFE" w14:textId="77777777" w:rsidR="008A114C" w:rsidRPr="008A114C" w:rsidRDefault="008A114C" w:rsidP="008A114C">
      <w:pPr>
        <w:tabs>
          <w:tab w:val="left" w:pos="851"/>
        </w:tabs>
        <w:ind w:left="851"/>
        <w:rPr>
          <w:sz w:val="24"/>
          <w:szCs w:val="24"/>
        </w:rPr>
      </w:pPr>
      <w:r w:rsidRPr="008A114C">
        <w:rPr>
          <w:sz w:val="24"/>
          <w:szCs w:val="24"/>
        </w:rPr>
        <w:t>Der skal udvises forsigtighed hvis Fluttasino erstatter systemisk steroidbehandling – især ved mistanke om nedsat binyrebarkfunktion.</w:t>
      </w:r>
    </w:p>
    <w:p w14:paraId="2B7F4B22" w14:textId="77777777" w:rsidR="008A114C" w:rsidRPr="008A114C" w:rsidRDefault="008A114C" w:rsidP="008A114C">
      <w:pPr>
        <w:tabs>
          <w:tab w:val="left" w:pos="851"/>
        </w:tabs>
        <w:ind w:left="851"/>
        <w:rPr>
          <w:sz w:val="24"/>
          <w:szCs w:val="24"/>
        </w:rPr>
      </w:pPr>
    </w:p>
    <w:p w14:paraId="4D7230BE" w14:textId="77777777" w:rsidR="008A114C" w:rsidRPr="008A114C" w:rsidRDefault="008A114C" w:rsidP="008A114C">
      <w:pPr>
        <w:tabs>
          <w:tab w:val="left" w:pos="851"/>
        </w:tabs>
        <w:ind w:left="851"/>
        <w:rPr>
          <w:sz w:val="24"/>
          <w:szCs w:val="24"/>
        </w:rPr>
      </w:pPr>
      <w:r w:rsidRPr="008A114C">
        <w:rPr>
          <w:sz w:val="24"/>
          <w:szCs w:val="24"/>
        </w:rPr>
        <w:t>Systemiske bivirkninger af nasale kortikosteroider kan forekomme, specielt ved høje doser givet i længere perioder. Disse bivirkninger er langt mindre sandsynlige end ved orale kortikosteroider og kan variere mellem individuelle patienter og forskellige kortikosteroid-præparater (se pkt. 5.2). Eventuel systemisk virkning kan omfatte Cushings syndrom, cushingoide træk, binyrebarksuppresion, væksthæmning hos børn og unge og sjældnere, en række psykiske og adfærdsrelaterede bivirkninger, inklusiv psykomotorisk hyperaktivitet, søvnforstyrrelser, angst, depression eller aggression (specielt hos børn).</w:t>
      </w:r>
    </w:p>
    <w:p w14:paraId="30C4B740" w14:textId="77777777" w:rsidR="008A114C" w:rsidRPr="008A114C" w:rsidRDefault="008A114C" w:rsidP="008A114C">
      <w:pPr>
        <w:tabs>
          <w:tab w:val="left" w:pos="851"/>
        </w:tabs>
        <w:ind w:left="851"/>
        <w:rPr>
          <w:sz w:val="24"/>
          <w:szCs w:val="24"/>
        </w:rPr>
      </w:pPr>
    </w:p>
    <w:p w14:paraId="05B6DE02" w14:textId="77777777" w:rsidR="008A114C" w:rsidRPr="008A114C" w:rsidRDefault="008A114C" w:rsidP="008A114C">
      <w:pPr>
        <w:tabs>
          <w:tab w:val="left" w:pos="851"/>
        </w:tabs>
        <w:ind w:left="851"/>
        <w:rPr>
          <w:sz w:val="24"/>
          <w:szCs w:val="24"/>
        </w:rPr>
      </w:pPr>
      <w:r w:rsidRPr="008A114C">
        <w:rPr>
          <w:sz w:val="24"/>
          <w:szCs w:val="24"/>
        </w:rPr>
        <w:t xml:space="preserve">Væksthæmning er indberettet for børn, der har fået visse intranasale kortikosteroider i anbefalede doser. Det anbefales at måle børnenes højde jævnligt ved længerevarende behandling med nasale kortikosteroider. Behandlingen bør revurderes med henblik på at reducere dosen af nasale kortikosteroider til laveste effektive dosis, der giver </w:t>
      </w:r>
      <w:r w:rsidRPr="008A114C">
        <w:rPr>
          <w:sz w:val="24"/>
          <w:szCs w:val="24"/>
        </w:rPr>
        <w:lastRenderedPageBreak/>
        <w:t>symptomkontrol. Hvis deres vækst aftager, bør det samtidig overvejes at henvise patienten til en pædiatrisk specialist</w:t>
      </w:r>
    </w:p>
    <w:p w14:paraId="536F9857" w14:textId="77777777" w:rsidR="008A114C" w:rsidRPr="008A114C" w:rsidRDefault="008A114C" w:rsidP="008A114C">
      <w:pPr>
        <w:tabs>
          <w:tab w:val="left" w:pos="851"/>
        </w:tabs>
        <w:ind w:left="851"/>
        <w:rPr>
          <w:sz w:val="24"/>
          <w:szCs w:val="24"/>
        </w:rPr>
      </w:pPr>
    </w:p>
    <w:p w14:paraId="7B34227C" w14:textId="77777777" w:rsidR="008A114C" w:rsidRPr="008A114C" w:rsidRDefault="008A114C" w:rsidP="008A114C">
      <w:pPr>
        <w:tabs>
          <w:tab w:val="left" w:pos="851"/>
        </w:tabs>
        <w:ind w:left="851"/>
        <w:rPr>
          <w:sz w:val="24"/>
          <w:szCs w:val="24"/>
        </w:rPr>
      </w:pPr>
      <w:r w:rsidRPr="008A114C">
        <w:rPr>
          <w:sz w:val="24"/>
          <w:szCs w:val="24"/>
        </w:rPr>
        <w:t>Langtidsbehandling med højere doser end de anbefalede kan muligvis resultere i klinisk signifikant binyrebarksuppression. Hvis patienten får højere doser end de anbefalede, bør det overvejes at supplere med systemisk kortikosteroid i stressperioder eller i forbindelse med elektiv operation.</w:t>
      </w:r>
    </w:p>
    <w:p w14:paraId="1A1BE9EF" w14:textId="77777777" w:rsidR="008A114C" w:rsidRPr="008A114C" w:rsidRDefault="008A114C" w:rsidP="008A114C">
      <w:pPr>
        <w:tabs>
          <w:tab w:val="left" w:pos="851"/>
        </w:tabs>
        <w:ind w:left="851"/>
        <w:rPr>
          <w:sz w:val="24"/>
          <w:szCs w:val="24"/>
        </w:rPr>
      </w:pPr>
    </w:p>
    <w:p w14:paraId="3BEA251B" w14:textId="77777777" w:rsidR="008A114C" w:rsidRPr="008A114C" w:rsidRDefault="008A114C" w:rsidP="008A114C">
      <w:pPr>
        <w:tabs>
          <w:tab w:val="left" w:pos="851"/>
        </w:tabs>
        <w:ind w:left="851"/>
        <w:rPr>
          <w:sz w:val="24"/>
          <w:szCs w:val="24"/>
        </w:rPr>
      </w:pPr>
      <w:r w:rsidRPr="008A114C">
        <w:rPr>
          <w:sz w:val="24"/>
          <w:szCs w:val="24"/>
        </w:rPr>
        <w:t>Ritonavir kan i høj grad øge plasmakoncentrationen af fluticasonpropionat. Derfor skal samtidig brug undgås, med mindre fordelen for patienten opvejer risikoen for systemiske bivirkninger forårsaget af systemiske kortikosteroider. Der er også øget risiko for systemiske bivirkninger ved samtidig brug af fluticasonpropionat og andre potente CYP3A-hæmmere (se pkt. 4.5).</w:t>
      </w:r>
    </w:p>
    <w:p w14:paraId="209E47E4" w14:textId="77777777" w:rsidR="008A114C" w:rsidRPr="008A114C" w:rsidRDefault="008A114C" w:rsidP="008A114C">
      <w:pPr>
        <w:tabs>
          <w:tab w:val="left" w:pos="851"/>
        </w:tabs>
        <w:ind w:left="851"/>
        <w:rPr>
          <w:sz w:val="24"/>
          <w:szCs w:val="24"/>
        </w:rPr>
      </w:pPr>
    </w:p>
    <w:p w14:paraId="7338A973" w14:textId="77777777" w:rsidR="008A114C" w:rsidRPr="008A114C" w:rsidRDefault="008A114C" w:rsidP="008A114C">
      <w:pPr>
        <w:tabs>
          <w:tab w:val="left" w:pos="851"/>
        </w:tabs>
        <w:ind w:left="851"/>
        <w:rPr>
          <w:sz w:val="24"/>
          <w:szCs w:val="24"/>
          <w:u w:val="single"/>
        </w:rPr>
      </w:pPr>
      <w:r w:rsidRPr="008A114C">
        <w:rPr>
          <w:sz w:val="24"/>
          <w:szCs w:val="24"/>
          <w:u w:val="single"/>
        </w:rPr>
        <w:t>Synsforstyrrelser</w:t>
      </w:r>
    </w:p>
    <w:p w14:paraId="5FC9A6BF" w14:textId="77777777" w:rsidR="008A114C" w:rsidRPr="008A114C" w:rsidRDefault="008A114C" w:rsidP="008A114C">
      <w:pPr>
        <w:tabs>
          <w:tab w:val="left" w:pos="851"/>
        </w:tabs>
        <w:ind w:left="851"/>
        <w:rPr>
          <w:sz w:val="24"/>
          <w:szCs w:val="24"/>
        </w:rPr>
      </w:pPr>
      <w:r w:rsidRPr="008A114C">
        <w:rPr>
          <w:sz w:val="24"/>
          <w:szCs w:val="24"/>
        </w:rPr>
        <w:t>Ved brug af systemisk og topikalt kortikosteroid kan der blive indberettet synsforstyrrelser. Ved symptomer som sløret syn eller andre synsforstyrrelser bør det overvejes at henvise patienten til oftalmolog med henblik på vurdering af de mulige årsager; disse kan være grå stær, glaukom eller sjældne sygdomme såsom central serøs korioretinopati, som er indberettet efter brug af systemiske og topikale kortikosteroider.</w:t>
      </w:r>
    </w:p>
    <w:p w14:paraId="452D62CA" w14:textId="77777777" w:rsidR="009260DE" w:rsidRPr="00C84483" w:rsidRDefault="009260DE" w:rsidP="009260DE">
      <w:pPr>
        <w:tabs>
          <w:tab w:val="left" w:pos="851"/>
        </w:tabs>
        <w:ind w:left="851"/>
        <w:rPr>
          <w:sz w:val="24"/>
          <w:szCs w:val="24"/>
        </w:rPr>
      </w:pPr>
    </w:p>
    <w:p w14:paraId="7933AF41"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485B0959" w14:textId="77777777" w:rsidR="00A62050" w:rsidRPr="00A62050" w:rsidRDefault="00A62050" w:rsidP="00A62050">
      <w:pPr>
        <w:tabs>
          <w:tab w:val="left" w:pos="851"/>
        </w:tabs>
        <w:ind w:left="851"/>
        <w:rPr>
          <w:sz w:val="24"/>
          <w:szCs w:val="24"/>
        </w:rPr>
      </w:pPr>
      <w:r w:rsidRPr="00A62050">
        <w:rPr>
          <w:sz w:val="24"/>
          <w:szCs w:val="24"/>
        </w:rPr>
        <w:t>Under normale omstændigheder opnås lave plasmakoncentrationer af fluticasonpropionat ved intranasal anvendelse på grund af en betragtelig first pass metabolisme og høj systemisk clearance medieret af cytokrom P450 3A4 i tarm og lever. Således er klinisk signifikante interaktioner i forbindelse med fluticasonpropionat ikke sandsynlige.</w:t>
      </w:r>
    </w:p>
    <w:p w14:paraId="678270F9" w14:textId="77777777" w:rsidR="00A62050" w:rsidRPr="00A62050" w:rsidRDefault="00A62050" w:rsidP="00A62050">
      <w:pPr>
        <w:tabs>
          <w:tab w:val="left" w:pos="851"/>
        </w:tabs>
        <w:ind w:left="851"/>
        <w:rPr>
          <w:sz w:val="24"/>
          <w:szCs w:val="24"/>
        </w:rPr>
      </w:pPr>
    </w:p>
    <w:p w14:paraId="1234F1E7" w14:textId="77777777" w:rsidR="00A62050" w:rsidRPr="00A62050" w:rsidRDefault="00A62050" w:rsidP="00A62050">
      <w:pPr>
        <w:tabs>
          <w:tab w:val="left" w:pos="851"/>
        </w:tabs>
        <w:ind w:left="851"/>
        <w:rPr>
          <w:sz w:val="24"/>
          <w:szCs w:val="24"/>
        </w:rPr>
      </w:pPr>
      <w:r w:rsidRPr="00A62050">
        <w:rPr>
          <w:sz w:val="24"/>
          <w:szCs w:val="24"/>
        </w:rPr>
        <w:t>I en interaktionsundersøgelse med fluticasonpropionat givet intranasalt til raske personer øgede ritonavir (en stærkt potent cytokrom P450 3A4-hæmmer) 100 mg to gange daglig plasmakoncentrationen af fluticasonpropionat flere hundrede gange, og det resulterede i stærkt nedsatte serumkortisolkoncentrationer. Der er rapporteret tilfælde af Cushings syndrom og binyrebarksuppression. Derfor bør kombinationen undgås, med mindre fordelen for patienten opvejer den øgede risiko for systemiske bivirkninger forårsaget af glukokortikoider.</w:t>
      </w:r>
    </w:p>
    <w:p w14:paraId="1430DE8C" w14:textId="77777777" w:rsidR="00A62050" w:rsidRPr="00A62050" w:rsidRDefault="00A62050" w:rsidP="00A62050">
      <w:pPr>
        <w:tabs>
          <w:tab w:val="left" w:pos="851"/>
        </w:tabs>
        <w:ind w:left="851"/>
        <w:rPr>
          <w:sz w:val="24"/>
          <w:szCs w:val="24"/>
        </w:rPr>
      </w:pPr>
    </w:p>
    <w:p w14:paraId="31D65A1B" w14:textId="77777777" w:rsidR="00A62050" w:rsidRPr="00A62050" w:rsidRDefault="00A62050" w:rsidP="00A62050">
      <w:pPr>
        <w:tabs>
          <w:tab w:val="left" w:pos="851"/>
        </w:tabs>
        <w:ind w:left="851"/>
        <w:rPr>
          <w:sz w:val="24"/>
          <w:szCs w:val="24"/>
        </w:rPr>
      </w:pPr>
      <w:r w:rsidRPr="00A62050">
        <w:rPr>
          <w:sz w:val="24"/>
          <w:szCs w:val="24"/>
        </w:rPr>
        <w:t>Det forventes, at samtidig behandling med CYP3A-hæmmere, herunder cobicistat-holdige lægemidler, øger risikoen for systemiske bivirkninger. Kombination bør undgås, medmindre fordelen opvejer den øgede risiko for systemiske kortikoteroid-bivirkninger. Patienterne skal i givet fald overvåges for systemiske kortikosteroid-bivirkninger. Andre cytokrom CYP3A4-hæmmere giver kun ubetydelig (erythromycin) eller mindre (ketoconazol) stigning i systemisk eksponering for fluticasonpropionat uden mærkbart nedsatte serumkortisolkoncentrationer. Forsigtighed anbefales ved samtidig brug af cytokrom P450 3A4-hæmmere, specielt ved langtidsbehandling og med potente hæmmere, på grund af den potentielle risiko for øget systemisk eksponering over for fluticasonpropionat.</w:t>
      </w:r>
    </w:p>
    <w:p w14:paraId="074B8EF6" w14:textId="77777777" w:rsidR="00A62050" w:rsidRPr="00A62050" w:rsidRDefault="00A62050" w:rsidP="00A62050">
      <w:pPr>
        <w:tabs>
          <w:tab w:val="left" w:pos="851"/>
        </w:tabs>
        <w:ind w:left="851"/>
        <w:rPr>
          <w:sz w:val="24"/>
          <w:szCs w:val="24"/>
        </w:rPr>
      </w:pPr>
    </w:p>
    <w:p w14:paraId="78B81BFA" w14:textId="77777777" w:rsidR="00A62050" w:rsidRPr="00A62050" w:rsidRDefault="00A62050" w:rsidP="00A62050">
      <w:pPr>
        <w:tabs>
          <w:tab w:val="left" w:pos="851"/>
        </w:tabs>
        <w:ind w:left="851"/>
        <w:rPr>
          <w:sz w:val="24"/>
          <w:szCs w:val="24"/>
        </w:rPr>
      </w:pPr>
      <w:r w:rsidRPr="00A62050">
        <w:rPr>
          <w:sz w:val="24"/>
          <w:szCs w:val="24"/>
        </w:rPr>
        <w:t>Intranasale steroider anvendes ofte i forbindelse med inhalationssteroider til samtidig behandling af astma, hvilket ofte ses hos patienter med allergisk diatese. Den samlede steroidbelastning hos disse patienter er kumulativ og kan resultere i et steroid overskud, hvilket også kan påvirke væksthæmning.</w:t>
      </w:r>
    </w:p>
    <w:p w14:paraId="33220C3F" w14:textId="77777777" w:rsidR="009260DE" w:rsidRPr="00C84483" w:rsidRDefault="009260DE" w:rsidP="009260DE">
      <w:pPr>
        <w:tabs>
          <w:tab w:val="left" w:pos="851"/>
        </w:tabs>
        <w:ind w:left="851"/>
        <w:rPr>
          <w:sz w:val="24"/>
          <w:szCs w:val="24"/>
        </w:rPr>
      </w:pPr>
    </w:p>
    <w:p w14:paraId="3C3C969E" w14:textId="77777777" w:rsidR="009260DE" w:rsidRPr="00C84483" w:rsidRDefault="009260DE" w:rsidP="009260DE">
      <w:pPr>
        <w:tabs>
          <w:tab w:val="left" w:pos="851"/>
        </w:tabs>
        <w:ind w:left="851" w:hanging="851"/>
        <w:rPr>
          <w:b/>
          <w:sz w:val="24"/>
          <w:szCs w:val="24"/>
        </w:rPr>
      </w:pPr>
      <w:r w:rsidRPr="00C84483">
        <w:rPr>
          <w:b/>
          <w:sz w:val="24"/>
          <w:szCs w:val="24"/>
        </w:rPr>
        <w:lastRenderedPageBreak/>
        <w:t>4.6</w:t>
      </w:r>
      <w:r w:rsidRPr="00C84483">
        <w:rPr>
          <w:b/>
          <w:sz w:val="24"/>
          <w:szCs w:val="24"/>
        </w:rPr>
        <w:tab/>
      </w:r>
      <w:r w:rsidR="0071241E">
        <w:rPr>
          <w:b/>
          <w:sz w:val="24"/>
          <w:szCs w:val="24"/>
        </w:rPr>
        <w:t>Fertilitet, g</w:t>
      </w:r>
      <w:r w:rsidRPr="00C84483">
        <w:rPr>
          <w:b/>
          <w:sz w:val="24"/>
          <w:szCs w:val="24"/>
        </w:rPr>
        <w:t>raviditet og amning</w:t>
      </w:r>
    </w:p>
    <w:p w14:paraId="2920E9D8" w14:textId="77777777" w:rsidR="00A62050" w:rsidRPr="00A62050" w:rsidRDefault="00A62050" w:rsidP="00A62050">
      <w:pPr>
        <w:tabs>
          <w:tab w:val="left" w:pos="851"/>
        </w:tabs>
        <w:ind w:left="851"/>
        <w:rPr>
          <w:sz w:val="24"/>
          <w:szCs w:val="24"/>
        </w:rPr>
      </w:pPr>
      <w:r w:rsidRPr="00A62050">
        <w:rPr>
          <w:sz w:val="24"/>
          <w:szCs w:val="24"/>
        </w:rPr>
        <w:t>Ved behandling med Fluttasino under graviditet og amning skal fordelene afvejes mod eventuelle risici i forbindelse med behandling med næsedråberne eller anden behandling.</w:t>
      </w:r>
    </w:p>
    <w:p w14:paraId="6EB7CADF" w14:textId="77777777" w:rsidR="00A62050" w:rsidRPr="00A62050" w:rsidRDefault="00A62050" w:rsidP="00A62050">
      <w:pPr>
        <w:tabs>
          <w:tab w:val="left" w:pos="851"/>
        </w:tabs>
        <w:ind w:left="851"/>
        <w:rPr>
          <w:sz w:val="24"/>
          <w:szCs w:val="24"/>
        </w:rPr>
      </w:pPr>
    </w:p>
    <w:p w14:paraId="1BEED130" w14:textId="77777777" w:rsidR="00A62050" w:rsidRPr="00A62050" w:rsidRDefault="00A62050" w:rsidP="00A62050">
      <w:pPr>
        <w:tabs>
          <w:tab w:val="left" w:pos="851"/>
        </w:tabs>
        <w:ind w:left="851"/>
        <w:rPr>
          <w:sz w:val="24"/>
          <w:szCs w:val="24"/>
          <w:u w:val="single"/>
        </w:rPr>
      </w:pPr>
      <w:r w:rsidRPr="00A62050">
        <w:rPr>
          <w:sz w:val="24"/>
          <w:szCs w:val="24"/>
          <w:u w:val="single"/>
        </w:rPr>
        <w:t>Graviditet</w:t>
      </w:r>
    </w:p>
    <w:p w14:paraId="33DBE1CD" w14:textId="77777777" w:rsidR="00A62050" w:rsidRPr="00A62050" w:rsidRDefault="00A62050" w:rsidP="00A62050">
      <w:pPr>
        <w:tabs>
          <w:tab w:val="left" w:pos="851"/>
        </w:tabs>
        <w:ind w:left="851"/>
        <w:rPr>
          <w:sz w:val="24"/>
          <w:szCs w:val="24"/>
        </w:rPr>
      </w:pPr>
      <w:r w:rsidRPr="00A62050">
        <w:rPr>
          <w:sz w:val="24"/>
          <w:szCs w:val="24"/>
        </w:rPr>
        <w:t>Der er ikke tilstrækkelig dokumentation for sikkerheden under graviditet hos mennesker. I dyrereproduktionsundersøgelser er der kun set bivirkninger, der er typiske for potente kortikosteroider ved høje systemiske doser. Anvendelse direkte i næsen giver minimal systemisk påvirkning.</w:t>
      </w:r>
    </w:p>
    <w:p w14:paraId="15723444" w14:textId="77777777" w:rsidR="00A62050" w:rsidRPr="00A62050" w:rsidRDefault="00A62050" w:rsidP="00A62050">
      <w:pPr>
        <w:tabs>
          <w:tab w:val="left" w:pos="851"/>
        </w:tabs>
        <w:ind w:left="851"/>
        <w:rPr>
          <w:sz w:val="24"/>
          <w:szCs w:val="24"/>
        </w:rPr>
      </w:pPr>
    </w:p>
    <w:p w14:paraId="594BD06B" w14:textId="77777777" w:rsidR="00A62050" w:rsidRPr="00A62050" w:rsidRDefault="00A62050" w:rsidP="00A62050">
      <w:pPr>
        <w:tabs>
          <w:tab w:val="left" w:pos="851"/>
        </w:tabs>
        <w:ind w:left="851"/>
        <w:rPr>
          <w:sz w:val="24"/>
          <w:szCs w:val="24"/>
          <w:u w:val="single"/>
        </w:rPr>
      </w:pPr>
      <w:r w:rsidRPr="00A62050">
        <w:rPr>
          <w:sz w:val="24"/>
          <w:szCs w:val="24"/>
          <w:u w:val="single"/>
        </w:rPr>
        <w:t>Amning</w:t>
      </w:r>
    </w:p>
    <w:p w14:paraId="4C879028" w14:textId="77777777" w:rsidR="00A62050" w:rsidRPr="00A62050" w:rsidRDefault="00A62050" w:rsidP="00A62050">
      <w:pPr>
        <w:tabs>
          <w:tab w:val="left" w:pos="851"/>
        </w:tabs>
        <w:ind w:left="851"/>
        <w:rPr>
          <w:sz w:val="24"/>
          <w:szCs w:val="24"/>
        </w:rPr>
      </w:pPr>
      <w:r w:rsidRPr="00A62050">
        <w:rPr>
          <w:sz w:val="24"/>
          <w:szCs w:val="24"/>
        </w:rPr>
        <w:t>Der er ingen oplysninger om udskillelse af fluticasonpropionat i brystmælk hos kvinder. Ved subkutan indgift hos diegivende rotter udskilles fluticasonpropionat i mælken, men plasmakoncentrationen hos patienter er lav ved anbefalede doser i næsen.</w:t>
      </w:r>
    </w:p>
    <w:p w14:paraId="07B22EF8" w14:textId="77777777" w:rsidR="00A62050" w:rsidRPr="00A62050" w:rsidRDefault="00A62050" w:rsidP="00A62050">
      <w:pPr>
        <w:tabs>
          <w:tab w:val="left" w:pos="851"/>
        </w:tabs>
        <w:ind w:left="851"/>
        <w:rPr>
          <w:sz w:val="24"/>
          <w:szCs w:val="24"/>
          <w:u w:val="single"/>
        </w:rPr>
      </w:pPr>
    </w:p>
    <w:p w14:paraId="43D471CA"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64633FB7" w14:textId="77777777" w:rsidR="00CD62EC" w:rsidRPr="00CD62EC" w:rsidRDefault="00CD62EC" w:rsidP="00CD62EC">
      <w:pPr>
        <w:tabs>
          <w:tab w:val="left" w:pos="851"/>
        </w:tabs>
        <w:ind w:left="851"/>
        <w:rPr>
          <w:sz w:val="24"/>
          <w:szCs w:val="24"/>
        </w:rPr>
      </w:pPr>
      <w:r w:rsidRPr="00CD62EC">
        <w:rPr>
          <w:sz w:val="24"/>
          <w:szCs w:val="24"/>
        </w:rPr>
        <w:t>Ikke mærkning.</w:t>
      </w:r>
    </w:p>
    <w:p w14:paraId="4E902E1D" w14:textId="77777777" w:rsidR="00CD62EC" w:rsidRPr="00CD62EC" w:rsidRDefault="00CD62EC" w:rsidP="00CD62EC">
      <w:pPr>
        <w:tabs>
          <w:tab w:val="left" w:pos="851"/>
        </w:tabs>
        <w:ind w:left="851"/>
        <w:rPr>
          <w:sz w:val="24"/>
          <w:szCs w:val="24"/>
        </w:rPr>
      </w:pPr>
      <w:r w:rsidRPr="00CD62EC">
        <w:rPr>
          <w:sz w:val="24"/>
          <w:szCs w:val="24"/>
        </w:rPr>
        <w:t>Ikke relevant.</w:t>
      </w:r>
    </w:p>
    <w:p w14:paraId="47098A19" w14:textId="77777777" w:rsidR="009260DE" w:rsidRPr="00C84483" w:rsidRDefault="009260DE" w:rsidP="009260DE">
      <w:pPr>
        <w:tabs>
          <w:tab w:val="left" w:pos="851"/>
        </w:tabs>
        <w:ind w:left="851"/>
        <w:rPr>
          <w:sz w:val="24"/>
          <w:szCs w:val="24"/>
        </w:rPr>
      </w:pPr>
    </w:p>
    <w:p w14:paraId="5403AF9B"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4E1DDDE4" w14:textId="5B454765" w:rsidR="00CD62EC" w:rsidRDefault="00CD62EC" w:rsidP="00CD62EC">
      <w:pPr>
        <w:ind w:left="851"/>
        <w:rPr>
          <w:sz w:val="24"/>
          <w:szCs w:val="24"/>
        </w:rPr>
      </w:pPr>
      <w:r w:rsidRPr="00CD62EC">
        <w:rPr>
          <w:sz w:val="24"/>
          <w:szCs w:val="24"/>
        </w:rPr>
        <w:t>Bivirkninger er angivet nedenfor efter systemorganklasse og hyppighed. Hyppighederne er defineret som: Meget almindelig (≥1/10), almindelig (≥1/100 til &lt; 1/10), ikke almindelig (≥1/1.000 til &lt; 1/100), sjælden (≥ 1/10.000 til &lt; 1/1.000), meget sjælden (&lt; 1/10.000) og ikke kendt (hyppighed kan ikke estimeres ud fra forhåndenværende data). Der er ikke taget hensyn til forekomst i placebogrupperne ved angivelse af hyppigheder, da forekomsten generelt var sammenlignelig eller højere end forekomsten i grupperne, der fik aktiv behandling. Bivirkningerne er angivet efter sværhedsgrad inden for hver hyppighed med de alvorligste først.</w:t>
      </w:r>
    </w:p>
    <w:p w14:paraId="0BD0D519" w14:textId="77777777" w:rsidR="00CD62EC" w:rsidRPr="00CD62EC" w:rsidRDefault="00CD62EC" w:rsidP="00CD62EC">
      <w:pPr>
        <w:ind w:left="851"/>
        <w:rPr>
          <w:sz w:val="24"/>
          <w:szCs w:val="24"/>
        </w:rPr>
      </w:pPr>
    </w:p>
    <w:tbl>
      <w:tblPr>
        <w:tblW w:w="4823" w:type="pct"/>
        <w:tblCellSpacing w:w="0" w:type="dxa"/>
        <w:tblInd w:w="843"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2257"/>
        <w:gridCol w:w="4041"/>
        <w:gridCol w:w="2983"/>
      </w:tblGrid>
      <w:tr w:rsidR="00CD62EC" w14:paraId="5441F63E" w14:textId="77777777" w:rsidTr="00CD62EC">
        <w:trPr>
          <w:tblCellSpacing w:w="0" w:type="dxa"/>
        </w:trPr>
        <w:tc>
          <w:tcPr>
            <w:tcW w:w="1216" w:type="pct"/>
            <w:tcBorders>
              <w:top w:val="outset" w:sz="6" w:space="0" w:color="auto"/>
              <w:left w:val="outset" w:sz="6" w:space="0" w:color="auto"/>
              <w:bottom w:val="outset" w:sz="6" w:space="0" w:color="auto"/>
              <w:right w:val="outset" w:sz="6" w:space="0" w:color="auto"/>
            </w:tcBorders>
            <w:shd w:val="clear" w:color="auto" w:fill="FFFFFF"/>
            <w:hideMark/>
          </w:tcPr>
          <w:p w14:paraId="6AD65ED3" w14:textId="77777777" w:rsidR="00CD62EC" w:rsidRDefault="00CD62EC">
            <w:pPr>
              <w:pStyle w:val="Brdtekst"/>
              <w:ind w:left="214"/>
              <w:rPr>
                <w:lang w:val="en-GB"/>
              </w:rPr>
            </w:pPr>
            <w:r>
              <w:rPr>
                <w:b/>
                <w:bCs/>
                <w:lang w:val="en-GB"/>
              </w:rPr>
              <w:t>Systemorganklasse</w:t>
            </w:r>
          </w:p>
        </w:tc>
        <w:tc>
          <w:tcPr>
            <w:tcW w:w="2177" w:type="pct"/>
            <w:tcBorders>
              <w:top w:val="outset" w:sz="6" w:space="0" w:color="auto"/>
              <w:left w:val="outset" w:sz="6" w:space="0" w:color="auto"/>
              <w:bottom w:val="outset" w:sz="6" w:space="0" w:color="auto"/>
              <w:right w:val="outset" w:sz="6" w:space="0" w:color="auto"/>
            </w:tcBorders>
            <w:shd w:val="clear" w:color="auto" w:fill="FFFFFF"/>
            <w:hideMark/>
          </w:tcPr>
          <w:p w14:paraId="3D00AD2E" w14:textId="77777777" w:rsidR="00CD62EC" w:rsidRDefault="00CD62EC">
            <w:pPr>
              <w:pStyle w:val="Brdtekst"/>
              <w:ind w:left="214"/>
              <w:rPr>
                <w:lang w:val="en-GB"/>
              </w:rPr>
            </w:pPr>
            <w:r>
              <w:rPr>
                <w:b/>
                <w:bCs/>
                <w:lang w:val="en-GB"/>
              </w:rPr>
              <w:t>Bivirkning</w:t>
            </w:r>
          </w:p>
        </w:tc>
        <w:tc>
          <w:tcPr>
            <w:tcW w:w="1607" w:type="pct"/>
            <w:tcBorders>
              <w:top w:val="outset" w:sz="6" w:space="0" w:color="auto"/>
              <w:left w:val="outset" w:sz="6" w:space="0" w:color="auto"/>
              <w:bottom w:val="outset" w:sz="6" w:space="0" w:color="auto"/>
              <w:right w:val="outset" w:sz="6" w:space="0" w:color="auto"/>
            </w:tcBorders>
            <w:shd w:val="clear" w:color="auto" w:fill="FFFFFF"/>
            <w:hideMark/>
          </w:tcPr>
          <w:p w14:paraId="5E00802C" w14:textId="77777777" w:rsidR="00CD62EC" w:rsidRDefault="00CD62EC">
            <w:pPr>
              <w:pStyle w:val="Brdtekst"/>
              <w:ind w:left="214"/>
              <w:rPr>
                <w:b/>
                <w:bCs/>
                <w:lang w:val="en-GB"/>
              </w:rPr>
            </w:pPr>
            <w:r>
              <w:rPr>
                <w:b/>
                <w:bCs/>
                <w:lang w:val="en-GB"/>
              </w:rPr>
              <w:t>Hyppighed</w:t>
            </w:r>
          </w:p>
        </w:tc>
      </w:tr>
      <w:tr w:rsidR="00CD62EC" w14:paraId="65684F3B" w14:textId="77777777" w:rsidTr="00CD62EC">
        <w:trPr>
          <w:tblCellSpacing w:w="0" w:type="dxa"/>
        </w:trPr>
        <w:tc>
          <w:tcPr>
            <w:tcW w:w="1216" w:type="pct"/>
            <w:tcBorders>
              <w:top w:val="outset" w:sz="6" w:space="0" w:color="auto"/>
              <w:left w:val="outset" w:sz="6" w:space="0" w:color="auto"/>
              <w:bottom w:val="outset" w:sz="6" w:space="0" w:color="auto"/>
              <w:right w:val="outset" w:sz="6" w:space="0" w:color="auto"/>
            </w:tcBorders>
            <w:shd w:val="clear" w:color="auto" w:fill="FFFFFF"/>
            <w:hideMark/>
          </w:tcPr>
          <w:p w14:paraId="019095B3" w14:textId="77777777" w:rsidR="00CD62EC" w:rsidRDefault="00CD62EC">
            <w:pPr>
              <w:pStyle w:val="Brdtekst"/>
              <w:ind w:left="214"/>
              <w:rPr>
                <w:lang w:val="en-GB"/>
              </w:rPr>
            </w:pPr>
            <w:r>
              <w:rPr>
                <w:lang w:val="en-GB"/>
              </w:rPr>
              <w:t>Immunsystemet</w:t>
            </w:r>
          </w:p>
        </w:tc>
        <w:tc>
          <w:tcPr>
            <w:tcW w:w="2177" w:type="pct"/>
            <w:tcBorders>
              <w:top w:val="outset" w:sz="6" w:space="0" w:color="auto"/>
              <w:left w:val="outset" w:sz="6" w:space="0" w:color="auto"/>
              <w:bottom w:val="outset" w:sz="6" w:space="0" w:color="auto"/>
              <w:right w:val="outset" w:sz="6" w:space="0" w:color="auto"/>
            </w:tcBorders>
            <w:shd w:val="clear" w:color="auto" w:fill="FFFFFF"/>
            <w:hideMark/>
          </w:tcPr>
          <w:p w14:paraId="22CB9A18" w14:textId="77777777" w:rsidR="00CD62EC" w:rsidRDefault="00CD62EC">
            <w:pPr>
              <w:pStyle w:val="Brdtekst"/>
              <w:ind w:left="214"/>
              <w:rPr>
                <w:lang w:val="da-DK"/>
              </w:rPr>
            </w:pPr>
            <w:r>
              <w:rPr>
                <w:lang w:val="da-DK"/>
              </w:rPr>
              <w:t>Overfølsomhedsreaktioner, anafylaksi/anafylaktiske reaktioner, bronkospasmer, udslæt, ødem (ansigt og mund)</w:t>
            </w:r>
          </w:p>
        </w:tc>
        <w:tc>
          <w:tcPr>
            <w:tcW w:w="1607" w:type="pct"/>
            <w:tcBorders>
              <w:top w:val="outset" w:sz="6" w:space="0" w:color="auto"/>
              <w:left w:val="outset" w:sz="6" w:space="0" w:color="auto"/>
              <w:bottom w:val="outset" w:sz="6" w:space="0" w:color="auto"/>
              <w:right w:val="outset" w:sz="6" w:space="0" w:color="auto"/>
            </w:tcBorders>
            <w:shd w:val="clear" w:color="auto" w:fill="FFFFFF"/>
            <w:hideMark/>
          </w:tcPr>
          <w:p w14:paraId="77E348AF" w14:textId="77777777" w:rsidR="00CD62EC" w:rsidRDefault="00CD62EC">
            <w:pPr>
              <w:pStyle w:val="Brdtekst"/>
              <w:ind w:left="214"/>
              <w:rPr>
                <w:lang w:val="en-GB"/>
              </w:rPr>
            </w:pPr>
            <w:r>
              <w:rPr>
                <w:lang w:val="en-GB"/>
              </w:rPr>
              <w:t>Meget sjælden (&lt; 1/10.000)</w:t>
            </w:r>
          </w:p>
        </w:tc>
      </w:tr>
      <w:tr w:rsidR="00CD62EC" w14:paraId="07692371" w14:textId="77777777" w:rsidTr="00CD62EC">
        <w:trPr>
          <w:tblCellSpacing w:w="0" w:type="dxa"/>
        </w:trPr>
        <w:tc>
          <w:tcPr>
            <w:tcW w:w="1216"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6DB47102" w14:textId="77777777" w:rsidR="00CD62EC" w:rsidRDefault="00CD62EC">
            <w:pPr>
              <w:pStyle w:val="Brdtekst"/>
              <w:ind w:left="214"/>
              <w:rPr>
                <w:lang w:val="en-GB"/>
              </w:rPr>
            </w:pPr>
            <w:r>
              <w:rPr>
                <w:lang w:val="en-GB"/>
              </w:rPr>
              <w:t>Øjne</w:t>
            </w:r>
          </w:p>
        </w:tc>
        <w:tc>
          <w:tcPr>
            <w:tcW w:w="2177" w:type="pct"/>
            <w:tcBorders>
              <w:top w:val="outset" w:sz="6" w:space="0" w:color="auto"/>
              <w:left w:val="outset" w:sz="6" w:space="0" w:color="auto"/>
              <w:bottom w:val="outset" w:sz="6" w:space="0" w:color="auto"/>
              <w:right w:val="outset" w:sz="6" w:space="0" w:color="auto"/>
            </w:tcBorders>
            <w:shd w:val="clear" w:color="auto" w:fill="FFFFFF"/>
            <w:hideMark/>
          </w:tcPr>
          <w:p w14:paraId="3E604D1E" w14:textId="77777777" w:rsidR="00CD62EC" w:rsidRDefault="00CD62EC">
            <w:pPr>
              <w:pStyle w:val="Brdtekst"/>
              <w:ind w:left="214"/>
              <w:rPr>
                <w:lang w:val="da-DK"/>
              </w:rPr>
            </w:pPr>
            <w:r>
              <w:rPr>
                <w:lang w:val="da-DK"/>
              </w:rPr>
              <w:t>***Glaukom, øget intraokulært tryk, katarakt</w:t>
            </w:r>
          </w:p>
        </w:tc>
        <w:tc>
          <w:tcPr>
            <w:tcW w:w="1607" w:type="pct"/>
            <w:tcBorders>
              <w:top w:val="outset" w:sz="6" w:space="0" w:color="auto"/>
              <w:left w:val="outset" w:sz="6" w:space="0" w:color="auto"/>
              <w:bottom w:val="outset" w:sz="6" w:space="0" w:color="auto"/>
              <w:right w:val="outset" w:sz="6" w:space="0" w:color="auto"/>
            </w:tcBorders>
            <w:shd w:val="clear" w:color="auto" w:fill="FFFFFF"/>
            <w:hideMark/>
          </w:tcPr>
          <w:p w14:paraId="0F7B4740" w14:textId="77777777" w:rsidR="00CD62EC" w:rsidRDefault="00CD62EC">
            <w:pPr>
              <w:pStyle w:val="Brdtekst"/>
              <w:ind w:left="214"/>
              <w:rPr>
                <w:lang w:val="en-GB"/>
              </w:rPr>
            </w:pPr>
            <w:r>
              <w:rPr>
                <w:lang w:val="en-GB"/>
              </w:rPr>
              <w:t>Meget sjælden (&lt; 1/10.000)</w:t>
            </w:r>
          </w:p>
        </w:tc>
      </w:tr>
      <w:tr w:rsidR="00CD62EC" w14:paraId="3616D614" w14:textId="77777777" w:rsidTr="00CD62EC">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7815A93" w14:textId="77777777" w:rsidR="00CD62EC" w:rsidRDefault="00CD62EC">
            <w:pPr>
              <w:rPr>
                <w:sz w:val="20"/>
                <w:lang w:val="en-GB"/>
              </w:rPr>
            </w:pPr>
          </w:p>
        </w:tc>
        <w:tc>
          <w:tcPr>
            <w:tcW w:w="2177" w:type="pct"/>
            <w:tcBorders>
              <w:top w:val="outset" w:sz="6" w:space="0" w:color="auto"/>
              <w:left w:val="outset" w:sz="6" w:space="0" w:color="auto"/>
              <w:bottom w:val="outset" w:sz="6" w:space="0" w:color="auto"/>
              <w:right w:val="outset" w:sz="6" w:space="0" w:color="auto"/>
            </w:tcBorders>
            <w:shd w:val="clear" w:color="auto" w:fill="FFFFFF"/>
            <w:hideMark/>
          </w:tcPr>
          <w:p w14:paraId="687C9FE7" w14:textId="77777777" w:rsidR="00CD62EC" w:rsidRDefault="00CD62EC">
            <w:pPr>
              <w:pStyle w:val="Brdtekst"/>
              <w:ind w:left="214"/>
              <w:rPr>
                <w:lang w:val="en-GB"/>
              </w:rPr>
            </w:pPr>
            <w:r>
              <w:rPr>
                <w:lang w:val="en-GB"/>
              </w:rPr>
              <w:t>Sløret syn</w:t>
            </w:r>
          </w:p>
        </w:tc>
        <w:tc>
          <w:tcPr>
            <w:tcW w:w="1607" w:type="pct"/>
            <w:tcBorders>
              <w:top w:val="outset" w:sz="6" w:space="0" w:color="auto"/>
              <w:left w:val="outset" w:sz="6" w:space="0" w:color="auto"/>
              <w:bottom w:val="outset" w:sz="6" w:space="0" w:color="auto"/>
              <w:right w:val="outset" w:sz="6" w:space="0" w:color="auto"/>
            </w:tcBorders>
            <w:shd w:val="clear" w:color="auto" w:fill="FFFFFF"/>
            <w:hideMark/>
          </w:tcPr>
          <w:p w14:paraId="100F4D58" w14:textId="77777777" w:rsidR="00CD62EC" w:rsidRDefault="00CD62EC">
            <w:pPr>
              <w:pStyle w:val="Brdtekst"/>
              <w:ind w:left="214"/>
              <w:rPr>
                <w:lang w:val="en-GB"/>
              </w:rPr>
            </w:pPr>
            <w:r>
              <w:rPr>
                <w:lang w:val="en-GB"/>
              </w:rPr>
              <w:t>Ikke kendt (se pkt. 4.4)</w:t>
            </w:r>
          </w:p>
        </w:tc>
      </w:tr>
      <w:tr w:rsidR="00CD62EC" w14:paraId="77F18B7E" w14:textId="77777777" w:rsidTr="00CD62EC">
        <w:trPr>
          <w:tblCellSpacing w:w="0" w:type="dxa"/>
        </w:trPr>
        <w:tc>
          <w:tcPr>
            <w:tcW w:w="1216"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51F7E15" w14:textId="77777777" w:rsidR="00CD62EC" w:rsidRDefault="00CD62EC">
            <w:pPr>
              <w:pStyle w:val="Brdtekst"/>
              <w:ind w:left="214"/>
              <w:rPr>
                <w:lang w:val="en-GB"/>
              </w:rPr>
            </w:pPr>
            <w:r>
              <w:rPr>
                <w:lang w:val="en-GB"/>
              </w:rPr>
              <w:t xml:space="preserve">Luftveje, thorax og </w:t>
            </w:r>
          </w:p>
          <w:p w14:paraId="4434A3AD" w14:textId="77777777" w:rsidR="00CD62EC" w:rsidRDefault="00CD62EC">
            <w:pPr>
              <w:pStyle w:val="Brdtekst"/>
              <w:ind w:left="214"/>
              <w:rPr>
                <w:lang w:val="en-GB"/>
              </w:rPr>
            </w:pPr>
            <w:r>
              <w:rPr>
                <w:lang w:val="en-GB"/>
              </w:rPr>
              <w:t>mediastinum</w:t>
            </w:r>
          </w:p>
        </w:tc>
        <w:tc>
          <w:tcPr>
            <w:tcW w:w="2177" w:type="pct"/>
            <w:tcBorders>
              <w:top w:val="outset" w:sz="6" w:space="0" w:color="auto"/>
              <w:left w:val="outset" w:sz="6" w:space="0" w:color="auto"/>
              <w:bottom w:val="outset" w:sz="6" w:space="0" w:color="auto"/>
              <w:right w:val="outset" w:sz="6" w:space="0" w:color="auto"/>
            </w:tcBorders>
            <w:shd w:val="clear" w:color="auto" w:fill="FFFFFF"/>
            <w:hideMark/>
          </w:tcPr>
          <w:p w14:paraId="3277F898" w14:textId="77777777" w:rsidR="00CD62EC" w:rsidRDefault="00CD62EC">
            <w:pPr>
              <w:pStyle w:val="Brdtekst"/>
              <w:ind w:left="214"/>
              <w:rPr>
                <w:lang w:val="en-GB"/>
              </w:rPr>
            </w:pPr>
            <w:r>
              <w:rPr>
                <w:lang w:val="en-GB"/>
              </w:rPr>
              <w:t>Epistaxis</w:t>
            </w:r>
          </w:p>
        </w:tc>
        <w:tc>
          <w:tcPr>
            <w:tcW w:w="1607" w:type="pct"/>
            <w:tcBorders>
              <w:top w:val="outset" w:sz="6" w:space="0" w:color="auto"/>
              <w:left w:val="outset" w:sz="6" w:space="0" w:color="auto"/>
              <w:bottom w:val="outset" w:sz="6" w:space="0" w:color="auto"/>
              <w:right w:val="outset" w:sz="6" w:space="0" w:color="auto"/>
            </w:tcBorders>
            <w:shd w:val="clear" w:color="auto" w:fill="FFFFFF"/>
            <w:hideMark/>
          </w:tcPr>
          <w:p w14:paraId="3F88A367" w14:textId="77777777" w:rsidR="00CD62EC" w:rsidRDefault="00CD62EC">
            <w:pPr>
              <w:pStyle w:val="Brdtekst"/>
              <w:ind w:left="214"/>
              <w:rPr>
                <w:lang w:val="en-GB"/>
              </w:rPr>
            </w:pPr>
            <w:r>
              <w:rPr>
                <w:lang w:val="en-GB"/>
              </w:rPr>
              <w:t>Meget almindelig (≥ 1/10)</w:t>
            </w:r>
          </w:p>
        </w:tc>
      </w:tr>
      <w:tr w:rsidR="00CD62EC" w14:paraId="7296C3ED" w14:textId="77777777" w:rsidTr="00CD62EC">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816241" w14:textId="77777777" w:rsidR="00CD62EC" w:rsidRDefault="00CD62EC">
            <w:pPr>
              <w:rPr>
                <w:sz w:val="20"/>
                <w:lang w:val="en-GB"/>
              </w:rPr>
            </w:pPr>
          </w:p>
        </w:tc>
        <w:tc>
          <w:tcPr>
            <w:tcW w:w="2177" w:type="pct"/>
            <w:tcBorders>
              <w:top w:val="outset" w:sz="6" w:space="0" w:color="auto"/>
              <w:left w:val="outset" w:sz="6" w:space="0" w:color="auto"/>
              <w:bottom w:val="outset" w:sz="6" w:space="0" w:color="auto"/>
              <w:right w:val="outset" w:sz="6" w:space="0" w:color="auto"/>
            </w:tcBorders>
            <w:shd w:val="clear" w:color="auto" w:fill="FFFFFF"/>
            <w:hideMark/>
          </w:tcPr>
          <w:p w14:paraId="66A3064B" w14:textId="77777777" w:rsidR="00CD62EC" w:rsidRDefault="00CD62EC">
            <w:pPr>
              <w:pStyle w:val="Brdtekst"/>
              <w:ind w:left="214"/>
              <w:rPr>
                <w:lang w:val="da-DK"/>
              </w:rPr>
            </w:pPr>
            <w:r>
              <w:rPr>
                <w:lang w:val="da-DK"/>
              </w:rPr>
              <w:t>*Tørhed og irritation i næse og svælg</w:t>
            </w:r>
          </w:p>
        </w:tc>
        <w:tc>
          <w:tcPr>
            <w:tcW w:w="1607" w:type="pct"/>
            <w:tcBorders>
              <w:top w:val="outset" w:sz="6" w:space="0" w:color="auto"/>
              <w:left w:val="outset" w:sz="6" w:space="0" w:color="auto"/>
              <w:bottom w:val="outset" w:sz="6" w:space="0" w:color="auto"/>
              <w:right w:val="outset" w:sz="6" w:space="0" w:color="auto"/>
            </w:tcBorders>
            <w:shd w:val="clear" w:color="auto" w:fill="FFFFFF"/>
            <w:hideMark/>
          </w:tcPr>
          <w:p w14:paraId="17354B4F" w14:textId="77777777" w:rsidR="00CD62EC" w:rsidRDefault="00CD62EC">
            <w:pPr>
              <w:pStyle w:val="Brdtekst"/>
              <w:ind w:left="214"/>
              <w:rPr>
                <w:lang w:val="en-GB"/>
              </w:rPr>
            </w:pPr>
            <w:r>
              <w:rPr>
                <w:lang w:val="en-GB"/>
              </w:rPr>
              <w:t>Almindelig (≥ 1/100 til &lt; 1/10)</w:t>
            </w:r>
          </w:p>
        </w:tc>
      </w:tr>
      <w:tr w:rsidR="00CD62EC" w14:paraId="7C84C3C1" w14:textId="77777777" w:rsidTr="00CD62EC">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E75E13" w14:textId="77777777" w:rsidR="00CD62EC" w:rsidRDefault="00CD62EC">
            <w:pPr>
              <w:rPr>
                <w:sz w:val="20"/>
                <w:lang w:val="en-GB"/>
              </w:rPr>
            </w:pPr>
          </w:p>
        </w:tc>
        <w:tc>
          <w:tcPr>
            <w:tcW w:w="2177" w:type="pct"/>
            <w:tcBorders>
              <w:top w:val="outset" w:sz="6" w:space="0" w:color="auto"/>
              <w:left w:val="outset" w:sz="6" w:space="0" w:color="auto"/>
              <w:bottom w:val="outset" w:sz="6" w:space="0" w:color="auto"/>
              <w:right w:val="outset" w:sz="6" w:space="0" w:color="auto"/>
            </w:tcBorders>
            <w:shd w:val="clear" w:color="auto" w:fill="FFFFFF"/>
            <w:hideMark/>
          </w:tcPr>
          <w:p w14:paraId="7310C5DB" w14:textId="77777777" w:rsidR="00CD62EC" w:rsidRDefault="00CD62EC">
            <w:pPr>
              <w:pStyle w:val="Brdtekst"/>
              <w:ind w:left="214"/>
              <w:rPr>
                <w:lang w:val="en-GB"/>
              </w:rPr>
            </w:pPr>
            <w:r>
              <w:rPr>
                <w:lang w:val="en-GB"/>
              </w:rPr>
              <w:t>**Perforation af næseskillevæggen</w:t>
            </w:r>
          </w:p>
        </w:tc>
        <w:tc>
          <w:tcPr>
            <w:tcW w:w="1607" w:type="pct"/>
            <w:tcBorders>
              <w:top w:val="outset" w:sz="6" w:space="0" w:color="auto"/>
              <w:left w:val="outset" w:sz="6" w:space="0" w:color="auto"/>
              <w:bottom w:val="outset" w:sz="6" w:space="0" w:color="auto"/>
              <w:right w:val="outset" w:sz="6" w:space="0" w:color="auto"/>
            </w:tcBorders>
            <w:shd w:val="clear" w:color="auto" w:fill="FFFFFF"/>
            <w:hideMark/>
          </w:tcPr>
          <w:p w14:paraId="65836349" w14:textId="77777777" w:rsidR="00CD62EC" w:rsidRDefault="00CD62EC">
            <w:pPr>
              <w:pStyle w:val="Brdtekst"/>
              <w:ind w:left="214"/>
              <w:rPr>
                <w:lang w:val="en-GB"/>
              </w:rPr>
            </w:pPr>
            <w:r>
              <w:rPr>
                <w:lang w:val="en-GB"/>
              </w:rPr>
              <w:t>Meget sjælden (&lt; 1/10.000)</w:t>
            </w:r>
          </w:p>
        </w:tc>
      </w:tr>
      <w:tr w:rsidR="00CD62EC" w14:paraId="5CA9EE8B" w14:textId="77777777" w:rsidTr="00CD62EC">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56B3F5" w14:textId="77777777" w:rsidR="00CD62EC" w:rsidRDefault="00CD62EC">
            <w:pPr>
              <w:rPr>
                <w:sz w:val="20"/>
                <w:lang w:val="en-GB"/>
              </w:rPr>
            </w:pPr>
          </w:p>
        </w:tc>
        <w:tc>
          <w:tcPr>
            <w:tcW w:w="2177" w:type="pct"/>
            <w:tcBorders>
              <w:top w:val="outset" w:sz="6" w:space="0" w:color="auto"/>
              <w:left w:val="outset" w:sz="6" w:space="0" w:color="auto"/>
              <w:bottom w:val="outset" w:sz="6" w:space="0" w:color="auto"/>
              <w:right w:val="outset" w:sz="6" w:space="0" w:color="auto"/>
            </w:tcBorders>
            <w:shd w:val="clear" w:color="auto" w:fill="FFFFFF"/>
            <w:hideMark/>
          </w:tcPr>
          <w:p w14:paraId="754286C2" w14:textId="77777777" w:rsidR="00CD62EC" w:rsidRDefault="00CD62EC">
            <w:pPr>
              <w:pStyle w:val="Brdtekst"/>
              <w:ind w:left="214"/>
              <w:rPr>
                <w:lang w:val="en-GB"/>
              </w:rPr>
            </w:pPr>
            <w:r>
              <w:rPr>
                <w:lang w:val="en-GB"/>
              </w:rPr>
              <w:t>Sår i næsen</w:t>
            </w:r>
          </w:p>
        </w:tc>
        <w:tc>
          <w:tcPr>
            <w:tcW w:w="1607" w:type="pct"/>
            <w:tcBorders>
              <w:top w:val="outset" w:sz="6" w:space="0" w:color="auto"/>
              <w:left w:val="outset" w:sz="6" w:space="0" w:color="auto"/>
              <w:bottom w:val="outset" w:sz="6" w:space="0" w:color="auto"/>
              <w:right w:val="outset" w:sz="6" w:space="0" w:color="auto"/>
            </w:tcBorders>
            <w:shd w:val="clear" w:color="auto" w:fill="FFFFFF"/>
            <w:hideMark/>
          </w:tcPr>
          <w:p w14:paraId="1438A8A1" w14:textId="77777777" w:rsidR="00CD62EC" w:rsidRDefault="00CD62EC">
            <w:pPr>
              <w:pStyle w:val="Brdtekst"/>
              <w:ind w:left="214"/>
              <w:rPr>
                <w:lang w:val="en-GB"/>
              </w:rPr>
            </w:pPr>
            <w:r>
              <w:rPr>
                <w:lang w:val="en-GB"/>
              </w:rPr>
              <w:t>Ikke kendt</w:t>
            </w:r>
          </w:p>
        </w:tc>
      </w:tr>
    </w:tbl>
    <w:p w14:paraId="7E314453" w14:textId="77777777" w:rsidR="00CD62EC" w:rsidRPr="00CD62EC" w:rsidRDefault="00CD62EC" w:rsidP="00CD62EC">
      <w:pPr>
        <w:ind w:left="851"/>
        <w:rPr>
          <w:sz w:val="20"/>
        </w:rPr>
      </w:pPr>
    </w:p>
    <w:p w14:paraId="431731B1" w14:textId="77777777" w:rsidR="00CD62EC" w:rsidRPr="00CD62EC" w:rsidRDefault="00CD62EC" w:rsidP="00CD62EC">
      <w:pPr>
        <w:ind w:left="851"/>
        <w:rPr>
          <w:sz w:val="20"/>
        </w:rPr>
      </w:pPr>
      <w:r w:rsidRPr="00CD62EC">
        <w:rPr>
          <w:sz w:val="20"/>
        </w:rPr>
        <w:t>* Som med andre intranasale lægemidler, kan der opstå tørhed og irritation i næse og svælg, samt epitaxis.</w:t>
      </w:r>
    </w:p>
    <w:p w14:paraId="6BDA31C8" w14:textId="77777777" w:rsidR="00CD62EC" w:rsidRPr="00CD62EC" w:rsidRDefault="00CD62EC" w:rsidP="00CD62EC">
      <w:pPr>
        <w:ind w:left="851"/>
        <w:rPr>
          <w:sz w:val="20"/>
        </w:rPr>
      </w:pPr>
      <w:r w:rsidRPr="00CD62EC">
        <w:rPr>
          <w:sz w:val="20"/>
        </w:rPr>
        <w:t>** Der er set tilfælde af perforation af næseskillevæggen efter anvendelse af intranasale kortikosteroider.</w:t>
      </w:r>
    </w:p>
    <w:p w14:paraId="2CB4C7BC" w14:textId="77777777" w:rsidR="00CD62EC" w:rsidRPr="00CD62EC" w:rsidRDefault="00CD62EC" w:rsidP="00CD62EC">
      <w:pPr>
        <w:ind w:left="851"/>
        <w:rPr>
          <w:sz w:val="20"/>
        </w:rPr>
      </w:pPr>
      <w:r w:rsidRPr="00CD62EC">
        <w:rPr>
          <w:sz w:val="20"/>
        </w:rPr>
        <w:t>*** Disse hændelser er blevet identificeret fra spontane indberetninger i forbindelse med langtidsbehandling.</w:t>
      </w:r>
    </w:p>
    <w:p w14:paraId="65B1052D" w14:textId="77777777" w:rsidR="00CD62EC" w:rsidRDefault="00CD62EC" w:rsidP="00CD62EC">
      <w:pPr>
        <w:ind w:left="851"/>
        <w:rPr>
          <w:sz w:val="24"/>
          <w:szCs w:val="24"/>
        </w:rPr>
      </w:pPr>
    </w:p>
    <w:p w14:paraId="15DBA9E1" w14:textId="35E678B2" w:rsidR="00CD62EC" w:rsidRPr="00CD62EC" w:rsidRDefault="00CD62EC" w:rsidP="00CD62EC">
      <w:pPr>
        <w:ind w:left="851"/>
        <w:rPr>
          <w:sz w:val="24"/>
          <w:szCs w:val="24"/>
        </w:rPr>
      </w:pPr>
      <w:r w:rsidRPr="00CD62EC">
        <w:rPr>
          <w:sz w:val="24"/>
          <w:szCs w:val="24"/>
        </w:rPr>
        <w:t>Systemiske virkninger af nasale kortikosteroider kan forekomme, specielt ved høje doser givet i længere perioder.</w:t>
      </w:r>
    </w:p>
    <w:p w14:paraId="2710CDF8" w14:textId="5320783F" w:rsidR="00CD62EC" w:rsidRDefault="00CD62EC">
      <w:pPr>
        <w:rPr>
          <w:sz w:val="24"/>
          <w:szCs w:val="24"/>
        </w:rPr>
      </w:pPr>
      <w:r>
        <w:rPr>
          <w:sz w:val="24"/>
          <w:szCs w:val="24"/>
        </w:rPr>
        <w:br w:type="page"/>
      </w:r>
    </w:p>
    <w:p w14:paraId="1FB1EE1E" w14:textId="77777777" w:rsidR="00CD62EC" w:rsidRPr="00CD62EC" w:rsidRDefault="00CD62EC" w:rsidP="00CD62EC">
      <w:pPr>
        <w:ind w:left="851"/>
        <w:rPr>
          <w:sz w:val="24"/>
          <w:szCs w:val="24"/>
        </w:rPr>
      </w:pPr>
    </w:p>
    <w:p w14:paraId="4ABA6388" w14:textId="77777777" w:rsidR="00CD62EC" w:rsidRPr="00CD62EC" w:rsidRDefault="00CD62EC" w:rsidP="00CD62EC">
      <w:pPr>
        <w:autoSpaceDE w:val="0"/>
        <w:autoSpaceDN w:val="0"/>
        <w:adjustRightInd w:val="0"/>
        <w:ind w:left="851"/>
        <w:rPr>
          <w:sz w:val="24"/>
          <w:szCs w:val="24"/>
          <w:u w:val="single"/>
        </w:rPr>
      </w:pPr>
      <w:r w:rsidRPr="00CD62EC">
        <w:rPr>
          <w:noProof/>
          <w:sz w:val="24"/>
          <w:szCs w:val="24"/>
          <w:u w:val="single"/>
        </w:rPr>
        <w:t>Indberetning af formodede bivirkninger</w:t>
      </w:r>
    </w:p>
    <w:p w14:paraId="6B893A56" w14:textId="77777777" w:rsidR="00CD62EC" w:rsidRPr="00CD62EC" w:rsidRDefault="00CD62EC" w:rsidP="00CD62EC">
      <w:pPr>
        <w:autoSpaceDE w:val="0"/>
        <w:autoSpaceDN w:val="0"/>
        <w:adjustRightInd w:val="0"/>
        <w:ind w:left="851"/>
        <w:rPr>
          <w:noProof/>
          <w:sz w:val="24"/>
          <w:szCs w:val="24"/>
        </w:rPr>
      </w:pPr>
      <w:r w:rsidRPr="00CD62EC">
        <w:rPr>
          <w:noProof/>
          <w:sz w:val="24"/>
          <w:szCs w:val="24"/>
        </w:rPr>
        <w:t>Når lægemidlet er godkendt, er indberetning af formodede bivirkninger vigtig.</w:t>
      </w:r>
      <w:r w:rsidRPr="00CD62EC">
        <w:rPr>
          <w:sz w:val="24"/>
          <w:szCs w:val="24"/>
        </w:rPr>
        <w:t xml:space="preserve"> </w:t>
      </w:r>
      <w:r w:rsidRPr="00CD62EC">
        <w:rPr>
          <w:noProof/>
          <w:sz w:val="24"/>
          <w:szCs w:val="24"/>
        </w:rPr>
        <w:t>Det muliggør løbende overvågning af benefit/risk-forholdet for lægemidlet.</w:t>
      </w:r>
      <w:r w:rsidRPr="00CD62EC">
        <w:rPr>
          <w:sz w:val="24"/>
          <w:szCs w:val="24"/>
        </w:rPr>
        <w:t xml:space="preserve"> </w:t>
      </w:r>
      <w:r w:rsidRPr="00CD62EC">
        <w:rPr>
          <w:noProof/>
          <w:sz w:val="24"/>
          <w:szCs w:val="24"/>
        </w:rPr>
        <w:t xml:space="preserve">Sundhedspersoner anmodes om at indberette alle formodede bivirkninger via: </w:t>
      </w:r>
    </w:p>
    <w:p w14:paraId="0A8FDE98" w14:textId="77777777" w:rsidR="00CD62EC" w:rsidRPr="00CD62EC" w:rsidRDefault="00CD62EC" w:rsidP="00CD62EC">
      <w:pPr>
        <w:autoSpaceDE w:val="0"/>
        <w:autoSpaceDN w:val="0"/>
        <w:adjustRightInd w:val="0"/>
        <w:ind w:left="851"/>
        <w:rPr>
          <w:noProof/>
          <w:sz w:val="24"/>
          <w:szCs w:val="24"/>
        </w:rPr>
      </w:pPr>
    </w:p>
    <w:p w14:paraId="4C5B2FAE" w14:textId="77777777" w:rsidR="00CD62EC" w:rsidRPr="00CD62EC" w:rsidRDefault="00CD62EC" w:rsidP="00CD62EC">
      <w:pPr>
        <w:autoSpaceDE w:val="0"/>
        <w:autoSpaceDN w:val="0"/>
        <w:adjustRightInd w:val="0"/>
        <w:ind w:left="851"/>
        <w:rPr>
          <w:noProof/>
          <w:sz w:val="24"/>
          <w:szCs w:val="24"/>
        </w:rPr>
      </w:pPr>
      <w:r w:rsidRPr="00CD62EC">
        <w:rPr>
          <w:noProof/>
          <w:sz w:val="24"/>
          <w:szCs w:val="24"/>
        </w:rPr>
        <w:t>Lægemiddelstyrelsen</w:t>
      </w:r>
    </w:p>
    <w:p w14:paraId="61410478" w14:textId="77777777" w:rsidR="00CD62EC" w:rsidRPr="00CD62EC" w:rsidRDefault="00CD62EC" w:rsidP="00CD62EC">
      <w:pPr>
        <w:autoSpaceDE w:val="0"/>
        <w:autoSpaceDN w:val="0"/>
        <w:adjustRightInd w:val="0"/>
        <w:ind w:left="851"/>
        <w:rPr>
          <w:noProof/>
          <w:sz w:val="24"/>
          <w:szCs w:val="24"/>
        </w:rPr>
      </w:pPr>
      <w:r w:rsidRPr="00CD62EC">
        <w:rPr>
          <w:noProof/>
          <w:sz w:val="24"/>
          <w:szCs w:val="24"/>
        </w:rPr>
        <w:t>Axel Heides Gade 1</w:t>
      </w:r>
    </w:p>
    <w:p w14:paraId="16555CC4" w14:textId="77777777" w:rsidR="00CD62EC" w:rsidRPr="00CD62EC" w:rsidRDefault="00CD62EC" w:rsidP="00CD62EC">
      <w:pPr>
        <w:autoSpaceDE w:val="0"/>
        <w:autoSpaceDN w:val="0"/>
        <w:adjustRightInd w:val="0"/>
        <w:ind w:left="851"/>
        <w:rPr>
          <w:noProof/>
          <w:sz w:val="24"/>
          <w:szCs w:val="24"/>
        </w:rPr>
      </w:pPr>
      <w:r w:rsidRPr="00CD62EC">
        <w:rPr>
          <w:noProof/>
          <w:sz w:val="24"/>
          <w:szCs w:val="24"/>
        </w:rPr>
        <w:t xml:space="preserve">DK-2300 København S </w:t>
      </w:r>
    </w:p>
    <w:p w14:paraId="63D497A1" w14:textId="5177C24B" w:rsidR="00CD62EC" w:rsidRPr="00CD62EC" w:rsidRDefault="00CD62EC" w:rsidP="00CD62EC">
      <w:pPr>
        <w:autoSpaceDE w:val="0"/>
        <w:autoSpaceDN w:val="0"/>
        <w:adjustRightInd w:val="0"/>
        <w:ind w:left="851"/>
        <w:rPr>
          <w:noProof/>
          <w:sz w:val="24"/>
          <w:szCs w:val="24"/>
        </w:rPr>
      </w:pPr>
      <w:r w:rsidRPr="00CD62EC">
        <w:rPr>
          <w:noProof/>
          <w:sz w:val="24"/>
          <w:szCs w:val="24"/>
        </w:rPr>
        <w:t>Websted: www.meldenbivirkning.dk</w:t>
      </w:r>
    </w:p>
    <w:p w14:paraId="144E16AF" w14:textId="77777777" w:rsidR="009260DE" w:rsidRPr="00CD62EC" w:rsidRDefault="009260DE" w:rsidP="00CD62EC">
      <w:pPr>
        <w:tabs>
          <w:tab w:val="left" w:pos="851"/>
        </w:tabs>
        <w:ind w:left="851"/>
        <w:rPr>
          <w:sz w:val="24"/>
          <w:szCs w:val="24"/>
        </w:rPr>
      </w:pPr>
    </w:p>
    <w:p w14:paraId="12C8F398"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679295B4" w14:textId="77777777" w:rsidR="00AE635F" w:rsidRPr="00AE635F" w:rsidRDefault="00AE635F" w:rsidP="00AE635F">
      <w:pPr>
        <w:tabs>
          <w:tab w:val="left" w:pos="851"/>
        </w:tabs>
        <w:ind w:left="851"/>
        <w:rPr>
          <w:sz w:val="24"/>
          <w:szCs w:val="24"/>
        </w:rPr>
      </w:pPr>
      <w:r w:rsidRPr="00AE635F">
        <w:rPr>
          <w:sz w:val="24"/>
          <w:szCs w:val="24"/>
        </w:rPr>
        <w:t xml:space="preserve">Der er ingen tilgængelige data fra patienter om virkningerne af akut eller kronisk overdosering med Fluttasino. </w:t>
      </w:r>
    </w:p>
    <w:p w14:paraId="7D860409" w14:textId="77777777" w:rsidR="00AE635F" w:rsidRPr="00AE635F" w:rsidRDefault="00AE635F" w:rsidP="00AE635F">
      <w:pPr>
        <w:tabs>
          <w:tab w:val="left" w:pos="851"/>
        </w:tabs>
        <w:ind w:left="851"/>
        <w:rPr>
          <w:sz w:val="24"/>
          <w:szCs w:val="24"/>
        </w:rPr>
      </w:pPr>
    </w:p>
    <w:p w14:paraId="1955D1D2" w14:textId="77777777" w:rsidR="00AE635F" w:rsidRPr="00AE635F" w:rsidRDefault="00AE635F" w:rsidP="00AE635F">
      <w:pPr>
        <w:tabs>
          <w:tab w:val="left" w:pos="851"/>
        </w:tabs>
        <w:ind w:left="851"/>
        <w:rPr>
          <w:sz w:val="24"/>
          <w:szCs w:val="24"/>
        </w:rPr>
      </w:pPr>
      <w:r w:rsidRPr="00AE635F">
        <w:rPr>
          <w:sz w:val="24"/>
          <w:szCs w:val="24"/>
        </w:rPr>
        <w:t>Hos raske personer gav 2 mg fluticasonpropionat intranasalt 2 gange daglig i 7 dage ingen effekt på HPA-aksen. Administration af doser, der er højere end anbefalet i længere perioder, kan forårsage midlertidig suppression af binyrebarkfunktionen. Hos disse patienter skal behandling med fluticasonpropionat fortsættes ved en dosering, der er tilstrækkelig til at kontrollere symptomerne. Binyrebarkfunktionen genoprettes i løbet af få dage, hvilket kan verificeres ved at måle plasmakortisol.</w:t>
      </w:r>
    </w:p>
    <w:p w14:paraId="262BDA9E" w14:textId="77777777" w:rsidR="009260DE" w:rsidRPr="00C84483" w:rsidRDefault="009260DE" w:rsidP="009260DE">
      <w:pPr>
        <w:tabs>
          <w:tab w:val="left" w:pos="851"/>
        </w:tabs>
        <w:ind w:left="851"/>
        <w:rPr>
          <w:sz w:val="24"/>
          <w:szCs w:val="24"/>
        </w:rPr>
      </w:pPr>
    </w:p>
    <w:p w14:paraId="7B6EB1F7"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60AE5760" w14:textId="7344AE8A" w:rsidR="009260DE" w:rsidRPr="00C84483" w:rsidRDefault="008B171F" w:rsidP="009260DE">
      <w:pPr>
        <w:tabs>
          <w:tab w:val="left" w:pos="851"/>
        </w:tabs>
        <w:ind w:left="851"/>
        <w:rPr>
          <w:sz w:val="24"/>
          <w:szCs w:val="24"/>
        </w:rPr>
      </w:pPr>
      <w:r>
        <w:rPr>
          <w:sz w:val="24"/>
          <w:szCs w:val="24"/>
        </w:rPr>
        <w:t>B</w:t>
      </w:r>
    </w:p>
    <w:p w14:paraId="1B5AE774" w14:textId="77777777" w:rsidR="009260DE" w:rsidRPr="00C84483" w:rsidRDefault="009260DE" w:rsidP="009260DE">
      <w:pPr>
        <w:tabs>
          <w:tab w:val="left" w:pos="851"/>
        </w:tabs>
        <w:ind w:left="851"/>
        <w:rPr>
          <w:sz w:val="24"/>
          <w:szCs w:val="24"/>
        </w:rPr>
      </w:pPr>
    </w:p>
    <w:p w14:paraId="096DFDFF" w14:textId="77777777" w:rsidR="009260DE" w:rsidRPr="00C84483" w:rsidRDefault="009260DE" w:rsidP="009260DE">
      <w:pPr>
        <w:tabs>
          <w:tab w:val="left" w:pos="851"/>
        </w:tabs>
        <w:ind w:left="851"/>
        <w:rPr>
          <w:sz w:val="24"/>
          <w:szCs w:val="24"/>
        </w:rPr>
      </w:pPr>
    </w:p>
    <w:p w14:paraId="5BB5E398"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6BE934C1" w14:textId="77777777" w:rsidR="009260DE" w:rsidRPr="00C84483" w:rsidRDefault="009260DE" w:rsidP="009260DE">
      <w:pPr>
        <w:tabs>
          <w:tab w:val="left" w:pos="851"/>
        </w:tabs>
        <w:ind w:left="851"/>
        <w:rPr>
          <w:sz w:val="24"/>
          <w:szCs w:val="24"/>
        </w:rPr>
      </w:pPr>
    </w:p>
    <w:p w14:paraId="6C99B796"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761615D2" w14:textId="77777777" w:rsidR="00176DE7" w:rsidRPr="00176DE7" w:rsidRDefault="00176DE7" w:rsidP="00176DE7">
      <w:pPr>
        <w:tabs>
          <w:tab w:val="left" w:pos="851"/>
        </w:tabs>
        <w:ind w:left="851"/>
        <w:rPr>
          <w:sz w:val="24"/>
          <w:szCs w:val="24"/>
        </w:rPr>
      </w:pPr>
      <w:r w:rsidRPr="00176DE7">
        <w:rPr>
          <w:sz w:val="24"/>
          <w:szCs w:val="24"/>
        </w:rPr>
        <w:t>Farmakoterapeutisk klassifikation: Nasalpræparater, kortikosteroider, ATC-kode: R01AD08.</w:t>
      </w:r>
    </w:p>
    <w:p w14:paraId="485011A0" w14:textId="77777777" w:rsidR="00176DE7" w:rsidRPr="00176DE7" w:rsidRDefault="00176DE7" w:rsidP="00176DE7">
      <w:pPr>
        <w:tabs>
          <w:tab w:val="left" w:pos="851"/>
        </w:tabs>
        <w:ind w:left="851"/>
        <w:rPr>
          <w:sz w:val="24"/>
          <w:szCs w:val="24"/>
        </w:rPr>
      </w:pPr>
    </w:p>
    <w:p w14:paraId="42C0F62D" w14:textId="77777777" w:rsidR="00176DE7" w:rsidRPr="00176DE7" w:rsidRDefault="00176DE7" w:rsidP="00176DE7">
      <w:pPr>
        <w:tabs>
          <w:tab w:val="left" w:pos="851"/>
        </w:tabs>
        <w:ind w:left="851"/>
        <w:rPr>
          <w:sz w:val="24"/>
          <w:szCs w:val="24"/>
        </w:rPr>
      </w:pPr>
      <w:r w:rsidRPr="00176DE7">
        <w:rPr>
          <w:sz w:val="24"/>
          <w:szCs w:val="24"/>
        </w:rPr>
        <w:t xml:space="preserve">Fluttasino administreret topikalt på næseslimhinden har en potent antiinflammatorisk virkning. </w:t>
      </w:r>
    </w:p>
    <w:p w14:paraId="7FB0E806" w14:textId="77777777" w:rsidR="00176DE7" w:rsidRPr="00176DE7" w:rsidRDefault="00176DE7" w:rsidP="00176DE7">
      <w:pPr>
        <w:tabs>
          <w:tab w:val="left" w:pos="851"/>
        </w:tabs>
        <w:ind w:left="851"/>
        <w:rPr>
          <w:sz w:val="24"/>
          <w:szCs w:val="24"/>
        </w:rPr>
      </w:pPr>
    </w:p>
    <w:p w14:paraId="40C2198D" w14:textId="77777777" w:rsidR="00176DE7" w:rsidRPr="00176DE7" w:rsidRDefault="00176DE7" w:rsidP="00176DE7">
      <w:pPr>
        <w:tabs>
          <w:tab w:val="left" w:pos="851"/>
        </w:tabs>
        <w:ind w:left="851"/>
        <w:rPr>
          <w:sz w:val="24"/>
          <w:szCs w:val="24"/>
        </w:rPr>
      </w:pPr>
      <w:r w:rsidRPr="00176DE7">
        <w:rPr>
          <w:sz w:val="24"/>
          <w:szCs w:val="24"/>
        </w:rPr>
        <w:t>Fluttasino forårsager kun lidt eller ingen HPA-suppression efter intranasal administration.</w:t>
      </w:r>
    </w:p>
    <w:p w14:paraId="04124981" w14:textId="77777777" w:rsidR="009260DE" w:rsidRPr="00C84483" w:rsidRDefault="009260DE" w:rsidP="009260DE">
      <w:pPr>
        <w:tabs>
          <w:tab w:val="left" w:pos="851"/>
        </w:tabs>
        <w:ind w:left="851"/>
        <w:rPr>
          <w:sz w:val="24"/>
          <w:szCs w:val="24"/>
        </w:rPr>
      </w:pPr>
    </w:p>
    <w:p w14:paraId="4C9A7C08"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1CA9669D" w14:textId="77777777" w:rsidR="00176DE7" w:rsidRDefault="00176DE7" w:rsidP="00176DE7">
      <w:pPr>
        <w:tabs>
          <w:tab w:val="left" w:pos="851"/>
        </w:tabs>
        <w:ind w:left="851"/>
        <w:rPr>
          <w:sz w:val="24"/>
          <w:szCs w:val="24"/>
          <w:u w:val="single"/>
        </w:rPr>
      </w:pPr>
    </w:p>
    <w:p w14:paraId="1846F966" w14:textId="07673002" w:rsidR="00176DE7" w:rsidRPr="00176DE7" w:rsidRDefault="00176DE7" w:rsidP="00176DE7">
      <w:pPr>
        <w:tabs>
          <w:tab w:val="left" w:pos="851"/>
        </w:tabs>
        <w:ind w:left="851"/>
        <w:rPr>
          <w:sz w:val="24"/>
          <w:szCs w:val="24"/>
          <w:u w:val="single"/>
        </w:rPr>
      </w:pPr>
      <w:r w:rsidRPr="00176DE7">
        <w:rPr>
          <w:sz w:val="24"/>
          <w:szCs w:val="24"/>
          <w:u w:val="single"/>
        </w:rPr>
        <w:t>Absorption</w:t>
      </w:r>
    </w:p>
    <w:p w14:paraId="75DA8BE7" w14:textId="77777777" w:rsidR="00176DE7" w:rsidRPr="00176DE7" w:rsidRDefault="00176DE7" w:rsidP="00176DE7">
      <w:pPr>
        <w:tabs>
          <w:tab w:val="left" w:pos="851"/>
        </w:tabs>
        <w:ind w:left="851"/>
        <w:rPr>
          <w:sz w:val="24"/>
          <w:szCs w:val="24"/>
        </w:rPr>
      </w:pPr>
      <w:r w:rsidRPr="00176DE7">
        <w:rPr>
          <w:sz w:val="24"/>
          <w:szCs w:val="24"/>
        </w:rPr>
        <w:t>Efter intranasal administration af fluticasonpropionat i anbefalede doser er plasmakoncentrationen lav. Den systemiske biotilgængelighed for næsedråberne er særdeles lav (i gennemsnit 0,06 %).</w:t>
      </w:r>
    </w:p>
    <w:p w14:paraId="5C36128E" w14:textId="77777777" w:rsidR="00176DE7" w:rsidRPr="00176DE7" w:rsidRDefault="00176DE7" w:rsidP="00176DE7">
      <w:pPr>
        <w:tabs>
          <w:tab w:val="left" w:pos="851"/>
        </w:tabs>
        <w:ind w:left="851"/>
        <w:rPr>
          <w:sz w:val="24"/>
          <w:szCs w:val="24"/>
        </w:rPr>
      </w:pPr>
      <w:r w:rsidRPr="00176DE7">
        <w:rPr>
          <w:sz w:val="24"/>
          <w:szCs w:val="24"/>
        </w:rPr>
        <w:t>Efter intravenøs administration er fluticasonpropionats farmakokinetik ligefrem proportional med dosis, og den kan beskrives med 3 eksponentielle faktorer.</w:t>
      </w:r>
    </w:p>
    <w:p w14:paraId="2172B252" w14:textId="77777777" w:rsidR="00176DE7" w:rsidRPr="00176DE7" w:rsidRDefault="00176DE7" w:rsidP="00176DE7">
      <w:pPr>
        <w:tabs>
          <w:tab w:val="left" w:pos="851"/>
        </w:tabs>
        <w:ind w:left="851"/>
        <w:rPr>
          <w:sz w:val="24"/>
          <w:szCs w:val="24"/>
        </w:rPr>
      </w:pPr>
      <w:r w:rsidRPr="00176DE7">
        <w:rPr>
          <w:sz w:val="24"/>
          <w:szCs w:val="24"/>
        </w:rPr>
        <w:t>Absolut oral biotilgængelighed er ubetydelig (&lt; 1 %) på grund af dels ufuldstændig absorption fra mave-tarmkanalen, dels den intensive førstepassage-metabolisme.</w:t>
      </w:r>
    </w:p>
    <w:p w14:paraId="482FBA5F" w14:textId="77777777" w:rsidR="00176DE7" w:rsidRPr="00176DE7" w:rsidRDefault="00176DE7" w:rsidP="00176DE7">
      <w:pPr>
        <w:tabs>
          <w:tab w:val="left" w:pos="851"/>
        </w:tabs>
        <w:ind w:left="851"/>
        <w:rPr>
          <w:sz w:val="24"/>
          <w:szCs w:val="24"/>
          <w:u w:val="single"/>
        </w:rPr>
      </w:pPr>
    </w:p>
    <w:p w14:paraId="6A0DAC65" w14:textId="77777777" w:rsidR="00176DE7" w:rsidRPr="00176DE7" w:rsidRDefault="00176DE7" w:rsidP="00176DE7">
      <w:pPr>
        <w:tabs>
          <w:tab w:val="left" w:pos="851"/>
        </w:tabs>
        <w:ind w:left="851"/>
        <w:rPr>
          <w:sz w:val="24"/>
          <w:szCs w:val="24"/>
          <w:u w:val="single"/>
        </w:rPr>
      </w:pPr>
      <w:r w:rsidRPr="00176DE7">
        <w:rPr>
          <w:sz w:val="24"/>
          <w:szCs w:val="24"/>
          <w:u w:val="single"/>
        </w:rPr>
        <w:t>Fordeling</w:t>
      </w:r>
    </w:p>
    <w:p w14:paraId="299B8F63" w14:textId="77777777" w:rsidR="00176DE7" w:rsidRPr="00176DE7" w:rsidRDefault="00176DE7" w:rsidP="00176DE7">
      <w:pPr>
        <w:tabs>
          <w:tab w:val="left" w:pos="851"/>
        </w:tabs>
        <w:ind w:left="851"/>
        <w:rPr>
          <w:sz w:val="24"/>
          <w:szCs w:val="24"/>
        </w:rPr>
      </w:pPr>
      <w:r w:rsidRPr="00176DE7">
        <w:rPr>
          <w:sz w:val="24"/>
          <w:szCs w:val="24"/>
        </w:rPr>
        <w:t>Fluticasonpropionat fordeles over alt i kroppen (fordelingsvolumen ca. 300 l). Plasmapro-teinbindingen er 91 %.</w:t>
      </w:r>
    </w:p>
    <w:p w14:paraId="4FD883A2" w14:textId="77777777" w:rsidR="00176DE7" w:rsidRPr="00176DE7" w:rsidRDefault="00176DE7" w:rsidP="00176DE7">
      <w:pPr>
        <w:tabs>
          <w:tab w:val="left" w:pos="851"/>
        </w:tabs>
        <w:ind w:left="851"/>
        <w:rPr>
          <w:sz w:val="24"/>
          <w:szCs w:val="24"/>
          <w:u w:val="single"/>
        </w:rPr>
      </w:pPr>
    </w:p>
    <w:p w14:paraId="403EC04F" w14:textId="77777777" w:rsidR="00176DE7" w:rsidRPr="00176DE7" w:rsidRDefault="00176DE7" w:rsidP="00176DE7">
      <w:pPr>
        <w:tabs>
          <w:tab w:val="left" w:pos="851"/>
        </w:tabs>
        <w:ind w:left="851"/>
        <w:rPr>
          <w:sz w:val="24"/>
          <w:szCs w:val="24"/>
          <w:u w:val="single"/>
        </w:rPr>
      </w:pPr>
      <w:r w:rsidRPr="00176DE7">
        <w:rPr>
          <w:sz w:val="24"/>
          <w:szCs w:val="24"/>
          <w:u w:val="single"/>
        </w:rPr>
        <w:t>Biotransformation/elimination</w:t>
      </w:r>
    </w:p>
    <w:p w14:paraId="4264641A" w14:textId="77777777" w:rsidR="00176DE7" w:rsidRPr="00176DE7" w:rsidRDefault="00176DE7" w:rsidP="00176DE7">
      <w:pPr>
        <w:tabs>
          <w:tab w:val="left" w:pos="851"/>
        </w:tabs>
        <w:ind w:left="851"/>
        <w:rPr>
          <w:sz w:val="24"/>
          <w:szCs w:val="24"/>
        </w:rPr>
      </w:pPr>
      <w:r w:rsidRPr="00176DE7">
        <w:rPr>
          <w:sz w:val="24"/>
          <w:szCs w:val="24"/>
        </w:rPr>
        <w:t>Clearance er meget høj (ca. 1,1 l/minut) efter intravenøs administration, hvilket antyder udbredt udskillelse via leveren. Fluticasonpropionat metaboliseres fortrinsvis af enzymet CYP3A4 til et inaktivt carboxylderivat.</w:t>
      </w:r>
    </w:p>
    <w:p w14:paraId="20610546" w14:textId="77777777" w:rsidR="00176DE7" w:rsidRPr="00176DE7" w:rsidRDefault="00176DE7" w:rsidP="00176DE7">
      <w:pPr>
        <w:tabs>
          <w:tab w:val="left" w:pos="851"/>
        </w:tabs>
        <w:ind w:left="851"/>
        <w:rPr>
          <w:sz w:val="24"/>
          <w:szCs w:val="24"/>
        </w:rPr>
      </w:pPr>
      <w:r w:rsidRPr="00176DE7">
        <w:rPr>
          <w:sz w:val="24"/>
          <w:szCs w:val="24"/>
        </w:rPr>
        <w:t>Den maksimale plasmakoncentration reduceres med ca. 98 % i løbet af 3-4 timer, og der er kun en lav plasmakoncentration i den terminale halveringstid på ca. 8 timer.</w:t>
      </w:r>
    </w:p>
    <w:p w14:paraId="45142160" w14:textId="77777777" w:rsidR="00176DE7" w:rsidRPr="00176DE7" w:rsidRDefault="00176DE7" w:rsidP="00176DE7">
      <w:pPr>
        <w:tabs>
          <w:tab w:val="left" w:pos="851"/>
        </w:tabs>
        <w:ind w:left="851"/>
        <w:rPr>
          <w:sz w:val="24"/>
          <w:szCs w:val="24"/>
        </w:rPr>
      </w:pPr>
      <w:r w:rsidRPr="00176DE7">
        <w:rPr>
          <w:sz w:val="24"/>
          <w:szCs w:val="24"/>
        </w:rPr>
        <w:t>Efter oral administration udskilles 87-100 % af dosis i fæces uomdannet eller som metabolitter.</w:t>
      </w:r>
    </w:p>
    <w:p w14:paraId="3AE63471" w14:textId="77777777" w:rsidR="009260DE" w:rsidRPr="00C84483" w:rsidRDefault="009260DE" w:rsidP="009260DE">
      <w:pPr>
        <w:tabs>
          <w:tab w:val="left" w:pos="851"/>
        </w:tabs>
        <w:ind w:left="851"/>
        <w:rPr>
          <w:sz w:val="24"/>
          <w:szCs w:val="24"/>
        </w:rPr>
      </w:pPr>
    </w:p>
    <w:p w14:paraId="2C769776"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4B51AEEE" w14:textId="77777777" w:rsidR="00176DE7" w:rsidRPr="00176DE7" w:rsidRDefault="00176DE7" w:rsidP="00176DE7">
      <w:pPr>
        <w:tabs>
          <w:tab w:val="left" w:pos="851"/>
        </w:tabs>
        <w:ind w:left="851"/>
        <w:rPr>
          <w:sz w:val="24"/>
          <w:szCs w:val="24"/>
        </w:rPr>
      </w:pPr>
      <w:r w:rsidRPr="00176DE7">
        <w:rPr>
          <w:sz w:val="24"/>
          <w:szCs w:val="24"/>
        </w:rPr>
        <w:t>Toksikologi- og reproduktionsstudier samt teratogene studier har kun vist klasseeffekter, der er typiske for potente kortikosteroider i højere doser end de anbefalede. Fluticasonpropionat er uden mutagen aktivitet in vitro såvel som in vivo og udviser intet carcinogent potentiale i gnavere. Det virker hverken irriterende eller sensibiliserende hos dyr.</w:t>
      </w:r>
    </w:p>
    <w:p w14:paraId="1C18532A" w14:textId="77777777" w:rsidR="009260DE" w:rsidRPr="00C84483" w:rsidRDefault="009260DE" w:rsidP="009260DE">
      <w:pPr>
        <w:tabs>
          <w:tab w:val="left" w:pos="851"/>
        </w:tabs>
        <w:ind w:left="851"/>
        <w:rPr>
          <w:sz w:val="24"/>
          <w:szCs w:val="24"/>
        </w:rPr>
      </w:pPr>
    </w:p>
    <w:p w14:paraId="6C3B220F" w14:textId="77777777" w:rsidR="009260DE" w:rsidRPr="00C84483" w:rsidRDefault="009260DE" w:rsidP="009260DE">
      <w:pPr>
        <w:tabs>
          <w:tab w:val="left" w:pos="851"/>
        </w:tabs>
        <w:ind w:left="851"/>
        <w:rPr>
          <w:sz w:val="24"/>
          <w:szCs w:val="24"/>
        </w:rPr>
      </w:pPr>
    </w:p>
    <w:p w14:paraId="3396954F"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32EAB4EB" w14:textId="77777777" w:rsidR="009260DE" w:rsidRPr="00BA09F1" w:rsidRDefault="009260DE" w:rsidP="009260DE">
      <w:pPr>
        <w:tabs>
          <w:tab w:val="left" w:pos="851"/>
        </w:tabs>
        <w:ind w:left="851"/>
        <w:rPr>
          <w:sz w:val="24"/>
          <w:szCs w:val="24"/>
        </w:rPr>
      </w:pPr>
    </w:p>
    <w:p w14:paraId="712B5E34"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6AE94256" w14:textId="77777777" w:rsidR="00176DE7" w:rsidRPr="00176DE7" w:rsidRDefault="00176DE7" w:rsidP="00176DE7">
      <w:pPr>
        <w:tabs>
          <w:tab w:val="left" w:pos="851"/>
        </w:tabs>
        <w:ind w:left="851"/>
        <w:rPr>
          <w:sz w:val="24"/>
          <w:szCs w:val="24"/>
        </w:rPr>
      </w:pPr>
      <w:r w:rsidRPr="00176DE7">
        <w:rPr>
          <w:sz w:val="24"/>
          <w:szCs w:val="24"/>
        </w:rPr>
        <w:t>Polysorbat 20</w:t>
      </w:r>
    </w:p>
    <w:p w14:paraId="11A2CE76" w14:textId="77777777" w:rsidR="00176DE7" w:rsidRPr="00176DE7" w:rsidRDefault="00176DE7" w:rsidP="00176DE7">
      <w:pPr>
        <w:tabs>
          <w:tab w:val="left" w:pos="851"/>
        </w:tabs>
        <w:ind w:left="851"/>
        <w:rPr>
          <w:sz w:val="24"/>
          <w:szCs w:val="24"/>
        </w:rPr>
      </w:pPr>
      <w:r w:rsidRPr="00176DE7">
        <w:rPr>
          <w:sz w:val="24"/>
          <w:szCs w:val="24"/>
        </w:rPr>
        <w:t>Sorbitanlaurat</w:t>
      </w:r>
    </w:p>
    <w:p w14:paraId="2DD74A07" w14:textId="77777777" w:rsidR="00176DE7" w:rsidRPr="00176DE7" w:rsidRDefault="00176DE7" w:rsidP="00176DE7">
      <w:pPr>
        <w:tabs>
          <w:tab w:val="left" w:pos="851"/>
        </w:tabs>
        <w:ind w:left="851"/>
        <w:rPr>
          <w:sz w:val="24"/>
          <w:szCs w:val="24"/>
        </w:rPr>
      </w:pPr>
      <w:r w:rsidRPr="00176DE7">
        <w:rPr>
          <w:sz w:val="24"/>
          <w:szCs w:val="24"/>
        </w:rPr>
        <w:t>Natriumdihydrogenphosphatdihydrat</w:t>
      </w:r>
    </w:p>
    <w:p w14:paraId="373FBB1F" w14:textId="77777777" w:rsidR="00176DE7" w:rsidRPr="00176DE7" w:rsidRDefault="00176DE7" w:rsidP="00176DE7">
      <w:pPr>
        <w:tabs>
          <w:tab w:val="left" w:pos="851"/>
        </w:tabs>
        <w:ind w:left="851"/>
        <w:rPr>
          <w:sz w:val="24"/>
          <w:szCs w:val="24"/>
        </w:rPr>
      </w:pPr>
      <w:r w:rsidRPr="00176DE7">
        <w:rPr>
          <w:sz w:val="24"/>
          <w:szCs w:val="24"/>
        </w:rPr>
        <w:t>Dinatriumphosphat, vandfri</w:t>
      </w:r>
    </w:p>
    <w:p w14:paraId="22FA602B" w14:textId="77777777" w:rsidR="00176DE7" w:rsidRPr="00176DE7" w:rsidRDefault="00176DE7" w:rsidP="00176DE7">
      <w:pPr>
        <w:tabs>
          <w:tab w:val="left" w:pos="851"/>
        </w:tabs>
        <w:ind w:left="851"/>
        <w:rPr>
          <w:sz w:val="24"/>
          <w:szCs w:val="24"/>
        </w:rPr>
      </w:pPr>
      <w:r w:rsidRPr="00176DE7">
        <w:rPr>
          <w:sz w:val="24"/>
          <w:szCs w:val="24"/>
        </w:rPr>
        <w:t>Natriumchlorid</w:t>
      </w:r>
    </w:p>
    <w:p w14:paraId="7A48052B" w14:textId="77777777" w:rsidR="00176DE7" w:rsidRPr="00176DE7" w:rsidRDefault="00176DE7" w:rsidP="00176DE7">
      <w:pPr>
        <w:tabs>
          <w:tab w:val="left" w:pos="851"/>
        </w:tabs>
        <w:ind w:left="851"/>
        <w:rPr>
          <w:sz w:val="24"/>
          <w:szCs w:val="24"/>
        </w:rPr>
      </w:pPr>
      <w:r w:rsidRPr="00176DE7">
        <w:rPr>
          <w:sz w:val="24"/>
          <w:szCs w:val="24"/>
        </w:rPr>
        <w:t>Natriumhydroxid (til pH-justering)</w:t>
      </w:r>
    </w:p>
    <w:p w14:paraId="37FB41A0" w14:textId="77777777" w:rsidR="00176DE7" w:rsidRPr="00176DE7" w:rsidRDefault="00176DE7" w:rsidP="00176DE7">
      <w:pPr>
        <w:tabs>
          <w:tab w:val="left" w:pos="851"/>
        </w:tabs>
        <w:ind w:left="851"/>
        <w:rPr>
          <w:sz w:val="24"/>
          <w:szCs w:val="24"/>
        </w:rPr>
      </w:pPr>
      <w:r w:rsidRPr="00176DE7">
        <w:rPr>
          <w:sz w:val="24"/>
          <w:szCs w:val="24"/>
        </w:rPr>
        <w:t xml:space="preserve">Saltsyre (til pH-justering) </w:t>
      </w:r>
    </w:p>
    <w:p w14:paraId="3D116C78" w14:textId="77777777" w:rsidR="00176DE7" w:rsidRPr="00176DE7" w:rsidRDefault="00176DE7" w:rsidP="00176DE7">
      <w:pPr>
        <w:tabs>
          <w:tab w:val="left" w:pos="851"/>
        </w:tabs>
        <w:ind w:left="851"/>
        <w:rPr>
          <w:sz w:val="24"/>
          <w:szCs w:val="24"/>
        </w:rPr>
      </w:pPr>
      <w:r w:rsidRPr="00176DE7">
        <w:rPr>
          <w:sz w:val="24"/>
          <w:szCs w:val="24"/>
        </w:rPr>
        <w:t>Vand til injektionsvæsker</w:t>
      </w:r>
    </w:p>
    <w:p w14:paraId="607B0D29" w14:textId="77777777" w:rsidR="00176DE7" w:rsidRPr="00176DE7" w:rsidRDefault="00176DE7" w:rsidP="00176DE7">
      <w:pPr>
        <w:tabs>
          <w:tab w:val="left" w:pos="851"/>
        </w:tabs>
        <w:ind w:left="851"/>
        <w:rPr>
          <w:sz w:val="24"/>
          <w:szCs w:val="24"/>
        </w:rPr>
      </w:pPr>
    </w:p>
    <w:p w14:paraId="2E996747"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0B2E71B0" w14:textId="77777777" w:rsidR="00176DE7" w:rsidRPr="00176DE7" w:rsidRDefault="00176DE7" w:rsidP="00176DE7">
      <w:pPr>
        <w:tabs>
          <w:tab w:val="left" w:pos="851"/>
        </w:tabs>
        <w:ind w:left="851"/>
        <w:rPr>
          <w:sz w:val="24"/>
          <w:szCs w:val="24"/>
        </w:rPr>
      </w:pPr>
      <w:r w:rsidRPr="00176DE7">
        <w:rPr>
          <w:sz w:val="24"/>
          <w:szCs w:val="24"/>
        </w:rPr>
        <w:t>Ikke relevant.</w:t>
      </w:r>
    </w:p>
    <w:p w14:paraId="1E0933ED" w14:textId="77777777" w:rsidR="009260DE" w:rsidRPr="00C84483" w:rsidRDefault="009260DE" w:rsidP="009260DE">
      <w:pPr>
        <w:tabs>
          <w:tab w:val="left" w:pos="851"/>
        </w:tabs>
        <w:ind w:left="851"/>
        <w:rPr>
          <w:sz w:val="24"/>
          <w:szCs w:val="24"/>
        </w:rPr>
      </w:pPr>
    </w:p>
    <w:p w14:paraId="6219C278"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0F546062" w14:textId="3F2D439C" w:rsidR="00176DE7" w:rsidRDefault="00176DE7" w:rsidP="00176DE7">
      <w:pPr>
        <w:tabs>
          <w:tab w:val="left" w:pos="851"/>
        </w:tabs>
        <w:ind w:left="851"/>
        <w:rPr>
          <w:sz w:val="24"/>
          <w:szCs w:val="24"/>
        </w:rPr>
      </w:pPr>
      <w:r w:rsidRPr="00176DE7">
        <w:rPr>
          <w:sz w:val="24"/>
          <w:szCs w:val="24"/>
        </w:rPr>
        <w:t>3 år.</w:t>
      </w:r>
    </w:p>
    <w:p w14:paraId="46877EA1" w14:textId="77777777" w:rsidR="00176DE7" w:rsidRPr="00176DE7" w:rsidRDefault="00176DE7" w:rsidP="00176DE7">
      <w:pPr>
        <w:tabs>
          <w:tab w:val="left" w:pos="851"/>
        </w:tabs>
        <w:ind w:left="851"/>
        <w:rPr>
          <w:sz w:val="24"/>
          <w:szCs w:val="24"/>
        </w:rPr>
      </w:pPr>
    </w:p>
    <w:p w14:paraId="33024028" w14:textId="77777777" w:rsidR="00176DE7" w:rsidRPr="00176DE7" w:rsidRDefault="00176DE7" w:rsidP="00176DE7">
      <w:pPr>
        <w:tabs>
          <w:tab w:val="left" w:pos="851"/>
        </w:tabs>
        <w:ind w:left="851"/>
        <w:rPr>
          <w:sz w:val="24"/>
          <w:szCs w:val="24"/>
        </w:rPr>
      </w:pPr>
      <w:r w:rsidRPr="00176DE7">
        <w:rPr>
          <w:sz w:val="24"/>
          <w:szCs w:val="24"/>
        </w:rPr>
        <w:t>Efter åbning af folieposen: 4 uger.</w:t>
      </w:r>
    </w:p>
    <w:p w14:paraId="52B8379B" w14:textId="77777777" w:rsidR="009260DE" w:rsidRPr="00C84483" w:rsidRDefault="009260DE" w:rsidP="009260DE">
      <w:pPr>
        <w:tabs>
          <w:tab w:val="left" w:pos="851"/>
        </w:tabs>
        <w:ind w:left="851"/>
        <w:rPr>
          <w:sz w:val="24"/>
          <w:szCs w:val="24"/>
        </w:rPr>
      </w:pPr>
    </w:p>
    <w:p w14:paraId="003A1705"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161CA728" w14:textId="77777777" w:rsidR="00176DE7" w:rsidRPr="00176DE7" w:rsidRDefault="00176DE7" w:rsidP="00176DE7">
      <w:pPr>
        <w:tabs>
          <w:tab w:val="left" w:pos="851"/>
        </w:tabs>
        <w:ind w:left="851"/>
        <w:rPr>
          <w:sz w:val="24"/>
          <w:szCs w:val="24"/>
        </w:rPr>
      </w:pPr>
      <w:r w:rsidRPr="00176DE7">
        <w:rPr>
          <w:sz w:val="24"/>
          <w:szCs w:val="24"/>
        </w:rPr>
        <w:t>Må ikke nedfryses.</w:t>
      </w:r>
    </w:p>
    <w:p w14:paraId="6445773B" w14:textId="77777777" w:rsidR="00176DE7" w:rsidRPr="00176DE7" w:rsidRDefault="00176DE7" w:rsidP="00176DE7">
      <w:pPr>
        <w:tabs>
          <w:tab w:val="left" w:pos="851"/>
        </w:tabs>
        <w:ind w:left="851"/>
        <w:rPr>
          <w:sz w:val="24"/>
          <w:szCs w:val="24"/>
        </w:rPr>
      </w:pPr>
      <w:r w:rsidRPr="00176DE7">
        <w:rPr>
          <w:sz w:val="24"/>
          <w:szCs w:val="24"/>
        </w:rPr>
        <w:t>Opbevar enkeltdosisbeholderne i folieposen for at undgå fordampning.</w:t>
      </w:r>
    </w:p>
    <w:p w14:paraId="26D4EE3C" w14:textId="77777777" w:rsidR="009260DE" w:rsidRPr="00C84483" w:rsidRDefault="009260DE" w:rsidP="009260DE">
      <w:pPr>
        <w:tabs>
          <w:tab w:val="left" w:pos="851"/>
        </w:tabs>
        <w:ind w:left="851"/>
        <w:rPr>
          <w:sz w:val="24"/>
          <w:szCs w:val="24"/>
        </w:rPr>
      </w:pPr>
    </w:p>
    <w:p w14:paraId="51C42B05"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2EFA8481" w14:textId="33B272B0" w:rsidR="003E5636" w:rsidRDefault="003E5636" w:rsidP="003E5636">
      <w:pPr>
        <w:tabs>
          <w:tab w:val="left" w:pos="851"/>
        </w:tabs>
        <w:ind w:left="851"/>
        <w:rPr>
          <w:sz w:val="24"/>
          <w:szCs w:val="24"/>
        </w:rPr>
      </w:pPr>
      <w:r w:rsidRPr="003E5636">
        <w:rPr>
          <w:sz w:val="24"/>
          <w:szCs w:val="24"/>
        </w:rPr>
        <w:t>Enkeltdosisbeholder af polyethylen i PET/Al/PE-pose</w:t>
      </w:r>
      <w:r w:rsidR="001D5710">
        <w:rPr>
          <w:sz w:val="24"/>
          <w:szCs w:val="24"/>
        </w:rPr>
        <w:t>.</w:t>
      </w:r>
    </w:p>
    <w:p w14:paraId="48C724B6" w14:textId="394F4ABF" w:rsidR="003E5636" w:rsidRDefault="003E5636">
      <w:pPr>
        <w:rPr>
          <w:sz w:val="24"/>
          <w:szCs w:val="24"/>
        </w:rPr>
      </w:pPr>
      <w:r>
        <w:rPr>
          <w:sz w:val="24"/>
          <w:szCs w:val="24"/>
        </w:rPr>
        <w:br w:type="page"/>
      </w:r>
    </w:p>
    <w:p w14:paraId="31F350BD" w14:textId="77777777" w:rsidR="003E5636" w:rsidRPr="00C84483" w:rsidRDefault="003E5636" w:rsidP="009260DE">
      <w:pPr>
        <w:tabs>
          <w:tab w:val="left" w:pos="851"/>
        </w:tabs>
        <w:ind w:left="851"/>
        <w:rPr>
          <w:sz w:val="24"/>
          <w:szCs w:val="24"/>
        </w:rPr>
      </w:pPr>
    </w:p>
    <w:p w14:paraId="794A5A2D"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3B889C54" w14:textId="77777777" w:rsidR="003E5636" w:rsidRPr="003E5636" w:rsidRDefault="003E5636" w:rsidP="003E5636">
      <w:pPr>
        <w:tabs>
          <w:tab w:val="left" w:pos="851"/>
        </w:tabs>
        <w:ind w:left="851"/>
        <w:rPr>
          <w:sz w:val="24"/>
          <w:szCs w:val="24"/>
        </w:rPr>
      </w:pPr>
      <w:r w:rsidRPr="003E5636">
        <w:rPr>
          <w:sz w:val="24"/>
          <w:szCs w:val="24"/>
        </w:rPr>
        <w:t>Ikke anvendt lægemiddel samt affald heraf skal bortskaffes i henhold til lokale retningslinjer.</w:t>
      </w:r>
    </w:p>
    <w:p w14:paraId="269F342C" w14:textId="77777777" w:rsidR="009260DE" w:rsidRPr="00C84483" w:rsidRDefault="009260DE" w:rsidP="000730CA">
      <w:pPr>
        <w:tabs>
          <w:tab w:val="left" w:pos="851"/>
        </w:tabs>
        <w:ind w:left="851"/>
        <w:rPr>
          <w:sz w:val="24"/>
          <w:szCs w:val="24"/>
        </w:rPr>
      </w:pPr>
    </w:p>
    <w:p w14:paraId="44A155C0"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712E1A7D" w14:textId="77777777" w:rsidR="00F5467A" w:rsidRPr="004026FA" w:rsidRDefault="00F5467A" w:rsidP="00F5467A">
      <w:pPr>
        <w:ind w:firstLine="851"/>
        <w:rPr>
          <w:sz w:val="24"/>
          <w:szCs w:val="24"/>
        </w:rPr>
      </w:pPr>
      <w:r w:rsidRPr="004026FA">
        <w:rPr>
          <w:sz w:val="24"/>
          <w:szCs w:val="24"/>
        </w:rPr>
        <w:t>Nordic Prime ApS</w:t>
      </w:r>
    </w:p>
    <w:p w14:paraId="10BB3170" w14:textId="77777777" w:rsidR="00F5467A" w:rsidRPr="004026FA" w:rsidRDefault="00F5467A" w:rsidP="00F5467A">
      <w:pPr>
        <w:ind w:firstLine="851"/>
        <w:rPr>
          <w:sz w:val="24"/>
          <w:szCs w:val="24"/>
        </w:rPr>
      </w:pPr>
      <w:r w:rsidRPr="004026FA">
        <w:rPr>
          <w:sz w:val="24"/>
          <w:szCs w:val="24"/>
        </w:rPr>
        <w:t>Niels Bohrs Vej 6</w:t>
      </w:r>
    </w:p>
    <w:p w14:paraId="78644B42" w14:textId="77777777" w:rsidR="00F5467A" w:rsidRPr="004026FA" w:rsidRDefault="00F5467A" w:rsidP="00F5467A">
      <w:pPr>
        <w:ind w:firstLine="851"/>
        <w:rPr>
          <w:sz w:val="24"/>
          <w:szCs w:val="24"/>
        </w:rPr>
      </w:pPr>
      <w:r w:rsidRPr="004026FA">
        <w:rPr>
          <w:sz w:val="24"/>
          <w:szCs w:val="24"/>
        </w:rPr>
        <w:t>6700 Esbjerg</w:t>
      </w:r>
    </w:p>
    <w:p w14:paraId="3AA81E4F" w14:textId="77777777" w:rsidR="00F5467A" w:rsidRPr="00E83A95" w:rsidRDefault="00F5467A" w:rsidP="00E83A95"/>
    <w:p w14:paraId="0E044CA8" w14:textId="77777777" w:rsidR="009260DE" w:rsidRDefault="009260DE" w:rsidP="009260DE">
      <w:pPr>
        <w:tabs>
          <w:tab w:val="left" w:pos="851"/>
        </w:tabs>
        <w:ind w:left="851"/>
        <w:rPr>
          <w:sz w:val="24"/>
          <w:szCs w:val="24"/>
        </w:rPr>
      </w:pPr>
    </w:p>
    <w:p w14:paraId="34DA19C6"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71306137" w14:textId="100CB0DE" w:rsidR="009260DE" w:rsidRDefault="00F5467A" w:rsidP="009260DE">
      <w:pPr>
        <w:tabs>
          <w:tab w:val="left" w:pos="851"/>
        </w:tabs>
        <w:ind w:left="851"/>
        <w:jc w:val="both"/>
        <w:rPr>
          <w:sz w:val="24"/>
          <w:szCs w:val="24"/>
        </w:rPr>
      </w:pPr>
      <w:r w:rsidRPr="00F5467A">
        <w:rPr>
          <w:sz w:val="24"/>
          <w:szCs w:val="24"/>
        </w:rPr>
        <w:t>75599</w:t>
      </w:r>
    </w:p>
    <w:p w14:paraId="5247653D" w14:textId="77777777" w:rsidR="00F5467A" w:rsidRPr="00C84483" w:rsidRDefault="00F5467A" w:rsidP="009260DE">
      <w:pPr>
        <w:tabs>
          <w:tab w:val="left" w:pos="851"/>
        </w:tabs>
        <w:ind w:left="851"/>
        <w:jc w:val="both"/>
        <w:rPr>
          <w:sz w:val="24"/>
          <w:szCs w:val="24"/>
        </w:rPr>
      </w:pPr>
    </w:p>
    <w:p w14:paraId="680E80BA"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0F6D4241" w14:textId="0F46D6B3" w:rsidR="009260DE" w:rsidRPr="00C84483" w:rsidRDefault="00F5467A" w:rsidP="009260DE">
      <w:pPr>
        <w:tabs>
          <w:tab w:val="left" w:pos="851"/>
        </w:tabs>
        <w:ind w:left="851"/>
        <w:rPr>
          <w:sz w:val="24"/>
          <w:szCs w:val="24"/>
        </w:rPr>
      </w:pPr>
      <w:r>
        <w:rPr>
          <w:sz w:val="24"/>
          <w:szCs w:val="24"/>
        </w:rPr>
        <w:t>1</w:t>
      </w:r>
      <w:r w:rsidR="00842B25">
        <w:rPr>
          <w:sz w:val="24"/>
          <w:szCs w:val="24"/>
        </w:rPr>
        <w:t>7</w:t>
      </w:r>
      <w:r>
        <w:rPr>
          <w:sz w:val="24"/>
          <w:szCs w:val="24"/>
        </w:rPr>
        <w:t>. april 2026</w:t>
      </w:r>
    </w:p>
    <w:p w14:paraId="6D93738E" w14:textId="77777777" w:rsidR="009260DE" w:rsidRPr="00C84483" w:rsidRDefault="009260DE" w:rsidP="009260DE">
      <w:pPr>
        <w:tabs>
          <w:tab w:val="left" w:pos="851"/>
        </w:tabs>
        <w:ind w:left="851"/>
        <w:rPr>
          <w:sz w:val="24"/>
          <w:szCs w:val="24"/>
        </w:rPr>
      </w:pPr>
    </w:p>
    <w:p w14:paraId="4CC4F46A"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3AE15AA7" w14:textId="748C4D1E" w:rsidR="009260DE" w:rsidRPr="00C84483" w:rsidRDefault="003E5636"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FABA" w14:textId="77777777" w:rsidR="00A95FB5" w:rsidRDefault="00A95FB5">
      <w:r>
        <w:separator/>
      </w:r>
    </w:p>
  </w:endnote>
  <w:endnote w:type="continuationSeparator" w:id="0">
    <w:p w14:paraId="26DAEB99" w14:textId="77777777" w:rsidR="00A95FB5" w:rsidRDefault="00A95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6C65" w14:textId="77777777" w:rsidR="000259B9" w:rsidRDefault="000259B9">
    <w:pPr>
      <w:pStyle w:val="Sidefod"/>
      <w:pBdr>
        <w:bottom w:val="single" w:sz="6" w:space="1" w:color="auto"/>
      </w:pBdr>
    </w:pPr>
  </w:p>
  <w:p w14:paraId="38E3249A" w14:textId="77777777" w:rsidR="000259B9" w:rsidRDefault="000259B9" w:rsidP="00C42586">
    <w:pPr>
      <w:pStyle w:val="Sidefod"/>
      <w:tabs>
        <w:tab w:val="clear" w:pos="4819"/>
        <w:tab w:val="left" w:pos="8505"/>
      </w:tabs>
      <w:rPr>
        <w:i/>
        <w:sz w:val="18"/>
        <w:szCs w:val="18"/>
      </w:rPr>
    </w:pPr>
  </w:p>
  <w:p w14:paraId="7CFFED7A" w14:textId="106DAC4D"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842B25">
      <w:rPr>
        <w:i/>
        <w:noProof/>
        <w:sz w:val="18"/>
        <w:szCs w:val="18"/>
      </w:rPr>
      <w:t>Fluttasino (Nordic Prime), næsedråber, suspension 1 mg-ml (400 mikrogram).docx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0C022" w14:textId="77777777" w:rsidR="00A95FB5" w:rsidRDefault="00A95FB5">
      <w:r>
        <w:separator/>
      </w:r>
    </w:p>
  </w:footnote>
  <w:footnote w:type="continuationSeparator" w:id="0">
    <w:p w14:paraId="02BED474" w14:textId="77777777" w:rsidR="00A95FB5" w:rsidRDefault="00A95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63880130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897166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835480">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54719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435309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5"/>
    <w:rsid w:val="000259B9"/>
    <w:rsid w:val="00041491"/>
    <w:rsid w:val="00050D16"/>
    <w:rsid w:val="000730CA"/>
    <w:rsid w:val="00074F2A"/>
    <w:rsid w:val="000A1CA8"/>
    <w:rsid w:val="000A466B"/>
    <w:rsid w:val="000B058C"/>
    <w:rsid w:val="000D68B0"/>
    <w:rsid w:val="000E4EE6"/>
    <w:rsid w:val="001454E2"/>
    <w:rsid w:val="00176DE7"/>
    <w:rsid w:val="001D5710"/>
    <w:rsid w:val="00206CE8"/>
    <w:rsid w:val="0021526C"/>
    <w:rsid w:val="00283A2B"/>
    <w:rsid w:val="002B30AD"/>
    <w:rsid w:val="002C1EC0"/>
    <w:rsid w:val="002C2C01"/>
    <w:rsid w:val="00344D08"/>
    <w:rsid w:val="003A29AE"/>
    <w:rsid w:val="003A32D7"/>
    <w:rsid w:val="003B4074"/>
    <w:rsid w:val="003C769A"/>
    <w:rsid w:val="003D3A90"/>
    <w:rsid w:val="003E5636"/>
    <w:rsid w:val="003F1838"/>
    <w:rsid w:val="004251C1"/>
    <w:rsid w:val="0045746C"/>
    <w:rsid w:val="0049104B"/>
    <w:rsid w:val="004E3B12"/>
    <w:rsid w:val="00532310"/>
    <w:rsid w:val="00565F0F"/>
    <w:rsid w:val="00594A86"/>
    <w:rsid w:val="00596D86"/>
    <w:rsid w:val="00637F5A"/>
    <w:rsid w:val="00641C65"/>
    <w:rsid w:val="006560B1"/>
    <w:rsid w:val="006756DD"/>
    <w:rsid w:val="0071241E"/>
    <w:rsid w:val="00737275"/>
    <w:rsid w:val="00740EEC"/>
    <w:rsid w:val="0078011A"/>
    <w:rsid w:val="00782AF4"/>
    <w:rsid w:val="00790EE7"/>
    <w:rsid w:val="007B6649"/>
    <w:rsid w:val="0082576E"/>
    <w:rsid w:val="00842B25"/>
    <w:rsid w:val="0089346F"/>
    <w:rsid w:val="008A114C"/>
    <w:rsid w:val="008B171F"/>
    <w:rsid w:val="00907F75"/>
    <w:rsid w:val="009260DE"/>
    <w:rsid w:val="0093258A"/>
    <w:rsid w:val="009C7BA3"/>
    <w:rsid w:val="009D1F5A"/>
    <w:rsid w:val="00A10294"/>
    <w:rsid w:val="00A62050"/>
    <w:rsid w:val="00A95FB5"/>
    <w:rsid w:val="00AE31AE"/>
    <w:rsid w:val="00AE635F"/>
    <w:rsid w:val="00B003BF"/>
    <w:rsid w:val="00B373D7"/>
    <w:rsid w:val="00B55271"/>
    <w:rsid w:val="00B7019D"/>
    <w:rsid w:val="00BD7931"/>
    <w:rsid w:val="00BF6243"/>
    <w:rsid w:val="00C36276"/>
    <w:rsid w:val="00C42586"/>
    <w:rsid w:val="00C45F6B"/>
    <w:rsid w:val="00C60CCD"/>
    <w:rsid w:val="00C84483"/>
    <w:rsid w:val="00C95551"/>
    <w:rsid w:val="00CB20D7"/>
    <w:rsid w:val="00CD62EC"/>
    <w:rsid w:val="00D020B0"/>
    <w:rsid w:val="00D11748"/>
    <w:rsid w:val="00D237F6"/>
    <w:rsid w:val="00D34D98"/>
    <w:rsid w:val="00D366CF"/>
    <w:rsid w:val="00D93992"/>
    <w:rsid w:val="00E108AA"/>
    <w:rsid w:val="00E3749A"/>
    <w:rsid w:val="00E7437F"/>
    <w:rsid w:val="00E865B8"/>
    <w:rsid w:val="00EC0B9B"/>
    <w:rsid w:val="00ED5E9F"/>
    <w:rsid w:val="00F363B7"/>
    <w:rsid w:val="00F5467A"/>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77DBC"/>
  <w15:chartTrackingRefBased/>
  <w15:docId w15:val="{0FA4089A-6F34-4ED7-A8AB-1039B976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uiPriority w:val="99"/>
    <w:semiHidden/>
    <w:unhideWhenUsed/>
    <w:rsid w:val="00CD62EC"/>
    <w:rPr>
      <w:color w:val="0000FF"/>
      <w:u w:val="single"/>
    </w:rPr>
  </w:style>
  <w:style w:type="paragraph" w:styleId="Brdtekst">
    <w:name w:val="Body Text"/>
    <w:basedOn w:val="Normal"/>
    <w:link w:val="BrdtekstTegn"/>
    <w:uiPriority w:val="1"/>
    <w:semiHidden/>
    <w:unhideWhenUsed/>
    <w:qFormat/>
    <w:rsid w:val="00CD62EC"/>
    <w:pPr>
      <w:widowControl w:val="0"/>
      <w:autoSpaceDE w:val="0"/>
      <w:autoSpaceDN w:val="0"/>
    </w:pPr>
    <w:rPr>
      <w:sz w:val="20"/>
      <w:lang w:val="en-US"/>
    </w:rPr>
  </w:style>
  <w:style w:type="character" w:customStyle="1" w:styleId="BrdtekstTegn">
    <w:name w:val="Brødtekst Tegn"/>
    <w:basedOn w:val="Standardskrifttypeiafsnit"/>
    <w:link w:val="Brdtekst"/>
    <w:uiPriority w:val="1"/>
    <w:semiHidden/>
    <w:rsid w:val="00CD62EC"/>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6034">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68972951">
      <w:bodyDiv w:val="1"/>
      <w:marLeft w:val="0"/>
      <w:marRight w:val="0"/>
      <w:marTop w:val="0"/>
      <w:marBottom w:val="0"/>
      <w:divBdr>
        <w:top w:val="none" w:sz="0" w:space="0" w:color="auto"/>
        <w:left w:val="none" w:sz="0" w:space="0" w:color="auto"/>
        <w:bottom w:val="none" w:sz="0" w:space="0" w:color="auto"/>
        <w:right w:val="none" w:sz="0" w:space="0" w:color="auto"/>
      </w:divBdr>
    </w:div>
    <w:div w:id="275410017">
      <w:bodyDiv w:val="1"/>
      <w:marLeft w:val="0"/>
      <w:marRight w:val="0"/>
      <w:marTop w:val="0"/>
      <w:marBottom w:val="0"/>
      <w:divBdr>
        <w:top w:val="none" w:sz="0" w:space="0" w:color="auto"/>
        <w:left w:val="none" w:sz="0" w:space="0" w:color="auto"/>
        <w:bottom w:val="none" w:sz="0" w:space="0" w:color="auto"/>
        <w:right w:val="none" w:sz="0" w:space="0" w:color="auto"/>
      </w:divBdr>
    </w:div>
    <w:div w:id="283510246">
      <w:bodyDiv w:val="1"/>
      <w:marLeft w:val="0"/>
      <w:marRight w:val="0"/>
      <w:marTop w:val="0"/>
      <w:marBottom w:val="0"/>
      <w:divBdr>
        <w:top w:val="none" w:sz="0" w:space="0" w:color="auto"/>
        <w:left w:val="none" w:sz="0" w:space="0" w:color="auto"/>
        <w:bottom w:val="none" w:sz="0" w:space="0" w:color="auto"/>
        <w:right w:val="none" w:sz="0" w:space="0" w:color="auto"/>
      </w:divBdr>
    </w:div>
    <w:div w:id="301815547">
      <w:bodyDiv w:val="1"/>
      <w:marLeft w:val="0"/>
      <w:marRight w:val="0"/>
      <w:marTop w:val="0"/>
      <w:marBottom w:val="0"/>
      <w:divBdr>
        <w:top w:val="none" w:sz="0" w:space="0" w:color="auto"/>
        <w:left w:val="none" w:sz="0" w:space="0" w:color="auto"/>
        <w:bottom w:val="none" w:sz="0" w:space="0" w:color="auto"/>
        <w:right w:val="none" w:sz="0" w:space="0" w:color="auto"/>
      </w:divBdr>
    </w:div>
    <w:div w:id="304703335">
      <w:bodyDiv w:val="1"/>
      <w:marLeft w:val="0"/>
      <w:marRight w:val="0"/>
      <w:marTop w:val="0"/>
      <w:marBottom w:val="0"/>
      <w:divBdr>
        <w:top w:val="none" w:sz="0" w:space="0" w:color="auto"/>
        <w:left w:val="none" w:sz="0" w:space="0" w:color="auto"/>
        <w:bottom w:val="none" w:sz="0" w:space="0" w:color="auto"/>
        <w:right w:val="none" w:sz="0" w:space="0" w:color="auto"/>
      </w:divBdr>
    </w:div>
    <w:div w:id="314913450">
      <w:bodyDiv w:val="1"/>
      <w:marLeft w:val="0"/>
      <w:marRight w:val="0"/>
      <w:marTop w:val="0"/>
      <w:marBottom w:val="0"/>
      <w:divBdr>
        <w:top w:val="none" w:sz="0" w:space="0" w:color="auto"/>
        <w:left w:val="none" w:sz="0" w:space="0" w:color="auto"/>
        <w:bottom w:val="none" w:sz="0" w:space="0" w:color="auto"/>
        <w:right w:val="none" w:sz="0" w:space="0" w:color="auto"/>
      </w:divBdr>
    </w:div>
    <w:div w:id="365327414">
      <w:bodyDiv w:val="1"/>
      <w:marLeft w:val="0"/>
      <w:marRight w:val="0"/>
      <w:marTop w:val="0"/>
      <w:marBottom w:val="0"/>
      <w:divBdr>
        <w:top w:val="none" w:sz="0" w:space="0" w:color="auto"/>
        <w:left w:val="none" w:sz="0" w:space="0" w:color="auto"/>
        <w:bottom w:val="none" w:sz="0" w:space="0" w:color="auto"/>
        <w:right w:val="none" w:sz="0" w:space="0" w:color="auto"/>
      </w:divBdr>
    </w:div>
    <w:div w:id="472917278">
      <w:bodyDiv w:val="1"/>
      <w:marLeft w:val="0"/>
      <w:marRight w:val="0"/>
      <w:marTop w:val="0"/>
      <w:marBottom w:val="0"/>
      <w:divBdr>
        <w:top w:val="none" w:sz="0" w:space="0" w:color="auto"/>
        <w:left w:val="none" w:sz="0" w:space="0" w:color="auto"/>
        <w:bottom w:val="none" w:sz="0" w:space="0" w:color="auto"/>
        <w:right w:val="none" w:sz="0" w:space="0" w:color="auto"/>
      </w:divBdr>
    </w:div>
    <w:div w:id="534081137">
      <w:bodyDiv w:val="1"/>
      <w:marLeft w:val="0"/>
      <w:marRight w:val="0"/>
      <w:marTop w:val="0"/>
      <w:marBottom w:val="0"/>
      <w:divBdr>
        <w:top w:val="none" w:sz="0" w:space="0" w:color="auto"/>
        <w:left w:val="none" w:sz="0" w:space="0" w:color="auto"/>
        <w:bottom w:val="none" w:sz="0" w:space="0" w:color="auto"/>
        <w:right w:val="none" w:sz="0" w:space="0" w:color="auto"/>
      </w:divBdr>
    </w:div>
    <w:div w:id="556280365">
      <w:bodyDiv w:val="1"/>
      <w:marLeft w:val="0"/>
      <w:marRight w:val="0"/>
      <w:marTop w:val="0"/>
      <w:marBottom w:val="0"/>
      <w:divBdr>
        <w:top w:val="none" w:sz="0" w:space="0" w:color="auto"/>
        <w:left w:val="none" w:sz="0" w:space="0" w:color="auto"/>
        <w:bottom w:val="none" w:sz="0" w:space="0" w:color="auto"/>
        <w:right w:val="none" w:sz="0" w:space="0" w:color="auto"/>
      </w:divBdr>
    </w:div>
    <w:div w:id="733309368">
      <w:bodyDiv w:val="1"/>
      <w:marLeft w:val="0"/>
      <w:marRight w:val="0"/>
      <w:marTop w:val="0"/>
      <w:marBottom w:val="0"/>
      <w:divBdr>
        <w:top w:val="none" w:sz="0" w:space="0" w:color="auto"/>
        <w:left w:val="none" w:sz="0" w:space="0" w:color="auto"/>
        <w:bottom w:val="none" w:sz="0" w:space="0" w:color="auto"/>
        <w:right w:val="none" w:sz="0" w:space="0" w:color="auto"/>
      </w:divBdr>
    </w:div>
    <w:div w:id="848639540">
      <w:bodyDiv w:val="1"/>
      <w:marLeft w:val="0"/>
      <w:marRight w:val="0"/>
      <w:marTop w:val="0"/>
      <w:marBottom w:val="0"/>
      <w:divBdr>
        <w:top w:val="none" w:sz="0" w:space="0" w:color="auto"/>
        <w:left w:val="none" w:sz="0" w:space="0" w:color="auto"/>
        <w:bottom w:val="none" w:sz="0" w:space="0" w:color="auto"/>
        <w:right w:val="none" w:sz="0" w:space="0" w:color="auto"/>
      </w:divBdr>
    </w:div>
    <w:div w:id="946234210">
      <w:bodyDiv w:val="1"/>
      <w:marLeft w:val="0"/>
      <w:marRight w:val="0"/>
      <w:marTop w:val="0"/>
      <w:marBottom w:val="0"/>
      <w:divBdr>
        <w:top w:val="none" w:sz="0" w:space="0" w:color="auto"/>
        <w:left w:val="none" w:sz="0" w:space="0" w:color="auto"/>
        <w:bottom w:val="none" w:sz="0" w:space="0" w:color="auto"/>
        <w:right w:val="none" w:sz="0" w:space="0" w:color="auto"/>
      </w:divBdr>
    </w:div>
    <w:div w:id="1044594889">
      <w:bodyDiv w:val="1"/>
      <w:marLeft w:val="0"/>
      <w:marRight w:val="0"/>
      <w:marTop w:val="0"/>
      <w:marBottom w:val="0"/>
      <w:divBdr>
        <w:top w:val="none" w:sz="0" w:space="0" w:color="auto"/>
        <w:left w:val="none" w:sz="0" w:space="0" w:color="auto"/>
        <w:bottom w:val="none" w:sz="0" w:space="0" w:color="auto"/>
        <w:right w:val="none" w:sz="0" w:space="0" w:color="auto"/>
      </w:divBdr>
    </w:div>
    <w:div w:id="1078332768">
      <w:bodyDiv w:val="1"/>
      <w:marLeft w:val="0"/>
      <w:marRight w:val="0"/>
      <w:marTop w:val="0"/>
      <w:marBottom w:val="0"/>
      <w:divBdr>
        <w:top w:val="none" w:sz="0" w:space="0" w:color="auto"/>
        <w:left w:val="none" w:sz="0" w:space="0" w:color="auto"/>
        <w:bottom w:val="none" w:sz="0" w:space="0" w:color="auto"/>
        <w:right w:val="none" w:sz="0" w:space="0" w:color="auto"/>
      </w:divBdr>
    </w:div>
    <w:div w:id="1103573362">
      <w:bodyDiv w:val="1"/>
      <w:marLeft w:val="0"/>
      <w:marRight w:val="0"/>
      <w:marTop w:val="0"/>
      <w:marBottom w:val="0"/>
      <w:divBdr>
        <w:top w:val="none" w:sz="0" w:space="0" w:color="auto"/>
        <w:left w:val="none" w:sz="0" w:space="0" w:color="auto"/>
        <w:bottom w:val="none" w:sz="0" w:space="0" w:color="auto"/>
        <w:right w:val="none" w:sz="0" w:space="0" w:color="auto"/>
      </w:divBdr>
    </w:div>
    <w:div w:id="1115901940">
      <w:bodyDiv w:val="1"/>
      <w:marLeft w:val="0"/>
      <w:marRight w:val="0"/>
      <w:marTop w:val="0"/>
      <w:marBottom w:val="0"/>
      <w:divBdr>
        <w:top w:val="none" w:sz="0" w:space="0" w:color="auto"/>
        <w:left w:val="none" w:sz="0" w:space="0" w:color="auto"/>
        <w:bottom w:val="none" w:sz="0" w:space="0" w:color="auto"/>
        <w:right w:val="none" w:sz="0" w:space="0" w:color="auto"/>
      </w:divBdr>
    </w:div>
    <w:div w:id="1163545148">
      <w:bodyDiv w:val="1"/>
      <w:marLeft w:val="0"/>
      <w:marRight w:val="0"/>
      <w:marTop w:val="0"/>
      <w:marBottom w:val="0"/>
      <w:divBdr>
        <w:top w:val="none" w:sz="0" w:space="0" w:color="auto"/>
        <w:left w:val="none" w:sz="0" w:space="0" w:color="auto"/>
        <w:bottom w:val="none" w:sz="0" w:space="0" w:color="auto"/>
        <w:right w:val="none" w:sz="0" w:space="0" w:color="auto"/>
      </w:divBdr>
    </w:div>
    <w:div w:id="1180044880">
      <w:bodyDiv w:val="1"/>
      <w:marLeft w:val="0"/>
      <w:marRight w:val="0"/>
      <w:marTop w:val="0"/>
      <w:marBottom w:val="0"/>
      <w:divBdr>
        <w:top w:val="none" w:sz="0" w:space="0" w:color="auto"/>
        <w:left w:val="none" w:sz="0" w:space="0" w:color="auto"/>
        <w:bottom w:val="none" w:sz="0" w:space="0" w:color="auto"/>
        <w:right w:val="none" w:sz="0" w:space="0" w:color="auto"/>
      </w:divBdr>
    </w:div>
    <w:div w:id="1201935982">
      <w:bodyDiv w:val="1"/>
      <w:marLeft w:val="0"/>
      <w:marRight w:val="0"/>
      <w:marTop w:val="0"/>
      <w:marBottom w:val="0"/>
      <w:divBdr>
        <w:top w:val="none" w:sz="0" w:space="0" w:color="auto"/>
        <w:left w:val="none" w:sz="0" w:space="0" w:color="auto"/>
        <w:bottom w:val="none" w:sz="0" w:space="0" w:color="auto"/>
        <w:right w:val="none" w:sz="0" w:space="0" w:color="auto"/>
      </w:divBdr>
    </w:div>
    <w:div w:id="1219828357">
      <w:bodyDiv w:val="1"/>
      <w:marLeft w:val="0"/>
      <w:marRight w:val="0"/>
      <w:marTop w:val="0"/>
      <w:marBottom w:val="0"/>
      <w:divBdr>
        <w:top w:val="none" w:sz="0" w:space="0" w:color="auto"/>
        <w:left w:val="none" w:sz="0" w:space="0" w:color="auto"/>
        <w:bottom w:val="none" w:sz="0" w:space="0" w:color="auto"/>
        <w:right w:val="none" w:sz="0" w:space="0" w:color="auto"/>
      </w:divBdr>
    </w:div>
    <w:div w:id="1224293040">
      <w:bodyDiv w:val="1"/>
      <w:marLeft w:val="0"/>
      <w:marRight w:val="0"/>
      <w:marTop w:val="0"/>
      <w:marBottom w:val="0"/>
      <w:divBdr>
        <w:top w:val="none" w:sz="0" w:space="0" w:color="auto"/>
        <w:left w:val="none" w:sz="0" w:space="0" w:color="auto"/>
        <w:bottom w:val="none" w:sz="0" w:space="0" w:color="auto"/>
        <w:right w:val="none" w:sz="0" w:space="0" w:color="auto"/>
      </w:divBdr>
    </w:div>
    <w:div w:id="1247878567">
      <w:bodyDiv w:val="1"/>
      <w:marLeft w:val="0"/>
      <w:marRight w:val="0"/>
      <w:marTop w:val="0"/>
      <w:marBottom w:val="0"/>
      <w:divBdr>
        <w:top w:val="none" w:sz="0" w:space="0" w:color="auto"/>
        <w:left w:val="none" w:sz="0" w:space="0" w:color="auto"/>
        <w:bottom w:val="none" w:sz="0" w:space="0" w:color="auto"/>
        <w:right w:val="none" w:sz="0" w:space="0" w:color="auto"/>
      </w:divBdr>
    </w:div>
    <w:div w:id="1261984291">
      <w:bodyDiv w:val="1"/>
      <w:marLeft w:val="0"/>
      <w:marRight w:val="0"/>
      <w:marTop w:val="0"/>
      <w:marBottom w:val="0"/>
      <w:divBdr>
        <w:top w:val="none" w:sz="0" w:space="0" w:color="auto"/>
        <w:left w:val="none" w:sz="0" w:space="0" w:color="auto"/>
        <w:bottom w:val="none" w:sz="0" w:space="0" w:color="auto"/>
        <w:right w:val="none" w:sz="0" w:space="0" w:color="auto"/>
      </w:divBdr>
    </w:div>
    <w:div w:id="1276131555">
      <w:bodyDiv w:val="1"/>
      <w:marLeft w:val="0"/>
      <w:marRight w:val="0"/>
      <w:marTop w:val="0"/>
      <w:marBottom w:val="0"/>
      <w:divBdr>
        <w:top w:val="none" w:sz="0" w:space="0" w:color="auto"/>
        <w:left w:val="none" w:sz="0" w:space="0" w:color="auto"/>
        <w:bottom w:val="none" w:sz="0" w:space="0" w:color="auto"/>
        <w:right w:val="none" w:sz="0" w:space="0" w:color="auto"/>
      </w:divBdr>
    </w:div>
    <w:div w:id="1302223971">
      <w:bodyDiv w:val="1"/>
      <w:marLeft w:val="0"/>
      <w:marRight w:val="0"/>
      <w:marTop w:val="0"/>
      <w:marBottom w:val="0"/>
      <w:divBdr>
        <w:top w:val="none" w:sz="0" w:space="0" w:color="auto"/>
        <w:left w:val="none" w:sz="0" w:space="0" w:color="auto"/>
        <w:bottom w:val="none" w:sz="0" w:space="0" w:color="auto"/>
        <w:right w:val="none" w:sz="0" w:space="0" w:color="auto"/>
      </w:divBdr>
    </w:div>
    <w:div w:id="1475638217">
      <w:bodyDiv w:val="1"/>
      <w:marLeft w:val="0"/>
      <w:marRight w:val="0"/>
      <w:marTop w:val="0"/>
      <w:marBottom w:val="0"/>
      <w:divBdr>
        <w:top w:val="none" w:sz="0" w:space="0" w:color="auto"/>
        <w:left w:val="none" w:sz="0" w:space="0" w:color="auto"/>
        <w:bottom w:val="none" w:sz="0" w:space="0" w:color="auto"/>
        <w:right w:val="none" w:sz="0" w:space="0" w:color="auto"/>
      </w:divBdr>
    </w:div>
    <w:div w:id="1512335133">
      <w:bodyDiv w:val="1"/>
      <w:marLeft w:val="0"/>
      <w:marRight w:val="0"/>
      <w:marTop w:val="0"/>
      <w:marBottom w:val="0"/>
      <w:divBdr>
        <w:top w:val="none" w:sz="0" w:space="0" w:color="auto"/>
        <w:left w:val="none" w:sz="0" w:space="0" w:color="auto"/>
        <w:bottom w:val="none" w:sz="0" w:space="0" w:color="auto"/>
        <w:right w:val="none" w:sz="0" w:space="0" w:color="auto"/>
      </w:divBdr>
    </w:div>
    <w:div w:id="1526675361">
      <w:bodyDiv w:val="1"/>
      <w:marLeft w:val="0"/>
      <w:marRight w:val="0"/>
      <w:marTop w:val="0"/>
      <w:marBottom w:val="0"/>
      <w:divBdr>
        <w:top w:val="none" w:sz="0" w:space="0" w:color="auto"/>
        <w:left w:val="none" w:sz="0" w:space="0" w:color="auto"/>
        <w:bottom w:val="none" w:sz="0" w:space="0" w:color="auto"/>
        <w:right w:val="none" w:sz="0" w:space="0" w:color="auto"/>
      </w:divBdr>
    </w:div>
    <w:div w:id="1603999179">
      <w:bodyDiv w:val="1"/>
      <w:marLeft w:val="0"/>
      <w:marRight w:val="0"/>
      <w:marTop w:val="0"/>
      <w:marBottom w:val="0"/>
      <w:divBdr>
        <w:top w:val="none" w:sz="0" w:space="0" w:color="auto"/>
        <w:left w:val="none" w:sz="0" w:space="0" w:color="auto"/>
        <w:bottom w:val="none" w:sz="0" w:space="0" w:color="auto"/>
        <w:right w:val="none" w:sz="0" w:space="0" w:color="auto"/>
      </w:divBdr>
    </w:div>
    <w:div w:id="1670865569">
      <w:bodyDiv w:val="1"/>
      <w:marLeft w:val="0"/>
      <w:marRight w:val="0"/>
      <w:marTop w:val="0"/>
      <w:marBottom w:val="0"/>
      <w:divBdr>
        <w:top w:val="none" w:sz="0" w:space="0" w:color="auto"/>
        <w:left w:val="none" w:sz="0" w:space="0" w:color="auto"/>
        <w:bottom w:val="none" w:sz="0" w:space="0" w:color="auto"/>
        <w:right w:val="none" w:sz="0" w:space="0" w:color="auto"/>
      </w:divBdr>
    </w:div>
    <w:div w:id="1818958570">
      <w:bodyDiv w:val="1"/>
      <w:marLeft w:val="0"/>
      <w:marRight w:val="0"/>
      <w:marTop w:val="0"/>
      <w:marBottom w:val="0"/>
      <w:divBdr>
        <w:top w:val="none" w:sz="0" w:space="0" w:color="auto"/>
        <w:left w:val="none" w:sz="0" w:space="0" w:color="auto"/>
        <w:bottom w:val="none" w:sz="0" w:space="0" w:color="auto"/>
        <w:right w:val="none" w:sz="0" w:space="0" w:color="auto"/>
      </w:divBdr>
    </w:div>
    <w:div w:id="1901405585">
      <w:bodyDiv w:val="1"/>
      <w:marLeft w:val="0"/>
      <w:marRight w:val="0"/>
      <w:marTop w:val="0"/>
      <w:marBottom w:val="0"/>
      <w:divBdr>
        <w:top w:val="none" w:sz="0" w:space="0" w:color="auto"/>
        <w:left w:val="none" w:sz="0" w:space="0" w:color="auto"/>
        <w:bottom w:val="none" w:sz="0" w:space="0" w:color="auto"/>
        <w:right w:val="none" w:sz="0" w:space="0" w:color="auto"/>
      </w:divBdr>
    </w:div>
    <w:div w:id="1907523365">
      <w:bodyDiv w:val="1"/>
      <w:marLeft w:val="0"/>
      <w:marRight w:val="0"/>
      <w:marTop w:val="0"/>
      <w:marBottom w:val="0"/>
      <w:divBdr>
        <w:top w:val="none" w:sz="0" w:space="0" w:color="auto"/>
        <w:left w:val="none" w:sz="0" w:space="0" w:color="auto"/>
        <w:bottom w:val="none" w:sz="0" w:space="0" w:color="auto"/>
        <w:right w:val="none" w:sz="0" w:space="0" w:color="auto"/>
      </w:divBdr>
    </w:div>
    <w:div w:id="1910728983">
      <w:bodyDiv w:val="1"/>
      <w:marLeft w:val="0"/>
      <w:marRight w:val="0"/>
      <w:marTop w:val="0"/>
      <w:marBottom w:val="0"/>
      <w:divBdr>
        <w:top w:val="none" w:sz="0" w:space="0" w:color="auto"/>
        <w:left w:val="none" w:sz="0" w:space="0" w:color="auto"/>
        <w:bottom w:val="none" w:sz="0" w:space="0" w:color="auto"/>
        <w:right w:val="none" w:sz="0" w:space="0" w:color="auto"/>
      </w:divBdr>
    </w:div>
    <w:div w:id="1991326371">
      <w:bodyDiv w:val="1"/>
      <w:marLeft w:val="0"/>
      <w:marRight w:val="0"/>
      <w:marTop w:val="0"/>
      <w:marBottom w:val="0"/>
      <w:divBdr>
        <w:top w:val="none" w:sz="0" w:space="0" w:color="auto"/>
        <w:left w:val="none" w:sz="0" w:space="0" w:color="auto"/>
        <w:bottom w:val="none" w:sz="0" w:space="0" w:color="auto"/>
        <w:right w:val="none" w:sz="0" w:space="0" w:color="auto"/>
      </w:divBdr>
    </w:div>
    <w:div w:id="1996955840">
      <w:bodyDiv w:val="1"/>
      <w:marLeft w:val="0"/>
      <w:marRight w:val="0"/>
      <w:marTop w:val="0"/>
      <w:marBottom w:val="0"/>
      <w:divBdr>
        <w:top w:val="none" w:sz="0" w:space="0" w:color="auto"/>
        <w:left w:val="none" w:sz="0" w:space="0" w:color="auto"/>
        <w:bottom w:val="none" w:sz="0" w:space="0" w:color="auto"/>
        <w:right w:val="none" w:sz="0" w:space="0" w:color="auto"/>
      </w:divBdr>
    </w:div>
    <w:div w:id="2031367868">
      <w:bodyDiv w:val="1"/>
      <w:marLeft w:val="0"/>
      <w:marRight w:val="0"/>
      <w:marTop w:val="0"/>
      <w:marBottom w:val="0"/>
      <w:divBdr>
        <w:top w:val="none" w:sz="0" w:space="0" w:color="auto"/>
        <w:left w:val="none" w:sz="0" w:space="0" w:color="auto"/>
        <w:bottom w:val="none" w:sz="0" w:space="0" w:color="auto"/>
        <w:right w:val="none" w:sz="0" w:space="0" w:color="auto"/>
      </w:divBdr>
    </w:div>
    <w:div w:id="2095281666">
      <w:bodyDiv w:val="1"/>
      <w:marLeft w:val="0"/>
      <w:marRight w:val="0"/>
      <w:marTop w:val="0"/>
      <w:marBottom w:val="0"/>
      <w:divBdr>
        <w:top w:val="none" w:sz="0" w:space="0" w:color="auto"/>
        <w:left w:val="none" w:sz="0" w:space="0" w:color="auto"/>
        <w:bottom w:val="none" w:sz="0" w:space="0" w:color="auto"/>
        <w:right w:val="none" w:sz="0" w:space="0" w:color="auto"/>
      </w:divBdr>
    </w:div>
    <w:div w:id="213563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17</TotalTime>
  <Pages>7</Pages>
  <Words>1668</Words>
  <Characters>11422</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Dara Nielsen/ Karen Heltoft</dc:creator>
  <cp:keywords/>
  <dc:description>2026020362 - Nyt PI SPC</dc:description>
  <cp:lastModifiedBy>Karen Heltoft</cp:lastModifiedBy>
  <cp:revision>4</cp:revision>
  <cp:lastPrinted>2026-04-17T10:18:00Z</cp:lastPrinted>
  <dcterms:created xsi:type="dcterms:W3CDTF">2026-04-16T07:18:00Z</dcterms:created>
  <dcterms:modified xsi:type="dcterms:W3CDTF">2026-04-17T10:19:00Z</dcterms:modified>
</cp:coreProperties>
</file>