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bookmarkStart w:id="0" w:name="_GoBack"/>
      <w:bookmarkEnd w:id="0"/>
      <w:r w:rsidRPr="00303008">
        <w:rPr>
          <w:noProof/>
          <w:sz w:val="24"/>
          <w:szCs w:val="24"/>
          <w:lang w:val="en-GB"/>
        </w:rPr>
        <w:drawing>
          <wp:inline distT="0" distB="0" distL="0" distR="0" wp14:anchorId="0E370769" wp14:editId="7023F8F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B04370">
        <w:rPr>
          <w:b/>
          <w:sz w:val="24"/>
          <w:szCs w:val="24"/>
          <w:lang w:val="en-GB"/>
        </w:rPr>
        <w:t>15 November 2023</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1" w:name="_Hlk49158549"/>
      <w:r w:rsidRPr="00303008">
        <w:rPr>
          <w:b/>
          <w:sz w:val="24"/>
          <w:szCs w:val="24"/>
          <w:lang w:val="en-GB"/>
        </w:rPr>
        <w:t>SUMMARY OF PRODUCT CHARACTERISTICS</w:t>
      </w:r>
    </w:p>
    <w:bookmarkEnd w:id="1"/>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B04370" w:rsidP="007C5D2A">
      <w:pPr>
        <w:jc w:val="center"/>
        <w:rPr>
          <w:b/>
          <w:sz w:val="24"/>
          <w:szCs w:val="24"/>
          <w:lang w:val="en-GB"/>
        </w:rPr>
      </w:pPr>
      <w:r>
        <w:rPr>
          <w:b/>
          <w:sz w:val="24"/>
          <w:szCs w:val="24"/>
          <w:lang w:val="en-GB"/>
        </w:rPr>
        <w:t>Fluvastasof</w:t>
      </w:r>
      <w:r w:rsidR="001E2C4E">
        <w:rPr>
          <w:b/>
          <w:sz w:val="24"/>
          <w:szCs w:val="24"/>
          <w:lang w:val="en-GB"/>
        </w:rPr>
        <w:t>, prolonged release tablets</w:t>
      </w:r>
    </w:p>
    <w:p w:rsidR="007C5D2A" w:rsidRPr="00303008" w:rsidRDefault="007C5D2A"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rsidR="008F2F8C" w:rsidRPr="00303008" w:rsidRDefault="001E2C4E" w:rsidP="008F2F8C">
      <w:pPr>
        <w:tabs>
          <w:tab w:val="left" w:pos="8222"/>
        </w:tabs>
        <w:ind w:left="851"/>
        <w:rPr>
          <w:sz w:val="24"/>
          <w:szCs w:val="24"/>
          <w:lang w:val="en-GB"/>
        </w:rPr>
      </w:pPr>
      <w:r>
        <w:rPr>
          <w:sz w:val="24"/>
          <w:szCs w:val="24"/>
          <w:lang w:val="en-GB"/>
        </w:rPr>
        <w:t>24843</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303008" w:rsidRDefault="00C91020" w:rsidP="004A3BF4">
      <w:pPr>
        <w:tabs>
          <w:tab w:val="left" w:pos="851"/>
        </w:tabs>
        <w:ind w:left="851"/>
        <w:rPr>
          <w:sz w:val="24"/>
          <w:szCs w:val="24"/>
          <w:lang w:val="en-GB"/>
        </w:rPr>
      </w:pPr>
      <w:r>
        <w:rPr>
          <w:sz w:val="24"/>
          <w:szCs w:val="24"/>
          <w:lang w:val="en-GB"/>
        </w:rPr>
        <w:t>Fluvastasof</w:t>
      </w:r>
    </w:p>
    <w:p w:rsidR="007C5D2A" w:rsidRPr="00303008" w:rsidRDefault="007C5D2A"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C91020" w:rsidRPr="00C91020" w:rsidRDefault="00C91020" w:rsidP="00C91020">
      <w:pPr>
        <w:tabs>
          <w:tab w:val="left" w:pos="851"/>
        </w:tabs>
        <w:ind w:left="851"/>
        <w:rPr>
          <w:sz w:val="24"/>
          <w:szCs w:val="24"/>
          <w:lang w:val="en-GB"/>
        </w:rPr>
      </w:pPr>
      <w:r w:rsidRPr="00C91020">
        <w:rPr>
          <w:sz w:val="24"/>
          <w:szCs w:val="24"/>
          <w:lang w:val="en-GB"/>
        </w:rPr>
        <w:t>One prolonged release tablet contains 80 mg fluvastatin (as fluvastatin sodium).</w:t>
      </w:r>
    </w:p>
    <w:p w:rsidR="00C91020" w:rsidRPr="00C91020" w:rsidRDefault="00C91020" w:rsidP="00C91020">
      <w:pPr>
        <w:tabs>
          <w:tab w:val="left" w:pos="851"/>
        </w:tabs>
        <w:ind w:left="851"/>
        <w:rPr>
          <w:sz w:val="24"/>
          <w:szCs w:val="24"/>
          <w:lang w:val="en-GB"/>
        </w:rPr>
      </w:pPr>
    </w:p>
    <w:p w:rsidR="00C91020" w:rsidRPr="00C91020" w:rsidRDefault="00C91020" w:rsidP="00C91020">
      <w:pPr>
        <w:tabs>
          <w:tab w:val="left" w:pos="851"/>
        </w:tabs>
        <w:ind w:left="851"/>
        <w:rPr>
          <w:sz w:val="24"/>
          <w:szCs w:val="24"/>
          <w:lang w:val="en-GB"/>
        </w:rPr>
      </w:pPr>
      <w:r w:rsidRPr="00C91020">
        <w:rPr>
          <w:sz w:val="24"/>
          <w:szCs w:val="24"/>
          <w:lang w:val="en-GB"/>
        </w:rPr>
        <w:t>For the full list of excipients, see section 6.1.</w:t>
      </w:r>
    </w:p>
    <w:p w:rsidR="007C5D2A" w:rsidRPr="00C91020" w:rsidRDefault="007C5D2A" w:rsidP="004A3BF4">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C91020" w:rsidRPr="00C91020" w:rsidRDefault="00C91020" w:rsidP="00C91020">
      <w:pPr>
        <w:tabs>
          <w:tab w:val="left" w:pos="851"/>
        </w:tabs>
        <w:ind w:left="851"/>
        <w:rPr>
          <w:sz w:val="24"/>
          <w:szCs w:val="24"/>
          <w:lang w:val="en-GB"/>
        </w:rPr>
      </w:pPr>
      <w:r w:rsidRPr="00C91020">
        <w:rPr>
          <w:sz w:val="24"/>
          <w:szCs w:val="24"/>
          <w:lang w:val="en-GB"/>
        </w:rPr>
        <w:t>Prolonged release tablet</w:t>
      </w:r>
      <w:r>
        <w:rPr>
          <w:sz w:val="24"/>
          <w:szCs w:val="24"/>
          <w:lang w:val="en-GB"/>
        </w:rPr>
        <w:t>s</w:t>
      </w:r>
    </w:p>
    <w:p w:rsidR="00C91020" w:rsidRPr="00C91020" w:rsidRDefault="00C91020" w:rsidP="00C91020">
      <w:pPr>
        <w:tabs>
          <w:tab w:val="left" w:pos="851"/>
        </w:tabs>
        <w:ind w:left="851"/>
        <w:rPr>
          <w:sz w:val="24"/>
          <w:szCs w:val="24"/>
          <w:lang w:val="en-GB"/>
        </w:rPr>
      </w:pPr>
    </w:p>
    <w:p w:rsidR="00C91020" w:rsidRPr="00C91020" w:rsidRDefault="00C91020" w:rsidP="00C91020">
      <w:pPr>
        <w:tabs>
          <w:tab w:val="left" w:pos="851"/>
        </w:tabs>
        <w:ind w:left="851"/>
        <w:rPr>
          <w:sz w:val="24"/>
          <w:szCs w:val="24"/>
          <w:lang w:val="en-GB"/>
        </w:rPr>
      </w:pPr>
      <w:r w:rsidRPr="00C91020">
        <w:rPr>
          <w:sz w:val="24"/>
          <w:szCs w:val="24"/>
          <w:lang w:val="en-GB"/>
        </w:rPr>
        <w:t>Yellow coloured, film-coated, round shaped, biconvex tablet with beveled edges.</w:t>
      </w:r>
    </w:p>
    <w:p w:rsidR="007C5D2A" w:rsidRPr="00C91020" w:rsidRDefault="007C5D2A" w:rsidP="004A3BF4">
      <w:pPr>
        <w:tabs>
          <w:tab w:val="left" w:pos="851"/>
        </w:tabs>
        <w:ind w:left="851"/>
        <w:rPr>
          <w:sz w:val="24"/>
          <w:szCs w:val="24"/>
          <w:lang w:val="en-GB"/>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C91020" w:rsidRDefault="00C91020" w:rsidP="00C91020">
      <w:pPr>
        <w:tabs>
          <w:tab w:val="left" w:pos="851"/>
        </w:tabs>
        <w:ind w:left="851"/>
        <w:rPr>
          <w:sz w:val="24"/>
          <w:szCs w:val="24"/>
          <w:u w:val="single"/>
          <w:lang w:val="en-GB"/>
        </w:rPr>
      </w:pPr>
    </w:p>
    <w:p w:rsidR="00C91020" w:rsidRPr="00C91020" w:rsidRDefault="00C91020" w:rsidP="00C91020">
      <w:pPr>
        <w:tabs>
          <w:tab w:val="left" w:pos="851"/>
        </w:tabs>
        <w:ind w:left="851"/>
        <w:rPr>
          <w:sz w:val="24"/>
          <w:szCs w:val="24"/>
          <w:lang w:val="en-GB"/>
        </w:rPr>
      </w:pPr>
      <w:r w:rsidRPr="00C91020">
        <w:rPr>
          <w:sz w:val="24"/>
          <w:szCs w:val="24"/>
          <w:u w:val="single"/>
          <w:lang w:val="en-GB"/>
        </w:rPr>
        <w:t xml:space="preserve">Dyslipidaemia </w:t>
      </w:r>
    </w:p>
    <w:p w:rsidR="00C91020" w:rsidRPr="00C91020" w:rsidRDefault="00C91020" w:rsidP="00C91020">
      <w:pPr>
        <w:tabs>
          <w:tab w:val="left" w:pos="851"/>
        </w:tabs>
        <w:ind w:left="851"/>
        <w:rPr>
          <w:sz w:val="24"/>
          <w:szCs w:val="24"/>
          <w:lang w:val="en-GB"/>
        </w:rPr>
      </w:pPr>
      <w:r w:rsidRPr="00C91020">
        <w:rPr>
          <w:sz w:val="24"/>
          <w:szCs w:val="24"/>
          <w:lang w:val="en-GB"/>
        </w:rPr>
        <w:t xml:space="preserve">Treatment of adults with primary hypercholesterolaemia or mixed dyslipidaemia, as an adjunct to diet, when response to diet and other non-pharmacological treatments (e.g. exercise, weight reduction) are inadequate. </w:t>
      </w:r>
    </w:p>
    <w:p w:rsidR="00C91020" w:rsidRPr="00C91020" w:rsidRDefault="00C91020" w:rsidP="00C91020">
      <w:pPr>
        <w:tabs>
          <w:tab w:val="left" w:pos="851"/>
        </w:tabs>
        <w:ind w:left="851"/>
        <w:rPr>
          <w:sz w:val="24"/>
          <w:szCs w:val="24"/>
          <w:lang w:val="en-GB"/>
        </w:rPr>
      </w:pPr>
    </w:p>
    <w:p w:rsidR="00C91020" w:rsidRPr="00C91020" w:rsidRDefault="00C91020" w:rsidP="00C91020">
      <w:pPr>
        <w:tabs>
          <w:tab w:val="left" w:pos="851"/>
        </w:tabs>
        <w:ind w:left="851"/>
        <w:rPr>
          <w:sz w:val="24"/>
          <w:szCs w:val="24"/>
          <w:lang w:val="en-GB"/>
        </w:rPr>
      </w:pPr>
      <w:r w:rsidRPr="00C91020">
        <w:rPr>
          <w:sz w:val="24"/>
          <w:szCs w:val="24"/>
          <w:u w:val="single"/>
          <w:lang w:val="en-GB"/>
        </w:rPr>
        <w:t xml:space="preserve">Secondary prevention in coronary heart disease </w:t>
      </w:r>
    </w:p>
    <w:p w:rsidR="00C91020" w:rsidRPr="00C91020" w:rsidRDefault="00C91020" w:rsidP="00C91020">
      <w:pPr>
        <w:tabs>
          <w:tab w:val="left" w:pos="851"/>
        </w:tabs>
        <w:ind w:left="851"/>
        <w:rPr>
          <w:sz w:val="24"/>
          <w:szCs w:val="24"/>
          <w:lang w:val="en-GB"/>
        </w:rPr>
      </w:pPr>
      <w:r w:rsidRPr="00C91020">
        <w:rPr>
          <w:sz w:val="24"/>
          <w:szCs w:val="24"/>
          <w:lang w:val="en-GB"/>
        </w:rPr>
        <w:t>Secondary prevention of major adverse cardiac events in adults with coronary heart disease after percutaneous coronary interventions (see section 5.1).</w:t>
      </w:r>
    </w:p>
    <w:p w:rsidR="00C91020" w:rsidRPr="00C91020" w:rsidRDefault="00C91020" w:rsidP="00C91020">
      <w:pPr>
        <w:tabs>
          <w:tab w:val="left" w:pos="851"/>
        </w:tabs>
        <w:ind w:left="851"/>
        <w:rPr>
          <w:sz w:val="24"/>
          <w:szCs w:val="24"/>
          <w:lang w:val="en-GB"/>
        </w:rPr>
      </w:pPr>
      <w:r w:rsidRPr="00C91020">
        <w:rPr>
          <w:sz w:val="24"/>
          <w:szCs w:val="24"/>
          <w:lang w:val="en-GB"/>
        </w:rPr>
        <w:t xml:space="preserve"> </w:t>
      </w: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i/>
          <w:iCs/>
          <w:sz w:val="24"/>
          <w:szCs w:val="24"/>
          <w:lang w:val="en-GB"/>
        </w:rPr>
      </w:pPr>
      <w:r w:rsidRPr="0057701C">
        <w:rPr>
          <w:i/>
          <w:iCs/>
          <w:sz w:val="24"/>
          <w:szCs w:val="24"/>
          <w:lang w:val="en-GB"/>
        </w:rPr>
        <w:t xml:space="preserve">Adults </w:t>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sz w:val="24"/>
          <w:szCs w:val="24"/>
          <w:lang w:val="en-GB"/>
        </w:rPr>
      </w:pPr>
      <w:r w:rsidRPr="0057701C">
        <w:rPr>
          <w:sz w:val="24"/>
          <w:szCs w:val="24"/>
          <w:u w:val="single"/>
          <w:lang w:val="en-GB"/>
        </w:rPr>
        <w:t xml:space="preserve">Dyslipidaemia </w:t>
      </w:r>
    </w:p>
    <w:p w:rsidR="0057701C" w:rsidRPr="0057701C" w:rsidRDefault="0057701C" w:rsidP="0057701C">
      <w:pPr>
        <w:tabs>
          <w:tab w:val="left" w:pos="851"/>
        </w:tabs>
        <w:ind w:left="851"/>
        <w:rPr>
          <w:sz w:val="24"/>
          <w:szCs w:val="24"/>
          <w:lang w:val="en-GB"/>
        </w:rPr>
      </w:pPr>
      <w:r w:rsidRPr="0057701C">
        <w:rPr>
          <w:sz w:val="24"/>
          <w:szCs w:val="24"/>
          <w:lang w:val="en-GB"/>
        </w:rPr>
        <w:t>Prior to initiating treatment with fluvastatin, patients should be placed on a standard cholesterol-lowering diet, which should be continued during treatment.</w:t>
      </w:r>
    </w:p>
    <w:p w:rsidR="0057701C" w:rsidRPr="0057701C" w:rsidRDefault="0057701C" w:rsidP="0057701C">
      <w:pPr>
        <w:tabs>
          <w:tab w:val="left" w:pos="851"/>
        </w:tabs>
        <w:ind w:left="851"/>
        <w:rPr>
          <w:sz w:val="24"/>
          <w:szCs w:val="24"/>
          <w:lang w:val="en-GB"/>
        </w:rPr>
      </w:pPr>
      <w:r w:rsidRPr="0057701C">
        <w:rPr>
          <w:sz w:val="24"/>
          <w:szCs w:val="24"/>
          <w:lang w:val="en-GB"/>
        </w:rPr>
        <w:lastRenderedPageBreak/>
        <w:t xml:space="preserve">Starting and maintenance doses should be individualized according to the baseline </w:t>
      </w:r>
      <w:smartTag w:uri="urn:schemas-microsoft-com:office:smarttags" w:element="stockticker">
        <w:r w:rsidRPr="0057701C">
          <w:rPr>
            <w:sz w:val="24"/>
            <w:szCs w:val="24"/>
            <w:lang w:val="en-GB"/>
          </w:rPr>
          <w:t>LDL</w:t>
        </w:r>
      </w:smartTag>
      <w:r w:rsidRPr="0057701C">
        <w:rPr>
          <w:sz w:val="24"/>
          <w:szCs w:val="24"/>
          <w:lang w:val="en-GB"/>
        </w:rPr>
        <w:t xml:space="preserve">-C levels and the treatment goal to be accomplished. </w:t>
      </w:r>
    </w:p>
    <w:p w:rsidR="0057701C" w:rsidRPr="0057701C" w:rsidRDefault="0057701C" w:rsidP="0057701C">
      <w:pPr>
        <w:tabs>
          <w:tab w:val="left" w:pos="851"/>
        </w:tabs>
        <w:ind w:left="851"/>
        <w:rPr>
          <w:sz w:val="24"/>
          <w:szCs w:val="24"/>
          <w:lang w:val="en-GB"/>
        </w:rPr>
      </w:pPr>
      <w:r w:rsidRPr="0057701C">
        <w:rPr>
          <w:sz w:val="24"/>
          <w:szCs w:val="24"/>
          <w:lang w:val="en-GB"/>
        </w:rPr>
        <w:t xml:space="preserve">The recommended dosing range is 20* to 80 mg/day. For patients requiring </w:t>
      </w:r>
      <w:smartTag w:uri="urn:schemas-microsoft-com:office:smarttags" w:element="stockticker">
        <w:r w:rsidRPr="0057701C">
          <w:rPr>
            <w:sz w:val="24"/>
            <w:szCs w:val="24"/>
            <w:lang w:val="en-GB"/>
          </w:rPr>
          <w:t>LDL</w:t>
        </w:r>
      </w:smartTag>
      <w:r w:rsidRPr="0057701C">
        <w:rPr>
          <w:sz w:val="24"/>
          <w:szCs w:val="24"/>
          <w:lang w:val="en-GB"/>
        </w:rPr>
        <w:t xml:space="preserve">-C reduction to a goal of &lt; 25% a starting dose of 20 mg* may be used as one single dose in the evening. For patients requiring </w:t>
      </w:r>
      <w:smartTag w:uri="urn:schemas-microsoft-com:office:smarttags" w:element="stockticker">
        <w:r w:rsidRPr="0057701C">
          <w:rPr>
            <w:sz w:val="24"/>
            <w:szCs w:val="24"/>
            <w:lang w:val="en-GB"/>
          </w:rPr>
          <w:t>LDL</w:t>
        </w:r>
      </w:smartTag>
      <w:r w:rsidRPr="0057701C">
        <w:rPr>
          <w:sz w:val="24"/>
          <w:szCs w:val="24"/>
          <w:lang w:val="en-GB"/>
        </w:rPr>
        <w:t>-C reduction to a goal of ≥25%, the recommended starting dose is 40 mg* as one single dose in the evening. The dose may be up-titrated to 80 mg daily, administered as a single dose (one Fluvastasof 80 mg prolonged-release tablet) at any time of the day or as one 40 mg* dose given twice daily (one in the morning and one in the evening).</w:t>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sz w:val="24"/>
          <w:szCs w:val="24"/>
          <w:lang w:val="en-GB"/>
        </w:rPr>
      </w:pPr>
      <w:r w:rsidRPr="0057701C">
        <w:rPr>
          <w:sz w:val="24"/>
          <w:szCs w:val="24"/>
          <w:lang w:val="en-GB"/>
        </w:rPr>
        <w:t xml:space="preserve">The maximum lipid-lowering effect with a given dose is achieved within 4 weeks. Dose adjustments should be made at intervals of 4 weeks or more. </w:t>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sz w:val="24"/>
          <w:szCs w:val="24"/>
          <w:u w:val="single"/>
          <w:lang w:val="en-GB"/>
        </w:rPr>
      </w:pPr>
      <w:r w:rsidRPr="0057701C">
        <w:rPr>
          <w:sz w:val="24"/>
          <w:szCs w:val="24"/>
          <w:u w:val="single"/>
          <w:lang w:val="en-GB"/>
        </w:rPr>
        <w:t xml:space="preserve">Secondary prevention in coronary heart disease </w:t>
      </w:r>
    </w:p>
    <w:p w:rsidR="0057701C" w:rsidRPr="0057701C" w:rsidRDefault="0057701C" w:rsidP="0057701C">
      <w:pPr>
        <w:tabs>
          <w:tab w:val="left" w:pos="851"/>
        </w:tabs>
        <w:ind w:left="851"/>
        <w:rPr>
          <w:sz w:val="24"/>
          <w:szCs w:val="24"/>
          <w:lang w:val="en-GB"/>
        </w:rPr>
      </w:pPr>
      <w:r w:rsidRPr="0057701C">
        <w:rPr>
          <w:sz w:val="24"/>
          <w:szCs w:val="24"/>
          <w:lang w:val="en-GB"/>
        </w:rPr>
        <w:t xml:space="preserve">In patients with coronary heart disease after percutaneous coronary interventions the appropriate daily dose is 80 mg. </w:t>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sz w:val="24"/>
          <w:szCs w:val="24"/>
          <w:lang w:val="en-GB"/>
        </w:rPr>
      </w:pPr>
      <w:r w:rsidRPr="0057701C">
        <w:rPr>
          <w:sz w:val="24"/>
          <w:szCs w:val="24"/>
          <w:lang w:val="en-GB"/>
        </w:rPr>
        <w:t xml:space="preserve">Fluvastatin is efficacious in monotherapy. When fluvastatin is used in combination with cholestyramine or other resins, it should be administered at least 4 hours after the resin to avoid significant interaction due to binding of the drug to the resin. In cases where co-administration with a fibrate or niacin is necessary, the benefit and the risk of concurrent treatment should be carefully considered (for use with fibrates or niacin see section 4.5). </w:t>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i/>
          <w:iCs/>
          <w:sz w:val="24"/>
          <w:szCs w:val="24"/>
          <w:lang w:val="en-GB"/>
        </w:rPr>
      </w:pPr>
      <w:r w:rsidRPr="0057701C">
        <w:rPr>
          <w:i/>
          <w:iCs/>
          <w:sz w:val="24"/>
          <w:szCs w:val="24"/>
          <w:lang w:val="en-GB"/>
        </w:rPr>
        <w:t>Paediatric population</w:t>
      </w:r>
    </w:p>
    <w:p w:rsidR="0057701C" w:rsidRPr="0057701C" w:rsidRDefault="0057701C" w:rsidP="0057701C">
      <w:pPr>
        <w:tabs>
          <w:tab w:val="left" w:pos="851"/>
        </w:tabs>
        <w:ind w:left="851"/>
        <w:rPr>
          <w:i/>
          <w:iCs/>
          <w:sz w:val="24"/>
          <w:szCs w:val="24"/>
          <w:lang w:val="en-GB"/>
        </w:rPr>
      </w:pPr>
    </w:p>
    <w:p w:rsidR="0057701C" w:rsidRPr="0057701C" w:rsidRDefault="0057701C" w:rsidP="0057701C">
      <w:pPr>
        <w:tabs>
          <w:tab w:val="left" w:pos="851"/>
        </w:tabs>
        <w:ind w:left="851"/>
        <w:rPr>
          <w:sz w:val="24"/>
          <w:szCs w:val="24"/>
          <w:u w:val="single"/>
          <w:lang w:val="en-GB"/>
        </w:rPr>
      </w:pPr>
      <w:r w:rsidRPr="0057701C">
        <w:rPr>
          <w:sz w:val="24"/>
          <w:szCs w:val="24"/>
          <w:u w:val="single"/>
          <w:lang w:val="en-GB"/>
        </w:rPr>
        <w:t>Children and adolescents with heterozygous familial hypercholesterolaemia</w:t>
      </w:r>
    </w:p>
    <w:p w:rsidR="0057701C" w:rsidRPr="0057701C" w:rsidRDefault="0057701C" w:rsidP="0057701C">
      <w:pPr>
        <w:tabs>
          <w:tab w:val="left" w:pos="851"/>
        </w:tabs>
        <w:ind w:left="851"/>
        <w:rPr>
          <w:sz w:val="24"/>
          <w:szCs w:val="24"/>
          <w:lang w:val="en-GB"/>
        </w:rPr>
      </w:pPr>
      <w:r w:rsidRPr="0057701C">
        <w:rPr>
          <w:sz w:val="24"/>
          <w:szCs w:val="24"/>
          <w:lang w:val="en-GB"/>
        </w:rPr>
        <w:t>Prior to initiating treatment with fluvastatin in children and adolescents aged 9 years and older with heterozygous familial hypercholesterolaemia, the patient should be placed on a standard cholesterol-lowering diet, and continued during treatment.</w:t>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sz w:val="24"/>
          <w:szCs w:val="24"/>
          <w:lang w:val="en-GB"/>
        </w:rPr>
      </w:pPr>
      <w:r w:rsidRPr="0057701C">
        <w:rPr>
          <w:sz w:val="24"/>
          <w:szCs w:val="24"/>
          <w:lang w:val="en-GB"/>
        </w:rPr>
        <w:t xml:space="preserve">The recommended starting dose is 20 mg*. Dose adjustments should be made at 6-week intervals. Doses should be individualised according to baseline </w:t>
      </w:r>
      <w:smartTag w:uri="urn:schemas-microsoft-com:office:smarttags" w:element="stockticker">
        <w:r w:rsidRPr="0057701C">
          <w:rPr>
            <w:sz w:val="24"/>
            <w:szCs w:val="24"/>
            <w:lang w:val="en-GB"/>
          </w:rPr>
          <w:t>LDL</w:t>
        </w:r>
      </w:smartTag>
      <w:r w:rsidRPr="0057701C">
        <w:rPr>
          <w:sz w:val="24"/>
          <w:szCs w:val="24"/>
          <w:lang w:val="en-GB"/>
        </w:rPr>
        <w:t>-C levels and the recommended goal of therapy to be accomplished. The maximum daily dose administered is 80 mg either as 40 mg* dose twice daily or as one fluvastatin 80 mg prolonged-release tablet once daily.</w:t>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sz w:val="24"/>
          <w:szCs w:val="24"/>
          <w:lang w:val="en-GB"/>
        </w:rPr>
      </w:pPr>
      <w:r w:rsidRPr="0057701C">
        <w:rPr>
          <w:sz w:val="24"/>
          <w:szCs w:val="24"/>
          <w:lang w:val="en-GB"/>
        </w:rPr>
        <w:t>The use of fluvastatin in combination with nicotinic acid, cholestyramine, or fibrates in children and adolescents has not been investigated.</w:t>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sz w:val="24"/>
          <w:szCs w:val="24"/>
          <w:lang w:val="en-GB"/>
        </w:rPr>
      </w:pPr>
      <w:r w:rsidRPr="0057701C">
        <w:rPr>
          <w:sz w:val="24"/>
          <w:szCs w:val="24"/>
          <w:lang w:val="en-GB"/>
        </w:rPr>
        <w:t xml:space="preserve">Fluvastatin has only been investigated in children of 9 years and older with heterozygous familial hypercholesterolaemia. </w:t>
      </w:r>
    </w:p>
    <w:p w:rsidR="0057701C" w:rsidRPr="0057701C" w:rsidRDefault="0057701C" w:rsidP="0057701C">
      <w:pPr>
        <w:tabs>
          <w:tab w:val="left" w:pos="851"/>
        </w:tabs>
        <w:ind w:left="851"/>
        <w:rPr>
          <w:i/>
          <w:sz w:val="24"/>
          <w:szCs w:val="24"/>
          <w:lang w:val="en-GB"/>
        </w:rPr>
      </w:pPr>
    </w:p>
    <w:p w:rsidR="0057701C" w:rsidRPr="0057701C" w:rsidRDefault="0057701C" w:rsidP="0057701C">
      <w:pPr>
        <w:tabs>
          <w:tab w:val="left" w:pos="851"/>
        </w:tabs>
        <w:ind w:left="851"/>
        <w:rPr>
          <w:i/>
          <w:sz w:val="24"/>
          <w:szCs w:val="24"/>
          <w:lang w:val="en-GB"/>
        </w:rPr>
      </w:pPr>
      <w:r w:rsidRPr="0057701C">
        <w:rPr>
          <w:i/>
          <w:sz w:val="24"/>
          <w:szCs w:val="24"/>
          <w:u w:val="single"/>
          <w:lang w:val="en-GB"/>
        </w:rPr>
        <w:t>Renal impairment</w:t>
      </w:r>
    </w:p>
    <w:p w:rsidR="0057701C" w:rsidRPr="0057701C" w:rsidRDefault="0057701C" w:rsidP="0057701C">
      <w:pPr>
        <w:tabs>
          <w:tab w:val="left" w:pos="851"/>
        </w:tabs>
        <w:ind w:left="851"/>
        <w:rPr>
          <w:sz w:val="24"/>
          <w:szCs w:val="24"/>
          <w:lang w:val="en-GB"/>
        </w:rPr>
      </w:pPr>
      <w:r w:rsidRPr="0057701C">
        <w:rPr>
          <w:sz w:val="24"/>
          <w:szCs w:val="24"/>
          <w:lang w:val="en-GB"/>
        </w:rPr>
        <w:t>Fluvastatin is cleared by the liver, with less than 6% of the administered dose excreted into the urine. The pharmacokinetics of fluvastatin remain unchanged in patients with mild to severe renal insufficiency.</w:t>
      </w:r>
    </w:p>
    <w:p w:rsidR="0057701C" w:rsidRPr="0057701C" w:rsidRDefault="0057701C" w:rsidP="0057701C">
      <w:pPr>
        <w:tabs>
          <w:tab w:val="left" w:pos="851"/>
        </w:tabs>
        <w:ind w:left="851"/>
        <w:rPr>
          <w:sz w:val="24"/>
          <w:szCs w:val="24"/>
          <w:lang w:val="en-GB"/>
        </w:rPr>
      </w:pPr>
      <w:r w:rsidRPr="0057701C">
        <w:rPr>
          <w:sz w:val="24"/>
          <w:szCs w:val="24"/>
          <w:lang w:val="en-GB"/>
        </w:rPr>
        <w:t>No dose adjustments are therefore necessary in these patients, however, due to limited experience with doses &gt; 40mg/day in case of severe renal impairment (CrCL &lt; 0.5 mL/sec or 30 mL/min), these doses should be initiated with caution.</w:t>
      </w:r>
    </w:p>
    <w:p w:rsidR="0057701C" w:rsidRDefault="0057701C">
      <w:pPr>
        <w:rPr>
          <w:sz w:val="24"/>
          <w:szCs w:val="24"/>
          <w:lang w:val="en-GB"/>
        </w:rPr>
      </w:pPr>
      <w:r>
        <w:rPr>
          <w:sz w:val="24"/>
          <w:szCs w:val="24"/>
          <w:lang w:val="en-GB"/>
        </w:rPr>
        <w:br w:type="page"/>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i/>
          <w:sz w:val="24"/>
          <w:szCs w:val="24"/>
          <w:lang w:val="en-GB"/>
        </w:rPr>
      </w:pPr>
      <w:r w:rsidRPr="0057701C">
        <w:rPr>
          <w:i/>
          <w:sz w:val="24"/>
          <w:szCs w:val="24"/>
          <w:u w:val="single"/>
          <w:lang w:val="en-GB"/>
        </w:rPr>
        <w:t>Hepatic impairment</w:t>
      </w:r>
    </w:p>
    <w:p w:rsidR="0057701C" w:rsidRPr="0057701C" w:rsidRDefault="0057701C" w:rsidP="0057701C">
      <w:pPr>
        <w:tabs>
          <w:tab w:val="left" w:pos="851"/>
        </w:tabs>
        <w:ind w:left="851"/>
        <w:rPr>
          <w:sz w:val="24"/>
          <w:szCs w:val="24"/>
          <w:lang w:val="en-GB"/>
        </w:rPr>
      </w:pPr>
      <w:r w:rsidRPr="0057701C">
        <w:rPr>
          <w:sz w:val="24"/>
          <w:szCs w:val="24"/>
          <w:lang w:val="en-GB"/>
        </w:rPr>
        <w:t xml:space="preserve">Fluvastatin is contraindicated in patients with active liver disease, or unexplained, persistent elevations in serum transaminases (see sections 4.3, 4.4 and 5.2). </w:t>
      </w:r>
    </w:p>
    <w:p w:rsidR="0057701C" w:rsidRPr="0057701C" w:rsidRDefault="0057701C" w:rsidP="0057701C">
      <w:pPr>
        <w:tabs>
          <w:tab w:val="left" w:pos="851"/>
        </w:tabs>
        <w:ind w:left="851"/>
        <w:rPr>
          <w:i/>
          <w:iCs/>
          <w:sz w:val="24"/>
          <w:szCs w:val="24"/>
          <w:u w:val="single"/>
          <w:lang w:val="en-GB"/>
        </w:rPr>
      </w:pPr>
    </w:p>
    <w:p w:rsidR="0057701C" w:rsidRPr="0057701C" w:rsidRDefault="0057701C" w:rsidP="0057701C">
      <w:pPr>
        <w:tabs>
          <w:tab w:val="left" w:pos="851"/>
        </w:tabs>
        <w:ind w:left="851"/>
        <w:rPr>
          <w:sz w:val="24"/>
          <w:szCs w:val="24"/>
          <w:lang w:val="en-GB"/>
        </w:rPr>
      </w:pPr>
      <w:r w:rsidRPr="0057701C">
        <w:rPr>
          <w:i/>
          <w:iCs/>
          <w:sz w:val="24"/>
          <w:szCs w:val="24"/>
          <w:u w:val="single"/>
          <w:lang w:val="en-GB"/>
        </w:rPr>
        <w:t xml:space="preserve">Elderly  </w:t>
      </w:r>
    </w:p>
    <w:p w:rsidR="0057701C" w:rsidRPr="0057701C" w:rsidRDefault="0057701C" w:rsidP="0057701C">
      <w:pPr>
        <w:tabs>
          <w:tab w:val="left" w:pos="851"/>
        </w:tabs>
        <w:ind w:left="851"/>
        <w:rPr>
          <w:sz w:val="24"/>
          <w:szCs w:val="24"/>
          <w:lang w:val="en-GB"/>
        </w:rPr>
      </w:pPr>
      <w:r w:rsidRPr="0057701C">
        <w:rPr>
          <w:sz w:val="24"/>
          <w:szCs w:val="24"/>
          <w:lang w:val="en-GB"/>
        </w:rPr>
        <w:t xml:space="preserve">No dose adjustments are necessary in this population. </w:t>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sz w:val="24"/>
          <w:szCs w:val="24"/>
          <w:lang w:val="en-GB"/>
        </w:rPr>
      </w:pPr>
      <w:r w:rsidRPr="0057701C">
        <w:rPr>
          <w:i/>
          <w:iCs/>
          <w:sz w:val="24"/>
          <w:szCs w:val="24"/>
          <w:u w:val="single"/>
          <w:lang w:val="en-GB"/>
        </w:rPr>
        <w:t xml:space="preserve">Method of administration </w:t>
      </w:r>
    </w:p>
    <w:p w:rsidR="0057701C" w:rsidRPr="0057701C" w:rsidRDefault="0057701C" w:rsidP="0057701C">
      <w:pPr>
        <w:tabs>
          <w:tab w:val="left" w:pos="851"/>
        </w:tabs>
        <w:ind w:left="851"/>
        <w:rPr>
          <w:sz w:val="24"/>
          <w:szCs w:val="24"/>
          <w:lang w:val="en-GB"/>
        </w:rPr>
      </w:pPr>
      <w:r w:rsidRPr="0057701C">
        <w:rPr>
          <w:sz w:val="24"/>
          <w:szCs w:val="24"/>
          <w:lang w:val="en-GB"/>
        </w:rPr>
        <w:t xml:space="preserve">Fluvastasof can be taken with or without meals and should be swallowed as whole with a glass of water. </w:t>
      </w:r>
    </w:p>
    <w:p w:rsidR="0057701C" w:rsidRPr="0057701C" w:rsidRDefault="0057701C" w:rsidP="0057701C">
      <w:pPr>
        <w:tabs>
          <w:tab w:val="left" w:pos="851"/>
        </w:tabs>
        <w:ind w:left="851"/>
        <w:rPr>
          <w:sz w:val="24"/>
          <w:szCs w:val="24"/>
          <w:lang w:val="en-GB"/>
        </w:rPr>
      </w:pPr>
    </w:p>
    <w:p w:rsidR="0057701C" w:rsidRPr="0057701C" w:rsidRDefault="0057701C" w:rsidP="0057701C">
      <w:pPr>
        <w:tabs>
          <w:tab w:val="left" w:pos="851"/>
        </w:tabs>
        <w:ind w:left="851"/>
        <w:rPr>
          <w:iCs/>
          <w:sz w:val="24"/>
          <w:szCs w:val="24"/>
          <w:lang w:val="en-GB"/>
        </w:rPr>
      </w:pPr>
      <w:r w:rsidRPr="0057701C">
        <w:rPr>
          <w:sz w:val="24"/>
          <w:szCs w:val="24"/>
          <w:lang w:val="en-GB"/>
        </w:rPr>
        <w:t>*</w:t>
      </w:r>
      <w:r w:rsidRPr="0057701C">
        <w:rPr>
          <w:iCs/>
          <w:sz w:val="24"/>
          <w:szCs w:val="24"/>
          <w:lang w:val="en-GB"/>
        </w:rPr>
        <w:t xml:space="preserve">Fluvastasof 80 mg prolonged release tablets are </w:t>
      </w:r>
      <w:r w:rsidRPr="0057701C">
        <w:rPr>
          <w:b/>
          <w:iCs/>
          <w:sz w:val="24"/>
          <w:szCs w:val="24"/>
          <w:u w:val="single"/>
          <w:lang w:val="en-GB"/>
        </w:rPr>
        <w:t>not</w:t>
      </w:r>
      <w:r w:rsidRPr="0057701C">
        <w:rPr>
          <w:iCs/>
          <w:sz w:val="24"/>
          <w:szCs w:val="24"/>
          <w:lang w:val="en-GB"/>
        </w:rPr>
        <w:t xml:space="preserve"> suitable for this dose regimen. For this purpose alternative pharmaceutical forms and strengths (20 mg and 40 mg) are appropriate and available.</w:t>
      </w:r>
    </w:p>
    <w:p w:rsidR="007C5D2A" w:rsidRPr="0057701C" w:rsidRDefault="007C5D2A" w:rsidP="00A85D26">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693207" w:rsidRPr="00693207" w:rsidRDefault="00693207" w:rsidP="00693207">
      <w:pPr>
        <w:tabs>
          <w:tab w:val="left" w:pos="851"/>
        </w:tabs>
        <w:ind w:left="851"/>
        <w:rPr>
          <w:sz w:val="24"/>
          <w:szCs w:val="24"/>
          <w:lang w:val="en-GB"/>
        </w:rPr>
      </w:pPr>
      <w:r w:rsidRPr="00693207">
        <w:rPr>
          <w:sz w:val="24"/>
          <w:szCs w:val="24"/>
          <w:lang w:val="en-GB"/>
        </w:rPr>
        <w:t xml:space="preserve">Fluvastatin is contraindicated: </w:t>
      </w:r>
    </w:p>
    <w:p w:rsidR="00693207" w:rsidRPr="00693207" w:rsidRDefault="00693207" w:rsidP="00C75AF7">
      <w:pPr>
        <w:numPr>
          <w:ilvl w:val="0"/>
          <w:numId w:val="5"/>
        </w:numPr>
        <w:tabs>
          <w:tab w:val="left" w:pos="851"/>
        </w:tabs>
        <w:ind w:left="1134" w:hanging="283"/>
        <w:rPr>
          <w:sz w:val="24"/>
          <w:szCs w:val="24"/>
          <w:lang w:val="en-GB"/>
        </w:rPr>
      </w:pPr>
      <w:r w:rsidRPr="00693207">
        <w:rPr>
          <w:sz w:val="24"/>
          <w:szCs w:val="24"/>
          <w:lang w:val="en-GB"/>
        </w:rPr>
        <w:t>in patients with known hypersensitivity to fluvastatin or to any of the excipients listed in section 6.1.</w:t>
      </w:r>
    </w:p>
    <w:p w:rsidR="00693207" w:rsidRPr="00693207" w:rsidRDefault="00693207" w:rsidP="00C75AF7">
      <w:pPr>
        <w:numPr>
          <w:ilvl w:val="0"/>
          <w:numId w:val="5"/>
        </w:numPr>
        <w:tabs>
          <w:tab w:val="left" w:pos="851"/>
        </w:tabs>
        <w:ind w:left="1134" w:hanging="283"/>
        <w:rPr>
          <w:sz w:val="24"/>
          <w:szCs w:val="24"/>
          <w:lang w:val="en-GB"/>
        </w:rPr>
      </w:pPr>
      <w:r w:rsidRPr="00693207">
        <w:rPr>
          <w:sz w:val="24"/>
          <w:szCs w:val="24"/>
          <w:lang w:val="en-GB"/>
        </w:rPr>
        <w:t>in patients with active liver disease, or unexplained, persistent elevations in serum transaminases (see section 4.2, 4.4 and 4.8).</w:t>
      </w:r>
    </w:p>
    <w:p w:rsidR="00693207" w:rsidRPr="00693207" w:rsidRDefault="00693207" w:rsidP="00C75AF7">
      <w:pPr>
        <w:numPr>
          <w:ilvl w:val="0"/>
          <w:numId w:val="5"/>
        </w:numPr>
        <w:tabs>
          <w:tab w:val="left" w:pos="851"/>
        </w:tabs>
        <w:ind w:left="1134" w:hanging="283"/>
        <w:rPr>
          <w:sz w:val="24"/>
          <w:szCs w:val="24"/>
          <w:lang w:val="en-GB"/>
        </w:rPr>
      </w:pPr>
      <w:r w:rsidRPr="00693207">
        <w:rPr>
          <w:sz w:val="24"/>
          <w:szCs w:val="24"/>
          <w:lang w:val="en-GB"/>
        </w:rPr>
        <w:t>during pregnancy and breast-feeding (see section 4.6).</w:t>
      </w:r>
    </w:p>
    <w:p w:rsidR="007C5D2A" w:rsidRPr="00693207" w:rsidRDefault="007C5D2A"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u w:val="single"/>
          <w:lang w:val="en-GB"/>
        </w:rPr>
      </w:pPr>
      <w:r w:rsidRPr="00C75AF7">
        <w:rPr>
          <w:sz w:val="24"/>
          <w:szCs w:val="24"/>
          <w:u w:val="single"/>
          <w:lang w:val="en-GB"/>
        </w:rPr>
        <w:t xml:space="preserve">Liver function </w:t>
      </w:r>
    </w:p>
    <w:p w:rsidR="00C75AF7" w:rsidRPr="00C75AF7" w:rsidRDefault="00C75AF7" w:rsidP="00C75AF7">
      <w:pPr>
        <w:tabs>
          <w:tab w:val="left" w:pos="851"/>
        </w:tabs>
        <w:ind w:left="851"/>
        <w:rPr>
          <w:sz w:val="24"/>
          <w:szCs w:val="24"/>
          <w:lang w:val="en-GB"/>
        </w:rPr>
      </w:pPr>
      <w:r w:rsidRPr="00C75AF7">
        <w:rPr>
          <w:sz w:val="24"/>
          <w:szCs w:val="24"/>
          <w:lang w:val="en-GB"/>
        </w:rPr>
        <w:t>Post marketing cases of fatal and non-fatal hepatic failures have been reported with some statins including fluvastatin. Although a causal relationship with fluvastatin treatment has not been determined, patients should be advised to report any potential symptoms or signs of hepatic failure (e.g. nausea, vomiting, loss of appetite, jaundice, impaired brain function, easy bruising or bleeding), and treatment discontinuation should be considered.</w:t>
      </w:r>
    </w:p>
    <w:p w:rsidR="00C75AF7" w:rsidRPr="00C75AF7" w:rsidRDefault="00C75AF7" w:rsidP="00C75AF7">
      <w:pPr>
        <w:tabs>
          <w:tab w:val="left" w:pos="851"/>
        </w:tabs>
        <w:ind w:left="851"/>
        <w:rPr>
          <w:sz w:val="24"/>
          <w:szCs w:val="24"/>
          <w:lang w:val="en-GB"/>
        </w:rPr>
      </w:pPr>
      <w:r w:rsidRPr="00C75AF7">
        <w:rPr>
          <w:sz w:val="24"/>
          <w:szCs w:val="24"/>
          <w:lang w:val="en-GB"/>
        </w:rPr>
        <w:t xml:space="preserve">As with other lipid-lowering agents, it is recommended that liver function tests be performed before the initiation of treatment and at 12 weeks following initiation of treatment or elevation in dose and periodically thereafter in all patients. Should an increase in aspartate aminotransferase or alanine aminotransferase exceed 3 times the upper limit of normal and persist, therapy should be discontinued. In very rare cases, possibly drug-related hepatitis was observed that resolved upon discontinuation of treatment. </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lang w:val="en-GB"/>
        </w:rPr>
      </w:pPr>
      <w:r w:rsidRPr="00C75AF7">
        <w:rPr>
          <w:sz w:val="24"/>
          <w:szCs w:val="24"/>
          <w:lang w:val="en-GB"/>
        </w:rPr>
        <w:t xml:space="preserve">Caution should be exercised when fluvastatin is administered to patients with a history of liver disease or heavy alcohol ingestion. </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u w:val="single"/>
          <w:lang w:val="en-GB"/>
        </w:rPr>
      </w:pPr>
      <w:r w:rsidRPr="00C75AF7">
        <w:rPr>
          <w:sz w:val="24"/>
          <w:szCs w:val="24"/>
          <w:u w:val="single"/>
          <w:lang w:val="en-GB"/>
        </w:rPr>
        <w:t xml:space="preserve">Skeletal muscle </w:t>
      </w:r>
    </w:p>
    <w:p w:rsidR="00C75AF7" w:rsidRPr="00C75AF7" w:rsidRDefault="00C75AF7" w:rsidP="00C75AF7">
      <w:pPr>
        <w:tabs>
          <w:tab w:val="left" w:pos="851"/>
        </w:tabs>
        <w:ind w:left="851"/>
        <w:rPr>
          <w:sz w:val="24"/>
          <w:szCs w:val="24"/>
          <w:lang w:val="en-GB"/>
        </w:rPr>
      </w:pPr>
      <w:r w:rsidRPr="00C75AF7">
        <w:rPr>
          <w:sz w:val="24"/>
          <w:szCs w:val="24"/>
          <w:lang w:val="en-GB"/>
        </w:rPr>
        <w:t xml:space="preserve">Myopathy has rarely been reported with fluvastatin. Myositis and rhabdomyolysis have been reported very rarely. In patients with unexplained diffuse myalgias, muscle tenderness or muscle weakness, and/or marked elevation of creatine kinase (CK) values, myopathy, myositis or rhabdomyolysis have to be considered. Patients should therefore be advised to promptly report unexplained muscle pain, muscle tenderness or muscle weakness, particularly if accompanied by malaise or fever. </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lang w:val="en-GB"/>
        </w:rPr>
      </w:pPr>
      <w:r w:rsidRPr="00C75AF7">
        <w:rPr>
          <w:sz w:val="24"/>
          <w:szCs w:val="24"/>
          <w:lang w:val="en-GB"/>
        </w:rPr>
        <w:t>There have been very rare reports of an immune-mediated necrotizing myopathy (IMNM) during or after treatment with some statins. IMNM is clinically characterized by persistent proximal muscle weakness and elevated serum creatine kinase, which persist despite discontinuation of statin treatment.</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lang w:val="en-US"/>
        </w:rPr>
      </w:pPr>
      <w:r w:rsidRPr="00C75AF7">
        <w:rPr>
          <w:sz w:val="24"/>
          <w:szCs w:val="24"/>
          <w:lang w:val="en-GB"/>
        </w:rPr>
        <w:t>In</w:t>
      </w:r>
      <w:r w:rsidRPr="00C75AF7">
        <w:rPr>
          <w:sz w:val="24"/>
          <w:szCs w:val="24"/>
          <w:lang w:val="en-US"/>
        </w:rPr>
        <w:t xml:space="preserve"> few cases, statins have been reported to induce de novo or aggravate pre-existing myasthenia gravis or ocular myasthenia (see section 4.8). </w:t>
      </w:r>
      <w:r w:rsidRPr="00C75AF7">
        <w:rPr>
          <w:sz w:val="24"/>
          <w:szCs w:val="24"/>
          <w:lang w:val="en-GB"/>
        </w:rPr>
        <w:t>Fluvastasof</w:t>
      </w:r>
      <w:r w:rsidRPr="00C75AF7">
        <w:rPr>
          <w:sz w:val="24"/>
          <w:szCs w:val="24"/>
          <w:lang w:val="en-US"/>
        </w:rPr>
        <w:t xml:space="preserve"> should be discontinued in case of aggravation of symptoms. Recurrences when the same or a different statin was (re-) administered have been reported.</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u w:val="single"/>
          <w:lang w:val="en-GB"/>
        </w:rPr>
      </w:pPr>
      <w:r w:rsidRPr="00C75AF7">
        <w:rPr>
          <w:sz w:val="24"/>
          <w:szCs w:val="24"/>
          <w:u w:val="single"/>
          <w:lang w:val="en-GB"/>
        </w:rPr>
        <w:t>Interaction with fusidic acid</w:t>
      </w:r>
    </w:p>
    <w:p w:rsidR="00C75AF7" w:rsidRPr="00C75AF7" w:rsidRDefault="00C75AF7" w:rsidP="00C75AF7">
      <w:pPr>
        <w:tabs>
          <w:tab w:val="left" w:pos="851"/>
        </w:tabs>
        <w:ind w:left="851"/>
        <w:rPr>
          <w:sz w:val="24"/>
          <w:szCs w:val="24"/>
          <w:lang w:val="en-GB"/>
        </w:rPr>
      </w:pPr>
      <w:r w:rsidRPr="00C75AF7">
        <w:rPr>
          <w:sz w:val="24"/>
          <w:szCs w:val="24"/>
          <w:lang w:val="en-GB"/>
        </w:rPr>
        <w:t>Fluvastasof must not be co-administered with systemic formulations of fusidic acid or within 7 days of stopping fusidic acid treatment. In patients where the use of systemic fusidic acid is considered essential, statin treatment should be discontinued throughout the duration of fusidic acid treatment. There have been reports of rhabdomyolysis (including some fatalities) in patients receiving fusidic acid and statins in combination (see section 4.5). The patient should be advised to seek medical advice immediately if they experience any symptoms of muscle weakness, pain or tenderness.</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lang w:val="en-GB"/>
        </w:rPr>
      </w:pPr>
      <w:r w:rsidRPr="00C75AF7">
        <w:rPr>
          <w:sz w:val="24"/>
          <w:szCs w:val="24"/>
          <w:lang w:val="en-GB"/>
        </w:rPr>
        <w:t>Statin therapy may be re-introduced seven days after the last dose of fusidic acid.</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lang w:val="en-GB"/>
        </w:rPr>
      </w:pPr>
      <w:r w:rsidRPr="00C75AF7">
        <w:rPr>
          <w:sz w:val="24"/>
          <w:szCs w:val="24"/>
          <w:lang w:val="en-GB"/>
        </w:rPr>
        <w:t>In exceptional circumstances, where prolonged systemic fusidic acid is needed, e.g., for the treatment of severe infections, the need for co-administration of Fluvastasof and fusidic acid should only be considered on a case by case basis and under close medical supervision.</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u w:val="single"/>
          <w:lang w:val="en-GB"/>
        </w:rPr>
      </w:pPr>
      <w:r w:rsidRPr="00C75AF7">
        <w:rPr>
          <w:sz w:val="24"/>
          <w:szCs w:val="24"/>
          <w:u w:val="single"/>
          <w:lang w:val="en-GB"/>
        </w:rPr>
        <w:t xml:space="preserve">Creatine kinase measurement </w:t>
      </w:r>
    </w:p>
    <w:p w:rsidR="00C75AF7" w:rsidRPr="00C75AF7" w:rsidRDefault="00C75AF7" w:rsidP="00C75AF7">
      <w:pPr>
        <w:tabs>
          <w:tab w:val="left" w:pos="851"/>
        </w:tabs>
        <w:ind w:left="851"/>
        <w:rPr>
          <w:sz w:val="24"/>
          <w:szCs w:val="24"/>
          <w:lang w:val="en-GB"/>
        </w:rPr>
      </w:pPr>
      <w:r w:rsidRPr="00C75AF7">
        <w:rPr>
          <w:sz w:val="24"/>
          <w:szCs w:val="24"/>
          <w:lang w:val="en-GB"/>
        </w:rPr>
        <w:t xml:space="preserve">There is no current evidence to require routine monitoring of plasma total CK or other muscle enzyme levels in asymptomatic patients on statins. If CK has to be measured it should not be done following strenuous exercise or in the presence of any plausible alternative cause of CK-increase as this makes the value interpretation difficult.  </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i/>
          <w:sz w:val="24"/>
          <w:szCs w:val="24"/>
          <w:u w:val="single"/>
          <w:lang w:val="en-GB"/>
        </w:rPr>
      </w:pPr>
      <w:r w:rsidRPr="00C75AF7">
        <w:rPr>
          <w:i/>
          <w:sz w:val="24"/>
          <w:szCs w:val="24"/>
          <w:u w:val="single"/>
          <w:lang w:val="en-GB"/>
        </w:rPr>
        <w:t xml:space="preserve">Before treatment </w:t>
      </w:r>
    </w:p>
    <w:p w:rsidR="00C75AF7" w:rsidRPr="00C75AF7" w:rsidRDefault="00C75AF7" w:rsidP="00C75AF7">
      <w:pPr>
        <w:tabs>
          <w:tab w:val="left" w:pos="851"/>
        </w:tabs>
        <w:ind w:left="851"/>
        <w:rPr>
          <w:sz w:val="24"/>
          <w:szCs w:val="24"/>
          <w:lang w:val="en-GB"/>
        </w:rPr>
      </w:pPr>
      <w:r w:rsidRPr="00C75AF7">
        <w:rPr>
          <w:sz w:val="24"/>
          <w:szCs w:val="24"/>
          <w:lang w:val="en-GB"/>
        </w:rPr>
        <w:t xml:space="preserve">As with all other statins physicians should prescribe fluvastatin with caution in patients with pre-disposing factors for rhabdomyolysis and its complications. A creatine kinase level should be measured before starting fluvastatin treatment in the following situations: </w:t>
      </w:r>
    </w:p>
    <w:p w:rsidR="00C75AF7" w:rsidRPr="00C75AF7" w:rsidRDefault="00C75AF7" w:rsidP="00C75AF7">
      <w:pPr>
        <w:numPr>
          <w:ilvl w:val="0"/>
          <w:numId w:val="6"/>
        </w:numPr>
        <w:tabs>
          <w:tab w:val="clear" w:pos="567"/>
          <w:tab w:val="left" w:pos="851"/>
          <w:tab w:val="num" w:pos="1134"/>
        </w:tabs>
        <w:ind w:left="1134" w:hanging="283"/>
        <w:rPr>
          <w:sz w:val="24"/>
          <w:szCs w:val="24"/>
          <w:lang w:val="en-GB"/>
        </w:rPr>
      </w:pPr>
      <w:r w:rsidRPr="00C75AF7">
        <w:rPr>
          <w:sz w:val="24"/>
          <w:szCs w:val="24"/>
          <w:lang w:val="en-GB"/>
        </w:rPr>
        <w:t>Renal impairment</w:t>
      </w:r>
    </w:p>
    <w:p w:rsidR="00C75AF7" w:rsidRPr="00C75AF7" w:rsidRDefault="00C75AF7" w:rsidP="00C75AF7">
      <w:pPr>
        <w:numPr>
          <w:ilvl w:val="0"/>
          <w:numId w:val="6"/>
        </w:numPr>
        <w:tabs>
          <w:tab w:val="clear" w:pos="567"/>
          <w:tab w:val="left" w:pos="851"/>
          <w:tab w:val="num" w:pos="1134"/>
        </w:tabs>
        <w:ind w:left="1134" w:hanging="283"/>
        <w:rPr>
          <w:sz w:val="24"/>
          <w:szCs w:val="24"/>
          <w:lang w:val="en-GB"/>
        </w:rPr>
      </w:pPr>
      <w:r w:rsidRPr="00C75AF7">
        <w:rPr>
          <w:sz w:val="24"/>
          <w:szCs w:val="24"/>
          <w:lang w:val="en-GB"/>
        </w:rPr>
        <w:t>Hypothyroidism</w:t>
      </w:r>
    </w:p>
    <w:p w:rsidR="00C75AF7" w:rsidRPr="00C75AF7" w:rsidRDefault="00C75AF7" w:rsidP="00C75AF7">
      <w:pPr>
        <w:numPr>
          <w:ilvl w:val="0"/>
          <w:numId w:val="6"/>
        </w:numPr>
        <w:tabs>
          <w:tab w:val="clear" w:pos="567"/>
          <w:tab w:val="left" w:pos="851"/>
          <w:tab w:val="num" w:pos="1134"/>
        </w:tabs>
        <w:ind w:left="1134" w:hanging="283"/>
        <w:rPr>
          <w:sz w:val="24"/>
          <w:szCs w:val="24"/>
          <w:lang w:val="en-GB"/>
        </w:rPr>
      </w:pPr>
      <w:r w:rsidRPr="00C75AF7">
        <w:rPr>
          <w:sz w:val="24"/>
          <w:szCs w:val="24"/>
          <w:lang w:val="en-GB"/>
        </w:rPr>
        <w:t>Personal or familial history of hereditary muscular disorders</w:t>
      </w:r>
    </w:p>
    <w:p w:rsidR="00C75AF7" w:rsidRPr="00C75AF7" w:rsidRDefault="00C75AF7" w:rsidP="00C75AF7">
      <w:pPr>
        <w:numPr>
          <w:ilvl w:val="0"/>
          <w:numId w:val="6"/>
        </w:numPr>
        <w:tabs>
          <w:tab w:val="clear" w:pos="567"/>
          <w:tab w:val="left" w:pos="851"/>
          <w:tab w:val="num" w:pos="1134"/>
        </w:tabs>
        <w:ind w:left="1134" w:hanging="283"/>
        <w:rPr>
          <w:sz w:val="24"/>
          <w:szCs w:val="24"/>
          <w:lang w:val="en-GB"/>
        </w:rPr>
      </w:pPr>
      <w:r w:rsidRPr="00C75AF7">
        <w:rPr>
          <w:sz w:val="24"/>
          <w:szCs w:val="24"/>
          <w:lang w:val="en-GB"/>
        </w:rPr>
        <w:t>Previous history of muscular toxicity with a statin or fibrate</w:t>
      </w:r>
    </w:p>
    <w:p w:rsidR="00C75AF7" w:rsidRPr="00C75AF7" w:rsidRDefault="00C75AF7" w:rsidP="00C75AF7">
      <w:pPr>
        <w:numPr>
          <w:ilvl w:val="0"/>
          <w:numId w:val="6"/>
        </w:numPr>
        <w:tabs>
          <w:tab w:val="clear" w:pos="567"/>
          <w:tab w:val="left" w:pos="851"/>
          <w:tab w:val="num" w:pos="1134"/>
        </w:tabs>
        <w:ind w:left="1134" w:hanging="283"/>
        <w:rPr>
          <w:sz w:val="24"/>
          <w:szCs w:val="24"/>
          <w:lang w:val="en-GB"/>
        </w:rPr>
      </w:pPr>
      <w:r w:rsidRPr="00C75AF7">
        <w:rPr>
          <w:sz w:val="24"/>
          <w:szCs w:val="24"/>
          <w:lang w:val="en-GB"/>
        </w:rPr>
        <w:t>Alcohol abuse</w:t>
      </w:r>
    </w:p>
    <w:p w:rsidR="00C75AF7" w:rsidRPr="00C75AF7" w:rsidRDefault="00C75AF7" w:rsidP="00C75AF7">
      <w:pPr>
        <w:numPr>
          <w:ilvl w:val="0"/>
          <w:numId w:val="6"/>
        </w:numPr>
        <w:tabs>
          <w:tab w:val="clear" w:pos="567"/>
          <w:tab w:val="left" w:pos="851"/>
          <w:tab w:val="num" w:pos="1134"/>
        </w:tabs>
        <w:ind w:left="1134" w:hanging="283"/>
        <w:rPr>
          <w:sz w:val="24"/>
          <w:szCs w:val="24"/>
          <w:lang w:val="en-GB"/>
        </w:rPr>
      </w:pPr>
      <w:r w:rsidRPr="00C75AF7">
        <w:rPr>
          <w:sz w:val="24"/>
          <w:szCs w:val="24"/>
          <w:lang w:val="en-GB"/>
        </w:rPr>
        <w:t>Sepsis</w:t>
      </w:r>
    </w:p>
    <w:p w:rsidR="00C75AF7" w:rsidRPr="00C75AF7" w:rsidRDefault="00C75AF7" w:rsidP="00C75AF7">
      <w:pPr>
        <w:numPr>
          <w:ilvl w:val="0"/>
          <w:numId w:val="6"/>
        </w:numPr>
        <w:tabs>
          <w:tab w:val="clear" w:pos="567"/>
          <w:tab w:val="left" w:pos="851"/>
          <w:tab w:val="num" w:pos="1134"/>
        </w:tabs>
        <w:ind w:left="1134" w:hanging="283"/>
        <w:rPr>
          <w:sz w:val="24"/>
          <w:szCs w:val="24"/>
          <w:lang w:val="en-GB"/>
        </w:rPr>
      </w:pPr>
      <w:r w:rsidRPr="00C75AF7">
        <w:rPr>
          <w:sz w:val="24"/>
          <w:szCs w:val="24"/>
          <w:lang w:val="en-GB"/>
        </w:rPr>
        <w:t>Hypotension</w:t>
      </w:r>
    </w:p>
    <w:p w:rsidR="00C75AF7" w:rsidRPr="00C75AF7" w:rsidRDefault="00C75AF7" w:rsidP="00C75AF7">
      <w:pPr>
        <w:numPr>
          <w:ilvl w:val="0"/>
          <w:numId w:val="6"/>
        </w:numPr>
        <w:tabs>
          <w:tab w:val="clear" w:pos="567"/>
          <w:tab w:val="left" w:pos="851"/>
          <w:tab w:val="num" w:pos="1134"/>
        </w:tabs>
        <w:ind w:left="1134" w:hanging="283"/>
        <w:rPr>
          <w:sz w:val="24"/>
          <w:szCs w:val="24"/>
          <w:lang w:val="en-GB"/>
        </w:rPr>
      </w:pPr>
      <w:r w:rsidRPr="00C75AF7">
        <w:rPr>
          <w:sz w:val="24"/>
          <w:szCs w:val="24"/>
          <w:lang w:val="en-GB"/>
        </w:rPr>
        <w:t>Excessive exercise of muscle</w:t>
      </w:r>
    </w:p>
    <w:p w:rsidR="00C75AF7" w:rsidRPr="00C75AF7" w:rsidRDefault="00C75AF7" w:rsidP="00C75AF7">
      <w:pPr>
        <w:numPr>
          <w:ilvl w:val="0"/>
          <w:numId w:val="6"/>
        </w:numPr>
        <w:tabs>
          <w:tab w:val="clear" w:pos="567"/>
          <w:tab w:val="left" w:pos="851"/>
          <w:tab w:val="num" w:pos="1134"/>
        </w:tabs>
        <w:ind w:left="1134" w:hanging="283"/>
        <w:rPr>
          <w:sz w:val="24"/>
          <w:szCs w:val="24"/>
          <w:lang w:val="en-GB"/>
        </w:rPr>
      </w:pPr>
      <w:r w:rsidRPr="00C75AF7">
        <w:rPr>
          <w:sz w:val="24"/>
          <w:szCs w:val="24"/>
          <w:lang w:val="en-GB"/>
        </w:rPr>
        <w:t>Major surgery</w:t>
      </w:r>
    </w:p>
    <w:p w:rsidR="00C75AF7" w:rsidRPr="00C75AF7" w:rsidRDefault="00C75AF7" w:rsidP="00C75AF7">
      <w:pPr>
        <w:numPr>
          <w:ilvl w:val="0"/>
          <w:numId w:val="6"/>
        </w:numPr>
        <w:tabs>
          <w:tab w:val="clear" w:pos="567"/>
          <w:tab w:val="left" w:pos="851"/>
          <w:tab w:val="num" w:pos="1134"/>
        </w:tabs>
        <w:ind w:left="1134" w:hanging="283"/>
        <w:rPr>
          <w:sz w:val="24"/>
          <w:szCs w:val="24"/>
          <w:lang w:val="en-GB"/>
        </w:rPr>
      </w:pPr>
      <w:r w:rsidRPr="00C75AF7">
        <w:rPr>
          <w:sz w:val="24"/>
          <w:szCs w:val="24"/>
          <w:lang w:val="en-GB"/>
        </w:rPr>
        <w:t>Severe metabolic, endocrine or electrolyte disorders</w:t>
      </w:r>
    </w:p>
    <w:p w:rsidR="00C75AF7" w:rsidRPr="00C75AF7" w:rsidRDefault="00C75AF7" w:rsidP="00C75AF7">
      <w:pPr>
        <w:numPr>
          <w:ilvl w:val="0"/>
          <w:numId w:val="6"/>
        </w:numPr>
        <w:tabs>
          <w:tab w:val="clear" w:pos="567"/>
          <w:tab w:val="left" w:pos="851"/>
          <w:tab w:val="num" w:pos="1134"/>
        </w:tabs>
        <w:ind w:left="1134" w:hanging="283"/>
        <w:rPr>
          <w:sz w:val="24"/>
          <w:szCs w:val="24"/>
          <w:lang w:val="en-GB"/>
        </w:rPr>
      </w:pPr>
      <w:r w:rsidRPr="00C75AF7">
        <w:rPr>
          <w:sz w:val="24"/>
          <w:szCs w:val="24"/>
          <w:lang w:val="en-GB"/>
        </w:rPr>
        <w:t>In elderly (age &gt; 70 years), the necessity of such measurement should be considered, according to the presence of other predisposing factors for rhabdomyolysis</w:t>
      </w:r>
    </w:p>
    <w:p w:rsidR="00C75AF7" w:rsidRPr="00C75AF7" w:rsidRDefault="00C75AF7" w:rsidP="00C75AF7">
      <w:pPr>
        <w:tabs>
          <w:tab w:val="left" w:pos="851"/>
          <w:tab w:val="num" w:pos="1134"/>
        </w:tabs>
        <w:ind w:left="1134" w:hanging="283"/>
        <w:rPr>
          <w:sz w:val="24"/>
          <w:szCs w:val="24"/>
          <w:lang w:val="en-GB"/>
        </w:rPr>
      </w:pPr>
    </w:p>
    <w:p w:rsidR="00C75AF7" w:rsidRPr="00C75AF7" w:rsidRDefault="00C75AF7" w:rsidP="00C75AF7">
      <w:pPr>
        <w:tabs>
          <w:tab w:val="left" w:pos="851"/>
        </w:tabs>
        <w:ind w:left="851"/>
        <w:rPr>
          <w:sz w:val="24"/>
          <w:szCs w:val="24"/>
          <w:lang w:val="en-GB"/>
        </w:rPr>
      </w:pPr>
      <w:r w:rsidRPr="00C75AF7">
        <w:rPr>
          <w:sz w:val="24"/>
          <w:szCs w:val="24"/>
          <w:lang w:val="en-GB"/>
        </w:rPr>
        <w:t xml:space="preserve">In such situations, the risk of treatment should be considered in relation to the possible benefit and clinical monitoring is recommended. If CK levels are significantly elevated at baseline </w:t>
      </w:r>
      <w:r w:rsidRPr="00C75AF7">
        <w:rPr>
          <w:sz w:val="24"/>
          <w:szCs w:val="24"/>
          <w:lang w:val="en-US"/>
        </w:rPr>
        <w:t xml:space="preserve">(&gt; 5 x ULN), </w:t>
      </w:r>
      <w:r w:rsidRPr="00C75AF7">
        <w:rPr>
          <w:sz w:val="24"/>
          <w:szCs w:val="24"/>
          <w:lang w:val="en-GB"/>
        </w:rPr>
        <w:t xml:space="preserve">levels should be re-measured within 5 to 7 days later to confirm the results. If CK levels are still significantly elevated (&gt; 5 x ULN) at baseline, treatment should not be started. </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i/>
          <w:sz w:val="24"/>
          <w:szCs w:val="24"/>
          <w:u w:val="single"/>
          <w:lang w:val="en-GB"/>
        </w:rPr>
      </w:pPr>
      <w:r w:rsidRPr="00C75AF7">
        <w:rPr>
          <w:i/>
          <w:sz w:val="24"/>
          <w:szCs w:val="24"/>
          <w:u w:val="single"/>
          <w:lang w:val="en-GB"/>
        </w:rPr>
        <w:t xml:space="preserve">Whilst on treatment </w:t>
      </w:r>
    </w:p>
    <w:p w:rsidR="00C75AF7" w:rsidRPr="00C75AF7" w:rsidRDefault="00C75AF7" w:rsidP="00C75AF7">
      <w:pPr>
        <w:tabs>
          <w:tab w:val="left" w:pos="851"/>
        </w:tabs>
        <w:ind w:left="851"/>
        <w:rPr>
          <w:sz w:val="24"/>
          <w:szCs w:val="24"/>
          <w:lang w:val="en-GB"/>
        </w:rPr>
      </w:pPr>
      <w:r w:rsidRPr="00C75AF7">
        <w:rPr>
          <w:sz w:val="24"/>
          <w:szCs w:val="24"/>
          <w:lang w:val="en-GB"/>
        </w:rPr>
        <w:t xml:space="preserve">If muscular symptoms like pain, weakness or cramps occur in patients receiving fluvastatin, their CK levels should be measured. Treatment should be stopped, if these levels are found to be significantly elevated (&gt; 5 x ULN). </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lang w:val="en-GB"/>
        </w:rPr>
      </w:pPr>
      <w:r w:rsidRPr="00C75AF7">
        <w:rPr>
          <w:sz w:val="24"/>
          <w:szCs w:val="24"/>
          <w:lang w:val="en-GB"/>
        </w:rPr>
        <w:t xml:space="preserve">If muscular symptoms are severe and cause daily discomfort, even if CK levels are elevated to ≤ 5 x ULN, treatment discontinuation should be considered. </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lang w:val="en-GB"/>
        </w:rPr>
      </w:pPr>
      <w:r w:rsidRPr="00C75AF7">
        <w:rPr>
          <w:sz w:val="24"/>
          <w:szCs w:val="24"/>
          <w:lang w:val="en-GB"/>
        </w:rPr>
        <w:t xml:space="preserve">Should the symptoms resolve and CK levels return to normal, then re-introduction of fluvastatin or another statin may be considered at the lowest dose and under close monitoring. </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lang w:val="en-GB"/>
        </w:rPr>
      </w:pPr>
      <w:r w:rsidRPr="00C75AF7">
        <w:rPr>
          <w:sz w:val="24"/>
          <w:szCs w:val="24"/>
          <w:lang w:val="en-GB"/>
        </w:rPr>
        <w:t xml:space="preserve">The risk of myopathy has been reported to be increased in patients receiving immunosuppressive agents (including ciclosporin), fibrates, nicotinic acid or erythromycin together with other </w:t>
      </w:r>
      <w:smartTag w:uri="urn:schemas-microsoft-com:office:smarttags" w:element="stockticker">
        <w:r w:rsidRPr="00C75AF7">
          <w:rPr>
            <w:sz w:val="24"/>
            <w:szCs w:val="24"/>
            <w:lang w:val="en-GB"/>
          </w:rPr>
          <w:t>HMG</w:t>
        </w:r>
      </w:smartTag>
      <w:r w:rsidRPr="00C75AF7">
        <w:rPr>
          <w:sz w:val="24"/>
          <w:szCs w:val="24"/>
          <w:lang w:val="en-GB"/>
        </w:rPr>
        <w:t>-CoA reductase inhibitors. Isolated cases of myopathy have been reported post-marketing for concomitant administration of fluvastatin with ciclosporin and fluvastatin with colchicine. Fluvastatin should be used with caution in patients receiving such concomitant medication (see section 4.5).</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u w:val="single"/>
          <w:lang w:val="en-GB"/>
        </w:rPr>
      </w:pPr>
      <w:r w:rsidRPr="00C75AF7">
        <w:rPr>
          <w:sz w:val="24"/>
          <w:szCs w:val="24"/>
          <w:u w:val="single"/>
          <w:lang w:val="en-GB"/>
        </w:rPr>
        <w:t>Interstitial lung disease</w:t>
      </w:r>
    </w:p>
    <w:p w:rsidR="00C75AF7" w:rsidRPr="00C75AF7" w:rsidRDefault="00C75AF7" w:rsidP="00C75AF7">
      <w:pPr>
        <w:tabs>
          <w:tab w:val="left" w:pos="851"/>
        </w:tabs>
        <w:ind w:left="851"/>
        <w:rPr>
          <w:sz w:val="24"/>
          <w:szCs w:val="24"/>
          <w:lang w:val="en-GB"/>
        </w:rPr>
      </w:pPr>
      <w:r w:rsidRPr="00C75AF7">
        <w:rPr>
          <w:sz w:val="24"/>
          <w:szCs w:val="24"/>
          <w:lang w:val="en-GB"/>
        </w:rPr>
        <w:t>Exceptional cases of interstitial lung disease have been reported with some statins, especially with long term therapy (see section 4.8). Presenting features can include dyspnoea, non-productive cough and deterioration in general health (fatigue, weight loss and fever). If it is suspected a patient has developed interstitial lung disease, statin therapy should be discontinued.</w:t>
      </w:r>
    </w:p>
    <w:p w:rsidR="00C75AF7" w:rsidRPr="00C75AF7" w:rsidRDefault="00C75AF7" w:rsidP="00C75AF7">
      <w:pPr>
        <w:tabs>
          <w:tab w:val="left" w:pos="851"/>
        </w:tabs>
        <w:ind w:left="851"/>
        <w:rPr>
          <w:bCs/>
          <w:sz w:val="24"/>
          <w:szCs w:val="24"/>
          <w:u w:val="single"/>
          <w:lang w:val="en-GB"/>
        </w:rPr>
      </w:pPr>
    </w:p>
    <w:p w:rsidR="00C75AF7" w:rsidRPr="00C75AF7" w:rsidRDefault="00C75AF7" w:rsidP="00C75AF7">
      <w:pPr>
        <w:tabs>
          <w:tab w:val="left" w:pos="851"/>
        </w:tabs>
        <w:ind w:left="851"/>
        <w:rPr>
          <w:bCs/>
          <w:sz w:val="24"/>
          <w:szCs w:val="24"/>
          <w:u w:val="single"/>
          <w:lang w:val="en-GB"/>
        </w:rPr>
      </w:pPr>
      <w:r w:rsidRPr="00C75AF7">
        <w:rPr>
          <w:bCs/>
          <w:sz w:val="24"/>
          <w:szCs w:val="24"/>
          <w:u w:val="single"/>
          <w:lang w:val="en-GB"/>
        </w:rPr>
        <w:t>Diabetes Mellitus</w:t>
      </w:r>
    </w:p>
    <w:p w:rsidR="00C75AF7" w:rsidRPr="00C75AF7" w:rsidRDefault="00C75AF7" w:rsidP="00C75AF7">
      <w:pPr>
        <w:tabs>
          <w:tab w:val="left" w:pos="851"/>
        </w:tabs>
        <w:ind w:left="851"/>
        <w:rPr>
          <w:bCs/>
          <w:sz w:val="24"/>
          <w:szCs w:val="24"/>
          <w:lang w:val="en-GB"/>
        </w:rPr>
      </w:pPr>
      <w:r w:rsidRPr="00C75AF7">
        <w:rPr>
          <w:bCs/>
          <w:sz w:val="24"/>
          <w:szCs w:val="24"/>
          <w:lang w:val="en-GB"/>
        </w:rPr>
        <w:t>Some evidence suggests that statins as a class raise blood glucose and in some patients, at high risk of future diabetes, may produce a level of hyperglycaemia where formal diabetes care is appropriate. This risk, however, is outweighed by the reduction in vascular risk with statins and therefore should not be a reason for stopping statin treatment. Patients at risk (fasting glucose 5.6 to 6.9 mmol/L, BMI &gt; 30kg/m2, raised triglycerides, hypertension) should be monitored both clinically and biochemically according to national guidelines.</w:t>
      </w:r>
    </w:p>
    <w:p w:rsidR="00C75AF7" w:rsidRPr="00C75AF7" w:rsidRDefault="00C75AF7" w:rsidP="00C75AF7">
      <w:pPr>
        <w:tabs>
          <w:tab w:val="left" w:pos="851"/>
        </w:tabs>
        <w:ind w:left="851"/>
        <w:rPr>
          <w:bCs/>
          <w:sz w:val="24"/>
          <w:szCs w:val="24"/>
          <w:u w:val="single"/>
          <w:lang w:val="en-GB"/>
        </w:rPr>
      </w:pPr>
    </w:p>
    <w:p w:rsidR="00C75AF7" w:rsidRPr="00C75AF7" w:rsidRDefault="00C75AF7" w:rsidP="00C75AF7">
      <w:pPr>
        <w:tabs>
          <w:tab w:val="left" w:pos="851"/>
        </w:tabs>
        <w:ind w:left="851"/>
        <w:rPr>
          <w:bCs/>
          <w:sz w:val="24"/>
          <w:szCs w:val="24"/>
          <w:u w:val="single"/>
          <w:lang w:val="en-GB"/>
        </w:rPr>
      </w:pPr>
      <w:r w:rsidRPr="00C75AF7">
        <w:rPr>
          <w:bCs/>
          <w:sz w:val="24"/>
          <w:szCs w:val="24"/>
          <w:u w:val="single"/>
          <w:lang w:val="en-GB"/>
        </w:rPr>
        <w:t>Paediatric population</w:t>
      </w:r>
    </w:p>
    <w:p w:rsidR="00C75AF7" w:rsidRPr="00C75AF7" w:rsidRDefault="00C75AF7" w:rsidP="00C75AF7">
      <w:pPr>
        <w:tabs>
          <w:tab w:val="left" w:pos="851"/>
        </w:tabs>
        <w:ind w:left="851"/>
        <w:rPr>
          <w:bCs/>
          <w:sz w:val="24"/>
          <w:szCs w:val="24"/>
          <w:u w:val="single"/>
          <w:lang w:val="en-GB"/>
        </w:rPr>
      </w:pPr>
    </w:p>
    <w:p w:rsidR="00C75AF7" w:rsidRPr="00C75AF7" w:rsidRDefault="00C75AF7" w:rsidP="00C75AF7">
      <w:pPr>
        <w:tabs>
          <w:tab w:val="left" w:pos="851"/>
        </w:tabs>
        <w:ind w:left="851"/>
        <w:rPr>
          <w:i/>
          <w:sz w:val="24"/>
          <w:szCs w:val="24"/>
          <w:u w:val="single"/>
          <w:lang w:val="en-GB"/>
        </w:rPr>
      </w:pPr>
      <w:r w:rsidRPr="00C75AF7">
        <w:rPr>
          <w:i/>
          <w:sz w:val="24"/>
          <w:szCs w:val="24"/>
          <w:u w:val="single"/>
          <w:lang w:val="en-GB"/>
        </w:rPr>
        <w:t>Children and adolescents with heterozygous familial hypercholesterolaemia</w:t>
      </w:r>
    </w:p>
    <w:p w:rsidR="00C75AF7" w:rsidRPr="00C75AF7" w:rsidRDefault="00C75AF7" w:rsidP="00C75AF7">
      <w:pPr>
        <w:tabs>
          <w:tab w:val="left" w:pos="851"/>
        </w:tabs>
        <w:ind w:left="851"/>
        <w:rPr>
          <w:sz w:val="24"/>
          <w:szCs w:val="24"/>
          <w:lang w:val="en-GB"/>
        </w:rPr>
      </w:pPr>
      <w:r w:rsidRPr="00C75AF7">
        <w:rPr>
          <w:sz w:val="24"/>
          <w:szCs w:val="24"/>
          <w:lang w:val="en-GB"/>
        </w:rPr>
        <w:t>In patients aged &lt; 18 years, efficacy and safety have not been studied for treatment periods longer than two years. No data are available about the physical, intellectual and sexual maturation for prolonged treatment period. The long-term efficacy of fluvastatin therapy in childhood to reduce morbidity and mortality in adulthood has not been established (see section 5.1).</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lang w:val="en-GB"/>
        </w:rPr>
      </w:pPr>
      <w:r w:rsidRPr="00C75AF7">
        <w:rPr>
          <w:sz w:val="24"/>
          <w:szCs w:val="24"/>
          <w:lang w:val="en-GB"/>
        </w:rPr>
        <w:t>Fluvastatin has only been investigated in children of 9 years and older with heterozygous familial hypercholesterolaemia (for details see section 5.1). In the case of pre-pubertal children, as experience is very limited in this group, the potential risks and benefits should be carefully evaluated before the initiation of treatment.</w:t>
      </w:r>
    </w:p>
    <w:p w:rsidR="00C75AF7" w:rsidRPr="00C75AF7" w:rsidRDefault="00C75AF7" w:rsidP="00C75AF7">
      <w:pPr>
        <w:tabs>
          <w:tab w:val="left" w:pos="851"/>
        </w:tabs>
        <w:ind w:left="851"/>
        <w:rPr>
          <w:b/>
          <w:bCs/>
          <w:sz w:val="24"/>
          <w:szCs w:val="24"/>
          <w:lang w:val="en-GB"/>
        </w:rPr>
      </w:pPr>
    </w:p>
    <w:p w:rsidR="00C75AF7" w:rsidRPr="00C75AF7" w:rsidRDefault="00C75AF7" w:rsidP="00C75AF7">
      <w:pPr>
        <w:tabs>
          <w:tab w:val="left" w:pos="851"/>
        </w:tabs>
        <w:ind w:left="851"/>
        <w:rPr>
          <w:sz w:val="24"/>
          <w:szCs w:val="24"/>
          <w:u w:val="single"/>
          <w:lang w:val="en-GB"/>
        </w:rPr>
      </w:pPr>
      <w:r w:rsidRPr="00C75AF7">
        <w:rPr>
          <w:sz w:val="24"/>
          <w:szCs w:val="24"/>
          <w:u w:val="single"/>
          <w:lang w:val="en-GB"/>
        </w:rPr>
        <w:t xml:space="preserve">Homozygous familial hypercholesterolaemia </w:t>
      </w:r>
    </w:p>
    <w:p w:rsidR="00C75AF7" w:rsidRPr="00C75AF7" w:rsidRDefault="00C75AF7" w:rsidP="00C75AF7">
      <w:pPr>
        <w:tabs>
          <w:tab w:val="left" w:pos="851"/>
        </w:tabs>
        <w:ind w:left="851"/>
        <w:rPr>
          <w:sz w:val="24"/>
          <w:szCs w:val="24"/>
          <w:lang w:val="en-GB"/>
        </w:rPr>
      </w:pPr>
      <w:r w:rsidRPr="00C75AF7">
        <w:rPr>
          <w:sz w:val="24"/>
          <w:szCs w:val="24"/>
          <w:lang w:val="en-GB"/>
        </w:rPr>
        <w:t>No data are available for the use of fluvastatin in patients with the very rare condition of homozygous familial hypercholesterolaemia.</w:t>
      </w:r>
    </w:p>
    <w:p w:rsidR="00C75AF7" w:rsidRPr="00C75AF7" w:rsidRDefault="00C75AF7" w:rsidP="00C75AF7">
      <w:pPr>
        <w:tabs>
          <w:tab w:val="left" w:pos="851"/>
        </w:tabs>
        <w:ind w:left="851"/>
        <w:rPr>
          <w:sz w:val="24"/>
          <w:szCs w:val="24"/>
          <w:lang w:val="en-GB"/>
        </w:rPr>
      </w:pPr>
    </w:p>
    <w:p w:rsidR="00C75AF7" w:rsidRPr="00C75AF7" w:rsidRDefault="00C75AF7" w:rsidP="00C75AF7">
      <w:pPr>
        <w:tabs>
          <w:tab w:val="left" w:pos="851"/>
        </w:tabs>
        <w:ind w:left="851"/>
        <w:rPr>
          <w:sz w:val="24"/>
          <w:szCs w:val="24"/>
          <w:u w:val="single"/>
          <w:lang w:val="en-GB"/>
        </w:rPr>
      </w:pPr>
      <w:r w:rsidRPr="00C75AF7">
        <w:rPr>
          <w:sz w:val="24"/>
          <w:szCs w:val="24"/>
          <w:u w:val="single"/>
          <w:lang w:val="en-GB"/>
        </w:rPr>
        <w:t>Fluvastasof contains sodium</w:t>
      </w:r>
    </w:p>
    <w:p w:rsidR="00C75AF7" w:rsidRPr="00C75AF7" w:rsidRDefault="00C75AF7" w:rsidP="00C75AF7">
      <w:pPr>
        <w:tabs>
          <w:tab w:val="left" w:pos="851"/>
        </w:tabs>
        <w:ind w:left="851"/>
        <w:rPr>
          <w:sz w:val="24"/>
          <w:szCs w:val="24"/>
          <w:lang w:val="en-GB"/>
        </w:rPr>
      </w:pPr>
      <w:r w:rsidRPr="00C75AF7">
        <w:rPr>
          <w:sz w:val="24"/>
          <w:szCs w:val="24"/>
          <w:lang w:val="en-GB"/>
        </w:rPr>
        <w:t>This medicinal product contains less than 1 mmol sodium (23 mg) per prolonged release tablet, that is to say essentially ‘sodium-free’.</w:t>
      </w:r>
    </w:p>
    <w:p w:rsidR="007C5D2A" w:rsidRPr="00C75AF7"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AE741A" w:rsidRDefault="00AE741A" w:rsidP="00DD6F38">
      <w:pPr>
        <w:tabs>
          <w:tab w:val="left" w:pos="851"/>
        </w:tabs>
        <w:ind w:left="851"/>
        <w:rPr>
          <w:i/>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 xml:space="preserve">Fibrates and niacin </w:t>
      </w:r>
    </w:p>
    <w:p w:rsidR="00DD6F38" w:rsidRPr="00DD6F38" w:rsidRDefault="00DD6F38" w:rsidP="00DD6F38">
      <w:pPr>
        <w:tabs>
          <w:tab w:val="left" w:pos="851"/>
        </w:tabs>
        <w:ind w:left="851"/>
        <w:rPr>
          <w:sz w:val="24"/>
          <w:szCs w:val="24"/>
          <w:lang w:val="en-GB"/>
        </w:rPr>
      </w:pPr>
      <w:r w:rsidRPr="00DD6F38">
        <w:rPr>
          <w:sz w:val="24"/>
          <w:szCs w:val="24"/>
          <w:lang w:val="en-GB"/>
        </w:rPr>
        <w:t xml:space="preserve">Concomitant administration of fluvastatin with bezafibrate, gemfibrozil, ciprofibrate or niacin (nicotinic acid) has no clinically relevant effect on the bioavailability of fluvastatin or the other lipid-lowering agent. Since an increased risk of myopathy and/ or rhabdomyolysis has been observed in patients receiving </w:t>
      </w:r>
      <w:smartTag w:uri="urn:schemas-microsoft-com:office:smarttags" w:element="stockticker">
        <w:r w:rsidRPr="00DD6F38">
          <w:rPr>
            <w:sz w:val="24"/>
            <w:szCs w:val="24"/>
            <w:lang w:val="en-GB"/>
          </w:rPr>
          <w:t>HMG</w:t>
        </w:r>
      </w:smartTag>
      <w:r w:rsidRPr="00DD6F38">
        <w:rPr>
          <w:sz w:val="24"/>
          <w:szCs w:val="24"/>
          <w:lang w:val="en-GB"/>
        </w:rPr>
        <w:t>-CoA reductase inhibitors together with any of these molecules, the benefit and the risk of concurrent treatment should be carefully weighed and these combinations should only be used with caution (see section 4.4).</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Colchicine</w:t>
      </w:r>
    </w:p>
    <w:p w:rsidR="00DD6F38" w:rsidRPr="00DD6F38" w:rsidRDefault="00DD6F38" w:rsidP="00DD6F38">
      <w:pPr>
        <w:tabs>
          <w:tab w:val="left" w:pos="851"/>
        </w:tabs>
        <w:ind w:left="851"/>
        <w:rPr>
          <w:sz w:val="24"/>
          <w:szCs w:val="24"/>
          <w:lang w:val="en-GB"/>
        </w:rPr>
      </w:pPr>
      <w:r w:rsidRPr="00DD6F38">
        <w:rPr>
          <w:sz w:val="24"/>
          <w:szCs w:val="24"/>
          <w:lang w:val="en-GB"/>
        </w:rPr>
        <w:t xml:space="preserve">Myotoxicity, including muscle pain and weakness and rhabdomyolysis, has been reported in isolated cases with concomitant administration of colchicine. The benefit and the risk of concurrent treatment should be carefully weighed and these combinations should only be used with caution (see section 4.4). </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 xml:space="preserve">Ciclosporin </w:t>
      </w:r>
    </w:p>
    <w:p w:rsidR="00DD6F38" w:rsidRPr="00DD6F38" w:rsidRDefault="00DD6F38" w:rsidP="00DD6F38">
      <w:pPr>
        <w:tabs>
          <w:tab w:val="left" w:pos="851"/>
        </w:tabs>
        <w:ind w:left="851"/>
        <w:rPr>
          <w:sz w:val="24"/>
          <w:szCs w:val="24"/>
          <w:lang w:val="en-GB"/>
        </w:rPr>
      </w:pPr>
      <w:r w:rsidRPr="00DD6F38">
        <w:rPr>
          <w:sz w:val="24"/>
          <w:szCs w:val="24"/>
          <w:lang w:val="en-GB"/>
        </w:rPr>
        <w:t>Studies in renal transplant patients indicate that the bioavailability of fluvastatin (up to 40 mg/day) is not elevated to a clinically significant extent in patients on stable regimens of ciclosporin. The results from another study in which 80 mg fluvastatin prolonged-release tablets were administered to renal transplant patients who were on stable ciclosporin regimen showed that fluvastatin exposure (AUC) and maximum concentration (Cmax) were increased 2-fold compared to historical data in healthy subjects. Although these increases in fluvastatin levels were not clinically significant, this combination should be used with caution. Starting and maintenance dose of fluvastatin should be as low as possible when combined with ciclosporin.</w:t>
      </w:r>
    </w:p>
    <w:p w:rsidR="00DD6F38" w:rsidRPr="00DD6F38" w:rsidRDefault="00DD6F38" w:rsidP="00DD6F38">
      <w:pPr>
        <w:tabs>
          <w:tab w:val="left" w:pos="851"/>
        </w:tabs>
        <w:ind w:left="851"/>
        <w:rPr>
          <w:sz w:val="24"/>
          <w:szCs w:val="24"/>
          <w:lang w:val="en-GB"/>
        </w:rPr>
      </w:pPr>
      <w:r w:rsidRPr="00DD6F38">
        <w:rPr>
          <w:sz w:val="24"/>
          <w:szCs w:val="24"/>
          <w:lang w:val="en-GB"/>
        </w:rPr>
        <w:t>Fluvastatin (40 mg and 80 mg) had no effect on the bioavailability of ciclosporin when co-administered.</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 xml:space="preserve">Warfarin and other coumarin derivatives </w:t>
      </w:r>
    </w:p>
    <w:p w:rsidR="00DD6F38" w:rsidRPr="00DD6F38" w:rsidRDefault="00DD6F38" w:rsidP="00DD6F38">
      <w:pPr>
        <w:tabs>
          <w:tab w:val="left" w:pos="851"/>
        </w:tabs>
        <w:ind w:left="851"/>
        <w:rPr>
          <w:sz w:val="24"/>
          <w:szCs w:val="24"/>
          <w:lang w:val="en-GB"/>
        </w:rPr>
      </w:pPr>
      <w:r w:rsidRPr="00DD6F38">
        <w:rPr>
          <w:sz w:val="24"/>
          <w:szCs w:val="24"/>
          <w:lang w:val="en-GB"/>
        </w:rPr>
        <w:t xml:space="preserve">In healthy volunteers, the use of fluvastatin and warfarin (single dose) did not adversely influence warfarin plasma levels and prothrombin times compared to warfarin alone. </w:t>
      </w:r>
    </w:p>
    <w:p w:rsidR="00DD6F38" w:rsidRPr="00DD6F38" w:rsidRDefault="00DD6F38" w:rsidP="00DD6F38">
      <w:pPr>
        <w:tabs>
          <w:tab w:val="left" w:pos="851"/>
        </w:tabs>
        <w:ind w:left="851"/>
        <w:rPr>
          <w:sz w:val="24"/>
          <w:szCs w:val="24"/>
          <w:lang w:val="en-GB"/>
        </w:rPr>
      </w:pPr>
      <w:r w:rsidRPr="00DD6F38">
        <w:rPr>
          <w:sz w:val="24"/>
          <w:szCs w:val="24"/>
          <w:lang w:val="en-GB"/>
        </w:rPr>
        <w:t xml:space="preserve">However, isolated incidences of bleeding episodes and/or increased prothrombin times have been reported very rarely in patients on fluvastatin receiving concomitant warfarin or other coumarin derivatives. It is recommended that prothrombin times are monitored when fluvastatin treatment is initiated, discontinued, or the dosage changes in patients receiving warfarin or other coumarin derivatives. </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Rifampicin</w:t>
      </w:r>
    </w:p>
    <w:p w:rsidR="00DD6F38" w:rsidRPr="00DD6F38" w:rsidRDefault="00DD6F38" w:rsidP="00DD6F38">
      <w:pPr>
        <w:tabs>
          <w:tab w:val="left" w:pos="851"/>
        </w:tabs>
        <w:ind w:left="851"/>
        <w:rPr>
          <w:sz w:val="24"/>
          <w:szCs w:val="24"/>
          <w:lang w:val="en-GB"/>
        </w:rPr>
      </w:pPr>
      <w:r w:rsidRPr="00DD6F38">
        <w:rPr>
          <w:sz w:val="24"/>
          <w:szCs w:val="24"/>
          <w:lang w:val="en-GB"/>
        </w:rPr>
        <w:t xml:space="preserve">Administration of fluvastatin to healthy volunteers pre-treated with rifampicin (rifampin) resulted in a reduction of the bioavailability of fluvastatin by about 50%. Although at present there is no clinical evidence that fluvastatin efficacy in lowering lipid levels is altered, for patients undertaking long-term rifampicin therapy (e.g. treatment of tuberculosis), appropriate adjustment of fluvastatin dosage may be warranted to ensure a satisfactory reduction in lipid levels. </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 xml:space="preserve">Oral antidiabetic agents </w:t>
      </w:r>
    </w:p>
    <w:p w:rsidR="00DD6F38" w:rsidRPr="00DD6F38" w:rsidRDefault="00DD6F38" w:rsidP="00DD6F38">
      <w:pPr>
        <w:tabs>
          <w:tab w:val="left" w:pos="851"/>
        </w:tabs>
        <w:ind w:left="851"/>
        <w:rPr>
          <w:sz w:val="24"/>
          <w:szCs w:val="24"/>
          <w:lang w:val="en-GB"/>
        </w:rPr>
      </w:pPr>
      <w:r w:rsidRPr="00DD6F38">
        <w:rPr>
          <w:sz w:val="24"/>
          <w:szCs w:val="24"/>
          <w:lang w:val="en-GB"/>
        </w:rPr>
        <w:t>For patients receiving oral sulfonylureas (glibenclamide (glyburide), tolbutamide) for the treatment of non-insulin-dependent (type 2) diabetes mellitus (NIDDM), addition of fluvastatin does not lead to clinically significant changes in glycaemic control.</w:t>
      </w:r>
    </w:p>
    <w:p w:rsidR="00DD6F38" w:rsidRPr="00DD6F38" w:rsidRDefault="00DD6F38" w:rsidP="00DD6F38">
      <w:pPr>
        <w:tabs>
          <w:tab w:val="left" w:pos="851"/>
        </w:tabs>
        <w:ind w:left="851"/>
        <w:rPr>
          <w:sz w:val="24"/>
          <w:szCs w:val="24"/>
          <w:lang w:val="en-GB"/>
        </w:rPr>
      </w:pPr>
      <w:r w:rsidRPr="00DD6F38">
        <w:rPr>
          <w:sz w:val="24"/>
          <w:szCs w:val="24"/>
          <w:lang w:val="en-GB"/>
        </w:rPr>
        <w:t>In glibenclamide-treated NIDDM patients (n=32), administration of fluvastatin (40 mg twice daily for 14 days) increased the mean Cmax, AUC, and t1/2 of glibenclamide by approximately 50%, 69% and 121%, respectively. Glibenclamide (5 to 20 mg daily) increased the mean Cmax and AUC of fluvastatin by 44% and 51%, respectively. In this study there were no changes in glucose, insulin, and C-peptide levels. However, patients on concomitant therapy with glibenclamide (glyburide) and fluvastatin should continue to be monitored appropriately when their fluvastatin dose is increased to 80 mg per day.</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 xml:space="preserve">Bile acid sequestrants </w:t>
      </w:r>
    </w:p>
    <w:p w:rsidR="00DD6F38" w:rsidRPr="00DD6F38" w:rsidRDefault="00DD6F38" w:rsidP="00DD6F38">
      <w:pPr>
        <w:tabs>
          <w:tab w:val="left" w:pos="851"/>
        </w:tabs>
        <w:ind w:left="851"/>
        <w:rPr>
          <w:sz w:val="24"/>
          <w:szCs w:val="24"/>
          <w:lang w:val="en-GB"/>
        </w:rPr>
      </w:pPr>
      <w:r w:rsidRPr="00DD6F38">
        <w:rPr>
          <w:sz w:val="24"/>
          <w:szCs w:val="24"/>
          <w:lang w:val="en-GB"/>
        </w:rPr>
        <w:t xml:space="preserve">Fluvastatin should be administered at least 4 hours after the resin (e.g. cholestyramine) to avoid a significant interaction due to drug binding of the resin. </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 xml:space="preserve">Fluconazole </w:t>
      </w:r>
    </w:p>
    <w:p w:rsidR="00DD6F38" w:rsidRPr="00DD6F38" w:rsidRDefault="00DD6F38" w:rsidP="00DD6F38">
      <w:pPr>
        <w:tabs>
          <w:tab w:val="left" w:pos="851"/>
        </w:tabs>
        <w:ind w:left="851"/>
        <w:rPr>
          <w:sz w:val="24"/>
          <w:szCs w:val="24"/>
          <w:lang w:val="en-GB"/>
        </w:rPr>
      </w:pPr>
      <w:r w:rsidRPr="00DD6F38">
        <w:rPr>
          <w:sz w:val="24"/>
          <w:szCs w:val="24"/>
          <w:lang w:val="en-GB"/>
        </w:rPr>
        <w:t xml:space="preserve">Administration of fluvastatin to healthy volunteers pre-treated with fluconazole (CYP 2C9 inhibitor) resulted in an increase in the exposure and peak concentration of fluvastatin by about 84% and 44%. </w:t>
      </w:r>
    </w:p>
    <w:p w:rsidR="00DD6F38" w:rsidRPr="00DD6F38" w:rsidRDefault="00DD6F38" w:rsidP="00DD6F38">
      <w:pPr>
        <w:tabs>
          <w:tab w:val="left" w:pos="851"/>
        </w:tabs>
        <w:ind w:left="851"/>
        <w:rPr>
          <w:sz w:val="24"/>
          <w:szCs w:val="24"/>
          <w:lang w:val="en-GB"/>
        </w:rPr>
      </w:pPr>
      <w:r w:rsidRPr="00DD6F38">
        <w:rPr>
          <w:sz w:val="24"/>
          <w:szCs w:val="24"/>
          <w:lang w:val="en-GB"/>
        </w:rPr>
        <w:t>Although there was no clinical evidence that the safety profile of fluvastatin was altered in patients pre-treated with fluconazole for 4 days, caution should be exercised when fluvastatin is administered concomitantly with fluconazole.</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 xml:space="preserve">Histamine H2-receptor antagonists and proton pump inhibitors </w:t>
      </w:r>
    </w:p>
    <w:p w:rsidR="00DD6F38" w:rsidRPr="00DD6F38" w:rsidRDefault="00DD6F38" w:rsidP="00DD6F38">
      <w:pPr>
        <w:tabs>
          <w:tab w:val="left" w:pos="851"/>
        </w:tabs>
        <w:ind w:left="851"/>
        <w:rPr>
          <w:sz w:val="24"/>
          <w:szCs w:val="24"/>
          <w:lang w:val="en-GB"/>
        </w:rPr>
      </w:pPr>
      <w:r w:rsidRPr="00DD6F38">
        <w:rPr>
          <w:sz w:val="24"/>
          <w:szCs w:val="24"/>
          <w:lang w:val="en-GB"/>
        </w:rPr>
        <w:t xml:space="preserve">Concomitant administration of fluvastatin with cimetidine, ranitidine, or omeprazole results in an increase in the bioavailability of fluvastatin, which, however, is of no clinical relevance. </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 xml:space="preserve">Phenytoin </w:t>
      </w:r>
    </w:p>
    <w:p w:rsidR="00DD6F38" w:rsidRPr="00DD6F38" w:rsidRDefault="00DD6F38" w:rsidP="00DD6F38">
      <w:pPr>
        <w:tabs>
          <w:tab w:val="left" w:pos="851"/>
        </w:tabs>
        <w:ind w:left="851"/>
        <w:rPr>
          <w:sz w:val="24"/>
          <w:szCs w:val="24"/>
          <w:lang w:val="en-GB"/>
        </w:rPr>
      </w:pPr>
      <w:r w:rsidRPr="00DD6F38">
        <w:rPr>
          <w:sz w:val="24"/>
          <w:szCs w:val="24"/>
          <w:lang w:val="en-GB"/>
        </w:rPr>
        <w:t xml:space="preserve">The overall magnitude of the changes in phenytoin pharmacokinetics during co-administration with fluvastatin is relatively small and not clinically significant. Thus routine monitoring of phenytoin plasma levels is sufficient during co-administration with fluvastatin. </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 xml:space="preserve">Cardiovascular agents </w:t>
      </w:r>
    </w:p>
    <w:p w:rsidR="00DD6F38" w:rsidRPr="00DD6F38" w:rsidRDefault="00DD6F38" w:rsidP="00DD6F38">
      <w:pPr>
        <w:tabs>
          <w:tab w:val="left" w:pos="851"/>
        </w:tabs>
        <w:ind w:left="851"/>
        <w:rPr>
          <w:sz w:val="24"/>
          <w:szCs w:val="24"/>
          <w:lang w:val="en-GB"/>
        </w:rPr>
      </w:pPr>
      <w:r w:rsidRPr="00DD6F38">
        <w:rPr>
          <w:sz w:val="24"/>
          <w:szCs w:val="24"/>
          <w:lang w:val="en-GB"/>
        </w:rPr>
        <w:t xml:space="preserve">No clinically significant pharmacokinetic interactions occur when fluvastatin is concomitantly administered with propranolol, digoxin, losartan, clopidogrel or amlodipine. Based on the pharmacokinetic data, no monitoring or dosage adjustments are required when fluvastatin is concomitantly administered with these agents. </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 xml:space="preserve">Itraconazole and erythromycin </w:t>
      </w:r>
    </w:p>
    <w:p w:rsidR="00DD6F38" w:rsidRPr="00DD6F38" w:rsidRDefault="00DD6F38" w:rsidP="00DD6F38">
      <w:pPr>
        <w:tabs>
          <w:tab w:val="left" w:pos="851"/>
        </w:tabs>
        <w:ind w:left="851"/>
        <w:rPr>
          <w:sz w:val="24"/>
          <w:szCs w:val="24"/>
          <w:lang w:val="en-GB"/>
        </w:rPr>
      </w:pPr>
      <w:r w:rsidRPr="00DD6F38">
        <w:rPr>
          <w:sz w:val="24"/>
          <w:szCs w:val="24"/>
          <w:lang w:val="en-GB"/>
        </w:rPr>
        <w:t>Concomitant administration of fluvastatin with the potent cytochrome P450 (CYP) 3A4 inhibitors itraconazole and erythromycin has minimal effects on the bioavailability of fluvastatin. Given the minimal involvement of this enzyme in the metabolism of fluvastatin, it is expected that other CYP3A4 inhibitors (e.g. ketoconazole, ciclosporin) are unlikely to affect the bioavailability of fluvastatin.</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Fusidic acid</w:t>
      </w:r>
    </w:p>
    <w:p w:rsidR="00DD6F38" w:rsidRPr="00DD6F38" w:rsidRDefault="00DD6F38" w:rsidP="00DD6F38">
      <w:pPr>
        <w:tabs>
          <w:tab w:val="left" w:pos="851"/>
        </w:tabs>
        <w:ind w:left="851"/>
        <w:rPr>
          <w:sz w:val="24"/>
          <w:szCs w:val="24"/>
          <w:lang w:val="en-GB"/>
        </w:rPr>
      </w:pPr>
      <w:r w:rsidRPr="00DD6F38">
        <w:rPr>
          <w:sz w:val="24"/>
          <w:szCs w:val="24"/>
          <w:lang w:val="en-GB"/>
        </w:rPr>
        <w:t>The risk of myopathy including rhabdomyolysis may be increased by the concomitant administration of systemic fusidic acid with statins. The mechanism of this interaction (whether it is pharmacodynamic or pharmacokinetic, or both) is yet unknown. There have been reports of rhabdomyolysis (including some fatalities) in patients receiving this combination.</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sz w:val="24"/>
          <w:szCs w:val="24"/>
          <w:lang w:val="en-GB"/>
        </w:rPr>
      </w:pPr>
      <w:r w:rsidRPr="00DD6F38">
        <w:rPr>
          <w:sz w:val="24"/>
          <w:szCs w:val="24"/>
          <w:lang w:val="en-GB"/>
        </w:rPr>
        <w:t xml:space="preserve">If treatment with systemic fusidic acid is necessary, fluvastatin treatment should be discontinued throughout the duration of the fusidic acid treatment. </w:t>
      </w:r>
      <w:r w:rsidRPr="00DD6F38">
        <w:rPr>
          <w:b/>
          <w:sz w:val="24"/>
          <w:szCs w:val="24"/>
          <w:lang w:val="en-GB"/>
        </w:rPr>
        <w:t>Also see section 4.4</w:t>
      </w:r>
      <w:r w:rsidRPr="00DD6F38">
        <w:rPr>
          <w:sz w:val="24"/>
          <w:szCs w:val="24"/>
          <w:lang w:val="en-GB"/>
        </w:rPr>
        <w:t>.</w:t>
      </w:r>
    </w:p>
    <w:p w:rsidR="00DD6F38" w:rsidRPr="00DD6F38" w:rsidRDefault="00DD6F38" w:rsidP="00DD6F38">
      <w:pPr>
        <w:tabs>
          <w:tab w:val="left" w:pos="851"/>
        </w:tabs>
        <w:ind w:left="851"/>
        <w:rPr>
          <w:sz w:val="24"/>
          <w:szCs w:val="24"/>
          <w:lang w:val="en-GB"/>
        </w:rPr>
      </w:pPr>
    </w:p>
    <w:p w:rsidR="00DD6F38" w:rsidRPr="00DD6F38" w:rsidRDefault="00DD6F38" w:rsidP="00DD6F38">
      <w:pPr>
        <w:tabs>
          <w:tab w:val="left" w:pos="851"/>
        </w:tabs>
        <w:ind w:left="851"/>
        <w:rPr>
          <w:i/>
          <w:sz w:val="24"/>
          <w:szCs w:val="24"/>
          <w:lang w:val="en-GB"/>
        </w:rPr>
      </w:pPr>
      <w:r w:rsidRPr="00DD6F38">
        <w:rPr>
          <w:i/>
          <w:sz w:val="24"/>
          <w:szCs w:val="24"/>
          <w:lang w:val="en-GB"/>
        </w:rPr>
        <w:t>Grapefruit juice</w:t>
      </w:r>
    </w:p>
    <w:p w:rsidR="00DD6F38" w:rsidRPr="00DD6F38" w:rsidRDefault="00DD6F38" w:rsidP="00DD6F38">
      <w:pPr>
        <w:tabs>
          <w:tab w:val="left" w:pos="851"/>
        </w:tabs>
        <w:ind w:left="851"/>
        <w:rPr>
          <w:sz w:val="24"/>
          <w:szCs w:val="24"/>
          <w:lang w:val="en-GB"/>
        </w:rPr>
      </w:pPr>
      <w:r w:rsidRPr="00DD6F38">
        <w:rPr>
          <w:sz w:val="24"/>
          <w:szCs w:val="24"/>
          <w:lang w:val="en-GB"/>
        </w:rPr>
        <w:t xml:space="preserve">Based on the lack of interaction of fluvastatin with other CYP3A4 substrates, fluvastatin is not expected to interact with grapefruit juice. </w:t>
      </w:r>
    </w:p>
    <w:p w:rsidR="007C5D2A" w:rsidRPr="00DD6F38" w:rsidRDefault="007C5D2A" w:rsidP="00DD6F38">
      <w:pPr>
        <w:tabs>
          <w:tab w:val="left" w:pos="851"/>
        </w:tabs>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AE741A" w:rsidRPr="00AE741A" w:rsidRDefault="00AE741A" w:rsidP="00AE741A">
      <w:pPr>
        <w:tabs>
          <w:tab w:val="left" w:pos="851"/>
        </w:tabs>
        <w:ind w:left="851"/>
        <w:rPr>
          <w:sz w:val="24"/>
          <w:szCs w:val="24"/>
          <w:lang w:val="en-GB"/>
        </w:rPr>
      </w:pPr>
    </w:p>
    <w:p w:rsidR="00AE741A" w:rsidRPr="00AE741A" w:rsidRDefault="00AE741A" w:rsidP="00AE741A">
      <w:pPr>
        <w:tabs>
          <w:tab w:val="left" w:pos="851"/>
        </w:tabs>
        <w:ind w:left="851"/>
        <w:rPr>
          <w:sz w:val="24"/>
          <w:szCs w:val="24"/>
          <w:u w:val="single"/>
          <w:lang w:val="en-GB"/>
        </w:rPr>
      </w:pPr>
      <w:r w:rsidRPr="00AE741A">
        <w:rPr>
          <w:sz w:val="24"/>
          <w:szCs w:val="24"/>
          <w:u w:val="single"/>
          <w:lang w:val="en-GB"/>
        </w:rPr>
        <w:t>Women of childbearing potential</w:t>
      </w:r>
    </w:p>
    <w:p w:rsidR="00AE741A" w:rsidRPr="00AE741A" w:rsidRDefault="00AE741A" w:rsidP="00AE741A">
      <w:pPr>
        <w:tabs>
          <w:tab w:val="left" w:pos="851"/>
        </w:tabs>
        <w:ind w:left="851"/>
        <w:rPr>
          <w:sz w:val="24"/>
          <w:szCs w:val="24"/>
          <w:lang w:val="en-GB"/>
        </w:rPr>
      </w:pPr>
      <w:r w:rsidRPr="00AE741A">
        <w:rPr>
          <w:sz w:val="24"/>
          <w:szCs w:val="24"/>
          <w:lang w:val="en-GB"/>
        </w:rPr>
        <w:t>Women of childbearing potential have to use effective contraception.</w:t>
      </w:r>
    </w:p>
    <w:p w:rsidR="00AE741A" w:rsidRPr="00AE741A" w:rsidRDefault="00AE741A" w:rsidP="00AE741A">
      <w:pPr>
        <w:tabs>
          <w:tab w:val="left" w:pos="851"/>
        </w:tabs>
        <w:ind w:left="851"/>
        <w:rPr>
          <w:sz w:val="24"/>
          <w:szCs w:val="24"/>
          <w:lang w:val="en-GB"/>
        </w:rPr>
      </w:pPr>
      <w:r w:rsidRPr="00AE741A">
        <w:rPr>
          <w:sz w:val="24"/>
          <w:szCs w:val="24"/>
          <w:lang w:val="en-GB"/>
        </w:rPr>
        <w:t>If a patient becomes pregnant while taking Fluvastatin, therapy should be discontinued.</w:t>
      </w:r>
    </w:p>
    <w:p w:rsidR="00AE741A" w:rsidRPr="00AE741A" w:rsidRDefault="00AE741A" w:rsidP="00AE741A">
      <w:pPr>
        <w:tabs>
          <w:tab w:val="left" w:pos="851"/>
        </w:tabs>
        <w:ind w:left="851"/>
        <w:rPr>
          <w:sz w:val="24"/>
          <w:szCs w:val="24"/>
          <w:lang w:val="en-GB"/>
        </w:rPr>
      </w:pPr>
    </w:p>
    <w:p w:rsidR="00AE741A" w:rsidRPr="00AE741A" w:rsidRDefault="00AE741A" w:rsidP="00AE741A">
      <w:pPr>
        <w:tabs>
          <w:tab w:val="left" w:pos="851"/>
        </w:tabs>
        <w:ind w:left="851"/>
        <w:rPr>
          <w:sz w:val="24"/>
          <w:szCs w:val="24"/>
          <w:u w:val="single"/>
          <w:lang w:val="en-GB"/>
        </w:rPr>
      </w:pPr>
      <w:r w:rsidRPr="00AE741A">
        <w:rPr>
          <w:sz w:val="24"/>
          <w:szCs w:val="24"/>
          <w:u w:val="single"/>
          <w:lang w:val="en-GB"/>
        </w:rPr>
        <w:t xml:space="preserve">Pregnancy </w:t>
      </w:r>
    </w:p>
    <w:p w:rsidR="00AE741A" w:rsidRPr="00AE741A" w:rsidRDefault="00AE741A" w:rsidP="00AE741A">
      <w:pPr>
        <w:tabs>
          <w:tab w:val="left" w:pos="851"/>
        </w:tabs>
        <w:ind w:left="851"/>
        <w:rPr>
          <w:sz w:val="24"/>
          <w:szCs w:val="24"/>
          <w:lang w:val="en-GB"/>
        </w:rPr>
      </w:pPr>
      <w:r w:rsidRPr="00AE741A">
        <w:rPr>
          <w:sz w:val="24"/>
          <w:szCs w:val="24"/>
          <w:lang w:val="en-GB"/>
        </w:rPr>
        <w:t xml:space="preserve">There is insufficient data on the use of fluvastatin during pregnancy. </w:t>
      </w:r>
    </w:p>
    <w:p w:rsidR="00AE741A" w:rsidRPr="00AE741A" w:rsidRDefault="00AE741A" w:rsidP="00AE741A">
      <w:pPr>
        <w:tabs>
          <w:tab w:val="left" w:pos="851"/>
        </w:tabs>
        <w:ind w:left="851"/>
        <w:rPr>
          <w:sz w:val="24"/>
          <w:szCs w:val="24"/>
          <w:lang w:val="en-GB"/>
        </w:rPr>
      </w:pPr>
      <w:r w:rsidRPr="00AE741A">
        <w:rPr>
          <w:sz w:val="24"/>
          <w:szCs w:val="24"/>
          <w:lang w:val="en-GB"/>
        </w:rPr>
        <w:t xml:space="preserve">Since </w:t>
      </w:r>
      <w:smartTag w:uri="urn:schemas-microsoft-com:office:smarttags" w:element="stockticker">
        <w:r w:rsidRPr="00AE741A">
          <w:rPr>
            <w:sz w:val="24"/>
            <w:szCs w:val="24"/>
            <w:lang w:val="en-GB"/>
          </w:rPr>
          <w:t>HMG</w:t>
        </w:r>
      </w:smartTag>
      <w:r w:rsidRPr="00AE741A">
        <w:rPr>
          <w:sz w:val="24"/>
          <w:szCs w:val="24"/>
          <w:lang w:val="en-GB"/>
        </w:rPr>
        <w:t xml:space="preserve">-CoA reductase inhibitors decrease the synthesis of cholesterol and possibly of other biologically active substances derived from cholesterol, they may cause foetal harm when administered to pregnant women. Therefore, fluvastatin is contraindicated during pregnancy (see section 4.3). </w:t>
      </w:r>
    </w:p>
    <w:p w:rsidR="00AE741A" w:rsidRPr="00AE741A" w:rsidRDefault="00AE741A" w:rsidP="00AE741A">
      <w:pPr>
        <w:tabs>
          <w:tab w:val="left" w:pos="851"/>
        </w:tabs>
        <w:ind w:left="851"/>
        <w:rPr>
          <w:sz w:val="24"/>
          <w:szCs w:val="24"/>
          <w:lang w:val="en-GB"/>
        </w:rPr>
      </w:pPr>
    </w:p>
    <w:p w:rsidR="00AE741A" w:rsidRPr="00AE741A" w:rsidRDefault="00AE741A" w:rsidP="00AE741A">
      <w:pPr>
        <w:tabs>
          <w:tab w:val="left" w:pos="851"/>
        </w:tabs>
        <w:ind w:left="851"/>
        <w:rPr>
          <w:sz w:val="24"/>
          <w:szCs w:val="24"/>
          <w:u w:val="single"/>
          <w:lang w:val="en-GB"/>
        </w:rPr>
      </w:pPr>
      <w:r w:rsidRPr="00AE741A">
        <w:rPr>
          <w:sz w:val="24"/>
          <w:szCs w:val="24"/>
          <w:u w:val="single"/>
          <w:lang w:val="en-GB"/>
        </w:rPr>
        <w:t xml:space="preserve">Breast-feeding </w:t>
      </w:r>
    </w:p>
    <w:p w:rsidR="00AE741A" w:rsidRPr="00AE741A" w:rsidRDefault="00AE741A" w:rsidP="00AE741A">
      <w:pPr>
        <w:tabs>
          <w:tab w:val="left" w:pos="851"/>
        </w:tabs>
        <w:ind w:left="851"/>
        <w:rPr>
          <w:sz w:val="24"/>
          <w:szCs w:val="24"/>
          <w:lang w:val="en-GB"/>
        </w:rPr>
      </w:pPr>
      <w:r w:rsidRPr="00AE741A">
        <w:rPr>
          <w:sz w:val="24"/>
          <w:szCs w:val="24"/>
          <w:lang w:val="en-GB"/>
        </w:rPr>
        <w:t xml:space="preserve">Based on preclinical data, it is expected that fluvastatin is excreted into human milk. There is insufficient information on the effects of fluvastatin in newborns / infants. </w:t>
      </w:r>
    </w:p>
    <w:p w:rsidR="00AE741A" w:rsidRPr="00AE741A" w:rsidRDefault="00AE741A" w:rsidP="00AE741A">
      <w:pPr>
        <w:tabs>
          <w:tab w:val="left" w:pos="851"/>
        </w:tabs>
        <w:ind w:left="851"/>
        <w:rPr>
          <w:sz w:val="24"/>
          <w:szCs w:val="24"/>
          <w:lang w:val="en-GB"/>
        </w:rPr>
      </w:pPr>
    </w:p>
    <w:p w:rsidR="00AE741A" w:rsidRPr="00AE741A" w:rsidRDefault="00AE741A" w:rsidP="00AE741A">
      <w:pPr>
        <w:tabs>
          <w:tab w:val="left" w:pos="851"/>
        </w:tabs>
        <w:ind w:left="851"/>
        <w:rPr>
          <w:sz w:val="24"/>
          <w:szCs w:val="24"/>
          <w:lang w:val="en-GB"/>
        </w:rPr>
      </w:pPr>
      <w:r w:rsidRPr="00AE741A">
        <w:rPr>
          <w:sz w:val="24"/>
          <w:szCs w:val="24"/>
          <w:lang w:val="en-GB"/>
        </w:rPr>
        <w:t xml:space="preserve">Fluvastatin is contraindicated in breast-feeding women (see section 4.3). </w:t>
      </w:r>
    </w:p>
    <w:p w:rsidR="00AE741A" w:rsidRPr="00AE741A" w:rsidRDefault="00AE741A" w:rsidP="00AE741A">
      <w:pPr>
        <w:tabs>
          <w:tab w:val="left" w:pos="851"/>
        </w:tabs>
        <w:ind w:left="851"/>
        <w:rPr>
          <w:sz w:val="24"/>
          <w:szCs w:val="24"/>
          <w:lang w:val="en-GB"/>
        </w:rPr>
      </w:pPr>
    </w:p>
    <w:p w:rsidR="00AE741A" w:rsidRPr="00AE741A" w:rsidRDefault="00AE741A" w:rsidP="00AE741A">
      <w:pPr>
        <w:tabs>
          <w:tab w:val="left" w:pos="851"/>
        </w:tabs>
        <w:ind w:left="851"/>
        <w:rPr>
          <w:sz w:val="24"/>
          <w:szCs w:val="24"/>
          <w:u w:val="single"/>
          <w:lang w:val="en-GB"/>
        </w:rPr>
      </w:pPr>
      <w:r w:rsidRPr="00AE741A">
        <w:rPr>
          <w:sz w:val="24"/>
          <w:szCs w:val="24"/>
          <w:u w:val="single"/>
          <w:lang w:val="en-GB"/>
        </w:rPr>
        <w:t>Fertility</w:t>
      </w:r>
    </w:p>
    <w:p w:rsidR="00AE741A" w:rsidRPr="00AE741A" w:rsidRDefault="00AE741A" w:rsidP="00AE741A">
      <w:pPr>
        <w:tabs>
          <w:tab w:val="left" w:pos="851"/>
        </w:tabs>
        <w:ind w:left="851"/>
        <w:rPr>
          <w:sz w:val="24"/>
          <w:szCs w:val="24"/>
          <w:lang w:val="en-GB"/>
        </w:rPr>
      </w:pPr>
      <w:r w:rsidRPr="00AE741A">
        <w:rPr>
          <w:sz w:val="24"/>
          <w:szCs w:val="24"/>
          <w:lang w:val="en-GB"/>
        </w:rPr>
        <w:t>In animal studies no effects on male and female fertility were observed.</w:t>
      </w:r>
    </w:p>
    <w:p w:rsidR="007C5D2A" w:rsidRPr="00AE741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AE741A" w:rsidRDefault="00AE741A" w:rsidP="00AE741A">
      <w:pPr>
        <w:tabs>
          <w:tab w:val="left" w:pos="851"/>
        </w:tabs>
        <w:ind w:left="851"/>
        <w:rPr>
          <w:sz w:val="24"/>
          <w:szCs w:val="24"/>
          <w:lang w:val="en-GB"/>
        </w:rPr>
      </w:pPr>
      <w:r>
        <w:rPr>
          <w:sz w:val="24"/>
          <w:szCs w:val="24"/>
          <w:lang w:val="en-GB"/>
        </w:rPr>
        <w:t>No traffic warning.</w:t>
      </w:r>
    </w:p>
    <w:p w:rsidR="00AE741A" w:rsidRPr="00AE741A" w:rsidRDefault="00AE741A" w:rsidP="00AE741A">
      <w:pPr>
        <w:tabs>
          <w:tab w:val="left" w:pos="851"/>
        </w:tabs>
        <w:ind w:left="851"/>
        <w:rPr>
          <w:sz w:val="24"/>
          <w:szCs w:val="24"/>
          <w:lang w:val="en-GB"/>
        </w:rPr>
      </w:pPr>
      <w:r w:rsidRPr="00AE741A">
        <w:rPr>
          <w:sz w:val="24"/>
          <w:szCs w:val="24"/>
          <w:lang w:val="en-GB"/>
        </w:rPr>
        <w:t xml:space="preserve">No studies on the effects on the ability to drive and use machines have been performed. </w:t>
      </w:r>
    </w:p>
    <w:p w:rsidR="007C5D2A" w:rsidRPr="00AE741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763661" w:rsidRPr="00850894" w:rsidRDefault="00763661" w:rsidP="00850894">
      <w:pPr>
        <w:ind w:left="851"/>
        <w:rPr>
          <w:sz w:val="24"/>
          <w:szCs w:val="24"/>
          <w:lang w:val="en-US"/>
        </w:rPr>
      </w:pPr>
      <w:r w:rsidRPr="00850894">
        <w:rPr>
          <w:sz w:val="24"/>
          <w:szCs w:val="24"/>
          <w:lang w:val="en-US"/>
        </w:rPr>
        <w:t xml:space="preserve">The most commonly reported adverse drug reactions are mild gastrointestinal symptoms, insomnia and headache. </w:t>
      </w:r>
    </w:p>
    <w:p w:rsidR="00763661" w:rsidRPr="00850894" w:rsidRDefault="00763661" w:rsidP="00850894">
      <w:pPr>
        <w:keepNext/>
        <w:ind w:left="851"/>
        <w:rPr>
          <w:b/>
          <w:sz w:val="24"/>
          <w:szCs w:val="24"/>
          <w:lang w:val="en-US"/>
        </w:rPr>
      </w:pPr>
    </w:p>
    <w:p w:rsidR="00763661" w:rsidRPr="00850894" w:rsidRDefault="00763661" w:rsidP="00850894">
      <w:pPr>
        <w:ind w:left="851"/>
        <w:rPr>
          <w:sz w:val="24"/>
          <w:szCs w:val="24"/>
          <w:lang w:val="en-US"/>
        </w:rPr>
      </w:pPr>
      <w:r w:rsidRPr="00850894">
        <w:rPr>
          <w:sz w:val="24"/>
          <w:szCs w:val="24"/>
          <w:lang w:val="en-US"/>
        </w:rPr>
        <w:t>Adverse drug reactions (Table 1) are listed by MedDRA system organ class. Within each system organ class, the adverse drug reactions are ranked by frequency, with the most frequent first. Within each frequency grouping, adverse drug reactions are presented in order of decreasing seriousness. In addition, the corresponding frequency category, using the following convention (CIOMS III) is also provided for each adverse drug reaction: very common (≥ 1/10); common (≥ 1/100 to &lt; 1/10); uncommon (≥ 1/1,000 to &lt; 1/100); rare (≥ 1/10,000 to &lt; 1/1,000) very rare (&lt; 1/10,000); not known (cannot be estimated from the available data).</w:t>
      </w:r>
    </w:p>
    <w:p w:rsidR="00763661" w:rsidRPr="00850894" w:rsidRDefault="00763661" w:rsidP="00850894">
      <w:pPr>
        <w:ind w:left="851"/>
        <w:rPr>
          <w:sz w:val="24"/>
          <w:szCs w:val="24"/>
          <w:lang w:val="en-US"/>
        </w:rPr>
      </w:pPr>
    </w:p>
    <w:p w:rsidR="00763661" w:rsidRPr="00850894" w:rsidRDefault="00763661" w:rsidP="00850894">
      <w:pPr>
        <w:ind w:left="851"/>
        <w:rPr>
          <w:b/>
          <w:sz w:val="24"/>
          <w:szCs w:val="24"/>
        </w:rPr>
      </w:pPr>
      <w:r w:rsidRPr="00850894">
        <w:rPr>
          <w:b/>
          <w:sz w:val="24"/>
          <w:szCs w:val="24"/>
        </w:rPr>
        <w:t>Table 1 Adverse drug reactions</w:t>
      </w:r>
    </w:p>
    <w:p w:rsidR="00763661" w:rsidRDefault="00763661" w:rsidP="00850894">
      <w:pPr>
        <w:rPr>
          <w:b/>
          <w:sz w:val="22"/>
          <w:szCs w:val="22"/>
        </w:rPr>
      </w:pPr>
    </w:p>
    <w:tbl>
      <w:tblPr>
        <w:tblW w:w="9315" w:type="dxa"/>
        <w:tblBorders>
          <w:top w:val="single" w:sz="4" w:space="0" w:color="auto"/>
          <w:bottom w:val="single" w:sz="4" w:space="0" w:color="auto"/>
        </w:tblBorders>
        <w:tblLayout w:type="fixed"/>
        <w:tblLook w:val="04A0" w:firstRow="1" w:lastRow="0" w:firstColumn="1" w:lastColumn="0" w:noHBand="0" w:noVBand="1"/>
      </w:tblPr>
      <w:tblGrid>
        <w:gridCol w:w="2941"/>
        <w:gridCol w:w="1417"/>
        <w:gridCol w:w="4957"/>
      </w:tblGrid>
      <w:tr w:rsidR="00763661" w:rsidTr="00763661">
        <w:tc>
          <w:tcPr>
            <w:tcW w:w="2943" w:type="dxa"/>
            <w:tcBorders>
              <w:top w:val="single" w:sz="4" w:space="0" w:color="auto"/>
              <w:left w:val="single" w:sz="4" w:space="0" w:color="auto"/>
              <w:bottom w:val="single" w:sz="4" w:space="0" w:color="auto"/>
              <w:right w:val="nil"/>
            </w:tcBorders>
            <w:hideMark/>
          </w:tcPr>
          <w:p w:rsidR="00763661" w:rsidRDefault="00763661">
            <w:pPr>
              <w:tabs>
                <w:tab w:val="left" w:pos="1134"/>
              </w:tabs>
              <w:rPr>
                <w:b/>
                <w:color w:val="000000"/>
                <w:sz w:val="22"/>
                <w:szCs w:val="22"/>
              </w:rPr>
            </w:pPr>
            <w:r>
              <w:rPr>
                <w:b/>
                <w:color w:val="000000"/>
                <w:sz w:val="22"/>
                <w:szCs w:val="22"/>
              </w:rPr>
              <w:t>System organ class</w:t>
            </w:r>
          </w:p>
        </w:tc>
        <w:tc>
          <w:tcPr>
            <w:tcW w:w="1418" w:type="dxa"/>
            <w:tcBorders>
              <w:top w:val="single" w:sz="4" w:space="0" w:color="auto"/>
              <w:left w:val="nil"/>
              <w:bottom w:val="single" w:sz="4" w:space="0" w:color="auto"/>
              <w:right w:val="nil"/>
            </w:tcBorders>
            <w:hideMark/>
          </w:tcPr>
          <w:p w:rsidR="00763661" w:rsidRDefault="00763661">
            <w:pPr>
              <w:tabs>
                <w:tab w:val="left" w:pos="1134"/>
              </w:tabs>
              <w:rPr>
                <w:b/>
                <w:color w:val="000000"/>
                <w:sz w:val="22"/>
                <w:szCs w:val="22"/>
              </w:rPr>
            </w:pPr>
            <w:r>
              <w:rPr>
                <w:b/>
                <w:color w:val="000000"/>
                <w:sz w:val="22"/>
                <w:szCs w:val="22"/>
              </w:rPr>
              <w:t>Frequency</w:t>
            </w:r>
          </w:p>
        </w:tc>
        <w:tc>
          <w:tcPr>
            <w:tcW w:w="4961" w:type="dxa"/>
            <w:tcBorders>
              <w:top w:val="single" w:sz="4" w:space="0" w:color="auto"/>
              <w:left w:val="nil"/>
              <w:bottom w:val="single" w:sz="4" w:space="0" w:color="auto"/>
              <w:right w:val="single" w:sz="4" w:space="0" w:color="auto"/>
            </w:tcBorders>
            <w:hideMark/>
          </w:tcPr>
          <w:p w:rsidR="00763661" w:rsidRDefault="00763661">
            <w:pPr>
              <w:tabs>
                <w:tab w:val="left" w:pos="1134"/>
              </w:tabs>
              <w:rPr>
                <w:b/>
                <w:color w:val="000000"/>
                <w:sz w:val="22"/>
                <w:szCs w:val="22"/>
              </w:rPr>
            </w:pPr>
            <w:r>
              <w:rPr>
                <w:b/>
                <w:color w:val="000000"/>
                <w:sz w:val="22"/>
                <w:szCs w:val="22"/>
              </w:rPr>
              <w:t>Adverse reactions</w:t>
            </w:r>
          </w:p>
        </w:tc>
      </w:tr>
      <w:tr w:rsidR="00763661" w:rsidTr="00763661">
        <w:tc>
          <w:tcPr>
            <w:tcW w:w="2943" w:type="dxa"/>
            <w:tcBorders>
              <w:top w:val="single" w:sz="4" w:space="0" w:color="auto"/>
              <w:left w:val="single" w:sz="4" w:space="0" w:color="auto"/>
              <w:bottom w:val="single" w:sz="4" w:space="0" w:color="auto"/>
              <w:right w:val="nil"/>
            </w:tcBorders>
          </w:tcPr>
          <w:p w:rsidR="00763661" w:rsidRDefault="00763661">
            <w:pPr>
              <w:rPr>
                <w:b/>
                <w:bCs/>
                <w:sz w:val="22"/>
                <w:szCs w:val="22"/>
              </w:rPr>
            </w:pPr>
            <w:r>
              <w:rPr>
                <w:b/>
                <w:bCs/>
                <w:sz w:val="22"/>
                <w:szCs w:val="22"/>
              </w:rPr>
              <w:t>Blood and lymphatic system disorders</w:t>
            </w:r>
          </w:p>
          <w:p w:rsidR="00763661" w:rsidRDefault="00763661">
            <w:pPr>
              <w:tabs>
                <w:tab w:val="left" w:pos="1134"/>
              </w:tabs>
              <w:rPr>
                <w:color w:val="000000"/>
                <w:sz w:val="22"/>
                <w:szCs w:val="22"/>
              </w:rPr>
            </w:pPr>
          </w:p>
        </w:tc>
        <w:tc>
          <w:tcPr>
            <w:tcW w:w="1418" w:type="dxa"/>
            <w:tcBorders>
              <w:top w:val="single" w:sz="4" w:space="0" w:color="auto"/>
              <w:left w:val="nil"/>
              <w:bottom w:val="single" w:sz="4" w:space="0" w:color="auto"/>
              <w:right w:val="nil"/>
            </w:tcBorders>
            <w:hideMark/>
          </w:tcPr>
          <w:p w:rsidR="00763661" w:rsidRDefault="00763661">
            <w:pPr>
              <w:tabs>
                <w:tab w:val="left" w:pos="1134"/>
              </w:tabs>
              <w:rPr>
                <w:color w:val="000000"/>
                <w:sz w:val="22"/>
                <w:szCs w:val="22"/>
              </w:rPr>
            </w:pPr>
            <w:r>
              <w:rPr>
                <w:sz w:val="22"/>
                <w:szCs w:val="22"/>
              </w:rPr>
              <w:t>Very rare</w:t>
            </w:r>
          </w:p>
        </w:tc>
        <w:tc>
          <w:tcPr>
            <w:tcW w:w="4961" w:type="dxa"/>
            <w:tcBorders>
              <w:top w:val="single" w:sz="4" w:space="0" w:color="auto"/>
              <w:left w:val="nil"/>
              <w:bottom w:val="single" w:sz="4" w:space="0" w:color="auto"/>
              <w:right w:val="single" w:sz="4" w:space="0" w:color="auto"/>
            </w:tcBorders>
            <w:hideMark/>
          </w:tcPr>
          <w:p w:rsidR="00763661" w:rsidRDefault="00763661">
            <w:pPr>
              <w:tabs>
                <w:tab w:val="left" w:pos="1134"/>
              </w:tabs>
              <w:rPr>
                <w:color w:val="000000"/>
                <w:sz w:val="22"/>
                <w:szCs w:val="22"/>
              </w:rPr>
            </w:pPr>
            <w:r>
              <w:rPr>
                <w:sz w:val="22"/>
                <w:szCs w:val="22"/>
              </w:rPr>
              <w:t>Thrombocytopenia</w:t>
            </w:r>
          </w:p>
        </w:tc>
      </w:tr>
      <w:tr w:rsidR="00763661" w:rsidTr="00763661">
        <w:trPr>
          <w:trHeight w:val="245"/>
        </w:trPr>
        <w:tc>
          <w:tcPr>
            <w:tcW w:w="2943" w:type="dxa"/>
            <w:vMerge w:val="restart"/>
            <w:tcBorders>
              <w:top w:val="single" w:sz="4" w:space="0" w:color="auto"/>
              <w:left w:val="single" w:sz="4" w:space="0" w:color="auto"/>
              <w:bottom w:val="single" w:sz="4" w:space="0" w:color="auto"/>
              <w:right w:val="nil"/>
            </w:tcBorders>
          </w:tcPr>
          <w:p w:rsidR="00763661" w:rsidRDefault="00763661">
            <w:pPr>
              <w:rPr>
                <w:b/>
                <w:bCs/>
                <w:sz w:val="22"/>
                <w:szCs w:val="22"/>
              </w:rPr>
            </w:pPr>
            <w:r>
              <w:rPr>
                <w:b/>
                <w:bCs/>
                <w:sz w:val="22"/>
                <w:szCs w:val="22"/>
              </w:rPr>
              <w:t>Immune system disorders</w:t>
            </w:r>
          </w:p>
          <w:p w:rsidR="00763661" w:rsidRDefault="00763661">
            <w:pPr>
              <w:tabs>
                <w:tab w:val="left" w:pos="1134"/>
              </w:tabs>
              <w:rPr>
                <w:color w:val="000000"/>
                <w:sz w:val="22"/>
                <w:szCs w:val="22"/>
              </w:rPr>
            </w:pPr>
          </w:p>
        </w:tc>
        <w:tc>
          <w:tcPr>
            <w:tcW w:w="1418" w:type="dxa"/>
            <w:tcBorders>
              <w:top w:val="single" w:sz="4" w:space="0" w:color="auto"/>
              <w:left w:val="nil"/>
              <w:bottom w:val="nil"/>
              <w:right w:val="nil"/>
            </w:tcBorders>
            <w:hideMark/>
          </w:tcPr>
          <w:p w:rsidR="00763661" w:rsidRDefault="00763661">
            <w:pPr>
              <w:tabs>
                <w:tab w:val="left" w:pos="1134"/>
              </w:tabs>
              <w:rPr>
                <w:color w:val="000000"/>
                <w:sz w:val="22"/>
                <w:szCs w:val="22"/>
              </w:rPr>
            </w:pPr>
            <w:r>
              <w:rPr>
                <w:sz w:val="22"/>
                <w:szCs w:val="22"/>
              </w:rPr>
              <w:t>Rare</w:t>
            </w:r>
          </w:p>
        </w:tc>
        <w:tc>
          <w:tcPr>
            <w:tcW w:w="4961" w:type="dxa"/>
            <w:tcBorders>
              <w:top w:val="single" w:sz="4" w:space="0" w:color="auto"/>
              <w:left w:val="nil"/>
              <w:bottom w:val="nil"/>
              <w:right w:val="single" w:sz="4" w:space="0" w:color="auto"/>
            </w:tcBorders>
            <w:hideMark/>
          </w:tcPr>
          <w:p w:rsidR="00763661" w:rsidRDefault="00763661">
            <w:pPr>
              <w:tabs>
                <w:tab w:val="left" w:pos="1134"/>
              </w:tabs>
              <w:rPr>
                <w:color w:val="000000"/>
                <w:sz w:val="22"/>
                <w:szCs w:val="22"/>
              </w:rPr>
            </w:pPr>
            <w:r>
              <w:rPr>
                <w:sz w:val="22"/>
                <w:szCs w:val="22"/>
              </w:rPr>
              <w:t>Hypersensitivity reactions (rash, urticaria)</w:t>
            </w:r>
          </w:p>
        </w:tc>
      </w:tr>
      <w:tr w:rsidR="00763661" w:rsidTr="00763661">
        <w:trPr>
          <w:trHeight w:val="244"/>
        </w:trPr>
        <w:tc>
          <w:tcPr>
            <w:tcW w:w="2943" w:type="dxa"/>
            <w:vMerge/>
            <w:tcBorders>
              <w:top w:val="single" w:sz="4" w:space="0" w:color="auto"/>
              <w:left w:val="single" w:sz="4" w:space="0" w:color="auto"/>
              <w:bottom w:val="single" w:sz="4" w:space="0" w:color="auto"/>
              <w:right w:val="nil"/>
            </w:tcBorders>
            <w:vAlign w:val="center"/>
            <w:hideMark/>
          </w:tcPr>
          <w:p w:rsidR="00763661" w:rsidRDefault="00763661">
            <w:pPr>
              <w:rPr>
                <w:color w:val="000000"/>
                <w:sz w:val="22"/>
                <w:szCs w:val="22"/>
                <w:lang w:val="en-GB" w:eastAsia="en-US"/>
              </w:rPr>
            </w:pPr>
          </w:p>
        </w:tc>
        <w:tc>
          <w:tcPr>
            <w:tcW w:w="1418" w:type="dxa"/>
            <w:tcBorders>
              <w:top w:val="nil"/>
              <w:left w:val="nil"/>
              <w:bottom w:val="single" w:sz="4" w:space="0" w:color="auto"/>
              <w:right w:val="nil"/>
            </w:tcBorders>
            <w:hideMark/>
          </w:tcPr>
          <w:p w:rsidR="00763661" w:rsidRDefault="00763661">
            <w:pPr>
              <w:tabs>
                <w:tab w:val="left" w:pos="1134"/>
              </w:tabs>
              <w:rPr>
                <w:sz w:val="22"/>
                <w:szCs w:val="22"/>
              </w:rPr>
            </w:pPr>
            <w:r>
              <w:rPr>
                <w:sz w:val="22"/>
                <w:szCs w:val="22"/>
              </w:rPr>
              <w:t>Very rare</w:t>
            </w:r>
          </w:p>
        </w:tc>
        <w:tc>
          <w:tcPr>
            <w:tcW w:w="4961" w:type="dxa"/>
            <w:tcBorders>
              <w:top w:val="nil"/>
              <w:left w:val="nil"/>
              <w:bottom w:val="single" w:sz="4" w:space="0" w:color="auto"/>
              <w:right w:val="single" w:sz="4" w:space="0" w:color="auto"/>
            </w:tcBorders>
            <w:hideMark/>
          </w:tcPr>
          <w:p w:rsidR="00763661" w:rsidRDefault="00763661">
            <w:pPr>
              <w:tabs>
                <w:tab w:val="left" w:pos="1134"/>
              </w:tabs>
              <w:rPr>
                <w:sz w:val="22"/>
                <w:szCs w:val="22"/>
              </w:rPr>
            </w:pPr>
            <w:r>
              <w:rPr>
                <w:sz w:val="22"/>
                <w:szCs w:val="22"/>
              </w:rPr>
              <w:t>Anaphylactic reaction</w:t>
            </w:r>
          </w:p>
        </w:tc>
      </w:tr>
      <w:tr w:rsidR="00763661" w:rsidTr="00763661">
        <w:tc>
          <w:tcPr>
            <w:tcW w:w="2943" w:type="dxa"/>
            <w:tcBorders>
              <w:top w:val="single" w:sz="4" w:space="0" w:color="auto"/>
              <w:left w:val="single" w:sz="4" w:space="0" w:color="auto"/>
              <w:bottom w:val="single" w:sz="4" w:space="0" w:color="auto"/>
              <w:right w:val="nil"/>
            </w:tcBorders>
          </w:tcPr>
          <w:p w:rsidR="00763661" w:rsidRDefault="00763661">
            <w:pPr>
              <w:rPr>
                <w:b/>
                <w:bCs/>
                <w:sz w:val="22"/>
                <w:szCs w:val="22"/>
              </w:rPr>
            </w:pPr>
            <w:r>
              <w:rPr>
                <w:b/>
                <w:bCs/>
                <w:sz w:val="22"/>
                <w:szCs w:val="22"/>
              </w:rPr>
              <w:t>Psychiatric disorders</w:t>
            </w:r>
          </w:p>
          <w:p w:rsidR="00763661" w:rsidRDefault="00763661">
            <w:pPr>
              <w:tabs>
                <w:tab w:val="left" w:pos="1134"/>
              </w:tabs>
              <w:rPr>
                <w:color w:val="000000"/>
                <w:sz w:val="22"/>
                <w:szCs w:val="22"/>
              </w:rPr>
            </w:pPr>
          </w:p>
        </w:tc>
        <w:tc>
          <w:tcPr>
            <w:tcW w:w="1418" w:type="dxa"/>
            <w:tcBorders>
              <w:top w:val="single" w:sz="4" w:space="0" w:color="auto"/>
              <w:left w:val="nil"/>
              <w:bottom w:val="single" w:sz="4" w:space="0" w:color="auto"/>
              <w:right w:val="nil"/>
            </w:tcBorders>
            <w:hideMark/>
          </w:tcPr>
          <w:p w:rsidR="00763661" w:rsidRDefault="00763661">
            <w:pPr>
              <w:tabs>
                <w:tab w:val="left" w:pos="1134"/>
              </w:tabs>
              <w:rPr>
                <w:color w:val="000000"/>
                <w:sz w:val="22"/>
                <w:szCs w:val="22"/>
              </w:rPr>
            </w:pPr>
            <w:r>
              <w:rPr>
                <w:sz w:val="22"/>
                <w:szCs w:val="22"/>
              </w:rPr>
              <w:t>Common</w:t>
            </w:r>
          </w:p>
        </w:tc>
        <w:tc>
          <w:tcPr>
            <w:tcW w:w="4961" w:type="dxa"/>
            <w:tcBorders>
              <w:top w:val="single" w:sz="4" w:space="0" w:color="auto"/>
              <w:left w:val="nil"/>
              <w:bottom w:val="single" w:sz="4" w:space="0" w:color="auto"/>
              <w:right w:val="single" w:sz="4" w:space="0" w:color="auto"/>
            </w:tcBorders>
            <w:hideMark/>
          </w:tcPr>
          <w:p w:rsidR="00763661" w:rsidRDefault="00763661">
            <w:pPr>
              <w:tabs>
                <w:tab w:val="left" w:pos="1134"/>
              </w:tabs>
              <w:rPr>
                <w:color w:val="000000"/>
                <w:sz w:val="22"/>
                <w:szCs w:val="22"/>
              </w:rPr>
            </w:pPr>
            <w:r>
              <w:rPr>
                <w:sz w:val="22"/>
                <w:szCs w:val="22"/>
              </w:rPr>
              <w:t>Insomnia</w:t>
            </w:r>
          </w:p>
        </w:tc>
      </w:tr>
      <w:tr w:rsidR="00763661" w:rsidTr="00763661">
        <w:tc>
          <w:tcPr>
            <w:tcW w:w="2943" w:type="dxa"/>
            <w:vMerge w:val="restart"/>
            <w:tcBorders>
              <w:top w:val="single" w:sz="4" w:space="0" w:color="auto"/>
              <w:left w:val="single" w:sz="4" w:space="0" w:color="auto"/>
              <w:bottom w:val="single" w:sz="4" w:space="0" w:color="auto"/>
              <w:right w:val="nil"/>
            </w:tcBorders>
          </w:tcPr>
          <w:p w:rsidR="00763661" w:rsidRDefault="00763661">
            <w:pPr>
              <w:rPr>
                <w:b/>
                <w:bCs/>
                <w:sz w:val="22"/>
                <w:szCs w:val="22"/>
              </w:rPr>
            </w:pPr>
            <w:r>
              <w:rPr>
                <w:b/>
                <w:bCs/>
                <w:sz w:val="22"/>
                <w:szCs w:val="22"/>
              </w:rPr>
              <w:t>Nervous system disorders</w:t>
            </w:r>
          </w:p>
          <w:p w:rsidR="00763661" w:rsidRDefault="00763661">
            <w:pPr>
              <w:tabs>
                <w:tab w:val="left" w:pos="1134"/>
              </w:tabs>
              <w:rPr>
                <w:color w:val="000000"/>
                <w:sz w:val="22"/>
                <w:szCs w:val="22"/>
              </w:rPr>
            </w:pPr>
          </w:p>
        </w:tc>
        <w:tc>
          <w:tcPr>
            <w:tcW w:w="1418" w:type="dxa"/>
            <w:tcBorders>
              <w:top w:val="single" w:sz="4" w:space="0" w:color="auto"/>
              <w:left w:val="nil"/>
              <w:bottom w:val="nil"/>
              <w:right w:val="nil"/>
            </w:tcBorders>
            <w:hideMark/>
          </w:tcPr>
          <w:p w:rsidR="00763661" w:rsidRDefault="00763661">
            <w:pPr>
              <w:tabs>
                <w:tab w:val="left" w:pos="1134"/>
              </w:tabs>
              <w:rPr>
                <w:color w:val="000000"/>
                <w:sz w:val="22"/>
                <w:szCs w:val="22"/>
              </w:rPr>
            </w:pPr>
            <w:r>
              <w:rPr>
                <w:sz w:val="22"/>
                <w:szCs w:val="22"/>
              </w:rPr>
              <w:t>Common</w:t>
            </w:r>
          </w:p>
        </w:tc>
        <w:tc>
          <w:tcPr>
            <w:tcW w:w="4961" w:type="dxa"/>
            <w:tcBorders>
              <w:top w:val="single" w:sz="4" w:space="0" w:color="auto"/>
              <w:left w:val="nil"/>
              <w:bottom w:val="nil"/>
              <w:right w:val="single" w:sz="4" w:space="0" w:color="auto"/>
            </w:tcBorders>
            <w:hideMark/>
          </w:tcPr>
          <w:p w:rsidR="00763661" w:rsidRDefault="00763661">
            <w:pPr>
              <w:tabs>
                <w:tab w:val="left" w:pos="1134"/>
              </w:tabs>
              <w:rPr>
                <w:color w:val="000000"/>
                <w:sz w:val="22"/>
                <w:szCs w:val="22"/>
              </w:rPr>
            </w:pPr>
            <w:r>
              <w:rPr>
                <w:sz w:val="22"/>
                <w:szCs w:val="22"/>
              </w:rPr>
              <w:t>Headache</w:t>
            </w:r>
          </w:p>
        </w:tc>
      </w:tr>
      <w:tr w:rsidR="00763661" w:rsidRPr="00124055" w:rsidTr="00763661">
        <w:tc>
          <w:tcPr>
            <w:tcW w:w="2943" w:type="dxa"/>
            <w:vMerge/>
            <w:tcBorders>
              <w:top w:val="single" w:sz="4" w:space="0" w:color="auto"/>
              <w:left w:val="single" w:sz="4" w:space="0" w:color="auto"/>
              <w:bottom w:val="single" w:sz="4" w:space="0" w:color="auto"/>
              <w:right w:val="nil"/>
            </w:tcBorders>
            <w:vAlign w:val="center"/>
            <w:hideMark/>
          </w:tcPr>
          <w:p w:rsidR="00763661" w:rsidRDefault="00763661">
            <w:pPr>
              <w:rPr>
                <w:color w:val="000000"/>
                <w:sz w:val="22"/>
                <w:szCs w:val="22"/>
                <w:lang w:val="en-GB" w:eastAsia="en-US"/>
              </w:rPr>
            </w:pPr>
          </w:p>
        </w:tc>
        <w:tc>
          <w:tcPr>
            <w:tcW w:w="1418" w:type="dxa"/>
            <w:tcBorders>
              <w:top w:val="nil"/>
              <w:left w:val="nil"/>
              <w:bottom w:val="nil"/>
              <w:right w:val="nil"/>
            </w:tcBorders>
            <w:hideMark/>
          </w:tcPr>
          <w:p w:rsidR="00763661" w:rsidRDefault="00763661">
            <w:pPr>
              <w:tabs>
                <w:tab w:val="left" w:pos="1134"/>
              </w:tabs>
              <w:rPr>
                <w:color w:val="000000"/>
                <w:sz w:val="22"/>
                <w:szCs w:val="22"/>
              </w:rPr>
            </w:pPr>
            <w:r>
              <w:rPr>
                <w:sz w:val="22"/>
                <w:szCs w:val="22"/>
              </w:rPr>
              <w:t>Very rare</w:t>
            </w:r>
          </w:p>
        </w:tc>
        <w:tc>
          <w:tcPr>
            <w:tcW w:w="4961" w:type="dxa"/>
            <w:tcBorders>
              <w:top w:val="nil"/>
              <w:left w:val="nil"/>
              <w:bottom w:val="nil"/>
              <w:right w:val="single" w:sz="4" w:space="0" w:color="auto"/>
            </w:tcBorders>
            <w:hideMark/>
          </w:tcPr>
          <w:p w:rsidR="00763661" w:rsidRPr="00763661" w:rsidRDefault="00763661">
            <w:pPr>
              <w:rPr>
                <w:color w:val="000000"/>
                <w:sz w:val="22"/>
                <w:szCs w:val="22"/>
                <w:lang w:val="en-US"/>
              </w:rPr>
            </w:pPr>
            <w:r w:rsidRPr="00763661">
              <w:rPr>
                <w:sz w:val="22"/>
                <w:szCs w:val="22"/>
                <w:lang w:val="en-US"/>
              </w:rPr>
              <w:t>Paresthesia, dysesthesia, hypoesthesia also known to be associated with the underlying hyperlipidaemic disorders</w:t>
            </w:r>
          </w:p>
        </w:tc>
      </w:tr>
      <w:tr w:rsidR="00763661" w:rsidTr="00763661">
        <w:tc>
          <w:tcPr>
            <w:tcW w:w="2943" w:type="dxa"/>
            <w:vMerge/>
            <w:tcBorders>
              <w:top w:val="single" w:sz="4" w:space="0" w:color="auto"/>
              <w:left w:val="single" w:sz="4" w:space="0" w:color="auto"/>
              <w:bottom w:val="single" w:sz="4" w:space="0" w:color="auto"/>
              <w:right w:val="nil"/>
            </w:tcBorders>
            <w:vAlign w:val="center"/>
            <w:hideMark/>
          </w:tcPr>
          <w:p w:rsidR="00763661" w:rsidRDefault="00763661">
            <w:pPr>
              <w:rPr>
                <w:color w:val="000000"/>
                <w:sz w:val="22"/>
                <w:szCs w:val="22"/>
                <w:lang w:val="en-GB" w:eastAsia="en-US"/>
              </w:rPr>
            </w:pPr>
          </w:p>
        </w:tc>
        <w:tc>
          <w:tcPr>
            <w:tcW w:w="1418" w:type="dxa"/>
            <w:tcBorders>
              <w:top w:val="nil"/>
              <w:left w:val="nil"/>
              <w:bottom w:val="single" w:sz="4" w:space="0" w:color="auto"/>
              <w:right w:val="nil"/>
            </w:tcBorders>
            <w:hideMark/>
          </w:tcPr>
          <w:p w:rsidR="00763661" w:rsidRDefault="00763661">
            <w:pPr>
              <w:tabs>
                <w:tab w:val="left" w:pos="1134"/>
              </w:tabs>
              <w:rPr>
                <w:sz w:val="22"/>
                <w:szCs w:val="22"/>
              </w:rPr>
            </w:pPr>
            <w:r>
              <w:rPr>
                <w:sz w:val="22"/>
                <w:szCs w:val="22"/>
              </w:rPr>
              <w:t>Not known</w:t>
            </w:r>
          </w:p>
        </w:tc>
        <w:tc>
          <w:tcPr>
            <w:tcW w:w="4961" w:type="dxa"/>
            <w:tcBorders>
              <w:top w:val="nil"/>
              <w:left w:val="nil"/>
              <w:bottom w:val="single" w:sz="4" w:space="0" w:color="auto"/>
              <w:right w:val="single" w:sz="4" w:space="0" w:color="auto"/>
            </w:tcBorders>
            <w:hideMark/>
          </w:tcPr>
          <w:p w:rsidR="00763661" w:rsidRDefault="00763661">
            <w:pPr>
              <w:tabs>
                <w:tab w:val="left" w:pos="1134"/>
              </w:tabs>
              <w:rPr>
                <w:sz w:val="22"/>
                <w:szCs w:val="22"/>
              </w:rPr>
            </w:pPr>
            <w:r>
              <w:rPr>
                <w:sz w:val="22"/>
                <w:szCs w:val="22"/>
              </w:rPr>
              <w:t>Myasthenia gravis</w:t>
            </w:r>
          </w:p>
        </w:tc>
      </w:tr>
      <w:tr w:rsidR="00763661" w:rsidTr="00763661">
        <w:tc>
          <w:tcPr>
            <w:tcW w:w="2943" w:type="dxa"/>
            <w:tcBorders>
              <w:top w:val="single" w:sz="4" w:space="0" w:color="auto"/>
              <w:left w:val="single" w:sz="4" w:space="0" w:color="auto"/>
              <w:bottom w:val="single" w:sz="4" w:space="0" w:color="auto"/>
              <w:right w:val="nil"/>
            </w:tcBorders>
            <w:hideMark/>
          </w:tcPr>
          <w:p w:rsidR="00763661" w:rsidRDefault="00763661">
            <w:pPr>
              <w:rPr>
                <w:b/>
                <w:bCs/>
                <w:sz w:val="22"/>
                <w:szCs w:val="22"/>
              </w:rPr>
            </w:pPr>
            <w:r>
              <w:rPr>
                <w:b/>
                <w:bCs/>
                <w:sz w:val="22"/>
                <w:szCs w:val="22"/>
              </w:rPr>
              <w:t>Eye disorders</w:t>
            </w:r>
          </w:p>
        </w:tc>
        <w:tc>
          <w:tcPr>
            <w:tcW w:w="1418" w:type="dxa"/>
            <w:tcBorders>
              <w:top w:val="single" w:sz="4" w:space="0" w:color="auto"/>
              <w:left w:val="nil"/>
              <w:bottom w:val="single" w:sz="4" w:space="0" w:color="auto"/>
              <w:right w:val="nil"/>
            </w:tcBorders>
            <w:hideMark/>
          </w:tcPr>
          <w:p w:rsidR="00763661" w:rsidRDefault="00763661">
            <w:pPr>
              <w:tabs>
                <w:tab w:val="left" w:pos="1134"/>
              </w:tabs>
              <w:rPr>
                <w:sz w:val="22"/>
                <w:szCs w:val="22"/>
              </w:rPr>
            </w:pPr>
            <w:r>
              <w:rPr>
                <w:sz w:val="22"/>
                <w:szCs w:val="22"/>
              </w:rPr>
              <w:t>Not known</w:t>
            </w:r>
          </w:p>
        </w:tc>
        <w:tc>
          <w:tcPr>
            <w:tcW w:w="4961" w:type="dxa"/>
            <w:tcBorders>
              <w:top w:val="single" w:sz="4" w:space="0" w:color="auto"/>
              <w:left w:val="nil"/>
              <w:bottom w:val="single" w:sz="4" w:space="0" w:color="auto"/>
              <w:right w:val="single" w:sz="4" w:space="0" w:color="auto"/>
            </w:tcBorders>
            <w:hideMark/>
          </w:tcPr>
          <w:p w:rsidR="00763661" w:rsidRDefault="00763661">
            <w:pPr>
              <w:tabs>
                <w:tab w:val="left" w:pos="1134"/>
              </w:tabs>
              <w:rPr>
                <w:sz w:val="22"/>
                <w:szCs w:val="22"/>
              </w:rPr>
            </w:pPr>
            <w:r>
              <w:rPr>
                <w:sz w:val="22"/>
                <w:szCs w:val="22"/>
              </w:rPr>
              <w:t>Ocular myasthenia</w:t>
            </w:r>
          </w:p>
        </w:tc>
      </w:tr>
      <w:tr w:rsidR="00763661" w:rsidTr="00763661">
        <w:tc>
          <w:tcPr>
            <w:tcW w:w="2943" w:type="dxa"/>
            <w:tcBorders>
              <w:top w:val="single" w:sz="4" w:space="0" w:color="auto"/>
              <w:left w:val="single" w:sz="4" w:space="0" w:color="auto"/>
              <w:bottom w:val="single" w:sz="4" w:space="0" w:color="auto"/>
              <w:right w:val="nil"/>
            </w:tcBorders>
          </w:tcPr>
          <w:p w:rsidR="00763661" w:rsidRDefault="00763661">
            <w:pPr>
              <w:rPr>
                <w:b/>
                <w:bCs/>
                <w:sz w:val="22"/>
                <w:szCs w:val="22"/>
              </w:rPr>
            </w:pPr>
            <w:r>
              <w:rPr>
                <w:b/>
                <w:bCs/>
                <w:sz w:val="22"/>
                <w:szCs w:val="22"/>
              </w:rPr>
              <w:t>Vascular disorders</w:t>
            </w:r>
          </w:p>
          <w:p w:rsidR="00763661" w:rsidRDefault="00763661">
            <w:pPr>
              <w:tabs>
                <w:tab w:val="left" w:pos="1134"/>
              </w:tabs>
              <w:rPr>
                <w:bCs/>
                <w:color w:val="000000"/>
                <w:sz w:val="22"/>
                <w:szCs w:val="22"/>
              </w:rPr>
            </w:pPr>
          </w:p>
        </w:tc>
        <w:tc>
          <w:tcPr>
            <w:tcW w:w="1418" w:type="dxa"/>
            <w:tcBorders>
              <w:top w:val="single" w:sz="4" w:space="0" w:color="auto"/>
              <w:left w:val="nil"/>
              <w:bottom w:val="single" w:sz="4" w:space="0" w:color="auto"/>
              <w:right w:val="nil"/>
            </w:tcBorders>
            <w:hideMark/>
          </w:tcPr>
          <w:p w:rsidR="00763661" w:rsidRDefault="00763661">
            <w:pPr>
              <w:tabs>
                <w:tab w:val="left" w:pos="1134"/>
              </w:tabs>
              <w:rPr>
                <w:bCs/>
                <w:i/>
                <w:color w:val="000000"/>
                <w:sz w:val="22"/>
                <w:szCs w:val="22"/>
              </w:rPr>
            </w:pPr>
            <w:r>
              <w:rPr>
                <w:sz w:val="22"/>
                <w:szCs w:val="22"/>
              </w:rPr>
              <w:t>Very rare</w:t>
            </w:r>
          </w:p>
        </w:tc>
        <w:tc>
          <w:tcPr>
            <w:tcW w:w="4961" w:type="dxa"/>
            <w:tcBorders>
              <w:top w:val="single" w:sz="4" w:space="0" w:color="auto"/>
              <w:left w:val="nil"/>
              <w:bottom w:val="single" w:sz="4" w:space="0" w:color="auto"/>
              <w:right w:val="single" w:sz="4" w:space="0" w:color="auto"/>
            </w:tcBorders>
            <w:hideMark/>
          </w:tcPr>
          <w:p w:rsidR="00763661" w:rsidRDefault="00763661">
            <w:pPr>
              <w:tabs>
                <w:tab w:val="left" w:pos="1134"/>
              </w:tabs>
              <w:rPr>
                <w:bCs/>
                <w:color w:val="000000"/>
                <w:sz w:val="22"/>
                <w:szCs w:val="22"/>
              </w:rPr>
            </w:pPr>
            <w:r>
              <w:rPr>
                <w:sz w:val="22"/>
                <w:szCs w:val="22"/>
              </w:rPr>
              <w:t>Vasculitis</w:t>
            </w:r>
          </w:p>
        </w:tc>
      </w:tr>
      <w:tr w:rsidR="00763661" w:rsidTr="00763661">
        <w:tc>
          <w:tcPr>
            <w:tcW w:w="2943" w:type="dxa"/>
            <w:vMerge w:val="restart"/>
            <w:tcBorders>
              <w:top w:val="single" w:sz="4" w:space="0" w:color="auto"/>
              <w:left w:val="single" w:sz="4" w:space="0" w:color="auto"/>
              <w:bottom w:val="single" w:sz="4" w:space="0" w:color="auto"/>
              <w:right w:val="nil"/>
            </w:tcBorders>
          </w:tcPr>
          <w:p w:rsidR="00763661" w:rsidRDefault="00763661">
            <w:pPr>
              <w:rPr>
                <w:b/>
                <w:bCs/>
                <w:sz w:val="22"/>
                <w:szCs w:val="22"/>
              </w:rPr>
            </w:pPr>
            <w:r>
              <w:rPr>
                <w:b/>
                <w:bCs/>
                <w:sz w:val="22"/>
                <w:szCs w:val="22"/>
              </w:rPr>
              <w:t>Gastrointestinal disorders</w:t>
            </w:r>
          </w:p>
          <w:p w:rsidR="00763661" w:rsidRDefault="00763661">
            <w:pPr>
              <w:tabs>
                <w:tab w:val="left" w:pos="1134"/>
              </w:tabs>
              <w:rPr>
                <w:color w:val="000000"/>
                <w:sz w:val="22"/>
                <w:szCs w:val="22"/>
              </w:rPr>
            </w:pPr>
          </w:p>
        </w:tc>
        <w:tc>
          <w:tcPr>
            <w:tcW w:w="1418" w:type="dxa"/>
            <w:tcBorders>
              <w:top w:val="single" w:sz="4" w:space="0" w:color="auto"/>
              <w:left w:val="nil"/>
              <w:bottom w:val="nil"/>
              <w:right w:val="nil"/>
            </w:tcBorders>
            <w:hideMark/>
          </w:tcPr>
          <w:p w:rsidR="00763661" w:rsidRDefault="00763661">
            <w:pPr>
              <w:tabs>
                <w:tab w:val="left" w:pos="1134"/>
              </w:tabs>
              <w:rPr>
                <w:color w:val="000000"/>
                <w:sz w:val="22"/>
                <w:szCs w:val="22"/>
              </w:rPr>
            </w:pPr>
            <w:r>
              <w:rPr>
                <w:sz w:val="22"/>
                <w:szCs w:val="22"/>
              </w:rPr>
              <w:t>Common</w:t>
            </w:r>
          </w:p>
        </w:tc>
        <w:tc>
          <w:tcPr>
            <w:tcW w:w="4961" w:type="dxa"/>
            <w:tcBorders>
              <w:top w:val="single" w:sz="4" w:space="0" w:color="auto"/>
              <w:left w:val="nil"/>
              <w:bottom w:val="nil"/>
              <w:right w:val="single" w:sz="4" w:space="0" w:color="auto"/>
            </w:tcBorders>
            <w:hideMark/>
          </w:tcPr>
          <w:p w:rsidR="00763661" w:rsidRDefault="00763661">
            <w:pPr>
              <w:tabs>
                <w:tab w:val="left" w:pos="1134"/>
              </w:tabs>
              <w:rPr>
                <w:color w:val="000000"/>
                <w:sz w:val="22"/>
                <w:szCs w:val="22"/>
              </w:rPr>
            </w:pPr>
            <w:r>
              <w:rPr>
                <w:sz w:val="22"/>
                <w:szCs w:val="22"/>
              </w:rPr>
              <w:t>Nausea, abdominal pain, dyspepsia</w:t>
            </w:r>
          </w:p>
        </w:tc>
      </w:tr>
      <w:tr w:rsidR="00763661" w:rsidTr="00763661">
        <w:tc>
          <w:tcPr>
            <w:tcW w:w="2943" w:type="dxa"/>
            <w:vMerge/>
            <w:tcBorders>
              <w:top w:val="single" w:sz="4" w:space="0" w:color="auto"/>
              <w:left w:val="single" w:sz="4" w:space="0" w:color="auto"/>
              <w:bottom w:val="single" w:sz="4" w:space="0" w:color="auto"/>
              <w:right w:val="nil"/>
            </w:tcBorders>
            <w:vAlign w:val="center"/>
            <w:hideMark/>
          </w:tcPr>
          <w:p w:rsidR="00763661" w:rsidRDefault="00763661">
            <w:pPr>
              <w:rPr>
                <w:color w:val="000000"/>
                <w:sz w:val="22"/>
                <w:szCs w:val="22"/>
                <w:lang w:val="en-GB" w:eastAsia="en-US"/>
              </w:rPr>
            </w:pPr>
          </w:p>
        </w:tc>
        <w:tc>
          <w:tcPr>
            <w:tcW w:w="1418" w:type="dxa"/>
            <w:tcBorders>
              <w:top w:val="nil"/>
              <w:left w:val="nil"/>
              <w:bottom w:val="single" w:sz="4" w:space="0" w:color="auto"/>
              <w:right w:val="nil"/>
            </w:tcBorders>
            <w:hideMark/>
          </w:tcPr>
          <w:p w:rsidR="00763661" w:rsidRDefault="00763661">
            <w:pPr>
              <w:tabs>
                <w:tab w:val="left" w:pos="1134"/>
              </w:tabs>
              <w:rPr>
                <w:sz w:val="22"/>
                <w:szCs w:val="22"/>
              </w:rPr>
            </w:pPr>
            <w:r>
              <w:rPr>
                <w:sz w:val="22"/>
                <w:szCs w:val="22"/>
              </w:rPr>
              <w:t>Very rare</w:t>
            </w:r>
          </w:p>
          <w:p w:rsidR="00763661" w:rsidRDefault="00763661">
            <w:pPr>
              <w:tabs>
                <w:tab w:val="left" w:pos="1134"/>
              </w:tabs>
              <w:rPr>
                <w:color w:val="000000"/>
                <w:sz w:val="22"/>
                <w:szCs w:val="22"/>
              </w:rPr>
            </w:pPr>
            <w:r>
              <w:rPr>
                <w:sz w:val="22"/>
                <w:szCs w:val="22"/>
              </w:rPr>
              <w:t>Not known</w:t>
            </w:r>
          </w:p>
        </w:tc>
        <w:tc>
          <w:tcPr>
            <w:tcW w:w="4961" w:type="dxa"/>
            <w:tcBorders>
              <w:top w:val="nil"/>
              <w:left w:val="nil"/>
              <w:bottom w:val="single" w:sz="4" w:space="0" w:color="auto"/>
              <w:right w:val="single" w:sz="4" w:space="0" w:color="auto"/>
            </w:tcBorders>
            <w:hideMark/>
          </w:tcPr>
          <w:p w:rsidR="00763661" w:rsidRDefault="00763661">
            <w:pPr>
              <w:tabs>
                <w:tab w:val="left" w:pos="1134"/>
              </w:tabs>
              <w:rPr>
                <w:sz w:val="22"/>
                <w:szCs w:val="22"/>
              </w:rPr>
            </w:pPr>
            <w:r>
              <w:rPr>
                <w:sz w:val="22"/>
                <w:szCs w:val="22"/>
              </w:rPr>
              <w:t>Pancreatitis</w:t>
            </w:r>
          </w:p>
          <w:p w:rsidR="00763661" w:rsidRDefault="00763661">
            <w:pPr>
              <w:tabs>
                <w:tab w:val="left" w:pos="1134"/>
              </w:tabs>
              <w:rPr>
                <w:color w:val="000000"/>
                <w:sz w:val="22"/>
                <w:szCs w:val="22"/>
              </w:rPr>
            </w:pPr>
            <w:r>
              <w:rPr>
                <w:color w:val="000000"/>
                <w:sz w:val="22"/>
                <w:szCs w:val="22"/>
              </w:rPr>
              <w:t>Diarrhoea</w:t>
            </w:r>
          </w:p>
        </w:tc>
      </w:tr>
      <w:tr w:rsidR="00763661" w:rsidTr="00763661">
        <w:tc>
          <w:tcPr>
            <w:tcW w:w="2943" w:type="dxa"/>
            <w:tcBorders>
              <w:top w:val="single" w:sz="4" w:space="0" w:color="auto"/>
              <w:left w:val="single" w:sz="4" w:space="0" w:color="auto"/>
              <w:bottom w:val="single" w:sz="4" w:space="0" w:color="auto"/>
              <w:right w:val="nil"/>
            </w:tcBorders>
          </w:tcPr>
          <w:p w:rsidR="00763661" w:rsidRDefault="00763661">
            <w:pPr>
              <w:rPr>
                <w:b/>
                <w:bCs/>
                <w:sz w:val="22"/>
                <w:szCs w:val="22"/>
              </w:rPr>
            </w:pPr>
            <w:r>
              <w:rPr>
                <w:b/>
                <w:bCs/>
                <w:sz w:val="22"/>
                <w:szCs w:val="22"/>
              </w:rPr>
              <w:t>Hepatobiliary disorders</w:t>
            </w:r>
          </w:p>
          <w:p w:rsidR="00763661" w:rsidRDefault="00763661">
            <w:pPr>
              <w:tabs>
                <w:tab w:val="left" w:pos="1134"/>
              </w:tabs>
              <w:rPr>
                <w:color w:val="000000"/>
                <w:sz w:val="22"/>
                <w:szCs w:val="22"/>
              </w:rPr>
            </w:pPr>
          </w:p>
        </w:tc>
        <w:tc>
          <w:tcPr>
            <w:tcW w:w="1418" w:type="dxa"/>
            <w:tcBorders>
              <w:top w:val="single" w:sz="4" w:space="0" w:color="auto"/>
              <w:left w:val="nil"/>
              <w:bottom w:val="single" w:sz="4" w:space="0" w:color="auto"/>
              <w:right w:val="nil"/>
            </w:tcBorders>
            <w:hideMark/>
          </w:tcPr>
          <w:p w:rsidR="00763661" w:rsidRDefault="00763661">
            <w:pPr>
              <w:tabs>
                <w:tab w:val="left" w:pos="1134"/>
              </w:tabs>
              <w:rPr>
                <w:color w:val="000000"/>
                <w:sz w:val="22"/>
                <w:szCs w:val="22"/>
              </w:rPr>
            </w:pPr>
            <w:r>
              <w:rPr>
                <w:sz w:val="22"/>
                <w:szCs w:val="22"/>
              </w:rPr>
              <w:t>Very rare</w:t>
            </w:r>
          </w:p>
        </w:tc>
        <w:tc>
          <w:tcPr>
            <w:tcW w:w="4961" w:type="dxa"/>
            <w:tcBorders>
              <w:top w:val="single" w:sz="4" w:space="0" w:color="auto"/>
              <w:left w:val="nil"/>
              <w:bottom w:val="single" w:sz="4" w:space="0" w:color="auto"/>
              <w:right w:val="single" w:sz="4" w:space="0" w:color="auto"/>
            </w:tcBorders>
            <w:hideMark/>
          </w:tcPr>
          <w:p w:rsidR="00763661" w:rsidRDefault="00763661">
            <w:pPr>
              <w:tabs>
                <w:tab w:val="left" w:pos="1134"/>
              </w:tabs>
              <w:rPr>
                <w:color w:val="000000"/>
                <w:sz w:val="22"/>
                <w:szCs w:val="22"/>
              </w:rPr>
            </w:pPr>
            <w:r>
              <w:rPr>
                <w:sz w:val="22"/>
                <w:szCs w:val="22"/>
              </w:rPr>
              <w:t>Hepatitis</w:t>
            </w:r>
          </w:p>
        </w:tc>
      </w:tr>
      <w:tr w:rsidR="00763661" w:rsidRPr="00124055" w:rsidTr="00763661">
        <w:trPr>
          <w:trHeight w:val="1095"/>
        </w:trPr>
        <w:tc>
          <w:tcPr>
            <w:tcW w:w="2943" w:type="dxa"/>
            <w:tcBorders>
              <w:top w:val="single" w:sz="4" w:space="0" w:color="auto"/>
              <w:left w:val="single" w:sz="4" w:space="0" w:color="auto"/>
              <w:bottom w:val="nil"/>
              <w:right w:val="nil"/>
            </w:tcBorders>
          </w:tcPr>
          <w:p w:rsidR="00763661" w:rsidRDefault="00763661">
            <w:pPr>
              <w:rPr>
                <w:b/>
                <w:bCs/>
                <w:sz w:val="22"/>
                <w:szCs w:val="22"/>
              </w:rPr>
            </w:pPr>
            <w:r>
              <w:rPr>
                <w:b/>
                <w:bCs/>
                <w:sz w:val="22"/>
                <w:szCs w:val="22"/>
              </w:rPr>
              <w:t>Skin and subcutaneous tissue disorders</w:t>
            </w:r>
          </w:p>
          <w:p w:rsidR="00763661" w:rsidRDefault="00763661">
            <w:pPr>
              <w:tabs>
                <w:tab w:val="left" w:pos="1134"/>
              </w:tabs>
              <w:rPr>
                <w:color w:val="000000"/>
                <w:sz w:val="22"/>
                <w:szCs w:val="22"/>
              </w:rPr>
            </w:pPr>
          </w:p>
        </w:tc>
        <w:tc>
          <w:tcPr>
            <w:tcW w:w="1418" w:type="dxa"/>
            <w:tcBorders>
              <w:top w:val="single" w:sz="4" w:space="0" w:color="auto"/>
              <w:left w:val="nil"/>
              <w:bottom w:val="nil"/>
              <w:right w:val="nil"/>
            </w:tcBorders>
          </w:tcPr>
          <w:p w:rsidR="00763661" w:rsidRDefault="00763661">
            <w:pPr>
              <w:tabs>
                <w:tab w:val="left" w:pos="1134"/>
              </w:tabs>
              <w:rPr>
                <w:color w:val="000000"/>
                <w:sz w:val="22"/>
                <w:szCs w:val="22"/>
              </w:rPr>
            </w:pPr>
          </w:p>
          <w:p w:rsidR="00763661" w:rsidRDefault="00763661">
            <w:pPr>
              <w:tabs>
                <w:tab w:val="left" w:pos="1134"/>
              </w:tabs>
              <w:rPr>
                <w:color w:val="000000"/>
                <w:sz w:val="22"/>
                <w:szCs w:val="22"/>
              </w:rPr>
            </w:pPr>
            <w:r>
              <w:rPr>
                <w:sz w:val="22"/>
                <w:szCs w:val="22"/>
              </w:rPr>
              <w:t>Very rare</w:t>
            </w:r>
          </w:p>
        </w:tc>
        <w:tc>
          <w:tcPr>
            <w:tcW w:w="4961" w:type="dxa"/>
            <w:tcBorders>
              <w:top w:val="single" w:sz="4" w:space="0" w:color="auto"/>
              <w:left w:val="nil"/>
              <w:bottom w:val="nil"/>
              <w:right w:val="single" w:sz="4" w:space="0" w:color="auto"/>
            </w:tcBorders>
          </w:tcPr>
          <w:p w:rsidR="00763661" w:rsidRPr="00763661" w:rsidRDefault="00763661">
            <w:pPr>
              <w:rPr>
                <w:sz w:val="22"/>
                <w:szCs w:val="22"/>
                <w:lang w:val="en-US"/>
              </w:rPr>
            </w:pPr>
          </w:p>
          <w:p w:rsidR="00763661" w:rsidRPr="00763661" w:rsidRDefault="00763661">
            <w:pPr>
              <w:rPr>
                <w:sz w:val="22"/>
                <w:szCs w:val="22"/>
                <w:lang w:val="en-US"/>
              </w:rPr>
            </w:pPr>
            <w:r w:rsidRPr="00763661">
              <w:rPr>
                <w:sz w:val="22"/>
                <w:szCs w:val="22"/>
                <w:lang w:val="en-US"/>
              </w:rPr>
              <w:t>Angioedema, face oedema and other skin reactions (e.g. eczema, dermatitis, bullous exanthema)</w:t>
            </w:r>
          </w:p>
        </w:tc>
      </w:tr>
      <w:tr w:rsidR="00763661" w:rsidTr="00763661">
        <w:tc>
          <w:tcPr>
            <w:tcW w:w="2943" w:type="dxa"/>
            <w:vMerge w:val="restart"/>
            <w:tcBorders>
              <w:top w:val="single" w:sz="4" w:space="0" w:color="auto"/>
              <w:left w:val="single" w:sz="4" w:space="0" w:color="auto"/>
              <w:bottom w:val="single" w:sz="4" w:space="0" w:color="auto"/>
              <w:right w:val="nil"/>
            </w:tcBorders>
          </w:tcPr>
          <w:p w:rsidR="00763661" w:rsidRDefault="00763661">
            <w:pPr>
              <w:rPr>
                <w:b/>
                <w:bCs/>
                <w:sz w:val="22"/>
                <w:szCs w:val="22"/>
              </w:rPr>
            </w:pPr>
            <w:r>
              <w:rPr>
                <w:b/>
                <w:bCs/>
                <w:sz w:val="22"/>
                <w:szCs w:val="22"/>
              </w:rPr>
              <w:t>Musculoskeletal and connective tissue disorders</w:t>
            </w:r>
          </w:p>
          <w:p w:rsidR="00763661" w:rsidRDefault="00763661">
            <w:pPr>
              <w:tabs>
                <w:tab w:val="left" w:pos="1134"/>
              </w:tabs>
              <w:rPr>
                <w:color w:val="000000"/>
                <w:sz w:val="22"/>
                <w:szCs w:val="22"/>
              </w:rPr>
            </w:pPr>
          </w:p>
        </w:tc>
        <w:tc>
          <w:tcPr>
            <w:tcW w:w="1418" w:type="dxa"/>
            <w:tcBorders>
              <w:top w:val="single" w:sz="4" w:space="0" w:color="auto"/>
              <w:left w:val="nil"/>
              <w:bottom w:val="nil"/>
              <w:right w:val="nil"/>
            </w:tcBorders>
            <w:hideMark/>
          </w:tcPr>
          <w:p w:rsidR="00763661" w:rsidRDefault="00763661">
            <w:pPr>
              <w:tabs>
                <w:tab w:val="left" w:pos="1134"/>
              </w:tabs>
              <w:rPr>
                <w:color w:val="000000"/>
                <w:sz w:val="22"/>
                <w:szCs w:val="22"/>
              </w:rPr>
            </w:pPr>
            <w:r>
              <w:rPr>
                <w:sz w:val="22"/>
                <w:szCs w:val="22"/>
              </w:rPr>
              <w:t>Rare</w:t>
            </w:r>
          </w:p>
        </w:tc>
        <w:tc>
          <w:tcPr>
            <w:tcW w:w="4961" w:type="dxa"/>
            <w:tcBorders>
              <w:top w:val="single" w:sz="4" w:space="0" w:color="auto"/>
              <w:left w:val="nil"/>
              <w:bottom w:val="nil"/>
              <w:right w:val="single" w:sz="4" w:space="0" w:color="auto"/>
            </w:tcBorders>
            <w:hideMark/>
          </w:tcPr>
          <w:p w:rsidR="00763661" w:rsidRDefault="00763661">
            <w:pPr>
              <w:rPr>
                <w:color w:val="000000"/>
                <w:sz w:val="22"/>
                <w:szCs w:val="22"/>
              </w:rPr>
            </w:pPr>
            <w:r>
              <w:rPr>
                <w:sz w:val="22"/>
                <w:szCs w:val="22"/>
              </w:rPr>
              <w:t>Myalgia, muscular weakness, myopathy</w:t>
            </w:r>
          </w:p>
        </w:tc>
      </w:tr>
      <w:tr w:rsidR="00763661" w:rsidRPr="00124055" w:rsidTr="00763661">
        <w:tc>
          <w:tcPr>
            <w:tcW w:w="2943" w:type="dxa"/>
            <w:vMerge/>
            <w:tcBorders>
              <w:top w:val="single" w:sz="4" w:space="0" w:color="auto"/>
              <w:left w:val="single" w:sz="4" w:space="0" w:color="auto"/>
              <w:bottom w:val="single" w:sz="4" w:space="0" w:color="auto"/>
              <w:right w:val="nil"/>
            </w:tcBorders>
            <w:vAlign w:val="center"/>
            <w:hideMark/>
          </w:tcPr>
          <w:p w:rsidR="00763661" w:rsidRDefault="00763661">
            <w:pPr>
              <w:rPr>
                <w:color w:val="000000"/>
                <w:sz w:val="22"/>
                <w:szCs w:val="22"/>
                <w:lang w:val="en-GB" w:eastAsia="en-US"/>
              </w:rPr>
            </w:pPr>
          </w:p>
        </w:tc>
        <w:tc>
          <w:tcPr>
            <w:tcW w:w="1418" w:type="dxa"/>
            <w:tcBorders>
              <w:top w:val="nil"/>
              <w:left w:val="nil"/>
              <w:bottom w:val="nil"/>
              <w:right w:val="nil"/>
            </w:tcBorders>
            <w:hideMark/>
          </w:tcPr>
          <w:p w:rsidR="00763661" w:rsidRDefault="00763661">
            <w:pPr>
              <w:tabs>
                <w:tab w:val="left" w:pos="1134"/>
              </w:tabs>
              <w:rPr>
                <w:color w:val="000000"/>
                <w:sz w:val="22"/>
                <w:szCs w:val="22"/>
              </w:rPr>
            </w:pPr>
            <w:r>
              <w:rPr>
                <w:sz w:val="22"/>
                <w:szCs w:val="22"/>
              </w:rPr>
              <w:t>Very rare</w:t>
            </w:r>
          </w:p>
        </w:tc>
        <w:tc>
          <w:tcPr>
            <w:tcW w:w="4961" w:type="dxa"/>
            <w:tcBorders>
              <w:top w:val="nil"/>
              <w:left w:val="nil"/>
              <w:bottom w:val="nil"/>
              <w:right w:val="single" w:sz="4" w:space="0" w:color="auto"/>
            </w:tcBorders>
            <w:hideMark/>
          </w:tcPr>
          <w:p w:rsidR="00763661" w:rsidRPr="00763661" w:rsidRDefault="00763661">
            <w:pPr>
              <w:tabs>
                <w:tab w:val="left" w:pos="1134"/>
              </w:tabs>
              <w:rPr>
                <w:color w:val="000000"/>
                <w:sz w:val="22"/>
                <w:szCs w:val="22"/>
                <w:lang w:val="en-US"/>
              </w:rPr>
            </w:pPr>
            <w:r w:rsidRPr="00763661">
              <w:rPr>
                <w:sz w:val="22"/>
                <w:szCs w:val="22"/>
                <w:lang w:val="en-US"/>
              </w:rPr>
              <w:t>Rhabdomyolysis, lupus like syndrome, myositis</w:t>
            </w:r>
          </w:p>
        </w:tc>
      </w:tr>
      <w:tr w:rsidR="00763661" w:rsidRPr="00124055" w:rsidTr="00763661">
        <w:tc>
          <w:tcPr>
            <w:tcW w:w="2943" w:type="dxa"/>
            <w:vMerge/>
            <w:tcBorders>
              <w:top w:val="single" w:sz="4" w:space="0" w:color="auto"/>
              <w:left w:val="single" w:sz="4" w:space="0" w:color="auto"/>
              <w:bottom w:val="single" w:sz="4" w:space="0" w:color="auto"/>
              <w:right w:val="nil"/>
            </w:tcBorders>
            <w:vAlign w:val="center"/>
            <w:hideMark/>
          </w:tcPr>
          <w:p w:rsidR="00763661" w:rsidRDefault="00763661">
            <w:pPr>
              <w:rPr>
                <w:color w:val="000000"/>
                <w:sz w:val="22"/>
                <w:szCs w:val="22"/>
                <w:lang w:val="en-GB" w:eastAsia="en-US"/>
              </w:rPr>
            </w:pPr>
          </w:p>
        </w:tc>
        <w:tc>
          <w:tcPr>
            <w:tcW w:w="1418" w:type="dxa"/>
            <w:tcBorders>
              <w:top w:val="nil"/>
              <w:left w:val="nil"/>
              <w:bottom w:val="single" w:sz="4" w:space="0" w:color="auto"/>
              <w:right w:val="nil"/>
            </w:tcBorders>
            <w:hideMark/>
          </w:tcPr>
          <w:p w:rsidR="00763661" w:rsidRDefault="00763661">
            <w:pPr>
              <w:tabs>
                <w:tab w:val="left" w:pos="1134"/>
              </w:tabs>
              <w:rPr>
                <w:sz w:val="22"/>
                <w:szCs w:val="22"/>
              </w:rPr>
            </w:pPr>
            <w:r>
              <w:rPr>
                <w:sz w:val="22"/>
                <w:szCs w:val="22"/>
              </w:rPr>
              <w:t>Not known</w:t>
            </w:r>
          </w:p>
        </w:tc>
        <w:tc>
          <w:tcPr>
            <w:tcW w:w="4961" w:type="dxa"/>
            <w:tcBorders>
              <w:top w:val="nil"/>
              <w:left w:val="nil"/>
              <w:bottom w:val="single" w:sz="4" w:space="0" w:color="auto"/>
              <w:right w:val="single" w:sz="4" w:space="0" w:color="auto"/>
            </w:tcBorders>
            <w:hideMark/>
          </w:tcPr>
          <w:p w:rsidR="00763661" w:rsidRPr="00763661" w:rsidRDefault="00763661">
            <w:pPr>
              <w:tabs>
                <w:tab w:val="left" w:pos="1134"/>
              </w:tabs>
              <w:rPr>
                <w:sz w:val="22"/>
                <w:szCs w:val="22"/>
                <w:lang w:val="en-US"/>
              </w:rPr>
            </w:pPr>
            <w:r w:rsidRPr="00763661">
              <w:rPr>
                <w:sz w:val="22"/>
                <w:szCs w:val="22"/>
                <w:lang w:val="en-US"/>
              </w:rPr>
              <w:t>Immune-mediated necrotizing myopathy (see section 4.4)</w:t>
            </w:r>
          </w:p>
        </w:tc>
      </w:tr>
      <w:tr w:rsidR="00763661" w:rsidTr="00763661">
        <w:tc>
          <w:tcPr>
            <w:tcW w:w="2943" w:type="dxa"/>
            <w:tcBorders>
              <w:top w:val="single" w:sz="4" w:space="0" w:color="auto"/>
              <w:left w:val="single" w:sz="4" w:space="0" w:color="auto"/>
              <w:bottom w:val="single" w:sz="4" w:space="0" w:color="auto"/>
              <w:right w:val="nil"/>
            </w:tcBorders>
          </w:tcPr>
          <w:p w:rsidR="00763661" w:rsidRDefault="00763661">
            <w:pPr>
              <w:pStyle w:val="Table"/>
              <w:rPr>
                <w:b/>
                <w:color w:val="000000"/>
                <w:sz w:val="22"/>
                <w:szCs w:val="22"/>
              </w:rPr>
            </w:pPr>
            <w:r>
              <w:rPr>
                <w:b/>
                <w:color w:val="000000"/>
                <w:sz w:val="22"/>
                <w:szCs w:val="22"/>
              </w:rPr>
              <w:t>Reproductive system and breast disorders</w:t>
            </w:r>
          </w:p>
          <w:p w:rsidR="00763661" w:rsidRDefault="00763661">
            <w:pPr>
              <w:pStyle w:val="Table"/>
              <w:rPr>
                <w:color w:val="000000"/>
                <w:sz w:val="22"/>
                <w:szCs w:val="22"/>
              </w:rPr>
            </w:pPr>
          </w:p>
        </w:tc>
        <w:tc>
          <w:tcPr>
            <w:tcW w:w="1418" w:type="dxa"/>
            <w:tcBorders>
              <w:top w:val="single" w:sz="4" w:space="0" w:color="auto"/>
              <w:left w:val="nil"/>
              <w:bottom w:val="single" w:sz="4" w:space="0" w:color="auto"/>
              <w:right w:val="nil"/>
            </w:tcBorders>
            <w:hideMark/>
          </w:tcPr>
          <w:p w:rsidR="00763661" w:rsidRDefault="00763661">
            <w:pPr>
              <w:tabs>
                <w:tab w:val="left" w:pos="1134"/>
              </w:tabs>
              <w:rPr>
                <w:sz w:val="22"/>
                <w:szCs w:val="22"/>
              </w:rPr>
            </w:pPr>
            <w:r>
              <w:rPr>
                <w:sz w:val="22"/>
                <w:szCs w:val="22"/>
              </w:rPr>
              <w:t>Not known*</w:t>
            </w:r>
          </w:p>
        </w:tc>
        <w:tc>
          <w:tcPr>
            <w:tcW w:w="4961" w:type="dxa"/>
            <w:tcBorders>
              <w:top w:val="single" w:sz="4" w:space="0" w:color="auto"/>
              <w:left w:val="nil"/>
              <w:bottom w:val="single" w:sz="4" w:space="0" w:color="auto"/>
              <w:right w:val="single" w:sz="4" w:space="0" w:color="auto"/>
            </w:tcBorders>
            <w:hideMark/>
          </w:tcPr>
          <w:p w:rsidR="00763661" w:rsidRDefault="00763661">
            <w:pPr>
              <w:tabs>
                <w:tab w:val="left" w:pos="1134"/>
              </w:tabs>
              <w:rPr>
                <w:sz w:val="22"/>
                <w:szCs w:val="22"/>
              </w:rPr>
            </w:pPr>
            <w:r>
              <w:rPr>
                <w:sz w:val="22"/>
                <w:szCs w:val="22"/>
              </w:rPr>
              <w:t>Erectile dysfunction</w:t>
            </w:r>
          </w:p>
        </w:tc>
      </w:tr>
      <w:tr w:rsidR="00763661" w:rsidRPr="00124055" w:rsidTr="00763661">
        <w:tc>
          <w:tcPr>
            <w:tcW w:w="2943" w:type="dxa"/>
            <w:tcBorders>
              <w:top w:val="nil"/>
              <w:left w:val="single" w:sz="4" w:space="0" w:color="auto"/>
              <w:bottom w:val="single" w:sz="4" w:space="0" w:color="auto"/>
              <w:right w:val="nil"/>
            </w:tcBorders>
          </w:tcPr>
          <w:p w:rsidR="00763661" w:rsidRDefault="00763661">
            <w:pPr>
              <w:pStyle w:val="Table"/>
              <w:rPr>
                <w:b/>
                <w:color w:val="000000"/>
                <w:sz w:val="22"/>
                <w:szCs w:val="22"/>
              </w:rPr>
            </w:pPr>
            <w:r>
              <w:rPr>
                <w:b/>
                <w:color w:val="000000"/>
                <w:sz w:val="22"/>
                <w:szCs w:val="22"/>
              </w:rPr>
              <w:t>Investigations</w:t>
            </w:r>
          </w:p>
          <w:p w:rsidR="00763661" w:rsidRDefault="00763661">
            <w:pPr>
              <w:pStyle w:val="Table"/>
              <w:rPr>
                <w:color w:val="000000"/>
                <w:sz w:val="22"/>
                <w:szCs w:val="22"/>
              </w:rPr>
            </w:pPr>
          </w:p>
        </w:tc>
        <w:tc>
          <w:tcPr>
            <w:tcW w:w="1418" w:type="dxa"/>
            <w:tcBorders>
              <w:top w:val="nil"/>
              <w:left w:val="nil"/>
              <w:bottom w:val="single" w:sz="4" w:space="0" w:color="auto"/>
              <w:right w:val="nil"/>
            </w:tcBorders>
            <w:hideMark/>
          </w:tcPr>
          <w:p w:rsidR="00763661" w:rsidRDefault="00763661">
            <w:pPr>
              <w:tabs>
                <w:tab w:val="left" w:pos="1134"/>
              </w:tabs>
              <w:rPr>
                <w:sz w:val="22"/>
                <w:szCs w:val="22"/>
              </w:rPr>
            </w:pPr>
            <w:r>
              <w:rPr>
                <w:sz w:val="22"/>
                <w:szCs w:val="22"/>
              </w:rPr>
              <w:t>Common</w:t>
            </w:r>
          </w:p>
        </w:tc>
        <w:tc>
          <w:tcPr>
            <w:tcW w:w="4961" w:type="dxa"/>
            <w:tcBorders>
              <w:top w:val="nil"/>
              <w:left w:val="nil"/>
              <w:bottom w:val="single" w:sz="4" w:space="0" w:color="auto"/>
              <w:right w:val="single" w:sz="4" w:space="0" w:color="auto"/>
            </w:tcBorders>
            <w:hideMark/>
          </w:tcPr>
          <w:p w:rsidR="00763661" w:rsidRPr="00763661" w:rsidRDefault="00763661">
            <w:pPr>
              <w:tabs>
                <w:tab w:val="left" w:pos="1134"/>
              </w:tabs>
              <w:rPr>
                <w:sz w:val="22"/>
                <w:szCs w:val="22"/>
                <w:lang w:val="en-US"/>
              </w:rPr>
            </w:pPr>
            <w:r w:rsidRPr="00763661">
              <w:rPr>
                <w:sz w:val="22"/>
                <w:szCs w:val="22"/>
                <w:lang w:val="en-US"/>
              </w:rPr>
              <w:t>Blood creatine phosphokinase increased, blood transaminases increased</w:t>
            </w:r>
          </w:p>
        </w:tc>
      </w:tr>
    </w:tbl>
    <w:p w:rsidR="00763661" w:rsidRPr="003A6DF7" w:rsidRDefault="00763661" w:rsidP="00763661">
      <w:pPr>
        <w:jc w:val="both"/>
        <w:rPr>
          <w:sz w:val="24"/>
          <w:szCs w:val="24"/>
          <w:u w:val="single"/>
          <w:lang w:val="en-GB"/>
        </w:rPr>
      </w:pPr>
    </w:p>
    <w:p w:rsidR="00763661" w:rsidRPr="003A6DF7" w:rsidRDefault="00763661" w:rsidP="00C81C8E">
      <w:pPr>
        <w:ind w:left="851"/>
        <w:rPr>
          <w:sz w:val="24"/>
          <w:szCs w:val="24"/>
          <w:lang w:val="en-US"/>
        </w:rPr>
      </w:pPr>
      <w:r w:rsidRPr="003A6DF7">
        <w:rPr>
          <w:sz w:val="24"/>
          <w:szCs w:val="24"/>
          <w:lang w:val="en-US"/>
        </w:rPr>
        <w:t xml:space="preserve">* </w:t>
      </w:r>
      <w:r w:rsidRPr="003A6DF7">
        <w:rPr>
          <w:sz w:val="24"/>
          <w:szCs w:val="24"/>
          <w:lang w:val="en-US"/>
        </w:rPr>
        <w:tab/>
        <w:t>Based on post-marketing experience with fluvastatin via spontaneous case reports and literature cases. Because these reactions are reported voluntarily from a population of uncertain size, it is not possible to reliably estimate their frequency which is therefore categorised as not known.</w:t>
      </w:r>
    </w:p>
    <w:p w:rsidR="00763661" w:rsidRPr="003A6DF7" w:rsidRDefault="00763661" w:rsidP="00C81C8E">
      <w:pPr>
        <w:ind w:left="851"/>
        <w:rPr>
          <w:b/>
          <w:bCs/>
          <w:sz w:val="24"/>
          <w:szCs w:val="24"/>
          <w:lang w:val="en-US"/>
        </w:rPr>
      </w:pPr>
    </w:p>
    <w:p w:rsidR="00763661" w:rsidRPr="003A6DF7" w:rsidRDefault="00763661" w:rsidP="00C81C8E">
      <w:pPr>
        <w:ind w:left="851"/>
        <w:rPr>
          <w:bCs/>
          <w:sz w:val="24"/>
          <w:szCs w:val="24"/>
          <w:lang w:val="en-US"/>
        </w:rPr>
      </w:pPr>
      <w:r w:rsidRPr="003A6DF7">
        <w:rPr>
          <w:bCs/>
          <w:sz w:val="24"/>
          <w:szCs w:val="24"/>
          <w:lang w:val="en-US"/>
        </w:rPr>
        <w:t>The following adverse events have been reported with some statins:</w:t>
      </w:r>
    </w:p>
    <w:p w:rsidR="00763661" w:rsidRPr="003A6DF7" w:rsidRDefault="00763661" w:rsidP="00C81C8E">
      <w:pPr>
        <w:numPr>
          <w:ilvl w:val="0"/>
          <w:numId w:val="7"/>
        </w:numPr>
        <w:tabs>
          <w:tab w:val="clear" w:pos="720"/>
        </w:tabs>
        <w:ind w:left="1134" w:hanging="283"/>
        <w:rPr>
          <w:bCs/>
          <w:sz w:val="24"/>
          <w:szCs w:val="24"/>
          <w:lang w:val="en-US"/>
        </w:rPr>
      </w:pPr>
      <w:r w:rsidRPr="003A6DF7">
        <w:rPr>
          <w:bCs/>
          <w:sz w:val="24"/>
          <w:szCs w:val="24"/>
          <w:lang w:val="en-US"/>
        </w:rPr>
        <w:t>Sleep disturbances, including insomnia and nightmares.</w:t>
      </w:r>
    </w:p>
    <w:p w:rsidR="00763661" w:rsidRPr="003A6DF7" w:rsidRDefault="00763661" w:rsidP="00C81C8E">
      <w:pPr>
        <w:numPr>
          <w:ilvl w:val="0"/>
          <w:numId w:val="7"/>
        </w:numPr>
        <w:tabs>
          <w:tab w:val="clear" w:pos="720"/>
        </w:tabs>
        <w:ind w:left="1134" w:hanging="283"/>
        <w:rPr>
          <w:bCs/>
          <w:sz w:val="24"/>
          <w:szCs w:val="24"/>
        </w:rPr>
      </w:pPr>
      <w:r w:rsidRPr="003A6DF7">
        <w:rPr>
          <w:bCs/>
          <w:sz w:val="24"/>
          <w:szCs w:val="24"/>
        </w:rPr>
        <w:t>Memory loss.</w:t>
      </w:r>
    </w:p>
    <w:p w:rsidR="00763661" w:rsidRPr="003A6DF7" w:rsidRDefault="00763661" w:rsidP="00C81C8E">
      <w:pPr>
        <w:numPr>
          <w:ilvl w:val="0"/>
          <w:numId w:val="7"/>
        </w:numPr>
        <w:tabs>
          <w:tab w:val="clear" w:pos="720"/>
        </w:tabs>
        <w:ind w:left="1134" w:hanging="283"/>
        <w:rPr>
          <w:bCs/>
          <w:sz w:val="24"/>
          <w:szCs w:val="24"/>
        </w:rPr>
      </w:pPr>
      <w:r w:rsidRPr="003A6DF7">
        <w:rPr>
          <w:bCs/>
          <w:sz w:val="24"/>
          <w:szCs w:val="24"/>
        </w:rPr>
        <w:t>Sexual dysfunction.</w:t>
      </w:r>
    </w:p>
    <w:p w:rsidR="00763661" w:rsidRPr="003A6DF7" w:rsidRDefault="00763661" w:rsidP="00C81C8E">
      <w:pPr>
        <w:numPr>
          <w:ilvl w:val="0"/>
          <w:numId w:val="7"/>
        </w:numPr>
        <w:tabs>
          <w:tab w:val="clear" w:pos="720"/>
        </w:tabs>
        <w:ind w:left="1134" w:hanging="283"/>
        <w:rPr>
          <w:bCs/>
          <w:sz w:val="24"/>
          <w:szCs w:val="24"/>
        </w:rPr>
      </w:pPr>
      <w:r w:rsidRPr="003A6DF7">
        <w:rPr>
          <w:bCs/>
          <w:sz w:val="24"/>
          <w:szCs w:val="24"/>
        </w:rPr>
        <w:t>Depression.</w:t>
      </w:r>
    </w:p>
    <w:p w:rsidR="00763661" w:rsidRPr="003A6DF7" w:rsidRDefault="00763661" w:rsidP="00C81C8E">
      <w:pPr>
        <w:numPr>
          <w:ilvl w:val="0"/>
          <w:numId w:val="7"/>
        </w:numPr>
        <w:tabs>
          <w:tab w:val="clear" w:pos="720"/>
        </w:tabs>
        <w:ind w:left="1134" w:hanging="283"/>
        <w:rPr>
          <w:bCs/>
          <w:sz w:val="24"/>
          <w:szCs w:val="24"/>
          <w:lang w:val="en-US"/>
        </w:rPr>
      </w:pPr>
      <w:r w:rsidRPr="003A6DF7">
        <w:rPr>
          <w:bCs/>
          <w:sz w:val="24"/>
          <w:szCs w:val="24"/>
          <w:lang w:val="en-US"/>
        </w:rPr>
        <w:t xml:space="preserve">Exceptional cases of interstitial lung disease, especially with long-term therapy (see section 4.4). </w:t>
      </w:r>
    </w:p>
    <w:p w:rsidR="00763661" w:rsidRPr="003A6DF7" w:rsidRDefault="00763661" w:rsidP="00C81C8E">
      <w:pPr>
        <w:numPr>
          <w:ilvl w:val="0"/>
          <w:numId w:val="7"/>
        </w:numPr>
        <w:tabs>
          <w:tab w:val="clear" w:pos="720"/>
          <w:tab w:val="num" w:pos="1134"/>
        </w:tabs>
        <w:ind w:left="1134" w:hanging="283"/>
        <w:rPr>
          <w:bCs/>
          <w:sz w:val="24"/>
          <w:szCs w:val="24"/>
          <w:lang w:val="en-US"/>
        </w:rPr>
      </w:pPr>
      <w:r w:rsidRPr="003A6DF7">
        <w:rPr>
          <w:bCs/>
          <w:sz w:val="24"/>
          <w:szCs w:val="24"/>
          <w:lang w:val="en-US"/>
        </w:rPr>
        <w:t>Diabetes Mellitus: Frequency will depend on the presence or absence of risk factors (fasting blood glucose ≥ 5.6 mmol/L, BMI &gt; 30kg/m</w:t>
      </w:r>
      <w:r w:rsidRPr="003A6DF7">
        <w:rPr>
          <w:bCs/>
          <w:sz w:val="24"/>
          <w:szCs w:val="24"/>
          <w:vertAlign w:val="superscript"/>
          <w:lang w:val="en-US"/>
        </w:rPr>
        <w:t>2</w:t>
      </w:r>
      <w:r w:rsidRPr="003A6DF7">
        <w:rPr>
          <w:bCs/>
          <w:sz w:val="24"/>
          <w:szCs w:val="24"/>
          <w:lang w:val="en-US"/>
        </w:rPr>
        <w:t xml:space="preserve">, raised triglycerides, history of hypertension). </w:t>
      </w:r>
    </w:p>
    <w:p w:rsidR="00763661" w:rsidRPr="003A6DF7" w:rsidRDefault="00763661" w:rsidP="00C81C8E">
      <w:pPr>
        <w:numPr>
          <w:ilvl w:val="0"/>
          <w:numId w:val="7"/>
        </w:numPr>
        <w:tabs>
          <w:tab w:val="clear" w:pos="720"/>
          <w:tab w:val="num" w:pos="1134"/>
        </w:tabs>
        <w:ind w:left="1134" w:hanging="283"/>
        <w:rPr>
          <w:bCs/>
          <w:sz w:val="24"/>
          <w:szCs w:val="24"/>
          <w:lang w:val="en-US"/>
        </w:rPr>
      </w:pPr>
      <w:r w:rsidRPr="003A6DF7">
        <w:rPr>
          <w:bCs/>
          <w:sz w:val="24"/>
          <w:szCs w:val="24"/>
          <w:lang w:val="en-US"/>
        </w:rPr>
        <w:t>Tendinopathy, sometimes complicated by tendon rupture.</w:t>
      </w:r>
    </w:p>
    <w:p w:rsidR="00763661" w:rsidRPr="003A6DF7" w:rsidRDefault="00763661" w:rsidP="00C81C8E">
      <w:pPr>
        <w:tabs>
          <w:tab w:val="num" w:pos="1134"/>
        </w:tabs>
        <w:ind w:left="1134" w:hanging="283"/>
        <w:rPr>
          <w:sz w:val="24"/>
          <w:szCs w:val="24"/>
          <w:lang w:val="en-US"/>
        </w:rPr>
      </w:pPr>
    </w:p>
    <w:p w:rsidR="00763661" w:rsidRPr="003A6DF7" w:rsidRDefault="00763661" w:rsidP="00C81C8E">
      <w:pPr>
        <w:ind w:left="851"/>
        <w:rPr>
          <w:sz w:val="24"/>
          <w:szCs w:val="24"/>
          <w:u w:val="single"/>
          <w:lang w:val="en-US"/>
        </w:rPr>
      </w:pPr>
      <w:r w:rsidRPr="003A6DF7">
        <w:rPr>
          <w:sz w:val="24"/>
          <w:szCs w:val="24"/>
          <w:u w:val="single"/>
          <w:lang w:val="en-US"/>
        </w:rPr>
        <w:t>Paediatric population</w:t>
      </w:r>
    </w:p>
    <w:p w:rsidR="00763661" w:rsidRPr="003A6DF7" w:rsidRDefault="00763661" w:rsidP="00C81C8E">
      <w:pPr>
        <w:autoSpaceDE w:val="0"/>
        <w:autoSpaceDN w:val="0"/>
        <w:adjustRightInd w:val="0"/>
        <w:ind w:left="851"/>
        <w:rPr>
          <w:i/>
          <w:sz w:val="24"/>
          <w:szCs w:val="24"/>
          <w:u w:val="single"/>
          <w:lang w:val="en-US"/>
        </w:rPr>
      </w:pPr>
    </w:p>
    <w:p w:rsidR="00763661" w:rsidRPr="003A6DF7" w:rsidRDefault="00763661" w:rsidP="00C81C8E">
      <w:pPr>
        <w:autoSpaceDE w:val="0"/>
        <w:autoSpaceDN w:val="0"/>
        <w:adjustRightInd w:val="0"/>
        <w:ind w:left="851"/>
        <w:rPr>
          <w:i/>
          <w:sz w:val="24"/>
          <w:szCs w:val="24"/>
          <w:u w:val="single"/>
          <w:lang w:val="en-US"/>
        </w:rPr>
      </w:pPr>
      <w:r w:rsidRPr="003A6DF7">
        <w:rPr>
          <w:i/>
          <w:sz w:val="24"/>
          <w:szCs w:val="24"/>
          <w:u w:val="single"/>
          <w:lang w:val="en-US"/>
        </w:rPr>
        <w:t>Children and adolescents with heterozygous familial hypercholesterolaemia</w:t>
      </w:r>
    </w:p>
    <w:p w:rsidR="00763661" w:rsidRPr="003A6DF7" w:rsidRDefault="00763661" w:rsidP="00C81C8E">
      <w:pPr>
        <w:autoSpaceDE w:val="0"/>
        <w:autoSpaceDN w:val="0"/>
        <w:adjustRightInd w:val="0"/>
        <w:ind w:left="851"/>
        <w:rPr>
          <w:sz w:val="24"/>
          <w:szCs w:val="24"/>
          <w:lang w:val="en-US"/>
        </w:rPr>
      </w:pPr>
      <w:r w:rsidRPr="003A6DF7">
        <w:rPr>
          <w:sz w:val="24"/>
          <w:szCs w:val="24"/>
          <w:lang w:val="en-US"/>
        </w:rPr>
        <w:t>The safety profile of fluvastatin in children and adolescents with heterozygous familial hypercholesterolaemia assessed in 114 patients aged 9 to 17 years treated in two open-label non-comparative clinical trials was similar to the one observed in adults. In both clinical trials no effect was observed on growth and sexual maturation. The ability of the trials to detect any effect of treatment in this area was however low.</w:t>
      </w:r>
    </w:p>
    <w:p w:rsidR="00763661" w:rsidRPr="003A6DF7" w:rsidRDefault="00763661" w:rsidP="00C81C8E">
      <w:pPr>
        <w:ind w:left="851"/>
        <w:rPr>
          <w:b/>
          <w:bCs/>
          <w:sz w:val="24"/>
          <w:szCs w:val="24"/>
          <w:lang w:val="en-US"/>
        </w:rPr>
      </w:pPr>
    </w:p>
    <w:p w:rsidR="00763661" w:rsidRPr="003A6DF7" w:rsidRDefault="00763661" w:rsidP="00C81C8E">
      <w:pPr>
        <w:keepNext/>
        <w:ind w:left="851"/>
        <w:rPr>
          <w:bCs/>
          <w:sz w:val="24"/>
          <w:szCs w:val="24"/>
          <w:u w:val="single"/>
          <w:lang w:val="en-US"/>
        </w:rPr>
      </w:pPr>
      <w:r w:rsidRPr="003A6DF7">
        <w:rPr>
          <w:bCs/>
          <w:sz w:val="24"/>
          <w:szCs w:val="24"/>
          <w:u w:val="single"/>
          <w:lang w:val="en-US"/>
        </w:rPr>
        <w:t>Laboratory findings</w:t>
      </w:r>
    </w:p>
    <w:p w:rsidR="00763661" w:rsidRPr="003A6DF7" w:rsidRDefault="00763661" w:rsidP="00C81C8E">
      <w:pPr>
        <w:pStyle w:val="Default"/>
        <w:ind w:left="851"/>
        <w:rPr>
          <w:rFonts w:ascii="Times New Roman" w:hAnsi="Times New Roman" w:cs="Times New Roman"/>
          <w:lang w:val="en-US" w:eastAsia="en-US"/>
        </w:rPr>
      </w:pPr>
      <w:r w:rsidRPr="003A6DF7">
        <w:rPr>
          <w:rFonts w:ascii="Times New Roman" w:hAnsi="Times New Roman" w:cs="Times New Roman"/>
          <w:lang w:val="en-GB"/>
        </w:rPr>
        <w:t xml:space="preserve">Biochemical abnormalities of liver function have been associated with </w:t>
      </w:r>
      <w:smartTag w:uri="urn:schemas-microsoft-com:office:smarttags" w:element="stockticker">
        <w:r w:rsidRPr="003A6DF7">
          <w:rPr>
            <w:rFonts w:ascii="Times New Roman" w:hAnsi="Times New Roman" w:cs="Times New Roman"/>
            <w:lang w:val="en-GB"/>
          </w:rPr>
          <w:t>HMG</w:t>
        </w:r>
      </w:smartTag>
      <w:r w:rsidRPr="003A6DF7">
        <w:rPr>
          <w:rFonts w:ascii="Times New Roman" w:hAnsi="Times New Roman" w:cs="Times New Roman"/>
          <w:lang w:val="en-GB"/>
        </w:rPr>
        <w:t xml:space="preserve">-CoA reductase inhibitors and other lipid-lowering agents. </w:t>
      </w:r>
      <w:r w:rsidRPr="003A6DF7">
        <w:rPr>
          <w:rFonts w:ascii="Times New Roman" w:hAnsi="Times New Roman" w:cs="Times New Roman"/>
          <w:lang w:val="en-US" w:eastAsia="en-US"/>
        </w:rPr>
        <w:t xml:space="preserve">Based on pooled analyses of controlled clinical trials confirmed elevations of alanine aminotransferase or aspartate aminotranferase levels to more than 3 times the upper limit of normal occurred in 0.2% on fluvastatin capsules 20 mg/day, 1.5% to 1.8% on fluvastatin capsules 40 mg/day, 1.9% on fluvastatin prolonged-release tablets 80 mg/day and in 2.7% to 4.9% on twice daily fluvastatin capsules 40 mg. The majority of patients with these abnormal biochemical findings were asymptomatic. Marked elevations of CK levels to more than 5 x ULN developed in a very small number of patients (0.3 to 1.0%). </w:t>
      </w:r>
    </w:p>
    <w:p w:rsidR="00763661" w:rsidRPr="003A6DF7" w:rsidRDefault="00763661" w:rsidP="00C81C8E">
      <w:pPr>
        <w:ind w:left="851"/>
        <w:rPr>
          <w:sz w:val="24"/>
          <w:szCs w:val="24"/>
          <w:lang w:val="en-GB" w:eastAsia="en-US"/>
        </w:rPr>
      </w:pPr>
    </w:p>
    <w:p w:rsidR="00763661" w:rsidRPr="003A6DF7" w:rsidRDefault="00763661" w:rsidP="00C81C8E">
      <w:pPr>
        <w:ind w:left="851"/>
        <w:rPr>
          <w:sz w:val="24"/>
          <w:szCs w:val="24"/>
          <w:u w:val="single"/>
          <w:lang w:val="en-US"/>
        </w:rPr>
      </w:pPr>
      <w:r w:rsidRPr="003A6DF7">
        <w:rPr>
          <w:sz w:val="24"/>
          <w:szCs w:val="24"/>
          <w:u w:val="single"/>
          <w:lang w:val="en-US"/>
        </w:rPr>
        <w:t>Reporting of suspected adverse reactions</w:t>
      </w:r>
    </w:p>
    <w:p w:rsidR="00C81C8E" w:rsidRPr="003A6DF7" w:rsidRDefault="00763661" w:rsidP="00C81C8E">
      <w:pPr>
        <w:ind w:left="851"/>
        <w:rPr>
          <w:sz w:val="24"/>
          <w:szCs w:val="24"/>
          <w:lang w:val="en-US"/>
        </w:rPr>
      </w:pPr>
      <w:r w:rsidRPr="003A6DF7">
        <w:rPr>
          <w:sz w:val="24"/>
          <w:szCs w:val="24"/>
          <w:lang w:val="en-US"/>
        </w:rPr>
        <w:t>Reporting suspected adverse reactions after authorisation of the medicinal product is important. It allows continued monitoring of the benefit/risk balance of the medicinal product. Healthcare professionals are asked to report any suspected adverse reactions via</w:t>
      </w:r>
      <w:r w:rsidR="00C81C8E" w:rsidRPr="003A6DF7">
        <w:rPr>
          <w:sz w:val="24"/>
          <w:szCs w:val="24"/>
          <w:lang w:val="en-US"/>
        </w:rPr>
        <w:t>:</w:t>
      </w:r>
    </w:p>
    <w:p w:rsidR="00C81C8E" w:rsidRPr="003A6DF7" w:rsidRDefault="00C81C8E" w:rsidP="00C81C8E">
      <w:pPr>
        <w:ind w:left="851"/>
        <w:rPr>
          <w:sz w:val="24"/>
          <w:szCs w:val="24"/>
          <w:lang w:val="en-US"/>
        </w:rPr>
      </w:pPr>
    </w:p>
    <w:p w:rsidR="00C81C8E" w:rsidRPr="003A6DF7" w:rsidRDefault="00C81C8E" w:rsidP="00C81C8E">
      <w:pPr>
        <w:ind w:left="851"/>
        <w:jc w:val="both"/>
        <w:rPr>
          <w:sz w:val="24"/>
          <w:szCs w:val="24"/>
        </w:rPr>
      </w:pPr>
      <w:bookmarkStart w:id="2" w:name="_Hlk117501544"/>
      <w:bookmarkStart w:id="3" w:name="_Hlk112664459"/>
      <w:r w:rsidRPr="003A6DF7">
        <w:rPr>
          <w:sz w:val="24"/>
          <w:szCs w:val="24"/>
        </w:rPr>
        <w:t>Lægemiddelstyrelsen</w:t>
      </w:r>
    </w:p>
    <w:p w:rsidR="00C81C8E" w:rsidRPr="003A6DF7" w:rsidRDefault="00C81C8E" w:rsidP="00C81C8E">
      <w:pPr>
        <w:ind w:left="851"/>
        <w:jc w:val="both"/>
        <w:rPr>
          <w:sz w:val="24"/>
          <w:szCs w:val="24"/>
        </w:rPr>
      </w:pPr>
      <w:bookmarkStart w:id="4" w:name="_Hlk117501524"/>
      <w:bookmarkEnd w:id="2"/>
      <w:r w:rsidRPr="003A6DF7">
        <w:rPr>
          <w:sz w:val="24"/>
          <w:szCs w:val="24"/>
        </w:rPr>
        <w:t>Axel Heides Gade 1</w:t>
      </w:r>
    </w:p>
    <w:p w:rsidR="00C81C8E" w:rsidRPr="003A6DF7" w:rsidRDefault="00C81C8E" w:rsidP="00C81C8E">
      <w:pPr>
        <w:ind w:left="851"/>
        <w:jc w:val="both"/>
        <w:rPr>
          <w:sz w:val="24"/>
          <w:szCs w:val="24"/>
        </w:rPr>
      </w:pPr>
      <w:r w:rsidRPr="003A6DF7">
        <w:rPr>
          <w:sz w:val="24"/>
          <w:szCs w:val="24"/>
        </w:rPr>
        <w:t>DK-2300 København S</w:t>
      </w:r>
    </w:p>
    <w:p w:rsidR="00C81C8E" w:rsidRPr="003A6DF7" w:rsidRDefault="00C81C8E" w:rsidP="00C81C8E">
      <w:pPr>
        <w:ind w:left="851"/>
        <w:jc w:val="both"/>
        <w:rPr>
          <w:sz w:val="24"/>
          <w:szCs w:val="24"/>
          <w:lang w:val="en-US"/>
        </w:rPr>
      </w:pPr>
      <w:r w:rsidRPr="003A6DF7">
        <w:rPr>
          <w:sz w:val="24"/>
          <w:szCs w:val="24"/>
          <w:lang w:val="en-US"/>
        </w:rPr>
        <w:t>Webs</w:t>
      </w:r>
      <w:r w:rsidR="003A6DF7" w:rsidRPr="003A6DF7">
        <w:rPr>
          <w:sz w:val="24"/>
          <w:szCs w:val="24"/>
          <w:lang w:val="en-US"/>
        </w:rPr>
        <w:t>ite</w:t>
      </w:r>
      <w:r w:rsidRPr="003A6DF7">
        <w:rPr>
          <w:sz w:val="24"/>
          <w:szCs w:val="24"/>
          <w:lang w:val="en-US"/>
        </w:rPr>
        <w:t>: www.meldenbivirkning.dk</w:t>
      </w:r>
      <w:bookmarkEnd w:id="3"/>
      <w:bookmarkEnd w:id="4"/>
    </w:p>
    <w:p w:rsidR="007C5D2A" w:rsidRPr="003A6DF7" w:rsidRDefault="007C5D2A" w:rsidP="0076366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CF2DBF" w:rsidRPr="00CF2DBF" w:rsidRDefault="00CF2DBF" w:rsidP="00CF2DBF">
      <w:pPr>
        <w:tabs>
          <w:tab w:val="left" w:pos="851"/>
        </w:tabs>
        <w:ind w:left="851"/>
        <w:rPr>
          <w:sz w:val="24"/>
          <w:szCs w:val="24"/>
          <w:lang w:val="en-GB"/>
        </w:rPr>
      </w:pPr>
      <w:r w:rsidRPr="00CF2DBF">
        <w:rPr>
          <w:sz w:val="24"/>
          <w:szCs w:val="24"/>
          <w:lang w:val="en-GB"/>
        </w:rPr>
        <w:t xml:space="preserve">To date there has been limited experience with overdose of fluvastatin. Specific treatment is not available for fluvastatin overdose. Should an overdose occur, the patient should be treated symptomatically and supportive measures instituted, as required. Liver function tests and serum CK levels should be monitored. </w:t>
      </w:r>
    </w:p>
    <w:p w:rsidR="007C5D2A" w:rsidRPr="00CF2DBF" w:rsidRDefault="007C5D2A" w:rsidP="003E0341">
      <w:pPr>
        <w:tabs>
          <w:tab w:val="left" w:pos="851"/>
        </w:tabs>
        <w:ind w:left="851"/>
        <w:rPr>
          <w:sz w:val="24"/>
          <w:szCs w:val="24"/>
          <w:lang w:val="en-GB"/>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CF2DBF" w:rsidP="00AD2E36">
      <w:pPr>
        <w:tabs>
          <w:tab w:val="left" w:pos="851"/>
        </w:tabs>
        <w:ind w:left="851"/>
        <w:rPr>
          <w:sz w:val="24"/>
          <w:szCs w:val="24"/>
          <w:lang w:val="en-GB"/>
        </w:rPr>
      </w:pPr>
      <w:r>
        <w:rPr>
          <w:sz w:val="24"/>
          <w:szCs w:val="24"/>
          <w:lang w:val="en-GB"/>
        </w:rPr>
        <w:t>B</w:t>
      </w:r>
    </w:p>
    <w:p w:rsidR="007C5D2A" w:rsidRPr="00303008" w:rsidRDefault="007C5D2A" w:rsidP="003E0341">
      <w:pPr>
        <w:tabs>
          <w:tab w:val="left" w:pos="851"/>
        </w:tabs>
        <w:ind w:left="851"/>
        <w:rPr>
          <w:sz w:val="24"/>
          <w:szCs w:val="24"/>
          <w:lang w:val="en-GB"/>
        </w:rPr>
      </w:pPr>
    </w:p>
    <w:p w:rsidR="00E377C9" w:rsidRDefault="00E377C9">
      <w:pPr>
        <w:rPr>
          <w:sz w:val="24"/>
          <w:szCs w:val="24"/>
          <w:lang w:val="en-GB"/>
        </w:rPr>
      </w:pPr>
      <w:r>
        <w:rPr>
          <w:sz w:val="24"/>
          <w:szCs w:val="24"/>
          <w:lang w:val="en-GB"/>
        </w:rPr>
        <w:br w:type="page"/>
      </w: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E266FF" w:rsidRPr="00E377C9" w:rsidRDefault="00E266FF" w:rsidP="00450FC9">
      <w:pPr>
        <w:ind w:left="851"/>
        <w:rPr>
          <w:sz w:val="24"/>
          <w:szCs w:val="24"/>
          <w:lang w:val="en-US"/>
        </w:rPr>
      </w:pPr>
      <w:r w:rsidRPr="00E377C9">
        <w:rPr>
          <w:sz w:val="24"/>
          <w:szCs w:val="24"/>
          <w:lang w:val="en-US"/>
        </w:rPr>
        <w:t xml:space="preserve">Pharmacotherapeutic group: </w:t>
      </w:r>
      <w:smartTag w:uri="urn:schemas-microsoft-com:office:smarttags" w:element="stockticker">
        <w:r w:rsidRPr="00E377C9">
          <w:rPr>
            <w:sz w:val="24"/>
            <w:szCs w:val="24"/>
            <w:lang w:val="en-US"/>
          </w:rPr>
          <w:t>HMG</w:t>
        </w:r>
      </w:smartTag>
      <w:r w:rsidRPr="00E377C9">
        <w:rPr>
          <w:sz w:val="24"/>
          <w:szCs w:val="24"/>
          <w:lang w:val="en-US"/>
        </w:rPr>
        <w:t>-CoA reductase inhibitors,</w:t>
      </w:r>
      <w:r w:rsidR="00E377C9">
        <w:rPr>
          <w:sz w:val="24"/>
          <w:szCs w:val="24"/>
          <w:lang w:val="en-US"/>
        </w:rPr>
        <w:t xml:space="preserve"> </w:t>
      </w:r>
      <w:r w:rsidRPr="00E377C9">
        <w:rPr>
          <w:sz w:val="24"/>
          <w:szCs w:val="24"/>
          <w:lang w:val="en-US"/>
        </w:rPr>
        <w:t>ATC code: C10AA04</w:t>
      </w:r>
      <w:r w:rsidR="00E377C9">
        <w:rPr>
          <w:sz w:val="24"/>
          <w:szCs w:val="24"/>
          <w:lang w:val="en-US"/>
        </w:rPr>
        <w:t>.</w:t>
      </w:r>
    </w:p>
    <w:p w:rsidR="00E266FF" w:rsidRPr="00E377C9" w:rsidRDefault="00E266FF" w:rsidP="00450FC9">
      <w:pPr>
        <w:ind w:left="851"/>
        <w:rPr>
          <w:sz w:val="24"/>
          <w:szCs w:val="24"/>
          <w:lang w:val="en-US"/>
        </w:rPr>
      </w:pPr>
    </w:p>
    <w:p w:rsidR="00E266FF" w:rsidRPr="00E377C9" w:rsidRDefault="00E266FF" w:rsidP="00450FC9">
      <w:pPr>
        <w:ind w:left="851"/>
        <w:rPr>
          <w:sz w:val="24"/>
          <w:szCs w:val="24"/>
          <w:lang w:val="en-US"/>
        </w:rPr>
      </w:pPr>
      <w:r w:rsidRPr="00E377C9">
        <w:rPr>
          <w:sz w:val="24"/>
          <w:szCs w:val="24"/>
          <w:lang w:val="en-US"/>
        </w:rPr>
        <w:t xml:space="preserve">Fluvastatin, a fully synthetic cholesterol-lowering agent, is a competitive inhibitor of </w:t>
      </w:r>
      <w:smartTag w:uri="urn:schemas-microsoft-com:office:smarttags" w:element="stockticker">
        <w:r w:rsidRPr="00E377C9">
          <w:rPr>
            <w:sz w:val="24"/>
            <w:szCs w:val="24"/>
            <w:lang w:val="en-US"/>
          </w:rPr>
          <w:t>HMG</w:t>
        </w:r>
      </w:smartTag>
      <w:r w:rsidRPr="00E377C9">
        <w:rPr>
          <w:sz w:val="24"/>
          <w:szCs w:val="24"/>
          <w:lang w:val="en-US"/>
        </w:rPr>
        <w:t xml:space="preserve">-CoA reductase, which is responsible for the conversion of </w:t>
      </w:r>
      <w:smartTag w:uri="urn:schemas-microsoft-com:office:smarttags" w:element="stockticker">
        <w:r w:rsidRPr="00E377C9">
          <w:rPr>
            <w:sz w:val="24"/>
            <w:szCs w:val="24"/>
            <w:lang w:val="en-US"/>
          </w:rPr>
          <w:t>HMG</w:t>
        </w:r>
      </w:smartTag>
      <w:r w:rsidRPr="00E377C9">
        <w:rPr>
          <w:sz w:val="24"/>
          <w:szCs w:val="24"/>
          <w:lang w:val="en-US"/>
        </w:rPr>
        <w:t xml:space="preserve">-CoA to mevalonate, a precursor of sterols, including cholesterol. Fluvastatin exerts its main effect in the liver and is mainly a racemate of the two erythro enantiomers of which one exerts the pharmacological activity. The inhibition of cholesterol biosynthesis reduces the cholesterol in hepatic cells, which stimulates the synthesis of </w:t>
      </w:r>
      <w:smartTag w:uri="urn:schemas-microsoft-com:office:smarttags" w:element="stockticker">
        <w:r w:rsidRPr="00E377C9">
          <w:rPr>
            <w:sz w:val="24"/>
            <w:szCs w:val="24"/>
            <w:lang w:val="en-US"/>
          </w:rPr>
          <w:t>LDL</w:t>
        </w:r>
      </w:smartTag>
      <w:r w:rsidRPr="00E377C9">
        <w:rPr>
          <w:sz w:val="24"/>
          <w:szCs w:val="24"/>
          <w:lang w:val="en-US"/>
        </w:rPr>
        <w:t xml:space="preserve"> receptors and thereby increases the uptake of </w:t>
      </w:r>
      <w:smartTag w:uri="urn:schemas-microsoft-com:office:smarttags" w:element="stockticker">
        <w:r w:rsidRPr="00E377C9">
          <w:rPr>
            <w:sz w:val="24"/>
            <w:szCs w:val="24"/>
            <w:lang w:val="en-US"/>
          </w:rPr>
          <w:t>LDL</w:t>
        </w:r>
      </w:smartTag>
      <w:r w:rsidRPr="00E377C9">
        <w:rPr>
          <w:sz w:val="24"/>
          <w:szCs w:val="24"/>
          <w:lang w:val="en-US"/>
        </w:rPr>
        <w:t xml:space="preserve"> particles. The ultimate result of these mechanisms is a reduction in the plasma cholesterol concentration. </w:t>
      </w:r>
    </w:p>
    <w:p w:rsidR="00E266FF" w:rsidRPr="00E377C9" w:rsidRDefault="00E266FF" w:rsidP="00450FC9">
      <w:pPr>
        <w:ind w:left="851"/>
        <w:rPr>
          <w:sz w:val="24"/>
          <w:szCs w:val="24"/>
          <w:lang w:val="en-US"/>
        </w:rPr>
      </w:pPr>
    </w:p>
    <w:p w:rsidR="00E266FF" w:rsidRPr="00E377C9" w:rsidRDefault="00E266FF" w:rsidP="00450FC9">
      <w:pPr>
        <w:autoSpaceDE w:val="0"/>
        <w:autoSpaceDN w:val="0"/>
        <w:adjustRightInd w:val="0"/>
        <w:ind w:left="851"/>
        <w:rPr>
          <w:color w:val="000000"/>
          <w:sz w:val="24"/>
          <w:szCs w:val="24"/>
          <w:lang w:val="en-US"/>
        </w:rPr>
      </w:pPr>
      <w:r w:rsidRPr="00E377C9">
        <w:rPr>
          <w:color w:val="000000"/>
          <w:sz w:val="24"/>
          <w:szCs w:val="24"/>
          <w:lang w:val="en-US"/>
        </w:rPr>
        <w:t xml:space="preserve">Fluvastatin reduces total-C, </w:t>
      </w:r>
      <w:smartTag w:uri="urn:schemas-microsoft-com:office:smarttags" w:element="stockticker">
        <w:r w:rsidRPr="00E377C9">
          <w:rPr>
            <w:color w:val="000000"/>
            <w:sz w:val="24"/>
            <w:szCs w:val="24"/>
            <w:lang w:val="en-US"/>
          </w:rPr>
          <w:t>LDL</w:t>
        </w:r>
      </w:smartTag>
      <w:r w:rsidRPr="00E377C9">
        <w:rPr>
          <w:color w:val="000000"/>
          <w:sz w:val="24"/>
          <w:szCs w:val="24"/>
          <w:lang w:val="en-US"/>
        </w:rPr>
        <w:t xml:space="preserve">-C, Apo B, and triglycerides, and increases </w:t>
      </w:r>
      <w:smartTag w:uri="urn:schemas-microsoft-com:office:smarttags" w:element="stockticker">
        <w:r w:rsidRPr="00E377C9">
          <w:rPr>
            <w:color w:val="000000"/>
            <w:sz w:val="24"/>
            <w:szCs w:val="24"/>
            <w:lang w:val="en-US"/>
          </w:rPr>
          <w:t>HDL</w:t>
        </w:r>
      </w:smartTag>
      <w:r w:rsidRPr="00E377C9">
        <w:rPr>
          <w:color w:val="000000"/>
          <w:sz w:val="24"/>
          <w:szCs w:val="24"/>
          <w:lang w:val="en-US"/>
        </w:rPr>
        <w:t xml:space="preserve">-C in patients with hypercholesterolaemia and mixed dyslipidaemia. </w:t>
      </w:r>
    </w:p>
    <w:p w:rsidR="00E266FF" w:rsidRPr="00E377C9" w:rsidRDefault="00E266FF" w:rsidP="00450FC9">
      <w:pPr>
        <w:ind w:left="851"/>
        <w:rPr>
          <w:sz w:val="24"/>
          <w:szCs w:val="24"/>
          <w:lang w:val="en-US"/>
        </w:rPr>
      </w:pPr>
    </w:p>
    <w:p w:rsidR="00E266FF" w:rsidRPr="00E377C9" w:rsidRDefault="00E266FF" w:rsidP="00450FC9">
      <w:pPr>
        <w:pStyle w:val="Default"/>
        <w:ind w:left="851"/>
        <w:rPr>
          <w:rFonts w:ascii="Times New Roman" w:hAnsi="Times New Roman" w:cs="Times New Roman"/>
          <w:lang w:val="en-US" w:eastAsia="en-US"/>
        </w:rPr>
      </w:pPr>
      <w:r w:rsidRPr="00E377C9">
        <w:rPr>
          <w:rFonts w:ascii="Times New Roman" w:hAnsi="Times New Roman" w:cs="Times New Roman"/>
          <w:lang w:val="en-US"/>
        </w:rPr>
        <w:t xml:space="preserve">In 12 placebo-controlled studies in patients with Type IIa or IIb hyperlipoproteinaemia, fluvastatin alone was administered to 1,621 patients in daily dose regimens of 20 mg, 40 mg and 80 mg (40 mg twice daily) for at </w:t>
      </w:r>
      <w:r w:rsidRPr="00E377C9">
        <w:rPr>
          <w:rFonts w:ascii="Times New Roman" w:hAnsi="Times New Roman" w:cs="Times New Roman"/>
          <w:lang w:val="en-US" w:eastAsia="en-US"/>
        </w:rPr>
        <w:t xml:space="preserve">least 6 weeks duration. In a 24-week analysis, daily doses of 20 mg, 40 mg and 80 mg produced dose-related reductions in total-C, </w:t>
      </w:r>
      <w:smartTag w:uri="urn:schemas-microsoft-com:office:smarttags" w:element="stockticker">
        <w:r w:rsidRPr="00E377C9">
          <w:rPr>
            <w:rFonts w:ascii="Times New Roman" w:hAnsi="Times New Roman" w:cs="Times New Roman"/>
            <w:lang w:val="en-US" w:eastAsia="en-US"/>
          </w:rPr>
          <w:t>LDL</w:t>
        </w:r>
      </w:smartTag>
      <w:r w:rsidRPr="00E377C9">
        <w:rPr>
          <w:rFonts w:ascii="Times New Roman" w:hAnsi="Times New Roman" w:cs="Times New Roman"/>
          <w:lang w:val="en-US" w:eastAsia="en-US"/>
        </w:rPr>
        <w:t xml:space="preserve">-C, Apo B and in triglycerides and increases in </w:t>
      </w:r>
      <w:smartTag w:uri="urn:schemas-microsoft-com:office:smarttags" w:element="stockticker">
        <w:r w:rsidRPr="00E377C9">
          <w:rPr>
            <w:rFonts w:ascii="Times New Roman" w:hAnsi="Times New Roman" w:cs="Times New Roman"/>
            <w:lang w:val="en-US" w:eastAsia="en-US"/>
          </w:rPr>
          <w:t>HDL</w:t>
        </w:r>
      </w:smartTag>
      <w:r w:rsidRPr="00E377C9">
        <w:rPr>
          <w:rFonts w:ascii="Times New Roman" w:hAnsi="Times New Roman" w:cs="Times New Roman"/>
          <w:lang w:val="en-US" w:eastAsia="en-US"/>
        </w:rPr>
        <w:t xml:space="preserve">-C (see Table 2). </w:t>
      </w:r>
    </w:p>
    <w:p w:rsidR="00E266FF" w:rsidRPr="00E377C9" w:rsidRDefault="00E266FF" w:rsidP="00450FC9">
      <w:pPr>
        <w:pStyle w:val="Default"/>
        <w:ind w:left="851"/>
        <w:rPr>
          <w:rFonts w:ascii="Times New Roman" w:hAnsi="Times New Roman" w:cs="Times New Roman"/>
          <w:lang w:val="en-US" w:eastAsia="en-US"/>
        </w:rPr>
      </w:pPr>
    </w:p>
    <w:p w:rsidR="00E266FF" w:rsidRPr="00E377C9" w:rsidRDefault="00E266FF" w:rsidP="00450FC9">
      <w:pPr>
        <w:autoSpaceDE w:val="0"/>
        <w:autoSpaceDN w:val="0"/>
        <w:adjustRightInd w:val="0"/>
        <w:ind w:left="851"/>
        <w:rPr>
          <w:color w:val="000000"/>
          <w:sz w:val="24"/>
          <w:szCs w:val="24"/>
          <w:lang w:val="en-GB" w:eastAsia="en-US"/>
        </w:rPr>
      </w:pPr>
      <w:r w:rsidRPr="00E377C9">
        <w:rPr>
          <w:color w:val="000000"/>
          <w:sz w:val="24"/>
          <w:szCs w:val="24"/>
          <w:lang w:val="en-US"/>
        </w:rPr>
        <w:t xml:space="preserve">Fluvastatin 80 mg prolonged-release tablets were administered to over 800 patients in three pivotal trials of 24 weeks active treatment duration and compared to fluvastatin 40 mg once or twice daily. Given as a single daily dose of 80 mg, fluvastatin significantly reduced total-C, </w:t>
      </w:r>
      <w:smartTag w:uri="urn:schemas-microsoft-com:office:smarttags" w:element="stockticker">
        <w:r w:rsidRPr="00E377C9">
          <w:rPr>
            <w:color w:val="000000"/>
            <w:sz w:val="24"/>
            <w:szCs w:val="24"/>
            <w:lang w:val="en-US"/>
          </w:rPr>
          <w:t>LDL</w:t>
        </w:r>
      </w:smartTag>
      <w:r w:rsidRPr="00E377C9">
        <w:rPr>
          <w:color w:val="000000"/>
          <w:sz w:val="24"/>
          <w:szCs w:val="24"/>
          <w:lang w:val="en-US"/>
        </w:rPr>
        <w:t xml:space="preserve">-C, triglycerides (TG) and Apo B (see Table 2). </w:t>
      </w:r>
    </w:p>
    <w:p w:rsidR="00E266FF" w:rsidRPr="00E377C9" w:rsidRDefault="00E266FF" w:rsidP="00450FC9">
      <w:pPr>
        <w:autoSpaceDE w:val="0"/>
        <w:autoSpaceDN w:val="0"/>
        <w:adjustRightInd w:val="0"/>
        <w:ind w:left="851"/>
        <w:rPr>
          <w:color w:val="000000"/>
          <w:sz w:val="24"/>
          <w:szCs w:val="24"/>
          <w:lang w:val="en-US"/>
        </w:rPr>
      </w:pPr>
    </w:p>
    <w:p w:rsidR="00E266FF" w:rsidRPr="00E377C9" w:rsidRDefault="00E266FF" w:rsidP="00450FC9">
      <w:pPr>
        <w:autoSpaceDE w:val="0"/>
        <w:autoSpaceDN w:val="0"/>
        <w:adjustRightInd w:val="0"/>
        <w:ind w:left="851"/>
        <w:rPr>
          <w:color w:val="000000"/>
          <w:sz w:val="24"/>
          <w:szCs w:val="24"/>
          <w:lang w:val="en-US"/>
        </w:rPr>
      </w:pPr>
      <w:r w:rsidRPr="00E377C9">
        <w:rPr>
          <w:color w:val="000000"/>
          <w:sz w:val="24"/>
          <w:szCs w:val="24"/>
          <w:lang w:val="en-US"/>
        </w:rPr>
        <w:t xml:space="preserve">Therapeutic response is well established within two weeks, and a maximum response is achieved within four weeks. After four weeks of therapy, the median decrease in </w:t>
      </w:r>
      <w:smartTag w:uri="urn:schemas-microsoft-com:office:smarttags" w:element="stockticker">
        <w:r w:rsidRPr="00E377C9">
          <w:rPr>
            <w:color w:val="000000"/>
            <w:sz w:val="24"/>
            <w:szCs w:val="24"/>
            <w:lang w:val="en-US"/>
          </w:rPr>
          <w:t>LDL</w:t>
        </w:r>
      </w:smartTag>
      <w:r w:rsidRPr="00E377C9">
        <w:rPr>
          <w:color w:val="000000"/>
          <w:sz w:val="24"/>
          <w:szCs w:val="24"/>
          <w:lang w:val="en-US"/>
        </w:rPr>
        <w:t xml:space="preserve">-C was 38% and at week 24 (endpoint) the median </w:t>
      </w:r>
      <w:smartTag w:uri="urn:schemas-microsoft-com:office:smarttags" w:element="stockticker">
        <w:r w:rsidRPr="00E377C9">
          <w:rPr>
            <w:color w:val="000000"/>
            <w:sz w:val="24"/>
            <w:szCs w:val="24"/>
            <w:lang w:val="en-US"/>
          </w:rPr>
          <w:t>LDL</w:t>
        </w:r>
      </w:smartTag>
      <w:r w:rsidRPr="00E377C9">
        <w:rPr>
          <w:color w:val="000000"/>
          <w:sz w:val="24"/>
          <w:szCs w:val="24"/>
          <w:lang w:val="en-US"/>
        </w:rPr>
        <w:t xml:space="preserve">-C decrease was 35%. Significant increases in </w:t>
      </w:r>
      <w:smartTag w:uri="urn:schemas-microsoft-com:office:smarttags" w:element="stockticker">
        <w:r w:rsidRPr="00E377C9">
          <w:rPr>
            <w:color w:val="000000"/>
            <w:sz w:val="24"/>
            <w:szCs w:val="24"/>
            <w:lang w:val="en-US"/>
          </w:rPr>
          <w:t>HDL</w:t>
        </w:r>
      </w:smartTag>
      <w:r w:rsidRPr="00E377C9">
        <w:rPr>
          <w:color w:val="000000"/>
          <w:sz w:val="24"/>
          <w:szCs w:val="24"/>
          <w:lang w:val="en-US"/>
        </w:rPr>
        <w:t xml:space="preserve">-C were also observed. </w:t>
      </w:r>
    </w:p>
    <w:p w:rsidR="00E266FF" w:rsidRPr="00E377C9" w:rsidRDefault="00E266FF" w:rsidP="00450FC9">
      <w:pPr>
        <w:autoSpaceDE w:val="0"/>
        <w:autoSpaceDN w:val="0"/>
        <w:adjustRightInd w:val="0"/>
        <w:ind w:left="851"/>
        <w:rPr>
          <w:color w:val="000000"/>
          <w:sz w:val="24"/>
          <w:szCs w:val="24"/>
          <w:lang w:val="en-US"/>
        </w:rPr>
      </w:pPr>
    </w:p>
    <w:p w:rsidR="00E266FF" w:rsidRPr="00450FC9" w:rsidRDefault="00E266FF" w:rsidP="00450FC9">
      <w:pPr>
        <w:autoSpaceDE w:val="0"/>
        <w:autoSpaceDN w:val="0"/>
        <w:adjustRightInd w:val="0"/>
        <w:ind w:left="851"/>
        <w:rPr>
          <w:b/>
          <w:sz w:val="24"/>
          <w:szCs w:val="24"/>
          <w:lang w:val="en-US"/>
        </w:rPr>
      </w:pPr>
      <w:r w:rsidRPr="00450FC9">
        <w:rPr>
          <w:b/>
          <w:sz w:val="24"/>
          <w:szCs w:val="24"/>
          <w:lang w:val="en-US"/>
        </w:rPr>
        <w:t>Table 2   Median percent change in lipid parameters from baseline to week 24 Placebo-controlled studies (fluvastatin immediate-release capsules) and active-controlled trials (fluvastatin prolonged-release tablets)</w:t>
      </w:r>
    </w:p>
    <w:p w:rsidR="00E266FF" w:rsidRPr="00E266FF" w:rsidRDefault="00E266FF" w:rsidP="00450FC9">
      <w:pPr>
        <w:autoSpaceDE w:val="0"/>
        <w:autoSpaceDN w:val="0"/>
        <w:adjustRightInd w:val="0"/>
        <w:rPr>
          <w:b/>
          <w:sz w:val="22"/>
          <w:szCs w:val="22"/>
          <w:lang w:val="en-US"/>
        </w:rPr>
      </w:pPr>
    </w:p>
    <w:tbl>
      <w:tblPr>
        <w:tblW w:w="7185" w:type="dxa"/>
        <w:tblInd w:w="841"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2036"/>
        <w:gridCol w:w="426"/>
        <w:gridCol w:w="598"/>
        <w:gridCol w:w="415"/>
        <w:gridCol w:w="598"/>
        <w:gridCol w:w="426"/>
        <w:gridCol w:w="587"/>
        <w:gridCol w:w="11"/>
        <w:gridCol w:w="425"/>
        <w:gridCol w:w="617"/>
        <w:gridCol w:w="22"/>
        <w:gridCol w:w="421"/>
        <w:gridCol w:w="603"/>
      </w:tblGrid>
      <w:tr w:rsidR="00E266FF" w:rsidTr="00450FC9">
        <w:trPr>
          <w:trHeight w:val="294"/>
        </w:trPr>
        <w:tc>
          <w:tcPr>
            <w:tcW w:w="2036" w:type="dxa"/>
            <w:tcBorders>
              <w:top w:val="single" w:sz="8" w:space="0" w:color="000000"/>
              <w:left w:val="single" w:sz="8" w:space="0" w:color="000000"/>
              <w:bottom w:val="single" w:sz="8" w:space="0" w:color="000000"/>
              <w:right w:val="single" w:sz="8" w:space="0" w:color="000000"/>
            </w:tcBorders>
            <w:hideMark/>
          </w:tcPr>
          <w:p w:rsidR="00E266FF" w:rsidRPr="00E266FF" w:rsidRDefault="00E266FF" w:rsidP="00450FC9">
            <w:pPr>
              <w:autoSpaceDE w:val="0"/>
              <w:autoSpaceDN w:val="0"/>
              <w:adjustRightInd w:val="0"/>
              <w:rPr>
                <w:color w:val="000000"/>
                <w:sz w:val="22"/>
                <w:szCs w:val="22"/>
                <w:lang w:val="en-US"/>
              </w:rPr>
            </w:pPr>
            <w:r w:rsidRPr="00E266FF">
              <w:rPr>
                <w:color w:val="000000"/>
                <w:sz w:val="22"/>
                <w:szCs w:val="22"/>
                <w:lang w:val="en-US"/>
              </w:rPr>
              <w:t xml:space="preserve"> </w:t>
            </w:r>
          </w:p>
        </w:tc>
        <w:tc>
          <w:tcPr>
            <w:tcW w:w="1024"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Total-C</w:t>
            </w:r>
            <w:r>
              <w:rPr>
                <w:color w:val="000000"/>
                <w:sz w:val="22"/>
                <w:szCs w:val="22"/>
              </w:rPr>
              <w:t xml:space="preserve"> </w:t>
            </w:r>
          </w:p>
        </w:tc>
        <w:tc>
          <w:tcPr>
            <w:tcW w:w="1013"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TG</w:t>
            </w:r>
            <w:r>
              <w:rPr>
                <w:color w:val="000000"/>
                <w:sz w:val="22"/>
                <w:szCs w:val="22"/>
              </w:rPr>
              <w:t xml:space="preserve"> </w:t>
            </w:r>
          </w:p>
        </w:tc>
        <w:tc>
          <w:tcPr>
            <w:tcW w:w="1013"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smartTag w:uri="urn:schemas-microsoft-com:office:smarttags" w:element="stockticker">
              <w:r>
                <w:rPr>
                  <w:b/>
                  <w:bCs/>
                  <w:color w:val="000000"/>
                  <w:sz w:val="22"/>
                  <w:szCs w:val="22"/>
                </w:rPr>
                <w:t>LDL</w:t>
              </w:r>
            </w:smartTag>
            <w:r>
              <w:rPr>
                <w:b/>
                <w:bCs/>
                <w:color w:val="000000"/>
                <w:sz w:val="22"/>
                <w:szCs w:val="22"/>
              </w:rPr>
              <w:t>-C</w:t>
            </w:r>
            <w:r>
              <w:rPr>
                <w:color w:val="000000"/>
                <w:sz w:val="22"/>
                <w:szCs w:val="22"/>
              </w:rPr>
              <w:t xml:space="preserve"> </w:t>
            </w:r>
          </w:p>
        </w:tc>
        <w:tc>
          <w:tcPr>
            <w:tcW w:w="1053" w:type="dxa"/>
            <w:gridSpan w:val="3"/>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Apo B</w:t>
            </w:r>
            <w:r>
              <w:rPr>
                <w:color w:val="000000"/>
                <w:sz w:val="22"/>
                <w:szCs w:val="22"/>
              </w:rPr>
              <w:t xml:space="preserve"> </w:t>
            </w:r>
          </w:p>
        </w:tc>
        <w:tc>
          <w:tcPr>
            <w:tcW w:w="1046" w:type="dxa"/>
            <w:gridSpan w:val="3"/>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smartTag w:uri="urn:schemas-microsoft-com:office:smarttags" w:element="stockticker">
              <w:r>
                <w:rPr>
                  <w:b/>
                  <w:bCs/>
                  <w:color w:val="000000"/>
                  <w:sz w:val="22"/>
                  <w:szCs w:val="22"/>
                </w:rPr>
                <w:t>HDL</w:t>
              </w:r>
            </w:smartTag>
            <w:r>
              <w:rPr>
                <w:b/>
                <w:bCs/>
                <w:color w:val="000000"/>
                <w:sz w:val="22"/>
                <w:szCs w:val="22"/>
              </w:rPr>
              <w:t>-C</w:t>
            </w:r>
            <w:r>
              <w:rPr>
                <w:color w:val="000000"/>
                <w:sz w:val="22"/>
                <w:szCs w:val="22"/>
              </w:rPr>
              <w:t xml:space="preserve"> </w:t>
            </w:r>
          </w:p>
        </w:tc>
      </w:tr>
      <w:tr w:rsidR="00E266FF" w:rsidTr="00450FC9">
        <w:trPr>
          <w:trHeight w:val="293"/>
        </w:trPr>
        <w:tc>
          <w:tcPr>
            <w:tcW w:w="203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Dose</w:t>
            </w:r>
            <w:r>
              <w:rPr>
                <w:color w:val="000000"/>
                <w:sz w:val="22"/>
                <w:szCs w:val="22"/>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N</w:t>
            </w:r>
            <w:r>
              <w:rPr>
                <w:color w:val="000000"/>
                <w:sz w:val="22"/>
                <w:szCs w:val="22"/>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 Δ</w:t>
            </w:r>
          </w:p>
        </w:tc>
        <w:tc>
          <w:tcPr>
            <w:tcW w:w="41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N</w:t>
            </w:r>
            <w:r>
              <w:rPr>
                <w:color w:val="000000"/>
                <w:sz w:val="22"/>
                <w:szCs w:val="22"/>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 Δ</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N</w:t>
            </w:r>
            <w:r>
              <w:rPr>
                <w:color w:val="000000"/>
                <w:sz w:val="22"/>
                <w:szCs w:val="22"/>
              </w:rPr>
              <w:t xml:space="preserve"> </w:t>
            </w:r>
          </w:p>
        </w:tc>
        <w:tc>
          <w:tcPr>
            <w:tcW w:w="598"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 Δ</w:t>
            </w:r>
          </w:p>
        </w:tc>
        <w:tc>
          <w:tcPr>
            <w:tcW w:w="42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N</w:t>
            </w:r>
            <w:r>
              <w:rPr>
                <w:color w:val="000000"/>
                <w:sz w:val="22"/>
                <w:szCs w:val="22"/>
              </w:rPr>
              <w:t xml:space="preserve"> </w:t>
            </w:r>
          </w:p>
        </w:tc>
        <w:tc>
          <w:tcPr>
            <w:tcW w:w="639"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 Δ</w:t>
            </w:r>
            <w:r>
              <w:rPr>
                <w:color w:val="000000"/>
                <w:sz w:val="22"/>
                <w:szCs w:val="22"/>
              </w:rPr>
              <w:t xml:space="preserve"> </w:t>
            </w:r>
          </w:p>
        </w:tc>
        <w:tc>
          <w:tcPr>
            <w:tcW w:w="421"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N</w:t>
            </w:r>
            <w:r>
              <w:rPr>
                <w:color w:val="000000"/>
                <w:sz w:val="22"/>
                <w:szCs w:val="22"/>
              </w:rPr>
              <w:t xml:space="preserve"> </w:t>
            </w:r>
          </w:p>
        </w:tc>
        <w:tc>
          <w:tcPr>
            <w:tcW w:w="603"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 Δ</w:t>
            </w:r>
          </w:p>
        </w:tc>
      </w:tr>
      <w:tr w:rsidR="00E266FF" w:rsidTr="00450FC9">
        <w:trPr>
          <w:trHeight w:val="294"/>
        </w:trPr>
        <w:tc>
          <w:tcPr>
            <w:tcW w:w="203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All patients</w:t>
            </w:r>
            <w:r>
              <w:rPr>
                <w:color w:val="000000"/>
                <w:sz w:val="22"/>
                <w:szCs w:val="22"/>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41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598"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42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639"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421"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603"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r>
      <w:tr w:rsidR="00E266FF" w:rsidTr="00450FC9">
        <w:trPr>
          <w:trHeight w:val="309"/>
        </w:trPr>
        <w:tc>
          <w:tcPr>
            <w:tcW w:w="203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Fluvastatin 20 mg</w:t>
            </w:r>
            <w:r>
              <w:rPr>
                <w:color w:val="000000"/>
                <w:sz w:val="22"/>
                <w:szCs w:val="22"/>
                <w:vertAlign w:val="superscript"/>
              </w:rPr>
              <w:t>1</w:t>
            </w:r>
            <w:r>
              <w:rPr>
                <w:color w:val="000000"/>
                <w:sz w:val="22"/>
                <w:szCs w:val="22"/>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747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-17 </w:t>
            </w:r>
          </w:p>
        </w:tc>
        <w:tc>
          <w:tcPr>
            <w:tcW w:w="41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747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-12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747 </w:t>
            </w:r>
          </w:p>
        </w:tc>
        <w:tc>
          <w:tcPr>
            <w:tcW w:w="598"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-22 </w:t>
            </w:r>
          </w:p>
        </w:tc>
        <w:tc>
          <w:tcPr>
            <w:tcW w:w="42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114 </w:t>
            </w:r>
          </w:p>
        </w:tc>
        <w:tc>
          <w:tcPr>
            <w:tcW w:w="639"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-19 </w:t>
            </w:r>
          </w:p>
        </w:tc>
        <w:tc>
          <w:tcPr>
            <w:tcW w:w="421"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747 </w:t>
            </w:r>
          </w:p>
        </w:tc>
        <w:tc>
          <w:tcPr>
            <w:tcW w:w="603"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+3</w:t>
            </w:r>
          </w:p>
        </w:tc>
      </w:tr>
      <w:tr w:rsidR="00E266FF" w:rsidTr="00450FC9">
        <w:trPr>
          <w:trHeight w:val="309"/>
        </w:trPr>
        <w:tc>
          <w:tcPr>
            <w:tcW w:w="203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Fluvastatin 40 mg</w:t>
            </w:r>
            <w:r>
              <w:rPr>
                <w:color w:val="000000"/>
                <w:sz w:val="22"/>
                <w:szCs w:val="22"/>
                <w:vertAlign w:val="superscript"/>
              </w:rPr>
              <w:t>1</w:t>
            </w:r>
            <w:r>
              <w:rPr>
                <w:color w:val="000000"/>
                <w:sz w:val="22"/>
                <w:szCs w:val="22"/>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748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-19 </w:t>
            </w:r>
          </w:p>
        </w:tc>
        <w:tc>
          <w:tcPr>
            <w:tcW w:w="41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748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-14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748 </w:t>
            </w:r>
          </w:p>
        </w:tc>
        <w:tc>
          <w:tcPr>
            <w:tcW w:w="598"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-25 </w:t>
            </w:r>
          </w:p>
        </w:tc>
        <w:tc>
          <w:tcPr>
            <w:tcW w:w="42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125 </w:t>
            </w:r>
          </w:p>
        </w:tc>
        <w:tc>
          <w:tcPr>
            <w:tcW w:w="639"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-18 </w:t>
            </w:r>
          </w:p>
        </w:tc>
        <w:tc>
          <w:tcPr>
            <w:tcW w:w="421"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748 </w:t>
            </w:r>
          </w:p>
        </w:tc>
        <w:tc>
          <w:tcPr>
            <w:tcW w:w="603"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+4</w:t>
            </w:r>
          </w:p>
        </w:tc>
      </w:tr>
      <w:tr w:rsidR="00E266FF" w:rsidTr="00450FC9">
        <w:trPr>
          <w:trHeight w:val="309"/>
        </w:trPr>
        <w:tc>
          <w:tcPr>
            <w:tcW w:w="203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Fluvastatin 40 mg twice daily</w:t>
            </w:r>
            <w:r>
              <w:rPr>
                <w:color w:val="000000"/>
                <w:sz w:val="22"/>
                <w:szCs w:val="22"/>
                <w:vertAlign w:val="superscript"/>
              </w:rPr>
              <w:t xml:space="preserve">1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257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-27 </w:t>
            </w:r>
          </w:p>
        </w:tc>
        <w:tc>
          <w:tcPr>
            <w:tcW w:w="41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257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-18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257 </w:t>
            </w:r>
          </w:p>
        </w:tc>
        <w:tc>
          <w:tcPr>
            <w:tcW w:w="598"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-36 </w:t>
            </w:r>
          </w:p>
        </w:tc>
        <w:tc>
          <w:tcPr>
            <w:tcW w:w="42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232 </w:t>
            </w:r>
          </w:p>
        </w:tc>
        <w:tc>
          <w:tcPr>
            <w:tcW w:w="639"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-28 </w:t>
            </w:r>
          </w:p>
        </w:tc>
        <w:tc>
          <w:tcPr>
            <w:tcW w:w="421"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257 </w:t>
            </w:r>
          </w:p>
        </w:tc>
        <w:tc>
          <w:tcPr>
            <w:tcW w:w="603"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+6</w:t>
            </w:r>
          </w:p>
        </w:tc>
      </w:tr>
      <w:tr w:rsidR="00E266FF" w:rsidTr="00450FC9">
        <w:trPr>
          <w:trHeight w:val="309"/>
        </w:trPr>
        <w:tc>
          <w:tcPr>
            <w:tcW w:w="203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Fluvastatin 80 mg</w:t>
            </w:r>
            <w:r>
              <w:rPr>
                <w:color w:val="000000"/>
                <w:sz w:val="22"/>
                <w:szCs w:val="22"/>
                <w:vertAlign w:val="superscript"/>
              </w:rPr>
              <w:t xml:space="preserve">2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750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-25 </w:t>
            </w:r>
          </w:p>
        </w:tc>
        <w:tc>
          <w:tcPr>
            <w:tcW w:w="41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750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-19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748 </w:t>
            </w:r>
          </w:p>
        </w:tc>
        <w:tc>
          <w:tcPr>
            <w:tcW w:w="598"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-35 </w:t>
            </w:r>
          </w:p>
        </w:tc>
        <w:tc>
          <w:tcPr>
            <w:tcW w:w="42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745 </w:t>
            </w:r>
          </w:p>
        </w:tc>
        <w:tc>
          <w:tcPr>
            <w:tcW w:w="639"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-27 </w:t>
            </w:r>
          </w:p>
        </w:tc>
        <w:tc>
          <w:tcPr>
            <w:tcW w:w="421"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750 </w:t>
            </w:r>
          </w:p>
        </w:tc>
        <w:tc>
          <w:tcPr>
            <w:tcW w:w="603"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+7</w:t>
            </w:r>
          </w:p>
        </w:tc>
      </w:tr>
      <w:tr w:rsidR="00E266FF" w:rsidTr="00450FC9">
        <w:trPr>
          <w:trHeight w:val="294"/>
        </w:trPr>
        <w:tc>
          <w:tcPr>
            <w:tcW w:w="203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b/>
                <w:bCs/>
                <w:color w:val="000000"/>
                <w:sz w:val="22"/>
                <w:szCs w:val="22"/>
              </w:rPr>
              <w:t>Baseline TG ≥ 200 mg/dl</w:t>
            </w:r>
            <w:r>
              <w:rPr>
                <w:color w:val="000000"/>
                <w:sz w:val="22"/>
                <w:szCs w:val="22"/>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41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598"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42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639"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421"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c>
          <w:tcPr>
            <w:tcW w:w="603"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 </w:t>
            </w:r>
          </w:p>
        </w:tc>
      </w:tr>
      <w:tr w:rsidR="00E266FF" w:rsidTr="00450FC9">
        <w:trPr>
          <w:trHeight w:val="309"/>
        </w:trPr>
        <w:tc>
          <w:tcPr>
            <w:tcW w:w="203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Fluvastatin 20 mg</w:t>
            </w:r>
            <w:r>
              <w:rPr>
                <w:color w:val="000000"/>
                <w:sz w:val="22"/>
                <w:szCs w:val="22"/>
                <w:vertAlign w:val="superscript"/>
              </w:rPr>
              <w:t>1</w:t>
            </w:r>
            <w:r>
              <w:rPr>
                <w:color w:val="000000"/>
                <w:sz w:val="22"/>
                <w:szCs w:val="22"/>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148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-16 </w:t>
            </w:r>
          </w:p>
        </w:tc>
        <w:tc>
          <w:tcPr>
            <w:tcW w:w="41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148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-17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148 </w:t>
            </w:r>
          </w:p>
        </w:tc>
        <w:tc>
          <w:tcPr>
            <w:tcW w:w="598"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-22 </w:t>
            </w:r>
          </w:p>
        </w:tc>
        <w:tc>
          <w:tcPr>
            <w:tcW w:w="42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23 </w:t>
            </w:r>
          </w:p>
        </w:tc>
        <w:tc>
          <w:tcPr>
            <w:tcW w:w="639"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-19 </w:t>
            </w:r>
          </w:p>
        </w:tc>
        <w:tc>
          <w:tcPr>
            <w:tcW w:w="421"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148 </w:t>
            </w:r>
          </w:p>
        </w:tc>
        <w:tc>
          <w:tcPr>
            <w:tcW w:w="603"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+6</w:t>
            </w:r>
          </w:p>
        </w:tc>
      </w:tr>
      <w:tr w:rsidR="00E266FF" w:rsidTr="00450FC9">
        <w:trPr>
          <w:trHeight w:val="309"/>
        </w:trPr>
        <w:tc>
          <w:tcPr>
            <w:tcW w:w="203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Fluvastatin 40 mg</w:t>
            </w:r>
            <w:r>
              <w:rPr>
                <w:color w:val="000000"/>
                <w:sz w:val="22"/>
                <w:szCs w:val="22"/>
                <w:vertAlign w:val="superscript"/>
              </w:rPr>
              <w:t>1</w:t>
            </w:r>
            <w:r>
              <w:rPr>
                <w:color w:val="000000"/>
                <w:sz w:val="22"/>
                <w:szCs w:val="22"/>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179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-18 </w:t>
            </w:r>
          </w:p>
        </w:tc>
        <w:tc>
          <w:tcPr>
            <w:tcW w:w="41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179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-20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179 </w:t>
            </w:r>
          </w:p>
        </w:tc>
        <w:tc>
          <w:tcPr>
            <w:tcW w:w="598"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-24 </w:t>
            </w:r>
          </w:p>
        </w:tc>
        <w:tc>
          <w:tcPr>
            <w:tcW w:w="42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47 </w:t>
            </w:r>
          </w:p>
        </w:tc>
        <w:tc>
          <w:tcPr>
            <w:tcW w:w="639"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-18 </w:t>
            </w:r>
          </w:p>
        </w:tc>
        <w:tc>
          <w:tcPr>
            <w:tcW w:w="421"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179 </w:t>
            </w:r>
          </w:p>
        </w:tc>
        <w:tc>
          <w:tcPr>
            <w:tcW w:w="603"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+7</w:t>
            </w:r>
          </w:p>
        </w:tc>
      </w:tr>
      <w:tr w:rsidR="00E266FF" w:rsidTr="00450FC9">
        <w:trPr>
          <w:trHeight w:val="309"/>
        </w:trPr>
        <w:tc>
          <w:tcPr>
            <w:tcW w:w="203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Fluvastatin 40 mg twice daily</w:t>
            </w:r>
            <w:r>
              <w:rPr>
                <w:color w:val="000000"/>
                <w:sz w:val="22"/>
                <w:szCs w:val="22"/>
                <w:vertAlign w:val="superscript"/>
              </w:rPr>
              <w:t>1</w:t>
            </w:r>
            <w:r>
              <w:rPr>
                <w:color w:val="000000"/>
                <w:sz w:val="22"/>
                <w:szCs w:val="22"/>
              </w:rPr>
              <w:t xml:space="preserve">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76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-27 </w:t>
            </w:r>
          </w:p>
        </w:tc>
        <w:tc>
          <w:tcPr>
            <w:tcW w:w="41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76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-23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76 </w:t>
            </w:r>
          </w:p>
        </w:tc>
        <w:tc>
          <w:tcPr>
            <w:tcW w:w="598"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-35 </w:t>
            </w:r>
          </w:p>
        </w:tc>
        <w:tc>
          <w:tcPr>
            <w:tcW w:w="42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69 </w:t>
            </w:r>
          </w:p>
        </w:tc>
        <w:tc>
          <w:tcPr>
            <w:tcW w:w="639"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-28 </w:t>
            </w:r>
          </w:p>
        </w:tc>
        <w:tc>
          <w:tcPr>
            <w:tcW w:w="421"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76 </w:t>
            </w:r>
          </w:p>
        </w:tc>
        <w:tc>
          <w:tcPr>
            <w:tcW w:w="603"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+9</w:t>
            </w:r>
          </w:p>
        </w:tc>
      </w:tr>
      <w:tr w:rsidR="00E266FF" w:rsidTr="00450FC9">
        <w:trPr>
          <w:trHeight w:val="309"/>
        </w:trPr>
        <w:tc>
          <w:tcPr>
            <w:tcW w:w="203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Fluvastatin 80 mg</w:t>
            </w:r>
            <w:r>
              <w:rPr>
                <w:color w:val="000000"/>
                <w:sz w:val="22"/>
                <w:szCs w:val="22"/>
                <w:vertAlign w:val="superscript"/>
              </w:rPr>
              <w:t xml:space="preserve">2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239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-25 </w:t>
            </w:r>
          </w:p>
        </w:tc>
        <w:tc>
          <w:tcPr>
            <w:tcW w:w="41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239 </w:t>
            </w:r>
          </w:p>
        </w:tc>
        <w:tc>
          <w:tcPr>
            <w:tcW w:w="598"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-25 </w:t>
            </w:r>
          </w:p>
        </w:tc>
        <w:tc>
          <w:tcPr>
            <w:tcW w:w="426"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237 </w:t>
            </w:r>
          </w:p>
        </w:tc>
        <w:tc>
          <w:tcPr>
            <w:tcW w:w="598"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-33 </w:t>
            </w:r>
          </w:p>
        </w:tc>
        <w:tc>
          <w:tcPr>
            <w:tcW w:w="425"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235 </w:t>
            </w:r>
          </w:p>
        </w:tc>
        <w:tc>
          <w:tcPr>
            <w:tcW w:w="639" w:type="dxa"/>
            <w:gridSpan w:val="2"/>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-27 </w:t>
            </w:r>
          </w:p>
        </w:tc>
        <w:tc>
          <w:tcPr>
            <w:tcW w:w="421"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 xml:space="preserve">239 </w:t>
            </w:r>
          </w:p>
        </w:tc>
        <w:tc>
          <w:tcPr>
            <w:tcW w:w="603" w:type="dxa"/>
            <w:tcBorders>
              <w:top w:val="single" w:sz="8" w:space="0" w:color="000000"/>
              <w:left w:val="single" w:sz="8" w:space="0" w:color="000000"/>
              <w:bottom w:val="single" w:sz="8" w:space="0" w:color="000000"/>
              <w:right w:val="single" w:sz="8" w:space="0" w:color="000000"/>
            </w:tcBorders>
            <w:hideMark/>
          </w:tcPr>
          <w:p w:rsidR="00E266FF" w:rsidRDefault="00E266FF" w:rsidP="00450FC9">
            <w:pPr>
              <w:autoSpaceDE w:val="0"/>
              <w:autoSpaceDN w:val="0"/>
              <w:adjustRightInd w:val="0"/>
              <w:rPr>
                <w:color w:val="000000"/>
                <w:sz w:val="22"/>
                <w:szCs w:val="22"/>
              </w:rPr>
            </w:pPr>
            <w:r>
              <w:rPr>
                <w:color w:val="000000"/>
                <w:sz w:val="22"/>
                <w:szCs w:val="22"/>
              </w:rPr>
              <w:t>+11</w:t>
            </w:r>
          </w:p>
        </w:tc>
      </w:tr>
    </w:tbl>
    <w:p w:rsidR="00E266FF" w:rsidRDefault="00E266FF" w:rsidP="00450FC9">
      <w:pPr>
        <w:autoSpaceDE w:val="0"/>
        <w:autoSpaceDN w:val="0"/>
        <w:adjustRightInd w:val="0"/>
        <w:ind w:left="851"/>
        <w:rPr>
          <w:color w:val="000000"/>
          <w:sz w:val="22"/>
          <w:szCs w:val="22"/>
          <w:lang w:val="en-GB" w:eastAsia="en-US"/>
        </w:rPr>
      </w:pPr>
      <w:r w:rsidRPr="00E266FF">
        <w:rPr>
          <w:color w:val="000000"/>
          <w:sz w:val="22"/>
          <w:szCs w:val="22"/>
          <w:vertAlign w:val="superscript"/>
          <w:lang w:val="en-US"/>
        </w:rPr>
        <w:t>1</w:t>
      </w:r>
      <w:r w:rsidRPr="00E266FF">
        <w:rPr>
          <w:color w:val="000000"/>
          <w:sz w:val="22"/>
          <w:szCs w:val="22"/>
          <w:lang w:val="en-US"/>
        </w:rPr>
        <w:t xml:space="preserve"> Data for fluvastatin from 12 placebo-controlled trials </w:t>
      </w:r>
    </w:p>
    <w:p w:rsidR="00E266FF" w:rsidRPr="00E266FF" w:rsidRDefault="00E266FF" w:rsidP="00450FC9">
      <w:pPr>
        <w:autoSpaceDE w:val="0"/>
        <w:autoSpaceDN w:val="0"/>
        <w:adjustRightInd w:val="0"/>
        <w:ind w:left="851"/>
        <w:rPr>
          <w:color w:val="000000"/>
          <w:sz w:val="22"/>
          <w:szCs w:val="22"/>
          <w:lang w:val="en-US"/>
        </w:rPr>
      </w:pPr>
      <w:r w:rsidRPr="00E266FF">
        <w:rPr>
          <w:color w:val="000000"/>
          <w:sz w:val="22"/>
          <w:szCs w:val="22"/>
          <w:vertAlign w:val="superscript"/>
          <w:lang w:val="en-US"/>
        </w:rPr>
        <w:t>2</w:t>
      </w:r>
      <w:r w:rsidRPr="00E266FF">
        <w:rPr>
          <w:color w:val="000000"/>
          <w:sz w:val="22"/>
          <w:szCs w:val="22"/>
          <w:lang w:val="en-US"/>
        </w:rPr>
        <w:t xml:space="preserve"> Data for fluvastatin 80 mg tablet from three 24-week controlled trials </w:t>
      </w:r>
    </w:p>
    <w:p w:rsidR="00E266FF" w:rsidRPr="00E377C9" w:rsidRDefault="00E266FF" w:rsidP="00450FC9">
      <w:pPr>
        <w:autoSpaceDE w:val="0"/>
        <w:autoSpaceDN w:val="0"/>
        <w:adjustRightInd w:val="0"/>
        <w:ind w:left="851"/>
        <w:rPr>
          <w:color w:val="000000"/>
          <w:sz w:val="24"/>
          <w:szCs w:val="24"/>
          <w:lang w:val="en-US"/>
        </w:rPr>
      </w:pPr>
    </w:p>
    <w:p w:rsidR="00E266FF" w:rsidRPr="00E377C9" w:rsidRDefault="00E266FF" w:rsidP="00450FC9">
      <w:pPr>
        <w:autoSpaceDE w:val="0"/>
        <w:autoSpaceDN w:val="0"/>
        <w:adjustRightInd w:val="0"/>
        <w:ind w:left="851"/>
        <w:rPr>
          <w:color w:val="000000"/>
          <w:sz w:val="24"/>
          <w:szCs w:val="24"/>
          <w:lang w:val="en-US"/>
        </w:rPr>
      </w:pPr>
      <w:r w:rsidRPr="00E377C9">
        <w:rPr>
          <w:color w:val="000000"/>
          <w:sz w:val="24"/>
          <w:szCs w:val="24"/>
          <w:lang w:val="en-US"/>
        </w:rPr>
        <w:t xml:space="preserve">In the Lipoprotein and Coronary Atherosclerosis Study (LCAS), the effect of fluvastatin on coronary atherosclerosis was assessed by quantitative coronary angiography in male and female patients (35 to 75 years old) with coronary artery disease and baseline </w:t>
      </w:r>
      <w:smartTag w:uri="urn:schemas-microsoft-com:office:smarttags" w:element="stockticker">
        <w:r w:rsidRPr="00E377C9">
          <w:rPr>
            <w:color w:val="000000"/>
            <w:sz w:val="24"/>
            <w:szCs w:val="24"/>
            <w:lang w:val="en-US"/>
          </w:rPr>
          <w:t>LDL</w:t>
        </w:r>
      </w:smartTag>
      <w:r w:rsidRPr="00E377C9">
        <w:rPr>
          <w:color w:val="000000"/>
          <w:sz w:val="24"/>
          <w:szCs w:val="24"/>
          <w:lang w:val="en-US"/>
        </w:rPr>
        <w:t xml:space="preserve">-C levels of 3.0 to 4.9 mmol/l (115 to 190 mg/dl). In this randomised, double-blind, controlled clinical study, 429 patients were treated with either fluvastatin 40 mg/day or placebo. Quantitative coronary angiograms were evaluated at baseline and after 2.5 years of treatment and were evaluable in 340 out of 429 patients. Fluvastatin treatment slowed the progression of coronary atherosclerosis lesions by 0.072 mm (95% confidence intervals for treatment difference from −0.1222 to −0.022 mm) over 2.5 years as measured by change in minimum lumen diameter (fluvastatin −0.028 mm vs. placebo −0.100 mm). No direct correlation between the angiographic findings and the risk of cardiovascular events has been demonstrated. </w:t>
      </w:r>
    </w:p>
    <w:p w:rsidR="00E266FF" w:rsidRPr="00E377C9" w:rsidRDefault="00E266FF" w:rsidP="00450FC9">
      <w:pPr>
        <w:autoSpaceDE w:val="0"/>
        <w:autoSpaceDN w:val="0"/>
        <w:adjustRightInd w:val="0"/>
        <w:ind w:left="851"/>
        <w:rPr>
          <w:color w:val="000000"/>
          <w:sz w:val="24"/>
          <w:szCs w:val="24"/>
          <w:lang w:val="en-US"/>
        </w:rPr>
      </w:pPr>
    </w:p>
    <w:p w:rsidR="00E266FF" w:rsidRPr="00E377C9" w:rsidRDefault="00E266FF" w:rsidP="00450FC9">
      <w:pPr>
        <w:pStyle w:val="Default"/>
        <w:ind w:left="851"/>
        <w:rPr>
          <w:rFonts w:ascii="Times New Roman" w:hAnsi="Times New Roman" w:cs="Times New Roman"/>
          <w:lang w:val="en-GB"/>
        </w:rPr>
      </w:pPr>
      <w:r w:rsidRPr="00E377C9">
        <w:rPr>
          <w:rFonts w:ascii="Times New Roman" w:hAnsi="Times New Roman"/>
          <w:lang w:val="en-GB"/>
        </w:rPr>
        <w:t xml:space="preserve">In </w:t>
      </w:r>
      <w:r w:rsidRPr="00E377C9">
        <w:rPr>
          <w:rFonts w:ascii="Times New Roman" w:hAnsi="Times New Roman" w:cs="Times New Roman"/>
          <w:lang w:val="en-GB"/>
        </w:rPr>
        <w:t xml:space="preserve">the </w:t>
      </w:r>
      <w:r w:rsidRPr="00E377C9">
        <w:rPr>
          <w:rFonts w:ascii="Times New Roman" w:hAnsi="Times New Roman" w:cs="Times New Roman"/>
        </w:rPr>
        <w:t>Lescol</w:t>
      </w:r>
      <w:r w:rsidRPr="00E377C9">
        <w:rPr>
          <w:rFonts w:ascii="Times New Roman" w:hAnsi="Times New Roman"/>
          <w:lang w:val="en-GB"/>
        </w:rPr>
        <w:t xml:space="preserve"> Intervention Prevention Study (LIPS), the effect of fluvastatin on major adverse cardiac events (</w:t>
      </w:r>
      <w:smartTag w:uri="urn:schemas-microsoft-com:office:smarttags" w:element="stockticker">
        <w:r w:rsidRPr="00E377C9">
          <w:rPr>
            <w:rFonts w:ascii="Times New Roman" w:hAnsi="Times New Roman"/>
            <w:lang w:val="en-GB"/>
          </w:rPr>
          <w:t>MACE</w:t>
        </w:r>
      </w:smartTag>
      <w:r w:rsidRPr="00E377C9">
        <w:rPr>
          <w:rFonts w:ascii="Times New Roman" w:hAnsi="Times New Roman"/>
        </w:rPr>
        <w:t>; i.e. cardiac death, non-fatal myocardial infarction and coronary revascularisation</w:t>
      </w:r>
      <w:r w:rsidRPr="00E377C9">
        <w:rPr>
          <w:rFonts w:ascii="Times New Roman" w:hAnsi="Times New Roman"/>
          <w:lang w:val="en-GB"/>
        </w:rPr>
        <w:t xml:space="preserve">) was assessed in patients with coronary heart disease who had first successful percutaneous coronary intervention. The study included male and female patients (18 to 80 years old) and with baseline total C levels ranging from 3.5 to 7.0 mmol/l </w:t>
      </w:r>
      <w:r w:rsidRPr="00E377C9">
        <w:rPr>
          <w:rFonts w:ascii="Times New Roman" w:hAnsi="Times New Roman"/>
        </w:rPr>
        <w:t>(135 to 270 mg/dl)</w:t>
      </w:r>
      <w:r w:rsidRPr="00E377C9">
        <w:rPr>
          <w:rFonts w:ascii="Times New Roman" w:hAnsi="Times New Roman"/>
          <w:lang w:val="en-GB"/>
        </w:rPr>
        <w:t xml:space="preserve">. </w:t>
      </w:r>
    </w:p>
    <w:p w:rsidR="00E266FF" w:rsidRPr="00E377C9" w:rsidRDefault="00E266FF" w:rsidP="00450FC9">
      <w:pPr>
        <w:pStyle w:val="Default"/>
        <w:ind w:left="851"/>
        <w:rPr>
          <w:rFonts w:ascii="Times New Roman" w:hAnsi="Times New Roman" w:cs="Times New Roman"/>
          <w:lang w:val="en-GB"/>
        </w:rPr>
      </w:pPr>
      <w:r w:rsidRPr="00E377C9">
        <w:rPr>
          <w:rFonts w:ascii="Times New Roman" w:hAnsi="Times New Roman" w:cs="Times New Roman"/>
          <w:lang w:val="en-GB"/>
        </w:rPr>
        <w:t xml:space="preserve">In this randomised, double-blind, placebo-controlled trial fluvastatin (n = 844), given as 80 mg daily over 4 years, significantly reduced the risk of the first </w:t>
      </w:r>
      <w:smartTag w:uri="urn:schemas-microsoft-com:office:smarttags" w:element="stockticker">
        <w:r w:rsidRPr="00E377C9">
          <w:rPr>
            <w:rFonts w:ascii="Times New Roman" w:hAnsi="Times New Roman" w:cs="Times New Roman"/>
            <w:lang w:val="en-GB"/>
          </w:rPr>
          <w:t>MACE</w:t>
        </w:r>
      </w:smartTag>
      <w:r w:rsidRPr="00E377C9">
        <w:rPr>
          <w:rFonts w:ascii="Times New Roman" w:hAnsi="Times New Roman" w:cs="Times New Roman"/>
          <w:lang w:val="en-GB"/>
        </w:rPr>
        <w:t xml:space="preserve"> by 22% (p = 0.013) as compared to placebo (n = 833). </w:t>
      </w:r>
    </w:p>
    <w:p w:rsidR="00E266FF" w:rsidRPr="00E377C9" w:rsidRDefault="00E266FF" w:rsidP="00450FC9">
      <w:pPr>
        <w:pStyle w:val="Default"/>
        <w:ind w:left="851"/>
        <w:rPr>
          <w:rFonts w:ascii="Times New Roman" w:hAnsi="Times New Roman" w:cs="Times New Roman"/>
          <w:lang w:val="en-US" w:eastAsia="en-US"/>
        </w:rPr>
      </w:pPr>
      <w:r w:rsidRPr="00E377C9">
        <w:rPr>
          <w:rFonts w:ascii="Times New Roman" w:hAnsi="Times New Roman" w:cs="Times New Roman"/>
          <w:lang w:val="en-US" w:eastAsia="en-US"/>
        </w:rPr>
        <w:t xml:space="preserve">The primary endpoint of </w:t>
      </w:r>
      <w:smartTag w:uri="urn:schemas-microsoft-com:office:smarttags" w:element="stockticker">
        <w:r w:rsidRPr="00E377C9">
          <w:rPr>
            <w:rFonts w:ascii="Times New Roman" w:hAnsi="Times New Roman" w:cs="Times New Roman"/>
            <w:lang w:val="en-US" w:eastAsia="en-US"/>
          </w:rPr>
          <w:t>MACE</w:t>
        </w:r>
      </w:smartTag>
      <w:r w:rsidRPr="00E377C9">
        <w:rPr>
          <w:rFonts w:ascii="Times New Roman" w:hAnsi="Times New Roman" w:cs="Times New Roman"/>
          <w:lang w:val="en-US" w:eastAsia="en-US"/>
        </w:rPr>
        <w:t xml:space="preserve"> occurred in 21.4% of patients treated with fluvastatin vs 26.7% of patients treated with placebo (absolute risk difference: 5.2%; 95% CI: 1.1 to 9.3). </w:t>
      </w:r>
    </w:p>
    <w:p w:rsidR="00E266FF" w:rsidRPr="00E377C9" w:rsidRDefault="00E266FF" w:rsidP="00450FC9">
      <w:pPr>
        <w:ind w:left="851"/>
        <w:rPr>
          <w:sz w:val="24"/>
          <w:szCs w:val="24"/>
          <w:lang w:val="en-GB" w:eastAsia="en-US"/>
        </w:rPr>
      </w:pPr>
      <w:r w:rsidRPr="00E377C9">
        <w:rPr>
          <w:sz w:val="24"/>
          <w:szCs w:val="24"/>
          <w:lang w:val="en-US"/>
        </w:rPr>
        <w:t xml:space="preserve">These beneficial effects were particularly noteworthy in patients with diabetes mellitus and in patients with multivessel disease. </w:t>
      </w:r>
    </w:p>
    <w:p w:rsidR="00E266FF" w:rsidRPr="00E377C9" w:rsidRDefault="00E266FF" w:rsidP="00450FC9">
      <w:pPr>
        <w:ind w:left="851"/>
        <w:rPr>
          <w:sz w:val="24"/>
          <w:szCs w:val="24"/>
          <w:lang w:val="en-US"/>
        </w:rPr>
      </w:pPr>
    </w:p>
    <w:p w:rsidR="00E266FF" w:rsidRPr="00E377C9" w:rsidRDefault="00E266FF" w:rsidP="00450FC9">
      <w:pPr>
        <w:ind w:left="851"/>
        <w:rPr>
          <w:sz w:val="24"/>
          <w:szCs w:val="24"/>
          <w:u w:val="single"/>
          <w:lang w:val="en-US"/>
        </w:rPr>
      </w:pPr>
      <w:r w:rsidRPr="00E377C9">
        <w:rPr>
          <w:sz w:val="24"/>
          <w:szCs w:val="24"/>
          <w:u w:val="single"/>
          <w:lang w:val="en-US"/>
        </w:rPr>
        <w:t>Paediatric population</w:t>
      </w:r>
    </w:p>
    <w:p w:rsidR="00E266FF" w:rsidRPr="00E377C9" w:rsidRDefault="00E266FF" w:rsidP="00450FC9">
      <w:pPr>
        <w:autoSpaceDE w:val="0"/>
        <w:autoSpaceDN w:val="0"/>
        <w:adjustRightInd w:val="0"/>
        <w:ind w:left="851"/>
        <w:rPr>
          <w:i/>
          <w:sz w:val="24"/>
          <w:szCs w:val="24"/>
          <w:u w:val="single"/>
          <w:lang w:val="en-US"/>
        </w:rPr>
      </w:pPr>
    </w:p>
    <w:p w:rsidR="00E266FF" w:rsidRPr="00E377C9" w:rsidRDefault="00E266FF" w:rsidP="00450FC9">
      <w:pPr>
        <w:autoSpaceDE w:val="0"/>
        <w:autoSpaceDN w:val="0"/>
        <w:adjustRightInd w:val="0"/>
        <w:ind w:left="851"/>
        <w:rPr>
          <w:i/>
          <w:sz w:val="24"/>
          <w:szCs w:val="24"/>
          <w:u w:val="single"/>
          <w:lang w:val="en-US"/>
        </w:rPr>
      </w:pPr>
      <w:r w:rsidRPr="00E377C9">
        <w:rPr>
          <w:i/>
          <w:sz w:val="24"/>
          <w:szCs w:val="24"/>
          <w:u w:val="single"/>
          <w:lang w:val="en-US"/>
        </w:rPr>
        <w:t>Children and adolescents with heterozygous familial hypercholesterolaemia</w:t>
      </w:r>
    </w:p>
    <w:p w:rsidR="00E266FF" w:rsidRPr="00E377C9" w:rsidRDefault="00E266FF" w:rsidP="00450FC9">
      <w:pPr>
        <w:autoSpaceDE w:val="0"/>
        <w:autoSpaceDN w:val="0"/>
        <w:adjustRightInd w:val="0"/>
        <w:ind w:left="851"/>
        <w:rPr>
          <w:sz w:val="24"/>
          <w:szCs w:val="24"/>
          <w:lang w:val="en-US"/>
        </w:rPr>
      </w:pPr>
      <w:r w:rsidRPr="00E377C9">
        <w:rPr>
          <w:sz w:val="24"/>
          <w:szCs w:val="24"/>
          <w:lang w:val="en-US"/>
        </w:rPr>
        <w:t xml:space="preserve">The safety and efficacy of fluvastatin in children and adolescent patients aged 9-16 years of age with heterozygous familial hypercholesterolaemia has been evaluated in 2 open label, uncontrolled clinical trials of 2 years' duration. 114 patients (66 boys and 48 girls) were treated with fluvastatin administered as either fluvastatin 20 mg/day to 40 mg twice daily or fluvastatin 80 mg prolonged-release tablets once daily using a dose-titration regimen based upon </w:t>
      </w:r>
      <w:smartTag w:uri="urn:schemas-microsoft-com:office:smarttags" w:element="stockticker">
        <w:r w:rsidRPr="00E377C9">
          <w:rPr>
            <w:sz w:val="24"/>
            <w:szCs w:val="24"/>
            <w:lang w:val="en-US"/>
          </w:rPr>
          <w:t>LDL</w:t>
        </w:r>
      </w:smartTag>
      <w:r w:rsidRPr="00E377C9">
        <w:rPr>
          <w:sz w:val="24"/>
          <w:szCs w:val="24"/>
          <w:lang w:val="en-US"/>
        </w:rPr>
        <w:t>-C response.</w:t>
      </w:r>
    </w:p>
    <w:p w:rsidR="00E266FF" w:rsidRPr="00E377C9" w:rsidRDefault="00E266FF" w:rsidP="00450FC9">
      <w:pPr>
        <w:autoSpaceDE w:val="0"/>
        <w:autoSpaceDN w:val="0"/>
        <w:adjustRightInd w:val="0"/>
        <w:ind w:left="851"/>
        <w:rPr>
          <w:sz w:val="24"/>
          <w:szCs w:val="24"/>
          <w:lang w:val="en-US"/>
        </w:rPr>
      </w:pPr>
    </w:p>
    <w:p w:rsidR="00E266FF" w:rsidRPr="00E377C9" w:rsidRDefault="00E266FF" w:rsidP="00450FC9">
      <w:pPr>
        <w:autoSpaceDE w:val="0"/>
        <w:autoSpaceDN w:val="0"/>
        <w:adjustRightInd w:val="0"/>
        <w:ind w:left="851"/>
        <w:rPr>
          <w:sz w:val="24"/>
          <w:szCs w:val="24"/>
          <w:lang w:val="en-US"/>
        </w:rPr>
      </w:pPr>
      <w:r w:rsidRPr="00E377C9">
        <w:rPr>
          <w:sz w:val="24"/>
          <w:szCs w:val="24"/>
          <w:lang w:val="en-US"/>
        </w:rPr>
        <w:t xml:space="preserve">The first study enrolled 29 pre-pubertal boys, 9-12 years of age, who had an </w:t>
      </w:r>
      <w:smartTag w:uri="urn:schemas-microsoft-com:office:smarttags" w:element="stockticker">
        <w:r w:rsidRPr="00E377C9">
          <w:rPr>
            <w:sz w:val="24"/>
            <w:szCs w:val="24"/>
            <w:lang w:val="en-US"/>
          </w:rPr>
          <w:t>LDL</w:t>
        </w:r>
      </w:smartTag>
      <w:r w:rsidRPr="00E377C9">
        <w:rPr>
          <w:sz w:val="24"/>
          <w:szCs w:val="24"/>
          <w:lang w:val="en-US"/>
        </w:rPr>
        <w:t xml:space="preserve">-C level &gt; 90th percentile for age and one parent with primary hypercholesterolaemia and either a family history of premature ischaemic heart disease or tendon xanthomas. The mean baseline </w:t>
      </w:r>
      <w:smartTag w:uri="urn:schemas-microsoft-com:office:smarttags" w:element="stockticker">
        <w:r w:rsidRPr="00E377C9">
          <w:rPr>
            <w:sz w:val="24"/>
            <w:szCs w:val="24"/>
            <w:lang w:val="en-US"/>
          </w:rPr>
          <w:t>LDL</w:t>
        </w:r>
      </w:smartTag>
      <w:r w:rsidRPr="00E377C9">
        <w:rPr>
          <w:sz w:val="24"/>
          <w:szCs w:val="24"/>
          <w:lang w:val="en-US"/>
        </w:rPr>
        <w:t xml:space="preserve">-C was 226 mg/dL equivalent to 5.8 mmol/L (range: 137 - 354 mg/dL equivalent to 3.6 - 9.2 mmol/L). All patients were started on fluvastatin 20 mg daily with dose adjustments every 6 weeks to 40 mg daily then 80 mg daily (40 mg twice daily) to achieve an </w:t>
      </w:r>
      <w:smartTag w:uri="urn:schemas-microsoft-com:office:smarttags" w:element="stockticker">
        <w:r w:rsidRPr="00E377C9">
          <w:rPr>
            <w:sz w:val="24"/>
            <w:szCs w:val="24"/>
            <w:lang w:val="en-US"/>
          </w:rPr>
          <w:t>LDL</w:t>
        </w:r>
      </w:smartTag>
      <w:r w:rsidRPr="00E377C9">
        <w:rPr>
          <w:sz w:val="24"/>
          <w:szCs w:val="24"/>
          <w:lang w:val="en-US"/>
        </w:rPr>
        <w:t>-C goal of 96.7 to 123.7 mg/dL (2.5 mmol/L to 3.2 mmol/L).</w:t>
      </w:r>
    </w:p>
    <w:p w:rsidR="00E266FF" w:rsidRPr="00E377C9" w:rsidRDefault="00E266FF" w:rsidP="00450FC9">
      <w:pPr>
        <w:autoSpaceDE w:val="0"/>
        <w:autoSpaceDN w:val="0"/>
        <w:adjustRightInd w:val="0"/>
        <w:ind w:left="851"/>
        <w:rPr>
          <w:sz w:val="24"/>
          <w:szCs w:val="24"/>
          <w:lang w:val="en-US"/>
        </w:rPr>
      </w:pPr>
    </w:p>
    <w:p w:rsidR="00E266FF" w:rsidRPr="00E377C9" w:rsidRDefault="00E266FF" w:rsidP="00450FC9">
      <w:pPr>
        <w:autoSpaceDE w:val="0"/>
        <w:autoSpaceDN w:val="0"/>
        <w:adjustRightInd w:val="0"/>
        <w:ind w:left="851"/>
        <w:rPr>
          <w:sz w:val="24"/>
          <w:szCs w:val="24"/>
          <w:lang w:val="en-US"/>
        </w:rPr>
      </w:pPr>
      <w:r w:rsidRPr="00E377C9">
        <w:rPr>
          <w:sz w:val="24"/>
          <w:szCs w:val="24"/>
          <w:lang w:val="en-US"/>
        </w:rPr>
        <w:t xml:space="preserve">The second study enrolled 85 male and female patients, 10 to 16 years of age, who had an </w:t>
      </w:r>
      <w:smartTag w:uri="urn:schemas-microsoft-com:office:smarttags" w:element="stockticker">
        <w:r w:rsidRPr="00E377C9">
          <w:rPr>
            <w:sz w:val="24"/>
            <w:szCs w:val="24"/>
            <w:lang w:val="en-US"/>
          </w:rPr>
          <w:t>LDL</w:t>
        </w:r>
      </w:smartTag>
      <w:r w:rsidRPr="00E377C9">
        <w:rPr>
          <w:sz w:val="24"/>
          <w:szCs w:val="24"/>
          <w:lang w:val="en-US"/>
        </w:rPr>
        <w:t xml:space="preserve">-C &gt; 190 mg/dL (equivalent to 4.9 mmol/L) or </w:t>
      </w:r>
      <w:smartTag w:uri="urn:schemas-microsoft-com:office:smarttags" w:element="stockticker">
        <w:r w:rsidRPr="00E377C9">
          <w:rPr>
            <w:sz w:val="24"/>
            <w:szCs w:val="24"/>
            <w:lang w:val="en-US"/>
          </w:rPr>
          <w:t>LDL</w:t>
        </w:r>
      </w:smartTag>
      <w:r w:rsidRPr="00E377C9">
        <w:rPr>
          <w:sz w:val="24"/>
          <w:szCs w:val="24"/>
          <w:lang w:val="en-US"/>
        </w:rPr>
        <w:t xml:space="preserve">-C &gt; 160 mg/dL (equivalent to 4.1 mmol/L) and one or more risk factors for coronary heart disease, or </w:t>
      </w:r>
      <w:smartTag w:uri="urn:schemas-microsoft-com:office:smarttags" w:element="stockticker">
        <w:r w:rsidRPr="00E377C9">
          <w:rPr>
            <w:sz w:val="24"/>
            <w:szCs w:val="24"/>
            <w:lang w:val="en-US"/>
          </w:rPr>
          <w:t>LDL</w:t>
        </w:r>
      </w:smartTag>
      <w:r w:rsidRPr="00E377C9">
        <w:rPr>
          <w:sz w:val="24"/>
          <w:szCs w:val="24"/>
          <w:lang w:val="en-US"/>
        </w:rPr>
        <w:t xml:space="preserve">-C &gt; 160 mg/dL (equivalent to 4.1 mmol/L) and a proven </w:t>
      </w:r>
      <w:smartTag w:uri="urn:schemas-microsoft-com:office:smarttags" w:element="stockticker">
        <w:r w:rsidRPr="00E377C9">
          <w:rPr>
            <w:sz w:val="24"/>
            <w:szCs w:val="24"/>
            <w:lang w:val="en-US"/>
          </w:rPr>
          <w:t>LDL</w:t>
        </w:r>
      </w:smartTag>
      <w:r w:rsidRPr="00E377C9">
        <w:rPr>
          <w:sz w:val="24"/>
          <w:szCs w:val="24"/>
          <w:lang w:val="en-US"/>
        </w:rPr>
        <w:t xml:space="preserve">-receptor defect. The mean baseline </w:t>
      </w:r>
      <w:smartTag w:uri="urn:schemas-microsoft-com:office:smarttags" w:element="stockticker">
        <w:r w:rsidRPr="00E377C9">
          <w:rPr>
            <w:sz w:val="24"/>
            <w:szCs w:val="24"/>
            <w:lang w:val="en-US"/>
          </w:rPr>
          <w:t>LDL</w:t>
        </w:r>
      </w:smartTag>
      <w:r w:rsidRPr="00E377C9">
        <w:rPr>
          <w:sz w:val="24"/>
          <w:szCs w:val="24"/>
          <w:lang w:val="en-US"/>
        </w:rPr>
        <w:t xml:space="preserve">-C was 225 mg/dL equivalent to 5.8 mmol/L (range: 148 - 343 mg/dL equivalent to 3.8 - 8.9 mmol/L). All patients were started on fluvastatin 20 mg capsules daily with dose adjustments every 6 weeks to 40 mg daily then 80 mg daily (80 mg fluvastatin prolonged-release tablets) to achieve an </w:t>
      </w:r>
      <w:smartTag w:uri="urn:schemas-microsoft-com:office:smarttags" w:element="stockticker">
        <w:r w:rsidRPr="00E377C9">
          <w:rPr>
            <w:sz w:val="24"/>
            <w:szCs w:val="24"/>
            <w:lang w:val="en-US"/>
          </w:rPr>
          <w:t>LDL</w:t>
        </w:r>
      </w:smartTag>
      <w:r w:rsidRPr="00E377C9">
        <w:rPr>
          <w:sz w:val="24"/>
          <w:szCs w:val="24"/>
          <w:lang w:val="en-US"/>
        </w:rPr>
        <w:t>-C goal of &lt; 130 mg/dL (3.4 mmol/L). 70 patients were pubertal or postpubertal (n=69 evaluated for efficacy).</w:t>
      </w:r>
    </w:p>
    <w:p w:rsidR="00E266FF" w:rsidRPr="00E377C9" w:rsidRDefault="00E266FF" w:rsidP="00450FC9">
      <w:pPr>
        <w:autoSpaceDE w:val="0"/>
        <w:autoSpaceDN w:val="0"/>
        <w:adjustRightInd w:val="0"/>
        <w:ind w:left="851"/>
        <w:rPr>
          <w:sz w:val="24"/>
          <w:szCs w:val="24"/>
          <w:lang w:val="en-US"/>
        </w:rPr>
      </w:pPr>
    </w:p>
    <w:p w:rsidR="00E266FF" w:rsidRPr="00E377C9" w:rsidRDefault="00E266FF" w:rsidP="00450FC9">
      <w:pPr>
        <w:autoSpaceDE w:val="0"/>
        <w:autoSpaceDN w:val="0"/>
        <w:adjustRightInd w:val="0"/>
        <w:ind w:left="851"/>
        <w:rPr>
          <w:sz w:val="24"/>
          <w:szCs w:val="24"/>
          <w:lang w:val="en-US"/>
        </w:rPr>
      </w:pPr>
      <w:r w:rsidRPr="00E377C9">
        <w:rPr>
          <w:sz w:val="24"/>
          <w:szCs w:val="24"/>
          <w:lang w:val="en-US"/>
        </w:rPr>
        <w:t xml:space="preserve">In the first study (in prepubertal boys), fluvastatin 20 to 80 mg daily doses decreased plasma levels of total-C and </w:t>
      </w:r>
      <w:smartTag w:uri="urn:schemas-microsoft-com:office:smarttags" w:element="stockticker">
        <w:r w:rsidRPr="00E377C9">
          <w:rPr>
            <w:sz w:val="24"/>
            <w:szCs w:val="24"/>
            <w:lang w:val="en-US"/>
          </w:rPr>
          <w:t>LDL</w:t>
        </w:r>
      </w:smartTag>
      <w:r w:rsidRPr="00E377C9">
        <w:rPr>
          <w:sz w:val="24"/>
          <w:szCs w:val="24"/>
          <w:lang w:val="en-US"/>
        </w:rPr>
        <w:t xml:space="preserve">-C by 21% and 27%, respectively. The mean achieved </w:t>
      </w:r>
      <w:smartTag w:uri="urn:schemas-microsoft-com:office:smarttags" w:element="stockticker">
        <w:r w:rsidRPr="00E377C9">
          <w:rPr>
            <w:sz w:val="24"/>
            <w:szCs w:val="24"/>
            <w:lang w:val="en-US"/>
          </w:rPr>
          <w:t>LDL</w:t>
        </w:r>
      </w:smartTag>
      <w:r w:rsidRPr="00E377C9">
        <w:rPr>
          <w:sz w:val="24"/>
          <w:szCs w:val="24"/>
          <w:lang w:val="en-US"/>
        </w:rPr>
        <w:t xml:space="preserve">-C was 161 mg/dL equivalent to 4.2 mmol/L (range: 74 - 336 mg/dL equivalent 1.9 - 8.7 mmol/L). In the second study (in pubertal and postpubertal girls and boys), fluvastatin 20 to 80 mg daily doses decreased plasma levels of total-C and </w:t>
      </w:r>
      <w:smartTag w:uri="urn:schemas-microsoft-com:office:smarttags" w:element="stockticker">
        <w:r w:rsidRPr="00E377C9">
          <w:rPr>
            <w:sz w:val="24"/>
            <w:szCs w:val="24"/>
            <w:lang w:val="en-US"/>
          </w:rPr>
          <w:t>LDL</w:t>
        </w:r>
      </w:smartTag>
      <w:r w:rsidRPr="00E377C9">
        <w:rPr>
          <w:sz w:val="24"/>
          <w:szCs w:val="24"/>
          <w:lang w:val="en-US"/>
        </w:rPr>
        <w:t xml:space="preserve">-C by 22% and 28%, respectively. The mean achieved </w:t>
      </w:r>
      <w:smartTag w:uri="urn:schemas-microsoft-com:office:smarttags" w:element="stockticker">
        <w:r w:rsidRPr="00E377C9">
          <w:rPr>
            <w:sz w:val="24"/>
            <w:szCs w:val="24"/>
            <w:lang w:val="en-US"/>
          </w:rPr>
          <w:t>LDL</w:t>
        </w:r>
      </w:smartTag>
      <w:r w:rsidRPr="00E377C9">
        <w:rPr>
          <w:sz w:val="24"/>
          <w:szCs w:val="24"/>
          <w:lang w:val="en-US"/>
        </w:rPr>
        <w:t>-C was 159 mg/dL equivalent to 4.1 mmol/L (range: 90 - 295 mg/dL equivalent to 2.3 - 7.6 mmol/L).</w:t>
      </w:r>
    </w:p>
    <w:p w:rsidR="00E266FF" w:rsidRPr="00E377C9" w:rsidRDefault="00E266FF" w:rsidP="00450FC9">
      <w:pPr>
        <w:autoSpaceDE w:val="0"/>
        <w:autoSpaceDN w:val="0"/>
        <w:adjustRightInd w:val="0"/>
        <w:ind w:left="851"/>
        <w:rPr>
          <w:sz w:val="24"/>
          <w:szCs w:val="24"/>
          <w:lang w:val="en-US"/>
        </w:rPr>
      </w:pPr>
    </w:p>
    <w:p w:rsidR="00E266FF" w:rsidRPr="00E377C9" w:rsidRDefault="00E266FF" w:rsidP="00450FC9">
      <w:pPr>
        <w:autoSpaceDE w:val="0"/>
        <w:autoSpaceDN w:val="0"/>
        <w:adjustRightInd w:val="0"/>
        <w:ind w:left="851"/>
        <w:rPr>
          <w:sz w:val="24"/>
          <w:szCs w:val="24"/>
          <w:lang w:val="en-US"/>
        </w:rPr>
      </w:pPr>
      <w:r w:rsidRPr="00E377C9">
        <w:rPr>
          <w:sz w:val="24"/>
          <w:szCs w:val="24"/>
          <w:lang w:val="en-US"/>
        </w:rPr>
        <w:t xml:space="preserve">The majority of patients in both studies (83% in the first study and 89% in the second study) were titrated to the maximum daily dose of 80 mg. At study endpoint, 26 to 30% of patients in both studies achieved a targeted </w:t>
      </w:r>
      <w:smartTag w:uri="urn:schemas-microsoft-com:office:smarttags" w:element="stockticker">
        <w:r w:rsidRPr="00E377C9">
          <w:rPr>
            <w:sz w:val="24"/>
            <w:szCs w:val="24"/>
            <w:lang w:val="en-US"/>
          </w:rPr>
          <w:t>LDL</w:t>
        </w:r>
      </w:smartTag>
      <w:r w:rsidRPr="00E377C9">
        <w:rPr>
          <w:sz w:val="24"/>
          <w:szCs w:val="24"/>
          <w:lang w:val="en-US"/>
        </w:rPr>
        <w:t>-C goal of &lt; 130 mg/dL (3.4 mmol/L).</w:t>
      </w:r>
    </w:p>
    <w:p w:rsidR="007C5D2A" w:rsidRPr="00E377C9" w:rsidRDefault="007C5D2A" w:rsidP="00450FC9">
      <w:pPr>
        <w:tabs>
          <w:tab w:val="left" w:pos="851"/>
        </w:tabs>
        <w:ind w:left="851"/>
        <w:rPr>
          <w:sz w:val="24"/>
          <w:szCs w:val="24"/>
          <w:lang w:val="en-US"/>
        </w:rPr>
      </w:pPr>
    </w:p>
    <w:p w:rsidR="007C5D2A" w:rsidRPr="00303008" w:rsidRDefault="007C5D2A" w:rsidP="00450FC9">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8E746E" w:rsidRDefault="008E746E" w:rsidP="008E746E">
      <w:pPr>
        <w:tabs>
          <w:tab w:val="left" w:pos="851"/>
        </w:tabs>
        <w:ind w:left="851"/>
        <w:rPr>
          <w:sz w:val="24"/>
          <w:szCs w:val="24"/>
          <w:u w:val="single"/>
          <w:lang w:val="en-GB"/>
        </w:rPr>
      </w:pPr>
    </w:p>
    <w:p w:rsidR="008E746E" w:rsidRPr="008E746E" w:rsidRDefault="008E746E" w:rsidP="008E746E">
      <w:pPr>
        <w:tabs>
          <w:tab w:val="left" w:pos="851"/>
        </w:tabs>
        <w:ind w:left="851"/>
        <w:rPr>
          <w:sz w:val="24"/>
          <w:szCs w:val="24"/>
          <w:u w:val="single"/>
          <w:lang w:val="en-GB"/>
        </w:rPr>
      </w:pPr>
      <w:r w:rsidRPr="008E746E">
        <w:rPr>
          <w:sz w:val="24"/>
          <w:szCs w:val="24"/>
          <w:u w:val="single"/>
          <w:lang w:val="en-GB"/>
        </w:rPr>
        <w:t xml:space="preserve">Absorption </w:t>
      </w:r>
    </w:p>
    <w:p w:rsidR="008E746E" w:rsidRPr="008E746E" w:rsidRDefault="008E746E" w:rsidP="008E746E">
      <w:pPr>
        <w:tabs>
          <w:tab w:val="left" w:pos="851"/>
        </w:tabs>
        <w:ind w:left="851"/>
        <w:rPr>
          <w:sz w:val="24"/>
          <w:szCs w:val="24"/>
          <w:lang w:val="en-GB"/>
        </w:rPr>
      </w:pPr>
      <w:r w:rsidRPr="008E746E">
        <w:rPr>
          <w:sz w:val="24"/>
          <w:szCs w:val="24"/>
          <w:lang w:val="en-GB"/>
        </w:rPr>
        <w:t xml:space="preserve">Fluvastatin is absorbed rapidly and completely (98%) after oral administration of a solution to fasted volunteers. After oral administration of fluvastatin 80 mg prolonged release tablets, and in comparison with the immediate-release capsules, the absorption rate of fluvastatin is almost 60% slower while the mean residence time of fluvastatin is increased by approximately 4 hours. In a fed state, the substance is absorbed at a reduced rate. </w:t>
      </w:r>
    </w:p>
    <w:p w:rsidR="008E746E" w:rsidRPr="008E746E" w:rsidRDefault="008E746E" w:rsidP="008E746E">
      <w:pPr>
        <w:tabs>
          <w:tab w:val="left" w:pos="851"/>
        </w:tabs>
        <w:ind w:left="851"/>
        <w:rPr>
          <w:sz w:val="24"/>
          <w:szCs w:val="24"/>
          <w:lang w:val="en-GB"/>
        </w:rPr>
      </w:pPr>
    </w:p>
    <w:p w:rsidR="008E746E" w:rsidRPr="008E746E" w:rsidRDefault="008E746E" w:rsidP="008E746E">
      <w:pPr>
        <w:tabs>
          <w:tab w:val="left" w:pos="851"/>
        </w:tabs>
        <w:ind w:left="851"/>
        <w:rPr>
          <w:sz w:val="24"/>
          <w:szCs w:val="24"/>
          <w:u w:val="single"/>
          <w:lang w:val="en-GB"/>
        </w:rPr>
      </w:pPr>
      <w:r w:rsidRPr="008E746E">
        <w:rPr>
          <w:sz w:val="24"/>
          <w:szCs w:val="24"/>
          <w:u w:val="single"/>
          <w:lang w:val="en-GB"/>
        </w:rPr>
        <w:t xml:space="preserve">Distribution </w:t>
      </w:r>
    </w:p>
    <w:p w:rsidR="008E746E" w:rsidRPr="008E746E" w:rsidRDefault="008E746E" w:rsidP="008E746E">
      <w:pPr>
        <w:tabs>
          <w:tab w:val="left" w:pos="851"/>
        </w:tabs>
        <w:ind w:left="851"/>
        <w:rPr>
          <w:sz w:val="24"/>
          <w:szCs w:val="24"/>
          <w:lang w:val="en-GB"/>
        </w:rPr>
      </w:pPr>
      <w:r w:rsidRPr="008E746E">
        <w:rPr>
          <w:sz w:val="24"/>
          <w:szCs w:val="24"/>
          <w:lang w:val="en-GB"/>
        </w:rPr>
        <w:t>Fluvastatin exerts its main effect in the liver, which is also the main organ for its metabolism. The absolute bioavailability assessed from systemic blood concentrations is 24%. The apparent volume of distribution (Vz/f) for the drug is 330 litres. More than 98% of the circulating drug is bound to plasma proteins, and this binding is not affected either by the concentration of fluvastatin, or by warfarin, salicylic acid, or glyburide.</w:t>
      </w:r>
    </w:p>
    <w:p w:rsidR="008E746E" w:rsidRDefault="008E746E">
      <w:pPr>
        <w:rPr>
          <w:sz w:val="24"/>
          <w:szCs w:val="24"/>
          <w:lang w:val="en-GB"/>
        </w:rPr>
      </w:pPr>
      <w:r>
        <w:rPr>
          <w:sz w:val="24"/>
          <w:szCs w:val="24"/>
          <w:lang w:val="en-GB"/>
        </w:rPr>
        <w:br w:type="page"/>
      </w:r>
    </w:p>
    <w:p w:rsidR="008E746E" w:rsidRPr="008E746E" w:rsidRDefault="008E746E" w:rsidP="008E746E">
      <w:pPr>
        <w:tabs>
          <w:tab w:val="left" w:pos="851"/>
        </w:tabs>
        <w:ind w:left="851"/>
        <w:rPr>
          <w:sz w:val="24"/>
          <w:szCs w:val="24"/>
          <w:lang w:val="en-GB"/>
        </w:rPr>
      </w:pPr>
    </w:p>
    <w:p w:rsidR="008E746E" w:rsidRPr="008E746E" w:rsidRDefault="008E746E" w:rsidP="008E746E">
      <w:pPr>
        <w:tabs>
          <w:tab w:val="left" w:pos="851"/>
        </w:tabs>
        <w:ind w:left="851"/>
        <w:rPr>
          <w:sz w:val="24"/>
          <w:szCs w:val="24"/>
          <w:u w:val="single"/>
          <w:lang w:val="en-GB"/>
        </w:rPr>
      </w:pPr>
      <w:r w:rsidRPr="008E746E">
        <w:rPr>
          <w:sz w:val="24"/>
          <w:szCs w:val="24"/>
          <w:u w:val="single"/>
          <w:lang w:val="en-GB"/>
        </w:rPr>
        <w:t xml:space="preserve">Biotransformation </w:t>
      </w:r>
    </w:p>
    <w:p w:rsidR="008E746E" w:rsidRPr="008E746E" w:rsidRDefault="008E746E" w:rsidP="008E746E">
      <w:pPr>
        <w:tabs>
          <w:tab w:val="left" w:pos="851"/>
        </w:tabs>
        <w:ind w:left="851"/>
        <w:rPr>
          <w:sz w:val="24"/>
          <w:szCs w:val="24"/>
          <w:lang w:val="en-GB"/>
        </w:rPr>
      </w:pPr>
      <w:r w:rsidRPr="008E746E">
        <w:rPr>
          <w:sz w:val="24"/>
          <w:szCs w:val="24"/>
          <w:lang w:val="en-GB"/>
        </w:rPr>
        <w:t xml:space="preserve">Fluvastatin is mainly metabolised in the liver. The major components circulating in the blood are fluvastatin and the pharmacologically inactive N-desisopropyl-propionic acid metabolite. The hydroxylated metabolites have pharmacological activity but do not circulate systemically. There are multiple, alternative cytochrome P450 (CYP450) pathways for fluvastatin biotransformation and thus fluvastatin metabolism is relatively insensitive to CYP450 inhibition. </w:t>
      </w:r>
    </w:p>
    <w:p w:rsidR="008E746E" w:rsidRPr="008E746E" w:rsidRDefault="008E746E" w:rsidP="008E746E">
      <w:pPr>
        <w:tabs>
          <w:tab w:val="left" w:pos="851"/>
        </w:tabs>
        <w:ind w:left="851"/>
        <w:rPr>
          <w:sz w:val="24"/>
          <w:szCs w:val="24"/>
          <w:lang w:val="en-GB"/>
        </w:rPr>
      </w:pPr>
    </w:p>
    <w:p w:rsidR="008E746E" w:rsidRPr="008E746E" w:rsidRDefault="008E746E" w:rsidP="008E746E">
      <w:pPr>
        <w:tabs>
          <w:tab w:val="left" w:pos="851"/>
        </w:tabs>
        <w:ind w:left="851"/>
        <w:rPr>
          <w:sz w:val="24"/>
          <w:szCs w:val="24"/>
          <w:lang w:val="en-GB"/>
        </w:rPr>
      </w:pPr>
      <w:r w:rsidRPr="008E746E">
        <w:rPr>
          <w:sz w:val="24"/>
          <w:szCs w:val="24"/>
          <w:lang w:val="en-GB"/>
        </w:rPr>
        <w:t>Fluvastatin inhibited only the metabolism of compounds that are metabolised by CYP2C9. Despite the potential that therefore exists for competitive interaction between fluvastatin and compounds that are CYP2C9 substrates, such as diclofenac, phenytoin, tolbutamide, and warfarin, clinical data indicate that this interaction is unlikely.</w:t>
      </w:r>
    </w:p>
    <w:p w:rsidR="008E746E" w:rsidRPr="008E746E" w:rsidRDefault="008E746E" w:rsidP="008E746E">
      <w:pPr>
        <w:tabs>
          <w:tab w:val="left" w:pos="851"/>
        </w:tabs>
        <w:ind w:left="851"/>
        <w:rPr>
          <w:sz w:val="24"/>
          <w:szCs w:val="24"/>
          <w:lang w:val="en-GB"/>
        </w:rPr>
      </w:pPr>
    </w:p>
    <w:p w:rsidR="008E746E" w:rsidRPr="008E746E" w:rsidRDefault="008E746E" w:rsidP="008E746E">
      <w:pPr>
        <w:tabs>
          <w:tab w:val="left" w:pos="851"/>
        </w:tabs>
        <w:ind w:left="851"/>
        <w:rPr>
          <w:sz w:val="24"/>
          <w:szCs w:val="24"/>
          <w:u w:val="single"/>
          <w:lang w:val="en-GB"/>
        </w:rPr>
      </w:pPr>
      <w:r w:rsidRPr="008E746E">
        <w:rPr>
          <w:sz w:val="24"/>
          <w:szCs w:val="24"/>
          <w:u w:val="single"/>
          <w:lang w:val="en-GB"/>
        </w:rPr>
        <w:t xml:space="preserve">Elimination </w:t>
      </w:r>
    </w:p>
    <w:p w:rsidR="008E746E" w:rsidRPr="008E746E" w:rsidRDefault="008E746E" w:rsidP="008E746E">
      <w:pPr>
        <w:tabs>
          <w:tab w:val="left" w:pos="851"/>
        </w:tabs>
        <w:ind w:left="851"/>
        <w:rPr>
          <w:sz w:val="24"/>
          <w:szCs w:val="24"/>
          <w:lang w:val="en-GB"/>
        </w:rPr>
      </w:pPr>
      <w:r w:rsidRPr="008E746E">
        <w:rPr>
          <w:sz w:val="24"/>
          <w:szCs w:val="24"/>
          <w:lang w:val="en-GB"/>
        </w:rPr>
        <w:t xml:space="preserve">Following administration of </w:t>
      </w:r>
      <w:r w:rsidRPr="008E746E">
        <w:rPr>
          <w:sz w:val="24"/>
          <w:szCs w:val="24"/>
          <w:vertAlign w:val="superscript"/>
          <w:lang w:val="en-GB"/>
        </w:rPr>
        <w:t>3</w:t>
      </w:r>
      <w:r w:rsidRPr="008E746E">
        <w:rPr>
          <w:sz w:val="24"/>
          <w:szCs w:val="24"/>
          <w:lang w:val="en-GB"/>
        </w:rPr>
        <w:t xml:space="preserve">H-fluvastatin to healthy volunteers, excretion of radioactivity is about 6% in the urine and 93% in the faeces, and fluvastatin accounts for less than 2% of the total radioactivity excreted. The plasma clearance (CL/f) for fluvastatin in man is calculated to be 1.8 ± 0.8 L/min. Steady-state plasma concentrations show no evidence of fluvastatin accumulation following administration of 80 mg daily. Following oral administration of 40 mg fluvastatin, the terminal disposition half-life for fluvastatin is 2.3  ± 0.9 hours. </w:t>
      </w:r>
    </w:p>
    <w:p w:rsidR="008E746E" w:rsidRPr="008E746E" w:rsidRDefault="008E746E" w:rsidP="008E746E">
      <w:pPr>
        <w:tabs>
          <w:tab w:val="left" w:pos="851"/>
        </w:tabs>
        <w:ind w:left="851"/>
        <w:rPr>
          <w:sz w:val="24"/>
          <w:szCs w:val="24"/>
          <w:lang w:val="en-GB"/>
        </w:rPr>
      </w:pPr>
    </w:p>
    <w:p w:rsidR="008E746E" w:rsidRPr="008E746E" w:rsidRDefault="008E746E" w:rsidP="008E746E">
      <w:pPr>
        <w:tabs>
          <w:tab w:val="left" w:pos="851"/>
        </w:tabs>
        <w:ind w:left="851"/>
        <w:rPr>
          <w:sz w:val="24"/>
          <w:szCs w:val="24"/>
          <w:u w:val="single"/>
          <w:lang w:val="en-GB"/>
        </w:rPr>
      </w:pPr>
      <w:r w:rsidRPr="008E746E">
        <w:rPr>
          <w:sz w:val="24"/>
          <w:szCs w:val="24"/>
          <w:u w:val="single"/>
          <w:lang w:val="en-GB"/>
        </w:rPr>
        <w:t xml:space="preserve">Characteristics in patients </w:t>
      </w:r>
    </w:p>
    <w:p w:rsidR="008E746E" w:rsidRPr="008E746E" w:rsidRDefault="008E746E" w:rsidP="008E746E">
      <w:pPr>
        <w:tabs>
          <w:tab w:val="left" w:pos="851"/>
        </w:tabs>
        <w:ind w:left="851"/>
        <w:rPr>
          <w:sz w:val="24"/>
          <w:szCs w:val="24"/>
          <w:lang w:val="en-GB"/>
        </w:rPr>
      </w:pPr>
      <w:r w:rsidRPr="008E746E">
        <w:rPr>
          <w:sz w:val="24"/>
          <w:szCs w:val="24"/>
          <w:lang w:val="en-GB"/>
        </w:rPr>
        <w:t xml:space="preserve">Plasma concentrations of fluvastatin do not vary as a function of either age or gender in the general population. However, enhanced treatment response was observed in women and in elderly people. </w:t>
      </w:r>
    </w:p>
    <w:p w:rsidR="008E746E" w:rsidRPr="008E746E" w:rsidRDefault="008E746E" w:rsidP="008E746E">
      <w:pPr>
        <w:tabs>
          <w:tab w:val="left" w:pos="851"/>
        </w:tabs>
        <w:ind w:left="851"/>
        <w:rPr>
          <w:sz w:val="24"/>
          <w:szCs w:val="24"/>
          <w:lang w:val="en-GB"/>
        </w:rPr>
      </w:pPr>
      <w:r w:rsidRPr="008E746E">
        <w:rPr>
          <w:sz w:val="24"/>
          <w:szCs w:val="24"/>
          <w:lang w:val="en-GB"/>
        </w:rPr>
        <w:t xml:space="preserve">Since fluvastatin is eliminated primarily via the biliary route and is subject to significant pre-systemic metabolism, the potential exists for drug accumulation in patients with hepatic insufficiency (see sections 4.3 and 4.4) </w:t>
      </w:r>
    </w:p>
    <w:p w:rsidR="008E746E" w:rsidRPr="008E746E" w:rsidRDefault="008E746E" w:rsidP="008E746E">
      <w:pPr>
        <w:tabs>
          <w:tab w:val="left" w:pos="851"/>
        </w:tabs>
        <w:ind w:left="851"/>
        <w:rPr>
          <w:sz w:val="24"/>
          <w:szCs w:val="24"/>
          <w:lang w:val="en-GB"/>
        </w:rPr>
      </w:pPr>
    </w:p>
    <w:p w:rsidR="008E746E" w:rsidRPr="008E746E" w:rsidRDefault="008E746E" w:rsidP="008E746E">
      <w:pPr>
        <w:tabs>
          <w:tab w:val="left" w:pos="851"/>
        </w:tabs>
        <w:ind w:left="851"/>
        <w:rPr>
          <w:sz w:val="24"/>
          <w:szCs w:val="24"/>
          <w:u w:val="single"/>
          <w:lang w:val="en-GB"/>
        </w:rPr>
      </w:pPr>
      <w:r w:rsidRPr="008E746E">
        <w:rPr>
          <w:sz w:val="24"/>
          <w:szCs w:val="24"/>
          <w:u w:val="single"/>
          <w:lang w:val="en-GB"/>
        </w:rPr>
        <w:t>Children and adolescents with heterozygous familial hypercholesterolaemia</w:t>
      </w:r>
    </w:p>
    <w:p w:rsidR="008E746E" w:rsidRPr="008E746E" w:rsidRDefault="008E746E" w:rsidP="008E746E">
      <w:pPr>
        <w:tabs>
          <w:tab w:val="left" w:pos="851"/>
        </w:tabs>
        <w:ind w:left="851"/>
        <w:rPr>
          <w:sz w:val="24"/>
          <w:szCs w:val="24"/>
          <w:lang w:val="en-GB"/>
        </w:rPr>
      </w:pPr>
      <w:r w:rsidRPr="008E746E">
        <w:rPr>
          <w:sz w:val="24"/>
          <w:szCs w:val="24"/>
          <w:lang w:val="en-GB"/>
        </w:rPr>
        <w:t>No pharmacokinetic data in children are available.</w:t>
      </w:r>
    </w:p>
    <w:p w:rsidR="007C5D2A" w:rsidRPr="008E746E" w:rsidRDefault="007C5D2A" w:rsidP="00450FC9">
      <w:pPr>
        <w:tabs>
          <w:tab w:val="left" w:pos="851"/>
        </w:tabs>
        <w:ind w:left="851"/>
        <w:rPr>
          <w:sz w:val="24"/>
          <w:szCs w:val="24"/>
          <w:lang w:val="en-GB"/>
        </w:rPr>
      </w:pPr>
    </w:p>
    <w:p w:rsidR="007C5D2A" w:rsidRPr="00303008" w:rsidRDefault="00180A12" w:rsidP="00450FC9">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8E746E" w:rsidRPr="008E746E" w:rsidRDefault="008E746E" w:rsidP="008E746E">
      <w:pPr>
        <w:tabs>
          <w:tab w:val="left" w:pos="851"/>
        </w:tabs>
        <w:ind w:left="851"/>
        <w:rPr>
          <w:sz w:val="24"/>
          <w:szCs w:val="24"/>
          <w:lang w:val="en-GB"/>
        </w:rPr>
      </w:pPr>
      <w:r w:rsidRPr="008E746E">
        <w:rPr>
          <w:sz w:val="24"/>
          <w:szCs w:val="24"/>
          <w:lang w:val="en-GB"/>
        </w:rPr>
        <w:t xml:space="preserve">The conventional studies, including safety pharmacology, genotoxicity, repeated dose toxicity, carcinogenicity and toxicity on reproduction studies did not indicate other risks for the patient than those expected due to the pharmacological mechanism of action. A variety of changes were identified in toxicity studies that are common to HMG-CoA reductase inhibitors. Based on clinical observations, liver function tests are already recommended (see section 4.4). Further toxicity seen in animals was either not relevant for human use or occurred at exposure levels sufficiently in excess of the maximum human exposure indicating little relevance to clinical use. Despite the theoretical considerations concerning the role of cholesterol in embryo development, animal studies did not suggest an embryotoxic and teratogenic potential of fluvastatin.  </w:t>
      </w:r>
    </w:p>
    <w:p w:rsidR="007C5D2A" w:rsidRPr="008E746E" w:rsidRDefault="007C5D2A" w:rsidP="008E746E">
      <w:pPr>
        <w:tabs>
          <w:tab w:val="left" w:pos="851"/>
        </w:tabs>
        <w:rPr>
          <w:sz w:val="24"/>
          <w:szCs w:val="24"/>
          <w:lang w:val="en-GB"/>
        </w:rPr>
      </w:pPr>
    </w:p>
    <w:p w:rsidR="005F3C66" w:rsidRDefault="005F3C66">
      <w:pPr>
        <w:rPr>
          <w:sz w:val="24"/>
          <w:szCs w:val="24"/>
          <w:lang w:val="en-GB"/>
        </w:rPr>
      </w:pPr>
      <w:r>
        <w:rPr>
          <w:sz w:val="24"/>
          <w:szCs w:val="24"/>
          <w:lang w:val="en-GB"/>
        </w:rPr>
        <w:br w:type="page"/>
      </w:r>
    </w:p>
    <w:p w:rsidR="007C5D2A" w:rsidRPr="00303008" w:rsidRDefault="007C5D2A" w:rsidP="00450FC9">
      <w:pPr>
        <w:tabs>
          <w:tab w:val="left" w:pos="851"/>
        </w:tabs>
        <w:ind w:left="851"/>
        <w:rPr>
          <w:sz w:val="24"/>
          <w:szCs w:val="24"/>
          <w:lang w:val="en-GB"/>
        </w:rPr>
      </w:pPr>
    </w:p>
    <w:p w:rsidR="007C5D2A" w:rsidRPr="00303008" w:rsidRDefault="009925C9" w:rsidP="00450FC9">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450FC9">
      <w:pPr>
        <w:tabs>
          <w:tab w:val="left" w:pos="851"/>
        </w:tabs>
        <w:ind w:left="851"/>
        <w:rPr>
          <w:sz w:val="24"/>
          <w:szCs w:val="24"/>
          <w:lang w:val="en-GB"/>
        </w:rPr>
      </w:pPr>
    </w:p>
    <w:p w:rsidR="007C5D2A" w:rsidRPr="00303008" w:rsidRDefault="007C5D2A" w:rsidP="00450FC9">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7C5D2A" w:rsidRDefault="007C5D2A" w:rsidP="00450FC9">
      <w:pPr>
        <w:tabs>
          <w:tab w:val="left" w:pos="851"/>
        </w:tabs>
        <w:ind w:left="851"/>
        <w:rPr>
          <w:sz w:val="24"/>
          <w:szCs w:val="24"/>
          <w:lang w:val="en-GB"/>
        </w:rPr>
      </w:pPr>
    </w:p>
    <w:p w:rsidR="005F3C66" w:rsidRPr="00B51796" w:rsidRDefault="005F3C66" w:rsidP="005F3C66">
      <w:pPr>
        <w:tabs>
          <w:tab w:val="left" w:pos="851"/>
        </w:tabs>
        <w:ind w:left="851"/>
        <w:rPr>
          <w:sz w:val="24"/>
          <w:szCs w:val="24"/>
          <w:u w:val="single"/>
          <w:lang w:val="en-GB"/>
        </w:rPr>
      </w:pPr>
      <w:r w:rsidRPr="00B51796">
        <w:rPr>
          <w:sz w:val="24"/>
          <w:szCs w:val="24"/>
          <w:u w:val="single"/>
          <w:lang w:val="en-GB"/>
        </w:rPr>
        <w:t>Core</w:t>
      </w:r>
    </w:p>
    <w:p w:rsidR="005F3C66" w:rsidRPr="005F3C66" w:rsidRDefault="005F3C66" w:rsidP="005F3C66">
      <w:pPr>
        <w:tabs>
          <w:tab w:val="left" w:pos="851"/>
        </w:tabs>
        <w:ind w:left="851"/>
        <w:rPr>
          <w:sz w:val="24"/>
          <w:szCs w:val="24"/>
          <w:lang w:val="en-GB"/>
        </w:rPr>
      </w:pPr>
      <w:r w:rsidRPr="005F3C66">
        <w:rPr>
          <w:sz w:val="24"/>
          <w:szCs w:val="24"/>
          <w:lang w:val="en-GB"/>
        </w:rPr>
        <w:t>Cellulose, microcrystalline</w:t>
      </w:r>
    </w:p>
    <w:p w:rsidR="005F3C66" w:rsidRPr="005F3C66" w:rsidRDefault="005F3C66" w:rsidP="005F3C66">
      <w:pPr>
        <w:tabs>
          <w:tab w:val="left" w:pos="851"/>
        </w:tabs>
        <w:ind w:left="851"/>
        <w:rPr>
          <w:sz w:val="24"/>
          <w:szCs w:val="24"/>
          <w:lang w:val="en-GB"/>
        </w:rPr>
      </w:pPr>
      <w:r w:rsidRPr="005F3C66">
        <w:rPr>
          <w:sz w:val="24"/>
          <w:szCs w:val="24"/>
          <w:lang w:val="en-GB"/>
        </w:rPr>
        <w:t>Hypromellose</w:t>
      </w:r>
    </w:p>
    <w:p w:rsidR="005F3C66" w:rsidRPr="005F3C66" w:rsidRDefault="005F3C66" w:rsidP="005F3C66">
      <w:pPr>
        <w:tabs>
          <w:tab w:val="left" w:pos="851"/>
        </w:tabs>
        <w:ind w:left="851"/>
        <w:rPr>
          <w:sz w:val="24"/>
          <w:szCs w:val="24"/>
          <w:lang w:val="en-GB"/>
        </w:rPr>
      </w:pPr>
      <w:r w:rsidRPr="005F3C66">
        <w:rPr>
          <w:sz w:val="24"/>
          <w:szCs w:val="24"/>
          <w:lang w:val="en-GB"/>
        </w:rPr>
        <w:t>Hydroxypropyl cellulose</w:t>
      </w:r>
    </w:p>
    <w:p w:rsidR="005F3C66" w:rsidRPr="005F3C66" w:rsidRDefault="005F3C66" w:rsidP="005F3C66">
      <w:pPr>
        <w:tabs>
          <w:tab w:val="left" w:pos="851"/>
        </w:tabs>
        <w:ind w:left="851"/>
        <w:rPr>
          <w:sz w:val="24"/>
          <w:szCs w:val="24"/>
          <w:lang w:val="en-GB"/>
        </w:rPr>
      </w:pPr>
      <w:r w:rsidRPr="005F3C66">
        <w:rPr>
          <w:sz w:val="24"/>
          <w:szCs w:val="24"/>
          <w:lang w:val="en-GB"/>
        </w:rPr>
        <w:t>Potassium hydrogen carbonate</w:t>
      </w:r>
    </w:p>
    <w:p w:rsidR="005F3C66" w:rsidRPr="005F3C66" w:rsidRDefault="005F3C66" w:rsidP="005F3C66">
      <w:pPr>
        <w:tabs>
          <w:tab w:val="left" w:pos="851"/>
        </w:tabs>
        <w:ind w:left="851"/>
        <w:rPr>
          <w:sz w:val="24"/>
          <w:szCs w:val="24"/>
          <w:lang w:val="en-GB"/>
        </w:rPr>
      </w:pPr>
      <w:r w:rsidRPr="005F3C66">
        <w:rPr>
          <w:sz w:val="24"/>
          <w:szCs w:val="24"/>
          <w:lang w:val="en-GB"/>
        </w:rPr>
        <w:t>Povidone K30</w:t>
      </w:r>
    </w:p>
    <w:p w:rsidR="005F3C66" w:rsidRPr="005F3C66" w:rsidRDefault="005F3C66" w:rsidP="005F3C66">
      <w:pPr>
        <w:tabs>
          <w:tab w:val="left" w:pos="851"/>
        </w:tabs>
        <w:ind w:left="851"/>
        <w:rPr>
          <w:sz w:val="24"/>
          <w:szCs w:val="24"/>
          <w:lang w:val="en-GB"/>
        </w:rPr>
      </w:pPr>
      <w:r w:rsidRPr="005F3C66">
        <w:rPr>
          <w:sz w:val="24"/>
          <w:szCs w:val="24"/>
          <w:lang w:val="en-GB"/>
        </w:rPr>
        <w:t xml:space="preserve">Magnesium stearate </w:t>
      </w:r>
    </w:p>
    <w:p w:rsidR="005F3C66" w:rsidRPr="005F3C66" w:rsidRDefault="005F3C66" w:rsidP="005F3C66">
      <w:pPr>
        <w:tabs>
          <w:tab w:val="left" w:pos="851"/>
        </w:tabs>
        <w:ind w:left="851"/>
        <w:rPr>
          <w:sz w:val="24"/>
          <w:szCs w:val="24"/>
          <w:lang w:val="en-GB"/>
        </w:rPr>
      </w:pPr>
    </w:p>
    <w:p w:rsidR="005F3C66" w:rsidRPr="00B51796" w:rsidRDefault="005F3C66" w:rsidP="005F3C66">
      <w:pPr>
        <w:tabs>
          <w:tab w:val="left" w:pos="851"/>
        </w:tabs>
        <w:ind w:left="851"/>
        <w:rPr>
          <w:sz w:val="24"/>
          <w:szCs w:val="24"/>
          <w:u w:val="single"/>
          <w:lang w:val="en-GB"/>
        </w:rPr>
      </w:pPr>
      <w:r w:rsidRPr="00B51796">
        <w:rPr>
          <w:sz w:val="24"/>
          <w:szCs w:val="24"/>
          <w:u w:val="single"/>
          <w:lang w:val="en-GB"/>
        </w:rPr>
        <w:t>Film-coating</w:t>
      </w:r>
    </w:p>
    <w:p w:rsidR="005F3C66" w:rsidRPr="005F3C66" w:rsidRDefault="005F3C66" w:rsidP="005F3C66">
      <w:pPr>
        <w:tabs>
          <w:tab w:val="left" w:pos="851"/>
        </w:tabs>
        <w:ind w:left="851"/>
        <w:rPr>
          <w:sz w:val="24"/>
          <w:szCs w:val="24"/>
          <w:lang w:val="en-GB"/>
        </w:rPr>
      </w:pPr>
      <w:r w:rsidRPr="005F3C66">
        <w:rPr>
          <w:sz w:val="24"/>
          <w:szCs w:val="24"/>
          <w:lang w:val="en-GB"/>
        </w:rPr>
        <w:t>Hypromellose</w:t>
      </w:r>
    </w:p>
    <w:p w:rsidR="005F3C66" w:rsidRPr="005F3C66" w:rsidRDefault="005F3C66" w:rsidP="005F3C66">
      <w:pPr>
        <w:tabs>
          <w:tab w:val="left" w:pos="851"/>
        </w:tabs>
        <w:ind w:left="851"/>
        <w:rPr>
          <w:sz w:val="24"/>
          <w:szCs w:val="24"/>
          <w:lang w:val="en-GB"/>
        </w:rPr>
      </w:pPr>
      <w:r w:rsidRPr="005F3C66">
        <w:rPr>
          <w:sz w:val="24"/>
          <w:szCs w:val="24"/>
          <w:lang w:val="en-GB"/>
        </w:rPr>
        <w:t>Iron oxide yellow (E172)</w:t>
      </w:r>
    </w:p>
    <w:p w:rsidR="005F3C66" w:rsidRPr="005F3C66" w:rsidRDefault="005F3C66" w:rsidP="005F3C66">
      <w:pPr>
        <w:tabs>
          <w:tab w:val="left" w:pos="851"/>
        </w:tabs>
        <w:ind w:left="851"/>
        <w:rPr>
          <w:sz w:val="24"/>
          <w:szCs w:val="24"/>
          <w:lang w:val="en-GB"/>
        </w:rPr>
      </w:pPr>
      <w:r w:rsidRPr="005F3C66">
        <w:rPr>
          <w:sz w:val="24"/>
          <w:szCs w:val="24"/>
          <w:lang w:val="en-GB"/>
        </w:rPr>
        <w:t>Titanium dioxide (E171)</w:t>
      </w:r>
    </w:p>
    <w:p w:rsidR="005F3C66" w:rsidRPr="005F3C66" w:rsidRDefault="005F3C66" w:rsidP="005F3C66">
      <w:pPr>
        <w:tabs>
          <w:tab w:val="left" w:pos="851"/>
        </w:tabs>
        <w:ind w:left="851"/>
        <w:rPr>
          <w:sz w:val="24"/>
          <w:szCs w:val="24"/>
          <w:lang w:val="en-GB"/>
        </w:rPr>
      </w:pPr>
      <w:r w:rsidRPr="005F3C66">
        <w:rPr>
          <w:sz w:val="24"/>
          <w:szCs w:val="24"/>
          <w:lang w:val="en-GB"/>
        </w:rPr>
        <w:t>Macrogol 8000</w:t>
      </w:r>
    </w:p>
    <w:p w:rsidR="005F3C66" w:rsidRPr="00303008" w:rsidRDefault="005F3C66" w:rsidP="00450FC9">
      <w:pPr>
        <w:tabs>
          <w:tab w:val="left" w:pos="851"/>
        </w:tabs>
        <w:ind w:left="851"/>
        <w:rPr>
          <w:sz w:val="24"/>
          <w:szCs w:val="24"/>
          <w:lang w:val="en-GB"/>
        </w:rPr>
      </w:pPr>
    </w:p>
    <w:p w:rsidR="007C5D2A" w:rsidRPr="00303008" w:rsidRDefault="007C5D2A" w:rsidP="00450FC9">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rsidR="00B51796" w:rsidRPr="00B51796" w:rsidRDefault="00B51796" w:rsidP="00B51796">
      <w:pPr>
        <w:tabs>
          <w:tab w:val="left" w:pos="851"/>
        </w:tabs>
        <w:ind w:left="851"/>
        <w:rPr>
          <w:sz w:val="24"/>
          <w:szCs w:val="24"/>
          <w:lang w:val="en-GB"/>
        </w:rPr>
      </w:pPr>
      <w:r w:rsidRPr="00B51796">
        <w:rPr>
          <w:sz w:val="24"/>
          <w:szCs w:val="24"/>
          <w:lang w:val="en-GB"/>
        </w:rPr>
        <w:t>Not applicable.</w:t>
      </w:r>
    </w:p>
    <w:p w:rsidR="007C5D2A" w:rsidRPr="00B51796" w:rsidRDefault="007C5D2A" w:rsidP="00450FC9">
      <w:pPr>
        <w:tabs>
          <w:tab w:val="left" w:pos="851"/>
        </w:tabs>
        <w:ind w:left="851"/>
        <w:rPr>
          <w:sz w:val="24"/>
          <w:szCs w:val="24"/>
          <w:lang w:val="en-US"/>
        </w:rPr>
      </w:pPr>
    </w:p>
    <w:p w:rsidR="007C5D2A" w:rsidRPr="00303008" w:rsidRDefault="007C5D2A" w:rsidP="00450FC9">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rsidR="00B51796" w:rsidRPr="00B51796" w:rsidRDefault="00B51796" w:rsidP="00B51796">
      <w:pPr>
        <w:tabs>
          <w:tab w:val="left" w:pos="851"/>
        </w:tabs>
        <w:ind w:left="851"/>
        <w:rPr>
          <w:sz w:val="24"/>
          <w:szCs w:val="24"/>
          <w:lang w:val="en-GB"/>
        </w:rPr>
      </w:pPr>
      <w:r w:rsidRPr="00B51796">
        <w:rPr>
          <w:sz w:val="24"/>
          <w:szCs w:val="24"/>
          <w:lang w:val="en-GB"/>
        </w:rPr>
        <w:t>36 months</w:t>
      </w:r>
      <w:r>
        <w:rPr>
          <w:sz w:val="24"/>
          <w:szCs w:val="24"/>
          <w:lang w:val="en-GB"/>
        </w:rPr>
        <w:t>.</w:t>
      </w:r>
    </w:p>
    <w:p w:rsidR="008C60A0" w:rsidRPr="00B51796" w:rsidRDefault="008C60A0" w:rsidP="008C60A0">
      <w:pPr>
        <w:tabs>
          <w:tab w:val="left" w:pos="851"/>
        </w:tabs>
        <w:rPr>
          <w:sz w:val="24"/>
          <w:szCs w:val="24"/>
          <w:lang w:val="en-GB"/>
        </w:rPr>
      </w:pPr>
    </w:p>
    <w:p w:rsidR="00B51796" w:rsidRPr="00B51796" w:rsidRDefault="00B51796" w:rsidP="00B51796">
      <w:pPr>
        <w:tabs>
          <w:tab w:val="left" w:pos="851"/>
        </w:tabs>
        <w:ind w:left="851"/>
        <w:rPr>
          <w:sz w:val="24"/>
          <w:szCs w:val="24"/>
          <w:lang w:val="en-GB"/>
        </w:rPr>
      </w:pPr>
      <w:r w:rsidRPr="00B51796">
        <w:rPr>
          <w:sz w:val="24"/>
          <w:szCs w:val="24"/>
          <w:lang w:val="en-GB"/>
        </w:rPr>
        <w:t>In-use shelf life for HDPE bottle after first opening of the bottle: 4 months</w:t>
      </w:r>
      <w:r w:rsidR="008C60A0">
        <w:rPr>
          <w:sz w:val="24"/>
          <w:szCs w:val="24"/>
          <w:lang w:val="en-GB"/>
        </w:rPr>
        <w:t>.</w:t>
      </w:r>
    </w:p>
    <w:p w:rsidR="007C5D2A" w:rsidRPr="00B51796"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8C60A0" w:rsidRPr="008C60A0" w:rsidRDefault="008C60A0" w:rsidP="008C60A0">
      <w:pPr>
        <w:tabs>
          <w:tab w:val="left" w:pos="851"/>
        </w:tabs>
        <w:ind w:left="851"/>
        <w:rPr>
          <w:sz w:val="24"/>
          <w:szCs w:val="24"/>
          <w:lang w:val="en-GB"/>
        </w:rPr>
      </w:pPr>
      <w:r w:rsidRPr="008C60A0">
        <w:rPr>
          <w:sz w:val="24"/>
          <w:szCs w:val="24"/>
          <w:lang w:val="en-GB"/>
        </w:rPr>
        <w:t>Store in the original package in order to protect from moisture.</w:t>
      </w:r>
    </w:p>
    <w:p w:rsidR="008C60A0" w:rsidRPr="008C60A0" w:rsidRDefault="008C60A0" w:rsidP="008C60A0">
      <w:pPr>
        <w:tabs>
          <w:tab w:val="left" w:pos="851"/>
        </w:tabs>
        <w:ind w:left="851"/>
        <w:rPr>
          <w:sz w:val="24"/>
          <w:szCs w:val="24"/>
          <w:lang w:val="en-GB"/>
        </w:rPr>
      </w:pPr>
    </w:p>
    <w:p w:rsidR="008C60A0" w:rsidRPr="008C60A0" w:rsidRDefault="008C60A0" w:rsidP="008C60A0">
      <w:pPr>
        <w:tabs>
          <w:tab w:val="left" w:pos="851"/>
        </w:tabs>
        <w:ind w:left="851"/>
        <w:rPr>
          <w:sz w:val="24"/>
          <w:szCs w:val="24"/>
          <w:lang w:val="en-GB"/>
        </w:rPr>
      </w:pPr>
      <w:r w:rsidRPr="008C60A0">
        <w:rPr>
          <w:sz w:val="24"/>
          <w:szCs w:val="24"/>
          <w:lang w:val="en-GB"/>
        </w:rPr>
        <w:t>For storage conditions after first opening of the medicinal product, see section 6.3.</w:t>
      </w:r>
    </w:p>
    <w:p w:rsidR="007C5D2A" w:rsidRPr="008C60A0"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8C60A0" w:rsidRPr="008C60A0" w:rsidRDefault="008C60A0" w:rsidP="008C60A0">
      <w:pPr>
        <w:tabs>
          <w:tab w:val="left" w:pos="851"/>
        </w:tabs>
        <w:ind w:left="851"/>
        <w:rPr>
          <w:sz w:val="24"/>
          <w:szCs w:val="24"/>
          <w:lang w:val="en-GB"/>
        </w:rPr>
      </w:pPr>
    </w:p>
    <w:p w:rsidR="008C60A0" w:rsidRPr="004073D1" w:rsidRDefault="008C60A0" w:rsidP="008C60A0">
      <w:pPr>
        <w:tabs>
          <w:tab w:val="left" w:pos="851"/>
        </w:tabs>
        <w:ind w:left="851"/>
        <w:rPr>
          <w:sz w:val="24"/>
          <w:szCs w:val="24"/>
          <w:u w:val="single"/>
          <w:lang w:val="de-DE"/>
        </w:rPr>
      </w:pPr>
      <w:r w:rsidRPr="004073D1">
        <w:rPr>
          <w:sz w:val="24"/>
          <w:szCs w:val="24"/>
          <w:u w:val="single"/>
          <w:lang w:val="de-DE"/>
        </w:rPr>
        <w:t>OPA/Aluminium/PVC//Aluminium blister</w:t>
      </w:r>
    </w:p>
    <w:p w:rsidR="008C60A0" w:rsidRPr="008C60A0" w:rsidRDefault="008C60A0" w:rsidP="008C60A0">
      <w:pPr>
        <w:tabs>
          <w:tab w:val="left" w:pos="851"/>
        </w:tabs>
        <w:ind w:left="851"/>
        <w:rPr>
          <w:sz w:val="24"/>
          <w:szCs w:val="24"/>
          <w:lang w:val="de-DE"/>
        </w:rPr>
      </w:pPr>
      <w:r>
        <w:rPr>
          <w:sz w:val="24"/>
          <w:szCs w:val="24"/>
          <w:lang w:val="de-DE"/>
        </w:rPr>
        <w:t>Pack sizes:</w:t>
      </w:r>
      <w:r w:rsidRPr="008C60A0">
        <w:rPr>
          <w:sz w:val="24"/>
          <w:szCs w:val="24"/>
          <w:lang w:val="de-DE"/>
        </w:rPr>
        <w:t xml:space="preserve"> 7, 10, 14, 28, 30, 50, 56, 60, 100</w:t>
      </w:r>
      <w:r>
        <w:rPr>
          <w:sz w:val="24"/>
          <w:szCs w:val="24"/>
          <w:lang w:val="de-DE"/>
        </w:rPr>
        <w:t xml:space="preserve"> and</w:t>
      </w:r>
      <w:r w:rsidRPr="008C60A0">
        <w:rPr>
          <w:sz w:val="24"/>
          <w:szCs w:val="24"/>
          <w:lang w:val="de-DE"/>
        </w:rPr>
        <w:t xml:space="preserve"> 490 tablets</w:t>
      </w:r>
      <w:r>
        <w:rPr>
          <w:sz w:val="24"/>
          <w:szCs w:val="24"/>
          <w:lang w:val="de-DE"/>
        </w:rPr>
        <w:t>.</w:t>
      </w:r>
    </w:p>
    <w:p w:rsidR="004073D1" w:rsidRDefault="004073D1" w:rsidP="008C60A0">
      <w:pPr>
        <w:tabs>
          <w:tab w:val="left" w:pos="851"/>
        </w:tabs>
        <w:ind w:left="851"/>
        <w:rPr>
          <w:sz w:val="24"/>
          <w:szCs w:val="24"/>
          <w:lang w:val="en-GB"/>
        </w:rPr>
      </w:pPr>
    </w:p>
    <w:p w:rsidR="004073D1" w:rsidRPr="004073D1" w:rsidRDefault="008C60A0" w:rsidP="008C60A0">
      <w:pPr>
        <w:tabs>
          <w:tab w:val="left" w:pos="851"/>
        </w:tabs>
        <w:ind w:left="851"/>
        <w:rPr>
          <w:sz w:val="24"/>
          <w:szCs w:val="24"/>
          <w:u w:val="single"/>
          <w:lang w:val="en-GB"/>
        </w:rPr>
      </w:pPr>
      <w:r w:rsidRPr="004073D1">
        <w:rPr>
          <w:sz w:val="24"/>
          <w:szCs w:val="24"/>
          <w:u w:val="single"/>
          <w:lang w:val="en-GB"/>
        </w:rPr>
        <w:t>HDPE bottle with PP screw cap</w:t>
      </w:r>
    </w:p>
    <w:p w:rsidR="008C60A0" w:rsidRPr="008C60A0" w:rsidRDefault="004073D1" w:rsidP="008C60A0">
      <w:pPr>
        <w:tabs>
          <w:tab w:val="left" w:pos="851"/>
        </w:tabs>
        <w:ind w:left="851"/>
        <w:rPr>
          <w:sz w:val="24"/>
          <w:szCs w:val="24"/>
          <w:lang w:val="en-GB"/>
        </w:rPr>
      </w:pPr>
      <w:r>
        <w:rPr>
          <w:sz w:val="24"/>
          <w:szCs w:val="24"/>
          <w:lang w:val="en-GB"/>
        </w:rPr>
        <w:t>Pack sizes:</w:t>
      </w:r>
      <w:r w:rsidR="008C60A0" w:rsidRPr="008C60A0">
        <w:rPr>
          <w:sz w:val="24"/>
          <w:szCs w:val="24"/>
          <w:lang w:val="en-GB"/>
        </w:rPr>
        <w:t xml:space="preserve"> 14, 20, 28, 30, 49, 50 56, 60</w:t>
      </w:r>
      <w:r>
        <w:rPr>
          <w:sz w:val="24"/>
          <w:szCs w:val="24"/>
          <w:lang w:val="en-GB"/>
        </w:rPr>
        <w:t xml:space="preserve"> and</w:t>
      </w:r>
      <w:r w:rsidR="008C60A0" w:rsidRPr="008C60A0">
        <w:rPr>
          <w:sz w:val="24"/>
          <w:szCs w:val="24"/>
          <w:lang w:val="en-GB"/>
        </w:rPr>
        <w:t xml:space="preserve"> 100</w:t>
      </w:r>
      <w:r>
        <w:rPr>
          <w:sz w:val="24"/>
          <w:szCs w:val="24"/>
          <w:lang w:val="en-GB"/>
        </w:rPr>
        <w:t xml:space="preserve"> tablets.</w:t>
      </w:r>
    </w:p>
    <w:p w:rsidR="008C60A0" w:rsidRPr="008C60A0" w:rsidRDefault="008C60A0" w:rsidP="008C60A0">
      <w:pPr>
        <w:tabs>
          <w:tab w:val="left" w:pos="851"/>
        </w:tabs>
        <w:ind w:left="851"/>
        <w:rPr>
          <w:sz w:val="24"/>
          <w:szCs w:val="24"/>
          <w:lang w:val="en-GB"/>
        </w:rPr>
      </w:pPr>
    </w:p>
    <w:p w:rsidR="008C60A0" w:rsidRPr="008C60A0" w:rsidRDefault="008C60A0" w:rsidP="008C60A0">
      <w:pPr>
        <w:tabs>
          <w:tab w:val="left" w:pos="851"/>
        </w:tabs>
        <w:ind w:left="851"/>
        <w:rPr>
          <w:sz w:val="24"/>
          <w:szCs w:val="24"/>
          <w:lang w:val="en-GB"/>
        </w:rPr>
      </w:pPr>
      <w:r w:rsidRPr="008C60A0">
        <w:rPr>
          <w:sz w:val="24"/>
          <w:szCs w:val="24"/>
          <w:lang w:val="en-GB"/>
        </w:rPr>
        <w:t>Not all pack sizes may be marketed.</w:t>
      </w:r>
    </w:p>
    <w:p w:rsidR="007C5D2A" w:rsidRPr="008C60A0"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4073D1" w:rsidRPr="004073D1" w:rsidRDefault="004073D1" w:rsidP="004073D1">
      <w:pPr>
        <w:tabs>
          <w:tab w:val="left" w:pos="851"/>
        </w:tabs>
        <w:ind w:left="851"/>
        <w:rPr>
          <w:sz w:val="24"/>
          <w:szCs w:val="24"/>
          <w:lang w:val="en-GB"/>
        </w:rPr>
      </w:pPr>
      <w:r w:rsidRPr="004073D1">
        <w:rPr>
          <w:sz w:val="24"/>
          <w:szCs w:val="24"/>
          <w:lang w:val="en-GB"/>
        </w:rPr>
        <w:t>No special requirements.</w:t>
      </w:r>
    </w:p>
    <w:p w:rsidR="004073D1" w:rsidRPr="004073D1" w:rsidRDefault="004073D1" w:rsidP="004073D1">
      <w:pPr>
        <w:tabs>
          <w:tab w:val="left" w:pos="851"/>
        </w:tabs>
        <w:ind w:left="851"/>
        <w:rPr>
          <w:sz w:val="24"/>
          <w:szCs w:val="24"/>
          <w:lang w:val="en-GB"/>
        </w:rPr>
      </w:pPr>
    </w:p>
    <w:p w:rsidR="004073D1" w:rsidRPr="004073D1" w:rsidRDefault="004073D1" w:rsidP="004073D1">
      <w:pPr>
        <w:tabs>
          <w:tab w:val="left" w:pos="851"/>
        </w:tabs>
        <w:ind w:left="851"/>
        <w:rPr>
          <w:sz w:val="24"/>
          <w:szCs w:val="24"/>
          <w:lang w:val="en-GB"/>
        </w:rPr>
      </w:pPr>
      <w:r w:rsidRPr="004073D1">
        <w:rPr>
          <w:sz w:val="24"/>
          <w:szCs w:val="24"/>
          <w:lang w:val="en-GB"/>
        </w:rPr>
        <w:t>Any unused medicinal product or waste material should be disposed of in accordance with local requirements.</w:t>
      </w:r>
    </w:p>
    <w:p w:rsidR="003D243D" w:rsidRDefault="003D243D">
      <w:pPr>
        <w:rPr>
          <w:sz w:val="24"/>
          <w:szCs w:val="24"/>
          <w:lang w:val="en-GB"/>
        </w:rPr>
      </w:pPr>
      <w:r>
        <w:rPr>
          <w:sz w:val="24"/>
          <w:szCs w:val="24"/>
          <w:lang w:val="en-GB"/>
        </w:rPr>
        <w:br w:type="page"/>
      </w:r>
    </w:p>
    <w:p w:rsidR="007C5D2A" w:rsidRPr="004073D1" w:rsidRDefault="007C5D2A" w:rsidP="00AB4376">
      <w:pPr>
        <w:tabs>
          <w:tab w:val="left" w:pos="851"/>
        </w:tabs>
        <w:ind w:left="851"/>
        <w:rPr>
          <w:sz w:val="24"/>
          <w:szCs w:val="24"/>
          <w:lang w:val="en-GB"/>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D96FDE" w:rsidRPr="00D96FDE" w:rsidRDefault="00D96FDE" w:rsidP="00D96FDE">
      <w:pPr>
        <w:tabs>
          <w:tab w:val="left" w:pos="851"/>
        </w:tabs>
        <w:ind w:left="851"/>
        <w:jc w:val="both"/>
        <w:rPr>
          <w:sz w:val="24"/>
          <w:szCs w:val="24"/>
          <w:lang w:val="en-US"/>
        </w:rPr>
      </w:pPr>
      <w:r w:rsidRPr="00D96FDE">
        <w:rPr>
          <w:sz w:val="24"/>
          <w:szCs w:val="24"/>
          <w:lang w:val="en-US"/>
        </w:rPr>
        <w:t>Sandoz A/S</w:t>
      </w:r>
    </w:p>
    <w:p w:rsidR="00D96FDE" w:rsidRPr="00124055" w:rsidRDefault="00D96FDE" w:rsidP="00D96FDE">
      <w:pPr>
        <w:tabs>
          <w:tab w:val="left" w:pos="851"/>
        </w:tabs>
        <w:ind w:left="851"/>
        <w:jc w:val="both"/>
        <w:rPr>
          <w:sz w:val="24"/>
          <w:szCs w:val="24"/>
          <w:lang w:val="en-US"/>
        </w:rPr>
      </w:pPr>
      <w:r w:rsidRPr="00124055">
        <w:rPr>
          <w:sz w:val="24"/>
          <w:szCs w:val="24"/>
          <w:lang w:val="en-US"/>
        </w:rPr>
        <w:t>Edvard Thomsens Vej 14</w:t>
      </w:r>
    </w:p>
    <w:p w:rsidR="00D96FDE" w:rsidRPr="00124055" w:rsidRDefault="00D96FDE" w:rsidP="00D96FDE">
      <w:pPr>
        <w:tabs>
          <w:tab w:val="left" w:pos="851"/>
        </w:tabs>
        <w:ind w:left="851"/>
        <w:jc w:val="both"/>
        <w:rPr>
          <w:sz w:val="24"/>
          <w:szCs w:val="24"/>
          <w:lang w:val="en-US"/>
        </w:rPr>
      </w:pPr>
      <w:r w:rsidRPr="00124055">
        <w:rPr>
          <w:sz w:val="24"/>
          <w:szCs w:val="24"/>
          <w:lang w:val="en-US"/>
        </w:rPr>
        <w:t>2300 København S</w:t>
      </w:r>
    </w:p>
    <w:p w:rsidR="007C5D2A" w:rsidRPr="00124055" w:rsidRDefault="007C5D2A" w:rsidP="003E0341">
      <w:pPr>
        <w:tabs>
          <w:tab w:val="left" w:pos="851"/>
        </w:tabs>
        <w:ind w:left="851"/>
        <w:jc w:val="both"/>
        <w:rPr>
          <w:sz w:val="24"/>
          <w:szCs w:val="24"/>
          <w:lang w:val="en-US"/>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Pr="00303008" w:rsidRDefault="00D96FDE" w:rsidP="00A85D26">
      <w:pPr>
        <w:tabs>
          <w:tab w:val="left" w:pos="851"/>
        </w:tabs>
        <w:ind w:left="851"/>
        <w:jc w:val="both"/>
        <w:rPr>
          <w:sz w:val="24"/>
          <w:szCs w:val="24"/>
          <w:lang w:val="en-GB"/>
        </w:rPr>
      </w:pPr>
      <w:r>
        <w:rPr>
          <w:sz w:val="24"/>
          <w:szCs w:val="24"/>
          <w:lang w:val="en-GB"/>
        </w:rPr>
        <w:t>40367</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3D243D" w:rsidP="00A85D26">
      <w:pPr>
        <w:ind w:left="851"/>
        <w:jc w:val="both"/>
        <w:rPr>
          <w:sz w:val="24"/>
          <w:szCs w:val="24"/>
          <w:lang w:val="en-GB"/>
        </w:rPr>
      </w:pPr>
      <w:r>
        <w:rPr>
          <w:sz w:val="24"/>
          <w:szCs w:val="24"/>
          <w:lang w:val="en-GB"/>
        </w:rPr>
        <w:t>28 April 2008</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B04370" w:rsidP="003E0341">
      <w:pPr>
        <w:tabs>
          <w:tab w:val="left" w:pos="851"/>
        </w:tabs>
        <w:ind w:left="851"/>
        <w:jc w:val="both"/>
        <w:rPr>
          <w:sz w:val="24"/>
          <w:szCs w:val="24"/>
          <w:lang w:val="en-GB"/>
        </w:rPr>
      </w:pPr>
      <w:r>
        <w:rPr>
          <w:sz w:val="24"/>
          <w:szCs w:val="24"/>
          <w:lang w:val="en-GB"/>
        </w:rPr>
        <w:t xml:space="preserve">15 </w:t>
      </w:r>
      <w:r w:rsidR="003D243D">
        <w:rPr>
          <w:sz w:val="24"/>
          <w:szCs w:val="24"/>
          <w:lang w:val="en-GB"/>
        </w:rPr>
        <w:t>N</w:t>
      </w:r>
      <w:r>
        <w:rPr>
          <w:sz w:val="24"/>
          <w:szCs w:val="24"/>
          <w:lang w:val="en-GB"/>
        </w:rPr>
        <w:t>ovember 2023</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6FF" w:rsidRDefault="00E266FF">
      <w:r>
        <w:separator/>
      </w:r>
    </w:p>
  </w:endnote>
  <w:endnote w:type="continuationSeparator" w:id="0">
    <w:p w:rsidR="00E266FF" w:rsidRDefault="00E2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6FF" w:rsidRDefault="00E266FF">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6FF" w:rsidRDefault="00E266FF">
    <w:pPr>
      <w:pStyle w:val="Sidefod"/>
      <w:pBdr>
        <w:bottom w:val="single" w:sz="6" w:space="1" w:color="auto"/>
      </w:pBdr>
    </w:pPr>
  </w:p>
  <w:p w:rsidR="00E266FF" w:rsidRDefault="00E266FF">
    <w:pPr>
      <w:pStyle w:val="Sidefod"/>
      <w:tabs>
        <w:tab w:val="clear" w:pos="4819"/>
        <w:tab w:val="left" w:pos="8647"/>
      </w:tabs>
      <w:rPr>
        <w:i/>
        <w:snapToGrid w:val="0"/>
        <w:sz w:val="18"/>
      </w:rPr>
    </w:pPr>
  </w:p>
  <w:p w:rsidR="00E266FF" w:rsidRDefault="00E266FF"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Fluvastasof, depottabletter 80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6FF" w:rsidRDefault="00E266FF">
    <w:pPr>
      <w:pStyle w:val="Sidefod"/>
      <w:pBdr>
        <w:bottom w:val="single" w:sz="6" w:space="1" w:color="auto"/>
      </w:pBdr>
      <w:tabs>
        <w:tab w:val="clear" w:pos="4819"/>
        <w:tab w:val="left" w:pos="8789"/>
      </w:tabs>
      <w:rPr>
        <w:i/>
        <w:snapToGrid w:val="0"/>
        <w:sz w:val="18"/>
      </w:rPr>
    </w:pPr>
  </w:p>
  <w:p w:rsidR="00E266FF" w:rsidRDefault="00E266FF">
    <w:pPr>
      <w:pStyle w:val="Sidefod"/>
      <w:tabs>
        <w:tab w:val="clear" w:pos="4819"/>
        <w:tab w:val="left" w:pos="8789"/>
      </w:tabs>
      <w:rPr>
        <w:i/>
        <w:snapToGrid w:val="0"/>
        <w:sz w:val="18"/>
      </w:rPr>
    </w:pPr>
  </w:p>
  <w:p w:rsidR="00E266FF" w:rsidRDefault="00E266FF">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Fluvastasof, depottabletter 80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6FF" w:rsidRDefault="00E266FF">
      <w:r>
        <w:separator/>
      </w:r>
    </w:p>
  </w:footnote>
  <w:footnote w:type="continuationSeparator" w:id="0">
    <w:p w:rsidR="00E266FF" w:rsidRDefault="00E26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6FF" w:rsidRDefault="00E266F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6FF" w:rsidRDefault="00E266FF">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6FF" w:rsidRDefault="00E266F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2E4"/>
    <w:multiLevelType w:val="hybridMultilevel"/>
    <w:tmpl w:val="7E6A1704"/>
    <w:lvl w:ilvl="0" w:tplc="69AC7A86">
      <w:start w:val="1"/>
      <w:numFmt w:val="bullet"/>
      <w:lvlText w:val="­"/>
      <w:lvlJc w:val="left"/>
      <w:pPr>
        <w:ind w:left="720" w:hanging="360"/>
      </w:pPr>
      <w:rPr>
        <w:rFonts w:ascii="Courier New" w:hAnsi="Courier Ne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3FE6629"/>
    <w:multiLevelType w:val="hybridMultilevel"/>
    <w:tmpl w:val="ED5A53A2"/>
    <w:lvl w:ilvl="0" w:tplc="69AC7A86">
      <w:start w:val="1"/>
      <w:numFmt w:val="bullet"/>
      <w:lvlText w:val="­"/>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DE2C68"/>
    <w:multiLevelType w:val="hybridMultilevel"/>
    <w:tmpl w:val="88E40DCA"/>
    <w:lvl w:ilvl="0" w:tplc="69AC7A86">
      <w:start w:val="1"/>
      <w:numFmt w:val="bullet"/>
      <w:lvlText w:val="­"/>
      <w:lvlJc w:val="left"/>
      <w:pPr>
        <w:tabs>
          <w:tab w:val="num" w:pos="567"/>
        </w:tabs>
        <w:ind w:left="567" w:hanging="567"/>
      </w:pPr>
      <w:rPr>
        <w:rFonts w:ascii="Courier New" w:hAnsi="Courier New"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70"/>
    <w:rsid w:val="00056601"/>
    <w:rsid w:val="000C3846"/>
    <w:rsid w:val="000C6218"/>
    <w:rsid w:val="000D3C9D"/>
    <w:rsid w:val="000F0D47"/>
    <w:rsid w:val="00124055"/>
    <w:rsid w:val="001242DE"/>
    <w:rsid w:val="00180A12"/>
    <w:rsid w:val="001E2C4E"/>
    <w:rsid w:val="00206D08"/>
    <w:rsid w:val="00214331"/>
    <w:rsid w:val="00214CF4"/>
    <w:rsid w:val="00281F03"/>
    <w:rsid w:val="0029458A"/>
    <w:rsid w:val="002A1587"/>
    <w:rsid w:val="002B27C5"/>
    <w:rsid w:val="002F6D9C"/>
    <w:rsid w:val="00303008"/>
    <w:rsid w:val="00373B55"/>
    <w:rsid w:val="003A6DF7"/>
    <w:rsid w:val="003D243D"/>
    <w:rsid w:val="003D727E"/>
    <w:rsid w:val="003E0341"/>
    <w:rsid w:val="003E3402"/>
    <w:rsid w:val="003F4736"/>
    <w:rsid w:val="00401B49"/>
    <w:rsid w:val="004073D1"/>
    <w:rsid w:val="0042292D"/>
    <w:rsid w:val="00437D5B"/>
    <w:rsid w:val="00440254"/>
    <w:rsid w:val="00450FC9"/>
    <w:rsid w:val="004860D3"/>
    <w:rsid w:val="004A3BF4"/>
    <w:rsid w:val="004A5DB3"/>
    <w:rsid w:val="005152D9"/>
    <w:rsid w:val="00533AD4"/>
    <w:rsid w:val="00534849"/>
    <w:rsid w:val="00560102"/>
    <w:rsid w:val="00562EA1"/>
    <w:rsid w:val="0057701C"/>
    <w:rsid w:val="005A498B"/>
    <w:rsid w:val="005F3C66"/>
    <w:rsid w:val="00617BB8"/>
    <w:rsid w:val="006207FF"/>
    <w:rsid w:val="00680052"/>
    <w:rsid w:val="00683267"/>
    <w:rsid w:val="006844E9"/>
    <w:rsid w:val="00693207"/>
    <w:rsid w:val="006B3847"/>
    <w:rsid w:val="0075453D"/>
    <w:rsid w:val="00763661"/>
    <w:rsid w:val="007A4CC6"/>
    <w:rsid w:val="007C3623"/>
    <w:rsid w:val="007C5D2A"/>
    <w:rsid w:val="007F1E00"/>
    <w:rsid w:val="00827444"/>
    <w:rsid w:val="008400E3"/>
    <w:rsid w:val="00850894"/>
    <w:rsid w:val="00864538"/>
    <w:rsid w:val="00873B4F"/>
    <w:rsid w:val="008A24F6"/>
    <w:rsid w:val="008C60A0"/>
    <w:rsid w:val="008E51AE"/>
    <w:rsid w:val="008E746E"/>
    <w:rsid w:val="008F2F8C"/>
    <w:rsid w:val="009925C9"/>
    <w:rsid w:val="00A179D0"/>
    <w:rsid w:val="00A358A3"/>
    <w:rsid w:val="00A46747"/>
    <w:rsid w:val="00A80446"/>
    <w:rsid w:val="00A85D26"/>
    <w:rsid w:val="00A9153A"/>
    <w:rsid w:val="00AB4376"/>
    <w:rsid w:val="00AC033C"/>
    <w:rsid w:val="00AD2E36"/>
    <w:rsid w:val="00AE741A"/>
    <w:rsid w:val="00B04370"/>
    <w:rsid w:val="00B45DC5"/>
    <w:rsid w:val="00B51796"/>
    <w:rsid w:val="00BD3490"/>
    <w:rsid w:val="00C26226"/>
    <w:rsid w:val="00C3571D"/>
    <w:rsid w:val="00C54F0B"/>
    <w:rsid w:val="00C75AF7"/>
    <w:rsid w:val="00C81C8E"/>
    <w:rsid w:val="00C82621"/>
    <w:rsid w:val="00C91020"/>
    <w:rsid w:val="00C945BD"/>
    <w:rsid w:val="00CB1423"/>
    <w:rsid w:val="00CF2DBF"/>
    <w:rsid w:val="00D02508"/>
    <w:rsid w:val="00D778CC"/>
    <w:rsid w:val="00D82FE9"/>
    <w:rsid w:val="00D96FDE"/>
    <w:rsid w:val="00D97B77"/>
    <w:rsid w:val="00DB6A85"/>
    <w:rsid w:val="00DD6F38"/>
    <w:rsid w:val="00E06B32"/>
    <w:rsid w:val="00E1290F"/>
    <w:rsid w:val="00E266FF"/>
    <w:rsid w:val="00E36A80"/>
    <w:rsid w:val="00E377C9"/>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FC09F3E4-79FE-4B49-9964-2D1B5755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uiPriority w:val="99"/>
    <w:semiHidden/>
    <w:unhideWhenUsed/>
    <w:rsid w:val="00763661"/>
    <w:rPr>
      <w:color w:val="0000FF"/>
      <w:u w:val="single"/>
    </w:rPr>
  </w:style>
  <w:style w:type="paragraph" w:customStyle="1" w:styleId="Table">
    <w:name w:val="Table"/>
    <w:rsid w:val="00763661"/>
    <w:pPr>
      <w:tabs>
        <w:tab w:val="left" w:pos="284"/>
      </w:tabs>
      <w:spacing w:before="40" w:after="20"/>
    </w:pPr>
    <w:rPr>
      <w:lang w:val="en-US" w:eastAsia="en-US"/>
    </w:rPr>
  </w:style>
  <w:style w:type="paragraph" w:customStyle="1" w:styleId="Default">
    <w:name w:val="Default"/>
    <w:rsid w:val="00763661"/>
    <w:pPr>
      <w:autoSpaceDE w:val="0"/>
      <w:autoSpaceDN w:val="0"/>
      <w:adjustRightInd w:val="0"/>
    </w:pPr>
    <w:rPr>
      <w:rFonts w:ascii="Arial" w:hAnsi="Arial" w:cs="Arial"/>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2570">
      <w:bodyDiv w:val="1"/>
      <w:marLeft w:val="0"/>
      <w:marRight w:val="0"/>
      <w:marTop w:val="0"/>
      <w:marBottom w:val="0"/>
      <w:divBdr>
        <w:top w:val="none" w:sz="0" w:space="0" w:color="auto"/>
        <w:left w:val="none" w:sz="0" w:space="0" w:color="auto"/>
        <w:bottom w:val="none" w:sz="0" w:space="0" w:color="auto"/>
        <w:right w:val="none" w:sz="0" w:space="0" w:color="auto"/>
      </w:divBdr>
    </w:div>
    <w:div w:id="56705517">
      <w:bodyDiv w:val="1"/>
      <w:marLeft w:val="0"/>
      <w:marRight w:val="0"/>
      <w:marTop w:val="0"/>
      <w:marBottom w:val="0"/>
      <w:divBdr>
        <w:top w:val="none" w:sz="0" w:space="0" w:color="auto"/>
        <w:left w:val="none" w:sz="0" w:space="0" w:color="auto"/>
        <w:bottom w:val="none" w:sz="0" w:space="0" w:color="auto"/>
        <w:right w:val="none" w:sz="0" w:space="0" w:color="auto"/>
      </w:divBdr>
    </w:div>
    <w:div w:id="96295187">
      <w:bodyDiv w:val="1"/>
      <w:marLeft w:val="0"/>
      <w:marRight w:val="0"/>
      <w:marTop w:val="0"/>
      <w:marBottom w:val="0"/>
      <w:divBdr>
        <w:top w:val="none" w:sz="0" w:space="0" w:color="auto"/>
        <w:left w:val="none" w:sz="0" w:space="0" w:color="auto"/>
        <w:bottom w:val="none" w:sz="0" w:space="0" w:color="auto"/>
        <w:right w:val="none" w:sz="0" w:space="0" w:color="auto"/>
      </w:divBdr>
    </w:div>
    <w:div w:id="97139626">
      <w:bodyDiv w:val="1"/>
      <w:marLeft w:val="0"/>
      <w:marRight w:val="0"/>
      <w:marTop w:val="0"/>
      <w:marBottom w:val="0"/>
      <w:divBdr>
        <w:top w:val="none" w:sz="0" w:space="0" w:color="auto"/>
        <w:left w:val="none" w:sz="0" w:space="0" w:color="auto"/>
        <w:bottom w:val="none" w:sz="0" w:space="0" w:color="auto"/>
        <w:right w:val="none" w:sz="0" w:space="0" w:color="auto"/>
      </w:divBdr>
    </w:div>
    <w:div w:id="118304310">
      <w:bodyDiv w:val="1"/>
      <w:marLeft w:val="0"/>
      <w:marRight w:val="0"/>
      <w:marTop w:val="0"/>
      <w:marBottom w:val="0"/>
      <w:divBdr>
        <w:top w:val="none" w:sz="0" w:space="0" w:color="auto"/>
        <w:left w:val="none" w:sz="0" w:space="0" w:color="auto"/>
        <w:bottom w:val="none" w:sz="0" w:space="0" w:color="auto"/>
        <w:right w:val="none" w:sz="0" w:space="0" w:color="auto"/>
      </w:divBdr>
    </w:div>
    <w:div w:id="187908668">
      <w:bodyDiv w:val="1"/>
      <w:marLeft w:val="0"/>
      <w:marRight w:val="0"/>
      <w:marTop w:val="0"/>
      <w:marBottom w:val="0"/>
      <w:divBdr>
        <w:top w:val="none" w:sz="0" w:space="0" w:color="auto"/>
        <w:left w:val="none" w:sz="0" w:space="0" w:color="auto"/>
        <w:bottom w:val="none" w:sz="0" w:space="0" w:color="auto"/>
        <w:right w:val="none" w:sz="0" w:space="0" w:color="auto"/>
      </w:divBdr>
    </w:div>
    <w:div w:id="247733038">
      <w:bodyDiv w:val="1"/>
      <w:marLeft w:val="0"/>
      <w:marRight w:val="0"/>
      <w:marTop w:val="0"/>
      <w:marBottom w:val="0"/>
      <w:divBdr>
        <w:top w:val="none" w:sz="0" w:space="0" w:color="auto"/>
        <w:left w:val="none" w:sz="0" w:space="0" w:color="auto"/>
        <w:bottom w:val="none" w:sz="0" w:space="0" w:color="auto"/>
        <w:right w:val="none" w:sz="0" w:space="0" w:color="auto"/>
      </w:divBdr>
    </w:div>
    <w:div w:id="266742625">
      <w:bodyDiv w:val="1"/>
      <w:marLeft w:val="0"/>
      <w:marRight w:val="0"/>
      <w:marTop w:val="0"/>
      <w:marBottom w:val="0"/>
      <w:divBdr>
        <w:top w:val="none" w:sz="0" w:space="0" w:color="auto"/>
        <w:left w:val="none" w:sz="0" w:space="0" w:color="auto"/>
        <w:bottom w:val="none" w:sz="0" w:space="0" w:color="auto"/>
        <w:right w:val="none" w:sz="0" w:space="0" w:color="auto"/>
      </w:divBdr>
    </w:div>
    <w:div w:id="377897813">
      <w:bodyDiv w:val="1"/>
      <w:marLeft w:val="0"/>
      <w:marRight w:val="0"/>
      <w:marTop w:val="0"/>
      <w:marBottom w:val="0"/>
      <w:divBdr>
        <w:top w:val="none" w:sz="0" w:space="0" w:color="auto"/>
        <w:left w:val="none" w:sz="0" w:space="0" w:color="auto"/>
        <w:bottom w:val="none" w:sz="0" w:space="0" w:color="auto"/>
        <w:right w:val="none" w:sz="0" w:space="0" w:color="auto"/>
      </w:divBdr>
    </w:div>
    <w:div w:id="431365820">
      <w:bodyDiv w:val="1"/>
      <w:marLeft w:val="0"/>
      <w:marRight w:val="0"/>
      <w:marTop w:val="0"/>
      <w:marBottom w:val="0"/>
      <w:divBdr>
        <w:top w:val="none" w:sz="0" w:space="0" w:color="auto"/>
        <w:left w:val="none" w:sz="0" w:space="0" w:color="auto"/>
        <w:bottom w:val="none" w:sz="0" w:space="0" w:color="auto"/>
        <w:right w:val="none" w:sz="0" w:space="0" w:color="auto"/>
      </w:divBdr>
    </w:div>
    <w:div w:id="448813800">
      <w:bodyDiv w:val="1"/>
      <w:marLeft w:val="0"/>
      <w:marRight w:val="0"/>
      <w:marTop w:val="0"/>
      <w:marBottom w:val="0"/>
      <w:divBdr>
        <w:top w:val="none" w:sz="0" w:space="0" w:color="auto"/>
        <w:left w:val="none" w:sz="0" w:space="0" w:color="auto"/>
        <w:bottom w:val="none" w:sz="0" w:space="0" w:color="auto"/>
        <w:right w:val="none" w:sz="0" w:space="0" w:color="auto"/>
      </w:divBdr>
    </w:div>
    <w:div w:id="467479699">
      <w:bodyDiv w:val="1"/>
      <w:marLeft w:val="0"/>
      <w:marRight w:val="0"/>
      <w:marTop w:val="0"/>
      <w:marBottom w:val="0"/>
      <w:divBdr>
        <w:top w:val="none" w:sz="0" w:space="0" w:color="auto"/>
        <w:left w:val="none" w:sz="0" w:space="0" w:color="auto"/>
        <w:bottom w:val="none" w:sz="0" w:space="0" w:color="auto"/>
        <w:right w:val="none" w:sz="0" w:space="0" w:color="auto"/>
      </w:divBdr>
    </w:div>
    <w:div w:id="476992944">
      <w:bodyDiv w:val="1"/>
      <w:marLeft w:val="0"/>
      <w:marRight w:val="0"/>
      <w:marTop w:val="0"/>
      <w:marBottom w:val="0"/>
      <w:divBdr>
        <w:top w:val="none" w:sz="0" w:space="0" w:color="auto"/>
        <w:left w:val="none" w:sz="0" w:space="0" w:color="auto"/>
        <w:bottom w:val="none" w:sz="0" w:space="0" w:color="auto"/>
        <w:right w:val="none" w:sz="0" w:space="0" w:color="auto"/>
      </w:divBdr>
    </w:div>
    <w:div w:id="567805742">
      <w:bodyDiv w:val="1"/>
      <w:marLeft w:val="0"/>
      <w:marRight w:val="0"/>
      <w:marTop w:val="0"/>
      <w:marBottom w:val="0"/>
      <w:divBdr>
        <w:top w:val="none" w:sz="0" w:space="0" w:color="auto"/>
        <w:left w:val="none" w:sz="0" w:space="0" w:color="auto"/>
        <w:bottom w:val="none" w:sz="0" w:space="0" w:color="auto"/>
        <w:right w:val="none" w:sz="0" w:space="0" w:color="auto"/>
      </w:divBdr>
    </w:div>
    <w:div w:id="578178094">
      <w:bodyDiv w:val="1"/>
      <w:marLeft w:val="0"/>
      <w:marRight w:val="0"/>
      <w:marTop w:val="0"/>
      <w:marBottom w:val="0"/>
      <w:divBdr>
        <w:top w:val="none" w:sz="0" w:space="0" w:color="auto"/>
        <w:left w:val="none" w:sz="0" w:space="0" w:color="auto"/>
        <w:bottom w:val="none" w:sz="0" w:space="0" w:color="auto"/>
        <w:right w:val="none" w:sz="0" w:space="0" w:color="auto"/>
      </w:divBdr>
    </w:div>
    <w:div w:id="607395216">
      <w:bodyDiv w:val="1"/>
      <w:marLeft w:val="0"/>
      <w:marRight w:val="0"/>
      <w:marTop w:val="0"/>
      <w:marBottom w:val="0"/>
      <w:divBdr>
        <w:top w:val="none" w:sz="0" w:space="0" w:color="auto"/>
        <w:left w:val="none" w:sz="0" w:space="0" w:color="auto"/>
        <w:bottom w:val="none" w:sz="0" w:space="0" w:color="auto"/>
        <w:right w:val="none" w:sz="0" w:space="0" w:color="auto"/>
      </w:divBdr>
    </w:div>
    <w:div w:id="680862201">
      <w:bodyDiv w:val="1"/>
      <w:marLeft w:val="0"/>
      <w:marRight w:val="0"/>
      <w:marTop w:val="0"/>
      <w:marBottom w:val="0"/>
      <w:divBdr>
        <w:top w:val="none" w:sz="0" w:space="0" w:color="auto"/>
        <w:left w:val="none" w:sz="0" w:space="0" w:color="auto"/>
        <w:bottom w:val="none" w:sz="0" w:space="0" w:color="auto"/>
        <w:right w:val="none" w:sz="0" w:space="0" w:color="auto"/>
      </w:divBdr>
    </w:div>
    <w:div w:id="709692823">
      <w:bodyDiv w:val="1"/>
      <w:marLeft w:val="0"/>
      <w:marRight w:val="0"/>
      <w:marTop w:val="0"/>
      <w:marBottom w:val="0"/>
      <w:divBdr>
        <w:top w:val="none" w:sz="0" w:space="0" w:color="auto"/>
        <w:left w:val="none" w:sz="0" w:space="0" w:color="auto"/>
        <w:bottom w:val="none" w:sz="0" w:space="0" w:color="auto"/>
        <w:right w:val="none" w:sz="0" w:space="0" w:color="auto"/>
      </w:divBdr>
    </w:div>
    <w:div w:id="808790097">
      <w:bodyDiv w:val="1"/>
      <w:marLeft w:val="0"/>
      <w:marRight w:val="0"/>
      <w:marTop w:val="0"/>
      <w:marBottom w:val="0"/>
      <w:divBdr>
        <w:top w:val="none" w:sz="0" w:space="0" w:color="auto"/>
        <w:left w:val="none" w:sz="0" w:space="0" w:color="auto"/>
        <w:bottom w:val="none" w:sz="0" w:space="0" w:color="auto"/>
        <w:right w:val="none" w:sz="0" w:space="0" w:color="auto"/>
      </w:divBdr>
    </w:div>
    <w:div w:id="860044469">
      <w:bodyDiv w:val="1"/>
      <w:marLeft w:val="0"/>
      <w:marRight w:val="0"/>
      <w:marTop w:val="0"/>
      <w:marBottom w:val="0"/>
      <w:divBdr>
        <w:top w:val="none" w:sz="0" w:space="0" w:color="auto"/>
        <w:left w:val="none" w:sz="0" w:space="0" w:color="auto"/>
        <w:bottom w:val="none" w:sz="0" w:space="0" w:color="auto"/>
        <w:right w:val="none" w:sz="0" w:space="0" w:color="auto"/>
      </w:divBdr>
    </w:div>
    <w:div w:id="907955101">
      <w:bodyDiv w:val="1"/>
      <w:marLeft w:val="0"/>
      <w:marRight w:val="0"/>
      <w:marTop w:val="0"/>
      <w:marBottom w:val="0"/>
      <w:divBdr>
        <w:top w:val="none" w:sz="0" w:space="0" w:color="auto"/>
        <w:left w:val="none" w:sz="0" w:space="0" w:color="auto"/>
        <w:bottom w:val="none" w:sz="0" w:space="0" w:color="auto"/>
        <w:right w:val="none" w:sz="0" w:space="0" w:color="auto"/>
      </w:divBdr>
    </w:div>
    <w:div w:id="964123773">
      <w:bodyDiv w:val="1"/>
      <w:marLeft w:val="0"/>
      <w:marRight w:val="0"/>
      <w:marTop w:val="0"/>
      <w:marBottom w:val="0"/>
      <w:divBdr>
        <w:top w:val="none" w:sz="0" w:space="0" w:color="auto"/>
        <w:left w:val="none" w:sz="0" w:space="0" w:color="auto"/>
        <w:bottom w:val="none" w:sz="0" w:space="0" w:color="auto"/>
        <w:right w:val="none" w:sz="0" w:space="0" w:color="auto"/>
      </w:divBdr>
    </w:div>
    <w:div w:id="979454966">
      <w:bodyDiv w:val="1"/>
      <w:marLeft w:val="0"/>
      <w:marRight w:val="0"/>
      <w:marTop w:val="0"/>
      <w:marBottom w:val="0"/>
      <w:divBdr>
        <w:top w:val="none" w:sz="0" w:space="0" w:color="auto"/>
        <w:left w:val="none" w:sz="0" w:space="0" w:color="auto"/>
        <w:bottom w:val="none" w:sz="0" w:space="0" w:color="auto"/>
        <w:right w:val="none" w:sz="0" w:space="0" w:color="auto"/>
      </w:divBdr>
    </w:div>
    <w:div w:id="1072776106">
      <w:bodyDiv w:val="1"/>
      <w:marLeft w:val="0"/>
      <w:marRight w:val="0"/>
      <w:marTop w:val="0"/>
      <w:marBottom w:val="0"/>
      <w:divBdr>
        <w:top w:val="none" w:sz="0" w:space="0" w:color="auto"/>
        <w:left w:val="none" w:sz="0" w:space="0" w:color="auto"/>
        <w:bottom w:val="none" w:sz="0" w:space="0" w:color="auto"/>
        <w:right w:val="none" w:sz="0" w:space="0" w:color="auto"/>
      </w:divBdr>
    </w:div>
    <w:div w:id="1226800931">
      <w:bodyDiv w:val="1"/>
      <w:marLeft w:val="0"/>
      <w:marRight w:val="0"/>
      <w:marTop w:val="0"/>
      <w:marBottom w:val="0"/>
      <w:divBdr>
        <w:top w:val="none" w:sz="0" w:space="0" w:color="auto"/>
        <w:left w:val="none" w:sz="0" w:space="0" w:color="auto"/>
        <w:bottom w:val="none" w:sz="0" w:space="0" w:color="auto"/>
        <w:right w:val="none" w:sz="0" w:space="0" w:color="auto"/>
      </w:divBdr>
    </w:div>
    <w:div w:id="1324242465">
      <w:bodyDiv w:val="1"/>
      <w:marLeft w:val="0"/>
      <w:marRight w:val="0"/>
      <w:marTop w:val="0"/>
      <w:marBottom w:val="0"/>
      <w:divBdr>
        <w:top w:val="none" w:sz="0" w:space="0" w:color="auto"/>
        <w:left w:val="none" w:sz="0" w:space="0" w:color="auto"/>
        <w:bottom w:val="none" w:sz="0" w:space="0" w:color="auto"/>
        <w:right w:val="none" w:sz="0" w:space="0" w:color="auto"/>
      </w:divBdr>
    </w:div>
    <w:div w:id="1353339190">
      <w:bodyDiv w:val="1"/>
      <w:marLeft w:val="0"/>
      <w:marRight w:val="0"/>
      <w:marTop w:val="0"/>
      <w:marBottom w:val="0"/>
      <w:divBdr>
        <w:top w:val="none" w:sz="0" w:space="0" w:color="auto"/>
        <w:left w:val="none" w:sz="0" w:space="0" w:color="auto"/>
        <w:bottom w:val="none" w:sz="0" w:space="0" w:color="auto"/>
        <w:right w:val="none" w:sz="0" w:space="0" w:color="auto"/>
      </w:divBdr>
    </w:div>
    <w:div w:id="1486052183">
      <w:bodyDiv w:val="1"/>
      <w:marLeft w:val="0"/>
      <w:marRight w:val="0"/>
      <w:marTop w:val="0"/>
      <w:marBottom w:val="0"/>
      <w:divBdr>
        <w:top w:val="none" w:sz="0" w:space="0" w:color="auto"/>
        <w:left w:val="none" w:sz="0" w:space="0" w:color="auto"/>
        <w:bottom w:val="none" w:sz="0" w:space="0" w:color="auto"/>
        <w:right w:val="none" w:sz="0" w:space="0" w:color="auto"/>
      </w:divBdr>
    </w:div>
    <w:div w:id="1638493633">
      <w:bodyDiv w:val="1"/>
      <w:marLeft w:val="0"/>
      <w:marRight w:val="0"/>
      <w:marTop w:val="0"/>
      <w:marBottom w:val="0"/>
      <w:divBdr>
        <w:top w:val="none" w:sz="0" w:space="0" w:color="auto"/>
        <w:left w:val="none" w:sz="0" w:space="0" w:color="auto"/>
        <w:bottom w:val="none" w:sz="0" w:space="0" w:color="auto"/>
        <w:right w:val="none" w:sz="0" w:space="0" w:color="auto"/>
      </w:divBdr>
    </w:div>
    <w:div w:id="1681545928">
      <w:bodyDiv w:val="1"/>
      <w:marLeft w:val="0"/>
      <w:marRight w:val="0"/>
      <w:marTop w:val="0"/>
      <w:marBottom w:val="0"/>
      <w:divBdr>
        <w:top w:val="none" w:sz="0" w:space="0" w:color="auto"/>
        <w:left w:val="none" w:sz="0" w:space="0" w:color="auto"/>
        <w:bottom w:val="none" w:sz="0" w:space="0" w:color="auto"/>
        <w:right w:val="none" w:sz="0" w:space="0" w:color="auto"/>
      </w:divBdr>
    </w:div>
    <w:div w:id="1690832939">
      <w:bodyDiv w:val="1"/>
      <w:marLeft w:val="0"/>
      <w:marRight w:val="0"/>
      <w:marTop w:val="0"/>
      <w:marBottom w:val="0"/>
      <w:divBdr>
        <w:top w:val="none" w:sz="0" w:space="0" w:color="auto"/>
        <w:left w:val="none" w:sz="0" w:space="0" w:color="auto"/>
        <w:bottom w:val="none" w:sz="0" w:space="0" w:color="auto"/>
        <w:right w:val="none" w:sz="0" w:space="0" w:color="auto"/>
      </w:divBdr>
    </w:div>
    <w:div w:id="1732269780">
      <w:bodyDiv w:val="1"/>
      <w:marLeft w:val="0"/>
      <w:marRight w:val="0"/>
      <w:marTop w:val="0"/>
      <w:marBottom w:val="0"/>
      <w:divBdr>
        <w:top w:val="none" w:sz="0" w:space="0" w:color="auto"/>
        <w:left w:val="none" w:sz="0" w:space="0" w:color="auto"/>
        <w:bottom w:val="none" w:sz="0" w:space="0" w:color="auto"/>
        <w:right w:val="none" w:sz="0" w:space="0" w:color="auto"/>
      </w:divBdr>
    </w:div>
    <w:div w:id="1765765779">
      <w:bodyDiv w:val="1"/>
      <w:marLeft w:val="0"/>
      <w:marRight w:val="0"/>
      <w:marTop w:val="0"/>
      <w:marBottom w:val="0"/>
      <w:divBdr>
        <w:top w:val="none" w:sz="0" w:space="0" w:color="auto"/>
        <w:left w:val="none" w:sz="0" w:space="0" w:color="auto"/>
        <w:bottom w:val="none" w:sz="0" w:space="0" w:color="auto"/>
        <w:right w:val="none" w:sz="0" w:space="0" w:color="auto"/>
      </w:divBdr>
    </w:div>
    <w:div w:id="1777366250">
      <w:bodyDiv w:val="1"/>
      <w:marLeft w:val="0"/>
      <w:marRight w:val="0"/>
      <w:marTop w:val="0"/>
      <w:marBottom w:val="0"/>
      <w:divBdr>
        <w:top w:val="none" w:sz="0" w:space="0" w:color="auto"/>
        <w:left w:val="none" w:sz="0" w:space="0" w:color="auto"/>
        <w:bottom w:val="none" w:sz="0" w:space="0" w:color="auto"/>
        <w:right w:val="none" w:sz="0" w:space="0" w:color="auto"/>
      </w:divBdr>
    </w:div>
    <w:div w:id="1783987333">
      <w:bodyDiv w:val="1"/>
      <w:marLeft w:val="0"/>
      <w:marRight w:val="0"/>
      <w:marTop w:val="0"/>
      <w:marBottom w:val="0"/>
      <w:divBdr>
        <w:top w:val="none" w:sz="0" w:space="0" w:color="auto"/>
        <w:left w:val="none" w:sz="0" w:space="0" w:color="auto"/>
        <w:bottom w:val="none" w:sz="0" w:space="0" w:color="auto"/>
        <w:right w:val="none" w:sz="0" w:space="0" w:color="auto"/>
      </w:divBdr>
    </w:div>
    <w:div w:id="1899243586">
      <w:bodyDiv w:val="1"/>
      <w:marLeft w:val="0"/>
      <w:marRight w:val="0"/>
      <w:marTop w:val="0"/>
      <w:marBottom w:val="0"/>
      <w:divBdr>
        <w:top w:val="none" w:sz="0" w:space="0" w:color="auto"/>
        <w:left w:val="none" w:sz="0" w:space="0" w:color="auto"/>
        <w:bottom w:val="none" w:sz="0" w:space="0" w:color="auto"/>
        <w:right w:val="none" w:sz="0" w:space="0" w:color="auto"/>
      </w:divBdr>
    </w:div>
    <w:div w:id="1950312644">
      <w:bodyDiv w:val="1"/>
      <w:marLeft w:val="0"/>
      <w:marRight w:val="0"/>
      <w:marTop w:val="0"/>
      <w:marBottom w:val="0"/>
      <w:divBdr>
        <w:top w:val="none" w:sz="0" w:space="0" w:color="auto"/>
        <w:left w:val="none" w:sz="0" w:space="0" w:color="auto"/>
        <w:bottom w:val="none" w:sz="0" w:space="0" w:color="auto"/>
        <w:right w:val="none" w:sz="0" w:space="0" w:color="auto"/>
      </w:divBdr>
    </w:div>
    <w:div w:id="2027318506">
      <w:bodyDiv w:val="1"/>
      <w:marLeft w:val="0"/>
      <w:marRight w:val="0"/>
      <w:marTop w:val="0"/>
      <w:marBottom w:val="0"/>
      <w:divBdr>
        <w:top w:val="none" w:sz="0" w:space="0" w:color="auto"/>
        <w:left w:val="none" w:sz="0" w:space="0" w:color="auto"/>
        <w:bottom w:val="none" w:sz="0" w:space="0" w:color="auto"/>
        <w:right w:val="none" w:sz="0" w:space="0" w:color="auto"/>
      </w:divBdr>
    </w:div>
    <w:div w:id="2035840363">
      <w:bodyDiv w:val="1"/>
      <w:marLeft w:val="0"/>
      <w:marRight w:val="0"/>
      <w:marTop w:val="0"/>
      <w:marBottom w:val="0"/>
      <w:divBdr>
        <w:top w:val="none" w:sz="0" w:space="0" w:color="auto"/>
        <w:left w:val="none" w:sz="0" w:space="0" w:color="auto"/>
        <w:bottom w:val="none" w:sz="0" w:space="0" w:color="auto"/>
        <w:right w:val="none" w:sz="0" w:space="0" w:color="auto"/>
      </w:divBdr>
    </w:div>
    <w:div w:id="2078506188">
      <w:bodyDiv w:val="1"/>
      <w:marLeft w:val="0"/>
      <w:marRight w:val="0"/>
      <w:marTop w:val="0"/>
      <w:marBottom w:val="0"/>
      <w:divBdr>
        <w:top w:val="none" w:sz="0" w:space="0" w:color="auto"/>
        <w:left w:val="none" w:sz="0" w:space="0" w:color="auto"/>
        <w:bottom w:val="none" w:sz="0" w:space="0" w:color="auto"/>
        <w:right w:val="none" w:sz="0" w:space="0" w:color="auto"/>
      </w:divBdr>
    </w:div>
    <w:div w:id="2100372624">
      <w:bodyDiv w:val="1"/>
      <w:marLeft w:val="0"/>
      <w:marRight w:val="0"/>
      <w:marTop w:val="0"/>
      <w:marBottom w:val="0"/>
      <w:divBdr>
        <w:top w:val="none" w:sz="0" w:space="0" w:color="auto"/>
        <w:left w:val="none" w:sz="0" w:space="0" w:color="auto"/>
        <w:bottom w:val="none" w:sz="0" w:space="0" w:color="auto"/>
        <w:right w:val="none" w:sz="0" w:space="0" w:color="auto"/>
      </w:divBdr>
    </w:div>
    <w:div w:id="212025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28</TotalTime>
  <Pages>16</Pages>
  <Words>5569</Words>
  <Characters>32773</Characters>
  <Application>Microsoft Office Word</Application>
  <DocSecurity>0</DocSecurity>
  <Lines>273</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2023040514 var 43 prac opdatering</dc:description>
  <cp:lastModifiedBy>Hanne Thy Iversen</cp:lastModifiedBy>
  <cp:revision>10</cp:revision>
  <cp:lastPrinted>2006-02-24T09:31:00Z</cp:lastPrinted>
  <dcterms:created xsi:type="dcterms:W3CDTF">2023-11-15T14:05:00Z</dcterms:created>
  <dcterms:modified xsi:type="dcterms:W3CDTF">2023-11-15T14:34:00Z</dcterms:modified>
</cp:coreProperties>
</file>