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FB458" w14:textId="52E8CC78" w:rsidR="009260DE" w:rsidRPr="00C84483" w:rsidRDefault="0021526C" w:rsidP="00EB5798">
      <w:pPr>
        <w:rPr>
          <w:b/>
          <w:szCs w:val="24"/>
        </w:rPr>
      </w:pPr>
      <w:r w:rsidRPr="009260DE">
        <w:rPr>
          <w:noProof/>
          <w:sz w:val="24"/>
          <w:szCs w:val="24"/>
          <w:lang w:eastAsia="da-DK"/>
        </w:rPr>
        <w:drawing>
          <wp:anchor distT="0" distB="0" distL="114300" distR="114300" simplePos="0" relativeHeight="251658240" behindDoc="0" locked="0" layoutInCell="1" allowOverlap="1" wp14:anchorId="071BC83D" wp14:editId="4FDD7E1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2866DF5" w14:textId="55AE376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45167">
        <w:rPr>
          <w:szCs w:val="24"/>
        </w:rPr>
        <w:t>15</w:t>
      </w:r>
      <w:r w:rsidR="00F26314">
        <w:rPr>
          <w:szCs w:val="24"/>
        </w:rPr>
        <w:t xml:space="preserve">. </w:t>
      </w:r>
      <w:r w:rsidR="00645167">
        <w:rPr>
          <w:szCs w:val="24"/>
        </w:rPr>
        <w:t>november</w:t>
      </w:r>
      <w:r w:rsidR="00F26314">
        <w:rPr>
          <w:szCs w:val="24"/>
        </w:rPr>
        <w:t xml:space="preserve"> 2019</w:t>
      </w:r>
    </w:p>
    <w:p w14:paraId="64CCB90C" w14:textId="77777777" w:rsidR="009260DE" w:rsidRDefault="009260DE" w:rsidP="009260DE">
      <w:pPr>
        <w:pStyle w:val="Titel"/>
        <w:jc w:val="left"/>
        <w:rPr>
          <w:b w:val="0"/>
          <w:szCs w:val="24"/>
        </w:rPr>
      </w:pPr>
    </w:p>
    <w:p w14:paraId="1CE3EC6F" w14:textId="77777777" w:rsidR="009260DE" w:rsidRPr="00C84483" w:rsidRDefault="009260DE" w:rsidP="009260DE">
      <w:pPr>
        <w:jc w:val="center"/>
        <w:rPr>
          <w:b/>
          <w:sz w:val="24"/>
          <w:szCs w:val="24"/>
        </w:rPr>
      </w:pPr>
      <w:r w:rsidRPr="00C84483">
        <w:rPr>
          <w:b/>
          <w:sz w:val="24"/>
          <w:szCs w:val="24"/>
        </w:rPr>
        <w:t>PRODUKTRESUMÉ</w:t>
      </w:r>
    </w:p>
    <w:p w14:paraId="6EF22774" w14:textId="77777777" w:rsidR="009260DE" w:rsidRPr="00C84483" w:rsidRDefault="009260DE" w:rsidP="009260DE">
      <w:pPr>
        <w:jc w:val="center"/>
        <w:rPr>
          <w:b/>
          <w:sz w:val="24"/>
          <w:szCs w:val="24"/>
        </w:rPr>
      </w:pPr>
    </w:p>
    <w:p w14:paraId="5AE071C5" w14:textId="77777777" w:rsidR="009260DE" w:rsidRDefault="009260DE" w:rsidP="009260DE">
      <w:pPr>
        <w:jc w:val="center"/>
        <w:rPr>
          <w:b/>
          <w:sz w:val="24"/>
          <w:szCs w:val="24"/>
        </w:rPr>
      </w:pPr>
      <w:r w:rsidRPr="00C84483">
        <w:rPr>
          <w:b/>
          <w:sz w:val="24"/>
          <w:szCs w:val="24"/>
        </w:rPr>
        <w:t>for</w:t>
      </w:r>
    </w:p>
    <w:p w14:paraId="6F796A4E" w14:textId="77777777" w:rsidR="000B058C" w:rsidRPr="00C84483" w:rsidRDefault="000B058C" w:rsidP="009260DE">
      <w:pPr>
        <w:jc w:val="center"/>
        <w:rPr>
          <w:b/>
          <w:sz w:val="24"/>
          <w:szCs w:val="24"/>
        </w:rPr>
      </w:pPr>
    </w:p>
    <w:p w14:paraId="1FF02714" w14:textId="377D7DE2" w:rsidR="009260DE" w:rsidRPr="00C84483" w:rsidRDefault="00902005" w:rsidP="009260DE">
      <w:pPr>
        <w:jc w:val="center"/>
        <w:rPr>
          <w:b/>
          <w:sz w:val="24"/>
          <w:szCs w:val="24"/>
        </w:rPr>
      </w:pPr>
      <w:r>
        <w:rPr>
          <w:b/>
          <w:sz w:val="24"/>
          <w:szCs w:val="24"/>
        </w:rPr>
        <w:t>Folsyre "Orifarm", tabletter 5 mg</w:t>
      </w:r>
    </w:p>
    <w:p w14:paraId="5B17DDBD" w14:textId="77777777" w:rsidR="009260DE" w:rsidRPr="00C84483" w:rsidRDefault="009260DE" w:rsidP="009260DE">
      <w:pPr>
        <w:jc w:val="both"/>
        <w:rPr>
          <w:sz w:val="24"/>
          <w:szCs w:val="24"/>
        </w:rPr>
      </w:pPr>
    </w:p>
    <w:p w14:paraId="3DA293B2" w14:textId="77777777" w:rsidR="009260DE" w:rsidRPr="002E663A" w:rsidRDefault="009260DE" w:rsidP="00EB5798">
      <w:pPr>
        <w:ind w:left="851" w:hanging="851"/>
        <w:jc w:val="both"/>
        <w:rPr>
          <w:sz w:val="24"/>
          <w:szCs w:val="24"/>
        </w:rPr>
      </w:pPr>
    </w:p>
    <w:p w14:paraId="2108ED0E" w14:textId="77777777" w:rsidR="009260DE" w:rsidRPr="002E663A" w:rsidRDefault="009260DE" w:rsidP="00EB5798">
      <w:pPr>
        <w:tabs>
          <w:tab w:val="left" w:pos="851"/>
        </w:tabs>
        <w:ind w:left="851" w:hanging="851"/>
        <w:rPr>
          <w:b/>
          <w:sz w:val="24"/>
          <w:szCs w:val="24"/>
        </w:rPr>
      </w:pPr>
      <w:r w:rsidRPr="002E663A">
        <w:rPr>
          <w:b/>
          <w:sz w:val="24"/>
          <w:szCs w:val="24"/>
        </w:rPr>
        <w:t>0.</w:t>
      </w:r>
      <w:r w:rsidRPr="002E663A">
        <w:rPr>
          <w:b/>
          <w:sz w:val="24"/>
          <w:szCs w:val="24"/>
        </w:rPr>
        <w:tab/>
        <w:t>D.SP.NR.</w:t>
      </w:r>
    </w:p>
    <w:p w14:paraId="6E7B004F" w14:textId="05E654E8" w:rsidR="009260DE" w:rsidRPr="002E663A" w:rsidRDefault="00EB5798" w:rsidP="00EB5798">
      <w:pPr>
        <w:tabs>
          <w:tab w:val="left" w:pos="851"/>
        </w:tabs>
        <w:ind w:left="851" w:hanging="851"/>
        <w:rPr>
          <w:sz w:val="24"/>
          <w:szCs w:val="24"/>
        </w:rPr>
      </w:pPr>
      <w:r w:rsidRPr="002E663A">
        <w:rPr>
          <w:sz w:val="24"/>
          <w:szCs w:val="24"/>
        </w:rPr>
        <w:tab/>
      </w:r>
      <w:r w:rsidR="00902005" w:rsidRPr="002E663A">
        <w:rPr>
          <w:sz w:val="24"/>
          <w:szCs w:val="24"/>
        </w:rPr>
        <w:t>30554</w:t>
      </w:r>
    </w:p>
    <w:p w14:paraId="7FC7C8D0" w14:textId="77777777" w:rsidR="009260DE" w:rsidRPr="002E663A" w:rsidRDefault="009260DE" w:rsidP="00EB5798">
      <w:pPr>
        <w:tabs>
          <w:tab w:val="left" w:pos="851"/>
        </w:tabs>
        <w:ind w:left="851" w:hanging="851"/>
        <w:rPr>
          <w:sz w:val="24"/>
          <w:szCs w:val="24"/>
        </w:rPr>
      </w:pPr>
    </w:p>
    <w:p w14:paraId="2E6FC5FB" w14:textId="77777777" w:rsidR="009260DE" w:rsidRPr="002E663A" w:rsidRDefault="009260DE" w:rsidP="00EB5798">
      <w:pPr>
        <w:tabs>
          <w:tab w:val="left" w:pos="851"/>
        </w:tabs>
        <w:ind w:left="851" w:hanging="851"/>
        <w:rPr>
          <w:b/>
          <w:sz w:val="24"/>
          <w:szCs w:val="24"/>
        </w:rPr>
      </w:pPr>
      <w:r w:rsidRPr="002E663A">
        <w:rPr>
          <w:b/>
          <w:sz w:val="24"/>
          <w:szCs w:val="24"/>
        </w:rPr>
        <w:t>1.</w:t>
      </w:r>
      <w:r w:rsidRPr="002E663A">
        <w:rPr>
          <w:b/>
          <w:sz w:val="24"/>
          <w:szCs w:val="24"/>
        </w:rPr>
        <w:tab/>
        <w:t>LÆGEMIDLETS NAVN</w:t>
      </w:r>
    </w:p>
    <w:p w14:paraId="110AEFC0" w14:textId="7053F22A" w:rsidR="009260DE" w:rsidRPr="002E663A" w:rsidRDefault="00EB5798" w:rsidP="00EB5798">
      <w:pPr>
        <w:tabs>
          <w:tab w:val="left" w:pos="851"/>
        </w:tabs>
        <w:ind w:left="851" w:hanging="851"/>
        <w:rPr>
          <w:sz w:val="24"/>
          <w:szCs w:val="24"/>
        </w:rPr>
      </w:pPr>
      <w:r w:rsidRPr="002E663A">
        <w:rPr>
          <w:sz w:val="24"/>
          <w:szCs w:val="24"/>
        </w:rPr>
        <w:tab/>
      </w:r>
      <w:r w:rsidR="00902005" w:rsidRPr="002E663A">
        <w:rPr>
          <w:sz w:val="24"/>
          <w:szCs w:val="24"/>
        </w:rPr>
        <w:t>Folsyre "Orifarm"</w:t>
      </w:r>
    </w:p>
    <w:p w14:paraId="6B9C49C0" w14:textId="77777777" w:rsidR="009260DE" w:rsidRPr="002E663A" w:rsidRDefault="009260DE" w:rsidP="00EB5798">
      <w:pPr>
        <w:tabs>
          <w:tab w:val="left" w:pos="851"/>
        </w:tabs>
        <w:ind w:left="851" w:hanging="851"/>
        <w:rPr>
          <w:sz w:val="24"/>
          <w:szCs w:val="24"/>
        </w:rPr>
      </w:pPr>
    </w:p>
    <w:p w14:paraId="65C64302" w14:textId="77777777" w:rsidR="009260DE" w:rsidRPr="002E663A" w:rsidRDefault="009260DE" w:rsidP="00EB5798">
      <w:pPr>
        <w:tabs>
          <w:tab w:val="left" w:pos="851"/>
        </w:tabs>
        <w:ind w:left="851" w:hanging="851"/>
        <w:rPr>
          <w:b/>
          <w:sz w:val="24"/>
          <w:szCs w:val="24"/>
        </w:rPr>
      </w:pPr>
      <w:r w:rsidRPr="002E663A">
        <w:rPr>
          <w:b/>
          <w:sz w:val="24"/>
          <w:szCs w:val="24"/>
        </w:rPr>
        <w:t>2.</w:t>
      </w:r>
      <w:r w:rsidRPr="002E663A">
        <w:rPr>
          <w:b/>
          <w:sz w:val="24"/>
          <w:szCs w:val="24"/>
        </w:rPr>
        <w:tab/>
        <w:t>KVALITATIV OG KVANTITATIV SAMMENSÆTNING</w:t>
      </w:r>
    </w:p>
    <w:p w14:paraId="34A58A83" w14:textId="77777777" w:rsidR="001252D3" w:rsidRPr="002E663A" w:rsidRDefault="001252D3" w:rsidP="00EB5798">
      <w:pPr>
        <w:ind w:left="851"/>
        <w:rPr>
          <w:spacing w:val="-3"/>
          <w:sz w:val="24"/>
          <w:szCs w:val="24"/>
        </w:rPr>
      </w:pPr>
      <w:r w:rsidRPr="002E663A">
        <w:rPr>
          <w:sz w:val="24"/>
          <w:szCs w:val="24"/>
        </w:rPr>
        <w:t>Hver tablet indeholder 5 mg f</w:t>
      </w:r>
      <w:r w:rsidRPr="002E663A">
        <w:rPr>
          <w:spacing w:val="-3"/>
          <w:sz w:val="24"/>
          <w:szCs w:val="24"/>
        </w:rPr>
        <w:t>olsyre svarende til 4,62</w:t>
      </w:r>
      <w:r w:rsidRPr="002E663A">
        <w:rPr>
          <w:sz w:val="24"/>
          <w:szCs w:val="24"/>
        </w:rPr>
        <w:t xml:space="preserve"> mg vandfri folsyre</w:t>
      </w:r>
      <w:r w:rsidRPr="002E663A">
        <w:rPr>
          <w:spacing w:val="-3"/>
          <w:sz w:val="24"/>
          <w:szCs w:val="24"/>
        </w:rPr>
        <w:t>.</w:t>
      </w:r>
    </w:p>
    <w:p w14:paraId="4DBF891F" w14:textId="77777777" w:rsidR="001252D3" w:rsidRPr="002E663A" w:rsidRDefault="001252D3" w:rsidP="00EB5798">
      <w:pPr>
        <w:ind w:left="851"/>
        <w:rPr>
          <w:sz w:val="24"/>
          <w:szCs w:val="24"/>
        </w:rPr>
      </w:pPr>
      <w:r w:rsidRPr="002E663A">
        <w:rPr>
          <w:sz w:val="24"/>
          <w:szCs w:val="24"/>
        </w:rPr>
        <w:t>Alle hjælpestoffer er anført under pkt. 6.1.</w:t>
      </w:r>
    </w:p>
    <w:p w14:paraId="2AC291EA" w14:textId="77777777" w:rsidR="009260DE" w:rsidRPr="002E663A" w:rsidRDefault="009260DE" w:rsidP="00EB5798">
      <w:pPr>
        <w:ind w:left="851"/>
        <w:rPr>
          <w:sz w:val="24"/>
          <w:szCs w:val="24"/>
        </w:rPr>
      </w:pPr>
    </w:p>
    <w:p w14:paraId="056486C5" w14:textId="77777777" w:rsidR="009260DE" w:rsidRPr="002E663A" w:rsidRDefault="009260DE" w:rsidP="00EB5798">
      <w:pPr>
        <w:tabs>
          <w:tab w:val="left" w:pos="851"/>
        </w:tabs>
        <w:ind w:left="851" w:hanging="851"/>
        <w:rPr>
          <w:b/>
          <w:sz w:val="24"/>
          <w:szCs w:val="24"/>
        </w:rPr>
      </w:pPr>
      <w:r w:rsidRPr="002E663A">
        <w:rPr>
          <w:b/>
          <w:sz w:val="24"/>
          <w:szCs w:val="24"/>
        </w:rPr>
        <w:t>3.</w:t>
      </w:r>
      <w:r w:rsidRPr="002E663A">
        <w:rPr>
          <w:b/>
          <w:sz w:val="24"/>
          <w:szCs w:val="24"/>
        </w:rPr>
        <w:tab/>
        <w:t>LÆGEMIDDELFORM</w:t>
      </w:r>
    </w:p>
    <w:p w14:paraId="43485364" w14:textId="77777777" w:rsidR="001252D3" w:rsidRPr="002E663A" w:rsidRDefault="001252D3" w:rsidP="00EB5798">
      <w:pPr>
        <w:suppressAutoHyphens/>
        <w:ind w:left="851"/>
        <w:rPr>
          <w:sz w:val="24"/>
          <w:szCs w:val="24"/>
        </w:rPr>
      </w:pPr>
      <w:r w:rsidRPr="002E663A">
        <w:rPr>
          <w:spacing w:val="-3"/>
          <w:sz w:val="24"/>
          <w:szCs w:val="24"/>
        </w:rPr>
        <w:t>Tabletter</w:t>
      </w:r>
    </w:p>
    <w:p w14:paraId="48B40E8D" w14:textId="77777777" w:rsidR="001252D3" w:rsidRPr="002E663A" w:rsidRDefault="001252D3" w:rsidP="00EB5798">
      <w:pPr>
        <w:suppressAutoHyphens/>
        <w:ind w:left="851"/>
        <w:rPr>
          <w:sz w:val="24"/>
          <w:szCs w:val="24"/>
        </w:rPr>
      </w:pPr>
    </w:p>
    <w:p w14:paraId="3E9F0E4A" w14:textId="77777777" w:rsidR="001252D3" w:rsidRPr="002E663A" w:rsidRDefault="001252D3" w:rsidP="00EB5798">
      <w:pPr>
        <w:ind w:left="851"/>
        <w:rPr>
          <w:i/>
          <w:sz w:val="24"/>
          <w:szCs w:val="24"/>
        </w:rPr>
      </w:pPr>
      <w:r w:rsidRPr="002E663A">
        <w:rPr>
          <w:i/>
          <w:sz w:val="24"/>
          <w:szCs w:val="24"/>
        </w:rPr>
        <w:t>Udseende:</w:t>
      </w:r>
    </w:p>
    <w:p w14:paraId="76F40944" w14:textId="77777777" w:rsidR="001252D3" w:rsidRPr="002E663A" w:rsidRDefault="001252D3" w:rsidP="00EB5798">
      <w:pPr>
        <w:suppressAutoHyphens/>
        <w:ind w:left="851"/>
        <w:rPr>
          <w:color w:val="222222"/>
          <w:sz w:val="24"/>
          <w:szCs w:val="24"/>
        </w:rPr>
      </w:pPr>
      <w:r w:rsidRPr="002E663A">
        <w:rPr>
          <w:color w:val="222222"/>
          <w:sz w:val="24"/>
          <w:szCs w:val="24"/>
        </w:rPr>
        <w:t xml:space="preserve">Gul til orange, rund, konveks tablet med facetslebne kanter, mærket med en prik på den ene side og med delekærv på den anden side. Diameter 7 mm. </w:t>
      </w:r>
    </w:p>
    <w:p w14:paraId="0B14747C" w14:textId="77777777" w:rsidR="001252D3" w:rsidRPr="002E663A" w:rsidRDefault="001252D3" w:rsidP="00EB5798">
      <w:pPr>
        <w:tabs>
          <w:tab w:val="left" w:pos="-720"/>
        </w:tabs>
        <w:suppressAutoHyphens/>
        <w:ind w:left="851"/>
        <w:rPr>
          <w:sz w:val="24"/>
          <w:szCs w:val="24"/>
        </w:rPr>
      </w:pPr>
    </w:p>
    <w:p w14:paraId="2AC57969" w14:textId="77777777" w:rsidR="001252D3" w:rsidRPr="002E663A" w:rsidRDefault="001252D3" w:rsidP="00EB5798">
      <w:pPr>
        <w:tabs>
          <w:tab w:val="left" w:pos="-720"/>
        </w:tabs>
        <w:suppressAutoHyphens/>
        <w:ind w:left="851"/>
        <w:rPr>
          <w:sz w:val="24"/>
          <w:szCs w:val="24"/>
        </w:rPr>
      </w:pPr>
      <w:r w:rsidRPr="002E663A">
        <w:rPr>
          <w:sz w:val="24"/>
          <w:szCs w:val="24"/>
        </w:rPr>
        <w:t>Tabletten kan deles i to lige store doser.</w:t>
      </w:r>
    </w:p>
    <w:p w14:paraId="2A8E247B" w14:textId="77777777" w:rsidR="009260DE" w:rsidRPr="002E663A" w:rsidRDefault="009260DE" w:rsidP="00EB5798">
      <w:pPr>
        <w:tabs>
          <w:tab w:val="left" w:pos="851"/>
        </w:tabs>
        <w:ind w:left="851" w:hanging="851"/>
        <w:rPr>
          <w:sz w:val="24"/>
          <w:szCs w:val="24"/>
        </w:rPr>
      </w:pPr>
    </w:p>
    <w:p w14:paraId="2A1A490B" w14:textId="77777777" w:rsidR="009260DE" w:rsidRPr="002E663A" w:rsidRDefault="009260DE" w:rsidP="00EB5798">
      <w:pPr>
        <w:tabs>
          <w:tab w:val="left" w:pos="851"/>
        </w:tabs>
        <w:ind w:left="851" w:hanging="851"/>
        <w:rPr>
          <w:sz w:val="24"/>
          <w:szCs w:val="24"/>
        </w:rPr>
      </w:pPr>
    </w:p>
    <w:p w14:paraId="4D70F3FA" w14:textId="77777777" w:rsidR="009260DE" w:rsidRPr="002E663A" w:rsidRDefault="009260DE" w:rsidP="00EB5798">
      <w:pPr>
        <w:tabs>
          <w:tab w:val="left" w:pos="851"/>
        </w:tabs>
        <w:ind w:left="851" w:hanging="851"/>
        <w:rPr>
          <w:b/>
          <w:sz w:val="24"/>
          <w:szCs w:val="24"/>
        </w:rPr>
      </w:pPr>
      <w:r w:rsidRPr="002E663A">
        <w:rPr>
          <w:b/>
          <w:sz w:val="24"/>
          <w:szCs w:val="24"/>
        </w:rPr>
        <w:t>4.</w:t>
      </w:r>
      <w:r w:rsidRPr="002E663A">
        <w:rPr>
          <w:b/>
          <w:sz w:val="24"/>
          <w:szCs w:val="24"/>
        </w:rPr>
        <w:tab/>
        <w:t>KLINISKE OPLYSNINGER</w:t>
      </w:r>
    </w:p>
    <w:p w14:paraId="014C9484" w14:textId="77777777" w:rsidR="009260DE" w:rsidRPr="002E663A" w:rsidRDefault="009260DE" w:rsidP="00EB5798">
      <w:pPr>
        <w:tabs>
          <w:tab w:val="left" w:pos="851"/>
        </w:tabs>
        <w:ind w:left="851" w:hanging="851"/>
        <w:rPr>
          <w:b/>
          <w:sz w:val="24"/>
          <w:szCs w:val="24"/>
        </w:rPr>
      </w:pPr>
    </w:p>
    <w:p w14:paraId="71EA457F" w14:textId="77777777" w:rsidR="009260DE" w:rsidRPr="002E663A" w:rsidRDefault="009260DE" w:rsidP="00EB5798">
      <w:pPr>
        <w:tabs>
          <w:tab w:val="left" w:pos="851"/>
        </w:tabs>
        <w:ind w:left="851" w:hanging="851"/>
        <w:rPr>
          <w:b/>
          <w:sz w:val="24"/>
          <w:szCs w:val="24"/>
          <w:u w:val="single"/>
        </w:rPr>
      </w:pPr>
      <w:r w:rsidRPr="002E663A">
        <w:rPr>
          <w:b/>
          <w:sz w:val="24"/>
          <w:szCs w:val="24"/>
        </w:rPr>
        <w:t>4.1</w:t>
      </w:r>
      <w:r w:rsidRPr="002E663A">
        <w:rPr>
          <w:b/>
          <w:sz w:val="24"/>
          <w:szCs w:val="24"/>
        </w:rPr>
        <w:tab/>
        <w:t>Terapeutiske indikationer</w:t>
      </w:r>
    </w:p>
    <w:p w14:paraId="5A88ED2B" w14:textId="77777777" w:rsidR="001252D3" w:rsidRPr="002E663A" w:rsidRDefault="001252D3" w:rsidP="00EB5798">
      <w:pPr>
        <w:tabs>
          <w:tab w:val="left" w:pos="0"/>
        </w:tabs>
        <w:ind w:left="851" w:hanging="851"/>
        <w:jc w:val="both"/>
        <w:rPr>
          <w:spacing w:val="-3"/>
          <w:sz w:val="24"/>
          <w:szCs w:val="24"/>
        </w:rPr>
      </w:pPr>
      <w:r w:rsidRPr="002E663A">
        <w:rPr>
          <w:spacing w:val="-3"/>
          <w:sz w:val="24"/>
          <w:szCs w:val="24"/>
        </w:rPr>
        <w:tab/>
        <w:t>Malabsorptionsbetinget og alimentær folatmangel.</w:t>
      </w:r>
    </w:p>
    <w:p w14:paraId="14EE1D00" w14:textId="77777777" w:rsidR="009260DE" w:rsidRPr="002E663A" w:rsidRDefault="009260DE" w:rsidP="00EB5798">
      <w:pPr>
        <w:tabs>
          <w:tab w:val="left" w:pos="851"/>
        </w:tabs>
        <w:ind w:left="851" w:hanging="851"/>
        <w:rPr>
          <w:sz w:val="24"/>
          <w:szCs w:val="24"/>
        </w:rPr>
      </w:pPr>
    </w:p>
    <w:p w14:paraId="0DDB5521" w14:textId="77777777" w:rsidR="009260DE" w:rsidRPr="002E663A" w:rsidRDefault="009260DE" w:rsidP="00EB5798">
      <w:pPr>
        <w:tabs>
          <w:tab w:val="left" w:pos="851"/>
        </w:tabs>
        <w:ind w:left="851" w:hanging="851"/>
        <w:rPr>
          <w:b/>
          <w:sz w:val="24"/>
          <w:szCs w:val="24"/>
        </w:rPr>
      </w:pPr>
      <w:r w:rsidRPr="002E663A">
        <w:rPr>
          <w:b/>
          <w:sz w:val="24"/>
          <w:szCs w:val="24"/>
        </w:rPr>
        <w:t>4.2</w:t>
      </w:r>
      <w:r w:rsidRPr="002E663A">
        <w:rPr>
          <w:b/>
          <w:sz w:val="24"/>
          <w:szCs w:val="24"/>
        </w:rPr>
        <w:tab/>
        <w:t>Dosering og indgivelsesmåde</w:t>
      </w:r>
    </w:p>
    <w:p w14:paraId="739CA64D" w14:textId="19212F9D" w:rsidR="001252D3" w:rsidRPr="002E663A" w:rsidRDefault="001252D3" w:rsidP="00EB5798">
      <w:pPr>
        <w:ind w:left="851"/>
        <w:rPr>
          <w:spacing w:val="-3"/>
          <w:sz w:val="24"/>
          <w:szCs w:val="24"/>
        </w:rPr>
      </w:pPr>
      <w:r w:rsidRPr="002E663A">
        <w:rPr>
          <w:spacing w:val="-3"/>
          <w:sz w:val="24"/>
          <w:szCs w:val="24"/>
        </w:rPr>
        <w:t>5</w:t>
      </w:r>
      <w:r w:rsidR="00864A59">
        <w:rPr>
          <w:spacing w:val="-3"/>
          <w:sz w:val="24"/>
          <w:szCs w:val="24"/>
        </w:rPr>
        <w:t xml:space="preserve"> </w:t>
      </w:r>
      <w:r w:rsidRPr="002E663A">
        <w:rPr>
          <w:spacing w:val="-3"/>
          <w:sz w:val="24"/>
          <w:szCs w:val="24"/>
        </w:rPr>
        <w:t>-</w:t>
      </w:r>
      <w:r w:rsidR="00864A59">
        <w:rPr>
          <w:spacing w:val="-3"/>
          <w:sz w:val="24"/>
          <w:szCs w:val="24"/>
        </w:rPr>
        <w:t xml:space="preserve"> </w:t>
      </w:r>
      <w:r w:rsidRPr="002E663A">
        <w:rPr>
          <w:spacing w:val="-3"/>
          <w:sz w:val="24"/>
          <w:szCs w:val="24"/>
        </w:rPr>
        <w:t>20 mg daglig.</w:t>
      </w:r>
    </w:p>
    <w:p w14:paraId="4C2130B1" w14:textId="77777777" w:rsidR="009260DE" w:rsidRPr="002E663A" w:rsidRDefault="009260DE" w:rsidP="00EB5798">
      <w:pPr>
        <w:tabs>
          <w:tab w:val="left" w:pos="851"/>
        </w:tabs>
        <w:ind w:left="851" w:hanging="851"/>
        <w:rPr>
          <w:sz w:val="24"/>
          <w:szCs w:val="24"/>
        </w:rPr>
      </w:pPr>
    </w:p>
    <w:p w14:paraId="3055CCB2" w14:textId="77777777" w:rsidR="009260DE" w:rsidRPr="002E663A" w:rsidRDefault="009260DE" w:rsidP="00EB5798">
      <w:pPr>
        <w:tabs>
          <w:tab w:val="left" w:pos="851"/>
        </w:tabs>
        <w:ind w:left="851" w:hanging="851"/>
        <w:rPr>
          <w:b/>
          <w:sz w:val="24"/>
          <w:szCs w:val="24"/>
        </w:rPr>
      </w:pPr>
      <w:r w:rsidRPr="002E663A">
        <w:rPr>
          <w:b/>
          <w:sz w:val="24"/>
          <w:szCs w:val="24"/>
        </w:rPr>
        <w:t>4.3</w:t>
      </w:r>
      <w:r w:rsidRPr="002E663A">
        <w:rPr>
          <w:b/>
          <w:sz w:val="24"/>
          <w:szCs w:val="24"/>
        </w:rPr>
        <w:tab/>
        <w:t>Kontraindikationer</w:t>
      </w:r>
    </w:p>
    <w:p w14:paraId="1CA9EC0D" w14:textId="77777777" w:rsidR="001252D3" w:rsidRPr="002E663A" w:rsidRDefault="001252D3" w:rsidP="00EB5798">
      <w:pPr>
        <w:pStyle w:val="Listeafsnit"/>
        <w:numPr>
          <w:ilvl w:val="0"/>
          <w:numId w:val="6"/>
        </w:numPr>
        <w:ind w:left="1276" w:hanging="425"/>
        <w:rPr>
          <w:sz w:val="24"/>
          <w:szCs w:val="24"/>
        </w:rPr>
      </w:pPr>
      <w:r w:rsidRPr="002E663A">
        <w:rPr>
          <w:sz w:val="24"/>
          <w:szCs w:val="24"/>
        </w:rPr>
        <w:t xml:space="preserve">Overfølsomhed over for det aktive stof eller over for et eller flere af hjælpestofferne anført i pkt. 6.1 </w:t>
      </w:r>
    </w:p>
    <w:p w14:paraId="3DD1777A" w14:textId="77777777" w:rsidR="001252D3" w:rsidRPr="002E663A" w:rsidRDefault="001252D3" w:rsidP="00EB5798">
      <w:pPr>
        <w:pStyle w:val="Listeafsnit"/>
        <w:numPr>
          <w:ilvl w:val="0"/>
          <w:numId w:val="6"/>
        </w:numPr>
        <w:ind w:left="1276" w:hanging="425"/>
        <w:rPr>
          <w:i/>
          <w:sz w:val="24"/>
          <w:szCs w:val="24"/>
        </w:rPr>
      </w:pPr>
      <w:r w:rsidRPr="002E663A">
        <w:rPr>
          <w:sz w:val="24"/>
          <w:szCs w:val="24"/>
        </w:rPr>
        <w:t>B</w:t>
      </w:r>
      <w:r w:rsidRPr="002E663A">
        <w:rPr>
          <w:sz w:val="24"/>
          <w:szCs w:val="24"/>
          <w:vertAlign w:val="subscript"/>
        </w:rPr>
        <w:t>12</w:t>
      </w:r>
      <w:r w:rsidRPr="002E663A">
        <w:rPr>
          <w:sz w:val="24"/>
          <w:szCs w:val="24"/>
        </w:rPr>
        <w:t>-vitaminmangel medmindre samtidig folsyremangel kan dokumenteres.</w:t>
      </w:r>
    </w:p>
    <w:p w14:paraId="5214862B" w14:textId="292C68C9" w:rsidR="00864A59" w:rsidRDefault="00864A59">
      <w:pPr>
        <w:rPr>
          <w:sz w:val="24"/>
          <w:szCs w:val="24"/>
        </w:rPr>
      </w:pPr>
      <w:r>
        <w:rPr>
          <w:sz w:val="24"/>
          <w:szCs w:val="24"/>
        </w:rPr>
        <w:br w:type="page"/>
      </w:r>
    </w:p>
    <w:p w14:paraId="27BCBD30" w14:textId="77777777" w:rsidR="009260DE" w:rsidRPr="002E663A" w:rsidRDefault="009260DE" w:rsidP="00EB5798">
      <w:pPr>
        <w:tabs>
          <w:tab w:val="left" w:pos="851"/>
        </w:tabs>
        <w:ind w:left="851" w:hanging="851"/>
        <w:rPr>
          <w:sz w:val="24"/>
          <w:szCs w:val="24"/>
        </w:rPr>
      </w:pPr>
    </w:p>
    <w:p w14:paraId="786C02F9" w14:textId="77777777" w:rsidR="009260DE" w:rsidRPr="002E663A" w:rsidRDefault="009260DE" w:rsidP="00EB5798">
      <w:pPr>
        <w:tabs>
          <w:tab w:val="left" w:pos="851"/>
        </w:tabs>
        <w:ind w:left="851" w:hanging="851"/>
        <w:rPr>
          <w:b/>
          <w:sz w:val="24"/>
          <w:szCs w:val="24"/>
        </w:rPr>
      </w:pPr>
      <w:r w:rsidRPr="002E663A">
        <w:rPr>
          <w:b/>
          <w:sz w:val="24"/>
          <w:szCs w:val="24"/>
        </w:rPr>
        <w:t>4.4</w:t>
      </w:r>
      <w:r w:rsidRPr="002E663A">
        <w:rPr>
          <w:b/>
          <w:sz w:val="24"/>
          <w:szCs w:val="24"/>
        </w:rPr>
        <w:tab/>
        <w:t>Særlige advarsler og forsigtighedsregler vedrørende brugen</w:t>
      </w:r>
    </w:p>
    <w:p w14:paraId="1BBDD872" w14:textId="77777777" w:rsidR="001252D3" w:rsidRPr="002E663A" w:rsidRDefault="001252D3" w:rsidP="00EB5798">
      <w:pPr>
        <w:ind w:left="851"/>
        <w:rPr>
          <w:i/>
          <w:sz w:val="24"/>
          <w:szCs w:val="24"/>
        </w:rPr>
      </w:pPr>
      <w:r w:rsidRPr="002E663A">
        <w:rPr>
          <w:sz w:val="24"/>
          <w:szCs w:val="24"/>
        </w:rPr>
        <w:t xml:space="preserve">Folsyre skal administreres med stor forsigtighed ved udiagnosticeret anæmi, fordi folsyre kan påvirke diagnosticeringen af perniciøs anæmi. </w:t>
      </w:r>
    </w:p>
    <w:p w14:paraId="5D255A70" w14:textId="77777777" w:rsidR="001252D3" w:rsidRPr="002E663A" w:rsidRDefault="001252D3" w:rsidP="00EB5798">
      <w:pPr>
        <w:ind w:left="851"/>
        <w:rPr>
          <w:i/>
          <w:sz w:val="24"/>
          <w:szCs w:val="24"/>
        </w:rPr>
      </w:pPr>
      <w:r w:rsidRPr="002E663A">
        <w:rPr>
          <w:sz w:val="24"/>
          <w:szCs w:val="24"/>
        </w:rPr>
        <w:t>Ved langtidsbehandling med folsyre, kan serumkoncentrationen af B</w:t>
      </w:r>
      <w:r w:rsidRPr="002E663A">
        <w:rPr>
          <w:sz w:val="24"/>
          <w:szCs w:val="24"/>
          <w:vertAlign w:val="subscript"/>
        </w:rPr>
        <w:t>12</w:t>
      </w:r>
      <w:r w:rsidRPr="002E663A">
        <w:rPr>
          <w:sz w:val="24"/>
          <w:szCs w:val="24"/>
        </w:rPr>
        <w:t xml:space="preserve">-vitamin falde.  </w:t>
      </w:r>
    </w:p>
    <w:p w14:paraId="7D0B7065" w14:textId="77777777" w:rsidR="001252D3" w:rsidRPr="002E663A" w:rsidRDefault="001252D3" w:rsidP="00EB5798">
      <w:pPr>
        <w:ind w:left="851"/>
        <w:rPr>
          <w:spacing w:val="-3"/>
          <w:sz w:val="24"/>
          <w:szCs w:val="24"/>
        </w:rPr>
      </w:pPr>
    </w:p>
    <w:p w14:paraId="3AE3E09B" w14:textId="77777777" w:rsidR="001252D3" w:rsidRPr="002E663A" w:rsidRDefault="001252D3" w:rsidP="00EB5798">
      <w:pPr>
        <w:ind w:left="851"/>
        <w:rPr>
          <w:i/>
          <w:spacing w:val="-3"/>
          <w:sz w:val="24"/>
          <w:szCs w:val="24"/>
        </w:rPr>
      </w:pPr>
      <w:r w:rsidRPr="002E663A">
        <w:rPr>
          <w:spacing w:val="-3"/>
          <w:sz w:val="24"/>
          <w:szCs w:val="24"/>
        </w:rPr>
        <w:t>Der bør tages forholdsregler, hvis der optræder B</w:t>
      </w:r>
      <w:r w:rsidRPr="002E663A">
        <w:rPr>
          <w:spacing w:val="-3"/>
          <w:sz w:val="24"/>
          <w:szCs w:val="24"/>
          <w:vertAlign w:val="subscript"/>
        </w:rPr>
        <w:t>12</w:t>
      </w:r>
      <w:r w:rsidRPr="002E663A">
        <w:rPr>
          <w:spacing w:val="-3"/>
          <w:sz w:val="24"/>
          <w:szCs w:val="24"/>
        </w:rPr>
        <w:t>-vitamin</w:t>
      </w:r>
      <w:r w:rsidRPr="002E663A">
        <w:rPr>
          <w:spacing w:val="-3"/>
          <w:sz w:val="24"/>
          <w:szCs w:val="24"/>
        </w:rPr>
        <w:softHyphen/>
        <w:t xml:space="preserve">mangel, som skal behandles samtidigt. </w:t>
      </w:r>
    </w:p>
    <w:p w14:paraId="532C7558" w14:textId="77777777" w:rsidR="001252D3" w:rsidRPr="002E663A" w:rsidRDefault="001252D3" w:rsidP="00EB5798">
      <w:pPr>
        <w:ind w:left="851"/>
        <w:rPr>
          <w:sz w:val="24"/>
          <w:szCs w:val="24"/>
        </w:rPr>
      </w:pPr>
    </w:p>
    <w:p w14:paraId="6B9EA568" w14:textId="2E957301" w:rsidR="001252D3" w:rsidRPr="002E663A" w:rsidRDefault="001252D3" w:rsidP="00EB5798">
      <w:pPr>
        <w:ind w:left="851"/>
        <w:rPr>
          <w:sz w:val="24"/>
          <w:szCs w:val="24"/>
        </w:rPr>
      </w:pPr>
      <w:r w:rsidRPr="002E663A">
        <w:rPr>
          <w:sz w:val="24"/>
          <w:szCs w:val="24"/>
        </w:rPr>
        <w:t xml:space="preserve">Doser over 0,4 mg folsyre </w:t>
      </w:r>
      <w:r w:rsidR="002E663A">
        <w:rPr>
          <w:sz w:val="24"/>
          <w:szCs w:val="24"/>
        </w:rPr>
        <w:t>daglig</w:t>
      </w:r>
      <w:r w:rsidRPr="002E663A">
        <w:rPr>
          <w:sz w:val="24"/>
          <w:szCs w:val="24"/>
        </w:rPr>
        <w:t xml:space="preserve"> bør suppleres med B</w:t>
      </w:r>
      <w:r w:rsidRPr="002E663A">
        <w:rPr>
          <w:sz w:val="24"/>
          <w:szCs w:val="24"/>
          <w:vertAlign w:val="subscript"/>
        </w:rPr>
        <w:t>12</w:t>
      </w:r>
      <w:r w:rsidRPr="002E663A">
        <w:rPr>
          <w:sz w:val="24"/>
          <w:szCs w:val="24"/>
        </w:rPr>
        <w:t>-vitaminindgift, medmindre en B</w:t>
      </w:r>
      <w:r w:rsidRPr="002E663A">
        <w:rPr>
          <w:sz w:val="24"/>
          <w:szCs w:val="24"/>
          <w:vertAlign w:val="subscript"/>
        </w:rPr>
        <w:t>12</w:t>
      </w:r>
      <w:r w:rsidRPr="002E663A">
        <w:rPr>
          <w:sz w:val="24"/>
          <w:szCs w:val="24"/>
        </w:rPr>
        <w:t xml:space="preserve">-vitaminmangeltilstand med sikkerhed kan udelukkes. </w:t>
      </w:r>
    </w:p>
    <w:p w14:paraId="403C6AF6" w14:textId="77777777" w:rsidR="001252D3" w:rsidRPr="002E663A" w:rsidRDefault="001252D3" w:rsidP="00EB5798">
      <w:pPr>
        <w:ind w:left="851"/>
        <w:rPr>
          <w:sz w:val="24"/>
          <w:szCs w:val="24"/>
        </w:rPr>
      </w:pPr>
    </w:p>
    <w:p w14:paraId="68E033A9" w14:textId="118D98C4" w:rsidR="001252D3" w:rsidRPr="002E663A" w:rsidRDefault="001252D3" w:rsidP="00EB5798">
      <w:pPr>
        <w:ind w:left="851"/>
        <w:rPr>
          <w:sz w:val="24"/>
          <w:szCs w:val="24"/>
        </w:rPr>
      </w:pPr>
      <w:r w:rsidRPr="002E663A">
        <w:rPr>
          <w:sz w:val="24"/>
          <w:szCs w:val="24"/>
        </w:rPr>
        <w:t xml:space="preserve">Ved behandling af perniciøs anæmi med folsyredoser over 0,4 mg vil blodbilledet normaliseres, men den subakutte ødelæggelse af nervesystemet vil fortsætte og give irreversible skader. Denne risiko er dog ikke til stede ved de profylaktiske doser 0,2-0,4 mg </w:t>
      </w:r>
      <w:r w:rsidR="002E663A">
        <w:rPr>
          <w:sz w:val="24"/>
          <w:szCs w:val="24"/>
        </w:rPr>
        <w:t>daglig</w:t>
      </w:r>
      <w:r w:rsidRPr="002E663A">
        <w:rPr>
          <w:sz w:val="24"/>
          <w:szCs w:val="24"/>
        </w:rPr>
        <w:t>, fordi disse doser er for små til at maskere en B</w:t>
      </w:r>
      <w:r w:rsidRPr="002E663A">
        <w:rPr>
          <w:sz w:val="24"/>
          <w:szCs w:val="24"/>
          <w:vertAlign w:val="subscript"/>
        </w:rPr>
        <w:t>12</w:t>
      </w:r>
      <w:r w:rsidRPr="002E663A">
        <w:rPr>
          <w:sz w:val="24"/>
          <w:szCs w:val="24"/>
        </w:rPr>
        <w:t xml:space="preserve">-vitaminmangel. </w:t>
      </w:r>
    </w:p>
    <w:p w14:paraId="7C2AC17E" w14:textId="77777777" w:rsidR="001252D3" w:rsidRPr="002E663A" w:rsidRDefault="001252D3" w:rsidP="00EB5798">
      <w:pPr>
        <w:ind w:left="851"/>
        <w:rPr>
          <w:i/>
          <w:sz w:val="24"/>
          <w:szCs w:val="24"/>
        </w:rPr>
      </w:pPr>
    </w:p>
    <w:p w14:paraId="0F4DFC95" w14:textId="77777777" w:rsidR="001252D3" w:rsidRPr="002E663A" w:rsidRDefault="001252D3" w:rsidP="00EB5798">
      <w:pPr>
        <w:ind w:left="851"/>
        <w:rPr>
          <w:i/>
          <w:sz w:val="24"/>
          <w:szCs w:val="24"/>
        </w:rPr>
      </w:pPr>
      <w:r w:rsidRPr="002E663A">
        <w:rPr>
          <w:spacing w:val="-3"/>
          <w:sz w:val="24"/>
          <w:szCs w:val="24"/>
        </w:rPr>
        <w:t xml:space="preserve">0,5 til 1 mg folsyre anbefales til dialysepatienter. </w:t>
      </w:r>
    </w:p>
    <w:p w14:paraId="3BC010B6" w14:textId="77777777" w:rsidR="009260DE" w:rsidRPr="002E663A" w:rsidRDefault="009260DE" w:rsidP="00EB5798">
      <w:pPr>
        <w:tabs>
          <w:tab w:val="left" w:pos="851"/>
        </w:tabs>
        <w:ind w:left="851" w:hanging="851"/>
        <w:rPr>
          <w:sz w:val="24"/>
          <w:szCs w:val="24"/>
        </w:rPr>
      </w:pPr>
    </w:p>
    <w:p w14:paraId="524DF487" w14:textId="77777777" w:rsidR="009260DE" w:rsidRPr="002E663A" w:rsidRDefault="009260DE" w:rsidP="00EB5798">
      <w:pPr>
        <w:tabs>
          <w:tab w:val="left" w:pos="851"/>
        </w:tabs>
        <w:ind w:left="851" w:hanging="851"/>
        <w:rPr>
          <w:b/>
          <w:sz w:val="24"/>
          <w:szCs w:val="24"/>
        </w:rPr>
      </w:pPr>
      <w:r w:rsidRPr="002E663A">
        <w:rPr>
          <w:b/>
          <w:sz w:val="24"/>
          <w:szCs w:val="24"/>
        </w:rPr>
        <w:t>4.5</w:t>
      </w:r>
      <w:r w:rsidRPr="002E663A">
        <w:rPr>
          <w:b/>
          <w:sz w:val="24"/>
          <w:szCs w:val="24"/>
        </w:rPr>
        <w:tab/>
        <w:t>Interaktion med andre lægemidler og andre former for interaktion</w:t>
      </w:r>
    </w:p>
    <w:p w14:paraId="4538BE19" w14:textId="77777777" w:rsidR="00EB5798" w:rsidRPr="002E663A" w:rsidRDefault="00EB5798" w:rsidP="00EB5798">
      <w:pPr>
        <w:tabs>
          <w:tab w:val="left" w:pos="0"/>
        </w:tabs>
        <w:ind w:left="851" w:hanging="851"/>
        <w:rPr>
          <w:i/>
          <w:spacing w:val="-3"/>
          <w:sz w:val="24"/>
          <w:szCs w:val="24"/>
        </w:rPr>
      </w:pPr>
    </w:p>
    <w:p w14:paraId="6F255E59" w14:textId="77777777" w:rsidR="001252D3" w:rsidRPr="002E663A" w:rsidRDefault="001252D3" w:rsidP="00EB5798">
      <w:pPr>
        <w:tabs>
          <w:tab w:val="left" w:pos="0"/>
        </w:tabs>
        <w:ind w:left="851"/>
        <w:rPr>
          <w:i/>
          <w:spacing w:val="-3"/>
          <w:sz w:val="24"/>
          <w:szCs w:val="24"/>
        </w:rPr>
      </w:pPr>
      <w:r w:rsidRPr="002E663A">
        <w:rPr>
          <w:i/>
          <w:spacing w:val="-3"/>
          <w:sz w:val="24"/>
          <w:szCs w:val="24"/>
        </w:rPr>
        <w:t>Salazosulfapyridin</w:t>
      </w:r>
    </w:p>
    <w:p w14:paraId="07A17D83" w14:textId="77777777" w:rsidR="001252D3" w:rsidRPr="002E663A" w:rsidRDefault="001252D3" w:rsidP="00EB5798">
      <w:pPr>
        <w:tabs>
          <w:tab w:val="left" w:pos="0"/>
        </w:tabs>
        <w:ind w:left="851"/>
        <w:rPr>
          <w:spacing w:val="-3"/>
          <w:sz w:val="24"/>
          <w:szCs w:val="24"/>
        </w:rPr>
      </w:pPr>
      <w:r w:rsidRPr="002E663A">
        <w:rPr>
          <w:spacing w:val="-3"/>
          <w:sz w:val="24"/>
          <w:szCs w:val="24"/>
        </w:rPr>
        <w:t xml:space="preserve">Kan nedsætte absorptionen af folsyre. </w:t>
      </w:r>
    </w:p>
    <w:p w14:paraId="5958C3C2" w14:textId="77777777" w:rsidR="001252D3" w:rsidRPr="002E663A" w:rsidRDefault="001252D3" w:rsidP="00EB5798">
      <w:pPr>
        <w:tabs>
          <w:tab w:val="left" w:pos="0"/>
        </w:tabs>
        <w:ind w:left="851"/>
        <w:rPr>
          <w:spacing w:val="-3"/>
          <w:sz w:val="24"/>
          <w:szCs w:val="24"/>
        </w:rPr>
      </w:pPr>
    </w:p>
    <w:p w14:paraId="3D5ADA05" w14:textId="77777777" w:rsidR="001252D3" w:rsidRPr="002E663A" w:rsidRDefault="001252D3" w:rsidP="00EB5798">
      <w:pPr>
        <w:tabs>
          <w:tab w:val="left" w:pos="0"/>
        </w:tabs>
        <w:ind w:left="851"/>
        <w:rPr>
          <w:i/>
          <w:spacing w:val="-3"/>
          <w:sz w:val="24"/>
          <w:szCs w:val="24"/>
        </w:rPr>
      </w:pPr>
      <w:r w:rsidRPr="002E663A">
        <w:rPr>
          <w:i/>
          <w:spacing w:val="-3"/>
          <w:sz w:val="24"/>
          <w:szCs w:val="24"/>
        </w:rPr>
        <w:t>Antiepileptika</w:t>
      </w:r>
    </w:p>
    <w:p w14:paraId="616AC4E9" w14:textId="77777777" w:rsidR="001252D3" w:rsidRPr="002E663A" w:rsidRDefault="001252D3" w:rsidP="00EB5798">
      <w:pPr>
        <w:tabs>
          <w:tab w:val="left" w:pos="0"/>
        </w:tabs>
        <w:ind w:left="851"/>
        <w:rPr>
          <w:spacing w:val="-3"/>
          <w:sz w:val="24"/>
          <w:szCs w:val="24"/>
        </w:rPr>
      </w:pPr>
      <w:r w:rsidRPr="002E663A">
        <w:rPr>
          <w:spacing w:val="-3"/>
          <w:sz w:val="24"/>
          <w:szCs w:val="24"/>
        </w:rPr>
        <w:t xml:space="preserve">De fleste antiepileptika kan medføre en nedsættelse af plasmakoncentrationen af folsyre, specielt hos børn. </w:t>
      </w:r>
    </w:p>
    <w:p w14:paraId="58110957" w14:textId="77777777" w:rsidR="001252D3" w:rsidRPr="002E663A" w:rsidRDefault="001252D3" w:rsidP="00EB5798">
      <w:pPr>
        <w:tabs>
          <w:tab w:val="left" w:pos="0"/>
        </w:tabs>
        <w:ind w:left="851"/>
        <w:rPr>
          <w:spacing w:val="-3"/>
          <w:sz w:val="24"/>
          <w:szCs w:val="24"/>
        </w:rPr>
      </w:pPr>
    </w:p>
    <w:p w14:paraId="20A0419F" w14:textId="77777777" w:rsidR="001252D3" w:rsidRPr="002E663A" w:rsidRDefault="001252D3" w:rsidP="00EB5798">
      <w:pPr>
        <w:tabs>
          <w:tab w:val="left" w:pos="0"/>
        </w:tabs>
        <w:ind w:left="851"/>
        <w:rPr>
          <w:i/>
          <w:spacing w:val="-3"/>
          <w:sz w:val="24"/>
          <w:szCs w:val="24"/>
        </w:rPr>
      </w:pPr>
      <w:r w:rsidRPr="002E663A">
        <w:rPr>
          <w:i/>
          <w:spacing w:val="-3"/>
          <w:sz w:val="24"/>
          <w:szCs w:val="24"/>
        </w:rPr>
        <w:t>Fenytoin</w:t>
      </w:r>
    </w:p>
    <w:p w14:paraId="3F0243A2" w14:textId="77777777" w:rsidR="001252D3" w:rsidRPr="002E663A" w:rsidRDefault="001252D3" w:rsidP="00EB5798">
      <w:pPr>
        <w:tabs>
          <w:tab w:val="left" w:pos="0"/>
        </w:tabs>
        <w:ind w:left="851"/>
        <w:rPr>
          <w:spacing w:val="-3"/>
          <w:sz w:val="24"/>
          <w:szCs w:val="24"/>
        </w:rPr>
      </w:pPr>
      <w:r w:rsidRPr="002E663A">
        <w:rPr>
          <w:spacing w:val="-3"/>
          <w:sz w:val="24"/>
          <w:szCs w:val="24"/>
        </w:rPr>
        <w:t>Folsyre kan øge metaboliseringen og nedsætte plasmakoncentrationen og effekten af fenytoin.</w:t>
      </w:r>
    </w:p>
    <w:p w14:paraId="54E973A5" w14:textId="77777777" w:rsidR="001252D3" w:rsidRPr="002E663A" w:rsidRDefault="001252D3" w:rsidP="00EB5798">
      <w:pPr>
        <w:tabs>
          <w:tab w:val="left" w:pos="0"/>
          <w:tab w:val="left" w:pos="851"/>
        </w:tabs>
        <w:ind w:left="851"/>
        <w:rPr>
          <w:sz w:val="24"/>
          <w:szCs w:val="24"/>
        </w:rPr>
      </w:pPr>
    </w:p>
    <w:p w14:paraId="1B0659F5" w14:textId="77777777" w:rsidR="001252D3" w:rsidRPr="002E663A" w:rsidRDefault="001252D3" w:rsidP="00EB5798">
      <w:pPr>
        <w:ind w:left="851"/>
        <w:rPr>
          <w:sz w:val="24"/>
          <w:szCs w:val="24"/>
        </w:rPr>
      </w:pPr>
      <w:r w:rsidRPr="002E663A">
        <w:rPr>
          <w:sz w:val="24"/>
          <w:szCs w:val="24"/>
        </w:rPr>
        <w:t>Colestyramin/colestipol kan nedsætte absorptionen af folsyre, især hos patienter med bestående fedtmalabsorption</w:t>
      </w:r>
      <w:r w:rsidRPr="002E663A">
        <w:rPr>
          <w:spacing w:val="-3"/>
          <w:sz w:val="24"/>
          <w:szCs w:val="24"/>
        </w:rPr>
        <w:t xml:space="preserve"> eller hvor dosis er høj (over 24 g).</w:t>
      </w:r>
      <w:r w:rsidRPr="002E663A">
        <w:rPr>
          <w:sz w:val="24"/>
          <w:szCs w:val="24"/>
        </w:rPr>
        <w:t xml:space="preserve"> I disse tilfælde anbefales tilskud af folsyre. </w:t>
      </w:r>
    </w:p>
    <w:p w14:paraId="5DB5DDC0" w14:textId="77777777" w:rsidR="001252D3" w:rsidRPr="002E663A" w:rsidRDefault="001252D3" w:rsidP="00EB5798">
      <w:pPr>
        <w:tabs>
          <w:tab w:val="left" w:pos="0"/>
          <w:tab w:val="left" w:pos="851"/>
        </w:tabs>
        <w:ind w:left="851"/>
        <w:rPr>
          <w:sz w:val="24"/>
          <w:szCs w:val="24"/>
        </w:rPr>
      </w:pPr>
    </w:p>
    <w:p w14:paraId="2508EF1C" w14:textId="77777777" w:rsidR="001252D3" w:rsidRPr="002E663A" w:rsidRDefault="001252D3" w:rsidP="00EB5798">
      <w:pPr>
        <w:ind w:left="851"/>
        <w:rPr>
          <w:i/>
          <w:sz w:val="24"/>
          <w:szCs w:val="24"/>
        </w:rPr>
      </w:pPr>
      <w:r w:rsidRPr="002E663A">
        <w:rPr>
          <w:sz w:val="24"/>
          <w:szCs w:val="24"/>
        </w:rPr>
        <w:t xml:space="preserve">De hæmatologiske parametre skal følges nøje ved patienter med folatmangel, der er i behandling med chloramfenikol og folsyre samtidigt. </w:t>
      </w:r>
    </w:p>
    <w:p w14:paraId="62C9CF46" w14:textId="77777777" w:rsidR="001252D3" w:rsidRPr="002E663A" w:rsidRDefault="001252D3" w:rsidP="00EB5798">
      <w:pPr>
        <w:tabs>
          <w:tab w:val="left" w:pos="0"/>
          <w:tab w:val="left" w:pos="851"/>
        </w:tabs>
        <w:ind w:left="851"/>
        <w:rPr>
          <w:sz w:val="24"/>
          <w:szCs w:val="24"/>
        </w:rPr>
      </w:pPr>
    </w:p>
    <w:p w14:paraId="7321A2EB" w14:textId="77777777" w:rsidR="001252D3" w:rsidRPr="002E663A" w:rsidRDefault="001252D3" w:rsidP="00EB5798">
      <w:pPr>
        <w:tabs>
          <w:tab w:val="left" w:pos="0"/>
          <w:tab w:val="left" w:pos="851"/>
        </w:tabs>
        <w:ind w:left="851"/>
        <w:rPr>
          <w:sz w:val="24"/>
          <w:szCs w:val="24"/>
        </w:rPr>
      </w:pPr>
      <w:r w:rsidRPr="002E663A">
        <w:rPr>
          <w:sz w:val="24"/>
          <w:szCs w:val="24"/>
        </w:rPr>
        <w:t>Methotrexat, pyrimethamin, sulfonamider og trimethoprim er folsyreantagonister. Disse stoffer hæmmer omdannelsen af folsyre til tetrahydrofolsyre og øger dermed risikoen for folsyremangel.</w:t>
      </w:r>
    </w:p>
    <w:p w14:paraId="16C01092" w14:textId="77777777" w:rsidR="009260DE" w:rsidRPr="002E663A" w:rsidRDefault="009260DE" w:rsidP="00EB5798">
      <w:pPr>
        <w:tabs>
          <w:tab w:val="left" w:pos="851"/>
        </w:tabs>
        <w:ind w:left="851" w:hanging="851"/>
        <w:rPr>
          <w:sz w:val="24"/>
          <w:szCs w:val="24"/>
        </w:rPr>
      </w:pPr>
    </w:p>
    <w:p w14:paraId="61486FC1" w14:textId="77777777" w:rsidR="009260DE" w:rsidRPr="002E663A" w:rsidRDefault="009260DE" w:rsidP="00EB5798">
      <w:pPr>
        <w:tabs>
          <w:tab w:val="left" w:pos="851"/>
        </w:tabs>
        <w:ind w:left="851" w:hanging="851"/>
        <w:rPr>
          <w:b/>
          <w:sz w:val="24"/>
          <w:szCs w:val="24"/>
        </w:rPr>
      </w:pPr>
      <w:r w:rsidRPr="002E663A">
        <w:rPr>
          <w:b/>
          <w:sz w:val="24"/>
          <w:szCs w:val="24"/>
        </w:rPr>
        <w:t>4.6</w:t>
      </w:r>
      <w:r w:rsidRPr="002E663A">
        <w:rPr>
          <w:b/>
          <w:sz w:val="24"/>
          <w:szCs w:val="24"/>
        </w:rPr>
        <w:tab/>
        <w:t>Graviditet og amning</w:t>
      </w:r>
    </w:p>
    <w:p w14:paraId="7ED552C4" w14:textId="77777777" w:rsidR="00EB5798" w:rsidRPr="002E663A" w:rsidRDefault="00EB5798" w:rsidP="00EB5798">
      <w:pPr>
        <w:tabs>
          <w:tab w:val="left" w:pos="0"/>
        </w:tabs>
        <w:ind w:left="851" w:hanging="851"/>
        <w:rPr>
          <w:i/>
          <w:spacing w:val="-3"/>
          <w:sz w:val="24"/>
          <w:szCs w:val="24"/>
        </w:rPr>
      </w:pPr>
    </w:p>
    <w:p w14:paraId="45209CD1" w14:textId="77777777" w:rsidR="001252D3" w:rsidRPr="002E663A" w:rsidRDefault="001252D3" w:rsidP="00EB5798">
      <w:pPr>
        <w:tabs>
          <w:tab w:val="left" w:pos="0"/>
        </w:tabs>
        <w:ind w:left="851"/>
        <w:rPr>
          <w:i/>
          <w:spacing w:val="-3"/>
          <w:sz w:val="24"/>
          <w:szCs w:val="24"/>
        </w:rPr>
      </w:pPr>
      <w:r w:rsidRPr="002E663A">
        <w:rPr>
          <w:i/>
          <w:spacing w:val="-3"/>
          <w:sz w:val="24"/>
          <w:szCs w:val="24"/>
        </w:rPr>
        <w:t>Fertilitet</w:t>
      </w:r>
    </w:p>
    <w:p w14:paraId="0F2CD6DE" w14:textId="77777777" w:rsidR="001252D3" w:rsidRPr="002E663A" w:rsidRDefault="001252D3" w:rsidP="00EB5798">
      <w:pPr>
        <w:tabs>
          <w:tab w:val="left" w:pos="0"/>
        </w:tabs>
        <w:ind w:left="851"/>
        <w:rPr>
          <w:spacing w:val="-3"/>
          <w:sz w:val="24"/>
          <w:szCs w:val="24"/>
        </w:rPr>
      </w:pPr>
      <w:r w:rsidRPr="002E663A">
        <w:rPr>
          <w:sz w:val="24"/>
          <w:szCs w:val="24"/>
        </w:rPr>
        <w:t>Der findes ingen tilgængelige data på fertilitet.</w:t>
      </w:r>
    </w:p>
    <w:p w14:paraId="463BCD6D" w14:textId="77777777" w:rsidR="001252D3" w:rsidRPr="002E663A" w:rsidRDefault="001252D3" w:rsidP="00EB5798">
      <w:pPr>
        <w:tabs>
          <w:tab w:val="left" w:pos="0"/>
        </w:tabs>
        <w:ind w:left="851"/>
        <w:rPr>
          <w:spacing w:val="-3"/>
          <w:sz w:val="24"/>
          <w:szCs w:val="24"/>
        </w:rPr>
      </w:pPr>
    </w:p>
    <w:p w14:paraId="7F44B313" w14:textId="77777777" w:rsidR="001252D3" w:rsidRPr="002E663A" w:rsidRDefault="001252D3" w:rsidP="00EB5798">
      <w:pPr>
        <w:tabs>
          <w:tab w:val="left" w:pos="0"/>
        </w:tabs>
        <w:ind w:left="851"/>
        <w:rPr>
          <w:i/>
          <w:spacing w:val="-3"/>
          <w:sz w:val="24"/>
          <w:szCs w:val="24"/>
        </w:rPr>
      </w:pPr>
      <w:r w:rsidRPr="002E663A">
        <w:rPr>
          <w:i/>
          <w:spacing w:val="-3"/>
          <w:sz w:val="24"/>
          <w:szCs w:val="24"/>
        </w:rPr>
        <w:t>Graviditet</w:t>
      </w:r>
    </w:p>
    <w:p w14:paraId="0996D000" w14:textId="5C1A127C" w:rsidR="001252D3" w:rsidRPr="002E663A" w:rsidRDefault="001252D3" w:rsidP="00EB5798">
      <w:pPr>
        <w:tabs>
          <w:tab w:val="left" w:pos="0"/>
        </w:tabs>
        <w:ind w:left="851"/>
        <w:rPr>
          <w:spacing w:val="-3"/>
          <w:sz w:val="24"/>
          <w:szCs w:val="24"/>
        </w:rPr>
      </w:pPr>
      <w:r w:rsidRPr="002E663A">
        <w:rPr>
          <w:sz w:val="24"/>
          <w:szCs w:val="24"/>
        </w:rPr>
        <w:t xml:space="preserve">Folsyre </w:t>
      </w:r>
      <w:r w:rsidR="00D40D08">
        <w:rPr>
          <w:sz w:val="24"/>
          <w:szCs w:val="24"/>
        </w:rPr>
        <w:t>"Orifarm"</w:t>
      </w:r>
      <w:r w:rsidRPr="002E663A">
        <w:rPr>
          <w:sz w:val="24"/>
          <w:szCs w:val="24"/>
        </w:rPr>
        <w:t xml:space="preserve"> </w:t>
      </w:r>
      <w:r w:rsidRPr="002E663A">
        <w:rPr>
          <w:spacing w:val="-3"/>
          <w:sz w:val="24"/>
          <w:szCs w:val="24"/>
        </w:rPr>
        <w:t>kan anvendes under graviditet.</w:t>
      </w:r>
    </w:p>
    <w:p w14:paraId="79B63948" w14:textId="002A553F" w:rsidR="002E663A" w:rsidRDefault="002E663A">
      <w:pPr>
        <w:rPr>
          <w:i/>
          <w:sz w:val="24"/>
          <w:szCs w:val="24"/>
        </w:rPr>
      </w:pPr>
      <w:r>
        <w:rPr>
          <w:i/>
          <w:sz w:val="24"/>
          <w:szCs w:val="24"/>
        </w:rPr>
        <w:br w:type="page"/>
      </w:r>
    </w:p>
    <w:p w14:paraId="731514A5" w14:textId="77777777" w:rsidR="001252D3" w:rsidRPr="002E663A" w:rsidRDefault="001252D3" w:rsidP="00EB5798">
      <w:pPr>
        <w:ind w:left="851"/>
        <w:rPr>
          <w:sz w:val="24"/>
          <w:szCs w:val="24"/>
        </w:rPr>
      </w:pPr>
    </w:p>
    <w:p w14:paraId="5EC08294" w14:textId="77777777" w:rsidR="001252D3" w:rsidRPr="002E663A" w:rsidRDefault="001252D3" w:rsidP="00EB5798">
      <w:pPr>
        <w:ind w:left="851"/>
        <w:rPr>
          <w:i/>
          <w:sz w:val="24"/>
          <w:szCs w:val="24"/>
        </w:rPr>
      </w:pPr>
      <w:r w:rsidRPr="002E663A">
        <w:rPr>
          <w:i/>
          <w:sz w:val="24"/>
          <w:szCs w:val="24"/>
        </w:rPr>
        <w:t>Amning</w:t>
      </w:r>
    </w:p>
    <w:p w14:paraId="1A5E58AF" w14:textId="2272B74E" w:rsidR="001252D3" w:rsidRPr="002E663A" w:rsidRDefault="001252D3" w:rsidP="00EB5798">
      <w:pPr>
        <w:ind w:left="851"/>
        <w:rPr>
          <w:sz w:val="24"/>
          <w:szCs w:val="24"/>
        </w:rPr>
      </w:pPr>
      <w:r w:rsidRPr="002E663A">
        <w:rPr>
          <w:sz w:val="24"/>
          <w:szCs w:val="24"/>
        </w:rPr>
        <w:t xml:space="preserve">Folsyre </w:t>
      </w:r>
      <w:r w:rsidR="00D40D08">
        <w:rPr>
          <w:sz w:val="24"/>
          <w:szCs w:val="24"/>
        </w:rPr>
        <w:t>"Orifarm"</w:t>
      </w:r>
      <w:r w:rsidRPr="002E663A">
        <w:rPr>
          <w:sz w:val="24"/>
          <w:szCs w:val="24"/>
        </w:rPr>
        <w:t xml:space="preserve"> kan anvendes i ammeperioden.</w:t>
      </w:r>
    </w:p>
    <w:p w14:paraId="307D0126" w14:textId="77777777" w:rsidR="001252D3" w:rsidRPr="002E663A" w:rsidRDefault="001252D3" w:rsidP="00EB5798">
      <w:pPr>
        <w:tabs>
          <w:tab w:val="left" w:pos="0"/>
        </w:tabs>
        <w:ind w:left="851"/>
        <w:rPr>
          <w:sz w:val="24"/>
          <w:szCs w:val="24"/>
        </w:rPr>
      </w:pPr>
    </w:p>
    <w:p w14:paraId="46A1E4E6" w14:textId="5A7605BF" w:rsidR="001252D3" w:rsidRPr="002E663A" w:rsidRDefault="001252D3" w:rsidP="00EB5798">
      <w:pPr>
        <w:tabs>
          <w:tab w:val="left" w:pos="0"/>
        </w:tabs>
        <w:ind w:left="851"/>
        <w:rPr>
          <w:sz w:val="24"/>
          <w:szCs w:val="24"/>
        </w:rPr>
      </w:pPr>
      <w:r w:rsidRPr="002E663A">
        <w:rPr>
          <w:sz w:val="24"/>
          <w:szCs w:val="24"/>
        </w:rPr>
        <w:t xml:space="preserve">Folsyre </w:t>
      </w:r>
      <w:r w:rsidR="00D40D08">
        <w:rPr>
          <w:sz w:val="24"/>
          <w:szCs w:val="24"/>
        </w:rPr>
        <w:t>"Orifarm"</w:t>
      </w:r>
      <w:r w:rsidRPr="002E663A">
        <w:rPr>
          <w:sz w:val="24"/>
          <w:szCs w:val="24"/>
        </w:rPr>
        <w:t xml:space="preserve"> udskilles i modermælken (mælk/plasmaratio er ca. 0,01), men </w:t>
      </w:r>
      <w:r w:rsidRPr="002E663A" w:rsidDel="00982C45">
        <w:rPr>
          <w:sz w:val="24"/>
          <w:szCs w:val="24"/>
        </w:rPr>
        <w:t>der foreligger ingen meddelelser om bivirkninger hos det ammende barn</w:t>
      </w:r>
      <w:r w:rsidRPr="002E663A">
        <w:rPr>
          <w:sz w:val="24"/>
          <w:szCs w:val="24"/>
        </w:rPr>
        <w:t>.</w:t>
      </w:r>
    </w:p>
    <w:p w14:paraId="599EF81D" w14:textId="77777777" w:rsidR="009260DE" w:rsidRPr="002E663A" w:rsidRDefault="009260DE" w:rsidP="00EB5798">
      <w:pPr>
        <w:tabs>
          <w:tab w:val="left" w:pos="851"/>
        </w:tabs>
        <w:ind w:left="851" w:hanging="851"/>
        <w:rPr>
          <w:sz w:val="24"/>
          <w:szCs w:val="24"/>
        </w:rPr>
      </w:pPr>
    </w:p>
    <w:p w14:paraId="42A15098" w14:textId="77777777" w:rsidR="009260DE" w:rsidRPr="002E663A" w:rsidRDefault="009260DE" w:rsidP="00EB5798">
      <w:pPr>
        <w:tabs>
          <w:tab w:val="left" w:pos="851"/>
        </w:tabs>
        <w:ind w:left="851" w:hanging="851"/>
        <w:rPr>
          <w:b/>
          <w:sz w:val="24"/>
          <w:szCs w:val="24"/>
        </w:rPr>
      </w:pPr>
      <w:r w:rsidRPr="002E663A">
        <w:rPr>
          <w:b/>
          <w:sz w:val="24"/>
          <w:szCs w:val="24"/>
        </w:rPr>
        <w:t>4.7</w:t>
      </w:r>
      <w:r w:rsidRPr="002E663A">
        <w:rPr>
          <w:b/>
          <w:sz w:val="24"/>
          <w:szCs w:val="24"/>
        </w:rPr>
        <w:tab/>
        <w:t>Virkninger på evnen til at føre motorkøretøj eller betjene maskiner</w:t>
      </w:r>
    </w:p>
    <w:p w14:paraId="6E5448A3" w14:textId="77777777" w:rsidR="001252D3" w:rsidRPr="002E663A" w:rsidRDefault="001252D3" w:rsidP="00EB5798">
      <w:pPr>
        <w:ind w:left="851"/>
        <w:rPr>
          <w:sz w:val="24"/>
          <w:szCs w:val="24"/>
        </w:rPr>
      </w:pPr>
      <w:r w:rsidRPr="002E663A">
        <w:rPr>
          <w:sz w:val="24"/>
          <w:szCs w:val="24"/>
        </w:rPr>
        <w:t>Ikke mærkning.</w:t>
      </w:r>
    </w:p>
    <w:p w14:paraId="32737EC8" w14:textId="075183E6" w:rsidR="001252D3" w:rsidRPr="002E663A" w:rsidRDefault="001252D3" w:rsidP="00EB5798">
      <w:pPr>
        <w:ind w:left="851"/>
        <w:rPr>
          <w:sz w:val="24"/>
          <w:szCs w:val="24"/>
        </w:rPr>
      </w:pPr>
      <w:r w:rsidRPr="002E663A">
        <w:rPr>
          <w:sz w:val="24"/>
          <w:szCs w:val="24"/>
        </w:rPr>
        <w:t xml:space="preserve">Folsyre </w:t>
      </w:r>
      <w:r w:rsidR="00D40D08">
        <w:rPr>
          <w:sz w:val="24"/>
          <w:szCs w:val="24"/>
        </w:rPr>
        <w:t>"Orifarm"</w:t>
      </w:r>
      <w:r w:rsidRPr="002E663A">
        <w:rPr>
          <w:sz w:val="24"/>
          <w:szCs w:val="24"/>
        </w:rPr>
        <w:t xml:space="preserve"> påvirker ikke eller kun i ubetydelig grad evnen til at føre motorkøretøj og betjene maskiner.</w:t>
      </w:r>
    </w:p>
    <w:p w14:paraId="58D5272C" w14:textId="77777777" w:rsidR="009260DE" w:rsidRPr="002E663A" w:rsidRDefault="009260DE" w:rsidP="00EB5798">
      <w:pPr>
        <w:tabs>
          <w:tab w:val="left" w:pos="851"/>
        </w:tabs>
        <w:ind w:left="851" w:hanging="851"/>
        <w:rPr>
          <w:sz w:val="24"/>
          <w:szCs w:val="24"/>
        </w:rPr>
      </w:pPr>
    </w:p>
    <w:p w14:paraId="044CB04F" w14:textId="77777777" w:rsidR="009260DE" w:rsidRPr="002E663A" w:rsidRDefault="009260DE" w:rsidP="00EB5798">
      <w:pPr>
        <w:tabs>
          <w:tab w:val="left" w:pos="851"/>
        </w:tabs>
        <w:ind w:left="851" w:hanging="851"/>
        <w:rPr>
          <w:b/>
          <w:sz w:val="24"/>
          <w:szCs w:val="24"/>
        </w:rPr>
      </w:pPr>
      <w:r w:rsidRPr="002E663A">
        <w:rPr>
          <w:b/>
          <w:sz w:val="24"/>
          <w:szCs w:val="24"/>
        </w:rPr>
        <w:t>4.8</w:t>
      </w:r>
      <w:r w:rsidRPr="002E663A">
        <w:rPr>
          <w:b/>
          <w:sz w:val="24"/>
          <w:szCs w:val="24"/>
        </w:rPr>
        <w:tab/>
        <w:t>Bivirkninger</w:t>
      </w:r>
    </w:p>
    <w:p w14:paraId="736AA3BF" w14:textId="77777777" w:rsidR="001252D3" w:rsidRPr="002E663A" w:rsidRDefault="001252D3" w:rsidP="00EB5798">
      <w:pPr>
        <w:ind w:left="851" w:hanging="851"/>
        <w:rPr>
          <w:sz w:val="24"/>
          <w:szCs w:val="24"/>
        </w:rPr>
      </w:pPr>
    </w:p>
    <w:tbl>
      <w:tblPr>
        <w:tblW w:w="88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4"/>
        <w:gridCol w:w="4404"/>
      </w:tblGrid>
      <w:tr w:rsidR="001252D3" w:rsidRPr="002E663A" w14:paraId="3BBFF25F" w14:textId="77777777" w:rsidTr="002E663A">
        <w:trPr>
          <w:trHeight w:val="533"/>
        </w:trPr>
        <w:tc>
          <w:tcPr>
            <w:tcW w:w="4404" w:type="dxa"/>
          </w:tcPr>
          <w:p w14:paraId="5D18D7C9" w14:textId="042583B0" w:rsidR="001252D3" w:rsidRPr="002E663A" w:rsidRDefault="001252D3" w:rsidP="00EB5798">
            <w:pPr>
              <w:rPr>
                <w:b/>
                <w:sz w:val="24"/>
                <w:szCs w:val="24"/>
              </w:rPr>
            </w:pPr>
            <w:r w:rsidRPr="002E663A">
              <w:rPr>
                <w:b/>
                <w:sz w:val="24"/>
                <w:szCs w:val="24"/>
              </w:rPr>
              <w:t>Immunsystemet</w:t>
            </w:r>
          </w:p>
          <w:p w14:paraId="1D1B2E89" w14:textId="0BB6D194" w:rsidR="001252D3" w:rsidRPr="002E663A" w:rsidRDefault="001252D3" w:rsidP="00EB5798">
            <w:pPr>
              <w:rPr>
                <w:strike/>
                <w:sz w:val="24"/>
                <w:szCs w:val="24"/>
              </w:rPr>
            </w:pPr>
            <w:r w:rsidRPr="002E663A">
              <w:rPr>
                <w:sz w:val="24"/>
                <w:szCs w:val="24"/>
              </w:rPr>
              <w:t>Sjælden (</w:t>
            </w:r>
            <w:r w:rsidR="00865F00" w:rsidRPr="00D554C9">
              <w:rPr>
                <w:sz w:val="24"/>
                <w:szCs w:val="24"/>
              </w:rPr>
              <w:t>≥</w:t>
            </w:r>
            <w:r w:rsidRPr="002E663A">
              <w:rPr>
                <w:sz w:val="24"/>
                <w:szCs w:val="24"/>
              </w:rPr>
              <w:t>1/10.000 til &lt;1/1.000)</w:t>
            </w:r>
          </w:p>
          <w:p w14:paraId="36D5028E" w14:textId="77777777" w:rsidR="001252D3" w:rsidRPr="002E663A" w:rsidRDefault="001252D3" w:rsidP="00EB5798">
            <w:pPr>
              <w:rPr>
                <w:sz w:val="24"/>
                <w:szCs w:val="24"/>
              </w:rPr>
            </w:pPr>
          </w:p>
        </w:tc>
        <w:tc>
          <w:tcPr>
            <w:tcW w:w="4404" w:type="dxa"/>
          </w:tcPr>
          <w:p w14:paraId="24CFD1B0" w14:textId="77777777" w:rsidR="001252D3" w:rsidRPr="002E663A" w:rsidRDefault="001252D3" w:rsidP="00EB5798">
            <w:pPr>
              <w:rPr>
                <w:sz w:val="24"/>
                <w:szCs w:val="24"/>
              </w:rPr>
            </w:pPr>
          </w:p>
          <w:p w14:paraId="53AC0715" w14:textId="77777777" w:rsidR="001252D3" w:rsidRPr="002E663A" w:rsidRDefault="001252D3" w:rsidP="00EB5798">
            <w:pPr>
              <w:rPr>
                <w:sz w:val="24"/>
                <w:szCs w:val="24"/>
              </w:rPr>
            </w:pPr>
            <w:r w:rsidRPr="002E663A">
              <w:rPr>
                <w:sz w:val="24"/>
                <w:szCs w:val="24"/>
              </w:rPr>
              <w:t xml:space="preserve">Overfølsomhedsreaktioner omfattende erytem, udslæt, pruritus, urticaria, generelt vejrtrækningsbesvær og anafylaktiske reaktioner inklusiv shock. </w:t>
            </w:r>
          </w:p>
          <w:p w14:paraId="099888AC" w14:textId="45749FE0" w:rsidR="001252D3" w:rsidRPr="002E663A" w:rsidRDefault="001252D3" w:rsidP="00EB5798">
            <w:pPr>
              <w:rPr>
                <w:sz w:val="24"/>
                <w:szCs w:val="24"/>
              </w:rPr>
            </w:pPr>
          </w:p>
        </w:tc>
      </w:tr>
      <w:tr w:rsidR="001252D3" w:rsidRPr="002E663A" w14:paraId="108ACAE6" w14:textId="77777777" w:rsidTr="002E663A">
        <w:trPr>
          <w:trHeight w:val="533"/>
        </w:trPr>
        <w:tc>
          <w:tcPr>
            <w:tcW w:w="4404" w:type="dxa"/>
          </w:tcPr>
          <w:p w14:paraId="4DC1EFB7" w14:textId="77F4B787" w:rsidR="001252D3" w:rsidRPr="002E663A" w:rsidRDefault="00EB5798" w:rsidP="00EB5798">
            <w:pPr>
              <w:rPr>
                <w:b/>
                <w:sz w:val="24"/>
                <w:szCs w:val="24"/>
              </w:rPr>
            </w:pPr>
            <w:r w:rsidRPr="002E663A">
              <w:rPr>
                <w:b/>
                <w:sz w:val="24"/>
                <w:szCs w:val="24"/>
              </w:rPr>
              <w:t>Mave-tarmkanalen</w:t>
            </w:r>
          </w:p>
          <w:p w14:paraId="24162B14" w14:textId="77777777" w:rsidR="001252D3" w:rsidRPr="002E663A" w:rsidRDefault="001252D3" w:rsidP="00EB5798">
            <w:pPr>
              <w:rPr>
                <w:sz w:val="24"/>
                <w:szCs w:val="24"/>
              </w:rPr>
            </w:pPr>
            <w:r w:rsidRPr="002E663A">
              <w:rPr>
                <w:sz w:val="24"/>
                <w:szCs w:val="24"/>
              </w:rPr>
              <w:t>Frekvens ikke kendt (kan ikke estimeres fra tilgængelige data)</w:t>
            </w:r>
          </w:p>
        </w:tc>
        <w:tc>
          <w:tcPr>
            <w:tcW w:w="4404" w:type="dxa"/>
          </w:tcPr>
          <w:p w14:paraId="017F71D1" w14:textId="77777777" w:rsidR="001252D3" w:rsidRPr="002E663A" w:rsidRDefault="001252D3" w:rsidP="00EB5798">
            <w:pPr>
              <w:rPr>
                <w:sz w:val="24"/>
                <w:szCs w:val="24"/>
              </w:rPr>
            </w:pPr>
          </w:p>
          <w:p w14:paraId="12A00A43" w14:textId="0231A431" w:rsidR="001252D3" w:rsidRPr="002E663A" w:rsidRDefault="001252D3" w:rsidP="00EB5798">
            <w:pPr>
              <w:rPr>
                <w:sz w:val="24"/>
                <w:szCs w:val="24"/>
              </w:rPr>
            </w:pPr>
            <w:r w:rsidRPr="002E663A">
              <w:rPr>
                <w:sz w:val="24"/>
                <w:szCs w:val="24"/>
              </w:rPr>
              <w:t>Gastrointestinale forstyrrelser som kvalme, oppustethed og flatulens.</w:t>
            </w:r>
          </w:p>
          <w:p w14:paraId="20B66699" w14:textId="77777777" w:rsidR="001252D3" w:rsidRPr="002E663A" w:rsidRDefault="001252D3" w:rsidP="00EB5798">
            <w:pPr>
              <w:rPr>
                <w:i/>
                <w:sz w:val="24"/>
                <w:szCs w:val="24"/>
              </w:rPr>
            </w:pPr>
          </w:p>
        </w:tc>
      </w:tr>
    </w:tbl>
    <w:p w14:paraId="37968414" w14:textId="77777777" w:rsidR="001252D3" w:rsidRPr="002E663A" w:rsidRDefault="001252D3" w:rsidP="00EB5798">
      <w:pPr>
        <w:autoSpaceDE w:val="0"/>
        <w:autoSpaceDN w:val="0"/>
        <w:adjustRightInd w:val="0"/>
        <w:ind w:left="851" w:hanging="851"/>
        <w:rPr>
          <w:noProof/>
          <w:sz w:val="24"/>
          <w:szCs w:val="24"/>
          <w:u w:val="single"/>
        </w:rPr>
      </w:pPr>
    </w:p>
    <w:p w14:paraId="2455BD09" w14:textId="77777777" w:rsidR="001252D3" w:rsidRPr="002E663A" w:rsidRDefault="001252D3" w:rsidP="00EB5798">
      <w:pPr>
        <w:autoSpaceDE w:val="0"/>
        <w:autoSpaceDN w:val="0"/>
        <w:adjustRightInd w:val="0"/>
        <w:ind w:left="851"/>
        <w:rPr>
          <w:sz w:val="24"/>
          <w:szCs w:val="24"/>
          <w:u w:val="single"/>
        </w:rPr>
      </w:pPr>
      <w:r w:rsidRPr="002E663A">
        <w:rPr>
          <w:noProof/>
          <w:sz w:val="24"/>
          <w:szCs w:val="24"/>
          <w:u w:val="single"/>
        </w:rPr>
        <w:t>Indberetning af formodede bivirkninger</w:t>
      </w:r>
    </w:p>
    <w:p w14:paraId="0841C243" w14:textId="77777777" w:rsidR="001252D3" w:rsidRPr="002E663A" w:rsidRDefault="001252D3" w:rsidP="00EB5798">
      <w:pPr>
        <w:ind w:left="851"/>
        <w:rPr>
          <w:bCs/>
          <w:sz w:val="24"/>
          <w:szCs w:val="24"/>
        </w:rPr>
      </w:pPr>
      <w:r w:rsidRPr="002E663A">
        <w:rPr>
          <w:noProof/>
          <w:sz w:val="24"/>
          <w:szCs w:val="24"/>
        </w:rPr>
        <w:t>Når lægemidlet er godkendt, er indberetning af formodede bivirkninger vigtig.</w:t>
      </w:r>
      <w:r w:rsidRPr="002E663A">
        <w:rPr>
          <w:sz w:val="24"/>
          <w:szCs w:val="24"/>
        </w:rPr>
        <w:t xml:space="preserve"> </w:t>
      </w:r>
      <w:r w:rsidRPr="002E663A">
        <w:rPr>
          <w:noProof/>
          <w:sz w:val="24"/>
          <w:szCs w:val="24"/>
        </w:rPr>
        <w:t>Det muliggør løbende overvågning af benefit/risk-forholdet for lægemidlet.</w:t>
      </w:r>
      <w:r w:rsidRPr="002E663A">
        <w:rPr>
          <w:sz w:val="24"/>
          <w:szCs w:val="24"/>
        </w:rPr>
        <w:t xml:space="preserve"> </w:t>
      </w:r>
      <w:r w:rsidRPr="002E663A">
        <w:rPr>
          <w:noProof/>
          <w:sz w:val="24"/>
          <w:szCs w:val="24"/>
        </w:rPr>
        <w:t>Læger og sundhedspersonale anmodes om at indberette alle formodede bivirkninger via:</w:t>
      </w:r>
    </w:p>
    <w:p w14:paraId="5DC63C76" w14:textId="77777777" w:rsidR="001252D3" w:rsidRPr="002E663A" w:rsidRDefault="001252D3" w:rsidP="00EB5798">
      <w:pPr>
        <w:ind w:left="851"/>
        <w:rPr>
          <w:bCs/>
          <w:sz w:val="24"/>
          <w:szCs w:val="24"/>
        </w:rPr>
      </w:pPr>
    </w:p>
    <w:p w14:paraId="190A5695" w14:textId="77777777" w:rsidR="001252D3" w:rsidRPr="002E663A" w:rsidRDefault="001252D3" w:rsidP="00EB5798">
      <w:pPr>
        <w:ind w:left="851"/>
        <w:rPr>
          <w:bCs/>
          <w:sz w:val="24"/>
          <w:szCs w:val="24"/>
        </w:rPr>
      </w:pPr>
      <w:r w:rsidRPr="002E663A">
        <w:rPr>
          <w:bCs/>
          <w:sz w:val="24"/>
          <w:szCs w:val="24"/>
        </w:rPr>
        <w:t>Lægemiddelstyrelsen</w:t>
      </w:r>
    </w:p>
    <w:p w14:paraId="3CA85231" w14:textId="77777777" w:rsidR="001252D3" w:rsidRPr="002E663A" w:rsidRDefault="001252D3" w:rsidP="00EB5798">
      <w:pPr>
        <w:ind w:left="851"/>
        <w:rPr>
          <w:bCs/>
          <w:sz w:val="24"/>
          <w:szCs w:val="24"/>
        </w:rPr>
      </w:pPr>
      <w:r w:rsidRPr="002E663A">
        <w:rPr>
          <w:bCs/>
          <w:sz w:val="24"/>
          <w:szCs w:val="24"/>
        </w:rPr>
        <w:t>Axel Heides Gade 1</w:t>
      </w:r>
    </w:p>
    <w:p w14:paraId="20660742" w14:textId="77777777" w:rsidR="001252D3" w:rsidRPr="002E663A" w:rsidRDefault="001252D3" w:rsidP="00EB5798">
      <w:pPr>
        <w:ind w:left="851"/>
        <w:rPr>
          <w:bCs/>
          <w:sz w:val="24"/>
          <w:szCs w:val="24"/>
        </w:rPr>
      </w:pPr>
      <w:r w:rsidRPr="002E663A">
        <w:rPr>
          <w:bCs/>
          <w:sz w:val="24"/>
          <w:szCs w:val="24"/>
        </w:rPr>
        <w:t>DK-2300 København S</w:t>
      </w:r>
    </w:p>
    <w:p w14:paraId="05312035" w14:textId="77777777" w:rsidR="001252D3" w:rsidRPr="00865F00" w:rsidRDefault="001252D3" w:rsidP="00EB5798">
      <w:pPr>
        <w:ind w:left="851"/>
        <w:rPr>
          <w:bCs/>
          <w:sz w:val="24"/>
          <w:szCs w:val="24"/>
          <w:lang w:val="en-US"/>
        </w:rPr>
      </w:pPr>
      <w:r w:rsidRPr="00865F00">
        <w:rPr>
          <w:bCs/>
          <w:sz w:val="24"/>
          <w:szCs w:val="24"/>
          <w:lang w:val="en-US"/>
        </w:rPr>
        <w:t xml:space="preserve">Websted: </w:t>
      </w:r>
      <w:hyperlink r:id="rId8" w:history="1">
        <w:r w:rsidRPr="00865F00">
          <w:rPr>
            <w:rStyle w:val="Hyperlink"/>
            <w:bCs/>
            <w:sz w:val="24"/>
            <w:szCs w:val="24"/>
            <w:lang w:val="en-US"/>
          </w:rPr>
          <w:t>www.meldenbivirkning.dk</w:t>
        </w:r>
      </w:hyperlink>
    </w:p>
    <w:p w14:paraId="48AD51B1" w14:textId="77777777" w:rsidR="001252D3" w:rsidRPr="00865F00" w:rsidRDefault="001252D3" w:rsidP="00EB5798">
      <w:pPr>
        <w:ind w:left="851"/>
        <w:rPr>
          <w:noProof/>
          <w:sz w:val="24"/>
          <w:szCs w:val="24"/>
          <w:lang w:val="en-US"/>
        </w:rPr>
      </w:pPr>
      <w:r w:rsidRPr="00865F00">
        <w:rPr>
          <w:bCs/>
          <w:sz w:val="24"/>
          <w:szCs w:val="24"/>
          <w:lang w:val="en-US"/>
        </w:rPr>
        <w:t xml:space="preserve">E-mail: </w:t>
      </w:r>
      <w:hyperlink r:id="rId9" w:history="1">
        <w:r w:rsidRPr="00865F00">
          <w:rPr>
            <w:rStyle w:val="Hyperlink"/>
            <w:sz w:val="24"/>
            <w:szCs w:val="24"/>
            <w:lang w:val="en-US"/>
          </w:rPr>
          <w:t>dkma@dkma.dk</w:t>
        </w:r>
      </w:hyperlink>
    </w:p>
    <w:p w14:paraId="65B4011D" w14:textId="77777777" w:rsidR="009260DE" w:rsidRPr="00865F00" w:rsidRDefault="009260DE" w:rsidP="00EB5798">
      <w:pPr>
        <w:pStyle w:val="Sidehoved"/>
        <w:tabs>
          <w:tab w:val="left" w:pos="851"/>
        </w:tabs>
        <w:ind w:left="851" w:hanging="851"/>
        <w:rPr>
          <w:szCs w:val="24"/>
          <w:lang w:val="en-US"/>
        </w:rPr>
      </w:pPr>
    </w:p>
    <w:p w14:paraId="459B9871" w14:textId="77777777" w:rsidR="009260DE" w:rsidRPr="002E663A" w:rsidRDefault="009260DE" w:rsidP="00EB5798">
      <w:pPr>
        <w:tabs>
          <w:tab w:val="left" w:pos="851"/>
        </w:tabs>
        <w:ind w:left="851" w:hanging="851"/>
        <w:rPr>
          <w:b/>
          <w:sz w:val="24"/>
          <w:szCs w:val="24"/>
        </w:rPr>
      </w:pPr>
      <w:r w:rsidRPr="002E663A">
        <w:rPr>
          <w:b/>
          <w:sz w:val="24"/>
          <w:szCs w:val="24"/>
        </w:rPr>
        <w:t>4.9</w:t>
      </w:r>
      <w:r w:rsidRPr="002E663A">
        <w:rPr>
          <w:b/>
          <w:sz w:val="24"/>
          <w:szCs w:val="24"/>
        </w:rPr>
        <w:tab/>
        <w:t>Overdosering</w:t>
      </w:r>
    </w:p>
    <w:p w14:paraId="19617779" w14:textId="77777777" w:rsidR="001252D3" w:rsidRPr="002E663A" w:rsidRDefault="001252D3" w:rsidP="00EB5798">
      <w:pPr>
        <w:ind w:left="851"/>
        <w:rPr>
          <w:sz w:val="24"/>
          <w:szCs w:val="24"/>
        </w:rPr>
      </w:pPr>
      <w:r w:rsidRPr="002E663A">
        <w:rPr>
          <w:sz w:val="24"/>
          <w:szCs w:val="24"/>
        </w:rPr>
        <w:t xml:space="preserve">Ses sjældent. Den akutte toksicitet er lav. </w:t>
      </w:r>
    </w:p>
    <w:p w14:paraId="4B310B30" w14:textId="77777777" w:rsidR="001252D3" w:rsidRPr="002E663A" w:rsidRDefault="001252D3" w:rsidP="00EB5798">
      <w:pPr>
        <w:ind w:left="851"/>
        <w:rPr>
          <w:sz w:val="24"/>
          <w:szCs w:val="24"/>
        </w:rPr>
      </w:pPr>
    </w:p>
    <w:p w14:paraId="33870D0D" w14:textId="77777777" w:rsidR="001252D3" w:rsidRPr="002E663A" w:rsidRDefault="001252D3" w:rsidP="00EB5798">
      <w:pPr>
        <w:ind w:left="851"/>
        <w:rPr>
          <w:b/>
          <w:sz w:val="24"/>
          <w:szCs w:val="24"/>
        </w:rPr>
      </w:pPr>
      <w:r w:rsidRPr="002E663A">
        <w:rPr>
          <w:b/>
          <w:sz w:val="24"/>
          <w:szCs w:val="24"/>
        </w:rPr>
        <w:t>Symptomer:</w:t>
      </w:r>
    </w:p>
    <w:p w14:paraId="5F0C72AE" w14:textId="77777777" w:rsidR="001252D3" w:rsidRPr="002E663A" w:rsidRDefault="001252D3" w:rsidP="00EB5798">
      <w:pPr>
        <w:ind w:left="851"/>
        <w:rPr>
          <w:sz w:val="24"/>
          <w:szCs w:val="24"/>
        </w:rPr>
      </w:pPr>
      <w:r w:rsidRPr="002E663A">
        <w:rPr>
          <w:sz w:val="24"/>
          <w:szCs w:val="24"/>
        </w:rPr>
        <w:t>Ved administration af større doser folsyre forøges den renale tubulære reabsorbtion op til maksimum og folsyre udskilles med urinen.</w:t>
      </w:r>
      <w:r w:rsidRPr="002E663A">
        <w:rPr>
          <w:spacing w:val="-3"/>
          <w:sz w:val="24"/>
          <w:szCs w:val="24"/>
        </w:rPr>
        <w:t xml:space="preserve"> </w:t>
      </w:r>
    </w:p>
    <w:p w14:paraId="7B985792" w14:textId="77777777" w:rsidR="001252D3" w:rsidRPr="002E663A" w:rsidRDefault="001252D3" w:rsidP="00EB5798">
      <w:pPr>
        <w:ind w:left="851"/>
        <w:rPr>
          <w:sz w:val="24"/>
          <w:szCs w:val="24"/>
        </w:rPr>
      </w:pPr>
      <w:r w:rsidRPr="002E663A">
        <w:rPr>
          <w:sz w:val="24"/>
          <w:szCs w:val="24"/>
        </w:rPr>
        <w:t>Symptomerne ved langtidsbehandling kan være anorexi, kvalme, abdominal udspændthed, flatulens og bitter/grim smag i munden.</w:t>
      </w:r>
    </w:p>
    <w:p w14:paraId="1E647E7E" w14:textId="77777777" w:rsidR="001252D3" w:rsidRPr="002E663A" w:rsidRDefault="001252D3" w:rsidP="00EB5798">
      <w:pPr>
        <w:ind w:left="851"/>
        <w:rPr>
          <w:sz w:val="24"/>
          <w:szCs w:val="24"/>
        </w:rPr>
      </w:pPr>
      <w:r w:rsidRPr="002E663A">
        <w:rPr>
          <w:sz w:val="24"/>
          <w:szCs w:val="24"/>
        </w:rPr>
        <w:t xml:space="preserve">CNS-forstyrrelser som påvirkning af søvnmønsteret, koncentrationsbesvær, irritabel, hyperaktivitet, mental depression, overstadighed, forvirring eller påvirket dømmekraft.  </w:t>
      </w:r>
    </w:p>
    <w:p w14:paraId="10556465" w14:textId="77777777" w:rsidR="001252D3" w:rsidRPr="002E663A" w:rsidRDefault="001252D3" w:rsidP="00EB5798">
      <w:pPr>
        <w:ind w:left="851"/>
        <w:rPr>
          <w:b/>
          <w:sz w:val="24"/>
          <w:szCs w:val="24"/>
        </w:rPr>
      </w:pPr>
    </w:p>
    <w:p w14:paraId="36F92825" w14:textId="77777777" w:rsidR="001252D3" w:rsidRPr="002E663A" w:rsidRDefault="001252D3" w:rsidP="00EB5798">
      <w:pPr>
        <w:ind w:left="851"/>
        <w:rPr>
          <w:b/>
          <w:sz w:val="24"/>
          <w:szCs w:val="24"/>
        </w:rPr>
      </w:pPr>
      <w:r w:rsidRPr="002E663A">
        <w:rPr>
          <w:b/>
          <w:sz w:val="24"/>
          <w:szCs w:val="24"/>
        </w:rPr>
        <w:t>Behandling:</w:t>
      </w:r>
    </w:p>
    <w:p w14:paraId="0F85E8CA" w14:textId="6647B546" w:rsidR="001252D3" w:rsidRPr="002E663A" w:rsidRDefault="001252D3" w:rsidP="00EB5798">
      <w:pPr>
        <w:tabs>
          <w:tab w:val="left" w:pos="0"/>
          <w:tab w:val="left" w:pos="851"/>
        </w:tabs>
        <w:ind w:left="851"/>
        <w:rPr>
          <w:sz w:val="24"/>
          <w:szCs w:val="24"/>
        </w:rPr>
      </w:pPr>
      <w:r w:rsidRPr="002E663A">
        <w:rPr>
          <w:sz w:val="24"/>
          <w:szCs w:val="24"/>
        </w:rPr>
        <w:t>Sym</w:t>
      </w:r>
      <w:r w:rsidR="002E663A">
        <w:rPr>
          <w:sz w:val="24"/>
          <w:szCs w:val="24"/>
        </w:rPr>
        <w:t>p</w:t>
      </w:r>
      <w:r w:rsidRPr="002E663A">
        <w:rPr>
          <w:sz w:val="24"/>
          <w:szCs w:val="24"/>
        </w:rPr>
        <w:t>tomatisk behandling vil kun blive nødvendig i undtagelsestilfælde.</w:t>
      </w:r>
    </w:p>
    <w:p w14:paraId="4DBA0C05" w14:textId="44B1B006" w:rsidR="002E663A" w:rsidRDefault="002E663A">
      <w:pPr>
        <w:rPr>
          <w:sz w:val="24"/>
          <w:szCs w:val="24"/>
        </w:rPr>
      </w:pPr>
      <w:r>
        <w:rPr>
          <w:sz w:val="24"/>
          <w:szCs w:val="24"/>
        </w:rPr>
        <w:br w:type="page"/>
      </w:r>
    </w:p>
    <w:p w14:paraId="6FBAA48D" w14:textId="77777777" w:rsidR="009260DE" w:rsidRPr="002E663A" w:rsidRDefault="009260DE" w:rsidP="00EB5798">
      <w:pPr>
        <w:tabs>
          <w:tab w:val="left" w:pos="851"/>
        </w:tabs>
        <w:ind w:left="851" w:hanging="851"/>
        <w:rPr>
          <w:sz w:val="24"/>
          <w:szCs w:val="24"/>
        </w:rPr>
      </w:pPr>
    </w:p>
    <w:p w14:paraId="756BF128" w14:textId="77777777" w:rsidR="009260DE" w:rsidRPr="002E663A" w:rsidRDefault="009260DE" w:rsidP="00EB5798">
      <w:pPr>
        <w:tabs>
          <w:tab w:val="left" w:pos="851"/>
        </w:tabs>
        <w:ind w:left="851" w:hanging="851"/>
        <w:rPr>
          <w:b/>
          <w:sz w:val="24"/>
          <w:szCs w:val="24"/>
        </w:rPr>
      </w:pPr>
      <w:r w:rsidRPr="002E663A">
        <w:rPr>
          <w:b/>
          <w:sz w:val="24"/>
          <w:szCs w:val="24"/>
        </w:rPr>
        <w:t>4.10</w:t>
      </w:r>
      <w:r w:rsidRPr="002E663A">
        <w:rPr>
          <w:b/>
          <w:sz w:val="24"/>
          <w:szCs w:val="24"/>
        </w:rPr>
        <w:tab/>
        <w:t>Udlevering</w:t>
      </w:r>
    </w:p>
    <w:p w14:paraId="71A051D6" w14:textId="77777777" w:rsidR="001252D3" w:rsidRPr="002E663A" w:rsidRDefault="001252D3" w:rsidP="00EB5798">
      <w:pPr>
        <w:ind w:left="851"/>
        <w:rPr>
          <w:sz w:val="24"/>
          <w:szCs w:val="24"/>
        </w:rPr>
      </w:pPr>
      <w:r w:rsidRPr="002E663A">
        <w:rPr>
          <w:sz w:val="24"/>
          <w:szCs w:val="24"/>
        </w:rPr>
        <w:t>B</w:t>
      </w:r>
    </w:p>
    <w:p w14:paraId="73CCA47D" w14:textId="77777777" w:rsidR="009260DE" w:rsidRPr="002E663A" w:rsidRDefault="009260DE" w:rsidP="00EB5798">
      <w:pPr>
        <w:tabs>
          <w:tab w:val="left" w:pos="851"/>
        </w:tabs>
        <w:ind w:left="851" w:hanging="851"/>
        <w:rPr>
          <w:sz w:val="24"/>
          <w:szCs w:val="24"/>
        </w:rPr>
      </w:pPr>
    </w:p>
    <w:p w14:paraId="0CCF3B76" w14:textId="77777777" w:rsidR="009260DE" w:rsidRPr="002E663A" w:rsidRDefault="009260DE" w:rsidP="00EB5798">
      <w:pPr>
        <w:tabs>
          <w:tab w:val="left" w:pos="851"/>
        </w:tabs>
        <w:ind w:left="851" w:hanging="851"/>
        <w:rPr>
          <w:sz w:val="24"/>
          <w:szCs w:val="24"/>
        </w:rPr>
      </w:pPr>
    </w:p>
    <w:p w14:paraId="0528CEA6" w14:textId="77777777" w:rsidR="009260DE" w:rsidRPr="002E663A" w:rsidRDefault="009260DE" w:rsidP="00EB5798">
      <w:pPr>
        <w:tabs>
          <w:tab w:val="left" w:pos="851"/>
        </w:tabs>
        <w:ind w:left="851" w:hanging="851"/>
        <w:rPr>
          <w:b/>
          <w:sz w:val="24"/>
          <w:szCs w:val="24"/>
        </w:rPr>
      </w:pPr>
      <w:r w:rsidRPr="002E663A">
        <w:rPr>
          <w:b/>
          <w:sz w:val="24"/>
          <w:szCs w:val="24"/>
        </w:rPr>
        <w:t>5.</w:t>
      </w:r>
      <w:r w:rsidRPr="002E663A">
        <w:rPr>
          <w:b/>
          <w:sz w:val="24"/>
          <w:szCs w:val="24"/>
        </w:rPr>
        <w:tab/>
        <w:t>FARMAKOLOGISKE EGENSKABER</w:t>
      </w:r>
    </w:p>
    <w:p w14:paraId="098C734D" w14:textId="77777777" w:rsidR="009260DE" w:rsidRPr="002E663A" w:rsidRDefault="009260DE" w:rsidP="00EB5798">
      <w:pPr>
        <w:tabs>
          <w:tab w:val="left" w:pos="851"/>
        </w:tabs>
        <w:ind w:left="851" w:hanging="851"/>
        <w:rPr>
          <w:sz w:val="24"/>
          <w:szCs w:val="24"/>
        </w:rPr>
      </w:pPr>
    </w:p>
    <w:p w14:paraId="6C2FFEE7" w14:textId="77777777" w:rsidR="009260DE" w:rsidRPr="002E663A" w:rsidRDefault="009260DE" w:rsidP="00EB5798">
      <w:pPr>
        <w:tabs>
          <w:tab w:val="left" w:pos="851"/>
        </w:tabs>
        <w:ind w:left="851" w:hanging="851"/>
        <w:rPr>
          <w:b/>
          <w:sz w:val="24"/>
          <w:szCs w:val="24"/>
        </w:rPr>
      </w:pPr>
      <w:r w:rsidRPr="002E663A">
        <w:rPr>
          <w:b/>
          <w:sz w:val="24"/>
          <w:szCs w:val="24"/>
        </w:rPr>
        <w:t>5.0</w:t>
      </w:r>
      <w:r w:rsidRPr="002E663A">
        <w:rPr>
          <w:b/>
          <w:sz w:val="24"/>
          <w:szCs w:val="24"/>
        </w:rPr>
        <w:tab/>
        <w:t>Terapeutisk klassifikation</w:t>
      </w:r>
    </w:p>
    <w:p w14:paraId="4E3F8AE1" w14:textId="406FD0B0" w:rsidR="001252D3" w:rsidRPr="002E663A" w:rsidRDefault="00EB5798" w:rsidP="00EB5798">
      <w:pPr>
        <w:ind w:left="851"/>
        <w:rPr>
          <w:sz w:val="24"/>
          <w:szCs w:val="24"/>
        </w:rPr>
      </w:pPr>
      <w:r w:rsidRPr="002E663A">
        <w:rPr>
          <w:sz w:val="24"/>
          <w:szCs w:val="24"/>
        </w:rPr>
        <w:t xml:space="preserve">ATC-kode: </w:t>
      </w:r>
      <w:r w:rsidR="001252D3" w:rsidRPr="002E663A">
        <w:rPr>
          <w:sz w:val="24"/>
          <w:szCs w:val="24"/>
        </w:rPr>
        <w:t>B 03 BB 01 – Midler mod anæmi, folsyre og derivater.</w:t>
      </w:r>
    </w:p>
    <w:p w14:paraId="6B435641" w14:textId="77777777" w:rsidR="009260DE" w:rsidRPr="002E663A" w:rsidRDefault="009260DE" w:rsidP="00EB5798">
      <w:pPr>
        <w:tabs>
          <w:tab w:val="left" w:pos="851"/>
        </w:tabs>
        <w:ind w:left="851" w:hanging="851"/>
        <w:rPr>
          <w:sz w:val="24"/>
          <w:szCs w:val="24"/>
        </w:rPr>
      </w:pPr>
    </w:p>
    <w:p w14:paraId="1150FAD8" w14:textId="77777777" w:rsidR="009260DE" w:rsidRPr="002E663A" w:rsidRDefault="009260DE" w:rsidP="00EB5798">
      <w:pPr>
        <w:tabs>
          <w:tab w:val="num" w:pos="851"/>
        </w:tabs>
        <w:ind w:left="851" w:hanging="851"/>
        <w:rPr>
          <w:b/>
          <w:sz w:val="24"/>
          <w:szCs w:val="24"/>
        </w:rPr>
      </w:pPr>
      <w:r w:rsidRPr="002E663A">
        <w:rPr>
          <w:b/>
          <w:sz w:val="24"/>
          <w:szCs w:val="24"/>
        </w:rPr>
        <w:t>5.1</w:t>
      </w:r>
      <w:r w:rsidRPr="002E663A">
        <w:rPr>
          <w:b/>
          <w:sz w:val="24"/>
          <w:szCs w:val="24"/>
        </w:rPr>
        <w:tab/>
        <w:t>Farmakodynamiske egenskaber</w:t>
      </w:r>
    </w:p>
    <w:p w14:paraId="169ADBAE" w14:textId="1CA5D3D2" w:rsidR="001252D3" w:rsidRPr="002E663A" w:rsidRDefault="00EB5798" w:rsidP="00EB5798">
      <w:pPr>
        <w:tabs>
          <w:tab w:val="left" w:pos="0"/>
        </w:tabs>
        <w:ind w:left="851" w:hanging="851"/>
        <w:rPr>
          <w:spacing w:val="-3"/>
          <w:sz w:val="24"/>
          <w:szCs w:val="24"/>
        </w:rPr>
      </w:pPr>
      <w:r w:rsidRPr="002E663A">
        <w:rPr>
          <w:spacing w:val="-3"/>
          <w:sz w:val="24"/>
          <w:szCs w:val="24"/>
        </w:rPr>
        <w:tab/>
      </w:r>
      <w:r w:rsidR="001252D3" w:rsidRPr="002E663A">
        <w:rPr>
          <w:spacing w:val="-3"/>
          <w:sz w:val="24"/>
          <w:szCs w:val="24"/>
        </w:rPr>
        <w:t>Folsyre reduceres i organismen til tetrahydrofolsyre (folininsyre, leucovorin) indgår i coenzymer, der er nødvendige for visse transmethyleringsprocesser, bl.a. syntese af deoxyribonucleinsyre og ribonukleinsyre. Mangel på folsyre giver megaloblastær anæmi.</w:t>
      </w:r>
    </w:p>
    <w:p w14:paraId="14B4F023" w14:textId="77777777" w:rsidR="009260DE" w:rsidRPr="002E663A" w:rsidRDefault="009260DE" w:rsidP="00EB5798">
      <w:pPr>
        <w:tabs>
          <w:tab w:val="left" w:pos="851"/>
        </w:tabs>
        <w:ind w:left="851" w:hanging="851"/>
        <w:rPr>
          <w:sz w:val="24"/>
          <w:szCs w:val="24"/>
        </w:rPr>
      </w:pPr>
    </w:p>
    <w:p w14:paraId="7C6D2FD3" w14:textId="77777777" w:rsidR="009260DE" w:rsidRPr="002E663A" w:rsidRDefault="009260DE" w:rsidP="00EB5798">
      <w:pPr>
        <w:tabs>
          <w:tab w:val="left" w:pos="851"/>
        </w:tabs>
        <w:ind w:left="851" w:hanging="851"/>
        <w:rPr>
          <w:b/>
          <w:sz w:val="24"/>
          <w:szCs w:val="24"/>
        </w:rPr>
      </w:pPr>
      <w:r w:rsidRPr="002E663A">
        <w:rPr>
          <w:b/>
          <w:sz w:val="24"/>
          <w:szCs w:val="24"/>
        </w:rPr>
        <w:t>5.2</w:t>
      </w:r>
      <w:r w:rsidRPr="002E663A">
        <w:rPr>
          <w:b/>
          <w:sz w:val="24"/>
          <w:szCs w:val="24"/>
        </w:rPr>
        <w:tab/>
        <w:t>Farmakokinetiske egenskaber</w:t>
      </w:r>
    </w:p>
    <w:p w14:paraId="34CEEBB3" w14:textId="77777777" w:rsidR="00EB5798" w:rsidRPr="002E663A" w:rsidRDefault="00EB5798" w:rsidP="00EB5798">
      <w:pPr>
        <w:tabs>
          <w:tab w:val="left" w:pos="0"/>
        </w:tabs>
        <w:ind w:left="851" w:hanging="851"/>
        <w:rPr>
          <w:sz w:val="24"/>
          <w:szCs w:val="24"/>
          <w:u w:val="single"/>
        </w:rPr>
      </w:pPr>
    </w:p>
    <w:p w14:paraId="1F3DF739" w14:textId="77777777" w:rsidR="001252D3" w:rsidRPr="002E663A" w:rsidRDefault="001252D3" w:rsidP="00EB5798">
      <w:pPr>
        <w:tabs>
          <w:tab w:val="left" w:pos="0"/>
        </w:tabs>
        <w:ind w:left="851"/>
        <w:rPr>
          <w:spacing w:val="-3"/>
          <w:sz w:val="24"/>
          <w:szCs w:val="24"/>
        </w:rPr>
      </w:pPr>
      <w:r w:rsidRPr="002E663A">
        <w:rPr>
          <w:sz w:val="24"/>
          <w:szCs w:val="24"/>
          <w:u w:val="single"/>
        </w:rPr>
        <w:t>Absorption</w:t>
      </w:r>
      <w:r w:rsidRPr="002E663A">
        <w:rPr>
          <w:spacing w:val="-3"/>
          <w:sz w:val="24"/>
          <w:szCs w:val="24"/>
        </w:rPr>
        <w:t xml:space="preserve"> </w:t>
      </w:r>
    </w:p>
    <w:p w14:paraId="27421B47" w14:textId="77777777" w:rsidR="001252D3" w:rsidRPr="002E663A" w:rsidRDefault="001252D3" w:rsidP="00EB5798">
      <w:pPr>
        <w:tabs>
          <w:tab w:val="left" w:pos="0"/>
        </w:tabs>
        <w:ind w:left="851"/>
        <w:rPr>
          <w:spacing w:val="-3"/>
          <w:sz w:val="24"/>
          <w:szCs w:val="24"/>
        </w:rPr>
      </w:pPr>
      <w:r w:rsidRPr="002E663A">
        <w:rPr>
          <w:spacing w:val="-3"/>
          <w:sz w:val="24"/>
          <w:szCs w:val="24"/>
        </w:rPr>
        <w:t>Absorberes let fra mave-tarmkanalen hos raske, men utilstrækkeligt hos patienter med malapsorbtion eller hurtig tarmpassage. Den maksimale plasmakoncentration opnås indenfor 60 til 90 min.</w:t>
      </w:r>
    </w:p>
    <w:p w14:paraId="2E1D36E7" w14:textId="77777777" w:rsidR="001252D3" w:rsidRPr="002E663A" w:rsidRDefault="001252D3" w:rsidP="00EB5798">
      <w:pPr>
        <w:tabs>
          <w:tab w:val="left" w:pos="0"/>
        </w:tabs>
        <w:ind w:left="851"/>
        <w:rPr>
          <w:sz w:val="24"/>
          <w:szCs w:val="24"/>
          <w:u w:val="single"/>
        </w:rPr>
      </w:pPr>
    </w:p>
    <w:p w14:paraId="31D01A07" w14:textId="77777777" w:rsidR="001252D3" w:rsidRPr="002E663A" w:rsidRDefault="001252D3" w:rsidP="00EB5798">
      <w:pPr>
        <w:tabs>
          <w:tab w:val="left" w:pos="0"/>
        </w:tabs>
        <w:ind w:left="851"/>
        <w:rPr>
          <w:spacing w:val="-3"/>
          <w:sz w:val="24"/>
          <w:szCs w:val="24"/>
        </w:rPr>
      </w:pPr>
      <w:r w:rsidRPr="002E663A">
        <w:rPr>
          <w:sz w:val="24"/>
          <w:szCs w:val="24"/>
          <w:u w:val="single"/>
        </w:rPr>
        <w:t>Biotransformation</w:t>
      </w:r>
      <w:r w:rsidRPr="002E663A">
        <w:rPr>
          <w:spacing w:val="-3"/>
          <w:sz w:val="24"/>
          <w:szCs w:val="24"/>
        </w:rPr>
        <w:t xml:space="preserve"> </w:t>
      </w:r>
    </w:p>
    <w:p w14:paraId="17835DC8" w14:textId="77777777" w:rsidR="001252D3" w:rsidRPr="002E663A" w:rsidRDefault="001252D3" w:rsidP="00EB5798">
      <w:pPr>
        <w:tabs>
          <w:tab w:val="left" w:pos="0"/>
        </w:tabs>
        <w:ind w:left="851"/>
        <w:rPr>
          <w:spacing w:val="-3"/>
          <w:sz w:val="24"/>
          <w:szCs w:val="24"/>
        </w:rPr>
      </w:pPr>
      <w:r w:rsidRPr="002E663A">
        <w:rPr>
          <w:spacing w:val="-3"/>
          <w:sz w:val="24"/>
          <w:szCs w:val="24"/>
        </w:rPr>
        <w:t>Folsyre omdannes til den aktive metabolit tetrahydro</w:t>
      </w:r>
      <w:r w:rsidRPr="002E663A">
        <w:rPr>
          <w:spacing w:val="-3"/>
          <w:sz w:val="24"/>
          <w:szCs w:val="24"/>
        </w:rPr>
        <w:softHyphen/>
        <w:t xml:space="preserve">folsyre. Metaboliseringen sker fortrinsvis i leveren. </w:t>
      </w:r>
    </w:p>
    <w:p w14:paraId="25B16FF7" w14:textId="77777777" w:rsidR="001252D3" w:rsidRPr="002E663A" w:rsidRDefault="001252D3" w:rsidP="00EB5798">
      <w:pPr>
        <w:tabs>
          <w:tab w:val="left" w:pos="0"/>
        </w:tabs>
        <w:ind w:left="851"/>
        <w:rPr>
          <w:spacing w:val="-3"/>
          <w:sz w:val="24"/>
          <w:szCs w:val="24"/>
        </w:rPr>
      </w:pPr>
    </w:p>
    <w:p w14:paraId="232113F3" w14:textId="77777777" w:rsidR="001252D3" w:rsidRPr="002E663A" w:rsidRDefault="001252D3" w:rsidP="00EB5798">
      <w:pPr>
        <w:tabs>
          <w:tab w:val="left" w:pos="0"/>
        </w:tabs>
        <w:ind w:left="851"/>
        <w:rPr>
          <w:spacing w:val="-3"/>
          <w:sz w:val="24"/>
          <w:szCs w:val="24"/>
        </w:rPr>
      </w:pPr>
      <w:r w:rsidRPr="002E663A">
        <w:rPr>
          <w:sz w:val="24"/>
          <w:szCs w:val="24"/>
          <w:u w:val="single"/>
        </w:rPr>
        <w:t>Elimination</w:t>
      </w:r>
      <w:r w:rsidRPr="002E663A">
        <w:rPr>
          <w:spacing w:val="-3"/>
          <w:sz w:val="24"/>
          <w:szCs w:val="24"/>
        </w:rPr>
        <w:t xml:space="preserve"> </w:t>
      </w:r>
    </w:p>
    <w:p w14:paraId="4707141D" w14:textId="77777777" w:rsidR="001252D3" w:rsidRPr="002E663A" w:rsidRDefault="001252D3" w:rsidP="00EB5798">
      <w:pPr>
        <w:tabs>
          <w:tab w:val="left" w:pos="0"/>
        </w:tabs>
        <w:ind w:left="851"/>
        <w:rPr>
          <w:spacing w:val="-3"/>
          <w:sz w:val="24"/>
          <w:szCs w:val="24"/>
        </w:rPr>
      </w:pPr>
      <w:r w:rsidRPr="002E663A">
        <w:rPr>
          <w:spacing w:val="-3"/>
          <w:sz w:val="24"/>
          <w:szCs w:val="24"/>
        </w:rPr>
        <w:t xml:space="preserve">Udskilles med galden, men størstedelen reabsorberes. </w:t>
      </w:r>
    </w:p>
    <w:p w14:paraId="7760DA72" w14:textId="77777777" w:rsidR="009260DE" w:rsidRPr="002E663A" w:rsidRDefault="009260DE" w:rsidP="00EB5798">
      <w:pPr>
        <w:tabs>
          <w:tab w:val="left" w:pos="851"/>
        </w:tabs>
        <w:ind w:left="851" w:hanging="851"/>
        <w:rPr>
          <w:sz w:val="24"/>
          <w:szCs w:val="24"/>
        </w:rPr>
      </w:pPr>
    </w:p>
    <w:p w14:paraId="59A93376" w14:textId="77777777" w:rsidR="009260DE" w:rsidRPr="002E663A" w:rsidRDefault="009260DE" w:rsidP="00EB5798">
      <w:pPr>
        <w:tabs>
          <w:tab w:val="left" w:pos="851"/>
        </w:tabs>
        <w:ind w:left="851" w:hanging="851"/>
        <w:rPr>
          <w:b/>
          <w:sz w:val="24"/>
          <w:szCs w:val="24"/>
        </w:rPr>
      </w:pPr>
      <w:r w:rsidRPr="002E663A">
        <w:rPr>
          <w:b/>
          <w:sz w:val="24"/>
          <w:szCs w:val="24"/>
        </w:rPr>
        <w:t>5.3</w:t>
      </w:r>
      <w:r w:rsidRPr="002E663A">
        <w:rPr>
          <w:b/>
          <w:sz w:val="24"/>
          <w:szCs w:val="24"/>
        </w:rPr>
        <w:tab/>
        <w:t>Prækliniske sikkerhedsdata</w:t>
      </w:r>
    </w:p>
    <w:p w14:paraId="50365516" w14:textId="77777777" w:rsidR="001252D3" w:rsidRPr="002E663A" w:rsidRDefault="001252D3" w:rsidP="00EB5798">
      <w:pPr>
        <w:ind w:left="851"/>
        <w:rPr>
          <w:noProof/>
          <w:sz w:val="24"/>
          <w:szCs w:val="24"/>
        </w:rPr>
      </w:pPr>
      <w:r w:rsidRPr="002E663A">
        <w:rPr>
          <w:sz w:val="24"/>
          <w:szCs w:val="24"/>
        </w:rPr>
        <w:t>-</w:t>
      </w:r>
    </w:p>
    <w:p w14:paraId="4B280D02" w14:textId="683B90FE" w:rsidR="009260DE" w:rsidRPr="002E663A" w:rsidRDefault="009260DE" w:rsidP="00EB5798">
      <w:pPr>
        <w:tabs>
          <w:tab w:val="left" w:pos="851"/>
        </w:tabs>
        <w:ind w:left="851" w:hanging="851"/>
        <w:rPr>
          <w:sz w:val="24"/>
          <w:szCs w:val="24"/>
        </w:rPr>
      </w:pPr>
    </w:p>
    <w:p w14:paraId="2B059EED" w14:textId="77777777" w:rsidR="009260DE" w:rsidRPr="002E663A" w:rsidRDefault="009260DE" w:rsidP="00EB5798">
      <w:pPr>
        <w:tabs>
          <w:tab w:val="left" w:pos="851"/>
        </w:tabs>
        <w:ind w:left="851" w:hanging="851"/>
        <w:rPr>
          <w:sz w:val="24"/>
          <w:szCs w:val="24"/>
        </w:rPr>
      </w:pPr>
    </w:p>
    <w:p w14:paraId="11AEAAD7" w14:textId="77777777" w:rsidR="009260DE" w:rsidRPr="002E663A" w:rsidRDefault="009260DE" w:rsidP="00EB5798">
      <w:pPr>
        <w:tabs>
          <w:tab w:val="left" w:pos="851"/>
        </w:tabs>
        <w:ind w:left="851" w:hanging="851"/>
        <w:rPr>
          <w:b/>
          <w:sz w:val="24"/>
          <w:szCs w:val="24"/>
        </w:rPr>
      </w:pPr>
      <w:r w:rsidRPr="002E663A">
        <w:rPr>
          <w:b/>
          <w:sz w:val="24"/>
          <w:szCs w:val="24"/>
        </w:rPr>
        <w:t>6.</w:t>
      </w:r>
      <w:r w:rsidRPr="002E663A">
        <w:rPr>
          <w:b/>
          <w:sz w:val="24"/>
          <w:szCs w:val="24"/>
        </w:rPr>
        <w:tab/>
        <w:t>FARMACEUTISKE OPLYSNINGER</w:t>
      </w:r>
    </w:p>
    <w:p w14:paraId="74DCAB2E" w14:textId="77777777" w:rsidR="009260DE" w:rsidRPr="002E663A" w:rsidRDefault="009260DE" w:rsidP="00EB5798">
      <w:pPr>
        <w:tabs>
          <w:tab w:val="left" w:pos="851"/>
        </w:tabs>
        <w:ind w:left="851" w:hanging="851"/>
        <w:rPr>
          <w:sz w:val="24"/>
          <w:szCs w:val="24"/>
        </w:rPr>
      </w:pPr>
    </w:p>
    <w:p w14:paraId="50A002F0" w14:textId="77777777" w:rsidR="009260DE" w:rsidRPr="002E663A" w:rsidRDefault="009260DE" w:rsidP="00EB5798">
      <w:pPr>
        <w:tabs>
          <w:tab w:val="left" w:pos="851"/>
        </w:tabs>
        <w:ind w:left="851" w:hanging="851"/>
        <w:rPr>
          <w:b/>
          <w:sz w:val="24"/>
          <w:szCs w:val="24"/>
        </w:rPr>
      </w:pPr>
      <w:r w:rsidRPr="002E663A">
        <w:rPr>
          <w:b/>
          <w:sz w:val="24"/>
          <w:szCs w:val="24"/>
        </w:rPr>
        <w:t>6.1</w:t>
      </w:r>
      <w:r w:rsidRPr="002E663A">
        <w:rPr>
          <w:b/>
          <w:sz w:val="24"/>
          <w:szCs w:val="24"/>
        </w:rPr>
        <w:tab/>
        <w:t>Hjælpestoffer</w:t>
      </w:r>
    </w:p>
    <w:p w14:paraId="6BDD1119" w14:textId="77777777" w:rsidR="001252D3" w:rsidRPr="002E663A" w:rsidRDefault="001252D3" w:rsidP="00EB5798">
      <w:pPr>
        <w:suppressAutoHyphens/>
        <w:ind w:left="851"/>
        <w:rPr>
          <w:sz w:val="24"/>
          <w:szCs w:val="24"/>
        </w:rPr>
      </w:pPr>
      <w:r w:rsidRPr="002E663A">
        <w:rPr>
          <w:sz w:val="24"/>
          <w:szCs w:val="24"/>
          <w:lang w:eastAsia="da-DK"/>
        </w:rPr>
        <w:t>Hydroxypropylcellulose</w:t>
      </w:r>
      <w:r w:rsidRPr="002E663A">
        <w:rPr>
          <w:sz w:val="24"/>
          <w:szCs w:val="24"/>
        </w:rPr>
        <w:t xml:space="preserve"> (E 463)</w:t>
      </w:r>
    </w:p>
    <w:p w14:paraId="1AE5EFE2" w14:textId="77777777" w:rsidR="001252D3" w:rsidRPr="002E663A" w:rsidRDefault="001252D3" w:rsidP="00EB5798">
      <w:pPr>
        <w:suppressAutoHyphens/>
        <w:ind w:left="851"/>
        <w:rPr>
          <w:sz w:val="24"/>
          <w:szCs w:val="24"/>
          <w:highlight w:val="yellow"/>
        </w:rPr>
      </w:pPr>
      <w:r w:rsidRPr="002E663A">
        <w:rPr>
          <w:sz w:val="24"/>
          <w:szCs w:val="24"/>
          <w:lang w:eastAsia="da-DK"/>
        </w:rPr>
        <w:t>Croscarmellosenatrium</w:t>
      </w:r>
      <w:r w:rsidRPr="002E663A">
        <w:rPr>
          <w:sz w:val="24"/>
          <w:szCs w:val="24"/>
          <w:highlight w:val="yellow"/>
        </w:rPr>
        <w:t xml:space="preserve"> </w:t>
      </w:r>
    </w:p>
    <w:p w14:paraId="02307810" w14:textId="77777777" w:rsidR="001252D3" w:rsidRPr="002E663A" w:rsidRDefault="001252D3" w:rsidP="00EB5798">
      <w:pPr>
        <w:suppressAutoHyphens/>
        <w:ind w:left="851"/>
        <w:rPr>
          <w:sz w:val="24"/>
          <w:szCs w:val="24"/>
          <w:highlight w:val="yellow"/>
        </w:rPr>
      </w:pPr>
      <w:r w:rsidRPr="002E663A">
        <w:rPr>
          <w:sz w:val="24"/>
          <w:szCs w:val="24"/>
          <w:lang w:eastAsia="da-DK"/>
        </w:rPr>
        <w:t>Cellulose, mikrokrystallinsk</w:t>
      </w:r>
      <w:r w:rsidRPr="002E663A" w:rsidDel="00CD05F6">
        <w:rPr>
          <w:sz w:val="24"/>
          <w:szCs w:val="24"/>
        </w:rPr>
        <w:t xml:space="preserve"> </w:t>
      </w:r>
      <w:r w:rsidRPr="002E663A">
        <w:rPr>
          <w:sz w:val="24"/>
          <w:szCs w:val="24"/>
        </w:rPr>
        <w:t>(E 460)</w:t>
      </w:r>
    </w:p>
    <w:p w14:paraId="187AB1D1" w14:textId="77777777" w:rsidR="001252D3" w:rsidRPr="002E663A" w:rsidRDefault="001252D3" w:rsidP="00EB5798">
      <w:pPr>
        <w:suppressAutoHyphens/>
        <w:ind w:left="851"/>
        <w:rPr>
          <w:sz w:val="24"/>
          <w:szCs w:val="24"/>
          <w:lang w:eastAsia="da-DK"/>
        </w:rPr>
      </w:pPr>
      <w:r w:rsidRPr="002E663A">
        <w:rPr>
          <w:sz w:val="24"/>
          <w:szCs w:val="24"/>
          <w:lang w:eastAsia="da-DK"/>
        </w:rPr>
        <w:t xml:space="preserve">Silica, kolloid vandfri </w:t>
      </w:r>
    </w:p>
    <w:p w14:paraId="360454A7" w14:textId="77777777" w:rsidR="001252D3" w:rsidRPr="002E663A" w:rsidRDefault="001252D3" w:rsidP="00EB5798">
      <w:pPr>
        <w:suppressAutoHyphens/>
        <w:ind w:left="851"/>
        <w:rPr>
          <w:sz w:val="24"/>
          <w:szCs w:val="24"/>
        </w:rPr>
      </w:pPr>
      <w:r w:rsidRPr="002E663A">
        <w:rPr>
          <w:sz w:val="24"/>
          <w:szCs w:val="24"/>
          <w:lang w:eastAsia="da-DK"/>
        </w:rPr>
        <w:t>Stearinsyre</w:t>
      </w:r>
      <w:r w:rsidRPr="002E663A" w:rsidDel="00CD05F6">
        <w:rPr>
          <w:sz w:val="24"/>
          <w:szCs w:val="24"/>
        </w:rPr>
        <w:t xml:space="preserve"> </w:t>
      </w:r>
    </w:p>
    <w:p w14:paraId="2A63C0C4" w14:textId="77777777" w:rsidR="009260DE" w:rsidRPr="002E663A" w:rsidRDefault="009260DE" w:rsidP="00EB5798">
      <w:pPr>
        <w:tabs>
          <w:tab w:val="left" w:pos="851"/>
        </w:tabs>
        <w:ind w:left="851" w:hanging="851"/>
        <w:rPr>
          <w:sz w:val="24"/>
          <w:szCs w:val="24"/>
        </w:rPr>
      </w:pPr>
    </w:p>
    <w:p w14:paraId="4FE6E051" w14:textId="77777777" w:rsidR="009260DE" w:rsidRPr="002E663A" w:rsidRDefault="009260DE" w:rsidP="00EB5798">
      <w:pPr>
        <w:tabs>
          <w:tab w:val="left" w:pos="851"/>
        </w:tabs>
        <w:ind w:left="851" w:hanging="851"/>
        <w:rPr>
          <w:b/>
          <w:sz w:val="24"/>
          <w:szCs w:val="24"/>
        </w:rPr>
      </w:pPr>
      <w:r w:rsidRPr="002E663A">
        <w:rPr>
          <w:b/>
          <w:sz w:val="24"/>
          <w:szCs w:val="24"/>
        </w:rPr>
        <w:t>6.2</w:t>
      </w:r>
      <w:r w:rsidRPr="002E663A">
        <w:rPr>
          <w:b/>
          <w:sz w:val="24"/>
          <w:szCs w:val="24"/>
        </w:rPr>
        <w:tab/>
        <w:t>Uforligeligheder</w:t>
      </w:r>
    </w:p>
    <w:p w14:paraId="24EAB221" w14:textId="77777777" w:rsidR="001252D3" w:rsidRPr="002E663A" w:rsidRDefault="001252D3" w:rsidP="00EB5798">
      <w:pPr>
        <w:ind w:left="851"/>
        <w:rPr>
          <w:sz w:val="24"/>
          <w:szCs w:val="24"/>
        </w:rPr>
      </w:pPr>
      <w:r w:rsidRPr="002E663A">
        <w:rPr>
          <w:sz w:val="24"/>
          <w:szCs w:val="24"/>
        </w:rPr>
        <w:t>Ikke relevant.</w:t>
      </w:r>
    </w:p>
    <w:p w14:paraId="777BB597" w14:textId="77777777" w:rsidR="009260DE" w:rsidRPr="002E663A" w:rsidRDefault="009260DE" w:rsidP="00EB5798">
      <w:pPr>
        <w:tabs>
          <w:tab w:val="left" w:pos="851"/>
        </w:tabs>
        <w:ind w:left="851" w:hanging="851"/>
        <w:rPr>
          <w:sz w:val="24"/>
          <w:szCs w:val="24"/>
        </w:rPr>
      </w:pPr>
    </w:p>
    <w:p w14:paraId="5FF24DE7" w14:textId="77777777" w:rsidR="009260DE" w:rsidRPr="002E663A" w:rsidRDefault="009260DE" w:rsidP="00EB5798">
      <w:pPr>
        <w:tabs>
          <w:tab w:val="left" w:pos="851"/>
        </w:tabs>
        <w:ind w:left="851" w:hanging="851"/>
        <w:rPr>
          <w:b/>
          <w:sz w:val="24"/>
          <w:szCs w:val="24"/>
        </w:rPr>
      </w:pPr>
      <w:r w:rsidRPr="002E663A">
        <w:rPr>
          <w:b/>
          <w:sz w:val="24"/>
          <w:szCs w:val="24"/>
        </w:rPr>
        <w:t>6.3</w:t>
      </w:r>
      <w:r w:rsidRPr="002E663A">
        <w:rPr>
          <w:b/>
          <w:sz w:val="24"/>
          <w:szCs w:val="24"/>
        </w:rPr>
        <w:tab/>
        <w:t>Opbevaringstid</w:t>
      </w:r>
    </w:p>
    <w:p w14:paraId="17C68538" w14:textId="10C8F57E" w:rsidR="001252D3" w:rsidRPr="002E663A" w:rsidRDefault="009260DE" w:rsidP="00EB5798">
      <w:pPr>
        <w:ind w:left="851" w:hanging="851"/>
        <w:rPr>
          <w:sz w:val="24"/>
          <w:szCs w:val="24"/>
        </w:rPr>
      </w:pPr>
      <w:r w:rsidRPr="002E663A">
        <w:rPr>
          <w:sz w:val="24"/>
          <w:szCs w:val="24"/>
        </w:rPr>
        <w:tab/>
      </w:r>
      <w:r w:rsidR="00645167">
        <w:rPr>
          <w:sz w:val="24"/>
          <w:szCs w:val="24"/>
        </w:rPr>
        <w:t>4</w:t>
      </w:r>
      <w:r w:rsidR="001252D3" w:rsidRPr="002E663A">
        <w:rPr>
          <w:sz w:val="24"/>
          <w:szCs w:val="24"/>
        </w:rPr>
        <w:t xml:space="preserve"> år.</w:t>
      </w:r>
    </w:p>
    <w:p w14:paraId="31C218CE" w14:textId="77777777" w:rsidR="009260DE" w:rsidRPr="002E663A" w:rsidRDefault="009260DE" w:rsidP="00EB5798">
      <w:pPr>
        <w:tabs>
          <w:tab w:val="left" w:pos="851"/>
        </w:tabs>
        <w:ind w:left="851" w:hanging="851"/>
        <w:rPr>
          <w:sz w:val="24"/>
          <w:szCs w:val="24"/>
        </w:rPr>
      </w:pPr>
    </w:p>
    <w:p w14:paraId="7E3E6B47" w14:textId="77777777" w:rsidR="009260DE" w:rsidRPr="002E663A" w:rsidRDefault="009260DE" w:rsidP="00EB5798">
      <w:pPr>
        <w:tabs>
          <w:tab w:val="left" w:pos="851"/>
        </w:tabs>
        <w:ind w:left="851" w:hanging="851"/>
        <w:rPr>
          <w:b/>
          <w:sz w:val="24"/>
          <w:szCs w:val="24"/>
        </w:rPr>
      </w:pPr>
      <w:r w:rsidRPr="002E663A">
        <w:rPr>
          <w:b/>
          <w:sz w:val="24"/>
          <w:szCs w:val="24"/>
        </w:rPr>
        <w:t>6.4</w:t>
      </w:r>
      <w:r w:rsidRPr="002E663A">
        <w:rPr>
          <w:b/>
          <w:sz w:val="24"/>
          <w:szCs w:val="24"/>
        </w:rPr>
        <w:tab/>
        <w:t>Særlige opbevaringsforhold</w:t>
      </w:r>
    </w:p>
    <w:p w14:paraId="50FE432A" w14:textId="77777777" w:rsidR="001252D3" w:rsidRPr="002E663A" w:rsidRDefault="001252D3" w:rsidP="00EB5798">
      <w:pPr>
        <w:ind w:left="851"/>
        <w:rPr>
          <w:sz w:val="24"/>
          <w:szCs w:val="24"/>
        </w:rPr>
      </w:pPr>
      <w:r w:rsidRPr="002E663A">
        <w:rPr>
          <w:sz w:val="24"/>
          <w:szCs w:val="24"/>
        </w:rPr>
        <w:t>Dette lægemiddel kræver ingen særlige forholdsregler vedrørende opbevaringen.</w:t>
      </w:r>
    </w:p>
    <w:p w14:paraId="7C4FF5BA" w14:textId="77777777" w:rsidR="009260DE" w:rsidRPr="002E663A" w:rsidRDefault="009260DE" w:rsidP="00EB5798">
      <w:pPr>
        <w:tabs>
          <w:tab w:val="left" w:pos="851"/>
        </w:tabs>
        <w:ind w:left="851" w:hanging="851"/>
        <w:rPr>
          <w:sz w:val="24"/>
          <w:szCs w:val="24"/>
        </w:rPr>
      </w:pPr>
    </w:p>
    <w:p w14:paraId="2292C820" w14:textId="77777777" w:rsidR="009260DE" w:rsidRPr="002E663A" w:rsidRDefault="009260DE" w:rsidP="00EB5798">
      <w:pPr>
        <w:tabs>
          <w:tab w:val="left" w:pos="851"/>
        </w:tabs>
        <w:ind w:left="851" w:hanging="851"/>
        <w:rPr>
          <w:b/>
          <w:sz w:val="24"/>
          <w:szCs w:val="24"/>
        </w:rPr>
      </w:pPr>
      <w:r w:rsidRPr="002E663A">
        <w:rPr>
          <w:b/>
          <w:sz w:val="24"/>
          <w:szCs w:val="24"/>
        </w:rPr>
        <w:t>6.5</w:t>
      </w:r>
      <w:r w:rsidRPr="002E663A">
        <w:rPr>
          <w:b/>
          <w:sz w:val="24"/>
          <w:szCs w:val="24"/>
        </w:rPr>
        <w:tab/>
        <w:t>Emballagetyper og pakningsstørrelser</w:t>
      </w:r>
    </w:p>
    <w:p w14:paraId="698E9400" w14:textId="77777777" w:rsidR="001252D3" w:rsidRPr="002E663A" w:rsidRDefault="001252D3" w:rsidP="00EB5798">
      <w:pPr>
        <w:ind w:left="851"/>
        <w:rPr>
          <w:sz w:val="24"/>
          <w:szCs w:val="24"/>
        </w:rPr>
      </w:pPr>
      <w:r w:rsidRPr="002E663A">
        <w:rPr>
          <w:sz w:val="24"/>
          <w:szCs w:val="24"/>
        </w:rPr>
        <w:t>Blister (PVC/PVDC/hvid/AI alu): 100 tabletter</w:t>
      </w:r>
    </w:p>
    <w:p w14:paraId="6C43393A" w14:textId="42548AC9" w:rsidR="001252D3" w:rsidRPr="002E663A" w:rsidRDefault="00F26314" w:rsidP="00EB5798">
      <w:pPr>
        <w:suppressAutoHyphens/>
        <w:ind w:left="851"/>
        <w:rPr>
          <w:sz w:val="24"/>
          <w:szCs w:val="24"/>
        </w:rPr>
      </w:pPr>
      <w:r w:rsidRPr="00F26314">
        <w:rPr>
          <w:sz w:val="24"/>
          <w:szCs w:val="24"/>
        </w:rPr>
        <w:t>Container (HDPE): 100, 200, 250 og 1000 tabletter (dosisdispensering).</w:t>
      </w:r>
    </w:p>
    <w:p w14:paraId="69F74706" w14:textId="77777777" w:rsidR="001252D3" w:rsidRPr="002E663A" w:rsidRDefault="001252D3" w:rsidP="00EB5798">
      <w:pPr>
        <w:suppressAutoHyphens/>
        <w:ind w:left="851"/>
        <w:rPr>
          <w:sz w:val="24"/>
          <w:szCs w:val="24"/>
        </w:rPr>
      </w:pPr>
      <w:r w:rsidRPr="002E663A">
        <w:rPr>
          <w:sz w:val="24"/>
          <w:szCs w:val="24"/>
        </w:rPr>
        <w:t>Ikke alle pakningsstørrelser er nødvendigvis markedsført.</w:t>
      </w:r>
    </w:p>
    <w:p w14:paraId="445AE00C" w14:textId="77777777" w:rsidR="009260DE" w:rsidRPr="002E663A" w:rsidRDefault="009260DE" w:rsidP="00EB5798">
      <w:pPr>
        <w:tabs>
          <w:tab w:val="left" w:pos="851"/>
        </w:tabs>
        <w:ind w:left="851" w:hanging="851"/>
        <w:rPr>
          <w:sz w:val="24"/>
          <w:szCs w:val="24"/>
        </w:rPr>
      </w:pPr>
    </w:p>
    <w:p w14:paraId="6D5210B0" w14:textId="77777777" w:rsidR="009260DE" w:rsidRPr="002E663A" w:rsidRDefault="009260DE" w:rsidP="00EB5798">
      <w:pPr>
        <w:tabs>
          <w:tab w:val="left" w:pos="851"/>
        </w:tabs>
        <w:ind w:left="851" w:hanging="851"/>
        <w:rPr>
          <w:b/>
          <w:sz w:val="24"/>
          <w:szCs w:val="24"/>
        </w:rPr>
      </w:pPr>
      <w:r w:rsidRPr="002E663A">
        <w:rPr>
          <w:b/>
          <w:sz w:val="24"/>
          <w:szCs w:val="24"/>
        </w:rPr>
        <w:t>6.6</w:t>
      </w:r>
      <w:r w:rsidRPr="002E663A">
        <w:rPr>
          <w:b/>
          <w:sz w:val="24"/>
          <w:szCs w:val="24"/>
        </w:rPr>
        <w:tab/>
        <w:t>Regler for destruktion og anden håndtering</w:t>
      </w:r>
    </w:p>
    <w:p w14:paraId="0EC3BE91" w14:textId="77777777" w:rsidR="001252D3" w:rsidRPr="002E663A" w:rsidRDefault="001252D3" w:rsidP="00EB5798">
      <w:pPr>
        <w:ind w:left="851"/>
        <w:rPr>
          <w:sz w:val="24"/>
          <w:szCs w:val="24"/>
        </w:rPr>
      </w:pPr>
      <w:r w:rsidRPr="002E663A">
        <w:rPr>
          <w:sz w:val="24"/>
          <w:szCs w:val="24"/>
        </w:rPr>
        <w:t>Ingen særlige forholdsregler ved bortskaffelse.</w:t>
      </w:r>
    </w:p>
    <w:p w14:paraId="06726A7D" w14:textId="77777777" w:rsidR="001252D3" w:rsidRPr="002E663A" w:rsidRDefault="001252D3" w:rsidP="00EB5798">
      <w:pPr>
        <w:ind w:left="851" w:hanging="851"/>
        <w:rPr>
          <w:sz w:val="24"/>
          <w:szCs w:val="24"/>
        </w:rPr>
      </w:pPr>
    </w:p>
    <w:p w14:paraId="6E6BFE85" w14:textId="77777777" w:rsidR="001252D3" w:rsidRPr="002E663A" w:rsidRDefault="001252D3" w:rsidP="00EB5798">
      <w:pPr>
        <w:ind w:left="851"/>
        <w:rPr>
          <w:sz w:val="24"/>
          <w:szCs w:val="24"/>
        </w:rPr>
      </w:pPr>
      <w:r w:rsidRPr="002E663A">
        <w:rPr>
          <w:sz w:val="24"/>
          <w:szCs w:val="24"/>
        </w:rPr>
        <w:t>Ikke anvendt lægemiddel samt affald heraf skal bortskaffes i henhold til lokale retningslinjer.</w:t>
      </w:r>
    </w:p>
    <w:p w14:paraId="275DFAC3" w14:textId="77777777" w:rsidR="009260DE" w:rsidRPr="002E663A" w:rsidRDefault="009260DE" w:rsidP="00EB5798">
      <w:pPr>
        <w:tabs>
          <w:tab w:val="left" w:pos="851"/>
        </w:tabs>
        <w:ind w:left="851" w:hanging="851"/>
        <w:jc w:val="both"/>
        <w:rPr>
          <w:sz w:val="24"/>
          <w:szCs w:val="24"/>
        </w:rPr>
      </w:pPr>
    </w:p>
    <w:p w14:paraId="5B69CEBA" w14:textId="77777777" w:rsidR="009260DE" w:rsidRPr="002E663A" w:rsidRDefault="009260DE" w:rsidP="00EB5798">
      <w:pPr>
        <w:tabs>
          <w:tab w:val="left" w:pos="851"/>
        </w:tabs>
        <w:ind w:left="851" w:hanging="851"/>
        <w:rPr>
          <w:b/>
          <w:sz w:val="24"/>
          <w:szCs w:val="24"/>
        </w:rPr>
      </w:pPr>
      <w:r w:rsidRPr="002E663A">
        <w:rPr>
          <w:b/>
          <w:sz w:val="24"/>
          <w:szCs w:val="24"/>
        </w:rPr>
        <w:t>7.</w:t>
      </w:r>
      <w:r w:rsidRPr="002E663A">
        <w:rPr>
          <w:b/>
          <w:sz w:val="24"/>
          <w:szCs w:val="24"/>
        </w:rPr>
        <w:tab/>
        <w:t>INDEHAVER AF MARKEDSFØRINGSTILLADELSEN</w:t>
      </w:r>
    </w:p>
    <w:p w14:paraId="322E3C21" w14:textId="77777777" w:rsidR="001252D3" w:rsidRPr="002E663A" w:rsidRDefault="001252D3" w:rsidP="00EB5798">
      <w:pPr>
        <w:ind w:left="851"/>
        <w:rPr>
          <w:sz w:val="24"/>
          <w:szCs w:val="24"/>
        </w:rPr>
      </w:pPr>
      <w:r w:rsidRPr="002E663A">
        <w:rPr>
          <w:sz w:val="24"/>
          <w:szCs w:val="24"/>
        </w:rPr>
        <w:t xml:space="preserve">Orifarm Generics A/S </w:t>
      </w:r>
    </w:p>
    <w:p w14:paraId="32C59A87" w14:textId="77777777" w:rsidR="001252D3" w:rsidRPr="002E663A" w:rsidRDefault="001252D3" w:rsidP="00EB5798">
      <w:pPr>
        <w:ind w:left="851"/>
        <w:rPr>
          <w:sz w:val="24"/>
          <w:szCs w:val="24"/>
        </w:rPr>
      </w:pPr>
      <w:r w:rsidRPr="002E663A">
        <w:rPr>
          <w:sz w:val="24"/>
          <w:szCs w:val="24"/>
        </w:rPr>
        <w:t>Energivej 15</w:t>
      </w:r>
    </w:p>
    <w:p w14:paraId="61C5ED08" w14:textId="77777777" w:rsidR="001252D3" w:rsidRPr="002E663A" w:rsidRDefault="001252D3" w:rsidP="00EB5798">
      <w:pPr>
        <w:ind w:left="851"/>
        <w:rPr>
          <w:sz w:val="24"/>
          <w:szCs w:val="24"/>
        </w:rPr>
      </w:pPr>
      <w:r w:rsidRPr="002E663A">
        <w:rPr>
          <w:sz w:val="24"/>
          <w:szCs w:val="24"/>
        </w:rPr>
        <w:t>5260 Odense S</w:t>
      </w:r>
    </w:p>
    <w:p w14:paraId="193044B3" w14:textId="77777777" w:rsidR="009260DE" w:rsidRPr="002E663A" w:rsidRDefault="009260DE" w:rsidP="00EB5798">
      <w:pPr>
        <w:tabs>
          <w:tab w:val="left" w:pos="851"/>
        </w:tabs>
        <w:ind w:left="851" w:hanging="851"/>
        <w:rPr>
          <w:sz w:val="24"/>
          <w:szCs w:val="24"/>
        </w:rPr>
      </w:pPr>
    </w:p>
    <w:p w14:paraId="6BC84298" w14:textId="77777777" w:rsidR="009260DE" w:rsidRPr="002E663A" w:rsidRDefault="009260DE" w:rsidP="00EB5798">
      <w:pPr>
        <w:tabs>
          <w:tab w:val="left" w:pos="851"/>
        </w:tabs>
        <w:ind w:left="851" w:hanging="851"/>
        <w:rPr>
          <w:b/>
          <w:sz w:val="24"/>
          <w:szCs w:val="24"/>
        </w:rPr>
      </w:pPr>
      <w:r w:rsidRPr="002E663A">
        <w:rPr>
          <w:b/>
          <w:sz w:val="24"/>
          <w:szCs w:val="24"/>
        </w:rPr>
        <w:t>8.</w:t>
      </w:r>
      <w:r w:rsidRPr="002E663A">
        <w:rPr>
          <w:b/>
          <w:sz w:val="24"/>
          <w:szCs w:val="24"/>
        </w:rPr>
        <w:tab/>
        <w:t>MARKEDSFØRINGSTILLADELSESNUMMER (NUMRE)</w:t>
      </w:r>
    </w:p>
    <w:p w14:paraId="7CAFAA91" w14:textId="5973229D" w:rsidR="009260DE" w:rsidRPr="002E663A" w:rsidRDefault="00EB5798" w:rsidP="00EB5798">
      <w:pPr>
        <w:tabs>
          <w:tab w:val="left" w:pos="851"/>
        </w:tabs>
        <w:ind w:left="851" w:hanging="851"/>
        <w:rPr>
          <w:sz w:val="24"/>
          <w:szCs w:val="24"/>
        </w:rPr>
      </w:pPr>
      <w:r w:rsidRPr="002E663A">
        <w:rPr>
          <w:sz w:val="24"/>
          <w:szCs w:val="24"/>
        </w:rPr>
        <w:tab/>
      </w:r>
      <w:r w:rsidR="00D92E42" w:rsidRPr="002E663A">
        <w:rPr>
          <w:sz w:val="24"/>
          <w:szCs w:val="24"/>
        </w:rPr>
        <w:t>58732</w:t>
      </w:r>
    </w:p>
    <w:p w14:paraId="7A2F657F" w14:textId="77777777" w:rsidR="009260DE" w:rsidRPr="002E663A" w:rsidRDefault="009260DE" w:rsidP="00EB5798">
      <w:pPr>
        <w:tabs>
          <w:tab w:val="left" w:pos="851"/>
        </w:tabs>
        <w:ind w:left="851" w:hanging="851"/>
        <w:jc w:val="both"/>
        <w:rPr>
          <w:sz w:val="24"/>
          <w:szCs w:val="24"/>
        </w:rPr>
      </w:pPr>
    </w:p>
    <w:p w14:paraId="0755BDD7" w14:textId="77777777" w:rsidR="009260DE" w:rsidRPr="002E663A" w:rsidRDefault="009260DE" w:rsidP="00EB5798">
      <w:pPr>
        <w:tabs>
          <w:tab w:val="left" w:pos="851"/>
        </w:tabs>
        <w:ind w:left="851" w:hanging="851"/>
        <w:rPr>
          <w:b/>
          <w:sz w:val="24"/>
          <w:szCs w:val="24"/>
        </w:rPr>
      </w:pPr>
      <w:r w:rsidRPr="002E663A">
        <w:rPr>
          <w:b/>
          <w:sz w:val="24"/>
          <w:szCs w:val="24"/>
        </w:rPr>
        <w:t>9.</w:t>
      </w:r>
      <w:r w:rsidRPr="002E663A">
        <w:rPr>
          <w:b/>
          <w:sz w:val="24"/>
          <w:szCs w:val="24"/>
        </w:rPr>
        <w:tab/>
        <w:t>DATO FOR FØRSTE MARKEDSFØRINGSTILLADELSE</w:t>
      </w:r>
    </w:p>
    <w:p w14:paraId="7F608897" w14:textId="654EC5D6" w:rsidR="009260DE" w:rsidRPr="002E663A" w:rsidRDefault="00EB5798" w:rsidP="00EB5798">
      <w:pPr>
        <w:tabs>
          <w:tab w:val="left" w:pos="851"/>
        </w:tabs>
        <w:ind w:left="851" w:hanging="851"/>
        <w:rPr>
          <w:sz w:val="24"/>
          <w:szCs w:val="24"/>
        </w:rPr>
      </w:pPr>
      <w:r w:rsidRPr="002E663A">
        <w:rPr>
          <w:sz w:val="24"/>
          <w:szCs w:val="24"/>
        </w:rPr>
        <w:tab/>
      </w:r>
      <w:r w:rsidR="00CF78E7">
        <w:rPr>
          <w:sz w:val="24"/>
          <w:szCs w:val="24"/>
        </w:rPr>
        <w:t>1. juni 2018</w:t>
      </w:r>
    </w:p>
    <w:p w14:paraId="3564FE7E" w14:textId="77777777" w:rsidR="009260DE" w:rsidRPr="002E663A" w:rsidRDefault="009260DE" w:rsidP="00EB5798">
      <w:pPr>
        <w:tabs>
          <w:tab w:val="left" w:pos="851"/>
        </w:tabs>
        <w:ind w:left="851" w:hanging="851"/>
        <w:rPr>
          <w:sz w:val="24"/>
          <w:szCs w:val="24"/>
        </w:rPr>
      </w:pPr>
    </w:p>
    <w:p w14:paraId="7E840881" w14:textId="77777777" w:rsidR="009260DE" w:rsidRPr="002E663A" w:rsidRDefault="009260DE" w:rsidP="00EB5798">
      <w:pPr>
        <w:tabs>
          <w:tab w:val="left" w:pos="851"/>
        </w:tabs>
        <w:ind w:left="851" w:hanging="851"/>
        <w:rPr>
          <w:b/>
          <w:sz w:val="24"/>
          <w:szCs w:val="24"/>
        </w:rPr>
      </w:pPr>
      <w:r w:rsidRPr="002E663A">
        <w:rPr>
          <w:b/>
          <w:sz w:val="24"/>
          <w:szCs w:val="24"/>
        </w:rPr>
        <w:t>10.</w:t>
      </w:r>
      <w:r w:rsidRPr="002E663A">
        <w:rPr>
          <w:b/>
          <w:sz w:val="24"/>
          <w:szCs w:val="24"/>
        </w:rPr>
        <w:tab/>
        <w:t>DATO FOR ÆNDRING AF TEKSTEN</w:t>
      </w:r>
    </w:p>
    <w:p w14:paraId="2A4729D0" w14:textId="23DDEE37" w:rsidR="009260DE" w:rsidRPr="002E663A" w:rsidRDefault="00EB5798" w:rsidP="00EB5798">
      <w:pPr>
        <w:tabs>
          <w:tab w:val="left" w:pos="851"/>
        </w:tabs>
        <w:ind w:left="851" w:hanging="851"/>
        <w:rPr>
          <w:sz w:val="24"/>
          <w:szCs w:val="24"/>
        </w:rPr>
      </w:pPr>
      <w:r w:rsidRPr="002E663A">
        <w:rPr>
          <w:sz w:val="24"/>
          <w:szCs w:val="24"/>
        </w:rPr>
        <w:tab/>
      </w:r>
      <w:r w:rsidR="00645167">
        <w:rPr>
          <w:sz w:val="24"/>
          <w:szCs w:val="24"/>
        </w:rPr>
        <w:t>15</w:t>
      </w:r>
      <w:bookmarkStart w:id="0" w:name="_GoBack"/>
      <w:bookmarkEnd w:id="0"/>
      <w:r w:rsidR="00645167">
        <w:rPr>
          <w:sz w:val="24"/>
          <w:szCs w:val="24"/>
        </w:rPr>
        <w:t>. november</w:t>
      </w:r>
      <w:r w:rsidR="00F26314">
        <w:rPr>
          <w:sz w:val="24"/>
          <w:szCs w:val="24"/>
        </w:rPr>
        <w:t xml:space="preserve"> 2019</w:t>
      </w:r>
    </w:p>
    <w:sectPr w:rsidR="009260DE" w:rsidRPr="002E663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DEE5E" w14:textId="77777777" w:rsidR="009B6695" w:rsidRDefault="009B6695">
      <w:r>
        <w:separator/>
      </w:r>
    </w:p>
  </w:endnote>
  <w:endnote w:type="continuationSeparator" w:id="0">
    <w:p w14:paraId="2242C7E2" w14:textId="77777777" w:rsidR="009B6695" w:rsidRDefault="009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25429" w14:textId="77777777" w:rsidR="000259B9" w:rsidRDefault="000259B9">
    <w:pPr>
      <w:pStyle w:val="Sidefod"/>
      <w:pBdr>
        <w:bottom w:val="single" w:sz="6" w:space="1" w:color="auto"/>
      </w:pBdr>
    </w:pPr>
  </w:p>
  <w:p w14:paraId="7593758B" w14:textId="77777777" w:rsidR="000259B9" w:rsidRDefault="000259B9" w:rsidP="00C42586">
    <w:pPr>
      <w:pStyle w:val="Sidefod"/>
      <w:tabs>
        <w:tab w:val="clear" w:pos="4819"/>
        <w:tab w:val="left" w:pos="8505"/>
      </w:tabs>
      <w:rPr>
        <w:i/>
        <w:sz w:val="18"/>
        <w:szCs w:val="18"/>
      </w:rPr>
    </w:pPr>
  </w:p>
  <w:p w14:paraId="35114EBB"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78E7">
      <w:rPr>
        <w:i/>
        <w:noProof/>
        <w:sz w:val="18"/>
        <w:szCs w:val="18"/>
      </w:rPr>
      <w:t>Folsyre Orifarm,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645167">
      <w:rPr>
        <w:rStyle w:val="Sidetal"/>
        <w:i/>
        <w:noProof/>
        <w:sz w:val="18"/>
        <w:szCs w:val="18"/>
      </w:rPr>
      <w:t>4</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645167">
      <w:rPr>
        <w:rStyle w:val="Sidetal"/>
        <w:i/>
        <w:noProof/>
        <w:sz w:val="18"/>
        <w:szCs w:val="18"/>
      </w:rPr>
      <w:t>5</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ACE3" w14:textId="77777777" w:rsidR="009B6695" w:rsidRDefault="009B6695">
      <w:r>
        <w:separator/>
      </w:r>
    </w:p>
  </w:footnote>
  <w:footnote w:type="continuationSeparator" w:id="0">
    <w:p w14:paraId="5C6DF5E0" w14:textId="77777777" w:rsidR="009B6695" w:rsidRDefault="009B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3C0"/>
    <w:multiLevelType w:val="hybridMultilevel"/>
    <w:tmpl w:val="A0C66FEE"/>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95"/>
    <w:rsid w:val="000259B9"/>
    <w:rsid w:val="00041491"/>
    <w:rsid w:val="00050D16"/>
    <w:rsid w:val="00074F2A"/>
    <w:rsid w:val="000A1CA8"/>
    <w:rsid w:val="000A466B"/>
    <w:rsid w:val="000B058C"/>
    <w:rsid w:val="000E4EE6"/>
    <w:rsid w:val="00100560"/>
    <w:rsid w:val="001252D3"/>
    <w:rsid w:val="001454E2"/>
    <w:rsid w:val="00145903"/>
    <w:rsid w:val="00206CE8"/>
    <w:rsid w:val="0021526C"/>
    <w:rsid w:val="00283A2B"/>
    <w:rsid w:val="002B30AD"/>
    <w:rsid w:val="002C2C01"/>
    <w:rsid w:val="002E663A"/>
    <w:rsid w:val="003A29AE"/>
    <w:rsid w:val="003A32D7"/>
    <w:rsid w:val="003B256D"/>
    <w:rsid w:val="003B4074"/>
    <w:rsid w:val="003C769A"/>
    <w:rsid w:val="003F1838"/>
    <w:rsid w:val="0045746C"/>
    <w:rsid w:val="00473C44"/>
    <w:rsid w:val="0049104B"/>
    <w:rsid w:val="004E3B12"/>
    <w:rsid w:val="00532310"/>
    <w:rsid w:val="00565F0F"/>
    <w:rsid w:val="00594A86"/>
    <w:rsid w:val="00596D86"/>
    <w:rsid w:val="005D393A"/>
    <w:rsid w:val="00637F5A"/>
    <w:rsid w:val="00645167"/>
    <w:rsid w:val="006560B1"/>
    <w:rsid w:val="006756DD"/>
    <w:rsid w:val="00737275"/>
    <w:rsid w:val="00740EEC"/>
    <w:rsid w:val="0078011A"/>
    <w:rsid w:val="00782AF4"/>
    <w:rsid w:val="00790EE7"/>
    <w:rsid w:val="007B6649"/>
    <w:rsid w:val="0082576E"/>
    <w:rsid w:val="00864A59"/>
    <w:rsid w:val="00865F00"/>
    <w:rsid w:val="008E0BDA"/>
    <w:rsid w:val="00902005"/>
    <w:rsid w:val="00907F75"/>
    <w:rsid w:val="009260DE"/>
    <w:rsid w:val="0093258A"/>
    <w:rsid w:val="009B5A6F"/>
    <w:rsid w:val="009B6695"/>
    <w:rsid w:val="009C7BA3"/>
    <w:rsid w:val="009D1F5A"/>
    <w:rsid w:val="00A365C1"/>
    <w:rsid w:val="00AE3460"/>
    <w:rsid w:val="00B003BF"/>
    <w:rsid w:val="00B373D7"/>
    <w:rsid w:val="00C36276"/>
    <w:rsid w:val="00C42586"/>
    <w:rsid w:val="00C60CCD"/>
    <w:rsid w:val="00C84483"/>
    <w:rsid w:val="00C95551"/>
    <w:rsid w:val="00CB20D7"/>
    <w:rsid w:val="00CB3730"/>
    <w:rsid w:val="00CF78E7"/>
    <w:rsid w:val="00D020B0"/>
    <w:rsid w:val="00D11748"/>
    <w:rsid w:val="00D366CF"/>
    <w:rsid w:val="00D40D08"/>
    <w:rsid w:val="00D92E42"/>
    <w:rsid w:val="00DE03FD"/>
    <w:rsid w:val="00E108AA"/>
    <w:rsid w:val="00E3749A"/>
    <w:rsid w:val="00E7437F"/>
    <w:rsid w:val="00E865B8"/>
    <w:rsid w:val="00EB5798"/>
    <w:rsid w:val="00EC0B9B"/>
    <w:rsid w:val="00ED5E9F"/>
    <w:rsid w:val="00F26314"/>
    <w:rsid w:val="00F47F5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66DAA"/>
  <w15:chartTrackingRefBased/>
  <w15:docId w15:val="{278FA3DD-20FC-4233-B90F-76C1BC20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1252D3"/>
    <w:pPr>
      <w:spacing w:before="120" w:after="120"/>
      <w:jc w:val="both"/>
    </w:pPr>
    <w:rPr>
      <w:sz w:val="22"/>
      <w:lang w:val="en-US"/>
    </w:rPr>
  </w:style>
  <w:style w:type="paragraph" w:styleId="Listeafsnit">
    <w:name w:val="List Paragraph"/>
    <w:basedOn w:val="Normal"/>
    <w:uiPriority w:val="34"/>
    <w:qFormat/>
    <w:rsid w:val="001252D3"/>
    <w:pPr>
      <w:ind w:left="720"/>
      <w:contextualSpacing/>
    </w:pPr>
    <w:rPr>
      <w:sz w:val="22"/>
    </w:rPr>
  </w:style>
  <w:style w:type="character" w:styleId="Hyperlink">
    <w:name w:val="Hyperlink"/>
    <w:basedOn w:val="Standardskrifttypeiafsnit"/>
    <w:rsid w:val="00125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5801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2019092094 pkt. 6.3. ændret fra 3 til 4 år.</dc:description>
  <cp:lastModifiedBy>Helle Munck</cp:lastModifiedBy>
  <cp:revision>2</cp:revision>
  <cp:lastPrinted>2018-06-01T10:58:00Z</cp:lastPrinted>
  <dcterms:created xsi:type="dcterms:W3CDTF">2019-11-15T14:06:00Z</dcterms:created>
  <dcterms:modified xsi:type="dcterms:W3CDTF">2019-11-15T14:06:00Z</dcterms:modified>
</cp:coreProperties>
</file>