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981" w:rsidRDefault="00FC7981" w:rsidP="00FC7981">
      <w:pPr>
        <w:rPr>
          <w:sz w:val="24"/>
          <w:szCs w:val="24"/>
        </w:rPr>
      </w:pPr>
      <w:r w:rsidRPr="009260DE">
        <w:rPr>
          <w:noProof/>
          <w:sz w:val="24"/>
          <w:szCs w:val="24"/>
          <w:lang w:eastAsia="da-DK"/>
        </w:rPr>
        <w:drawing>
          <wp:anchor distT="0" distB="0" distL="114300" distR="114300" simplePos="0" relativeHeight="251659264" behindDoc="0" locked="0" layoutInCell="1" allowOverlap="1" wp14:anchorId="19EC1E35" wp14:editId="124FA9B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C7981" w:rsidRPr="00C84483" w:rsidRDefault="00FC7981" w:rsidP="00FC7981">
      <w:pPr>
        <w:pStyle w:val="Titel"/>
        <w:tabs>
          <w:tab w:val="right" w:pos="9356"/>
        </w:tabs>
        <w:jc w:val="left"/>
        <w:rPr>
          <w:b w:val="0"/>
          <w:szCs w:val="24"/>
          <w:lang w:eastAsia="en-US"/>
        </w:rPr>
      </w:pPr>
      <w:r w:rsidRPr="00C84483">
        <w:rPr>
          <w:b w:val="0"/>
          <w:szCs w:val="24"/>
          <w:lang w:eastAsia="en-US"/>
        </w:rPr>
        <w:tab/>
      </w:r>
      <w:r w:rsidR="001A2B25">
        <w:rPr>
          <w:szCs w:val="24"/>
        </w:rPr>
        <w:t>12</w:t>
      </w:r>
      <w:r>
        <w:rPr>
          <w:szCs w:val="24"/>
        </w:rPr>
        <w:t xml:space="preserve">. </w:t>
      </w:r>
      <w:r w:rsidR="001A2B25">
        <w:rPr>
          <w:szCs w:val="24"/>
        </w:rPr>
        <w:t>marts</w:t>
      </w:r>
      <w:r>
        <w:rPr>
          <w:szCs w:val="24"/>
        </w:rPr>
        <w:t xml:space="preserve"> 20</w:t>
      </w:r>
      <w:r w:rsidR="001A2B25">
        <w:rPr>
          <w:szCs w:val="24"/>
        </w:rPr>
        <w:t>21</w:t>
      </w:r>
    </w:p>
    <w:p w:rsidR="00FC7981" w:rsidRPr="00C84483" w:rsidRDefault="00FC7981" w:rsidP="00FC7981">
      <w:pPr>
        <w:pStyle w:val="Titel"/>
        <w:jc w:val="left"/>
        <w:rPr>
          <w:b w:val="0"/>
          <w:szCs w:val="24"/>
        </w:rPr>
      </w:pPr>
    </w:p>
    <w:p w:rsidR="00FC7981" w:rsidRPr="00C84483" w:rsidRDefault="00FC7981" w:rsidP="00FC7981">
      <w:pPr>
        <w:jc w:val="center"/>
        <w:rPr>
          <w:b/>
          <w:sz w:val="24"/>
          <w:szCs w:val="24"/>
        </w:rPr>
      </w:pPr>
      <w:r w:rsidRPr="00C84483">
        <w:rPr>
          <w:b/>
          <w:sz w:val="24"/>
          <w:szCs w:val="24"/>
        </w:rPr>
        <w:t>PRODUKTRESUMÉ</w:t>
      </w:r>
    </w:p>
    <w:p w:rsidR="00FC7981" w:rsidRPr="00C84483" w:rsidRDefault="00FC7981" w:rsidP="00FC7981">
      <w:pPr>
        <w:jc w:val="center"/>
        <w:rPr>
          <w:b/>
          <w:sz w:val="24"/>
          <w:szCs w:val="24"/>
        </w:rPr>
      </w:pPr>
    </w:p>
    <w:p w:rsidR="00FC7981" w:rsidRDefault="00FC7981" w:rsidP="00FC7981">
      <w:pPr>
        <w:jc w:val="center"/>
        <w:rPr>
          <w:b/>
          <w:sz w:val="24"/>
          <w:szCs w:val="24"/>
        </w:rPr>
      </w:pPr>
      <w:r w:rsidRPr="00C84483">
        <w:rPr>
          <w:b/>
          <w:sz w:val="24"/>
          <w:szCs w:val="24"/>
        </w:rPr>
        <w:t>for</w:t>
      </w:r>
    </w:p>
    <w:p w:rsidR="00FC7981" w:rsidRPr="00C84483" w:rsidRDefault="00FC7981" w:rsidP="00FC7981">
      <w:pPr>
        <w:jc w:val="center"/>
        <w:rPr>
          <w:b/>
          <w:sz w:val="24"/>
          <w:szCs w:val="24"/>
        </w:rPr>
      </w:pPr>
    </w:p>
    <w:p w:rsidR="00FC7981" w:rsidRPr="00C84483" w:rsidRDefault="00FC7981" w:rsidP="00FC7981">
      <w:pPr>
        <w:jc w:val="center"/>
        <w:rPr>
          <w:b/>
          <w:sz w:val="24"/>
          <w:szCs w:val="24"/>
        </w:rPr>
      </w:pPr>
      <w:proofErr w:type="spellStart"/>
      <w:r>
        <w:rPr>
          <w:b/>
          <w:sz w:val="24"/>
          <w:szCs w:val="24"/>
        </w:rPr>
        <w:t>Folsyre</w:t>
      </w:r>
      <w:proofErr w:type="spellEnd"/>
      <w:r>
        <w:rPr>
          <w:b/>
          <w:sz w:val="24"/>
          <w:szCs w:val="24"/>
        </w:rPr>
        <w:t xml:space="preserve"> "</w:t>
      </w:r>
      <w:proofErr w:type="spellStart"/>
      <w:r>
        <w:rPr>
          <w:b/>
          <w:sz w:val="24"/>
          <w:szCs w:val="24"/>
        </w:rPr>
        <w:t>Vitabalans</w:t>
      </w:r>
      <w:proofErr w:type="spellEnd"/>
      <w:r>
        <w:rPr>
          <w:b/>
          <w:sz w:val="24"/>
          <w:szCs w:val="24"/>
        </w:rPr>
        <w:t>", tabletter 5 mg</w:t>
      </w:r>
    </w:p>
    <w:p w:rsidR="00FC7981" w:rsidRDefault="00FC7981" w:rsidP="00FC7981">
      <w:pPr>
        <w:jc w:val="both"/>
        <w:rPr>
          <w:sz w:val="24"/>
          <w:szCs w:val="24"/>
        </w:rPr>
      </w:pPr>
    </w:p>
    <w:p w:rsidR="00FC7981" w:rsidRPr="00C84483" w:rsidRDefault="00FC7981" w:rsidP="00FC7981">
      <w:pPr>
        <w:jc w:val="both"/>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0.</w:t>
      </w:r>
      <w:r w:rsidRPr="00C84483">
        <w:rPr>
          <w:b/>
          <w:sz w:val="24"/>
          <w:szCs w:val="24"/>
        </w:rPr>
        <w:tab/>
        <w:t>D.SP.NR.</w:t>
      </w:r>
    </w:p>
    <w:p w:rsidR="00FC7981" w:rsidRPr="00C84483" w:rsidRDefault="00FC7981" w:rsidP="00FC7981">
      <w:pPr>
        <w:tabs>
          <w:tab w:val="left" w:pos="851"/>
        </w:tabs>
        <w:ind w:left="851"/>
        <w:rPr>
          <w:sz w:val="24"/>
          <w:szCs w:val="24"/>
        </w:rPr>
      </w:pPr>
      <w:r>
        <w:rPr>
          <w:sz w:val="24"/>
          <w:szCs w:val="24"/>
        </w:rPr>
        <w:t>31052</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1.</w:t>
      </w:r>
      <w:r w:rsidRPr="00C84483">
        <w:rPr>
          <w:b/>
          <w:sz w:val="24"/>
          <w:szCs w:val="24"/>
        </w:rPr>
        <w:tab/>
        <w:t>LÆGEMIDLETS NAVN</w:t>
      </w:r>
    </w:p>
    <w:p w:rsidR="00FC7981" w:rsidRPr="00C84483" w:rsidRDefault="00FC7981" w:rsidP="00FC7981">
      <w:pPr>
        <w:tabs>
          <w:tab w:val="left" w:pos="851"/>
        </w:tabs>
        <w:ind w:left="851"/>
        <w:rPr>
          <w:sz w:val="24"/>
          <w:szCs w:val="24"/>
        </w:rPr>
      </w:pPr>
      <w:proofErr w:type="spellStart"/>
      <w:r>
        <w:rPr>
          <w:sz w:val="24"/>
          <w:szCs w:val="24"/>
        </w:rPr>
        <w:t>Folsyre</w:t>
      </w:r>
      <w:proofErr w:type="spellEnd"/>
      <w:r>
        <w:rPr>
          <w:sz w:val="24"/>
          <w:szCs w:val="24"/>
        </w:rPr>
        <w:t xml:space="preserve"> "</w:t>
      </w:r>
      <w:proofErr w:type="spellStart"/>
      <w:r>
        <w:rPr>
          <w:sz w:val="24"/>
          <w:szCs w:val="24"/>
        </w:rPr>
        <w:t>Vitabalans</w:t>
      </w:r>
      <w:proofErr w:type="spellEnd"/>
      <w:r>
        <w:rPr>
          <w:sz w:val="24"/>
          <w:szCs w:val="24"/>
        </w:rPr>
        <w: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C7981" w:rsidRPr="004C317F" w:rsidRDefault="00FC7981" w:rsidP="00FC7981">
      <w:pPr>
        <w:tabs>
          <w:tab w:val="left" w:pos="851"/>
        </w:tabs>
        <w:ind w:left="851"/>
        <w:rPr>
          <w:sz w:val="24"/>
          <w:szCs w:val="24"/>
        </w:rPr>
      </w:pPr>
      <w:r w:rsidRPr="004C317F">
        <w:rPr>
          <w:sz w:val="24"/>
          <w:szCs w:val="24"/>
        </w:rPr>
        <w:t xml:space="preserve">Hver tablet indeholder </w:t>
      </w:r>
      <w:r>
        <w:rPr>
          <w:sz w:val="24"/>
          <w:szCs w:val="24"/>
        </w:rPr>
        <w:t>5</w:t>
      </w:r>
      <w:r w:rsidRPr="004C317F">
        <w:rPr>
          <w:sz w:val="24"/>
          <w:szCs w:val="24"/>
        </w:rPr>
        <w:t xml:space="preserve"> mg </w:t>
      </w:r>
      <w:proofErr w:type="spellStart"/>
      <w:r w:rsidRPr="004C317F">
        <w:rPr>
          <w:sz w:val="24"/>
          <w:szCs w:val="24"/>
        </w:rPr>
        <w:t>folsyre</w:t>
      </w:r>
      <w:proofErr w:type="spellEnd"/>
      <w:r w:rsidRPr="004C317F">
        <w:rPr>
          <w:sz w:val="24"/>
          <w:szCs w:val="24"/>
        </w:rPr>
        <w:t xml:space="preserve"> som </w:t>
      </w:r>
      <w:proofErr w:type="spellStart"/>
      <w:r w:rsidRPr="004C317F">
        <w:rPr>
          <w:sz w:val="24"/>
          <w:szCs w:val="24"/>
        </w:rPr>
        <w:t>folsyrehydrat</w:t>
      </w:r>
      <w:proofErr w:type="spellEnd"/>
      <w:r w:rsidRPr="004C317F">
        <w:rPr>
          <w:sz w:val="24"/>
          <w:szCs w:val="24"/>
        </w:rPr>
        <w:t>.</w:t>
      </w:r>
    </w:p>
    <w:p w:rsidR="00FC7981" w:rsidRPr="004C317F" w:rsidRDefault="00FC7981" w:rsidP="00FC7981">
      <w:pPr>
        <w:tabs>
          <w:tab w:val="left" w:pos="851"/>
        </w:tabs>
        <w:ind w:left="851"/>
        <w:rPr>
          <w:sz w:val="24"/>
          <w:szCs w:val="24"/>
        </w:rPr>
      </w:pPr>
    </w:p>
    <w:p w:rsidR="00FC7981" w:rsidRPr="00C84483" w:rsidRDefault="00FC7981" w:rsidP="00FC7981">
      <w:pPr>
        <w:tabs>
          <w:tab w:val="left" w:pos="851"/>
        </w:tabs>
        <w:ind w:left="851"/>
        <w:rPr>
          <w:sz w:val="24"/>
          <w:szCs w:val="24"/>
        </w:rPr>
      </w:pPr>
      <w:r w:rsidRPr="004C317F">
        <w:rPr>
          <w:sz w:val="24"/>
          <w:szCs w:val="24"/>
        </w:rPr>
        <w:t>Alle hjælpestoffer er anført under pkt. 6.1.</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3.</w:t>
      </w:r>
      <w:r w:rsidRPr="00C84483">
        <w:rPr>
          <w:b/>
          <w:sz w:val="24"/>
          <w:szCs w:val="24"/>
        </w:rPr>
        <w:tab/>
        <w:t>LÆGEMIDDELFORM</w:t>
      </w:r>
    </w:p>
    <w:p w:rsidR="00FC7981" w:rsidRPr="004C317F" w:rsidRDefault="00FC7981" w:rsidP="00FC7981">
      <w:pPr>
        <w:tabs>
          <w:tab w:val="left" w:pos="851"/>
        </w:tabs>
        <w:ind w:left="851"/>
        <w:rPr>
          <w:sz w:val="24"/>
          <w:szCs w:val="24"/>
        </w:rPr>
      </w:pPr>
      <w:r w:rsidRPr="004C317F">
        <w:rPr>
          <w:sz w:val="24"/>
          <w:szCs w:val="24"/>
        </w:rPr>
        <w:t>Tabletter</w:t>
      </w:r>
    </w:p>
    <w:p w:rsidR="00FC7981" w:rsidRDefault="00FC7981" w:rsidP="00FC7981">
      <w:pPr>
        <w:tabs>
          <w:tab w:val="left" w:pos="851"/>
        </w:tabs>
        <w:ind w:left="851"/>
        <w:rPr>
          <w:sz w:val="24"/>
          <w:szCs w:val="24"/>
        </w:rPr>
      </w:pPr>
    </w:p>
    <w:p w:rsidR="00FC7981" w:rsidRDefault="00FC7981" w:rsidP="00FC7981">
      <w:pPr>
        <w:tabs>
          <w:tab w:val="left" w:pos="851"/>
        </w:tabs>
        <w:ind w:left="851"/>
        <w:rPr>
          <w:sz w:val="24"/>
          <w:szCs w:val="24"/>
        </w:rPr>
      </w:pPr>
      <w:r>
        <w:rPr>
          <w:sz w:val="24"/>
          <w:szCs w:val="24"/>
        </w:rPr>
        <w:t xml:space="preserve">En </w:t>
      </w:r>
      <w:r w:rsidRPr="004C317F">
        <w:rPr>
          <w:sz w:val="24"/>
          <w:szCs w:val="24"/>
        </w:rPr>
        <w:t xml:space="preserve">gul eller </w:t>
      </w:r>
      <w:r>
        <w:rPr>
          <w:sz w:val="24"/>
          <w:szCs w:val="24"/>
        </w:rPr>
        <w:t>let</w:t>
      </w:r>
      <w:r w:rsidRPr="004C317F">
        <w:rPr>
          <w:sz w:val="24"/>
          <w:szCs w:val="24"/>
        </w:rPr>
        <w:t xml:space="preserve"> orange, prikket, rund, konveks tablet med delekærv på den ene side. Tablettens diameter er 8 mm.</w:t>
      </w:r>
    </w:p>
    <w:p w:rsidR="00FC7981" w:rsidRPr="004510D8" w:rsidRDefault="00FC7981" w:rsidP="00FC7981">
      <w:pPr>
        <w:tabs>
          <w:tab w:val="left" w:pos="851"/>
        </w:tabs>
        <w:ind w:left="851"/>
        <w:rPr>
          <w:sz w:val="24"/>
          <w:szCs w:val="24"/>
        </w:rPr>
      </w:pPr>
      <w:r w:rsidRPr="004510D8">
        <w:rPr>
          <w:sz w:val="24"/>
          <w:szCs w:val="24"/>
        </w:rPr>
        <w:t>Tabletten kan deles i to lige store doser.</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w:t>
      </w:r>
      <w:r w:rsidRPr="00C84483">
        <w:rPr>
          <w:b/>
          <w:sz w:val="24"/>
          <w:szCs w:val="24"/>
        </w:rPr>
        <w:tab/>
        <w:t>KLINISKE OPLYSNINGER</w:t>
      </w:r>
    </w:p>
    <w:p w:rsidR="00FC7981" w:rsidRPr="00C84483" w:rsidRDefault="00FC7981" w:rsidP="00FC7981">
      <w:pPr>
        <w:tabs>
          <w:tab w:val="left" w:pos="851"/>
        </w:tabs>
        <w:ind w:left="851"/>
        <w:rPr>
          <w:b/>
          <w:sz w:val="24"/>
          <w:szCs w:val="24"/>
        </w:rPr>
      </w:pPr>
    </w:p>
    <w:p w:rsidR="00FC7981" w:rsidRPr="00C84483" w:rsidRDefault="00FC7981" w:rsidP="00FC798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C7981" w:rsidRPr="004C317F" w:rsidRDefault="00FC7981" w:rsidP="00FC7981">
      <w:pPr>
        <w:tabs>
          <w:tab w:val="left" w:pos="851"/>
        </w:tabs>
        <w:ind w:left="851"/>
        <w:rPr>
          <w:sz w:val="24"/>
          <w:szCs w:val="24"/>
        </w:rPr>
      </w:pPr>
      <w:proofErr w:type="spellStart"/>
      <w:r w:rsidRPr="004C317F">
        <w:rPr>
          <w:sz w:val="24"/>
          <w:szCs w:val="24"/>
        </w:rPr>
        <w:t>Folatmangel</w:t>
      </w:r>
      <w:proofErr w:type="spellEnd"/>
      <w:r w:rsidRPr="004C317F">
        <w:rPr>
          <w:sz w:val="24"/>
          <w:szCs w:val="24"/>
        </w:rPr>
        <w:t>, der er bekræftet ved blodprøve, herunder vitamin B12-status (se pkt. 4.4.).</w:t>
      </w:r>
    </w:p>
    <w:p w:rsidR="00FC7981" w:rsidRPr="004C317F" w:rsidRDefault="00FC7981" w:rsidP="00FC7981">
      <w:pPr>
        <w:tabs>
          <w:tab w:val="left" w:pos="851"/>
        </w:tabs>
        <w:ind w:left="851"/>
        <w:rPr>
          <w:sz w:val="24"/>
          <w:szCs w:val="24"/>
        </w:rPr>
      </w:pPr>
      <w:r w:rsidRPr="004C317F">
        <w:rPr>
          <w:sz w:val="24"/>
          <w:szCs w:val="24"/>
        </w:rPr>
        <w:t xml:space="preserve">Ved behandling med lægemidler, der hæmmer absorption eller </w:t>
      </w:r>
      <w:proofErr w:type="spellStart"/>
      <w:r w:rsidRPr="004C317F">
        <w:rPr>
          <w:sz w:val="24"/>
          <w:szCs w:val="24"/>
        </w:rPr>
        <w:t>metabolisering</w:t>
      </w:r>
      <w:proofErr w:type="spellEnd"/>
      <w:r w:rsidRPr="004C317F">
        <w:rPr>
          <w:sz w:val="24"/>
          <w:szCs w:val="24"/>
        </w:rPr>
        <w:t xml:space="preserve"> af </w:t>
      </w:r>
      <w:proofErr w:type="spellStart"/>
      <w:r w:rsidRPr="004C317F">
        <w:rPr>
          <w:sz w:val="24"/>
          <w:szCs w:val="24"/>
        </w:rPr>
        <w:t>folat</w:t>
      </w:r>
      <w:proofErr w:type="spellEnd"/>
      <w:r w:rsidRPr="004C317F">
        <w:rPr>
          <w:sz w:val="24"/>
          <w:szCs w:val="24"/>
        </w:rPr>
        <w:t xml:space="preserve">, såsom </w:t>
      </w:r>
      <w:proofErr w:type="spellStart"/>
      <w:r w:rsidRPr="004C317F">
        <w:rPr>
          <w:sz w:val="24"/>
          <w:szCs w:val="24"/>
        </w:rPr>
        <w:t>methotrexat</w:t>
      </w:r>
      <w:proofErr w:type="spellEnd"/>
      <w:r w:rsidRPr="004C317F">
        <w:rPr>
          <w:sz w:val="24"/>
          <w:szCs w:val="24"/>
        </w:rPr>
        <w:t>.</w:t>
      </w:r>
    </w:p>
    <w:p w:rsidR="00FC7981" w:rsidRPr="00C84483" w:rsidRDefault="00FC7981" w:rsidP="00FC7981">
      <w:pPr>
        <w:tabs>
          <w:tab w:val="left" w:pos="851"/>
        </w:tabs>
        <w:ind w:left="851"/>
        <w:rPr>
          <w:sz w:val="24"/>
          <w:szCs w:val="24"/>
        </w:rPr>
      </w:pPr>
      <w:r w:rsidRPr="004C317F">
        <w:rPr>
          <w:sz w:val="24"/>
          <w:szCs w:val="24"/>
        </w:rPr>
        <w:t>Forebyggelse af rygmarvsbrok hos fosteret for kvinder, der planlægger graviditet.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FC7981" w:rsidRPr="004C317F" w:rsidRDefault="00FC7981" w:rsidP="00FC7981">
      <w:pPr>
        <w:tabs>
          <w:tab w:val="left" w:pos="851"/>
        </w:tabs>
        <w:ind w:left="851"/>
        <w:rPr>
          <w:sz w:val="24"/>
          <w:szCs w:val="24"/>
        </w:rPr>
      </w:pPr>
    </w:p>
    <w:p w:rsidR="00FC7981" w:rsidRPr="00C258FA" w:rsidRDefault="00FC7981" w:rsidP="00FC7981">
      <w:pPr>
        <w:tabs>
          <w:tab w:val="left" w:pos="851"/>
        </w:tabs>
        <w:ind w:left="851"/>
        <w:rPr>
          <w:b/>
          <w:sz w:val="24"/>
          <w:szCs w:val="24"/>
        </w:rPr>
      </w:pPr>
      <w:r w:rsidRPr="00C258FA">
        <w:rPr>
          <w:b/>
          <w:sz w:val="24"/>
          <w:szCs w:val="24"/>
        </w:rPr>
        <w:t>Dosering</w:t>
      </w:r>
    </w:p>
    <w:p w:rsidR="00FC7981" w:rsidRPr="004C317F" w:rsidRDefault="00FC7981" w:rsidP="00FC7981">
      <w:pPr>
        <w:tabs>
          <w:tab w:val="left" w:pos="851"/>
        </w:tabs>
        <w:ind w:left="851"/>
        <w:rPr>
          <w:sz w:val="24"/>
          <w:szCs w:val="24"/>
          <w:u w:val="single"/>
        </w:rPr>
      </w:pPr>
    </w:p>
    <w:p w:rsidR="00FC7981" w:rsidRPr="004C317F" w:rsidRDefault="00FC7981" w:rsidP="00FC7981">
      <w:pPr>
        <w:tabs>
          <w:tab w:val="left" w:pos="851"/>
        </w:tabs>
        <w:ind w:left="851"/>
        <w:rPr>
          <w:sz w:val="24"/>
          <w:szCs w:val="24"/>
          <w:u w:val="single"/>
        </w:rPr>
      </w:pPr>
      <w:r w:rsidRPr="004C317F">
        <w:rPr>
          <w:sz w:val="24"/>
          <w:szCs w:val="24"/>
          <w:u w:val="single"/>
        </w:rPr>
        <w:t>Voksne (herunder ældre)</w:t>
      </w:r>
    </w:p>
    <w:p w:rsidR="00FC7981" w:rsidRPr="004C317F" w:rsidRDefault="00FC7981" w:rsidP="00FC7981">
      <w:pPr>
        <w:tabs>
          <w:tab w:val="left" w:pos="851"/>
        </w:tabs>
        <w:ind w:left="851"/>
        <w:rPr>
          <w:sz w:val="24"/>
          <w:szCs w:val="24"/>
          <w:u w:val="single"/>
        </w:rPr>
      </w:pPr>
    </w:p>
    <w:p w:rsidR="00FC7981" w:rsidRPr="004C317F" w:rsidRDefault="00FC7981" w:rsidP="00FC7981">
      <w:pPr>
        <w:tabs>
          <w:tab w:val="left" w:pos="851"/>
        </w:tabs>
        <w:ind w:left="851"/>
        <w:rPr>
          <w:i/>
          <w:sz w:val="24"/>
          <w:szCs w:val="24"/>
        </w:rPr>
      </w:pPr>
      <w:proofErr w:type="spellStart"/>
      <w:r w:rsidRPr="004C317F">
        <w:rPr>
          <w:i/>
          <w:sz w:val="24"/>
          <w:szCs w:val="24"/>
        </w:rPr>
        <w:t>Folatmangel</w:t>
      </w:r>
      <w:proofErr w:type="spellEnd"/>
      <w:r w:rsidRPr="004C317F">
        <w:rPr>
          <w:i/>
          <w:sz w:val="24"/>
          <w:szCs w:val="24"/>
        </w:rPr>
        <w:t>, der er bekræftet ved blodprø</w:t>
      </w:r>
      <w:r>
        <w:rPr>
          <w:i/>
          <w:sz w:val="24"/>
          <w:szCs w:val="24"/>
        </w:rPr>
        <w:t>ve, herunder vitamin B12-status</w:t>
      </w:r>
    </w:p>
    <w:p w:rsidR="00FC7981" w:rsidRPr="004C317F" w:rsidRDefault="00FC7981" w:rsidP="00FC7981">
      <w:pPr>
        <w:tabs>
          <w:tab w:val="left" w:pos="851"/>
        </w:tabs>
        <w:ind w:left="851"/>
        <w:rPr>
          <w:sz w:val="24"/>
          <w:szCs w:val="24"/>
        </w:rPr>
      </w:pPr>
      <w:r w:rsidRPr="004C317F">
        <w:rPr>
          <w:sz w:val="24"/>
          <w:szCs w:val="24"/>
        </w:rPr>
        <w:t xml:space="preserve">Remissionsbehandling: 5 mg </w:t>
      </w:r>
      <w:r>
        <w:rPr>
          <w:sz w:val="24"/>
          <w:szCs w:val="24"/>
        </w:rPr>
        <w:t>daglig</w:t>
      </w:r>
      <w:r w:rsidRPr="004C317F">
        <w:rPr>
          <w:sz w:val="24"/>
          <w:szCs w:val="24"/>
        </w:rPr>
        <w:t xml:space="preserve"> i ca. 2 uger. </w:t>
      </w:r>
    </w:p>
    <w:p w:rsidR="00FC7981" w:rsidRPr="0096502E" w:rsidRDefault="00FC7981" w:rsidP="00FC7981">
      <w:pPr>
        <w:ind w:left="851"/>
        <w:rPr>
          <w:sz w:val="24"/>
          <w:szCs w:val="24"/>
        </w:rPr>
      </w:pPr>
      <w:r w:rsidRPr="0096502E">
        <w:rPr>
          <w:sz w:val="24"/>
          <w:szCs w:val="24"/>
        </w:rPr>
        <w:t xml:space="preserve">Ved </w:t>
      </w:r>
      <w:proofErr w:type="spellStart"/>
      <w:r w:rsidRPr="0096502E">
        <w:rPr>
          <w:sz w:val="24"/>
          <w:szCs w:val="24"/>
        </w:rPr>
        <w:t>malabsorption</w:t>
      </w:r>
      <w:proofErr w:type="spellEnd"/>
      <w:r w:rsidRPr="0096502E">
        <w:rPr>
          <w:sz w:val="24"/>
          <w:szCs w:val="24"/>
        </w:rPr>
        <w:t xml:space="preserve"> kan </w:t>
      </w:r>
      <w:r>
        <w:rPr>
          <w:sz w:val="24"/>
          <w:szCs w:val="24"/>
        </w:rPr>
        <w:t>der behøves op til 15 mg daglig</w:t>
      </w:r>
      <w:r w:rsidRPr="0096502E">
        <w:rPr>
          <w:sz w:val="24"/>
          <w:szCs w:val="24"/>
        </w:rPr>
        <w:t>.</w:t>
      </w:r>
    </w:p>
    <w:p w:rsidR="00FC7981" w:rsidRPr="0096502E" w:rsidRDefault="00FC7981" w:rsidP="00FC7981">
      <w:pPr>
        <w:ind w:left="851"/>
        <w:rPr>
          <w:sz w:val="24"/>
          <w:szCs w:val="24"/>
        </w:rPr>
      </w:pPr>
      <w:r w:rsidRPr="0096502E">
        <w:rPr>
          <w:sz w:val="24"/>
          <w:szCs w:val="24"/>
        </w:rPr>
        <w:lastRenderedPageBreak/>
        <w:t xml:space="preserve">Behandlingens virkning bør overvåges. Til vedligeholdelsesbehandling kan dosis reduceres i henhold til blodprøveresultaterne. I så fald må der vælges et produkt med lavere styrke. </w:t>
      </w:r>
    </w:p>
    <w:p w:rsidR="00FC7981" w:rsidRPr="004C317F" w:rsidRDefault="00FC7981" w:rsidP="00FC7981">
      <w:pPr>
        <w:tabs>
          <w:tab w:val="left" w:pos="851"/>
        </w:tabs>
        <w:ind w:left="851"/>
        <w:rPr>
          <w:sz w:val="24"/>
          <w:szCs w:val="24"/>
          <w:u w:val="single"/>
        </w:rPr>
      </w:pPr>
    </w:p>
    <w:p w:rsidR="00FC7981" w:rsidRPr="004C317F" w:rsidRDefault="00FC7981" w:rsidP="00FC7981">
      <w:pPr>
        <w:tabs>
          <w:tab w:val="left" w:pos="851"/>
        </w:tabs>
        <w:ind w:left="851"/>
        <w:rPr>
          <w:i/>
          <w:sz w:val="24"/>
          <w:szCs w:val="24"/>
        </w:rPr>
      </w:pPr>
      <w:r w:rsidRPr="004C317F">
        <w:rPr>
          <w:i/>
          <w:sz w:val="24"/>
          <w:szCs w:val="24"/>
        </w:rPr>
        <w:t>Ved l</w:t>
      </w:r>
      <w:r>
        <w:rPr>
          <w:i/>
          <w:sz w:val="24"/>
          <w:szCs w:val="24"/>
        </w:rPr>
        <w:t xml:space="preserve">ægemiddelforårsaget </w:t>
      </w:r>
      <w:proofErr w:type="spellStart"/>
      <w:r>
        <w:rPr>
          <w:i/>
          <w:sz w:val="24"/>
          <w:szCs w:val="24"/>
        </w:rPr>
        <w:t>folatmangel</w:t>
      </w:r>
      <w:proofErr w:type="spellEnd"/>
    </w:p>
    <w:p w:rsidR="00FC7981" w:rsidRDefault="00FC7981" w:rsidP="00FC7981">
      <w:pPr>
        <w:tabs>
          <w:tab w:val="left" w:pos="851"/>
        </w:tabs>
        <w:ind w:left="851"/>
        <w:rPr>
          <w:sz w:val="24"/>
          <w:szCs w:val="24"/>
        </w:rPr>
      </w:pPr>
      <w:r w:rsidRPr="004C317F">
        <w:rPr>
          <w:sz w:val="24"/>
          <w:szCs w:val="24"/>
        </w:rPr>
        <w:t>5 mg om ugen</w:t>
      </w:r>
      <w:r>
        <w:rPr>
          <w:sz w:val="24"/>
          <w:szCs w:val="24"/>
        </w:rPr>
        <w:t>. D</w:t>
      </w:r>
      <w:r w:rsidRPr="004C317F">
        <w:rPr>
          <w:sz w:val="24"/>
          <w:szCs w:val="24"/>
        </w:rPr>
        <w:t xml:space="preserve">osis bør tages på en anden dag end det </w:t>
      </w:r>
      <w:proofErr w:type="spellStart"/>
      <w:r w:rsidRPr="004C317F">
        <w:rPr>
          <w:sz w:val="24"/>
          <w:szCs w:val="24"/>
        </w:rPr>
        <w:t>folathæmmende</w:t>
      </w:r>
      <w:proofErr w:type="spellEnd"/>
      <w:r w:rsidRPr="004C317F">
        <w:rPr>
          <w:sz w:val="24"/>
          <w:szCs w:val="24"/>
        </w:rPr>
        <w:t xml:space="preserve"> lægemiddel.</w:t>
      </w:r>
    </w:p>
    <w:p w:rsidR="00FC7981" w:rsidRPr="004C317F" w:rsidRDefault="00FC7981" w:rsidP="00FC7981">
      <w:pPr>
        <w:tabs>
          <w:tab w:val="left" w:pos="851"/>
        </w:tabs>
        <w:ind w:left="851"/>
        <w:rPr>
          <w:sz w:val="24"/>
          <w:szCs w:val="24"/>
        </w:rPr>
      </w:pPr>
    </w:p>
    <w:p w:rsidR="00FC7981" w:rsidRPr="004C317F" w:rsidRDefault="00FC7981" w:rsidP="00FC7981">
      <w:pPr>
        <w:tabs>
          <w:tab w:val="left" w:pos="851"/>
        </w:tabs>
        <w:ind w:left="851"/>
        <w:rPr>
          <w:i/>
          <w:sz w:val="24"/>
          <w:szCs w:val="24"/>
        </w:rPr>
      </w:pPr>
      <w:r w:rsidRPr="004C317F">
        <w:rPr>
          <w:i/>
          <w:sz w:val="24"/>
          <w:szCs w:val="24"/>
        </w:rPr>
        <w:t>Forebyggelse af rygmarvsbrok hos fosteret for kvi</w:t>
      </w:r>
      <w:r>
        <w:rPr>
          <w:i/>
          <w:sz w:val="24"/>
          <w:szCs w:val="24"/>
        </w:rPr>
        <w:t>nder, der planlægger graviditet</w:t>
      </w:r>
    </w:p>
    <w:p w:rsidR="00FC7981" w:rsidRPr="004C317F" w:rsidRDefault="00FC7981" w:rsidP="00FC7981">
      <w:pPr>
        <w:tabs>
          <w:tab w:val="left" w:pos="851"/>
        </w:tabs>
        <w:ind w:left="851"/>
        <w:rPr>
          <w:sz w:val="24"/>
          <w:szCs w:val="24"/>
        </w:rPr>
      </w:pPr>
      <w:r w:rsidRPr="004C317F">
        <w:rPr>
          <w:sz w:val="24"/>
          <w:szCs w:val="24"/>
        </w:rPr>
        <w:t xml:space="preserve">5 mg </w:t>
      </w:r>
      <w:r>
        <w:rPr>
          <w:sz w:val="24"/>
          <w:szCs w:val="24"/>
        </w:rPr>
        <w:t>daglig</w:t>
      </w:r>
      <w:r w:rsidRPr="004C317F">
        <w:rPr>
          <w:sz w:val="24"/>
          <w:szCs w:val="24"/>
        </w:rPr>
        <w:t>, begyndende mindst 4 uger før undfangelsen og mindst 12 uger efter undfangelsen.</w:t>
      </w:r>
    </w:p>
    <w:p w:rsidR="00FC7981" w:rsidRPr="004C317F" w:rsidRDefault="00FC7981" w:rsidP="00FC7981">
      <w:pPr>
        <w:tabs>
          <w:tab w:val="left" w:pos="851"/>
        </w:tabs>
        <w:ind w:left="851"/>
        <w:rPr>
          <w:sz w:val="24"/>
          <w:szCs w:val="24"/>
        </w:rPr>
      </w:pPr>
    </w:p>
    <w:p w:rsidR="00FC7981" w:rsidRPr="004C317F" w:rsidRDefault="00FC7981" w:rsidP="00FC7981">
      <w:pPr>
        <w:tabs>
          <w:tab w:val="left" w:pos="851"/>
        </w:tabs>
        <w:ind w:left="851"/>
        <w:rPr>
          <w:sz w:val="24"/>
          <w:szCs w:val="24"/>
          <w:u w:val="single"/>
        </w:rPr>
      </w:pPr>
      <w:r w:rsidRPr="004C317F">
        <w:rPr>
          <w:sz w:val="24"/>
          <w:szCs w:val="24"/>
          <w:u w:val="single"/>
        </w:rPr>
        <w:t>Pædiatrisk population</w:t>
      </w:r>
    </w:p>
    <w:p w:rsidR="00FC7981" w:rsidRPr="004C317F" w:rsidRDefault="00FC7981" w:rsidP="00FC7981">
      <w:pPr>
        <w:tabs>
          <w:tab w:val="left" w:pos="851"/>
        </w:tabs>
        <w:autoSpaceDE w:val="0"/>
        <w:autoSpaceDN w:val="0"/>
        <w:adjustRightInd w:val="0"/>
        <w:ind w:left="851"/>
        <w:rPr>
          <w:i/>
          <w:noProof/>
          <w:color w:val="008000"/>
          <w:sz w:val="24"/>
          <w:szCs w:val="24"/>
        </w:rPr>
      </w:pPr>
      <w:proofErr w:type="spellStart"/>
      <w:r>
        <w:rPr>
          <w:sz w:val="24"/>
          <w:szCs w:val="24"/>
        </w:rPr>
        <w:t>Folsyre</w:t>
      </w:r>
      <w:proofErr w:type="spellEnd"/>
      <w:r>
        <w:rPr>
          <w:sz w:val="24"/>
          <w:szCs w:val="24"/>
        </w:rPr>
        <w:t xml:space="preserve"> "</w:t>
      </w:r>
      <w:proofErr w:type="spellStart"/>
      <w:r>
        <w:rPr>
          <w:sz w:val="24"/>
          <w:szCs w:val="24"/>
        </w:rPr>
        <w:t>Vitabalans</w:t>
      </w:r>
      <w:proofErr w:type="spellEnd"/>
      <w:r>
        <w:rPr>
          <w:sz w:val="24"/>
          <w:szCs w:val="24"/>
        </w:rPr>
        <w:t>"</w:t>
      </w:r>
      <w:r w:rsidRPr="004C317F">
        <w:rPr>
          <w:sz w:val="24"/>
          <w:szCs w:val="24"/>
        </w:rPr>
        <w:t xml:space="preserve"> bør ikke anvendes hos børn under 6 år.</w:t>
      </w:r>
    </w:p>
    <w:p w:rsidR="00FC7981" w:rsidRPr="004C317F" w:rsidRDefault="00FC7981" w:rsidP="00FC7981">
      <w:pPr>
        <w:tabs>
          <w:tab w:val="left" w:pos="851"/>
        </w:tabs>
        <w:ind w:left="851"/>
        <w:rPr>
          <w:bCs/>
          <w:i/>
          <w:iCs/>
          <w:sz w:val="24"/>
          <w:szCs w:val="24"/>
        </w:rPr>
      </w:pPr>
    </w:p>
    <w:p w:rsidR="00FC7981" w:rsidRPr="004C317F" w:rsidRDefault="00FC7981" w:rsidP="00FC7981">
      <w:pPr>
        <w:tabs>
          <w:tab w:val="left" w:pos="851"/>
        </w:tabs>
        <w:ind w:left="851"/>
        <w:rPr>
          <w:i/>
          <w:sz w:val="24"/>
          <w:szCs w:val="24"/>
        </w:rPr>
      </w:pPr>
      <w:r w:rsidRPr="004C317F">
        <w:rPr>
          <w:i/>
          <w:sz w:val="24"/>
          <w:szCs w:val="24"/>
        </w:rPr>
        <w:t xml:space="preserve">Ved </w:t>
      </w:r>
      <w:proofErr w:type="spellStart"/>
      <w:r w:rsidRPr="004C317F">
        <w:rPr>
          <w:i/>
          <w:sz w:val="24"/>
          <w:szCs w:val="24"/>
        </w:rPr>
        <w:t>megaloblastisk</w:t>
      </w:r>
      <w:proofErr w:type="spellEnd"/>
      <w:r w:rsidRPr="004C317F">
        <w:rPr>
          <w:i/>
          <w:sz w:val="24"/>
          <w:szCs w:val="24"/>
        </w:rPr>
        <w:t xml:space="preserve"> anæmi som følge af </w:t>
      </w:r>
      <w:proofErr w:type="spellStart"/>
      <w:r w:rsidRPr="004C317F">
        <w:rPr>
          <w:i/>
          <w:sz w:val="24"/>
          <w:szCs w:val="24"/>
        </w:rPr>
        <w:t>folsyre</w:t>
      </w:r>
      <w:r>
        <w:rPr>
          <w:i/>
          <w:sz w:val="24"/>
          <w:szCs w:val="24"/>
        </w:rPr>
        <w:t>mangel</w:t>
      </w:r>
      <w:proofErr w:type="spellEnd"/>
    </w:p>
    <w:p w:rsidR="00FC7981" w:rsidRPr="004C317F" w:rsidRDefault="00FC7981" w:rsidP="00FC7981">
      <w:pPr>
        <w:tabs>
          <w:tab w:val="left" w:pos="851"/>
        </w:tabs>
        <w:autoSpaceDE w:val="0"/>
        <w:autoSpaceDN w:val="0"/>
        <w:adjustRightInd w:val="0"/>
        <w:ind w:left="851"/>
        <w:rPr>
          <w:sz w:val="24"/>
          <w:szCs w:val="24"/>
        </w:rPr>
      </w:pPr>
      <w:r w:rsidRPr="004C317F">
        <w:rPr>
          <w:sz w:val="24"/>
          <w:szCs w:val="24"/>
        </w:rPr>
        <w:t xml:space="preserve">Børn og unge (6-17 år): 5 mg </w:t>
      </w:r>
      <w:r>
        <w:rPr>
          <w:sz w:val="24"/>
          <w:szCs w:val="24"/>
        </w:rPr>
        <w:t>daglig</w:t>
      </w:r>
      <w:r w:rsidRPr="004C317F">
        <w:rPr>
          <w:sz w:val="24"/>
          <w:szCs w:val="24"/>
        </w:rPr>
        <w:t xml:space="preserve"> i 4 måneder. </w:t>
      </w:r>
    </w:p>
    <w:p w:rsidR="00FC7981" w:rsidRPr="00482EA6" w:rsidRDefault="00FC7981" w:rsidP="00FC7981">
      <w:pPr>
        <w:tabs>
          <w:tab w:val="left" w:pos="851"/>
        </w:tabs>
        <w:autoSpaceDE w:val="0"/>
        <w:autoSpaceDN w:val="0"/>
        <w:adjustRightInd w:val="0"/>
        <w:ind w:left="851"/>
        <w:rPr>
          <w:sz w:val="24"/>
          <w:szCs w:val="24"/>
        </w:rPr>
      </w:pPr>
      <w:r w:rsidRPr="00482EA6">
        <w:rPr>
          <w:sz w:val="24"/>
          <w:szCs w:val="24"/>
        </w:rPr>
        <w:t xml:space="preserve">Ved </w:t>
      </w:r>
      <w:proofErr w:type="spellStart"/>
      <w:r w:rsidRPr="00482EA6">
        <w:rPr>
          <w:sz w:val="24"/>
          <w:szCs w:val="24"/>
        </w:rPr>
        <w:t>malabsorption</w:t>
      </w:r>
      <w:proofErr w:type="spellEnd"/>
      <w:r w:rsidRPr="00482EA6">
        <w:rPr>
          <w:sz w:val="24"/>
          <w:szCs w:val="24"/>
        </w:rPr>
        <w:t xml:space="preserve"> kan </w:t>
      </w:r>
      <w:r>
        <w:rPr>
          <w:sz w:val="24"/>
          <w:szCs w:val="24"/>
        </w:rPr>
        <w:t>der behøves op til 15 mg daglig.</w:t>
      </w:r>
    </w:p>
    <w:p w:rsidR="00FC7981" w:rsidRPr="00482EA6" w:rsidRDefault="00FC7981" w:rsidP="00FC7981">
      <w:pPr>
        <w:tabs>
          <w:tab w:val="left" w:pos="851"/>
        </w:tabs>
        <w:autoSpaceDE w:val="0"/>
        <w:autoSpaceDN w:val="0"/>
        <w:adjustRightInd w:val="0"/>
        <w:ind w:left="851"/>
        <w:rPr>
          <w:sz w:val="24"/>
          <w:szCs w:val="24"/>
        </w:rPr>
      </w:pPr>
      <w:r w:rsidRPr="00482EA6">
        <w:rPr>
          <w:sz w:val="24"/>
          <w:szCs w:val="24"/>
        </w:rPr>
        <w:t>Behandlingens virkning bør overvåges. Til vedligeholdelsesbehandling kan dosis reduceres i henhold til blodprøveresultaterne. I så fald må der vælges et produkt med lavere styrke.</w:t>
      </w:r>
    </w:p>
    <w:p w:rsidR="00FC7981" w:rsidRPr="004C317F" w:rsidRDefault="00FC7981" w:rsidP="00FC7981">
      <w:pPr>
        <w:tabs>
          <w:tab w:val="left" w:pos="851"/>
        </w:tabs>
        <w:autoSpaceDE w:val="0"/>
        <w:autoSpaceDN w:val="0"/>
        <w:adjustRightInd w:val="0"/>
        <w:ind w:left="851"/>
        <w:rPr>
          <w:sz w:val="24"/>
          <w:szCs w:val="24"/>
        </w:rPr>
      </w:pPr>
    </w:p>
    <w:p w:rsidR="00FC7981" w:rsidRPr="004C317F" w:rsidRDefault="00FC7981" w:rsidP="00FC7981">
      <w:pPr>
        <w:tabs>
          <w:tab w:val="left" w:pos="851"/>
        </w:tabs>
        <w:ind w:left="851"/>
        <w:rPr>
          <w:sz w:val="24"/>
          <w:szCs w:val="24"/>
          <w:u w:val="single"/>
        </w:rPr>
      </w:pPr>
      <w:r w:rsidRPr="004C317F">
        <w:rPr>
          <w:sz w:val="24"/>
          <w:szCs w:val="24"/>
          <w:u w:val="single"/>
        </w:rPr>
        <w:t>Særlige populationer</w:t>
      </w:r>
    </w:p>
    <w:p w:rsidR="00FC7981" w:rsidRPr="004C317F" w:rsidRDefault="00FC7981" w:rsidP="00FC7981">
      <w:pPr>
        <w:tabs>
          <w:tab w:val="left" w:pos="0"/>
          <w:tab w:val="left" w:pos="851"/>
        </w:tabs>
        <w:ind w:left="851"/>
        <w:rPr>
          <w:sz w:val="24"/>
          <w:szCs w:val="24"/>
        </w:rPr>
      </w:pPr>
      <w:r w:rsidRPr="004C317F">
        <w:rPr>
          <w:sz w:val="24"/>
          <w:szCs w:val="24"/>
        </w:rPr>
        <w:t>Der kræves ikke dosisjustering hos ældre.</w:t>
      </w:r>
    </w:p>
    <w:p w:rsidR="00FC7981" w:rsidRPr="004C317F" w:rsidRDefault="00FC7981" w:rsidP="00FC7981">
      <w:pPr>
        <w:tabs>
          <w:tab w:val="left" w:pos="0"/>
          <w:tab w:val="left" w:pos="851"/>
        </w:tabs>
        <w:ind w:left="851"/>
        <w:rPr>
          <w:sz w:val="24"/>
          <w:szCs w:val="24"/>
        </w:rPr>
      </w:pPr>
      <w:r w:rsidRPr="004C317F">
        <w:rPr>
          <w:sz w:val="24"/>
          <w:szCs w:val="24"/>
        </w:rPr>
        <w:t>Der behøves ikke dosisjustering hos patienter med nedsat nyre- eller leverfunktion.</w:t>
      </w:r>
    </w:p>
    <w:p w:rsidR="00FC7981" w:rsidRPr="004C317F" w:rsidRDefault="00FC7981" w:rsidP="00FC7981">
      <w:pPr>
        <w:tabs>
          <w:tab w:val="left" w:pos="851"/>
        </w:tabs>
        <w:autoSpaceDE w:val="0"/>
        <w:autoSpaceDN w:val="0"/>
        <w:adjustRightInd w:val="0"/>
        <w:ind w:left="851"/>
        <w:jc w:val="both"/>
        <w:rPr>
          <w:b/>
          <w:i/>
          <w:sz w:val="24"/>
          <w:szCs w:val="24"/>
        </w:rPr>
      </w:pPr>
    </w:p>
    <w:p w:rsidR="00FC7981" w:rsidRPr="00560032" w:rsidRDefault="00FC7981" w:rsidP="00FC7981">
      <w:pPr>
        <w:tabs>
          <w:tab w:val="left" w:pos="851"/>
        </w:tabs>
        <w:ind w:left="851"/>
        <w:rPr>
          <w:b/>
          <w:sz w:val="24"/>
          <w:szCs w:val="24"/>
        </w:rPr>
      </w:pPr>
      <w:r w:rsidRPr="00560032">
        <w:rPr>
          <w:b/>
          <w:sz w:val="24"/>
          <w:szCs w:val="24"/>
        </w:rPr>
        <w:t>Administration</w:t>
      </w:r>
    </w:p>
    <w:p w:rsidR="00FC7981" w:rsidRPr="00C84483" w:rsidRDefault="00FC7981" w:rsidP="00FC7981">
      <w:pPr>
        <w:tabs>
          <w:tab w:val="left" w:pos="851"/>
        </w:tabs>
        <w:ind w:left="851"/>
        <w:rPr>
          <w:sz w:val="24"/>
          <w:szCs w:val="24"/>
        </w:rPr>
      </w:pPr>
      <w:r w:rsidRPr="004C317F">
        <w:rPr>
          <w:sz w:val="24"/>
          <w:szCs w:val="24"/>
        </w:rPr>
        <w:t>Til oral anvendelse</w:t>
      </w:r>
      <w:r>
        <w:rPr>
          <w:sz w:val="24"/>
          <w:szCs w:val="24"/>
        </w:rPr>
        <w: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4.3</w:t>
      </w:r>
      <w:r w:rsidRPr="00C84483">
        <w:rPr>
          <w:b/>
          <w:sz w:val="24"/>
          <w:szCs w:val="24"/>
        </w:rPr>
        <w:tab/>
        <w:t>Kontraindikationer</w:t>
      </w:r>
    </w:p>
    <w:p w:rsidR="00FC7981" w:rsidRPr="00C84483" w:rsidRDefault="00FC7981" w:rsidP="00FC7981">
      <w:pPr>
        <w:tabs>
          <w:tab w:val="left" w:pos="851"/>
        </w:tabs>
        <w:ind w:left="851"/>
        <w:rPr>
          <w:sz w:val="24"/>
          <w:szCs w:val="24"/>
        </w:rPr>
      </w:pPr>
      <w:r w:rsidRPr="004C317F">
        <w:rPr>
          <w:sz w:val="24"/>
          <w:szCs w:val="24"/>
        </w:rPr>
        <w:t xml:space="preserve">Overfølsomhed </w:t>
      </w:r>
      <w:r>
        <w:rPr>
          <w:sz w:val="24"/>
          <w:szCs w:val="24"/>
        </w:rPr>
        <w:t xml:space="preserve">over </w:t>
      </w:r>
      <w:r w:rsidRPr="004C317F">
        <w:rPr>
          <w:sz w:val="24"/>
          <w:szCs w:val="24"/>
        </w:rPr>
        <w:t>for det aktive stof eller</w:t>
      </w:r>
      <w:r>
        <w:rPr>
          <w:sz w:val="24"/>
          <w:szCs w:val="24"/>
        </w:rPr>
        <w:t xml:space="preserve"> over</w:t>
      </w:r>
      <w:r w:rsidRPr="004C317F">
        <w:rPr>
          <w:sz w:val="24"/>
          <w:szCs w:val="24"/>
        </w:rPr>
        <w:t xml:space="preserve"> for et eller flere af hjælpestofferne anført i pkt. 6.1.</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C7981" w:rsidRPr="004C317F" w:rsidRDefault="00FC7981" w:rsidP="00FC7981">
      <w:pPr>
        <w:tabs>
          <w:tab w:val="left" w:pos="0"/>
          <w:tab w:val="left" w:pos="851"/>
        </w:tabs>
        <w:ind w:left="851"/>
        <w:rPr>
          <w:sz w:val="24"/>
          <w:szCs w:val="24"/>
        </w:rPr>
      </w:pPr>
      <w:r w:rsidRPr="004C317F">
        <w:rPr>
          <w:sz w:val="24"/>
          <w:szCs w:val="24"/>
        </w:rPr>
        <w:t>Patienter med vitamin B</w:t>
      </w:r>
      <w:r w:rsidRPr="004C317F">
        <w:rPr>
          <w:sz w:val="24"/>
          <w:szCs w:val="24"/>
          <w:vertAlign w:val="subscript"/>
        </w:rPr>
        <w:t>12</w:t>
      </w:r>
      <w:r w:rsidRPr="004C317F">
        <w:rPr>
          <w:sz w:val="24"/>
          <w:szCs w:val="24"/>
        </w:rPr>
        <w:t xml:space="preserve">-mangel bør ikke behandles med </w:t>
      </w:r>
      <w:proofErr w:type="spellStart"/>
      <w:r w:rsidRPr="004C317F">
        <w:rPr>
          <w:sz w:val="24"/>
          <w:szCs w:val="24"/>
        </w:rPr>
        <w:t>folsyre</w:t>
      </w:r>
      <w:proofErr w:type="spellEnd"/>
      <w:r w:rsidRPr="004C317F">
        <w:rPr>
          <w:sz w:val="24"/>
          <w:szCs w:val="24"/>
        </w:rPr>
        <w:t xml:space="preserve">, medmindre de får tilstrækkeligt </w:t>
      </w:r>
      <w:proofErr w:type="spellStart"/>
      <w:r w:rsidRPr="004C317F">
        <w:rPr>
          <w:sz w:val="24"/>
          <w:szCs w:val="24"/>
        </w:rPr>
        <w:t>hydroxocobalamin</w:t>
      </w:r>
      <w:proofErr w:type="spellEnd"/>
      <w:r w:rsidRPr="004C317F">
        <w:rPr>
          <w:sz w:val="24"/>
          <w:szCs w:val="24"/>
        </w:rPr>
        <w:t xml:space="preserve">, da lidelsen ellers kan blive maskeret, skønt den </w:t>
      </w:r>
      <w:proofErr w:type="spellStart"/>
      <w:r w:rsidRPr="004C317F">
        <w:rPr>
          <w:sz w:val="24"/>
          <w:szCs w:val="24"/>
        </w:rPr>
        <w:t>subakutte</w:t>
      </w:r>
      <w:proofErr w:type="spellEnd"/>
      <w:r w:rsidRPr="004C317F">
        <w:rPr>
          <w:sz w:val="24"/>
          <w:szCs w:val="24"/>
        </w:rPr>
        <w:t xml:space="preserve"> irreversible skade på nervesystemet vil fortsætte.  Dette kan afsløres ved bestemmelse af </w:t>
      </w:r>
      <w:proofErr w:type="spellStart"/>
      <w:r w:rsidRPr="004C317F">
        <w:rPr>
          <w:sz w:val="24"/>
          <w:szCs w:val="24"/>
        </w:rPr>
        <w:t>methylmalonsyre</w:t>
      </w:r>
      <w:proofErr w:type="spellEnd"/>
      <w:r w:rsidRPr="004C317F">
        <w:rPr>
          <w:sz w:val="24"/>
          <w:szCs w:val="24"/>
        </w:rPr>
        <w:t xml:space="preserve"> i plasma.  Manglen kan skyldes </w:t>
      </w:r>
      <w:proofErr w:type="spellStart"/>
      <w:r w:rsidRPr="004C317F">
        <w:rPr>
          <w:sz w:val="24"/>
          <w:szCs w:val="24"/>
        </w:rPr>
        <w:t>udiagnosticeret</w:t>
      </w:r>
      <w:proofErr w:type="spellEnd"/>
      <w:r w:rsidRPr="004C317F">
        <w:rPr>
          <w:sz w:val="24"/>
          <w:szCs w:val="24"/>
        </w:rPr>
        <w:t xml:space="preserve"> </w:t>
      </w:r>
      <w:proofErr w:type="spellStart"/>
      <w:r w:rsidRPr="004C317F">
        <w:rPr>
          <w:sz w:val="24"/>
          <w:szCs w:val="24"/>
        </w:rPr>
        <w:t>megaloblastisk</w:t>
      </w:r>
      <w:proofErr w:type="spellEnd"/>
      <w:r w:rsidRPr="004C317F">
        <w:rPr>
          <w:sz w:val="24"/>
          <w:szCs w:val="24"/>
        </w:rPr>
        <w:t xml:space="preserve"> anæmi, også i barndommen, perniciøs anæmi eller </w:t>
      </w:r>
      <w:proofErr w:type="spellStart"/>
      <w:r w:rsidRPr="004C317F">
        <w:rPr>
          <w:sz w:val="24"/>
          <w:szCs w:val="24"/>
        </w:rPr>
        <w:t>makrocytær</w:t>
      </w:r>
      <w:proofErr w:type="spellEnd"/>
      <w:r w:rsidRPr="004C317F">
        <w:rPr>
          <w:sz w:val="24"/>
          <w:szCs w:val="24"/>
        </w:rPr>
        <w:t xml:space="preserve"> anæmi af ukendt ætiologi, eller anden årsag til </w:t>
      </w:r>
      <w:proofErr w:type="spellStart"/>
      <w:r w:rsidRPr="004C317F">
        <w:rPr>
          <w:sz w:val="24"/>
          <w:szCs w:val="24"/>
        </w:rPr>
        <w:t>cobalaminmangel</w:t>
      </w:r>
      <w:proofErr w:type="spellEnd"/>
      <w:r w:rsidRPr="004C317F">
        <w:rPr>
          <w:sz w:val="24"/>
          <w:szCs w:val="24"/>
        </w:rPr>
        <w:t>, herunder livslang vegetarianisme.</w:t>
      </w:r>
    </w:p>
    <w:p w:rsidR="00FC7981" w:rsidRPr="004C317F" w:rsidRDefault="00FC7981" w:rsidP="00FC7981">
      <w:pPr>
        <w:tabs>
          <w:tab w:val="left" w:pos="0"/>
          <w:tab w:val="left" w:pos="851"/>
        </w:tabs>
        <w:ind w:left="851"/>
        <w:rPr>
          <w:sz w:val="24"/>
          <w:szCs w:val="24"/>
        </w:rPr>
      </w:pPr>
    </w:p>
    <w:p w:rsidR="00FC7981" w:rsidRPr="004C317F" w:rsidRDefault="00FC7981" w:rsidP="00FC7981">
      <w:pPr>
        <w:tabs>
          <w:tab w:val="left" w:pos="0"/>
          <w:tab w:val="left" w:pos="851"/>
        </w:tabs>
        <w:ind w:left="851"/>
        <w:rPr>
          <w:sz w:val="24"/>
          <w:szCs w:val="24"/>
        </w:rPr>
      </w:pPr>
      <w:proofErr w:type="spellStart"/>
      <w:r w:rsidRPr="004C317F">
        <w:rPr>
          <w:sz w:val="24"/>
          <w:szCs w:val="24"/>
        </w:rPr>
        <w:t>Folsyre</w:t>
      </w:r>
      <w:proofErr w:type="spellEnd"/>
      <w:r w:rsidRPr="004C317F">
        <w:rPr>
          <w:sz w:val="24"/>
          <w:szCs w:val="24"/>
        </w:rPr>
        <w:t xml:space="preserve"> bør ikke anvendes ved malign sygdom, medmindre </w:t>
      </w:r>
      <w:proofErr w:type="spellStart"/>
      <w:r w:rsidRPr="004C317F">
        <w:rPr>
          <w:sz w:val="24"/>
          <w:szCs w:val="24"/>
        </w:rPr>
        <w:t>megaloblastisk</w:t>
      </w:r>
      <w:proofErr w:type="spellEnd"/>
      <w:r w:rsidRPr="004C317F">
        <w:rPr>
          <w:sz w:val="24"/>
          <w:szCs w:val="24"/>
        </w:rPr>
        <w:t xml:space="preserve"> anæmi som følge af </w:t>
      </w:r>
      <w:proofErr w:type="spellStart"/>
      <w:r w:rsidRPr="004C317F">
        <w:rPr>
          <w:sz w:val="24"/>
          <w:szCs w:val="24"/>
        </w:rPr>
        <w:t>folatmangel</w:t>
      </w:r>
      <w:proofErr w:type="spellEnd"/>
      <w:r w:rsidRPr="004C317F">
        <w:rPr>
          <w:sz w:val="24"/>
          <w:szCs w:val="24"/>
        </w:rPr>
        <w:t xml:space="preserve"> er en vigtig komplikation.</w:t>
      </w:r>
    </w:p>
    <w:p w:rsidR="00FC7981" w:rsidRPr="004C317F" w:rsidRDefault="00FC7981" w:rsidP="00FC7981">
      <w:pPr>
        <w:tabs>
          <w:tab w:val="left" w:pos="0"/>
          <w:tab w:val="left" w:pos="851"/>
        </w:tabs>
        <w:ind w:left="851"/>
        <w:rPr>
          <w:sz w:val="24"/>
          <w:szCs w:val="24"/>
        </w:rPr>
      </w:pPr>
    </w:p>
    <w:p w:rsidR="00FC7981" w:rsidRPr="00C84483" w:rsidRDefault="00FC7981" w:rsidP="00FC7981">
      <w:pPr>
        <w:tabs>
          <w:tab w:val="left" w:pos="0"/>
          <w:tab w:val="left" w:pos="851"/>
        </w:tabs>
        <w:ind w:left="851"/>
        <w:rPr>
          <w:sz w:val="24"/>
          <w:szCs w:val="24"/>
        </w:rPr>
      </w:pPr>
      <w:r w:rsidRPr="004C317F">
        <w:rPr>
          <w:sz w:val="24"/>
          <w:szCs w:val="24"/>
        </w:rPr>
        <w:t xml:space="preserve">Forsigtighed bør udvises ved administration af </w:t>
      </w:r>
      <w:proofErr w:type="spellStart"/>
      <w:r w:rsidRPr="004C317F">
        <w:rPr>
          <w:sz w:val="24"/>
          <w:szCs w:val="24"/>
        </w:rPr>
        <w:t>folsyre</w:t>
      </w:r>
      <w:proofErr w:type="spellEnd"/>
      <w:r w:rsidRPr="004C317F">
        <w:rPr>
          <w:sz w:val="24"/>
          <w:szCs w:val="24"/>
        </w:rPr>
        <w:t xml:space="preserve"> til patienter, der kan have </w:t>
      </w:r>
      <w:proofErr w:type="spellStart"/>
      <w:r w:rsidRPr="004C317F">
        <w:rPr>
          <w:sz w:val="24"/>
          <w:szCs w:val="24"/>
        </w:rPr>
        <w:t>folatafhængige</w:t>
      </w:r>
      <w:proofErr w:type="spellEnd"/>
      <w:r w:rsidRPr="004C317F">
        <w:rPr>
          <w:sz w:val="24"/>
          <w:szCs w:val="24"/>
        </w:rPr>
        <w:t xml:space="preserve"> tumorer.</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C7981" w:rsidRPr="004C317F" w:rsidRDefault="00FC7981" w:rsidP="00FC7981">
      <w:pPr>
        <w:pStyle w:val="Listeafsnit"/>
        <w:numPr>
          <w:ilvl w:val="0"/>
          <w:numId w:val="6"/>
        </w:numPr>
        <w:tabs>
          <w:tab w:val="clear" w:pos="567"/>
          <w:tab w:val="left" w:pos="1134"/>
        </w:tabs>
        <w:spacing w:line="240" w:lineRule="auto"/>
        <w:ind w:left="1134" w:hanging="283"/>
        <w:rPr>
          <w:sz w:val="24"/>
          <w:szCs w:val="24"/>
          <w:lang w:val="da-DK"/>
        </w:rPr>
      </w:pPr>
      <w:proofErr w:type="spellStart"/>
      <w:r>
        <w:rPr>
          <w:sz w:val="24"/>
          <w:szCs w:val="24"/>
          <w:lang w:val="da-DK"/>
        </w:rPr>
        <w:t>Antiepileptika</w:t>
      </w:r>
      <w:proofErr w:type="spellEnd"/>
      <w:r>
        <w:rPr>
          <w:sz w:val="24"/>
          <w:szCs w:val="24"/>
          <w:lang w:val="da-DK"/>
        </w:rPr>
        <w:t>: H</w:t>
      </w:r>
      <w:r w:rsidRPr="004C317F">
        <w:rPr>
          <w:sz w:val="24"/>
          <w:szCs w:val="24"/>
          <w:lang w:val="da-DK"/>
        </w:rPr>
        <w:t xml:space="preserve">vis </w:t>
      </w:r>
      <w:proofErr w:type="spellStart"/>
      <w:r w:rsidRPr="004C317F">
        <w:rPr>
          <w:sz w:val="24"/>
          <w:szCs w:val="24"/>
          <w:lang w:val="da-DK"/>
        </w:rPr>
        <w:t>folsyre</w:t>
      </w:r>
      <w:proofErr w:type="spellEnd"/>
      <w:r w:rsidRPr="004C317F">
        <w:rPr>
          <w:sz w:val="24"/>
          <w:szCs w:val="24"/>
          <w:lang w:val="da-DK"/>
        </w:rPr>
        <w:t xml:space="preserve"> gives som kosttilskud til behandling af </w:t>
      </w:r>
      <w:proofErr w:type="spellStart"/>
      <w:r w:rsidRPr="004C317F">
        <w:rPr>
          <w:sz w:val="24"/>
          <w:szCs w:val="24"/>
          <w:lang w:val="da-DK"/>
        </w:rPr>
        <w:t>folatmangel</w:t>
      </w:r>
      <w:proofErr w:type="spellEnd"/>
      <w:r w:rsidRPr="004C317F">
        <w:rPr>
          <w:sz w:val="24"/>
          <w:szCs w:val="24"/>
          <w:lang w:val="da-DK"/>
        </w:rPr>
        <w:t xml:space="preserve">, der er forårsaget af brug af </w:t>
      </w:r>
      <w:proofErr w:type="spellStart"/>
      <w:r w:rsidRPr="004C317F">
        <w:rPr>
          <w:sz w:val="24"/>
          <w:szCs w:val="24"/>
          <w:lang w:val="da-DK"/>
        </w:rPr>
        <w:t>antiepileptika</w:t>
      </w:r>
      <w:proofErr w:type="spellEnd"/>
      <w:r w:rsidRPr="004C317F">
        <w:rPr>
          <w:sz w:val="24"/>
          <w:szCs w:val="24"/>
          <w:lang w:val="da-DK"/>
        </w:rPr>
        <w:t xml:space="preserve"> (</w:t>
      </w:r>
      <w:proofErr w:type="spellStart"/>
      <w:r w:rsidRPr="004C317F">
        <w:rPr>
          <w:sz w:val="24"/>
          <w:szCs w:val="24"/>
          <w:lang w:val="da-DK"/>
        </w:rPr>
        <w:t>phenytoin</w:t>
      </w:r>
      <w:proofErr w:type="spellEnd"/>
      <w:r w:rsidRPr="004C317F">
        <w:rPr>
          <w:sz w:val="24"/>
          <w:szCs w:val="24"/>
          <w:lang w:val="da-DK"/>
        </w:rPr>
        <w:t xml:space="preserve">, </w:t>
      </w:r>
      <w:proofErr w:type="spellStart"/>
      <w:r w:rsidRPr="004C317F">
        <w:rPr>
          <w:sz w:val="24"/>
          <w:szCs w:val="24"/>
          <w:lang w:val="da-DK"/>
        </w:rPr>
        <w:t>phenobarbital</w:t>
      </w:r>
      <w:proofErr w:type="spellEnd"/>
      <w:r w:rsidRPr="004C317F">
        <w:rPr>
          <w:sz w:val="24"/>
          <w:szCs w:val="24"/>
          <w:lang w:val="da-DK"/>
        </w:rPr>
        <w:t xml:space="preserve"> og </w:t>
      </w:r>
      <w:proofErr w:type="spellStart"/>
      <w:r w:rsidRPr="004C317F">
        <w:rPr>
          <w:sz w:val="24"/>
          <w:szCs w:val="24"/>
          <w:lang w:val="da-DK"/>
        </w:rPr>
        <w:t>primidon</w:t>
      </w:r>
      <w:proofErr w:type="spellEnd"/>
      <w:r w:rsidRPr="004C317F">
        <w:rPr>
          <w:sz w:val="24"/>
          <w:szCs w:val="24"/>
          <w:lang w:val="da-DK"/>
        </w:rPr>
        <w:t xml:space="preserve">), kan serumniveauet af </w:t>
      </w:r>
      <w:proofErr w:type="spellStart"/>
      <w:r w:rsidRPr="004C317F">
        <w:rPr>
          <w:sz w:val="24"/>
          <w:szCs w:val="24"/>
          <w:lang w:val="da-DK"/>
        </w:rPr>
        <w:t>antiepileptikum</w:t>
      </w:r>
      <w:proofErr w:type="spellEnd"/>
      <w:r w:rsidRPr="004C317F">
        <w:rPr>
          <w:sz w:val="24"/>
          <w:szCs w:val="24"/>
          <w:lang w:val="da-DK"/>
        </w:rPr>
        <w:t xml:space="preserve"> falde, hvilket hos nogle patienter fører til nedsat kontrol af krampeanfald.</w:t>
      </w:r>
    </w:p>
    <w:p w:rsidR="00FC7981" w:rsidRPr="004C317F" w:rsidRDefault="00FC7981" w:rsidP="00FC7981">
      <w:pPr>
        <w:pStyle w:val="Listeafsnit"/>
        <w:numPr>
          <w:ilvl w:val="0"/>
          <w:numId w:val="6"/>
        </w:numPr>
        <w:tabs>
          <w:tab w:val="clear" w:pos="567"/>
          <w:tab w:val="left" w:pos="1134"/>
        </w:tabs>
        <w:spacing w:line="240" w:lineRule="auto"/>
        <w:ind w:left="1134" w:hanging="283"/>
        <w:rPr>
          <w:sz w:val="24"/>
          <w:szCs w:val="24"/>
          <w:lang w:val="da-DK"/>
        </w:rPr>
      </w:pPr>
      <w:r w:rsidRPr="004C317F">
        <w:rPr>
          <w:sz w:val="24"/>
          <w:szCs w:val="24"/>
          <w:lang w:val="da-DK"/>
        </w:rPr>
        <w:t>Antibakterielle stoffer</w:t>
      </w:r>
      <w:r>
        <w:rPr>
          <w:sz w:val="24"/>
          <w:szCs w:val="24"/>
          <w:lang w:val="da-DK"/>
        </w:rPr>
        <w:t xml:space="preserve">: </w:t>
      </w:r>
      <w:proofErr w:type="spellStart"/>
      <w:r>
        <w:rPr>
          <w:sz w:val="24"/>
          <w:szCs w:val="24"/>
          <w:lang w:val="da-DK"/>
        </w:rPr>
        <w:t>C</w:t>
      </w:r>
      <w:r w:rsidRPr="004C317F">
        <w:rPr>
          <w:sz w:val="24"/>
          <w:szCs w:val="24"/>
          <w:lang w:val="da-DK"/>
        </w:rPr>
        <w:t>hloramphenicol</w:t>
      </w:r>
      <w:proofErr w:type="spellEnd"/>
      <w:r w:rsidRPr="004C317F">
        <w:rPr>
          <w:sz w:val="24"/>
          <w:szCs w:val="24"/>
          <w:lang w:val="da-DK"/>
        </w:rPr>
        <w:t xml:space="preserve">, sulfonamider og </w:t>
      </w:r>
      <w:proofErr w:type="spellStart"/>
      <w:r w:rsidRPr="004C317F">
        <w:rPr>
          <w:sz w:val="24"/>
          <w:szCs w:val="24"/>
          <w:lang w:val="da-DK"/>
        </w:rPr>
        <w:t>trimethoprim</w:t>
      </w:r>
      <w:proofErr w:type="spellEnd"/>
      <w:r w:rsidRPr="004C317F">
        <w:rPr>
          <w:sz w:val="24"/>
          <w:szCs w:val="24"/>
          <w:lang w:val="da-DK"/>
        </w:rPr>
        <w:t xml:space="preserve"> kan interferere med </w:t>
      </w:r>
      <w:proofErr w:type="spellStart"/>
      <w:r w:rsidRPr="004C317F">
        <w:rPr>
          <w:sz w:val="24"/>
          <w:szCs w:val="24"/>
          <w:lang w:val="da-DK"/>
        </w:rPr>
        <w:t>metaboliseringen</w:t>
      </w:r>
      <w:proofErr w:type="spellEnd"/>
      <w:r w:rsidRPr="004C317F">
        <w:rPr>
          <w:sz w:val="24"/>
          <w:szCs w:val="24"/>
          <w:lang w:val="da-DK"/>
        </w:rPr>
        <w:t xml:space="preserve"> af </w:t>
      </w:r>
      <w:proofErr w:type="spellStart"/>
      <w:r w:rsidRPr="004C317F">
        <w:rPr>
          <w:sz w:val="24"/>
          <w:szCs w:val="24"/>
          <w:lang w:val="da-DK"/>
        </w:rPr>
        <w:t>folat</w:t>
      </w:r>
      <w:proofErr w:type="spellEnd"/>
      <w:r w:rsidRPr="004C317F">
        <w:rPr>
          <w:sz w:val="24"/>
          <w:szCs w:val="24"/>
          <w:lang w:val="da-DK"/>
        </w:rPr>
        <w:t>.</w:t>
      </w:r>
    </w:p>
    <w:p w:rsidR="00FC7981" w:rsidRPr="00893F11" w:rsidRDefault="00FC7981" w:rsidP="00FC7981">
      <w:pPr>
        <w:pStyle w:val="Listeafsnit"/>
        <w:numPr>
          <w:ilvl w:val="0"/>
          <w:numId w:val="6"/>
        </w:numPr>
        <w:tabs>
          <w:tab w:val="clear" w:pos="567"/>
          <w:tab w:val="left" w:pos="1134"/>
        </w:tabs>
        <w:spacing w:line="240" w:lineRule="auto"/>
        <w:ind w:left="1134" w:hanging="283"/>
        <w:rPr>
          <w:sz w:val="24"/>
          <w:szCs w:val="24"/>
          <w:lang w:val="da-DK"/>
        </w:rPr>
      </w:pPr>
      <w:proofErr w:type="spellStart"/>
      <w:r>
        <w:rPr>
          <w:sz w:val="24"/>
          <w:szCs w:val="24"/>
          <w:lang w:val="da-DK"/>
        </w:rPr>
        <w:lastRenderedPageBreak/>
        <w:t>Sulfasalazin</w:t>
      </w:r>
      <w:proofErr w:type="spellEnd"/>
      <w:r>
        <w:rPr>
          <w:sz w:val="24"/>
          <w:szCs w:val="24"/>
          <w:lang w:val="da-DK"/>
        </w:rPr>
        <w:t>: K</w:t>
      </w:r>
      <w:r w:rsidRPr="004C317F">
        <w:rPr>
          <w:sz w:val="24"/>
          <w:szCs w:val="24"/>
          <w:lang w:val="da-DK"/>
        </w:rPr>
        <w:t xml:space="preserve">an reducere absorptionen af </w:t>
      </w:r>
      <w:proofErr w:type="spellStart"/>
      <w:r w:rsidRPr="004C317F">
        <w:rPr>
          <w:sz w:val="24"/>
          <w:szCs w:val="24"/>
          <w:lang w:val="da-DK"/>
        </w:rPr>
        <w:t>folsyre</w:t>
      </w:r>
      <w:proofErr w:type="spellEnd"/>
      <w:r w:rsidRPr="004C317F">
        <w:rPr>
          <w:sz w:val="24"/>
          <w:szCs w:val="24"/>
          <w:lang w:val="da-DK"/>
        </w:rPr>
        <w: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4.6</w:t>
      </w:r>
      <w:r w:rsidRPr="00C84483">
        <w:rPr>
          <w:b/>
          <w:sz w:val="24"/>
          <w:szCs w:val="24"/>
        </w:rPr>
        <w:tab/>
        <w:t>Graviditet og amning</w:t>
      </w:r>
    </w:p>
    <w:p w:rsidR="00FC7981" w:rsidRDefault="00FC7981" w:rsidP="00FC7981">
      <w:pPr>
        <w:tabs>
          <w:tab w:val="left" w:pos="851"/>
        </w:tabs>
        <w:ind w:left="851"/>
        <w:rPr>
          <w:sz w:val="24"/>
          <w:szCs w:val="24"/>
          <w:u w:val="single"/>
        </w:rPr>
      </w:pPr>
    </w:p>
    <w:p w:rsidR="00FC7981" w:rsidRPr="004C317F" w:rsidRDefault="00FC7981" w:rsidP="00FC7981">
      <w:pPr>
        <w:tabs>
          <w:tab w:val="left" w:pos="851"/>
        </w:tabs>
        <w:ind w:left="851"/>
        <w:rPr>
          <w:noProof/>
          <w:sz w:val="24"/>
          <w:szCs w:val="24"/>
          <w:u w:val="single"/>
        </w:rPr>
      </w:pPr>
      <w:r w:rsidRPr="004C317F">
        <w:rPr>
          <w:sz w:val="24"/>
          <w:szCs w:val="24"/>
          <w:u w:val="single"/>
        </w:rPr>
        <w:t>Graviditet</w:t>
      </w:r>
    </w:p>
    <w:p w:rsidR="00FC7981" w:rsidRPr="004C317F" w:rsidRDefault="00FC7981" w:rsidP="00FC7981">
      <w:pPr>
        <w:tabs>
          <w:tab w:val="left" w:pos="851"/>
        </w:tabs>
        <w:ind w:left="851"/>
        <w:rPr>
          <w:noProof/>
          <w:sz w:val="24"/>
          <w:szCs w:val="24"/>
        </w:rPr>
      </w:pPr>
      <w:r w:rsidRPr="004C317F">
        <w:rPr>
          <w:sz w:val="24"/>
          <w:szCs w:val="24"/>
        </w:rPr>
        <w:t xml:space="preserve">Ud fra erfaringer fra mennesker er der ingen kendt risiko ved brug af </w:t>
      </w:r>
      <w:proofErr w:type="spellStart"/>
      <w:r w:rsidRPr="004C317F">
        <w:rPr>
          <w:sz w:val="24"/>
          <w:szCs w:val="24"/>
        </w:rPr>
        <w:t>folsyre</w:t>
      </w:r>
      <w:proofErr w:type="spellEnd"/>
      <w:r w:rsidRPr="004C317F">
        <w:rPr>
          <w:sz w:val="24"/>
          <w:szCs w:val="24"/>
        </w:rPr>
        <w:t xml:space="preserve"> under graviditet. </w:t>
      </w:r>
      <w:r w:rsidRPr="004C317F">
        <w:rPr>
          <w:noProof/>
          <w:sz w:val="24"/>
          <w:szCs w:val="24"/>
        </w:rPr>
        <w:t xml:space="preserve"> </w:t>
      </w:r>
      <w:r w:rsidRPr="004C317F">
        <w:rPr>
          <w:sz w:val="24"/>
          <w:szCs w:val="24"/>
        </w:rPr>
        <w:t xml:space="preserve">Der er ikke rapporteret om skadelige virkninger på det menneskelige foster, moderen eller graviditeten efter indtagelse af </w:t>
      </w:r>
      <w:proofErr w:type="spellStart"/>
      <w:r w:rsidRPr="004C317F">
        <w:rPr>
          <w:sz w:val="24"/>
          <w:szCs w:val="24"/>
        </w:rPr>
        <w:t>folsyre</w:t>
      </w:r>
      <w:proofErr w:type="spellEnd"/>
      <w:r w:rsidRPr="004C317F">
        <w:rPr>
          <w:sz w:val="24"/>
          <w:szCs w:val="24"/>
        </w:rPr>
        <w:t>.</w:t>
      </w:r>
      <w:r w:rsidRPr="004C317F">
        <w:rPr>
          <w:noProof/>
          <w:sz w:val="24"/>
          <w:szCs w:val="24"/>
        </w:rPr>
        <w:t xml:space="preserve"> </w:t>
      </w:r>
      <w:r w:rsidRPr="004C317F">
        <w:rPr>
          <w:sz w:val="24"/>
          <w:szCs w:val="24"/>
        </w:rPr>
        <w:t>Se også pkt. 5.3.</w:t>
      </w:r>
    </w:p>
    <w:p w:rsidR="00FC7981" w:rsidRPr="004C317F" w:rsidRDefault="00FC7981" w:rsidP="00FC7981">
      <w:pPr>
        <w:tabs>
          <w:tab w:val="left" w:pos="851"/>
        </w:tabs>
        <w:ind w:left="851"/>
        <w:rPr>
          <w:noProof/>
          <w:sz w:val="24"/>
          <w:szCs w:val="24"/>
        </w:rPr>
      </w:pPr>
    </w:p>
    <w:p w:rsidR="00FC7981" w:rsidRPr="004C317F" w:rsidRDefault="00FC7981" w:rsidP="00FC7981">
      <w:pPr>
        <w:tabs>
          <w:tab w:val="left" w:pos="851"/>
        </w:tabs>
        <w:ind w:left="851"/>
        <w:rPr>
          <w:noProof/>
          <w:sz w:val="24"/>
          <w:szCs w:val="24"/>
          <w:u w:val="single"/>
        </w:rPr>
      </w:pPr>
      <w:r w:rsidRPr="004C317F">
        <w:rPr>
          <w:sz w:val="24"/>
          <w:szCs w:val="24"/>
          <w:u w:val="single"/>
        </w:rPr>
        <w:t>Amning</w:t>
      </w:r>
    </w:p>
    <w:p w:rsidR="00FC7981" w:rsidRPr="004C317F" w:rsidRDefault="00FC7981" w:rsidP="00FC7981">
      <w:pPr>
        <w:tabs>
          <w:tab w:val="left" w:pos="851"/>
        </w:tabs>
        <w:ind w:left="851"/>
        <w:rPr>
          <w:noProof/>
          <w:sz w:val="24"/>
          <w:szCs w:val="24"/>
        </w:rPr>
      </w:pPr>
      <w:proofErr w:type="spellStart"/>
      <w:r w:rsidRPr="004C317F">
        <w:rPr>
          <w:sz w:val="24"/>
          <w:szCs w:val="24"/>
        </w:rPr>
        <w:t>Folsyre</w:t>
      </w:r>
      <w:proofErr w:type="spellEnd"/>
      <w:r w:rsidRPr="004C317F">
        <w:rPr>
          <w:sz w:val="24"/>
          <w:szCs w:val="24"/>
        </w:rPr>
        <w:t xml:space="preserve"> udskilles aktivt i </w:t>
      </w:r>
      <w:r>
        <w:rPr>
          <w:sz w:val="24"/>
          <w:szCs w:val="24"/>
        </w:rPr>
        <w:t>moder</w:t>
      </w:r>
      <w:r w:rsidRPr="004C317F">
        <w:rPr>
          <w:sz w:val="24"/>
          <w:szCs w:val="24"/>
        </w:rPr>
        <w:t>mælk.</w:t>
      </w:r>
      <w:r w:rsidRPr="004C317F">
        <w:rPr>
          <w:noProof/>
          <w:sz w:val="24"/>
          <w:szCs w:val="24"/>
        </w:rPr>
        <w:t xml:space="preserve"> </w:t>
      </w:r>
      <w:r w:rsidRPr="004C317F">
        <w:rPr>
          <w:sz w:val="24"/>
          <w:szCs w:val="24"/>
        </w:rPr>
        <w:t xml:space="preserve">Der er ikke iagttaget uønskede virkninger hos ammede børn, hvis mødre fik </w:t>
      </w:r>
      <w:proofErr w:type="spellStart"/>
      <w:r w:rsidRPr="004C317F">
        <w:rPr>
          <w:sz w:val="24"/>
          <w:szCs w:val="24"/>
        </w:rPr>
        <w:t>folsyre</w:t>
      </w:r>
      <w:proofErr w:type="spellEnd"/>
      <w:r w:rsidRPr="004C317F">
        <w:rPr>
          <w:sz w:val="24"/>
          <w:szCs w:val="24"/>
        </w:rPr>
        <w:t>.</w:t>
      </w:r>
    </w:p>
    <w:p w:rsidR="00FC7981" w:rsidRPr="004C317F" w:rsidRDefault="00FC7981" w:rsidP="00FC7981">
      <w:pPr>
        <w:tabs>
          <w:tab w:val="left" w:pos="851"/>
        </w:tabs>
        <w:ind w:left="851"/>
        <w:rPr>
          <w:noProof/>
          <w:sz w:val="24"/>
          <w:szCs w:val="24"/>
        </w:rPr>
      </w:pPr>
    </w:p>
    <w:p w:rsidR="00FC7981" w:rsidRPr="004C317F" w:rsidRDefault="00FC7981" w:rsidP="00FC7981">
      <w:pPr>
        <w:tabs>
          <w:tab w:val="left" w:pos="851"/>
        </w:tabs>
        <w:ind w:left="851"/>
        <w:rPr>
          <w:noProof/>
          <w:sz w:val="24"/>
          <w:szCs w:val="24"/>
          <w:u w:val="single"/>
        </w:rPr>
      </w:pPr>
      <w:r w:rsidRPr="004C317F">
        <w:rPr>
          <w:sz w:val="24"/>
          <w:szCs w:val="24"/>
          <w:u w:val="single"/>
        </w:rPr>
        <w:t>Fertilitet</w:t>
      </w:r>
    </w:p>
    <w:p w:rsidR="00FC7981" w:rsidRPr="00C84483" w:rsidRDefault="00FC7981" w:rsidP="00FC7981">
      <w:pPr>
        <w:tabs>
          <w:tab w:val="left" w:pos="851"/>
        </w:tabs>
        <w:ind w:left="851"/>
        <w:rPr>
          <w:noProof/>
          <w:sz w:val="24"/>
          <w:szCs w:val="24"/>
        </w:rPr>
      </w:pPr>
      <w:r w:rsidRPr="004C317F">
        <w:rPr>
          <w:sz w:val="24"/>
          <w:szCs w:val="24"/>
        </w:rPr>
        <w:t>Der er ikke udført dyrestudier til vurdering af effekten på fertiliteten.</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FC7981" w:rsidRDefault="00FC7981" w:rsidP="00FC7981">
      <w:pPr>
        <w:tabs>
          <w:tab w:val="left" w:pos="851"/>
        </w:tabs>
        <w:ind w:left="851"/>
        <w:rPr>
          <w:sz w:val="24"/>
          <w:szCs w:val="24"/>
        </w:rPr>
      </w:pPr>
      <w:r>
        <w:rPr>
          <w:sz w:val="24"/>
          <w:szCs w:val="24"/>
        </w:rPr>
        <w:t>Ikke mærkning.</w:t>
      </w:r>
    </w:p>
    <w:p w:rsidR="00FC7981" w:rsidRPr="004C317F" w:rsidRDefault="00FC7981" w:rsidP="00FC7981">
      <w:pPr>
        <w:tabs>
          <w:tab w:val="left" w:pos="851"/>
        </w:tabs>
        <w:ind w:left="851"/>
        <w:rPr>
          <w:i/>
          <w:sz w:val="24"/>
          <w:szCs w:val="24"/>
        </w:rPr>
      </w:pPr>
      <w:proofErr w:type="spellStart"/>
      <w:r>
        <w:rPr>
          <w:sz w:val="24"/>
          <w:szCs w:val="24"/>
        </w:rPr>
        <w:t>Folsyre</w:t>
      </w:r>
      <w:proofErr w:type="spellEnd"/>
      <w:r>
        <w:rPr>
          <w:sz w:val="24"/>
          <w:szCs w:val="24"/>
        </w:rPr>
        <w:t xml:space="preserve"> "</w:t>
      </w:r>
      <w:proofErr w:type="spellStart"/>
      <w:r>
        <w:rPr>
          <w:sz w:val="24"/>
          <w:szCs w:val="24"/>
        </w:rPr>
        <w:t>Vitabalans</w:t>
      </w:r>
      <w:proofErr w:type="spellEnd"/>
      <w:r>
        <w:rPr>
          <w:sz w:val="24"/>
          <w:szCs w:val="24"/>
        </w:rPr>
        <w:t>"</w:t>
      </w:r>
      <w:r w:rsidRPr="004C317F">
        <w:rPr>
          <w:sz w:val="24"/>
          <w:szCs w:val="24"/>
        </w:rPr>
        <w:t xml:space="preserve"> påvirker ikke eller kun i ubetydelig grad evnen til at føre motorkøretøj eller betjene maskiner.</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4.8</w:t>
      </w:r>
      <w:r w:rsidRPr="00C84483">
        <w:rPr>
          <w:b/>
          <w:sz w:val="24"/>
          <w:szCs w:val="24"/>
        </w:rPr>
        <w:tab/>
        <w:t>Bivirkninger</w:t>
      </w:r>
    </w:p>
    <w:p w:rsidR="00FC7981" w:rsidRDefault="00FC7981" w:rsidP="00FC7981">
      <w:pPr>
        <w:tabs>
          <w:tab w:val="left" w:pos="851"/>
        </w:tabs>
        <w:ind w:left="851"/>
        <w:rPr>
          <w:sz w:val="24"/>
          <w:szCs w:val="24"/>
        </w:rPr>
      </w:pPr>
    </w:p>
    <w:p w:rsidR="00FC7981" w:rsidRPr="006A6F21" w:rsidRDefault="00FC7981" w:rsidP="00FC7981">
      <w:pPr>
        <w:tabs>
          <w:tab w:val="left" w:pos="851"/>
        </w:tabs>
        <w:ind w:left="851"/>
        <w:rPr>
          <w:sz w:val="24"/>
          <w:szCs w:val="24"/>
          <w:u w:val="single"/>
        </w:rPr>
      </w:pPr>
      <w:r w:rsidRPr="006A6F21">
        <w:rPr>
          <w:sz w:val="24"/>
          <w:szCs w:val="24"/>
          <w:u w:val="single"/>
        </w:rPr>
        <w:t xml:space="preserve">Hyppigheden af bivirkninger er defineret </w:t>
      </w:r>
      <w:r>
        <w:rPr>
          <w:sz w:val="24"/>
          <w:szCs w:val="24"/>
          <w:u w:val="single"/>
        </w:rPr>
        <w:t>ved følgende konventioner</w:t>
      </w:r>
    </w:p>
    <w:p w:rsidR="00FC7981" w:rsidRPr="004C317F" w:rsidRDefault="00FC7981" w:rsidP="00FC7981">
      <w:pPr>
        <w:tabs>
          <w:tab w:val="left" w:pos="851"/>
        </w:tabs>
        <w:ind w:left="851"/>
        <w:rPr>
          <w:sz w:val="24"/>
          <w:szCs w:val="24"/>
        </w:rPr>
      </w:pPr>
      <w:r w:rsidRPr="004C317F">
        <w:rPr>
          <w:sz w:val="24"/>
          <w:szCs w:val="24"/>
        </w:rPr>
        <w:t>Meget almindelig (≥1/10)</w:t>
      </w:r>
    </w:p>
    <w:p w:rsidR="00FC7981" w:rsidRPr="004C317F" w:rsidRDefault="00FC7981" w:rsidP="00FC7981">
      <w:pPr>
        <w:tabs>
          <w:tab w:val="left" w:pos="851"/>
        </w:tabs>
        <w:ind w:left="851"/>
        <w:rPr>
          <w:sz w:val="24"/>
          <w:szCs w:val="24"/>
        </w:rPr>
      </w:pPr>
      <w:r w:rsidRPr="004C317F">
        <w:rPr>
          <w:sz w:val="24"/>
          <w:szCs w:val="24"/>
        </w:rPr>
        <w:t>Almindelig (≥1/100 til &lt;1/10)</w:t>
      </w:r>
    </w:p>
    <w:p w:rsidR="00FC7981" w:rsidRPr="004C317F" w:rsidRDefault="00FC7981" w:rsidP="00FC7981">
      <w:pPr>
        <w:tabs>
          <w:tab w:val="left" w:pos="851"/>
        </w:tabs>
        <w:ind w:left="851"/>
        <w:rPr>
          <w:sz w:val="24"/>
          <w:szCs w:val="24"/>
        </w:rPr>
      </w:pPr>
      <w:r w:rsidRPr="004C317F">
        <w:rPr>
          <w:sz w:val="24"/>
          <w:szCs w:val="24"/>
        </w:rPr>
        <w:t>Ikke almindelig (≥1/1000 til &lt;1/100)</w:t>
      </w:r>
    </w:p>
    <w:p w:rsidR="00FC7981" w:rsidRPr="004C317F" w:rsidRDefault="00FC7981" w:rsidP="00FC7981">
      <w:pPr>
        <w:tabs>
          <w:tab w:val="left" w:pos="851"/>
        </w:tabs>
        <w:ind w:left="851"/>
        <w:rPr>
          <w:sz w:val="24"/>
          <w:szCs w:val="24"/>
        </w:rPr>
      </w:pPr>
      <w:r w:rsidRPr="004C317F">
        <w:rPr>
          <w:sz w:val="24"/>
          <w:szCs w:val="24"/>
        </w:rPr>
        <w:t>Sjælden (≥1/10 000 til &lt;1/1000)</w:t>
      </w:r>
    </w:p>
    <w:p w:rsidR="00FC7981" w:rsidRPr="004C317F" w:rsidRDefault="00FC7981" w:rsidP="00FC7981">
      <w:pPr>
        <w:tabs>
          <w:tab w:val="left" w:pos="851"/>
        </w:tabs>
        <w:ind w:left="851"/>
        <w:rPr>
          <w:sz w:val="24"/>
          <w:szCs w:val="24"/>
        </w:rPr>
      </w:pPr>
      <w:r w:rsidRPr="004C317F">
        <w:rPr>
          <w:sz w:val="24"/>
          <w:szCs w:val="24"/>
        </w:rPr>
        <w:t>Meget sjælden (&lt;1/10 000)</w:t>
      </w:r>
    </w:p>
    <w:p w:rsidR="00FC7981" w:rsidRPr="004C317F" w:rsidRDefault="00FC7981" w:rsidP="00FC7981">
      <w:pPr>
        <w:tabs>
          <w:tab w:val="left" w:pos="851"/>
        </w:tabs>
        <w:ind w:left="851"/>
        <w:rPr>
          <w:sz w:val="24"/>
          <w:szCs w:val="24"/>
        </w:rPr>
      </w:pPr>
      <w:r w:rsidRPr="004C317F">
        <w:rPr>
          <w:sz w:val="24"/>
          <w:szCs w:val="24"/>
        </w:rPr>
        <w:t>Ikke kendt (kan ikke estimeres ud fra forhåndenværende data)</w:t>
      </w:r>
    </w:p>
    <w:p w:rsidR="00FC7981" w:rsidRPr="004C317F" w:rsidRDefault="00FC7981" w:rsidP="00FC7981">
      <w:pPr>
        <w:tabs>
          <w:tab w:val="left" w:pos="851"/>
        </w:tabs>
        <w:ind w:left="851"/>
        <w:rPr>
          <w:sz w:val="24"/>
          <w:szCs w:val="24"/>
        </w:rPr>
      </w:pPr>
    </w:p>
    <w:p w:rsidR="00FC7981" w:rsidRPr="004C317F" w:rsidRDefault="00FC7981" w:rsidP="00FC7981">
      <w:pPr>
        <w:tabs>
          <w:tab w:val="left" w:pos="851"/>
        </w:tabs>
        <w:ind w:left="851"/>
        <w:rPr>
          <w:sz w:val="24"/>
          <w:szCs w:val="24"/>
          <w:u w:val="single"/>
        </w:rPr>
      </w:pPr>
      <w:r w:rsidRPr="004C317F">
        <w:rPr>
          <w:sz w:val="24"/>
          <w:szCs w:val="24"/>
          <w:u w:val="single"/>
        </w:rPr>
        <w:t>Immunsystemet</w:t>
      </w:r>
    </w:p>
    <w:p w:rsidR="00FC7981" w:rsidRPr="004C317F" w:rsidRDefault="00FC7981" w:rsidP="00FC7981">
      <w:pPr>
        <w:tabs>
          <w:tab w:val="left" w:pos="851"/>
        </w:tabs>
        <w:ind w:left="851"/>
        <w:rPr>
          <w:sz w:val="24"/>
          <w:szCs w:val="24"/>
        </w:rPr>
      </w:pPr>
      <w:r w:rsidRPr="004C317F">
        <w:rPr>
          <w:i/>
          <w:sz w:val="24"/>
          <w:szCs w:val="24"/>
        </w:rPr>
        <w:t xml:space="preserve">Sjælden: </w:t>
      </w:r>
      <w:r w:rsidRPr="004C317F">
        <w:rPr>
          <w:sz w:val="24"/>
          <w:szCs w:val="24"/>
        </w:rPr>
        <w:t>Allergiske reaktioner</w:t>
      </w:r>
    </w:p>
    <w:p w:rsidR="00FC7981" w:rsidRPr="004C317F" w:rsidRDefault="00FC7981" w:rsidP="00FC7981">
      <w:pPr>
        <w:tabs>
          <w:tab w:val="left" w:pos="851"/>
        </w:tabs>
        <w:ind w:left="851"/>
        <w:rPr>
          <w:i/>
          <w:sz w:val="24"/>
          <w:szCs w:val="24"/>
        </w:rPr>
      </w:pPr>
      <w:r w:rsidRPr="004C317F">
        <w:rPr>
          <w:i/>
          <w:sz w:val="24"/>
          <w:szCs w:val="24"/>
        </w:rPr>
        <w:t xml:space="preserve">Ikke kendt: </w:t>
      </w:r>
      <w:proofErr w:type="spellStart"/>
      <w:r w:rsidRPr="004C317F">
        <w:rPr>
          <w:sz w:val="24"/>
          <w:szCs w:val="24"/>
        </w:rPr>
        <w:t>Anafylaktisk</w:t>
      </w:r>
      <w:proofErr w:type="spellEnd"/>
      <w:r w:rsidRPr="004C317F">
        <w:rPr>
          <w:sz w:val="24"/>
          <w:szCs w:val="24"/>
        </w:rPr>
        <w:t xml:space="preserve"> reaktion</w:t>
      </w:r>
    </w:p>
    <w:p w:rsidR="00FC7981" w:rsidRPr="004C317F" w:rsidRDefault="00FC7981" w:rsidP="00FC7981">
      <w:pPr>
        <w:tabs>
          <w:tab w:val="left" w:pos="851"/>
        </w:tabs>
        <w:ind w:left="851"/>
        <w:rPr>
          <w:i/>
          <w:sz w:val="24"/>
          <w:szCs w:val="24"/>
        </w:rPr>
      </w:pPr>
    </w:p>
    <w:p w:rsidR="00FC7981" w:rsidRPr="004C317F" w:rsidRDefault="00FC7981" w:rsidP="00FC7981">
      <w:pPr>
        <w:tabs>
          <w:tab w:val="left" w:pos="851"/>
        </w:tabs>
        <w:ind w:left="851"/>
        <w:rPr>
          <w:sz w:val="24"/>
          <w:szCs w:val="24"/>
          <w:u w:val="single"/>
        </w:rPr>
      </w:pPr>
      <w:r w:rsidRPr="004C317F">
        <w:rPr>
          <w:sz w:val="24"/>
          <w:szCs w:val="24"/>
          <w:u w:val="single"/>
        </w:rPr>
        <w:t>Mave-tarm</w:t>
      </w:r>
      <w:r>
        <w:rPr>
          <w:sz w:val="24"/>
          <w:szCs w:val="24"/>
          <w:u w:val="single"/>
        </w:rPr>
        <w:t>-</w:t>
      </w:r>
      <w:r w:rsidRPr="004C317F">
        <w:rPr>
          <w:sz w:val="24"/>
          <w:szCs w:val="24"/>
          <w:u w:val="single"/>
        </w:rPr>
        <w:t>kanalen</w:t>
      </w:r>
    </w:p>
    <w:p w:rsidR="00FC7981" w:rsidRPr="004C317F" w:rsidRDefault="00FC7981" w:rsidP="00FC7981">
      <w:pPr>
        <w:tabs>
          <w:tab w:val="left" w:pos="851"/>
        </w:tabs>
        <w:ind w:left="851"/>
        <w:rPr>
          <w:sz w:val="24"/>
          <w:szCs w:val="24"/>
        </w:rPr>
      </w:pPr>
      <w:r w:rsidRPr="004C317F">
        <w:rPr>
          <w:i/>
          <w:sz w:val="24"/>
          <w:szCs w:val="24"/>
        </w:rPr>
        <w:t xml:space="preserve">Sjælden: </w:t>
      </w:r>
      <w:r w:rsidRPr="004C317F">
        <w:rPr>
          <w:sz w:val="24"/>
          <w:szCs w:val="24"/>
        </w:rPr>
        <w:t xml:space="preserve">Anoreksi, kvalme, </w:t>
      </w:r>
      <w:proofErr w:type="spellStart"/>
      <w:r w:rsidRPr="004C317F">
        <w:rPr>
          <w:sz w:val="24"/>
          <w:szCs w:val="24"/>
        </w:rPr>
        <w:t>abdominal</w:t>
      </w:r>
      <w:proofErr w:type="spellEnd"/>
      <w:r w:rsidRPr="004C317F">
        <w:rPr>
          <w:sz w:val="24"/>
          <w:szCs w:val="24"/>
        </w:rPr>
        <w:t xml:space="preserve"> </w:t>
      </w:r>
      <w:proofErr w:type="spellStart"/>
      <w:r w:rsidRPr="004C317F">
        <w:rPr>
          <w:sz w:val="24"/>
          <w:szCs w:val="24"/>
        </w:rPr>
        <w:t>distension</w:t>
      </w:r>
      <w:proofErr w:type="spellEnd"/>
      <w:r w:rsidRPr="004C317F">
        <w:rPr>
          <w:sz w:val="24"/>
          <w:szCs w:val="24"/>
        </w:rPr>
        <w:t xml:space="preserve"> og </w:t>
      </w:r>
      <w:proofErr w:type="spellStart"/>
      <w:r w:rsidRPr="004C317F">
        <w:rPr>
          <w:sz w:val="24"/>
          <w:szCs w:val="24"/>
        </w:rPr>
        <w:t>flatulens</w:t>
      </w:r>
      <w:proofErr w:type="spellEnd"/>
      <w:r w:rsidRPr="004C317F">
        <w:rPr>
          <w:sz w:val="24"/>
          <w:szCs w:val="24"/>
        </w:rPr>
        <w:t>.</w:t>
      </w:r>
    </w:p>
    <w:p w:rsidR="00FC7981" w:rsidRPr="004C317F" w:rsidRDefault="00FC7981" w:rsidP="00FC7981">
      <w:pPr>
        <w:tabs>
          <w:tab w:val="left" w:pos="851"/>
        </w:tabs>
        <w:ind w:left="851"/>
        <w:rPr>
          <w:sz w:val="24"/>
          <w:szCs w:val="24"/>
          <w:u w:val="single"/>
        </w:rPr>
      </w:pPr>
    </w:p>
    <w:p w:rsidR="00FC7981" w:rsidRPr="008F49E1" w:rsidRDefault="00FC7981" w:rsidP="00FC798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FC7981" w:rsidRPr="008F49E1" w:rsidRDefault="00FC7981" w:rsidP="00FC798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1A2B25">
        <w:rPr>
          <w:sz w:val="24"/>
          <w:szCs w:val="24"/>
          <w:lang w:eastAsia="da-DK"/>
        </w:rPr>
        <w:t>Sundhedspersoner</w:t>
      </w:r>
      <w:r w:rsidRPr="008F49E1">
        <w:rPr>
          <w:sz w:val="24"/>
          <w:szCs w:val="24"/>
          <w:lang w:eastAsia="da-DK"/>
        </w:rPr>
        <w:t xml:space="preserve"> anmodes om at indberette alle formodede bivirkninger via:</w:t>
      </w:r>
    </w:p>
    <w:p w:rsidR="00FC7981" w:rsidRPr="008F49E1" w:rsidRDefault="00FC7981" w:rsidP="00FC7981">
      <w:pPr>
        <w:ind w:left="851"/>
        <w:rPr>
          <w:sz w:val="24"/>
          <w:szCs w:val="24"/>
          <w:lang w:eastAsia="da-DK"/>
        </w:rPr>
      </w:pPr>
    </w:p>
    <w:p w:rsidR="00FC7981" w:rsidRPr="007A276A" w:rsidRDefault="00FC7981" w:rsidP="00FC7981">
      <w:pPr>
        <w:ind w:left="851"/>
        <w:rPr>
          <w:sz w:val="24"/>
          <w:szCs w:val="24"/>
          <w:lang w:eastAsia="da-DK"/>
        </w:rPr>
      </w:pPr>
      <w:r w:rsidRPr="007A276A">
        <w:rPr>
          <w:sz w:val="24"/>
          <w:szCs w:val="24"/>
          <w:lang w:eastAsia="da-DK"/>
        </w:rPr>
        <w:t>Lægemiddelstyrelsen</w:t>
      </w:r>
    </w:p>
    <w:p w:rsidR="00FC7981" w:rsidRPr="007A276A" w:rsidRDefault="00FC7981" w:rsidP="00FC7981">
      <w:pPr>
        <w:ind w:left="851"/>
        <w:rPr>
          <w:sz w:val="24"/>
          <w:szCs w:val="24"/>
          <w:lang w:eastAsia="da-DK"/>
        </w:rPr>
      </w:pPr>
      <w:r w:rsidRPr="007A276A">
        <w:rPr>
          <w:sz w:val="24"/>
          <w:szCs w:val="24"/>
          <w:lang w:eastAsia="da-DK"/>
        </w:rPr>
        <w:t>Axel Heides Gade 1</w:t>
      </w:r>
    </w:p>
    <w:p w:rsidR="00FC7981" w:rsidRPr="007A276A" w:rsidRDefault="00FC7981" w:rsidP="00FC7981">
      <w:pPr>
        <w:ind w:left="851"/>
        <w:rPr>
          <w:sz w:val="24"/>
          <w:szCs w:val="24"/>
          <w:lang w:eastAsia="da-DK"/>
        </w:rPr>
      </w:pPr>
      <w:r w:rsidRPr="007A276A">
        <w:rPr>
          <w:sz w:val="24"/>
          <w:szCs w:val="24"/>
          <w:lang w:eastAsia="da-DK"/>
        </w:rPr>
        <w:t>DK-2300 København S</w:t>
      </w:r>
    </w:p>
    <w:p w:rsidR="00FC7981" w:rsidRPr="007A276A" w:rsidRDefault="00FC7981" w:rsidP="00FC7981">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FC7981" w:rsidRDefault="00FC7981" w:rsidP="00FC7981">
      <w:pPr>
        <w:rPr>
          <w:sz w:val="24"/>
          <w:szCs w:val="24"/>
          <w:lang w:val="en-US" w:eastAsia="da-DK"/>
        </w:rPr>
      </w:pPr>
      <w:r>
        <w:rPr>
          <w:szCs w:val="24"/>
          <w:lang w:val="en-US"/>
        </w:rPr>
        <w:br w:type="page"/>
      </w:r>
    </w:p>
    <w:p w:rsidR="00FC7981" w:rsidRPr="006A6F21" w:rsidRDefault="00FC7981" w:rsidP="00FC7981">
      <w:pPr>
        <w:pStyle w:val="Sidehoved"/>
        <w:tabs>
          <w:tab w:val="left" w:pos="851"/>
        </w:tabs>
        <w:ind w:left="851"/>
        <w:rPr>
          <w:szCs w:val="24"/>
          <w:lang w:val="en-US"/>
        </w:rPr>
      </w:pPr>
    </w:p>
    <w:p w:rsidR="00FC7981" w:rsidRPr="00C84483" w:rsidRDefault="00FC7981" w:rsidP="00FC7981">
      <w:pPr>
        <w:tabs>
          <w:tab w:val="left" w:pos="851"/>
        </w:tabs>
        <w:ind w:left="851" w:hanging="851"/>
        <w:rPr>
          <w:b/>
          <w:sz w:val="24"/>
          <w:szCs w:val="24"/>
        </w:rPr>
      </w:pPr>
      <w:r w:rsidRPr="00C84483">
        <w:rPr>
          <w:b/>
          <w:sz w:val="24"/>
          <w:szCs w:val="24"/>
        </w:rPr>
        <w:t>4.9</w:t>
      </w:r>
      <w:r w:rsidRPr="00C84483">
        <w:rPr>
          <w:b/>
          <w:sz w:val="24"/>
          <w:szCs w:val="24"/>
        </w:rPr>
        <w:tab/>
        <w:t>Overdosering</w:t>
      </w:r>
    </w:p>
    <w:p w:rsidR="00FC7981" w:rsidRPr="006A6F21" w:rsidRDefault="00FC7981" w:rsidP="00FC7981">
      <w:pPr>
        <w:tabs>
          <w:tab w:val="left" w:pos="851"/>
        </w:tabs>
        <w:ind w:left="851"/>
        <w:rPr>
          <w:noProof/>
          <w:sz w:val="24"/>
          <w:szCs w:val="24"/>
        </w:rPr>
      </w:pPr>
      <w:r w:rsidRPr="004C317F">
        <w:rPr>
          <w:sz w:val="24"/>
          <w:szCs w:val="24"/>
        </w:rPr>
        <w:t>Den akutte toksicitet er lav.</w:t>
      </w:r>
      <w:r w:rsidRPr="004C317F">
        <w:rPr>
          <w:noProof/>
          <w:sz w:val="24"/>
          <w:szCs w:val="24"/>
        </w:rPr>
        <w:t xml:space="preserve"> </w:t>
      </w:r>
      <w:r w:rsidRPr="004C317F">
        <w:rPr>
          <w:sz w:val="24"/>
          <w:szCs w:val="24"/>
        </w:rPr>
        <w:t>Normalt giver en overdosis ingen symptomer.</w:t>
      </w:r>
      <w:r w:rsidRPr="004C317F">
        <w:rPr>
          <w:noProof/>
          <w:sz w:val="24"/>
          <w:szCs w:val="24"/>
        </w:rPr>
        <w:t xml:space="preserve"> </w:t>
      </w:r>
      <w:r w:rsidRPr="004C317F">
        <w:rPr>
          <w:sz w:val="24"/>
          <w:szCs w:val="24"/>
        </w:rPr>
        <w:t>Hvis der i exceptionelle tilfælde opstår symptomer, er behandlingen symptomatisk.</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4.10</w:t>
      </w:r>
      <w:r w:rsidRPr="00C84483">
        <w:rPr>
          <w:b/>
          <w:sz w:val="24"/>
          <w:szCs w:val="24"/>
        </w:rPr>
        <w:tab/>
        <w:t>Udlevering</w:t>
      </w:r>
    </w:p>
    <w:p w:rsidR="00FC7981" w:rsidRPr="00C84483" w:rsidRDefault="00FC7981" w:rsidP="00FC7981">
      <w:pPr>
        <w:tabs>
          <w:tab w:val="left" w:pos="851"/>
        </w:tabs>
        <w:ind w:left="851"/>
        <w:rPr>
          <w:sz w:val="24"/>
          <w:szCs w:val="24"/>
        </w:rPr>
      </w:pPr>
      <w:r>
        <w:rPr>
          <w:sz w:val="24"/>
          <w:szCs w:val="24"/>
        </w:rPr>
        <w:t>B</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C7981" w:rsidRPr="00C84483" w:rsidRDefault="00FC7981" w:rsidP="00FC7981">
      <w:pPr>
        <w:tabs>
          <w:tab w:val="left" w:pos="851"/>
        </w:tabs>
        <w:ind w:left="851"/>
        <w:rPr>
          <w:noProof/>
          <w:sz w:val="24"/>
          <w:szCs w:val="24"/>
        </w:rPr>
      </w:pPr>
      <w:r w:rsidRPr="004C317F">
        <w:rPr>
          <w:sz w:val="24"/>
          <w:szCs w:val="24"/>
        </w:rPr>
        <w:t>ATC-kode: B</w:t>
      </w:r>
      <w:r>
        <w:rPr>
          <w:sz w:val="24"/>
          <w:szCs w:val="24"/>
        </w:rPr>
        <w:t xml:space="preserve"> </w:t>
      </w:r>
      <w:r w:rsidRPr="004C317F">
        <w:rPr>
          <w:sz w:val="24"/>
          <w:szCs w:val="24"/>
        </w:rPr>
        <w:t>03</w:t>
      </w:r>
      <w:r>
        <w:rPr>
          <w:sz w:val="24"/>
          <w:szCs w:val="24"/>
        </w:rPr>
        <w:t xml:space="preserve"> </w:t>
      </w:r>
      <w:r w:rsidRPr="004C317F">
        <w:rPr>
          <w:sz w:val="24"/>
          <w:szCs w:val="24"/>
        </w:rPr>
        <w:t>BB</w:t>
      </w:r>
      <w:r>
        <w:rPr>
          <w:sz w:val="24"/>
          <w:szCs w:val="24"/>
        </w:rPr>
        <w:t xml:space="preserve"> </w:t>
      </w:r>
      <w:r w:rsidRPr="004C317F">
        <w:rPr>
          <w:sz w:val="24"/>
          <w:szCs w:val="24"/>
        </w:rPr>
        <w:t>01</w:t>
      </w:r>
      <w:r>
        <w:rPr>
          <w:sz w:val="24"/>
          <w:szCs w:val="24"/>
        </w:rPr>
        <w:t xml:space="preserve">. </w:t>
      </w:r>
      <w:r w:rsidRPr="004C317F">
        <w:rPr>
          <w:sz w:val="24"/>
          <w:szCs w:val="24"/>
        </w:rPr>
        <w:t>Midler mod anæmi,</w:t>
      </w:r>
      <w:r w:rsidRPr="004C317F">
        <w:rPr>
          <w:color w:val="000000"/>
          <w:sz w:val="24"/>
          <w:szCs w:val="24"/>
        </w:rPr>
        <w:t xml:space="preserve"> </w:t>
      </w:r>
      <w:r w:rsidRPr="004C317F">
        <w:rPr>
          <w:sz w:val="24"/>
          <w:szCs w:val="24"/>
        </w:rPr>
        <w:t xml:space="preserve">Vitamin B12 og </w:t>
      </w:r>
      <w:proofErr w:type="spellStart"/>
      <w:r w:rsidRPr="004C317F">
        <w:rPr>
          <w:sz w:val="24"/>
          <w:szCs w:val="24"/>
        </w:rPr>
        <w:t>folsyre</w:t>
      </w:r>
      <w:proofErr w:type="spellEnd"/>
      <w:r w:rsidRPr="004C317F">
        <w:rPr>
          <w:sz w:val="24"/>
          <w:szCs w:val="24"/>
        </w:rPr>
        <w:t xml:space="preserve">, </w:t>
      </w:r>
      <w:proofErr w:type="spellStart"/>
      <w:r w:rsidRPr="004C317F">
        <w:rPr>
          <w:sz w:val="24"/>
          <w:szCs w:val="24"/>
        </w:rPr>
        <w:t>folsyre</w:t>
      </w:r>
      <w:proofErr w:type="spellEnd"/>
      <w:r w:rsidRPr="004C317F">
        <w:rPr>
          <w:sz w:val="24"/>
          <w:szCs w:val="24"/>
        </w:rPr>
        <w:t xml:space="preserve"> og derivater</w:t>
      </w:r>
      <w:r>
        <w:rPr>
          <w:sz w:val="24"/>
          <w:szCs w:val="24"/>
        </w:rPr>
        <w:t>.</w:t>
      </w:r>
    </w:p>
    <w:p w:rsidR="00FC7981" w:rsidRPr="00C84483" w:rsidRDefault="00FC7981" w:rsidP="00FC7981">
      <w:pPr>
        <w:tabs>
          <w:tab w:val="left" w:pos="851"/>
        </w:tabs>
        <w:ind w:left="851"/>
        <w:rPr>
          <w:sz w:val="24"/>
          <w:szCs w:val="24"/>
        </w:rPr>
      </w:pPr>
    </w:p>
    <w:p w:rsidR="00FC7981" w:rsidRPr="00C84483" w:rsidRDefault="00FC7981" w:rsidP="00FC798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C7981" w:rsidRPr="007B4F49" w:rsidRDefault="00FC7981" w:rsidP="00FC7981">
      <w:pPr>
        <w:tabs>
          <w:tab w:val="left" w:pos="851"/>
        </w:tabs>
        <w:autoSpaceDE w:val="0"/>
        <w:autoSpaceDN w:val="0"/>
        <w:adjustRightInd w:val="0"/>
        <w:ind w:left="851"/>
        <w:jc w:val="both"/>
        <w:rPr>
          <w:noProof/>
          <w:sz w:val="24"/>
          <w:szCs w:val="24"/>
        </w:rPr>
      </w:pPr>
      <w:proofErr w:type="spellStart"/>
      <w:r w:rsidRPr="004C317F">
        <w:rPr>
          <w:sz w:val="24"/>
          <w:szCs w:val="24"/>
        </w:rPr>
        <w:t>Folsyre</w:t>
      </w:r>
      <w:proofErr w:type="spellEnd"/>
      <w:r w:rsidRPr="004C317F">
        <w:rPr>
          <w:sz w:val="24"/>
          <w:szCs w:val="24"/>
        </w:rPr>
        <w:t xml:space="preserve"> udgør en del af de </w:t>
      </w:r>
      <w:proofErr w:type="spellStart"/>
      <w:r w:rsidRPr="004C317F">
        <w:rPr>
          <w:sz w:val="24"/>
          <w:szCs w:val="24"/>
        </w:rPr>
        <w:t>coenzymer</w:t>
      </w:r>
      <w:proofErr w:type="spellEnd"/>
      <w:r w:rsidRPr="004C317F">
        <w:rPr>
          <w:sz w:val="24"/>
          <w:szCs w:val="24"/>
        </w:rPr>
        <w:t xml:space="preserve">, der indgår i visse </w:t>
      </w:r>
      <w:proofErr w:type="spellStart"/>
      <w:r w:rsidRPr="004C317F">
        <w:rPr>
          <w:sz w:val="24"/>
          <w:szCs w:val="24"/>
        </w:rPr>
        <w:t>transmethyleringsprocesser</w:t>
      </w:r>
      <w:proofErr w:type="spellEnd"/>
      <w:r w:rsidRPr="004C317F">
        <w:rPr>
          <w:sz w:val="24"/>
          <w:szCs w:val="24"/>
        </w:rPr>
        <w:t xml:space="preserve">, f.eks. syntese af deoxyribonukleinsyre og </w:t>
      </w:r>
      <w:proofErr w:type="spellStart"/>
      <w:r w:rsidRPr="004C317F">
        <w:rPr>
          <w:sz w:val="24"/>
          <w:szCs w:val="24"/>
        </w:rPr>
        <w:t>ribonukleinsyre</w:t>
      </w:r>
      <w:proofErr w:type="spellEnd"/>
      <w:r w:rsidRPr="004C317F">
        <w:rPr>
          <w:sz w:val="24"/>
          <w:szCs w:val="24"/>
        </w:rPr>
        <w:t xml:space="preserve">. </w:t>
      </w:r>
      <w:proofErr w:type="spellStart"/>
      <w:r w:rsidRPr="004C317F">
        <w:rPr>
          <w:sz w:val="24"/>
          <w:szCs w:val="24"/>
        </w:rPr>
        <w:t>folsyre</w:t>
      </w:r>
      <w:proofErr w:type="spellEnd"/>
      <w:r w:rsidRPr="004C317F">
        <w:rPr>
          <w:sz w:val="24"/>
          <w:szCs w:val="24"/>
        </w:rPr>
        <w:t xml:space="preserve"> tilhører B-vitamingruppen og er nødvendig for normal produktion og modning af </w:t>
      </w:r>
      <w:proofErr w:type="spellStart"/>
      <w:r w:rsidRPr="004C317F">
        <w:rPr>
          <w:sz w:val="24"/>
          <w:szCs w:val="24"/>
        </w:rPr>
        <w:t>erythrocytter</w:t>
      </w:r>
      <w:proofErr w:type="spellEnd"/>
      <w:r w:rsidRPr="004C317F">
        <w:rPr>
          <w:sz w:val="24"/>
          <w:szCs w:val="24"/>
        </w:rPr>
        <w:t xml:space="preserve">. </w:t>
      </w:r>
      <w:proofErr w:type="spellStart"/>
      <w:r w:rsidRPr="004C317F">
        <w:rPr>
          <w:sz w:val="24"/>
          <w:szCs w:val="24"/>
        </w:rPr>
        <w:t>Folsyremangel</w:t>
      </w:r>
      <w:proofErr w:type="spellEnd"/>
      <w:r w:rsidRPr="004C317F">
        <w:rPr>
          <w:sz w:val="24"/>
          <w:szCs w:val="24"/>
        </w:rPr>
        <w:t xml:space="preserve"> er en af årsagerne til </w:t>
      </w:r>
      <w:proofErr w:type="spellStart"/>
      <w:r w:rsidRPr="004C317F">
        <w:rPr>
          <w:sz w:val="24"/>
          <w:szCs w:val="24"/>
        </w:rPr>
        <w:t>megaloblastisk</w:t>
      </w:r>
      <w:proofErr w:type="spellEnd"/>
      <w:r w:rsidRPr="004C317F">
        <w:rPr>
          <w:sz w:val="24"/>
          <w:szCs w:val="24"/>
        </w:rPr>
        <w:t xml:space="preserve"> anæmi.</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C7981" w:rsidRPr="004C317F" w:rsidRDefault="00FC7981" w:rsidP="00FC7981">
      <w:pPr>
        <w:tabs>
          <w:tab w:val="left" w:pos="851"/>
        </w:tabs>
        <w:ind w:left="851"/>
        <w:rPr>
          <w:sz w:val="24"/>
          <w:szCs w:val="24"/>
        </w:rPr>
      </w:pPr>
    </w:p>
    <w:p w:rsidR="00FC7981" w:rsidRPr="004C317F" w:rsidRDefault="00FC7981" w:rsidP="00FC7981">
      <w:pPr>
        <w:numPr>
          <w:ilvl w:val="12"/>
          <w:numId w:val="0"/>
        </w:numPr>
        <w:tabs>
          <w:tab w:val="left" w:pos="851"/>
        </w:tabs>
        <w:ind w:left="851" w:right="-2"/>
        <w:rPr>
          <w:noProof/>
          <w:sz w:val="24"/>
          <w:szCs w:val="24"/>
          <w:u w:val="single"/>
        </w:rPr>
      </w:pPr>
      <w:r w:rsidRPr="004C317F">
        <w:rPr>
          <w:sz w:val="24"/>
          <w:szCs w:val="24"/>
          <w:u w:val="single"/>
        </w:rPr>
        <w:t>Absorption</w:t>
      </w:r>
    </w:p>
    <w:p w:rsidR="00FC7981" w:rsidRPr="004C317F" w:rsidRDefault="00FC7981" w:rsidP="00FC7981">
      <w:pPr>
        <w:numPr>
          <w:ilvl w:val="12"/>
          <w:numId w:val="0"/>
        </w:numPr>
        <w:tabs>
          <w:tab w:val="left" w:pos="851"/>
        </w:tabs>
        <w:ind w:left="851" w:right="-2"/>
        <w:rPr>
          <w:noProof/>
          <w:sz w:val="24"/>
          <w:szCs w:val="24"/>
        </w:rPr>
      </w:pPr>
      <w:proofErr w:type="spellStart"/>
      <w:r w:rsidRPr="004C317F">
        <w:rPr>
          <w:sz w:val="24"/>
          <w:szCs w:val="24"/>
        </w:rPr>
        <w:t>Folsyre</w:t>
      </w:r>
      <w:proofErr w:type="spellEnd"/>
      <w:r w:rsidRPr="004C317F">
        <w:rPr>
          <w:sz w:val="24"/>
          <w:szCs w:val="24"/>
        </w:rPr>
        <w:t xml:space="preserve"> absorberes hurtigt fra mave-tarm</w:t>
      </w:r>
      <w:r>
        <w:rPr>
          <w:sz w:val="24"/>
          <w:szCs w:val="24"/>
        </w:rPr>
        <w:t>-</w:t>
      </w:r>
      <w:r w:rsidRPr="004C317F">
        <w:rPr>
          <w:sz w:val="24"/>
          <w:szCs w:val="24"/>
        </w:rPr>
        <w:t xml:space="preserve">kanalen, hovedsageligt fra tyndtarmens </w:t>
      </w:r>
      <w:proofErr w:type="spellStart"/>
      <w:r w:rsidRPr="004C317F">
        <w:rPr>
          <w:sz w:val="24"/>
          <w:szCs w:val="24"/>
        </w:rPr>
        <w:t>proximale</w:t>
      </w:r>
      <w:proofErr w:type="spellEnd"/>
      <w:r w:rsidRPr="004C317F">
        <w:rPr>
          <w:sz w:val="24"/>
          <w:szCs w:val="24"/>
        </w:rPr>
        <w:t xml:space="preserve"> del. </w:t>
      </w:r>
      <w:r w:rsidRPr="004C317F">
        <w:rPr>
          <w:noProof/>
          <w:sz w:val="24"/>
          <w:szCs w:val="24"/>
        </w:rPr>
        <w:t xml:space="preserve"> </w:t>
      </w:r>
      <w:proofErr w:type="spellStart"/>
      <w:r w:rsidRPr="004C317F">
        <w:rPr>
          <w:sz w:val="24"/>
          <w:szCs w:val="24"/>
        </w:rPr>
        <w:t>Folater</w:t>
      </w:r>
      <w:proofErr w:type="spellEnd"/>
      <w:r w:rsidRPr="004C317F">
        <w:rPr>
          <w:sz w:val="24"/>
          <w:szCs w:val="24"/>
        </w:rPr>
        <w:t xml:space="preserve"> i kosten angives at have en ca. halvt så stor ​​biotilgængelighed som ​​krystallinsk </w:t>
      </w:r>
      <w:proofErr w:type="spellStart"/>
      <w:r w:rsidRPr="004C317F">
        <w:rPr>
          <w:sz w:val="24"/>
          <w:szCs w:val="24"/>
        </w:rPr>
        <w:t>folsyre</w:t>
      </w:r>
      <w:proofErr w:type="spellEnd"/>
      <w:r w:rsidRPr="004C317F">
        <w:rPr>
          <w:sz w:val="24"/>
          <w:szCs w:val="24"/>
        </w:rPr>
        <w:t>.</w:t>
      </w:r>
      <w:r w:rsidRPr="004C317F">
        <w:rPr>
          <w:noProof/>
          <w:sz w:val="24"/>
          <w:szCs w:val="24"/>
        </w:rPr>
        <w:t xml:space="preserve"> </w:t>
      </w:r>
      <w:r w:rsidRPr="004C317F">
        <w:rPr>
          <w:sz w:val="24"/>
          <w:szCs w:val="24"/>
        </w:rPr>
        <w:t xml:space="preserve">De naturligt forekommende </w:t>
      </w:r>
      <w:proofErr w:type="spellStart"/>
      <w:r w:rsidRPr="004C317F">
        <w:rPr>
          <w:sz w:val="24"/>
          <w:szCs w:val="24"/>
        </w:rPr>
        <w:t>folatpolyglutamater</w:t>
      </w:r>
      <w:proofErr w:type="spellEnd"/>
      <w:r w:rsidRPr="004C317F">
        <w:rPr>
          <w:sz w:val="24"/>
          <w:szCs w:val="24"/>
        </w:rPr>
        <w:t xml:space="preserve"> bliver i tarmen i vid udstrækning </w:t>
      </w:r>
      <w:proofErr w:type="spellStart"/>
      <w:r w:rsidRPr="004C317F">
        <w:rPr>
          <w:sz w:val="24"/>
          <w:szCs w:val="24"/>
        </w:rPr>
        <w:t>dekonjugeret</w:t>
      </w:r>
      <w:proofErr w:type="spellEnd"/>
      <w:r w:rsidRPr="004C317F">
        <w:rPr>
          <w:sz w:val="24"/>
          <w:szCs w:val="24"/>
        </w:rPr>
        <w:t xml:space="preserve"> og reduceret af </w:t>
      </w:r>
      <w:proofErr w:type="spellStart"/>
      <w:r w:rsidRPr="004C317F">
        <w:rPr>
          <w:sz w:val="24"/>
          <w:szCs w:val="24"/>
        </w:rPr>
        <w:t>dihydrofolatreduktase</w:t>
      </w:r>
      <w:proofErr w:type="spellEnd"/>
      <w:r w:rsidRPr="004C317F">
        <w:rPr>
          <w:sz w:val="24"/>
          <w:szCs w:val="24"/>
        </w:rPr>
        <w:t xml:space="preserve"> til 5-methyltetrahydrofolat (5-MTHF).</w:t>
      </w:r>
      <w:r w:rsidRPr="004C317F">
        <w:rPr>
          <w:noProof/>
          <w:sz w:val="24"/>
          <w:szCs w:val="24"/>
        </w:rPr>
        <w:t xml:space="preserve"> </w:t>
      </w:r>
      <w:r w:rsidRPr="004C317F">
        <w:rPr>
          <w:sz w:val="24"/>
          <w:szCs w:val="24"/>
        </w:rPr>
        <w:t xml:space="preserve">Terapeutisk administreret </w:t>
      </w:r>
      <w:proofErr w:type="spellStart"/>
      <w:r w:rsidRPr="004C317F">
        <w:rPr>
          <w:sz w:val="24"/>
          <w:szCs w:val="24"/>
        </w:rPr>
        <w:t>folsyre</w:t>
      </w:r>
      <w:proofErr w:type="spellEnd"/>
      <w:r w:rsidRPr="004C317F">
        <w:rPr>
          <w:sz w:val="24"/>
          <w:szCs w:val="24"/>
        </w:rPr>
        <w:t xml:space="preserve"> træder ind i portalcirkulationen stort set </w:t>
      </w:r>
      <w:proofErr w:type="spellStart"/>
      <w:r w:rsidRPr="004C317F">
        <w:rPr>
          <w:sz w:val="24"/>
          <w:szCs w:val="24"/>
        </w:rPr>
        <w:t>uomdannet</w:t>
      </w:r>
      <w:proofErr w:type="spellEnd"/>
      <w:r w:rsidRPr="004C317F">
        <w:rPr>
          <w:sz w:val="24"/>
          <w:szCs w:val="24"/>
        </w:rPr>
        <w:t xml:space="preserve">, da det er et dårligt substrat for reduktion med </w:t>
      </w:r>
      <w:proofErr w:type="spellStart"/>
      <w:r w:rsidRPr="004C317F">
        <w:rPr>
          <w:sz w:val="24"/>
          <w:szCs w:val="24"/>
        </w:rPr>
        <w:t>dihydrofolatreduktaser</w:t>
      </w:r>
      <w:proofErr w:type="spellEnd"/>
      <w:r w:rsidRPr="004C317F">
        <w:rPr>
          <w:sz w:val="24"/>
          <w:szCs w:val="24"/>
        </w:rPr>
        <w:t>.</w:t>
      </w:r>
    </w:p>
    <w:p w:rsidR="00FC7981" w:rsidRPr="004C317F" w:rsidRDefault="00FC7981" w:rsidP="00FC7981">
      <w:pPr>
        <w:numPr>
          <w:ilvl w:val="12"/>
          <w:numId w:val="0"/>
        </w:numPr>
        <w:tabs>
          <w:tab w:val="left" w:pos="851"/>
        </w:tabs>
        <w:ind w:left="851" w:right="-2"/>
        <w:rPr>
          <w:iCs/>
          <w:noProof/>
          <w:sz w:val="24"/>
          <w:szCs w:val="24"/>
        </w:rPr>
      </w:pPr>
    </w:p>
    <w:p w:rsidR="00FC7981" w:rsidRPr="004C317F" w:rsidRDefault="00FC7981" w:rsidP="00FC7981">
      <w:pPr>
        <w:numPr>
          <w:ilvl w:val="12"/>
          <w:numId w:val="0"/>
        </w:numPr>
        <w:tabs>
          <w:tab w:val="left" w:pos="851"/>
        </w:tabs>
        <w:ind w:left="851" w:right="-2"/>
        <w:rPr>
          <w:noProof/>
          <w:sz w:val="24"/>
          <w:szCs w:val="24"/>
          <w:u w:val="single"/>
        </w:rPr>
      </w:pPr>
      <w:r w:rsidRPr="004C317F">
        <w:rPr>
          <w:sz w:val="24"/>
          <w:szCs w:val="24"/>
          <w:u w:val="single"/>
        </w:rPr>
        <w:t>Fordeling</w:t>
      </w:r>
    </w:p>
    <w:p w:rsidR="00FC7981" w:rsidRPr="004C317F" w:rsidRDefault="00FC7981" w:rsidP="00FC7981">
      <w:pPr>
        <w:numPr>
          <w:ilvl w:val="12"/>
          <w:numId w:val="0"/>
        </w:numPr>
        <w:tabs>
          <w:tab w:val="left" w:pos="851"/>
        </w:tabs>
        <w:ind w:left="851" w:right="-2"/>
        <w:rPr>
          <w:noProof/>
          <w:sz w:val="24"/>
          <w:szCs w:val="24"/>
        </w:rPr>
      </w:pPr>
      <w:r w:rsidRPr="004C317F">
        <w:rPr>
          <w:sz w:val="24"/>
          <w:szCs w:val="24"/>
        </w:rPr>
        <w:t xml:space="preserve">Fordeling sker via portal cirkulation. </w:t>
      </w:r>
      <w:r w:rsidRPr="004C317F">
        <w:rPr>
          <w:noProof/>
          <w:sz w:val="24"/>
          <w:szCs w:val="24"/>
        </w:rPr>
        <w:t xml:space="preserve"> </w:t>
      </w:r>
      <w:r w:rsidRPr="004C317F">
        <w:rPr>
          <w:sz w:val="24"/>
          <w:szCs w:val="24"/>
        </w:rPr>
        <w:t xml:space="preserve">5-MTHF fra naturligt forekommende </w:t>
      </w:r>
      <w:proofErr w:type="spellStart"/>
      <w:r w:rsidRPr="004C317F">
        <w:rPr>
          <w:sz w:val="24"/>
          <w:szCs w:val="24"/>
        </w:rPr>
        <w:t>folat</w:t>
      </w:r>
      <w:proofErr w:type="spellEnd"/>
      <w:r w:rsidRPr="004C317F">
        <w:rPr>
          <w:sz w:val="24"/>
          <w:szCs w:val="24"/>
        </w:rPr>
        <w:t xml:space="preserve"> er i vid udstrækning plasmabundet. Det vigtigste oplagringssted for </w:t>
      </w:r>
      <w:proofErr w:type="spellStart"/>
      <w:r w:rsidRPr="004C317F">
        <w:rPr>
          <w:sz w:val="24"/>
          <w:szCs w:val="24"/>
        </w:rPr>
        <w:t>folat</w:t>
      </w:r>
      <w:proofErr w:type="spellEnd"/>
      <w:r w:rsidRPr="004C317F">
        <w:rPr>
          <w:sz w:val="24"/>
          <w:szCs w:val="24"/>
        </w:rPr>
        <w:t xml:space="preserve"> er i leveren; det koncentreres desuden i cerebrospinalvæsken. </w:t>
      </w:r>
      <w:r w:rsidRPr="004C317F">
        <w:rPr>
          <w:noProof/>
          <w:sz w:val="24"/>
          <w:szCs w:val="24"/>
        </w:rPr>
        <w:t xml:space="preserve"> </w:t>
      </w:r>
      <w:proofErr w:type="spellStart"/>
      <w:r w:rsidRPr="004C317F">
        <w:rPr>
          <w:sz w:val="24"/>
          <w:szCs w:val="24"/>
        </w:rPr>
        <w:t>Folat</w:t>
      </w:r>
      <w:proofErr w:type="spellEnd"/>
      <w:r w:rsidRPr="004C317F">
        <w:rPr>
          <w:sz w:val="24"/>
          <w:szCs w:val="24"/>
        </w:rPr>
        <w:t xml:space="preserve"> går over i modermælk.</w:t>
      </w:r>
    </w:p>
    <w:p w:rsidR="00FC7981" w:rsidRPr="004C317F" w:rsidRDefault="00FC7981" w:rsidP="00FC7981">
      <w:pPr>
        <w:numPr>
          <w:ilvl w:val="12"/>
          <w:numId w:val="0"/>
        </w:numPr>
        <w:tabs>
          <w:tab w:val="left" w:pos="851"/>
        </w:tabs>
        <w:ind w:left="851" w:right="-2"/>
        <w:rPr>
          <w:iCs/>
          <w:noProof/>
          <w:sz w:val="24"/>
          <w:szCs w:val="24"/>
        </w:rPr>
      </w:pPr>
    </w:p>
    <w:p w:rsidR="00FC7981" w:rsidRPr="004C317F" w:rsidRDefault="00FC7981" w:rsidP="00FC7981">
      <w:pPr>
        <w:numPr>
          <w:ilvl w:val="12"/>
          <w:numId w:val="0"/>
        </w:numPr>
        <w:tabs>
          <w:tab w:val="left" w:pos="851"/>
        </w:tabs>
        <w:ind w:left="851" w:right="-2"/>
        <w:rPr>
          <w:noProof/>
          <w:sz w:val="24"/>
          <w:szCs w:val="24"/>
          <w:u w:val="single"/>
        </w:rPr>
      </w:pPr>
      <w:r w:rsidRPr="004C317F">
        <w:rPr>
          <w:sz w:val="24"/>
          <w:szCs w:val="24"/>
          <w:u w:val="single"/>
        </w:rPr>
        <w:t>Biotransformation</w:t>
      </w:r>
    </w:p>
    <w:p w:rsidR="00FC7981" w:rsidRPr="004C317F" w:rsidRDefault="00FC7981" w:rsidP="00FC7981">
      <w:pPr>
        <w:numPr>
          <w:ilvl w:val="12"/>
          <w:numId w:val="0"/>
        </w:numPr>
        <w:tabs>
          <w:tab w:val="left" w:pos="851"/>
        </w:tabs>
        <w:ind w:left="851" w:right="-2"/>
        <w:rPr>
          <w:noProof/>
          <w:sz w:val="24"/>
          <w:szCs w:val="24"/>
        </w:rPr>
      </w:pPr>
      <w:r w:rsidRPr="004C317F">
        <w:rPr>
          <w:sz w:val="24"/>
          <w:szCs w:val="24"/>
        </w:rPr>
        <w:t xml:space="preserve">Terapeutisk administreret </w:t>
      </w:r>
      <w:proofErr w:type="spellStart"/>
      <w:r w:rsidRPr="004C317F">
        <w:rPr>
          <w:sz w:val="24"/>
          <w:szCs w:val="24"/>
        </w:rPr>
        <w:t>folsyre</w:t>
      </w:r>
      <w:proofErr w:type="spellEnd"/>
      <w:r w:rsidRPr="004C317F">
        <w:rPr>
          <w:sz w:val="24"/>
          <w:szCs w:val="24"/>
        </w:rPr>
        <w:t xml:space="preserve"> omdannes til den metabolisk aktive form 5-MTHF i plasma og lever.</w:t>
      </w:r>
      <w:r w:rsidRPr="004C317F">
        <w:rPr>
          <w:noProof/>
          <w:sz w:val="24"/>
          <w:szCs w:val="24"/>
        </w:rPr>
        <w:t xml:space="preserve"> </w:t>
      </w:r>
      <w:r w:rsidRPr="004C317F">
        <w:rPr>
          <w:vanish/>
          <w:sz w:val="24"/>
          <w:szCs w:val="24"/>
        </w:rPr>
        <w:t>Der er enterohepatisk cirkulation</w:t>
      </w:r>
      <w:r w:rsidRPr="004C317F">
        <w:rPr>
          <w:sz w:val="24"/>
          <w:szCs w:val="24"/>
        </w:rPr>
        <w:t xml:space="preserve"> for </w:t>
      </w:r>
      <w:proofErr w:type="spellStart"/>
      <w:r w:rsidRPr="004C317F">
        <w:rPr>
          <w:sz w:val="24"/>
          <w:szCs w:val="24"/>
        </w:rPr>
        <w:t>folat</w:t>
      </w:r>
      <w:proofErr w:type="spellEnd"/>
      <w:r w:rsidRPr="004C317F">
        <w:rPr>
          <w:sz w:val="24"/>
          <w:szCs w:val="24"/>
        </w:rPr>
        <w:t>.</w:t>
      </w:r>
    </w:p>
    <w:p w:rsidR="00FC7981" w:rsidRPr="004C317F" w:rsidRDefault="00FC7981" w:rsidP="00FC7981">
      <w:pPr>
        <w:numPr>
          <w:ilvl w:val="12"/>
          <w:numId w:val="0"/>
        </w:numPr>
        <w:tabs>
          <w:tab w:val="left" w:pos="851"/>
        </w:tabs>
        <w:ind w:left="851" w:right="-2"/>
        <w:rPr>
          <w:iCs/>
          <w:noProof/>
          <w:sz w:val="24"/>
          <w:szCs w:val="24"/>
        </w:rPr>
      </w:pPr>
    </w:p>
    <w:p w:rsidR="00FC7981" w:rsidRPr="004C317F" w:rsidRDefault="00FC7981" w:rsidP="00FC7981">
      <w:pPr>
        <w:numPr>
          <w:ilvl w:val="12"/>
          <w:numId w:val="0"/>
        </w:numPr>
        <w:tabs>
          <w:tab w:val="left" w:pos="851"/>
        </w:tabs>
        <w:ind w:left="851" w:right="-2"/>
        <w:rPr>
          <w:noProof/>
          <w:sz w:val="24"/>
          <w:szCs w:val="24"/>
          <w:u w:val="single"/>
        </w:rPr>
      </w:pPr>
      <w:r w:rsidRPr="004C317F">
        <w:rPr>
          <w:sz w:val="24"/>
          <w:szCs w:val="24"/>
          <w:u w:val="single"/>
        </w:rPr>
        <w:t>Elimination</w:t>
      </w:r>
    </w:p>
    <w:p w:rsidR="00FC7981" w:rsidRPr="00C84483" w:rsidRDefault="00FC7981" w:rsidP="00FC7981">
      <w:pPr>
        <w:numPr>
          <w:ilvl w:val="12"/>
          <w:numId w:val="0"/>
        </w:numPr>
        <w:tabs>
          <w:tab w:val="left" w:pos="851"/>
        </w:tabs>
        <w:ind w:left="851" w:right="-2"/>
        <w:rPr>
          <w:noProof/>
          <w:sz w:val="24"/>
          <w:szCs w:val="24"/>
        </w:rPr>
      </w:pPr>
      <w:r w:rsidRPr="004C317F">
        <w:rPr>
          <w:sz w:val="24"/>
          <w:szCs w:val="24"/>
        </w:rPr>
        <w:t xml:space="preserve">Metabolitterne af </w:t>
      </w:r>
      <w:proofErr w:type="spellStart"/>
      <w:r w:rsidRPr="004C317F">
        <w:rPr>
          <w:sz w:val="24"/>
          <w:szCs w:val="24"/>
        </w:rPr>
        <w:t>folat</w:t>
      </w:r>
      <w:proofErr w:type="spellEnd"/>
      <w:r w:rsidRPr="004C317F">
        <w:rPr>
          <w:sz w:val="24"/>
          <w:szCs w:val="24"/>
        </w:rPr>
        <w:t xml:space="preserve"> udskilles i urinen, og overskud af </w:t>
      </w:r>
      <w:proofErr w:type="spellStart"/>
      <w:r w:rsidRPr="004C317F">
        <w:rPr>
          <w:sz w:val="24"/>
          <w:szCs w:val="24"/>
        </w:rPr>
        <w:t>folat</w:t>
      </w:r>
      <w:proofErr w:type="spellEnd"/>
      <w:r w:rsidRPr="004C317F">
        <w:rPr>
          <w:sz w:val="24"/>
          <w:szCs w:val="24"/>
        </w:rPr>
        <w:t xml:space="preserve"> udskilles uændret i urinen.</w:t>
      </w:r>
      <w:r w:rsidRPr="004C317F">
        <w:rPr>
          <w:noProof/>
          <w:sz w:val="24"/>
          <w:szCs w:val="24"/>
        </w:rPr>
        <w:t xml:space="preserve"> F</w:t>
      </w:r>
      <w:proofErr w:type="spellStart"/>
      <w:r w:rsidRPr="004C317F">
        <w:rPr>
          <w:sz w:val="24"/>
          <w:szCs w:val="24"/>
        </w:rPr>
        <w:t>olsyre</w:t>
      </w:r>
      <w:proofErr w:type="spellEnd"/>
      <w:r w:rsidRPr="004C317F">
        <w:rPr>
          <w:sz w:val="24"/>
          <w:szCs w:val="24"/>
        </w:rPr>
        <w:t xml:space="preserve"> fjernes ved hæmodialyse</w:t>
      </w:r>
      <w:r>
        <w:rPr>
          <w:sz w:val="24"/>
          <w:szCs w:val="24"/>
        </w:rPr>
        <w: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FC7981" w:rsidRPr="004C317F" w:rsidRDefault="00FC7981" w:rsidP="00FC7981">
      <w:pPr>
        <w:tabs>
          <w:tab w:val="left" w:pos="851"/>
        </w:tabs>
        <w:ind w:left="851"/>
        <w:rPr>
          <w:sz w:val="24"/>
          <w:szCs w:val="24"/>
        </w:rPr>
      </w:pPr>
      <w:r w:rsidRPr="004C317F">
        <w:rPr>
          <w:sz w:val="24"/>
          <w:szCs w:val="24"/>
        </w:rPr>
        <w:t>I prækliniske studier blev der kun iagttaget virkninger ved doser, der anses for at være væsentligt over den maksimale humane eksponering. Disse virkninger vurderes derfor til at have ringe klinisk relevans. Der er ikke udført prækliniske undersøgelser vedrørende reproduktion og udvikling.</w:t>
      </w:r>
    </w:p>
    <w:p w:rsidR="00FC7981" w:rsidRDefault="00FC7981" w:rsidP="00FC7981">
      <w:pPr>
        <w:rPr>
          <w:sz w:val="24"/>
          <w:szCs w:val="24"/>
        </w:rPr>
      </w:pPr>
    </w:p>
    <w:p w:rsidR="00FC7981" w:rsidRDefault="00FC7981" w:rsidP="00FC7981">
      <w:pPr>
        <w:rPr>
          <w:sz w:val="24"/>
          <w:szCs w:val="24"/>
        </w:rPr>
      </w:pPr>
      <w:r>
        <w:rPr>
          <w:sz w:val="24"/>
          <w:szCs w:val="24"/>
        </w:rPr>
        <w:br w:type="page"/>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C7981" w:rsidRPr="00BA09F1"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6.1</w:t>
      </w:r>
      <w:r w:rsidRPr="00C84483">
        <w:rPr>
          <w:b/>
          <w:sz w:val="24"/>
          <w:szCs w:val="24"/>
        </w:rPr>
        <w:tab/>
        <w:t>Hjælpestoffer</w:t>
      </w:r>
    </w:p>
    <w:p w:rsidR="00FC7981" w:rsidRPr="004C317F" w:rsidRDefault="00FC7981" w:rsidP="00FC7981">
      <w:pPr>
        <w:tabs>
          <w:tab w:val="left" w:pos="851"/>
        </w:tabs>
        <w:ind w:left="851"/>
        <w:rPr>
          <w:sz w:val="24"/>
          <w:szCs w:val="24"/>
        </w:rPr>
      </w:pPr>
      <w:r w:rsidRPr="004C317F">
        <w:rPr>
          <w:sz w:val="24"/>
          <w:szCs w:val="24"/>
        </w:rPr>
        <w:t>Cellulose, mikrokrystallinsk</w:t>
      </w:r>
    </w:p>
    <w:p w:rsidR="00FC7981" w:rsidRPr="004C317F" w:rsidRDefault="00FC7981" w:rsidP="00FC7981">
      <w:pPr>
        <w:tabs>
          <w:tab w:val="left" w:pos="851"/>
        </w:tabs>
        <w:ind w:left="851"/>
        <w:rPr>
          <w:sz w:val="24"/>
          <w:szCs w:val="24"/>
        </w:rPr>
      </w:pPr>
      <w:r w:rsidRPr="004C317F">
        <w:rPr>
          <w:sz w:val="24"/>
          <w:szCs w:val="24"/>
        </w:rPr>
        <w:t xml:space="preserve">Stivelse, </w:t>
      </w:r>
      <w:proofErr w:type="spellStart"/>
      <w:r w:rsidRPr="004C317F">
        <w:rPr>
          <w:sz w:val="24"/>
          <w:szCs w:val="24"/>
        </w:rPr>
        <w:t>pr</w:t>
      </w:r>
      <w:r>
        <w:rPr>
          <w:sz w:val="24"/>
          <w:szCs w:val="24"/>
        </w:rPr>
        <w:t>e</w:t>
      </w:r>
      <w:r w:rsidRPr="004C317F">
        <w:rPr>
          <w:sz w:val="24"/>
          <w:szCs w:val="24"/>
        </w:rPr>
        <w:t>gelatineret</w:t>
      </w:r>
      <w:proofErr w:type="spellEnd"/>
    </w:p>
    <w:p w:rsidR="00FC7981" w:rsidRPr="004C317F" w:rsidRDefault="00FC7981" w:rsidP="00FC7981">
      <w:pPr>
        <w:tabs>
          <w:tab w:val="left" w:pos="851"/>
        </w:tabs>
        <w:ind w:left="851"/>
        <w:rPr>
          <w:sz w:val="24"/>
          <w:szCs w:val="24"/>
        </w:rPr>
      </w:pPr>
      <w:proofErr w:type="spellStart"/>
      <w:r w:rsidRPr="004C317F">
        <w:rPr>
          <w:sz w:val="24"/>
          <w:szCs w:val="24"/>
        </w:rPr>
        <w:t>Croscarmellosenatrium</w:t>
      </w:r>
      <w:proofErr w:type="spellEnd"/>
    </w:p>
    <w:p w:rsidR="00FC7981" w:rsidRPr="004C317F" w:rsidRDefault="00FC7981" w:rsidP="00FC7981">
      <w:pPr>
        <w:tabs>
          <w:tab w:val="left" w:pos="851"/>
        </w:tabs>
        <w:ind w:left="851"/>
        <w:rPr>
          <w:sz w:val="24"/>
          <w:szCs w:val="24"/>
        </w:rPr>
      </w:pPr>
      <w:proofErr w:type="spellStart"/>
      <w:r w:rsidRPr="004C317F">
        <w:rPr>
          <w:sz w:val="24"/>
          <w:szCs w:val="24"/>
        </w:rPr>
        <w:t>Natriumascorbat</w:t>
      </w:r>
      <w:proofErr w:type="spellEnd"/>
    </w:p>
    <w:p w:rsidR="00FC7981" w:rsidRPr="004C317F" w:rsidRDefault="00FC7981" w:rsidP="00FC7981">
      <w:pPr>
        <w:tabs>
          <w:tab w:val="left" w:pos="851"/>
        </w:tabs>
        <w:ind w:left="851"/>
        <w:rPr>
          <w:sz w:val="24"/>
          <w:szCs w:val="24"/>
        </w:rPr>
      </w:pPr>
      <w:proofErr w:type="spellStart"/>
      <w:r w:rsidRPr="004C317F">
        <w:rPr>
          <w:sz w:val="24"/>
          <w:szCs w:val="24"/>
        </w:rPr>
        <w:t>Silica</w:t>
      </w:r>
      <w:proofErr w:type="spellEnd"/>
      <w:r w:rsidRPr="004C317F">
        <w:rPr>
          <w:sz w:val="24"/>
          <w:szCs w:val="24"/>
        </w:rPr>
        <w:t>, kolloid vandfri</w:t>
      </w:r>
    </w:p>
    <w:p w:rsidR="00FC7981" w:rsidRPr="004C317F" w:rsidRDefault="00FC7981" w:rsidP="00FC7981">
      <w:pPr>
        <w:tabs>
          <w:tab w:val="left" w:pos="851"/>
        </w:tabs>
        <w:ind w:left="851"/>
        <w:rPr>
          <w:i/>
          <w:sz w:val="24"/>
          <w:szCs w:val="24"/>
        </w:rPr>
      </w:pPr>
      <w:proofErr w:type="spellStart"/>
      <w:r w:rsidRPr="004C317F">
        <w:rPr>
          <w:sz w:val="24"/>
          <w:szCs w:val="24"/>
        </w:rPr>
        <w:t>Magnesiumstearat</w:t>
      </w:r>
      <w:proofErr w:type="spellEnd"/>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6.2</w:t>
      </w:r>
      <w:r w:rsidRPr="00C84483">
        <w:rPr>
          <w:b/>
          <w:sz w:val="24"/>
          <w:szCs w:val="24"/>
        </w:rPr>
        <w:tab/>
        <w:t>Uforligeligheder</w:t>
      </w:r>
    </w:p>
    <w:p w:rsidR="00FC7981" w:rsidRPr="00C84483" w:rsidRDefault="00FC7981" w:rsidP="00FC7981">
      <w:pPr>
        <w:tabs>
          <w:tab w:val="left" w:pos="851"/>
        </w:tabs>
        <w:ind w:left="851"/>
        <w:rPr>
          <w:sz w:val="24"/>
          <w:szCs w:val="24"/>
        </w:rPr>
      </w:pPr>
      <w:r>
        <w:rPr>
          <w:sz w:val="24"/>
          <w:szCs w:val="24"/>
        </w:rPr>
        <w:t>Ikke relevant.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6.3</w:t>
      </w:r>
      <w:r w:rsidRPr="00C84483">
        <w:rPr>
          <w:b/>
          <w:sz w:val="24"/>
          <w:szCs w:val="24"/>
        </w:rPr>
        <w:tab/>
        <w:t>Opbevaringstid</w:t>
      </w:r>
    </w:p>
    <w:p w:rsidR="00FC7981" w:rsidRPr="00C84483" w:rsidRDefault="00FC7981" w:rsidP="00FC7981">
      <w:pPr>
        <w:tabs>
          <w:tab w:val="left" w:pos="851"/>
        </w:tabs>
        <w:ind w:left="851" w:hanging="851"/>
        <w:rPr>
          <w:sz w:val="24"/>
          <w:szCs w:val="24"/>
        </w:rPr>
      </w:pPr>
      <w:r w:rsidRPr="00C84483">
        <w:rPr>
          <w:sz w:val="24"/>
          <w:szCs w:val="24"/>
        </w:rPr>
        <w:tab/>
      </w:r>
      <w:r w:rsidR="001A2B25">
        <w:rPr>
          <w:sz w:val="24"/>
          <w:szCs w:val="24"/>
        </w:rPr>
        <w:t>4</w:t>
      </w:r>
      <w:r>
        <w:rPr>
          <w:sz w:val="24"/>
          <w:szCs w:val="24"/>
        </w:rPr>
        <w:t xml:space="preserve"> år.</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C7981" w:rsidRPr="00C84483" w:rsidRDefault="00FC7981" w:rsidP="00FC7981">
      <w:pPr>
        <w:tabs>
          <w:tab w:val="left" w:pos="851"/>
        </w:tabs>
        <w:ind w:left="851"/>
        <w:rPr>
          <w:noProof/>
          <w:sz w:val="24"/>
          <w:szCs w:val="24"/>
        </w:rPr>
      </w:pPr>
      <w:r w:rsidRPr="004C317F">
        <w:rPr>
          <w:sz w:val="24"/>
          <w:szCs w:val="24"/>
        </w:rPr>
        <w:t>Opbevares i den originale yderpakning for at beskytte mod lys.</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FC7981" w:rsidRDefault="00FC7981" w:rsidP="00FC7981">
      <w:pPr>
        <w:tabs>
          <w:tab w:val="left" w:pos="851"/>
        </w:tabs>
        <w:ind w:left="851"/>
        <w:rPr>
          <w:sz w:val="24"/>
          <w:szCs w:val="24"/>
        </w:rPr>
      </w:pPr>
    </w:p>
    <w:p w:rsidR="00FC7981" w:rsidRPr="00B9668E" w:rsidRDefault="00FC7981" w:rsidP="00FC7981">
      <w:pPr>
        <w:tabs>
          <w:tab w:val="left" w:pos="851"/>
        </w:tabs>
        <w:ind w:left="851"/>
        <w:rPr>
          <w:sz w:val="24"/>
          <w:szCs w:val="24"/>
          <w:u w:val="single"/>
        </w:rPr>
      </w:pPr>
      <w:r w:rsidRPr="00B9668E">
        <w:rPr>
          <w:sz w:val="24"/>
          <w:szCs w:val="24"/>
          <w:u w:val="single"/>
        </w:rPr>
        <w:t>PVC/</w:t>
      </w:r>
      <w:proofErr w:type="spellStart"/>
      <w:r w:rsidRPr="00B9668E">
        <w:rPr>
          <w:sz w:val="24"/>
          <w:szCs w:val="24"/>
          <w:u w:val="single"/>
        </w:rPr>
        <w:t>PVdC</w:t>
      </w:r>
      <w:proofErr w:type="spellEnd"/>
      <w:r w:rsidRPr="00B9668E">
        <w:rPr>
          <w:sz w:val="24"/>
          <w:szCs w:val="24"/>
          <w:u w:val="single"/>
        </w:rPr>
        <w:t>/Al-blister</w:t>
      </w:r>
    </w:p>
    <w:p w:rsidR="00FC7981" w:rsidRDefault="00FC7981" w:rsidP="00FC7981">
      <w:pPr>
        <w:tabs>
          <w:tab w:val="left" w:pos="851"/>
        </w:tabs>
        <w:ind w:left="851"/>
        <w:rPr>
          <w:sz w:val="24"/>
          <w:szCs w:val="24"/>
        </w:rPr>
      </w:pPr>
      <w:r>
        <w:rPr>
          <w:sz w:val="24"/>
          <w:szCs w:val="24"/>
        </w:rPr>
        <w:t>Pakningsstørrelser: 30, 50 og 100 stk.</w:t>
      </w:r>
    </w:p>
    <w:p w:rsidR="00FC7981" w:rsidRDefault="00FC7981" w:rsidP="00FC7981">
      <w:pPr>
        <w:tabs>
          <w:tab w:val="left" w:pos="851"/>
        </w:tabs>
        <w:ind w:left="851"/>
        <w:rPr>
          <w:sz w:val="24"/>
          <w:szCs w:val="24"/>
        </w:rPr>
      </w:pPr>
    </w:p>
    <w:p w:rsidR="00FC7981" w:rsidRPr="00B9668E" w:rsidRDefault="00FC7981" w:rsidP="00FC7981">
      <w:pPr>
        <w:tabs>
          <w:tab w:val="left" w:pos="851"/>
        </w:tabs>
        <w:ind w:left="851"/>
        <w:rPr>
          <w:sz w:val="24"/>
          <w:szCs w:val="24"/>
          <w:highlight w:val="yellow"/>
          <w:u w:val="single"/>
        </w:rPr>
      </w:pPr>
      <w:r w:rsidRPr="00B9668E">
        <w:rPr>
          <w:sz w:val="24"/>
          <w:szCs w:val="24"/>
          <w:u w:val="single"/>
        </w:rPr>
        <w:t xml:space="preserve">Beholder af </w:t>
      </w:r>
      <w:proofErr w:type="gramStart"/>
      <w:r w:rsidRPr="00B9668E">
        <w:rPr>
          <w:sz w:val="24"/>
          <w:szCs w:val="24"/>
          <w:u w:val="single"/>
        </w:rPr>
        <w:t>HDPE plast</w:t>
      </w:r>
      <w:proofErr w:type="gramEnd"/>
      <w:r w:rsidRPr="00B9668E">
        <w:rPr>
          <w:sz w:val="24"/>
          <w:szCs w:val="24"/>
          <w:u w:val="single"/>
        </w:rPr>
        <w:t xml:space="preserve"> med låg af LDPE-plast</w:t>
      </w:r>
    </w:p>
    <w:p w:rsidR="00FC7981" w:rsidRDefault="00FC7981" w:rsidP="00FC7981">
      <w:pPr>
        <w:tabs>
          <w:tab w:val="left" w:pos="851"/>
        </w:tabs>
        <w:ind w:left="851"/>
        <w:rPr>
          <w:sz w:val="24"/>
          <w:szCs w:val="24"/>
        </w:rPr>
      </w:pPr>
      <w:r w:rsidRPr="004C317F">
        <w:rPr>
          <w:sz w:val="24"/>
          <w:szCs w:val="24"/>
        </w:rPr>
        <w:t xml:space="preserve">30, 50 og 100 </w:t>
      </w:r>
      <w:r>
        <w:rPr>
          <w:sz w:val="24"/>
          <w:szCs w:val="24"/>
        </w:rPr>
        <w:t>stk.</w:t>
      </w:r>
    </w:p>
    <w:p w:rsidR="00FC7981" w:rsidRPr="004C317F" w:rsidRDefault="00FC7981" w:rsidP="00FC7981">
      <w:pPr>
        <w:tabs>
          <w:tab w:val="left" w:pos="851"/>
        </w:tabs>
        <w:ind w:left="851"/>
        <w:rPr>
          <w:sz w:val="24"/>
          <w:szCs w:val="24"/>
        </w:rPr>
      </w:pPr>
      <w:r>
        <w:rPr>
          <w:sz w:val="24"/>
          <w:szCs w:val="24"/>
        </w:rPr>
        <w:t xml:space="preserve"> </w:t>
      </w:r>
    </w:p>
    <w:p w:rsidR="00FC7981" w:rsidRPr="004C317F" w:rsidRDefault="00FC7981" w:rsidP="00FC7981">
      <w:pPr>
        <w:tabs>
          <w:tab w:val="left" w:pos="851"/>
        </w:tabs>
        <w:ind w:left="851"/>
        <w:rPr>
          <w:sz w:val="24"/>
          <w:szCs w:val="24"/>
        </w:rPr>
      </w:pPr>
      <w:r w:rsidRPr="004C317F">
        <w:rPr>
          <w:sz w:val="24"/>
          <w:szCs w:val="24"/>
        </w:rPr>
        <w:t>Ikke alle pakningsstørrelser er nødvendigvis markedsført.</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FC7981" w:rsidRPr="00C84483" w:rsidRDefault="00FC7981" w:rsidP="00FC7981">
      <w:pPr>
        <w:tabs>
          <w:tab w:val="left" w:pos="851"/>
        </w:tabs>
        <w:ind w:left="851"/>
        <w:rPr>
          <w:sz w:val="24"/>
          <w:szCs w:val="24"/>
        </w:rPr>
      </w:pPr>
      <w:r w:rsidRPr="004C317F">
        <w:rPr>
          <w:sz w:val="24"/>
          <w:szCs w:val="24"/>
        </w:rPr>
        <w:t>Ikke anvendt lægemiddel samt affald heraf skal bortskaffes i henhold til lokale retningslinjer.</w:t>
      </w:r>
    </w:p>
    <w:p w:rsidR="00FC7981" w:rsidRPr="00C84483" w:rsidRDefault="00FC7981" w:rsidP="00FC7981">
      <w:pPr>
        <w:tabs>
          <w:tab w:val="left" w:pos="851"/>
        </w:tabs>
        <w:ind w:left="851"/>
        <w:jc w:val="both"/>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C7981" w:rsidRPr="004C317F" w:rsidRDefault="00FC7981" w:rsidP="00FC7981">
      <w:pPr>
        <w:tabs>
          <w:tab w:val="left" w:pos="851"/>
        </w:tabs>
        <w:ind w:left="851"/>
        <w:rPr>
          <w:noProof/>
          <w:sz w:val="24"/>
          <w:szCs w:val="24"/>
        </w:rPr>
      </w:pPr>
      <w:proofErr w:type="spellStart"/>
      <w:r w:rsidRPr="004C317F">
        <w:rPr>
          <w:sz w:val="24"/>
          <w:szCs w:val="24"/>
        </w:rPr>
        <w:t>Vitabalans</w:t>
      </w:r>
      <w:proofErr w:type="spellEnd"/>
      <w:r w:rsidRPr="004C317F">
        <w:rPr>
          <w:sz w:val="24"/>
          <w:szCs w:val="24"/>
        </w:rPr>
        <w:t xml:space="preserve"> </w:t>
      </w:r>
      <w:proofErr w:type="spellStart"/>
      <w:r w:rsidRPr="004C317F">
        <w:rPr>
          <w:sz w:val="24"/>
          <w:szCs w:val="24"/>
        </w:rPr>
        <w:t>Oy</w:t>
      </w:r>
      <w:proofErr w:type="spellEnd"/>
    </w:p>
    <w:p w:rsidR="00FC7981" w:rsidRPr="004C317F" w:rsidRDefault="00FC7981" w:rsidP="00FC7981">
      <w:pPr>
        <w:tabs>
          <w:tab w:val="left" w:pos="851"/>
        </w:tabs>
        <w:ind w:left="851"/>
        <w:rPr>
          <w:noProof/>
          <w:sz w:val="24"/>
          <w:szCs w:val="24"/>
        </w:rPr>
      </w:pPr>
      <w:proofErr w:type="spellStart"/>
      <w:r w:rsidRPr="004C317F">
        <w:rPr>
          <w:sz w:val="24"/>
          <w:szCs w:val="24"/>
        </w:rPr>
        <w:t>Varastokatu</w:t>
      </w:r>
      <w:proofErr w:type="spellEnd"/>
      <w:r w:rsidRPr="004C317F">
        <w:rPr>
          <w:sz w:val="24"/>
          <w:szCs w:val="24"/>
        </w:rPr>
        <w:t xml:space="preserve"> 8</w:t>
      </w:r>
    </w:p>
    <w:p w:rsidR="00FC7981" w:rsidRPr="004C317F" w:rsidRDefault="00FC7981" w:rsidP="00FC7981">
      <w:pPr>
        <w:tabs>
          <w:tab w:val="left" w:pos="851"/>
        </w:tabs>
        <w:ind w:left="851"/>
        <w:rPr>
          <w:noProof/>
          <w:sz w:val="24"/>
          <w:szCs w:val="24"/>
        </w:rPr>
      </w:pPr>
      <w:r w:rsidRPr="004C317F">
        <w:rPr>
          <w:sz w:val="24"/>
          <w:szCs w:val="24"/>
        </w:rPr>
        <w:t xml:space="preserve">FI-13500 </w:t>
      </w:r>
      <w:proofErr w:type="spellStart"/>
      <w:r w:rsidRPr="004C317F">
        <w:rPr>
          <w:sz w:val="24"/>
          <w:szCs w:val="24"/>
        </w:rPr>
        <w:t>Hämeenlinna</w:t>
      </w:r>
      <w:proofErr w:type="spellEnd"/>
      <w:r>
        <w:rPr>
          <w:sz w:val="24"/>
          <w:szCs w:val="24"/>
        </w:rPr>
        <w:t>, Kante-</w:t>
      </w:r>
      <w:proofErr w:type="spellStart"/>
      <w:r>
        <w:rPr>
          <w:sz w:val="24"/>
          <w:szCs w:val="24"/>
        </w:rPr>
        <w:t>Hame</w:t>
      </w:r>
      <w:proofErr w:type="spellEnd"/>
    </w:p>
    <w:p w:rsidR="00FC7981" w:rsidRPr="00C84483" w:rsidRDefault="00FC7981" w:rsidP="00FC7981">
      <w:pPr>
        <w:tabs>
          <w:tab w:val="left" w:pos="851"/>
        </w:tabs>
        <w:ind w:left="851"/>
        <w:rPr>
          <w:noProof/>
          <w:sz w:val="24"/>
          <w:szCs w:val="24"/>
        </w:rPr>
      </w:pPr>
      <w:r>
        <w:rPr>
          <w:sz w:val="24"/>
          <w:szCs w:val="24"/>
        </w:rPr>
        <w:t>Finland</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FC7981" w:rsidRPr="00C84483" w:rsidRDefault="00FC7981" w:rsidP="00FC7981">
      <w:pPr>
        <w:tabs>
          <w:tab w:val="left" w:pos="851"/>
        </w:tabs>
        <w:ind w:left="851"/>
        <w:rPr>
          <w:sz w:val="24"/>
          <w:szCs w:val="24"/>
        </w:rPr>
      </w:pPr>
      <w:r>
        <w:rPr>
          <w:sz w:val="24"/>
          <w:szCs w:val="24"/>
        </w:rPr>
        <w:t>60655</w:t>
      </w:r>
    </w:p>
    <w:p w:rsidR="00FC7981" w:rsidRPr="00C84483" w:rsidRDefault="00FC7981" w:rsidP="00FC7981">
      <w:pPr>
        <w:tabs>
          <w:tab w:val="left" w:pos="851"/>
        </w:tabs>
        <w:ind w:left="851"/>
        <w:jc w:val="both"/>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9.</w:t>
      </w:r>
      <w:r w:rsidRPr="00C84483">
        <w:rPr>
          <w:b/>
          <w:sz w:val="24"/>
          <w:szCs w:val="24"/>
        </w:rPr>
        <w:tab/>
        <w:t>DATO FOR FØRSTE MARKEDSFØRINGSTI</w:t>
      </w:r>
      <w:bookmarkStart w:id="0" w:name="_GoBack"/>
      <w:bookmarkEnd w:id="0"/>
      <w:r w:rsidRPr="00C84483">
        <w:rPr>
          <w:b/>
          <w:sz w:val="24"/>
          <w:szCs w:val="24"/>
        </w:rPr>
        <w:t>LLADELSE</w:t>
      </w:r>
    </w:p>
    <w:p w:rsidR="00FC7981" w:rsidRPr="00C84483" w:rsidRDefault="00FC7981" w:rsidP="00FC7981">
      <w:pPr>
        <w:tabs>
          <w:tab w:val="left" w:pos="851"/>
        </w:tabs>
        <w:ind w:left="851"/>
        <w:rPr>
          <w:sz w:val="24"/>
          <w:szCs w:val="24"/>
        </w:rPr>
      </w:pPr>
      <w:r>
        <w:rPr>
          <w:sz w:val="24"/>
          <w:szCs w:val="24"/>
        </w:rPr>
        <w:t>19. februar 2019</w:t>
      </w:r>
    </w:p>
    <w:p w:rsidR="00FC7981" w:rsidRPr="00C84483" w:rsidRDefault="00FC7981" w:rsidP="00FC7981">
      <w:pPr>
        <w:tabs>
          <w:tab w:val="left" w:pos="851"/>
        </w:tabs>
        <w:ind w:left="851"/>
        <w:rPr>
          <w:sz w:val="24"/>
          <w:szCs w:val="24"/>
        </w:rPr>
      </w:pPr>
    </w:p>
    <w:p w:rsidR="00FC7981" w:rsidRPr="00C84483" w:rsidRDefault="00FC7981" w:rsidP="00FC798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C7981" w:rsidRPr="00C84483" w:rsidRDefault="001A2B25" w:rsidP="00FC7981">
      <w:pPr>
        <w:tabs>
          <w:tab w:val="left" w:pos="851"/>
        </w:tabs>
        <w:ind w:left="851"/>
        <w:rPr>
          <w:sz w:val="24"/>
          <w:szCs w:val="24"/>
        </w:rPr>
      </w:pPr>
      <w:r>
        <w:rPr>
          <w:sz w:val="24"/>
          <w:szCs w:val="24"/>
        </w:rPr>
        <w:t>12. marts 2021</w:t>
      </w:r>
    </w:p>
    <w:p w:rsidR="00FC7981" w:rsidRPr="004F2062" w:rsidRDefault="00FC7981" w:rsidP="00FC7981"/>
    <w:p w:rsidR="00FC7981" w:rsidRPr="00E406DE" w:rsidRDefault="00FC7981" w:rsidP="00FC7981"/>
    <w:p w:rsidR="009260DE" w:rsidRPr="00FC7981" w:rsidRDefault="009260DE" w:rsidP="00FC7981"/>
    <w:sectPr w:rsidR="009260DE" w:rsidRPr="00FC798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981" w:rsidRDefault="00FC7981">
      <w:r>
        <w:separator/>
      </w:r>
    </w:p>
  </w:endnote>
  <w:endnote w:type="continuationSeparator" w:id="0">
    <w:p w:rsidR="00FC7981" w:rsidRDefault="00FC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A2B25">
      <w:rPr>
        <w:i/>
        <w:noProof/>
        <w:sz w:val="18"/>
        <w:szCs w:val="18"/>
      </w:rPr>
      <w:t>Folsyre Vitabalans,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981" w:rsidRDefault="00FC7981">
      <w:r>
        <w:separator/>
      </w:r>
    </w:p>
  </w:footnote>
  <w:footnote w:type="continuationSeparator" w:id="0">
    <w:p w:rsidR="00FC7981" w:rsidRDefault="00FC7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173250"/>
    <w:multiLevelType w:val="hybridMultilevel"/>
    <w:tmpl w:val="B8B44BC8"/>
    <w:lvl w:ilvl="0" w:tplc="FFFFFFFF">
      <w:start w:val="1"/>
      <w:numFmt w:val="bullet"/>
      <w:lvlText w:val="-"/>
      <w:lvlJc w:val="left"/>
      <w:pPr>
        <w:ind w:left="720" w:hanging="360"/>
      </w:p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81"/>
    <w:rsid w:val="000259B9"/>
    <w:rsid w:val="00041491"/>
    <w:rsid w:val="00050D16"/>
    <w:rsid w:val="00074F2A"/>
    <w:rsid w:val="000A1CA8"/>
    <w:rsid w:val="000A466B"/>
    <w:rsid w:val="000B058C"/>
    <w:rsid w:val="000E4EE6"/>
    <w:rsid w:val="001454E2"/>
    <w:rsid w:val="001A2B25"/>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A39B4"/>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C7981"/>
    <w:rsid w:val="00FD4D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C8B185"/>
  <w15:chartTrackingRefBased/>
  <w15:docId w15:val="{B5FB2472-CCE0-4BE3-8874-DC31BD50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C7981"/>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TotalTime>
  <Pages>5</Pages>
  <Words>1078</Words>
  <Characters>7152</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cems@dkma.dk</dc:creator>
  <cp:keywords/>
  <dc:description>2021012961 spc. pkt.  6.3 fra 2 til 4 år</dc:description>
  <cp:lastModifiedBy>Cecilie-Mathilde Sørensen</cp:lastModifiedBy>
  <cp:revision>2</cp:revision>
  <cp:lastPrinted>2012-08-22T08:53:00Z</cp:lastPrinted>
  <dcterms:created xsi:type="dcterms:W3CDTF">2021-03-12T11:47:00Z</dcterms:created>
  <dcterms:modified xsi:type="dcterms:W3CDTF">2021-03-12T11:47:00Z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