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2113" w14:textId="77777777" w:rsidR="009260DE" w:rsidRPr="00EC314E" w:rsidRDefault="0021526C" w:rsidP="009260DE">
      <w:pPr>
        <w:rPr>
          <w:sz w:val="24"/>
          <w:szCs w:val="24"/>
        </w:rPr>
      </w:pPr>
      <w:r w:rsidRPr="00EC314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5C2F3A1" wp14:editId="23092A2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C314E">
        <w:rPr>
          <w:sz w:val="24"/>
          <w:szCs w:val="24"/>
        </w:rPr>
        <w:br w:type="textWrapping" w:clear="all"/>
      </w:r>
    </w:p>
    <w:p w14:paraId="1054C3E8" w14:textId="6EE62BE7" w:rsidR="009260DE" w:rsidRPr="00EC314E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C314E">
        <w:rPr>
          <w:b w:val="0"/>
          <w:szCs w:val="24"/>
          <w:lang w:eastAsia="en-US"/>
        </w:rPr>
        <w:tab/>
      </w:r>
      <w:r w:rsidR="006B4C47">
        <w:rPr>
          <w:szCs w:val="24"/>
        </w:rPr>
        <w:t>21. november 2024</w:t>
      </w:r>
    </w:p>
    <w:p w14:paraId="1EEC4D43" w14:textId="77777777" w:rsidR="009260DE" w:rsidRPr="00EC314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A5CBCBC" w14:textId="4D6E9238" w:rsidR="009260DE" w:rsidRPr="00EC314E" w:rsidRDefault="009260DE" w:rsidP="009260DE">
      <w:pPr>
        <w:pStyle w:val="Titel"/>
        <w:jc w:val="left"/>
        <w:rPr>
          <w:b w:val="0"/>
          <w:szCs w:val="24"/>
        </w:rPr>
      </w:pPr>
    </w:p>
    <w:p w14:paraId="02C15763" w14:textId="77777777" w:rsidR="009260DE" w:rsidRPr="00EC314E" w:rsidRDefault="009260DE" w:rsidP="009260DE">
      <w:pPr>
        <w:pStyle w:val="Titel"/>
        <w:jc w:val="left"/>
        <w:rPr>
          <w:b w:val="0"/>
          <w:szCs w:val="24"/>
        </w:rPr>
      </w:pPr>
    </w:p>
    <w:p w14:paraId="4E421155" w14:textId="77777777" w:rsidR="009260DE" w:rsidRPr="00EC314E" w:rsidRDefault="009260DE" w:rsidP="009260DE">
      <w:pPr>
        <w:jc w:val="center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PRODUKTRESUMÉ</w:t>
      </w:r>
    </w:p>
    <w:p w14:paraId="579FD5B4" w14:textId="77777777" w:rsidR="009260DE" w:rsidRPr="00EC314E" w:rsidRDefault="009260DE" w:rsidP="009260DE">
      <w:pPr>
        <w:jc w:val="center"/>
        <w:rPr>
          <w:b/>
          <w:sz w:val="24"/>
          <w:szCs w:val="24"/>
        </w:rPr>
      </w:pPr>
    </w:p>
    <w:p w14:paraId="29D6337B" w14:textId="77777777" w:rsidR="009260DE" w:rsidRPr="00EC314E" w:rsidRDefault="009260DE" w:rsidP="009260DE">
      <w:pPr>
        <w:jc w:val="center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for</w:t>
      </w:r>
    </w:p>
    <w:p w14:paraId="1981CE67" w14:textId="77777777" w:rsidR="000B058C" w:rsidRPr="00EC314E" w:rsidRDefault="000B058C" w:rsidP="009260DE">
      <w:pPr>
        <w:jc w:val="center"/>
        <w:rPr>
          <w:b/>
          <w:sz w:val="24"/>
          <w:szCs w:val="24"/>
        </w:rPr>
      </w:pPr>
    </w:p>
    <w:p w14:paraId="23D7FB4B" w14:textId="563060AA" w:rsidR="009260DE" w:rsidRPr="00EC314E" w:rsidRDefault="002613E2" w:rsidP="009260DE">
      <w:pPr>
        <w:jc w:val="center"/>
        <w:rPr>
          <w:b/>
          <w:sz w:val="24"/>
          <w:szCs w:val="24"/>
        </w:rPr>
      </w:pPr>
      <w:proofErr w:type="spellStart"/>
      <w:r w:rsidRPr="00EC314E">
        <w:rPr>
          <w:b/>
          <w:sz w:val="24"/>
          <w:szCs w:val="24"/>
        </w:rPr>
        <w:t>Foragen</w:t>
      </w:r>
      <w:proofErr w:type="spellEnd"/>
      <w:r w:rsidRPr="00EC314E">
        <w:rPr>
          <w:b/>
          <w:sz w:val="24"/>
          <w:szCs w:val="24"/>
        </w:rPr>
        <w:t>, hårde kapsler med modificeret udløsning</w:t>
      </w:r>
    </w:p>
    <w:p w14:paraId="2FD036BA" w14:textId="77777777" w:rsidR="009260DE" w:rsidRPr="00EC314E" w:rsidRDefault="009260DE" w:rsidP="009260DE">
      <w:pPr>
        <w:jc w:val="both"/>
        <w:rPr>
          <w:sz w:val="24"/>
          <w:szCs w:val="24"/>
        </w:rPr>
      </w:pPr>
    </w:p>
    <w:p w14:paraId="61D0462D" w14:textId="77777777" w:rsidR="009260DE" w:rsidRPr="00EC314E" w:rsidRDefault="009260DE" w:rsidP="009260DE">
      <w:pPr>
        <w:jc w:val="both"/>
        <w:rPr>
          <w:sz w:val="24"/>
          <w:szCs w:val="24"/>
        </w:rPr>
      </w:pPr>
    </w:p>
    <w:p w14:paraId="0E210691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0.</w:t>
      </w:r>
      <w:r w:rsidRPr="00EC314E">
        <w:rPr>
          <w:b/>
          <w:sz w:val="24"/>
          <w:szCs w:val="24"/>
        </w:rPr>
        <w:tab/>
        <w:t>D.SP.NR.</w:t>
      </w:r>
    </w:p>
    <w:p w14:paraId="24059077" w14:textId="139DF862" w:rsidR="009260DE" w:rsidRPr="00EC314E" w:rsidRDefault="002613E2" w:rsidP="009260DE">
      <w:pPr>
        <w:tabs>
          <w:tab w:val="left" w:pos="851"/>
        </w:tabs>
        <w:ind w:left="851"/>
        <w:rPr>
          <w:sz w:val="24"/>
          <w:szCs w:val="24"/>
        </w:rPr>
      </w:pPr>
      <w:r w:rsidRPr="00EC314E">
        <w:rPr>
          <w:sz w:val="24"/>
          <w:szCs w:val="24"/>
        </w:rPr>
        <w:t>32998</w:t>
      </w:r>
    </w:p>
    <w:p w14:paraId="0483EA05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B56B8D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1.</w:t>
      </w:r>
      <w:r w:rsidRPr="00EC314E">
        <w:rPr>
          <w:b/>
          <w:sz w:val="24"/>
          <w:szCs w:val="24"/>
        </w:rPr>
        <w:tab/>
        <w:t>LÆGEMIDLETS NAVN</w:t>
      </w:r>
    </w:p>
    <w:p w14:paraId="71EBE0BA" w14:textId="616B2C30" w:rsidR="009260DE" w:rsidRPr="00EC314E" w:rsidRDefault="002613E2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</w:p>
    <w:p w14:paraId="01193DFA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6B63C8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2.</w:t>
      </w:r>
      <w:r w:rsidRPr="00EC314E">
        <w:rPr>
          <w:b/>
          <w:sz w:val="24"/>
          <w:szCs w:val="24"/>
        </w:rPr>
        <w:tab/>
        <w:t>KVALITATIV OG KVANTITATIV SAMMENSÆTNING</w:t>
      </w:r>
    </w:p>
    <w:p w14:paraId="280E8A9F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Hver hård kapsel med modificeret udløsning indeholder 100 mg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.</w:t>
      </w:r>
    </w:p>
    <w:p w14:paraId="72DFBFD4" w14:textId="50E8ABDC" w:rsidR="009260DE" w:rsidRPr="00EC314E" w:rsidRDefault="009260DE" w:rsidP="00D7210B">
      <w:pPr>
        <w:ind w:left="851"/>
        <w:rPr>
          <w:sz w:val="24"/>
          <w:szCs w:val="24"/>
        </w:rPr>
      </w:pPr>
    </w:p>
    <w:p w14:paraId="33A9B731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Hjælpestoffer, som behandleren skal være opmærksom på:</w:t>
      </w:r>
    </w:p>
    <w:p w14:paraId="10E5B2B6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En kapsel indeholder 74 mg </w:t>
      </w:r>
      <w:proofErr w:type="spellStart"/>
      <w:r w:rsidRPr="00EC314E">
        <w:rPr>
          <w:sz w:val="24"/>
          <w:szCs w:val="24"/>
        </w:rPr>
        <w:t>lactose</w:t>
      </w:r>
      <w:proofErr w:type="spellEnd"/>
      <w:r w:rsidRPr="00EC314E">
        <w:rPr>
          <w:sz w:val="24"/>
          <w:szCs w:val="24"/>
        </w:rPr>
        <w:t xml:space="preserve"> og 33 mg </w:t>
      </w:r>
      <w:proofErr w:type="spellStart"/>
      <w:r w:rsidRPr="00EC314E">
        <w:rPr>
          <w:sz w:val="24"/>
          <w:szCs w:val="24"/>
        </w:rPr>
        <w:t>saccharose</w:t>
      </w:r>
      <w:proofErr w:type="spellEnd"/>
      <w:r w:rsidRPr="00EC314E">
        <w:rPr>
          <w:sz w:val="24"/>
          <w:szCs w:val="24"/>
        </w:rPr>
        <w:t>.</w:t>
      </w:r>
    </w:p>
    <w:p w14:paraId="0915F64F" w14:textId="5705B6C6" w:rsidR="00965F7B" w:rsidRPr="00EC314E" w:rsidRDefault="00965F7B" w:rsidP="00D7210B">
      <w:pPr>
        <w:ind w:left="851"/>
        <w:rPr>
          <w:sz w:val="24"/>
          <w:szCs w:val="24"/>
        </w:rPr>
      </w:pPr>
    </w:p>
    <w:p w14:paraId="6E8F6D30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Alle hjælpestoffer er anført under pkt. 6.1.</w:t>
      </w:r>
    </w:p>
    <w:p w14:paraId="0CCF1AF6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49F50F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3.</w:t>
      </w:r>
      <w:r w:rsidRPr="00EC314E">
        <w:rPr>
          <w:b/>
          <w:sz w:val="24"/>
          <w:szCs w:val="24"/>
        </w:rPr>
        <w:tab/>
        <w:t>LÆGEMIDDELFORM</w:t>
      </w:r>
    </w:p>
    <w:p w14:paraId="5570C575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Hårde kapsler med modificeret udløsning</w:t>
      </w:r>
    </w:p>
    <w:p w14:paraId="304B01F0" w14:textId="6253F79D" w:rsidR="009260DE" w:rsidRPr="00EC314E" w:rsidRDefault="009260DE" w:rsidP="00D7210B">
      <w:pPr>
        <w:ind w:left="851"/>
        <w:rPr>
          <w:sz w:val="24"/>
          <w:szCs w:val="24"/>
        </w:rPr>
      </w:pPr>
    </w:p>
    <w:p w14:paraId="4D6BAC1D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Hver kapsel er 19,4 mm lang og 6,9 mm bred og har en blå uigennemsigtig hætte med “NTRF” præget med hvid trykfarve og en gul uigennemsigtig underdel.</w:t>
      </w:r>
    </w:p>
    <w:p w14:paraId="48962496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0672E5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72A450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</w:t>
      </w:r>
      <w:r w:rsidRPr="00EC314E">
        <w:rPr>
          <w:b/>
          <w:sz w:val="24"/>
          <w:szCs w:val="24"/>
        </w:rPr>
        <w:tab/>
        <w:t>KLINISKE OPLYSNINGER</w:t>
      </w:r>
    </w:p>
    <w:p w14:paraId="6E168B31" w14:textId="77777777" w:rsidR="009260DE" w:rsidRPr="00EC314E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1E6D9D9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C314E">
        <w:rPr>
          <w:b/>
          <w:sz w:val="24"/>
          <w:szCs w:val="24"/>
        </w:rPr>
        <w:t>4.1</w:t>
      </w:r>
      <w:r w:rsidRPr="00EC314E">
        <w:rPr>
          <w:b/>
          <w:sz w:val="24"/>
          <w:szCs w:val="24"/>
        </w:rPr>
        <w:tab/>
        <w:t>Terapeutiske indikationer</w:t>
      </w:r>
    </w:p>
    <w:p w14:paraId="613BD8B4" w14:textId="77777777" w:rsidR="00965F7B" w:rsidRPr="00EC314E" w:rsidRDefault="00965F7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er indiceret til brug hos voksne samt børn fra 12 år til behandling af akutte ukomplicerede nedre urinvejsinfektioner forårsaget af </w:t>
      </w:r>
      <w:proofErr w:type="spellStart"/>
      <w:r w:rsidRPr="00EC314E">
        <w:rPr>
          <w:sz w:val="24"/>
          <w:szCs w:val="24"/>
        </w:rPr>
        <w:t>nitrofurantoinfølsomme</w:t>
      </w:r>
      <w:proofErr w:type="spellEnd"/>
      <w:r w:rsidRPr="00EC314E">
        <w:rPr>
          <w:sz w:val="24"/>
          <w:szCs w:val="24"/>
        </w:rPr>
        <w:t xml:space="preserve"> mikroorganismer (se pkt. 5.1).</w:t>
      </w:r>
    </w:p>
    <w:p w14:paraId="40404E32" w14:textId="4FF56C6C" w:rsidR="009260DE" w:rsidRPr="00EC314E" w:rsidRDefault="009260DE" w:rsidP="00D7210B">
      <w:pPr>
        <w:ind w:left="851"/>
        <w:rPr>
          <w:sz w:val="24"/>
          <w:szCs w:val="24"/>
        </w:rPr>
      </w:pPr>
    </w:p>
    <w:p w14:paraId="0FE6CB2F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Officielle retningslinjer vedrørende korrekt anvendelse af antibakterielle midler skal tages i betragtning.</w:t>
      </w:r>
    </w:p>
    <w:p w14:paraId="7E04B172" w14:textId="30FD640B" w:rsidR="00EC314E" w:rsidRDefault="00EC31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F3D989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186817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4.2</w:t>
      </w:r>
      <w:r w:rsidRPr="00EC314E">
        <w:rPr>
          <w:b/>
          <w:sz w:val="24"/>
          <w:szCs w:val="24"/>
        </w:rPr>
        <w:tab/>
        <w:t xml:space="preserve">Dosering og </w:t>
      </w:r>
      <w:r w:rsidR="002C1EC0" w:rsidRPr="00EC314E">
        <w:rPr>
          <w:b/>
          <w:sz w:val="24"/>
          <w:szCs w:val="24"/>
        </w:rPr>
        <w:t>administration</w:t>
      </w:r>
    </w:p>
    <w:p w14:paraId="1387D6FA" w14:textId="77777777" w:rsidR="00D75EF8" w:rsidRPr="00EC314E" w:rsidRDefault="00D75EF8" w:rsidP="00D7210B">
      <w:pPr>
        <w:ind w:left="851"/>
        <w:rPr>
          <w:sz w:val="24"/>
          <w:szCs w:val="24"/>
        </w:rPr>
      </w:pPr>
    </w:p>
    <w:p w14:paraId="2A511C54" w14:textId="1C76C59D" w:rsidR="00965F7B" w:rsidRPr="00EC314E" w:rsidRDefault="00965F7B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Dosering</w:t>
      </w:r>
    </w:p>
    <w:p w14:paraId="04B89218" w14:textId="77777777" w:rsidR="00965F7B" w:rsidRPr="00EC314E" w:rsidRDefault="00965F7B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Voksne og børn fra 12 år</w:t>
      </w:r>
    </w:p>
    <w:p w14:paraId="37C95273" w14:textId="6B3C4D96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Voksne og børn fra 12 år skal tage 2 kapsler om dagen: 1 om morgenen og 1 om aftenen (1</w:t>
      </w:r>
      <w:r w:rsidR="00EC314E">
        <w:rPr>
          <w:sz w:val="24"/>
          <w:szCs w:val="24"/>
        </w:rPr>
        <w:t> </w:t>
      </w:r>
      <w:r w:rsidRPr="00EC314E">
        <w:rPr>
          <w:sz w:val="24"/>
          <w:szCs w:val="24"/>
        </w:rPr>
        <w:t>kapsel hver 12. time).</w:t>
      </w:r>
    </w:p>
    <w:p w14:paraId="416CD44D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Sædvanlig brug er 7 dage eller mindst 3 dage efter, at der ikke længere er sporbar infektion i urinen.</w:t>
      </w:r>
    </w:p>
    <w:p w14:paraId="645DEFA1" w14:textId="0719759A" w:rsidR="009260DE" w:rsidRPr="00EC314E" w:rsidRDefault="009260DE" w:rsidP="00D7210B">
      <w:pPr>
        <w:ind w:left="851"/>
        <w:rPr>
          <w:sz w:val="24"/>
          <w:szCs w:val="24"/>
        </w:rPr>
      </w:pPr>
    </w:p>
    <w:p w14:paraId="1C6E9FF4" w14:textId="77777777" w:rsidR="00965F7B" w:rsidRPr="00EC314E" w:rsidRDefault="00965F7B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Børn under 12 år</w:t>
      </w:r>
    </w:p>
    <w:p w14:paraId="5AFB241D" w14:textId="77777777" w:rsidR="00965F7B" w:rsidRPr="00EC314E" w:rsidRDefault="00965F7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100 mg kapsler med modificeret udløsning er en fast dosis og ikke egnet til mindre børn. Til små børn bør det overvejes at anvende andre lægemidler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, som findes på markedet.</w:t>
      </w:r>
    </w:p>
    <w:p w14:paraId="6FA54985" w14:textId="77777777" w:rsidR="00965F7B" w:rsidRPr="00EC314E" w:rsidRDefault="00965F7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er kontraindiceret til spædbørn under 3 måneder (se pkt. 4.3).</w:t>
      </w:r>
    </w:p>
    <w:p w14:paraId="33025D1E" w14:textId="77777777" w:rsidR="00965F7B" w:rsidRPr="00EC314E" w:rsidRDefault="00965F7B" w:rsidP="00D7210B">
      <w:pPr>
        <w:ind w:left="851"/>
        <w:rPr>
          <w:sz w:val="24"/>
          <w:szCs w:val="24"/>
        </w:rPr>
      </w:pPr>
    </w:p>
    <w:p w14:paraId="7CBB0DA7" w14:textId="77777777" w:rsidR="00965F7B" w:rsidRPr="00EC314E" w:rsidRDefault="00965F7B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Ældre</w:t>
      </w:r>
    </w:p>
    <w:p w14:paraId="2F07C3FE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Såfremt der ikke er nogen signifikant nedsættelse af nyrefunktionen, hvor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er kontraindiceret, er dosis den samme som for voksne.</w:t>
      </w:r>
    </w:p>
    <w:p w14:paraId="57F6B8B8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Se forholdsregler og risici for ældre patienter i forbindelse med langtidsbehandling (se pkt. 4.8).</w:t>
      </w:r>
    </w:p>
    <w:p w14:paraId="76C1506F" w14:textId="2F1955B1" w:rsidR="00965F7B" w:rsidRPr="00EC314E" w:rsidRDefault="00965F7B" w:rsidP="00D7210B">
      <w:pPr>
        <w:ind w:left="851"/>
        <w:rPr>
          <w:sz w:val="24"/>
          <w:szCs w:val="24"/>
        </w:rPr>
      </w:pPr>
    </w:p>
    <w:p w14:paraId="795FCC7A" w14:textId="77777777" w:rsidR="00965F7B" w:rsidRPr="00EC314E" w:rsidRDefault="00965F7B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Nedsat nyrefunktion</w:t>
      </w:r>
    </w:p>
    <w:p w14:paraId="6B346652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Patienter med nedsat nyrefunktion skal have overvåget nyrefunktionen før initiering af og under behandling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.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er kontraindiceret hos patienter med nedsat nyrefunktion og hos patienter med </w:t>
      </w:r>
      <w:proofErr w:type="spellStart"/>
      <w:r w:rsidRPr="00EC314E">
        <w:rPr>
          <w:sz w:val="24"/>
          <w:szCs w:val="24"/>
        </w:rPr>
        <w:t>eGFR</w:t>
      </w:r>
      <w:proofErr w:type="spellEnd"/>
      <w:r w:rsidRPr="00EC314E">
        <w:rPr>
          <w:sz w:val="24"/>
          <w:szCs w:val="24"/>
        </w:rPr>
        <w:t xml:space="preserve"> på under 45 ml/minut (se pkt. 4.3 og 4.4).</w:t>
      </w:r>
    </w:p>
    <w:p w14:paraId="79F941E3" w14:textId="54463752" w:rsidR="00965F7B" w:rsidRPr="00EC314E" w:rsidRDefault="00965F7B" w:rsidP="00D7210B">
      <w:pPr>
        <w:ind w:left="851"/>
        <w:rPr>
          <w:sz w:val="24"/>
          <w:szCs w:val="24"/>
        </w:rPr>
      </w:pPr>
    </w:p>
    <w:p w14:paraId="6EACB83C" w14:textId="77777777" w:rsidR="00965F7B" w:rsidRPr="00EC314E" w:rsidRDefault="00965F7B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Nedsat leverfunktion</w:t>
      </w:r>
    </w:p>
    <w:p w14:paraId="7324C237" w14:textId="77777777" w:rsidR="00965F7B" w:rsidRPr="00EC314E" w:rsidRDefault="00965F7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skal anvendes med forsigtighed til patienter med nedsat leverfunktion, især ældre patienter i langtidsbehandling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kræve monitorering (se pkt. 4.4).</w:t>
      </w:r>
    </w:p>
    <w:p w14:paraId="24C53569" w14:textId="643BB1E3" w:rsidR="00965F7B" w:rsidRPr="00EC314E" w:rsidRDefault="00965F7B" w:rsidP="00D7210B">
      <w:pPr>
        <w:ind w:left="851"/>
        <w:rPr>
          <w:sz w:val="24"/>
          <w:szCs w:val="24"/>
        </w:rPr>
      </w:pPr>
    </w:p>
    <w:p w14:paraId="6D25F97C" w14:textId="77777777" w:rsidR="00965F7B" w:rsidRPr="00EC314E" w:rsidRDefault="00965F7B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Administration</w:t>
      </w:r>
    </w:p>
    <w:p w14:paraId="64E10B12" w14:textId="77777777" w:rsidR="00965F7B" w:rsidRPr="00EC314E" w:rsidRDefault="00965F7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skal helst tages under eller lige efter et måltid eller med mælk eller yoghurt. Dette er for at sikre den størst mulige biotilgængelighed og optimal </w:t>
      </w:r>
      <w:proofErr w:type="spellStart"/>
      <w:r w:rsidRPr="00EC314E">
        <w:rPr>
          <w:sz w:val="24"/>
          <w:szCs w:val="24"/>
        </w:rPr>
        <w:t>gastrointestinal</w:t>
      </w:r>
      <w:proofErr w:type="spellEnd"/>
      <w:r w:rsidRPr="00EC314E">
        <w:rPr>
          <w:sz w:val="24"/>
          <w:szCs w:val="24"/>
        </w:rPr>
        <w:t xml:space="preserve"> tolerance.</w:t>
      </w:r>
    </w:p>
    <w:p w14:paraId="2872A9A7" w14:textId="77777777" w:rsidR="00965F7B" w:rsidRPr="00EC314E" w:rsidRDefault="00965F7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Kapslen skal tages hel og må ikke åbnes eller tygges, da det kan påvirke lægemidlets egenskaber.</w:t>
      </w:r>
    </w:p>
    <w:p w14:paraId="02BED2F3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AF777C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4.3</w:t>
      </w:r>
      <w:r w:rsidRPr="00EC314E">
        <w:rPr>
          <w:b/>
          <w:sz w:val="24"/>
          <w:szCs w:val="24"/>
        </w:rPr>
        <w:tab/>
        <w:t>Kontraindikationer</w:t>
      </w:r>
    </w:p>
    <w:p w14:paraId="1426B212" w14:textId="77777777" w:rsidR="00AE665F" w:rsidRPr="00EC314E" w:rsidRDefault="00AE665F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er kontraindiceret ved:</w:t>
      </w:r>
    </w:p>
    <w:p w14:paraId="6AE5A13A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>overfølsomhed over for det aktive stof eller over for et eller flere af hjælpestofferne anført i pkt. 6.1.</w:t>
      </w:r>
    </w:p>
    <w:p w14:paraId="06672A4E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>nedsat nyrefunktion (</w:t>
      </w:r>
      <w:proofErr w:type="spellStart"/>
      <w:r w:rsidRPr="00EC314E">
        <w:rPr>
          <w:sz w:val="24"/>
          <w:szCs w:val="24"/>
        </w:rPr>
        <w:t>eGFR</w:t>
      </w:r>
      <w:proofErr w:type="spellEnd"/>
      <w:r w:rsidRPr="00EC314E">
        <w:rPr>
          <w:sz w:val="24"/>
          <w:szCs w:val="24"/>
        </w:rPr>
        <w:t xml:space="preserve"> under 45 ml/min) eller øget </w:t>
      </w:r>
      <w:proofErr w:type="spellStart"/>
      <w:r w:rsidRPr="00EC314E">
        <w:rPr>
          <w:sz w:val="24"/>
          <w:szCs w:val="24"/>
        </w:rPr>
        <w:t>serumkreatinin</w:t>
      </w:r>
      <w:proofErr w:type="spellEnd"/>
      <w:r w:rsidRPr="00EC314E">
        <w:rPr>
          <w:sz w:val="24"/>
          <w:szCs w:val="24"/>
        </w:rPr>
        <w:t>.</w:t>
      </w:r>
      <w:r w:rsidRPr="00EC314E">
        <w:rPr>
          <w:sz w:val="24"/>
          <w:szCs w:val="24"/>
        </w:rPr>
        <w:br/>
        <w:t xml:space="preserve">glucose-6-phosphat </w:t>
      </w:r>
      <w:proofErr w:type="spellStart"/>
      <w:r w:rsidRPr="00EC314E">
        <w:rPr>
          <w:sz w:val="24"/>
          <w:szCs w:val="24"/>
        </w:rPr>
        <w:t>dehydrogenase</w:t>
      </w:r>
      <w:proofErr w:type="spellEnd"/>
      <w:r w:rsidRPr="00EC314E">
        <w:rPr>
          <w:sz w:val="24"/>
          <w:szCs w:val="24"/>
        </w:rPr>
        <w:t xml:space="preserve"> (G6PD) mangel.</w:t>
      </w:r>
    </w:p>
    <w:p w14:paraId="3ECEAC1B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akut </w:t>
      </w:r>
      <w:proofErr w:type="spellStart"/>
      <w:r w:rsidRPr="00EC314E">
        <w:rPr>
          <w:sz w:val="24"/>
          <w:szCs w:val="24"/>
        </w:rPr>
        <w:t>porfyri</w:t>
      </w:r>
      <w:proofErr w:type="spellEnd"/>
      <w:r w:rsidRPr="00EC314E">
        <w:rPr>
          <w:sz w:val="24"/>
          <w:szCs w:val="24"/>
        </w:rPr>
        <w:t>.</w:t>
      </w:r>
    </w:p>
    <w:p w14:paraId="19AD6360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graviditet i 38.-42. uge, under fødsel eller under fødsel pga. den potentielle risiko for </w:t>
      </w:r>
      <w:proofErr w:type="spellStart"/>
      <w:r w:rsidRPr="00EC314E">
        <w:rPr>
          <w:sz w:val="24"/>
          <w:szCs w:val="24"/>
        </w:rPr>
        <w:t>hæmolyse</w:t>
      </w:r>
      <w:proofErr w:type="spellEnd"/>
      <w:r w:rsidRPr="00EC314E">
        <w:rPr>
          <w:sz w:val="24"/>
          <w:szCs w:val="24"/>
        </w:rPr>
        <w:t xml:space="preserve"> af de umodne røde blodlegemer hos fosteret (se pkt. 4.6).</w:t>
      </w:r>
    </w:p>
    <w:p w14:paraId="2BCA0C01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børn under 3 måneder pga. deres umodne erytrocytenzymsystemer, hvilket indebærer en risiko for </w:t>
      </w:r>
      <w:proofErr w:type="spellStart"/>
      <w:r w:rsidRPr="00EC314E">
        <w:rPr>
          <w:sz w:val="24"/>
          <w:szCs w:val="24"/>
        </w:rPr>
        <w:t>hæmolyse</w:t>
      </w:r>
      <w:proofErr w:type="spellEnd"/>
      <w:r w:rsidRPr="00EC314E">
        <w:rPr>
          <w:sz w:val="24"/>
          <w:szCs w:val="24"/>
        </w:rPr>
        <w:t>.</w:t>
      </w:r>
    </w:p>
    <w:p w14:paraId="013B49B3" w14:textId="77777777" w:rsidR="00AE665F" w:rsidRPr="00EC314E" w:rsidRDefault="00AE665F" w:rsidP="00BD13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patienter, der tidligere har haft lunge- eller leverreaktioner eller en perifer </w:t>
      </w:r>
      <w:proofErr w:type="spellStart"/>
      <w:r w:rsidRPr="00EC314E">
        <w:rPr>
          <w:sz w:val="24"/>
          <w:szCs w:val="24"/>
        </w:rPr>
        <w:t>neuropati</w:t>
      </w:r>
      <w:proofErr w:type="spellEnd"/>
      <w:r w:rsidRPr="00EC314E">
        <w:rPr>
          <w:sz w:val="24"/>
          <w:szCs w:val="24"/>
        </w:rPr>
        <w:t xml:space="preserve"> efter brug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eller andre </w:t>
      </w:r>
      <w:proofErr w:type="spellStart"/>
      <w:r w:rsidRPr="00EC314E">
        <w:rPr>
          <w:sz w:val="24"/>
          <w:szCs w:val="24"/>
        </w:rPr>
        <w:t>nitrofuraner</w:t>
      </w:r>
      <w:proofErr w:type="spellEnd"/>
      <w:r w:rsidRPr="00EC314E">
        <w:rPr>
          <w:sz w:val="24"/>
          <w:szCs w:val="24"/>
        </w:rPr>
        <w:t>.</w:t>
      </w:r>
    </w:p>
    <w:p w14:paraId="17E87487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CB2D31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4.4</w:t>
      </w:r>
      <w:r w:rsidRPr="00EC314E">
        <w:rPr>
          <w:b/>
          <w:sz w:val="24"/>
          <w:szCs w:val="24"/>
        </w:rPr>
        <w:tab/>
        <w:t>Særlige advarsler og forsigtighedsregler vedrørende brugen</w:t>
      </w:r>
    </w:p>
    <w:p w14:paraId="59F02F04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Længerevarende brug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anbefales ikke. Lunge- og leverkomplikationer, der kan være livstruende, kan forekomme under </w:t>
      </w:r>
      <w:proofErr w:type="spellStart"/>
      <w:r w:rsidRPr="00EC314E">
        <w:rPr>
          <w:sz w:val="24"/>
          <w:szCs w:val="24"/>
        </w:rPr>
        <w:t>nitrofurantoinbehandlinger</w:t>
      </w:r>
      <w:proofErr w:type="spellEnd"/>
      <w:r w:rsidRPr="00EC314E">
        <w:rPr>
          <w:sz w:val="24"/>
          <w:szCs w:val="24"/>
        </w:rPr>
        <w:t xml:space="preserve"> (se pkt. 4.8). Opstår der komplikationer, skal behandlingen seponeres omgående og de nødvendige forholdsregler iværksættes.</w:t>
      </w:r>
    </w:p>
    <w:p w14:paraId="4C919BF3" w14:textId="6E489606" w:rsidR="009260DE" w:rsidRPr="00EC314E" w:rsidRDefault="009260DE" w:rsidP="00D7210B">
      <w:pPr>
        <w:ind w:left="851"/>
        <w:rPr>
          <w:sz w:val="24"/>
          <w:szCs w:val="24"/>
        </w:rPr>
      </w:pPr>
    </w:p>
    <w:p w14:paraId="095107C8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Der er observeret akutte, </w:t>
      </w:r>
      <w:proofErr w:type="spellStart"/>
      <w:r w:rsidRPr="00EC314E">
        <w:rPr>
          <w:sz w:val="24"/>
          <w:szCs w:val="24"/>
        </w:rPr>
        <w:t>subakutte</w:t>
      </w:r>
      <w:proofErr w:type="spellEnd"/>
      <w:r w:rsidRPr="00EC314E">
        <w:rPr>
          <w:sz w:val="24"/>
          <w:szCs w:val="24"/>
        </w:rPr>
        <w:t xml:space="preserve"> og kroniske lungereaktioner hos patienter behandlet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. Hvis disse reaktioner forekommer, skal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straks seponeres.</w:t>
      </w:r>
    </w:p>
    <w:p w14:paraId="71B061C2" w14:textId="04A4460C" w:rsidR="00AE665F" w:rsidRPr="00EC314E" w:rsidRDefault="00AE665F" w:rsidP="00D7210B">
      <w:pPr>
        <w:ind w:left="851"/>
        <w:rPr>
          <w:sz w:val="24"/>
          <w:szCs w:val="24"/>
        </w:rPr>
      </w:pPr>
    </w:p>
    <w:p w14:paraId="449B9CE4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Kroniske lungereaktioner (herunder lungefibrose og diffus </w:t>
      </w:r>
      <w:proofErr w:type="spellStart"/>
      <w:r w:rsidRPr="00EC314E">
        <w:rPr>
          <w:sz w:val="24"/>
          <w:szCs w:val="24"/>
        </w:rPr>
        <w:t>interstitiel</w:t>
      </w:r>
      <w:proofErr w:type="spellEnd"/>
      <w:r w:rsidRPr="00EC314E">
        <w:rPr>
          <w:sz w:val="24"/>
          <w:szCs w:val="24"/>
        </w:rPr>
        <w:t xml:space="preserve"> pneumonitis) kan udvikle sig snigende, ofte hos ældre patienter. Tæt overvågning af lungefunktionen hos patienter i længerevarende behandling er indiceret (især hos ældre).</w:t>
      </w:r>
    </w:p>
    <w:p w14:paraId="2D1FEB4A" w14:textId="20DEC2A7" w:rsidR="00AE665F" w:rsidRPr="00EC314E" w:rsidRDefault="00AE665F" w:rsidP="00D7210B">
      <w:pPr>
        <w:ind w:left="851"/>
        <w:rPr>
          <w:sz w:val="24"/>
          <w:szCs w:val="24"/>
        </w:rPr>
      </w:pPr>
    </w:p>
    <w:p w14:paraId="5BEB8DFA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Eksisterende sygdomme kan skjule bivirkninger i lunger og lever. Der bør udvises forsigtighed, når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anvendes hos patienter med lungesygdom, nedsat leverfunktion, neurologiske sygdomme eller allergisk diatese.</w:t>
      </w:r>
    </w:p>
    <w:p w14:paraId="1CDE42C2" w14:textId="76B29771" w:rsidR="00AE665F" w:rsidRPr="00EC314E" w:rsidRDefault="00AE665F" w:rsidP="00D7210B">
      <w:pPr>
        <w:ind w:left="851"/>
        <w:rPr>
          <w:sz w:val="24"/>
          <w:szCs w:val="24"/>
        </w:rPr>
      </w:pPr>
    </w:p>
    <w:p w14:paraId="18A16EF0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Under længerevarende behandling bør patienten overvåges for lever- eller lungesymptomer og andre tegn på toksicitet.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skal seponeres, hvis der forekommer uforklarlige </w:t>
      </w:r>
      <w:proofErr w:type="spellStart"/>
      <w:r w:rsidRPr="00EC314E">
        <w:rPr>
          <w:sz w:val="24"/>
          <w:szCs w:val="24"/>
        </w:rPr>
        <w:t>pulmonale</w:t>
      </w:r>
      <w:proofErr w:type="spellEnd"/>
      <w:r w:rsidRPr="00EC314E">
        <w:rPr>
          <w:sz w:val="24"/>
          <w:szCs w:val="24"/>
        </w:rPr>
        <w:t>, levertoksiske, hæmatologiske eller neurologiske symptomer.</w:t>
      </w:r>
    </w:p>
    <w:p w14:paraId="3C68D245" w14:textId="77777777" w:rsidR="00AE665F" w:rsidRPr="00EC314E" w:rsidRDefault="00AE665F" w:rsidP="00D7210B">
      <w:pPr>
        <w:ind w:left="851"/>
        <w:rPr>
          <w:sz w:val="24"/>
          <w:szCs w:val="24"/>
        </w:rPr>
      </w:pPr>
    </w:p>
    <w:p w14:paraId="184BE76E" w14:textId="77777777" w:rsidR="00AE665F" w:rsidRPr="00EC314E" w:rsidRDefault="00AE665F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virker ikke som behandling af </w:t>
      </w:r>
      <w:proofErr w:type="spellStart"/>
      <w:r w:rsidRPr="00EC314E">
        <w:rPr>
          <w:sz w:val="24"/>
          <w:szCs w:val="24"/>
        </w:rPr>
        <w:t>parenkymale</w:t>
      </w:r>
      <w:proofErr w:type="spellEnd"/>
      <w:r w:rsidRPr="00EC314E">
        <w:rPr>
          <w:sz w:val="24"/>
          <w:szCs w:val="24"/>
        </w:rPr>
        <w:t xml:space="preserve"> infektioner i en unilateralt fungerende nyre. Infektion som følge af operation skal udelukkes i recidiverende eller svære tilfælde.</w:t>
      </w:r>
    </w:p>
    <w:p w14:paraId="09188961" w14:textId="32FA2095" w:rsidR="009260DE" w:rsidRPr="00EC314E" w:rsidRDefault="009260DE" w:rsidP="00D7210B">
      <w:pPr>
        <w:ind w:left="851"/>
        <w:rPr>
          <w:sz w:val="24"/>
          <w:szCs w:val="24"/>
        </w:rPr>
      </w:pPr>
    </w:p>
    <w:p w14:paraId="69A24C49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Der er forekommet perifer </w:t>
      </w:r>
      <w:proofErr w:type="spellStart"/>
      <w:r w:rsidRPr="00EC314E">
        <w:rPr>
          <w:sz w:val="24"/>
          <w:szCs w:val="24"/>
        </w:rPr>
        <w:t>neuropati</w:t>
      </w:r>
      <w:proofErr w:type="spellEnd"/>
      <w:r w:rsidRPr="00EC314E">
        <w:rPr>
          <w:sz w:val="24"/>
          <w:szCs w:val="24"/>
        </w:rPr>
        <w:t>, som kan blive svær eller irreversibel (udvikles sædvanligvis inden for 2 måneders behandling) og kan blive livstruende. Behandlingen skal derfor seponeres ved det første tegn på neural skade (</w:t>
      </w:r>
      <w:proofErr w:type="spellStart"/>
      <w:r w:rsidRPr="00EC314E">
        <w:rPr>
          <w:sz w:val="24"/>
          <w:szCs w:val="24"/>
        </w:rPr>
        <w:t>paræstesi</w:t>
      </w:r>
      <w:proofErr w:type="spellEnd"/>
      <w:r w:rsidRPr="00EC314E">
        <w:rPr>
          <w:sz w:val="24"/>
          <w:szCs w:val="24"/>
        </w:rPr>
        <w:t xml:space="preserve">, svaghed). Tilstande såsom nyreinsufficiens, anæmi, diabetes mellitus, alkoholisme, elektrolytforstyrrelser, B-vitaminmangel (især </w:t>
      </w:r>
      <w:proofErr w:type="spellStart"/>
      <w:r w:rsidRPr="00EC314E">
        <w:rPr>
          <w:sz w:val="24"/>
          <w:szCs w:val="24"/>
        </w:rPr>
        <w:t>folatmangel</w:t>
      </w:r>
      <w:proofErr w:type="spellEnd"/>
      <w:r w:rsidRPr="00EC314E">
        <w:rPr>
          <w:sz w:val="24"/>
          <w:szCs w:val="24"/>
        </w:rPr>
        <w:t xml:space="preserve">) eller invaliderende tilstande, der øger risikoen for at udvikle perifer </w:t>
      </w:r>
      <w:proofErr w:type="spellStart"/>
      <w:r w:rsidRPr="00EC314E">
        <w:rPr>
          <w:sz w:val="24"/>
          <w:szCs w:val="24"/>
        </w:rPr>
        <w:t>neuropati</w:t>
      </w:r>
      <w:proofErr w:type="spellEnd"/>
      <w:r w:rsidRPr="00EC314E">
        <w:rPr>
          <w:sz w:val="24"/>
          <w:szCs w:val="24"/>
        </w:rPr>
        <w:t>.</w:t>
      </w:r>
    </w:p>
    <w:p w14:paraId="40C0C1C1" w14:textId="12558049" w:rsidR="00AE665F" w:rsidRPr="00EC314E" w:rsidRDefault="00AE665F" w:rsidP="00D7210B">
      <w:pPr>
        <w:ind w:left="851"/>
        <w:rPr>
          <w:sz w:val="24"/>
          <w:szCs w:val="24"/>
        </w:rPr>
      </w:pPr>
    </w:p>
    <w:p w14:paraId="1CA4ECEC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Urinen kan blive gul eller brun efter indtagelse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. Patienter, som tager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, har tendens til falsk positiv uringlukose (hvis de testes for urinreducerende stoffer).</w:t>
      </w:r>
    </w:p>
    <w:p w14:paraId="75273C58" w14:textId="7E21ECE7" w:rsidR="00AE665F" w:rsidRPr="00EC314E" w:rsidRDefault="00AE665F" w:rsidP="00D7210B">
      <w:pPr>
        <w:ind w:left="851"/>
        <w:rPr>
          <w:sz w:val="24"/>
          <w:szCs w:val="24"/>
        </w:rPr>
      </w:pPr>
    </w:p>
    <w:p w14:paraId="37F78196" w14:textId="77777777" w:rsidR="00AE665F" w:rsidRPr="00EC314E" w:rsidRDefault="00AE665F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skal seponeres ved tegn på </w:t>
      </w:r>
      <w:proofErr w:type="spellStart"/>
      <w:r w:rsidRPr="00EC314E">
        <w:rPr>
          <w:sz w:val="24"/>
          <w:szCs w:val="24"/>
        </w:rPr>
        <w:t>hæmolyse</w:t>
      </w:r>
      <w:proofErr w:type="spellEnd"/>
      <w:r w:rsidRPr="00EC314E">
        <w:rPr>
          <w:sz w:val="24"/>
          <w:szCs w:val="24"/>
        </w:rPr>
        <w:t xml:space="preserve"> hos personer med mistanke om glucose-6-phosphat </w:t>
      </w:r>
      <w:proofErr w:type="spellStart"/>
      <w:r w:rsidRPr="00EC314E">
        <w:rPr>
          <w:sz w:val="24"/>
          <w:szCs w:val="24"/>
        </w:rPr>
        <w:t>dehydrogenase</w:t>
      </w:r>
      <w:proofErr w:type="spellEnd"/>
      <w:r w:rsidRPr="00EC314E">
        <w:rPr>
          <w:sz w:val="24"/>
          <w:szCs w:val="24"/>
        </w:rPr>
        <w:t>-mangel (10 % af etnisk sorte mennesker og en lille procentdel af etniske grupper fra Middelhavsområdet og Mellemøsten lider af G6PD-mangel).</w:t>
      </w:r>
    </w:p>
    <w:p w14:paraId="768A4B95" w14:textId="2D331AEE" w:rsidR="00AE665F" w:rsidRPr="00EC314E" w:rsidRDefault="00AE665F" w:rsidP="00D7210B">
      <w:pPr>
        <w:ind w:left="851"/>
        <w:rPr>
          <w:sz w:val="24"/>
          <w:szCs w:val="24"/>
        </w:rPr>
      </w:pPr>
    </w:p>
    <w:p w14:paraId="116FEBCB" w14:textId="77777777" w:rsidR="00AE665F" w:rsidRPr="00EC314E" w:rsidRDefault="00AE665F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Gastrointestinale</w:t>
      </w:r>
      <w:proofErr w:type="spellEnd"/>
      <w:r w:rsidRPr="00EC314E">
        <w:rPr>
          <w:sz w:val="24"/>
          <w:szCs w:val="24"/>
        </w:rPr>
        <w:t xml:space="preserve"> reaktioner kan minimeres ved at tage lægemidlet sammen med mad eller mælk eller ved at justere dosis.</w:t>
      </w:r>
    </w:p>
    <w:p w14:paraId="1C9CF93A" w14:textId="0DB57CBA" w:rsidR="00AE665F" w:rsidRPr="00EC314E" w:rsidRDefault="00AE665F" w:rsidP="00D7210B">
      <w:pPr>
        <w:ind w:left="851"/>
        <w:rPr>
          <w:sz w:val="24"/>
          <w:szCs w:val="24"/>
        </w:rPr>
      </w:pPr>
    </w:p>
    <w:p w14:paraId="11412A30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Levertoksicitet</w:t>
      </w:r>
    </w:p>
    <w:p w14:paraId="0BFC3EE5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Patienterne skal overvåges tæt for tegn på hepatitis (især ved længerevarende brug). Reaktioner fra leveren, herunder hepatitis, autoimmun hepatitis, </w:t>
      </w:r>
      <w:proofErr w:type="spellStart"/>
      <w:r w:rsidRPr="00EC314E">
        <w:rPr>
          <w:sz w:val="24"/>
          <w:szCs w:val="24"/>
        </w:rPr>
        <w:t>kolestatisk</w:t>
      </w:r>
      <w:proofErr w:type="spellEnd"/>
      <w:r w:rsidRPr="00EC314E">
        <w:rPr>
          <w:sz w:val="24"/>
          <w:szCs w:val="24"/>
        </w:rPr>
        <w:t xml:space="preserve"> gulsot, kronisk aktiv hepatitis og levernekrose, forekommer sjældent. Der er blevet rapporteret om dødsfald. Indtræden af kronisk aktiv hepatitis kan være snigende, og patienter bør overvåges med jævne mellemrum for ændringer i biokemiske tests, der ville indikere </w:t>
      </w:r>
      <w:r w:rsidRPr="00EC314E">
        <w:rPr>
          <w:sz w:val="24"/>
          <w:szCs w:val="24"/>
        </w:rPr>
        <w:lastRenderedPageBreak/>
        <w:t>leverskade. Hvis hepatitis forekommer, skal lægemidlet straks seponeres, og der skal træffes passende foranstaltninger.</w:t>
      </w:r>
    </w:p>
    <w:p w14:paraId="067EA4F8" w14:textId="6705874B" w:rsidR="00AE665F" w:rsidRPr="00EC314E" w:rsidRDefault="00AE665F" w:rsidP="00D7210B">
      <w:pPr>
        <w:ind w:left="851"/>
        <w:rPr>
          <w:sz w:val="24"/>
          <w:szCs w:val="24"/>
        </w:rPr>
      </w:pPr>
    </w:p>
    <w:p w14:paraId="75EC46F4" w14:textId="77777777" w:rsidR="00AE665F" w:rsidRPr="00EC314E" w:rsidRDefault="00AE665F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Hjælpestoffer</w:t>
      </w:r>
    </w:p>
    <w:p w14:paraId="5A24399C" w14:textId="65781702" w:rsidR="00AE665F" w:rsidRPr="00EC314E" w:rsidRDefault="00AE665F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indeholder </w:t>
      </w:r>
      <w:proofErr w:type="spellStart"/>
      <w:r w:rsidRPr="00EC314E">
        <w:rPr>
          <w:sz w:val="24"/>
          <w:szCs w:val="24"/>
        </w:rPr>
        <w:t>lactosemonohydrat</w:t>
      </w:r>
      <w:proofErr w:type="spellEnd"/>
      <w:r w:rsidRPr="00EC314E">
        <w:rPr>
          <w:sz w:val="24"/>
          <w:szCs w:val="24"/>
        </w:rPr>
        <w:t xml:space="preserve"> og </w:t>
      </w:r>
      <w:proofErr w:type="spellStart"/>
      <w:r w:rsidRPr="00EC314E">
        <w:rPr>
          <w:sz w:val="24"/>
          <w:szCs w:val="24"/>
        </w:rPr>
        <w:t>saccharose</w:t>
      </w:r>
      <w:proofErr w:type="spellEnd"/>
      <w:r w:rsidRPr="00EC314E">
        <w:rPr>
          <w:sz w:val="24"/>
          <w:szCs w:val="24"/>
        </w:rPr>
        <w:t xml:space="preserve">. Patienter med sjælden hereditær </w:t>
      </w:r>
      <w:proofErr w:type="spellStart"/>
      <w:r w:rsidRPr="00EC314E">
        <w:rPr>
          <w:sz w:val="24"/>
          <w:szCs w:val="24"/>
        </w:rPr>
        <w:t>galactoseintolerans</w:t>
      </w:r>
      <w:proofErr w:type="spellEnd"/>
      <w:r w:rsidRPr="00EC314E">
        <w:rPr>
          <w:sz w:val="24"/>
          <w:szCs w:val="24"/>
        </w:rPr>
        <w:t xml:space="preserve">, </w:t>
      </w:r>
      <w:proofErr w:type="spellStart"/>
      <w:r w:rsidRPr="00EC314E">
        <w:rPr>
          <w:sz w:val="24"/>
          <w:szCs w:val="24"/>
        </w:rPr>
        <w:t>fructoseintolerans</w:t>
      </w:r>
      <w:proofErr w:type="spellEnd"/>
      <w:r w:rsidRPr="00EC314E">
        <w:rPr>
          <w:sz w:val="24"/>
          <w:szCs w:val="24"/>
        </w:rPr>
        <w:t xml:space="preserve">, total </w:t>
      </w:r>
      <w:proofErr w:type="spellStart"/>
      <w:r w:rsidRPr="00EC314E">
        <w:rPr>
          <w:sz w:val="24"/>
          <w:szCs w:val="24"/>
        </w:rPr>
        <w:t>lactasemangel</w:t>
      </w:r>
      <w:proofErr w:type="spellEnd"/>
      <w:r w:rsidRPr="00EC314E">
        <w:rPr>
          <w:sz w:val="24"/>
          <w:szCs w:val="24"/>
        </w:rPr>
        <w:t xml:space="preserve">, </w:t>
      </w:r>
      <w:proofErr w:type="spellStart"/>
      <w:r w:rsidR="00EC314E">
        <w:rPr>
          <w:sz w:val="24"/>
          <w:szCs w:val="24"/>
        </w:rPr>
        <w:t>g</w:t>
      </w:r>
      <w:r w:rsidRPr="00EC314E">
        <w:rPr>
          <w:sz w:val="24"/>
          <w:szCs w:val="24"/>
        </w:rPr>
        <w:t>lucose</w:t>
      </w:r>
      <w:proofErr w:type="spellEnd"/>
      <w:r w:rsidRPr="00EC314E">
        <w:rPr>
          <w:sz w:val="24"/>
          <w:szCs w:val="24"/>
        </w:rPr>
        <w:t>/</w:t>
      </w:r>
      <w:proofErr w:type="spellStart"/>
      <w:r w:rsidRPr="00EC314E">
        <w:rPr>
          <w:sz w:val="24"/>
          <w:szCs w:val="24"/>
        </w:rPr>
        <w:t>galactose</w:t>
      </w:r>
      <w:r w:rsidR="00EC314E">
        <w:rPr>
          <w:sz w:val="24"/>
          <w:szCs w:val="24"/>
        </w:rPr>
        <w:softHyphen/>
      </w:r>
      <w:r w:rsidRPr="00EC314E">
        <w:rPr>
          <w:sz w:val="24"/>
          <w:szCs w:val="24"/>
        </w:rPr>
        <w:t>malabsorption</w:t>
      </w:r>
      <w:proofErr w:type="spellEnd"/>
      <w:r w:rsidRPr="00EC314E">
        <w:rPr>
          <w:sz w:val="24"/>
          <w:szCs w:val="24"/>
        </w:rPr>
        <w:t xml:space="preserve"> eller sukrose-</w:t>
      </w:r>
      <w:proofErr w:type="spellStart"/>
      <w:r w:rsidRPr="00EC314E">
        <w:rPr>
          <w:sz w:val="24"/>
          <w:szCs w:val="24"/>
        </w:rPr>
        <w:t>isomalt</w:t>
      </w:r>
      <w:proofErr w:type="spellEnd"/>
      <w:r w:rsidRPr="00EC314E">
        <w:rPr>
          <w:sz w:val="24"/>
          <w:szCs w:val="24"/>
        </w:rPr>
        <w:t>-insufficiens må ikke tage dette</w:t>
      </w:r>
      <w:r w:rsidR="00BD13AA" w:rsidRPr="00EC314E">
        <w:rPr>
          <w:sz w:val="24"/>
          <w:szCs w:val="24"/>
        </w:rPr>
        <w:t xml:space="preserve"> lægemiddel.</w:t>
      </w:r>
    </w:p>
    <w:p w14:paraId="7647566F" w14:textId="77777777" w:rsidR="00AE665F" w:rsidRPr="00EC314E" w:rsidRDefault="00AE665F" w:rsidP="00AE665F">
      <w:pPr>
        <w:tabs>
          <w:tab w:val="left" w:pos="851"/>
        </w:tabs>
        <w:ind w:left="851"/>
        <w:rPr>
          <w:sz w:val="24"/>
          <w:szCs w:val="24"/>
        </w:rPr>
      </w:pPr>
    </w:p>
    <w:p w14:paraId="0D5B0863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4.5</w:t>
      </w:r>
      <w:r w:rsidRPr="00EC314E">
        <w:rPr>
          <w:b/>
          <w:sz w:val="24"/>
          <w:szCs w:val="24"/>
        </w:rPr>
        <w:tab/>
        <w:t>Interaktion med andre lægemidler og andre former for interaktion</w:t>
      </w:r>
    </w:p>
    <w:p w14:paraId="70ACFE8F" w14:textId="77777777" w:rsidR="00BD13AA" w:rsidRPr="00EC314E" w:rsidRDefault="00BD13AA" w:rsidP="00D7210B">
      <w:pPr>
        <w:ind w:left="851"/>
        <w:rPr>
          <w:sz w:val="24"/>
          <w:szCs w:val="24"/>
        </w:rPr>
      </w:pPr>
    </w:p>
    <w:p w14:paraId="5D99FAF2" w14:textId="7AB4444C" w:rsidR="00AE665F" w:rsidRPr="00EC314E" w:rsidRDefault="00AE665F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 xml:space="preserve">Andre lægemidlers indvirkning på </w:t>
      </w:r>
      <w:proofErr w:type="spellStart"/>
      <w:r w:rsidRPr="00EC314E">
        <w:rPr>
          <w:sz w:val="24"/>
          <w:szCs w:val="24"/>
          <w:u w:val="single"/>
        </w:rPr>
        <w:t>nitrofurantoin</w:t>
      </w:r>
      <w:proofErr w:type="spellEnd"/>
      <w:r w:rsidRPr="00EC314E">
        <w:rPr>
          <w:sz w:val="24"/>
          <w:szCs w:val="24"/>
          <w:u w:val="single"/>
        </w:rPr>
        <w:t>:</w:t>
      </w:r>
    </w:p>
    <w:p w14:paraId="17BB7409" w14:textId="77777777" w:rsidR="00AE665F" w:rsidRPr="00EC314E" w:rsidRDefault="00AE665F" w:rsidP="00BD13A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Karboanhydrasehæmmere</w:t>
      </w:r>
      <w:proofErr w:type="spellEnd"/>
      <w:r w:rsidRPr="00EC314E">
        <w:rPr>
          <w:sz w:val="24"/>
          <w:szCs w:val="24"/>
        </w:rPr>
        <w:t xml:space="preserve"> og midler til </w:t>
      </w:r>
      <w:proofErr w:type="spellStart"/>
      <w:r w:rsidRPr="00EC314E">
        <w:rPr>
          <w:sz w:val="24"/>
          <w:szCs w:val="24"/>
        </w:rPr>
        <w:t>alkalisering</w:t>
      </w:r>
      <w:proofErr w:type="spellEnd"/>
      <w:r w:rsidRPr="00EC314E">
        <w:rPr>
          <w:sz w:val="24"/>
          <w:szCs w:val="24"/>
        </w:rPr>
        <w:t xml:space="preserve"> af urinen kan reducere </w:t>
      </w:r>
      <w:proofErr w:type="spellStart"/>
      <w:r w:rsidRPr="00EC314E">
        <w:rPr>
          <w:sz w:val="24"/>
          <w:szCs w:val="24"/>
        </w:rPr>
        <w:t>nitrofurantoins</w:t>
      </w:r>
      <w:proofErr w:type="spellEnd"/>
      <w:r w:rsidRPr="00EC314E">
        <w:rPr>
          <w:sz w:val="24"/>
          <w:szCs w:val="24"/>
        </w:rPr>
        <w:t xml:space="preserve"> antibakterielle aktivitet.</w:t>
      </w:r>
    </w:p>
    <w:p w14:paraId="0D5F3D1D" w14:textId="77777777" w:rsidR="00AE665F" w:rsidRPr="00EC314E" w:rsidRDefault="00AE665F" w:rsidP="00BD13A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Magnesiumtrisilikat</w:t>
      </w:r>
      <w:proofErr w:type="spellEnd"/>
      <w:r w:rsidRPr="00EC314E">
        <w:rPr>
          <w:sz w:val="24"/>
          <w:szCs w:val="24"/>
        </w:rPr>
        <w:t xml:space="preserve">, administreret sammen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, reducerer absorptionen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.</w:t>
      </w:r>
    </w:p>
    <w:p w14:paraId="19B82BB9" w14:textId="77777777" w:rsidR="00AE665F" w:rsidRPr="00EC314E" w:rsidRDefault="00AE665F" w:rsidP="00BD13A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Der kan være en antagonisme mellem </w:t>
      </w:r>
      <w:proofErr w:type="spellStart"/>
      <w:r w:rsidRPr="00EC314E">
        <w:rPr>
          <w:sz w:val="24"/>
          <w:szCs w:val="24"/>
        </w:rPr>
        <w:t>quinoloner</w:t>
      </w:r>
      <w:proofErr w:type="spellEnd"/>
      <w:r w:rsidRPr="00EC314E">
        <w:rPr>
          <w:sz w:val="24"/>
          <w:szCs w:val="24"/>
        </w:rPr>
        <w:t xml:space="preserve"> og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: samtidig brug anbefales ikke.</w:t>
      </w:r>
    </w:p>
    <w:p w14:paraId="497215CC" w14:textId="77777777" w:rsidR="00AE665F" w:rsidRPr="00EC314E" w:rsidRDefault="00AE665F" w:rsidP="00BD13A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Probenecid</w:t>
      </w:r>
      <w:proofErr w:type="spellEnd"/>
      <w:r w:rsidRPr="00EC314E">
        <w:rPr>
          <w:sz w:val="24"/>
          <w:szCs w:val="24"/>
        </w:rPr>
        <w:t xml:space="preserve"> og </w:t>
      </w:r>
      <w:proofErr w:type="spellStart"/>
      <w:r w:rsidRPr="00EC314E">
        <w:rPr>
          <w:sz w:val="24"/>
          <w:szCs w:val="24"/>
        </w:rPr>
        <w:t>sulfinpyrazon</w:t>
      </w:r>
      <w:proofErr w:type="spellEnd"/>
      <w:r w:rsidRPr="00EC314E">
        <w:rPr>
          <w:sz w:val="24"/>
          <w:szCs w:val="24"/>
        </w:rPr>
        <w:t xml:space="preserve"> kan nedsætte den </w:t>
      </w:r>
      <w:proofErr w:type="spellStart"/>
      <w:r w:rsidRPr="00EC314E">
        <w:rPr>
          <w:sz w:val="24"/>
          <w:szCs w:val="24"/>
        </w:rPr>
        <w:t>renale</w:t>
      </w:r>
      <w:proofErr w:type="spellEnd"/>
      <w:r w:rsidRPr="00EC314E">
        <w:rPr>
          <w:sz w:val="24"/>
          <w:szCs w:val="24"/>
        </w:rPr>
        <w:t xml:space="preserve"> udskillelse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>.</w:t>
      </w:r>
    </w:p>
    <w:p w14:paraId="785D6FA4" w14:textId="055B8435" w:rsidR="009260DE" w:rsidRPr="00EC314E" w:rsidRDefault="009260DE" w:rsidP="00D7210B">
      <w:pPr>
        <w:ind w:left="851"/>
        <w:rPr>
          <w:sz w:val="24"/>
          <w:szCs w:val="24"/>
        </w:rPr>
      </w:pPr>
    </w:p>
    <w:p w14:paraId="22EBA95E" w14:textId="53AE2482" w:rsidR="00EF0052" w:rsidRPr="00EC314E" w:rsidRDefault="00EF0052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Fødevarers indvirkning på</w:t>
      </w:r>
    </w:p>
    <w:p w14:paraId="7E14DA70" w14:textId="77777777" w:rsidR="00EF0052" w:rsidRPr="00EC314E" w:rsidRDefault="00EF0052" w:rsidP="00BD13A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Fødevarer eller midler, der forsinker mavetømningen, øger </w:t>
      </w:r>
      <w:proofErr w:type="spellStart"/>
      <w:r w:rsidRPr="00EC314E">
        <w:rPr>
          <w:sz w:val="24"/>
          <w:szCs w:val="24"/>
        </w:rPr>
        <w:t>nitrofurantoins</w:t>
      </w:r>
      <w:proofErr w:type="spellEnd"/>
      <w:r w:rsidRPr="00EC314E">
        <w:rPr>
          <w:sz w:val="24"/>
          <w:szCs w:val="24"/>
        </w:rPr>
        <w:t xml:space="preserve"> biotilgængelighed, sandsynligvis gennem bedre opløsning i mavesyren.</w:t>
      </w:r>
    </w:p>
    <w:p w14:paraId="3390D0D4" w14:textId="6FED346B" w:rsidR="009260DE" w:rsidRPr="00EC314E" w:rsidRDefault="009260DE" w:rsidP="00D7210B">
      <w:pPr>
        <w:ind w:left="851"/>
        <w:rPr>
          <w:sz w:val="24"/>
          <w:szCs w:val="24"/>
        </w:rPr>
      </w:pPr>
    </w:p>
    <w:p w14:paraId="3194F6E8" w14:textId="77777777" w:rsidR="00EF0052" w:rsidRPr="00EC314E" w:rsidRDefault="00EF0052" w:rsidP="00D7210B">
      <w:pPr>
        <w:ind w:left="851"/>
        <w:rPr>
          <w:sz w:val="24"/>
          <w:szCs w:val="24"/>
          <w:u w:val="single"/>
        </w:rPr>
      </w:pPr>
      <w:proofErr w:type="spellStart"/>
      <w:r w:rsidRPr="00EC314E">
        <w:rPr>
          <w:sz w:val="24"/>
          <w:szCs w:val="24"/>
          <w:u w:val="single"/>
        </w:rPr>
        <w:t>Nitrofurantoins</w:t>
      </w:r>
      <w:proofErr w:type="spellEnd"/>
      <w:r w:rsidRPr="00EC314E">
        <w:rPr>
          <w:sz w:val="24"/>
          <w:szCs w:val="24"/>
          <w:u w:val="single"/>
        </w:rPr>
        <w:t xml:space="preserve"> indvirkning på andre lægemidler/laboratorietest:</w:t>
      </w:r>
    </w:p>
    <w:p w14:paraId="4DB9DECC" w14:textId="4BE27DA4" w:rsidR="00EF0052" w:rsidRPr="00EC314E" w:rsidRDefault="00EF0052" w:rsidP="00BD13A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C314E">
        <w:rPr>
          <w:sz w:val="24"/>
          <w:szCs w:val="24"/>
        </w:rPr>
        <w:t xml:space="preserve">Tyfusvaccine (oral): antibakterielle midler (som </w:t>
      </w:r>
      <w:proofErr w:type="spellStart"/>
      <w:r w:rsidRPr="00EC314E">
        <w:rPr>
          <w:sz w:val="24"/>
          <w:szCs w:val="24"/>
        </w:rPr>
        <w:t>nitrofurantoingruppen</w:t>
      </w:r>
      <w:proofErr w:type="spellEnd"/>
      <w:r w:rsidRPr="00EC314E">
        <w:rPr>
          <w:sz w:val="24"/>
          <w:szCs w:val="24"/>
        </w:rPr>
        <w:t xml:space="preserve"> er en del af) inaktiverer den orale tyfusvaccine.</w:t>
      </w:r>
    </w:p>
    <w:p w14:paraId="6EA505F5" w14:textId="77777777" w:rsidR="00EF0052" w:rsidRPr="00EC314E" w:rsidRDefault="00EF0052" w:rsidP="00BD13A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påvirke visse laboratorieprøver. Der kan forekomme falsk positive resultater eller falsk høje værdier med </w:t>
      </w:r>
      <w:proofErr w:type="spellStart"/>
      <w:r w:rsidRPr="00EC314E">
        <w:rPr>
          <w:sz w:val="24"/>
          <w:szCs w:val="24"/>
        </w:rPr>
        <w:t>uringlucosetest</w:t>
      </w:r>
      <w:proofErr w:type="spellEnd"/>
      <w:r w:rsidRPr="00EC314E">
        <w:rPr>
          <w:sz w:val="24"/>
          <w:szCs w:val="24"/>
        </w:rPr>
        <w:t xml:space="preserve">, som er baseret på kobbersulfatreduktion, f.eks. Benedicts reagens og </w:t>
      </w:r>
      <w:proofErr w:type="spellStart"/>
      <w:r w:rsidRPr="00EC314E">
        <w:rPr>
          <w:sz w:val="24"/>
          <w:szCs w:val="24"/>
        </w:rPr>
        <w:t>Clinitest</w:t>
      </w:r>
      <w:proofErr w:type="spellEnd"/>
      <w:r w:rsidRPr="00EC314E">
        <w:rPr>
          <w:sz w:val="24"/>
          <w:szCs w:val="24"/>
        </w:rPr>
        <w:t xml:space="preserve"> (</w:t>
      </w:r>
      <w:proofErr w:type="spellStart"/>
      <w:r w:rsidRPr="00EC314E">
        <w:rPr>
          <w:sz w:val="24"/>
          <w:szCs w:val="24"/>
        </w:rPr>
        <w:t>Ames</w:t>
      </w:r>
      <w:proofErr w:type="spellEnd"/>
      <w:r w:rsidRPr="00EC314E">
        <w:rPr>
          <w:sz w:val="24"/>
          <w:szCs w:val="24"/>
        </w:rPr>
        <w:t xml:space="preserve">). Der er ingen interferens med </w:t>
      </w:r>
      <w:proofErr w:type="spellStart"/>
      <w:r w:rsidRPr="00EC314E">
        <w:rPr>
          <w:sz w:val="24"/>
          <w:szCs w:val="24"/>
        </w:rPr>
        <w:t>Clinistix</w:t>
      </w:r>
      <w:proofErr w:type="spellEnd"/>
      <w:r w:rsidRPr="00EC314E">
        <w:rPr>
          <w:sz w:val="24"/>
          <w:szCs w:val="24"/>
        </w:rPr>
        <w:t>-testen.</w:t>
      </w:r>
    </w:p>
    <w:p w14:paraId="6B607ECB" w14:textId="77777777" w:rsidR="00EF0052" w:rsidRPr="00EC314E" w:rsidRDefault="00EF0052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A81E5F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4.6</w:t>
      </w:r>
      <w:r w:rsidRPr="00EC314E">
        <w:rPr>
          <w:b/>
          <w:sz w:val="24"/>
          <w:szCs w:val="24"/>
        </w:rPr>
        <w:tab/>
      </w:r>
      <w:r w:rsidR="0071241E" w:rsidRPr="00EC314E">
        <w:rPr>
          <w:b/>
          <w:sz w:val="24"/>
          <w:szCs w:val="24"/>
        </w:rPr>
        <w:t>Fertilitet, g</w:t>
      </w:r>
      <w:r w:rsidRPr="00EC314E">
        <w:rPr>
          <w:b/>
          <w:sz w:val="24"/>
          <w:szCs w:val="24"/>
        </w:rPr>
        <w:t>raviditet og amning</w:t>
      </w:r>
    </w:p>
    <w:p w14:paraId="342E9318" w14:textId="77777777" w:rsidR="00BD13AA" w:rsidRPr="00EC314E" w:rsidRDefault="00BD13AA" w:rsidP="00D7210B">
      <w:pPr>
        <w:ind w:left="851"/>
        <w:rPr>
          <w:sz w:val="24"/>
          <w:szCs w:val="24"/>
        </w:rPr>
      </w:pPr>
    </w:p>
    <w:p w14:paraId="6D7D1B57" w14:textId="3AB7B1D9" w:rsidR="00EF0052" w:rsidRPr="00EC314E" w:rsidRDefault="00EF0052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Graviditet</w:t>
      </w:r>
    </w:p>
    <w:p w14:paraId="738EDCDA" w14:textId="77777777" w:rsidR="00EF0052" w:rsidRPr="00EC314E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En stor mængde data hos gravide kvinder har ikke vist </w:t>
      </w:r>
      <w:proofErr w:type="spellStart"/>
      <w:r w:rsidRPr="00EC314E">
        <w:rPr>
          <w:sz w:val="24"/>
          <w:szCs w:val="24"/>
        </w:rPr>
        <w:t>teratogenicitet</w:t>
      </w:r>
      <w:proofErr w:type="spellEnd"/>
      <w:r w:rsidRPr="00EC314E">
        <w:rPr>
          <w:sz w:val="24"/>
          <w:szCs w:val="24"/>
        </w:rPr>
        <w:t xml:space="preserve"> eller </w:t>
      </w:r>
      <w:proofErr w:type="spellStart"/>
      <w:r w:rsidRPr="00EC314E">
        <w:rPr>
          <w:sz w:val="24"/>
          <w:szCs w:val="24"/>
        </w:rPr>
        <w:t>føtal</w:t>
      </w:r>
      <w:proofErr w:type="spellEnd"/>
      <w:r w:rsidRPr="00EC314E">
        <w:rPr>
          <w:sz w:val="24"/>
          <w:szCs w:val="24"/>
        </w:rPr>
        <w:t xml:space="preserve">/neonatal toksicitet. Dyreforsøg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har ikke vist nogen </w:t>
      </w:r>
      <w:proofErr w:type="spellStart"/>
      <w:r w:rsidRPr="00EC314E">
        <w:rPr>
          <w:sz w:val="24"/>
          <w:szCs w:val="24"/>
        </w:rPr>
        <w:t>reproduktionsstoksicitet</w:t>
      </w:r>
      <w:proofErr w:type="spellEnd"/>
      <w:r w:rsidRPr="00EC314E">
        <w:rPr>
          <w:sz w:val="24"/>
          <w:szCs w:val="24"/>
        </w:rPr>
        <w:t>.</w:t>
      </w:r>
    </w:p>
    <w:p w14:paraId="2DA1F5AF" w14:textId="4ABB87F6" w:rsidR="009260DE" w:rsidRPr="00EC314E" w:rsidRDefault="009260DE" w:rsidP="00D7210B">
      <w:pPr>
        <w:ind w:left="851"/>
        <w:rPr>
          <w:sz w:val="24"/>
          <w:szCs w:val="24"/>
        </w:rPr>
      </w:pPr>
    </w:p>
    <w:p w14:paraId="50CE3808" w14:textId="77777777" w:rsidR="00EF0052" w:rsidRPr="00EC314E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Hvis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ordineres af en læge, kan det anvendes under graviditet, men kun efter en grundig vurdering.</w:t>
      </w:r>
    </w:p>
    <w:p w14:paraId="12487DA0" w14:textId="77777777" w:rsidR="00EF0052" w:rsidRPr="00EC314E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På grund af den potentielle risiko for </w:t>
      </w:r>
      <w:proofErr w:type="spellStart"/>
      <w:r w:rsidRPr="00EC314E">
        <w:rPr>
          <w:sz w:val="24"/>
          <w:szCs w:val="24"/>
        </w:rPr>
        <w:t>hæmolyse</w:t>
      </w:r>
      <w:proofErr w:type="spellEnd"/>
      <w:r w:rsidRPr="00EC314E">
        <w:rPr>
          <w:sz w:val="24"/>
          <w:szCs w:val="24"/>
        </w:rPr>
        <w:t xml:space="preserve"> af de umodne blodceller hos spædbørn, bør det ikke administreres tæt på eller under fødslen.</w:t>
      </w:r>
    </w:p>
    <w:p w14:paraId="175BD072" w14:textId="02081A20" w:rsidR="00EF0052" w:rsidRPr="00EC314E" w:rsidRDefault="00EF0052" w:rsidP="00D7210B">
      <w:pPr>
        <w:ind w:left="851"/>
        <w:rPr>
          <w:sz w:val="24"/>
          <w:szCs w:val="24"/>
        </w:rPr>
      </w:pPr>
    </w:p>
    <w:p w14:paraId="7CCA19B6" w14:textId="77777777" w:rsidR="00EF0052" w:rsidRPr="00EC314E" w:rsidRDefault="00EF0052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Amning</w:t>
      </w:r>
    </w:p>
    <w:p w14:paraId="70494A88" w14:textId="77777777" w:rsidR="00EF0052" w:rsidRPr="00EC314E" w:rsidRDefault="00EF0052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udskilles i modermælken og påvises i meget små mængder, hvor det er usandsynligt, at de vil forårsage </w:t>
      </w:r>
      <w:proofErr w:type="spellStart"/>
      <w:r w:rsidRPr="00EC314E">
        <w:rPr>
          <w:sz w:val="24"/>
          <w:szCs w:val="24"/>
        </w:rPr>
        <w:t>hæmolytisk</w:t>
      </w:r>
      <w:proofErr w:type="spellEnd"/>
      <w:r w:rsidRPr="00EC314E">
        <w:rPr>
          <w:sz w:val="24"/>
          <w:szCs w:val="24"/>
        </w:rPr>
        <w:t xml:space="preserve"> anæmi hos et spædbarn med G6PD-mangel. Der bør udvises forsigtighed ved brug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under amning.</w:t>
      </w:r>
    </w:p>
    <w:p w14:paraId="0BDEFD8B" w14:textId="46BD4781" w:rsidR="00EF0052" w:rsidRPr="00EC314E" w:rsidRDefault="00EF0052" w:rsidP="00D7210B">
      <w:pPr>
        <w:ind w:left="851"/>
        <w:rPr>
          <w:sz w:val="24"/>
          <w:szCs w:val="24"/>
        </w:rPr>
      </w:pPr>
    </w:p>
    <w:p w14:paraId="45E91B51" w14:textId="77777777" w:rsidR="00EF0052" w:rsidRPr="00EC314E" w:rsidRDefault="00EF0052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Fertilitet</w:t>
      </w:r>
    </w:p>
    <w:p w14:paraId="1AC9C047" w14:textId="77777777" w:rsidR="00EF0052" w:rsidRPr="00EC314E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En forbigående standsning af </w:t>
      </w:r>
      <w:proofErr w:type="spellStart"/>
      <w:r w:rsidRPr="00EC314E">
        <w:rPr>
          <w:sz w:val="24"/>
          <w:szCs w:val="24"/>
        </w:rPr>
        <w:t>spermatogenesen</w:t>
      </w:r>
      <w:proofErr w:type="spellEnd"/>
      <w:r w:rsidRPr="00EC314E">
        <w:rPr>
          <w:sz w:val="24"/>
          <w:szCs w:val="24"/>
        </w:rPr>
        <w:t xml:space="preserve"> og nedsat spermatozotal er observeret hos mænd ved supraterapeutiske doser. Selvom der blev observeret en midlertidig standsning </w:t>
      </w:r>
      <w:r w:rsidRPr="00EC314E">
        <w:rPr>
          <w:sz w:val="24"/>
          <w:szCs w:val="24"/>
        </w:rPr>
        <w:lastRenderedPageBreak/>
        <w:t xml:space="preserve">af </w:t>
      </w:r>
      <w:proofErr w:type="spellStart"/>
      <w:r w:rsidRPr="00EC314E">
        <w:rPr>
          <w:sz w:val="24"/>
          <w:szCs w:val="24"/>
        </w:rPr>
        <w:t>spermatogenesen</w:t>
      </w:r>
      <w:proofErr w:type="spellEnd"/>
      <w:r w:rsidRPr="00EC314E">
        <w:rPr>
          <w:sz w:val="24"/>
          <w:szCs w:val="24"/>
        </w:rPr>
        <w:t xml:space="preserve"> hos rotter ved høje doser, er der i dyreforsøg ikke observeret nedsat fertilitet.</w:t>
      </w:r>
    </w:p>
    <w:p w14:paraId="666D02B1" w14:textId="48E23311" w:rsidR="00EF0052" w:rsidRPr="00EC314E" w:rsidRDefault="00EF0052" w:rsidP="00D7210B">
      <w:pPr>
        <w:ind w:left="851"/>
        <w:rPr>
          <w:sz w:val="24"/>
          <w:szCs w:val="24"/>
        </w:rPr>
      </w:pPr>
    </w:p>
    <w:p w14:paraId="12822625" w14:textId="77777777" w:rsidR="00EF0052" w:rsidRPr="00EC314E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Kliniske doser har ikke været associeret med mandlig </w:t>
      </w:r>
      <w:proofErr w:type="spellStart"/>
      <w:r w:rsidRPr="00EC314E">
        <w:rPr>
          <w:sz w:val="24"/>
          <w:szCs w:val="24"/>
        </w:rPr>
        <w:t>infertilitet</w:t>
      </w:r>
      <w:proofErr w:type="spellEnd"/>
      <w:r w:rsidRPr="00EC314E">
        <w:rPr>
          <w:sz w:val="24"/>
          <w:szCs w:val="24"/>
        </w:rPr>
        <w:t>.</w:t>
      </w:r>
    </w:p>
    <w:p w14:paraId="395B05E1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FD5144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4.7</w:t>
      </w:r>
      <w:r w:rsidRPr="00EC314E">
        <w:rPr>
          <w:b/>
          <w:sz w:val="24"/>
          <w:szCs w:val="24"/>
        </w:rPr>
        <w:tab/>
        <w:t xml:space="preserve">Virkning på evnen til at føre motorkøretøj </w:t>
      </w:r>
      <w:r w:rsidR="0071241E" w:rsidRPr="00EC314E">
        <w:rPr>
          <w:b/>
          <w:sz w:val="24"/>
          <w:szCs w:val="24"/>
        </w:rPr>
        <w:t>og</w:t>
      </w:r>
      <w:r w:rsidRPr="00EC314E">
        <w:rPr>
          <w:b/>
          <w:sz w:val="24"/>
          <w:szCs w:val="24"/>
        </w:rPr>
        <w:t xml:space="preserve"> betjene maskiner</w:t>
      </w:r>
    </w:p>
    <w:p w14:paraId="7B96CE5D" w14:textId="77777777" w:rsidR="00EC314E" w:rsidRDefault="00EC314E" w:rsidP="00D7210B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58239750" w14:textId="3F3551FB" w:rsidR="009260DE" w:rsidRPr="00EC314E" w:rsidRDefault="00EF0052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forårsage svimmelhed og døsighed. I de sjældne tilfælde, hvor det forekommer, bør patienten ikke føre motorkøretøj eller betjene maskiner, før symptomerne forsvinder.</w:t>
      </w:r>
    </w:p>
    <w:p w14:paraId="6870AA68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464986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4.8</w:t>
      </w:r>
      <w:r w:rsidRPr="00EC314E">
        <w:rPr>
          <w:b/>
          <w:sz w:val="24"/>
          <w:szCs w:val="24"/>
        </w:rPr>
        <w:tab/>
        <w:t>Bivirkninger</w:t>
      </w:r>
    </w:p>
    <w:p w14:paraId="420F0987" w14:textId="06A27943" w:rsidR="00EF0052" w:rsidRDefault="00EF0052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Listen over bivirkninger ved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er anført efter systemorganklasse nedenfor. Hyppigheden af bivirkningerne er defineret i henhold til følgende konvention: Meget almindelig (≥1/10), Sjælden (≥1/10 000 til &lt;1/1000), Ikke kendt (kan ikke estimeres ud fra forhåndenværende data)</w:t>
      </w:r>
      <w:r w:rsidR="00EC314E">
        <w:rPr>
          <w:sz w:val="24"/>
          <w:szCs w:val="24"/>
        </w:rPr>
        <w:t>.</w:t>
      </w:r>
    </w:p>
    <w:p w14:paraId="2212B4FE" w14:textId="77777777" w:rsidR="00EC314E" w:rsidRPr="00EC314E" w:rsidRDefault="00EC314E" w:rsidP="00D7210B">
      <w:pPr>
        <w:ind w:left="851"/>
        <w:rPr>
          <w:sz w:val="24"/>
          <w:szCs w:val="24"/>
        </w:rPr>
      </w:pPr>
    </w:p>
    <w:p w14:paraId="7F6D8813" w14:textId="77777777" w:rsidR="00BD13AA" w:rsidRPr="00EC314E" w:rsidRDefault="00BD13AA" w:rsidP="00BD13AA">
      <w:pPr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 xml:space="preserve">Tabel 1: Bivirkninger indberettet med </w:t>
      </w:r>
      <w:proofErr w:type="spellStart"/>
      <w:r w:rsidRPr="00EC314E">
        <w:rPr>
          <w:b/>
          <w:sz w:val="24"/>
          <w:szCs w:val="24"/>
        </w:rPr>
        <w:t>nitrofurantoin</w:t>
      </w:r>
      <w:proofErr w:type="spellEnd"/>
    </w:p>
    <w:p w14:paraId="347F692E" w14:textId="55ED632C" w:rsidR="009260DE" w:rsidRPr="00EC314E" w:rsidRDefault="009260DE" w:rsidP="00BD13AA">
      <w:pPr>
        <w:rPr>
          <w:sz w:val="24"/>
          <w:szCs w:val="24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3303"/>
        <w:gridCol w:w="3196"/>
        <w:gridCol w:w="3129"/>
      </w:tblGrid>
      <w:tr w:rsidR="00D7210B" w:rsidRPr="00EC314E" w14:paraId="73C59921" w14:textId="77777777" w:rsidTr="00A5784E">
        <w:tc>
          <w:tcPr>
            <w:tcW w:w="3303" w:type="dxa"/>
          </w:tcPr>
          <w:p w14:paraId="2DC50B15" w14:textId="77777777" w:rsidR="00EF0052" w:rsidRPr="00EC314E" w:rsidRDefault="00EF0052" w:rsidP="00D7210B">
            <w:pPr>
              <w:rPr>
                <w:b/>
                <w:sz w:val="24"/>
                <w:szCs w:val="24"/>
              </w:rPr>
            </w:pPr>
            <w:proofErr w:type="spellStart"/>
            <w:r w:rsidRPr="00EC314E">
              <w:rPr>
                <w:b/>
                <w:sz w:val="24"/>
                <w:szCs w:val="24"/>
              </w:rPr>
              <w:t>MedDRA</w:t>
            </w:r>
            <w:proofErr w:type="spellEnd"/>
            <w:r w:rsidRPr="00EC314E">
              <w:rPr>
                <w:b/>
                <w:sz w:val="24"/>
                <w:szCs w:val="24"/>
              </w:rPr>
              <w:t>-systemorganklasse</w:t>
            </w:r>
          </w:p>
          <w:p w14:paraId="5169A9EE" w14:textId="77777777" w:rsidR="00EF0052" w:rsidRPr="00EC314E" w:rsidRDefault="00EF0052" w:rsidP="00D7210B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14:paraId="5DA8EEEB" w14:textId="64F94DF8" w:rsidR="00EF0052" w:rsidRPr="00EC314E" w:rsidRDefault="00EF0052" w:rsidP="00D7210B">
            <w:pPr>
              <w:rPr>
                <w:b/>
                <w:sz w:val="24"/>
                <w:szCs w:val="24"/>
              </w:rPr>
            </w:pPr>
            <w:r w:rsidRPr="00EC314E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3129" w:type="dxa"/>
          </w:tcPr>
          <w:p w14:paraId="34E296F2" w14:textId="722A848E" w:rsidR="00EF0052" w:rsidRPr="00EC314E" w:rsidRDefault="00EF0052" w:rsidP="00D7210B">
            <w:pPr>
              <w:rPr>
                <w:b/>
                <w:sz w:val="24"/>
                <w:szCs w:val="24"/>
              </w:rPr>
            </w:pPr>
            <w:r w:rsidRPr="00EC314E">
              <w:rPr>
                <w:b/>
                <w:sz w:val="24"/>
                <w:szCs w:val="24"/>
              </w:rPr>
              <w:t>Bivirkninger</w:t>
            </w:r>
          </w:p>
        </w:tc>
      </w:tr>
      <w:tr w:rsidR="00D7210B" w:rsidRPr="00EC314E" w14:paraId="1D3EF61D" w14:textId="77777777" w:rsidTr="00A5784E">
        <w:tc>
          <w:tcPr>
            <w:tcW w:w="3303" w:type="dxa"/>
            <w:vAlign w:val="center"/>
          </w:tcPr>
          <w:p w14:paraId="7E90714F" w14:textId="280A302C" w:rsidR="00EF0052" w:rsidRPr="00EC314E" w:rsidRDefault="00EF0052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Infektioner og parasitære sygdomme</w:t>
            </w:r>
          </w:p>
        </w:tc>
        <w:tc>
          <w:tcPr>
            <w:tcW w:w="3196" w:type="dxa"/>
            <w:vAlign w:val="center"/>
          </w:tcPr>
          <w:p w14:paraId="0657DA51" w14:textId="14F45598" w:rsidR="00EF0052" w:rsidRPr="00EC314E" w:rsidRDefault="00EF0052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21EA0DCC" w14:textId="4B2BD86F" w:rsidR="00864405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S</w:t>
            </w:r>
            <w:r w:rsidR="00864405" w:rsidRPr="00EC314E">
              <w:rPr>
                <w:sz w:val="24"/>
                <w:szCs w:val="24"/>
              </w:rPr>
              <w:t>ialoadenitis</w:t>
            </w:r>
            <w:proofErr w:type="spellEnd"/>
          </w:p>
          <w:p w14:paraId="735EF737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D7210B" w:rsidRPr="00EC314E" w14:paraId="7335C96B" w14:textId="77777777" w:rsidTr="00A5784E">
        <w:tc>
          <w:tcPr>
            <w:tcW w:w="3303" w:type="dxa"/>
            <w:vAlign w:val="center"/>
          </w:tcPr>
          <w:p w14:paraId="13747734" w14:textId="29E6D7C9" w:rsidR="00EF0052" w:rsidRPr="00EC314E" w:rsidRDefault="00EF0052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Blod og lymfesystem</w:t>
            </w:r>
          </w:p>
        </w:tc>
        <w:tc>
          <w:tcPr>
            <w:tcW w:w="3196" w:type="dxa"/>
            <w:vAlign w:val="center"/>
          </w:tcPr>
          <w:p w14:paraId="760DAFFF" w14:textId="71FE0E82" w:rsidR="00EF0052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</w:t>
            </w:r>
            <w:r w:rsidR="00EF0052" w:rsidRPr="00EC314E">
              <w:rPr>
                <w:sz w:val="24"/>
                <w:szCs w:val="24"/>
              </w:rPr>
              <w:t>jælden</w:t>
            </w:r>
          </w:p>
        </w:tc>
        <w:tc>
          <w:tcPr>
            <w:tcW w:w="3129" w:type="dxa"/>
            <w:vAlign w:val="center"/>
          </w:tcPr>
          <w:p w14:paraId="7C115961" w14:textId="62045632" w:rsidR="00864405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A</w:t>
            </w:r>
            <w:r w:rsidR="00864405" w:rsidRPr="00EC314E">
              <w:rPr>
                <w:sz w:val="24"/>
                <w:szCs w:val="24"/>
              </w:rPr>
              <w:t>granulocytose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, </w:t>
            </w:r>
            <w:proofErr w:type="spellStart"/>
            <w:r w:rsidR="00864405" w:rsidRPr="00EC314E">
              <w:rPr>
                <w:sz w:val="24"/>
                <w:szCs w:val="24"/>
              </w:rPr>
              <w:t>eosinofili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, </w:t>
            </w:r>
            <w:proofErr w:type="spellStart"/>
            <w:r w:rsidR="00864405" w:rsidRPr="00EC314E">
              <w:rPr>
                <w:sz w:val="24"/>
                <w:szCs w:val="24"/>
              </w:rPr>
              <w:t>leukopeni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, </w:t>
            </w:r>
            <w:proofErr w:type="spellStart"/>
            <w:r w:rsidR="00864405" w:rsidRPr="00EC314E">
              <w:rPr>
                <w:sz w:val="24"/>
                <w:szCs w:val="24"/>
              </w:rPr>
              <w:t>granulocytopeni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, </w:t>
            </w:r>
            <w:proofErr w:type="spellStart"/>
            <w:r w:rsidR="00864405" w:rsidRPr="00EC314E">
              <w:rPr>
                <w:sz w:val="24"/>
                <w:szCs w:val="24"/>
              </w:rPr>
              <w:t>trombocytopeni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, </w:t>
            </w:r>
            <w:proofErr w:type="spellStart"/>
            <w:r w:rsidR="00864405" w:rsidRPr="00EC314E">
              <w:rPr>
                <w:sz w:val="24"/>
                <w:szCs w:val="24"/>
              </w:rPr>
              <w:t>aplastisk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 anæmi, </w:t>
            </w:r>
            <w:proofErr w:type="spellStart"/>
            <w:r w:rsidR="00864405" w:rsidRPr="00EC314E">
              <w:rPr>
                <w:sz w:val="24"/>
                <w:szCs w:val="24"/>
              </w:rPr>
              <w:t>megaloblastær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 anæmi</w:t>
            </w:r>
            <w:r w:rsidR="00864405" w:rsidRPr="00EC314E">
              <w:rPr>
                <w:sz w:val="24"/>
                <w:szCs w:val="24"/>
                <w:vertAlign w:val="superscript"/>
              </w:rPr>
              <w:t>1</w:t>
            </w:r>
          </w:p>
          <w:p w14:paraId="0625CCFD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7D1E665B" w14:textId="77777777" w:rsidTr="00A5784E">
        <w:tc>
          <w:tcPr>
            <w:tcW w:w="3303" w:type="dxa"/>
            <w:vMerge w:val="restart"/>
            <w:vAlign w:val="center"/>
          </w:tcPr>
          <w:p w14:paraId="717D00F5" w14:textId="17F0FEA8" w:rsidR="00BD13AA" w:rsidRPr="00EC314E" w:rsidRDefault="00BD13AA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Immunsystemet</w:t>
            </w:r>
          </w:p>
        </w:tc>
        <w:tc>
          <w:tcPr>
            <w:tcW w:w="3196" w:type="dxa"/>
            <w:vAlign w:val="center"/>
          </w:tcPr>
          <w:p w14:paraId="639AB734" w14:textId="49D3B11F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Sjælden</w:t>
            </w:r>
          </w:p>
        </w:tc>
        <w:tc>
          <w:tcPr>
            <w:tcW w:w="3129" w:type="dxa"/>
            <w:vAlign w:val="center"/>
          </w:tcPr>
          <w:p w14:paraId="538E77A1" w14:textId="589ED953" w:rsidR="00BD13AA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Eksfoliativ</w:t>
            </w:r>
            <w:proofErr w:type="spellEnd"/>
            <w:r w:rsidRPr="00EC314E">
              <w:rPr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sz w:val="24"/>
                <w:szCs w:val="24"/>
              </w:rPr>
              <w:t>dermatitis</w:t>
            </w:r>
            <w:proofErr w:type="spellEnd"/>
            <w:r w:rsidRPr="00EC314E">
              <w:rPr>
                <w:sz w:val="24"/>
                <w:szCs w:val="24"/>
              </w:rPr>
              <w:t xml:space="preserve">, </w:t>
            </w:r>
            <w:proofErr w:type="spellStart"/>
            <w:r w:rsidRPr="00EC314E">
              <w:rPr>
                <w:sz w:val="24"/>
                <w:szCs w:val="24"/>
              </w:rPr>
              <w:t>erythema</w:t>
            </w:r>
            <w:proofErr w:type="spellEnd"/>
            <w:r w:rsidRPr="00EC314E">
              <w:rPr>
                <w:sz w:val="24"/>
                <w:szCs w:val="24"/>
              </w:rPr>
              <w:t xml:space="preserve"> multiforme (inklusive Stevens-Johnsons syndrom).</w:t>
            </w:r>
          </w:p>
          <w:p w14:paraId="41733E00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444130D4" w14:textId="77777777" w:rsidTr="00A5784E">
        <w:tc>
          <w:tcPr>
            <w:tcW w:w="3303" w:type="dxa"/>
            <w:vMerge/>
            <w:vAlign w:val="center"/>
          </w:tcPr>
          <w:p w14:paraId="7FAEDBED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7238006A" w14:textId="65838936" w:rsidR="00BD13AA" w:rsidRPr="00EC314E" w:rsidRDefault="00BD13AA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415E46E9" w14:textId="76FA7E5F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 xml:space="preserve">Allergiske hudreaktioner som </w:t>
            </w:r>
            <w:proofErr w:type="spellStart"/>
            <w:r w:rsidRPr="00EC314E">
              <w:rPr>
                <w:sz w:val="24"/>
                <w:szCs w:val="24"/>
              </w:rPr>
              <w:t>makulopapulløse</w:t>
            </w:r>
            <w:proofErr w:type="spellEnd"/>
            <w:r w:rsidRPr="00EC314E">
              <w:rPr>
                <w:sz w:val="24"/>
                <w:szCs w:val="24"/>
              </w:rPr>
              <w:t xml:space="preserve">, </w:t>
            </w:r>
            <w:proofErr w:type="spellStart"/>
            <w:r w:rsidRPr="00EC314E">
              <w:rPr>
                <w:sz w:val="24"/>
                <w:szCs w:val="24"/>
              </w:rPr>
              <w:t>erytematoøse</w:t>
            </w:r>
            <w:proofErr w:type="spellEnd"/>
            <w:r w:rsidRPr="00EC314E">
              <w:rPr>
                <w:sz w:val="24"/>
                <w:szCs w:val="24"/>
              </w:rPr>
              <w:t xml:space="preserve"> eller </w:t>
            </w:r>
            <w:proofErr w:type="spellStart"/>
            <w:r w:rsidRPr="00EC314E">
              <w:rPr>
                <w:sz w:val="24"/>
                <w:szCs w:val="24"/>
              </w:rPr>
              <w:t>eksematøse</w:t>
            </w:r>
            <w:proofErr w:type="spellEnd"/>
            <w:r w:rsidRPr="00EC314E">
              <w:rPr>
                <w:sz w:val="24"/>
                <w:szCs w:val="24"/>
              </w:rPr>
              <w:t xml:space="preserve"> udbrud, </w:t>
            </w:r>
            <w:proofErr w:type="spellStart"/>
            <w:r w:rsidRPr="00EC314E">
              <w:rPr>
                <w:sz w:val="24"/>
                <w:szCs w:val="24"/>
              </w:rPr>
              <w:t>urticaria</w:t>
            </w:r>
            <w:proofErr w:type="spellEnd"/>
            <w:r w:rsidRPr="00EC314E">
              <w:rPr>
                <w:sz w:val="24"/>
                <w:szCs w:val="24"/>
              </w:rPr>
              <w:t xml:space="preserve">, udslæt, </w:t>
            </w:r>
            <w:proofErr w:type="spellStart"/>
            <w:r w:rsidRPr="00EC314E">
              <w:rPr>
                <w:sz w:val="24"/>
                <w:szCs w:val="24"/>
              </w:rPr>
              <w:t>angioødem</w:t>
            </w:r>
            <w:proofErr w:type="spellEnd"/>
            <w:r w:rsidRPr="00EC314E">
              <w:rPr>
                <w:sz w:val="24"/>
                <w:szCs w:val="24"/>
              </w:rPr>
              <w:t xml:space="preserve">. Lupus-lignende syndrom (associeret med lungereaktioner), </w:t>
            </w:r>
            <w:proofErr w:type="spellStart"/>
            <w:r w:rsidRPr="00EC314E">
              <w:rPr>
                <w:sz w:val="24"/>
                <w:szCs w:val="24"/>
              </w:rPr>
              <w:t>anafylaktiske</w:t>
            </w:r>
            <w:proofErr w:type="spellEnd"/>
            <w:r w:rsidRPr="00EC314E">
              <w:rPr>
                <w:sz w:val="24"/>
                <w:szCs w:val="24"/>
              </w:rPr>
              <w:t xml:space="preserve"> reaktioner, </w:t>
            </w:r>
            <w:proofErr w:type="spellStart"/>
            <w:r w:rsidRPr="00EC314E">
              <w:rPr>
                <w:sz w:val="24"/>
                <w:szCs w:val="24"/>
              </w:rPr>
              <w:t>kutan</w:t>
            </w:r>
            <w:proofErr w:type="spellEnd"/>
            <w:r w:rsidRPr="00EC314E">
              <w:rPr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sz w:val="24"/>
                <w:szCs w:val="24"/>
              </w:rPr>
              <w:t>vasculitis</w:t>
            </w:r>
            <w:proofErr w:type="spellEnd"/>
            <w:r w:rsidRPr="00EC314E">
              <w:rPr>
                <w:sz w:val="24"/>
                <w:szCs w:val="24"/>
              </w:rPr>
              <w:t>.</w:t>
            </w:r>
          </w:p>
          <w:p w14:paraId="6974E34F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D7210B" w:rsidRPr="00EC314E" w14:paraId="3BFFA938" w14:textId="77777777" w:rsidTr="00A5784E">
        <w:tc>
          <w:tcPr>
            <w:tcW w:w="3303" w:type="dxa"/>
            <w:vAlign w:val="center"/>
          </w:tcPr>
          <w:p w14:paraId="1249A187" w14:textId="0233D914" w:rsidR="00EF0052" w:rsidRPr="00EC314E" w:rsidRDefault="00EF0052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Metabolisme og ernæring</w:t>
            </w:r>
          </w:p>
        </w:tc>
        <w:tc>
          <w:tcPr>
            <w:tcW w:w="3196" w:type="dxa"/>
            <w:vAlign w:val="center"/>
          </w:tcPr>
          <w:p w14:paraId="2DC6843F" w14:textId="5AE175A4" w:rsidR="00EF0052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</w:t>
            </w:r>
            <w:r w:rsidR="00EF0052" w:rsidRPr="00EC314E">
              <w:rPr>
                <w:sz w:val="24"/>
                <w:szCs w:val="24"/>
              </w:rPr>
              <w:t>jælden</w:t>
            </w:r>
          </w:p>
        </w:tc>
        <w:tc>
          <w:tcPr>
            <w:tcW w:w="3129" w:type="dxa"/>
            <w:vAlign w:val="center"/>
          </w:tcPr>
          <w:p w14:paraId="65AEB93E" w14:textId="1F690620" w:rsidR="00864405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A</w:t>
            </w:r>
            <w:r w:rsidR="00864405" w:rsidRPr="00EC314E">
              <w:rPr>
                <w:sz w:val="24"/>
                <w:szCs w:val="24"/>
              </w:rPr>
              <w:t>noreksi</w:t>
            </w:r>
          </w:p>
          <w:p w14:paraId="33CC3450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864405" w:rsidRPr="00EC314E" w14:paraId="3CD52AFD" w14:textId="77777777" w:rsidTr="00A5784E">
        <w:tc>
          <w:tcPr>
            <w:tcW w:w="3303" w:type="dxa"/>
            <w:vAlign w:val="center"/>
          </w:tcPr>
          <w:p w14:paraId="70D4A6C1" w14:textId="1A1B7C6E" w:rsidR="00864405" w:rsidRPr="00EC314E" w:rsidRDefault="00864405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Psykiske forstyrrelser</w:t>
            </w:r>
            <w:r w:rsidRPr="00EC314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6" w:type="dxa"/>
            <w:vAlign w:val="center"/>
          </w:tcPr>
          <w:p w14:paraId="290E21E4" w14:textId="10C2304D" w:rsidR="00864405" w:rsidRPr="00EC314E" w:rsidRDefault="0086440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68E46466" w14:textId="3970EA5B" w:rsidR="00864405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D</w:t>
            </w:r>
            <w:r w:rsidR="00864405" w:rsidRPr="00EC314E">
              <w:rPr>
                <w:sz w:val="24"/>
                <w:szCs w:val="24"/>
              </w:rPr>
              <w:t>epression, eufori, konfusion, psykotiske reaktioner, hovedpine</w:t>
            </w:r>
            <w:r w:rsidR="00864405" w:rsidRPr="00EC314E">
              <w:rPr>
                <w:sz w:val="24"/>
                <w:szCs w:val="24"/>
                <w:vertAlign w:val="superscript"/>
              </w:rPr>
              <w:t>2</w:t>
            </w:r>
            <w:r w:rsidR="00864405" w:rsidRPr="00EC314E">
              <w:rPr>
                <w:sz w:val="24"/>
                <w:szCs w:val="24"/>
              </w:rPr>
              <w:t>.</w:t>
            </w:r>
          </w:p>
          <w:p w14:paraId="1E36F156" w14:textId="77777777" w:rsidR="00864405" w:rsidRPr="00EC314E" w:rsidRDefault="00864405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5C684B34" w14:textId="77777777" w:rsidTr="00A5784E">
        <w:tc>
          <w:tcPr>
            <w:tcW w:w="3303" w:type="dxa"/>
            <w:vMerge w:val="restart"/>
            <w:vAlign w:val="center"/>
          </w:tcPr>
          <w:p w14:paraId="5A0BA01C" w14:textId="2B81493A" w:rsidR="00BD13AA" w:rsidRPr="00EC314E" w:rsidRDefault="00BD13AA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lastRenderedPageBreak/>
              <w:t>Nervesystemet</w:t>
            </w:r>
          </w:p>
        </w:tc>
        <w:tc>
          <w:tcPr>
            <w:tcW w:w="3196" w:type="dxa"/>
            <w:vAlign w:val="center"/>
          </w:tcPr>
          <w:p w14:paraId="0B0A390D" w14:textId="19E30892" w:rsidR="00BD13AA" w:rsidRPr="00EC314E" w:rsidRDefault="00BD13AA" w:rsidP="00BD13AA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Meget almindelig</w:t>
            </w:r>
          </w:p>
        </w:tc>
        <w:tc>
          <w:tcPr>
            <w:tcW w:w="3129" w:type="dxa"/>
            <w:vAlign w:val="center"/>
          </w:tcPr>
          <w:p w14:paraId="3A678927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 xml:space="preserve">Idiopatisk </w:t>
            </w:r>
            <w:proofErr w:type="spellStart"/>
            <w:r w:rsidRPr="00EC314E">
              <w:rPr>
                <w:sz w:val="24"/>
                <w:szCs w:val="24"/>
              </w:rPr>
              <w:t>intrakraniel</w:t>
            </w:r>
            <w:proofErr w:type="spellEnd"/>
            <w:r w:rsidRPr="00EC314E">
              <w:rPr>
                <w:sz w:val="24"/>
                <w:szCs w:val="24"/>
              </w:rPr>
              <w:t xml:space="preserve"> hypertension</w:t>
            </w:r>
          </w:p>
          <w:p w14:paraId="223B6A43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5F0D32BE" w14:textId="77777777" w:rsidTr="00A5784E">
        <w:tc>
          <w:tcPr>
            <w:tcW w:w="3303" w:type="dxa"/>
            <w:vMerge/>
            <w:vAlign w:val="center"/>
          </w:tcPr>
          <w:p w14:paraId="2ECB441A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47006533" w14:textId="34528FC6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64FA829A" w14:textId="6C726850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 xml:space="preserve">Perifer </w:t>
            </w:r>
            <w:proofErr w:type="spellStart"/>
            <w:r w:rsidRPr="00EC314E">
              <w:rPr>
                <w:sz w:val="24"/>
                <w:szCs w:val="24"/>
              </w:rPr>
              <w:t>neuropati</w:t>
            </w:r>
            <w:proofErr w:type="spellEnd"/>
            <w:r w:rsidRPr="00EC314E">
              <w:rPr>
                <w:sz w:val="24"/>
                <w:szCs w:val="24"/>
              </w:rPr>
              <w:t xml:space="preserve"> (inklusive </w:t>
            </w:r>
            <w:proofErr w:type="spellStart"/>
            <w:r w:rsidRPr="00EC314E">
              <w:rPr>
                <w:sz w:val="24"/>
                <w:szCs w:val="24"/>
              </w:rPr>
              <w:t>opticusneuritis</w:t>
            </w:r>
            <w:proofErr w:type="spellEnd"/>
            <w:r w:rsidRPr="00EC314E">
              <w:rPr>
                <w:sz w:val="24"/>
                <w:szCs w:val="24"/>
              </w:rPr>
              <w:t xml:space="preserve">) med symptomer, der involverer både sensoriske og motoriske implikationer, som kan blive svære eller irreversible, </w:t>
            </w:r>
            <w:proofErr w:type="spellStart"/>
            <w:r w:rsidRPr="00EC314E">
              <w:rPr>
                <w:sz w:val="24"/>
                <w:szCs w:val="24"/>
              </w:rPr>
              <w:t>opticusneuritis</w:t>
            </w:r>
            <w:proofErr w:type="spellEnd"/>
            <w:r w:rsidRPr="00EC314E">
              <w:rPr>
                <w:sz w:val="24"/>
                <w:szCs w:val="24"/>
              </w:rPr>
              <w:t xml:space="preserve">, nystagmus, svimmelhed, </w:t>
            </w:r>
            <w:proofErr w:type="spellStart"/>
            <w:r w:rsidRPr="00EC314E">
              <w:rPr>
                <w:sz w:val="24"/>
                <w:szCs w:val="24"/>
              </w:rPr>
              <w:t>somnolens</w:t>
            </w:r>
            <w:proofErr w:type="spellEnd"/>
            <w:r w:rsidRPr="00EC314E">
              <w:rPr>
                <w:sz w:val="24"/>
                <w:szCs w:val="24"/>
              </w:rPr>
              <w:t>.</w:t>
            </w:r>
          </w:p>
          <w:p w14:paraId="75372180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EF0052" w:rsidRPr="00EC314E" w14:paraId="29249C86" w14:textId="77777777" w:rsidTr="00A5784E">
        <w:tc>
          <w:tcPr>
            <w:tcW w:w="3303" w:type="dxa"/>
            <w:vAlign w:val="center"/>
          </w:tcPr>
          <w:p w14:paraId="441E3D50" w14:textId="77777777" w:rsidR="00EF0052" w:rsidRPr="00EC314E" w:rsidRDefault="00EF0052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Hjerte</w:t>
            </w:r>
          </w:p>
          <w:p w14:paraId="64A76382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04A14F4B" w14:textId="7026ACC3" w:rsidR="00EF0052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</w:t>
            </w:r>
            <w:r w:rsidR="00EF0052" w:rsidRPr="00EC314E">
              <w:rPr>
                <w:sz w:val="24"/>
                <w:szCs w:val="24"/>
              </w:rPr>
              <w:t>jælden</w:t>
            </w:r>
          </w:p>
        </w:tc>
        <w:tc>
          <w:tcPr>
            <w:tcW w:w="3129" w:type="dxa"/>
            <w:vAlign w:val="center"/>
          </w:tcPr>
          <w:p w14:paraId="4A21821A" w14:textId="5C579ED4" w:rsidR="00864405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K</w:t>
            </w:r>
            <w:r w:rsidR="00864405" w:rsidRPr="00EC314E">
              <w:rPr>
                <w:sz w:val="24"/>
                <w:szCs w:val="24"/>
              </w:rPr>
              <w:t>ollaps, cyanose</w:t>
            </w:r>
          </w:p>
          <w:p w14:paraId="3B6B944A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EF0052" w:rsidRPr="00EC314E" w14:paraId="63B29828" w14:textId="77777777" w:rsidTr="00A5784E">
        <w:tc>
          <w:tcPr>
            <w:tcW w:w="3303" w:type="dxa"/>
            <w:vAlign w:val="center"/>
          </w:tcPr>
          <w:p w14:paraId="675202C4" w14:textId="77777777" w:rsidR="00EF0052" w:rsidRPr="00EC314E" w:rsidRDefault="00EF0052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EC314E">
              <w:rPr>
                <w:sz w:val="24"/>
                <w:szCs w:val="24"/>
              </w:rPr>
              <w:t>mediastinum</w:t>
            </w:r>
            <w:proofErr w:type="spellEnd"/>
          </w:p>
          <w:p w14:paraId="6AB84C49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3B538947" w14:textId="68AEBB67" w:rsidR="00EF0052" w:rsidRPr="00EC314E" w:rsidRDefault="009A45D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48BB215E" w14:textId="2FDFEDD9" w:rsidR="00864405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A</w:t>
            </w:r>
            <w:r w:rsidR="00864405" w:rsidRPr="00EC314E">
              <w:rPr>
                <w:sz w:val="24"/>
                <w:szCs w:val="24"/>
              </w:rPr>
              <w:t>kutte lungereaktioner</w:t>
            </w:r>
            <w:r w:rsidR="00864405" w:rsidRPr="00EC314E">
              <w:rPr>
                <w:sz w:val="24"/>
                <w:szCs w:val="24"/>
                <w:vertAlign w:val="superscript"/>
              </w:rPr>
              <w:t>3</w:t>
            </w:r>
            <w:r w:rsidR="00864405" w:rsidRPr="00EC314E">
              <w:rPr>
                <w:sz w:val="24"/>
                <w:szCs w:val="24"/>
              </w:rPr>
              <w:t xml:space="preserve"> inklusive feber, kulderystelser</w:t>
            </w:r>
            <w:r w:rsidR="00864405" w:rsidRPr="00EC314E">
              <w:rPr>
                <w:sz w:val="24"/>
                <w:szCs w:val="24"/>
                <w:vertAlign w:val="superscript"/>
              </w:rPr>
              <w:t>4</w:t>
            </w:r>
            <w:r w:rsidR="00864405" w:rsidRPr="00EC314E">
              <w:rPr>
                <w:sz w:val="24"/>
                <w:szCs w:val="24"/>
              </w:rPr>
              <w:t xml:space="preserve">, brystsmerter, dyspnø, hoste, lungeinfiltration med konsolidering eller </w:t>
            </w:r>
            <w:proofErr w:type="spellStart"/>
            <w:r w:rsidR="00864405" w:rsidRPr="00EC314E">
              <w:rPr>
                <w:sz w:val="24"/>
                <w:szCs w:val="24"/>
              </w:rPr>
              <w:t>pleural</w:t>
            </w:r>
            <w:proofErr w:type="spellEnd"/>
            <w:r w:rsidR="00864405" w:rsidRPr="00EC314E">
              <w:rPr>
                <w:sz w:val="24"/>
                <w:szCs w:val="24"/>
              </w:rPr>
              <w:t xml:space="preserve"> effusion</w:t>
            </w:r>
            <w:r w:rsidR="00864405" w:rsidRPr="00EC314E">
              <w:rPr>
                <w:sz w:val="24"/>
                <w:szCs w:val="24"/>
                <w:vertAlign w:val="superscript"/>
              </w:rPr>
              <w:t>5</w:t>
            </w:r>
            <w:r w:rsidR="00864405" w:rsidRPr="00EC314E">
              <w:rPr>
                <w:sz w:val="24"/>
                <w:szCs w:val="24"/>
              </w:rPr>
              <w:t xml:space="preserve"> i brystet indikeret ved røntgenstråler, </w:t>
            </w:r>
            <w:proofErr w:type="spellStart"/>
            <w:r w:rsidR="00864405" w:rsidRPr="00EC314E">
              <w:rPr>
                <w:sz w:val="24"/>
                <w:szCs w:val="24"/>
              </w:rPr>
              <w:t>eosinofili</w:t>
            </w:r>
            <w:proofErr w:type="spellEnd"/>
            <w:r w:rsidR="00864405" w:rsidRPr="00EC314E">
              <w:rPr>
                <w:sz w:val="24"/>
                <w:szCs w:val="24"/>
              </w:rPr>
              <w:t>.</w:t>
            </w:r>
          </w:p>
          <w:p w14:paraId="4DFBF6CD" w14:textId="77777777" w:rsidR="00864405" w:rsidRPr="00EC314E" w:rsidRDefault="00864405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subakutte</w:t>
            </w:r>
            <w:proofErr w:type="spellEnd"/>
            <w:r w:rsidRPr="00EC314E">
              <w:rPr>
                <w:sz w:val="24"/>
                <w:szCs w:val="24"/>
              </w:rPr>
              <w:t xml:space="preserve"> lungereaktioner, herunder feber, </w:t>
            </w:r>
            <w:proofErr w:type="spellStart"/>
            <w:r w:rsidRPr="00EC314E">
              <w:rPr>
                <w:sz w:val="24"/>
                <w:szCs w:val="24"/>
              </w:rPr>
              <w:t>eosinofili</w:t>
            </w:r>
            <w:proofErr w:type="spellEnd"/>
          </w:p>
          <w:p w14:paraId="71EFE67D" w14:textId="77777777" w:rsidR="00864405" w:rsidRPr="00EC314E" w:rsidRDefault="0086440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kroniske lungereaktioner inklusive feber, kulderystelser, hoste, dyspnø</w:t>
            </w:r>
            <w:r w:rsidRPr="00EC314E">
              <w:rPr>
                <w:sz w:val="24"/>
                <w:szCs w:val="24"/>
                <w:vertAlign w:val="superscript"/>
              </w:rPr>
              <w:t>6</w:t>
            </w:r>
            <w:r w:rsidRPr="00EC314E">
              <w:rPr>
                <w:sz w:val="24"/>
                <w:szCs w:val="24"/>
              </w:rPr>
              <w:t>, DRESS-syndrom.</w:t>
            </w:r>
          </w:p>
          <w:p w14:paraId="0EC62CD5" w14:textId="3E639832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17AC2525" w14:textId="77777777" w:rsidTr="00A5784E">
        <w:tc>
          <w:tcPr>
            <w:tcW w:w="3303" w:type="dxa"/>
            <w:vMerge w:val="restart"/>
            <w:vAlign w:val="center"/>
          </w:tcPr>
          <w:p w14:paraId="1B4795CB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Mave-tarm-kanalen</w:t>
            </w:r>
          </w:p>
          <w:p w14:paraId="43B48F35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00E6BD1F" w14:textId="5EB407AA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Sjælden</w:t>
            </w:r>
          </w:p>
        </w:tc>
        <w:tc>
          <w:tcPr>
            <w:tcW w:w="3129" w:type="dxa"/>
            <w:vAlign w:val="center"/>
          </w:tcPr>
          <w:p w14:paraId="5980FC92" w14:textId="28EFE9E3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Kvalme</w:t>
            </w:r>
          </w:p>
          <w:p w14:paraId="2EF21213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647F6B46" w14:textId="77777777" w:rsidTr="00A5784E">
        <w:tc>
          <w:tcPr>
            <w:tcW w:w="3303" w:type="dxa"/>
            <w:vMerge/>
            <w:vAlign w:val="center"/>
          </w:tcPr>
          <w:p w14:paraId="59C2E995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2587E660" w14:textId="07433EF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464FF490" w14:textId="0A67B9A8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 xml:space="preserve">Opkastning, mavesmerter, diarré, </w:t>
            </w:r>
            <w:proofErr w:type="spellStart"/>
            <w:r w:rsidRPr="00EC314E">
              <w:rPr>
                <w:sz w:val="24"/>
                <w:szCs w:val="24"/>
              </w:rPr>
              <w:t>pancreatitis</w:t>
            </w:r>
            <w:proofErr w:type="spellEnd"/>
          </w:p>
          <w:p w14:paraId="699DC445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32BF70B8" w14:textId="77777777" w:rsidTr="00A5784E">
        <w:tc>
          <w:tcPr>
            <w:tcW w:w="3303" w:type="dxa"/>
            <w:vMerge w:val="restart"/>
            <w:vAlign w:val="center"/>
          </w:tcPr>
          <w:p w14:paraId="4AEE8E25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Lever og galdeveje</w:t>
            </w:r>
          </w:p>
          <w:p w14:paraId="1979FDEC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780F134F" w14:textId="658DA430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Sjælden</w:t>
            </w:r>
          </w:p>
        </w:tc>
        <w:tc>
          <w:tcPr>
            <w:tcW w:w="3129" w:type="dxa"/>
            <w:vAlign w:val="center"/>
          </w:tcPr>
          <w:p w14:paraId="568EBDB8" w14:textId="602D2B1C" w:rsidR="00BD13AA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Kolestatis</w:t>
            </w:r>
            <w:proofErr w:type="spellEnd"/>
            <w:r w:rsidRPr="00EC314E">
              <w:rPr>
                <w:sz w:val="24"/>
                <w:szCs w:val="24"/>
              </w:rPr>
              <w:t xml:space="preserve"> gulsot, kronisk aktiv hepatitis</w:t>
            </w:r>
            <w:r w:rsidRPr="00EC314E">
              <w:rPr>
                <w:sz w:val="24"/>
                <w:szCs w:val="24"/>
                <w:vertAlign w:val="superscript"/>
              </w:rPr>
              <w:t>7</w:t>
            </w:r>
            <w:r w:rsidRPr="00EC314E">
              <w:rPr>
                <w:sz w:val="24"/>
                <w:szCs w:val="24"/>
              </w:rPr>
              <w:t>.</w:t>
            </w:r>
          </w:p>
          <w:p w14:paraId="7564AFF6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4AB36EC4" w14:textId="77777777" w:rsidTr="00A5784E">
        <w:tc>
          <w:tcPr>
            <w:tcW w:w="3303" w:type="dxa"/>
            <w:vMerge/>
            <w:vAlign w:val="center"/>
          </w:tcPr>
          <w:p w14:paraId="6E47F697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59CBF6AA" w14:textId="60AD4213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2DEFD14E" w14:textId="69C37DAE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Autoimmun hepatitis</w:t>
            </w:r>
          </w:p>
          <w:p w14:paraId="00C2C2AF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3022652A" w14:textId="77777777" w:rsidTr="00A5784E">
        <w:tc>
          <w:tcPr>
            <w:tcW w:w="3303" w:type="dxa"/>
            <w:vMerge w:val="restart"/>
            <w:vAlign w:val="center"/>
          </w:tcPr>
          <w:p w14:paraId="7373484A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Hud og subkutane væv</w:t>
            </w:r>
          </w:p>
          <w:p w14:paraId="30B7F2D6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67AAAC30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Meget almindelig</w:t>
            </w:r>
          </w:p>
          <w:p w14:paraId="1BEBC181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363E7C21" w14:textId="171FC363" w:rsidR="00BD13AA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Alopecia</w:t>
            </w:r>
            <w:proofErr w:type="spellEnd"/>
            <w:r w:rsidRPr="00EC314E">
              <w:rPr>
                <w:sz w:val="24"/>
                <w:szCs w:val="24"/>
              </w:rPr>
              <w:t xml:space="preserve"> (kortvarig)</w:t>
            </w:r>
          </w:p>
          <w:p w14:paraId="3E6B2976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37179A5B" w14:textId="77777777" w:rsidTr="00A5784E">
        <w:tc>
          <w:tcPr>
            <w:tcW w:w="3303" w:type="dxa"/>
            <w:vMerge/>
            <w:vAlign w:val="center"/>
          </w:tcPr>
          <w:p w14:paraId="22B1F1FB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1F9CEC33" w14:textId="1EF59022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6CA3FFC7" w14:textId="251BE10A" w:rsidR="00BD13AA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Kutan</w:t>
            </w:r>
            <w:proofErr w:type="spellEnd"/>
            <w:r w:rsidRPr="00EC314E">
              <w:rPr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sz w:val="24"/>
                <w:szCs w:val="24"/>
              </w:rPr>
              <w:t>vasculitis</w:t>
            </w:r>
            <w:proofErr w:type="spellEnd"/>
          </w:p>
          <w:p w14:paraId="621E14FA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</w:tr>
      <w:tr w:rsidR="00BD13AA" w:rsidRPr="00EC314E" w14:paraId="12A9CA14" w14:textId="77777777" w:rsidTr="00A5784E">
        <w:tc>
          <w:tcPr>
            <w:tcW w:w="3303" w:type="dxa"/>
            <w:vMerge w:val="restart"/>
            <w:vAlign w:val="center"/>
          </w:tcPr>
          <w:p w14:paraId="275D7756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Nyrer og urinveje</w:t>
            </w:r>
          </w:p>
          <w:p w14:paraId="41E6991B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59ED567B" w14:textId="77777777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Meget almindelig</w:t>
            </w:r>
          </w:p>
          <w:p w14:paraId="468C87C3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center"/>
          </w:tcPr>
          <w:p w14:paraId="34147776" w14:textId="25A6277D" w:rsidR="00BD13AA" w:rsidRPr="00A5784E" w:rsidRDefault="00BD13AA" w:rsidP="00A5784E">
            <w:pPr>
              <w:rPr>
                <w:sz w:val="24"/>
                <w:szCs w:val="24"/>
              </w:rPr>
            </w:pPr>
            <w:r w:rsidRPr="00A5784E">
              <w:rPr>
                <w:sz w:val="24"/>
                <w:szCs w:val="24"/>
              </w:rPr>
              <w:t>Suprainfektioner på grund af svampe eller resistente organismer (f.eks. Pseudomonas</w:t>
            </w:r>
            <w:r w:rsidRPr="00A5784E">
              <w:rPr>
                <w:sz w:val="24"/>
                <w:szCs w:val="24"/>
                <w:vertAlign w:val="superscript"/>
              </w:rPr>
              <w:t>8</w:t>
            </w:r>
            <w:r w:rsidRPr="00A5784E">
              <w:rPr>
                <w:sz w:val="24"/>
                <w:szCs w:val="24"/>
              </w:rPr>
              <w:t>)</w:t>
            </w:r>
          </w:p>
          <w:p w14:paraId="18410D59" w14:textId="77777777" w:rsidR="00BD13AA" w:rsidRPr="00A5784E" w:rsidRDefault="00BD13AA" w:rsidP="00A5784E">
            <w:pPr>
              <w:rPr>
                <w:sz w:val="24"/>
                <w:szCs w:val="24"/>
              </w:rPr>
            </w:pPr>
          </w:p>
        </w:tc>
      </w:tr>
      <w:tr w:rsidR="00BD13AA" w:rsidRPr="00EC314E" w14:paraId="3CA2ACF5" w14:textId="77777777" w:rsidTr="00A5784E">
        <w:tc>
          <w:tcPr>
            <w:tcW w:w="3303" w:type="dxa"/>
            <w:vMerge/>
            <w:vAlign w:val="center"/>
          </w:tcPr>
          <w:p w14:paraId="3C877A98" w14:textId="77777777" w:rsidR="00BD13AA" w:rsidRPr="00EC314E" w:rsidRDefault="00BD13AA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3476FBB7" w14:textId="6D9B8D05" w:rsidR="00BD13A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0" w:type="dxa"/>
            <w:vAlign w:val="center"/>
          </w:tcPr>
          <w:p w14:paraId="2A261790" w14:textId="77777777" w:rsidR="00BD13AA" w:rsidRPr="00A5784E" w:rsidRDefault="00BD13AA" w:rsidP="00A5784E">
            <w:pPr>
              <w:rPr>
                <w:sz w:val="24"/>
                <w:szCs w:val="24"/>
              </w:rPr>
            </w:pPr>
            <w:proofErr w:type="spellStart"/>
            <w:r w:rsidRPr="00A5784E">
              <w:rPr>
                <w:sz w:val="24"/>
                <w:szCs w:val="24"/>
              </w:rPr>
              <w:t>Interstitiel</w:t>
            </w:r>
            <w:proofErr w:type="spellEnd"/>
            <w:r w:rsidRPr="00A5784E">
              <w:rPr>
                <w:sz w:val="24"/>
                <w:szCs w:val="24"/>
              </w:rPr>
              <w:t xml:space="preserve"> </w:t>
            </w:r>
            <w:proofErr w:type="spellStart"/>
            <w:r w:rsidRPr="00A5784E">
              <w:rPr>
                <w:sz w:val="24"/>
                <w:szCs w:val="24"/>
              </w:rPr>
              <w:t>nefritis</w:t>
            </w:r>
            <w:proofErr w:type="spellEnd"/>
          </w:p>
          <w:p w14:paraId="53A35938" w14:textId="61703ECD" w:rsidR="00EC314E" w:rsidRPr="00A5784E" w:rsidRDefault="00EC314E" w:rsidP="00A5784E">
            <w:pPr>
              <w:rPr>
                <w:sz w:val="24"/>
                <w:szCs w:val="24"/>
              </w:rPr>
            </w:pPr>
          </w:p>
        </w:tc>
      </w:tr>
      <w:tr w:rsidR="00EF0052" w:rsidRPr="00EC314E" w14:paraId="2B465EDD" w14:textId="77777777" w:rsidTr="00A5784E">
        <w:tc>
          <w:tcPr>
            <w:tcW w:w="3303" w:type="dxa"/>
            <w:vAlign w:val="center"/>
          </w:tcPr>
          <w:p w14:paraId="4E699EDA" w14:textId="77777777" w:rsidR="00EF0052" w:rsidRPr="00EC314E" w:rsidRDefault="00EF0052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lastRenderedPageBreak/>
              <w:t>Medfødte, familiære og genetiske sygdomme</w:t>
            </w:r>
          </w:p>
          <w:p w14:paraId="21A0287E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183E24F8" w14:textId="372243B1" w:rsidR="00EF0052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</w:t>
            </w:r>
            <w:r w:rsidR="009A45D5" w:rsidRPr="00EC314E">
              <w:rPr>
                <w:sz w:val="24"/>
                <w:szCs w:val="24"/>
              </w:rPr>
              <w:t>jælden</w:t>
            </w:r>
          </w:p>
        </w:tc>
        <w:tc>
          <w:tcPr>
            <w:tcW w:w="3129" w:type="dxa"/>
            <w:vAlign w:val="center"/>
          </w:tcPr>
          <w:p w14:paraId="2DC8A076" w14:textId="5CA153C8" w:rsidR="000B576A" w:rsidRPr="00EC314E" w:rsidRDefault="00BD13AA" w:rsidP="00D7210B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sz w:val="24"/>
                <w:szCs w:val="24"/>
              </w:rPr>
              <w:t>H</w:t>
            </w:r>
            <w:r w:rsidR="000B576A" w:rsidRPr="00EC314E">
              <w:rPr>
                <w:sz w:val="24"/>
                <w:szCs w:val="24"/>
              </w:rPr>
              <w:t>æmolytisk</w:t>
            </w:r>
            <w:proofErr w:type="spellEnd"/>
            <w:r w:rsidR="000B576A" w:rsidRPr="00EC314E">
              <w:rPr>
                <w:sz w:val="24"/>
                <w:szCs w:val="24"/>
              </w:rPr>
              <w:t xml:space="preserve"> anæmi/G6PD-mangel</w:t>
            </w:r>
          </w:p>
          <w:p w14:paraId="231D049A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  <w:tr w:rsidR="00EF0052" w:rsidRPr="00EC314E" w14:paraId="541E8D10" w14:textId="77777777" w:rsidTr="00A5784E">
        <w:tc>
          <w:tcPr>
            <w:tcW w:w="3303" w:type="dxa"/>
            <w:vAlign w:val="center"/>
          </w:tcPr>
          <w:p w14:paraId="173368F4" w14:textId="77777777" w:rsidR="00EF0052" w:rsidRPr="00EC314E" w:rsidRDefault="00EF0052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Almene symptomer og reaktioner på administrationsstedet</w:t>
            </w:r>
          </w:p>
          <w:p w14:paraId="30D8A20A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vAlign w:val="center"/>
          </w:tcPr>
          <w:p w14:paraId="01CD2D2F" w14:textId="2FE7C957" w:rsidR="00EF0052" w:rsidRPr="00EC314E" w:rsidRDefault="009A45D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Ikke kendt</w:t>
            </w:r>
          </w:p>
        </w:tc>
        <w:tc>
          <w:tcPr>
            <w:tcW w:w="3129" w:type="dxa"/>
            <w:vAlign w:val="center"/>
          </w:tcPr>
          <w:p w14:paraId="4A11AF98" w14:textId="16D3EE6C" w:rsidR="000B576A" w:rsidRPr="00EC314E" w:rsidRDefault="00BD13AA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A</w:t>
            </w:r>
            <w:r w:rsidR="000B576A" w:rsidRPr="00EC314E">
              <w:rPr>
                <w:sz w:val="24"/>
                <w:szCs w:val="24"/>
              </w:rPr>
              <w:t xml:space="preserve">steni, </w:t>
            </w:r>
            <w:proofErr w:type="spellStart"/>
            <w:r w:rsidR="000B576A" w:rsidRPr="00EC314E">
              <w:rPr>
                <w:sz w:val="24"/>
                <w:szCs w:val="24"/>
              </w:rPr>
              <w:t>artralgi</w:t>
            </w:r>
            <w:proofErr w:type="spellEnd"/>
          </w:p>
          <w:p w14:paraId="374B057E" w14:textId="77777777" w:rsidR="00EF0052" w:rsidRPr="00EC314E" w:rsidRDefault="00EF0052" w:rsidP="00D7210B">
            <w:pPr>
              <w:rPr>
                <w:sz w:val="24"/>
                <w:szCs w:val="24"/>
              </w:rPr>
            </w:pPr>
          </w:p>
        </w:tc>
      </w:tr>
    </w:tbl>
    <w:p w14:paraId="297DD30C" w14:textId="6631AE7F" w:rsidR="009A45D5" w:rsidRPr="00EC314E" w:rsidRDefault="009A45D5" w:rsidP="00BD13AA">
      <w:pPr>
        <w:spacing w:before="18"/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1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>Behandlingen skal stoppes, hvorefter blodbilledet sædvanligvis vender tilbage til det normale</w:t>
      </w:r>
    </w:p>
    <w:p w14:paraId="5B1639F1" w14:textId="1B001D73" w:rsidR="009A45D5" w:rsidRPr="00EC314E" w:rsidRDefault="009A45D5" w:rsidP="00BD13AA">
      <w:pPr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2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>Behandlingen skal seponeres ved det første tegn på neurologiske og/eller psykologiske implikationer.</w:t>
      </w:r>
    </w:p>
    <w:p w14:paraId="7EB9B06F" w14:textId="6E767A0D" w:rsidR="009A45D5" w:rsidRPr="00EC314E" w:rsidRDefault="009A45D5" w:rsidP="00BD13AA">
      <w:pPr>
        <w:spacing w:before="1" w:line="229" w:lineRule="exact"/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3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>Hvis nogen af følgende luftvejsreaktioner opstår, skal dette lægemiddel seponeres.</w:t>
      </w:r>
    </w:p>
    <w:p w14:paraId="34B28304" w14:textId="5235242E" w:rsidR="009A45D5" w:rsidRPr="00EC314E" w:rsidRDefault="009A45D5" w:rsidP="00BD13AA">
      <w:pPr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4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 xml:space="preserve">Akutte lungereaktioner opstår sædvanligvis inden for den første uge af behandlingen og er reversible ved </w:t>
      </w:r>
      <w:proofErr w:type="spellStart"/>
      <w:r w:rsidRPr="00EC314E">
        <w:rPr>
          <w:sz w:val="24"/>
          <w:szCs w:val="24"/>
        </w:rPr>
        <w:t>seponering</w:t>
      </w:r>
      <w:proofErr w:type="spellEnd"/>
      <w:r w:rsidRPr="00EC314E">
        <w:rPr>
          <w:sz w:val="24"/>
          <w:szCs w:val="24"/>
        </w:rPr>
        <w:t xml:space="preserve"> af behandlingen.</w:t>
      </w:r>
    </w:p>
    <w:p w14:paraId="3F59117C" w14:textId="5BB9E26F" w:rsidR="009A45D5" w:rsidRPr="00EC314E" w:rsidRDefault="009A45D5" w:rsidP="00BD13AA">
      <w:pPr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5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>Påvist ved røntgendiagnose.</w:t>
      </w:r>
    </w:p>
    <w:p w14:paraId="5700A480" w14:textId="0530A17B" w:rsidR="009A45D5" w:rsidRPr="00EC314E" w:rsidRDefault="009A45D5" w:rsidP="00BD13AA">
      <w:pPr>
        <w:spacing w:before="1"/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6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 xml:space="preserve">Kroniske lungereaktioner er sjældne hos patienter, der får kontinuerlig behandling i 6 måneder eller mere, og er mere almindelige hos ældre patienter. Lungereaktioner følges af og til af forandringer på EKG. Lungefunktionen kan blive permanent beskadiget, også efter </w:t>
      </w:r>
      <w:proofErr w:type="spellStart"/>
      <w:r w:rsidRPr="00EC314E">
        <w:rPr>
          <w:sz w:val="24"/>
          <w:szCs w:val="24"/>
        </w:rPr>
        <w:t>seponering</w:t>
      </w:r>
      <w:proofErr w:type="spellEnd"/>
      <w:r w:rsidRPr="00EC314E">
        <w:rPr>
          <w:sz w:val="24"/>
          <w:szCs w:val="24"/>
        </w:rPr>
        <w:t xml:space="preserve"> af behandling.</w:t>
      </w:r>
    </w:p>
    <w:p w14:paraId="5F641A87" w14:textId="1412490B" w:rsidR="009A45D5" w:rsidRPr="00EC314E" w:rsidRDefault="009A45D5" w:rsidP="00BD13AA">
      <w:pPr>
        <w:ind w:left="284" w:right="96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7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 xml:space="preserve">Der er indberettet dødsfald. </w:t>
      </w:r>
      <w:proofErr w:type="spellStart"/>
      <w:r w:rsidRPr="00EC314E">
        <w:rPr>
          <w:sz w:val="24"/>
          <w:szCs w:val="24"/>
        </w:rPr>
        <w:t>Kolestatisk</w:t>
      </w:r>
      <w:proofErr w:type="spellEnd"/>
      <w:r w:rsidRPr="00EC314E">
        <w:rPr>
          <w:sz w:val="24"/>
          <w:szCs w:val="24"/>
        </w:rPr>
        <w:t xml:space="preserve"> gulsot er sædvanligvis forbundet med kortvarig behandling (normalt op til 2 uger). Kronisk aktiv hepatitis, der lejlighedsvis fører til nekrose, er sædvanligvis forbundet med langtidsbehandling (normalt 6 måneder). Behandlingen skal seponeres ved det første tegn på levertoksicitet. Se</w:t>
      </w:r>
      <w:r w:rsidR="00BD13AA" w:rsidRPr="00EC314E">
        <w:rPr>
          <w:sz w:val="24"/>
          <w:szCs w:val="24"/>
        </w:rPr>
        <w:t xml:space="preserve"> </w:t>
      </w:r>
      <w:r w:rsidRPr="00EC314E">
        <w:rPr>
          <w:sz w:val="24"/>
          <w:szCs w:val="24"/>
        </w:rPr>
        <w:t>pkt. 4.4.</w:t>
      </w:r>
    </w:p>
    <w:p w14:paraId="1E5AA65B" w14:textId="1C88D5B5" w:rsidR="009A45D5" w:rsidRPr="00EC314E" w:rsidRDefault="009A45D5" w:rsidP="00BD13AA">
      <w:pPr>
        <w:ind w:left="284" w:hanging="284"/>
        <w:rPr>
          <w:sz w:val="24"/>
          <w:szCs w:val="24"/>
        </w:rPr>
      </w:pPr>
      <w:r w:rsidRPr="00EC314E">
        <w:rPr>
          <w:sz w:val="24"/>
          <w:szCs w:val="24"/>
          <w:vertAlign w:val="superscript"/>
        </w:rPr>
        <w:t>8</w:t>
      </w:r>
      <w:r w:rsidRPr="00EC314E">
        <w:rPr>
          <w:sz w:val="24"/>
          <w:szCs w:val="24"/>
        </w:rPr>
        <w:t xml:space="preserve"> </w:t>
      </w:r>
      <w:r w:rsidR="00BD13AA" w:rsidRPr="00EC314E">
        <w:rPr>
          <w:sz w:val="24"/>
          <w:szCs w:val="24"/>
        </w:rPr>
        <w:tab/>
      </w:r>
      <w:r w:rsidRPr="00EC314E">
        <w:rPr>
          <w:sz w:val="24"/>
          <w:szCs w:val="24"/>
        </w:rPr>
        <w:t>Disse er begrænset til urogenitalsystemet, fordi undertrykkelsen af normal bakterieflora ikke forekommer andre steder i kroppen.</w:t>
      </w:r>
    </w:p>
    <w:p w14:paraId="0F0274BE" w14:textId="16ACA776" w:rsidR="00EF0052" w:rsidRPr="00EC314E" w:rsidRDefault="00EF0052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FA5221" w14:textId="77777777" w:rsidR="009A45D5" w:rsidRPr="00EC314E" w:rsidRDefault="009A45D5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Indberetning af formodede bivirkninger</w:t>
      </w:r>
    </w:p>
    <w:p w14:paraId="192D9DEC" w14:textId="77777777" w:rsidR="009A45D5" w:rsidRPr="00EC314E" w:rsidRDefault="009A45D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C314E">
        <w:rPr>
          <w:sz w:val="24"/>
          <w:szCs w:val="24"/>
        </w:rPr>
        <w:t>risk</w:t>
      </w:r>
      <w:proofErr w:type="spellEnd"/>
      <w:r w:rsidRPr="00EC314E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061029B9" w14:textId="77777777" w:rsidR="009A45D5" w:rsidRPr="00EC314E" w:rsidRDefault="009A45D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br/>
        <w:t>Lægemiddelstyrelsen</w:t>
      </w:r>
    </w:p>
    <w:p w14:paraId="351D6085" w14:textId="77777777" w:rsidR="009A45D5" w:rsidRPr="00EC314E" w:rsidRDefault="009A45D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Axel Heides Gade 1</w:t>
      </w:r>
    </w:p>
    <w:p w14:paraId="430C9EA4" w14:textId="77777777" w:rsidR="009A45D5" w:rsidRPr="00EC314E" w:rsidRDefault="009A45D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DK-2300 København S</w:t>
      </w:r>
    </w:p>
    <w:p w14:paraId="562EC8A0" w14:textId="77777777" w:rsidR="009A45D5" w:rsidRPr="00EC314E" w:rsidRDefault="009A45D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Websted: www.meldenbivirkning.dk</w:t>
      </w:r>
    </w:p>
    <w:p w14:paraId="16F2D8D7" w14:textId="77777777" w:rsidR="009260DE" w:rsidRPr="00EC314E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D755C62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4.9</w:t>
      </w:r>
      <w:r w:rsidRPr="00EC314E">
        <w:rPr>
          <w:b/>
          <w:sz w:val="24"/>
          <w:szCs w:val="24"/>
        </w:rPr>
        <w:tab/>
        <w:t>Overdosering</w:t>
      </w:r>
    </w:p>
    <w:p w14:paraId="3CA329AC" w14:textId="77777777" w:rsidR="00BD13AA" w:rsidRPr="00EC314E" w:rsidRDefault="00BD13AA" w:rsidP="00D7210B">
      <w:pPr>
        <w:ind w:left="851"/>
        <w:rPr>
          <w:sz w:val="24"/>
          <w:szCs w:val="24"/>
        </w:rPr>
      </w:pPr>
    </w:p>
    <w:p w14:paraId="7512BE3A" w14:textId="487B48C3" w:rsidR="00EA5845" w:rsidRPr="00EC314E" w:rsidRDefault="00EA5845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Symptomer</w:t>
      </w:r>
    </w:p>
    <w:p w14:paraId="6B18AD88" w14:textId="77777777" w:rsidR="00EA5845" w:rsidRPr="00EC314E" w:rsidRDefault="00EA584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Tegn og symptomer på overdosering kan være maveirritation, kvalme og opkastning.</w:t>
      </w:r>
    </w:p>
    <w:p w14:paraId="1A662938" w14:textId="2CC631EB" w:rsidR="009260DE" w:rsidRPr="00EC314E" w:rsidRDefault="009260DE" w:rsidP="00D7210B">
      <w:pPr>
        <w:ind w:left="851"/>
        <w:rPr>
          <w:sz w:val="24"/>
          <w:szCs w:val="24"/>
        </w:rPr>
      </w:pPr>
    </w:p>
    <w:p w14:paraId="5D5CCCE8" w14:textId="77777777" w:rsidR="00EA5845" w:rsidRPr="00EC314E" w:rsidRDefault="00EA5845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Behandling</w:t>
      </w:r>
    </w:p>
    <w:p w14:paraId="4C2DD17F" w14:textId="77777777" w:rsidR="00EA5845" w:rsidRPr="00EC314E" w:rsidRDefault="00EA584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Der findes ingen specifik </w:t>
      </w:r>
      <w:proofErr w:type="spellStart"/>
      <w:r w:rsidRPr="00EC314E">
        <w:rPr>
          <w:sz w:val="24"/>
          <w:szCs w:val="24"/>
        </w:rPr>
        <w:t>antidot</w:t>
      </w:r>
      <w:proofErr w:type="spellEnd"/>
      <w:r w:rsidRPr="00EC314E">
        <w:rPr>
          <w:sz w:val="24"/>
          <w:szCs w:val="24"/>
        </w:rPr>
        <w:t xml:space="preserve">, men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om nødvendigt fjernes ved hæmodialyse. Standardbehandlingen består af fremkaldelse af </w:t>
      </w:r>
      <w:proofErr w:type="spellStart"/>
      <w:r w:rsidRPr="00EC314E">
        <w:rPr>
          <w:sz w:val="24"/>
          <w:szCs w:val="24"/>
        </w:rPr>
        <w:t>emese</w:t>
      </w:r>
      <w:proofErr w:type="spellEnd"/>
      <w:r w:rsidRPr="00EC314E">
        <w:rPr>
          <w:sz w:val="24"/>
          <w:szCs w:val="24"/>
        </w:rPr>
        <w:t xml:space="preserve"> eller ventrikelskylning i tilfælde af nylig indtagelse (inden for en time). Overvågning af fuld blodtælling, leverfunktion og lungefunktion anbefales. Der bør opretholdes et højt væskeindtag for at fremme </w:t>
      </w:r>
      <w:proofErr w:type="spellStart"/>
      <w:r w:rsidRPr="00EC314E">
        <w:rPr>
          <w:sz w:val="24"/>
          <w:szCs w:val="24"/>
        </w:rPr>
        <w:t>ekskretion</w:t>
      </w:r>
      <w:proofErr w:type="spellEnd"/>
      <w:r w:rsidRPr="00EC314E">
        <w:rPr>
          <w:sz w:val="24"/>
          <w:szCs w:val="24"/>
        </w:rPr>
        <w:t xml:space="preserve">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med urinen.</w:t>
      </w:r>
    </w:p>
    <w:p w14:paraId="5C480882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7B41C9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4.10</w:t>
      </w:r>
      <w:r w:rsidRPr="00EC314E">
        <w:rPr>
          <w:b/>
          <w:sz w:val="24"/>
          <w:szCs w:val="24"/>
        </w:rPr>
        <w:tab/>
        <w:t>Udlevering</w:t>
      </w:r>
    </w:p>
    <w:p w14:paraId="5D979EB3" w14:textId="7B2DB4C4" w:rsidR="009260DE" w:rsidRPr="00EC314E" w:rsidRDefault="00D7210B" w:rsidP="009260DE">
      <w:pPr>
        <w:tabs>
          <w:tab w:val="left" w:pos="851"/>
        </w:tabs>
        <w:ind w:left="851"/>
        <w:rPr>
          <w:sz w:val="24"/>
          <w:szCs w:val="24"/>
        </w:rPr>
      </w:pPr>
      <w:r w:rsidRPr="00EC314E">
        <w:rPr>
          <w:sz w:val="24"/>
          <w:szCs w:val="24"/>
        </w:rPr>
        <w:t>B</w:t>
      </w:r>
    </w:p>
    <w:p w14:paraId="1CB01B56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1571B5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B800D2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lastRenderedPageBreak/>
        <w:t>5.</w:t>
      </w:r>
      <w:r w:rsidRPr="00EC314E">
        <w:rPr>
          <w:b/>
          <w:sz w:val="24"/>
          <w:szCs w:val="24"/>
        </w:rPr>
        <w:tab/>
        <w:t>FARMAKOLOGISKE EGENSKABER</w:t>
      </w:r>
    </w:p>
    <w:p w14:paraId="5E0470D9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6A18B6" w14:textId="77777777" w:rsidR="009260DE" w:rsidRPr="00EC314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5.1</w:t>
      </w:r>
      <w:r w:rsidRPr="00EC314E">
        <w:rPr>
          <w:b/>
          <w:sz w:val="24"/>
          <w:szCs w:val="24"/>
        </w:rPr>
        <w:tab/>
      </w:r>
      <w:proofErr w:type="spellStart"/>
      <w:r w:rsidRPr="00EC314E">
        <w:rPr>
          <w:b/>
          <w:sz w:val="24"/>
          <w:szCs w:val="24"/>
        </w:rPr>
        <w:t>Farmakodynamiske</w:t>
      </w:r>
      <w:proofErr w:type="spellEnd"/>
      <w:r w:rsidRPr="00EC314E">
        <w:rPr>
          <w:b/>
          <w:sz w:val="24"/>
          <w:szCs w:val="24"/>
        </w:rPr>
        <w:t xml:space="preserve"> egenskaber</w:t>
      </w:r>
    </w:p>
    <w:p w14:paraId="26012CDA" w14:textId="5A82743D" w:rsidR="00EA5845" w:rsidRPr="00EC314E" w:rsidRDefault="00EA5845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Farmakoterapeutisk</w:t>
      </w:r>
      <w:proofErr w:type="spellEnd"/>
      <w:r w:rsidRPr="00EC314E">
        <w:rPr>
          <w:sz w:val="24"/>
          <w:szCs w:val="24"/>
        </w:rPr>
        <w:t xml:space="preserve"> klassifikation: Antibakterielle midler til systemisk brug, ATC-kode: J01XE01</w:t>
      </w:r>
      <w:r w:rsidR="00BD13AA" w:rsidRPr="00EC314E">
        <w:rPr>
          <w:sz w:val="24"/>
          <w:szCs w:val="24"/>
        </w:rPr>
        <w:t>.</w:t>
      </w:r>
    </w:p>
    <w:p w14:paraId="6042DCD3" w14:textId="2AEB7556" w:rsidR="009260DE" w:rsidRPr="00EC314E" w:rsidRDefault="009260DE" w:rsidP="00D7210B">
      <w:pPr>
        <w:ind w:left="851"/>
        <w:rPr>
          <w:sz w:val="24"/>
          <w:szCs w:val="24"/>
        </w:rPr>
      </w:pPr>
    </w:p>
    <w:p w14:paraId="519D63E4" w14:textId="77777777" w:rsidR="00EA5845" w:rsidRPr="00EC314E" w:rsidRDefault="00EA584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Virkningsmekanisme</w:t>
      </w:r>
    </w:p>
    <w:p w14:paraId="1E0DF201" w14:textId="77777777" w:rsidR="00EA5845" w:rsidRPr="00EC314E" w:rsidRDefault="00EA5845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tilhører gruppen </w:t>
      </w:r>
      <w:proofErr w:type="spellStart"/>
      <w:r w:rsidRPr="00EC314E">
        <w:rPr>
          <w:sz w:val="24"/>
          <w:szCs w:val="24"/>
        </w:rPr>
        <w:t>nitrofuraner</w:t>
      </w:r>
      <w:proofErr w:type="spellEnd"/>
      <w:r w:rsidRPr="00EC314E">
        <w:rPr>
          <w:sz w:val="24"/>
          <w:szCs w:val="24"/>
        </w:rPr>
        <w:t xml:space="preserve">. Terapeutiske aktive koncentrationer nås kun i urinen. </w:t>
      </w:r>
      <w:proofErr w:type="spellStart"/>
      <w:r w:rsidRPr="00EC314E">
        <w:rPr>
          <w:sz w:val="24"/>
          <w:szCs w:val="24"/>
        </w:rPr>
        <w:t>Nitrofurantoins</w:t>
      </w:r>
      <w:proofErr w:type="spellEnd"/>
      <w:r w:rsidRPr="00EC314E">
        <w:rPr>
          <w:sz w:val="24"/>
          <w:szCs w:val="24"/>
        </w:rPr>
        <w:t xml:space="preserve"> antibakterielle aktivitet er højest i sur urin, og pH-værdier over 8 kan forårsage tab af dets virkning. Den præcise virkningsmekanisme er ukendt. Der er beskrevet flere virkningsmekanismer.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hæmmer en række bakterielle enzymer. Det hæmmer også bakterielle ribosomale proteiner og forårsager dermed fuldstændig hæmning af bakterieproteinsyntesen.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også forårsage skader på DNA'et.</w:t>
      </w:r>
    </w:p>
    <w:p w14:paraId="001E7B46" w14:textId="1809D17B" w:rsidR="009260DE" w:rsidRPr="00EC314E" w:rsidRDefault="009260DE" w:rsidP="00D7210B">
      <w:pPr>
        <w:ind w:left="851"/>
        <w:rPr>
          <w:sz w:val="24"/>
          <w:szCs w:val="24"/>
        </w:rPr>
      </w:pPr>
    </w:p>
    <w:p w14:paraId="3A3995B7" w14:textId="77777777" w:rsidR="00EA5845" w:rsidRPr="00EC314E" w:rsidRDefault="00EA5845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Resistens</w:t>
      </w:r>
    </w:p>
    <w:p w14:paraId="4E316512" w14:textId="77777777" w:rsidR="00EA5845" w:rsidRPr="00EC314E" w:rsidRDefault="00EA5845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Der udvikles sjældent resistens under behandling med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, muligvis fordi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har forskellige virkemåder. Resistens kan forekomme ved længerevarende behandling. Der har været rapporteret om plasmidkodet resistens ved </w:t>
      </w:r>
      <w:proofErr w:type="spellStart"/>
      <w:proofErr w:type="gramStart"/>
      <w:r w:rsidRPr="00EC314E">
        <w:rPr>
          <w:i/>
          <w:sz w:val="24"/>
          <w:szCs w:val="24"/>
        </w:rPr>
        <w:t>E.coli</w:t>
      </w:r>
      <w:proofErr w:type="spellEnd"/>
      <w:proofErr w:type="gramEnd"/>
      <w:r w:rsidRPr="00EC314E">
        <w:rPr>
          <w:sz w:val="24"/>
          <w:szCs w:val="24"/>
        </w:rPr>
        <w:t xml:space="preserve">. Der er observeret nedsat følsomhed hos ESBL-producerende tarmbakterier. Resistens kan skyldes tabet af </w:t>
      </w:r>
      <w:proofErr w:type="spellStart"/>
      <w:r w:rsidRPr="00EC314E">
        <w:rPr>
          <w:sz w:val="24"/>
          <w:szCs w:val="24"/>
        </w:rPr>
        <w:t>nitrofuranreduktaser</w:t>
      </w:r>
      <w:proofErr w:type="spellEnd"/>
      <w:r w:rsidRPr="00EC314E">
        <w:rPr>
          <w:sz w:val="24"/>
          <w:szCs w:val="24"/>
        </w:rPr>
        <w:t>, som generer de aktive mellemprodukter.</w:t>
      </w:r>
    </w:p>
    <w:p w14:paraId="4BB6093D" w14:textId="57FF4A57" w:rsidR="00EA5845" w:rsidRPr="00EC314E" w:rsidRDefault="00EA5845" w:rsidP="00D7210B">
      <w:pPr>
        <w:ind w:left="851"/>
        <w:rPr>
          <w:sz w:val="24"/>
          <w:szCs w:val="24"/>
        </w:rPr>
      </w:pPr>
    </w:p>
    <w:p w14:paraId="50CFD141" w14:textId="77777777" w:rsidR="00EA5845" w:rsidRPr="00EC314E" w:rsidRDefault="00EA5845" w:rsidP="00EC314E">
      <w:pPr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 xml:space="preserve">Tabel 2: Følsomhedskriterier for </w:t>
      </w:r>
      <w:proofErr w:type="spellStart"/>
      <w:r w:rsidRPr="00EC314E">
        <w:rPr>
          <w:b/>
          <w:sz w:val="24"/>
          <w:szCs w:val="24"/>
        </w:rPr>
        <w:t>nitrofurantoin</w:t>
      </w:r>
      <w:proofErr w:type="spellEnd"/>
    </w:p>
    <w:p w14:paraId="77D3CD89" w14:textId="4F9B80C8" w:rsidR="00EA5845" w:rsidRPr="00EC314E" w:rsidRDefault="00EA5845" w:rsidP="009260DE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6959"/>
        <w:gridCol w:w="2669"/>
      </w:tblGrid>
      <w:tr w:rsidR="00EA5845" w:rsidRPr="00EC314E" w14:paraId="317DD28D" w14:textId="77777777" w:rsidTr="00EC314E">
        <w:tc>
          <w:tcPr>
            <w:tcW w:w="3614" w:type="pct"/>
          </w:tcPr>
          <w:p w14:paraId="0C4CE225" w14:textId="77777777" w:rsidR="00EA5845" w:rsidRPr="00EC314E" w:rsidRDefault="00EA5845" w:rsidP="00D7210B">
            <w:pPr>
              <w:rPr>
                <w:sz w:val="24"/>
                <w:szCs w:val="24"/>
              </w:rPr>
            </w:pPr>
          </w:p>
        </w:tc>
        <w:tc>
          <w:tcPr>
            <w:tcW w:w="1386" w:type="pct"/>
          </w:tcPr>
          <w:p w14:paraId="7C8C67FA" w14:textId="3870C02D" w:rsidR="00EA5845" w:rsidRPr="00EC314E" w:rsidRDefault="00EA5845" w:rsidP="00BD13AA">
            <w:pPr>
              <w:rPr>
                <w:sz w:val="24"/>
                <w:szCs w:val="24"/>
              </w:rPr>
            </w:pPr>
            <w:r w:rsidRPr="00EC314E">
              <w:rPr>
                <w:b/>
                <w:sz w:val="24"/>
                <w:szCs w:val="24"/>
              </w:rPr>
              <w:t>MIC-</w:t>
            </w:r>
            <w:proofErr w:type="spellStart"/>
            <w:r w:rsidRPr="00EC314E">
              <w:rPr>
                <w:b/>
                <w:sz w:val="24"/>
                <w:szCs w:val="24"/>
              </w:rPr>
              <w:t>breakpoint</w:t>
            </w:r>
            <w:proofErr w:type="spellEnd"/>
            <w:r w:rsidRPr="00EC314E">
              <w:rPr>
                <w:b/>
                <w:sz w:val="24"/>
                <w:szCs w:val="24"/>
              </w:rPr>
              <w:t xml:space="preserve"> (mg/l)</w:t>
            </w:r>
          </w:p>
        </w:tc>
      </w:tr>
      <w:tr w:rsidR="00EA5845" w:rsidRPr="00EC314E" w14:paraId="758442AE" w14:textId="77777777" w:rsidTr="00EC314E">
        <w:tc>
          <w:tcPr>
            <w:tcW w:w="3614" w:type="pct"/>
          </w:tcPr>
          <w:p w14:paraId="43033CAB" w14:textId="59B2304F" w:rsidR="00EA5845" w:rsidRPr="00EC314E" w:rsidRDefault="00777DD6" w:rsidP="00BD13AA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i/>
                <w:sz w:val="24"/>
                <w:szCs w:val="24"/>
              </w:rPr>
              <w:t>Staphylococcus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i/>
                <w:sz w:val="24"/>
                <w:szCs w:val="24"/>
              </w:rPr>
              <w:t>saprophyticus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r w:rsidRPr="00EC314E">
              <w:rPr>
                <w:sz w:val="24"/>
                <w:szCs w:val="24"/>
              </w:rPr>
              <w:t>(kun ukomplicerede urinvejsinfektioner)</w:t>
            </w:r>
          </w:p>
        </w:tc>
        <w:tc>
          <w:tcPr>
            <w:tcW w:w="1386" w:type="pct"/>
          </w:tcPr>
          <w:p w14:paraId="6E3B56F7" w14:textId="017E2A33" w:rsidR="00EA5845" w:rsidRPr="00EC314E" w:rsidRDefault="00EA584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 ≤64, R &gt;64 mg/l</w:t>
            </w:r>
          </w:p>
        </w:tc>
      </w:tr>
      <w:tr w:rsidR="00EA5845" w:rsidRPr="00EC314E" w14:paraId="1086A923" w14:textId="77777777" w:rsidTr="00EC314E">
        <w:tc>
          <w:tcPr>
            <w:tcW w:w="3614" w:type="pct"/>
          </w:tcPr>
          <w:p w14:paraId="6DFEFE46" w14:textId="23F432F9" w:rsidR="00EA5845" w:rsidRPr="00EC314E" w:rsidRDefault="00777DD6" w:rsidP="00BD13AA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i/>
                <w:sz w:val="24"/>
                <w:szCs w:val="24"/>
              </w:rPr>
              <w:t>Enterococcus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i/>
                <w:sz w:val="24"/>
                <w:szCs w:val="24"/>
              </w:rPr>
              <w:t>faecalis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r w:rsidRPr="00EC314E">
              <w:rPr>
                <w:sz w:val="24"/>
                <w:szCs w:val="24"/>
              </w:rPr>
              <w:t>(kun ukomplicerede urinvejsinfektioner)</w:t>
            </w:r>
          </w:p>
        </w:tc>
        <w:tc>
          <w:tcPr>
            <w:tcW w:w="1386" w:type="pct"/>
          </w:tcPr>
          <w:p w14:paraId="6A6DC760" w14:textId="1CBAA803" w:rsidR="00EA5845" w:rsidRPr="00EC314E" w:rsidRDefault="00EA584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 ≤64, R &gt;64 mg/l</w:t>
            </w:r>
          </w:p>
        </w:tc>
      </w:tr>
      <w:tr w:rsidR="00EA5845" w:rsidRPr="00EC314E" w14:paraId="719D949B" w14:textId="77777777" w:rsidTr="00EC314E">
        <w:tc>
          <w:tcPr>
            <w:tcW w:w="3614" w:type="pct"/>
          </w:tcPr>
          <w:p w14:paraId="19134F7A" w14:textId="6A543FFD" w:rsidR="00EA5845" w:rsidRPr="00EC314E" w:rsidRDefault="00777DD6" w:rsidP="00BD13AA">
            <w:pPr>
              <w:rPr>
                <w:sz w:val="24"/>
                <w:szCs w:val="24"/>
              </w:rPr>
            </w:pPr>
            <w:proofErr w:type="spellStart"/>
            <w:r w:rsidRPr="00EC314E">
              <w:rPr>
                <w:i/>
                <w:sz w:val="24"/>
                <w:szCs w:val="24"/>
              </w:rPr>
              <w:t>Streptococcus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C314E">
              <w:rPr>
                <w:i/>
                <w:sz w:val="24"/>
                <w:szCs w:val="24"/>
              </w:rPr>
              <w:t>agalactiae</w:t>
            </w:r>
            <w:proofErr w:type="spellEnd"/>
            <w:r w:rsidRPr="00EC314E">
              <w:rPr>
                <w:i/>
                <w:sz w:val="24"/>
                <w:szCs w:val="24"/>
              </w:rPr>
              <w:t xml:space="preserve"> </w:t>
            </w:r>
            <w:r w:rsidRPr="00EC314E">
              <w:rPr>
                <w:sz w:val="24"/>
                <w:szCs w:val="24"/>
              </w:rPr>
              <w:t>(kun ukomplicerede urinvejsinfektioner)</w:t>
            </w:r>
          </w:p>
        </w:tc>
        <w:tc>
          <w:tcPr>
            <w:tcW w:w="1386" w:type="pct"/>
          </w:tcPr>
          <w:p w14:paraId="14DCB1CC" w14:textId="0AE6088D" w:rsidR="00EA5845" w:rsidRPr="00EC314E" w:rsidRDefault="00EA584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 ≤64, R &gt;64 mg/l</w:t>
            </w:r>
          </w:p>
        </w:tc>
      </w:tr>
      <w:tr w:rsidR="00EA5845" w:rsidRPr="00EC314E" w14:paraId="5B779DE0" w14:textId="77777777" w:rsidTr="00EC314E">
        <w:tc>
          <w:tcPr>
            <w:tcW w:w="3614" w:type="pct"/>
          </w:tcPr>
          <w:p w14:paraId="455AF2AC" w14:textId="1262C808" w:rsidR="00EA5845" w:rsidRPr="00EC314E" w:rsidRDefault="00777DD6" w:rsidP="00BD13AA">
            <w:pPr>
              <w:rPr>
                <w:sz w:val="24"/>
                <w:szCs w:val="24"/>
              </w:rPr>
            </w:pPr>
            <w:r w:rsidRPr="00EC314E">
              <w:rPr>
                <w:i/>
                <w:sz w:val="24"/>
                <w:szCs w:val="24"/>
              </w:rPr>
              <w:t xml:space="preserve">Escherichia coli </w:t>
            </w:r>
            <w:r w:rsidRPr="00EC314E">
              <w:rPr>
                <w:sz w:val="24"/>
                <w:szCs w:val="24"/>
              </w:rPr>
              <w:t>(kun ukomplicerede urinvejsinfektioner)</w:t>
            </w:r>
          </w:p>
        </w:tc>
        <w:tc>
          <w:tcPr>
            <w:tcW w:w="1386" w:type="pct"/>
          </w:tcPr>
          <w:p w14:paraId="4D1C8DC5" w14:textId="515A09C4" w:rsidR="00EA5845" w:rsidRPr="00EC314E" w:rsidRDefault="00EA5845" w:rsidP="00D7210B">
            <w:pPr>
              <w:rPr>
                <w:sz w:val="24"/>
                <w:szCs w:val="24"/>
              </w:rPr>
            </w:pPr>
            <w:r w:rsidRPr="00EC314E">
              <w:rPr>
                <w:sz w:val="24"/>
                <w:szCs w:val="24"/>
              </w:rPr>
              <w:t>S ≤64, R &gt;64 mg/l</w:t>
            </w:r>
          </w:p>
        </w:tc>
      </w:tr>
    </w:tbl>
    <w:p w14:paraId="1BA84E27" w14:textId="1E0401A8" w:rsidR="00EA5845" w:rsidRPr="00EC314E" w:rsidRDefault="00EA584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7795B3" w14:textId="77777777" w:rsidR="00777DD6" w:rsidRPr="00EC314E" w:rsidRDefault="00777DD6" w:rsidP="00D7210B">
      <w:pPr>
        <w:ind w:left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Følgende liste indeholder en oversigt over relevante mikroorganismer for indikationen:</w:t>
      </w:r>
    </w:p>
    <w:p w14:paraId="03B6B7C4" w14:textId="77777777" w:rsidR="00777DD6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proofErr w:type="spellStart"/>
      <w:r w:rsidRPr="00A5784E">
        <w:rPr>
          <w:sz w:val="24"/>
          <w:szCs w:val="24"/>
          <w:u w:val="single"/>
          <w:lang w:val="en-US"/>
        </w:rPr>
        <w:t>Sædvanligvis</w:t>
      </w:r>
      <w:proofErr w:type="spellEnd"/>
      <w:r w:rsidRPr="00A5784E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A5784E">
        <w:rPr>
          <w:sz w:val="24"/>
          <w:szCs w:val="24"/>
          <w:u w:val="single"/>
          <w:lang w:val="en-US"/>
        </w:rPr>
        <w:t>følsomme</w:t>
      </w:r>
      <w:proofErr w:type="spellEnd"/>
      <w:r w:rsidRPr="00A5784E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A5784E">
        <w:rPr>
          <w:sz w:val="24"/>
          <w:szCs w:val="24"/>
          <w:u w:val="single"/>
          <w:lang w:val="en-US"/>
        </w:rPr>
        <w:t>arter</w:t>
      </w:r>
      <w:proofErr w:type="spellEnd"/>
      <w:r w:rsidRPr="00A5784E">
        <w:rPr>
          <w:sz w:val="24"/>
          <w:szCs w:val="24"/>
          <w:u w:val="single"/>
          <w:lang w:val="en-US"/>
        </w:rPr>
        <w:t>:</w:t>
      </w:r>
      <w:r w:rsidRPr="00A5784E">
        <w:rPr>
          <w:sz w:val="24"/>
          <w:szCs w:val="24"/>
          <w:lang w:val="en-US"/>
        </w:rPr>
        <w:t xml:space="preserve"> </w:t>
      </w:r>
    </w:p>
    <w:p w14:paraId="13B49579" w14:textId="77777777" w:rsidR="00777DD6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>Staphylococcus aureus</w:t>
      </w:r>
    </w:p>
    <w:p w14:paraId="11D71070" w14:textId="77777777" w:rsidR="00777DD6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>Staphylococcus epidermis</w:t>
      </w:r>
    </w:p>
    <w:p w14:paraId="029E4520" w14:textId="77777777" w:rsidR="00777DD6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>Staphylococcus saprophyticus</w:t>
      </w:r>
    </w:p>
    <w:p w14:paraId="0CCE8517" w14:textId="77777777" w:rsidR="00777DD6" w:rsidRPr="00EC314E" w:rsidRDefault="00777DD6" w:rsidP="00D7210B">
      <w:pPr>
        <w:ind w:left="851"/>
        <w:rPr>
          <w:i/>
          <w:sz w:val="24"/>
          <w:szCs w:val="24"/>
        </w:rPr>
      </w:pPr>
      <w:proofErr w:type="spellStart"/>
      <w:r w:rsidRPr="00EC314E">
        <w:rPr>
          <w:i/>
          <w:sz w:val="24"/>
          <w:szCs w:val="24"/>
        </w:rPr>
        <w:t>Enterococcus</w:t>
      </w:r>
      <w:proofErr w:type="spellEnd"/>
      <w:r w:rsidRPr="00EC314E">
        <w:rPr>
          <w:i/>
          <w:sz w:val="24"/>
          <w:szCs w:val="24"/>
        </w:rPr>
        <w:t xml:space="preserve"> </w:t>
      </w:r>
      <w:proofErr w:type="spellStart"/>
      <w:r w:rsidRPr="00EC314E">
        <w:rPr>
          <w:i/>
          <w:sz w:val="24"/>
          <w:szCs w:val="24"/>
        </w:rPr>
        <w:t>faecalis</w:t>
      </w:r>
      <w:proofErr w:type="spellEnd"/>
    </w:p>
    <w:p w14:paraId="69D47A21" w14:textId="77777777" w:rsidR="00777DD6" w:rsidRPr="00EC314E" w:rsidRDefault="00777DD6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>Escherichia coli</w:t>
      </w:r>
    </w:p>
    <w:p w14:paraId="462233E6" w14:textId="292DCF1B" w:rsidR="00777DD6" w:rsidRPr="00EC314E" w:rsidRDefault="00777DD6" w:rsidP="00D7210B">
      <w:pPr>
        <w:ind w:left="851"/>
        <w:rPr>
          <w:sz w:val="24"/>
          <w:szCs w:val="24"/>
        </w:rPr>
      </w:pPr>
    </w:p>
    <w:p w14:paraId="5694DECE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Arter, hvor erhvervet resistens kan være et problem:</w:t>
      </w:r>
    </w:p>
    <w:p w14:paraId="25968DA4" w14:textId="77777777" w:rsidR="00EC314E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 xml:space="preserve">Citrobacter </w:t>
      </w:r>
      <w:proofErr w:type="spellStart"/>
      <w:r w:rsidRPr="00A5784E">
        <w:rPr>
          <w:i/>
          <w:sz w:val="24"/>
          <w:szCs w:val="24"/>
          <w:lang w:val="en-US"/>
        </w:rPr>
        <w:t>spp</w:t>
      </w:r>
      <w:proofErr w:type="spellEnd"/>
      <w:r w:rsidRPr="00A5784E">
        <w:rPr>
          <w:i/>
          <w:sz w:val="24"/>
          <w:szCs w:val="24"/>
          <w:lang w:val="en-US"/>
        </w:rPr>
        <w:t xml:space="preserve"> </w:t>
      </w:r>
    </w:p>
    <w:p w14:paraId="5F3D2A8E" w14:textId="77777777" w:rsidR="00EC314E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 xml:space="preserve">Enterobacter </w:t>
      </w:r>
      <w:proofErr w:type="spellStart"/>
      <w:r w:rsidRPr="00A5784E">
        <w:rPr>
          <w:i/>
          <w:sz w:val="24"/>
          <w:szCs w:val="24"/>
          <w:lang w:val="en-US"/>
        </w:rPr>
        <w:t>spp</w:t>
      </w:r>
      <w:proofErr w:type="spellEnd"/>
      <w:r w:rsidRPr="00A5784E">
        <w:rPr>
          <w:i/>
          <w:sz w:val="24"/>
          <w:szCs w:val="24"/>
          <w:lang w:val="en-US"/>
        </w:rPr>
        <w:t xml:space="preserve"> </w:t>
      </w:r>
    </w:p>
    <w:p w14:paraId="28345935" w14:textId="1BC492B7" w:rsidR="00777DD6" w:rsidRPr="00A5784E" w:rsidRDefault="00777DD6" w:rsidP="00D7210B">
      <w:pPr>
        <w:ind w:left="851"/>
        <w:rPr>
          <w:i/>
          <w:sz w:val="24"/>
          <w:szCs w:val="24"/>
          <w:lang w:val="en-US"/>
        </w:rPr>
      </w:pPr>
      <w:r w:rsidRPr="00A5784E">
        <w:rPr>
          <w:i/>
          <w:sz w:val="24"/>
          <w:szCs w:val="24"/>
          <w:lang w:val="en-US"/>
        </w:rPr>
        <w:t xml:space="preserve">Klebsiella </w:t>
      </w:r>
      <w:proofErr w:type="spellStart"/>
      <w:r w:rsidRPr="00A5784E">
        <w:rPr>
          <w:i/>
          <w:sz w:val="24"/>
          <w:szCs w:val="24"/>
          <w:lang w:val="en-US"/>
        </w:rPr>
        <w:t>spp</w:t>
      </w:r>
      <w:proofErr w:type="spellEnd"/>
    </w:p>
    <w:p w14:paraId="4415B516" w14:textId="77777777" w:rsidR="00777DD6" w:rsidRPr="00A5784E" w:rsidRDefault="00777DD6" w:rsidP="00D7210B">
      <w:pPr>
        <w:ind w:left="851"/>
        <w:rPr>
          <w:sz w:val="24"/>
          <w:szCs w:val="24"/>
          <w:u w:val="single"/>
          <w:lang w:val="en-US"/>
        </w:rPr>
      </w:pPr>
    </w:p>
    <w:p w14:paraId="0FD0ECFB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Naturligt resistente organismer</w:t>
      </w:r>
    </w:p>
    <w:p w14:paraId="5D200072" w14:textId="77777777" w:rsidR="00777DD6" w:rsidRPr="00EC314E" w:rsidRDefault="00777DD6" w:rsidP="00D7210B">
      <w:pPr>
        <w:ind w:left="851"/>
        <w:rPr>
          <w:i/>
          <w:sz w:val="24"/>
          <w:szCs w:val="24"/>
        </w:rPr>
      </w:pPr>
      <w:r w:rsidRPr="00EC314E">
        <w:rPr>
          <w:i/>
          <w:sz w:val="24"/>
          <w:szCs w:val="24"/>
        </w:rPr>
        <w:t xml:space="preserve">Proteus </w:t>
      </w:r>
      <w:proofErr w:type="spellStart"/>
      <w:r w:rsidRPr="00EC314E">
        <w:rPr>
          <w:i/>
          <w:sz w:val="24"/>
          <w:szCs w:val="24"/>
        </w:rPr>
        <w:t>spp</w:t>
      </w:r>
      <w:proofErr w:type="spellEnd"/>
    </w:p>
    <w:p w14:paraId="634BDDAB" w14:textId="77777777" w:rsidR="00EC314E" w:rsidRPr="00EC314E" w:rsidRDefault="00777DD6" w:rsidP="00D7210B">
      <w:pPr>
        <w:ind w:left="851"/>
        <w:rPr>
          <w:i/>
          <w:sz w:val="24"/>
          <w:szCs w:val="24"/>
        </w:rPr>
      </w:pPr>
      <w:proofErr w:type="spellStart"/>
      <w:r w:rsidRPr="00EC314E">
        <w:rPr>
          <w:i/>
          <w:sz w:val="24"/>
          <w:szCs w:val="24"/>
        </w:rPr>
        <w:t>Pseudomonas</w:t>
      </w:r>
      <w:proofErr w:type="spellEnd"/>
      <w:r w:rsidRPr="00EC314E">
        <w:rPr>
          <w:i/>
          <w:sz w:val="24"/>
          <w:szCs w:val="24"/>
        </w:rPr>
        <w:t xml:space="preserve"> </w:t>
      </w:r>
      <w:proofErr w:type="spellStart"/>
      <w:r w:rsidRPr="00EC314E">
        <w:rPr>
          <w:i/>
          <w:sz w:val="24"/>
          <w:szCs w:val="24"/>
        </w:rPr>
        <w:t>spp</w:t>
      </w:r>
      <w:proofErr w:type="spellEnd"/>
      <w:r w:rsidRPr="00EC314E">
        <w:rPr>
          <w:i/>
          <w:sz w:val="24"/>
          <w:szCs w:val="24"/>
        </w:rPr>
        <w:t xml:space="preserve"> </w:t>
      </w:r>
    </w:p>
    <w:p w14:paraId="647C01A9" w14:textId="2677F702" w:rsidR="00777DD6" w:rsidRPr="00EC314E" w:rsidRDefault="00EC314E" w:rsidP="00D7210B">
      <w:pPr>
        <w:ind w:left="851"/>
        <w:rPr>
          <w:i/>
          <w:sz w:val="24"/>
          <w:szCs w:val="24"/>
        </w:rPr>
      </w:pPr>
      <w:proofErr w:type="spellStart"/>
      <w:r w:rsidRPr="00EC314E">
        <w:rPr>
          <w:i/>
          <w:sz w:val="24"/>
          <w:szCs w:val="24"/>
        </w:rPr>
        <w:t>S</w:t>
      </w:r>
      <w:r w:rsidR="00777DD6" w:rsidRPr="00EC314E">
        <w:rPr>
          <w:i/>
          <w:sz w:val="24"/>
          <w:szCs w:val="24"/>
        </w:rPr>
        <w:t>erratia</w:t>
      </w:r>
      <w:proofErr w:type="spellEnd"/>
      <w:r w:rsidR="00777DD6" w:rsidRPr="00EC314E">
        <w:rPr>
          <w:i/>
          <w:sz w:val="24"/>
          <w:szCs w:val="24"/>
        </w:rPr>
        <w:t xml:space="preserve"> </w:t>
      </w:r>
      <w:proofErr w:type="spellStart"/>
      <w:r w:rsidR="00777DD6" w:rsidRPr="00EC314E">
        <w:rPr>
          <w:i/>
          <w:sz w:val="24"/>
          <w:szCs w:val="24"/>
        </w:rPr>
        <w:t>spp</w:t>
      </w:r>
      <w:proofErr w:type="spellEnd"/>
    </w:p>
    <w:p w14:paraId="2598D664" w14:textId="1F3D8F95" w:rsidR="00EC314E" w:rsidRDefault="00EC31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BA1B5A" w14:textId="77777777" w:rsidR="00777DD6" w:rsidRPr="00EC314E" w:rsidRDefault="00777DD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6BE022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5.2</w:t>
      </w:r>
      <w:r w:rsidRPr="00EC314E">
        <w:rPr>
          <w:b/>
          <w:sz w:val="24"/>
          <w:szCs w:val="24"/>
        </w:rPr>
        <w:tab/>
      </w:r>
      <w:proofErr w:type="spellStart"/>
      <w:r w:rsidRPr="00EC314E">
        <w:rPr>
          <w:b/>
          <w:sz w:val="24"/>
          <w:szCs w:val="24"/>
        </w:rPr>
        <w:t>Farmakokinetiske</w:t>
      </w:r>
      <w:proofErr w:type="spellEnd"/>
      <w:r w:rsidRPr="00EC314E">
        <w:rPr>
          <w:b/>
          <w:sz w:val="24"/>
          <w:szCs w:val="24"/>
        </w:rPr>
        <w:t xml:space="preserve"> egenskaber</w:t>
      </w:r>
    </w:p>
    <w:p w14:paraId="0BD23269" w14:textId="77777777" w:rsidR="00EC314E" w:rsidRPr="00EC314E" w:rsidRDefault="00EC314E" w:rsidP="00D7210B">
      <w:pPr>
        <w:ind w:left="851"/>
        <w:rPr>
          <w:sz w:val="24"/>
          <w:szCs w:val="24"/>
        </w:rPr>
      </w:pPr>
    </w:p>
    <w:p w14:paraId="254CF7ED" w14:textId="77777777" w:rsidR="00EC314E" w:rsidRPr="00EC314E" w:rsidRDefault="00EC314E" w:rsidP="00EC314E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Klinisk farmakologi</w:t>
      </w:r>
    </w:p>
    <w:p w14:paraId="180088FB" w14:textId="7083D012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Hver </w:t>
      </w:r>
      <w:proofErr w:type="spellStart"/>
      <w:r w:rsidRPr="00EC314E">
        <w:rPr>
          <w:sz w:val="24"/>
          <w:szCs w:val="24"/>
        </w:rPr>
        <w:t>Foragen</w:t>
      </w:r>
      <w:proofErr w:type="spellEnd"/>
      <w:r w:rsidRPr="00EC314E">
        <w:rPr>
          <w:sz w:val="24"/>
          <w:szCs w:val="24"/>
        </w:rPr>
        <w:t xml:space="preserve"> 100 mg kapsel med modificeret udløsning indeholder to former af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. 25 % af dosen er makrokrystallinsk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, som har en langsommere opløsning og absorption end </w:t>
      </w:r>
      <w:proofErr w:type="spellStart"/>
      <w:r w:rsidRPr="00EC314E">
        <w:rPr>
          <w:sz w:val="24"/>
          <w:szCs w:val="24"/>
        </w:rPr>
        <w:t>nitrofurantoinmikrokrystallerne</w:t>
      </w:r>
      <w:proofErr w:type="spellEnd"/>
      <w:r w:rsidRPr="00EC314E">
        <w:rPr>
          <w:sz w:val="24"/>
          <w:szCs w:val="24"/>
        </w:rPr>
        <w:t xml:space="preserve">. De resterende 75 % af dosen er mikrokrystallinsk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i en pulverblanding, som ved eksponering for de </w:t>
      </w:r>
      <w:proofErr w:type="spellStart"/>
      <w:r w:rsidRPr="00EC314E">
        <w:rPr>
          <w:sz w:val="24"/>
          <w:szCs w:val="24"/>
        </w:rPr>
        <w:t>gastrointestinale</w:t>
      </w:r>
      <w:proofErr w:type="spellEnd"/>
      <w:r w:rsidRPr="00EC314E">
        <w:rPr>
          <w:sz w:val="24"/>
          <w:szCs w:val="24"/>
        </w:rPr>
        <w:t xml:space="preserve"> væsker danner en gelmatrix, der resulterer i modificeret udløsning af det aktive stof over tid.</w:t>
      </w:r>
    </w:p>
    <w:p w14:paraId="41823891" w14:textId="6793BC07" w:rsidR="009260DE" w:rsidRPr="00EC314E" w:rsidRDefault="009260DE" w:rsidP="00D7210B">
      <w:pPr>
        <w:ind w:left="851"/>
        <w:rPr>
          <w:sz w:val="24"/>
          <w:szCs w:val="24"/>
        </w:rPr>
      </w:pPr>
    </w:p>
    <w:p w14:paraId="27D5E39D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Absorption</w:t>
      </w:r>
    </w:p>
    <w:p w14:paraId="5389C897" w14:textId="77777777" w:rsidR="00777DD6" w:rsidRPr="00EC314E" w:rsidRDefault="00777DD6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absorberes hurtigt i den øvre del af mave-tarm-kanalen. Indtagelse sammen med mad eller mælk øger absorptionen. Plasmakoncentrationer er lave ved terapeutiske doser med maksimalindhold sædvanligvis mindre end 1 </w:t>
      </w:r>
      <w:proofErr w:type="spellStart"/>
      <w:r w:rsidRPr="00EC314E">
        <w:rPr>
          <w:sz w:val="24"/>
          <w:szCs w:val="24"/>
        </w:rPr>
        <w:t>μg</w:t>
      </w:r>
      <w:proofErr w:type="spellEnd"/>
      <w:r w:rsidRPr="00EC314E">
        <w:rPr>
          <w:sz w:val="24"/>
          <w:szCs w:val="24"/>
        </w:rPr>
        <w:t>/ml.</w:t>
      </w:r>
    </w:p>
    <w:p w14:paraId="29A15740" w14:textId="67E1186D" w:rsidR="00777DD6" w:rsidRPr="00EC314E" w:rsidRDefault="00777DD6" w:rsidP="00D7210B">
      <w:pPr>
        <w:ind w:left="851"/>
        <w:rPr>
          <w:sz w:val="24"/>
          <w:szCs w:val="24"/>
        </w:rPr>
      </w:pPr>
    </w:p>
    <w:p w14:paraId="55FFF3A3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Fordeling</w:t>
      </w:r>
    </w:p>
    <w:p w14:paraId="5732A2BC" w14:textId="77777777" w:rsidR="00777DD6" w:rsidRPr="00EC314E" w:rsidRDefault="00777DD6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er 60-77 % bundet til plasmaalbumin. Fordeling finder sted over intra- og ekstracellulære vævskomponenter. Små mængder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kan krydse placentabarrieren.</w:t>
      </w:r>
    </w:p>
    <w:p w14:paraId="41730A0E" w14:textId="4C99DD10" w:rsidR="00777DD6" w:rsidRPr="00EC314E" w:rsidRDefault="00777DD6" w:rsidP="00D7210B">
      <w:pPr>
        <w:ind w:left="851"/>
        <w:rPr>
          <w:sz w:val="24"/>
          <w:szCs w:val="24"/>
        </w:rPr>
      </w:pPr>
    </w:p>
    <w:p w14:paraId="323874BA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Biotransformation</w:t>
      </w:r>
    </w:p>
    <w:p w14:paraId="3AE2CE46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Omkring 60 % af den administrerede </w:t>
      </w:r>
      <w:proofErr w:type="spellStart"/>
      <w:r w:rsidRPr="00EC314E">
        <w:rPr>
          <w:sz w:val="24"/>
          <w:szCs w:val="24"/>
        </w:rPr>
        <w:t>nitrofurantoindosis</w:t>
      </w:r>
      <w:proofErr w:type="spellEnd"/>
      <w:r w:rsidRPr="00EC314E">
        <w:rPr>
          <w:sz w:val="24"/>
          <w:szCs w:val="24"/>
        </w:rPr>
        <w:t xml:space="preserve"> </w:t>
      </w:r>
      <w:proofErr w:type="spellStart"/>
      <w:r w:rsidRPr="00EC314E">
        <w:rPr>
          <w:sz w:val="24"/>
          <w:szCs w:val="24"/>
        </w:rPr>
        <w:t>metaboliseres</w:t>
      </w:r>
      <w:proofErr w:type="spellEnd"/>
      <w:r w:rsidRPr="00EC314E">
        <w:rPr>
          <w:sz w:val="24"/>
          <w:szCs w:val="24"/>
        </w:rPr>
        <w:t xml:space="preserve"> primært ad enzymatisk vej til mikrobiologisk inaktivt </w:t>
      </w:r>
      <w:proofErr w:type="spellStart"/>
      <w:r w:rsidRPr="00EC314E">
        <w:rPr>
          <w:sz w:val="24"/>
          <w:szCs w:val="24"/>
        </w:rPr>
        <w:t>aminofurans</w:t>
      </w:r>
      <w:proofErr w:type="spellEnd"/>
      <w:r w:rsidRPr="00EC314E">
        <w:rPr>
          <w:sz w:val="24"/>
          <w:szCs w:val="24"/>
        </w:rPr>
        <w:t>, som kan ændre urinens farve til brun.</w:t>
      </w:r>
    </w:p>
    <w:p w14:paraId="45C295B0" w14:textId="2A1030F1" w:rsidR="00777DD6" w:rsidRPr="00EC314E" w:rsidRDefault="00777DD6" w:rsidP="00D7210B">
      <w:pPr>
        <w:ind w:left="851"/>
        <w:rPr>
          <w:sz w:val="24"/>
          <w:szCs w:val="24"/>
        </w:rPr>
      </w:pPr>
    </w:p>
    <w:p w14:paraId="4BE63D46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Elimination</w:t>
      </w:r>
    </w:p>
    <w:p w14:paraId="5AC993AC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Halveringstiden i blod eller plasma estimeres til at være ca. 60 minutter. Cirka 20-25 % af de 2 daglige doser </w:t>
      </w:r>
      <w:proofErr w:type="spellStart"/>
      <w:r w:rsidRPr="00EC314E">
        <w:rPr>
          <w:sz w:val="24"/>
          <w:szCs w:val="24"/>
        </w:rPr>
        <w:t>nitrofurantoin</w:t>
      </w:r>
      <w:proofErr w:type="spellEnd"/>
      <w:r w:rsidRPr="00EC314E">
        <w:rPr>
          <w:sz w:val="24"/>
          <w:szCs w:val="24"/>
        </w:rPr>
        <w:t xml:space="preserve"> genfindes uændret fra urinen. I gennemsnit opnås maksimalkoncentrationer på over 100 </w:t>
      </w:r>
      <w:proofErr w:type="spellStart"/>
      <w:r w:rsidRPr="00EC314E">
        <w:rPr>
          <w:sz w:val="24"/>
          <w:szCs w:val="24"/>
        </w:rPr>
        <w:t>μg</w:t>
      </w:r>
      <w:proofErr w:type="spellEnd"/>
      <w:r w:rsidRPr="00EC314E">
        <w:rPr>
          <w:sz w:val="24"/>
          <w:szCs w:val="24"/>
        </w:rPr>
        <w:t>/ml i urinen.</w:t>
      </w:r>
    </w:p>
    <w:p w14:paraId="3BC0EE17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7AB2E8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5.3</w:t>
      </w:r>
      <w:r w:rsidRPr="00EC314E">
        <w:rPr>
          <w:b/>
          <w:sz w:val="24"/>
          <w:szCs w:val="24"/>
        </w:rPr>
        <w:tab/>
      </w:r>
      <w:r w:rsidR="00BD7931" w:rsidRPr="00EC314E">
        <w:rPr>
          <w:b/>
          <w:sz w:val="24"/>
          <w:szCs w:val="24"/>
        </w:rPr>
        <w:t>Non-</w:t>
      </w:r>
      <w:r w:rsidRPr="00EC314E">
        <w:rPr>
          <w:b/>
          <w:sz w:val="24"/>
          <w:szCs w:val="24"/>
        </w:rPr>
        <w:t>kliniske sikkerhedsdata</w:t>
      </w:r>
    </w:p>
    <w:p w14:paraId="0FED1F67" w14:textId="77777777" w:rsidR="00777DD6" w:rsidRPr="00EC314E" w:rsidRDefault="00777DD6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Der foreligger ingen data.</w:t>
      </w:r>
    </w:p>
    <w:p w14:paraId="1FC78E97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B5ECF4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502C06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</w:t>
      </w:r>
      <w:r w:rsidRPr="00EC314E">
        <w:rPr>
          <w:b/>
          <w:sz w:val="24"/>
          <w:szCs w:val="24"/>
        </w:rPr>
        <w:tab/>
        <w:t>FARMACEUTISKE OPLYSNINGER</w:t>
      </w:r>
    </w:p>
    <w:p w14:paraId="71B5C4C8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4B2E5B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6.1</w:t>
      </w:r>
      <w:r w:rsidRPr="00EC314E">
        <w:rPr>
          <w:b/>
          <w:sz w:val="24"/>
          <w:szCs w:val="24"/>
        </w:rPr>
        <w:tab/>
        <w:t>Hjælpestoffer</w:t>
      </w:r>
    </w:p>
    <w:p w14:paraId="46402803" w14:textId="77777777" w:rsidR="00EC314E" w:rsidRPr="00EC314E" w:rsidRDefault="00EC314E" w:rsidP="00D7210B">
      <w:pPr>
        <w:ind w:left="851"/>
        <w:rPr>
          <w:sz w:val="24"/>
          <w:szCs w:val="24"/>
        </w:rPr>
      </w:pPr>
    </w:p>
    <w:p w14:paraId="5B0E8BCF" w14:textId="2D3E333B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Kapselindhold:</w:t>
      </w:r>
    </w:p>
    <w:p w14:paraId="58167650" w14:textId="77777777" w:rsidR="00D7210B" w:rsidRPr="00EC314E" w:rsidRDefault="00D7210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Talcum</w:t>
      </w:r>
      <w:proofErr w:type="spellEnd"/>
      <w:r w:rsidRPr="00EC314E">
        <w:rPr>
          <w:sz w:val="24"/>
          <w:szCs w:val="24"/>
        </w:rPr>
        <w:t xml:space="preserve"> (E553b)</w:t>
      </w:r>
      <w:r w:rsidRPr="00EC314E">
        <w:rPr>
          <w:sz w:val="24"/>
          <w:szCs w:val="24"/>
        </w:rPr>
        <w:br/>
        <w:t>Majsstivelse</w:t>
      </w:r>
      <w:r w:rsidRPr="00EC314E">
        <w:rPr>
          <w:sz w:val="24"/>
          <w:szCs w:val="24"/>
        </w:rPr>
        <w:br/>
      </w:r>
      <w:proofErr w:type="spellStart"/>
      <w:r w:rsidRPr="00EC314E">
        <w:rPr>
          <w:sz w:val="24"/>
          <w:szCs w:val="24"/>
        </w:rPr>
        <w:t>Carbomer</w:t>
      </w:r>
      <w:proofErr w:type="spellEnd"/>
      <w:r w:rsidRPr="00EC314E">
        <w:rPr>
          <w:sz w:val="24"/>
          <w:szCs w:val="24"/>
        </w:rPr>
        <w:br/>
      </w:r>
      <w:proofErr w:type="spellStart"/>
      <w:r w:rsidRPr="00EC314E">
        <w:rPr>
          <w:sz w:val="24"/>
          <w:szCs w:val="24"/>
        </w:rPr>
        <w:t>Povidon</w:t>
      </w:r>
      <w:proofErr w:type="spellEnd"/>
      <w:r w:rsidRPr="00EC314E">
        <w:rPr>
          <w:sz w:val="24"/>
          <w:szCs w:val="24"/>
        </w:rPr>
        <w:t xml:space="preserve"> (E1201)</w:t>
      </w:r>
    </w:p>
    <w:p w14:paraId="70C5CD67" w14:textId="77777777" w:rsidR="00D7210B" w:rsidRPr="00A5784E" w:rsidRDefault="00D7210B" w:rsidP="00D7210B">
      <w:pPr>
        <w:ind w:left="851"/>
        <w:rPr>
          <w:sz w:val="24"/>
          <w:szCs w:val="24"/>
          <w:lang w:val="en-US"/>
        </w:rPr>
      </w:pPr>
      <w:proofErr w:type="spellStart"/>
      <w:r w:rsidRPr="00A5784E">
        <w:rPr>
          <w:sz w:val="24"/>
          <w:szCs w:val="24"/>
          <w:lang w:val="en-US"/>
        </w:rPr>
        <w:t>Lactosemonohydrat</w:t>
      </w:r>
      <w:proofErr w:type="spellEnd"/>
      <w:r w:rsidRPr="00A5784E">
        <w:rPr>
          <w:sz w:val="24"/>
          <w:szCs w:val="24"/>
          <w:lang w:val="en-US"/>
        </w:rPr>
        <w:t>, Saccharose</w:t>
      </w:r>
    </w:p>
    <w:p w14:paraId="6F65C94C" w14:textId="77777777" w:rsidR="00D7210B" w:rsidRPr="00A5784E" w:rsidRDefault="00D7210B" w:rsidP="00D7210B">
      <w:pPr>
        <w:ind w:left="851"/>
        <w:rPr>
          <w:sz w:val="24"/>
          <w:szCs w:val="24"/>
          <w:lang w:val="en-US"/>
        </w:rPr>
      </w:pPr>
      <w:proofErr w:type="spellStart"/>
      <w:r w:rsidRPr="00A5784E">
        <w:rPr>
          <w:sz w:val="24"/>
          <w:szCs w:val="24"/>
          <w:lang w:val="en-US"/>
        </w:rPr>
        <w:t>Magnesiumstearat</w:t>
      </w:r>
      <w:proofErr w:type="spellEnd"/>
      <w:r w:rsidRPr="00A5784E">
        <w:rPr>
          <w:sz w:val="24"/>
          <w:szCs w:val="24"/>
          <w:lang w:val="en-US"/>
        </w:rPr>
        <w:t xml:space="preserve"> (E 470b)</w:t>
      </w:r>
    </w:p>
    <w:p w14:paraId="103E4316" w14:textId="2EE86391" w:rsidR="009260DE" w:rsidRPr="00A5784E" w:rsidRDefault="009260DE" w:rsidP="00D7210B">
      <w:pPr>
        <w:ind w:left="851"/>
        <w:rPr>
          <w:sz w:val="24"/>
          <w:szCs w:val="24"/>
          <w:lang w:val="en-US"/>
        </w:rPr>
      </w:pPr>
    </w:p>
    <w:p w14:paraId="5849AD7F" w14:textId="77777777" w:rsidR="00D7210B" w:rsidRPr="00EC314E" w:rsidRDefault="00D7210B" w:rsidP="00D7210B">
      <w:pPr>
        <w:ind w:left="851"/>
        <w:rPr>
          <w:sz w:val="24"/>
          <w:szCs w:val="24"/>
          <w:u w:val="single"/>
        </w:rPr>
      </w:pPr>
      <w:r w:rsidRPr="00EC314E">
        <w:rPr>
          <w:sz w:val="24"/>
          <w:szCs w:val="24"/>
          <w:u w:val="single"/>
        </w:rPr>
        <w:t>Kapselskal:</w:t>
      </w:r>
    </w:p>
    <w:p w14:paraId="1D91B403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Gul jernoxid (E172)</w:t>
      </w:r>
      <w:r w:rsidRPr="00EC314E">
        <w:rPr>
          <w:sz w:val="24"/>
          <w:szCs w:val="24"/>
        </w:rPr>
        <w:br/>
        <w:t>Sort jernoxid (E172)</w:t>
      </w:r>
      <w:r w:rsidRPr="00EC314E">
        <w:rPr>
          <w:sz w:val="24"/>
          <w:szCs w:val="24"/>
        </w:rPr>
        <w:br/>
      </w:r>
      <w:r w:rsidRPr="00EC314E">
        <w:rPr>
          <w:sz w:val="24"/>
          <w:szCs w:val="24"/>
        </w:rPr>
        <w:lastRenderedPageBreak/>
        <w:t>Titaniumdioxid (E171)</w:t>
      </w:r>
      <w:r w:rsidRPr="00EC314E">
        <w:rPr>
          <w:sz w:val="24"/>
          <w:szCs w:val="24"/>
        </w:rPr>
        <w:br/>
        <w:t>Gelatine</w:t>
      </w:r>
    </w:p>
    <w:p w14:paraId="79B38684" w14:textId="77777777" w:rsidR="00D7210B" w:rsidRPr="00EC314E" w:rsidRDefault="00D7210B" w:rsidP="00D7210B">
      <w:pPr>
        <w:ind w:left="851"/>
        <w:rPr>
          <w:sz w:val="24"/>
          <w:szCs w:val="24"/>
        </w:rPr>
      </w:pPr>
      <w:proofErr w:type="spellStart"/>
      <w:r w:rsidRPr="00EC314E">
        <w:rPr>
          <w:sz w:val="24"/>
          <w:szCs w:val="24"/>
        </w:rPr>
        <w:t>Indigocarmin</w:t>
      </w:r>
      <w:proofErr w:type="spellEnd"/>
      <w:r w:rsidRPr="00EC314E">
        <w:rPr>
          <w:sz w:val="24"/>
          <w:szCs w:val="24"/>
        </w:rPr>
        <w:t xml:space="preserve"> (E132)</w:t>
      </w:r>
    </w:p>
    <w:p w14:paraId="24408E5D" w14:textId="773C7554" w:rsidR="00D7210B" w:rsidRPr="00EC314E" w:rsidRDefault="00D7210B" w:rsidP="00D7210B">
      <w:pPr>
        <w:ind w:left="851"/>
        <w:rPr>
          <w:sz w:val="24"/>
          <w:szCs w:val="24"/>
        </w:rPr>
      </w:pPr>
    </w:p>
    <w:p w14:paraId="55160B70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  <w:u w:val="single"/>
        </w:rPr>
        <w:t>Trykfarve:</w:t>
      </w:r>
      <w:r w:rsidRPr="00EC314E">
        <w:rPr>
          <w:sz w:val="24"/>
          <w:szCs w:val="24"/>
          <w:u w:val="single"/>
        </w:rPr>
        <w:br/>
      </w:r>
      <w:proofErr w:type="spellStart"/>
      <w:r w:rsidRPr="00EC314E">
        <w:rPr>
          <w:sz w:val="24"/>
          <w:szCs w:val="24"/>
        </w:rPr>
        <w:t>Shellac</w:t>
      </w:r>
      <w:proofErr w:type="spellEnd"/>
      <w:r w:rsidRPr="00EC314E">
        <w:rPr>
          <w:sz w:val="24"/>
          <w:szCs w:val="24"/>
        </w:rPr>
        <w:t xml:space="preserve"> (E904)</w:t>
      </w:r>
    </w:p>
    <w:p w14:paraId="6E36A4BB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Propylenglycol (E1520)</w:t>
      </w:r>
      <w:r w:rsidRPr="00EC314E">
        <w:rPr>
          <w:sz w:val="24"/>
          <w:szCs w:val="24"/>
        </w:rPr>
        <w:br/>
        <w:t>Stærk ammoniakopløsning(E527)</w:t>
      </w:r>
      <w:r w:rsidRPr="00EC314E">
        <w:rPr>
          <w:sz w:val="24"/>
          <w:szCs w:val="24"/>
        </w:rPr>
        <w:br/>
        <w:t>Vand, renset</w:t>
      </w:r>
    </w:p>
    <w:p w14:paraId="415A9B69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Kaliumhydroxid (E525)</w:t>
      </w:r>
      <w:r w:rsidRPr="00EC314E">
        <w:rPr>
          <w:sz w:val="24"/>
          <w:szCs w:val="24"/>
        </w:rPr>
        <w:br/>
        <w:t>Titandioxid (E171)</w:t>
      </w:r>
    </w:p>
    <w:p w14:paraId="3FA0574B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41A9D9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6.2</w:t>
      </w:r>
      <w:r w:rsidRPr="00EC314E">
        <w:rPr>
          <w:b/>
          <w:sz w:val="24"/>
          <w:szCs w:val="24"/>
        </w:rPr>
        <w:tab/>
        <w:t>Uforligeligheder</w:t>
      </w:r>
    </w:p>
    <w:p w14:paraId="431D95E4" w14:textId="49E90937" w:rsidR="009260DE" w:rsidRPr="00EC314E" w:rsidRDefault="00D7210B" w:rsidP="009260DE">
      <w:pPr>
        <w:tabs>
          <w:tab w:val="left" w:pos="851"/>
        </w:tabs>
        <w:ind w:left="851"/>
        <w:rPr>
          <w:sz w:val="24"/>
          <w:szCs w:val="24"/>
        </w:rPr>
      </w:pPr>
      <w:r w:rsidRPr="00EC314E">
        <w:rPr>
          <w:sz w:val="24"/>
          <w:szCs w:val="24"/>
        </w:rPr>
        <w:t>Ikke relevant.</w:t>
      </w:r>
    </w:p>
    <w:p w14:paraId="610C1E2C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EE6FBA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6.3</w:t>
      </w:r>
      <w:r w:rsidRPr="00EC314E">
        <w:rPr>
          <w:b/>
          <w:sz w:val="24"/>
          <w:szCs w:val="24"/>
        </w:rPr>
        <w:tab/>
        <w:t>Opbevaringstid</w:t>
      </w:r>
    </w:p>
    <w:p w14:paraId="5E410211" w14:textId="3A6F3D99" w:rsidR="009260DE" w:rsidRPr="00EC314E" w:rsidRDefault="00D7210B" w:rsidP="0089346F">
      <w:pPr>
        <w:tabs>
          <w:tab w:val="left" w:pos="851"/>
        </w:tabs>
        <w:ind w:left="851"/>
        <w:rPr>
          <w:rFonts w:eastAsia="MS Mincho"/>
          <w:noProof/>
          <w:sz w:val="24"/>
          <w:szCs w:val="24"/>
        </w:rPr>
      </w:pPr>
      <w:r w:rsidRPr="00EC314E">
        <w:rPr>
          <w:sz w:val="24"/>
          <w:szCs w:val="24"/>
        </w:rPr>
        <w:t>2 år.</w:t>
      </w:r>
    </w:p>
    <w:p w14:paraId="7EF93BA9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72BB68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6.4</w:t>
      </w:r>
      <w:r w:rsidRPr="00EC314E">
        <w:rPr>
          <w:b/>
          <w:sz w:val="24"/>
          <w:szCs w:val="24"/>
        </w:rPr>
        <w:tab/>
        <w:t>Særlige opbevaringsforhold</w:t>
      </w:r>
    </w:p>
    <w:p w14:paraId="4D425F45" w14:textId="264BE32B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Må ikke opbevares ved temperaturer over 25</w:t>
      </w:r>
      <w:r w:rsidR="00EC314E" w:rsidRPr="00EC314E">
        <w:rPr>
          <w:sz w:val="24"/>
          <w:szCs w:val="24"/>
        </w:rPr>
        <w:t xml:space="preserve"> </w:t>
      </w:r>
      <w:r w:rsidRPr="00EC314E">
        <w:rPr>
          <w:sz w:val="24"/>
          <w:szCs w:val="24"/>
        </w:rPr>
        <w:t>°C.</w:t>
      </w:r>
    </w:p>
    <w:p w14:paraId="465C765F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35E703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6.5</w:t>
      </w:r>
      <w:r w:rsidRPr="00EC314E">
        <w:rPr>
          <w:b/>
          <w:sz w:val="24"/>
          <w:szCs w:val="24"/>
        </w:rPr>
        <w:tab/>
        <w:t>Emballagetype og pakningsstørrelser</w:t>
      </w:r>
    </w:p>
    <w:p w14:paraId="47B8BB48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Kartonæske med standard PVC-PCTFE/</w:t>
      </w:r>
      <w:proofErr w:type="spellStart"/>
      <w:r w:rsidRPr="00EC314E">
        <w:rPr>
          <w:sz w:val="24"/>
          <w:szCs w:val="24"/>
        </w:rPr>
        <w:t>Alu</w:t>
      </w:r>
      <w:proofErr w:type="spellEnd"/>
      <w:r w:rsidRPr="00EC314E">
        <w:rPr>
          <w:sz w:val="24"/>
          <w:szCs w:val="24"/>
        </w:rPr>
        <w:t>-blister med enten 2, 6, 14 eller 20 kapsler.</w:t>
      </w:r>
    </w:p>
    <w:p w14:paraId="02EC4964" w14:textId="14F59B51" w:rsidR="009260DE" w:rsidRPr="00EC314E" w:rsidRDefault="009260DE" w:rsidP="00D7210B">
      <w:pPr>
        <w:ind w:left="851"/>
        <w:rPr>
          <w:sz w:val="24"/>
          <w:szCs w:val="24"/>
        </w:rPr>
      </w:pPr>
    </w:p>
    <w:p w14:paraId="3CBDE7CA" w14:textId="29AF79A9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 xml:space="preserve">Pakningstørrelser: </w:t>
      </w:r>
      <w:r w:rsidR="006B4C47">
        <w:t>2 kapsler (1 blister x 2 kapsler), 6 kapsler (3 blistre x 2 kapsler), 14 kapsler (2 blistre x 7 kapsler) eller 20 kapsler (2 blistre x 10 kapsler).</w:t>
      </w:r>
      <w:bookmarkStart w:id="0" w:name="_GoBack"/>
      <w:bookmarkEnd w:id="0"/>
    </w:p>
    <w:p w14:paraId="2D5423F4" w14:textId="5C72025A" w:rsidR="00D7210B" w:rsidRPr="00EC314E" w:rsidRDefault="00D7210B" w:rsidP="00D7210B">
      <w:pPr>
        <w:ind w:left="851"/>
        <w:rPr>
          <w:sz w:val="24"/>
          <w:szCs w:val="24"/>
        </w:rPr>
      </w:pPr>
    </w:p>
    <w:p w14:paraId="711461E1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Ikke alle pakningsstørrelser er nødvendigvis markedsført.</w:t>
      </w:r>
    </w:p>
    <w:p w14:paraId="3DC83900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3F8D45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6.6</w:t>
      </w:r>
      <w:r w:rsidRPr="00EC314E">
        <w:rPr>
          <w:b/>
          <w:sz w:val="24"/>
          <w:szCs w:val="24"/>
        </w:rPr>
        <w:tab/>
        <w:t xml:space="preserve">Regler for </w:t>
      </w:r>
      <w:r w:rsidR="00BD7931" w:rsidRPr="00EC314E">
        <w:rPr>
          <w:b/>
          <w:sz w:val="24"/>
          <w:szCs w:val="24"/>
        </w:rPr>
        <w:t>bortskaffelse</w:t>
      </w:r>
      <w:r w:rsidRPr="00EC314E">
        <w:rPr>
          <w:b/>
          <w:sz w:val="24"/>
          <w:szCs w:val="24"/>
        </w:rPr>
        <w:t xml:space="preserve"> og anden håndtering</w:t>
      </w:r>
    </w:p>
    <w:p w14:paraId="5A1286F7" w14:textId="77777777" w:rsidR="00D7210B" w:rsidRPr="00EC314E" w:rsidRDefault="00D7210B" w:rsidP="00D7210B">
      <w:pPr>
        <w:ind w:left="851"/>
        <w:rPr>
          <w:sz w:val="24"/>
          <w:szCs w:val="24"/>
        </w:rPr>
      </w:pPr>
      <w:r w:rsidRPr="00EC314E">
        <w:rPr>
          <w:sz w:val="24"/>
          <w:szCs w:val="24"/>
        </w:rPr>
        <w:t>Ikke anvendt lægemiddel samt affald heraf skal bortskaffes i henhold til lokale retningslinjer.</w:t>
      </w:r>
    </w:p>
    <w:p w14:paraId="5E453746" w14:textId="77777777" w:rsidR="009260DE" w:rsidRPr="00EC314E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06665FA" w14:textId="77777777" w:rsidR="009260DE" w:rsidRPr="00D77DF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77DF6">
        <w:rPr>
          <w:b/>
          <w:sz w:val="24"/>
          <w:szCs w:val="24"/>
        </w:rPr>
        <w:t>7.</w:t>
      </w:r>
      <w:r w:rsidRPr="00D77DF6">
        <w:rPr>
          <w:b/>
          <w:sz w:val="24"/>
          <w:szCs w:val="24"/>
        </w:rPr>
        <w:tab/>
        <w:t>INDEHAVER AF MARKEDSFØRINGSTILLADELSEN</w:t>
      </w:r>
    </w:p>
    <w:p w14:paraId="501DECC2" w14:textId="77777777" w:rsidR="00E54299" w:rsidRPr="00D77DF6" w:rsidRDefault="00E54299" w:rsidP="00E54299">
      <w:pPr>
        <w:tabs>
          <w:tab w:val="left" w:pos="851"/>
        </w:tabs>
        <w:ind w:left="851"/>
        <w:rPr>
          <w:sz w:val="24"/>
          <w:szCs w:val="24"/>
          <w:lang w:eastAsia="en-GB"/>
        </w:rPr>
      </w:pPr>
      <w:r w:rsidRPr="00D77DF6">
        <w:rPr>
          <w:sz w:val="24"/>
          <w:szCs w:val="24"/>
          <w:lang w:eastAsia="en-GB"/>
        </w:rPr>
        <w:t xml:space="preserve">CNX </w:t>
      </w:r>
      <w:proofErr w:type="spellStart"/>
      <w:r w:rsidRPr="00D77DF6">
        <w:rPr>
          <w:sz w:val="24"/>
          <w:szCs w:val="24"/>
          <w:lang w:eastAsia="en-GB"/>
        </w:rPr>
        <w:t>Therapeutics</w:t>
      </w:r>
      <w:proofErr w:type="spellEnd"/>
      <w:r w:rsidRPr="00D77DF6">
        <w:rPr>
          <w:sz w:val="24"/>
          <w:szCs w:val="24"/>
          <w:lang w:eastAsia="en-GB"/>
        </w:rPr>
        <w:t xml:space="preserve"> Ireland Ltd.</w:t>
      </w:r>
    </w:p>
    <w:p w14:paraId="2710B1FC" w14:textId="77777777" w:rsidR="00E54299" w:rsidRPr="00E54299" w:rsidRDefault="00E54299" w:rsidP="00E54299">
      <w:pPr>
        <w:tabs>
          <w:tab w:val="left" w:pos="851"/>
        </w:tabs>
        <w:ind w:left="851"/>
        <w:rPr>
          <w:sz w:val="24"/>
          <w:szCs w:val="24"/>
          <w:lang w:val="en-US" w:eastAsia="en-GB"/>
        </w:rPr>
      </w:pPr>
      <w:r w:rsidRPr="00E54299">
        <w:rPr>
          <w:sz w:val="24"/>
          <w:szCs w:val="24"/>
          <w:lang w:val="en-US" w:eastAsia="en-GB"/>
        </w:rPr>
        <w:t>5th Floor Rear, Connaught House</w:t>
      </w:r>
    </w:p>
    <w:p w14:paraId="4688CC6A" w14:textId="77777777" w:rsidR="00E54299" w:rsidRPr="00E54299" w:rsidRDefault="00E54299" w:rsidP="00E54299">
      <w:pPr>
        <w:tabs>
          <w:tab w:val="left" w:pos="851"/>
        </w:tabs>
        <w:ind w:left="851"/>
        <w:rPr>
          <w:sz w:val="24"/>
          <w:szCs w:val="24"/>
          <w:lang w:val="en-US" w:eastAsia="en-GB"/>
        </w:rPr>
      </w:pPr>
      <w:r w:rsidRPr="00E54299">
        <w:rPr>
          <w:sz w:val="24"/>
          <w:szCs w:val="24"/>
          <w:lang w:val="en-US" w:eastAsia="en-GB"/>
        </w:rPr>
        <w:t xml:space="preserve">1 Burlington Road </w:t>
      </w:r>
    </w:p>
    <w:p w14:paraId="0916DD5F" w14:textId="77777777" w:rsidR="00E54299" w:rsidRPr="00D77DF6" w:rsidRDefault="00E54299" w:rsidP="00E54299">
      <w:pPr>
        <w:tabs>
          <w:tab w:val="left" w:pos="851"/>
        </w:tabs>
        <w:ind w:left="851"/>
        <w:rPr>
          <w:sz w:val="24"/>
          <w:szCs w:val="24"/>
          <w:lang w:eastAsia="en-GB"/>
        </w:rPr>
      </w:pPr>
      <w:r w:rsidRPr="00D77DF6">
        <w:rPr>
          <w:sz w:val="24"/>
          <w:szCs w:val="24"/>
          <w:lang w:eastAsia="en-GB"/>
        </w:rPr>
        <w:t xml:space="preserve">Dublin 4 </w:t>
      </w:r>
    </w:p>
    <w:p w14:paraId="4D373757" w14:textId="77777777" w:rsidR="00E54299" w:rsidRPr="00D77DF6" w:rsidRDefault="00E54299" w:rsidP="00E54299">
      <w:pPr>
        <w:tabs>
          <w:tab w:val="left" w:pos="851"/>
        </w:tabs>
        <w:ind w:left="851"/>
        <w:rPr>
          <w:sz w:val="24"/>
          <w:szCs w:val="24"/>
          <w:lang w:eastAsia="en-GB"/>
        </w:rPr>
      </w:pPr>
      <w:r w:rsidRPr="00D77DF6">
        <w:rPr>
          <w:sz w:val="24"/>
          <w:szCs w:val="24"/>
          <w:lang w:eastAsia="en-GB"/>
        </w:rPr>
        <w:t>Dublin</w:t>
      </w:r>
    </w:p>
    <w:p w14:paraId="51758747" w14:textId="36F8FAED" w:rsidR="00641C65" w:rsidRPr="00D77DF6" w:rsidRDefault="00E54299" w:rsidP="00E54299">
      <w:pPr>
        <w:tabs>
          <w:tab w:val="left" w:pos="851"/>
        </w:tabs>
        <w:ind w:left="851"/>
        <w:rPr>
          <w:sz w:val="24"/>
          <w:szCs w:val="24"/>
          <w:lang w:eastAsia="en-GB"/>
        </w:rPr>
      </w:pPr>
      <w:r w:rsidRPr="00D77DF6">
        <w:rPr>
          <w:sz w:val="24"/>
          <w:szCs w:val="24"/>
          <w:lang w:eastAsia="en-GB"/>
        </w:rPr>
        <w:t>Irland</w:t>
      </w:r>
    </w:p>
    <w:p w14:paraId="08BF1C16" w14:textId="77777777" w:rsidR="00E54299" w:rsidRPr="00EC314E" w:rsidRDefault="00E54299" w:rsidP="00E54299">
      <w:pPr>
        <w:tabs>
          <w:tab w:val="left" w:pos="851"/>
        </w:tabs>
        <w:ind w:left="851"/>
        <w:rPr>
          <w:sz w:val="24"/>
          <w:szCs w:val="24"/>
        </w:rPr>
      </w:pPr>
    </w:p>
    <w:p w14:paraId="24D389AF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8.</w:t>
      </w:r>
      <w:r w:rsidRPr="00EC314E">
        <w:rPr>
          <w:b/>
          <w:sz w:val="24"/>
          <w:szCs w:val="24"/>
        </w:rPr>
        <w:tab/>
        <w:t>MARKEDSFØRINGSTILLADELSESNUMMER (</w:t>
      </w:r>
      <w:r w:rsidR="00BF6243" w:rsidRPr="00EC314E">
        <w:rPr>
          <w:b/>
          <w:sz w:val="24"/>
          <w:szCs w:val="24"/>
        </w:rPr>
        <w:t>-</w:t>
      </w:r>
      <w:r w:rsidRPr="00EC314E">
        <w:rPr>
          <w:b/>
          <w:sz w:val="24"/>
          <w:szCs w:val="24"/>
        </w:rPr>
        <w:t>NUMRE)</w:t>
      </w:r>
    </w:p>
    <w:p w14:paraId="6255BEB6" w14:textId="578EA431" w:rsidR="009260DE" w:rsidRPr="00EC314E" w:rsidRDefault="00D7210B" w:rsidP="009260DE">
      <w:pPr>
        <w:tabs>
          <w:tab w:val="left" w:pos="851"/>
        </w:tabs>
        <w:ind w:left="851"/>
        <w:rPr>
          <w:sz w:val="24"/>
          <w:szCs w:val="24"/>
        </w:rPr>
      </w:pPr>
      <w:r w:rsidRPr="00EC314E">
        <w:rPr>
          <w:sz w:val="24"/>
          <w:szCs w:val="24"/>
        </w:rPr>
        <w:t>67773</w:t>
      </w:r>
    </w:p>
    <w:p w14:paraId="0E82388B" w14:textId="77777777" w:rsidR="009260DE" w:rsidRPr="00EC314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4BFD99B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9.</w:t>
      </w:r>
      <w:r w:rsidRPr="00EC314E">
        <w:rPr>
          <w:b/>
          <w:sz w:val="24"/>
          <w:szCs w:val="24"/>
        </w:rPr>
        <w:tab/>
        <w:t>DATO FOR FØRSTE MARKEDSFØRINGSTILLADELSE</w:t>
      </w:r>
    </w:p>
    <w:p w14:paraId="3F0BD01F" w14:textId="4177AD77" w:rsidR="009260DE" w:rsidRPr="00EC314E" w:rsidRDefault="00A5784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december 2023</w:t>
      </w:r>
    </w:p>
    <w:p w14:paraId="433C13AC" w14:textId="77777777" w:rsidR="009260DE" w:rsidRPr="00EC314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CB823A" w14:textId="77777777" w:rsidR="009260DE" w:rsidRPr="00EC314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314E">
        <w:rPr>
          <w:b/>
          <w:sz w:val="24"/>
          <w:szCs w:val="24"/>
        </w:rPr>
        <w:t>10.</w:t>
      </w:r>
      <w:r w:rsidRPr="00EC314E">
        <w:rPr>
          <w:b/>
          <w:sz w:val="24"/>
          <w:szCs w:val="24"/>
        </w:rPr>
        <w:tab/>
        <w:t>DATO FOR ÆNDRING AF TEKSTEN</w:t>
      </w:r>
    </w:p>
    <w:p w14:paraId="044FD59F" w14:textId="2EB4CD2D" w:rsidR="009260DE" w:rsidRPr="00EC314E" w:rsidRDefault="006B4C4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21. november 2024</w:t>
      </w:r>
    </w:p>
    <w:sectPr w:rsidR="009260DE" w:rsidRPr="00EC314E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24FCA" w14:textId="77777777" w:rsidR="00090273" w:rsidRDefault="00090273">
      <w:r>
        <w:separator/>
      </w:r>
    </w:p>
  </w:endnote>
  <w:endnote w:type="continuationSeparator" w:id="0">
    <w:p w14:paraId="5ECE3C9F" w14:textId="77777777" w:rsidR="00090273" w:rsidRDefault="0009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FBD6" w14:textId="77777777" w:rsidR="000259B9" w:rsidRDefault="000259B9">
    <w:pPr>
      <w:pStyle w:val="Sidefod"/>
      <w:pBdr>
        <w:bottom w:val="single" w:sz="6" w:space="1" w:color="auto"/>
      </w:pBdr>
    </w:pPr>
  </w:p>
  <w:p w14:paraId="340F2AC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4E87BDE" w14:textId="247B251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840EA">
      <w:rPr>
        <w:i/>
        <w:noProof/>
        <w:sz w:val="18"/>
        <w:szCs w:val="18"/>
      </w:rPr>
      <w:t>Foragen, hårde kapsler med modificeret udløsning 100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11F7" w14:textId="77777777" w:rsidR="00090273" w:rsidRDefault="00090273">
      <w:r>
        <w:separator/>
      </w:r>
    </w:p>
  </w:footnote>
  <w:footnote w:type="continuationSeparator" w:id="0">
    <w:p w14:paraId="07B873C1" w14:textId="77777777" w:rsidR="00090273" w:rsidRDefault="0009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3D3F"/>
    <w:multiLevelType w:val="hybridMultilevel"/>
    <w:tmpl w:val="32983F4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7AE41D4"/>
    <w:multiLevelType w:val="hybridMultilevel"/>
    <w:tmpl w:val="5364BEB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A56244"/>
    <w:multiLevelType w:val="hybridMultilevel"/>
    <w:tmpl w:val="163C553A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73"/>
    <w:rsid w:val="000259B9"/>
    <w:rsid w:val="00041491"/>
    <w:rsid w:val="00050D16"/>
    <w:rsid w:val="000730CA"/>
    <w:rsid w:val="00074F2A"/>
    <w:rsid w:val="00090273"/>
    <w:rsid w:val="000A1CA8"/>
    <w:rsid w:val="000A466B"/>
    <w:rsid w:val="000B058C"/>
    <w:rsid w:val="000B576A"/>
    <w:rsid w:val="000D68B0"/>
    <w:rsid w:val="000E4EE6"/>
    <w:rsid w:val="001454E2"/>
    <w:rsid w:val="001D0002"/>
    <w:rsid w:val="00206CE8"/>
    <w:rsid w:val="0021526C"/>
    <w:rsid w:val="002613E2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6B4C47"/>
    <w:rsid w:val="0071241E"/>
    <w:rsid w:val="00737275"/>
    <w:rsid w:val="00740EEC"/>
    <w:rsid w:val="00777DD6"/>
    <w:rsid w:val="0078011A"/>
    <w:rsid w:val="00782AF4"/>
    <w:rsid w:val="00790EE7"/>
    <w:rsid w:val="007B6649"/>
    <w:rsid w:val="0082576E"/>
    <w:rsid w:val="00864405"/>
    <w:rsid w:val="0089346F"/>
    <w:rsid w:val="00907F75"/>
    <w:rsid w:val="009260DE"/>
    <w:rsid w:val="0093258A"/>
    <w:rsid w:val="00965F7B"/>
    <w:rsid w:val="009A45D5"/>
    <w:rsid w:val="009C7BA3"/>
    <w:rsid w:val="009D0A3D"/>
    <w:rsid w:val="009D1F5A"/>
    <w:rsid w:val="00A10294"/>
    <w:rsid w:val="00A5784E"/>
    <w:rsid w:val="00AE665F"/>
    <w:rsid w:val="00B003BF"/>
    <w:rsid w:val="00B373D7"/>
    <w:rsid w:val="00B55271"/>
    <w:rsid w:val="00BD13AA"/>
    <w:rsid w:val="00BD7931"/>
    <w:rsid w:val="00BF6243"/>
    <w:rsid w:val="00C36276"/>
    <w:rsid w:val="00C42586"/>
    <w:rsid w:val="00C45F6B"/>
    <w:rsid w:val="00C60CCD"/>
    <w:rsid w:val="00C840EA"/>
    <w:rsid w:val="00C84483"/>
    <w:rsid w:val="00C95551"/>
    <w:rsid w:val="00CB20D7"/>
    <w:rsid w:val="00D020B0"/>
    <w:rsid w:val="00D11748"/>
    <w:rsid w:val="00D237F6"/>
    <w:rsid w:val="00D34D98"/>
    <w:rsid w:val="00D366CF"/>
    <w:rsid w:val="00D7210B"/>
    <w:rsid w:val="00D75EF8"/>
    <w:rsid w:val="00D77DF6"/>
    <w:rsid w:val="00D93992"/>
    <w:rsid w:val="00E108AA"/>
    <w:rsid w:val="00E3749A"/>
    <w:rsid w:val="00E54299"/>
    <w:rsid w:val="00E7437F"/>
    <w:rsid w:val="00E865B8"/>
    <w:rsid w:val="00EA5845"/>
    <w:rsid w:val="00EC0B9B"/>
    <w:rsid w:val="00EC314E"/>
    <w:rsid w:val="00ED5E9F"/>
    <w:rsid w:val="00EF0052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B70BD"/>
  <w15:chartTrackingRefBased/>
  <w15:docId w15:val="{3E753698-4C54-4ED5-9D84-E9EC82F8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965F7B"/>
    <w:pPr>
      <w:widowControl w:val="0"/>
      <w:autoSpaceDE w:val="0"/>
      <w:autoSpaceDN w:val="0"/>
      <w:spacing w:before="11"/>
      <w:ind w:left="2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965F7B"/>
    <w:rPr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E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2</TotalTime>
  <Pages>10</Pages>
  <Words>2327</Words>
  <Characters>16101</Characters>
  <Application>Microsoft Office Word</Application>
  <DocSecurity>0</DocSecurity>
  <Lines>134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2024021353 punkt 6.5</dc:description>
  <cp:lastModifiedBy>Alexandra Wæver</cp:lastModifiedBy>
  <cp:revision>2</cp:revision>
  <cp:lastPrinted>2012-08-22T08:53:00Z</cp:lastPrinted>
  <dcterms:created xsi:type="dcterms:W3CDTF">2024-11-21T08:32:00Z</dcterms:created>
  <dcterms:modified xsi:type="dcterms:W3CDTF">2024-11-21T08:32:00Z</dcterms:modified>
</cp:coreProperties>
</file>