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C70F9"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5F5E7E3C" wp14:editId="471DB94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3636C864" w14:textId="77777777" w:rsidR="009260DE" w:rsidRPr="00C84483" w:rsidRDefault="009260DE" w:rsidP="009260DE">
      <w:pPr>
        <w:pStyle w:val="Titel"/>
        <w:tabs>
          <w:tab w:val="right" w:pos="9356"/>
        </w:tabs>
        <w:jc w:val="left"/>
        <w:rPr>
          <w:b w:val="0"/>
          <w:szCs w:val="24"/>
          <w:lang w:eastAsia="en-US"/>
        </w:rPr>
      </w:pPr>
    </w:p>
    <w:p w14:paraId="6EB26630" w14:textId="3C001219"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830B0B">
        <w:rPr>
          <w:szCs w:val="24"/>
        </w:rPr>
        <w:t>22. september 2023</w:t>
      </w:r>
    </w:p>
    <w:p w14:paraId="4D0732AD" w14:textId="77777777" w:rsidR="009260DE" w:rsidRPr="00C84483" w:rsidRDefault="009260DE" w:rsidP="009260DE">
      <w:pPr>
        <w:pStyle w:val="Titel"/>
        <w:tabs>
          <w:tab w:val="left" w:pos="8222"/>
        </w:tabs>
        <w:jc w:val="left"/>
        <w:rPr>
          <w:b w:val="0"/>
          <w:szCs w:val="24"/>
        </w:rPr>
      </w:pPr>
    </w:p>
    <w:p w14:paraId="282FFEC6" w14:textId="77777777" w:rsidR="009260DE" w:rsidRPr="00C84483" w:rsidRDefault="009260DE" w:rsidP="009260DE">
      <w:pPr>
        <w:pStyle w:val="Titel"/>
        <w:jc w:val="left"/>
        <w:rPr>
          <w:b w:val="0"/>
          <w:szCs w:val="24"/>
        </w:rPr>
      </w:pPr>
    </w:p>
    <w:p w14:paraId="544DC94C" w14:textId="77777777" w:rsidR="009260DE" w:rsidRPr="00C84483" w:rsidRDefault="009260DE" w:rsidP="009260DE">
      <w:pPr>
        <w:pStyle w:val="Titel"/>
        <w:jc w:val="left"/>
        <w:rPr>
          <w:b w:val="0"/>
          <w:szCs w:val="24"/>
        </w:rPr>
      </w:pPr>
    </w:p>
    <w:p w14:paraId="47303A82" w14:textId="77777777" w:rsidR="009260DE" w:rsidRPr="00C84483" w:rsidRDefault="009260DE" w:rsidP="009260DE">
      <w:pPr>
        <w:jc w:val="center"/>
        <w:rPr>
          <w:b/>
          <w:sz w:val="24"/>
          <w:szCs w:val="24"/>
        </w:rPr>
      </w:pPr>
      <w:r w:rsidRPr="00C84483">
        <w:rPr>
          <w:b/>
          <w:sz w:val="24"/>
          <w:szCs w:val="24"/>
        </w:rPr>
        <w:t>PRODUKTRESUMÉ</w:t>
      </w:r>
    </w:p>
    <w:p w14:paraId="20415529" w14:textId="77777777" w:rsidR="009260DE" w:rsidRPr="00C84483" w:rsidRDefault="009260DE" w:rsidP="009260DE">
      <w:pPr>
        <w:jc w:val="center"/>
        <w:rPr>
          <w:b/>
          <w:sz w:val="24"/>
          <w:szCs w:val="24"/>
        </w:rPr>
      </w:pPr>
    </w:p>
    <w:p w14:paraId="056CC7C3" w14:textId="77777777" w:rsidR="009260DE" w:rsidRDefault="009260DE" w:rsidP="009260DE">
      <w:pPr>
        <w:jc w:val="center"/>
        <w:rPr>
          <w:b/>
          <w:sz w:val="24"/>
          <w:szCs w:val="24"/>
        </w:rPr>
      </w:pPr>
      <w:r w:rsidRPr="00C84483">
        <w:rPr>
          <w:b/>
          <w:sz w:val="24"/>
          <w:szCs w:val="24"/>
        </w:rPr>
        <w:t>for</w:t>
      </w:r>
    </w:p>
    <w:p w14:paraId="39382A5B" w14:textId="77777777" w:rsidR="000B058C" w:rsidRPr="00C84483" w:rsidRDefault="000B058C" w:rsidP="009260DE">
      <w:pPr>
        <w:jc w:val="center"/>
        <w:rPr>
          <w:b/>
          <w:sz w:val="24"/>
          <w:szCs w:val="24"/>
        </w:rPr>
      </w:pPr>
    </w:p>
    <w:p w14:paraId="3ABDA679" w14:textId="6EF2E7DB" w:rsidR="009260DE" w:rsidRPr="00C84483" w:rsidRDefault="00115B31" w:rsidP="009260DE">
      <w:pPr>
        <w:jc w:val="center"/>
        <w:rPr>
          <w:b/>
          <w:sz w:val="24"/>
          <w:szCs w:val="24"/>
        </w:rPr>
      </w:pPr>
      <w:r>
        <w:rPr>
          <w:b/>
          <w:sz w:val="24"/>
          <w:szCs w:val="24"/>
        </w:rPr>
        <w:t>Forminet, filmovertrukne tabletter</w:t>
      </w:r>
    </w:p>
    <w:p w14:paraId="18A83964" w14:textId="77777777" w:rsidR="009260DE" w:rsidRPr="00C84483" w:rsidRDefault="009260DE" w:rsidP="009260DE">
      <w:pPr>
        <w:jc w:val="both"/>
        <w:rPr>
          <w:sz w:val="24"/>
          <w:szCs w:val="24"/>
        </w:rPr>
      </w:pPr>
    </w:p>
    <w:p w14:paraId="08AE651B" w14:textId="77777777" w:rsidR="009260DE" w:rsidRPr="00C84483" w:rsidRDefault="009260DE" w:rsidP="009260DE">
      <w:pPr>
        <w:jc w:val="both"/>
        <w:rPr>
          <w:sz w:val="24"/>
          <w:szCs w:val="24"/>
        </w:rPr>
      </w:pPr>
    </w:p>
    <w:p w14:paraId="256983FE"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5BF9702D" w14:textId="1F3A2C79" w:rsidR="009260DE" w:rsidRPr="00C84483" w:rsidRDefault="004D7FBE" w:rsidP="009260DE">
      <w:pPr>
        <w:tabs>
          <w:tab w:val="left" w:pos="851"/>
        </w:tabs>
        <w:ind w:left="851"/>
        <w:rPr>
          <w:sz w:val="24"/>
          <w:szCs w:val="24"/>
        </w:rPr>
      </w:pPr>
      <w:r>
        <w:rPr>
          <w:sz w:val="24"/>
          <w:szCs w:val="24"/>
        </w:rPr>
        <w:t>32501</w:t>
      </w:r>
    </w:p>
    <w:p w14:paraId="0B516470" w14:textId="77777777" w:rsidR="009260DE" w:rsidRPr="00C84483" w:rsidRDefault="009260DE" w:rsidP="009260DE">
      <w:pPr>
        <w:tabs>
          <w:tab w:val="left" w:pos="851"/>
        </w:tabs>
        <w:ind w:left="851"/>
        <w:rPr>
          <w:sz w:val="24"/>
          <w:szCs w:val="24"/>
        </w:rPr>
      </w:pPr>
    </w:p>
    <w:p w14:paraId="4C86DA5A"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6C739B57" w14:textId="2E8B7BE6" w:rsidR="009260DE" w:rsidRPr="00C84483" w:rsidRDefault="004D7FBE" w:rsidP="009260DE">
      <w:pPr>
        <w:tabs>
          <w:tab w:val="left" w:pos="851"/>
        </w:tabs>
        <w:ind w:left="851"/>
        <w:rPr>
          <w:sz w:val="24"/>
          <w:szCs w:val="24"/>
        </w:rPr>
      </w:pPr>
      <w:r>
        <w:rPr>
          <w:sz w:val="24"/>
          <w:szCs w:val="24"/>
        </w:rPr>
        <w:t>Forminet</w:t>
      </w:r>
    </w:p>
    <w:p w14:paraId="2A1B40FB" w14:textId="77777777" w:rsidR="009260DE" w:rsidRPr="00C84483" w:rsidRDefault="009260DE" w:rsidP="009260DE">
      <w:pPr>
        <w:tabs>
          <w:tab w:val="left" w:pos="851"/>
        </w:tabs>
        <w:ind w:left="851"/>
        <w:rPr>
          <w:sz w:val="24"/>
          <w:szCs w:val="24"/>
        </w:rPr>
      </w:pPr>
    </w:p>
    <w:p w14:paraId="7298B812"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25248244" w14:textId="77777777" w:rsidR="004D7FBE" w:rsidRDefault="004D7FBE" w:rsidP="004D7FBE">
      <w:pPr>
        <w:tabs>
          <w:tab w:val="left" w:pos="851"/>
        </w:tabs>
        <w:ind w:left="851"/>
        <w:rPr>
          <w:bCs/>
          <w:sz w:val="24"/>
          <w:szCs w:val="24"/>
        </w:rPr>
      </w:pPr>
    </w:p>
    <w:p w14:paraId="5A808B81" w14:textId="35EB7642" w:rsidR="004D7FBE" w:rsidRPr="004D7FBE" w:rsidRDefault="004D7FBE" w:rsidP="004D7FBE">
      <w:pPr>
        <w:tabs>
          <w:tab w:val="left" w:pos="851"/>
        </w:tabs>
        <w:ind w:left="851"/>
        <w:rPr>
          <w:bCs/>
          <w:sz w:val="24"/>
          <w:szCs w:val="24"/>
          <w:u w:val="single"/>
        </w:rPr>
      </w:pPr>
      <w:r w:rsidRPr="004D7FBE">
        <w:rPr>
          <w:bCs/>
          <w:sz w:val="24"/>
          <w:szCs w:val="24"/>
          <w:u w:val="single"/>
        </w:rPr>
        <w:t>Forminet 500 mg filmovertrukne tabletter</w:t>
      </w:r>
    </w:p>
    <w:p w14:paraId="1074BE7D" w14:textId="77777777" w:rsidR="004D7FBE" w:rsidRPr="004D7FBE" w:rsidRDefault="004D7FBE" w:rsidP="004D7FBE">
      <w:pPr>
        <w:tabs>
          <w:tab w:val="left" w:pos="851"/>
        </w:tabs>
        <w:ind w:left="851"/>
        <w:rPr>
          <w:bCs/>
          <w:sz w:val="24"/>
          <w:szCs w:val="24"/>
        </w:rPr>
      </w:pPr>
      <w:r w:rsidRPr="004D7FBE">
        <w:rPr>
          <w:bCs/>
          <w:sz w:val="24"/>
          <w:szCs w:val="24"/>
        </w:rPr>
        <w:t>Hver filmovertrukket tablet indeholder 500 mg metforminhydrochlorid svarende til 390 mg metforminbase.</w:t>
      </w:r>
    </w:p>
    <w:p w14:paraId="69BC8717" w14:textId="77777777" w:rsidR="004D7FBE" w:rsidRPr="004D7FBE" w:rsidRDefault="004D7FBE" w:rsidP="004D7FBE">
      <w:pPr>
        <w:tabs>
          <w:tab w:val="left" w:pos="851"/>
        </w:tabs>
        <w:ind w:left="851"/>
        <w:rPr>
          <w:bCs/>
          <w:sz w:val="24"/>
          <w:szCs w:val="24"/>
        </w:rPr>
      </w:pPr>
    </w:p>
    <w:p w14:paraId="00977AB7" w14:textId="77777777" w:rsidR="004D7FBE" w:rsidRPr="004D7FBE" w:rsidRDefault="004D7FBE" w:rsidP="004D7FBE">
      <w:pPr>
        <w:tabs>
          <w:tab w:val="left" w:pos="851"/>
        </w:tabs>
        <w:ind w:left="851"/>
        <w:rPr>
          <w:bCs/>
          <w:sz w:val="24"/>
          <w:szCs w:val="24"/>
          <w:u w:val="single"/>
        </w:rPr>
      </w:pPr>
      <w:r w:rsidRPr="004D7FBE">
        <w:rPr>
          <w:bCs/>
          <w:sz w:val="24"/>
          <w:szCs w:val="24"/>
          <w:u w:val="single"/>
        </w:rPr>
        <w:t>Forminet 850 mg filmovertrukne tabletter</w:t>
      </w:r>
    </w:p>
    <w:p w14:paraId="4E4B6D89" w14:textId="77777777" w:rsidR="004D7FBE" w:rsidRPr="004D7FBE" w:rsidRDefault="004D7FBE" w:rsidP="004D7FBE">
      <w:pPr>
        <w:tabs>
          <w:tab w:val="left" w:pos="851"/>
        </w:tabs>
        <w:ind w:left="851"/>
        <w:rPr>
          <w:bCs/>
          <w:sz w:val="24"/>
          <w:szCs w:val="24"/>
        </w:rPr>
      </w:pPr>
      <w:r w:rsidRPr="004D7FBE">
        <w:rPr>
          <w:bCs/>
          <w:sz w:val="24"/>
          <w:szCs w:val="24"/>
        </w:rPr>
        <w:t>Hver filmovertrukket tablet indeholder 850 mg metforminhydrochlorid svarende til 663 mg metforminbase.</w:t>
      </w:r>
    </w:p>
    <w:p w14:paraId="3EB5FD4F" w14:textId="77777777" w:rsidR="004D7FBE" w:rsidRPr="004D7FBE" w:rsidRDefault="004D7FBE" w:rsidP="004D7FBE">
      <w:pPr>
        <w:tabs>
          <w:tab w:val="left" w:pos="851"/>
        </w:tabs>
        <w:ind w:left="851"/>
        <w:rPr>
          <w:bCs/>
          <w:sz w:val="24"/>
          <w:szCs w:val="24"/>
        </w:rPr>
      </w:pPr>
    </w:p>
    <w:p w14:paraId="66C38B26" w14:textId="77777777" w:rsidR="004D7FBE" w:rsidRPr="004D7FBE" w:rsidRDefault="004D7FBE" w:rsidP="004D7FBE">
      <w:pPr>
        <w:tabs>
          <w:tab w:val="left" w:pos="851"/>
        </w:tabs>
        <w:ind w:left="851"/>
        <w:rPr>
          <w:bCs/>
          <w:sz w:val="24"/>
          <w:szCs w:val="24"/>
          <w:u w:val="single"/>
        </w:rPr>
      </w:pPr>
      <w:r w:rsidRPr="004D7FBE">
        <w:rPr>
          <w:bCs/>
          <w:sz w:val="24"/>
          <w:szCs w:val="24"/>
          <w:u w:val="single"/>
        </w:rPr>
        <w:t>Forminet 1.000 mg filmovertrukne tabletter</w:t>
      </w:r>
    </w:p>
    <w:p w14:paraId="76BE2DA2" w14:textId="77777777" w:rsidR="004D7FBE" w:rsidRPr="004D7FBE" w:rsidRDefault="004D7FBE" w:rsidP="004D7FBE">
      <w:pPr>
        <w:tabs>
          <w:tab w:val="left" w:pos="851"/>
        </w:tabs>
        <w:ind w:left="851"/>
        <w:rPr>
          <w:bCs/>
          <w:sz w:val="24"/>
          <w:szCs w:val="24"/>
        </w:rPr>
      </w:pPr>
      <w:r w:rsidRPr="004D7FBE">
        <w:rPr>
          <w:bCs/>
          <w:sz w:val="24"/>
          <w:szCs w:val="24"/>
        </w:rPr>
        <w:t>Hver filmovertrukket tablet indeholder 1.000 mg metforminhydrochlorid svarende til 780 mg metforminbase.</w:t>
      </w:r>
    </w:p>
    <w:p w14:paraId="78E99137" w14:textId="77777777" w:rsidR="004D7FBE" w:rsidRPr="004D7FBE" w:rsidRDefault="004D7FBE" w:rsidP="004D7FBE">
      <w:pPr>
        <w:tabs>
          <w:tab w:val="left" w:pos="851"/>
        </w:tabs>
        <w:ind w:left="851"/>
        <w:rPr>
          <w:b/>
          <w:sz w:val="24"/>
          <w:szCs w:val="24"/>
        </w:rPr>
      </w:pPr>
    </w:p>
    <w:p w14:paraId="3374E471" w14:textId="77777777" w:rsidR="004D7FBE" w:rsidRPr="004D7FBE" w:rsidRDefault="004D7FBE" w:rsidP="004D7FBE">
      <w:pPr>
        <w:tabs>
          <w:tab w:val="left" w:pos="851"/>
        </w:tabs>
        <w:ind w:left="851"/>
        <w:rPr>
          <w:sz w:val="24"/>
          <w:szCs w:val="24"/>
        </w:rPr>
      </w:pPr>
      <w:r w:rsidRPr="004D7FBE">
        <w:rPr>
          <w:sz w:val="24"/>
          <w:szCs w:val="24"/>
        </w:rPr>
        <w:t>Alle hjælpestoffer er anført under pkt. 6.1.</w:t>
      </w:r>
    </w:p>
    <w:p w14:paraId="422F790E" w14:textId="77777777" w:rsidR="009260DE" w:rsidRPr="00C84483" w:rsidRDefault="009260DE" w:rsidP="009260DE">
      <w:pPr>
        <w:tabs>
          <w:tab w:val="left" w:pos="851"/>
        </w:tabs>
        <w:ind w:left="851"/>
        <w:rPr>
          <w:sz w:val="24"/>
          <w:szCs w:val="24"/>
        </w:rPr>
      </w:pPr>
    </w:p>
    <w:p w14:paraId="3243E18F"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6C36333D" w14:textId="034F23EA" w:rsidR="004D7FBE" w:rsidRDefault="004D7FBE" w:rsidP="004D7FBE">
      <w:pPr>
        <w:tabs>
          <w:tab w:val="left" w:pos="851"/>
        </w:tabs>
        <w:ind w:left="851"/>
        <w:rPr>
          <w:sz w:val="24"/>
          <w:szCs w:val="24"/>
        </w:rPr>
      </w:pPr>
      <w:r w:rsidRPr="004D7FBE">
        <w:rPr>
          <w:sz w:val="24"/>
          <w:szCs w:val="24"/>
        </w:rPr>
        <w:t>Filmovertruk</w:t>
      </w:r>
      <w:r w:rsidR="000374CF">
        <w:rPr>
          <w:sz w:val="24"/>
          <w:szCs w:val="24"/>
        </w:rPr>
        <w:t>ne</w:t>
      </w:r>
      <w:r w:rsidRPr="004D7FBE">
        <w:rPr>
          <w:sz w:val="24"/>
          <w:szCs w:val="24"/>
        </w:rPr>
        <w:t xml:space="preserve"> tablet</w:t>
      </w:r>
      <w:r w:rsidR="000374CF">
        <w:rPr>
          <w:sz w:val="24"/>
          <w:szCs w:val="24"/>
        </w:rPr>
        <w:t>ter</w:t>
      </w:r>
    </w:p>
    <w:p w14:paraId="0E2170D9" w14:textId="77777777" w:rsidR="000374CF" w:rsidRPr="004D7FBE" w:rsidRDefault="000374CF" w:rsidP="004D7FBE">
      <w:pPr>
        <w:tabs>
          <w:tab w:val="left" w:pos="851"/>
        </w:tabs>
        <w:ind w:left="851"/>
        <w:rPr>
          <w:sz w:val="24"/>
          <w:szCs w:val="24"/>
        </w:rPr>
      </w:pPr>
    </w:p>
    <w:p w14:paraId="76589F85" w14:textId="77777777" w:rsidR="004D7FBE" w:rsidRPr="000374CF" w:rsidRDefault="004D7FBE" w:rsidP="004D7FBE">
      <w:pPr>
        <w:tabs>
          <w:tab w:val="left" w:pos="851"/>
        </w:tabs>
        <w:ind w:left="851"/>
        <w:rPr>
          <w:sz w:val="24"/>
          <w:szCs w:val="24"/>
          <w:u w:val="single"/>
        </w:rPr>
      </w:pPr>
      <w:r w:rsidRPr="000374CF">
        <w:rPr>
          <w:sz w:val="24"/>
          <w:szCs w:val="24"/>
          <w:u w:val="single"/>
        </w:rPr>
        <w:t>Forminet 500 mg filmovertrukne tabletter</w:t>
      </w:r>
    </w:p>
    <w:p w14:paraId="40ECB4F7" w14:textId="77777777" w:rsidR="004D7FBE" w:rsidRPr="004D7FBE" w:rsidRDefault="004D7FBE" w:rsidP="004D7FBE">
      <w:pPr>
        <w:tabs>
          <w:tab w:val="left" w:pos="851"/>
        </w:tabs>
        <w:ind w:left="851"/>
        <w:rPr>
          <w:sz w:val="24"/>
          <w:szCs w:val="24"/>
        </w:rPr>
      </w:pPr>
      <w:r w:rsidRPr="004D7FBE">
        <w:rPr>
          <w:sz w:val="24"/>
          <w:szCs w:val="24"/>
        </w:rPr>
        <w:t>Hvide til råhvide, runde, filmovertrukne tabletter præget med "001" på den ene side og "500" på den anden side. De omtrentlige dimensioner af tabletterne er 11 mm i diameter og 6 mm tykkelse.</w:t>
      </w:r>
    </w:p>
    <w:p w14:paraId="53E7471D" w14:textId="77777777" w:rsidR="004D7FBE" w:rsidRPr="004D7FBE" w:rsidRDefault="004D7FBE" w:rsidP="004D7FBE">
      <w:pPr>
        <w:tabs>
          <w:tab w:val="left" w:pos="851"/>
        </w:tabs>
        <w:ind w:left="851"/>
        <w:rPr>
          <w:sz w:val="24"/>
          <w:szCs w:val="24"/>
        </w:rPr>
      </w:pPr>
    </w:p>
    <w:p w14:paraId="6AA00623" w14:textId="77777777" w:rsidR="004D7FBE" w:rsidRPr="000374CF" w:rsidRDefault="004D7FBE" w:rsidP="004D7FBE">
      <w:pPr>
        <w:tabs>
          <w:tab w:val="left" w:pos="851"/>
        </w:tabs>
        <w:ind w:left="851"/>
        <w:rPr>
          <w:sz w:val="24"/>
          <w:szCs w:val="24"/>
          <w:u w:val="single"/>
        </w:rPr>
      </w:pPr>
      <w:r w:rsidRPr="000374CF">
        <w:rPr>
          <w:sz w:val="24"/>
          <w:szCs w:val="24"/>
          <w:u w:val="single"/>
        </w:rPr>
        <w:t>Forminet 850 mg filmovertrukne tabletter</w:t>
      </w:r>
    </w:p>
    <w:p w14:paraId="18186E6B" w14:textId="77777777" w:rsidR="004D7FBE" w:rsidRPr="004D7FBE" w:rsidRDefault="004D7FBE" w:rsidP="004D7FBE">
      <w:pPr>
        <w:tabs>
          <w:tab w:val="left" w:pos="851"/>
        </w:tabs>
        <w:ind w:left="851"/>
        <w:rPr>
          <w:sz w:val="24"/>
          <w:szCs w:val="24"/>
        </w:rPr>
      </w:pPr>
      <w:r w:rsidRPr="004D7FBE">
        <w:rPr>
          <w:sz w:val="24"/>
          <w:szCs w:val="24"/>
        </w:rPr>
        <w:t>Hvide til råhvide, runde, filmovertrukne tabletter præget med "002" på den ene side og "850" på den anden side. De omtrentlige dimensioner af tabletterne er 13 mm i diameter og 7 mm tykkelse.</w:t>
      </w:r>
    </w:p>
    <w:p w14:paraId="7C50C274" w14:textId="77777777" w:rsidR="004D7FBE" w:rsidRPr="004D7FBE" w:rsidRDefault="004D7FBE" w:rsidP="004D7FBE">
      <w:pPr>
        <w:tabs>
          <w:tab w:val="left" w:pos="851"/>
        </w:tabs>
        <w:ind w:left="851"/>
        <w:rPr>
          <w:sz w:val="24"/>
          <w:szCs w:val="24"/>
        </w:rPr>
      </w:pPr>
    </w:p>
    <w:p w14:paraId="4140D633" w14:textId="77777777" w:rsidR="004D7FBE" w:rsidRPr="000374CF" w:rsidRDefault="004D7FBE" w:rsidP="004D7FBE">
      <w:pPr>
        <w:tabs>
          <w:tab w:val="left" w:pos="851"/>
        </w:tabs>
        <w:ind w:left="851"/>
        <w:rPr>
          <w:sz w:val="24"/>
          <w:szCs w:val="24"/>
          <w:u w:val="single"/>
        </w:rPr>
      </w:pPr>
      <w:r w:rsidRPr="000374CF">
        <w:rPr>
          <w:sz w:val="24"/>
          <w:szCs w:val="24"/>
          <w:u w:val="single"/>
        </w:rPr>
        <w:t>Forminet 1.000 mg filmovertrukne tabletter</w:t>
      </w:r>
    </w:p>
    <w:p w14:paraId="6F663851" w14:textId="77777777" w:rsidR="004D7FBE" w:rsidRPr="004D7FBE" w:rsidRDefault="004D7FBE" w:rsidP="004D7FBE">
      <w:pPr>
        <w:tabs>
          <w:tab w:val="left" w:pos="851"/>
        </w:tabs>
        <w:ind w:left="851"/>
        <w:rPr>
          <w:sz w:val="24"/>
          <w:szCs w:val="24"/>
        </w:rPr>
      </w:pPr>
      <w:r w:rsidRPr="004D7FBE">
        <w:rPr>
          <w:sz w:val="24"/>
          <w:szCs w:val="24"/>
        </w:rPr>
        <w:t>Hvide til råhvide, ovale, bikonvekse, filmovertrukne tabletter præget med "003" på den ene side og "1000" på den anden side og med en halveret streg på begge sider. Tabletten kan deles i lige store doser. De omtrentlige dimensioner af tabletterne er 19 mm længde og 10 mm bredde.</w:t>
      </w:r>
    </w:p>
    <w:p w14:paraId="7CD1763F" w14:textId="77777777" w:rsidR="009260DE" w:rsidRPr="00C84483" w:rsidRDefault="009260DE" w:rsidP="009260DE">
      <w:pPr>
        <w:tabs>
          <w:tab w:val="left" w:pos="851"/>
        </w:tabs>
        <w:ind w:left="851"/>
        <w:rPr>
          <w:sz w:val="24"/>
          <w:szCs w:val="24"/>
        </w:rPr>
      </w:pPr>
    </w:p>
    <w:p w14:paraId="0AB249FF" w14:textId="77777777" w:rsidR="009260DE" w:rsidRPr="00C84483" w:rsidRDefault="009260DE" w:rsidP="009260DE">
      <w:pPr>
        <w:tabs>
          <w:tab w:val="left" w:pos="851"/>
        </w:tabs>
        <w:ind w:left="851"/>
        <w:rPr>
          <w:sz w:val="24"/>
          <w:szCs w:val="24"/>
        </w:rPr>
      </w:pPr>
    </w:p>
    <w:p w14:paraId="74CD7FE5"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0AB0603E" w14:textId="77777777" w:rsidR="009260DE" w:rsidRPr="00C84483" w:rsidRDefault="009260DE" w:rsidP="009260DE">
      <w:pPr>
        <w:tabs>
          <w:tab w:val="left" w:pos="851"/>
        </w:tabs>
        <w:ind w:left="851"/>
        <w:rPr>
          <w:b/>
          <w:sz w:val="24"/>
          <w:szCs w:val="24"/>
        </w:rPr>
      </w:pPr>
    </w:p>
    <w:p w14:paraId="2B68DB4E"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65D66FAA" w14:textId="77777777" w:rsidR="00F441FE" w:rsidRPr="00F441FE" w:rsidRDefault="00F441FE" w:rsidP="00F441FE">
      <w:pPr>
        <w:tabs>
          <w:tab w:val="left" w:pos="851"/>
        </w:tabs>
        <w:ind w:left="851"/>
        <w:rPr>
          <w:sz w:val="24"/>
          <w:szCs w:val="24"/>
        </w:rPr>
      </w:pPr>
      <w:r w:rsidRPr="00F441FE">
        <w:rPr>
          <w:sz w:val="24"/>
          <w:szCs w:val="24"/>
        </w:rPr>
        <w:t>Behandling af type 2-diabetes mellitus, især hos overvægtige patienter, når diætstyring og motion alene ikke resulterer i tilstrækkelig glykæmisk kontrol.</w:t>
      </w:r>
    </w:p>
    <w:p w14:paraId="6E86B701" w14:textId="77777777" w:rsidR="00F441FE" w:rsidRPr="00F441FE" w:rsidRDefault="00F441FE" w:rsidP="00C25864">
      <w:pPr>
        <w:numPr>
          <w:ilvl w:val="0"/>
          <w:numId w:val="6"/>
        </w:numPr>
        <w:tabs>
          <w:tab w:val="left" w:pos="851"/>
        </w:tabs>
        <w:ind w:left="1134" w:hanging="283"/>
        <w:rPr>
          <w:sz w:val="24"/>
          <w:szCs w:val="24"/>
        </w:rPr>
      </w:pPr>
      <w:r w:rsidRPr="00F441FE">
        <w:rPr>
          <w:sz w:val="24"/>
          <w:szCs w:val="24"/>
        </w:rPr>
        <w:t>Hos voksne kan Forminet anvende som monoterapi eller i kombination med andre orale antidiabetika eller med insulin.</w:t>
      </w:r>
    </w:p>
    <w:p w14:paraId="412790EF" w14:textId="77777777" w:rsidR="00F441FE" w:rsidRPr="00F441FE" w:rsidRDefault="00F441FE" w:rsidP="00C25864">
      <w:pPr>
        <w:numPr>
          <w:ilvl w:val="0"/>
          <w:numId w:val="6"/>
        </w:numPr>
        <w:tabs>
          <w:tab w:val="left" w:pos="851"/>
        </w:tabs>
        <w:ind w:left="1134" w:hanging="283"/>
        <w:rPr>
          <w:sz w:val="24"/>
          <w:szCs w:val="24"/>
        </w:rPr>
      </w:pPr>
      <w:r w:rsidRPr="00F441FE">
        <w:rPr>
          <w:sz w:val="24"/>
          <w:szCs w:val="24"/>
        </w:rPr>
        <w:t>Hos børn fra 10 år og unge kan Forminet anvendes som monoterapi eller i kombination med insulin.</w:t>
      </w:r>
    </w:p>
    <w:p w14:paraId="25EFE623" w14:textId="77777777" w:rsidR="00F441FE" w:rsidRPr="00F441FE" w:rsidRDefault="00F441FE" w:rsidP="00F441FE">
      <w:pPr>
        <w:tabs>
          <w:tab w:val="left" w:pos="851"/>
        </w:tabs>
        <w:ind w:left="851"/>
        <w:rPr>
          <w:sz w:val="24"/>
          <w:szCs w:val="24"/>
        </w:rPr>
      </w:pPr>
    </w:p>
    <w:p w14:paraId="7F5C80DD" w14:textId="77777777" w:rsidR="00F441FE" w:rsidRPr="00F441FE" w:rsidRDefault="00F441FE" w:rsidP="00F441FE">
      <w:pPr>
        <w:tabs>
          <w:tab w:val="left" w:pos="851"/>
        </w:tabs>
        <w:ind w:left="851"/>
        <w:rPr>
          <w:sz w:val="24"/>
          <w:szCs w:val="24"/>
        </w:rPr>
      </w:pPr>
      <w:r w:rsidRPr="00F441FE">
        <w:rPr>
          <w:sz w:val="24"/>
          <w:szCs w:val="24"/>
        </w:rPr>
        <w:t>En reduktion af diabetiske komplikationer er blevet vist hos overvægtige type 2-diabetiske voksne patienter behandlet med metforminhydrochlorid som førstevalgsbehandling efter diætsvigt (se pkt. 5.1).</w:t>
      </w:r>
    </w:p>
    <w:p w14:paraId="7729F6CF" w14:textId="77777777" w:rsidR="009260DE" w:rsidRPr="00C84483" w:rsidRDefault="009260DE" w:rsidP="009260DE">
      <w:pPr>
        <w:tabs>
          <w:tab w:val="left" w:pos="851"/>
        </w:tabs>
        <w:ind w:left="851"/>
        <w:rPr>
          <w:sz w:val="24"/>
          <w:szCs w:val="24"/>
        </w:rPr>
      </w:pPr>
    </w:p>
    <w:p w14:paraId="1FEE4A61"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7B4ABDA0" w14:textId="77777777" w:rsidR="00C25864" w:rsidRPr="00C25864" w:rsidRDefault="00C25864" w:rsidP="00C25864">
      <w:pPr>
        <w:tabs>
          <w:tab w:val="left" w:pos="851"/>
        </w:tabs>
        <w:ind w:left="851"/>
        <w:rPr>
          <w:sz w:val="24"/>
          <w:szCs w:val="24"/>
        </w:rPr>
      </w:pPr>
    </w:p>
    <w:p w14:paraId="7D598BDF" w14:textId="77777777" w:rsidR="00C25864" w:rsidRPr="00C25864" w:rsidRDefault="00C25864" w:rsidP="00C25864">
      <w:pPr>
        <w:tabs>
          <w:tab w:val="left" w:pos="851"/>
        </w:tabs>
        <w:ind w:left="851"/>
        <w:rPr>
          <w:sz w:val="24"/>
          <w:szCs w:val="24"/>
          <w:u w:val="single"/>
        </w:rPr>
      </w:pPr>
      <w:r w:rsidRPr="00C25864">
        <w:rPr>
          <w:sz w:val="24"/>
          <w:szCs w:val="24"/>
          <w:u w:val="single"/>
        </w:rPr>
        <w:t>Dosering</w:t>
      </w:r>
    </w:p>
    <w:p w14:paraId="6F57E7D0" w14:textId="77777777" w:rsidR="00C25864" w:rsidRPr="00C25864" w:rsidRDefault="00C25864" w:rsidP="00C25864">
      <w:pPr>
        <w:tabs>
          <w:tab w:val="left" w:pos="851"/>
        </w:tabs>
        <w:ind w:left="851"/>
        <w:rPr>
          <w:sz w:val="24"/>
          <w:szCs w:val="24"/>
        </w:rPr>
      </w:pPr>
    </w:p>
    <w:p w14:paraId="1A6515DE" w14:textId="77777777" w:rsidR="00C25864" w:rsidRPr="00C25864" w:rsidRDefault="00C25864" w:rsidP="00C25864">
      <w:pPr>
        <w:tabs>
          <w:tab w:val="left" w:pos="851"/>
        </w:tabs>
        <w:ind w:left="851"/>
        <w:rPr>
          <w:i/>
          <w:iCs/>
          <w:sz w:val="24"/>
          <w:szCs w:val="24"/>
          <w:u w:val="single"/>
        </w:rPr>
      </w:pPr>
      <w:r w:rsidRPr="00C25864">
        <w:rPr>
          <w:i/>
          <w:iCs/>
          <w:sz w:val="24"/>
          <w:szCs w:val="24"/>
          <w:u w:val="single"/>
        </w:rPr>
        <w:t>Voksne med normal nyrefunktion (GFR ≥ 90 ml/min)</w:t>
      </w:r>
    </w:p>
    <w:p w14:paraId="3304B081" w14:textId="77777777" w:rsidR="00C25864" w:rsidRPr="00C25864" w:rsidRDefault="00C25864" w:rsidP="00C25864">
      <w:pPr>
        <w:tabs>
          <w:tab w:val="left" w:pos="851"/>
        </w:tabs>
        <w:ind w:left="851"/>
        <w:rPr>
          <w:sz w:val="24"/>
          <w:szCs w:val="24"/>
        </w:rPr>
      </w:pPr>
    </w:p>
    <w:p w14:paraId="55F409F2" w14:textId="77777777" w:rsidR="00C25864" w:rsidRPr="00C25864" w:rsidRDefault="00C25864" w:rsidP="00C25864">
      <w:pPr>
        <w:tabs>
          <w:tab w:val="left" w:pos="851"/>
        </w:tabs>
        <w:ind w:left="851"/>
        <w:rPr>
          <w:sz w:val="24"/>
          <w:szCs w:val="24"/>
          <w:u w:val="single"/>
        </w:rPr>
      </w:pPr>
      <w:r w:rsidRPr="00C25864">
        <w:rPr>
          <w:sz w:val="24"/>
          <w:szCs w:val="24"/>
          <w:u w:val="single"/>
        </w:rPr>
        <w:t>Monoterapi og kombination med andre orale antidiabetika</w:t>
      </w:r>
    </w:p>
    <w:p w14:paraId="0E2E74E4" w14:textId="77777777" w:rsidR="00C25864" w:rsidRPr="00C25864" w:rsidRDefault="00C25864" w:rsidP="00C25864">
      <w:pPr>
        <w:tabs>
          <w:tab w:val="left" w:pos="851"/>
        </w:tabs>
        <w:ind w:left="851"/>
        <w:rPr>
          <w:sz w:val="24"/>
          <w:szCs w:val="24"/>
        </w:rPr>
      </w:pPr>
      <w:r w:rsidRPr="00C25864">
        <w:rPr>
          <w:sz w:val="24"/>
          <w:szCs w:val="24"/>
        </w:rPr>
        <w:t>Den sædvanlige startdosis er 500 mg eller 850 mg metforminhydrochlorid 2 eller 3 gange dagligt taget i forbindelse med eller efter måltider.</w:t>
      </w:r>
    </w:p>
    <w:p w14:paraId="2746F87D" w14:textId="77777777" w:rsidR="00C25864" w:rsidRPr="00C25864" w:rsidRDefault="00C25864" w:rsidP="00C25864">
      <w:pPr>
        <w:tabs>
          <w:tab w:val="left" w:pos="851"/>
        </w:tabs>
        <w:ind w:left="851"/>
        <w:rPr>
          <w:sz w:val="24"/>
          <w:szCs w:val="24"/>
        </w:rPr>
      </w:pPr>
    </w:p>
    <w:p w14:paraId="68B7ACF3" w14:textId="77777777" w:rsidR="00C25864" w:rsidRPr="00C25864" w:rsidRDefault="00C25864" w:rsidP="00C25864">
      <w:pPr>
        <w:tabs>
          <w:tab w:val="left" w:pos="851"/>
        </w:tabs>
        <w:ind w:left="851"/>
        <w:rPr>
          <w:sz w:val="24"/>
          <w:szCs w:val="24"/>
        </w:rPr>
      </w:pPr>
      <w:r w:rsidRPr="00C25864">
        <w:rPr>
          <w:sz w:val="24"/>
          <w:szCs w:val="24"/>
        </w:rPr>
        <w:t>Efter 10 til 15 dage bør dosis justeres på basis af blodsukkermålinger.</w:t>
      </w:r>
    </w:p>
    <w:p w14:paraId="6972C270" w14:textId="77777777" w:rsidR="00C25864" w:rsidRPr="00C25864" w:rsidRDefault="00C25864" w:rsidP="00C25864">
      <w:pPr>
        <w:tabs>
          <w:tab w:val="left" w:pos="851"/>
        </w:tabs>
        <w:ind w:left="851"/>
        <w:rPr>
          <w:sz w:val="24"/>
          <w:szCs w:val="24"/>
        </w:rPr>
      </w:pPr>
      <w:r w:rsidRPr="00C25864">
        <w:rPr>
          <w:sz w:val="24"/>
          <w:szCs w:val="24"/>
        </w:rPr>
        <w:t>En langsom stigning i dosis kan forbedre gastrointestinal tolerabilitet.</w:t>
      </w:r>
    </w:p>
    <w:p w14:paraId="729A2C8F" w14:textId="77777777" w:rsidR="00C25864" w:rsidRPr="00C25864" w:rsidRDefault="00C25864" w:rsidP="00C25864">
      <w:pPr>
        <w:tabs>
          <w:tab w:val="left" w:pos="851"/>
        </w:tabs>
        <w:ind w:left="851"/>
        <w:rPr>
          <w:sz w:val="24"/>
          <w:szCs w:val="24"/>
        </w:rPr>
      </w:pPr>
    </w:p>
    <w:p w14:paraId="1FAC5D0B" w14:textId="77777777" w:rsidR="00C25864" w:rsidRPr="00C25864" w:rsidRDefault="00C25864" w:rsidP="00C25864">
      <w:pPr>
        <w:tabs>
          <w:tab w:val="left" w:pos="851"/>
        </w:tabs>
        <w:ind w:left="851"/>
        <w:rPr>
          <w:sz w:val="24"/>
          <w:szCs w:val="24"/>
        </w:rPr>
      </w:pPr>
      <w:r w:rsidRPr="00C25864">
        <w:rPr>
          <w:sz w:val="24"/>
          <w:szCs w:val="24"/>
        </w:rPr>
        <w:t>Forminet 1.000 mg filmovertrukne tabletter</w:t>
      </w:r>
    </w:p>
    <w:p w14:paraId="327A2279" w14:textId="77777777" w:rsidR="00C25864" w:rsidRPr="00C25864" w:rsidRDefault="00C25864" w:rsidP="00C25864">
      <w:pPr>
        <w:tabs>
          <w:tab w:val="left" w:pos="851"/>
        </w:tabs>
        <w:ind w:left="851"/>
        <w:rPr>
          <w:sz w:val="24"/>
          <w:szCs w:val="24"/>
        </w:rPr>
      </w:pPr>
      <w:r w:rsidRPr="00C25864">
        <w:rPr>
          <w:sz w:val="24"/>
          <w:szCs w:val="24"/>
        </w:rPr>
        <w:t>Hos patienter, der får en høj metforminhydrochloriddosis (2 til 3 gram pr. dag), er det muligt at erstatte to 500 mg filmovertrukne tabletter med en 1.000 mg filmovertrukken tablet.</w:t>
      </w:r>
    </w:p>
    <w:p w14:paraId="12894DA2" w14:textId="77777777" w:rsidR="00C25864" w:rsidRPr="00C25864" w:rsidRDefault="00C25864" w:rsidP="00C25864">
      <w:pPr>
        <w:tabs>
          <w:tab w:val="left" w:pos="851"/>
        </w:tabs>
        <w:ind w:left="851"/>
        <w:rPr>
          <w:sz w:val="24"/>
          <w:szCs w:val="24"/>
        </w:rPr>
      </w:pPr>
    </w:p>
    <w:p w14:paraId="3873F2E1" w14:textId="77777777" w:rsidR="00C25864" w:rsidRPr="00C25864" w:rsidRDefault="00C25864" w:rsidP="00C25864">
      <w:pPr>
        <w:tabs>
          <w:tab w:val="left" w:pos="851"/>
        </w:tabs>
        <w:ind w:left="851"/>
        <w:rPr>
          <w:sz w:val="24"/>
          <w:szCs w:val="24"/>
        </w:rPr>
      </w:pPr>
      <w:r w:rsidRPr="00C25864">
        <w:rPr>
          <w:sz w:val="24"/>
          <w:szCs w:val="24"/>
        </w:rPr>
        <w:t>Den maksimalt anbefalet dosis af metforminhydrochlorid er 3 g dagligt, taget som 3 opdelte doser.</w:t>
      </w:r>
    </w:p>
    <w:p w14:paraId="53396FF6" w14:textId="77777777" w:rsidR="00C25864" w:rsidRPr="00C25864" w:rsidRDefault="00C25864" w:rsidP="00C25864">
      <w:pPr>
        <w:tabs>
          <w:tab w:val="left" w:pos="851"/>
        </w:tabs>
        <w:ind w:left="851"/>
        <w:rPr>
          <w:sz w:val="24"/>
          <w:szCs w:val="24"/>
        </w:rPr>
      </w:pPr>
      <w:r w:rsidRPr="00C25864">
        <w:rPr>
          <w:sz w:val="24"/>
          <w:szCs w:val="24"/>
        </w:rPr>
        <w:t>Hvis det er hensigten at skifte fra et andet oralt antidiabetisk middel: Afbryd det andet middel og start metformin med den ovenfor angivne dosis.</w:t>
      </w:r>
    </w:p>
    <w:p w14:paraId="5D89227B" w14:textId="77777777" w:rsidR="00C25864" w:rsidRPr="00C25864" w:rsidRDefault="00C25864" w:rsidP="00C25864">
      <w:pPr>
        <w:tabs>
          <w:tab w:val="left" w:pos="851"/>
        </w:tabs>
        <w:ind w:left="851"/>
        <w:rPr>
          <w:sz w:val="24"/>
          <w:szCs w:val="24"/>
        </w:rPr>
      </w:pPr>
    </w:p>
    <w:p w14:paraId="70FCBB06" w14:textId="77777777" w:rsidR="00C25864" w:rsidRPr="00C25864" w:rsidRDefault="00C25864" w:rsidP="00C25864">
      <w:pPr>
        <w:tabs>
          <w:tab w:val="left" w:pos="851"/>
        </w:tabs>
        <w:ind w:left="851"/>
        <w:rPr>
          <w:sz w:val="24"/>
          <w:szCs w:val="24"/>
        </w:rPr>
      </w:pPr>
      <w:r w:rsidRPr="00C25864">
        <w:rPr>
          <w:sz w:val="24"/>
          <w:szCs w:val="24"/>
          <w:u w:val="single"/>
        </w:rPr>
        <w:t>Kombination</w:t>
      </w:r>
      <w:r w:rsidRPr="00C25864">
        <w:rPr>
          <w:sz w:val="24"/>
          <w:szCs w:val="24"/>
        </w:rPr>
        <w:t xml:space="preserve"> med insulin</w:t>
      </w:r>
    </w:p>
    <w:p w14:paraId="2A9FB610" w14:textId="77777777" w:rsidR="00C25864" w:rsidRPr="00C25864" w:rsidRDefault="00C25864" w:rsidP="00C25864">
      <w:pPr>
        <w:tabs>
          <w:tab w:val="left" w:pos="851"/>
        </w:tabs>
        <w:ind w:left="851"/>
        <w:rPr>
          <w:sz w:val="24"/>
          <w:szCs w:val="24"/>
        </w:rPr>
      </w:pPr>
      <w:r w:rsidRPr="00C25864">
        <w:rPr>
          <w:sz w:val="24"/>
          <w:szCs w:val="24"/>
        </w:rPr>
        <w:t>Metformin og insulin kan anvendes i kombinationsbehandling for at opnå bedre blodsukkerkontrol. Metforminhydrochlorid gives i den sædvanlige startdosis på 500 mg eller 850 mg 2 eller 3 gange dagligt, mens insulindosis justeres på basis af blodsukkermålinger.</w:t>
      </w:r>
    </w:p>
    <w:p w14:paraId="4C185868" w14:textId="77777777" w:rsidR="00C25864" w:rsidRPr="00C25864" w:rsidRDefault="00C25864" w:rsidP="00C25864">
      <w:pPr>
        <w:tabs>
          <w:tab w:val="left" w:pos="851"/>
        </w:tabs>
        <w:ind w:left="851"/>
        <w:rPr>
          <w:sz w:val="24"/>
          <w:szCs w:val="24"/>
        </w:rPr>
      </w:pPr>
    </w:p>
    <w:p w14:paraId="5D046A64" w14:textId="77777777" w:rsidR="00C25864" w:rsidRPr="00C25864" w:rsidRDefault="00C25864" w:rsidP="00C25864">
      <w:pPr>
        <w:tabs>
          <w:tab w:val="left" w:pos="851"/>
        </w:tabs>
        <w:ind w:left="851"/>
        <w:rPr>
          <w:i/>
          <w:iCs/>
          <w:sz w:val="24"/>
          <w:szCs w:val="24"/>
        </w:rPr>
      </w:pPr>
      <w:r w:rsidRPr="00C25864">
        <w:rPr>
          <w:i/>
          <w:iCs/>
          <w:sz w:val="24"/>
          <w:szCs w:val="24"/>
        </w:rPr>
        <w:lastRenderedPageBreak/>
        <w:t>Ældre</w:t>
      </w:r>
    </w:p>
    <w:p w14:paraId="0D726BA7" w14:textId="77777777" w:rsidR="00C25864" w:rsidRPr="00C25864" w:rsidRDefault="00C25864" w:rsidP="00C25864">
      <w:pPr>
        <w:tabs>
          <w:tab w:val="left" w:pos="851"/>
        </w:tabs>
        <w:ind w:left="851"/>
        <w:rPr>
          <w:sz w:val="24"/>
          <w:szCs w:val="24"/>
        </w:rPr>
      </w:pPr>
      <w:r w:rsidRPr="00C25864">
        <w:rPr>
          <w:sz w:val="24"/>
          <w:szCs w:val="24"/>
        </w:rPr>
        <w:t>På grund af muligheden for nedsat nyrefunktion hos ældre patienter, bør metformindosis justeres baseret på nyrefunktionen. Regelmæssig vurdering af nyrefunktionen er nødvendig (se pkt. 4.4).</w:t>
      </w:r>
    </w:p>
    <w:p w14:paraId="799899AA" w14:textId="77777777" w:rsidR="00C25864" w:rsidRPr="00C25864" w:rsidRDefault="00C25864" w:rsidP="00C25864">
      <w:pPr>
        <w:tabs>
          <w:tab w:val="left" w:pos="851"/>
        </w:tabs>
        <w:ind w:left="851"/>
        <w:rPr>
          <w:sz w:val="24"/>
          <w:szCs w:val="24"/>
        </w:rPr>
      </w:pPr>
    </w:p>
    <w:p w14:paraId="6E4C1135" w14:textId="77777777" w:rsidR="00C25864" w:rsidRPr="00C25864" w:rsidRDefault="00C25864" w:rsidP="00C25864">
      <w:pPr>
        <w:tabs>
          <w:tab w:val="left" w:pos="851"/>
        </w:tabs>
        <w:ind w:left="851"/>
        <w:rPr>
          <w:i/>
          <w:iCs/>
          <w:sz w:val="24"/>
          <w:szCs w:val="24"/>
        </w:rPr>
      </w:pPr>
      <w:r w:rsidRPr="00C25864">
        <w:rPr>
          <w:i/>
          <w:iCs/>
          <w:sz w:val="24"/>
          <w:szCs w:val="24"/>
        </w:rPr>
        <w:t>Nedsat nyrefunktion</w:t>
      </w:r>
    </w:p>
    <w:p w14:paraId="773D013B" w14:textId="77777777" w:rsidR="00C25864" w:rsidRPr="00C25864" w:rsidRDefault="00C25864" w:rsidP="00C25864">
      <w:pPr>
        <w:tabs>
          <w:tab w:val="left" w:pos="851"/>
        </w:tabs>
        <w:ind w:left="851"/>
        <w:rPr>
          <w:sz w:val="24"/>
          <w:szCs w:val="24"/>
        </w:rPr>
      </w:pPr>
      <w:r w:rsidRPr="00C25864">
        <w:rPr>
          <w:sz w:val="24"/>
          <w:szCs w:val="24"/>
        </w:rPr>
        <w:t>En GFR bør vurderes før påbegyndelse af behandling med metforminholdige lægemidler og mindst en gang årligt derefter. Hos patienter med øget risiko for yderligere progression af nedsat nyrefunktion og hos ældre bør nyrefunktionen vurderes hyppigere, f.eks. hver 3-6 måned.</w:t>
      </w:r>
    </w:p>
    <w:p w14:paraId="7A6532AF" w14:textId="77777777" w:rsidR="00C25864" w:rsidRPr="00C25864" w:rsidRDefault="00C25864" w:rsidP="00C25864">
      <w:pPr>
        <w:tabs>
          <w:tab w:val="left" w:pos="851"/>
        </w:tabs>
        <w:ind w:left="851"/>
        <w:rPr>
          <w:sz w:val="24"/>
          <w:szCs w:val="24"/>
        </w:rPr>
      </w:pPr>
    </w:p>
    <w:tbl>
      <w:tblPr>
        <w:tblStyle w:val="Tabel-Gitter"/>
        <w:tblW w:w="9072" w:type="dxa"/>
        <w:tblInd w:w="704" w:type="dxa"/>
        <w:tblLook w:val="04A0" w:firstRow="1" w:lastRow="0" w:firstColumn="1" w:lastColumn="0" w:noHBand="0" w:noVBand="1"/>
      </w:tblPr>
      <w:tblGrid>
        <w:gridCol w:w="2127"/>
        <w:gridCol w:w="3260"/>
        <w:gridCol w:w="3685"/>
      </w:tblGrid>
      <w:tr w:rsidR="00C25864" w:rsidRPr="00C25864" w14:paraId="383EB746" w14:textId="77777777" w:rsidTr="0010708E">
        <w:trPr>
          <w:tblHeader/>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566654" w14:textId="77777777" w:rsidR="00C25864" w:rsidRPr="00C25864" w:rsidRDefault="00C25864" w:rsidP="0010708E">
            <w:pPr>
              <w:ind w:left="31"/>
              <w:rPr>
                <w:sz w:val="24"/>
                <w:szCs w:val="24"/>
                <w:lang w:val="fr-LU"/>
              </w:rPr>
            </w:pPr>
            <w:r w:rsidRPr="00C25864">
              <w:rPr>
                <w:b/>
                <w:bCs/>
                <w:sz w:val="24"/>
                <w:szCs w:val="24"/>
                <w:lang w:val="fr-LU"/>
              </w:rPr>
              <w:t>GFR ml/min</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A056A4" w14:textId="77777777" w:rsidR="00C25864" w:rsidRPr="00C25864" w:rsidRDefault="00C25864" w:rsidP="0010708E">
            <w:pPr>
              <w:ind w:left="37"/>
              <w:rPr>
                <w:sz w:val="24"/>
                <w:szCs w:val="24"/>
                <w:lang w:val="fr-LU"/>
              </w:rPr>
            </w:pPr>
            <w:r w:rsidRPr="00C25864">
              <w:rPr>
                <w:b/>
                <w:bCs/>
                <w:sz w:val="24"/>
                <w:szCs w:val="24"/>
                <w:lang w:val="fr-LU"/>
              </w:rPr>
              <w:t>Total maximum daglig dosis (opdeles i 2-3 daglige doser)</w:t>
            </w: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28BF45" w14:textId="77777777" w:rsidR="00C25864" w:rsidRPr="00C25864" w:rsidRDefault="00C25864" w:rsidP="0010708E">
            <w:pPr>
              <w:ind w:left="37"/>
              <w:rPr>
                <w:sz w:val="24"/>
                <w:szCs w:val="24"/>
                <w:lang w:val="fr-LU"/>
              </w:rPr>
            </w:pPr>
            <w:r w:rsidRPr="00C25864">
              <w:rPr>
                <w:b/>
                <w:bCs/>
                <w:sz w:val="24"/>
                <w:szCs w:val="24"/>
                <w:lang w:val="fr-LU"/>
              </w:rPr>
              <w:t>Yderligere overvejelser</w:t>
            </w:r>
          </w:p>
        </w:tc>
      </w:tr>
      <w:tr w:rsidR="00C25864" w:rsidRPr="00C25864" w14:paraId="227A7D46" w14:textId="77777777" w:rsidTr="0010708E">
        <w:tc>
          <w:tcPr>
            <w:tcW w:w="2127" w:type="dxa"/>
            <w:tcBorders>
              <w:top w:val="single" w:sz="4" w:space="0" w:color="auto"/>
              <w:left w:val="single" w:sz="4" w:space="0" w:color="auto"/>
              <w:bottom w:val="single" w:sz="4" w:space="0" w:color="auto"/>
              <w:right w:val="single" w:sz="4" w:space="0" w:color="auto"/>
            </w:tcBorders>
            <w:hideMark/>
          </w:tcPr>
          <w:p w14:paraId="5909BFE9" w14:textId="77777777" w:rsidR="00C25864" w:rsidRPr="00C25864" w:rsidRDefault="00C25864" w:rsidP="0010708E">
            <w:pPr>
              <w:ind w:left="31"/>
              <w:rPr>
                <w:sz w:val="24"/>
                <w:szCs w:val="24"/>
                <w:lang w:val="fr-LU"/>
              </w:rPr>
            </w:pPr>
            <w:r w:rsidRPr="00C25864">
              <w:rPr>
                <w:b/>
                <w:bCs/>
                <w:sz w:val="24"/>
                <w:szCs w:val="24"/>
                <w:lang w:val="fr-LU"/>
              </w:rPr>
              <w:t>60-89</w:t>
            </w:r>
          </w:p>
        </w:tc>
        <w:tc>
          <w:tcPr>
            <w:tcW w:w="3260" w:type="dxa"/>
            <w:tcBorders>
              <w:top w:val="single" w:sz="4" w:space="0" w:color="auto"/>
              <w:left w:val="single" w:sz="4" w:space="0" w:color="auto"/>
              <w:bottom w:val="single" w:sz="4" w:space="0" w:color="auto"/>
              <w:right w:val="single" w:sz="4" w:space="0" w:color="auto"/>
            </w:tcBorders>
            <w:hideMark/>
          </w:tcPr>
          <w:p w14:paraId="6614326C" w14:textId="77777777" w:rsidR="00C25864" w:rsidRPr="00C25864" w:rsidRDefault="00C25864" w:rsidP="0010708E">
            <w:pPr>
              <w:ind w:left="37"/>
              <w:rPr>
                <w:sz w:val="24"/>
                <w:szCs w:val="24"/>
                <w:lang w:val="fr-LU"/>
              </w:rPr>
            </w:pPr>
            <w:r w:rsidRPr="00C25864">
              <w:rPr>
                <w:b/>
                <w:bCs/>
                <w:sz w:val="24"/>
                <w:szCs w:val="24"/>
                <w:lang w:val="fr-LU"/>
              </w:rPr>
              <w:t>3 000 mg</w:t>
            </w:r>
          </w:p>
        </w:tc>
        <w:tc>
          <w:tcPr>
            <w:tcW w:w="3685" w:type="dxa"/>
            <w:tcBorders>
              <w:top w:val="single" w:sz="4" w:space="0" w:color="auto"/>
              <w:left w:val="single" w:sz="4" w:space="0" w:color="auto"/>
              <w:bottom w:val="single" w:sz="4" w:space="0" w:color="auto"/>
              <w:right w:val="single" w:sz="4" w:space="0" w:color="auto"/>
            </w:tcBorders>
            <w:hideMark/>
          </w:tcPr>
          <w:p w14:paraId="2FDF3ED7" w14:textId="77777777" w:rsidR="00C25864" w:rsidRPr="00C25864" w:rsidRDefault="00C25864" w:rsidP="0010708E">
            <w:pPr>
              <w:ind w:left="37"/>
              <w:rPr>
                <w:sz w:val="24"/>
                <w:szCs w:val="24"/>
                <w:lang w:val="fr-LU"/>
              </w:rPr>
            </w:pPr>
            <w:r w:rsidRPr="00C25864">
              <w:rPr>
                <w:b/>
                <w:bCs/>
                <w:sz w:val="24"/>
                <w:szCs w:val="24"/>
                <w:lang w:val="fr-LU"/>
              </w:rPr>
              <w:t>Dosisreduktion kan overvejes i forhold til faldende nyrefunktion.</w:t>
            </w:r>
          </w:p>
        </w:tc>
      </w:tr>
      <w:tr w:rsidR="00C25864" w:rsidRPr="00C25864" w14:paraId="092139E9" w14:textId="77777777" w:rsidTr="0010708E">
        <w:tc>
          <w:tcPr>
            <w:tcW w:w="2127" w:type="dxa"/>
            <w:tcBorders>
              <w:top w:val="single" w:sz="4" w:space="0" w:color="auto"/>
              <w:left w:val="single" w:sz="4" w:space="0" w:color="auto"/>
              <w:bottom w:val="single" w:sz="4" w:space="0" w:color="auto"/>
              <w:right w:val="single" w:sz="4" w:space="0" w:color="auto"/>
            </w:tcBorders>
            <w:hideMark/>
          </w:tcPr>
          <w:p w14:paraId="50249EA0" w14:textId="77777777" w:rsidR="00C25864" w:rsidRPr="00C25864" w:rsidRDefault="00C25864" w:rsidP="0010708E">
            <w:pPr>
              <w:ind w:left="31"/>
              <w:rPr>
                <w:sz w:val="24"/>
                <w:szCs w:val="24"/>
                <w:lang w:val="fr-LU"/>
              </w:rPr>
            </w:pPr>
            <w:r w:rsidRPr="00C25864">
              <w:rPr>
                <w:b/>
                <w:bCs/>
                <w:sz w:val="24"/>
                <w:szCs w:val="24"/>
                <w:lang w:val="fr-LU"/>
              </w:rPr>
              <w:t>45-59</w:t>
            </w:r>
          </w:p>
        </w:tc>
        <w:tc>
          <w:tcPr>
            <w:tcW w:w="3260" w:type="dxa"/>
            <w:tcBorders>
              <w:top w:val="single" w:sz="4" w:space="0" w:color="auto"/>
              <w:left w:val="single" w:sz="4" w:space="0" w:color="auto"/>
              <w:bottom w:val="single" w:sz="4" w:space="0" w:color="auto"/>
              <w:right w:val="single" w:sz="4" w:space="0" w:color="auto"/>
            </w:tcBorders>
            <w:hideMark/>
          </w:tcPr>
          <w:p w14:paraId="27E642CF" w14:textId="77777777" w:rsidR="00C25864" w:rsidRPr="00C25864" w:rsidRDefault="00C25864" w:rsidP="0010708E">
            <w:pPr>
              <w:ind w:left="37"/>
              <w:rPr>
                <w:sz w:val="24"/>
                <w:szCs w:val="24"/>
                <w:lang w:val="fr-LU"/>
              </w:rPr>
            </w:pPr>
            <w:r w:rsidRPr="00C25864">
              <w:rPr>
                <w:b/>
                <w:bCs/>
                <w:sz w:val="24"/>
                <w:szCs w:val="24"/>
                <w:lang w:val="fr-LU"/>
              </w:rPr>
              <w:t>2 000 mg</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479DBB24" w14:textId="77777777" w:rsidR="00C25864" w:rsidRPr="00C25864" w:rsidRDefault="00C25864" w:rsidP="0010708E">
            <w:pPr>
              <w:ind w:left="37"/>
              <w:rPr>
                <w:sz w:val="24"/>
                <w:szCs w:val="24"/>
                <w:lang w:val="fr-LU"/>
              </w:rPr>
            </w:pPr>
            <w:r w:rsidRPr="00C25864">
              <w:rPr>
                <w:b/>
                <w:bCs/>
                <w:sz w:val="24"/>
                <w:szCs w:val="24"/>
                <w:lang w:val="fr-LU"/>
              </w:rPr>
              <w:t>Faktorer, der kan øge risikoen for laktatacidose (se pkt. 4.4), bør gennemgås, før det overvejes at starte med metformin. Startdosis er højst halvdelen af den maksimale dosis.</w:t>
            </w:r>
          </w:p>
        </w:tc>
      </w:tr>
      <w:tr w:rsidR="00C25864" w:rsidRPr="00C25864" w14:paraId="4D4AF398" w14:textId="77777777" w:rsidTr="0010708E">
        <w:tc>
          <w:tcPr>
            <w:tcW w:w="2127" w:type="dxa"/>
            <w:tcBorders>
              <w:top w:val="single" w:sz="4" w:space="0" w:color="auto"/>
              <w:left w:val="single" w:sz="4" w:space="0" w:color="auto"/>
              <w:bottom w:val="single" w:sz="4" w:space="0" w:color="auto"/>
              <w:right w:val="single" w:sz="4" w:space="0" w:color="auto"/>
            </w:tcBorders>
            <w:hideMark/>
          </w:tcPr>
          <w:p w14:paraId="5AB74D59" w14:textId="77777777" w:rsidR="00C25864" w:rsidRPr="00C25864" w:rsidRDefault="00C25864" w:rsidP="0010708E">
            <w:pPr>
              <w:ind w:left="31"/>
              <w:rPr>
                <w:sz w:val="24"/>
                <w:szCs w:val="24"/>
                <w:lang w:val="fr-LU"/>
              </w:rPr>
            </w:pPr>
            <w:r w:rsidRPr="00C25864">
              <w:rPr>
                <w:b/>
                <w:bCs/>
                <w:sz w:val="24"/>
                <w:szCs w:val="24"/>
                <w:lang w:val="fr-LU"/>
              </w:rPr>
              <w:t>30-44</w:t>
            </w:r>
          </w:p>
        </w:tc>
        <w:tc>
          <w:tcPr>
            <w:tcW w:w="3260" w:type="dxa"/>
            <w:tcBorders>
              <w:top w:val="single" w:sz="4" w:space="0" w:color="auto"/>
              <w:left w:val="single" w:sz="4" w:space="0" w:color="auto"/>
              <w:bottom w:val="single" w:sz="4" w:space="0" w:color="auto"/>
              <w:right w:val="single" w:sz="4" w:space="0" w:color="auto"/>
            </w:tcBorders>
            <w:hideMark/>
          </w:tcPr>
          <w:p w14:paraId="451F47E4" w14:textId="77777777" w:rsidR="00C25864" w:rsidRPr="00C25864" w:rsidRDefault="00C25864" w:rsidP="0010708E">
            <w:pPr>
              <w:ind w:left="37"/>
              <w:rPr>
                <w:sz w:val="24"/>
                <w:szCs w:val="24"/>
                <w:lang w:val="fr-LU"/>
              </w:rPr>
            </w:pPr>
            <w:r w:rsidRPr="00C25864">
              <w:rPr>
                <w:b/>
                <w:bCs/>
                <w:sz w:val="24"/>
                <w:szCs w:val="24"/>
                <w:lang w:val="fr-LU"/>
              </w:rPr>
              <w:t>1 000 mg</w:t>
            </w: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5C15D9A2" w14:textId="77777777" w:rsidR="00C25864" w:rsidRPr="00C25864" w:rsidRDefault="00C25864" w:rsidP="0010708E">
            <w:pPr>
              <w:ind w:left="37"/>
              <w:rPr>
                <w:sz w:val="24"/>
                <w:szCs w:val="24"/>
                <w:lang w:val="fr-LU"/>
              </w:rPr>
            </w:pPr>
          </w:p>
        </w:tc>
      </w:tr>
      <w:tr w:rsidR="00C25864" w:rsidRPr="00C25864" w14:paraId="50698CDF" w14:textId="77777777" w:rsidTr="0010708E">
        <w:tc>
          <w:tcPr>
            <w:tcW w:w="2127" w:type="dxa"/>
            <w:tcBorders>
              <w:top w:val="single" w:sz="4" w:space="0" w:color="auto"/>
              <w:left w:val="single" w:sz="4" w:space="0" w:color="auto"/>
              <w:bottom w:val="single" w:sz="4" w:space="0" w:color="auto"/>
              <w:right w:val="single" w:sz="4" w:space="0" w:color="auto"/>
            </w:tcBorders>
            <w:hideMark/>
          </w:tcPr>
          <w:p w14:paraId="4F6FDC98" w14:textId="77777777" w:rsidR="00C25864" w:rsidRPr="00C25864" w:rsidRDefault="00C25864" w:rsidP="0010708E">
            <w:pPr>
              <w:ind w:left="31"/>
              <w:rPr>
                <w:sz w:val="24"/>
                <w:szCs w:val="24"/>
                <w:lang w:val="fr-LU"/>
              </w:rPr>
            </w:pPr>
            <w:r w:rsidRPr="00C25864">
              <w:rPr>
                <w:b/>
                <w:bCs/>
                <w:sz w:val="24"/>
                <w:szCs w:val="24"/>
                <w:lang w:val="fr-LU"/>
              </w:rPr>
              <w:t>&lt; 30</w:t>
            </w:r>
          </w:p>
        </w:tc>
        <w:tc>
          <w:tcPr>
            <w:tcW w:w="3260" w:type="dxa"/>
            <w:tcBorders>
              <w:top w:val="single" w:sz="4" w:space="0" w:color="auto"/>
              <w:left w:val="single" w:sz="4" w:space="0" w:color="auto"/>
              <w:bottom w:val="single" w:sz="4" w:space="0" w:color="auto"/>
              <w:right w:val="single" w:sz="4" w:space="0" w:color="auto"/>
            </w:tcBorders>
            <w:hideMark/>
          </w:tcPr>
          <w:p w14:paraId="116E8CE9" w14:textId="77777777" w:rsidR="00C25864" w:rsidRPr="00C25864" w:rsidRDefault="00C25864" w:rsidP="0010708E">
            <w:pPr>
              <w:ind w:left="37"/>
              <w:rPr>
                <w:sz w:val="24"/>
                <w:szCs w:val="24"/>
                <w:lang w:val="fr-LU"/>
              </w:rPr>
            </w:pPr>
            <w:r w:rsidRPr="00C25864">
              <w:rPr>
                <w:b/>
                <w:bCs/>
                <w:sz w:val="24"/>
                <w:szCs w:val="24"/>
                <w:lang w:val="fr-LU"/>
              </w:rPr>
              <w:t>-</w:t>
            </w:r>
          </w:p>
        </w:tc>
        <w:tc>
          <w:tcPr>
            <w:tcW w:w="3685" w:type="dxa"/>
            <w:tcBorders>
              <w:top w:val="single" w:sz="4" w:space="0" w:color="auto"/>
              <w:left w:val="single" w:sz="4" w:space="0" w:color="auto"/>
              <w:bottom w:val="single" w:sz="4" w:space="0" w:color="auto"/>
              <w:right w:val="single" w:sz="4" w:space="0" w:color="auto"/>
            </w:tcBorders>
            <w:hideMark/>
          </w:tcPr>
          <w:p w14:paraId="59208A61" w14:textId="77777777" w:rsidR="00C25864" w:rsidRPr="00C25864" w:rsidRDefault="00C25864" w:rsidP="0010708E">
            <w:pPr>
              <w:ind w:left="37"/>
              <w:rPr>
                <w:sz w:val="24"/>
                <w:szCs w:val="24"/>
                <w:lang w:val="fr-LU"/>
              </w:rPr>
            </w:pPr>
            <w:r w:rsidRPr="00C25864">
              <w:rPr>
                <w:b/>
                <w:bCs/>
                <w:sz w:val="24"/>
                <w:szCs w:val="24"/>
                <w:lang w:val="fr-LU"/>
              </w:rPr>
              <w:t>Metformin er kontraindiceret.</w:t>
            </w:r>
          </w:p>
        </w:tc>
      </w:tr>
    </w:tbl>
    <w:p w14:paraId="7C4E147C" w14:textId="77777777" w:rsidR="00C25864" w:rsidRPr="00C25864" w:rsidRDefault="00C25864" w:rsidP="00C25864">
      <w:pPr>
        <w:tabs>
          <w:tab w:val="left" w:pos="851"/>
        </w:tabs>
        <w:ind w:left="851"/>
        <w:rPr>
          <w:sz w:val="24"/>
          <w:szCs w:val="24"/>
        </w:rPr>
      </w:pPr>
    </w:p>
    <w:p w14:paraId="5A74D234" w14:textId="77777777" w:rsidR="00C25864" w:rsidRPr="00C25864" w:rsidRDefault="00C25864" w:rsidP="00C25864">
      <w:pPr>
        <w:tabs>
          <w:tab w:val="left" w:pos="851"/>
        </w:tabs>
        <w:ind w:left="851"/>
        <w:rPr>
          <w:sz w:val="24"/>
          <w:szCs w:val="24"/>
        </w:rPr>
      </w:pPr>
    </w:p>
    <w:p w14:paraId="4EB10A27" w14:textId="77777777" w:rsidR="00C25864" w:rsidRPr="00C25864" w:rsidRDefault="00C25864" w:rsidP="00C25864">
      <w:pPr>
        <w:tabs>
          <w:tab w:val="left" w:pos="851"/>
        </w:tabs>
        <w:ind w:left="851"/>
        <w:rPr>
          <w:i/>
          <w:iCs/>
          <w:sz w:val="24"/>
          <w:szCs w:val="24"/>
        </w:rPr>
      </w:pPr>
      <w:r w:rsidRPr="00C25864">
        <w:rPr>
          <w:i/>
          <w:iCs/>
          <w:sz w:val="24"/>
          <w:szCs w:val="24"/>
        </w:rPr>
        <w:t>Pædiatrisk population</w:t>
      </w:r>
    </w:p>
    <w:p w14:paraId="78DF5E45" w14:textId="77777777" w:rsidR="00C25864" w:rsidRPr="00C25864" w:rsidRDefault="00C25864" w:rsidP="00C25864">
      <w:pPr>
        <w:tabs>
          <w:tab w:val="left" w:pos="851"/>
        </w:tabs>
        <w:ind w:left="851"/>
        <w:rPr>
          <w:sz w:val="24"/>
          <w:szCs w:val="24"/>
          <w:u w:val="single"/>
        </w:rPr>
      </w:pPr>
      <w:r w:rsidRPr="00C25864">
        <w:rPr>
          <w:sz w:val="24"/>
          <w:szCs w:val="24"/>
          <w:u w:val="single"/>
        </w:rPr>
        <w:t>Monoterapi og kombination med insulin</w:t>
      </w:r>
    </w:p>
    <w:p w14:paraId="2C3070AF" w14:textId="77777777" w:rsidR="00C25864" w:rsidRPr="00C25864" w:rsidRDefault="00C25864" w:rsidP="00C25864">
      <w:pPr>
        <w:numPr>
          <w:ilvl w:val="0"/>
          <w:numId w:val="6"/>
        </w:numPr>
        <w:tabs>
          <w:tab w:val="left" w:pos="851"/>
        </w:tabs>
        <w:ind w:left="1134" w:hanging="283"/>
        <w:rPr>
          <w:sz w:val="24"/>
          <w:szCs w:val="24"/>
        </w:rPr>
      </w:pPr>
      <w:r w:rsidRPr="00C25864">
        <w:rPr>
          <w:sz w:val="24"/>
          <w:szCs w:val="24"/>
        </w:rPr>
        <w:t>Forminet kan anvendes til børn fra 10 år og unge.</w:t>
      </w:r>
    </w:p>
    <w:p w14:paraId="595FA78A" w14:textId="77777777" w:rsidR="00C25864" w:rsidRPr="00C25864" w:rsidRDefault="00C25864" w:rsidP="00C25864">
      <w:pPr>
        <w:numPr>
          <w:ilvl w:val="0"/>
          <w:numId w:val="6"/>
        </w:numPr>
        <w:tabs>
          <w:tab w:val="left" w:pos="851"/>
        </w:tabs>
        <w:ind w:left="1134" w:hanging="283"/>
        <w:rPr>
          <w:sz w:val="24"/>
          <w:szCs w:val="24"/>
        </w:rPr>
      </w:pPr>
      <w:r w:rsidRPr="00C25864">
        <w:rPr>
          <w:sz w:val="24"/>
          <w:szCs w:val="24"/>
        </w:rPr>
        <w:t>Den sædvanlige startdosis er 500 mg eller 850 mg metforminhydrochlorid én gang dagligt givet i forbindelse med eller efter måltider.</w:t>
      </w:r>
    </w:p>
    <w:p w14:paraId="45AB3B4A" w14:textId="77777777" w:rsidR="00C25864" w:rsidRPr="00C25864" w:rsidRDefault="00C25864" w:rsidP="00C25864">
      <w:pPr>
        <w:tabs>
          <w:tab w:val="left" w:pos="851"/>
        </w:tabs>
        <w:ind w:left="851"/>
        <w:rPr>
          <w:sz w:val="24"/>
          <w:szCs w:val="24"/>
        </w:rPr>
      </w:pPr>
    </w:p>
    <w:p w14:paraId="550E5DC6" w14:textId="77777777" w:rsidR="00C25864" w:rsidRPr="00C25864" w:rsidRDefault="00C25864" w:rsidP="00C25864">
      <w:pPr>
        <w:tabs>
          <w:tab w:val="left" w:pos="851"/>
        </w:tabs>
        <w:ind w:left="851"/>
        <w:rPr>
          <w:sz w:val="24"/>
          <w:szCs w:val="24"/>
        </w:rPr>
      </w:pPr>
      <w:r w:rsidRPr="00C25864">
        <w:rPr>
          <w:sz w:val="24"/>
          <w:szCs w:val="24"/>
        </w:rPr>
        <w:t>Efter 10 til 15 dage bør dosis justeres på basis af blodsukkermålinger. En langsom stigning af dosis kan forbedre gastrointestinal tolerabilitet. Den maksimalt anbefalede dosis af metforminhydrochlorid er 2 g dagligt, taget som 2 eller 3 opdelte doser.</w:t>
      </w:r>
    </w:p>
    <w:p w14:paraId="34615C23" w14:textId="77777777" w:rsidR="009260DE" w:rsidRPr="00C84483" w:rsidRDefault="009260DE" w:rsidP="009260DE">
      <w:pPr>
        <w:tabs>
          <w:tab w:val="left" w:pos="851"/>
        </w:tabs>
        <w:ind w:left="851"/>
        <w:rPr>
          <w:sz w:val="24"/>
          <w:szCs w:val="24"/>
        </w:rPr>
      </w:pPr>
    </w:p>
    <w:p w14:paraId="16186AC8"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4C1C7D20" w14:textId="77777777" w:rsidR="00F25B83" w:rsidRPr="00F25B83" w:rsidRDefault="00F25B83" w:rsidP="00F25B83">
      <w:pPr>
        <w:numPr>
          <w:ilvl w:val="0"/>
          <w:numId w:val="6"/>
        </w:numPr>
        <w:tabs>
          <w:tab w:val="left" w:pos="851"/>
        </w:tabs>
        <w:ind w:left="1134" w:hanging="283"/>
        <w:rPr>
          <w:sz w:val="24"/>
          <w:szCs w:val="24"/>
        </w:rPr>
      </w:pPr>
      <w:r w:rsidRPr="00F25B83">
        <w:rPr>
          <w:sz w:val="24"/>
          <w:szCs w:val="24"/>
        </w:rPr>
        <w:t>overfølsomhed over for metformin eller over for et eller flere af hjælpestofferne anført i pkt. 6.1</w:t>
      </w:r>
    </w:p>
    <w:p w14:paraId="7BF90EC3" w14:textId="77777777" w:rsidR="00F25B83" w:rsidRPr="00F25B83" w:rsidRDefault="00F25B83" w:rsidP="00F25B83">
      <w:pPr>
        <w:numPr>
          <w:ilvl w:val="0"/>
          <w:numId w:val="6"/>
        </w:numPr>
        <w:tabs>
          <w:tab w:val="left" w:pos="851"/>
        </w:tabs>
        <w:ind w:left="1134" w:hanging="283"/>
        <w:rPr>
          <w:sz w:val="24"/>
          <w:szCs w:val="24"/>
        </w:rPr>
      </w:pPr>
      <w:r w:rsidRPr="00F25B83">
        <w:rPr>
          <w:sz w:val="24"/>
          <w:szCs w:val="24"/>
        </w:rPr>
        <w:t>enhver form for akut metabolisk acidose (såsom laktatacidose, diabetisk ketoacidose)</w:t>
      </w:r>
    </w:p>
    <w:p w14:paraId="1CB83C63" w14:textId="77777777" w:rsidR="00F25B83" w:rsidRPr="00F25B83" w:rsidRDefault="00F25B83" w:rsidP="00F25B83">
      <w:pPr>
        <w:numPr>
          <w:ilvl w:val="0"/>
          <w:numId w:val="6"/>
        </w:numPr>
        <w:tabs>
          <w:tab w:val="left" w:pos="851"/>
        </w:tabs>
        <w:ind w:left="1134" w:hanging="283"/>
        <w:rPr>
          <w:sz w:val="24"/>
          <w:szCs w:val="24"/>
        </w:rPr>
      </w:pPr>
      <w:r w:rsidRPr="00F25B83">
        <w:rPr>
          <w:sz w:val="24"/>
          <w:szCs w:val="24"/>
        </w:rPr>
        <w:t>diabetisk prækoma</w:t>
      </w:r>
    </w:p>
    <w:p w14:paraId="62F16B05" w14:textId="77777777" w:rsidR="00F25B83" w:rsidRPr="00F25B83" w:rsidRDefault="00F25B83" w:rsidP="00F25B83">
      <w:pPr>
        <w:numPr>
          <w:ilvl w:val="0"/>
          <w:numId w:val="6"/>
        </w:numPr>
        <w:tabs>
          <w:tab w:val="left" w:pos="851"/>
        </w:tabs>
        <w:ind w:left="1134" w:hanging="283"/>
        <w:rPr>
          <w:sz w:val="24"/>
          <w:szCs w:val="24"/>
        </w:rPr>
      </w:pPr>
      <w:r w:rsidRPr="00F25B83">
        <w:rPr>
          <w:sz w:val="24"/>
          <w:szCs w:val="24"/>
        </w:rPr>
        <w:t>svær nyreinsuffiens (GFR &lt; 30 ml/min)</w:t>
      </w:r>
    </w:p>
    <w:p w14:paraId="62A37C7A" w14:textId="77777777" w:rsidR="00F25B83" w:rsidRPr="00F25B83" w:rsidRDefault="00F25B83" w:rsidP="00F25B83">
      <w:pPr>
        <w:numPr>
          <w:ilvl w:val="0"/>
          <w:numId w:val="6"/>
        </w:numPr>
        <w:tabs>
          <w:tab w:val="left" w:pos="851"/>
        </w:tabs>
        <w:ind w:left="1134" w:hanging="283"/>
        <w:rPr>
          <w:sz w:val="24"/>
          <w:szCs w:val="24"/>
        </w:rPr>
      </w:pPr>
      <w:r w:rsidRPr="00F25B83">
        <w:rPr>
          <w:sz w:val="24"/>
          <w:szCs w:val="24"/>
        </w:rPr>
        <w:t>akutte tilstande med potentiale til at ændre nyrefunktionen, såsom: dehydrering, alvorlig infektion, shock</w:t>
      </w:r>
    </w:p>
    <w:p w14:paraId="34EB301C" w14:textId="77777777" w:rsidR="00F25B83" w:rsidRPr="00F25B83" w:rsidRDefault="00F25B83" w:rsidP="00F25B83">
      <w:pPr>
        <w:numPr>
          <w:ilvl w:val="0"/>
          <w:numId w:val="6"/>
        </w:numPr>
        <w:tabs>
          <w:tab w:val="left" w:pos="851"/>
        </w:tabs>
        <w:ind w:left="1134" w:hanging="283"/>
        <w:rPr>
          <w:sz w:val="24"/>
          <w:szCs w:val="24"/>
        </w:rPr>
      </w:pPr>
      <w:r w:rsidRPr="00F25B83">
        <w:rPr>
          <w:sz w:val="24"/>
          <w:szCs w:val="24"/>
        </w:rPr>
        <w:t>sygdomme, der kan forårsage vævshypoksi (især akut sygdom eller forværring af kronisk sygdom), såsom: dekompenseret hjertesvigt, respirationssvigt, nyligt myokardieinfarkt, shock.</w:t>
      </w:r>
    </w:p>
    <w:p w14:paraId="3DA16934" w14:textId="77777777" w:rsidR="00F25B83" w:rsidRPr="00F25B83" w:rsidRDefault="00F25B83" w:rsidP="00F25B83">
      <w:pPr>
        <w:numPr>
          <w:ilvl w:val="0"/>
          <w:numId w:val="6"/>
        </w:numPr>
        <w:tabs>
          <w:tab w:val="left" w:pos="851"/>
        </w:tabs>
        <w:ind w:left="1134" w:hanging="283"/>
        <w:rPr>
          <w:sz w:val="24"/>
          <w:szCs w:val="24"/>
        </w:rPr>
      </w:pPr>
      <w:r w:rsidRPr="00F25B83">
        <w:rPr>
          <w:sz w:val="24"/>
          <w:szCs w:val="24"/>
        </w:rPr>
        <w:t>leverinsufficiens, akut alkoholforgiftning, alkoholisme</w:t>
      </w:r>
    </w:p>
    <w:p w14:paraId="46452BFA" w14:textId="4370E078" w:rsidR="00871717" w:rsidRDefault="00871717">
      <w:pPr>
        <w:rPr>
          <w:sz w:val="24"/>
          <w:szCs w:val="24"/>
        </w:rPr>
      </w:pPr>
      <w:r>
        <w:rPr>
          <w:sz w:val="24"/>
          <w:szCs w:val="24"/>
        </w:rPr>
        <w:br w:type="page"/>
      </w:r>
    </w:p>
    <w:p w14:paraId="5C6038A7" w14:textId="77777777" w:rsidR="009260DE" w:rsidRPr="00C84483" w:rsidRDefault="009260DE" w:rsidP="009260DE">
      <w:pPr>
        <w:tabs>
          <w:tab w:val="left" w:pos="851"/>
        </w:tabs>
        <w:ind w:left="851"/>
        <w:rPr>
          <w:sz w:val="24"/>
          <w:szCs w:val="24"/>
        </w:rPr>
      </w:pPr>
    </w:p>
    <w:p w14:paraId="66B4FC9F"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412C67CA" w14:textId="77777777" w:rsidR="00871717" w:rsidRPr="00871717" w:rsidRDefault="00871717" w:rsidP="00871717">
      <w:pPr>
        <w:tabs>
          <w:tab w:val="left" w:pos="851"/>
        </w:tabs>
        <w:ind w:left="851"/>
        <w:rPr>
          <w:sz w:val="24"/>
          <w:szCs w:val="24"/>
        </w:rPr>
      </w:pPr>
    </w:p>
    <w:p w14:paraId="5F9697A2" w14:textId="77777777" w:rsidR="00871717" w:rsidRPr="00871717" w:rsidRDefault="00871717" w:rsidP="00871717">
      <w:pPr>
        <w:tabs>
          <w:tab w:val="left" w:pos="851"/>
        </w:tabs>
        <w:ind w:left="851"/>
        <w:rPr>
          <w:sz w:val="24"/>
          <w:szCs w:val="24"/>
          <w:u w:val="single"/>
        </w:rPr>
      </w:pPr>
      <w:r w:rsidRPr="00871717">
        <w:rPr>
          <w:sz w:val="24"/>
          <w:szCs w:val="24"/>
          <w:u w:val="single"/>
        </w:rPr>
        <w:t>Laktatacidose</w:t>
      </w:r>
    </w:p>
    <w:p w14:paraId="2F44073B" w14:textId="77777777" w:rsidR="00871717" w:rsidRPr="00871717" w:rsidRDefault="00871717" w:rsidP="00871717">
      <w:pPr>
        <w:tabs>
          <w:tab w:val="left" w:pos="851"/>
        </w:tabs>
        <w:ind w:left="851"/>
        <w:rPr>
          <w:sz w:val="24"/>
          <w:szCs w:val="24"/>
        </w:rPr>
      </w:pPr>
      <w:r w:rsidRPr="00871717">
        <w:rPr>
          <w:sz w:val="24"/>
          <w:szCs w:val="24"/>
        </w:rPr>
        <w:t>Laktatacidose, en meget sjælden, men alvorlig metabolisk komplikation, opstår oftest ved akut forværring af nyrefunktionen eller kardiorespiratorisk sygdom eller sepsis. Metforminakkumulering sker ved akut forværring af nyrefunktionen og øger risikoen for laktatacidose.</w:t>
      </w:r>
    </w:p>
    <w:p w14:paraId="5FD6330E" w14:textId="77777777" w:rsidR="00871717" w:rsidRPr="00871717" w:rsidRDefault="00871717" w:rsidP="00871717">
      <w:pPr>
        <w:tabs>
          <w:tab w:val="left" w:pos="851"/>
        </w:tabs>
        <w:ind w:left="851"/>
        <w:rPr>
          <w:sz w:val="24"/>
          <w:szCs w:val="24"/>
        </w:rPr>
      </w:pPr>
    </w:p>
    <w:p w14:paraId="37718B02" w14:textId="77777777" w:rsidR="00871717" w:rsidRPr="00871717" w:rsidRDefault="00871717" w:rsidP="00871717">
      <w:pPr>
        <w:tabs>
          <w:tab w:val="left" w:pos="851"/>
        </w:tabs>
        <w:ind w:left="851"/>
        <w:rPr>
          <w:sz w:val="24"/>
          <w:szCs w:val="24"/>
        </w:rPr>
      </w:pPr>
      <w:r w:rsidRPr="00871717">
        <w:rPr>
          <w:sz w:val="24"/>
          <w:szCs w:val="24"/>
        </w:rPr>
        <w:t>I tilfælde af dehydrering (alvorlig diarré eller opkastning, feber eller nedsat væskeindtagelse), bør metformin midlertidigt seponeres, og kontakt med en sundhedsperson anbefales.</w:t>
      </w:r>
    </w:p>
    <w:p w14:paraId="19EEAD49" w14:textId="77777777" w:rsidR="00871717" w:rsidRPr="00871717" w:rsidRDefault="00871717" w:rsidP="00871717">
      <w:pPr>
        <w:tabs>
          <w:tab w:val="left" w:pos="851"/>
        </w:tabs>
        <w:ind w:left="851"/>
        <w:rPr>
          <w:sz w:val="24"/>
          <w:szCs w:val="24"/>
        </w:rPr>
      </w:pPr>
    </w:p>
    <w:p w14:paraId="747A9006" w14:textId="77777777" w:rsidR="00871717" w:rsidRPr="00871717" w:rsidRDefault="00871717" w:rsidP="00871717">
      <w:pPr>
        <w:tabs>
          <w:tab w:val="left" w:pos="851"/>
        </w:tabs>
        <w:ind w:left="851"/>
        <w:rPr>
          <w:sz w:val="24"/>
          <w:szCs w:val="24"/>
        </w:rPr>
      </w:pPr>
      <w:r w:rsidRPr="00871717">
        <w:rPr>
          <w:sz w:val="24"/>
          <w:szCs w:val="24"/>
        </w:rPr>
        <w:t>Lægemidler, der akut kan svække nyrefunktionen (såsom antihypertensiva, diuretika og NSAID'er) bør initieres med forsigtighed hos metforminbehandlede patienter.</w:t>
      </w:r>
    </w:p>
    <w:p w14:paraId="1CF43376" w14:textId="77777777" w:rsidR="00871717" w:rsidRPr="00871717" w:rsidRDefault="00871717" w:rsidP="00871717">
      <w:pPr>
        <w:tabs>
          <w:tab w:val="left" w:pos="851"/>
        </w:tabs>
        <w:ind w:left="851"/>
        <w:rPr>
          <w:sz w:val="24"/>
          <w:szCs w:val="24"/>
        </w:rPr>
      </w:pPr>
      <w:r w:rsidRPr="00871717">
        <w:rPr>
          <w:sz w:val="24"/>
          <w:szCs w:val="24"/>
        </w:rPr>
        <w:t>Andre risikofaktorer for laktatacidose er overdreven alkoholindtagelse, leverinsufficiens, utilstrækkeligt kontrolleret diabetes, ketose, langvarig faste og enhver tilstand forbundet med hypoxi samt samtidig brug af lægemidler, der kan forårsage laktatacidose (se pkt. 4.3 og 4.5).</w:t>
      </w:r>
    </w:p>
    <w:p w14:paraId="5F670451" w14:textId="77777777" w:rsidR="00871717" w:rsidRPr="00871717" w:rsidRDefault="00871717" w:rsidP="00871717">
      <w:pPr>
        <w:tabs>
          <w:tab w:val="left" w:pos="851"/>
        </w:tabs>
        <w:ind w:left="851"/>
        <w:rPr>
          <w:sz w:val="24"/>
          <w:szCs w:val="24"/>
        </w:rPr>
      </w:pPr>
      <w:r w:rsidRPr="00871717">
        <w:rPr>
          <w:sz w:val="24"/>
          <w:szCs w:val="24"/>
        </w:rPr>
        <w:t>Patienter og/eller omsorgspersoner bør informeres om risikoen for laktatacidose. Laktatacidose er karakteriseret ved acidotisk dyspnø, mavesmerter, muskelkramper, asteni og hypotermi efterfulgt af koma. I tilfælde af mistanke om symptomer skal patienten stoppe med at tage metformin og søge omgående lægehjælp. Diagnostiske laboratoriefund er nedsat blod-pH (&lt; 7,35), øgede plasmalaktatniveauer (&gt; 5 mmol/l) og øget aniongap og laktat/pyruvat-forhold.</w:t>
      </w:r>
    </w:p>
    <w:p w14:paraId="0E1D7816" w14:textId="77777777" w:rsidR="00871717" w:rsidRPr="00871717" w:rsidRDefault="00871717" w:rsidP="00871717">
      <w:pPr>
        <w:tabs>
          <w:tab w:val="left" w:pos="851"/>
        </w:tabs>
        <w:ind w:left="851"/>
        <w:rPr>
          <w:sz w:val="24"/>
          <w:szCs w:val="24"/>
        </w:rPr>
      </w:pPr>
    </w:p>
    <w:p w14:paraId="30555351" w14:textId="77777777" w:rsidR="00871717" w:rsidRPr="00871717" w:rsidRDefault="00871717" w:rsidP="00871717">
      <w:pPr>
        <w:tabs>
          <w:tab w:val="left" w:pos="851"/>
        </w:tabs>
        <w:ind w:left="851"/>
        <w:rPr>
          <w:sz w:val="24"/>
          <w:szCs w:val="24"/>
          <w:u w:val="single"/>
        </w:rPr>
      </w:pPr>
      <w:r w:rsidRPr="00871717">
        <w:rPr>
          <w:sz w:val="24"/>
          <w:szCs w:val="24"/>
          <w:u w:val="single"/>
        </w:rPr>
        <w:t>Nyrefunktion</w:t>
      </w:r>
    </w:p>
    <w:p w14:paraId="546A1461" w14:textId="77777777" w:rsidR="00871717" w:rsidRPr="00871717" w:rsidRDefault="00871717" w:rsidP="00871717">
      <w:pPr>
        <w:tabs>
          <w:tab w:val="left" w:pos="851"/>
        </w:tabs>
        <w:ind w:left="851"/>
        <w:rPr>
          <w:sz w:val="24"/>
          <w:szCs w:val="24"/>
        </w:rPr>
      </w:pPr>
      <w:r w:rsidRPr="00871717">
        <w:rPr>
          <w:sz w:val="24"/>
          <w:szCs w:val="24"/>
        </w:rPr>
        <w:t>GFR bør vurderes før behandlingsstart og regelmæssigt derefter, se pkt. 4.2. Metformin er kontraindiceret til patienter med GFR &lt; 30 ml/min og bør seponeres midlertidigt i tilfælde af tilstande, der ændrer nyrefunktionen, se pkt. 4.3.</w:t>
      </w:r>
    </w:p>
    <w:p w14:paraId="049CB1CC" w14:textId="77777777" w:rsidR="00871717" w:rsidRPr="00871717" w:rsidRDefault="00871717" w:rsidP="00871717">
      <w:pPr>
        <w:tabs>
          <w:tab w:val="left" w:pos="851"/>
        </w:tabs>
        <w:ind w:left="851"/>
        <w:rPr>
          <w:sz w:val="24"/>
          <w:szCs w:val="24"/>
        </w:rPr>
      </w:pPr>
    </w:p>
    <w:p w14:paraId="0A5D8973" w14:textId="77777777" w:rsidR="00871717" w:rsidRPr="00871717" w:rsidRDefault="00871717" w:rsidP="00871717">
      <w:pPr>
        <w:tabs>
          <w:tab w:val="left" w:pos="851"/>
        </w:tabs>
        <w:ind w:left="851"/>
        <w:rPr>
          <w:sz w:val="24"/>
          <w:szCs w:val="24"/>
          <w:u w:val="single"/>
        </w:rPr>
      </w:pPr>
      <w:r w:rsidRPr="00871717">
        <w:rPr>
          <w:sz w:val="24"/>
          <w:szCs w:val="24"/>
          <w:u w:val="single"/>
        </w:rPr>
        <w:t>Hjertefunktion</w:t>
      </w:r>
    </w:p>
    <w:p w14:paraId="416EA5F1" w14:textId="77777777" w:rsidR="00871717" w:rsidRPr="00871717" w:rsidRDefault="00871717" w:rsidP="00871717">
      <w:pPr>
        <w:tabs>
          <w:tab w:val="left" w:pos="851"/>
        </w:tabs>
        <w:ind w:left="851"/>
        <w:rPr>
          <w:sz w:val="24"/>
          <w:szCs w:val="24"/>
        </w:rPr>
      </w:pPr>
      <w:r w:rsidRPr="00871717">
        <w:rPr>
          <w:sz w:val="24"/>
          <w:szCs w:val="24"/>
        </w:rPr>
        <w:t>Patienter med hjertesvigt har større risiko for hypoxi og nyreinsufficiens. Hos patienter med stabilt kronisk hjertesvigt kan metformin anvendes med regelmæssig overvågning af hjerte- og nyrefunktion.</w:t>
      </w:r>
    </w:p>
    <w:p w14:paraId="4CE0EBFC" w14:textId="77777777" w:rsidR="00871717" w:rsidRPr="00871717" w:rsidRDefault="00871717" w:rsidP="00871717">
      <w:pPr>
        <w:tabs>
          <w:tab w:val="left" w:pos="851"/>
        </w:tabs>
        <w:ind w:left="851"/>
        <w:rPr>
          <w:sz w:val="24"/>
          <w:szCs w:val="24"/>
        </w:rPr>
      </w:pPr>
      <w:r w:rsidRPr="00871717">
        <w:rPr>
          <w:sz w:val="24"/>
          <w:szCs w:val="24"/>
        </w:rPr>
        <w:t>Til patienter med akut og ustabil hjerteinsufficiens er metformin kontraindiceret (se pkt. 4.3).</w:t>
      </w:r>
    </w:p>
    <w:p w14:paraId="6BCA0FCA" w14:textId="77777777" w:rsidR="00871717" w:rsidRPr="00871717" w:rsidRDefault="00871717" w:rsidP="00871717">
      <w:pPr>
        <w:tabs>
          <w:tab w:val="left" w:pos="851"/>
        </w:tabs>
        <w:ind w:left="851"/>
        <w:rPr>
          <w:sz w:val="24"/>
          <w:szCs w:val="24"/>
        </w:rPr>
      </w:pPr>
    </w:p>
    <w:p w14:paraId="41CCB224" w14:textId="77777777" w:rsidR="00871717" w:rsidRPr="00871717" w:rsidRDefault="00871717" w:rsidP="00871717">
      <w:pPr>
        <w:tabs>
          <w:tab w:val="left" w:pos="851"/>
        </w:tabs>
        <w:ind w:left="851"/>
        <w:rPr>
          <w:sz w:val="24"/>
          <w:szCs w:val="24"/>
          <w:u w:val="single"/>
        </w:rPr>
      </w:pPr>
      <w:r w:rsidRPr="00871717">
        <w:rPr>
          <w:sz w:val="24"/>
          <w:szCs w:val="24"/>
          <w:u w:val="single"/>
        </w:rPr>
        <w:t>Administration af jodholdige kontrastmidler</w:t>
      </w:r>
    </w:p>
    <w:p w14:paraId="64DAEF5C" w14:textId="77777777" w:rsidR="00871717" w:rsidRPr="00871717" w:rsidRDefault="00871717" w:rsidP="00871717">
      <w:pPr>
        <w:tabs>
          <w:tab w:val="left" w:pos="851"/>
        </w:tabs>
        <w:ind w:left="851"/>
        <w:rPr>
          <w:sz w:val="24"/>
          <w:szCs w:val="24"/>
        </w:rPr>
      </w:pPr>
      <w:r w:rsidRPr="00871717">
        <w:rPr>
          <w:sz w:val="24"/>
          <w:szCs w:val="24"/>
        </w:rPr>
        <w:t>Intravaskulær administration af jodholdige kontrastmidler kan føre til kontrastinduceret nefropati, hvilket resulterer i ophobning af metformin og en øget risiko for laktatacidose. Metformin bør seponeres før eller på tidspunktet for billeddannelses undersøgelsen og ikke genoptages før mindst 48 timer efter, forudsat at nyrefunktionen er blevet revurderet og fundet stabil, se pkt. 4.2 og 4.5.</w:t>
      </w:r>
    </w:p>
    <w:p w14:paraId="3E1D85EC" w14:textId="77777777" w:rsidR="00871717" w:rsidRPr="00871717" w:rsidRDefault="00871717" w:rsidP="00871717">
      <w:pPr>
        <w:tabs>
          <w:tab w:val="left" w:pos="851"/>
        </w:tabs>
        <w:ind w:left="851"/>
        <w:rPr>
          <w:sz w:val="24"/>
          <w:szCs w:val="24"/>
        </w:rPr>
      </w:pPr>
    </w:p>
    <w:p w14:paraId="0DA77EFC" w14:textId="77777777" w:rsidR="00871717" w:rsidRPr="00871717" w:rsidRDefault="00871717" w:rsidP="00871717">
      <w:pPr>
        <w:tabs>
          <w:tab w:val="left" w:pos="851"/>
        </w:tabs>
        <w:ind w:left="851"/>
        <w:rPr>
          <w:sz w:val="24"/>
          <w:szCs w:val="24"/>
          <w:u w:val="single"/>
        </w:rPr>
      </w:pPr>
      <w:r w:rsidRPr="00871717">
        <w:rPr>
          <w:sz w:val="24"/>
          <w:szCs w:val="24"/>
          <w:u w:val="single"/>
        </w:rPr>
        <w:t>Kirurgi</w:t>
      </w:r>
    </w:p>
    <w:p w14:paraId="6DBF51A0" w14:textId="77777777" w:rsidR="00871717" w:rsidRPr="00871717" w:rsidRDefault="00871717" w:rsidP="00871717">
      <w:pPr>
        <w:tabs>
          <w:tab w:val="left" w:pos="851"/>
        </w:tabs>
        <w:ind w:left="851"/>
        <w:rPr>
          <w:sz w:val="24"/>
          <w:szCs w:val="24"/>
        </w:rPr>
      </w:pPr>
      <w:r w:rsidRPr="00871717">
        <w:rPr>
          <w:sz w:val="24"/>
          <w:szCs w:val="24"/>
        </w:rPr>
        <w:t>Metformin skal seponeres på tidspunktet for operationen under generel, spinal eller epidural anæstesi. Behandlingen kan genoptages tidligst 48 timer efter operation eller genoptagelse af oral ernæring og forudsat at nyrefunktionen er blevet revurderet og fundet stabil.</w:t>
      </w:r>
    </w:p>
    <w:p w14:paraId="5FAB5D49" w14:textId="77777777" w:rsidR="00871717" w:rsidRPr="00871717" w:rsidRDefault="00871717" w:rsidP="00871717">
      <w:pPr>
        <w:tabs>
          <w:tab w:val="left" w:pos="851"/>
        </w:tabs>
        <w:ind w:left="851"/>
        <w:rPr>
          <w:sz w:val="24"/>
          <w:szCs w:val="24"/>
        </w:rPr>
      </w:pPr>
    </w:p>
    <w:p w14:paraId="4C26A497" w14:textId="77777777" w:rsidR="00871717" w:rsidRPr="00871717" w:rsidRDefault="00871717" w:rsidP="00871717">
      <w:pPr>
        <w:tabs>
          <w:tab w:val="left" w:pos="851"/>
        </w:tabs>
        <w:ind w:left="851"/>
        <w:rPr>
          <w:sz w:val="24"/>
          <w:szCs w:val="24"/>
          <w:u w:val="single"/>
        </w:rPr>
      </w:pPr>
      <w:r w:rsidRPr="00871717">
        <w:rPr>
          <w:sz w:val="24"/>
          <w:szCs w:val="24"/>
          <w:u w:val="single"/>
        </w:rPr>
        <w:lastRenderedPageBreak/>
        <w:t>Pædiatrisk population</w:t>
      </w:r>
    </w:p>
    <w:p w14:paraId="0185245A" w14:textId="77777777" w:rsidR="00871717" w:rsidRPr="00871717" w:rsidRDefault="00871717" w:rsidP="00871717">
      <w:pPr>
        <w:tabs>
          <w:tab w:val="left" w:pos="851"/>
        </w:tabs>
        <w:ind w:left="851"/>
        <w:rPr>
          <w:sz w:val="24"/>
          <w:szCs w:val="24"/>
        </w:rPr>
      </w:pPr>
      <w:r w:rsidRPr="00871717">
        <w:rPr>
          <w:sz w:val="24"/>
          <w:szCs w:val="24"/>
        </w:rPr>
        <w:t>Diagnosen type 2 diabetes mellitus bør bekræftes, før behandling med metformin påbegyndes.</w:t>
      </w:r>
    </w:p>
    <w:p w14:paraId="6BD04EF5" w14:textId="77777777" w:rsidR="00871717" w:rsidRPr="00871717" w:rsidRDefault="00871717" w:rsidP="00871717">
      <w:pPr>
        <w:tabs>
          <w:tab w:val="left" w:pos="851"/>
        </w:tabs>
        <w:ind w:left="851"/>
        <w:rPr>
          <w:sz w:val="24"/>
          <w:szCs w:val="24"/>
        </w:rPr>
      </w:pPr>
    </w:p>
    <w:p w14:paraId="31720B09" w14:textId="77777777" w:rsidR="00871717" w:rsidRPr="00871717" w:rsidRDefault="00871717" w:rsidP="00871717">
      <w:pPr>
        <w:tabs>
          <w:tab w:val="left" w:pos="851"/>
        </w:tabs>
        <w:ind w:left="851"/>
        <w:rPr>
          <w:sz w:val="24"/>
          <w:szCs w:val="24"/>
        </w:rPr>
      </w:pPr>
      <w:r w:rsidRPr="00871717">
        <w:rPr>
          <w:sz w:val="24"/>
          <w:szCs w:val="24"/>
        </w:rPr>
        <w:t>Der er ikke påvist nogen effekt af metformin på vækst og pubertet under kontrollerede kliniske studier af et års varighed, men der er ingen langtidsdata om disse specifikke punkter tilgængelige. Derfor anbefales en omhyggelig opfølgning af metformins effekt på disse parametre hos metforminbehandlede børn, især børn i præpubertære alder.</w:t>
      </w:r>
    </w:p>
    <w:p w14:paraId="7F1E2B36" w14:textId="77777777" w:rsidR="00871717" w:rsidRPr="00871717" w:rsidRDefault="00871717" w:rsidP="00871717">
      <w:pPr>
        <w:tabs>
          <w:tab w:val="left" w:pos="851"/>
        </w:tabs>
        <w:ind w:left="851"/>
        <w:rPr>
          <w:sz w:val="24"/>
          <w:szCs w:val="24"/>
        </w:rPr>
      </w:pPr>
    </w:p>
    <w:p w14:paraId="436CB9BE" w14:textId="77777777" w:rsidR="00871717" w:rsidRPr="00871717" w:rsidRDefault="00871717" w:rsidP="00871717">
      <w:pPr>
        <w:tabs>
          <w:tab w:val="left" w:pos="851"/>
        </w:tabs>
        <w:ind w:left="851"/>
        <w:rPr>
          <w:sz w:val="24"/>
          <w:szCs w:val="24"/>
          <w:u w:val="single"/>
        </w:rPr>
      </w:pPr>
      <w:r w:rsidRPr="00871717">
        <w:rPr>
          <w:sz w:val="24"/>
          <w:szCs w:val="24"/>
          <w:u w:val="single"/>
        </w:rPr>
        <w:t>Børn i alderen mellem 10 og 12 år</w:t>
      </w:r>
    </w:p>
    <w:p w14:paraId="3D1E8311" w14:textId="77777777" w:rsidR="00871717" w:rsidRPr="00871717" w:rsidRDefault="00871717" w:rsidP="00871717">
      <w:pPr>
        <w:tabs>
          <w:tab w:val="left" w:pos="851"/>
        </w:tabs>
        <w:ind w:left="851"/>
        <w:rPr>
          <w:sz w:val="24"/>
          <w:szCs w:val="24"/>
        </w:rPr>
      </w:pPr>
      <w:r w:rsidRPr="00871717">
        <w:rPr>
          <w:sz w:val="24"/>
          <w:szCs w:val="24"/>
        </w:rPr>
        <w:t>Kun 15 forsøgspersoner i alderen mellem 10 og 12 år blev inkluderet i de kontrollerede kliniske undersøgelser udført med børn og unge. Selvom virkningen og sikkerheden af metformin hos disse børn ikke adskilte sig fra virkningen og sikkerheden hos ældre børn og unge, anbefales særlig forsigtighed ved ordination til børn i alderen 10 til 12 år.</w:t>
      </w:r>
    </w:p>
    <w:p w14:paraId="5697033C" w14:textId="77777777" w:rsidR="00871717" w:rsidRPr="00871717" w:rsidRDefault="00871717" w:rsidP="00871717">
      <w:pPr>
        <w:tabs>
          <w:tab w:val="left" w:pos="851"/>
        </w:tabs>
        <w:ind w:left="851"/>
        <w:rPr>
          <w:sz w:val="24"/>
          <w:szCs w:val="24"/>
        </w:rPr>
      </w:pPr>
    </w:p>
    <w:p w14:paraId="7A63E963" w14:textId="77777777" w:rsidR="00871717" w:rsidRPr="00871717" w:rsidRDefault="00871717" w:rsidP="00871717">
      <w:pPr>
        <w:tabs>
          <w:tab w:val="left" w:pos="851"/>
        </w:tabs>
        <w:ind w:left="851"/>
        <w:rPr>
          <w:sz w:val="24"/>
          <w:szCs w:val="24"/>
          <w:u w:val="single"/>
        </w:rPr>
      </w:pPr>
      <w:r w:rsidRPr="00871717">
        <w:rPr>
          <w:sz w:val="24"/>
          <w:szCs w:val="24"/>
          <w:u w:val="single"/>
        </w:rPr>
        <w:t>Andre forholdsregler</w:t>
      </w:r>
    </w:p>
    <w:p w14:paraId="65FD7DF0" w14:textId="77777777" w:rsidR="00871717" w:rsidRPr="00871717" w:rsidRDefault="00871717" w:rsidP="00871717">
      <w:pPr>
        <w:tabs>
          <w:tab w:val="left" w:pos="851"/>
        </w:tabs>
        <w:ind w:left="851"/>
        <w:rPr>
          <w:sz w:val="24"/>
          <w:szCs w:val="24"/>
        </w:rPr>
      </w:pPr>
      <w:r w:rsidRPr="00871717">
        <w:rPr>
          <w:sz w:val="24"/>
          <w:szCs w:val="24"/>
        </w:rPr>
        <w:t>Alle patienter bør fortsætte deres diæt med en regelmæssig fordeling af kulhydratindtaget i løbet af dagen. Overvægtige patienter bør fortsætte deres energibegrænsede diæt.</w:t>
      </w:r>
    </w:p>
    <w:p w14:paraId="48D54D82" w14:textId="77777777" w:rsidR="00871717" w:rsidRPr="00871717" w:rsidRDefault="00871717" w:rsidP="00871717">
      <w:pPr>
        <w:tabs>
          <w:tab w:val="left" w:pos="851"/>
        </w:tabs>
        <w:ind w:left="851"/>
        <w:rPr>
          <w:sz w:val="24"/>
          <w:szCs w:val="24"/>
        </w:rPr>
      </w:pPr>
      <w:r w:rsidRPr="00871717">
        <w:rPr>
          <w:sz w:val="24"/>
          <w:szCs w:val="24"/>
        </w:rPr>
        <w:t>De sædvanlige laboratorietest til diabetesmonitorering bør udføres regelmæssigt.</w:t>
      </w:r>
    </w:p>
    <w:p w14:paraId="3A0B4E97" w14:textId="77777777" w:rsidR="00871717" w:rsidRPr="00871717" w:rsidRDefault="00871717" w:rsidP="00871717">
      <w:pPr>
        <w:tabs>
          <w:tab w:val="left" w:pos="851"/>
        </w:tabs>
        <w:ind w:left="851"/>
        <w:rPr>
          <w:sz w:val="24"/>
          <w:szCs w:val="24"/>
        </w:rPr>
      </w:pPr>
    </w:p>
    <w:p w14:paraId="5ED2D2F1" w14:textId="77777777" w:rsidR="00871717" w:rsidRPr="00871717" w:rsidRDefault="00871717" w:rsidP="00871717">
      <w:pPr>
        <w:tabs>
          <w:tab w:val="left" w:pos="851"/>
        </w:tabs>
        <w:ind w:left="851"/>
        <w:rPr>
          <w:sz w:val="24"/>
          <w:szCs w:val="24"/>
        </w:rPr>
      </w:pPr>
      <w:r w:rsidRPr="00871717">
        <w:rPr>
          <w:sz w:val="24"/>
          <w:szCs w:val="24"/>
        </w:rPr>
        <w:t>Metformin kan reducere vitamin B12-serumniveauet. Risikoen for lave vitamin B12-niveauer stiger med stigende metformindosis, behandlingsvarighed og/eller hos patienter med risikofaktorer, der vides at forårsage vitamin B12-mangel. I tilfælde af mistanke om vitamin B12-mangel (såsom anæmi eller neuropati), bør vitamin B12-serumniveauet overvåges. Periodisk overvågning af vitamin B12 kan være nødvendig hos patienter med risikofaktorer for vitamin B12-mangel. Metforminbehandling bør fortsættes, så længe den tolereres og ikke er kontraindiceret, og passende korrigerende behandling for vitamin B12-mangel gives i overensstemmelse med gældende kliniske retningslinjer.</w:t>
      </w:r>
    </w:p>
    <w:p w14:paraId="58F34A74" w14:textId="77777777" w:rsidR="00871717" w:rsidRPr="00871717" w:rsidRDefault="00871717" w:rsidP="00871717">
      <w:pPr>
        <w:tabs>
          <w:tab w:val="left" w:pos="851"/>
        </w:tabs>
        <w:ind w:left="851"/>
        <w:rPr>
          <w:sz w:val="24"/>
          <w:szCs w:val="24"/>
        </w:rPr>
      </w:pPr>
    </w:p>
    <w:p w14:paraId="087C3B5B" w14:textId="77777777" w:rsidR="00871717" w:rsidRPr="00871717" w:rsidRDefault="00871717" w:rsidP="00871717">
      <w:pPr>
        <w:tabs>
          <w:tab w:val="left" w:pos="851"/>
        </w:tabs>
        <w:ind w:left="851"/>
        <w:rPr>
          <w:sz w:val="24"/>
          <w:szCs w:val="24"/>
        </w:rPr>
      </w:pPr>
      <w:r w:rsidRPr="00871717">
        <w:rPr>
          <w:sz w:val="24"/>
          <w:szCs w:val="24"/>
        </w:rPr>
        <w:t>Metformin alene forårsager ikke hypoglykæmi, men forsigtighed tilrådes, når det bruges i kombination med insulin eller andre orale antidiabetika (f.eks. sulfonylurinstoffer eller meglitinider).</w:t>
      </w:r>
    </w:p>
    <w:p w14:paraId="30810CA7" w14:textId="77777777" w:rsidR="009260DE" w:rsidRPr="00C84483" w:rsidRDefault="009260DE" w:rsidP="009260DE">
      <w:pPr>
        <w:tabs>
          <w:tab w:val="left" w:pos="851"/>
        </w:tabs>
        <w:ind w:left="851"/>
        <w:rPr>
          <w:sz w:val="24"/>
          <w:szCs w:val="24"/>
        </w:rPr>
      </w:pPr>
    </w:p>
    <w:p w14:paraId="61CF24FA"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148B20AD" w14:textId="77777777" w:rsidR="001B2AC3" w:rsidRPr="001B2AC3" w:rsidRDefault="001B2AC3" w:rsidP="001B2AC3">
      <w:pPr>
        <w:tabs>
          <w:tab w:val="left" w:pos="851"/>
        </w:tabs>
        <w:ind w:left="851"/>
        <w:rPr>
          <w:sz w:val="24"/>
          <w:szCs w:val="24"/>
        </w:rPr>
      </w:pPr>
    </w:p>
    <w:p w14:paraId="38715946" w14:textId="77777777" w:rsidR="001B2AC3" w:rsidRPr="001B2AC3" w:rsidRDefault="001B2AC3" w:rsidP="001B2AC3">
      <w:pPr>
        <w:tabs>
          <w:tab w:val="left" w:pos="851"/>
        </w:tabs>
        <w:ind w:left="851"/>
        <w:rPr>
          <w:b/>
          <w:bCs/>
          <w:sz w:val="24"/>
          <w:szCs w:val="24"/>
          <w:u w:val="single"/>
        </w:rPr>
      </w:pPr>
      <w:r w:rsidRPr="001B2AC3">
        <w:rPr>
          <w:b/>
          <w:bCs/>
          <w:sz w:val="24"/>
          <w:szCs w:val="24"/>
          <w:u w:val="single"/>
        </w:rPr>
        <w:t>Samtidig brug anbefales ikke</w:t>
      </w:r>
    </w:p>
    <w:p w14:paraId="6F7AB6C2" w14:textId="77777777" w:rsidR="001B2AC3" w:rsidRPr="001B2AC3" w:rsidRDefault="001B2AC3" w:rsidP="001B2AC3">
      <w:pPr>
        <w:tabs>
          <w:tab w:val="left" w:pos="851"/>
        </w:tabs>
        <w:ind w:left="851"/>
        <w:rPr>
          <w:sz w:val="24"/>
          <w:szCs w:val="24"/>
        </w:rPr>
      </w:pPr>
    </w:p>
    <w:p w14:paraId="51C212A2" w14:textId="77777777" w:rsidR="001B2AC3" w:rsidRPr="001B2AC3" w:rsidRDefault="001B2AC3" w:rsidP="001B2AC3">
      <w:pPr>
        <w:tabs>
          <w:tab w:val="left" w:pos="851"/>
        </w:tabs>
        <w:ind w:left="851"/>
        <w:rPr>
          <w:sz w:val="24"/>
          <w:szCs w:val="24"/>
          <w:u w:val="single"/>
        </w:rPr>
      </w:pPr>
      <w:r w:rsidRPr="001B2AC3">
        <w:rPr>
          <w:sz w:val="24"/>
          <w:szCs w:val="24"/>
          <w:u w:val="single"/>
        </w:rPr>
        <w:t>Alkohol</w:t>
      </w:r>
    </w:p>
    <w:p w14:paraId="1D51A8E5" w14:textId="77777777" w:rsidR="001B2AC3" w:rsidRPr="001B2AC3" w:rsidRDefault="001B2AC3" w:rsidP="001B2AC3">
      <w:pPr>
        <w:tabs>
          <w:tab w:val="left" w:pos="851"/>
        </w:tabs>
        <w:ind w:left="851"/>
        <w:rPr>
          <w:sz w:val="24"/>
          <w:szCs w:val="24"/>
        </w:rPr>
      </w:pPr>
      <w:r w:rsidRPr="001B2AC3">
        <w:rPr>
          <w:sz w:val="24"/>
          <w:szCs w:val="24"/>
        </w:rPr>
        <w:t>Alkoholforgiftning er forbundet med en øget risiko for laktatacidose, især i tilfælde af faste, fejlernæring eller nedsat leverfunktion.</w:t>
      </w:r>
    </w:p>
    <w:p w14:paraId="60C91D13" w14:textId="77777777" w:rsidR="001B2AC3" w:rsidRPr="001B2AC3" w:rsidRDefault="001B2AC3" w:rsidP="001B2AC3">
      <w:pPr>
        <w:tabs>
          <w:tab w:val="left" w:pos="851"/>
        </w:tabs>
        <w:ind w:left="851"/>
        <w:rPr>
          <w:sz w:val="24"/>
          <w:szCs w:val="24"/>
        </w:rPr>
      </w:pPr>
    </w:p>
    <w:p w14:paraId="1E6D5179" w14:textId="77777777" w:rsidR="001B2AC3" w:rsidRPr="001B2AC3" w:rsidRDefault="001B2AC3" w:rsidP="001B2AC3">
      <w:pPr>
        <w:tabs>
          <w:tab w:val="left" w:pos="851"/>
        </w:tabs>
        <w:ind w:left="851"/>
        <w:rPr>
          <w:sz w:val="24"/>
          <w:szCs w:val="24"/>
          <w:u w:val="single"/>
        </w:rPr>
      </w:pPr>
      <w:r w:rsidRPr="001B2AC3">
        <w:rPr>
          <w:sz w:val="24"/>
          <w:szCs w:val="24"/>
          <w:u w:val="single"/>
        </w:rPr>
        <w:t>Jodholdige kontrastmidler</w:t>
      </w:r>
    </w:p>
    <w:p w14:paraId="62DB5430" w14:textId="77777777" w:rsidR="001B2AC3" w:rsidRPr="001B2AC3" w:rsidRDefault="001B2AC3" w:rsidP="001B2AC3">
      <w:pPr>
        <w:tabs>
          <w:tab w:val="left" w:pos="851"/>
        </w:tabs>
        <w:ind w:left="851"/>
        <w:rPr>
          <w:sz w:val="24"/>
          <w:szCs w:val="24"/>
        </w:rPr>
      </w:pPr>
      <w:r w:rsidRPr="001B2AC3">
        <w:rPr>
          <w:sz w:val="24"/>
          <w:szCs w:val="24"/>
        </w:rPr>
        <w:t>Metformin skal seponeres før eller på tidspunktet for billeddannelsesundersøgelsen og ikke genoptages før mindst 48 timer efter, forudsat at nyrefunktionen er blevet revurderet og fundet stabil (se pkt. 4.2 og 4.4).</w:t>
      </w:r>
    </w:p>
    <w:p w14:paraId="1339AF59" w14:textId="77777777" w:rsidR="001B2AC3" w:rsidRPr="001B2AC3" w:rsidRDefault="001B2AC3" w:rsidP="001B2AC3">
      <w:pPr>
        <w:tabs>
          <w:tab w:val="left" w:pos="851"/>
        </w:tabs>
        <w:ind w:left="851"/>
        <w:rPr>
          <w:sz w:val="24"/>
          <w:szCs w:val="24"/>
        </w:rPr>
      </w:pPr>
    </w:p>
    <w:p w14:paraId="2708B11D" w14:textId="77777777" w:rsidR="001B2AC3" w:rsidRPr="001B2AC3" w:rsidRDefault="001B2AC3" w:rsidP="001B2AC3">
      <w:pPr>
        <w:tabs>
          <w:tab w:val="left" w:pos="851"/>
        </w:tabs>
        <w:ind w:left="851"/>
        <w:rPr>
          <w:b/>
          <w:bCs/>
          <w:sz w:val="24"/>
          <w:szCs w:val="24"/>
          <w:u w:val="single"/>
        </w:rPr>
      </w:pPr>
      <w:r w:rsidRPr="001B2AC3">
        <w:rPr>
          <w:b/>
          <w:bCs/>
          <w:sz w:val="24"/>
          <w:szCs w:val="24"/>
          <w:u w:val="single"/>
        </w:rPr>
        <w:t>Kombinationer, der kræver forholdsregler ved brug</w:t>
      </w:r>
    </w:p>
    <w:p w14:paraId="1D5796C6" w14:textId="77777777" w:rsidR="001B2AC3" w:rsidRPr="001B2AC3" w:rsidRDefault="001B2AC3" w:rsidP="001B2AC3">
      <w:pPr>
        <w:tabs>
          <w:tab w:val="left" w:pos="851"/>
        </w:tabs>
        <w:ind w:left="851"/>
        <w:rPr>
          <w:sz w:val="24"/>
          <w:szCs w:val="24"/>
        </w:rPr>
      </w:pPr>
      <w:r w:rsidRPr="001B2AC3">
        <w:rPr>
          <w:sz w:val="24"/>
          <w:szCs w:val="24"/>
        </w:rPr>
        <w:t xml:space="preserve">Nogle lægemidler kan påvirke nyrefunktionen negativt, hvilket kan øge risikoen for laktatacidose, f.eks. NSAID'er, herunder selektive cyclooxygenase (COX) II-hæmmere, ACE-hæmmere, angiotensin II-receptorantagonister og diuretika, især loop-diuretika. Når </w:t>
      </w:r>
      <w:r w:rsidRPr="001B2AC3">
        <w:rPr>
          <w:sz w:val="24"/>
          <w:szCs w:val="24"/>
        </w:rPr>
        <w:lastRenderedPageBreak/>
        <w:t>du starter eller bruger sådanne lægemidler i kombination med metformin, er det nødvendigt med nøje overvågning af nyrefunktionen.</w:t>
      </w:r>
    </w:p>
    <w:p w14:paraId="443FEA98" w14:textId="77777777" w:rsidR="001B2AC3" w:rsidRPr="001B2AC3" w:rsidRDefault="001B2AC3" w:rsidP="001B2AC3">
      <w:pPr>
        <w:tabs>
          <w:tab w:val="left" w:pos="851"/>
        </w:tabs>
        <w:ind w:left="851"/>
        <w:rPr>
          <w:sz w:val="24"/>
          <w:szCs w:val="24"/>
        </w:rPr>
      </w:pPr>
    </w:p>
    <w:p w14:paraId="631799B1" w14:textId="77777777" w:rsidR="001B2AC3" w:rsidRPr="001B2AC3" w:rsidRDefault="001B2AC3" w:rsidP="001B2AC3">
      <w:pPr>
        <w:tabs>
          <w:tab w:val="left" w:pos="851"/>
        </w:tabs>
        <w:ind w:left="851"/>
        <w:rPr>
          <w:sz w:val="24"/>
          <w:szCs w:val="24"/>
          <w:u w:val="single"/>
        </w:rPr>
      </w:pPr>
      <w:r w:rsidRPr="001B2AC3">
        <w:rPr>
          <w:sz w:val="24"/>
          <w:szCs w:val="24"/>
          <w:u w:val="single"/>
        </w:rPr>
        <w:t>Lægemidler med iboende hyperglykæmisk aktivitet (fx glukokortikoider (systemiske og lokale veje) og sympatomimetika)</w:t>
      </w:r>
    </w:p>
    <w:p w14:paraId="1B6FF84A" w14:textId="77777777" w:rsidR="001B2AC3" w:rsidRPr="001B2AC3" w:rsidRDefault="001B2AC3" w:rsidP="001B2AC3">
      <w:pPr>
        <w:tabs>
          <w:tab w:val="left" w:pos="851"/>
        </w:tabs>
        <w:ind w:left="851"/>
        <w:rPr>
          <w:sz w:val="24"/>
          <w:szCs w:val="24"/>
        </w:rPr>
      </w:pPr>
      <w:r w:rsidRPr="001B2AC3">
        <w:rPr>
          <w:sz w:val="24"/>
          <w:szCs w:val="24"/>
        </w:rPr>
        <w:t>Hyppigere blodsukkerovervågning kan være nødvendig, især i begyndelsen af behandlingen. Juster om nødvendigt metformindosis under behandling med det respektive lægemiddel og efter seponering.</w:t>
      </w:r>
    </w:p>
    <w:p w14:paraId="3194F252" w14:textId="77777777" w:rsidR="001B2AC3" w:rsidRPr="001B2AC3" w:rsidRDefault="001B2AC3" w:rsidP="001B2AC3">
      <w:pPr>
        <w:tabs>
          <w:tab w:val="left" w:pos="851"/>
        </w:tabs>
        <w:ind w:left="851"/>
        <w:rPr>
          <w:sz w:val="24"/>
          <w:szCs w:val="24"/>
        </w:rPr>
      </w:pPr>
    </w:p>
    <w:p w14:paraId="3A20F98C" w14:textId="77777777" w:rsidR="001B2AC3" w:rsidRPr="001B2AC3" w:rsidRDefault="001B2AC3" w:rsidP="001B2AC3">
      <w:pPr>
        <w:tabs>
          <w:tab w:val="left" w:pos="851"/>
        </w:tabs>
        <w:ind w:left="851"/>
        <w:rPr>
          <w:sz w:val="24"/>
          <w:szCs w:val="24"/>
          <w:u w:val="single"/>
        </w:rPr>
      </w:pPr>
      <w:r w:rsidRPr="001B2AC3">
        <w:rPr>
          <w:sz w:val="24"/>
          <w:szCs w:val="24"/>
          <w:u w:val="single"/>
        </w:rPr>
        <w:t>Organiske kationtransportører (OCT)</w:t>
      </w:r>
    </w:p>
    <w:p w14:paraId="1E124DD2" w14:textId="77777777" w:rsidR="001B2AC3" w:rsidRPr="001B2AC3" w:rsidRDefault="001B2AC3" w:rsidP="001B2AC3">
      <w:pPr>
        <w:tabs>
          <w:tab w:val="left" w:pos="851"/>
        </w:tabs>
        <w:ind w:left="851"/>
        <w:rPr>
          <w:sz w:val="24"/>
          <w:szCs w:val="24"/>
        </w:rPr>
      </w:pPr>
      <w:r w:rsidRPr="001B2AC3">
        <w:rPr>
          <w:sz w:val="24"/>
          <w:szCs w:val="24"/>
        </w:rPr>
        <w:t>Metformin er et substrat for både transportører OCT1 og OCT2. Samtidig administration af metformin med</w:t>
      </w:r>
    </w:p>
    <w:p w14:paraId="3F404296" w14:textId="77777777" w:rsidR="001B2AC3" w:rsidRPr="001B2AC3" w:rsidRDefault="001B2AC3" w:rsidP="001B2AC3">
      <w:pPr>
        <w:numPr>
          <w:ilvl w:val="0"/>
          <w:numId w:val="6"/>
        </w:numPr>
        <w:tabs>
          <w:tab w:val="left" w:pos="851"/>
        </w:tabs>
        <w:ind w:left="1134" w:hanging="283"/>
        <w:rPr>
          <w:sz w:val="24"/>
          <w:szCs w:val="24"/>
        </w:rPr>
      </w:pPr>
      <w:r w:rsidRPr="001B2AC3">
        <w:rPr>
          <w:sz w:val="24"/>
          <w:szCs w:val="24"/>
        </w:rPr>
        <w:t>hæmmere af OCT1 (såsom verapamil) kan reducere effekten af metformin</w:t>
      </w:r>
    </w:p>
    <w:p w14:paraId="1F475168" w14:textId="77777777" w:rsidR="001B2AC3" w:rsidRPr="001B2AC3" w:rsidRDefault="001B2AC3" w:rsidP="001B2AC3">
      <w:pPr>
        <w:numPr>
          <w:ilvl w:val="0"/>
          <w:numId w:val="6"/>
        </w:numPr>
        <w:tabs>
          <w:tab w:val="left" w:pos="851"/>
        </w:tabs>
        <w:ind w:left="1134" w:hanging="283"/>
        <w:rPr>
          <w:sz w:val="24"/>
          <w:szCs w:val="24"/>
        </w:rPr>
      </w:pPr>
      <w:r w:rsidRPr="001B2AC3">
        <w:rPr>
          <w:sz w:val="24"/>
          <w:szCs w:val="24"/>
        </w:rPr>
        <w:t>induktorer af OCT1 (såsom rifampicin) kan øge gastrointestinal absorption og effektivitet af metformin</w:t>
      </w:r>
    </w:p>
    <w:p w14:paraId="0E0ABF40" w14:textId="77777777" w:rsidR="001B2AC3" w:rsidRPr="001B2AC3" w:rsidRDefault="001B2AC3" w:rsidP="001B2AC3">
      <w:pPr>
        <w:numPr>
          <w:ilvl w:val="0"/>
          <w:numId w:val="6"/>
        </w:numPr>
        <w:tabs>
          <w:tab w:val="left" w:pos="851"/>
        </w:tabs>
        <w:ind w:left="1134" w:hanging="283"/>
        <w:rPr>
          <w:sz w:val="24"/>
          <w:szCs w:val="24"/>
        </w:rPr>
      </w:pPr>
      <w:r w:rsidRPr="001B2AC3">
        <w:rPr>
          <w:sz w:val="24"/>
          <w:szCs w:val="24"/>
        </w:rPr>
        <w:t>hæmmere af OCT2 (såsom cimetidin, dolutegravir, ranolazin, trimethoprim, vandetanib, isavuconazol) kan nedsætte den renale elimination af metformin og dermed føre til en stigning i plasmakoncentrationen af metformin</w:t>
      </w:r>
    </w:p>
    <w:p w14:paraId="4D57C421" w14:textId="77777777" w:rsidR="001B2AC3" w:rsidRPr="001B2AC3" w:rsidRDefault="001B2AC3" w:rsidP="001B2AC3">
      <w:pPr>
        <w:numPr>
          <w:ilvl w:val="0"/>
          <w:numId w:val="6"/>
        </w:numPr>
        <w:tabs>
          <w:tab w:val="left" w:pos="851"/>
        </w:tabs>
        <w:ind w:left="1134" w:hanging="283"/>
        <w:rPr>
          <w:sz w:val="24"/>
          <w:szCs w:val="24"/>
        </w:rPr>
      </w:pPr>
      <w:r w:rsidRPr="001B2AC3">
        <w:rPr>
          <w:sz w:val="24"/>
          <w:szCs w:val="24"/>
        </w:rPr>
        <w:t>hæmmere af både OCT1 og OCT2 (såsom crizotinib, olaparib) kan ændre effektiviteten og renal elimination af metformin</w:t>
      </w:r>
    </w:p>
    <w:p w14:paraId="3B0C0393" w14:textId="77777777" w:rsidR="001B2AC3" w:rsidRPr="001B2AC3" w:rsidRDefault="001B2AC3" w:rsidP="001B2AC3">
      <w:pPr>
        <w:tabs>
          <w:tab w:val="left" w:pos="851"/>
        </w:tabs>
        <w:ind w:left="851"/>
        <w:rPr>
          <w:sz w:val="24"/>
          <w:szCs w:val="24"/>
        </w:rPr>
      </w:pPr>
    </w:p>
    <w:p w14:paraId="56F1F338" w14:textId="77777777" w:rsidR="001B2AC3" w:rsidRPr="001B2AC3" w:rsidRDefault="001B2AC3" w:rsidP="001B2AC3">
      <w:pPr>
        <w:tabs>
          <w:tab w:val="left" w:pos="851"/>
        </w:tabs>
        <w:ind w:left="851"/>
        <w:rPr>
          <w:sz w:val="24"/>
          <w:szCs w:val="24"/>
        </w:rPr>
      </w:pPr>
      <w:r w:rsidRPr="001B2AC3">
        <w:rPr>
          <w:sz w:val="24"/>
          <w:szCs w:val="24"/>
        </w:rPr>
        <w:t>Forsigtighed tilrådes derfor, især hos patienter med nedsat nyrefunktion, når disse lægemidler administreres sammen med metformin, da plasmakoncentrationen af metformin kan stige. Om nødvendigt kan dosisjustering af metformin overvejes, da OCT-hæmmere/-inducere kan ændre metformins effekt.</w:t>
      </w:r>
    </w:p>
    <w:p w14:paraId="0DD72748" w14:textId="77777777" w:rsidR="009260DE" w:rsidRPr="00C84483" w:rsidRDefault="009260DE" w:rsidP="009260DE">
      <w:pPr>
        <w:tabs>
          <w:tab w:val="left" w:pos="851"/>
        </w:tabs>
        <w:ind w:left="851"/>
        <w:rPr>
          <w:sz w:val="24"/>
          <w:szCs w:val="24"/>
        </w:rPr>
      </w:pPr>
    </w:p>
    <w:p w14:paraId="120A9A79"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574DBEB5" w14:textId="77777777" w:rsidR="00B00E2E" w:rsidRPr="00B00E2E" w:rsidRDefault="00B00E2E" w:rsidP="00B00E2E">
      <w:pPr>
        <w:tabs>
          <w:tab w:val="left" w:pos="851"/>
        </w:tabs>
        <w:ind w:left="851"/>
        <w:rPr>
          <w:sz w:val="24"/>
          <w:szCs w:val="24"/>
        </w:rPr>
      </w:pPr>
    </w:p>
    <w:p w14:paraId="5C9A0F54" w14:textId="77777777" w:rsidR="00B00E2E" w:rsidRPr="00B00E2E" w:rsidRDefault="00B00E2E" w:rsidP="00B00E2E">
      <w:pPr>
        <w:tabs>
          <w:tab w:val="left" w:pos="851"/>
        </w:tabs>
        <w:ind w:left="851"/>
        <w:rPr>
          <w:sz w:val="24"/>
          <w:szCs w:val="24"/>
          <w:u w:val="single"/>
        </w:rPr>
      </w:pPr>
      <w:r w:rsidRPr="00B00E2E">
        <w:rPr>
          <w:sz w:val="24"/>
          <w:szCs w:val="24"/>
          <w:u w:val="single"/>
        </w:rPr>
        <w:t>Graviditet</w:t>
      </w:r>
    </w:p>
    <w:p w14:paraId="1D4AE0BC" w14:textId="77777777" w:rsidR="00B00E2E" w:rsidRPr="00B00E2E" w:rsidRDefault="00B00E2E" w:rsidP="00B00E2E">
      <w:pPr>
        <w:tabs>
          <w:tab w:val="left" w:pos="851"/>
        </w:tabs>
        <w:ind w:left="851"/>
        <w:rPr>
          <w:sz w:val="24"/>
          <w:szCs w:val="24"/>
        </w:rPr>
      </w:pPr>
      <w:r w:rsidRPr="00B00E2E">
        <w:rPr>
          <w:sz w:val="24"/>
          <w:szCs w:val="24"/>
        </w:rPr>
        <w:t>Ukontrolleret hyperglykæmi i den perikonceptionelle fase og under gravidit er forbundet med øget risiko for medfødte abnormiteter, svangerskabstab, graviditetsinduceret hypertension, præeklampsi og perinatal mortalitet. Det er vigtigt at holde blodsukkerniveauet så tæt på det normale som muligt gennem hele graviditeten for at reducere risikoen for hyperglykæmi-relaterede bivirkninger for moderen og barnet.</w:t>
      </w:r>
    </w:p>
    <w:p w14:paraId="5C9C5041" w14:textId="77777777" w:rsidR="00B00E2E" w:rsidRPr="00B00E2E" w:rsidRDefault="00B00E2E" w:rsidP="00B00E2E">
      <w:pPr>
        <w:tabs>
          <w:tab w:val="left" w:pos="851"/>
        </w:tabs>
        <w:ind w:left="851"/>
        <w:rPr>
          <w:sz w:val="24"/>
          <w:szCs w:val="24"/>
        </w:rPr>
      </w:pPr>
    </w:p>
    <w:p w14:paraId="73BFC426" w14:textId="77777777" w:rsidR="00B00E2E" w:rsidRPr="00B00E2E" w:rsidRDefault="00B00E2E" w:rsidP="00B00E2E">
      <w:pPr>
        <w:tabs>
          <w:tab w:val="left" w:pos="851"/>
        </w:tabs>
        <w:ind w:left="851"/>
        <w:rPr>
          <w:sz w:val="24"/>
          <w:szCs w:val="24"/>
        </w:rPr>
      </w:pPr>
      <w:r w:rsidRPr="00B00E2E">
        <w:rPr>
          <w:sz w:val="24"/>
          <w:szCs w:val="24"/>
        </w:rPr>
        <w:t>Metformin passerer placenta med niveauer, der kan være lige så høje som moderens koncentrationer.</w:t>
      </w:r>
    </w:p>
    <w:p w14:paraId="1ED4CD48" w14:textId="77777777" w:rsidR="00B00E2E" w:rsidRPr="00B00E2E" w:rsidRDefault="00B00E2E" w:rsidP="00B00E2E">
      <w:pPr>
        <w:tabs>
          <w:tab w:val="left" w:pos="851"/>
        </w:tabs>
        <w:ind w:left="851"/>
        <w:rPr>
          <w:sz w:val="24"/>
          <w:szCs w:val="24"/>
        </w:rPr>
      </w:pPr>
    </w:p>
    <w:p w14:paraId="64D41726" w14:textId="77777777" w:rsidR="00B00E2E" w:rsidRPr="00B00E2E" w:rsidRDefault="00B00E2E" w:rsidP="00B00E2E">
      <w:pPr>
        <w:tabs>
          <w:tab w:val="left" w:pos="851"/>
        </w:tabs>
        <w:ind w:left="851"/>
        <w:rPr>
          <w:sz w:val="24"/>
          <w:szCs w:val="24"/>
        </w:rPr>
      </w:pPr>
      <w:r w:rsidRPr="00B00E2E">
        <w:rPr>
          <w:sz w:val="24"/>
          <w:szCs w:val="24"/>
        </w:rPr>
        <w:t>En stor mængde data om gravide kvinder (mere end 1.000 eksponerede udfald) fra et registerbaseret kohortestudie og offentliggjorte data (metaanalyser, kliniske studier og registre) tyder ikke på nogen øget risiko for medfødte abnormiteter eller føto/neonatal toksicitet efter eksponering for metformin i den perikonceptionelle fase og/eller under graviditeten.</w:t>
      </w:r>
    </w:p>
    <w:p w14:paraId="3788FE66" w14:textId="77777777" w:rsidR="00B00E2E" w:rsidRPr="00B00E2E" w:rsidRDefault="00B00E2E" w:rsidP="00B00E2E">
      <w:pPr>
        <w:tabs>
          <w:tab w:val="left" w:pos="851"/>
        </w:tabs>
        <w:ind w:left="851"/>
        <w:rPr>
          <w:sz w:val="24"/>
          <w:szCs w:val="24"/>
        </w:rPr>
      </w:pPr>
    </w:p>
    <w:p w14:paraId="1D94509F" w14:textId="77777777" w:rsidR="00B00E2E" w:rsidRPr="00B00E2E" w:rsidRDefault="00B00E2E" w:rsidP="00B00E2E">
      <w:pPr>
        <w:tabs>
          <w:tab w:val="left" w:pos="851"/>
        </w:tabs>
        <w:ind w:left="851"/>
        <w:rPr>
          <w:sz w:val="24"/>
          <w:szCs w:val="24"/>
        </w:rPr>
      </w:pPr>
      <w:r w:rsidRPr="00B00E2E">
        <w:rPr>
          <w:sz w:val="24"/>
          <w:szCs w:val="24"/>
        </w:rPr>
        <w:t>Der er begrænset og ufuldstændig dokumentation for metformins effekt på det langsigtede vægtresultat af børn, der eksponeres i utero. Metformin ser ikke ud til at påvirke den motoriske og sociale udvikling op til 4 års alderen hos børn eksponeret under graviditet, selvom data om langsigtede resultater er begrænsede.</w:t>
      </w:r>
    </w:p>
    <w:p w14:paraId="5DE594C3" w14:textId="77777777" w:rsidR="00B00E2E" w:rsidRPr="00B00E2E" w:rsidRDefault="00B00E2E" w:rsidP="00B00E2E">
      <w:pPr>
        <w:tabs>
          <w:tab w:val="left" w:pos="851"/>
        </w:tabs>
        <w:ind w:left="851"/>
        <w:rPr>
          <w:sz w:val="24"/>
          <w:szCs w:val="24"/>
        </w:rPr>
      </w:pPr>
    </w:p>
    <w:p w14:paraId="4B88F519" w14:textId="77777777" w:rsidR="00B00E2E" w:rsidRPr="00B00E2E" w:rsidRDefault="00B00E2E" w:rsidP="00B00E2E">
      <w:pPr>
        <w:tabs>
          <w:tab w:val="left" w:pos="851"/>
        </w:tabs>
        <w:ind w:left="851"/>
        <w:rPr>
          <w:sz w:val="24"/>
          <w:szCs w:val="24"/>
        </w:rPr>
      </w:pPr>
      <w:r w:rsidRPr="00B00E2E">
        <w:rPr>
          <w:sz w:val="24"/>
          <w:szCs w:val="24"/>
        </w:rPr>
        <w:t>Hvis det er klinisk nødvendigt, kan brugen af metformin overvejes under graviditet og i den perikonceptionelle fase som et supplement eller et alternativ til insulin.</w:t>
      </w:r>
    </w:p>
    <w:p w14:paraId="602FAE60" w14:textId="77777777" w:rsidR="00B00E2E" w:rsidRPr="00B00E2E" w:rsidRDefault="00B00E2E" w:rsidP="00B00E2E">
      <w:pPr>
        <w:tabs>
          <w:tab w:val="left" w:pos="851"/>
        </w:tabs>
        <w:ind w:left="851"/>
        <w:rPr>
          <w:sz w:val="24"/>
          <w:szCs w:val="24"/>
        </w:rPr>
      </w:pPr>
    </w:p>
    <w:p w14:paraId="2041811A" w14:textId="77777777" w:rsidR="00B00E2E" w:rsidRPr="00B00E2E" w:rsidRDefault="00B00E2E" w:rsidP="00B00E2E">
      <w:pPr>
        <w:tabs>
          <w:tab w:val="left" w:pos="851"/>
        </w:tabs>
        <w:ind w:left="851"/>
        <w:rPr>
          <w:sz w:val="24"/>
          <w:szCs w:val="24"/>
          <w:u w:val="single"/>
        </w:rPr>
      </w:pPr>
      <w:r w:rsidRPr="00B00E2E">
        <w:rPr>
          <w:sz w:val="24"/>
          <w:szCs w:val="24"/>
          <w:u w:val="single"/>
        </w:rPr>
        <w:t>Amning</w:t>
      </w:r>
    </w:p>
    <w:p w14:paraId="0C028F53" w14:textId="77777777" w:rsidR="00B00E2E" w:rsidRPr="00B00E2E" w:rsidRDefault="00B00E2E" w:rsidP="00B00E2E">
      <w:pPr>
        <w:tabs>
          <w:tab w:val="left" w:pos="851"/>
        </w:tabs>
        <w:ind w:left="851"/>
        <w:rPr>
          <w:sz w:val="24"/>
          <w:szCs w:val="24"/>
        </w:rPr>
      </w:pPr>
      <w:r w:rsidRPr="00B00E2E">
        <w:rPr>
          <w:sz w:val="24"/>
          <w:szCs w:val="24"/>
        </w:rPr>
        <w:t>Metformin udskilles i human modermælk. Der blev ikke observeret nogen bivirkninger hos ammede nyfødte/spædbørn. Men da kun begrænsede data er tilgængelige, anbefales amning ikke under metforminbehandling. En beslutning om, hvorvidt amningen skal ophøre, bør tages under hensyntagen til fordelene ved amning og den potentielle risiko for bivirkninger på barnet.</w:t>
      </w:r>
    </w:p>
    <w:p w14:paraId="59412490" w14:textId="77777777" w:rsidR="00B00E2E" w:rsidRPr="00B00E2E" w:rsidRDefault="00B00E2E" w:rsidP="00B00E2E">
      <w:pPr>
        <w:tabs>
          <w:tab w:val="left" w:pos="851"/>
        </w:tabs>
        <w:ind w:left="851"/>
        <w:rPr>
          <w:sz w:val="24"/>
          <w:szCs w:val="24"/>
        </w:rPr>
      </w:pPr>
    </w:p>
    <w:p w14:paraId="3324981B" w14:textId="77777777" w:rsidR="00B00E2E" w:rsidRPr="00B00E2E" w:rsidRDefault="00B00E2E" w:rsidP="00B00E2E">
      <w:pPr>
        <w:tabs>
          <w:tab w:val="left" w:pos="851"/>
        </w:tabs>
        <w:ind w:left="851"/>
        <w:rPr>
          <w:sz w:val="24"/>
          <w:szCs w:val="24"/>
          <w:u w:val="single"/>
        </w:rPr>
      </w:pPr>
      <w:r w:rsidRPr="00B00E2E">
        <w:rPr>
          <w:sz w:val="24"/>
          <w:szCs w:val="24"/>
          <w:u w:val="single"/>
        </w:rPr>
        <w:t>Fertilitet</w:t>
      </w:r>
    </w:p>
    <w:p w14:paraId="1DEC1DF3" w14:textId="77777777" w:rsidR="00B00E2E" w:rsidRPr="00B00E2E" w:rsidRDefault="00B00E2E" w:rsidP="00B00E2E">
      <w:pPr>
        <w:tabs>
          <w:tab w:val="left" w:pos="851"/>
        </w:tabs>
        <w:ind w:left="851"/>
        <w:rPr>
          <w:i/>
          <w:sz w:val="24"/>
          <w:szCs w:val="24"/>
        </w:rPr>
      </w:pPr>
      <w:r w:rsidRPr="00B00E2E">
        <w:rPr>
          <w:sz w:val="24"/>
          <w:szCs w:val="24"/>
        </w:rPr>
        <w:t>Fertilitet hos han- eller hunrotter var upåvirket af metformin, når det blev administreret i doser så høje som 600 mg/kg/dag, hvilket er ca. tre gange den maksimalt anbefalede humane daglige dosis baseret på sammenligninger af kropsoverfladearealer.</w:t>
      </w:r>
    </w:p>
    <w:p w14:paraId="6F9460BB" w14:textId="77777777" w:rsidR="009260DE" w:rsidRPr="00C84483" w:rsidRDefault="009260DE" w:rsidP="009260DE">
      <w:pPr>
        <w:tabs>
          <w:tab w:val="left" w:pos="851"/>
        </w:tabs>
        <w:ind w:left="851"/>
        <w:rPr>
          <w:sz w:val="24"/>
          <w:szCs w:val="24"/>
        </w:rPr>
      </w:pPr>
    </w:p>
    <w:p w14:paraId="2A4FE071"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2BBA8267" w14:textId="1FD4A35A" w:rsidR="00B00E2E" w:rsidRPr="00B00E2E" w:rsidRDefault="00B00E2E" w:rsidP="00B00E2E">
      <w:pPr>
        <w:tabs>
          <w:tab w:val="left" w:pos="851"/>
        </w:tabs>
        <w:ind w:left="851"/>
        <w:rPr>
          <w:sz w:val="24"/>
          <w:szCs w:val="24"/>
        </w:rPr>
      </w:pPr>
      <w:r w:rsidRPr="00B00E2E">
        <w:rPr>
          <w:sz w:val="24"/>
          <w:szCs w:val="24"/>
        </w:rPr>
        <w:t>Ikke mærkning</w:t>
      </w:r>
      <w:r>
        <w:rPr>
          <w:sz w:val="24"/>
          <w:szCs w:val="24"/>
        </w:rPr>
        <w:t>.</w:t>
      </w:r>
    </w:p>
    <w:p w14:paraId="2D2963DD" w14:textId="77777777" w:rsidR="00B00E2E" w:rsidRPr="00B00E2E" w:rsidRDefault="00B00E2E" w:rsidP="00B00E2E">
      <w:pPr>
        <w:tabs>
          <w:tab w:val="left" w:pos="851"/>
        </w:tabs>
        <w:ind w:left="851"/>
        <w:rPr>
          <w:sz w:val="24"/>
          <w:szCs w:val="24"/>
        </w:rPr>
      </w:pPr>
      <w:r w:rsidRPr="00B00E2E">
        <w:rPr>
          <w:sz w:val="24"/>
          <w:szCs w:val="24"/>
        </w:rPr>
        <w:t>Metformin monoterapi forårsager ikke hypoglykæmi og har derfor ingen effekt på evnen til at køre bil eller betjene maskiner.</w:t>
      </w:r>
    </w:p>
    <w:p w14:paraId="27E8E2D6" w14:textId="77777777" w:rsidR="00B00E2E" w:rsidRPr="00B00E2E" w:rsidRDefault="00B00E2E" w:rsidP="00B00E2E">
      <w:pPr>
        <w:tabs>
          <w:tab w:val="left" w:pos="851"/>
        </w:tabs>
        <w:ind w:left="851"/>
        <w:rPr>
          <w:sz w:val="24"/>
          <w:szCs w:val="24"/>
        </w:rPr>
      </w:pPr>
      <w:r w:rsidRPr="00B00E2E">
        <w:rPr>
          <w:sz w:val="24"/>
          <w:szCs w:val="24"/>
        </w:rPr>
        <w:t>Patienter bør dog være opmærksomme på risikoen for hypoglykæmi, når metformin anvendes i kombination med andre antidiabetiske midler (f.eks. sulfonylurinstoffer, insulin eller meglitinider).</w:t>
      </w:r>
    </w:p>
    <w:p w14:paraId="31B08589" w14:textId="77777777" w:rsidR="009260DE" w:rsidRPr="00C84483" w:rsidRDefault="009260DE" w:rsidP="009260DE">
      <w:pPr>
        <w:tabs>
          <w:tab w:val="left" w:pos="851"/>
        </w:tabs>
        <w:ind w:left="851"/>
        <w:rPr>
          <w:sz w:val="24"/>
          <w:szCs w:val="24"/>
        </w:rPr>
      </w:pPr>
    </w:p>
    <w:p w14:paraId="5BFFACC3"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192FC590" w14:textId="77777777" w:rsidR="00DF481B" w:rsidRPr="00DF481B" w:rsidRDefault="00DF481B" w:rsidP="00DF481B">
      <w:pPr>
        <w:tabs>
          <w:tab w:val="left" w:pos="851"/>
        </w:tabs>
        <w:ind w:left="851"/>
        <w:rPr>
          <w:sz w:val="24"/>
          <w:szCs w:val="24"/>
        </w:rPr>
      </w:pPr>
      <w:r w:rsidRPr="00DF481B">
        <w:rPr>
          <w:sz w:val="24"/>
          <w:szCs w:val="24"/>
        </w:rPr>
        <w:t>Ved behandlingsstart er de mest almindelige bivirkninger kvalme, opkastning, diarré, mavesmerter og appetitløshed, som forsvinder spontant i de fleste tilfælde. For at undgå disse bivirkninger, anbefales det at tage metformin i 2 eller 3 daglige doser og at øge dosis langsomt.</w:t>
      </w:r>
    </w:p>
    <w:p w14:paraId="58BAEE71" w14:textId="77777777" w:rsidR="00DF481B" w:rsidRPr="00DF481B" w:rsidRDefault="00DF481B" w:rsidP="00DF481B">
      <w:pPr>
        <w:tabs>
          <w:tab w:val="left" w:pos="851"/>
        </w:tabs>
        <w:ind w:left="851"/>
        <w:rPr>
          <w:sz w:val="24"/>
          <w:szCs w:val="24"/>
        </w:rPr>
      </w:pPr>
    </w:p>
    <w:p w14:paraId="165A49AF" w14:textId="77777777" w:rsidR="00DF481B" w:rsidRPr="00DF481B" w:rsidRDefault="00DF481B" w:rsidP="00DF481B">
      <w:pPr>
        <w:tabs>
          <w:tab w:val="left" w:pos="851"/>
        </w:tabs>
        <w:ind w:left="851"/>
        <w:rPr>
          <w:sz w:val="24"/>
          <w:szCs w:val="24"/>
        </w:rPr>
      </w:pPr>
      <w:r w:rsidRPr="00DF481B">
        <w:rPr>
          <w:sz w:val="24"/>
          <w:szCs w:val="24"/>
        </w:rPr>
        <w:t>Følgende bivirkninger kan forekomme under behandling med metformin.</w:t>
      </w:r>
    </w:p>
    <w:p w14:paraId="20C96FE1" w14:textId="77777777" w:rsidR="00DF481B" w:rsidRPr="00DF481B" w:rsidRDefault="00DF481B" w:rsidP="00DF481B">
      <w:pPr>
        <w:tabs>
          <w:tab w:val="left" w:pos="851"/>
        </w:tabs>
        <w:ind w:left="851"/>
        <w:rPr>
          <w:sz w:val="24"/>
          <w:szCs w:val="24"/>
        </w:rPr>
      </w:pPr>
      <w:r w:rsidRPr="00DF481B">
        <w:rPr>
          <w:sz w:val="24"/>
          <w:szCs w:val="24"/>
        </w:rPr>
        <w:t>Hyppighederne er defineret som følger: meget almindelig: &gt; 1/10; almindelig ≥ 1/100 til &lt; 1/10; ualmindelig ≥ 1/1 000 til &lt; 1/100; sjælden ≥ 1/10 000 til &lt; 1/1 000; meget sjælden &lt; 1/10 000.</w:t>
      </w:r>
    </w:p>
    <w:p w14:paraId="6AD5D225" w14:textId="77777777" w:rsidR="00DF481B" w:rsidRPr="00DF481B" w:rsidRDefault="00DF481B" w:rsidP="00DF481B">
      <w:pPr>
        <w:tabs>
          <w:tab w:val="left" w:pos="851"/>
        </w:tabs>
        <w:ind w:left="851"/>
        <w:rPr>
          <w:sz w:val="24"/>
          <w:szCs w:val="24"/>
        </w:rPr>
      </w:pPr>
    </w:p>
    <w:p w14:paraId="27EBB341" w14:textId="77777777" w:rsidR="00DF481B" w:rsidRPr="00DF481B" w:rsidRDefault="00DF481B" w:rsidP="00DF481B">
      <w:pPr>
        <w:tabs>
          <w:tab w:val="left" w:pos="851"/>
        </w:tabs>
        <w:ind w:left="851"/>
        <w:rPr>
          <w:sz w:val="24"/>
          <w:szCs w:val="24"/>
        </w:rPr>
      </w:pPr>
      <w:r w:rsidRPr="00DF481B">
        <w:rPr>
          <w:sz w:val="24"/>
          <w:szCs w:val="24"/>
        </w:rPr>
        <w:t>Inden for hver frekvensgruppe er bivirkningerne præsenteret i forhold til, hvor alvorlige de er og i faldende rækkefølge, med de alvorligste først.</w:t>
      </w:r>
    </w:p>
    <w:p w14:paraId="184887FA" w14:textId="77777777" w:rsidR="00DF481B" w:rsidRPr="00DF481B" w:rsidRDefault="00DF481B" w:rsidP="00DF481B">
      <w:pPr>
        <w:tabs>
          <w:tab w:val="left" w:pos="851"/>
        </w:tabs>
        <w:ind w:left="851"/>
        <w:rPr>
          <w:sz w:val="24"/>
          <w:szCs w:val="24"/>
        </w:rPr>
      </w:pPr>
    </w:p>
    <w:p w14:paraId="3195409D" w14:textId="77777777" w:rsidR="00DF481B" w:rsidRPr="00DF481B" w:rsidRDefault="00DF481B" w:rsidP="00DF481B">
      <w:pPr>
        <w:tabs>
          <w:tab w:val="left" w:pos="851"/>
        </w:tabs>
        <w:ind w:left="851"/>
        <w:rPr>
          <w:sz w:val="24"/>
          <w:szCs w:val="24"/>
          <w:u w:val="single"/>
        </w:rPr>
      </w:pPr>
      <w:r w:rsidRPr="00DF481B">
        <w:rPr>
          <w:sz w:val="24"/>
          <w:szCs w:val="24"/>
          <w:u w:val="single"/>
        </w:rPr>
        <w:t>Metabolisme og ernæringsforstyrrelser</w:t>
      </w:r>
    </w:p>
    <w:p w14:paraId="45DC82C1" w14:textId="77777777" w:rsidR="00DF481B" w:rsidRPr="00DF481B" w:rsidRDefault="00DF481B" w:rsidP="00DF481B">
      <w:pPr>
        <w:tabs>
          <w:tab w:val="left" w:pos="851"/>
        </w:tabs>
        <w:ind w:left="851"/>
        <w:rPr>
          <w:sz w:val="24"/>
          <w:szCs w:val="24"/>
        </w:rPr>
      </w:pPr>
    </w:p>
    <w:p w14:paraId="3790F709" w14:textId="77777777" w:rsidR="00DF481B" w:rsidRPr="00DF481B" w:rsidRDefault="00DF481B" w:rsidP="00DF481B">
      <w:pPr>
        <w:tabs>
          <w:tab w:val="left" w:pos="851"/>
        </w:tabs>
        <w:ind w:left="851"/>
        <w:rPr>
          <w:i/>
          <w:iCs/>
          <w:sz w:val="24"/>
          <w:szCs w:val="24"/>
        </w:rPr>
      </w:pPr>
      <w:r w:rsidRPr="00DF481B">
        <w:rPr>
          <w:i/>
          <w:iCs/>
          <w:sz w:val="24"/>
          <w:szCs w:val="24"/>
        </w:rPr>
        <w:t>Almindelige</w:t>
      </w:r>
    </w:p>
    <w:p w14:paraId="4F61F4B4" w14:textId="77777777" w:rsidR="00DF481B" w:rsidRPr="00DF481B" w:rsidRDefault="00DF481B" w:rsidP="00193B8E">
      <w:pPr>
        <w:numPr>
          <w:ilvl w:val="0"/>
          <w:numId w:val="6"/>
        </w:numPr>
        <w:tabs>
          <w:tab w:val="left" w:pos="851"/>
        </w:tabs>
        <w:ind w:left="1134" w:hanging="283"/>
        <w:rPr>
          <w:sz w:val="24"/>
          <w:szCs w:val="24"/>
        </w:rPr>
      </w:pPr>
      <w:r w:rsidRPr="00DF481B">
        <w:rPr>
          <w:sz w:val="24"/>
          <w:szCs w:val="24"/>
        </w:rPr>
        <w:t>vitamin B</w:t>
      </w:r>
      <w:r w:rsidRPr="00DF481B">
        <w:rPr>
          <w:sz w:val="24"/>
          <w:szCs w:val="24"/>
          <w:vertAlign w:val="subscript"/>
        </w:rPr>
        <w:t>12</w:t>
      </w:r>
      <w:r w:rsidRPr="00DF481B">
        <w:rPr>
          <w:sz w:val="24"/>
          <w:szCs w:val="24"/>
        </w:rPr>
        <w:t xml:space="preserve"> fald/mangel (se pkt. 4.4)</w:t>
      </w:r>
    </w:p>
    <w:p w14:paraId="7BF56E76" w14:textId="77777777" w:rsidR="00DF481B" w:rsidRPr="00DF481B" w:rsidRDefault="00DF481B" w:rsidP="00DF481B">
      <w:pPr>
        <w:tabs>
          <w:tab w:val="left" w:pos="851"/>
        </w:tabs>
        <w:ind w:left="851"/>
        <w:rPr>
          <w:sz w:val="24"/>
          <w:szCs w:val="24"/>
        </w:rPr>
      </w:pPr>
    </w:p>
    <w:p w14:paraId="119B933D" w14:textId="77777777" w:rsidR="00DF481B" w:rsidRPr="00DF481B" w:rsidRDefault="00DF481B" w:rsidP="00DF481B">
      <w:pPr>
        <w:tabs>
          <w:tab w:val="left" w:pos="851"/>
        </w:tabs>
        <w:ind w:left="851"/>
        <w:rPr>
          <w:i/>
          <w:iCs/>
          <w:sz w:val="24"/>
          <w:szCs w:val="24"/>
        </w:rPr>
      </w:pPr>
      <w:r w:rsidRPr="00DF481B">
        <w:rPr>
          <w:i/>
          <w:iCs/>
          <w:sz w:val="24"/>
          <w:szCs w:val="24"/>
        </w:rPr>
        <w:t>Meget sjælden</w:t>
      </w:r>
    </w:p>
    <w:p w14:paraId="186C5411" w14:textId="77777777" w:rsidR="00DF481B" w:rsidRPr="00DF481B" w:rsidRDefault="00DF481B" w:rsidP="00193B8E">
      <w:pPr>
        <w:numPr>
          <w:ilvl w:val="0"/>
          <w:numId w:val="6"/>
        </w:numPr>
        <w:tabs>
          <w:tab w:val="left" w:pos="851"/>
        </w:tabs>
        <w:ind w:left="1134" w:hanging="283"/>
        <w:rPr>
          <w:sz w:val="24"/>
          <w:szCs w:val="24"/>
        </w:rPr>
      </w:pPr>
      <w:r w:rsidRPr="00DF481B">
        <w:rPr>
          <w:sz w:val="24"/>
          <w:szCs w:val="24"/>
        </w:rPr>
        <w:t>laktatacidose (se pkt. 4.4)</w:t>
      </w:r>
    </w:p>
    <w:p w14:paraId="0EE1DFE7" w14:textId="77777777" w:rsidR="00DF481B" w:rsidRPr="00DF481B" w:rsidRDefault="00DF481B" w:rsidP="00DF481B">
      <w:pPr>
        <w:tabs>
          <w:tab w:val="left" w:pos="851"/>
        </w:tabs>
        <w:ind w:left="851"/>
        <w:rPr>
          <w:sz w:val="24"/>
          <w:szCs w:val="24"/>
        </w:rPr>
      </w:pPr>
    </w:p>
    <w:p w14:paraId="0A575E96" w14:textId="77777777" w:rsidR="00DF481B" w:rsidRPr="00DF481B" w:rsidRDefault="00DF481B" w:rsidP="00DF481B">
      <w:pPr>
        <w:tabs>
          <w:tab w:val="left" w:pos="851"/>
        </w:tabs>
        <w:ind w:left="851"/>
        <w:rPr>
          <w:sz w:val="24"/>
          <w:szCs w:val="24"/>
          <w:u w:val="single"/>
        </w:rPr>
      </w:pPr>
      <w:r w:rsidRPr="00DF481B">
        <w:rPr>
          <w:sz w:val="24"/>
          <w:szCs w:val="24"/>
          <w:u w:val="single"/>
        </w:rPr>
        <w:t>Forstyrrelser i nervesystemet</w:t>
      </w:r>
    </w:p>
    <w:p w14:paraId="54D466C6" w14:textId="77777777" w:rsidR="00DF481B" w:rsidRPr="00DF481B" w:rsidRDefault="00DF481B" w:rsidP="00DF481B">
      <w:pPr>
        <w:tabs>
          <w:tab w:val="left" w:pos="851"/>
        </w:tabs>
        <w:ind w:left="851"/>
        <w:rPr>
          <w:i/>
          <w:iCs/>
          <w:sz w:val="24"/>
          <w:szCs w:val="24"/>
        </w:rPr>
      </w:pPr>
      <w:r w:rsidRPr="00DF481B">
        <w:rPr>
          <w:i/>
          <w:iCs/>
          <w:sz w:val="24"/>
          <w:szCs w:val="24"/>
        </w:rPr>
        <w:t>almindelige</w:t>
      </w:r>
    </w:p>
    <w:p w14:paraId="7377A24D" w14:textId="77777777" w:rsidR="00DF481B" w:rsidRPr="00DF481B" w:rsidRDefault="00DF481B" w:rsidP="00193B8E">
      <w:pPr>
        <w:numPr>
          <w:ilvl w:val="0"/>
          <w:numId w:val="6"/>
        </w:numPr>
        <w:tabs>
          <w:tab w:val="left" w:pos="851"/>
        </w:tabs>
        <w:ind w:left="1134" w:hanging="283"/>
        <w:rPr>
          <w:sz w:val="24"/>
          <w:szCs w:val="24"/>
        </w:rPr>
      </w:pPr>
      <w:r w:rsidRPr="00DF481B">
        <w:rPr>
          <w:sz w:val="24"/>
          <w:szCs w:val="24"/>
        </w:rPr>
        <w:t>smagsforstyrrelser</w:t>
      </w:r>
    </w:p>
    <w:p w14:paraId="4F9A6526" w14:textId="77777777" w:rsidR="00DF481B" w:rsidRPr="00DF481B" w:rsidRDefault="00DF481B" w:rsidP="00DF481B">
      <w:pPr>
        <w:tabs>
          <w:tab w:val="left" w:pos="851"/>
        </w:tabs>
        <w:ind w:left="851"/>
        <w:rPr>
          <w:sz w:val="24"/>
          <w:szCs w:val="24"/>
        </w:rPr>
      </w:pPr>
    </w:p>
    <w:p w14:paraId="71274256" w14:textId="77777777" w:rsidR="00DF481B" w:rsidRPr="00DF481B" w:rsidRDefault="00DF481B" w:rsidP="00DF481B">
      <w:pPr>
        <w:tabs>
          <w:tab w:val="left" w:pos="851"/>
        </w:tabs>
        <w:ind w:left="851"/>
        <w:rPr>
          <w:sz w:val="24"/>
          <w:szCs w:val="24"/>
          <w:u w:val="single"/>
        </w:rPr>
      </w:pPr>
      <w:r w:rsidRPr="00DF481B">
        <w:rPr>
          <w:sz w:val="24"/>
          <w:szCs w:val="24"/>
          <w:u w:val="single"/>
        </w:rPr>
        <w:t>Gastrointestinale lidelser</w:t>
      </w:r>
    </w:p>
    <w:p w14:paraId="0A28CDCA" w14:textId="77777777" w:rsidR="00DF481B" w:rsidRPr="00DF481B" w:rsidRDefault="00DF481B" w:rsidP="00DF481B">
      <w:pPr>
        <w:tabs>
          <w:tab w:val="left" w:pos="851"/>
        </w:tabs>
        <w:ind w:left="851"/>
        <w:rPr>
          <w:i/>
          <w:iCs/>
          <w:sz w:val="24"/>
          <w:szCs w:val="24"/>
        </w:rPr>
      </w:pPr>
      <w:r w:rsidRPr="00DF481B">
        <w:rPr>
          <w:i/>
          <w:iCs/>
          <w:sz w:val="24"/>
          <w:szCs w:val="24"/>
        </w:rPr>
        <w:t>Meget normal</w:t>
      </w:r>
    </w:p>
    <w:p w14:paraId="5A6B6B43" w14:textId="77777777" w:rsidR="00DF481B" w:rsidRPr="00DF481B" w:rsidRDefault="00DF481B" w:rsidP="00193B8E">
      <w:pPr>
        <w:numPr>
          <w:ilvl w:val="0"/>
          <w:numId w:val="6"/>
        </w:numPr>
        <w:tabs>
          <w:tab w:val="left" w:pos="851"/>
        </w:tabs>
        <w:ind w:left="1134" w:hanging="283"/>
        <w:rPr>
          <w:sz w:val="24"/>
          <w:szCs w:val="24"/>
        </w:rPr>
      </w:pPr>
      <w:r w:rsidRPr="00DF481B">
        <w:rPr>
          <w:sz w:val="24"/>
          <w:szCs w:val="24"/>
        </w:rPr>
        <w:t xml:space="preserve">gastrointestinale lidelser såsom kvalme, opkastning, diarré, mavesmerter og appetitløshed. Disse bivirkninger forekommer hyppigst under initiering af behandlingen </w:t>
      </w:r>
      <w:r w:rsidRPr="00DF481B">
        <w:rPr>
          <w:sz w:val="24"/>
          <w:szCs w:val="24"/>
        </w:rPr>
        <w:lastRenderedPageBreak/>
        <w:t>og forsvinder spontant i de fleste tilfælde. For at forebygge disse bivirkninger, anbefales det, at metformin tages i 2 eller 3 daglige doser i forbindelse med eller efter måltider. En langsom øgning af dosis kan også forbedre gastrointestinal tolerance.</w:t>
      </w:r>
    </w:p>
    <w:p w14:paraId="65FEE1F9" w14:textId="77777777" w:rsidR="00DF481B" w:rsidRPr="00DF481B" w:rsidRDefault="00DF481B" w:rsidP="00DF481B">
      <w:pPr>
        <w:tabs>
          <w:tab w:val="left" w:pos="851"/>
        </w:tabs>
        <w:ind w:left="851"/>
        <w:rPr>
          <w:sz w:val="24"/>
          <w:szCs w:val="24"/>
        </w:rPr>
      </w:pPr>
    </w:p>
    <w:p w14:paraId="7E2FF83A" w14:textId="77777777" w:rsidR="00DF481B" w:rsidRPr="00DF481B" w:rsidRDefault="00DF481B" w:rsidP="00DF481B">
      <w:pPr>
        <w:tabs>
          <w:tab w:val="left" w:pos="851"/>
        </w:tabs>
        <w:ind w:left="851"/>
        <w:rPr>
          <w:sz w:val="24"/>
          <w:szCs w:val="24"/>
          <w:u w:val="single"/>
        </w:rPr>
      </w:pPr>
      <w:r w:rsidRPr="00DF481B">
        <w:rPr>
          <w:sz w:val="24"/>
          <w:szCs w:val="24"/>
          <w:u w:val="single"/>
        </w:rPr>
        <w:t>Lever og galdevejslidelser</w:t>
      </w:r>
    </w:p>
    <w:p w14:paraId="1152C30F" w14:textId="77777777" w:rsidR="00DF481B" w:rsidRPr="00DF481B" w:rsidRDefault="00DF481B" w:rsidP="00DF481B">
      <w:pPr>
        <w:tabs>
          <w:tab w:val="left" w:pos="851"/>
        </w:tabs>
        <w:ind w:left="851"/>
        <w:rPr>
          <w:i/>
          <w:iCs/>
          <w:sz w:val="24"/>
          <w:szCs w:val="24"/>
        </w:rPr>
      </w:pPr>
      <w:r w:rsidRPr="00DF481B">
        <w:rPr>
          <w:i/>
          <w:iCs/>
          <w:sz w:val="24"/>
          <w:szCs w:val="24"/>
        </w:rPr>
        <w:t>Meget sjælden</w:t>
      </w:r>
    </w:p>
    <w:p w14:paraId="2F11BED6" w14:textId="77777777" w:rsidR="00DF481B" w:rsidRPr="00DF481B" w:rsidRDefault="00DF481B" w:rsidP="00193B8E">
      <w:pPr>
        <w:numPr>
          <w:ilvl w:val="0"/>
          <w:numId w:val="6"/>
        </w:numPr>
        <w:tabs>
          <w:tab w:val="left" w:pos="851"/>
        </w:tabs>
        <w:ind w:left="1134" w:hanging="283"/>
        <w:rPr>
          <w:sz w:val="24"/>
          <w:szCs w:val="24"/>
        </w:rPr>
      </w:pPr>
      <w:r w:rsidRPr="00DF481B">
        <w:rPr>
          <w:sz w:val="24"/>
          <w:szCs w:val="24"/>
        </w:rPr>
        <w:t>isolerede tilfælde af unormale leverfunktionsprøver eller hepatitis, som forsvinder efter seponering af metformin</w:t>
      </w:r>
    </w:p>
    <w:p w14:paraId="56D2EDE9" w14:textId="77777777" w:rsidR="00DF481B" w:rsidRPr="00DF481B" w:rsidRDefault="00DF481B" w:rsidP="00DF481B">
      <w:pPr>
        <w:tabs>
          <w:tab w:val="left" w:pos="851"/>
        </w:tabs>
        <w:ind w:left="851"/>
        <w:rPr>
          <w:sz w:val="24"/>
          <w:szCs w:val="24"/>
        </w:rPr>
      </w:pPr>
    </w:p>
    <w:p w14:paraId="74FDD923" w14:textId="77777777" w:rsidR="00DF481B" w:rsidRPr="00DF481B" w:rsidRDefault="00DF481B" w:rsidP="00DF481B">
      <w:pPr>
        <w:tabs>
          <w:tab w:val="left" w:pos="851"/>
        </w:tabs>
        <w:ind w:left="851"/>
        <w:rPr>
          <w:sz w:val="24"/>
          <w:szCs w:val="24"/>
          <w:u w:val="single"/>
        </w:rPr>
      </w:pPr>
      <w:r w:rsidRPr="00DF481B">
        <w:rPr>
          <w:sz w:val="24"/>
          <w:szCs w:val="24"/>
          <w:u w:val="single"/>
        </w:rPr>
        <w:t>Hud- og subkutane vævssygdomme</w:t>
      </w:r>
    </w:p>
    <w:p w14:paraId="497FF738" w14:textId="77777777" w:rsidR="00DF481B" w:rsidRPr="00DF481B" w:rsidRDefault="00DF481B" w:rsidP="00DF481B">
      <w:pPr>
        <w:tabs>
          <w:tab w:val="left" w:pos="851"/>
        </w:tabs>
        <w:ind w:left="851"/>
        <w:rPr>
          <w:i/>
          <w:iCs/>
          <w:sz w:val="24"/>
          <w:szCs w:val="24"/>
        </w:rPr>
      </w:pPr>
      <w:r w:rsidRPr="00DF481B">
        <w:rPr>
          <w:i/>
          <w:iCs/>
          <w:sz w:val="24"/>
          <w:szCs w:val="24"/>
        </w:rPr>
        <w:t>Meget sjælden</w:t>
      </w:r>
    </w:p>
    <w:p w14:paraId="4D3C0193" w14:textId="77777777" w:rsidR="00DF481B" w:rsidRPr="00DF481B" w:rsidRDefault="00DF481B" w:rsidP="00193B8E">
      <w:pPr>
        <w:numPr>
          <w:ilvl w:val="0"/>
          <w:numId w:val="6"/>
        </w:numPr>
        <w:tabs>
          <w:tab w:val="left" w:pos="851"/>
        </w:tabs>
        <w:ind w:left="1134" w:hanging="283"/>
        <w:rPr>
          <w:sz w:val="24"/>
          <w:szCs w:val="24"/>
        </w:rPr>
      </w:pPr>
      <w:r w:rsidRPr="00DF481B">
        <w:rPr>
          <w:sz w:val="24"/>
          <w:szCs w:val="24"/>
        </w:rPr>
        <w:t>hudreaktioner såsom erytem, pruritus, nældefeber</w:t>
      </w:r>
    </w:p>
    <w:p w14:paraId="12154344" w14:textId="77777777" w:rsidR="00DF481B" w:rsidRPr="00DF481B" w:rsidRDefault="00DF481B" w:rsidP="00DF481B">
      <w:pPr>
        <w:tabs>
          <w:tab w:val="left" w:pos="851"/>
        </w:tabs>
        <w:ind w:left="851"/>
        <w:rPr>
          <w:sz w:val="24"/>
          <w:szCs w:val="24"/>
        </w:rPr>
      </w:pPr>
    </w:p>
    <w:p w14:paraId="54C23988" w14:textId="77777777" w:rsidR="00DF481B" w:rsidRPr="00DF481B" w:rsidRDefault="00DF481B" w:rsidP="00DF481B">
      <w:pPr>
        <w:tabs>
          <w:tab w:val="left" w:pos="851"/>
        </w:tabs>
        <w:ind w:left="851"/>
        <w:rPr>
          <w:b/>
          <w:sz w:val="24"/>
          <w:szCs w:val="24"/>
          <w:lang w:val="fr-LU"/>
        </w:rPr>
      </w:pPr>
      <w:r w:rsidRPr="00DF481B">
        <w:rPr>
          <w:b/>
          <w:sz w:val="24"/>
          <w:szCs w:val="24"/>
          <w:lang w:val="fr-LU"/>
        </w:rPr>
        <w:t>Pædiatrisk population</w:t>
      </w:r>
    </w:p>
    <w:p w14:paraId="3A25E83B" w14:textId="77777777" w:rsidR="00DF481B" w:rsidRPr="00DF481B" w:rsidRDefault="00DF481B" w:rsidP="00DF481B">
      <w:pPr>
        <w:tabs>
          <w:tab w:val="left" w:pos="851"/>
        </w:tabs>
        <w:ind w:left="851"/>
        <w:rPr>
          <w:sz w:val="24"/>
          <w:szCs w:val="24"/>
          <w:lang w:val="fr-LU"/>
        </w:rPr>
      </w:pPr>
      <w:r w:rsidRPr="00DF481B">
        <w:rPr>
          <w:sz w:val="24"/>
          <w:szCs w:val="24"/>
          <w:lang w:val="fr-LU"/>
        </w:rPr>
        <w:t>I offentliggjorte data og postmarkedsføringsdata samt i kontrollerede kliniske studier gennemført i en begrænset pædiatrisk population i alderen 10-16 år, behandlet gennem 1 år, var typen og alvorligheden af de rapporterede bivirkninger sammenlignelige med bivirkningerne hos voksne.</w:t>
      </w:r>
    </w:p>
    <w:p w14:paraId="5B4AE065" w14:textId="77777777" w:rsidR="00DF481B" w:rsidRPr="00DF481B" w:rsidRDefault="00DF481B" w:rsidP="00DF481B">
      <w:pPr>
        <w:tabs>
          <w:tab w:val="left" w:pos="851"/>
        </w:tabs>
        <w:ind w:left="851"/>
        <w:rPr>
          <w:sz w:val="24"/>
          <w:szCs w:val="24"/>
          <w:lang w:val="fr-LU"/>
        </w:rPr>
      </w:pPr>
    </w:p>
    <w:p w14:paraId="628F6F09" w14:textId="77777777" w:rsidR="00DF481B" w:rsidRPr="00DF481B" w:rsidRDefault="00DF481B" w:rsidP="00DF481B">
      <w:pPr>
        <w:tabs>
          <w:tab w:val="left" w:pos="851"/>
        </w:tabs>
        <w:ind w:left="851"/>
        <w:rPr>
          <w:sz w:val="24"/>
          <w:szCs w:val="24"/>
          <w:u w:val="single"/>
          <w:lang w:val="fr-LU"/>
        </w:rPr>
      </w:pPr>
      <w:r w:rsidRPr="00DF481B">
        <w:rPr>
          <w:sz w:val="24"/>
          <w:szCs w:val="24"/>
          <w:u w:val="single"/>
          <w:lang w:val="fr-LU"/>
        </w:rPr>
        <w:t>Indberetning af formodede bivirkninger</w:t>
      </w:r>
    </w:p>
    <w:p w14:paraId="33A39F23" w14:textId="77777777" w:rsidR="00DF481B" w:rsidRPr="00DF481B" w:rsidRDefault="00DF481B" w:rsidP="00DF481B">
      <w:pPr>
        <w:tabs>
          <w:tab w:val="left" w:pos="851"/>
        </w:tabs>
        <w:ind w:left="851"/>
        <w:rPr>
          <w:sz w:val="24"/>
          <w:szCs w:val="24"/>
          <w:lang w:val="fr-LU"/>
        </w:rPr>
      </w:pPr>
      <w:r w:rsidRPr="00DF481B">
        <w:rPr>
          <w:sz w:val="24"/>
          <w:szCs w:val="24"/>
          <w:lang w:val="fr-LU"/>
        </w:rPr>
        <w:t xml:space="preserve">Når lægemidlet er godkendt, er indberetning af formodede bivirkninger vigtig. Det muliggør løbende overvågning af benefit/risk-forholdet for lægemidlet. Sundhedspersoner anmodes om at indberette alle formodede bivirkninger via: </w:t>
      </w:r>
    </w:p>
    <w:p w14:paraId="271CC6A7" w14:textId="77777777" w:rsidR="00DF481B" w:rsidRPr="00DF481B" w:rsidRDefault="00DF481B" w:rsidP="00DF481B">
      <w:pPr>
        <w:tabs>
          <w:tab w:val="left" w:pos="851"/>
        </w:tabs>
        <w:ind w:left="851"/>
        <w:rPr>
          <w:sz w:val="24"/>
          <w:szCs w:val="24"/>
          <w:lang w:val="fr-LU"/>
        </w:rPr>
      </w:pPr>
    </w:p>
    <w:p w14:paraId="15FDAC58" w14:textId="77777777" w:rsidR="00DF481B" w:rsidRPr="00DF481B" w:rsidRDefault="00DF481B" w:rsidP="00DF481B">
      <w:pPr>
        <w:tabs>
          <w:tab w:val="left" w:pos="851"/>
        </w:tabs>
        <w:ind w:left="851"/>
        <w:rPr>
          <w:sz w:val="24"/>
          <w:szCs w:val="24"/>
          <w:lang w:val="fr-LU"/>
        </w:rPr>
      </w:pPr>
      <w:r w:rsidRPr="00DF481B">
        <w:rPr>
          <w:sz w:val="24"/>
          <w:szCs w:val="24"/>
          <w:lang w:val="fr-LU"/>
        </w:rPr>
        <w:t>Lægemiddelstyrelsen</w:t>
      </w:r>
    </w:p>
    <w:p w14:paraId="3FC95DDF" w14:textId="77777777" w:rsidR="00DF481B" w:rsidRPr="00DF481B" w:rsidRDefault="00DF481B" w:rsidP="00DF481B">
      <w:pPr>
        <w:tabs>
          <w:tab w:val="left" w:pos="851"/>
        </w:tabs>
        <w:ind w:left="851"/>
        <w:rPr>
          <w:sz w:val="24"/>
          <w:szCs w:val="24"/>
          <w:lang w:val="fr-LU"/>
        </w:rPr>
      </w:pPr>
      <w:r w:rsidRPr="00DF481B">
        <w:rPr>
          <w:sz w:val="24"/>
          <w:szCs w:val="24"/>
          <w:lang w:val="fr-LU"/>
        </w:rPr>
        <w:t>Axel Heides Gade 1</w:t>
      </w:r>
    </w:p>
    <w:p w14:paraId="2B230CCE" w14:textId="77777777" w:rsidR="00DF481B" w:rsidRPr="00DF481B" w:rsidRDefault="00DF481B" w:rsidP="00DF481B">
      <w:pPr>
        <w:tabs>
          <w:tab w:val="left" w:pos="851"/>
        </w:tabs>
        <w:ind w:left="851"/>
        <w:rPr>
          <w:sz w:val="24"/>
          <w:szCs w:val="24"/>
          <w:lang w:val="fr-LU"/>
        </w:rPr>
      </w:pPr>
      <w:r w:rsidRPr="00DF481B">
        <w:rPr>
          <w:sz w:val="24"/>
          <w:szCs w:val="24"/>
          <w:lang w:val="fr-LU"/>
        </w:rPr>
        <w:t>DK-2300 København S</w:t>
      </w:r>
    </w:p>
    <w:p w14:paraId="7AAEF7AD" w14:textId="77777777" w:rsidR="00DF481B" w:rsidRPr="00DF481B" w:rsidRDefault="00DF481B" w:rsidP="00DF481B">
      <w:pPr>
        <w:tabs>
          <w:tab w:val="left" w:pos="851"/>
        </w:tabs>
        <w:ind w:left="851"/>
        <w:rPr>
          <w:sz w:val="24"/>
          <w:szCs w:val="24"/>
          <w:lang w:val="fr-LU"/>
        </w:rPr>
      </w:pPr>
      <w:r w:rsidRPr="00DF481B">
        <w:rPr>
          <w:sz w:val="24"/>
          <w:szCs w:val="24"/>
          <w:lang w:val="fr-LU"/>
        </w:rPr>
        <w:t>Websted: www.meldenbivirkning.dk</w:t>
      </w:r>
    </w:p>
    <w:p w14:paraId="25609492" w14:textId="77777777" w:rsidR="00DF481B" w:rsidRPr="00DF481B" w:rsidRDefault="00DF481B" w:rsidP="00DF481B">
      <w:pPr>
        <w:tabs>
          <w:tab w:val="left" w:pos="851"/>
        </w:tabs>
        <w:ind w:left="851"/>
        <w:rPr>
          <w:sz w:val="24"/>
          <w:szCs w:val="24"/>
        </w:rPr>
      </w:pPr>
    </w:p>
    <w:p w14:paraId="6B0928E7"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6EFA03CB" w14:textId="77777777" w:rsidR="00A7309F" w:rsidRPr="00A7309F" w:rsidRDefault="00A7309F" w:rsidP="00A7309F">
      <w:pPr>
        <w:tabs>
          <w:tab w:val="left" w:pos="851"/>
        </w:tabs>
        <w:ind w:left="851"/>
        <w:rPr>
          <w:sz w:val="24"/>
          <w:szCs w:val="24"/>
          <w:u w:val="single"/>
        </w:rPr>
      </w:pPr>
      <w:r w:rsidRPr="00A7309F">
        <w:rPr>
          <w:sz w:val="24"/>
          <w:szCs w:val="24"/>
        </w:rPr>
        <w:t>Hypoglykæmi er ikke set med metforminhydrochloriddoser på op til 85 g, selv om laktatacidose er forekommet under sådanne omstændigheder. Høj overdosering af metformin eller samtidige risici kan føre til laktatacidose. Laktatacidose er en medicinsk nødsituation og skal behandles på hospitalet. Den mest effektive metode til at fjerne laktat og metformin er hæmodialyse</w:t>
      </w:r>
      <w:r w:rsidRPr="00A7309F">
        <w:rPr>
          <w:sz w:val="24"/>
          <w:szCs w:val="24"/>
          <w:u w:val="single"/>
        </w:rPr>
        <w:t>.</w:t>
      </w:r>
    </w:p>
    <w:p w14:paraId="3164E6C4" w14:textId="77777777" w:rsidR="009260DE" w:rsidRPr="00C84483" w:rsidRDefault="009260DE" w:rsidP="009260DE">
      <w:pPr>
        <w:tabs>
          <w:tab w:val="left" w:pos="851"/>
        </w:tabs>
        <w:ind w:left="851"/>
        <w:rPr>
          <w:sz w:val="24"/>
          <w:szCs w:val="24"/>
        </w:rPr>
      </w:pPr>
    </w:p>
    <w:p w14:paraId="06F5BD61"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1C6EF35A" w14:textId="42341B41" w:rsidR="009260DE" w:rsidRPr="00C84483" w:rsidRDefault="00A7309F" w:rsidP="009260DE">
      <w:pPr>
        <w:tabs>
          <w:tab w:val="left" w:pos="851"/>
        </w:tabs>
        <w:ind w:left="851"/>
        <w:rPr>
          <w:sz w:val="24"/>
          <w:szCs w:val="24"/>
        </w:rPr>
      </w:pPr>
      <w:r>
        <w:rPr>
          <w:sz w:val="24"/>
          <w:szCs w:val="24"/>
        </w:rPr>
        <w:t>B</w:t>
      </w:r>
    </w:p>
    <w:p w14:paraId="677A979D" w14:textId="77777777" w:rsidR="009260DE" w:rsidRPr="00C84483" w:rsidRDefault="009260DE" w:rsidP="009260DE">
      <w:pPr>
        <w:tabs>
          <w:tab w:val="left" w:pos="851"/>
        </w:tabs>
        <w:ind w:left="851"/>
        <w:rPr>
          <w:sz w:val="24"/>
          <w:szCs w:val="24"/>
        </w:rPr>
      </w:pPr>
    </w:p>
    <w:p w14:paraId="65174CA8" w14:textId="77777777" w:rsidR="009260DE" w:rsidRPr="00C84483" w:rsidRDefault="009260DE" w:rsidP="009260DE">
      <w:pPr>
        <w:tabs>
          <w:tab w:val="left" w:pos="851"/>
        </w:tabs>
        <w:ind w:left="851"/>
        <w:rPr>
          <w:sz w:val="24"/>
          <w:szCs w:val="24"/>
        </w:rPr>
      </w:pPr>
    </w:p>
    <w:p w14:paraId="49E4B514"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66039741" w14:textId="77777777" w:rsidR="009260DE" w:rsidRPr="00C84483" w:rsidRDefault="009260DE" w:rsidP="009260DE">
      <w:pPr>
        <w:tabs>
          <w:tab w:val="left" w:pos="851"/>
        </w:tabs>
        <w:ind w:left="851"/>
        <w:rPr>
          <w:sz w:val="24"/>
          <w:szCs w:val="24"/>
        </w:rPr>
      </w:pPr>
    </w:p>
    <w:p w14:paraId="32CE9465"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487047D5" w14:textId="77777777" w:rsidR="00A7309F" w:rsidRPr="00A7309F" w:rsidRDefault="00A7309F" w:rsidP="00A7309F">
      <w:pPr>
        <w:tabs>
          <w:tab w:val="left" w:pos="851"/>
        </w:tabs>
        <w:ind w:left="851"/>
        <w:rPr>
          <w:sz w:val="24"/>
          <w:szCs w:val="24"/>
          <w:lang w:val="nn-NO"/>
        </w:rPr>
      </w:pPr>
      <w:bookmarkStart w:id="1" w:name="_Hlk121315549"/>
      <w:r w:rsidRPr="00A7309F">
        <w:rPr>
          <w:sz w:val="24"/>
          <w:szCs w:val="24"/>
          <w:lang w:val="fr-LU"/>
        </w:rPr>
        <w:t>Farmakoterapeutisk klassifikation</w:t>
      </w:r>
      <w:bookmarkEnd w:id="1"/>
      <w:r w:rsidRPr="00A7309F">
        <w:rPr>
          <w:sz w:val="24"/>
          <w:szCs w:val="24"/>
          <w:lang w:val="fr-LU"/>
        </w:rPr>
        <w:t xml:space="preserve">: </w:t>
      </w:r>
      <w:r w:rsidRPr="00A7309F">
        <w:rPr>
          <w:sz w:val="24"/>
          <w:szCs w:val="24"/>
          <w:lang w:val="nn-NO"/>
        </w:rPr>
        <w:t xml:space="preserve">Blod-glucose sænkende midler, exkl. insuliner; biguanider, </w:t>
      </w:r>
      <w:r w:rsidRPr="00A7309F">
        <w:rPr>
          <w:sz w:val="24"/>
          <w:szCs w:val="24"/>
          <w:lang w:val="fr-LU"/>
        </w:rPr>
        <w:t xml:space="preserve">ATC-kode: </w:t>
      </w:r>
      <w:r w:rsidRPr="00A7309F">
        <w:rPr>
          <w:bCs/>
          <w:sz w:val="24"/>
          <w:szCs w:val="24"/>
          <w:lang w:val="fr-LU"/>
        </w:rPr>
        <w:t>A10BA02.</w:t>
      </w:r>
    </w:p>
    <w:p w14:paraId="1680995D" w14:textId="77777777" w:rsidR="00A7309F" w:rsidRPr="00A7309F" w:rsidRDefault="00A7309F" w:rsidP="00A7309F">
      <w:pPr>
        <w:tabs>
          <w:tab w:val="left" w:pos="851"/>
        </w:tabs>
        <w:ind w:left="851"/>
        <w:rPr>
          <w:b/>
          <w:sz w:val="24"/>
          <w:szCs w:val="24"/>
          <w:lang w:val="nn-NO"/>
        </w:rPr>
      </w:pPr>
    </w:p>
    <w:p w14:paraId="5E88363C" w14:textId="77777777" w:rsidR="00A7309F" w:rsidRPr="00A7309F" w:rsidRDefault="00A7309F" w:rsidP="00A7309F">
      <w:pPr>
        <w:tabs>
          <w:tab w:val="left" w:pos="851"/>
        </w:tabs>
        <w:ind w:left="851"/>
        <w:rPr>
          <w:sz w:val="24"/>
          <w:szCs w:val="24"/>
          <w:u w:val="single"/>
          <w:lang w:val="nn-NO"/>
        </w:rPr>
      </w:pPr>
      <w:r w:rsidRPr="00A7309F">
        <w:rPr>
          <w:sz w:val="24"/>
          <w:szCs w:val="24"/>
          <w:u w:val="single"/>
          <w:lang w:val="nn-NO"/>
        </w:rPr>
        <w:t>Virkningsmekanisme</w:t>
      </w:r>
    </w:p>
    <w:p w14:paraId="2A959781" w14:textId="77777777" w:rsidR="00A7309F" w:rsidRPr="00A7309F" w:rsidRDefault="00A7309F" w:rsidP="00A7309F">
      <w:pPr>
        <w:tabs>
          <w:tab w:val="left" w:pos="851"/>
        </w:tabs>
        <w:ind w:left="851"/>
        <w:rPr>
          <w:sz w:val="24"/>
          <w:szCs w:val="24"/>
          <w:u w:val="single"/>
          <w:lang w:val="nn-NO"/>
        </w:rPr>
      </w:pPr>
      <w:r w:rsidRPr="00A7309F">
        <w:rPr>
          <w:sz w:val="24"/>
          <w:szCs w:val="24"/>
          <w:lang w:val="nn-NO"/>
        </w:rPr>
        <w:t>Metformin er et biguanid med antihyperglykæmisk effekt på både basal og postprandial hyperglykæmi. Det stimulerer ikke insulinsekretion og forårsager derfor ikke hypoglykæmi.</w:t>
      </w:r>
    </w:p>
    <w:p w14:paraId="47E2056E" w14:textId="77777777" w:rsidR="00A7309F" w:rsidRPr="00A7309F" w:rsidRDefault="00A7309F" w:rsidP="00A7309F">
      <w:pPr>
        <w:tabs>
          <w:tab w:val="left" w:pos="851"/>
        </w:tabs>
        <w:ind w:left="851"/>
        <w:rPr>
          <w:sz w:val="24"/>
          <w:szCs w:val="24"/>
        </w:rPr>
      </w:pPr>
      <w:r w:rsidRPr="00A7309F">
        <w:rPr>
          <w:sz w:val="24"/>
          <w:szCs w:val="24"/>
        </w:rPr>
        <w:lastRenderedPageBreak/>
        <w:t>Metformin reducerer basal hyperinsulinemi, og i kombination med insulin reducerer insulinbehovet.</w:t>
      </w:r>
    </w:p>
    <w:p w14:paraId="44F7376F" w14:textId="77777777" w:rsidR="00A7309F" w:rsidRPr="00A7309F" w:rsidRDefault="00A7309F" w:rsidP="00A7309F">
      <w:pPr>
        <w:tabs>
          <w:tab w:val="left" w:pos="851"/>
        </w:tabs>
        <w:ind w:left="851"/>
        <w:rPr>
          <w:sz w:val="24"/>
          <w:szCs w:val="24"/>
        </w:rPr>
      </w:pPr>
    </w:p>
    <w:p w14:paraId="5B167B6F" w14:textId="77777777" w:rsidR="00A7309F" w:rsidRPr="00A7309F" w:rsidRDefault="00A7309F" w:rsidP="00A7309F">
      <w:pPr>
        <w:tabs>
          <w:tab w:val="left" w:pos="851"/>
        </w:tabs>
        <w:ind w:left="851"/>
        <w:rPr>
          <w:sz w:val="24"/>
          <w:szCs w:val="24"/>
        </w:rPr>
      </w:pPr>
      <w:r w:rsidRPr="00A7309F">
        <w:rPr>
          <w:sz w:val="24"/>
          <w:szCs w:val="24"/>
        </w:rPr>
        <w:t>Metformin udøver sin antihyperglykæmiske virkning via flere mekanismer:</w:t>
      </w:r>
    </w:p>
    <w:p w14:paraId="088A3090" w14:textId="77777777" w:rsidR="00A7309F" w:rsidRPr="00A7309F" w:rsidRDefault="00A7309F" w:rsidP="00A7309F">
      <w:pPr>
        <w:tabs>
          <w:tab w:val="left" w:pos="851"/>
        </w:tabs>
        <w:ind w:left="851"/>
        <w:rPr>
          <w:sz w:val="24"/>
          <w:szCs w:val="24"/>
        </w:rPr>
      </w:pPr>
      <w:r w:rsidRPr="00A7309F">
        <w:rPr>
          <w:sz w:val="24"/>
          <w:szCs w:val="24"/>
        </w:rPr>
        <w:t>Metformin reducerer hepatisk glucoseproduktion.</w:t>
      </w:r>
    </w:p>
    <w:p w14:paraId="3875B29E" w14:textId="77777777" w:rsidR="00A7309F" w:rsidRPr="00A7309F" w:rsidRDefault="00A7309F" w:rsidP="00A7309F">
      <w:pPr>
        <w:tabs>
          <w:tab w:val="left" w:pos="851"/>
        </w:tabs>
        <w:ind w:left="851"/>
        <w:rPr>
          <w:sz w:val="24"/>
          <w:szCs w:val="24"/>
        </w:rPr>
      </w:pPr>
      <w:r w:rsidRPr="00A7309F">
        <w:rPr>
          <w:sz w:val="24"/>
          <w:szCs w:val="24"/>
        </w:rPr>
        <w:t>Metformin faciliterer perifer glucoseoptagelse og -udnyttelse, til dels ved at øge insulinvirkningen.</w:t>
      </w:r>
    </w:p>
    <w:p w14:paraId="16523AFB" w14:textId="77777777" w:rsidR="00A7309F" w:rsidRPr="00A7309F" w:rsidRDefault="00A7309F" w:rsidP="00A7309F">
      <w:pPr>
        <w:tabs>
          <w:tab w:val="left" w:pos="851"/>
        </w:tabs>
        <w:ind w:left="851"/>
        <w:rPr>
          <w:sz w:val="24"/>
          <w:szCs w:val="24"/>
        </w:rPr>
      </w:pPr>
      <w:r w:rsidRPr="00A7309F">
        <w:rPr>
          <w:sz w:val="24"/>
          <w:szCs w:val="24"/>
        </w:rPr>
        <w:t>Metformin ændrer glucoseomsætningen i tarmen: Optagelsen fra kredsløbet øges, og optagelsen fra føden er nedsat. Yderligere mekanismer, der tilskrives tarmen, omfatter en stigning i frigivelse af glucagon-lignende peptid 1 (GLP-1) og et fald i galdesyreresorption. Metformin ændrer tarmens mikrobiom.</w:t>
      </w:r>
    </w:p>
    <w:p w14:paraId="6BAD7204" w14:textId="77777777" w:rsidR="00A7309F" w:rsidRPr="00A7309F" w:rsidRDefault="00A7309F" w:rsidP="00A7309F">
      <w:pPr>
        <w:tabs>
          <w:tab w:val="left" w:pos="851"/>
        </w:tabs>
        <w:ind w:left="851"/>
        <w:rPr>
          <w:sz w:val="24"/>
          <w:szCs w:val="24"/>
        </w:rPr>
      </w:pPr>
    </w:p>
    <w:p w14:paraId="77FC048D" w14:textId="77777777" w:rsidR="00A7309F" w:rsidRPr="00A7309F" w:rsidRDefault="00A7309F" w:rsidP="00A7309F">
      <w:pPr>
        <w:tabs>
          <w:tab w:val="left" w:pos="851"/>
        </w:tabs>
        <w:ind w:left="851"/>
        <w:rPr>
          <w:sz w:val="24"/>
          <w:szCs w:val="24"/>
        </w:rPr>
      </w:pPr>
      <w:r w:rsidRPr="00A7309F">
        <w:rPr>
          <w:sz w:val="24"/>
          <w:szCs w:val="24"/>
        </w:rPr>
        <w:t>Metformin kan forbedre lipidprofilen hos hyperlipidæmiske individer.</w:t>
      </w:r>
    </w:p>
    <w:p w14:paraId="1A47943B" w14:textId="77777777" w:rsidR="00A7309F" w:rsidRPr="00A7309F" w:rsidRDefault="00A7309F" w:rsidP="00A7309F">
      <w:pPr>
        <w:tabs>
          <w:tab w:val="left" w:pos="851"/>
        </w:tabs>
        <w:ind w:left="851"/>
        <w:rPr>
          <w:sz w:val="24"/>
          <w:szCs w:val="24"/>
        </w:rPr>
      </w:pPr>
    </w:p>
    <w:p w14:paraId="470E4A6A" w14:textId="77777777" w:rsidR="00A7309F" w:rsidRPr="00A7309F" w:rsidRDefault="00A7309F" w:rsidP="00A7309F">
      <w:pPr>
        <w:tabs>
          <w:tab w:val="left" w:pos="851"/>
        </w:tabs>
        <w:ind w:left="851"/>
        <w:rPr>
          <w:sz w:val="24"/>
          <w:szCs w:val="24"/>
        </w:rPr>
      </w:pPr>
      <w:r w:rsidRPr="00A7309F">
        <w:rPr>
          <w:sz w:val="24"/>
          <w:szCs w:val="24"/>
        </w:rPr>
        <w:t>I kliniske studier var brug af metformin forbundet med enten en stabil kropsvægt eller et beskedent vægttab.</w:t>
      </w:r>
    </w:p>
    <w:p w14:paraId="0A499A14" w14:textId="77777777" w:rsidR="00A7309F" w:rsidRPr="00A7309F" w:rsidRDefault="00A7309F" w:rsidP="00A7309F">
      <w:pPr>
        <w:tabs>
          <w:tab w:val="left" w:pos="851"/>
        </w:tabs>
        <w:ind w:left="851"/>
        <w:rPr>
          <w:sz w:val="24"/>
          <w:szCs w:val="24"/>
        </w:rPr>
      </w:pPr>
    </w:p>
    <w:p w14:paraId="44A8B560" w14:textId="77777777" w:rsidR="00A7309F" w:rsidRPr="00A7309F" w:rsidRDefault="00A7309F" w:rsidP="00A7309F">
      <w:pPr>
        <w:tabs>
          <w:tab w:val="left" w:pos="851"/>
        </w:tabs>
        <w:ind w:left="851"/>
        <w:rPr>
          <w:sz w:val="24"/>
          <w:szCs w:val="24"/>
        </w:rPr>
      </w:pPr>
      <w:r w:rsidRPr="00A7309F">
        <w:rPr>
          <w:sz w:val="24"/>
          <w:szCs w:val="24"/>
        </w:rPr>
        <w:t>Metformin er en adenosin monophosphat-protein-kinase (AMPK) aktivator og øger transportkapaciteten af alle typer membran glucose transportøre (GLUT'er).</w:t>
      </w:r>
    </w:p>
    <w:p w14:paraId="174301FD" w14:textId="77777777" w:rsidR="00A7309F" w:rsidRPr="00A7309F" w:rsidRDefault="00A7309F" w:rsidP="00A7309F">
      <w:pPr>
        <w:tabs>
          <w:tab w:val="left" w:pos="851"/>
        </w:tabs>
        <w:ind w:left="851"/>
        <w:rPr>
          <w:sz w:val="24"/>
          <w:szCs w:val="24"/>
          <w:u w:val="single"/>
        </w:rPr>
      </w:pPr>
    </w:p>
    <w:p w14:paraId="00AFFFC9" w14:textId="77777777" w:rsidR="00A7309F" w:rsidRPr="00A7309F" w:rsidRDefault="00A7309F" w:rsidP="00A7309F">
      <w:pPr>
        <w:tabs>
          <w:tab w:val="left" w:pos="851"/>
        </w:tabs>
        <w:ind w:left="851"/>
        <w:rPr>
          <w:sz w:val="24"/>
          <w:szCs w:val="24"/>
          <w:u w:val="single"/>
        </w:rPr>
      </w:pPr>
      <w:r w:rsidRPr="00A7309F">
        <w:rPr>
          <w:sz w:val="24"/>
          <w:szCs w:val="24"/>
          <w:u w:val="single"/>
        </w:rPr>
        <w:t>Klinisk effekt</w:t>
      </w:r>
    </w:p>
    <w:p w14:paraId="7AF47052" w14:textId="77777777" w:rsidR="00A7309F" w:rsidRPr="00A7309F" w:rsidRDefault="00A7309F" w:rsidP="00A7309F">
      <w:pPr>
        <w:tabs>
          <w:tab w:val="left" w:pos="851"/>
        </w:tabs>
        <w:ind w:left="851"/>
        <w:rPr>
          <w:sz w:val="24"/>
          <w:szCs w:val="24"/>
        </w:rPr>
      </w:pPr>
      <w:r w:rsidRPr="00A7309F">
        <w:rPr>
          <w:sz w:val="24"/>
          <w:szCs w:val="24"/>
        </w:rPr>
        <w:t>Det prospektive randomiserede studie (UKPDS) har fastslået den langsigtede fordel ved intensiv blodsukkerkontrol hos voksne patienter med type 2-diabetes.</w:t>
      </w:r>
    </w:p>
    <w:p w14:paraId="0E8603BD" w14:textId="77777777" w:rsidR="00A7309F" w:rsidRPr="00A7309F" w:rsidRDefault="00A7309F" w:rsidP="00A7309F">
      <w:pPr>
        <w:tabs>
          <w:tab w:val="left" w:pos="851"/>
        </w:tabs>
        <w:ind w:left="851"/>
        <w:rPr>
          <w:sz w:val="24"/>
          <w:szCs w:val="24"/>
        </w:rPr>
      </w:pPr>
      <w:r w:rsidRPr="00A7309F">
        <w:rPr>
          <w:sz w:val="24"/>
          <w:szCs w:val="24"/>
        </w:rPr>
        <w:t>Analyse af resultaterne for overvægtige patienter behandlet med metformin efter svigt af diæt alene viste:</w:t>
      </w:r>
    </w:p>
    <w:p w14:paraId="464A11BF" w14:textId="77777777" w:rsidR="00A7309F" w:rsidRPr="00A7309F" w:rsidRDefault="00A7309F" w:rsidP="00A7309F">
      <w:pPr>
        <w:numPr>
          <w:ilvl w:val="0"/>
          <w:numId w:val="6"/>
        </w:numPr>
        <w:tabs>
          <w:tab w:val="left" w:pos="851"/>
        </w:tabs>
        <w:ind w:left="1134" w:hanging="283"/>
        <w:rPr>
          <w:sz w:val="24"/>
          <w:szCs w:val="24"/>
        </w:rPr>
      </w:pPr>
      <w:r w:rsidRPr="00A7309F">
        <w:rPr>
          <w:sz w:val="24"/>
          <w:szCs w:val="24"/>
        </w:rPr>
        <w:t>en signifikant reduktion af den absolutte risiko for enhver diabetesrelateret komplikation i metformingruppen (29,8 hændelser/1.000 patientår) versus diæt alene (43,3 hændelser/1.000 patientår), p=0,0023 og i forhold til den kombinerede sulfonylurinstof og insulin monoterapigrupper (40,1 hændelser/1.000 patientår), p=0,0034</w:t>
      </w:r>
    </w:p>
    <w:p w14:paraId="2297AD0C" w14:textId="77777777" w:rsidR="00A7309F" w:rsidRPr="00A7309F" w:rsidRDefault="00A7309F" w:rsidP="00A7309F">
      <w:pPr>
        <w:numPr>
          <w:ilvl w:val="0"/>
          <w:numId w:val="6"/>
        </w:numPr>
        <w:tabs>
          <w:tab w:val="left" w:pos="851"/>
        </w:tabs>
        <w:ind w:left="1134" w:hanging="283"/>
        <w:rPr>
          <w:sz w:val="24"/>
          <w:szCs w:val="24"/>
        </w:rPr>
      </w:pPr>
      <w:r w:rsidRPr="00A7309F">
        <w:rPr>
          <w:sz w:val="24"/>
          <w:szCs w:val="24"/>
        </w:rPr>
        <w:t>en signifikant reduktion af den absolutte risiko for diabetesrelateret dødelighed: metformin 7,5 hændelser/1.000 patientår, diæt alene 12,7 hændelser/1.000 patientår, p=0,017</w:t>
      </w:r>
    </w:p>
    <w:p w14:paraId="2FD664FA" w14:textId="77777777" w:rsidR="00A7309F" w:rsidRPr="00A7309F" w:rsidRDefault="00A7309F" w:rsidP="00A7309F">
      <w:pPr>
        <w:numPr>
          <w:ilvl w:val="0"/>
          <w:numId w:val="6"/>
        </w:numPr>
        <w:tabs>
          <w:tab w:val="left" w:pos="851"/>
        </w:tabs>
        <w:ind w:left="1134" w:hanging="283"/>
        <w:rPr>
          <w:sz w:val="24"/>
          <w:szCs w:val="24"/>
        </w:rPr>
      </w:pPr>
      <w:r w:rsidRPr="00A7309F">
        <w:rPr>
          <w:sz w:val="24"/>
          <w:szCs w:val="24"/>
        </w:rPr>
        <w:t>en signifikant reduktion af den absolutte risiko for samlet dødelighed: metformin 13,5 hændelser/1.000 patientår versus diæt alene 20,6 hændelser/1.000 patientår (p=0,011) og versus de kombinerede sulfonylurinstof- og insulinmonoterapigrupper 18,9 hændelser /1.000 patientår (p=0,021)</w:t>
      </w:r>
    </w:p>
    <w:p w14:paraId="62EF4D2F" w14:textId="128E68A5" w:rsidR="00A7309F" w:rsidRPr="00A7309F" w:rsidRDefault="00A7309F" w:rsidP="00D74BF1">
      <w:pPr>
        <w:numPr>
          <w:ilvl w:val="0"/>
          <w:numId w:val="6"/>
        </w:numPr>
        <w:tabs>
          <w:tab w:val="left" w:pos="851"/>
        </w:tabs>
        <w:ind w:left="1134" w:hanging="283"/>
        <w:rPr>
          <w:sz w:val="24"/>
          <w:szCs w:val="24"/>
        </w:rPr>
      </w:pPr>
      <w:r w:rsidRPr="00A7309F">
        <w:rPr>
          <w:sz w:val="24"/>
          <w:szCs w:val="24"/>
        </w:rPr>
        <w:t>en signifikant reduktion i den absolutte risiko for myokardieinfarkt: metformin 11 hændelser/1.000 patientår, diæt alene 18 hændelser/1.000 patientår (p=0,01)</w:t>
      </w:r>
    </w:p>
    <w:p w14:paraId="1170E8A2" w14:textId="77777777" w:rsidR="00A7309F" w:rsidRPr="00A7309F" w:rsidRDefault="00A7309F" w:rsidP="00A7309F">
      <w:pPr>
        <w:tabs>
          <w:tab w:val="left" w:pos="851"/>
        </w:tabs>
        <w:ind w:left="851"/>
        <w:rPr>
          <w:sz w:val="24"/>
          <w:szCs w:val="24"/>
        </w:rPr>
      </w:pPr>
    </w:p>
    <w:p w14:paraId="33993930" w14:textId="77777777" w:rsidR="00A7309F" w:rsidRPr="00A7309F" w:rsidRDefault="00A7309F" w:rsidP="00A7309F">
      <w:pPr>
        <w:tabs>
          <w:tab w:val="left" w:pos="851"/>
        </w:tabs>
        <w:ind w:left="851"/>
        <w:rPr>
          <w:sz w:val="24"/>
          <w:szCs w:val="24"/>
        </w:rPr>
      </w:pPr>
      <w:r w:rsidRPr="00A7309F">
        <w:rPr>
          <w:sz w:val="24"/>
          <w:szCs w:val="24"/>
        </w:rPr>
        <w:t>Der er ikke vist fordele med hensyn til klinisk resultat for metformin anvendt som andenvalgsbehandling i kombination med et sulfonylurinstof.</w:t>
      </w:r>
    </w:p>
    <w:p w14:paraId="1833B1F8" w14:textId="77777777" w:rsidR="00A7309F" w:rsidRPr="00A7309F" w:rsidRDefault="00A7309F" w:rsidP="00A7309F">
      <w:pPr>
        <w:tabs>
          <w:tab w:val="left" w:pos="851"/>
        </w:tabs>
        <w:ind w:left="851"/>
        <w:rPr>
          <w:sz w:val="24"/>
          <w:szCs w:val="24"/>
        </w:rPr>
      </w:pPr>
      <w:r w:rsidRPr="00A7309F">
        <w:rPr>
          <w:sz w:val="24"/>
          <w:szCs w:val="24"/>
        </w:rPr>
        <w:t>Ved type 1-diabetes er kombinationen af metformin og insulin blevet brugt til udvalgte patienter, men den kliniske fordel ved denne kombination er ikke formelt fastslået.</w:t>
      </w:r>
    </w:p>
    <w:p w14:paraId="123F2E2B" w14:textId="77777777" w:rsidR="00A7309F" w:rsidRPr="00A7309F" w:rsidRDefault="00A7309F" w:rsidP="00A7309F">
      <w:pPr>
        <w:tabs>
          <w:tab w:val="left" w:pos="851"/>
        </w:tabs>
        <w:ind w:left="851"/>
        <w:rPr>
          <w:sz w:val="24"/>
          <w:szCs w:val="24"/>
        </w:rPr>
      </w:pPr>
    </w:p>
    <w:p w14:paraId="1CDAEE81" w14:textId="77777777" w:rsidR="00A7309F" w:rsidRPr="00A7309F" w:rsidRDefault="00A7309F" w:rsidP="00A7309F">
      <w:pPr>
        <w:tabs>
          <w:tab w:val="left" w:pos="851"/>
        </w:tabs>
        <w:ind w:left="851"/>
        <w:rPr>
          <w:sz w:val="24"/>
          <w:szCs w:val="24"/>
          <w:u w:val="single"/>
          <w:lang w:val="fr-LU"/>
        </w:rPr>
      </w:pPr>
      <w:r w:rsidRPr="00A7309F">
        <w:rPr>
          <w:sz w:val="24"/>
          <w:szCs w:val="24"/>
          <w:u w:val="single"/>
          <w:lang w:val="fr-LU"/>
        </w:rPr>
        <w:t>Pædiatrisk population</w:t>
      </w:r>
    </w:p>
    <w:p w14:paraId="15FC9E43" w14:textId="77777777" w:rsidR="00A7309F" w:rsidRPr="00A7309F" w:rsidRDefault="00A7309F" w:rsidP="00A7309F">
      <w:pPr>
        <w:tabs>
          <w:tab w:val="left" w:pos="851"/>
        </w:tabs>
        <w:ind w:left="851"/>
        <w:rPr>
          <w:sz w:val="24"/>
          <w:szCs w:val="24"/>
          <w:lang w:val="fr-LU"/>
        </w:rPr>
      </w:pPr>
      <w:r w:rsidRPr="00A7309F">
        <w:rPr>
          <w:sz w:val="24"/>
          <w:szCs w:val="24"/>
          <w:lang w:val="fr-LU"/>
        </w:rPr>
        <w:t>Kontrollerede kliniske studier hos en begrænset pædiatrisk population i alderen 10-16 år, som blev behandlet gennem 1 år, viste et respons i glykæmisk kontrol, der ligner det, der ses hos voksne.</w:t>
      </w:r>
    </w:p>
    <w:p w14:paraId="6F916E6B" w14:textId="514D1186" w:rsidR="001923BA" w:rsidRDefault="001923BA">
      <w:pPr>
        <w:rPr>
          <w:sz w:val="24"/>
          <w:szCs w:val="24"/>
        </w:rPr>
      </w:pPr>
      <w:r>
        <w:rPr>
          <w:sz w:val="24"/>
          <w:szCs w:val="24"/>
        </w:rPr>
        <w:br w:type="page"/>
      </w:r>
    </w:p>
    <w:p w14:paraId="14A62C3B" w14:textId="77777777" w:rsidR="009260DE" w:rsidRPr="00C84483" w:rsidRDefault="009260DE" w:rsidP="009260DE">
      <w:pPr>
        <w:tabs>
          <w:tab w:val="left" w:pos="851"/>
        </w:tabs>
        <w:ind w:left="851"/>
        <w:rPr>
          <w:sz w:val="24"/>
          <w:szCs w:val="24"/>
        </w:rPr>
      </w:pPr>
    </w:p>
    <w:p w14:paraId="394603B8"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18EF8A54" w14:textId="77777777" w:rsidR="001923BA" w:rsidRPr="001923BA" w:rsidRDefault="001923BA" w:rsidP="001923BA">
      <w:pPr>
        <w:tabs>
          <w:tab w:val="left" w:pos="851"/>
        </w:tabs>
        <w:ind w:left="851"/>
        <w:rPr>
          <w:b/>
          <w:sz w:val="24"/>
          <w:szCs w:val="24"/>
        </w:rPr>
      </w:pPr>
    </w:p>
    <w:p w14:paraId="389A6A7E" w14:textId="77777777" w:rsidR="001923BA" w:rsidRPr="001923BA" w:rsidRDefault="001923BA" w:rsidP="001923BA">
      <w:pPr>
        <w:tabs>
          <w:tab w:val="left" w:pos="851"/>
        </w:tabs>
        <w:ind w:left="851"/>
        <w:rPr>
          <w:sz w:val="24"/>
          <w:szCs w:val="24"/>
          <w:u w:val="single"/>
        </w:rPr>
      </w:pPr>
      <w:r w:rsidRPr="001923BA">
        <w:rPr>
          <w:sz w:val="24"/>
          <w:szCs w:val="24"/>
          <w:u w:val="single"/>
        </w:rPr>
        <w:t>Absorption</w:t>
      </w:r>
    </w:p>
    <w:p w14:paraId="16F44389" w14:textId="77777777" w:rsidR="001923BA" w:rsidRPr="001923BA" w:rsidRDefault="001923BA" w:rsidP="001923BA">
      <w:pPr>
        <w:tabs>
          <w:tab w:val="left" w:pos="851"/>
        </w:tabs>
        <w:ind w:left="851"/>
        <w:rPr>
          <w:sz w:val="24"/>
          <w:szCs w:val="24"/>
        </w:rPr>
      </w:pPr>
      <w:r w:rsidRPr="001923BA">
        <w:rPr>
          <w:sz w:val="24"/>
          <w:szCs w:val="24"/>
        </w:rPr>
        <w:t>Efter en oral dosis metforminhydrochloridtablet nås maksimal plasmakoncentration (C</w:t>
      </w:r>
      <w:r w:rsidRPr="001923BA">
        <w:rPr>
          <w:sz w:val="24"/>
          <w:szCs w:val="24"/>
          <w:vertAlign w:val="subscript"/>
        </w:rPr>
        <w:t>max</w:t>
      </w:r>
      <w:r w:rsidRPr="001923BA">
        <w:rPr>
          <w:sz w:val="24"/>
          <w:szCs w:val="24"/>
        </w:rPr>
        <w:t>) efter ca. 2,5 timer (t</w:t>
      </w:r>
      <w:r w:rsidRPr="001923BA">
        <w:rPr>
          <w:sz w:val="24"/>
          <w:szCs w:val="24"/>
          <w:vertAlign w:val="subscript"/>
        </w:rPr>
        <w:t>max</w:t>
      </w:r>
      <w:r w:rsidRPr="001923BA">
        <w:rPr>
          <w:sz w:val="24"/>
          <w:szCs w:val="24"/>
        </w:rPr>
        <w:t>). Den absolutte biotilgængelighed af en 500 mg eller 850 mg metforminhydrochloridtablet er ca. 50-60 % hos raske forsøgspersoner. Efter en oral dosis var den ikke-absorberede fraktion genfundet i fæces 20-30 %.</w:t>
      </w:r>
    </w:p>
    <w:p w14:paraId="33CF977E" w14:textId="77777777" w:rsidR="001923BA" w:rsidRPr="001923BA" w:rsidRDefault="001923BA" w:rsidP="001923BA">
      <w:pPr>
        <w:tabs>
          <w:tab w:val="left" w:pos="851"/>
        </w:tabs>
        <w:ind w:left="851"/>
        <w:rPr>
          <w:sz w:val="24"/>
          <w:szCs w:val="24"/>
        </w:rPr>
      </w:pPr>
      <w:r w:rsidRPr="001923BA">
        <w:rPr>
          <w:sz w:val="24"/>
          <w:szCs w:val="24"/>
        </w:rPr>
        <w:t xml:space="preserve">Efter oral administration udviser </w:t>
      </w:r>
      <w:r w:rsidRPr="001923BA">
        <w:rPr>
          <w:sz w:val="24"/>
          <w:szCs w:val="24"/>
          <w:lang w:val="fr-LU"/>
        </w:rPr>
        <w:t xml:space="preserve">metforminabsorptionen mætningskinetik </w:t>
      </w:r>
      <w:r w:rsidRPr="001923BA">
        <w:rPr>
          <w:sz w:val="24"/>
          <w:szCs w:val="24"/>
        </w:rPr>
        <w:t>og er ufuldstændig. Det antages, at farmakokinetikken af metforminabsorption er non-lineær.</w:t>
      </w:r>
    </w:p>
    <w:p w14:paraId="3DF38382" w14:textId="77777777" w:rsidR="001923BA" w:rsidRPr="001923BA" w:rsidRDefault="001923BA" w:rsidP="001923BA">
      <w:pPr>
        <w:tabs>
          <w:tab w:val="left" w:pos="851"/>
        </w:tabs>
        <w:ind w:left="851"/>
        <w:rPr>
          <w:sz w:val="24"/>
          <w:szCs w:val="24"/>
        </w:rPr>
      </w:pPr>
      <w:r w:rsidRPr="001923BA">
        <w:rPr>
          <w:sz w:val="24"/>
          <w:szCs w:val="24"/>
        </w:rPr>
        <w:t>Ved de anbefalede metformindoser og doseringsskemaer nås steady state plasmakoncentrationer inden for 24 til 48 timer og er generelt mindre end 1 mikrogram/ml. I kontrollerede kliniske studier oversteg maksimale metforminplasmaniveauer (C</w:t>
      </w:r>
      <w:r w:rsidRPr="001923BA">
        <w:rPr>
          <w:sz w:val="24"/>
          <w:szCs w:val="24"/>
          <w:vertAlign w:val="subscript"/>
        </w:rPr>
        <w:t>max</w:t>
      </w:r>
      <w:r w:rsidRPr="001923BA">
        <w:rPr>
          <w:sz w:val="24"/>
          <w:szCs w:val="24"/>
        </w:rPr>
        <w:t>) ikke 5 mikrogram/ml, selv ved maksimale doser.</w:t>
      </w:r>
    </w:p>
    <w:p w14:paraId="4208D7AF" w14:textId="77777777" w:rsidR="001923BA" w:rsidRPr="001923BA" w:rsidRDefault="001923BA" w:rsidP="001923BA">
      <w:pPr>
        <w:tabs>
          <w:tab w:val="left" w:pos="851"/>
        </w:tabs>
        <w:ind w:left="851"/>
        <w:rPr>
          <w:sz w:val="24"/>
          <w:szCs w:val="24"/>
        </w:rPr>
      </w:pPr>
      <w:r w:rsidRPr="001923BA">
        <w:rPr>
          <w:sz w:val="24"/>
          <w:szCs w:val="24"/>
          <w:lang w:val="fr-LU"/>
        </w:rPr>
        <w:t xml:space="preserve">Absorptionen af metformin nedsættes og forsinkes lidt i forbindelse med fødeindtagelse. </w:t>
      </w:r>
      <w:r w:rsidRPr="001923BA">
        <w:rPr>
          <w:sz w:val="24"/>
          <w:szCs w:val="24"/>
        </w:rPr>
        <w:t>Efter oral administration af en 850 mg tablet blev der observeret en 40 % lavere peak plasmakoncentration, et 25 % fald i AUC (areal under kurven) og en 35 minutters forlængelse af tiden til maksimal plasmakoncentration. Den kliniske relevans af disse fund er ukendt.</w:t>
      </w:r>
    </w:p>
    <w:p w14:paraId="68473D06" w14:textId="77777777" w:rsidR="001923BA" w:rsidRPr="001923BA" w:rsidRDefault="001923BA" w:rsidP="001923BA">
      <w:pPr>
        <w:tabs>
          <w:tab w:val="left" w:pos="851"/>
        </w:tabs>
        <w:ind w:left="851"/>
        <w:rPr>
          <w:sz w:val="24"/>
          <w:szCs w:val="24"/>
        </w:rPr>
      </w:pPr>
    </w:p>
    <w:p w14:paraId="0FFCF0F7" w14:textId="77777777" w:rsidR="001923BA" w:rsidRPr="001923BA" w:rsidRDefault="001923BA" w:rsidP="001923BA">
      <w:pPr>
        <w:tabs>
          <w:tab w:val="left" w:pos="851"/>
        </w:tabs>
        <w:ind w:left="851"/>
        <w:rPr>
          <w:sz w:val="24"/>
          <w:szCs w:val="24"/>
          <w:u w:val="single"/>
        </w:rPr>
      </w:pPr>
      <w:r w:rsidRPr="001923BA">
        <w:rPr>
          <w:sz w:val="24"/>
          <w:szCs w:val="24"/>
          <w:u w:val="single"/>
        </w:rPr>
        <w:t>Fordeling</w:t>
      </w:r>
    </w:p>
    <w:p w14:paraId="75B4E8C7" w14:textId="77777777" w:rsidR="001923BA" w:rsidRPr="001923BA" w:rsidRDefault="001923BA" w:rsidP="001923BA">
      <w:pPr>
        <w:tabs>
          <w:tab w:val="left" w:pos="851"/>
        </w:tabs>
        <w:ind w:left="851"/>
        <w:rPr>
          <w:sz w:val="24"/>
          <w:szCs w:val="24"/>
        </w:rPr>
      </w:pPr>
      <w:r w:rsidRPr="001923BA">
        <w:rPr>
          <w:sz w:val="24"/>
          <w:szCs w:val="24"/>
        </w:rPr>
        <w:t xml:space="preserve">Plasmaproteinbinding er ubetydelig. Metformin fordeler sig i erytrocytter. Blod peak er lavere end plasma peak og nås på omtrent samme tidspunkt. De røde blodlegemer repræsenterer højst sandsynligt et </w:t>
      </w:r>
      <w:r w:rsidRPr="001923BA">
        <w:rPr>
          <w:sz w:val="24"/>
          <w:szCs w:val="24"/>
          <w:lang w:val="fr-LU"/>
        </w:rPr>
        <w:t>sekundært fordelingsrum</w:t>
      </w:r>
      <w:r w:rsidRPr="001923BA">
        <w:rPr>
          <w:sz w:val="24"/>
          <w:szCs w:val="24"/>
        </w:rPr>
        <w:t>. Det gennemsnitlige fordelingsvolumen (V</w:t>
      </w:r>
      <w:r w:rsidRPr="001923BA">
        <w:rPr>
          <w:sz w:val="24"/>
          <w:szCs w:val="24"/>
          <w:vertAlign w:val="subscript"/>
        </w:rPr>
        <w:t>d</w:t>
      </w:r>
      <w:r w:rsidRPr="001923BA">
        <w:rPr>
          <w:sz w:val="24"/>
          <w:szCs w:val="24"/>
        </w:rPr>
        <w:t>) varierede mellem 63-276 l.</w:t>
      </w:r>
    </w:p>
    <w:p w14:paraId="38530B36" w14:textId="77777777" w:rsidR="001923BA" w:rsidRPr="001923BA" w:rsidRDefault="001923BA" w:rsidP="001923BA">
      <w:pPr>
        <w:tabs>
          <w:tab w:val="left" w:pos="851"/>
        </w:tabs>
        <w:ind w:left="851"/>
        <w:rPr>
          <w:sz w:val="24"/>
          <w:szCs w:val="24"/>
        </w:rPr>
      </w:pPr>
    </w:p>
    <w:p w14:paraId="64E1E644" w14:textId="77777777" w:rsidR="001923BA" w:rsidRPr="001923BA" w:rsidRDefault="001923BA" w:rsidP="001923BA">
      <w:pPr>
        <w:tabs>
          <w:tab w:val="left" w:pos="851"/>
        </w:tabs>
        <w:ind w:left="851"/>
        <w:rPr>
          <w:sz w:val="24"/>
          <w:szCs w:val="24"/>
          <w:u w:val="single"/>
        </w:rPr>
      </w:pPr>
      <w:r w:rsidRPr="001923BA">
        <w:rPr>
          <w:sz w:val="24"/>
          <w:szCs w:val="24"/>
          <w:u w:val="single"/>
        </w:rPr>
        <w:t>Metabolisme</w:t>
      </w:r>
    </w:p>
    <w:p w14:paraId="494B9BC4" w14:textId="77777777" w:rsidR="001923BA" w:rsidRPr="001923BA" w:rsidRDefault="001923BA" w:rsidP="001923BA">
      <w:pPr>
        <w:tabs>
          <w:tab w:val="left" w:pos="851"/>
        </w:tabs>
        <w:ind w:left="851"/>
        <w:rPr>
          <w:sz w:val="24"/>
          <w:szCs w:val="24"/>
        </w:rPr>
      </w:pPr>
      <w:r w:rsidRPr="001923BA">
        <w:rPr>
          <w:sz w:val="24"/>
          <w:szCs w:val="24"/>
        </w:rPr>
        <w:t>Metformin udskilles uændret i urinen. Ingen metabolitter er blevet identificeret hos mennesker.</w:t>
      </w:r>
    </w:p>
    <w:p w14:paraId="74A3789B" w14:textId="77777777" w:rsidR="001923BA" w:rsidRPr="001923BA" w:rsidRDefault="001923BA" w:rsidP="001923BA">
      <w:pPr>
        <w:tabs>
          <w:tab w:val="left" w:pos="851"/>
        </w:tabs>
        <w:ind w:left="851"/>
        <w:rPr>
          <w:sz w:val="24"/>
          <w:szCs w:val="24"/>
        </w:rPr>
      </w:pPr>
    </w:p>
    <w:p w14:paraId="3E56BA4F" w14:textId="77777777" w:rsidR="001923BA" w:rsidRPr="001923BA" w:rsidRDefault="001923BA" w:rsidP="001923BA">
      <w:pPr>
        <w:tabs>
          <w:tab w:val="left" w:pos="851"/>
        </w:tabs>
        <w:ind w:left="851"/>
        <w:rPr>
          <w:sz w:val="24"/>
          <w:szCs w:val="24"/>
          <w:u w:val="single"/>
        </w:rPr>
      </w:pPr>
      <w:r w:rsidRPr="001923BA">
        <w:rPr>
          <w:sz w:val="24"/>
          <w:szCs w:val="24"/>
          <w:u w:val="single"/>
        </w:rPr>
        <w:t>Elimination</w:t>
      </w:r>
    </w:p>
    <w:p w14:paraId="20364709" w14:textId="77777777" w:rsidR="001923BA" w:rsidRPr="001923BA" w:rsidRDefault="001923BA" w:rsidP="001923BA">
      <w:pPr>
        <w:tabs>
          <w:tab w:val="left" w:pos="851"/>
        </w:tabs>
        <w:ind w:left="851"/>
        <w:rPr>
          <w:sz w:val="24"/>
          <w:szCs w:val="24"/>
        </w:rPr>
      </w:pPr>
      <w:r w:rsidRPr="001923BA">
        <w:rPr>
          <w:sz w:val="24"/>
          <w:szCs w:val="24"/>
        </w:rPr>
        <w:t>Renal clearance af metformin er &gt; 400 ml/min, hvilket indikerer, at metformin elimineres ved glomerulær filtration og tubulær sekretion. Efter en oral dosis er den tilsyneladende terminale eliminationshalveringstid ca. 6,5 timer.</w:t>
      </w:r>
    </w:p>
    <w:p w14:paraId="5D4FF20B" w14:textId="77777777" w:rsidR="001923BA" w:rsidRPr="001923BA" w:rsidRDefault="001923BA" w:rsidP="001923BA">
      <w:pPr>
        <w:tabs>
          <w:tab w:val="left" w:pos="851"/>
        </w:tabs>
        <w:ind w:left="851"/>
        <w:rPr>
          <w:sz w:val="24"/>
          <w:szCs w:val="24"/>
        </w:rPr>
      </w:pPr>
      <w:r w:rsidRPr="001923BA">
        <w:rPr>
          <w:sz w:val="24"/>
          <w:szCs w:val="24"/>
        </w:rPr>
        <w:t>Når nyrefunktionen er nedsat, falder nyreclearance proportionalt med kreatinins clearance, og eliminationshalveringstiden forlænges således, hvilket fører til øgede niveauer af metformin i plasma.</w:t>
      </w:r>
    </w:p>
    <w:p w14:paraId="5F057EAA" w14:textId="77777777" w:rsidR="001923BA" w:rsidRPr="001923BA" w:rsidRDefault="001923BA" w:rsidP="001923BA">
      <w:pPr>
        <w:tabs>
          <w:tab w:val="left" w:pos="851"/>
        </w:tabs>
        <w:ind w:left="851"/>
        <w:rPr>
          <w:sz w:val="24"/>
          <w:szCs w:val="24"/>
        </w:rPr>
      </w:pPr>
    </w:p>
    <w:p w14:paraId="70D92475" w14:textId="77777777" w:rsidR="001923BA" w:rsidRPr="001923BA" w:rsidRDefault="001923BA" w:rsidP="001923BA">
      <w:pPr>
        <w:tabs>
          <w:tab w:val="left" w:pos="851"/>
        </w:tabs>
        <w:ind w:left="851"/>
        <w:rPr>
          <w:sz w:val="24"/>
          <w:szCs w:val="24"/>
          <w:u w:val="single"/>
        </w:rPr>
      </w:pPr>
      <w:r w:rsidRPr="001923BA">
        <w:rPr>
          <w:sz w:val="24"/>
          <w:szCs w:val="24"/>
          <w:u w:val="single"/>
        </w:rPr>
        <w:t>Karakteristika i specifikke grupper af patienter</w:t>
      </w:r>
    </w:p>
    <w:p w14:paraId="5558A180" w14:textId="77777777" w:rsidR="001923BA" w:rsidRPr="001923BA" w:rsidRDefault="001923BA" w:rsidP="001923BA">
      <w:pPr>
        <w:tabs>
          <w:tab w:val="left" w:pos="851"/>
        </w:tabs>
        <w:ind w:left="851"/>
        <w:rPr>
          <w:sz w:val="24"/>
          <w:szCs w:val="24"/>
        </w:rPr>
      </w:pPr>
    </w:p>
    <w:p w14:paraId="44389539" w14:textId="77777777" w:rsidR="001923BA" w:rsidRPr="001923BA" w:rsidRDefault="001923BA" w:rsidP="001923BA">
      <w:pPr>
        <w:tabs>
          <w:tab w:val="left" w:pos="851"/>
        </w:tabs>
        <w:ind w:left="851"/>
        <w:rPr>
          <w:i/>
          <w:iCs/>
          <w:sz w:val="24"/>
          <w:szCs w:val="24"/>
          <w:u w:val="single"/>
        </w:rPr>
      </w:pPr>
      <w:r w:rsidRPr="001923BA">
        <w:rPr>
          <w:i/>
          <w:iCs/>
          <w:sz w:val="24"/>
          <w:szCs w:val="24"/>
          <w:u w:val="single"/>
        </w:rPr>
        <w:t>Nedsat nyrefunktion</w:t>
      </w:r>
    </w:p>
    <w:p w14:paraId="49C190DC" w14:textId="77777777" w:rsidR="001923BA" w:rsidRPr="001923BA" w:rsidRDefault="001923BA" w:rsidP="001923BA">
      <w:pPr>
        <w:tabs>
          <w:tab w:val="left" w:pos="851"/>
        </w:tabs>
        <w:ind w:left="851"/>
        <w:rPr>
          <w:sz w:val="24"/>
          <w:szCs w:val="24"/>
        </w:rPr>
      </w:pPr>
      <w:r w:rsidRPr="001923BA">
        <w:rPr>
          <w:sz w:val="24"/>
          <w:szCs w:val="24"/>
        </w:rPr>
        <w:t>De tilgængelige data fra forsøgspersoner med moderat nyreinsufficiens er få, og der kunne ikke foretages et pålideligt estimat af den systemiske eksponering for metformin i denne undergruppe sammenlignet med forsøgspersoner med normal nyrefunktion. Derfor bør dosistilpasningen foretages ud fra overvejelser om klinisk virkning/tolerabilitet (se pkt. 4.2).</w:t>
      </w:r>
    </w:p>
    <w:p w14:paraId="21DF2A01" w14:textId="77777777" w:rsidR="001923BA" w:rsidRPr="001923BA" w:rsidRDefault="001923BA" w:rsidP="001923BA">
      <w:pPr>
        <w:tabs>
          <w:tab w:val="left" w:pos="851"/>
        </w:tabs>
        <w:ind w:left="851"/>
        <w:rPr>
          <w:sz w:val="24"/>
          <w:szCs w:val="24"/>
        </w:rPr>
      </w:pPr>
    </w:p>
    <w:p w14:paraId="095B394A" w14:textId="77777777" w:rsidR="001923BA" w:rsidRPr="001923BA" w:rsidRDefault="001923BA" w:rsidP="001923BA">
      <w:pPr>
        <w:tabs>
          <w:tab w:val="left" w:pos="851"/>
        </w:tabs>
        <w:ind w:left="851"/>
        <w:rPr>
          <w:i/>
          <w:iCs/>
          <w:sz w:val="24"/>
          <w:szCs w:val="24"/>
          <w:u w:val="single"/>
        </w:rPr>
      </w:pPr>
      <w:r w:rsidRPr="001923BA">
        <w:rPr>
          <w:i/>
          <w:iCs/>
          <w:sz w:val="24"/>
          <w:szCs w:val="24"/>
          <w:u w:val="single"/>
        </w:rPr>
        <w:t>Pædiatrisk population</w:t>
      </w:r>
    </w:p>
    <w:p w14:paraId="0BB185F5" w14:textId="77777777" w:rsidR="001923BA" w:rsidRPr="001923BA" w:rsidRDefault="001923BA" w:rsidP="001923BA">
      <w:pPr>
        <w:tabs>
          <w:tab w:val="left" w:pos="851"/>
        </w:tabs>
        <w:ind w:left="851"/>
        <w:rPr>
          <w:sz w:val="24"/>
          <w:szCs w:val="24"/>
        </w:rPr>
      </w:pPr>
      <w:r w:rsidRPr="001923BA">
        <w:rPr>
          <w:sz w:val="24"/>
          <w:szCs w:val="24"/>
        </w:rPr>
        <w:t>Enkeltdosisundersøgelse: Efter enkeltdoser af metforminhydrochlorid på 500 mg har pædiatriske patienter vist en farmakokinetisk profil svarende til den, der er observeret hos raske voksne.</w:t>
      </w:r>
    </w:p>
    <w:p w14:paraId="346CB2B7" w14:textId="77777777" w:rsidR="001923BA" w:rsidRPr="001923BA" w:rsidRDefault="001923BA" w:rsidP="001923BA">
      <w:pPr>
        <w:tabs>
          <w:tab w:val="left" w:pos="851"/>
        </w:tabs>
        <w:ind w:left="851"/>
        <w:rPr>
          <w:sz w:val="24"/>
          <w:szCs w:val="24"/>
        </w:rPr>
      </w:pPr>
      <w:r w:rsidRPr="001923BA">
        <w:rPr>
          <w:sz w:val="24"/>
          <w:szCs w:val="24"/>
        </w:rPr>
        <w:lastRenderedPageBreak/>
        <w:t>Studie med flere doser: Data er begrænset til ét studie. Efter gentagne doser på 500 mg to gange dagligt i 7 dage hos pædiatriske patienter blev den maksimale plasmakoncentration (C</w:t>
      </w:r>
      <w:r w:rsidRPr="001923BA">
        <w:rPr>
          <w:sz w:val="24"/>
          <w:szCs w:val="24"/>
          <w:vertAlign w:val="subscript"/>
        </w:rPr>
        <w:t>max</w:t>
      </w:r>
      <w:r w:rsidRPr="001923BA">
        <w:rPr>
          <w:sz w:val="24"/>
          <w:szCs w:val="24"/>
        </w:rPr>
        <w:t>) og systemisk eksponering (AUC</w:t>
      </w:r>
      <w:r w:rsidRPr="001923BA">
        <w:rPr>
          <w:sz w:val="24"/>
          <w:szCs w:val="24"/>
          <w:vertAlign w:val="subscript"/>
        </w:rPr>
        <w:t>0-t</w:t>
      </w:r>
      <w:r w:rsidRPr="001923BA">
        <w:rPr>
          <w:sz w:val="24"/>
          <w:szCs w:val="24"/>
        </w:rPr>
        <w:t>) reduceret med henholdsvis ca. 33 % og 40 % sammenlignet med diabetiske voksne, som fik gentagne doser på 500 mg to gange dagligt i 14 dage. Da dosis er individuelt titreret baseret på glykæmisk kontrol, er dette af begrænset klinisk relevans.</w:t>
      </w:r>
    </w:p>
    <w:p w14:paraId="4910DE7D" w14:textId="77777777" w:rsidR="001923BA" w:rsidRPr="001923BA" w:rsidRDefault="001923BA" w:rsidP="001923BA">
      <w:pPr>
        <w:tabs>
          <w:tab w:val="left" w:pos="851"/>
        </w:tabs>
        <w:ind w:left="851"/>
        <w:rPr>
          <w:sz w:val="24"/>
          <w:szCs w:val="24"/>
        </w:rPr>
      </w:pPr>
    </w:p>
    <w:p w14:paraId="7F3CE56E"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72E63F53" w14:textId="77777777" w:rsidR="002C481B" w:rsidRPr="002C481B" w:rsidRDefault="002C481B" w:rsidP="002C481B">
      <w:pPr>
        <w:tabs>
          <w:tab w:val="left" w:pos="851"/>
        </w:tabs>
        <w:ind w:left="851"/>
        <w:rPr>
          <w:sz w:val="24"/>
          <w:szCs w:val="24"/>
        </w:rPr>
      </w:pPr>
      <w:r w:rsidRPr="002C481B">
        <w:rPr>
          <w:sz w:val="24"/>
          <w:szCs w:val="24"/>
          <w:lang w:val="fr-LU"/>
        </w:rPr>
        <w:t xml:space="preserve">Non-kliniske data viser ingen særlig risiko for mennesker vurderet ud fra konventionelle studier af sikkerhed, farmakologi, toksicitet efter gentagne doser, genotoksicitet, karcinogenicitet samt reproduktionstoksicitet. </w:t>
      </w:r>
    </w:p>
    <w:p w14:paraId="0BCA1951" w14:textId="77777777" w:rsidR="009260DE" w:rsidRPr="00C84483" w:rsidRDefault="009260DE" w:rsidP="009260DE">
      <w:pPr>
        <w:tabs>
          <w:tab w:val="left" w:pos="851"/>
        </w:tabs>
        <w:ind w:left="851"/>
        <w:rPr>
          <w:sz w:val="24"/>
          <w:szCs w:val="24"/>
        </w:rPr>
      </w:pPr>
    </w:p>
    <w:p w14:paraId="6339ED53" w14:textId="77777777" w:rsidR="009260DE" w:rsidRPr="00C84483" w:rsidRDefault="009260DE" w:rsidP="009260DE">
      <w:pPr>
        <w:tabs>
          <w:tab w:val="left" w:pos="851"/>
        </w:tabs>
        <w:ind w:left="851"/>
        <w:rPr>
          <w:sz w:val="24"/>
          <w:szCs w:val="24"/>
        </w:rPr>
      </w:pPr>
    </w:p>
    <w:p w14:paraId="40526C22"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350B2C2B" w14:textId="77777777" w:rsidR="009260DE" w:rsidRPr="00BA09F1" w:rsidRDefault="009260DE" w:rsidP="009260DE">
      <w:pPr>
        <w:tabs>
          <w:tab w:val="left" w:pos="851"/>
        </w:tabs>
        <w:ind w:left="851"/>
        <w:rPr>
          <w:sz w:val="24"/>
          <w:szCs w:val="24"/>
        </w:rPr>
      </w:pPr>
    </w:p>
    <w:p w14:paraId="08AA42F8"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6E441BAE" w14:textId="77777777" w:rsidR="00391BFB" w:rsidRPr="00830B0B" w:rsidRDefault="00391BFB" w:rsidP="00391BFB">
      <w:pPr>
        <w:tabs>
          <w:tab w:val="left" w:pos="851"/>
        </w:tabs>
        <w:ind w:left="851"/>
        <w:rPr>
          <w:sz w:val="24"/>
          <w:szCs w:val="24"/>
        </w:rPr>
      </w:pPr>
      <w:r w:rsidRPr="00830B0B">
        <w:rPr>
          <w:sz w:val="24"/>
          <w:szCs w:val="24"/>
        </w:rPr>
        <w:t>Magnesiumstearat</w:t>
      </w:r>
    </w:p>
    <w:p w14:paraId="45E6D9DF" w14:textId="77777777" w:rsidR="00391BFB" w:rsidRPr="00830B0B" w:rsidRDefault="00391BFB" w:rsidP="00391BFB">
      <w:pPr>
        <w:tabs>
          <w:tab w:val="left" w:pos="851"/>
        </w:tabs>
        <w:ind w:left="851"/>
        <w:rPr>
          <w:sz w:val="24"/>
          <w:szCs w:val="24"/>
        </w:rPr>
      </w:pPr>
      <w:r w:rsidRPr="00830B0B">
        <w:rPr>
          <w:sz w:val="24"/>
          <w:szCs w:val="24"/>
        </w:rPr>
        <w:t>Povidon (E1201)</w:t>
      </w:r>
    </w:p>
    <w:p w14:paraId="44411CFF" w14:textId="77777777" w:rsidR="00391BFB" w:rsidRPr="00830B0B" w:rsidRDefault="00391BFB" w:rsidP="00391BFB">
      <w:pPr>
        <w:tabs>
          <w:tab w:val="left" w:pos="851"/>
        </w:tabs>
        <w:ind w:left="851"/>
        <w:rPr>
          <w:sz w:val="24"/>
          <w:szCs w:val="24"/>
        </w:rPr>
      </w:pPr>
    </w:p>
    <w:p w14:paraId="11024C70" w14:textId="3819ED32" w:rsidR="00391BFB" w:rsidRPr="00830B0B" w:rsidRDefault="00391BFB" w:rsidP="00391BFB">
      <w:pPr>
        <w:tabs>
          <w:tab w:val="left" w:pos="851"/>
        </w:tabs>
        <w:ind w:left="851"/>
        <w:rPr>
          <w:sz w:val="24"/>
          <w:szCs w:val="24"/>
          <w:u w:val="single"/>
        </w:rPr>
      </w:pPr>
      <w:r w:rsidRPr="00830B0B">
        <w:rPr>
          <w:sz w:val="24"/>
          <w:szCs w:val="24"/>
          <w:u w:val="single"/>
        </w:rPr>
        <w:t>Filmovertræk</w:t>
      </w:r>
    </w:p>
    <w:p w14:paraId="203B2A73" w14:textId="77777777" w:rsidR="00391BFB" w:rsidRPr="00830B0B" w:rsidRDefault="00391BFB" w:rsidP="00391BFB">
      <w:pPr>
        <w:tabs>
          <w:tab w:val="left" w:pos="851"/>
        </w:tabs>
        <w:ind w:left="851"/>
        <w:rPr>
          <w:sz w:val="24"/>
          <w:szCs w:val="24"/>
        </w:rPr>
      </w:pPr>
      <w:r w:rsidRPr="00830B0B">
        <w:rPr>
          <w:sz w:val="24"/>
          <w:szCs w:val="24"/>
        </w:rPr>
        <w:t>Hypromellose 2910 (E464)</w:t>
      </w:r>
    </w:p>
    <w:p w14:paraId="18D83560" w14:textId="77777777" w:rsidR="00391BFB" w:rsidRPr="00830B0B" w:rsidRDefault="00391BFB" w:rsidP="00391BFB">
      <w:pPr>
        <w:tabs>
          <w:tab w:val="left" w:pos="851"/>
        </w:tabs>
        <w:ind w:left="851"/>
        <w:rPr>
          <w:sz w:val="24"/>
          <w:szCs w:val="24"/>
        </w:rPr>
      </w:pPr>
      <w:r w:rsidRPr="00830B0B">
        <w:rPr>
          <w:sz w:val="24"/>
          <w:szCs w:val="24"/>
        </w:rPr>
        <w:t>Titandioxid (E171)</w:t>
      </w:r>
    </w:p>
    <w:p w14:paraId="3984752C" w14:textId="77777777" w:rsidR="00391BFB" w:rsidRPr="00830B0B" w:rsidRDefault="00391BFB" w:rsidP="00391BFB">
      <w:pPr>
        <w:tabs>
          <w:tab w:val="left" w:pos="851"/>
        </w:tabs>
        <w:ind w:left="851"/>
        <w:rPr>
          <w:sz w:val="24"/>
          <w:szCs w:val="24"/>
        </w:rPr>
      </w:pPr>
      <w:r w:rsidRPr="00830B0B">
        <w:rPr>
          <w:sz w:val="24"/>
          <w:szCs w:val="24"/>
        </w:rPr>
        <w:t>Macrogol 3350</w:t>
      </w:r>
    </w:p>
    <w:p w14:paraId="298FF5E6" w14:textId="77777777" w:rsidR="00391BFB" w:rsidRPr="00830B0B" w:rsidRDefault="00391BFB" w:rsidP="00391BFB">
      <w:pPr>
        <w:tabs>
          <w:tab w:val="left" w:pos="851"/>
        </w:tabs>
        <w:ind w:left="851"/>
        <w:rPr>
          <w:sz w:val="24"/>
          <w:szCs w:val="24"/>
        </w:rPr>
      </w:pPr>
    </w:p>
    <w:p w14:paraId="31B404BD"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017545ED" w14:textId="77777777" w:rsidR="00391BFB" w:rsidRPr="00391BFB" w:rsidRDefault="00391BFB" w:rsidP="00391BFB">
      <w:pPr>
        <w:tabs>
          <w:tab w:val="left" w:pos="851"/>
        </w:tabs>
        <w:ind w:left="851"/>
        <w:rPr>
          <w:sz w:val="24"/>
          <w:szCs w:val="24"/>
        </w:rPr>
      </w:pPr>
      <w:r w:rsidRPr="00391BFB">
        <w:rPr>
          <w:sz w:val="24"/>
          <w:szCs w:val="24"/>
        </w:rPr>
        <w:t>Ikke relevant.</w:t>
      </w:r>
    </w:p>
    <w:p w14:paraId="7FB716DB" w14:textId="77777777" w:rsidR="009260DE" w:rsidRPr="00C84483" w:rsidRDefault="009260DE" w:rsidP="009260DE">
      <w:pPr>
        <w:tabs>
          <w:tab w:val="left" w:pos="851"/>
        </w:tabs>
        <w:ind w:left="851"/>
        <w:rPr>
          <w:sz w:val="24"/>
          <w:szCs w:val="24"/>
        </w:rPr>
      </w:pPr>
    </w:p>
    <w:p w14:paraId="2DF4D981"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0CEA9969" w14:textId="27C4AB26" w:rsidR="00391BFB" w:rsidRPr="00391BFB" w:rsidRDefault="00391BFB" w:rsidP="00391BFB">
      <w:pPr>
        <w:tabs>
          <w:tab w:val="left" w:pos="851"/>
        </w:tabs>
        <w:ind w:left="851"/>
        <w:rPr>
          <w:rFonts w:eastAsia="MS Mincho"/>
          <w:noProof/>
          <w:sz w:val="24"/>
          <w:szCs w:val="24"/>
        </w:rPr>
      </w:pPr>
      <w:r w:rsidRPr="00391BFB">
        <w:rPr>
          <w:rFonts w:eastAsia="MS Mincho"/>
          <w:noProof/>
          <w:sz w:val="24"/>
          <w:szCs w:val="24"/>
        </w:rPr>
        <w:t>3 år.</w:t>
      </w:r>
    </w:p>
    <w:p w14:paraId="1F0C109C" w14:textId="77777777" w:rsidR="00391BFB" w:rsidRPr="00391BFB" w:rsidRDefault="00391BFB" w:rsidP="00391BFB">
      <w:pPr>
        <w:tabs>
          <w:tab w:val="left" w:pos="851"/>
        </w:tabs>
        <w:ind w:left="851"/>
        <w:rPr>
          <w:rFonts w:eastAsia="MS Mincho" w:hAnsi="MS Mincho"/>
          <w:noProof/>
          <w:sz w:val="24"/>
          <w:szCs w:val="24"/>
          <w:lang w:val="fr-LU"/>
        </w:rPr>
      </w:pPr>
      <w:r w:rsidRPr="00391BFB">
        <w:rPr>
          <w:rFonts w:eastAsia="MS Mincho" w:hAnsi="MS Mincho"/>
          <w:noProof/>
          <w:sz w:val="24"/>
          <w:szCs w:val="24"/>
        </w:rPr>
        <w:t>HDPE beholder: efter f</w:t>
      </w:r>
      <w:r w:rsidRPr="00391BFB">
        <w:rPr>
          <w:rFonts w:eastAsia="MS Mincho" w:hAnsi="MS Mincho"/>
          <w:noProof/>
          <w:sz w:val="24"/>
          <w:szCs w:val="24"/>
        </w:rPr>
        <w:t>ø</w:t>
      </w:r>
      <w:r w:rsidRPr="00391BFB">
        <w:rPr>
          <w:rFonts w:eastAsia="MS Mincho" w:hAnsi="MS Mincho"/>
          <w:noProof/>
          <w:sz w:val="24"/>
          <w:szCs w:val="24"/>
        </w:rPr>
        <w:t xml:space="preserve">rste </w:t>
      </w:r>
      <w:r w:rsidRPr="00391BFB">
        <w:rPr>
          <w:rFonts w:eastAsia="MS Mincho" w:hAnsi="MS Mincho"/>
          <w:noProof/>
          <w:sz w:val="24"/>
          <w:szCs w:val="24"/>
        </w:rPr>
        <w:t>å</w:t>
      </w:r>
      <w:r w:rsidRPr="00391BFB">
        <w:rPr>
          <w:rFonts w:eastAsia="MS Mincho" w:hAnsi="MS Mincho"/>
          <w:noProof/>
          <w:sz w:val="24"/>
          <w:szCs w:val="24"/>
        </w:rPr>
        <w:t>bning, kan beholderen bruges inden for 90 dage</w:t>
      </w:r>
    </w:p>
    <w:p w14:paraId="79B049A2" w14:textId="77777777" w:rsidR="009260DE" w:rsidRPr="00391BFB" w:rsidRDefault="009260DE" w:rsidP="009260DE">
      <w:pPr>
        <w:tabs>
          <w:tab w:val="left" w:pos="851"/>
        </w:tabs>
        <w:ind w:left="851"/>
        <w:rPr>
          <w:sz w:val="24"/>
          <w:szCs w:val="24"/>
          <w:lang w:val="fr-LU"/>
        </w:rPr>
      </w:pPr>
    </w:p>
    <w:p w14:paraId="7B05C6A8"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1AE4A5D7" w14:textId="77777777" w:rsidR="00356DC4" w:rsidRPr="00356DC4" w:rsidRDefault="00356DC4" w:rsidP="00356DC4">
      <w:pPr>
        <w:tabs>
          <w:tab w:val="left" w:pos="851"/>
        </w:tabs>
        <w:ind w:left="851"/>
        <w:rPr>
          <w:sz w:val="24"/>
          <w:szCs w:val="24"/>
        </w:rPr>
      </w:pPr>
      <w:r w:rsidRPr="00356DC4">
        <w:rPr>
          <w:sz w:val="24"/>
          <w:szCs w:val="24"/>
        </w:rPr>
        <w:t>Dette lægemiddel kræver ingen særlige opbevaringsbetingelser.</w:t>
      </w:r>
    </w:p>
    <w:p w14:paraId="35AF31AF" w14:textId="77777777" w:rsidR="009260DE" w:rsidRPr="00C84483" w:rsidRDefault="009260DE" w:rsidP="009260DE">
      <w:pPr>
        <w:tabs>
          <w:tab w:val="left" w:pos="851"/>
        </w:tabs>
        <w:ind w:left="851"/>
        <w:rPr>
          <w:sz w:val="24"/>
          <w:szCs w:val="24"/>
        </w:rPr>
      </w:pPr>
    </w:p>
    <w:p w14:paraId="1D11E30A"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1FFFA8E7" w14:textId="77777777" w:rsidR="00356DC4" w:rsidRPr="00356DC4" w:rsidRDefault="00356DC4" w:rsidP="00356DC4">
      <w:pPr>
        <w:tabs>
          <w:tab w:val="left" w:pos="851"/>
        </w:tabs>
        <w:ind w:left="851"/>
        <w:rPr>
          <w:sz w:val="24"/>
          <w:szCs w:val="24"/>
        </w:rPr>
      </w:pPr>
    </w:p>
    <w:p w14:paraId="2DFF5D4B" w14:textId="77777777" w:rsidR="00356DC4" w:rsidRPr="00356DC4" w:rsidRDefault="00356DC4" w:rsidP="00356DC4">
      <w:pPr>
        <w:tabs>
          <w:tab w:val="left" w:pos="851"/>
        </w:tabs>
        <w:ind w:left="851"/>
        <w:rPr>
          <w:sz w:val="24"/>
          <w:szCs w:val="24"/>
          <w:u w:val="single"/>
        </w:rPr>
      </w:pPr>
      <w:r w:rsidRPr="00356DC4">
        <w:rPr>
          <w:sz w:val="24"/>
          <w:szCs w:val="24"/>
          <w:u w:val="single"/>
        </w:rPr>
        <w:t>Forminet 500 mg filmovertrukne tabletter</w:t>
      </w:r>
    </w:p>
    <w:p w14:paraId="38AAC2A4" w14:textId="77777777" w:rsidR="00356DC4" w:rsidRPr="00356DC4" w:rsidRDefault="00356DC4" w:rsidP="00356DC4">
      <w:pPr>
        <w:tabs>
          <w:tab w:val="left" w:pos="851"/>
        </w:tabs>
        <w:ind w:left="851"/>
        <w:rPr>
          <w:sz w:val="24"/>
          <w:szCs w:val="24"/>
        </w:rPr>
      </w:pPr>
      <w:r w:rsidRPr="00356DC4">
        <w:rPr>
          <w:sz w:val="24"/>
          <w:szCs w:val="24"/>
        </w:rPr>
        <w:t>Blister (PVC/AL) med 18, 20, 28, 30, 50, 60, 84, 90, 120 og 180 filmovertrukne tabletter</w:t>
      </w:r>
    </w:p>
    <w:p w14:paraId="09F9D07E" w14:textId="77777777" w:rsidR="00356DC4" w:rsidRPr="00356DC4" w:rsidRDefault="00356DC4" w:rsidP="00356DC4">
      <w:pPr>
        <w:tabs>
          <w:tab w:val="left" w:pos="851"/>
        </w:tabs>
        <w:ind w:left="851"/>
        <w:rPr>
          <w:sz w:val="24"/>
          <w:szCs w:val="24"/>
        </w:rPr>
      </w:pPr>
    </w:p>
    <w:p w14:paraId="4FC02D1E" w14:textId="77777777" w:rsidR="00356DC4" w:rsidRPr="00356DC4" w:rsidRDefault="00356DC4" w:rsidP="00356DC4">
      <w:pPr>
        <w:tabs>
          <w:tab w:val="left" w:pos="851"/>
        </w:tabs>
        <w:ind w:left="851"/>
        <w:rPr>
          <w:sz w:val="24"/>
          <w:szCs w:val="24"/>
        </w:rPr>
      </w:pPr>
      <w:r w:rsidRPr="00356DC4">
        <w:rPr>
          <w:sz w:val="24"/>
          <w:szCs w:val="24"/>
        </w:rPr>
        <w:t>HDPE-flasker med børnesikret lukning af polypropylen, hvidt ikke gennemsigtigt låg, gennemsigtigt inderlåg og foring indeholdende 100 og 500 filmovertrukne tabletter</w:t>
      </w:r>
    </w:p>
    <w:p w14:paraId="1A8FAC58" w14:textId="77777777" w:rsidR="00356DC4" w:rsidRPr="00356DC4" w:rsidRDefault="00356DC4" w:rsidP="00356DC4">
      <w:pPr>
        <w:tabs>
          <w:tab w:val="left" w:pos="851"/>
        </w:tabs>
        <w:ind w:left="851"/>
        <w:rPr>
          <w:sz w:val="24"/>
          <w:szCs w:val="24"/>
        </w:rPr>
      </w:pPr>
      <w:r w:rsidRPr="00356DC4">
        <w:rPr>
          <w:sz w:val="24"/>
          <w:szCs w:val="24"/>
        </w:rPr>
        <w:t>HDPE-flasker med polypropylen skruelukning, hvid ikke gennemsigtigt låg, gennemsigtigt inderlåg og foring indeholdende 500 filmovertrukne tabletter</w:t>
      </w:r>
    </w:p>
    <w:p w14:paraId="14D37AA5" w14:textId="77777777" w:rsidR="00356DC4" w:rsidRPr="00356DC4" w:rsidRDefault="00356DC4" w:rsidP="00356DC4">
      <w:pPr>
        <w:tabs>
          <w:tab w:val="left" w:pos="851"/>
        </w:tabs>
        <w:ind w:left="851"/>
        <w:rPr>
          <w:sz w:val="24"/>
          <w:szCs w:val="24"/>
        </w:rPr>
      </w:pPr>
    </w:p>
    <w:p w14:paraId="1014DB25" w14:textId="77777777" w:rsidR="00356DC4" w:rsidRPr="00356DC4" w:rsidRDefault="00356DC4" w:rsidP="00356DC4">
      <w:pPr>
        <w:tabs>
          <w:tab w:val="left" w:pos="851"/>
        </w:tabs>
        <w:ind w:left="851"/>
        <w:rPr>
          <w:sz w:val="24"/>
          <w:szCs w:val="24"/>
          <w:u w:val="single"/>
        </w:rPr>
      </w:pPr>
      <w:r w:rsidRPr="00356DC4">
        <w:rPr>
          <w:sz w:val="24"/>
          <w:szCs w:val="24"/>
          <w:u w:val="single"/>
        </w:rPr>
        <w:t>Forminet 850 mg filmovertrukne tabletter</w:t>
      </w:r>
    </w:p>
    <w:p w14:paraId="0B27CDB2" w14:textId="77777777" w:rsidR="00356DC4" w:rsidRPr="00356DC4" w:rsidRDefault="00356DC4" w:rsidP="00356DC4">
      <w:pPr>
        <w:tabs>
          <w:tab w:val="left" w:pos="851"/>
        </w:tabs>
        <w:ind w:left="851"/>
        <w:rPr>
          <w:sz w:val="24"/>
          <w:szCs w:val="24"/>
        </w:rPr>
      </w:pPr>
      <w:r w:rsidRPr="00356DC4">
        <w:rPr>
          <w:sz w:val="24"/>
          <w:szCs w:val="24"/>
        </w:rPr>
        <w:t>Blister (PVC/AL) med 18, 30, 40, 50, 56, 60, 90, 100, 120 og 180 filmovertrukne tabletter</w:t>
      </w:r>
    </w:p>
    <w:p w14:paraId="110AE26F" w14:textId="77777777" w:rsidR="00356DC4" w:rsidRPr="00356DC4" w:rsidRDefault="00356DC4" w:rsidP="00356DC4">
      <w:pPr>
        <w:tabs>
          <w:tab w:val="left" w:pos="851"/>
        </w:tabs>
        <w:ind w:left="851"/>
        <w:rPr>
          <w:sz w:val="24"/>
          <w:szCs w:val="24"/>
        </w:rPr>
      </w:pPr>
    </w:p>
    <w:p w14:paraId="699D7BB6" w14:textId="77777777" w:rsidR="00356DC4" w:rsidRPr="00356DC4" w:rsidRDefault="00356DC4" w:rsidP="00356DC4">
      <w:pPr>
        <w:tabs>
          <w:tab w:val="left" w:pos="851"/>
        </w:tabs>
        <w:ind w:left="851"/>
        <w:rPr>
          <w:sz w:val="24"/>
          <w:szCs w:val="24"/>
        </w:rPr>
      </w:pPr>
      <w:r w:rsidRPr="00356DC4">
        <w:rPr>
          <w:sz w:val="24"/>
          <w:szCs w:val="24"/>
        </w:rPr>
        <w:t>HDPE-flasker med børnesikret lukning af polypropylen, hvid ikke gennemsigtigt hætte, gennemsigtig inderlåg og foring indeholdende 100 filmovertrukne tabletter</w:t>
      </w:r>
    </w:p>
    <w:p w14:paraId="599FE895" w14:textId="77777777" w:rsidR="00356DC4" w:rsidRPr="00356DC4" w:rsidRDefault="00356DC4" w:rsidP="00356DC4">
      <w:pPr>
        <w:tabs>
          <w:tab w:val="left" w:pos="851"/>
        </w:tabs>
        <w:ind w:left="851"/>
        <w:rPr>
          <w:sz w:val="24"/>
          <w:szCs w:val="24"/>
        </w:rPr>
      </w:pPr>
      <w:r w:rsidRPr="00356DC4">
        <w:rPr>
          <w:sz w:val="24"/>
          <w:szCs w:val="24"/>
        </w:rPr>
        <w:t>HDPE-flasker med polypropylen skruelukning, hvid ikke gennemsigtigt låg, gennemsigtig inderlåg og foring indeholdende 500 filmovertrukne tabletter</w:t>
      </w:r>
    </w:p>
    <w:p w14:paraId="66AA7272" w14:textId="77777777" w:rsidR="00356DC4" w:rsidRPr="00356DC4" w:rsidRDefault="00356DC4" w:rsidP="00356DC4">
      <w:pPr>
        <w:tabs>
          <w:tab w:val="left" w:pos="851"/>
        </w:tabs>
        <w:ind w:left="851"/>
        <w:rPr>
          <w:sz w:val="24"/>
          <w:szCs w:val="24"/>
        </w:rPr>
      </w:pPr>
    </w:p>
    <w:p w14:paraId="33F562D8" w14:textId="77777777" w:rsidR="00356DC4" w:rsidRPr="00356DC4" w:rsidRDefault="00356DC4" w:rsidP="00356DC4">
      <w:pPr>
        <w:tabs>
          <w:tab w:val="left" w:pos="851"/>
        </w:tabs>
        <w:ind w:left="851"/>
        <w:rPr>
          <w:sz w:val="24"/>
          <w:szCs w:val="24"/>
          <w:u w:val="single"/>
        </w:rPr>
      </w:pPr>
      <w:r w:rsidRPr="00356DC4">
        <w:rPr>
          <w:sz w:val="24"/>
          <w:szCs w:val="24"/>
          <w:u w:val="single"/>
        </w:rPr>
        <w:t>Forminet 1 000 mg filmovertrukne tabletter</w:t>
      </w:r>
    </w:p>
    <w:p w14:paraId="67DDD3BB" w14:textId="77777777" w:rsidR="00356DC4" w:rsidRPr="00356DC4" w:rsidRDefault="00356DC4" w:rsidP="00356DC4">
      <w:pPr>
        <w:tabs>
          <w:tab w:val="left" w:pos="851"/>
        </w:tabs>
        <w:ind w:left="851"/>
        <w:rPr>
          <w:sz w:val="24"/>
          <w:szCs w:val="24"/>
        </w:rPr>
      </w:pPr>
      <w:r w:rsidRPr="00356DC4">
        <w:rPr>
          <w:sz w:val="24"/>
          <w:szCs w:val="24"/>
        </w:rPr>
        <w:t>Blister (PVC/AL) med 18, 30, 50, 60, 90, 120, 180 og 1500 filmovertrukne tabletter</w:t>
      </w:r>
    </w:p>
    <w:p w14:paraId="44108FEA" w14:textId="77777777" w:rsidR="00356DC4" w:rsidRPr="00356DC4" w:rsidRDefault="00356DC4" w:rsidP="00356DC4">
      <w:pPr>
        <w:tabs>
          <w:tab w:val="left" w:pos="851"/>
        </w:tabs>
        <w:ind w:left="851"/>
        <w:rPr>
          <w:sz w:val="24"/>
          <w:szCs w:val="24"/>
        </w:rPr>
      </w:pPr>
    </w:p>
    <w:p w14:paraId="4A6DDBD3" w14:textId="77777777" w:rsidR="00356DC4" w:rsidRPr="00356DC4" w:rsidRDefault="00356DC4" w:rsidP="00356DC4">
      <w:pPr>
        <w:tabs>
          <w:tab w:val="left" w:pos="851"/>
        </w:tabs>
        <w:ind w:left="851"/>
        <w:rPr>
          <w:sz w:val="24"/>
          <w:szCs w:val="24"/>
        </w:rPr>
      </w:pPr>
      <w:r w:rsidRPr="00356DC4">
        <w:rPr>
          <w:sz w:val="24"/>
          <w:szCs w:val="24"/>
        </w:rPr>
        <w:t>HDPE-flasker med børnesikret lukning af polypropylen, hvid ikke gennemsigtigt hætte, gennemsigtig inderlåg og foring indeholdende 100 filmovertrukne tabletter</w:t>
      </w:r>
    </w:p>
    <w:p w14:paraId="739702FE" w14:textId="77777777" w:rsidR="00356DC4" w:rsidRPr="00356DC4" w:rsidRDefault="00356DC4" w:rsidP="00356DC4">
      <w:pPr>
        <w:tabs>
          <w:tab w:val="left" w:pos="851"/>
        </w:tabs>
        <w:ind w:left="851"/>
        <w:rPr>
          <w:sz w:val="24"/>
          <w:szCs w:val="24"/>
        </w:rPr>
      </w:pPr>
      <w:r w:rsidRPr="00356DC4">
        <w:rPr>
          <w:sz w:val="24"/>
          <w:szCs w:val="24"/>
        </w:rPr>
        <w:t>HDPE-flasker med polypropylen skruelukning, hvid ikke gennemsigtigt låg, gennemsigtig inderlåg og foring indeholdende 500 filmovertrukne tabletter.</w:t>
      </w:r>
    </w:p>
    <w:p w14:paraId="035AC635" w14:textId="77777777" w:rsidR="00356DC4" w:rsidRPr="00356DC4" w:rsidRDefault="00356DC4" w:rsidP="00356DC4">
      <w:pPr>
        <w:tabs>
          <w:tab w:val="left" w:pos="851"/>
        </w:tabs>
        <w:ind w:left="851"/>
        <w:rPr>
          <w:sz w:val="24"/>
          <w:szCs w:val="24"/>
        </w:rPr>
      </w:pPr>
    </w:p>
    <w:p w14:paraId="4C72A383" w14:textId="77777777" w:rsidR="00356DC4" w:rsidRPr="00356DC4" w:rsidRDefault="00356DC4" w:rsidP="00356DC4">
      <w:pPr>
        <w:tabs>
          <w:tab w:val="left" w:pos="851"/>
        </w:tabs>
        <w:ind w:left="851"/>
        <w:rPr>
          <w:sz w:val="24"/>
          <w:szCs w:val="24"/>
        </w:rPr>
      </w:pPr>
      <w:r w:rsidRPr="00356DC4">
        <w:rPr>
          <w:sz w:val="24"/>
          <w:szCs w:val="24"/>
        </w:rPr>
        <w:t>Pakningsstørrelser 500 tabletter (i HDPE-flasker) og 1500 tabletter (i blister) er kun beregnet til hospitals- og dosisdispensering/medicinruller.</w:t>
      </w:r>
    </w:p>
    <w:p w14:paraId="64F7C4A2" w14:textId="6E48D7FC" w:rsidR="00356DC4" w:rsidRDefault="00356DC4" w:rsidP="00356DC4">
      <w:pPr>
        <w:tabs>
          <w:tab w:val="left" w:pos="851"/>
        </w:tabs>
        <w:ind w:left="851"/>
        <w:rPr>
          <w:sz w:val="24"/>
          <w:szCs w:val="24"/>
        </w:rPr>
      </w:pPr>
    </w:p>
    <w:p w14:paraId="7B92E291" w14:textId="77777777" w:rsidR="00356DC4" w:rsidRPr="00356DC4" w:rsidRDefault="00356DC4" w:rsidP="00356DC4">
      <w:pPr>
        <w:tabs>
          <w:tab w:val="left" w:pos="851"/>
        </w:tabs>
        <w:ind w:left="851"/>
        <w:rPr>
          <w:sz w:val="24"/>
          <w:szCs w:val="24"/>
        </w:rPr>
      </w:pPr>
    </w:p>
    <w:p w14:paraId="103F7836" w14:textId="77777777" w:rsidR="00356DC4" w:rsidRPr="00356DC4" w:rsidRDefault="00356DC4" w:rsidP="00356DC4">
      <w:pPr>
        <w:tabs>
          <w:tab w:val="left" w:pos="851"/>
        </w:tabs>
        <w:ind w:left="851"/>
        <w:rPr>
          <w:sz w:val="24"/>
          <w:szCs w:val="24"/>
        </w:rPr>
      </w:pPr>
      <w:r w:rsidRPr="00356DC4">
        <w:rPr>
          <w:sz w:val="24"/>
          <w:szCs w:val="24"/>
        </w:rPr>
        <w:t>Ikke alle pakningsstørrelser er nødvendigvis markedsført</w:t>
      </w:r>
    </w:p>
    <w:p w14:paraId="70427C45" w14:textId="77777777" w:rsidR="009260DE" w:rsidRPr="00C84483" w:rsidRDefault="009260DE" w:rsidP="009260DE">
      <w:pPr>
        <w:tabs>
          <w:tab w:val="left" w:pos="851"/>
        </w:tabs>
        <w:ind w:left="851"/>
        <w:rPr>
          <w:sz w:val="24"/>
          <w:szCs w:val="24"/>
        </w:rPr>
      </w:pPr>
    </w:p>
    <w:p w14:paraId="41A664C4"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3FC094BC" w14:textId="4731D7DF" w:rsidR="009260DE" w:rsidRDefault="001519C5" w:rsidP="000730CA">
      <w:pPr>
        <w:tabs>
          <w:tab w:val="left" w:pos="851"/>
        </w:tabs>
        <w:ind w:left="851"/>
        <w:rPr>
          <w:sz w:val="24"/>
          <w:szCs w:val="24"/>
        </w:rPr>
      </w:pPr>
      <w:r w:rsidRPr="001519C5">
        <w:rPr>
          <w:sz w:val="24"/>
          <w:szCs w:val="24"/>
        </w:rPr>
        <w:t>Ingen særlige forholdsregler</w:t>
      </w:r>
      <w:r>
        <w:rPr>
          <w:sz w:val="24"/>
          <w:szCs w:val="24"/>
        </w:rPr>
        <w:t>.</w:t>
      </w:r>
    </w:p>
    <w:p w14:paraId="5E3358A8" w14:textId="77777777" w:rsidR="001519C5" w:rsidRPr="00C84483" w:rsidRDefault="001519C5" w:rsidP="000730CA">
      <w:pPr>
        <w:tabs>
          <w:tab w:val="left" w:pos="851"/>
        </w:tabs>
        <w:ind w:left="851"/>
        <w:rPr>
          <w:sz w:val="24"/>
          <w:szCs w:val="24"/>
        </w:rPr>
      </w:pPr>
    </w:p>
    <w:p w14:paraId="5A16C1E4"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3EBCAEDA" w14:textId="2B782423" w:rsidR="001519C5" w:rsidRPr="001519C5" w:rsidRDefault="001519C5" w:rsidP="001519C5">
      <w:pPr>
        <w:tabs>
          <w:tab w:val="left" w:pos="851"/>
        </w:tabs>
        <w:ind w:left="851"/>
        <w:rPr>
          <w:sz w:val="24"/>
          <w:szCs w:val="24"/>
          <w:lang w:val="sv-SE"/>
        </w:rPr>
      </w:pPr>
      <w:r w:rsidRPr="001519C5">
        <w:rPr>
          <w:sz w:val="24"/>
          <w:szCs w:val="24"/>
          <w:lang w:val="sv-SE"/>
        </w:rPr>
        <w:t>S</w:t>
      </w:r>
      <w:r>
        <w:rPr>
          <w:sz w:val="24"/>
          <w:szCs w:val="24"/>
          <w:lang w:val="sv-SE"/>
        </w:rPr>
        <w:t>tada</w:t>
      </w:r>
      <w:r w:rsidRPr="001519C5">
        <w:rPr>
          <w:sz w:val="24"/>
          <w:szCs w:val="24"/>
          <w:lang w:val="sv-SE"/>
        </w:rPr>
        <w:t xml:space="preserve"> Arzneimittel AG</w:t>
      </w:r>
    </w:p>
    <w:p w14:paraId="678CAF0B" w14:textId="77777777" w:rsidR="001519C5" w:rsidRPr="001519C5" w:rsidRDefault="001519C5" w:rsidP="001519C5">
      <w:pPr>
        <w:tabs>
          <w:tab w:val="left" w:pos="851"/>
        </w:tabs>
        <w:ind w:left="851"/>
        <w:rPr>
          <w:sz w:val="24"/>
          <w:szCs w:val="24"/>
          <w:lang w:val="sv-SE"/>
        </w:rPr>
      </w:pPr>
      <w:r w:rsidRPr="001519C5">
        <w:rPr>
          <w:sz w:val="24"/>
          <w:szCs w:val="24"/>
          <w:lang w:val="sv-SE"/>
        </w:rPr>
        <w:t>Stadastrasse 2-18</w:t>
      </w:r>
    </w:p>
    <w:p w14:paraId="1B242EA3" w14:textId="77777777" w:rsidR="001519C5" w:rsidRPr="001519C5" w:rsidRDefault="001519C5" w:rsidP="001519C5">
      <w:pPr>
        <w:tabs>
          <w:tab w:val="left" w:pos="851"/>
        </w:tabs>
        <w:ind w:left="851"/>
        <w:rPr>
          <w:sz w:val="24"/>
          <w:szCs w:val="24"/>
          <w:lang w:val="sv-SE"/>
        </w:rPr>
      </w:pPr>
      <w:r w:rsidRPr="001519C5">
        <w:rPr>
          <w:sz w:val="24"/>
          <w:szCs w:val="24"/>
          <w:lang w:val="sv-SE"/>
        </w:rPr>
        <w:t>61118 Bad Vilbel</w:t>
      </w:r>
    </w:p>
    <w:p w14:paraId="561DDD6F" w14:textId="77777777" w:rsidR="001519C5" w:rsidRPr="001519C5" w:rsidRDefault="001519C5" w:rsidP="001519C5">
      <w:pPr>
        <w:tabs>
          <w:tab w:val="left" w:pos="851"/>
        </w:tabs>
        <w:ind w:left="851"/>
        <w:rPr>
          <w:sz w:val="24"/>
          <w:szCs w:val="24"/>
          <w:lang w:val="sv-SE"/>
        </w:rPr>
      </w:pPr>
      <w:r w:rsidRPr="001519C5">
        <w:rPr>
          <w:sz w:val="24"/>
          <w:szCs w:val="24"/>
          <w:lang w:val="sv-SE"/>
        </w:rPr>
        <w:t>Tyskland</w:t>
      </w:r>
    </w:p>
    <w:p w14:paraId="01D09963" w14:textId="77777777" w:rsidR="009260DE" w:rsidRDefault="009260DE" w:rsidP="009260DE">
      <w:pPr>
        <w:tabs>
          <w:tab w:val="left" w:pos="851"/>
        </w:tabs>
        <w:ind w:left="851"/>
        <w:rPr>
          <w:sz w:val="24"/>
          <w:szCs w:val="24"/>
        </w:rPr>
      </w:pPr>
    </w:p>
    <w:p w14:paraId="3A990FFB" w14:textId="77777777" w:rsidR="00641C65" w:rsidRDefault="00641C65" w:rsidP="009260DE">
      <w:pPr>
        <w:tabs>
          <w:tab w:val="left" w:pos="851"/>
        </w:tabs>
        <w:ind w:left="851"/>
        <w:rPr>
          <w:sz w:val="24"/>
          <w:szCs w:val="24"/>
        </w:rPr>
      </w:pPr>
      <w:r>
        <w:rPr>
          <w:b/>
          <w:sz w:val="24"/>
          <w:szCs w:val="24"/>
        </w:rPr>
        <w:t>Repræsentant</w:t>
      </w:r>
    </w:p>
    <w:p w14:paraId="1D06DFB0" w14:textId="32992F76" w:rsidR="00641C65" w:rsidRDefault="001519C5" w:rsidP="009260DE">
      <w:pPr>
        <w:tabs>
          <w:tab w:val="left" w:pos="851"/>
        </w:tabs>
        <w:ind w:left="851"/>
        <w:rPr>
          <w:sz w:val="24"/>
          <w:szCs w:val="24"/>
        </w:rPr>
      </w:pPr>
      <w:r>
        <w:rPr>
          <w:sz w:val="24"/>
          <w:szCs w:val="24"/>
        </w:rPr>
        <w:t>Stada Nordic ApS</w:t>
      </w:r>
    </w:p>
    <w:p w14:paraId="39BE81EE" w14:textId="1EDD114C" w:rsidR="008F3576" w:rsidRDefault="008F3576" w:rsidP="009260DE">
      <w:pPr>
        <w:tabs>
          <w:tab w:val="left" w:pos="851"/>
        </w:tabs>
        <w:ind w:left="851"/>
        <w:rPr>
          <w:sz w:val="24"/>
          <w:szCs w:val="24"/>
        </w:rPr>
      </w:pPr>
      <w:r>
        <w:rPr>
          <w:sz w:val="24"/>
          <w:szCs w:val="24"/>
        </w:rPr>
        <w:t>Marielundvej 46 A</w:t>
      </w:r>
    </w:p>
    <w:p w14:paraId="388E5864" w14:textId="7CCA4D62" w:rsidR="001519C5" w:rsidRDefault="008F3576" w:rsidP="009260DE">
      <w:pPr>
        <w:tabs>
          <w:tab w:val="left" w:pos="851"/>
        </w:tabs>
        <w:ind w:left="851"/>
        <w:rPr>
          <w:sz w:val="24"/>
          <w:szCs w:val="24"/>
        </w:rPr>
      </w:pPr>
      <w:r>
        <w:rPr>
          <w:sz w:val="24"/>
          <w:szCs w:val="24"/>
        </w:rPr>
        <w:t>2730 Herlev</w:t>
      </w:r>
    </w:p>
    <w:p w14:paraId="2BC022B4" w14:textId="77777777" w:rsidR="00641C65" w:rsidRPr="00641C65" w:rsidRDefault="00641C65" w:rsidP="009260DE">
      <w:pPr>
        <w:tabs>
          <w:tab w:val="left" w:pos="851"/>
        </w:tabs>
        <w:ind w:left="851"/>
        <w:rPr>
          <w:sz w:val="24"/>
          <w:szCs w:val="24"/>
        </w:rPr>
      </w:pPr>
    </w:p>
    <w:p w14:paraId="05001CF9"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70643E2B" w14:textId="2FBE0228" w:rsidR="009260DE" w:rsidRDefault="008F3576" w:rsidP="008F3576">
      <w:pPr>
        <w:tabs>
          <w:tab w:val="left" w:pos="851"/>
          <w:tab w:val="left" w:pos="1843"/>
        </w:tabs>
        <w:ind w:left="851"/>
        <w:rPr>
          <w:sz w:val="24"/>
          <w:szCs w:val="24"/>
        </w:rPr>
      </w:pPr>
      <w:r>
        <w:rPr>
          <w:sz w:val="24"/>
          <w:szCs w:val="24"/>
        </w:rPr>
        <w:t>500 mg:</w:t>
      </w:r>
      <w:r>
        <w:rPr>
          <w:sz w:val="24"/>
          <w:szCs w:val="24"/>
        </w:rPr>
        <w:tab/>
        <w:t>66120</w:t>
      </w:r>
    </w:p>
    <w:p w14:paraId="2765809D" w14:textId="65FF1D95" w:rsidR="008F3576" w:rsidRDefault="008F3576" w:rsidP="008F3576">
      <w:pPr>
        <w:tabs>
          <w:tab w:val="left" w:pos="851"/>
          <w:tab w:val="left" w:pos="1843"/>
        </w:tabs>
        <w:ind w:left="851"/>
        <w:rPr>
          <w:sz w:val="24"/>
          <w:szCs w:val="24"/>
        </w:rPr>
      </w:pPr>
      <w:r>
        <w:rPr>
          <w:sz w:val="24"/>
          <w:szCs w:val="24"/>
        </w:rPr>
        <w:t>850 mg:</w:t>
      </w:r>
      <w:r>
        <w:rPr>
          <w:sz w:val="24"/>
          <w:szCs w:val="24"/>
        </w:rPr>
        <w:tab/>
        <w:t>66122</w:t>
      </w:r>
    </w:p>
    <w:p w14:paraId="071EDD43" w14:textId="2C037946" w:rsidR="008F3576" w:rsidRPr="00C84483" w:rsidRDefault="008F3576" w:rsidP="008F3576">
      <w:pPr>
        <w:tabs>
          <w:tab w:val="left" w:pos="851"/>
          <w:tab w:val="left" w:pos="1843"/>
        </w:tabs>
        <w:ind w:left="851"/>
        <w:rPr>
          <w:sz w:val="24"/>
          <w:szCs w:val="24"/>
        </w:rPr>
      </w:pPr>
      <w:r>
        <w:rPr>
          <w:sz w:val="24"/>
          <w:szCs w:val="24"/>
        </w:rPr>
        <w:t>1000 mg:</w:t>
      </w:r>
      <w:r>
        <w:rPr>
          <w:sz w:val="24"/>
          <w:szCs w:val="24"/>
        </w:rPr>
        <w:tab/>
        <w:t>66123</w:t>
      </w:r>
    </w:p>
    <w:p w14:paraId="50B1DCEC" w14:textId="77777777" w:rsidR="009260DE" w:rsidRPr="00C84483" w:rsidRDefault="009260DE" w:rsidP="009260DE">
      <w:pPr>
        <w:tabs>
          <w:tab w:val="left" w:pos="851"/>
        </w:tabs>
        <w:ind w:left="851"/>
        <w:jc w:val="both"/>
        <w:rPr>
          <w:sz w:val="24"/>
          <w:szCs w:val="24"/>
        </w:rPr>
      </w:pPr>
    </w:p>
    <w:p w14:paraId="527539C0"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763569CA" w14:textId="1E37862C" w:rsidR="009260DE" w:rsidRPr="00C84483" w:rsidRDefault="00830B0B" w:rsidP="009260DE">
      <w:pPr>
        <w:tabs>
          <w:tab w:val="left" w:pos="851"/>
        </w:tabs>
        <w:ind w:left="851"/>
        <w:rPr>
          <w:sz w:val="24"/>
          <w:szCs w:val="24"/>
        </w:rPr>
      </w:pPr>
      <w:r>
        <w:rPr>
          <w:sz w:val="24"/>
          <w:szCs w:val="24"/>
        </w:rPr>
        <w:t>22. september 2023</w:t>
      </w:r>
    </w:p>
    <w:p w14:paraId="7A2871ED" w14:textId="77777777" w:rsidR="009260DE" w:rsidRPr="00C84483" w:rsidRDefault="009260DE" w:rsidP="009260DE">
      <w:pPr>
        <w:tabs>
          <w:tab w:val="left" w:pos="851"/>
        </w:tabs>
        <w:ind w:left="851"/>
        <w:rPr>
          <w:sz w:val="24"/>
          <w:szCs w:val="24"/>
        </w:rPr>
      </w:pPr>
    </w:p>
    <w:p w14:paraId="7CA78190"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412263E1" w14:textId="4317D9A7" w:rsidR="009260DE" w:rsidRPr="00C84483" w:rsidRDefault="00355DD3"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D618B" w14:textId="77777777" w:rsidR="00C60C89" w:rsidRDefault="00C60C89">
      <w:r>
        <w:separator/>
      </w:r>
    </w:p>
  </w:endnote>
  <w:endnote w:type="continuationSeparator" w:id="0">
    <w:p w14:paraId="656B8F72" w14:textId="77777777" w:rsidR="00C60C89" w:rsidRDefault="00C60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279A4" w14:textId="77777777" w:rsidR="000259B9" w:rsidRDefault="000259B9">
    <w:pPr>
      <w:pStyle w:val="Sidefod"/>
      <w:pBdr>
        <w:bottom w:val="single" w:sz="6" w:space="1" w:color="auto"/>
      </w:pBdr>
    </w:pPr>
  </w:p>
  <w:p w14:paraId="7F913BAD" w14:textId="77777777" w:rsidR="000259B9" w:rsidRDefault="000259B9" w:rsidP="00C42586">
    <w:pPr>
      <w:pStyle w:val="Sidefod"/>
      <w:tabs>
        <w:tab w:val="clear" w:pos="4819"/>
        <w:tab w:val="left" w:pos="8505"/>
      </w:tabs>
      <w:rPr>
        <w:i/>
        <w:sz w:val="18"/>
        <w:szCs w:val="18"/>
      </w:rPr>
    </w:pPr>
  </w:p>
  <w:p w14:paraId="01AB5769" w14:textId="1777E9FA"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D7FBE">
      <w:rPr>
        <w:i/>
        <w:noProof/>
        <w:sz w:val="18"/>
        <w:szCs w:val="18"/>
      </w:rPr>
      <w:t>Forminet, filmovertrukne tabletter 500 mg, 850 mg og 1000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5153A" w14:textId="77777777" w:rsidR="00C60C89" w:rsidRDefault="00C60C89">
      <w:r>
        <w:separator/>
      </w:r>
    </w:p>
  </w:footnote>
  <w:footnote w:type="continuationSeparator" w:id="0">
    <w:p w14:paraId="49D9AE33" w14:textId="77777777" w:rsidR="00C60C89" w:rsidRDefault="00C60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F416723"/>
    <w:multiLevelType w:val="hybridMultilevel"/>
    <w:tmpl w:val="FBAC96B4"/>
    <w:lvl w:ilvl="0" w:tplc="D556E4C8">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C89"/>
    <w:rsid w:val="000259B9"/>
    <w:rsid w:val="000374CF"/>
    <w:rsid w:val="00041491"/>
    <w:rsid w:val="00050D16"/>
    <w:rsid w:val="000730CA"/>
    <w:rsid w:val="00074F2A"/>
    <w:rsid w:val="000A1CA8"/>
    <w:rsid w:val="000A466B"/>
    <w:rsid w:val="000B058C"/>
    <w:rsid w:val="000D68B0"/>
    <w:rsid w:val="000E4EE6"/>
    <w:rsid w:val="0010708E"/>
    <w:rsid w:val="00115B31"/>
    <w:rsid w:val="001454E2"/>
    <w:rsid w:val="001519C5"/>
    <w:rsid w:val="001923BA"/>
    <w:rsid w:val="00193B8E"/>
    <w:rsid w:val="001B2AC3"/>
    <w:rsid w:val="00206CE8"/>
    <w:rsid w:val="0021526C"/>
    <w:rsid w:val="00283A2B"/>
    <w:rsid w:val="002B30AD"/>
    <w:rsid w:val="002C1EC0"/>
    <w:rsid w:val="002C2C01"/>
    <w:rsid w:val="002C481B"/>
    <w:rsid w:val="00355DD3"/>
    <w:rsid w:val="00356DC4"/>
    <w:rsid w:val="00391BFB"/>
    <w:rsid w:val="003A29AE"/>
    <w:rsid w:val="003A32D7"/>
    <w:rsid w:val="003B4074"/>
    <w:rsid w:val="003C769A"/>
    <w:rsid w:val="003D3A90"/>
    <w:rsid w:val="003F1838"/>
    <w:rsid w:val="00414AB5"/>
    <w:rsid w:val="0045746C"/>
    <w:rsid w:val="0049104B"/>
    <w:rsid w:val="004D7FBE"/>
    <w:rsid w:val="004E3B12"/>
    <w:rsid w:val="00532310"/>
    <w:rsid w:val="00565F0F"/>
    <w:rsid w:val="00594A86"/>
    <w:rsid w:val="00596D86"/>
    <w:rsid w:val="00637F5A"/>
    <w:rsid w:val="00641C65"/>
    <w:rsid w:val="006560B1"/>
    <w:rsid w:val="006756DD"/>
    <w:rsid w:val="0071241E"/>
    <w:rsid w:val="00737275"/>
    <w:rsid w:val="00740EEC"/>
    <w:rsid w:val="007737FA"/>
    <w:rsid w:val="0078011A"/>
    <w:rsid w:val="00782AF4"/>
    <w:rsid w:val="00790EE7"/>
    <w:rsid w:val="007B6649"/>
    <w:rsid w:val="0082576E"/>
    <w:rsid w:val="00830B0B"/>
    <w:rsid w:val="00871717"/>
    <w:rsid w:val="0089346F"/>
    <w:rsid w:val="008F3576"/>
    <w:rsid w:val="00907F75"/>
    <w:rsid w:val="009260DE"/>
    <w:rsid w:val="0093258A"/>
    <w:rsid w:val="00942D47"/>
    <w:rsid w:val="009C7BA3"/>
    <w:rsid w:val="009D1F5A"/>
    <w:rsid w:val="00A10294"/>
    <w:rsid w:val="00A7309F"/>
    <w:rsid w:val="00B003BF"/>
    <w:rsid w:val="00B00E2E"/>
    <w:rsid w:val="00B373D7"/>
    <w:rsid w:val="00B55271"/>
    <w:rsid w:val="00BD7931"/>
    <w:rsid w:val="00BF6243"/>
    <w:rsid w:val="00C25864"/>
    <w:rsid w:val="00C36276"/>
    <w:rsid w:val="00C42586"/>
    <w:rsid w:val="00C45F6B"/>
    <w:rsid w:val="00C60C89"/>
    <w:rsid w:val="00C60CCD"/>
    <w:rsid w:val="00C84483"/>
    <w:rsid w:val="00C95551"/>
    <w:rsid w:val="00CB20D7"/>
    <w:rsid w:val="00D020B0"/>
    <w:rsid w:val="00D11748"/>
    <w:rsid w:val="00D237F6"/>
    <w:rsid w:val="00D34D98"/>
    <w:rsid w:val="00D366CF"/>
    <w:rsid w:val="00D93992"/>
    <w:rsid w:val="00DF481B"/>
    <w:rsid w:val="00E108AA"/>
    <w:rsid w:val="00E3749A"/>
    <w:rsid w:val="00E7437F"/>
    <w:rsid w:val="00E865B8"/>
    <w:rsid w:val="00EC0B9B"/>
    <w:rsid w:val="00ED5E9F"/>
    <w:rsid w:val="00F25B83"/>
    <w:rsid w:val="00F441FE"/>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E4FF0"/>
  <w15:chartTrackingRefBased/>
  <w15:docId w15:val="{4783554C-976F-4337-B434-47EEF9372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uiPriority w:val="59"/>
    <w:rsid w:val="00C25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29028">
      <w:bodyDiv w:val="1"/>
      <w:marLeft w:val="0"/>
      <w:marRight w:val="0"/>
      <w:marTop w:val="0"/>
      <w:marBottom w:val="0"/>
      <w:divBdr>
        <w:top w:val="none" w:sz="0" w:space="0" w:color="auto"/>
        <w:left w:val="none" w:sz="0" w:space="0" w:color="auto"/>
        <w:bottom w:val="none" w:sz="0" w:space="0" w:color="auto"/>
        <w:right w:val="none" w:sz="0" w:space="0" w:color="auto"/>
      </w:divBdr>
    </w:div>
    <w:div w:id="11818482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1136408">
      <w:bodyDiv w:val="1"/>
      <w:marLeft w:val="0"/>
      <w:marRight w:val="0"/>
      <w:marTop w:val="0"/>
      <w:marBottom w:val="0"/>
      <w:divBdr>
        <w:top w:val="none" w:sz="0" w:space="0" w:color="auto"/>
        <w:left w:val="none" w:sz="0" w:space="0" w:color="auto"/>
        <w:bottom w:val="none" w:sz="0" w:space="0" w:color="auto"/>
        <w:right w:val="none" w:sz="0" w:space="0" w:color="auto"/>
      </w:divBdr>
    </w:div>
    <w:div w:id="313217671">
      <w:bodyDiv w:val="1"/>
      <w:marLeft w:val="0"/>
      <w:marRight w:val="0"/>
      <w:marTop w:val="0"/>
      <w:marBottom w:val="0"/>
      <w:divBdr>
        <w:top w:val="none" w:sz="0" w:space="0" w:color="auto"/>
        <w:left w:val="none" w:sz="0" w:space="0" w:color="auto"/>
        <w:bottom w:val="none" w:sz="0" w:space="0" w:color="auto"/>
        <w:right w:val="none" w:sz="0" w:space="0" w:color="auto"/>
      </w:divBdr>
    </w:div>
    <w:div w:id="386884045">
      <w:bodyDiv w:val="1"/>
      <w:marLeft w:val="0"/>
      <w:marRight w:val="0"/>
      <w:marTop w:val="0"/>
      <w:marBottom w:val="0"/>
      <w:divBdr>
        <w:top w:val="none" w:sz="0" w:space="0" w:color="auto"/>
        <w:left w:val="none" w:sz="0" w:space="0" w:color="auto"/>
        <w:bottom w:val="none" w:sz="0" w:space="0" w:color="auto"/>
        <w:right w:val="none" w:sz="0" w:space="0" w:color="auto"/>
      </w:divBdr>
    </w:div>
    <w:div w:id="416754243">
      <w:bodyDiv w:val="1"/>
      <w:marLeft w:val="0"/>
      <w:marRight w:val="0"/>
      <w:marTop w:val="0"/>
      <w:marBottom w:val="0"/>
      <w:divBdr>
        <w:top w:val="none" w:sz="0" w:space="0" w:color="auto"/>
        <w:left w:val="none" w:sz="0" w:space="0" w:color="auto"/>
        <w:bottom w:val="none" w:sz="0" w:space="0" w:color="auto"/>
        <w:right w:val="none" w:sz="0" w:space="0" w:color="auto"/>
      </w:divBdr>
    </w:div>
    <w:div w:id="432938562">
      <w:bodyDiv w:val="1"/>
      <w:marLeft w:val="0"/>
      <w:marRight w:val="0"/>
      <w:marTop w:val="0"/>
      <w:marBottom w:val="0"/>
      <w:divBdr>
        <w:top w:val="none" w:sz="0" w:space="0" w:color="auto"/>
        <w:left w:val="none" w:sz="0" w:space="0" w:color="auto"/>
        <w:bottom w:val="none" w:sz="0" w:space="0" w:color="auto"/>
        <w:right w:val="none" w:sz="0" w:space="0" w:color="auto"/>
      </w:divBdr>
    </w:div>
    <w:div w:id="465927679">
      <w:bodyDiv w:val="1"/>
      <w:marLeft w:val="0"/>
      <w:marRight w:val="0"/>
      <w:marTop w:val="0"/>
      <w:marBottom w:val="0"/>
      <w:divBdr>
        <w:top w:val="none" w:sz="0" w:space="0" w:color="auto"/>
        <w:left w:val="none" w:sz="0" w:space="0" w:color="auto"/>
        <w:bottom w:val="none" w:sz="0" w:space="0" w:color="auto"/>
        <w:right w:val="none" w:sz="0" w:space="0" w:color="auto"/>
      </w:divBdr>
    </w:div>
    <w:div w:id="488139323">
      <w:bodyDiv w:val="1"/>
      <w:marLeft w:val="0"/>
      <w:marRight w:val="0"/>
      <w:marTop w:val="0"/>
      <w:marBottom w:val="0"/>
      <w:divBdr>
        <w:top w:val="none" w:sz="0" w:space="0" w:color="auto"/>
        <w:left w:val="none" w:sz="0" w:space="0" w:color="auto"/>
        <w:bottom w:val="none" w:sz="0" w:space="0" w:color="auto"/>
        <w:right w:val="none" w:sz="0" w:space="0" w:color="auto"/>
      </w:divBdr>
    </w:div>
    <w:div w:id="492064998">
      <w:bodyDiv w:val="1"/>
      <w:marLeft w:val="0"/>
      <w:marRight w:val="0"/>
      <w:marTop w:val="0"/>
      <w:marBottom w:val="0"/>
      <w:divBdr>
        <w:top w:val="none" w:sz="0" w:space="0" w:color="auto"/>
        <w:left w:val="none" w:sz="0" w:space="0" w:color="auto"/>
        <w:bottom w:val="none" w:sz="0" w:space="0" w:color="auto"/>
        <w:right w:val="none" w:sz="0" w:space="0" w:color="auto"/>
      </w:divBdr>
    </w:div>
    <w:div w:id="492065977">
      <w:bodyDiv w:val="1"/>
      <w:marLeft w:val="0"/>
      <w:marRight w:val="0"/>
      <w:marTop w:val="0"/>
      <w:marBottom w:val="0"/>
      <w:divBdr>
        <w:top w:val="none" w:sz="0" w:space="0" w:color="auto"/>
        <w:left w:val="none" w:sz="0" w:space="0" w:color="auto"/>
        <w:bottom w:val="none" w:sz="0" w:space="0" w:color="auto"/>
        <w:right w:val="none" w:sz="0" w:space="0" w:color="auto"/>
      </w:divBdr>
    </w:div>
    <w:div w:id="531115542">
      <w:bodyDiv w:val="1"/>
      <w:marLeft w:val="0"/>
      <w:marRight w:val="0"/>
      <w:marTop w:val="0"/>
      <w:marBottom w:val="0"/>
      <w:divBdr>
        <w:top w:val="none" w:sz="0" w:space="0" w:color="auto"/>
        <w:left w:val="none" w:sz="0" w:space="0" w:color="auto"/>
        <w:bottom w:val="none" w:sz="0" w:space="0" w:color="auto"/>
        <w:right w:val="none" w:sz="0" w:space="0" w:color="auto"/>
      </w:divBdr>
    </w:div>
    <w:div w:id="563486326">
      <w:bodyDiv w:val="1"/>
      <w:marLeft w:val="0"/>
      <w:marRight w:val="0"/>
      <w:marTop w:val="0"/>
      <w:marBottom w:val="0"/>
      <w:divBdr>
        <w:top w:val="none" w:sz="0" w:space="0" w:color="auto"/>
        <w:left w:val="none" w:sz="0" w:space="0" w:color="auto"/>
        <w:bottom w:val="none" w:sz="0" w:space="0" w:color="auto"/>
        <w:right w:val="none" w:sz="0" w:space="0" w:color="auto"/>
      </w:divBdr>
    </w:div>
    <w:div w:id="572853060">
      <w:bodyDiv w:val="1"/>
      <w:marLeft w:val="0"/>
      <w:marRight w:val="0"/>
      <w:marTop w:val="0"/>
      <w:marBottom w:val="0"/>
      <w:divBdr>
        <w:top w:val="none" w:sz="0" w:space="0" w:color="auto"/>
        <w:left w:val="none" w:sz="0" w:space="0" w:color="auto"/>
        <w:bottom w:val="none" w:sz="0" w:space="0" w:color="auto"/>
        <w:right w:val="none" w:sz="0" w:space="0" w:color="auto"/>
      </w:divBdr>
    </w:div>
    <w:div w:id="614561345">
      <w:bodyDiv w:val="1"/>
      <w:marLeft w:val="0"/>
      <w:marRight w:val="0"/>
      <w:marTop w:val="0"/>
      <w:marBottom w:val="0"/>
      <w:divBdr>
        <w:top w:val="none" w:sz="0" w:space="0" w:color="auto"/>
        <w:left w:val="none" w:sz="0" w:space="0" w:color="auto"/>
        <w:bottom w:val="none" w:sz="0" w:space="0" w:color="auto"/>
        <w:right w:val="none" w:sz="0" w:space="0" w:color="auto"/>
      </w:divBdr>
    </w:div>
    <w:div w:id="638145183">
      <w:bodyDiv w:val="1"/>
      <w:marLeft w:val="0"/>
      <w:marRight w:val="0"/>
      <w:marTop w:val="0"/>
      <w:marBottom w:val="0"/>
      <w:divBdr>
        <w:top w:val="none" w:sz="0" w:space="0" w:color="auto"/>
        <w:left w:val="none" w:sz="0" w:space="0" w:color="auto"/>
        <w:bottom w:val="none" w:sz="0" w:space="0" w:color="auto"/>
        <w:right w:val="none" w:sz="0" w:space="0" w:color="auto"/>
      </w:divBdr>
    </w:div>
    <w:div w:id="655300521">
      <w:bodyDiv w:val="1"/>
      <w:marLeft w:val="0"/>
      <w:marRight w:val="0"/>
      <w:marTop w:val="0"/>
      <w:marBottom w:val="0"/>
      <w:divBdr>
        <w:top w:val="none" w:sz="0" w:space="0" w:color="auto"/>
        <w:left w:val="none" w:sz="0" w:space="0" w:color="auto"/>
        <w:bottom w:val="none" w:sz="0" w:space="0" w:color="auto"/>
        <w:right w:val="none" w:sz="0" w:space="0" w:color="auto"/>
      </w:divBdr>
    </w:div>
    <w:div w:id="740249685">
      <w:bodyDiv w:val="1"/>
      <w:marLeft w:val="0"/>
      <w:marRight w:val="0"/>
      <w:marTop w:val="0"/>
      <w:marBottom w:val="0"/>
      <w:divBdr>
        <w:top w:val="none" w:sz="0" w:space="0" w:color="auto"/>
        <w:left w:val="none" w:sz="0" w:space="0" w:color="auto"/>
        <w:bottom w:val="none" w:sz="0" w:space="0" w:color="auto"/>
        <w:right w:val="none" w:sz="0" w:space="0" w:color="auto"/>
      </w:divBdr>
    </w:div>
    <w:div w:id="805707908">
      <w:bodyDiv w:val="1"/>
      <w:marLeft w:val="0"/>
      <w:marRight w:val="0"/>
      <w:marTop w:val="0"/>
      <w:marBottom w:val="0"/>
      <w:divBdr>
        <w:top w:val="none" w:sz="0" w:space="0" w:color="auto"/>
        <w:left w:val="none" w:sz="0" w:space="0" w:color="auto"/>
        <w:bottom w:val="none" w:sz="0" w:space="0" w:color="auto"/>
        <w:right w:val="none" w:sz="0" w:space="0" w:color="auto"/>
      </w:divBdr>
    </w:div>
    <w:div w:id="837697873">
      <w:bodyDiv w:val="1"/>
      <w:marLeft w:val="0"/>
      <w:marRight w:val="0"/>
      <w:marTop w:val="0"/>
      <w:marBottom w:val="0"/>
      <w:divBdr>
        <w:top w:val="none" w:sz="0" w:space="0" w:color="auto"/>
        <w:left w:val="none" w:sz="0" w:space="0" w:color="auto"/>
        <w:bottom w:val="none" w:sz="0" w:space="0" w:color="auto"/>
        <w:right w:val="none" w:sz="0" w:space="0" w:color="auto"/>
      </w:divBdr>
    </w:div>
    <w:div w:id="933978745">
      <w:bodyDiv w:val="1"/>
      <w:marLeft w:val="0"/>
      <w:marRight w:val="0"/>
      <w:marTop w:val="0"/>
      <w:marBottom w:val="0"/>
      <w:divBdr>
        <w:top w:val="none" w:sz="0" w:space="0" w:color="auto"/>
        <w:left w:val="none" w:sz="0" w:space="0" w:color="auto"/>
        <w:bottom w:val="none" w:sz="0" w:space="0" w:color="auto"/>
        <w:right w:val="none" w:sz="0" w:space="0" w:color="auto"/>
      </w:divBdr>
    </w:div>
    <w:div w:id="1107769713">
      <w:bodyDiv w:val="1"/>
      <w:marLeft w:val="0"/>
      <w:marRight w:val="0"/>
      <w:marTop w:val="0"/>
      <w:marBottom w:val="0"/>
      <w:divBdr>
        <w:top w:val="none" w:sz="0" w:space="0" w:color="auto"/>
        <w:left w:val="none" w:sz="0" w:space="0" w:color="auto"/>
        <w:bottom w:val="none" w:sz="0" w:space="0" w:color="auto"/>
        <w:right w:val="none" w:sz="0" w:space="0" w:color="auto"/>
      </w:divBdr>
    </w:div>
    <w:div w:id="1164128400">
      <w:bodyDiv w:val="1"/>
      <w:marLeft w:val="0"/>
      <w:marRight w:val="0"/>
      <w:marTop w:val="0"/>
      <w:marBottom w:val="0"/>
      <w:divBdr>
        <w:top w:val="none" w:sz="0" w:space="0" w:color="auto"/>
        <w:left w:val="none" w:sz="0" w:space="0" w:color="auto"/>
        <w:bottom w:val="none" w:sz="0" w:space="0" w:color="auto"/>
        <w:right w:val="none" w:sz="0" w:space="0" w:color="auto"/>
      </w:divBdr>
    </w:div>
    <w:div w:id="1190408368">
      <w:bodyDiv w:val="1"/>
      <w:marLeft w:val="0"/>
      <w:marRight w:val="0"/>
      <w:marTop w:val="0"/>
      <w:marBottom w:val="0"/>
      <w:divBdr>
        <w:top w:val="none" w:sz="0" w:space="0" w:color="auto"/>
        <w:left w:val="none" w:sz="0" w:space="0" w:color="auto"/>
        <w:bottom w:val="none" w:sz="0" w:space="0" w:color="auto"/>
        <w:right w:val="none" w:sz="0" w:space="0" w:color="auto"/>
      </w:divBdr>
    </w:div>
    <w:div w:id="1208761842">
      <w:bodyDiv w:val="1"/>
      <w:marLeft w:val="0"/>
      <w:marRight w:val="0"/>
      <w:marTop w:val="0"/>
      <w:marBottom w:val="0"/>
      <w:divBdr>
        <w:top w:val="none" w:sz="0" w:space="0" w:color="auto"/>
        <w:left w:val="none" w:sz="0" w:space="0" w:color="auto"/>
        <w:bottom w:val="none" w:sz="0" w:space="0" w:color="auto"/>
        <w:right w:val="none" w:sz="0" w:space="0" w:color="auto"/>
      </w:divBdr>
    </w:div>
    <w:div w:id="1270046364">
      <w:bodyDiv w:val="1"/>
      <w:marLeft w:val="0"/>
      <w:marRight w:val="0"/>
      <w:marTop w:val="0"/>
      <w:marBottom w:val="0"/>
      <w:divBdr>
        <w:top w:val="none" w:sz="0" w:space="0" w:color="auto"/>
        <w:left w:val="none" w:sz="0" w:space="0" w:color="auto"/>
        <w:bottom w:val="none" w:sz="0" w:space="0" w:color="auto"/>
        <w:right w:val="none" w:sz="0" w:space="0" w:color="auto"/>
      </w:divBdr>
    </w:div>
    <w:div w:id="1277104073">
      <w:bodyDiv w:val="1"/>
      <w:marLeft w:val="0"/>
      <w:marRight w:val="0"/>
      <w:marTop w:val="0"/>
      <w:marBottom w:val="0"/>
      <w:divBdr>
        <w:top w:val="none" w:sz="0" w:space="0" w:color="auto"/>
        <w:left w:val="none" w:sz="0" w:space="0" w:color="auto"/>
        <w:bottom w:val="none" w:sz="0" w:space="0" w:color="auto"/>
        <w:right w:val="none" w:sz="0" w:space="0" w:color="auto"/>
      </w:divBdr>
    </w:div>
    <w:div w:id="1292059199">
      <w:bodyDiv w:val="1"/>
      <w:marLeft w:val="0"/>
      <w:marRight w:val="0"/>
      <w:marTop w:val="0"/>
      <w:marBottom w:val="0"/>
      <w:divBdr>
        <w:top w:val="none" w:sz="0" w:space="0" w:color="auto"/>
        <w:left w:val="none" w:sz="0" w:space="0" w:color="auto"/>
        <w:bottom w:val="none" w:sz="0" w:space="0" w:color="auto"/>
        <w:right w:val="none" w:sz="0" w:space="0" w:color="auto"/>
      </w:divBdr>
    </w:div>
    <w:div w:id="1338145978">
      <w:bodyDiv w:val="1"/>
      <w:marLeft w:val="0"/>
      <w:marRight w:val="0"/>
      <w:marTop w:val="0"/>
      <w:marBottom w:val="0"/>
      <w:divBdr>
        <w:top w:val="none" w:sz="0" w:space="0" w:color="auto"/>
        <w:left w:val="none" w:sz="0" w:space="0" w:color="auto"/>
        <w:bottom w:val="none" w:sz="0" w:space="0" w:color="auto"/>
        <w:right w:val="none" w:sz="0" w:space="0" w:color="auto"/>
      </w:divBdr>
    </w:div>
    <w:div w:id="1466659995">
      <w:bodyDiv w:val="1"/>
      <w:marLeft w:val="0"/>
      <w:marRight w:val="0"/>
      <w:marTop w:val="0"/>
      <w:marBottom w:val="0"/>
      <w:divBdr>
        <w:top w:val="none" w:sz="0" w:space="0" w:color="auto"/>
        <w:left w:val="none" w:sz="0" w:space="0" w:color="auto"/>
        <w:bottom w:val="none" w:sz="0" w:space="0" w:color="auto"/>
        <w:right w:val="none" w:sz="0" w:space="0" w:color="auto"/>
      </w:divBdr>
    </w:div>
    <w:div w:id="1526137591">
      <w:bodyDiv w:val="1"/>
      <w:marLeft w:val="0"/>
      <w:marRight w:val="0"/>
      <w:marTop w:val="0"/>
      <w:marBottom w:val="0"/>
      <w:divBdr>
        <w:top w:val="none" w:sz="0" w:space="0" w:color="auto"/>
        <w:left w:val="none" w:sz="0" w:space="0" w:color="auto"/>
        <w:bottom w:val="none" w:sz="0" w:space="0" w:color="auto"/>
        <w:right w:val="none" w:sz="0" w:space="0" w:color="auto"/>
      </w:divBdr>
    </w:div>
    <w:div w:id="1578516489">
      <w:bodyDiv w:val="1"/>
      <w:marLeft w:val="0"/>
      <w:marRight w:val="0"/>
      <w:marTop w:val="0"/>
      <w:marBottom w:val="0"/>
      <w:divBdr>
        <w:top w:val="none" w:sz="0" w:space="0" w:color="auto"/>
        <w:left w:val="none" w:sz="0" w:space="0" w:color="auto"/>
        <w:bottom w:val="none" w:sz="0" w:space="0" w:color="auto"/>
        <w:right w:val="none" w:sz="0" w:space="0" w:color="auto"/>
      </w:divBdr>
    </w:div>
    <w:div w:id="1626693918">
      <w:bodyDiv w:val="1"/>
      <w:marLeft w:val="0"/>
      <w:marRight w:val="0"/>
      <w:marTop w:val="0"/>
      <w:marBottom w:val="0"/>
      <w:divBdr>
        <w:top w:val="none" w:sz="0" w:space="0" w:color="auto"/>
        <w:left w:val="none" w:sz="0" w:space="0" w:color="auto"/>
        <w:bottom w:val="none" w:sz="0" w:space="0" w:color="auto"/>
        <w:right w:val="none" w:sz="0" w:space="0" w:color="auto"/>
      </w:divBdr>
    </w:div>
    <w:div w:id="1701852315">
      <w:bodyDiv w:val="1"/>
      <w:marLeft w:val="0"/>
      <w:marRight w:val="0"/>
      <w:marTop w:val="0"/>
      <w:marBottom w:val="0"/>
      <w:divBdr>
        <w:top w:val="none" w:sz="0" w:space="0" w:color="auto"/>
        <w:left w:val="none" w:sz="0" w:space="0" w:color="auto"/>
        <w:bottom w:val="none" w:sz="0" w:space="0" w:color="auto"/>
        <w:right w:val="none" w:sz="0" w:space="0" w:color="auto"/>
      </w:divBdr>
    </w:div>
    <w:div w:id="1731922288">
      <w:bodyDiv w:val="1"/>
      <w:marLeft w:val="0"/>
      <w:marRight w:val="0"/>
      <w:marTop w:val="0"/>
      <w:marBottom w:val="0"/>
      <w:divBdr>
        <w:top w:val="none" w:sz="0" w:space="0" w:color="auto"/>
        <w:left w:val="none" w:sz="0" w:space="0" w:color="auto"/>
        <w:bottom w:val="none" w:sz="0" w:space="0" w:color="auto"/>
        <w:right w:val="none" w:sz="0" w:space="0" w:color="auto"/>
      </w:divBdr>
    </w:div>
    <w:div w:id="1772629785">
      <w:bodyDiv w:val="1"/>
      <w:marLeft w:val="0"/>
      <w:marRight w:val="0"/>
      <w:marTop w:val="0"/>
      <w:marBottom w:val="0"/>
      <w:divBdr>
        <w:top w:val="none" w:sz="0" w:space="0" w:color="auto"/>
        <w:left w:val="none" w:sz="0" w:space="0" w:color="auto"/>
        <w:bottom w:val="none" w:sz="0" w:space="0" w:color="auto"/>
        <w:right w:val="none" w:sz="0" w:space="0" w:color="auto"/>
      </w:divBdr>
    </w:div>
    <w:div w:id="1780222038">
      <w:bodyDiv w:val="1"/>
      <w:marLeft w:val="0"/>
      <w:marRight w:val="0"/>
      <w:marTop w:val="0"/>
      <w:marBottom w:val="0"/>
      <w:divBdr>
        <w:top w:val="none" w:sz="0" w:space="0" w:color="auto"/>
        <w:left w:val="none" w:sz="0" w:space="0" w:color="auto"/>
        <w:bottom w:val="none" w:sz="0" w:space="0" w:color="auto"/>
        <w:right w:val="none" w:sz="0" w:space="0" w:color="auto"/>
      </w:divBdr>
    </w:div>
    <w:div w:id="1880780936">
      <w:bodyDiv w:val="1"/>
      <w:marLeft w:val="0"/>
      <w:marRight w:val="0"/>
      <w:marTop w:val="0"/>
      <w:marBottom w:val="0"/>
      <w:divBdr>
        <w:top w:val="none" w:sz="0" w:space="0" w:color="auto"/>
        <w:left w:val="none" w:sz="0" w:space="0" w:color="auto"/>
        <w:bottom w:val="none" w:sz="0" w:space="0" w:color="auto"/>
        <w:right w:val="none" w:sz="0" w:space="0" w:color="auto"/>
      </w:divBdr>
    </w:div>
    <w:div w:id="1899433844">
      <w:bodyDiv w:val="1"/>
      <w:marLeft w:val="0"/>
      <w:marRight w:val="0"/>
      <w:marTop w:val="0"/>
      <w:marBottom w:val="0"/>
      <w:divBdr>
        <w:top w:val="none" w:sz="0" w:space="0" w:color="auto"/>
        <w:left w:val="none" w:sz="0" w:space="0" w:color="auto"/>
        <w:bottom w:val="none" w:sz="0" w:space="0" w:color="auto"/>
        <w:right w:val="none" w:sz="0" w:space="0" w:color="auto"/>
      </w:divBdr>
    </w:div>
    <w:div w:id="211775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204</TotalTime>
  <Pages>12</Pages>
  <Words>3440</Words>
  <Characters>22755</Characters>
  <Application>Microsoft Office Word</Application>
  <DocSecurity>0</DocSecurity>
  <Lines>189</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2021050622 mt</dc:description>
  <cp:lastModifiedBy>Hanne Thy Iversen</cp:lastModifiedBy>
  <cp:revision>11</cp:revision>
  <cp:lastPrinted>2012-08-22T08:53:00Z</cp:lastPrinted>
  <dcterms:created xsi:type="dcterms:W3CDTF">2023-09-14T08:29:00Z</dcterms:created>
  <dcterms:modified xsi:type="dcterms:W3CDTF">2023-09-22T08:34:00Z</dcterms:modified>
</cp:coreProperties>
</file>