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D57BC" w14:textId="77777777" w:rsidR="009260DE" w:rsidRPr="005F77CE" w:rsidRDefault="0021526C" w:rsidP="009260DE">
      <w:pPr>
        <w:rPr>
          <w:sz w:val="24"/>
          <w:szCs w:val="24"/>
        </w:rPr>
      </w:pPr>
      <w:bookmarkStart w:id="0" w:name="_GoBack"/>
      <w:bookmarkEnd w:id="0"/>
      <w:r w:rsidRPr="005F77CE">
        <w:rPr>
          <w:noProof/>
          <w:sz w:val="24"/>
          <w:szCs w:val="24"/>
          <w:lang w:eastAsia="da-DK"/>
        </w:rPr>
        <w:drawing>
          <wp:anchor distT="0" distB="0" distL="114300" distR="114300" simplePos="0" relativeHeight="251658240" behindDoc="0" locked="0" layoutInCell="1" allowOverlap="1" wp14:anchorId="7CBDC1EB" wp14:editId="16C54B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F77CE">
        <w:rPr>
          <w:sz w:val="24"/>
          <w:szCs w:val="24"/>
        </w:rPr>
        <w:br w:type="textWrapping" w:clear="all"/>
      </w:r>
    </w:p>
    <w:p w14:paraId="7B16CC7F" w14:textId="2FEF5168" w:rsidR="009260DE" w:rsidRPr="005F77CE" w:rsidRDefault="009260DE" w:rsidP="009260DE">
      <w:pPr>
        <w:pStyle w:val="Titel"/>
        <w:tabs>
          <w:tab w:val="right" w:pos="9356"/>
        </w:tabs>
        <w:jc w:val="left"/>
        <w:rPr>
          <w:b w:val="0"/>
          <w:szCs w:val="24"/>
          <w:lang w:eastAsia="en-US"/>
        </w:rPr>
      </w:pPr>
      <w:r w:rsidRPr="005F77CE">
        <w:rPr>
          <w:b w:val="0"/>
          <w:szCs w:val="24"/>
          <w:lang w:eastAsia="en-US"/>
        </w:rPr>
        <w:tab/>
      </w:r>
      <w:r w:rsidR="008F1723">
        <w:rPr>
          <w:szCs w:val="24"/>
        </w:rPr>
        <w:t>15. september 2022</w:t>
      </w:r>
    </w:p>
    <w:p w14:paraId="34B00DB6" w14:textId="77777777" w:rsidR="009260DE" w:rsidRPr="005F77CE" w:rsidRDefault="009260DE" w:rsidP="009260DE">
      <w:pPr>
        <w:pStyle w:val="Titel"/>
        <w:tabs>
          <w:tab w:val="left" w:pos="8222"/>
        </w:tabs>
        <w:jc w:val="left"/>
        <w:rPr>
          <w:b w:val="0"/>
          <w:szCs w:val="24"/>
        </w:rPr>
      </w:pPr>
    </w:p>
    <w:p w14:paraId="610AD668" w14:textId="77777777" w:rsidR="009260DE" w:rsidRPr="005F77CE" w:rsidRDefault="009260DE" w:rsidP="009260DE">
      <w:pPr>
        <w:pStyle w:val="Titel"/>
        <w:jc w:val="left"/>
        <w:rPr>
          <w:b w:val="0"/>
          <w:szCs w:val="24"/>
        </w:rPr>
      </w:pPr>
    </w:p>
    <w:p w14:paraId="77D04512" w14:textId="77777777" w:rsidR="009260DE" w:rsidRPr="005F77CE" w:rsidRDefault="009260DE" w:rsidP="009260DE">
      <w:pPr>
        <w:pStyle w:val="Titel"/>
        <w:jc w:val="left"/>
        <w:rPr>
          <w:b w:val="0"/>
          <w:szCs w:val="24"/>
        </w:rPr>
      </w:pPr>
    </w:p>
    <w:p w14:paraId="0BF6B5F5" w14:textId="77777777" w:rsidR="009260DE" w:rsidRPr="005F77CE" w:rsidRDefault="009260DE" w:rsidP="009260DE">
      <w:pPr>
        <w:jc w:val="center"/>
        <w:rPr>
          <w:b/>
          <w:sz w:val="24"/>
          <w:szCs w:val="24"/>
        </w:rPr>
      </w:pPr>
      <w:r w:rsidRPr="005F77CE">
        <w:rPr>
          <w:b/>
          <w:sz w:val="24"/>
          <w:szCs w:val="24"/>
        </w:rPr>
        <w:t>PRODUKTRESUMÉ</w:t>
      </w:r>
    </w:p>
    <w:p w14:paraId="12AF3992" w14:textId="77777777" w:rsidR="009260DE" w:rsidRPr="005F77CE" w:rsidRDefault="009260DE" w:rsidP="009260DE">
      <w:pPr>
        <w:jc w:val="center"/>
        <w:rPr>
          <w:b/>
          <w:sz w:val="24"/>
          <w:szCs w:val="24"/>
        </w:rPr>
      </w:pPr>
    </w:p>
    <w:p w14:paraId="6740470A" w14:textId="77777777" w:rsidR="009260DE" w:rsidRPr="005F77CE" w:rsidRDefault="009260DE" w:rsidP="009260DE">
      <w:pPr>
        <w:jc w:val="center"/>
        <w:rPr>
          <w:b/>
          <w:sz w:val="24"/>
          <w:szCs w:val="24"/>
        </w:rPr>
      </w:pPr>
      <w:r w:rsidRPr="005F77CE">
        <w:rPr>
          <w:b/>
          <w:sz w:val="24"/>
          <w:szCs w:val="24"/>
        </w:rPr>
        <w:t>for</w:t>
      </w:r>
    </w:p>
    <w:p w14:paraId="27F242E5" w14:textId="77777777" w:rsidR="000B058C" w:rsidRPr="005F77CE" w:rsidRDefault="000B058C" w:rsidP="009260DE">
      <w:pPr>
        <w:jc w:val="center"/>
        <w:rPr>
          <w:b/>
          <w:sz w:val="24"/>
          <w:szCs w:val="24"/>
        </w:rPr>
      </w:pPr>
    </w:p>
    <w:p w14:paraId="13FD1320" w14:textId="64ECD1A1" w:rsidR="009260DE" w:rsidRPr="005F77CE" w:rsidRDefault="00F7288C" w:rsidP="009260DE">
      <w:pPr>
        <w:jc w:val="center"/>
        <w:rPr>
          <w:b/>
          <w:sz w:val="24"/>
          <w:szCs w:val="24"/>
        </w:rPr>
      </w:pPr>
      <w:proofErr w:type="spellStart"/>
      <w:r w:rsidRPr="005F77CE">
        <w:rPr>
          <w:b/>
          <w:sz w:val="24"/>
          <w:szCs w:val="24"/>
        </w:rPr>
        <w:t>Foscarnet</w:t>
      </w:r>
      <w:proofErr w:type="spellEnd"/>
      <w:r w:rsidR="000C40C1" w:rsidRPr="005F77CE">
        <w:rPr>
          <w:b/>
          <w:sz w:val="24"/>
          <w:szCs w:val="24"/>
        </w:rPr>
        <w:t xml:space="preserve"> "</w:t>
      </w:r>
      <w:proofErr w:type="spellStart"/>
      <w:r w:rsidR="000C40C1" w:rsidRPr="005F77CE">
        <w:rPr>
          <w:b/>
          <w:sz w:val="24"/>
          <w:szCs w:val="24"/>
        </w:rPr>
        <w:t>Tillomed</w:t>
      </w:r>
      <w:proofErr w:type="spellEnd"/>
      <w:r w:rsidR="000C40C1" w:rsidRPr="005F77CE">
        <w:rPr>
          <w:b/>
          <w:sz w:val="24"/>
          <w:szCs w:val="24"/>
        </w:rPr>
        <w:t>", infusionsvæske, opløsning</w:t>
      </w:r>
    </w:p>
    <w:p w14:paraId="6ED3747C" w14:textId="77777777" w:rsidR="009260DE" w:rsidRPr="005F77CE" w:rsidRDefault="009260DE" w:rsidP="009260DE">
      <w:pPr>
        <w:jc w:val="both"/>
        <w:rPr>
          <w:sz w:val="24"/>
          <w:szCs w:val="24"/>
        </w:rPr>
      </w:pPr>
    </w:p>
    <w:p w14:paraId="4128AC49" w14:textId="77777777" w:rsidR="009260DE" w:rsidRPr="005F77CE" w:rsidRDefault="009260DE" w:rsidP="009260DE">
      <w:pPr>
        <w:jc w:val="both"/>
        <w:rPr>
          <w:sz w:val="24"/>
          <w:szCs w:val="24"/>
        </w:rPr>
      </w:pPr>
    </w:p>
    <w:p w14:paraId="50665472" w14:textId="77777777" w:rsidR="009260DE" w:rsidRPr="005F77CE" w:rsidRDefault="009260DE" w:rsidP="009260DE">
      <w:pPr>
        <w:tabs>
          <w:tab w:val="left" w:pos="851"/>
        </w:tabs>
        <w:ind w:left="851" w:hanging="851"/>
        <w:rPr>
          <w:b/>
          <w:sz w:val="24"/>
          <w:szCs w:val="24"/>
        </w:rPr>
      </w:pPr>
      <w:r w:rsidRPr="005F77CE">
        <w:rPr>
          <w:b/>
          <w:sz w:val="24"/>
          <w:szCs w:val="24"/>
        </w:rPr>
        <w:t>0.</w:t>
      </w:r>
      <w:r w:rsidRPr="005F77CE">
        <w:rPr>
          <w:b/>
          <w:sz w:val="24"/>
          <w:szCs w:val="24"/>
        </w:rPr>
        <w:tab/>
        <w:t>D.SP.NR.</w:t>
      </w:r>
    </w:p>
    <w:p w14:paraId="00C270C9" w14:textId="71D9DDEF" w:rsidR="009260DE" w:rsidRPr="005F77CE" w:rsidRDefault="00F3355F" w:rsidP="009260DE">
      <w:pPr>
        <w:tabs>
          <w:tab w:val="left" w:pos="851"/>
        </w:tabs>
        <w:ind w:left="851"/>
        <w:rPr>
          <w:sz w:val="24"/>
          <w:szCs w:val="24"/>
        </w:rPr>
      </w:pPr>
      <w:r w:rsidRPr="005F77CE">
        <w:rPr>
          <w:sz w:val="24"/>
          <w:szCs w:val="24"/>
        </w:rPr>
        <w:t>32105</w:t>
      </w:r>
    </w:p>
    <w:p w14:paraId="3E6D7A8E" w14:textId="77777777" w:rsidR="009260DE" w:rsidRPr="005F77CE" w:rsidRDefault="009260DE" w:rsidP="009260DE">
      <w:pPr>
        <w:tabs>
          <w:tab w:val="left" w:pos="851"/>
        </w:tabs>
        <w:ind w:left="851"/>
        <w:rPr>
          <w:sz w:val="24"/>
          <w:szCs w:val="24"/>
        </w:rPr>
      </w:pPr>
    </w:p>
    <w:p w14:paraId="09036186" w14:textId="77777777" w:rsidR="009260DE" w:rsidRPr="005F77CE" w:rsidRDefault="009260DE" w:rsidP="009260DE">
      <w:pPr>
        <w:tabs>
          <w:tab w:val="left" w:pos="851"/>
        </w:tabs>
        <w:ind w:left="851" w:hanging="851"/>
        <w:rPr>
          <w:b/>
          <w:sz w:val="24"/>
          <w:szCs w:val="24"/>
        </w:rPr>
      </w:pPr>
      <w:r w:rsidRPr="005F77CE">
        <w:rPr>
          <w:b/>
          <w:sz w:val="24"/>
          <w:szCs w:val="24"/>
        </w:rPr>
        <w:t>1.</w:t>
      </w:r>
      <w:r w:rsidRPr="005F77CE">
        <w:rPr>
          <w:b/>
          <w:sz w:val="24"/>
          <w:szCs w:val="24"/>
        </w:rPr>
        <w:tab/>
        <w:t>LÆGEMIDLETS NAVN</w:t>
      </w:r>
    </w:p>
    <w:p w14:paraId="61C0F8A4" w14:textId="5249CDB3" w:rsidR="009260DE" w:rsidRPr="005F77CE" w:rsidRDefault="00F3355F" w:rsidP="009260DE">
      <w:pPr>
        <w:tabs>
          <w:tab w:val="left" w:pos="851"/>
        </w:tabs>
        <w:ind w:left="851"/>
        <w:rPr>
          <w:sz w:val="24"/>
          <w:szCs w:val="24"/>
        </w:rPr>
      </w:pPr>
      <w:proofErr w:type="spellStart"/>
      <w:r w:rsidRPr="005F77CE">
        <w:rPr>
          <w:sz w:val="24"/>
          <w:szCs w:val="24"/>
        </w:rPr>
        <w:t>Foscarnet</w:t>
      </w:r>
      <w:proofErr w:type="spellEnd"/>
      <w:r w:rsidRPr="005F77CE">
        <w:rPr>
          <w:sz w:val="24"/>
          <w:szCs w:val="24"/>
        </w:rPr>
        <w:t xml:space="preserve"> "</w:t>
      </w:r>
      <w:proofErr w:type="spellStart"/>
      <w:r w:rsidRPr="005F77CE">
        <w:rPr>
          <w:sz w:val="24"/>
          <w:szCs w:val="24"/>
        </w:rPr>
        <w:t>Tillomed</w:t>
      </w:r>
      <w:proofErr w:type="spellEnd"/>
      <w:r w:rsidRPr="005F77CE">
        <w:rPr>
          <w:sz w:val="24"/>
          <w:szCs w:val="24"/>
        </w:rPr>
        <w:t>"</w:t>
      </w:r>
    </w:p>
    <w:p w14:paraId="430F96CD" w14:textId="77777777" w:rsidR="009260DE" w:rsidRPr="005F77CE" w:rsidRDefault="009260DE" w:rsidP="009260DE">
      <w:pPr>
        <w:tabs>
          <w:tab w:val="left" w:pos="851"/>
        </w:tabs>
        <w:ind w:left="851"/>
        <w:rPr>
          <w:sz w:val="24"/>
          <w:szCs w:val="24"/>
        </w:rPr>
      </w:pPr>
    </w:p>
    <w:p w14:paraId="48190D8A" w14:textId="77777777" w:rsidR="009260DE" w:rsidRPr="005F77CE" w:rsidRDefault="009260DE" w:rsidP="009260DE">
      <w:pPr>
        <w:tabs>
          <w:tab w:val="left" w:pos="851"/>
        </w:tabs>
        <w:ind w:left="851" w:hanging="851"/>
        <w:rPr>
          <w:b/>
          <w:sz w:val="24"/>
          <w:szCs w:val="24"/>
        </w:rPr>
      </w:pPr>
      <w:r w:rsidRPr="005F77CE">
        <w:rPr>
          <w:b/>
          <w:sz w:val="24"/>
          <w:szCs w:val="24"/>
        </w:rPr>
        <w:t>2.</w:t>
      </w:r>
      <w:r w:rsidRPr="005F77CE">
        <w:rPr>
          <w:b/>
          <w:sz w:val="24"/>
          <w:szCs w:val="24"/>
        </w:rPr>
        <w:tab/>
        <w:t>KVALITATIV OG KVANTITATIV SAMMENSÆTNING</w:t>
      </w:r>
    </w:p>
    <w:p w14:paraId="40F24B71" w14:textId="77777777" w:rsidR="00243FF4" w:rsidRPr="005F77CE" w:rsidRDefault="00243FF4" w:rsidP="00473F2D">
      <w:pPr>
        <w:ind w:left="851"/>
        <w:rPr>
          <w:sz w:val="24"/>
          <w:szCs w:val="24"/>
          <w:lang w:eastAsia="en-GB"/>
        </w:rPr>
      </w:pPr>
      <w:r w:rsidRPr="005F77CE">
        <w:rPr>
          <w:sz w:val="24"/>
          <w:szCs w:val="24"/>
        </w:rPr>
        <w:t xml:space="preserve">Hver ml infusionsvæske, opløsning indeholder 24 mg </w:t>
      </w:r>
      <w:proofErr w:type="spellStart"/>
      <w:r w:rsidRPr="005F77CE">
        <w:rPr>
          <w:sz w:val="24"/>
          <w:szCs w:val="24"/>
        </w:rPr>
        <w:t>foscarnetnatriumhexahydrat</w:t>
      </w:r>
      <w:proofErr w:type="spellEnd"/>
      <w:r w:rsidRPr="005F77CE">
        <w:rPr>
          <w:sz w:val="24"/>
          <w:szCs w:val="24"/>
        </w:rPr>
        <w:t>.</w:t>
      </w:r>
    </w:p>
    <w:p w14:paraId="2A44F948" w14:textId="77777777" w:rsidR="00243FF4" w:rsidRPr="005F77CE" w:rsidRDefault="00243FF4" w:rsidP="00473F2D">
      <w:pPr>
        <w:ind w:left="851"/>
        <w:rPr>
          <w:sz w:val="24"/>
          <w:szCs w:val="24"/>
        </w:rPr>
      </w:pPr>
      <w:r w:rsidRPr="005F77CE">
        <w:rPr>
          <w:sz w:val="24"/>
          <w:szCs w:val="24"/>
        </w:rPr>
        <w:t xml:space="preserve">Hver 250 ml flaske indeholder 6000 mg </w:t>
      </w:r>
      <w:proofErr w:type="spellStart"/>
      <w:r w:rsidRPr="005F77CE">
        <w:rPr>
          <w:sz w:val="24"/>
          <w:szCs w:val="24"/>
        </w:rPr>
        <w:t>foscarnetnatriumhexahydrat</w:t>
      </w:r>
      <w:proofErr w:type="spellEnd"/>
      <w:r w:rsidRPr="005F77CE">
        <w:rPr>
          <w:sz w:val="24"/>
          <w:szCs w:val="24"/>
        </w:rPr>
        <w:t xml:space="preserve">. </w:t>
      </w:r>
    </w:p>
    <w:p w14:paraId="331C00B8" w14:textId="77777777" w:rsidR="00243FF4" w:rsidRPr="005F77CE" w:rsidRDefault="00243FF4" w:rsidP="00473F2D">
      <w:pPr>
        <w:ind w:left="851"/>
        <w:rPr>
          <w:sz w:val="24"/>
          <w:szCs w:val="24"/>
        </w:rPr>
      </w:pPr>
    </w:p>
    <w:p w14:paraId="54546A36" w14:textId="77777777" w:rsidR="00243FF4" w:rsidRPr="005F77CE" w:rsidRDefault="00243FF4" w:rsidP="00473F2D">
      <w:pPr>
        <w:ind w:left="851"/>
        <w:rPr>
          <w:sz w:val="24"/>
          <w:szCs w:val="24"/>
        </w:rPr>
      </w:pPr>
      <w:r w:rsidRPr="005F77CE">
        <w:rPr>
          <w:sz w:val="24"/>
          <w:szCs w:val="24"/>
        </w:rPr>
        <w:t xml:space="preserve">Hver 250 ml flaske indeholder 1375 mg (60 mmol) natrium som en bestanddel af det aktive stof. </w:t>
      </w:r>
    </w:p>
    <w:p w14:paraId="457B6B84" w14:textId="77777777" w:rsidR="00243FF4" w:rsidRPr="005F77CE" w:rsidRDefault="00243FF4" w:rsidP="00473F2D">
      <w:pPr>
        <w:ind w:left="851"/>
        <w:rPr>
          <w:sz w:val="24"/>
          <w:szCs w:val="24"/>
        </w:rPr>
      </w:pPr>
    </w:p>
    <w:p w14:paraId="2AD86EE3" w14:textId="77777777" w:rsidR="00243FF4" w:rsidRPr="005F77CE" w:rsidRDefault="00243FF4" w:rsidP="00473F2D">
      <w:pPr>
        <w:ind w:left="851"/>
        <w:rPr>
          <w:noProof/>
          <w:sz w:val="24"/>
          <w:szCs w:val="24"/>
        </w:rPr>
      </w:pPr>
      <w:r w:rsidRPr="005F77CE">
        <w:rPr>
          <w:sz w:val="24"/>
          <w:szCs w:val="24"/>
        </w:rPr>
        <w:t>Alle hjælpestoffer er anført under pkt. 6.1.</w:t>
      </w:r>
    </w:p>
    <w:p w14:paraId="3E101DBB" w14:textId="77777777" w:rsidR="009260DE" w:rsidRPr="005F77CE" w:rsidRDefault="009260DE" w:rsidP="009260DE">
      <w:pPr>
        <w:tabs>
          <w:tab w:val="left" w:pos="851"/>
        </w:tabs>
        <w:ind w:left="851"/>
        <w:rPr>
          <w:sz w:val="24"/>
          <w:szCs w:val="24"/>
        </w:rPr>
      </w:pPr>
    </w:p>
    <w:p w14:paraId="0B5175AA" w14:textId="77777777" w:rsidR="009260DE" w:rsidRPr="005F77CE" w:rsidRDefault="009260DE" w:rsidP="009260DE">
      <w:pPr>
        <w:tabs>
          <w:tab w:val="left" w:pos="851"/>
        </w:tabs>
        <w:ind w:left="851" w:hanging="851"/>
        <w:rPr>
          <w:b/>
          <w:sz w:val="24"/>
          <w:szCs w:val="24"/>
        </w:rPr>
      </w:pPr>
      <w:r w:rsidRPr="005F77CE">
        <w:rPr>
          <w:b/>
          <w:sz w:val="24"/>
          <w:szCs w:val="24"/>
        </w:rPr>
        <w:t>3.</w:t>
      </w:r>
      <w:r w:rsidRPr="005F77CE">
        <w:rPr>
          <w:b/>
          <w:sz w:val="24"/>
          <w:szCs w:val="24"/>
        </w:rPr>
        <w:tab/>
        <w:t>LÆGEMIDDELFORM</w:t>
      </w:r>
    </w:p>
    <w:p w14:paraId="6257B1CA" w14:textId="77777777" w:rsidR="00B547B5" w:rsidRDefault="00B547B5" w:rsidP="00473F2D">
      <w:pPr>
        <w:ind w:left="851"/>
        <w:rPr>
          <w:sz w:val="24"/>
          <w:szCs w:val="24"/>
        </w:rPr>
      </w:pPr>
      <w:r>
        <w:rPr>
          <w:sz w:val="24"/>
          <w:szCs w:val="24"/>
        </w:rPr>
        <w:t>I</w:t>
      </w:r>
      <w:r w:rsidR="00243FF4" w:rsidRPr="005F77CE">
        <w:rPr>
          <w:sz w:val="24"/>
          <w:szCs w:val="24"/>
        </w:rPr>
        <w:t xml:space="preserve">nfusionsvæske, opløsning </w:t>
      </w:r>
    </w:p>
    <w:p w14:paraId="45EA4A91" w14:textId="3AFEF708" w:rsidR="00243FF4" w:rsidRPr="005F77CE" w:rsidRDefault="00243FF4" w:rsidP="00473F2D">
      <w:pPr>
        <w:ind w:left="851"/>
        <w:rPr>
          <w:sz w:val="24"/>
          <w:szCs w:val="24"/>
          <w:lang w:eastAsia="en-GB"/>
        </w:rPr>
      </w:pPr>
      <w:r w:rsidRPr="005F77CE">
        <w:rPr>
          <w:sz w:val="24"/>
          <w:szCs w:val="24"/>
        </w:rPr>
        <w:t xml:space="preserve">Klar og farveløs opløsning, stort set fri for partikler </w:t>
      </w:r>
    </w:p>
    <w:p w14:paraId="483B7431" w14:textId="77777777" w:rsidR="00243FF4" w:rsidRPr="005F77CE" w:rsidRDefault="00243FF4" w:rsidP="00473F2D">
      <w:pPr>
        <w:ind w:left="851"/>
        <w:rPr>
          <w:sz w:val="24"/>
          <w:szCs w:val="24"/>
        </w:rPr>
      </w:pPr>
      <w:r w:rsidRPr="005F77CE">
        <w:rPr>
          <w:sz w:val="24"/>
          <w:szCs w:val="24"/>
        </w:rPr>
        <w:t>pH: Mellem 7,2 og 7,6</w:t>
      </w:r>
    </w:p>
    <w:p w14:paraId="2BE55BA3" w14:textId="77777777" w:rsidR="00243FF4" w:rsidRPr="005F77CE" w:rsidRDefault="00243FF4" w:rsidP="00473F2D">
      <w:pPr>
        <w:ind w:left="851"/>
        <w:rPr>
          <w:sz w:val="24"/>
          <w:szCs w:val="24"/>
        </w:rPr>
      </w:pPr>
      <w:proofErr w:type="spellStart"/>
      <w:r w:rsidRPr="005F77CE">
        <w:rPr>
          <w:sz w:val="24"/>
          <w:szCs w:val="24"/>
        </w:rPr>
        <w:t>Osmolalitet</w:t>
      </w:r>
      <w:proofErr w:type="spellEnd"/>
      <w:r w:rsidRPr="005F77CE">
        <w:rPr>
          <w:sz w:val="24"/>
          <w:szCs w:val="24"/>
        </w:rPr>
        <w:t xml:space="preserve">: Mellem 240 </w:t>
      </w:r>
      <w:proofErr w:type="spellStart"/>
      <w:r w:rsidRPr="005F77CE">
        <w:rPr>
          <w:sz w:val="24"/>
          <w:szCs w:val="24"/>
        </w:rPr>
        <w:t>mOsmol</w:t>
      </w:r>
      <w:proofErr w:type="spellEnd"/>
      <w:r w:rsidRPr="005F77CE">
        <w:rPr>
          <w:sz w:val="24"/>
          <w:szCs w:val="24"/>
        </w:rPr>
        <w:t xml:space="preserve">/kg og 300 </w:t>
      </w:r>
      <w:proofErr w:type="spellStart"/>
      <w:r w:rsidRPr="005F77CE">
        <w:rPr>
          <w:sz w:val="24"/>
          <w:szCs w:val="24"/>
        </w:rPr>
        <w:t>mOsmol</w:t>
      </w:r>
      <w:proofErr w:type="spellEnd"/>
      <w:r w:rsidRPr="005F77CE">
        <w:rPr>
          <w:sz w:val="24"/>
          <w:szCs w:val="24"/>
        </w:rPr>
        <w:t>/kg</w:t>
      </w:r>
    </w:p>
    <w:p w14:paraId="74232387" w14:textId="77777777" w:rsidR="009260DE" w:rsidRPr="005F77CE" w:rsidRDefault="009260DE" w:rsidP="009260DE">
      <w:pPr>
        <w:tabs>
          <w:tab w:val="left" w:pos="851"/>
        </w:tabs>
        <w:ind w:left="851"/>
        <w:rPr>
          <w:sz w:val="24"/>
          <w:szCs w:val="24"/>
        </w:rPr>
      </w:pPr>
    </w:p>
    <w:p w14:paraId="0316DA59" w14:textId="77777777" w:rsidR="009260DE" w:rsidRPr="005F77CE" w:rsidRDefault="009260DE" w:rsidP="009260DE">
      <w:pPr>
        <w:tabs>
          <w:tab w:val="left" w:pos="851"/>
        </w:tabs>
        <w:ind w:left="851"/>
        <w:rPr>
          <w:sz w:val="24"/>
          <w:szCs w:val="24"/>
        </w:rPr>
      </w:pPr>
    </w:p>
    <w:p w14:paraId="1EC335D1" w14:textId="77777777" w:rsidR="009260DE" w:rsidRPr="005F77CE" w:rsidRDefault="009260DE" w:rsidP="009260DE">
      <w:pPr>
        <w:tabs>
          <w:tab w:val="left" w:pos="851"/>
        </w:tabs>
        <w:ind w:left="851" w:hanging="851"/>
        <w:rPr>
          <w:b/>
          <w:sz w:val="24"/>
          <w:szCs w:val="24"/>
        </w:rPr>
      </w:pPr>
      <w:r w:rsidRPr="005F77CE">
        <w:rPr>
          <w:b/>
          <w:sz w:val="24"/>
          <w:szCs w:val="24"/>
        </w:rPr>
        <w:t>4.</w:t>
      </w:r>
      <w:r w:rsidRPr="005F77CE">
        <w:rPr>
          <w:b/>
          <w:sz w:val="24"/>
          <w:szCs w:val="24"/>
        </w:rPr>
        <w:tab/>
        <w:t>KLINISKE OPLYSNINGER</w:t>
      </w:r>
    </w:p>
    <w:p w14:paraId="41F45038" w14:textId="77777777" w:rsidR="009260DE" w:rsidRPr="005F77CE" w:rsidRDefault="009260DE" w:rsidP="009260DE">
      <w:pPr>
        <w:tabs>
          <w:tab w:val="left" w:pos="851"/>
        </w:tabs>
        <w:ind w:left="851"/>
        <w:rPr>
          <w:b/>
          <w:sz w:val="24"/>
          <w:szCs w:val="24"/>
        </w:rPr>
      </w:pPr>
    </w:p>
    <w:p w14:paraId="54B65526" w14:textId="77777777" w:rsidR="009260DE" w:rsidRPr="005F77CE" w:rsidRDefault="009260DE" w:rsidP="009260DE">
      <w:pPr>
        <w:tabs>
          <w:tab w:val="left" w:pos="851"/>
        </w:tabs>
        <w:ind w:left="851" w:hanging="851"/>
        <w:rPr>
          <w:b/>
          <w:sz w:val="24"/>
          <w:szCs w:val="24"/>
          <w:u w:val="single"/>
        </w:rPr>
      </w:pPr>
      <w:r w:rsidRPr="005F77CE">
        <w:rPr>
          <w:b/>
          <w:sz w:val="24"/>
          <w:szCs w:val="24"/>
        </w:rPr>
        <w:t>4.1</w:t>
      </w:r>
      <w:r w:rsidRPr="005F77CE">
        <w:rPr>
          <w:b/>
          <w:sz w:val="24"/>
          <w:szCs w:val="24"/>
        </w:rPr>
        <w:tab/>
        <w:t>Terapeutiske indikationer</w:t>
      </w:r>
    </w:p>
    <w:p w14:paraId="66D01D8D" w14:textId="5757D5BE" w:rsidR="00243FF4" w:rsidRPr="005F77CE" w:rsidRDefault="00243FF4" w:rsidP="00473F2D">
      <w:pPr>
        <w:ind w:left="851"/>
        <w:rPr>
          <w:noProof/>
          <w:sz w:val="24"/>
          <w:szCs w:val="24"/>
          <w:lang w:eastAsia="en-GB"/>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må kun bruges til patienter med erhvervet immundefektsyndrom (AIDS). </w:t>
      </w:r>
    </w:p>
    <w:p w14:paraId="590A98AA" w14:textId="5103AA57" w:rsidR="00243FF4" w:rsidRDefault="00243FF4" w:rsidP="00B547B5">
      <w:pPr>
        <w:pStyle w:val="Listeafsnit"/>
        <w:numPr>
          <w:ilvl w:val="0"/>
          <w:numId w:val="6"/>
        </w:numPr>
        <w:ind w:left="1276" w:hanging="425"/>
        <w:rPr>
          <w:sz w:val="24"/>
          <w:szCs w:val="24"/>
        </w:rPr>
      </w:pPr>
      <w:r w:rsidRPr="00B547B5">
        <w:rPr>
          <w:sz w:val="24"/>
          <w:szCs w:val="24"/>
        </w:rPr>
        <w:t xml:space="preserve">Livstruende eller øjentruende sygdom forårsaget af </w:t>
      </w:r>
      <w:proofErr w:type="spellStart"/>
      <w:r w:rsidRPr="00B547B5">
        <w:rPr>
          <w:sz w:val="24"/>
          <w:szCs w:val="24"/>
        </w:rPr>
        <w:t>cytomegalovirus</w:t>
      </w:r>
      <w:proofErr w:type="spellEnd"/>
      <w:r w:rsidRPr="00B547B5">
        <w:rPr>
          <w:sz w:val="24"/>
          <w:szCs w:val="24"/>
        </w:rPr>
        <w:t xml:space="preserve"> (CMV). Behandling med </w:t>
      </w:r>
      <w:proofErr w:type="spellStart"/>
      <w:r w:rsidRPr="00B547B5">
        <w:rPr>
          <w:sz w:val="24"/>
          <w:szCs w:val="24"/>
        </w:rPr>
        <w:t>Foscarnet</w:t>
      </w:r>
      <w:proofErr w:type="spellEnd"/>
      <w:r w:rsidRPr="00B547B5">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B547B5">
        <w:rPr>
          <w:sz w:val="24"/>
          <w:szCs w:val="24"/>
        </w:rPr>
        <w:t xml:space="preserve"> må kun gives, hvis </w:t>
      </w:r>
      <w:proofErr w:type="spellStart"/>
      <w:r w:rsidRPr="00B547B5">
        <w:rPr>
          <w:sz w:val="24"/>
          <w:szCs w:val="24"/>
        </w:rPr>
        <w:t>cytomegalovirus</w:t>
      </w:r>
      <w:proofErr w:type="spellEnd"/>
      <w:r w:rsidRPr="00B547B5">
        <w:rPr>
          <w:sz w:val="24"/>
          <w:szCs w:val="24"/>
        </w:rPr>
        <w:t xml:space="preserve"> er påvist.</w:t>
      </w:r>
    </w:p>
    <w:p w14:paraId="14AAA7FF" w14:textId="77777777" w:rsidR="00A078F6" w:rsidRPr="00B547B5" w:rsidRDefault="00A078F6" w:rsidP="00A078F6">
      <w:pPr>
        <w:pStyle w:val="Listeafsnit"/>
        <w:ind w:left="1276"/>
        <w:rPr>
          <w:sz w:val="24"/>
          <w:szCs w:val="24"/>
        </w:rPr>
      </w:pPr>
    </w:p>
    <w:p w14:paraId="068FA7EC" w14:textId="1A7BD751" w:rsidR="00243FF4" w:rsidRPr="00B547B5" w:rsidRDefault="00243FF4" w:rsidP="00B547B5">
      <w:pPr>
        <w:pStyle w:val="Listeafsnit"/>
        <w:numPr>
          <w:ilvl w:val="0"/>
          <w:numId w:val="6"/>
        </w:numPr>
        <w:ind w:left="1276" w:hanging="425"/>
        <w:rPr>
          <w:noProof/>
          <w:sz w:val="24"/>
          <w:szCs w:val="24"/>
        </w:rPr>
      </w:pPr>
      <w:r w:rsidRPr="00B547B5">
        <w:rPr>
          <w:sz w:val="24"/>
          <w:szCs w:val="24"/>
        </w:rPr>
        <w:t xml:space="preserve">Til akutte, </w:t>
      </w:r>
      <w:proofErr w:type="spellStart"/>
      <w:r w:rsidRPr="00B547B5">
        <w:rPr>
          <w:sz w:val="24"/>
          <w:szCs w:val="24"/>
        </w:rPr>
        <w:t>mukokutane</w:t>
      </w:r>
      <w:proofErr w:type="spellEnd"/>
      <w:r w:rsidRPr="00B547B5">
        <w:rPr>
          <w:sz w:val="24"/>
          <w:szCs w:val="24"/>
        </w:rPr>
        <w:t xml:space="preserve"> infektioner forårsaget af </w:t>
      </w:r>
      <w:proofErr w:type="spellStart"/>
      <w:r w:rsidRPr="00B547B5">
        <w:rPr>
          <w:sz w:val="24"/>
          <w:szCs w:val="24"/>
        </w:rPr>
        <w:t>aciclovir</w:t>
      </w:r>
      <w:proofErr w:type="spellEnd"/>
      <w:r w:rsidRPr="00B547B5">
        <w:rPr>
          <w:sz w:val="24"/>
          <w:szCs w:val="24"/>
        </w:rPr>
        <w:t xml:space="preserve">-resistente herpes-virus (HSV). Behandling med </w:t>
      </w:r>
      <w:proofErr w:type="spellStart"/>
      <w:r w:rsidRPr="00B547B5">
        <w:rPr>
          <w:sz w:val="24"/>
          <w:szCs w:val="24"/>
        </w:rPr>
        <w:t>Foscarnet</w:t>
      </w:r>
      <w:proofErr w:type="spellEnd"/>
      <w:r w:rsidRPr="00B547B5">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B547B5">
        <w:rPr>
          <w:sz w:val="24"/>
          <w:szCs w:val="24"/>
        </w:rPr>
        <w:t xml:space="preserve"> skal gives, hvis der ikke findes nogen medicinsk acceptable behandlingsalternativer. På grund af risikoprofilen for det aktive indholdsstof kræves en streng indikation.</w:t>
      </w:r>
    </w:p>
    <w:p w14:paraId="5029CD5E" w14:textId="77777777" w:rsidR="00243FF4" w:rsidRPr="005F77CE" w:rsidRDefault="00243FF4" w:rsidP="00473F2D">
      <w:pPr>
        <w:ind w:left="851"/>
        <w:rPr>
          <w:bCs/>
          <w:sz w:val="24"/>
          <w:szCs w:val="24"/>
        </w:rPr>
      </w:pPr>
      <w:r w:rsidRPr="005F77CE">
        <w:rPr>
          <w:sz w:val="24"/>
          <w:szCs w:val="24"/>
        </w:rPr>
        <w:t xml:space="preserve">Hvis der sker tilbagefald, skal </w:t>
      </w:r>
      <w:proofErr w:type="spellStart"/>
      <w:r w:rsidRPr="005F77CE">
        <w:rPr>
          <w:sz w:val="24"/>
          <w:szCs w:val="24"/>
        </w:rPr>
        <w:t>aciclovir</w:t>
      </w:r>
      <w:proofErr w:type="spellEnd"/>
      <w:r w:rsidRPr="005F77CE">
        <w:rPr>
          <w:sz w:val="24"/>
          <w:szCs w:val="24"/>
        </w:rPr>
        <w:t>-resistensen gennemgås.</w:t>
      </w:r>
    </w:p>
    <w:p w14:paraId="2286B38B" w14:textId="77777777" w:rsidR="00B547B5" w:rsidRDefault="00B547B5" w:rsidP="00473F2D">
      <w:pPr>
        <w:ind w:left="851"/>
        <w:rPr>
          <w:sz w:val="24"/>
          <w:szCs w:val="24"/>
        </w:rPr>
      </w:pPr>
    </w:p>
    <w:p w14:paraId="6EB877AC" w14:textId="673CCCB9" w:rsidR="00243FF4" w:rsidRPr="005F77CE" w:rsidRDefault="00243FF4" w:rsidP="00473F2D">
      <w:pPr>
        <w:ind w:left="851"/>
        <w:rPr>
          <w:i/>
          <w:noProof/>
          <w:sz w:val="24"/>
          <w:szCs w:val="24"/>
        </w:rPr>
      </w:pPr>
      <w:r w:rsidRPr="005F77CE">
        <w:rPr>
          <w:sz w:val="24"/>
          <w:szCs w:val="24"/>
        </w:rPr>
        <w:t xml:space="preserve">De generelt accepterede retningslinjer for korrekt brug af lægemidler til behandling af </w:t>
      </w:r>
      <w:proofErr w:type="spellStart"/>
      <w:r w:rsidRPr="005F77CE">
        <w:rPr>
          <w:sz w:val="24"/>
          <w:szCs w:val="24"/>
        </w:rPr>
        <w:t>cytomegalovirus</w:t>
      </w:r>
      <w:proofErr w:type="spellEnd"/>
      <w:r w:rsidRPr="005F77CE">
        <w:rPr>
          <w:sz w:val="24"/>
          <w:szCs w:val="24"/>
        </w:rPr>
        <w:t xml:space="preserve"> eller herpes </w:t>
      </w:r>
      <w:proofErr w:type="spellStart"/>
      <w:r w:rsidRPr="005F77CE">
        <w:rPr>
          <w:sz w:val="24"/>
          <w:szCs w:val="24"/>
        </w:rPr>
        <w:t>simplex</w:t>
      </w:r>
      <w:proofErr w:type="spellEnd"/>
      <w:r w:rsidRPr="005F77CE">
        <w:rPr>
          <w:sz w:val="24"/>
          <w:szCs w:val="24"/>
        </w:rPr>
        <w:t>-infektioner hos patienter med HIV-infektion skal følges.</w:t>
      </w:r>
    </w:p>
    <w:p w14:paraId="40561A9C" w14:textId="77777777" w:rsidR="009260DE" w:rsidRPr="005F77CE" w:rsidRDefault="009260DE" w:rsidP="009260DE">
      <w:pPr>
        <w:tabs>
          <w:tab w:val="left" w:pos="851"/>
        </w:tabs>
        <w:ind w:left="851"/>
        <w:rPr>
          <w:sz w:val="24"/>
          <w:szCs w:val="24"/>
        </w:rPr>
      </w:pPr>
    </w:p>
    <w:p w14:paraId="42479D87" w14:textId="77777777" w:rsidR="009260DE" w:rsidRPr="005F77CE" w:rsidRDefault="009260DE" w:rsidP="009260DE">
      <w:pPr>
        <w:tabs>
          <w:tab w:val="left" w:pos="851"/>
        </w:tabs>
        <w:ind w:left="851" w:hanging="851"/>
        <w:rPr>
          <w:b/>
          <w:sz w:val="24"/>
          <w:szCs w:val="24"/>
        </w:rPr>
      </w:pPr>
      <w:r w:rsidRPr="005F77CE">
        <w:rPr>
          <w:b/>
          <w:sz w:val="24"/>
          <w:szCs w:val="24"/>
        </w:rPr>
        <w:t>4.2</w:t>
      </w:r>
      <w:r w:rsidRPr="005F77CE">
        <w:rPr>
          <w:b/>
          <w:sz w:val="24"/>
          <w:szCs w:val="24"/>
        </w:rPr>
        <w:tab/>
        <w:t>Dosering og indgivelsesmåde</w:t>
      </w:r>
    </w:p>
    <w:p w14:paraId="194C2C2A" w14:textId="77777777" w:rsidR="00243FF4" w:rsidRPr="005F77CE" w:rsidRDefault="00243FF4" w:rsidP="00473F2D">
      <w:pPr>
        <w:ind w:left="851"/>
        <w:rPr>
          <w:sz w:val="24"/>
          <w:szCs w:val="24"/>
        </w:rPr>
      </w:pPr>
      <w:r w:rsidRPr="005F77CE">
        <w:rPr>
          <w:sz w:val="24"/>
          <w:szCs w:val="24"/>
        </w:rPr>
        <w:t>Til intravenøs anvendelse.</w:t>
      </w:r>
    </w:p>
    <w:p w14:paraId="1A46FAA9" w14:textId="77777777" w:rsidR="00243FF4" w:rsidRPr="005F77CE" w:rsidRDefault="00243FF4" w:rsidP="00473F2D">
      <w:pPr>
        <w:ind w:left="851"/>
        <w:rPr>
          <w:i/>
          <w:sz w:val="24"/>
          <w:szCs w:val="24"/>
        </w:rPr>
      </w:pPr>
    </w:p>
    <w:p w14:paraId="300AF019" w14:textId="77777777" w:rsidR="00243FF4" w:rsidRPr="005F77CE" w:rsidRDefault="00243FF4" w:rsidP="00473F2D">
      <w:pPr>
        <w:ind w:left="851"/>
        <w:rPr>
          <w:i/>
          <w:sz w:val="24"/>
          <w:szCs w:val="24"/>
        </w:rPr>
      </w:pPr>
      <w:r w:rsidRPr="005F77CE">
        <w:rPr>
          <w:i/>
          <w:sz w:val="24"/>
          <w:szCs w:val="24"/>
        </w:rPr>
        <w:t>Dosering</w:t>
      </w:r>
    </w:p>
    <w:p w14:paraId="2EA9CC98" w14:textId="77777777" w:rsidR="00243FF4" w:rsidRPr="005F77CE" w:rsidRDefault="00243FF4" w:rsidP="00473F2D">
      <w:pPr>
        <w:ind w:left="851"/>
        <w:rPr>
          <w:b/>
          <w:iCs/>
          <w:sz w:val="24"/>
          <w:szCs w:val="24"/>
        </w:rPr>
      </w:pPr>
    </w:p>
    <w:p w14:paraId="431AB112" w14:textId="77777777" w:rsidR="00243FF4" w:rsidRPr="005F77CE" w:rsidRDefault="00243FF4" w:rsidP="00473F2D">
      <w:pPr>
        <w:ind w:left="851"/>
        <w:rPr>
          <w:b/>
          <w:iCs/>
          <w:sz w:val="24"/>
          <w:szCs w:val="24"/>
          <w:u w:val="single"/>
        </w:rPr>
      </w:pPr>
      <w:r w:rsidRPr="005F77CE">
        <w:rPr>
          <w:b/>
          <w:sz w:val="24"/>
          <w:szCs w:val="24"/>
          <w:u w:val="single"/>
        </w:rPr>
        <w:t>CMV-infektion:</w:t>
      </w:r>
    </w:p>
    <w:p w14:paraId="7207CECF" w14:textId="77777777" w:rsidR="00243FF4" w:rsidRPr="005F77CE" w:rsidRDefault="00243FF4" w:rsidP="00473F2D">
      <w:pPr>
        <w:ind w:left="851"/>
        <w:rPr>
          <w:i/>
          <w:sz w:val="24"/>
          <w:szCs w:val="24"/>
        </w:rPr>
      </w:pPr>
      <w:r w:rsidRPr="005F77CE">
        <w:rPr>
          <w:i/>
          <w:sz w:val="24"/>
          <w:szCs w:val="24"/>
        </w:rPr>
        <w:t>Voksne:</w:t>
      </w:r>
    </w:p>
    <w:p w14:paraId="3095E225" w14:textId="77777777" w:rsidR="00243FF4" w:rsidRPr="005F77CE" w:rsidRDefault="00243FF4" w:rsidP="00473F2D">
      <w:pPr>
        <w:ind w:left="851"/>
        <w:rPr>
          <w:sz w:val="24"/>
          <w:szCs w:val="24"/>
          <w:u w:val="single"/>
        </w:rPr>
      </w:pPr>
      <w:r w:rsidRPr="005F77CE">
        <w:rPr>
          <w:sz w:val="24"/>
          <w:szCs w:val="24"/>
          <w:u w:val="single"/>
        </w:rPr>
        <w:t>Induktionsbehandling</w:t>
      </w:r>
    </w:p>
    <w:p w14:paraId="01118488" w14:textId="490147EA" w:rsidR="00243FF4" w:rsidRPr="005F77CE" w:rsidRDefault="00243FF4" w:rsidP="00473F2D">
      <w:pPr>
        <w:ind w:left="851"/>
        <w:rPr>
          <w:sz w:val="24"/>
          <w:szCs w:val="24"/>
        </w:rPr>
      </w:pPr>
      <w:r w:rsidRPr="005F77CE">
        <w:rPr>
          <w:sz w:val="24"/>
          <w:szCs w:val="24"/>
        </w:rPr>
        <w:t xml:space="preserve">I behandling af CMV-infektion kan </w:t>
      </w:r>
      <w:proofErr w:type="spellStart"/>
      <w:r w:rsidRPr="005F77CE">
        <w:rPr>
          <w:sz w:val="24"/>
          <w:szCs w:val="24"/>
        </w:rPr>
        <w:t>foscarnetnatriumhexahydrat</w:t>
      </w:r>
      <w:proofErr w:type="spellEnd"/>
      <w:r w:rsidRPr="005F77CE">
        <w:rPr>
          <w:sz w:val="24"/>
          <w:szCs w:val="24"/>
        </w:rPr>
        <w:t xml:space="preserve"> administreres som 60 mg/kg kropsvægt, 3 gange dagligt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2,5 ml/kg kropsvægt tre gange dagligt) med et interval på 8 timer eller </w:t>
      </w:r>
      <w:proofErr w:type="spellStart"/>
      <w:r w:rsidRPr="005F77CE">
        <w:rPr>
          <w:sz w:val="24"/>
          <w:szCs w:val="24"/>
        </w:rPr>
        <w:t>foscarnetnatriumhexahydrat</w:t>
      </w:r>
      <w:proofErr w:type="spellEnd"/>
      <w:r w:rsidRPr="005F77CE">
        <w:rPr>
          <w:sz w:val="24"/>
          <w:szCs w:val="24"/>
        </w:rPr>
        <w:t xml:space="preserve"> to gange dagligt med 90 mg/kg kropsvægt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3,75 ml/kg kropsvægt to gange dagligt) med et interval på 12 timer.</w:t>
      </w:r>
    </w:p>
    <w:p w14:paraId="1815F5C7" w14:textId="77777777" w:rsidR="00243FF4" w:rsidRPr="005F77CE" w:rsidRDefault="00243FF4" w:rsidP="00473F2D">
      <w:pPr>
        <w:ind w:left="851"/>
        <w:rPr>
          <w:sz w:val="24"/>
          <w:szCs w:val="24"/>
        </w:rPr>
      </w:pPr>
    </w:p>
    <w:p w14:paraId="1D8298C1" w14:textId="77777777" w:rsidR="00243FF4" w:rsidRPr="005F77CE" w:rsidRDefault="00243FF4" w:rsidP="00473F2D">
      <w:pPr>
        <w:ind w:left="851"/>
        <w:rPr>
          <w:sz w:val="24"/>
          <w:szCs w:val="24"/>
        </w:rPr>
      </w:pPr>
      <w:r w:rsidRPr="005F77CE">
        <w:rPr>
          <w:sz w:val="24"/>
          <w:szCs w:val="24"/>
        </w:rPr>
        <w:t xml:space="preserve">Infusionsvarigheden for </w:t>
      </w:r>
      <w:proofErr w:type="spellStart"/>
      <w:r w:rsidRPr="005F77CE">
        <w:rPr>
          <w:sz w:val="24"/>
          <w:szCs w:val="24"/>
        </w:rPr>
        <w:t>foscarnetnatriumhexahydrat</w:t>
      </w:r>
      <w:proofErr w:type="spellEnd"/>
      <w:r w:rsidRPr="005F77CE">
        <w:rPr>
          <w:sz w:val="24"/>
          <w:szCs w:val="24"/>
        </w:rPr>
        <w:t xml:space="preserve"> 60 mg/kg kropsvægt må ikke være mindre end 1 time, og for </w:t>
      </w:r>
      <w:proofErr w:type="spellStart"/>
      <w:r w:rsidRPr="005F77CE">
        <w:rPr>
          <w:sz w:val="24"/>
          <w:szCs w:val="24"/>
        </w:rPr>
        <w:t>foscarnetnatriumhexahydrat</w:t>
      </w:r>
      <w:proofErr w:type="spellEnd"/>
      <w:r w:rsidRPr="005F77CE">
        <w:rPr>
          <w:sz w:val="24"/>
          <w:szCs w:val="24"/>
        </w:rPr>
        <w:t xml:space="preserve"> 90 mg/kg kropsvægt må den ikke være mindre end 2 timer (se "Behandlings varighed").</w:t>
      </w:r>
    </w:p>
    <w:p w14:paraId="362AF1B4" w14:textId="77777777" w:rsidR="00243FF4" w:rsidRPr="005F77CE" w:rsidRDefault="00243FF4" w:rsidP="00473F2D">
      <w:pPr>
        <w:ind w:left="851"/>
        <w:rPr>
          <w:sz w:val="24"/>
          <w:szCs w:val="24"/>
        </w:rPr>
      </w:pPr>
    </w:p>
    <w:p w14:paraId="28875076" w14:textId="77777777" w:rsidR="00243FF4" w:rsidRPr="005F77CE" w:rsidRDefault="00243FF4" w:rsidP="00473F2D">
      <w:pPr>
        <w:ind w:left="851"/>
        <w:rPr>
          <w:bCs/>
          <w:sz w:val="24"/>
          <w:szCs w:val="24"/>
          <w:u w:val="single"/>
        </w:rPr>
      </w:pPr>
      <w:r w:rsidRPr="005F77CE">
        <w:rPr>
          <w:sz w:val="24"/>
          <w:szCs w:val="24"/>
          <w:u w:val="single"/>
        </w:rPr>
        <w:t>Vedligeholdelsesbehandling:</w:t>
      </w:r>
    </w:p>
    <w:p w14:paraId="6A26745D" w14:textId="20D5B930" w:rsidR="00243FF4" w:rsidRPr="005F77CE" w:rsidRDefault="00243FF4" w:rsidP="00473F2D">
      <w:pPr>
        <w:ind w:left="851"/>
        <w:rPr>
          <w:sz w:val="24"/>
          <w:szCs w:val="24"/>
        </w:rPr>
      </w:pPr>
      <w:r w:rsidRPr="005F77CE">
        <w:rPr>
          <w:sz w:val="24"/>
          <w:szCs w:val="24"/>
        </w:rPr>
        <w:t xml:space="preserve">For at forhindre tilbagevendende CMV-infektion administreres en infusion med </w:t>
      </w:r>
      <w:proofErr w:type="spellStart"/>
      <w:r w:rsidRPr="005F77CE">
        <w:rPr>
          <w:sz w:val="24"/>
          <w:szCs w:val="24"/>
        </w:rPr>
        <w:t>foscarnetnatriumhexahydrat</w:t>
      </w:r>
      <w:proofErr w:type="spellEnd"/>
      <w:r w:rsidRPr="005F77CE">
        <w:rPr>
          <w:sz w:val="24"/>
          <w:szCs w:val="24"/>
        </w:rPr>
        <w:t xml:space="preserve"> med 90-120 mg/kg kropsvægt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3,75 </w:t>
      </w:r>
      <w:r w:rsidR="00A078F6">
        <w:rPr>
          <w:sz w:val="24"/>
          <w:szCs w:val="24"/>
        </w:rPr>
        <w:t>–</w:t>
      </w:r>
      <w:r w:rsidRPr="005F77CE">
        <w:rPr>
          <w:sz w:val="24"/>
          <w:szCs w:val="24"/>
        </w:rPr>
        <w:t xml:space="preserve"> 5</w:t>
      </w:r>
      <w:r w:rsidR="00A078F6">
        <w:rPr>
          <w:sz w:val="24"/>
          <w:szCs w:val="24"/>
        </w:rPr>
        <w:t> </w:t>
      </w:r>
      <w:r w:rsidRPr="005F77CE">
        <w:rPr>
          <w:sz w:val="24"/>
          <w:szCs w:val="24"/>
        </w:rPr>
        <w:t xml:space="preserve">ml/kg kropsvægt) én gang dagligt i 2 timer. </w:t>
      </w:r>
    </w:p>
    <w:p w14:paraId="604B0826" w14:textId="77777777" w:rsidR="00243FF4" w:rsidRPr="005F77CE" w:rsidRDefault="00243FF4" w:rsidP="00473F2D">
      <w:pPr>
        <w:ind w:left="851"/>
        <w:rPr>
          <w:sz w:val="24"/>
          <w:szCs w:val="24"/>
        </w:rPr>
      </w:pPr>
    </w:p>
    <w:p w14:paraId="39847704" w14:textId="1BD7320F" w:rsidR="00243FF4" w:rsidRPr="005F77CE" w:rsidRDefault="00243FF4" w:rsidP="00473F2D">
      <w:pPr>
        <w:ind w:left="851"/>
        <w:rPr>
          <w:sz w:val="24"/>
          <w:szCs w:val="24"/>
        </w:rPr>
      </w:pPr>
      <w:r w:rsidRPr="005F77CE">
        <w:rPr>
          <w:sz w:val="24"/>
          <w:szCs w:val="24"/>
        </w:rPr>
        <w:t xml:space="preserve">Behandlingen skal initieres med 90 mg </w:t>
      </w:r>
      <w:proofErr w:type="spellStart"/>
      <w:r w:rsidRPr="005F77CE">
        <w:rPr>
          <w:sz w:val="24"/>
          <w:szCs w:val="24"/>
        </w:rPr>
        <w:t>foscarnetnatriumhexahydrat</w:t>
      </w:r>
      <w:proofErr w:type="spellEnd"/>
      <w:r w:rsidRPr="005F77CE">
        <w:rPr>
          <w:sz w:val="24"/>
          <w:szCs w:val="24"/>
        </w:rPr>
        <w:t xml:space="preserve">/kg og kan titreres op til 120 mg </w:t>
      </w:r>
      <w:proofErr w:type="spellStart"/>
      <w:r w:rsidRPr="005F77CE">
        <w:rPr>
          <w:sz w:val="24"/>
          <w:szCs w:val="24"/>
        </w:rPr>
        <w:t>foscarnetnatriumhexahydrat</w:t>
      </w:r>
      <w:proofErr w:type="spellEnd"/>
      <w:r w:rsidRPr="005F77CE">
        <w:rPr>
          <w:sz w:val="24"/>
          <w:szCs w:val="24"/>
        </w:rPr>
        <w:t xml:space="preserve">/kg, hvis patientens </w:t>
      </w:r>
      <w:proofErr w:type="spellStart"/>
      <w:r w:rsidRPr="005F77CE">
        <w:rPr>
          <w:sz w:val="24"/>
          <w:szCs w:val="24"/>
        </w:rPr>
        <w:t>retinitis</w:t>
      </w:r>
      <w:proofErr w:type="spellEnd"/>
      <w:r w:rsidRPr="005F77CE">
        <w:rPr>
          <w:sz w:val="24"/>
          <w:szCs w:val="24"/>
        </w:rPr>
        <w:t xml:space="preserve"> er progressiv, og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tåles godt.</w:t>
      </w:r>
    </w:p>
    <w:p w14:paraId="29D6ACCC" w14:textId="77777777" w:rsidR="00243FF4" w:rsidRPr="005F77CE" w:rsidRDefault="00243FF4" w:rsidP="00473F2D">
      <w:pPr>
        <w:ind w:left="851"/>
        <w:rPr>
          <w:sz w:val="24"/>
          <w:szCs w:val="24"/>
        </w:rPr>
      </w:pPr>
    </w:p>
    <w:p w14:paraId="2BAFC782" w14:textId="422E2441" w:rsidR="00243FF4" w:rsidRPr="005F77CE" w:rsidRDefault="00243FF4" w:rsidP="00473F2D">
      <w:pPr>
        <w:ind w:left="851"/>
        <w:rPr>
          <w:bCs/>
          <w:sz w:val="24"/>
          <w:szCs w:val="24"/>
        </w:rPr>
      </w:pPr>
      <w:r w:rsidRPr="005F77CE">
        <w:rPr>
          <w:sz w:val="24"/>
          <w:szCs w:val="24"/>
        </w:rPr>
        <w:t xml:space="preserve">Patienter, der oplever progression af </w:t>
      </w:r>
      <w:proofErr w:type="spellStart"/>
      <w:r w:rsidRPr="005F77CE">
        <w:rPr>
          <w:sz w:val="24"/>
          <w:szCs w:val="24"/>
        </w:rPr>
        <w:t>retinitis</w:t>
      </w:r>
      <w:proofErr w:type="spellEnd"/>
      <w:r w:rsidRPr="005F77CE">
        <w:rPr>
          <w:sz w:val="24"/>
          <w:szCs w:val="24"/>
        </w:rPr>
        <w:t>, mens de modtager vedligeholdelses</w:t>
      </w:r>
      <w:r w:rsidR="00A078F6">
        <w:rPr>
          <w:sz w:val="24"/>
          <w:szCs w:val="24"/>
        </w:rPr>
        <w:softHyphen/>
      </w:r>
      <w:r w:rsidRPr="005F77CE">
        <w:rPr>
          <w:sz w:val="24"/>
          <w:szCs w:val="24"/>
        </w:rPr>
        <w:t xml:space="preserve">behandling, kan behandles igen med induktionsbehandlingen. Når patienten er stabiliseret, kan vedligeholdelsesbehandling med </w:t>
      </w:r>
      <w:proofErr w:type="spellStart"/>
      <w:r w:rsidRPr="005F77CE">
        <w:rPr>
          <w:sz w:val="24"/>
          <w:szCs w:val="24"/>
        </w:rPr>
        <w:t>foscarnetnatriumhexahydrat</w:t>
      </w:r>
      <w:proofErr w:type="spellEnd"/>
      <w:r w:rsidRPr="005F77CE">
        <w:rPr>
          <w:sz w:val="24"/>
          <w:szCs w:val="24"/>
        </w:rPr>
        <w:t xml:space="preserve"> påbegyndes.</w:t>
      </w:r>
    </w:p>
    <w:p w14:paraId="11857EF3" w14:textId="77777777" w:rsidR="00243FF4" w:rsidRPr="005F77CE" w:rsidRDefault="00243FF4" w:rsidP="00473F2D">
      <w:pPr>
        <w:ind w:left="851"/>
        <w:rPr>
          <w:bCs/>
          <w:sz w:val="24"/>
          <w:szCs w:val="24"/>
        </w:rPr>
      </w:pPr>
    </w:p>
    <w:p w14:paraId="4963F702" w14:textId="77777777" w:rsidR="00243FF4" w:rsidRPr="005F77CE" w:rsidRDefault="00243FF4" w:rsidP="00473F2D">
      <w:pPr>
        <w:ind w:left="851"/>
        <w:rPr>
          <w:b/>
          <w:sz w:val="24"/>
          <w:szCs w:val="24"/>
          <w:u w:val="single"/>
        </w:rPr>
      </w:pPr>
      <w:r w:rsidRPr="005F77CE">
        <w:rPr>
          <w:b/>
          <w:sz w:val="24"/>
          <w:szCs w:val="24"/>
          <w:u w:val="single"/>
        </w:rPr>
        <w:t>Særlige populationer</w:t>
      </w:r>
    </w:p>
    <w:p w14:paraId="1B07F38D" w14:textId="77777777" w:rsidR="00243FF4" w:rsidRPr="005F77CE" w:rsidRDefault="00243FF4" w:rsidP="00473F2D">
      <w:pPr>
        <w:ind w:left="851"/>
        <w:rPr>
          <w:i/>
          <w:sz w:val="24"/>
          <w:szCs w:val="24"/>
        </w:rPr>
      </w:pPr>
      <w:r w:rsidRPr="005F77CE">
        <w:rPr>
          <w:i/>
          <w:sz w:val="24"/>
          <w:szCs w:val="24"/>
        </w:rPr>
        <w:t>Pædiatrisk population</w:t>
      </w:r>
    </w:p>
    <w:p w14:paraId="1B172A50" w14:textId="77777777" w:rsidR="00243FF4" w:rsidRPr="005F77CE" w:rsidRDefault="00243FF4" w:rsidP="00473F2D">
      <w:pPr>
        <w:ind w:left="851"/>
        <w:rPr>
          <w:sz w:val="24"/>
          <w:szCs w:val="24"/>
        </w:rPr>
      </w:pPr>
      <w:r w:rsidRPr="005F77CE">
        <w:rPr>
          <w:sz w:val="24"/>
          <w:szCs w:val="24"/>
        </w:rPr>
        <w:t xml:space="preserve">Sikkerheden og virkningen af </w:t>
      </w:r>
      <w:proofErr w:type="spellStart"/>
      <w:r w:rsidRPr="005F77CE">
        <w:rPr>
          <w:sz w:val="24"/>
          <w:szCs w:val="24"/>
        </w:rPr>
        <w:t>foscarnetnatriumhexahydrat</w:t>
      </w:r>
      <w:proofErr w:type="spellEnd"/>
      <w:r w:rsidRPr="005F77CE">
        <w:rPr>
          <w:sz w:val="24"/>
          <w:szCs w:val="24"/>
        </w:rPr>
        <w:t xml:space="preserve"> hos børn og unge under 18 år er ikke fastlagt. Se mere information i pkt. 4.4 og 5.3.</w:t>
      </w:r>
    </w:p>
    <w:p w14:paraId="62BEFA7B" w14:textId="77777777" w:rsidR="00243FF4" w:rsidRPr="005F77CE" w:rsidRDefault="00243FF4" w:rsidP="00473F2D">
      <w:pPr>
        <w:ind w:left="851"/>
        <w:rPr>
          <w:sz w:val="24"/>
          <w:szCs w:val="24"/>
        </w:rPr>
      </w:pPr>
    </w:p>
    <w:p w14:paraId="539C1C18" w14:textId="77777777" w:rsidR="00243FF4" w:rsidRPr="005F77CE" w:rsidRDefault="00243FF4" w:rsidP="00473F2D">
      <w:pPr>
        <w:ind w:left="851"/>
        <w:rPr>
          <w:i/>
          <w:iCs/>
          <w:sz w:val="24"/>
          <w:szCs w:val="24"/>
        </w:rPr>
      </w:pPr>
      <w:r w:rsidRPr="005F77CE">
        <w:rPr>
          <w:i/>
          <w:sz w:val="24"/>
          <w:szCs w:val="24"/>
        </w:rPr>
        <w:t>Ældre patienter</w:t>
      </w:r>
    </w:p>
    <w:p w14:paraId="26EEB5A3" w14:textId="77777777" w:rsidR="00243FF4" w:rsidRPr="005F77CE" w:rsidRDefault="00243FF4" w:rsidP="00473F2D">
      <w:pPr>
        <w:ind w:left="851"/>
        <w:rPr>
          <w:sz w:val="24"/>
          <w:szCs w:val="24"/>
        </w:rPr>
      </w:pPr>
      <w:r w:rsidRPr="005F77CE">
        <w:rPr>
          <w:sz w:val="24"/>
          <w:szCs w:val="24"/>
        </w:rPr>
        <w:t xml:space="preserve">Eftersom </w:t>
      </w:r>
      <w:proofErr w:type="spellStart"/>
      <w:r w:rsidRPr="005F77CE">
        <w:rPr>
          <w:sz w:val="24"/>
          <w:szCs w:val="24"/>
        </w:rPr>
        <w:t>foscarnetnatriumhexahydrat</w:t>
      </w:r>
      <w:proofErr w:type="spellEnd"/>
      <w:r w:rsidRPr="005F77CE">
        <w:rPr>
          <w:sz w:val="24"/>
          <w:szCs w:val="24"/>
        </w:rPr>
        <w:t xml:space="preserve"> udskilles via nyrerne, skal det bemærkes, at nyrefunktionen kan være nedsat hos ældre patienter på trods af normale </w:t>
      </w:r>
      <w:proofErr w:type="spellStart"/>
      <w:r w:rsidRPr="005F77CE">
        <w:rPr>
          <w:sz w:val="24"/>
          <w:szCs w:val="24"/>
        </w:rPr>
        <w:t>serumkreatininniveauer</w:t>
      </w:r>
      <w:proofErr w:type="spellEnd"/>
      <w:r w:rsidRPr="005F77CE">
        <w:rPr>
          <w:sz w:val="24"/>
          <w:szCs w:val="24"/>
        </w:rPr>
        <w:t xml:space="preserve">. Nyrefunktionen vurderes ved at beregne </w:t>
      </w:r>
      <w:proofErr w:type="spellStart"/>
      <w:r w:rsidRPr="005F77CE">
        <w:rPr>
          <w:sz w:val="24"/>
          <w:szCs w:val="24"/>
        </w:rPr>
        <w:t>kreatininclearance</w:t>
      </w:r>
      <w:proofErr w:type="spellEnd"/>
      <w:r w:rsidRPr="005F77CE">
        <w:rPr>
          <w:sz w:val="24"/>
          <w:szCs w:val="24"/>
        </w:rPr>
        <w:t xml:space="preserve">. Ved brug af </w:t>
      </w:r>
      <w:proofErr w:type="spellStart"/>
      <w:r w:rsidRPr="005F77CE">
        <w:rPr>
          <w:sz w:val="24"/>
          <w:szCs w:val="24"/>
        </w:rPr>
        <w:t>foscarnetnatriumhexahydrat</w:t>
      </w:r>
      <w:proofErr w:type="spellEnd"/>
      <w:r w:rsidRPr="005F77CE">
        <w:rPr>
          <w:sz w:val="24"/>
          <w:szCs w:val="24"/>
        </w:rPr>
        <w:t xml:space="preserve"> til ældre gælder de samme dosisjusteringer som dem, der er beskrevet i "Dosering til patienter med nedsat nyrefunktion" i Tabel 1 og 2.</w:t>
      </w:r>
    </w:p>
    <w:p w14:paraId="2EBAFDCA" w14:textId="7F31A5D4" w:rsidR="00A078F6" w:rsidRDefault="00A078F6">
      <w:pPr>
        <w:rPr>
          <w:sz w:val="24"/>
          <w:szCs w:val="24"/>
        </w:rPr>
      </w:pPr>
      <w:r>
        <w:rPr>
          <w:sz w:val="24"/>
          <w:szCs w:val="24"/>
        </w:rPr>
        <w:br w:type="page"/>
      </w:r>
    </w:p>
    <w:p w14:paraId="2EB3BC83" w14:textId="77777777" w:rsidR="00243FF4" w:rsidRPr="005F77CE" w:rsidRDefault="00243FF4" w:rsidP="00473F2D">
      <w:pPr>
        <w:ind w:left="851"/>
        <w:rPr>
          <w:sz w:val="24"/>
          <w:szCs w:val="24"/>
        </w:rPr>
      </w:pPr>
    </w:p>
    <w:p w14:paraId="56A70479" w14:textId="77777777" w:rsidR="00243FF4" w:rsidRPr="005F77CE" w:rsidRDefault="00243FF4" w:rsidP="00473F2D">
      <w:pPr>
        <w:ind w:left="851"/>
        <w:rPr>
          <w:i/>
          <w:iCs/>
          <w:sz w:val="24"/>
          <w:szCs w:val="24"/>
        </w:rPr>
      </w:pPr>
      <w:r w:rsidRPr="005F77CE">
        <w:rPr>
          <w:i/>
          <w:sz w:val="24"/>
          <w:szCs w:val="24"/>
        </w:rPr>
        <w:t>Patienter med nedsat nyrefunktion</w:t>
      </w:r>
    </w:p>
    <w:p w14:paraId="60638AD8" w14:textId="77777777" w:rsidR="00243FF4" w:rsidRPr="005F77CE" w:rsidRDefault="00243FF4" w:rsidP="00473F2D">
      <w:pPr>
        <w:ind w:left="851"/>
        <w:rPr>
          <w:sz w:val="24"/>
          <w:szCs w:val="24"/>
        </w:rPr>
      </w:pPr>
      <w:r w:rsidRPr="005F77CE">
        <w:rPr>
          <w:sz w:val="24"/>
          <w:szCs w:val="24"/>
        </w:rPr>
        <w:t xml:space="preserve">Ved nedsat nyrefunktion skal dosis justeres efter </w:t>
      </w:r>
      <w:proofErr w:type="spellStart"/>
      <w:r w:rsidRPr="005F77CE">
        <w:rPr>
          <w:sz w:val="24"/>
          <w:szCs w:val="24"/>
        </w:rPr>
        <w:t>kreatininclearance</w:t>
      </w:r>
      <w:proofErr w:type="spellEnd"/>
      <w:r w:rsidRPr="005F77CE">
        <w:rPr>
          <w:sz w:val="24"/>
          <w:szCs w:val="24"/>
        </w:rPr>
        <w:t xml:space="preserve"> (se Tabel 1 + 2). Nyrefunktionen skal monitoreres ved baseline og regelmæssigt under behandlingen, og doseringen skal beregnes derefter (se pkt. 4.4).</w:t>
      </w:r>
    </w:p>
    <w:p w14:paraId="65D26818" w14:textId="77777777" w:rsidR="00243FF4" w:rsidRPr="005F77CE" w:rsidRDefault="00243FF4" w:rsidP="00473F2D">
      <w:pPr>
        <w:ind w:left="851"/>
        <w:rPr>
          <w:sz w:val="24"/>
          <w:szCs w:val="24"/>
        </w:rPr>
      </w:pPr>
    </w:p>
    <w:p w14:paraId="53F04293" w14:textId="77777777" w:rsidR="00243FF4" w:rsidRPr="005F77CE" w:rsidRDefault="00243FF4" w:rsidP="00473F2D">
      <w:pPr>
        <w:ind w:left="851"/>
        <w:rPr>
          <w:bCs/>
          <w:sz w:val="24"/>
          <w:szCs w:val="24"/>
        </w:rPr>
      </w:pPr>
      <w:proofErr w:type="spellStart"/>
      <w:r w:rsidRPr="005F77CE">
        <w:rPr>
          <w:sz w:val="24"/>
          <w:szCs w:val="24"/>
        </w:rPr>
        <w:t>Kreatininclearance</w:t>
      </w:r>
      <w:proofErr w:type="spellEnd"/>
      <w:r w:rsidRPr="005F77CE">
        <w:rPr>
          <w:sz w:val="24"/>
          <w:szCs w:val="24"/>
        </w:rPr>
        <w:t xml:space="preserve"> kan beregnes ud fra </w:t>
      </w:r>
      <w:proofErr w:type="spellStart"/>
      <w:r w:rsidRPr="005F77CE">
        <w:rPr>
          <w:sz w:val="24"/>
          <w:szCs w:val="24"/>
        </w:rPr>
        <w:t>serumkreatininkoncentrationen</w:t>
      </w:r>
      <w:proofErr w:type="spellEnd"/>
      <w:r w:rsidRPr="005F77CE">
        <w:rPr>
          <w:sz w:val="24"/>
          <w:szCs w:val="24"/>
        </w:rPr>
        <w:t xml:space="preserve"> på følgende måde:</w:t>
      </w:r>
    </w:p>
    <w:p w14:paraId="4336E3C9" w14:textId="77777777" w:rsidR="00243FF4" w:rsidRPr="005F77CE" w:rsidRDefault="00243FF4" w:rsidP="00473F2D">
      <w:pPr>
        <w:ind w:left="851"/>
        <w:rPr>
          <w:position w:val="1"/>
          <w:sz w:val="24"/>
          <w:szCs w:val="24"/>
        </w:rPr>
      </w:pPr>
    </w:p>
    <w:p w14:paraId="2BCD5C74" w14:textId="4E28F936" w:rsidR="00243FF4" w:rsidRPr="005F77CE" w:rsidRDefault="00243FF4" w:rsidP="00F8422A">
      <w:pPr>
        <w:tabs>
          <w:tab w:val="left" w:pos="3969"/>
        </w:tabs>
        <w:ind w:left="851"/>
        <w:rPr>
          <w:sz w:val="24"/>
          <w:szCs w:val="24"/>
        </w:rPr>
      </w:pPr>
      <w:r w:rsidRPr="005F77CE">
        <w:rPr>
          <w:sz w:val="24"/>
          <w:szCs w:val="24"/>
        </w:rPr>
        <w:t xml:space="preserve">Mænd: </w:t>
      </w:r>
      <w:proofErr w:type="spellStart"/>
      <w:r w:rsidRPr="005F77CE">
        <w:rPr>
          <w:sz w:val="24"/>
          <w:szCs w:val="24"/>
        </w:rPr>
        <w:t>Cl</w:t>
      </w:r>
      <w:r w:rsidRPr="005F77CE">
        <w:rPr>
          <w:sz w:val="24"/>
          <w:szCs w:val="24"/>
          <w:vertAlign w:val="subscript"/>
        </w:rPr>
        <w:t>creat</w:t>
      </w:r>
      <w:proofErr w:type="spellEnd"/>
      <w:r w:rsidRPr="005F77CE">
        <w:rPr>
          <w:sz w:val="24"/>
          <w:szCs w:val="24"/>
        </w:rPr>
        <w:t xml:space="preserve"> [ml/min/kg] = </w:t>
      </w:r>
      <w:r w:rsidR="00F8422A">
        <w:rPr>
          <w:sz w:val="24"/>
          <w:szCs w:val="24"/>
        </w:rPr>
        <w:tab/>
      </w:r>
      <w:r w:rsidRPr="005F77CE">
        <w:rPr>
          <w:sz w:val="24"/>
          <w:szCs w:val="24"/>
          <w:u w:val="single"/>
        </w:rPr>
        <w:t>140 - alder [år]</w:t>
      </w:r>
    </w:p>
    <w:p w14:paraId="00609E18" w14:textId="2364DE8B" w:rsidR="00243FF4" w:rsidRPr="005F77CE" w:rsidRDefault="00F8422A" w:rsidP="00F8422A">
      <w:pPr>
        <w:tabs>
          <w:tab w:val="left" w:pos="3969"/>
        </w:tabs>
        <w:ind w:left="851"/>
        <w:rPr>
          <w:sz w:val="24"/>
          <w:szCs w:val="24"/>
        </w:rPr>
      </w:pPr>
      <w:r>
        <w:rPr>
          <w:sz w:val="24"/>
          <w:szCs w:val="24"/>
        </w:rPr>
        <w:tab/>
      </w:r>
      <w:r w:rsidR="00243FF4" w:rsidRPr="005F77CE">
        <w:rPr>
          <w:sz w:val="24"/>
          <w:szCs w:val="24"/>
        </w:rPr>
        <w:t xml:space="preserve">72 x </w:t>
      </w:r>
      <w:proofErr w:type="spellStart"/>
      <w:r w:rsidR="00243FF4" w:rsidRPr="005F77CE">
        <w:rPr>
          <w:sz w:val="24"/>
          <w:szCs w:val="24"/>
        </w:rPr>
        <w:t>serumkreatininkoncentration</w:t>
      </w:r>
      <w:proofErr w:type="spellEnd"/>
      <w:r w:rsidR="00243FF4" w:rsidRPr="005F77CE">
        <w:rPr>
          <w:sz w:val="24"/>
          <w:szCs w:val="24"/>
        </w:rPr>
        <w:t xml:space="preserve"> (mg/dl)</w:t>
      </w:r>
    </w:p>
    <w:p w14:paraId="3FB73AEC" w14:textId="77777777" w:rsidR="009E4328" w:rsidRDefault="009E4328" w:rsidP="00473F2D">
      <w:pPr>
        <w:ind w:left="851"/>
        <w:rPr>
          <w:sz w:val="24"/>
          <w:szCs w:val="24"/>
        </w:rPr>
      </w:pPr>
    </w:p>
    <w:p w14:paraId="159DAAEE" w14:textId="5A426205" w:rsidR="00243FF4" w:rsidRPr="005F77CE" w:rsidRDefault="00243FF4" w:rsidP="00473F2D">
      <w:pPr>
        <w:ind w:left="851"/>
        <w:rPr>
          <w:sz w:val="24"/>
          <w:szCs w:val="24"/>
        </w:rPr>
      </w:pPr>
      <w:r w:rsidRPr="005F77CE">
        <w:rPr>
          <w:sz w:val="24"/>
          <w:szCs w:val="24"/>
        </w:rPr>
        <w:t xml:space="preserve">Kvinder: </w:t>
      </w:r>
      <w:proofErr w:type="spellStart"/>
      <w:r w:rsidRPr="005F77CE">
        <w:rPr>
          <w:sz w:val="24"/>
          <w:szCs w:val="24"/>
        </w:rPr>
        <w:t>Cl</w:t>
      </w:r>
      <w:r w:rsidRPr="005F77CE">
        <w:rPr>
          <w:sz w:val="24"/>
          <w:szCs w:val="24"/>
          <w:vertAlign w:val="subscript"/>
        </w:rPr>
        <w:t>creat</w:t>
      </w:r>
      <w:proofErr w:type="spellEnd"/>
      <w:r w:rsidRPr="005F77CE">
        <w:rPr>
          <w:sz w:val="24"/>
          <w:szCs w:val="24"/>
        </w:rPr>
        <w:t xml:space="preserve"> [ml/min/kg] = 0,85 x </w:t>
      </w:r>
      <w:proofErr w:type="spellStart"/>
      <w:r w:rsidRPr="005F77CE">
        <w:rPr>
          <w:sz w:val="24"/>
          <w:szCs w:val="24"/>
        </w:rPr>
        <w:t>Cl</w:t>
      </w:r>
      <w:r w:rsidRPr="005F77CE">
        <w:rPr>
          <w:sz w:val="24"/>
          <w:szCs w:val="24"/>
          <w:vertAlign w:val="subscript"/>
        </w:rPr>
        <w:t>creat</w:t>
      </w:r>
      <w:r w:rsidRPr="005F77CE">
        <w:rPr>
          <w:sz w:val="24"/>
          <w:szCs w:val="24"/>
        </w:rPr>
        <w:t>Mænd</w:t>
      </w:r>
      <w:proofErr w:type="spellEnd"/>
    </w:p>
    <w:p w14:paraId="38D5432D" w14:textId="77777777" w:rsidR="009E4328" w:rsidRDefault="009E4328" w:rsidP="00473F2D">
      <w:pPr>
        <w:ind w:left="851"/>
        <w:rPr>
          <w:sz w:val="24"/>
          <w:szCs w:val="24"/>
        </w:rPr>
      </w:pPr>
    </w:p>
    <w:p w14:paraId="5CB32661" w14:textId="6FBA3011" w:rsidR="00243FF4" w:rsidRPr="005F77CE" w:rsidRDefault="00243FF4" w:rsidP="009E4328">
      <w:pPr>
        <w:rPr>
          <w:sz w:val="24"/>
          <w:szCs w:val="24"/>
        </w:rPr>
      </w:pPr>
      <w:r w:rsidRPr="005F77CE">
        <w:rPr>
          <w:sz w:val="24"/>
          <w:szCs w:val="24"/>
        </w:rPr>
        <w:t>Tabel 1</w:t>
      </w:r>
      <w:r w:rsidR="00F8422A">
        <w:rPr>
          <w:sz w:val="24"/>
          <w:szCs w:val="24"/>
        </w:rPr>
        <w:t>.</w:t>
      </w:r>
      <w:r w:rsidRPr="005F77CE">
        <w:rPr>
          <w:sz w:val="24"/>
          <w:szCs w:val="24"/>
        </w:rPr>
        <w:t xml:space="preserve"> Doseringsplanved nedsat nyrefunktion til indledende behandling ved CMV-infektion.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5"/>
        <w:gridCol w:w="1701"/>
        <w:gridCol w:w="411"/>
        <w:gridCol w:w="1816"/>
        <w:gridCol w:w="1851"/>
        <w:gridCol w:w="1694"/>
      </w:tblGrid>
      <w:tr w:rsidR="00243FF4" w:rsidRPr="005F77CE" w14:paraId="5E51D53A" w14:textId="77777777" w:rsidTr="009E4328">
        <w:trPr>
          <w:trHeight w:val="242"/>
        </w:trPr>
        <w:tc>
          <w:tcPr>
            <w:tcW w:w="1126" w:type="pct"/>
            <w:tcBorders>
              <w:top w:val="single" w:sz="4" w:space="0" w:color="000000"/>
              <w:left w:val="single" w:sz="4" w:space="0" w:color="000000"/>
              <w:bottom w:val="single" w:sz="4" w:space="0" w:color="000000"/>
              <w:right w:val="single" w:sz="4" w:space="0" w:color="000000"/>
            </w:tcBorders>
          </w:tcPr>
          <w:p w14:paraId="5FD44F1A" w14:textId="77777777" w:rsidR="00243FF4" w:rsidRPr="005F77CE" w:rsidRDefault="00243FF4" w:rsidP="00746622">
            <w:pPr>
              <w:pStyle w:val="TableParagraph"/>
              <w:ind w:left="142"/>
              <w:rPr>
                <w:sz w:val="24"/>
                <w:szCs w:val="24"/>
              </w:rPr>
            </w:pPr>
          </w:p>
        </w:tc>
        <w:tc>
          <w:tcPr>
            <w:tcW w:w="3874" w:type="pct"/>
            <w:gridSpan w:val="5"/>
            <w:tcBorders>
              <w:top w:val="single" w:sz="4" w:space="0" w:color="000000"/>
              <w:left w:val="single" w:sz="4" w:space="0" w:color="000000"/>
              <w:bottom w:val="single" w:sz="4" w:space="0" w:color="000000"/>
              <w:right w:val="single" w:sz="4" w:space="0" w:color="000000"/>
            </w:tcBorders>
            <w:hideMark/>
          </w:tcPr>
          <w:p w14:paraId="6EEB9220" w14:textId="77777777" w:rsidR="00243FF4" w:rsidRPr="005F77CE" w:rsidRDefault="00243FF4" w:rsidP="00746622">
            <w:pPr>
              <w:pStyle w:val="TableParagraph"/>
              <w:ind w:left="142"/>
              <w:rPr>
                <w:sz w:val="24"/>
                <w:szCs w:val="24"/>
              </w:rPr>
            </w:pPr>
            <w:r w:rsidRPr="005F77CE">
              <w:rPr>
                <w:sz w:val="24"/>
                <w:szCs w:val="24"/>
              </w:rPr>
              <w:t xml:space="preserve">Dosis </w:t>
            </w:r>
            <w:proofErr w:type="spellStart"/>
            <w:r w:rsidRPr="005F77CE">
              <w:rPr>
                <w:sz w:val="24"/>
                <w:szCs w:val="24"/>
              </w:rPr>
              <w:t>foscarnetnatriumhexahydrat</w:t>
            </w:r>
            <w:proofErr w:type="spellEnd"/>
            <w:r w:rsidRPr="005F77CE">
              <w:rPr>
                <w:sz w:val="24"/>
                <w:szCs w:val="24"/>
              </w:rPr>
              <w:t xml:space="preserve"> *</w:t>
            </w:r>
          </w:p>
        </w:tc>
      </w:tr>
      <w:tr w:rsidR="009E4328" w:rsidRPr="005F77CE" w14:paraId="264D3F38" w14:textId="77777777" w:rsidTr="009E4328">
        <w:trPr>
          <w:trHeight w:val="724"/>
        </w:trPr>
        <w:tc>
          <w:tcPr>
            <w:tcW w:w="1126" w:type="pct"/>
            <w:tcBorders>
              <w:top w:val="single" w:sz="4" w:space="0" w:color="000000"/>
              <w:left w:val="single" w:sz="4" w:space="0" w:color="000000"/>
              <w:bottom w:val="single" w:sz="4" w:space="0" w:color="000000"/>
              <w:right w:val="single" w:sz="4" w:space="0" w:color="000000"/>
            </w:tcBorders>
            <w:hideMark/>
          </w:tcPr>
          <w:p w14:paraId="559541F0" w14:textId="77777777" w:rsidR="00746622" w:rsidRDefault="009E4328" w:rsidP="00746622">
            <w:pPr>
              <w:pStyle w:val="TableParagraph"/>
              <w:ind w:left="142" w:right="408" w:firstLine="1"/>
              <w:jc w:val="center"/>
              <w:rPr>
                <w:sz w:val="24"/>
                <w:szCs w:val="24"/>
              </w:rPr>
            </w:pPr>
            <w:proofErr w:type="spellStart"/>
            <w:r w:rsidRPr="005F77CE">
              <w:rPr>
                <w:sz w:val="24"/>
                <w:szCs w:val="24"/>
              </w:rPr>
              <w:t>Kreatinin-clearance</w:t>
            </w:r>
            <w:proofErr w:type="spellEnd"/>
          </w:p>
          <w:p w14:paraId="09EE8513" w14:textId="15E38C97" w:rsidR="009E4328" w:rsidRPr="005F77CE" w:rsidRDefault="009E4328" w:rsidP="00746622">
            <w:pPr>
              <w:pStyle w:val="TableParagraph"/>
              <w:ind w:left="142" w:right="408" w:firstLine="1"/>
              <w:jc w:val="center"/>
              <w:rPr>
                <w:sz w:val="24"/>
                <w:szCs w:val="24"/>
              </w:rPr>
            </w:pPr>
            <w:r w:rsidRPr="005F77CE">
              <w:rPr>
                <w:sz w:val="24"/>
                <w:szCs w:val="24"/>
              </w:rPr>
              <w:t>(ml/min/kg kropsvægt)</w:t>
            </w:r>
          </w:p>
        </w:tc>
        <w:tc>
          <w:tcPr>
            <w:tcW w:w="890" w:type="pct"/>
            <w:tcBorders>
              <w:top w:val="single" w:sz="4" w:space="0" w:color="000000"/>
              <w:left w:val="single" w:sz="4" w:space="0" w:color="000000"/>
              <w:bottom w:val="single" w:sz="4" w:space="0" w:color="000000"/>
              <w:right w:val="single" w:sz="4" w:space="0" w:color="000000"/>
            </w:tcBorders>
            <w:hideMark/>
          </w:tcPr>
          <w:p w14:paraId="1E73F103" w14:textId="77777777" w:rsidR="009E4328" w:rsidRPr="005F77CE" w:rsidRDefault="009E4328" w:rsidP="00746622">
            <w:pPr>
              <w:pStyle w:val="TableParagraph"/>
              <w:ind w:left="142" w:right="122"/>
              <w:jc w:val="center"/>
              <w:rPr>
                <w:sz w:val="24"/>
                <w:szCs w:val="24"/>
              </w:rPr>
            </w:pPr>
            <w:r w:rsidRPr="005F77CE">
              <w:rPr>
                <w:sz w:val="24"/>
                <w:szCs w:val="24"/>
              </w:rPr>
              <w:t>90 mg/kg kropsvægt (infusionens varighed:</w:t>
            </w:r>
          </w:p>
          <w:p w14:paraId="60F1C206" w14:textId="77777777" w:rsidR="009E4328" w:rsidRPr="005F77CE" w:rsidRDefault="009E4328" w:rsidP="00746622">
            <w:pPr>
              <w:pStyle w:val="TableParagraph"/>
              <w:ind w:left="142" w:right="127"/>
              <w:jc w:val="center"/>
              <w:rPr>
                <w:sz w:val="24"/>
                <w:szCs w:val="24"/>
              </w:rPr>
            </w:pPr>
            <w:r w:rsidRPr="005F77CE">
              <w:rPr>
                <w:sz w:val="24"/>
                <w:szCs w:val="24"/>
              </w:rPr>
              <w:t>min. 2 timer)</w:t>
            </w:r>
          </w:p>
        </w:tc>
        <w:tc>
          <w:tcPr>
            <w:tcW w:w="1130" w:type="pct"/>
            <w:gridSpan w:val="2"/>
            <w:tcBorders>
              <w:top w:val="single" w:sz="4" w:space="0" w:color="000000"/>
              <w:left w:val="single" w:sz="4" w:space="0" w:color="000000"/>
              <w:bottom w:val="single" w:sz="4" w:space="0" w:color="000000"/>
              <w:right w:val="single" w:sz="4" w:space="0" w:color="000000"/>
            </w:tcBorders>
            <w:hideMark/>
          </w:tcPr>
          <w:p w14:paraId="56716B9E" w14:textId="4827E345" w:rsidR="009E4328" w:rsidRPr="005F77CE" w:rsidRDefault="009E4328" w:rsidP="00746622">
            <w:pPr>
              <w:pStyle w:val="TableParagraph"/>
              <w:ind w:left="142" w:right="-132"/>
              <w:jc w:val="center"/>
              <w:rPr>
                <w:sz w:val="24"/>
                <w:szCs w:val="24"/>
              </w:rPr>
            </w:pPr>
            <w:r w:rsidRPr="005F77CE">
              <w:rPr>
                <w:sz w:val="24"/>
                <w:szCs w:val="24"/>
              </w:rPr>
              <w:t>I Intervaller på:</w:t>
            </w:r>
          </w:p>
        </w:tc>
        <w:tc>
          <w:tcPr>
            <w:tcW w:w="968" w:type="pct"/>
            <w:tcBorders>
              <w:top w:val="single" w:sz="4" w:space="0" w:color="000000"/>
              <w:left w:val="single" w:sz="4" w:space="0" w:color="000000"/>
              <w:bottom w:val="single" w:sz="4" w:space="0" w:color="000000"/>
              <w:right w:val="single" w:sz="4" w:space="0" w:color="000000"/>
            </w:tcBorders>
            <w:hideMark/>
          </w:tcPr>
          <w:p w14:paraId="583A7C91" w14:textId="77777777" w:rsidR="009E4328" w:rsidRPr="005F77CE" w:rsidRDefault="009E4328" w:rsidP="00746622">
            <w:pPr>
              <w:pStyle w:val="TableParagraph"/>
              <w:ind w:left="142" w:right="122"/>
              <w:jc w:val="center"/>
              <w:rPr>
                <w:sz w:val="24"/>
                <w:szCs w:val="24"/>
              </w:rPr>
            </w:pPr>
            <w:r w:rsidRPr="005F77CE">
              <w:rPr>
                <w:sz w:val="24"/>
                <w:szCs w:val="24"/>
              </w:rPr>
              <w:t>60 mg/kg kropsvægt (infusionens varighed:</w:t>
            </w:r>
          </w:p>
          <w:p w14:paraId="56C99D4B" w14:textId="77777777" w:rsidR="009E4328" w:rsidRPr="005F77CE" w:rsidRDefault="009E4328" w:rsidP="00746622">
            <w:pPr>
              <w:pStyle w:val="TableParagraph"/>
              <w:ind w:left="142"/>
              <w:jc w:val="center"/>
              <w:rPr>
                <w:sz w:val="24"/>
                <w:szCs w:val="24"/>
              </w:rPr>
            </w:pPr>
            <w:r w:rsidRPr="005F77CE">
              <w:rPr>
                <w:sz w:val="24"/>
                <w:szCs w:val="24"/>
              </w:rPr>
              <w:t>min. 1 time)</w:t>
            </w:r>
          </w:p>
        </w:tc>
        <w:tc>
          <w:tcPr>
            <w:tcW w:w="886" w:type="pct"/>
            <w:tcBorders>
              <w:top w:val="single" w:sz="4" w:space="0" w:color="000000"/>
              <w:left w:val="single" w:sz="4" w:space="0" w:color="000000"/>
              <w:bottom w:val="single" w:sz="4" w:space="0" w:color="000000"/>
              <w:right w:val="single" w:sz="4" w:space="0" w:color="000000"/>
            </w:tcBorders>
            <w:hideMark/>
          </w:tcPr>
          <w:p w14:paraId="0FA41F30" w14:textId="77777777" w:rsidR="009E4328" w:rsidRPr="005F77CE" w:rsidRDefault="009E4328" w:rsidP="00746622">
            <w:pPr>
              <w:pStyle w:val="TableParagraph"/>
              <w:ind w:left="142" w:hanging="298"/>
              <w:jc w:val="center"/>
              <w:rPr>
                <w:sz w:val="24"/>
                <w:szCs w:val="24"/>
              </w:rPr>
            </w:pPr>
            <w:r w:rsidRPr="005F77CE">
              <w:rPr>
                <w:sz w:val="24"/>
                <w:szCs w:val="24"/>
              </w:rPr>
              <w:t>I intervaller på:</w:t>
            </w:r>
          </w:p>
        </w:tc>
      </w:tr>
      <w:tr w:rsidR="00243FF4" w:rsidRPr="005F77CE" w14:paraId="6CA0BCAF" w14:textId="77777777" w:rsidTr="00870511">
        <w:trPr>
          <w:trHeight w:val="239"/>
        </w:trPr>
        <w:tc>
          <w:tcPr>
            <w:tcW w:w="1126" w:type="pct"/>
            <w:tcBorders>
              <w:top w:val="single" w:sz="4" w:space="0" w:color="000000"/>
              <w:left w:val="single" w:sz="4" w:space="0" w:color="000000"/>
              <w:bottom w:val="single" w:sz="4" w:space="0" w:color="000000"/>
              <w:right w:val="single" w:sz="4" w:space="0" w:color="000000"/>
            </w:tcBorders>
            <w:hideMark/>
          </w:tcPr>
          <w:p w14:paraId="7C7F0575" w14:textId="77777777" w:rsidR="00243FF4" w:rsidRPr="005F77CE" w:rsidRDefault="00243FF4" w:rsidP="00746622">
            <w:pPr>
              <w:pStyle w:val="TableParagraph"/>
              <w:ind w:left="142"/>
              <w:rPr>
                <w:sz w:val="24"/>
                <w:szCs w:val="24"/>
              </w:rPr>
            </w:pPr>
            <w:r w:rsidRPr="005F77CE">
              <w:rPr>
                <w:sz w:val="24"/>
                <w:szCs w:val="24"/>
              </w:rPr>
              <w:t>&gt; 1,4</w:t>
            </w:r>
          </w:p>
        </w:tc>
        <w:tc>
          <w:tcPr>
            <w:tcW w:w="890" w:type="pct"/>
            <w:tcBorders>
              <w:top w:val="single" w:sz="4" w:space="0" w:color="000000"/>
              <w:left w:val="single" w:sz="4" w:space="0" w:color="000000"/>
              <w:bottom w:val="single" w:sz="4" w:space="0" w:color="000000"/>
              <w:right w:val="single" w:sz="4" w:space="0" w:color="000000"/>
            </w:tcBorders>
            <w:hideMark/>
          </w:tcPr>
          <w:p w14:paraId="30014999" w14:textId="77777777" w:rsidR="00243FF4" w:rsidRPr="005F77CE" w:rsidRDefault="00243FF4" w:rsidP="00746622">
            <w:pPr>
              <w:pStyle w:val="TableParagraph"/>
              <w:ind w:left="142"/>
              <w:rPr>
                <w:sz w:val="24"/>
                <w:szCs w:val="24"/>
              </w:rPr>
            </w:pPr>
            <w:r w:rsidRPr="005F77CE">
              <w:rPr>
                <w:sz w:val="24"/>
                <w:szCs w:val="24"/>
              </w:rPr>
              <w:t>90</w:t>
            </w:r>
          </w:p>
        </w:tc>
        <w:tc>
          <w:tcPr>
            <w:tcW w:w="180" w:type="pct"/>
            <w:tcBorders>
              <w:top w:val="single" w:sz="4" w:space="0" w:color="000000"/>
              <w:left w:val="single" w:sz="4" w:space="0" w:color="000000"/>
              <w:bottom w:val="single" w:sz="4" w:space="0" w:color="000000"/>
              <w:right w:val="nil"/>
            </w:tcBorders>
            <w:hideMark/>
          </w:tcPr>
          <w:p w14:paraId="3C71423B" w14:textId="77777777" w:rsidR="00243FF4" w:rsidRPr="005F77CE" w:rsidRDefault="00243FF4" w:rsidP="00746622">
            <w:pPr>
              <w:pStyle w:val="TableParagraph"/>
              <w:ind w:left="142" w:right="23"/>
              <w:jc w:val="right"/>
              <w:rPr>
                <w:sz w:val="24"/>
                <w:szCs w:val="24"/>
              </w:rPr>
            </w:pPr>
            <w:r w:rsidRPr="005F77CE">
              <w:rPr>
                <w:sz w:val="24"/>
                <w:szCs w:val="24"/>
              </w:rPr>
              <w:t>12</w:t>
            </w:r>
          </w:p>
        </w:tc>
        <w:tc>
          <w:tcPr>
            <w:tcW w:w="950" w:type="pct"/>
            <w:tcBorders>
              <w:top w:val="single" w:sz="4" w:space="0" w:color="000000"/>
              <w:left w:val="nil"/>
              <w:bottom w:val="single" w:sz="4" w:space="0" w:color="000000"/>
              <w:right w:val="single" w:sz="4" w:space="0" w:color="000000"/>
            </w:tcBorders>
            <w:hideMark/>
          </w:tcPr>
          <w:p w14:paraId="6006AE7E" w14:textId="77777777" w:rsidR="00243FF4" w:rsidRPr="005F77CE" w:rsidRDefault="00243FF4" w:rsidP="00746622">
            <w:pPr>
              <w:pStyle w:val="TableParagraph"/>
              <w:ind w:left="142"/>
              <w:rPr>
                <w:sz w:val="24"/>
                <w:szCs w:val="24"/>
              </w:rPr>
            </w:pPr>
            <w:r w:rsidRPr="005F77CE">
              <w:rPr>
                <w:sz w:val="24"/>
                <w:szCs w:val="24"/>
              </w:rPr>
              <w:t>timer</w:t>
            </w:r>
          </w:p>
        </w:tc>
        <w:tc>
          <w:tcPr>
            <w:tcW w:w="968" w:type="pct"/>
            <w:tcBorders>
              <w:top w:val="single" w:sz="4" w:space="0" w:color="000000"/>
              <w:left w:val="single" w:sz="4" w:space="0" w:color="000000"/>
              <w:bottom w:val="single" w:sz="4" w:space="0" w:color="000000"/>
              <w:right w:val="single" w:sz="4" w:space="0" w:color="000000"/>
            </w:tcBorders>
            <w:hideMark/>
          </w:tcPr>
          <w:p w14:paraId="7B61088A" w14:textId="77777777" w:rsidR="00243FF4" w:rsidRPr="005F77CE" w:rsidRDefault="00243FF4" w:rsidP="00746622">
            <w:pPr>
              <w:pStyle w:val="TableParagraph"/>
              <w:ind w:left="142"/>
              <w:rPr>
                <w:sz w:val="24"/>
                <w:szCs w:val="24"/>
              </w:rPr>
            </w:pPr>
            <w:r w:rsidRPr="005F77CE">
              <w:rPr>
                <w:sz w:val="24"/>
                <w:szCs w:val="24"/>
              </w:rPr>
              <w:t>60</w:t>
            </w:r>
          </w:p>
        </w:tc>
        <w:tc>
          <w:tcPr>
            <w:tcW w:w="886" w:type="pct"/>
            <w:tcBorders>
              <w:top w:val="single" w:sz="4" w:space="0" w:color="000000"/>
              <w:left w:val="single" w:sz="4" w:space="0" w:color="000000"/>
              <w:bottom w:val="single" w:sz="4" w:space="0" w:color="000000"/>
              <w:right w:val="single" w:sz="4" w:space="0" w:color="000000"/>
            </w:tcBorders>
            <w:hideMark/>
          </w:tcPr>
          <w:p w14:paraId="54917E22" w14:textId="77777777" w:rsidR="00243FF4" w:rsidRPr="005F77CE" w:rsidRDefault="00243FF4" w:rsidP="00746622">
            <w:pPr>
              <w:pStyle w:val="TableParagraph"/>
              <w:ind w:left="142"/>
              <w:rPr>
                <w:sz w:val="24"/>
                <w:szCs w:val="24"/>
              </w:rPr>
            </w:pPr>
            <w:r w:rsidRPr="005F77CE">
              <w:rPr>
                <w:sz w:val="24"/>
                <w:szCs w:val="24"/>
              </w:rPr>
              <w:t>8 timer</w:t>
            </w:r>
          </w:p>
        </w:tc>
      </w:tr>
      <w:tr w:rsidR="00243FF4" w:rsidRPr="005F77CE" w14:paraId="3B01496D" w14:textId="77777777" w:rsidTr="00870511">
        <w:trPr>
          <w:trHeight w:val="244"/>
        </w:trPr>
        <w:tc>
          <w:tcPr>
            <w:tcW w:w="1126" w:type="pct"/>
            <w:tcBorders>
              <w:top w:val="single" w:sz="4" w:space="0" w:color="000000"/>
              <w:left w:val="single" w:sz="4" w:space="0" w:color="000000"/>
              <w:bottom w:val="single" w:sz="4" w:space="0" w:color="000000"/>
              <w:right w:val="single" w:sz="4" w:space="0" w:color="000000"/>
            </w:tcBorders>
            <w:hideMark/>
          </w:tcPr>
          <w:p w14:paraId="6D7379B6" w14:textId="77777777" w:rsidR="00243FF4" w:rsidRPr="005F77CE" w:rsidRDefault="00243FF4" w:rsidP="00746622">
            <w:pPr>
              <w:pStyle w:val="TableParagraph"/>
              <w:ind w:left="142"/>
              <w:rPr>
                <w:sz w:val="24"/>
                <w:szCs w:val="24"/>
              </w:rPr>
            </w:pPr>
            <w:r w:rsidRPr="005F77CE">
              <w:rPr>
                <w:sz w:val="24"/>
                <w:szCs w:val="24"/>
              </w:rPr>
              <w:t>1,4 ≥ - &gt; 1</w:t>
            </w:r>
          </w:p>
        </w:tc>
        <w:tc>
          <w:tcPr>
            <w:tcW w:w="890" w:type="pct"/>
            <w:tcBorders>
              <w:top w:val="single" w:sz="4" w:space="0" w:color="000000"/>
              <w:left w:val="single" w:sz="4" w:space="0" w:color="000000"/>
              <w:bottom w:val="single" w:sz="4" w:space="0" w:color="000000"/>
              <w:right w:val="single" w:sz="4" w:space="0" w:color="000000"/>
            </w:tcBorders>
            <w:hideMark/>
          </w:tcPr>
          <w:p w14:paraId="021129F1" w14:textId="77777777" w:rsidR="00243FF4" w:rsidRPr="005F77CE" w:rsidRDefault="00243FF4" w:rsidP="00746622">
            <w:pPr>
              <w:pStyle w:val="TableParagraph"/>
              <w:ind w:left="142"/>
              <w:rPr>
                <w:sz w:val="24"/>
                <w:szCs w:val="24"/>
              </w:rPr>
            </w:pPr>
            <w:r w:rsidRPr="005F77CE">
              <w:rPr>
                <w:sz w:val="24"/>
                <w:szCs w:val="24"/>
              </w:rPr>
              <w:t>70</w:t>
            </w:r>
          </w:p>
        </w:tc>
        <w:tc>
          <w:tcPr>
            <w:tcW w:w="180" w:type="pct"/>
            <w:tcBorders>
              <w:top w:val="single" w:sz="4" w:space="0" w:color="000000"/>
              <w:left w:val="single" w:sz="4" w:space="0" w:color="000000"/>
              <w:bottom w:val="single" w:sz="4" w:space="0" w:color="000000"/>
              <w:right w:val="nil"/>
            </w:tcBorders>
            <w:hideMark/>
          </w:tcPr>
          <w:p w14:paraId="6782A88A" w14:textId="77777777" w:rsidR="00243FF4" w:rsidRPr="005F77CE" w:rsidRDefault="00243FF4" w:rsidP="00746622">
            <w:pPr>
              <w:pStyle w:val="TableParagraph"/>
              <w:ind w:left="142" w:right="23"/>
              <w:jc w:val="right"/>
              <w:rPr>
                <w:sz w:val="24"/>
                <w:szCs w:val="24"/>
              </w:rPr>
            </w:pPr>
            <w:r w:rsidRPr="005F77CE">
              <w:rPr>
                <w:sz w:val="24"/>
                <w:szCs w:val="24"/>
              </w:rPr>
              <w:t>12</w:t>
            </w:r>
          </w:p>
        </w:tc>
        <w:tc>
          <w:tcPr>
            <w:tcW w:w="950" w:type="pct"/>
            <w:tcBorders>
              <w:top w:val="single" w:sz="4" w:space="0" w:color="000000"/>
              <w:left w:val="nil"/>
              <w:bottom w:val="single" w:sz="4" w:space="0" w:color="000000"/>
              <w:right w:val="single" w:sz="4" w:space="0" w:color="000000"/>
            </w:tcBorders>
            <w:hideMark/>
          </w:tcPr>
          <w:p w14:paraId="1A889380" w14:textId="77777777" w:rsidR="00243FF4" w:rsidRPr="005F77CE" w:rsidRDefault="00243FF4" w:rsidP="00746622">
            <w:pPr>
              <w:pStyle w:val="TableParagraph"/>
              <w:ind w:left="142"/>
              <w:rPr>
                <w:sz w:val="24"/>
                <w:szCs w:val="24"/>
              </w:rPr>
            </w:pPr>
            <w:r w:rsidRPr="005F77CE">
              <w:rPr>
                <w:sz w:val="24"/>
                <w:szCs w:val="24"/>
              </w:rPr>
              <w:t>timer</w:t>
            </w:r>
          </w:p>
        </w:tc>
        <w:tc>
          <w:tcPr>
            <w:tcW w:w="968" w:type="pct"/>
            <w:tcBorders>
              <w:top w:val="single" w:sz="4" w:space="0" w:color="000000"/>
              <w:left w:val="single" w:sz="4" w:space="0" w:color="000000"/>
              <w:bottom w:val="single" w:sz="4" w:space="0" w:color="000000"/>
              <w:right w:val="single" w:sz="4" w:space="0" w:color="000000"/>
            </w:tcBorders>
            <w:hideMark/>
          </w:tcPr>
          <w:p w14:paraId="048F460F" w14:textId="77777777" w:rsidR="00243FF4" w:rsidRPr="005F77CE" w:rsidRDefault="00243FF4" w:rsidP="00746622">
            <w:pPr>
              <w:pStyle w:val="TableParagraph"/>
              <w:ind w:left="142"/>
              <w:rPr>
                <w:sz w:val="24"/>
                <w:szCs w:val="24"/>
              </w:rPr>
            </w:pPr>
            <w:r w:rsidRPr="005F77CE">
              <w:rPr>
                <w:sz w:val="24"/>
                <w:szCs w:val="24"/>
              </w:rPr>
              <w:t>45</w:t>
            </w:r>
          </w:p>
        </w:tc>
        <w:tc>
          <w:tcPr>
            <w:tcW w:w="886" w:type="pct"/>
            <w:tcBorders>
              <w:top w:val="single" w:sz="4" w:space="0" w:color="000000"/>
              <w:left w:val="single" w:sz="4" w:space="0" w:color="000000"/>
              <w:bottom w:val="single" w:sz="4" w:space="0" w:color="000000"/>
              <w:right w:val="single" w:sz="4" w:space="0" w:color="000000"/>
            </w:tcBorders>
            <w:hideMark/>
          </w:tcPr>
          <w:p w14:paraId="077F558A" w14:textId="77777777" w:rsidR="00243FF4" w:rsidRPr="005F77CE" w:rsidRDefault="00243FF4" w:rsidP="00746622">
            <w:pPr>
              <w:pStyle w:val="TableParagraph"/>
              <w:ind w:left="142"/>
              <w:rPr>
                <w:sz w:val="24"/>
                <w:szCs w:val="24"/>
              </w:rPr>
            </w:pPr>
            <w:r w:rsidRPr="005F77CE">
              <w:rPr>
                <w:sz w:val="24"/>
                <w:szCs w:val="24"/>
              </w:rPr>
              <w:t>8 timer</w:t>
            </w:r>
          </w:p>
        </w:tc>
      </w:tr>
      <w:tr w:rsidR="00870511" w:rsidRPr="005F77CE" w14:paraId="3D916207" w14:textId="77777777" w:rsidTr="00870511">
        <w:trPr>
          <w:trHeight w:val="244"/>
        </w:trPr>
        <w:tc>
          <w:tcPr>
            <w:tcW w:w="1126" w:type="pct"/>
            <w:tcBorders>
              <w:top w:val="single" w:sz="4" w:space="0" w:color="000000"/>
              <w:left w:val="single" w:sz="4" w:space="0" w:color="000000"/>
              <w:bottom w:val="single" w:sz="4" w:space="0" w:color="000000"/>
              <w:right w:val="single" w:sz="4" w:space="0" w:color="000000"/>
            </w:tcBorders>
            <w:hideMark/>
          </w:tcPr>
          <w:p w14:paraId="096AA96A" w14:textId="5E5F5A38" w:rsidR="00870511" w:rsidRPr="005F77CE" w:rsidRDefault="00870511" w:rsidP="00746622">
            <w:pPr>
              <w:pStyle w:val="TableParagraph"/>
              <w:ind w:left="142"/>
              <w:rPr>
                <w:sz w:val="24"/>
                <w:szCs w:val="24"/>
              </w:rPr>
            </w:pPr>
            <w:r w:rsidRPr="005F77CE">
              <w:rPr>
                <w:sz w:val="24"/>
                <w:szCs w:val="24"/>
              </w:rPr>
              <w:t>1</w:t>
            </w:r>
            <w:r>
              <w:rPr>
                <w:sz w:val="24"/>
                <w:szCs w:val="24"/>
              </w:rPr>
              <w:t xml:space="preserve"> </w:t>
            </w:r>
            <w:r w:rsidRPr="005F77CE">
              <w:rPr>
                <w:sz w:val="24"/>
                <w:szCs w:val="24"/>
              </w:rPr>
              <w:t>≥ - &gt; 0,8</w:t>
            </w:r>
          </w:p>
        </w:tc>
        <w:tc>
          <w:tcPr>
            <w:tcW w:w="890" w:type="pct"/>
            <w:tcBorders>
              <w:top w:val="single" w:sz="4" w:space="0" w:color="000000"/>
              <w:left w:val="single" w:sz="4" w:space="0" w:color="000000"/>
              <w:bottom w:val="single" w:sz="4" w:space="0" w:color="000000"/>
              <w:right w:val="single" w:sz="4" w:space="0" w:color="000000"/>
            </w:tcBorders>
            <w:hideMark/>
          </w:tcPr>
          <w:p w14:paraId="5BF1EB19" w14:textId="77777777" w:rsidR="00870511" w:rsidRPr="005F77CE" w:rsidRDefault="00870511" w:rsidP="00746622">
            <w:pPr>
              <w:pStyle w:val="TableParagraph"/>
              <w:ind w:left="142"/>
              <w:rPr>
                <w:sz w:val="24"/>
                <w:szCs w:val="24"/>
              </w:rPr>
            </w:pPr>
            <w:r w:rsidRPr="005F77CE">
              <w:rPr>
                <w:sz w:val="24"/>
                <w:szCs w:val="24"/>
              </w:rPr>
              <w:t>50</w:t>
            </w:r>
          </w:p>
        </w:tc>
        <w:tc>
          <w:tcPr>
            <w:tcW w:w="180" w:type="pct"/>
            <w:tcBorders>
              <w:top w:val="single" w:sz="4" w:space="0" w:color="000000"/>
              <w:left w:val="single" w:sz="4" w:space="0" w:color="000000"/>
              <w:bottom w:val="single" w:sz="4" w:space="0" w:color="000000"/>
              <w:right w:val="nil"/>
            </w:tcBorders>
            <w:hideMark/>
          </w:tcPr>
          <w:p w14:paraId="6AD502A2" w14:textId="77777777" w:rsidR="00870511" w:rsidRPr="005F77CE" w:rsidRDefault="00870511" w:rsidP="00746622">
            <w:pPr>
              <w:pStyle w:val="TableParagraph"/>
              <w:ind w:left="142" w:right="23"/>
              <w:jc w:val="right"/>
              <w:rPr>
                <w:sz w:val="24"/>
                <w:szCs w:val="24"/>
              </w:rPr>
            </w:pPr>
            <w:r w:rsidRPr="005F77CE">
              <w:rPr>
                <w:sz w:val="24"/>
                <w:szCs w:val="24"/>
              </w:rPr>
              <w:t>12</w:t>
            </w:r>
          </w:p>
        </w:tc>
        <w:tc>
          <w:tcPr>
            <w:tcW w:w="950" w:type="pct"/>
            <w:tcBorders>
              <w:top w:val="single" w:sz="4" w:space="0" w:color="000000"/>
              <w:left w:val="nil"/>
              <w:bottom w:val="single" w:sz="4" w:space="0" w:color="000000"/>
              <w:right w:val="single" w:sz="4" w:space="0" w:color="000000"/>
            </w:tcBorders>
            <w:hideMark/>
          </w:tcPr>
          <w:p w14:paraId="08D2F7EB" w14:textId="77777777" w:rsidR="00870511" w:rsidRPr="005F77CE" w:rsidRDefault="00870511" w:rsidP="00746622">
            <w:pPr>
              <w:pStyle w:val="TableParagraph"/>
              <w:ind w:left="142"/>
              <w:rPr>
                <w:sz w:val="24"/>
                <w:szCs w:val="24"/>
              </w:rPr>
            </w:pPr>
            <w:r w:rsidRPr="005F77CE">
              <w:rPr>
                <w:sz w:val="24"/>
                <w:szCs w:val="24"/>
              </w:rPr>
              <w:t>timer</w:t>
            </w:r>
          </w:p>
        </w:tc>
        <w:tc>
          <w:tcPr>
            <w:tcW w:w="968" w:type="pct"/>
            <w:tcBorders>
              <w:top w:val="single" w:sz="4" w:space="0" w:color="000000"/>
              <w:left w:val="single" w:sz="4" w:space="0" w:color="000000"/>
              <w:bottom w:val="single" w:sz="4" w:space="0" w:color="000000"/>
              <w:right w:val="single" w:sz="4" w:space="0" w:color="000000"/>
            </w:tcBorders>
            <w:hideMark/>
          </w:tcPr>
          <w:p w14:paraId="207D979D" w14:textId="77777777" w:rsidR="00870511" w:rsidRPr="005F77CE" w:rsidRDefault="00870511" w:rsidP="00746622">
            <w:pPr>
              <w:pStyle w:val="TableParagraph"/>
              <w:ind w:left="142"/>
              <w:rPr>
                <w:sz w:val="24"/>
                <w:szCs w:val="24"/>
              </w:rPr>
            </w:pPr>
            <w:r w:rsidRPr="005F77CE">
              <w:rPr>
                <w:sz w:val="24"/>
                <w:szCs w:val="24"/>
              </w:rPr>
              <w:t>35</w:t>
            </w:r>
          </w:p>
        </w:tc>
        <w:tc>
          <w:tcPr>
            <w:tcW w:w="886" w:type="pct"/>
            <w:tcBorders>
              <w:top w:val="single" w:sz="4" w:space="0" w:color="000000"/>
              <w:left w:val="single" w:sz="4" w:space="0" w:color="000000"/>
              <w:bottom w:val="single" w:sz="4" w:space="0" w:color="000000"/>
              <w:right w:val="single" w:sz="4" w:space="0" w:color="000000"/>
            </w:tcBorders>
            <w:hideMark/>
          </w:tcPr>
          <w:p w14:paraId="0D2E2014" w14:textId="77777777" w:rsidR="00870511" w:rsidRPr="005F77CE" w:rsidRDefault="00870511" w:rsidP="00746622">
            <w:pPr>
              <w:pStyle w:val="TableParagraph"/>
              <w:ind w:left="142"/>
              <w:rPr>
                <w:sz w:val="24"/>
                <w:szCs w:val="24"/>
              </w:rPr>
            </w:pPr>
            <w:r w:rsidRPr="005F77CE">
              <w:rPr>
                <w:sz w:val="24"/>
                <w:szCs w:val="24"/>
              </w:rPr>
              <w:t>8 timer</w:t>
            </w:r>
          </w:p>
        </w:tc>
      </w:tr>
      <w:tr w:rsidR="00243FF4" w:rsidRPr="005F77CE" w14:paraId="5CE2654E" w14:textId="77777777" w:rsidTr="00870511">
        <w:trPr>
          <w:trHeight w:val="242"/>
        </w:trPr>
        <w:tc>
          <w:tcPr>
            <w:tcW w:w="1126" w:type="pct"/>
            <w:tcBorders>
              <w:top w:val="single" w:sz="4" w:space="0" w:color="000000"/>
              <w:left w:val="single" w:sz="4" w:space="0" w:color="000000"/>
              <w:bottom w:val="single" w:sz="4" w:space="0" w:color="000000"/>
              <w:right w:val="single" w:sz="4" w:space="0" w:color="000000"/>
            </w:tcBorders>
            <w:hideMark/>
          </w:tcPr>
          <w:p w14:paraId="0D6A7A51" w14:textId="77777777" w:rsidR="00243FF4" w:rsidRPr="005F77CE" w:rsidRDefault="00243FF4" w:rsidP="00746622">
            <w:pPr>
              <w:pStyle w:val="TableParagraph"/>
              <w:ind w:left="142"/>
              <w:rPr>
                <w:sz w:val="24"/>
                <w:szCs w:val="24"/>
              </w:rPr>
            </w:pPr>
            <w:r w:rsidRPr="005F77CE">
              <w:rPr>
                <w:sz w:val="24"/>
                <w:szCs w:val="24"/>
              </w:rPr>
              <w:t>0,8 ≥ - &gt; 0,6</w:t>
            </w:r>
          </w:p>
        </w:tc>
        <w:tc>
          <w:tcPr>
            <w:tcW w:w="890" w:type="pct"/>
            <w:tcBorders>
              <w:top w:val="single" w:sz="4" w:space="0" w:color="000000"/>
              <w:left w:val="single" w:sz="4" w:space="0" w:color="000000"/>
              <w:bottom w:val="single" w:sz="4" w:space="0" w:color="000000"/>
              <w:right w:val="single" w:sz="4" w:space="0" w:color="000000"/>
            </w:tcBorders>
            <w:hideMark/>
          </w:tcPr>
          <w:p w14:paraId="48E32BC0" w14:textId="77777777" w:rsidR="00243FF4" w:rsidRPr="005F77CE" w:rsidRDefault="00243FF4" w:rsidP="00746622">
            <w:pPr>
              <w:pStyle w:val="TableParagraph"/>
              <w:ind w:left="142"/>
              <w:rPr>
                <w:sz w:val="24"/>
                <w:szCs w:val="24"/>
              </w:rPr>
            </w:pPr>
            <w:r w:rsidRPr="005F77CE">
              <w:rPr>
                <w:sz w:val="24"/>
                <w:szCs w:val="24"/>
              </w:rPr>
              <w:t>80</w:t>
            </w:r>
          </w:p>
        </w:tc>
        <w:tc>
          <w:tcPr>
            <w:tcW w:w="180" w:type="pct"/>
            <w:tcBorders>
              <w:top w:val="single" w:sz="4" w:space="0" w:color="000000"/>
              <w:left w:val="single" w:sz="4" w:space="0" w:color="000000"/>
              <w:bottom w:val="single" w:sz="4" w:space="0" w:color="000000"/>
              <w:right w:val="nil"/>
            </w:tcBorders>
            <w:hideMark/>
          </w:tcPr>
          <w:p w14:paraId="4E1232AD" w14:textId="77777777" w:rsidR="00243FF4" w:rsidRPr="005F77CE" w:rsidRDefault="00243FF4" w:rsidP="00746622">
            <w:pPr>
              <w:pStyle w:val="TableParagraph"/>
              <w:ind w:left="142" w:right="23"/>
              <w:jc w:val="right"/>
              <w:rPr>
                <w:sz w:val="24"/>
                <w:szCs w:val="24"/>
              </w:rPr>
            </w:pPr>
            <w:r w:rsidRPr="005F77CE">
              <w:rPr>
                <w:sz w:val="24"/>
                <w:szCs w:val="24"/>
              </w:rPr>
              <w:t>24</w:t>
            </w:r>
          </w:p>
        </w:tc>
        <w:tc>
          <w:tcPr>
            <w:tcW w:w="950" w:type="pct"/>
            <w:tcBorders>
              <w:top w:val="single" w:sz="4" w:space="0" w:color="000000"/>
              <w:left w:val="nil"/>
              <w:bottom w:val="single" w:sz="4" w:space="0" w:color="000000"/>
              <w:right w:val="single" w:sz="4" w:space="0" w:color="000000"/>
            </w:tcBorders>
            <w:hideMark/>
          </w:tcPr>
          <w:p w14:paraId="2B2EED17" w14:textId="77777777" w:rsidR="00243FF4" w:rsidRPr="005F77CE" w:rsidRDefault="00243FF4" w:rsidP="00746622">
            <w:pPr>
              <w:pStyle w:val="TableParagraph"/>
              <w:ind w:left="142"/>
              <w:rPr>
                <w:sz w:val="24"/>
                <w:szCs w:val="24"/>
              </w:rPr>
            </w:pPr>
            <w:r w:rsidRPr="005F77CE">
              <w:rPr>
                <w:sz w:val="24"/>
                <w:szCs w:val="24"/>
              </w:rPr>
              <w:t>timer</w:t>
            </w:r>
          </w:p>
        </w:tc>
        <w:tc>
          <w:tcPr>
            <w:tcW w:w="968" w:type="pct"/>
            <w:tcBorders>
              <w:top w:val="single" w:sz="4" w:space="0" w:color="000000"/>
              <w:left w:val="single" w:sz="4" w:space="0" w:color="000000"/>
              <w:bottom w:val="single" w:sz="4" w:space="0" w:color="000000"/>
              <w:right w:val="single" w:sz="4" w:space="0" w:color="000000"/>
            </w:tcBorders>
            <w:hideMark/>
          </w:tcPr>
          <w:p w14:paraId="424A67D1" w14:textId="77777777" w:rsidR="00243FF4" w:rsidRPr="005F77CE" w:rsidRDefault="00243FF4" w:rsidP="00746622">
            <w:pPr>
              <w:pStyle w:val="TableParagraph"/>
              <w:ind w:left="142"/>
              <w:rPr>
                <w:sz w:val="24"/>
                <w:szCs w:val="24"/>
              </w:rPr>
            </w:pPr>
            <w:r w:rsidRPr="005F77CE">
              <w:rPr>
                <w:sz w:val="24"/>
                <w:szCs w:val="24"/>
              </w:rPr>
              <w:t>40</w:t>
            </w:r>
          </w:p>
        </w:tc>
        <w:tc>
          <w:tcPr>
            <w:tcW w:w="886" w:type="pct"/>
            <w:tcBorders>
              <w:top w:val="single" w:sz="4" w:space="0" w:color="000000"/>
              <w:left w:val="single" w:sz="4" w:space="0" w:color="000000"/>
              <w:bottom w:val="single" w:sz="4" w:space="0" w:color="000000"/>
              <w:right w:val="single" w:sz="4" w:space="0" w:color="000000"/>
            </w:tcBorders>
            <w:hideMark/>
          </w:tcPr>
          <w:p w14:paraId="3B7D9C4F" w14:textId="77777777" w:rsidR="00243FF4" w:rsidRPr="005F77CE" w:rsidRDefault="00243FF4" w:rsidP="00746622">
            <w:pPr>
              <w:pStyle w:val="TableParagraph"/>
              <w:ind w:left="142"/>
              <w:rPr>
                <w:sz w:val="24"/>
                <w:szCs w:val="24"/>
              </w:rPr>
            </w:pPr>
            <w:r w:rsidRPr="005F77CE">
              <w:rPr>
                <w:sz w:val="24"/>
                <w:szCs w:val="24"/>
              </w:rPr>
              <w:t>12 timer</w:t>
            </w:r>
          </w:p>
        </w:tc>
      </w:tr>
      <w:tr w:rsidR="00243FF4" w:rsidRPr="005F77CE" w14:paraId="0D7C1178" w14:textId="77777777" w:rsidTr="00870511">
        <w:trPr>
          <w:trHeight w:val="244"/>
        </w:trPr>
        <w:tc>
          <w:tcPr>
            <w:tcW w:w="1126" w:type="pct"/>
            <w:tcBorders>
              <w:top w:val="single" w:sz="4" w:space="0" w:color="000000"/>
              <w:left w:val="single" w:sz="4" w:space="0" w:color="000000"/>
              <w:bottom w:val="single" w:sz="4" w:space="0" w:color="000000"/>
              <w:right w:val="single" w:sz="4" w:space="0" w:color="000000"/>
            </w:tcBorders>
            <w:hideMark/>
          </w:tcPr>
          <w:p w14:paraId="74553CAC" w14:textId="77777777" w:rsidR="00243FF4" w:rsidRPr="005F77CE" w:rsidRDefault="00243FF4" w:rsidP="00746622">
            <w:pPr>
              <w:pStyle w:val="TableParagraph"/>
              <w:ind w:left="142"/>
              <w:rPr>
                <w:sz w:val="24"/>
                <w:szCs w:val="24"/>
              </w:rPr>
            </w:pPr>
            <w:r w:rsidRPr="005F77CE">
              <w:rPr>
                <w:sz w:val="24"/>
                <w:szCs w:val="24"/>
              </w:rPr>
              <w:t>0,6 ≥ - &gt; 0,5</w:t>
            </w:r>
          </w:p>
        </w:tc>
        <w:tc>
          <w:tcPr>
            <w:tcW w:w="890" w:type="pct"/>
            <w:tcBorders>
              <w:top w:val="single" w:sz="4" w:space="0" w:color="000000"/>
              <w:left w:val="single" w:sz="4" w:space="0" w:color="000000"/>
              <w:bottom w:val="single" w:sz="4" w:space="0" w:color="000000"/>
              <w:right w:val="single" w:sz="4" w:space="0" w:color="000000"/>
            </w:tcBorders>
            <w:hideMark/>
          </w:tcPr>
          <w:p w14:paraId="05057C70" w14:textId="77777777" w:rsidR="00243FF4" w:rsidRPr="005F77CE" w:rsidRDefault="00243FF4" w:rsidP="00746622">
            <w:pPr>
              <w:pStyle w:val="TableParagraph"/>
              <w:ind w:left="142"/>
              <w:rPr>
                <w:sz w:val="24"/>
                <w:szCs w:val="24"/>
              </w:rPr>
            </w:pPr>
            <w:r w:rsidRPr="005F77CE">
              <w:rPr>
                <w:sz w:val="24"/>
                <w:szCs w:val="24"/>
              </w:rPr>
              <w:t>60</w:t>
            </w:r>
          </w:p>
        </w:tc>
        <w:tc>
          <w:tcPr>
            <w:tcW w:w="180" w:type="pct"/>
            <w:tcBorders>
              <w:top w:val="single" w:sz="4" w:space="0" w:color="000000"/>
              <w:left w:val="single" w:sz="4" w:space="0" w:color="000000"/>
              <w:bottom w:val="single" w:sz="4" w:space="0" w:color="000000"/>
              <w:right w:val="nil"/>
            </w:tcBorders>
            <w:hideMark/>
          </w:tcPr>
          <w:p w14:paraId="3E83822B" w14:textId="77777777" w:rsidR="00243FF4" w:rsidRPr="005F77CE" w:rsidRDefault="00243FF4" w:rsidP="00746622">
            <w:pPr>
              <w:pStyle w:val="TableParagraph"/>
              <w:ind w:left="142" w:right="23"/>
              <w:jc w:val="right"/>
              <w:rPr>
                <w:sz w:val="24"/>
                <w:szCs w:val="24"/>
              </w:rPr>
            </w:pPr>
            <w:r w:rsidRPr="005F77CE">
              <w:rPr>
                <w:sz w:val="24"/>
                <w:szCs w:val="24"/>
              </w:rPr>
              <w:t>24</w:t>
            </w:r>
          </w:p>
        </w:tc>
        <w:tc>
          <w:tcPr>
            <w:tcW w:w="950" w:type="pct"/>
            <w:tcBorders>
              <w:top w:val="single" w:sz="4" w:space="0" w:color="000000"/>
              <w:left w:val="nil"/>
              <w:bottom w:val="single" w:sz="4" w:space="0" w:color="000000"/>
              <w:right w:val="single" w:sz="4" w:space="0" w:color="000000"/>
            </w:tcBorders>
            <w:hideMark/>
          </w:tcPr>
          <w:p w14:paraId="56258F46" w14:textId="77777777" w:rsidR="00243FF4" w:rsidRPr="005F77CE" w:rsidRDefault="00243FF4" w:rsidP="00746622">
            <w:pPr>
              <w:pStyle w:val="TableParagraph"/>
              <w:ind w:left="142"/>
              <w:rPr>
                <w:sz w:val="24"/>
                <w:szCs w:val="24"/>
              </w:rPr>
            </w:pPr>
            <w:r w:rsidRPr="005F77CE">
              <w:rPr>
                <w:sz w:val="24"/>
                <w:szCs w:val="24"/>
              </w:rPr>
              <w:t>timer</w:t>
            </w:r>
          </w:p>
        </w:tc>
        <w:tc>
          <w:tcPr>
            <w:tcW w:w="968" w:type="pct"/>
            <w:tcBorders>
              <w:top w:val="single" w:sz="4" w:space="0" w:color="000000"/>
              <w:left w:val="single" w:sz="4" w:space="0" w:color="000000"/>
              <w:bottom w:val="single" w:sz="4" w:space="0" w:color="000000"/>
              <w:right w:val="single" w:sz="4" w:space="0" w:color="000000"/>
            </w:tcBorders>
            <w:hideMark/>
          </w:tcPr>
          <w:p w14:paraId="79F66098" w14:textId="77777777" w:rsidR="00243FF4" w:rsidRPr="005F77CE" w:rsidRDefault="00243FF4" w:rsidP="00746622">
            <w:pPr>
              <w:pStyle w:val="TableParagraph"/>
              <w:ind w:left="142"/>
              <w:rPr>
                <w:sz w:val="24"/>
                <w:szCs w:val="24"/>
              </w:rPr>
            </w:pPr>
            <w:r w:rsidRPr="005F77CE">
              <w:rPr>
                <w:sz w:val="24"/>
                <w:szCs w:val="24"/>
              </w:rPr>
              <w:t>30</w:t>
            </w:r>
          </w:p>
        </w:tc>
        <w:tc>
          <w:tcPr>
            <w:tcW w:w="886" w:type="pct"/>
            <w:tcBorders>
              <w:top w:val="single" w:sz="4" w:space="0" w:color="000000"/>
              <w:left w:val="single" w:sz="4" w:space="0" w:color="000000"/>
              <w:bottom w:val="single" w:sz="4" w:space="0" w:color="000000"/>
              <w:right w:val="single" w:sz="4" w:space="0" w:color="000000"/>
            </w:tcBorders>
            <w:hideMark/>
          </w:tcPr>
          <w:p w14:paraId="7BE4A432" w14:textId="77777777" w:rsidR="00243FF4" w:rsidRPr="005F77CE" w:rsidRDefault="00243FF4" w:rsidP="00746622">
            <w:pPr>
              <w:pStyle w:val="TableParagraph"/>
              <w:ind w:left="142"/>
              <w:rPr>
                <w:sz w:val="24"/>
                <w:szCs w:val="24"/>
              </w:rPr>
            </w:pPr>
            <w:r w:rsidRPr="005F77CE">
              <w:rPr>
                <w:sz w:val="24"/>
                <w:szCs w:val="24"/>
              </w:rPr>
              <w:t>12 timer</w:t>
            </w:r>
          </w:p>
        </w:tc>
      </w:tr>
      <w:tr w:rsidR="00243FF4" w:rsidRPr="005F77CE" w14:paraId="7F6304EE" w14:textId="77777777" w:rsidTr="00870511">
        <w:trPr>
          <w:trHeight w:val="242"/>
        </w:trPr>
        <w:tc>
          <w:tcPr>
            <w:tcW w:w="1126" w:type="pct"/>
            <w:tcBorders>
              <w:top w:val="single" w:sz="4" w:space="0" w:color="000000"/>
              <w:left w:val="single" w:sz="4" w:space="0" w:color="000000"/>
              <w:bottom w:val="single" w:sz="4" w:space="0" w:color="000000"/>
              <w:right w:val="single" w:sz="4" w:space="0" w:color="000000"/>
            </w:tcBorders>
            <w:hideMark/>
          </w:tcPr>
          <w:p w14:paraId="6BB6F372" w14:textId="77777777" w:rsidR="00243FF4" w:rsidRPr="005F77CE" w:rsidRDefault="00243FF4" w:rsidP="00746622">
            <w:pPr>
              <w:pStyle w:val="TableParagraph"/>
              <w:ind w:left="142"/>
              <w:rPr>
                <w:sz w:val="24"/>
                <w:szCs w:val="24"/>
              </w:rPr>
            </w:pPr>
            <w:r w:rsidRPr="005F77CE">
              <w:rPr>
                <w:sz w:val="24"/>
                <w:szCs w:val="24"/>
              </w:rPr>
              <w:t>0,5 ≥ - ≥ 0,4</w:t>
            </w:r>
          </w:p>
        </w:tc>
        <w:tc>
          <w:tcPr>
            <w:tcW w:w="890" w:type="pct"/>
            <w:tcBorders>
              <w:top w:val="single" w:sz="4" w:space="0" w:color="000000"/>
              <w:left w:val="single" w:sz="4" w:space="0" w:color="000000"/>
              <w:bottom w:val="single" w:sz="4" w:space="0" w:color="000000"/>
              <w:right w:val="single" w:sz="4" w:space="0" w:color="000000"/>
            </w:tcBorders>
            <w:hideMark/>
          </w:tcPr>
          <w:p w14:paraId="64A647DC" w14:textId="77777777" w:rsidR="00243FF4" w:rsidRPr="005F77CE" w:rsidRDefault="00243FF4" w:rsidP="00746622">
            <w:pPr>
              <w:pStyle w:val="TableParagraph"/>
              <w:ind w:left="142"/>
              <w:rPr>
                <w:sz w:val="24"/>
                <w:szCs w:val="24"/>
              </w:rPr>
            </w:pPr>
            <w:r w:rsidRPr="005F77CE">
              <w:rPr>
                <w:sz w:val="24"/>
                <w:szCs w:val="24"/>
              </w:rPr>
              <w:t>50</w:t>
            </w:r>
          </w:p>
        </w:tc>
        <w:tc>
          <w:tcPr>
            <w:tcW w:w="180" w:type="pct"/>
            <w:tcBorders>
              <w:top w:val="single" w:sz="4" w:space="0" w:color="000000"/>
              <w:left w:val="single" w:sz="4" w:space="0" w:color="000000"/>
              <w:bottom w:val="single" w:sz="4" w:space="0" w:color="000000"/>
              <w:right w:val="nil"/>
            </w:tcBorders>
            <w:hideMark/>
          </w:tcPr>
          <w:p w14:paraId="5A1FAF0B" w14:textId="77777777" w:rsidR="00243FF4" w:rsidRPr="005F77CE" w:rsidRDefault="00243FF4" w:rsidP="00746622">
            <w:pPr>
              <w:pStyle w:val="TableParagraph"/>
              <w:ind w:left="142" w:right="23"/>
              <w:jc w:val="right"/>
              <w:rPr>
                <w:sz w:val="24"/>
                <w:szCs w:val="24"/>
              </w:rPr>
            </w:pPr>
            <w:r w:rsidRPr="005F77CE">
              <w:rPr>
                <w:sz w:val="24"/>
                <w:szCs w:val="24"/>
              </w:rPr>
              <w:t>24</w:t>
            </w:r>
          </w:p>
        </w:tc>
        <w:tc>
          <w:tcPr>
            <w:tcW w:w="950" w:type="pct"/>
            <w:tcBorders>
              <w:top w:val="single" w:sz="4" w:space="0" w:color="000000"/>
              <w:left w:val="nil"/>
              <w:bottom w:val="single" w:sz="4" w:space="0" w:color="000000"/>
              <w:right w:val="single" w:sz="4" w:space="0" w:color="000000"/>
            </w:tcBorders>
            <w:hideMark/>
          </w:tcPr>
          <w:p w14:paraId="0C8B16F6" w14:textId="77777777" w:rsidR="00243FF4" w:rsidRPr="005F77CE" w:rsidRDefault="00243FF4" w:rsidP="00746622">
            <w:pPr>
              <w:pStyle w:val="TableParagraph"/>
              <w:ind w:left="142"/>
              <w:rPr>
                <w:sz w:val="24"/>
                <w:szCs w:val="24"/>
              </w:rPr>
            </w:pPr>
            <w:r w:rsidRPr="005F77CE">
              <w:rPr>
                <w:sz w:val="24"/>
                <w:szCs w:val="24"/>
              </w:rPr>
              <w:t>timer</w:t>
            </w:r>
          </w:p>
        </w:tc>
        <w:tc>
          <w:tcPr>
            <w:tcW w:w="968" w:type="pct"/>
            <w:tcBorders>
              <w:top w:val="single" w:sz="4" w:space="0" w:color="000000"/>
              <w:left w:val="single" w:sz="4" w:space="0" w:color="000000"/>
              <w:bottom w:val="single" w:sz="4" w:space="0" w:color="000000"/>
              <w:right w:val="single" w:sz="4" w:space="0" w:color="000000"/>
            </w:tcBorders>
            <w:hideMark/>
          </w:tcPr>
          <w:p w14:paraId="4EFC864D" w14:textId="77777777" w:rsidR="00243FF4" w:rsidRPr="005F77CE" w:rsidRDefault="00243FF4" w:rsidP="00746622">
            <w:pPr>
              <w:pStyle w:val="TableParagraph"/>
              <w:ind w:left="142"/>
              <w:rPr>
                <w:sz w:val="24"/>
                <w:szCs w:val="24"/>
              </w:rPr>
            </w:pPr>
            <w:r w:rsidRPr="005F77CE">
              <w:rPr>
                <w:sz w:val="24"/>
                <w:szCs w:val="24"/>
              </w:rPr>
              <w:t>25</w:t>
            </w:r>
          </w:p>
        </w:tc>
        <w:tc>
          <w:tcPr>
            <w:tcW w:w="886" w:type="pct"/>
            <w:tcBorders>
              <w:top w:val="single" w:sz="4" w:space="0" w:color="000000"/>
              <w:left w:val="single" w:sz="4" w:space="0" w:color="000000"/>
              <w:bottom w:val="single" w:sz="4" w:space="0" w:color="000000"/>
              <w:right w:val="single" w:sz="4" w:space="0" w:color="000000"/>
            </w:tcBorders>
            <w:hideMark/>
          </w:tcPr>
          <w:p w14:paraId="48B914E2" w14:textId="77777777" w:rsidR="00243FF4" w:rsidRPr="005F77CE" w:rsidRDefault="00243FF4" w:rsidP="00746622">
            <w:pPr>
              <w:pStyle w:val="TableParagraph"/>
              <w:ind w:left="142"/>
              <w:rPr>
                <w:sz w:val="24"/>
                <w:szCs w:val="24"/>
              </w:rPr>
            </w:pPr>
            <w:r w:rsidRPr="005F77CE">
              <w:rPr>
                <w:sz w:val="24"/>
                <w:szCs w:val="24"/>
              </w:rPr>
              <w:t>12 timer</w:t>
            </w:r>
          </w:p>
        </w:tc>
      </w:tr>
      <w:tr w:rsidR="00243FF4" w:rsidRPr="005F77CE" w14:paraId="275EC762" w14:textId="77777777" w:rsidTr="009E4328">
        <w:trPr>
          <w:trHeight w:val="241"/>
        </w:trPr>
        <w:tc>
          <w:tcPr>
            <w:tcW w:w="1126" w:type="pct"/>
            <w:tcBorders>
              <w:top w:val="single" w:sz="4" w:space="0" w:color="000000"/>
              <w:left w:val="single" w:sz="4" w:space="0" w:color="000000"/>
              <w:bottom w:val="single" w:sz="4" w:space="0" w:color="000000"/>
              <w:right w:val="single" w:sz="4" w:space="0" w:color="000000"/>
            </w:tcBorders>
            <w:hideMark/>
          </w:tcPr>
          <w:p w14:paraId="14C10EB5" w14:textId="77777777" w:rsidR="00243FF4" w:rsidRPr="005F77CE" w:rsidRDefault="00243FF4" w:rsidP="00746622">
            <w:pPr>
              <w:pStyle w:val="TableParagraph"/>
              <w:ind w:left="142"/>
              <w:rPr>
                <w:sz w:val="24"/>
                <w:szCs w:val="24"/>
              </w:rPr>
            </w:pPr>
            <w:r w:rsidRPr="005F77CE">
              <w:rPr>
                <w:sz w:val="24"/>
                <w:szCs w:val="24"/>
              </w:rPr>
              <w:t>&lt; 0,4</w:t>
            </w:r>
          </w:p>
        </w:tc>
        <w:tc>
          <w:tcPr>
            <w:tcW w:w="3874" w:type="pct"/>
            <w:gridSpan w:val="5"/>
            <w:tcBorders>
              <w:top w:val="single" w:sz="4" w:space="0" w:color="000000"/>
              <w:left w:val="single" w:sz="4" w:space="0" w:color="000000"/>
              <w:bottom w:val="single" w:sz="4" w:space="0" w:color="000000"/>
              <w:right w:val="single" w:sz="4" w:space="0" w:color="000000"/>
            </w:tcBorders>
            <w:hideMark/>
          </w:tcPr>
          <w:p w14:paraId="4D5DED20" w14:textId="77777777" w:rsidR="00243FF4" w:rsidRPr="005F77CE" w:rsidRDefault="00243FF4" w:rsidP="00746622">
            <w:pPr>
              <w:pStyle w:val="TableParagraph"/>
              <w:ind w:left="142"/>
              <w:rPr>
                <w:sz w:val="24"/>
                <w:szCs w:val="24"/>
              </w:rPr>
            </w:pPr>
            <w:r w:rsidRPr="005F77CE">
              <w:rPr>
                <w:sz w:val="24"/>
                <w:szCs w:val="24"/>
              </w:rPr>
              <w:t>Ingen anbefalet behandling</w:t>
            </w:r>
          </w:p>
        </w:tc>
      </w:tr>
    </w:tbl>
    <w:p w14:paraId="7A13BD82" w14:textId="77777777" w:rsidR="00243FF4" w:rsidRPr="005F77CE" w:rsidRDefault="00243FF4" w:rsidP="00243FF4">
      <w:pPr>
        <w:rPr>
          <w:sz w:val="24"/>
          <w:szCs w:val="24"/>
          <w:lang w:eastAsia="en-GB"/>
        </w:rPr>
      </w:pPr>
    </w:p>
    <w:p w14:paraId="3862340E" w14:textId="54D2F782" w:rsidR="00243FF4" w:rsidRPr="005F77CE" w:rsidRDefault="00243FF4" w:rsidP="00243FF4">
      <w:pPr>
        <w:rPr>
          <w:sz w:val="24"/>
          <w:szCs w:val="24"/>
        </w:rPr>
      </w:pPr>
      <w:r w:rsidRPr="005F77CE">
        <w:rPr>
          <w:sz w:val="24"/>
          <w:szCs w:val="24"/>
        </w:rPr>
        <w:t>Tabel 2</w:t>
      </w:r>
      <w:r w:rsidR="00F8422A">
        <w:rPr>
          <w:sz w:val="24"/>
          <w:szCs w:val="24"/>
        </w:rPr>
        <w:t>.</w:t>
      </w:r>
      <w:r w:rsidRPr="005F77CE">
        <w:rPr>
          <w:sz w:val="24"/>
          <w:szCs w:val="24"/>
        </w:rPr>
        <w:t xml:space="preserve"> Doseringsplan ved nedsat nyrefunktion til vedligeholdelsesbehandling ved CMV-infektion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7"/>
        <w:gridCol w:w="1945"/>
        <w:gridCol w:w="519"/>
        <w:gridCol w:w="1755"/>
        <w:gridCol w:w="1794"/>
        <w:gridCol w:w="519"/>
        <w:gridCol w:w="1309"/>
      </w:tblGrid>
      <w:tr w:rsidR="00243FF4" w:rsidRPr="005F77CE" w14:paraId="7D4CA43E" w14:textId="77777777" w:rsidTr="00870511">
        <w:trPr>
          <w:trHeight w:val="242"/>
        </w:trPr>
        <w:tc>
          <w:tcPr>
            <w:tcW w:w="964" w:type="pct"/>
            <w:tcBorders>
              <w:top w:val="single" w:sz="4" w:space="0" w:color="000000"/>
              <w:left w:val="single" w:sz="4" w:space="0" w:color="000000"/>
              <w:bottom w:val="single" w:sz="4" w:space="0" w:color="000000"/>
              <w:right w:val="single" w:sz="4" w:space="0" w:color="000000"/>
            </w:tcBorders>
          </w:tcPr>
          <w:p w14:paraId="2A73CBC3" w14:textId="77777777" w:rsidR="00243FF4" w:rsidRPr="005F77CE" w:rsidRDefault="00243FF4" w:rsidP="004A11F9">
            <w:pPr>
              <w:pStyle w:val="TableParagraph"/>
              <w:ind w:left="142" w:right="131"/>
              <w:rPr>
                <w:sz w:val="24"/>
                <w:szCs w:val="24"/>
              </w:rPr>
            </w:pPr>
          </w:p>
        </w:tc>
        <w:tc>
          <w:tcPr>
            <w:tcW w:w="4036" w:type="pct"/>
            <w:gridSpan w:val="6"/>
            <w:tcBorders>
              <w:top w:val="single" w:sz="4" w:space="0" w:color="000000"/>
              <w:left w:val="single" w:sz="4" w:space="0" w:color="000000"/>
              <w:bottom w:val="single" w:sz="4" w:space="0" w:color="000000"/>
              <w:right w:val="single" w:sz="4" w:space="0" w:color="000000"/>
            </w:tcBorders>
            <w:hideMark/>
          </w:tcPr>
          <w:p w14:paraId="375CC70A" w14:textId="77777777" w:rsidR="00243FF4" w:rsidRPr="005F77CE" w:rsidRDefault="00243FF4" w:rsidP="004A11F9">
            <w:pPr>
              <w:pStyle w:val="TableParagraph"/>
              <w:ind w:left="142" w:right="131"/>
              <w:rPr>
                <w:sz w:val="24"/>
                <w:szCs w:val="24"/>
              </w:rPr>
            </w:pPr>
            <w:r w:rsidRPr="005F77CE">
              <w:rPr>
                <w:sz w:val="24"/>
                <w:szCs w:val="24"/>
              </w:rPr>
              <w:t xml:space="preserve">Dosis </w:t>
            </w:r>
            <w:proofErr w:type="spellStart"/>
            <w:r w:rsidRPr="005F77CE">
              <w:rPr>
                <w:sz w:val="24"/>
                <w:szCs w:val="24"/>
              </w:rPr>
              <w:t>foscarnetnatriumhexahydrat</w:t>
            </w:r>
            <w:proofErr w:type="spellEnd"/>
            <w:r w:rsidRPr="005F77CE">
              <w:rPr>
                <w:sz w:val="24"/>
                <w:szCs w:val="24"/>
              </w:rPr>
              <w:t xml:space="preserve"> *</w:t>
            </w:r>
          </w:p>
        </w:tc>
      </w:tr>
      <w:tr w:rsidR="00870511" w:rsidRPr="005F77CE" w14:paraId="6962F98B" w14:textId="77777777" w:rsidTr="00870511">
        <w:trPr>
          <w:trHeight w:val="721"/>
        </w:trPr>
        <w:tc>
          <w:tcPr>
            <w:tcW w:w="964" w:type="pct"/>
            <w:tcBorders>
              <w:top w:val="single" w:sz="4" w:space="0" w:color="000000"/>
              <w:left w:val="single" w:sz="4" w:space="0" w:color="000000"/>
              <w:bottom w:val="single" w:sz="4" w:space="0" w:color="000000"/>
              <w:right w:val="single" w:sz="4" w:space="0" w:color="000000"/>
            </w:tcBorders>
            <w:hideMark/>
          </w:tcPr>
          <w:p w14:paraId="14E2C749" w14:textId="5366881C" w:rsidR="00870511" w:rsidRPr="005F77CE" w:rsidRDefault="00870511" w:rsidP="004A11F9">
            <w:pPr>
              <w:pStyle w:val="TableParagraph"/>
              <w:ind w:left="142" w:right="131" w:firstLine="4"/>
              <w:jc w:val="center"/>
              <w:rPr>
                <w:sz w:val="24"/>
                <w:szCs w:val="24"/>
              </w:rPr>
            </w:pPr>
            <w:proofErr w:type="spellStart"/>
            <w:r w:rsidRPr="005F77CE">
              <w:rPr>
                <w:sz w:val="24"/>
                <w:szCs w:val="24"/>
              </w:rPr>
              <w:t>Kreatinin</w:t>
            </w:r>
            <w:r w:rsidR="004A11F9">
              <w:rPr>
                <w:sz w:val="24"/>
                <w:szCs w:val="24"/>
              </w:rPr>
              <w:softHyphen/>
            </w:r>
            <w:r w:rsidRPr="005F77CE">
              <w:rPr>
                <w:sz w:val="24"/>
                <w:szCs w:val="24"/>
              </w:rPr>
              <w:t>clearance</w:t>
            </w:r>
            <w:proofErr w:type="spellEnd"/>
            <w:r w:rsidRPr="005F77CE">
              <w:rPr>
                <w:sz w:val="24"/>
                <w:szCs w:val="24"/>
              </w:rPr>
              <w:t xml:space="preserve"> (ml/min./kg kropsvægt)</w:t>
            </w:r>
          </w:p>
        </w:tc>
        <w:tc>
          <w:tcPr>
            <w:tcW w:w="1046" w:type="pct"/>
            <w:tcBorders>
              <w:top w:val="single" w:sz="4" w:space="0" w:color="000000"/>
              <w:left w:val="single" w:sz="4" w:space="0" w:color="000000"/>
              <w:bottom w:val="single" w:sz="4" w:space="0" w:color="000000"/>
              <w:right w:val="single" w:sz="4" w:space="0" w:color="000000"/>
            </w:tcBorders>
            <w:hideMark/>
          </w:tcPr>
          <w:p w14:paraId="5B03E93A" w14:textId="77777777" w:rsidR="00870511" w:rsidRPr="005F77CE" w:rsidRDefault="00870511" w:rsidP="004A11F9">
            <w:pPr>
              <w:pStyle w:val="TableParagraph"/>
              <w:ind w:left="142" w:right="131" w:firstLine="148"/>
              <w:jc w:val="center"/>
              <w:rPr>
                <w:sz w:val="24"/>
                <w:szCs w:val="24"/>
              </w:rPr>
            </w:pPr>
            <w:r w:rsidRPr="005F77CE">
              <w:rPr>
                <w:sz w:val="24"/>
                <w:szCs w:val="24"/>
              </w:rPr>
              <w:t>90 mg/kg kropsvægt</w:t>
            </w:r>
          </w:p>
          <w:p w14:paraId="401736A2" w14:textId="77777777" w:rsidR="00870511" w:rsidRPr="005F77CE" w:rsidRDefault="00870511" w:rsidP="004A11F9">
            <w:pPr>
              <w:pStyle w:val="TableParagraph"/>
              <w:ind w:left="142" w:right="131"/>
              <w:jc w:val="center"/>
              <w:rPr>
                <w:sz w:val="24"/>
                <w:szCs w:val="24"/>
              </w:rPr>
            </w:pPr>
            <w:r w:rsidRPr="005F77CE">
              <w:rPr>
                <w:sz w:val="24"/>
                <w:szCs w:val="24"/>
              </w:rPr>
              <w:t>(infusionens varighed:</w:t>
            </w:r>
          </w:p>
          <w:p w14:paraId="5597CBBA" w14:textId="77777777" w:rsidR="00870511" w:rsidRPr="005F77CE" w:rsidRDefault="00870511" w:rsidP="004A11F9">
            <w:pPr>
              <w:pStyle w:val="TableParagraph"/>
              <w:ind w:left="142" w:right="131" w:firstLine="40"/>
              <w:jc w:val="center"/>
              <w:rPr>
                <w:sz w:val="24"/>
                <w:szCs w:val="24"/>
              </w:rPr>
            </w:pPr>
            <w:r w:rsidRPr="005F77CE">
              <w:rPr>
                <w:sz w:val="24"/>
                <w:szCs w:val="24"/>
              </w:rPr>
              <w:t>min. 2 timer)</w:t>
            </w:r>
          </w:p>
        </w:tc>
        <w:tc>
          <w:tcPr>
            <w:tcW w:w="1126" w:type="pct"/>
            <w:gridSpan w:val="2"/>
            <w:tcBorders>
              <w:top w:val="single" w:sz="4" w:space="0" w:color="000000"/>
              <w:left w:val="single" w:sz="4" w:space="0" w:color="000000"/>
              <w:bottom w:val="single" w:sz="4" w:space="0" w:color="000000"/>
              <w:right w:val="single" w:sz="4" w:space="0" w:color="000000"/>
            </w:tcBorders>
            <w:hideMark/>
          </w:tcPr>
          <w:p w14:paraId="40ACEBD2" w14:textId="10D21EB5" w:rsidR="00870511" w:rsidRPr="005F77CE" w:rsidRDefault="00870511" w:rsidP="004A11F9">
            <w:pPr>
              <w:ind w:left="142" w:right="131"/>
              <w:jc w:val="center"/>
              <w:rPr>
                <w:sz w:val="24"/>
                <w:szCs w:val="24"/>
              </w:rPr>
            </w:pPr>
            <w:r w:rsidRPr="005F77CE">
              <w:rPr>
                <w:sz w:val="24"/>
                <w:szCs w:val="24"/>
              </w:rPr>
              <w:t>I intervaller på:</w:t>
            </w:r>
          </w:p>
        </w:tc>
        <w:tc>
          <w:tcPr>
            <w:tcW w:w="967" w:type="pct"/>
            <w:tcBorders>
              <w:top w:val="single" w:sz="4" w:space="0" w:color="000000"/>
              <w:left w:val="single" w:sz="4" w:space="0" w:color="000000"/>
              <w:bottom w:val="single" w:sz="4" w:space="0" w:color="000000"/>
              <w:right w:val="single" w:sz="4" w:space="0" w:color="000000"/>
            </w:tcBorders>
            <w:hideMark/>
          </w:tcPr>
          <w:p w14:paraId="44DFC057" w14:textId="77777777" w:rsidR="00870511" w:rsidRPr="005F77CE" w:rsidRDefault="00870511" w:rsidP="004A11F9">
            <w:pPr>
              <w:pStyle w:val="TableParagraph"/>
              <w:ind w:left="142" w:right="131" w:firstLine="93"/>
              <w:jc w:val="center"/>
              <w:rPr>
                <w:sz w:val="24"/>
                <w:szCs w:val="24"/>
              </w:rPr>
            </w:pPr>
            <w:r w:rsidRPr="005F77CE">
              <w:rPr>
                <w:sz w:val="24"/>
                <w:szCs w:val="24"/>
              </w:rPr>
              <w:t>120 mg/kg kropsvægt</w:t>
            </w:r>
          </w:p>
          <w:p w14:paraId="56E29668" w14:textId="77777777" w:rsidR="00870511" w:rsidRPr="005F77CE" w:rsidRDefault="00870511" w:rsidP="004A11F9">
            <w:pPr>
              <w:pStyle w:val="TableParagraph"/>
              <w:ind w:left="142" w:right="131"/>
              <w:jc w:val="center"/>
              <w:rPr>
                <w:sz w:val="24"/>
                <w:szCs w:val="24"/>
              </w:rPr>
            </w:pPr>
            <w:r w:rsidRPr="005F77CE">
              <w:rPr>
                <w:sz w:val="24"/>
                <w:szCs w:val="24"/>
              </w:rPr>
              <w:t>(infusionens varighed:</w:t>
            </w:r>
          </w:p>
          <w:p w14:paraId="4DB0F497" w14:textId="77777777" w:rsidR="00870511" w:rsidRPr="005F77CE" w:rsidRDefault="00870511" w:rsidP="004A11F9">
            <w:pPr>
              <w:pStyle w:val="TableParagraph"/>
              <w:ind w:left="142" w:right="131" w:firstLine="40"/>
              <w:jc w:val="center"/>
              <w:rPr>
                <w:sz w:val="24"/>
                <w:szCs w:val="24"/>
              </w:rPr>
            </w:pPr>
            <w:r w:rsidRPr="005F77CE">
              <w:rPr>
                <w:sz w:val="24"/>
                <w:szCs w:val="24"/>
              </w:rPr>
              <w:t>min. 2 timer)</w:t>
            </w:r>
          </w:p>
        </w:tc>
        <w:tc>
          <w:tcPr>
            <w:tcW w:w="896" w:type="pct"/>
            <w:gridSpan w:val="2"/>
            <w:tcBorders>
              <w:top w:val="single" w:sz="4" w:space="0" w:color="000000"/>
              <w:left w:val="single" w:sz="4" w:space="0" w:color="000000"/>
              <w:bottom w:val="single" w:sz="4" w:space="0" w:color="000000"/>
              <w:right w:val="single" w:sz="4" w:space="0" w:color="000000"/>
            </w:tcBorders>
            <w:hideMark/>
          </w:tcPr>
          <w:p w14:paraId="18A41269" w14:textId="77777777" w:rsidR="00870511" w:rsidRPr="005F77CE" w:rsidRDefault="00870511" w:rsidP="004A11F9">
            <w:pPr>
              <w:pStyle w:val="TableParagraph"/>
              <w:ind w:left="142" w:right="131" w:hanging="298"/>
              <w:jc w:val="center"/>
              <w:rPr>
                <w:sz w:val="24"/>
                <w:szCs w:val="24"/>
              </w:rPr>
            </w:pPr>
            <w:r w:rsidRPr="005F77CE">
              <w:rPr>
                <w:sz w:val="24"/>
                <w:szCs w:val="24"/>
              </w:rPr>
              <w:t>I intervaller på:</w:t>
            </w:r>
          </w:p>
        </w:tc>
      </w:tr>
      <w:tr w:rsidR="00243FF4" w:rsidRPr="005F77CE" w14:paraId="28D203A0" w14:textId="77777777" w:rsidTr="00870511">
        <w:trPr>
          <w:trHeight w:val="242"/>
        </w:trPr>
        <w:tc>
          <w:tcPr>
            <w:tcW w:w="964" w:type="pct"/>
            <w:tcBorders>
              <w:top w:val="single" w:sz="4" w:space="0" w:color="000000"/>
              <w:left w:val="single" w:sz="4" w:space="0" w:color="000000"/>
              <w:bottom w:val="single" w:sz="4" w:space="0" w:color="000000"/>
              <w:right w:val="single" w:sz="4" w:space="0" w:color="000000"/>
            </w:tcBorders>
            <w:hideMark/>
          </w:tcPr>
          <w:p w14:paraId="150C3A91" w14:textId="77777777" w:rsidR="00243FF4" w:rsidRPr="005F77CE" w:rsidRDefault="00243FF4" w:rsidP="004A11F9">
            <w:pPr>
              <w:pStyle w:val="TableParagraph"/>
              <w:ind w:left="142" w:right="131"/>
              <w:rPr>
                <w:sz w:val="24"/>
                <w:szCs w:val="24"/>
              </w:rPr>
            </w:pPr>
            <w:r w:rsidRPr="005F77CE">
              <w:rPr>
                <w:sz w:val="24"/>
                <w:szCs w:val="24"/>
              </w:rPr>
              <w:t>&gt; 1,4</w:t>
            </w:r>
          </w:p>
        </w:tc>
        <w:tc>
          <w:tcPr>
            <w:tcW w:w="1046" w:type="pct"/>
            <w:tcBorders>
              <w:top w:val="single" w:sz="4" w:space="0" w:color="000000"/>
              <w:left w:val="single" w:sz="4" w:space="0" w:color="000000"/>
              <w:bottom w:val="single" w:sz="4" w:space="0" w:color="000000"/>
              <w:right w:val="single" w:sz="4" w:space="0" w:color="000000"/>
            </w:tcBorders>
            <w:hideMark/>
          </w:tcPr>
          <w:p w14:paraId="112F83D4" w14:textId="77777777" w:rsidR="00243FF4" w:rsidRPr="005F77CE" w:rsidRDefault="00243FF4" w:rsidP="004A11F9">
            <w:pPr>
              <w:pStyle w:val="TableParagraph"/>
              <w:ind w:left="142" w:right="131"/>
              <w:rPr>
                <w:sz w:val="24"/>
                <w:szCs w:val="24"/>
              </w:rPr>
            </w:pPr>
            <w:r w:rsidRPr="005F77CE">
              <w:rPr>
                <w:sz w:val="24"/>
                <w:szCs w:val="24"/>
              </w:rPr>
              <w:t>90</w:t>
            </w:r>
          </w:p>
        </w:tc>
        <w:tc>
          <w:tcPr>
            <w:tcW w:w="179" w:type="pct"/>
            <w:tcBorders>
              <w:top w:val="single" w:sz="4" w:space="0" w:color="000000"/>
              <w:left w:val="single" w:sz="4" w:space="0" w:color="000000"/>
              <w:bottom w:val="single" w:sz="4" w:space="0" w:color="000000"/>
              <w:right w:val="nil"/>
            </w:tcBorders>
            <w:hideMark/>
          </w:tcPr>
          <w:p w14:paraId="66E10380" w14:textId="77777777" w:rsidR="00243FF4" w:rsidRPr="005F77CE" w:rsidRDefault="00243FF4" w:rsidP="004A11F9">
            <w:pPr>
              <w:pStyle w:val="TableParagraph"/>
              <w:ind w:left="142" w:right="131"/>
              <w:jc w:val="right"/>
              <w:rPr>
                <w:sz w:val="24"/>
                <w:szCs w:val="24"/>
              </w:rPr>
            </w:pPr>
            <w:r w:rsidRPr="005F77CE">
              <w:rPr>
                <w:sz w:val="24"/>
                <w:szCs w:val="24"/>
              </w:rPr>
              <w:t>24</w:t>
            </w:r>
          </w:p>
        </w:tc>
        <w:tc>
          <w:tcPr>
            <w:tcW w:w="947" w:type="pct"/>
            <w:tcBorders>
              <w:top w:val="single" w:sz="4" w:space="0" w:color="000000"/>
              <w:left w:val="nil"/>
              <w:bottom w:val="single" w:sz="4" w:space="0" w:color="000000"/>
              <w:right w:val="single" w:sz="4" w:space="0" w:color="000000"/>
            </w:tcBorders>
            <w:hideMark/>
          </w:tcPr>
          <w:p w14:paraId="61503B23" w14:textId="77777777" w:rsidR="00243FF4" w:rsidRPr="005F77CE" w:rsidRDefault="00243FF4" w:rsidP="004A11F9">
            <w:pPr>
              <w:pStyle w:val="TableParagraph"/>
              <w:ind w:left="142" w:right="131"/>
              <w:rPr>
                <w:sz w:val="24"/>
                <w:szCs w:val="24"/>
              </w:rPr>
            </w:pPr>
            <w:r w:rsidRPr="005F77CE">
              <w:rPr>
                <w:sz w:val="24"/>
                <w:szCs w:val="24"/>
              </w:rPr>
              <w:t>timer</w:t>
            </w:r>
          </w:p>
        </w:tc>
        <w:tc>
          <w:tcPr>
            <w:tcW w:w="967" w:type="pct"/>
            <w:tcBorders>
              <w:top w:val="single" w:sz="4" w:space="0" w:color="000000"/>
              <w:left w:val="single" w:sz="4" w:space="0" w:color="000000"/>
              <w:bottom w:val="single" w:sz="4" w:space="0" w:color="000000"/>
              <w:right w:val="single" w:sz="4" w:space="0" w:color="000000"/>
            </w:tcBorders>
            <w:hideMark/>
          </w:tcPr>
          <w:p w14:paraId="5DF98E4C" w14:textId="77777777" w:rsidR="00243FF4" w:rsidRPr="005F77CE" w:rsidRDefault="00243FF4" w:rsidP="004A11F9">
            <w:pPr>
              <w:pStyle w:val="TableParagraph"/>
              <w:ind w:left="142" w:right="131"/>
              <w:rPr>
                <w:sz w:val="24"/>
                <w:szCs w:val="24"/>
              </w:rPr>
            </w:pPr>
            <w:r w:rsidRPr="005F77CE">
              <w:rPr>
                <w:sz w:val="24"/>
                <w:szCs w:val="24"/>
              </w:rPr>
              <w:t>120</w:t>
            </w:r>
          </w:p>
        </w:tc>
        <w:tc>
          <w:tcPr>
            <w:tcW w:w="182" w:type="pct"/>
            <w:tcBorders>
              <w:top w:val="single" w:sz="4" w:space="0" w:color="000000"/>
              <w:left w:val="single" w:sz="4" w:space="0" w:color="000000"/>
              <w:bottom w:val="single" w:sz="4" w:space="0" w:color="000000"/>
              <w:right w:val="nil"/>
            </w:tcBorders>
            <w:hideMark/>
          </w:tcPr>
          <w:p w14:paraId="49D4D89E" w14:textId="77777777" w:rsidR="00243FF4" w:rsidRPr="005F77CE" w:rsidRDefault="00243FF4" w:rsidP="004A11F9">
            <w:pPr>
              <w:pStyle w:val="TableParagraph"/>
              <w:ind w:left="142" w:right="131"/>
              <w:jc w:val="right"/>
              <w:rPr>
                <w:sz w:val="24"/>
                <w:szCs w:val="24"/>
              </w:rPr>
            </w:pPr>
            <w:r w:rsidRPr="005F77CE">
              <w:rPr>
                <w:sz w:val="24"/>
                <w:szCs w:val="24"/>
              </w:rPr>
              <w:t>24</w:t>
            </w:r>
          </w:p>
        </w:tc>
        <w:tc>
          <w:tcPr>
            <w:tcW w:w="714" w:type="pct"/>
            <w:tcBorders>
              <w:top w:val="single" w:sz="4" w:space="0" w:color="000000"/>
              <w:left w:val="nil"/>
              <w:bottom w:val="single" w:sz="4" w:space="0" w:color="000000"/>
              <w:right w:val="single" w:sz="4" w:space="0" w:color="000000"/>
            </w:tcBorders>
            <w:hideMark/>
          </w:tcPr>
          <w:p w14:paraId="05870B88" w14:textId="77777777" w:rsidR="00243FF4" w:rsidRPr="005F77CE" w:rsidRDefault="00243FF4" w:rsidP="004A11F9">
            <w:pPr>
              <w:pStyle w:val="TableParagraph"/>
              <w:ind w:left="142" w:right="131"/>
              <w:rPr>
                <w:sz w:val="24"/>
                <w:szCs w:val="24"/>
              </w:rPr>
            </w:pPr>
            <w:r w:rsidRPr="005F77CE">
              <w:rPr>
                <w:sz w:val="24"/>
                <w:szCs w:val="24"/>
              </w:rPr>
              <w:t>timer</w:t>
            </w:r>
          </w:p>
        </w:tc>
      </w:tr>
      <w:tr w:rsidR="00243FF4" w:rsidRPr="005F77CE" w14:paraId="70A515AB" w14:textId="77777777" w:rsidTr="00870511">
        <w:trPr>
          <w:trHeight w:val="244"/>
        </w:trPr>
        <w:tc>
          <w:tcPr>
            <w:tcW w:w="964" w:type="pct"/>
            <w:tcBorders>
              <w:top w:val="single" w:sz="4" w:space="0" w:color="000000"/>
              <w:left w:val="single" w:sz="4" w:space="0" w:color="000000"/>
              <w:bottom w:val="single" w:sz="4" w:space="0" w:color="000000"/>
              <w:right w:val="single" w:sz="4" w:space="0" w:color="000000"/>
            </w:tcBorders>
            <w:hideMark/>
          </w:tcPr>
          <w:p w14:paraId="1BE1D2D7" w14:textId="77777777" w:rsidR="00243FF4" w:rsidRPr="005F77CE" w:rsidRDefault="00243FF4" w:rsidP="004A11F9">
            <w:pPr>
              <w:pStyle w:val="TableParagraph"/>
              <w:ind w:left="142" w:right="131"/>
              <w:rPr>
                <w:sz w:val="24"/>
                <w:szCs w:val="24"/>
              </w:rPr>
            </w:pPr>
            <w:r w:rsidRPr="005F77CE">
              <w:rPr>
                <w:sz w:val="24"/>
                <w:szCs w:val="24"/>
              </w:rPr>
              <w:t>1,4 ≥ - &gt; 1</w:t>
            </w:r>
          </w:p>
        </w:tc>
        <w:tc>
          <w:tcPr>
            <w:tcW w:w="1046" w:type="pct"/>
            <w:tcBorders>
              <w:top w:val="single" w:sz="4" w:space="0" w:color="000000"/>
              <w:left w:val="single" w:sz="4" w:space="0" w:color="000000"/>
              <w:bottom w:val="single" w:sz="4" w:space="0" w:color="000000"/>
              <w:right w:val="single" w:sz="4" w:space="0" w:color="000000"/>
            </w:tcBorders>
            <w:hideMark/>
          </w:tcPr>
          <w:p w14:paraId="4162410C" w14:textId="77777777" w:rsidR="00243FF4" w:rsidRPr="005F77CE" w:rsidRDefault="00243FF4" w:rsidP="004A11F9">
            <w:pPr>
              <w:pStyle w:val="TableParagraph"/>
              <w:ind w:left="142" w:right="131"/>
              <w:rPr>
                <w:sz w:val="24"/>
                <w:szCs w:val="24"/>
              </w:rPr>
            </w:pPr>
            <w:r w:rsidRPr="005F77CE">
              <w:rPr>
                <w:sz w:val="24"/>
                <w:szCs w:val="24"/>
              </w:rPr>
              <w:t>70</w:t>
            </w:r>
          </w:p>
        </w:tc>
        <w:tc>
          <w:tcPr>
            <w:tcW w:w="179" w:type="pct"/>
            <w:tcBorders>
              <w:top w:val="single" w:sz="4" w:space="0" w:color="000000"/>
              <w:left w:val="single" w:sz="4" w:space="0" w:color="000000"/>
              <w:bottom w:val="single" w:sz="4" w:space="0" w:color="000000"/>
              <w:right w:val="nil"/>
            </w:tcBorders>
            <w:hideMark/>
          </w:tcPr>
          <w:p w14:paraId="71663303" w14:textId="77777777" w:rsidR="00243FF4" w:rsidRPr="005F77CE" w:rsidRDefault="00243FF4" w:rsidP="004A11F9">
            <w:pPr>
              <w:pStyle w:val="TableParagraph"/>
              <w:ind w:left="142" w:right="131"/>
              <w:jc w:val="right"/>
              <w:rPr>
                <w:sz w:val="24"/>
                <w:szCs w:val="24"/>
              </w:rPr>
            </w:pPr>
            <w:r w:rsidRPr="005F77CE">
              <w:rPr>
                <w:sz w:val="24"/>
                <w:szCs w:val="24"/>
              </w:rPr>
              <w:t>24</w:t>
            </w:r>
          </w:p>
        </w:tc>
        <w:tc>
          <w:tcPr>
            <w:tcW w:w="947" w:type="pct"/>
            <w:tcBorders>
              <w:top w:val="single" w:sz="4" w:space="0" w:color="000000"/>
              <w:left w:val="nil"/>
              <w:bottom w:val="single" w:sz="4" w:space="0" w:color="000000"/>
              <w:right w:val="single" w:sz="4" w:space="0" w:color="000000"/>
            </w:tcBorders>
            <w:hideMark/>
          </w:tcPr>
          <w:p w14:paraId="78BFE921" w14:textId="77777777" w:rsidR="00243FF4" w:rsidRPr="005F77CE" w:rsidRDefault="00243FF4" w:rsidP="004A11F9">
            <w:pPr>
              <w:pStyle w:val="TableParagraph"/>
              <w:ind w:left="142" w:right="131"/>
              <w:rPr>
                <w:sz w:val="24"/>
                <w:szCs w:val="24"/>
              </w:rPr>
            </w:pPr>
            <w:r w:rsidRPr="005F77CE">
              <w:rPr>
                <w:sz w:val="24"/>
                <w:szCs w:val="24"/>
              </w:rPr>
              <w:t>timer</w:t>
            </w:r>
          </w:p>
        </w:tc>
        <w:tc>
          <w:tcPr>
            <w:tcW w:w="967" w:type="pct"/>
            <w:tcBorders>
              <w:top w:val="single" w:sz="4" w:space="0" w:color="000000"/>
              <w:left w:val="single" w:sz="4" w:space="0" w:color="000000"/>
              <w:bottom w:val="single" w:sz="4" w:space="0" w:color="000000"/>
              <w:right w:val="single" w:sz="4" w:space="0" w:color="000000"/>
            </w:tcBorders>
            <w:hideMark/>
          </w:tcPr>
          <w:p w14:paraId="755F9EAE" w14:textId="77777777" w:rsidR="00243FF4" w:rsidRPr="005F77CE" w:rsidRDefault="00243FF4" w:rsidP="004A11F9">
            <w:pPr>
              <w:pStyle w:val="TableParagraph"/>
              <w:ind w:left="142" w:right="131"/>
              <w:rPr>
                <w:sz w:val="24"/>
                <w:szCs w:val="24"/>
              </w:rPr>
            </w:pPr>
            <w:r w:rsidRPr="005F77CE">
              <w:rPr>
                <w:sz w:val="24"/>
                <w:szCs w:val="24"/>
              </w:rPr>
              <w:t>90</w:t>
            </w:r>
          </w:p>
        </w:tc>
        <w:tc>
          <w:tcPr>
            <w:tcW w:w="182" w:type="pct"/>
            <w:tcBorders>
              <w:top w:val="single" w:sz="4" w:space="0" w:color="000000"/>
              <w:left w:val="single" w:sz="4" w:space="0" w:color="000000"/>
              <w:bottom w:val="single" w:sz="4" w:space="0" w:color="000000"/>
              <w:right w:val="nil"/>
            </w:tcBorders>
            <w:hideMark/>
          </w:tcPr>
          <w:p w14:paraId="7057779D" w14:textId="77777777" w:rsidR="00243FF4" w:rsidRPr="005F77CE" w:rsidRDefault="00243FF4" w:rsidP="004A11F9">
            <w:pPr>
              <w:pStyle w:val="TableParagraph"/>
              <w:ind w:left="142" w:right="131"/>
              <w:jc w:val="right"/>
              <w:rPr>
                <w:sz w:val="24"/>
                <w:szCs w:val="24"/>
              </w:rPr>
            </w:pPr>
            <w:r w:rsidRPr="005F77CE">
              <w:rPr>
                <w:sz w:val="24"/>
                <w:szCs w:val="24"/>
              </w:rPr>
              <w:t>24</w:t>
            </w:r>
          </w:p>
        </w:tc>
        <w:tc>
          <w:tcPr>
            <w:tcW w:w="714" w:type="pct"/>
            <w:tcBorders>
              <w:top w:val="single" w:sz="4" w:space="0" w:color="000000"/>
              <w:left w:val="nil"/>
              <w:bottom w:val="single" w:sz="4" w:space="0" w:color="000000"/>
              <w:right w:val="single" w:sz="4" w:space="0" w:color="000000"/>
            </w:tcBorders>
            <w:hideMark/>
          </w:tcPr>
          <w:p w14:paraId="6694AC5B" w14:textId="77777777" w:rsidR="00243FF4" w:rsidRPr="005F77CE" w:rsidRDefault="00243FF4" w:rsidP="004A11F9">
            <w:pPr>
              <w:pStyle w:val="TableParagraph"/>
              <w:ind w:left="142" w:right="131"/>
              <w:rPr>
                <w:sz w:val="24"/>
                <w:szCs w:val="24"/>
              </w:rPr>
            </w:pPr>
            <w:r w:rsidRPr="005F77CE">
              <w:rPr>
                <w:sz w:val="24"/>
                <w:szCs w:val="24"/>
              </w:rPr>
              <w:t>timer</w:t>
            </w:r>
          </w:p>
        </w:tc>
      </w:tr>
      <w:tr w:rsidR="00870511" w:rsidRPr="005F77CE" w14:paraId="04F1C739" w14:textId="77777777" w:rsidTr="00870511">
        <w:trPr>
          <w:trHeight w:val="242"/>
        </w:trPr>
        <w:tc>
          <w:tcPr>
            <w:tcW w:w="964" w:type="pct"/>
            <w:tcBorders>
              <w:top w:val="single" w:sz="4" w:space="0" w:color="000000"/>
              <w:left w:val="single" w:sz="4" w:space="0" w:color="000000"/>
              <w:bottom w:val="single" w:sz="4" w:space="0" w:color="000000"/>
              <w:right w:val="single" w:sz="4" w:space="0" w:color="000000"/>
            </w:tcBorders>
            <w:hideMark/>
          </w:tcPr>
          <w:p w14:paraId="2E569DA0" w14:textId="6F48E752" w:rsidR="00870511" w:rsidRPr="005F77CE" w:rsidRDefault="00870511" w:rsidP="004A11F9">
            <w:pPr>
              <w:pStyle w:val="TableParagraph"/>
              <w:ind w:left="142" w:right="131"/>
              <w:rPr>
                <w:sz w:val="24"/>
                <w:szCs w:val="24"/>
              </w:rPr>
            </w:pPr>
            <w:r w:rsidRPr="005F77CE">
              <w:rPr>
                <w:sz w:val="24"/>
                <w:szCs w:val="24"/>
              </w:rPr>
              <w:t>1</w:t>
            </w:r>
            <w:r>
              <w:rPr>
                <w:sz w:val="24"/>
                <w:szCs w:val="24"/>
              </w:rPr>
              <w:t xml:space="preserve"> </w:t>
            </w:r>
            <w:r w:rsidRPr="005F77CE">
              <w:rPr>
                <w:sz w:val="24"/>
                <w:szCs w:val="24"/>
              </w:rPr>
              <w:t>≥ - &gt; 0,8</w:t>
            </w:r>
          </w:p>
        </w:tc>
        <w:tc>
          <w:tcPr>
            <w:tcW w:w="1046" w:type="pct"/>
            <w:tcBorders>
              <w:top w:val="single" w:sz="4" w:space="0" w:color="000000"/>
              <w:left w:val="single" w:sz="4" w:space="0" w:color="000000"/>
              <w:bottom w:val="single" w:sz="4" w:space="0" w:color="000000"/>
              <w:right w:val="single" w:sz="4" w:space="0" w:color="000000"/>
            </w:tcBorders>
            <w:hideMark/>
          </w:tcPr>
          <w:p w14:paraId="4BE9D5B2" w14:textId="77777777" w:rsidR="00870511" w:rsidRPr="005F77CE" w:rsidRDefault="00870511" w:rsidP="004A11F9">
            <w:pPr>
              <w:pStyle w:val="TableParagraph"/>
              <w:ind w:left="142" w:right="131"/>
              <w:rPr>
                <w:sz w:val="24"/>
                <w:szCs w:val="24"/>
              </w:rPr>
            </w:pPr>
            <w:r w:rsidRPr="005F77CE">
              <w:rPr>
                <w:sz w:val="24"/>
                <w:szCs w:val="24"/>
              </w:rPr>
              <w:t>50</w:t>
            </w:r>
          </w:p>
        </w:tc>
        <w:tc>
          <w:tcPr>
            <w:tcW w:w="179" w:type="pct"/>
            <w:tcBorders>
              <w:top w:val="single" w:sz="4" w:space="0" w:color="000000"/>
              <w:left w:val="single" w:sz="4" w:space="0" w:color="000000"/>
              <w:bottom w:val="single" w:sz="4" w:space="0" w:color="000000"/>
              <w:right w:val="nil"/>
            </w:tcBorders>
            <w:hideMark/>
          </w:tcPr>
          <w:p w14:paraId="64B7EDF2" w14:textId="77777777" w:rsidR="00870511" w:rsidRPr="005F77CE" w:rsidRDefault="00870511" w:rsidP="004A11F9">
            <w:pPr>
              <w:pStyle w:val="TableParagraph"/>
              <w:ind w:left="142" w:right="131"/>
              <w:jc w:val="right"/>
              <w:rPr>
                <w:sz w:val="24"/>
                <w:szCs w:val="24"/>
              </w:rPr>
            </w:pPr>
            <w:r w:rsidRPr="005F77CE">
              <w:rPr>
                <w:sz w:val="24"/>
                <w:szCs w:val="24"/>
              </w:rPr>
              <w:t>24</w:t>
            </w:r>
          </w:p>
        </w:tc>
        <w:tc>
          <w:tcPr>
            <w:tcW w:w="947" w:type="pct"/>
            <w:tcBorders>
              <w:top w:val="single" w:sz="4" w:space="0" w:color="000000"/>
              <w:left w:val="nil"/>
              <w:bottom w:val="single" w:sz="4" w:space="0" w:color="000000"/>
              <w:right w:val="single" w:sz="4" w:space="0" w:color="000000"/>
            </w:tcBorders>
            <w:hideMark/>
          </w:tcPr>
          <w:p w14:paraId="7F304669" w14:textId="77777777" w:rsidR="00870511" w:rsidRPr="005F77CE" w:rsidRDefault="00870511" w:rsidP="004A11F9">
            <w:pPr>
              <w:pStyle w:val="TableParagraph"/>
              <w:ind w:left="142" w:right="131"/>
              <w:rPr>
                <w:sz w:val="24"/>
                <w:szCs w:val="24"/>
              </w:rPr>
            </w:pPr>
            <w:r w:rsidRPr="005F77CE">
              <w:rPr>
                <w:sz w:val="24"/>
                <w:szCs w:val="24"/>
              </w:rPr>
              <w:t>timer</w:t>
            </w:r>
          </w:p>
        </w:tc>
        <w:tc>
          <w:tcPr>
            <w:tcW w:w="967" w:type="pct"/>
            <w:tcBorders>
              <w:top w:val="single" w:sz="4" w:space="0" w:color="000000"/>
              <w:left w:val="single" w:sz="4" w:space="0" w:color="000000"/>
              <w:bottom w:val="single" w:sz="4" w:space="0" w:color="000000"/>
              <w:right w:val="single" w:sz="4" w:space="0" w:color="000000"/>
            </w:tcBorders>
            <w:hideMark/>
          </w:tcPr>
          <w:p w14:paraId="7A0A20C1" w14:textId="77777777" w:rsidR="00870511" w:rsidRPr="005F77CE" w:rsidRDefault="00870511" w:rsidP="004A11F9">
            <w:pPr>
              <w:pStyle w:val="TableParagraph"/>
              <w:ind w:left="142" w:right="131"/>
              <w:rPr>
                <w:sz w:val="24"/>
                <w:szCs w:val="24"/>
              </w:rPr>
            </w:pPr>
            <w:r w:rsidRPr="005F77CE">
              <w:rPr>
                <w:sz w:val="24"/>
                <w:szCs w:val="24"/>
              </w:rPr>
              <w:t>65</w:t>
            </w:r>
          </w:p>
        </w:tc>
        <w:tc>
          <w:tcPr>
            <w:tcW w:w="182" w:type="pct"/>
            <w:tcBorders>
              <w:top w:val="single" w:sz="4" w:space="0" w:color="000000"/>
              <w:left w:val="single" w:sz="4" w:space="0" w:color="000000"/>
              <w:bottom w:val="single" w:sz="4" w:space="0" w:color="000000"/>
              <w:right w:val="nil"/>
            </w:tcBorders>
            <w:hideMark/>
          </w:tcPr>
          <w:p w14:paraId="71977AA1" w14:textId="77777777" w:rsidR="00870511" w:rsidRPr="005F77CE" w:rsidRDefault="00870511" w:rsidP="004A11F9">
            <w:pPr>
              <w:pStyle w:val="TableParagraph"/>
              <w:ind w:left="142" w:right="131"/>
              <w:jc w:val="right"/>
              <w:rPr>
                <w:sz w:val="24"/>
                <w:szCs w:val="24"/>
              </w:rPr>
            </w:pPr>
            <w:r w:rsidRPr="005F77CE">
              <w:rPr>
                <w:sz w:val="24"/>
                <w:szCs w:val="24"/>
              </w:rPr>
              <w:t>24</w:t>
            </w:r>
          </w:p>
        </w:tc>
        <w:tc>
          <w:tcPr>
            <w:tcW w:w="714" w:type="pct"/>
            <w:tcBorders>
              <w:top w:val="single" w:sz="4" w:space="0" w:color="000000"/>
              <w:left w:val="nil"/>
              <w:bottom w:val="single" w:sz="4" w:space="0" w:color="000000"/>
              <w:right w:val="single" w:sz="4" w:space="0" w:color="000000"/>
            </w:tcBorders>
            <w:hideMark/>
          </w:tcPr>
          <w:p w14:paraId="5B486FB1" w14:textId="77777777" w:rsidR="00870511" w:rsidRPr="005F77CE" w:rsidRDefault="00870511" w:rsidP="004A11F9">
            <w:pPr>
              <w:pStyle w:val="TableParagraph"/>
              <w:ind w:left="142" w:right="131"/>
              <w:rPr>
                <w:sz w:val="24"/>
                <w:szCs w:val="24"/>
              </w:rPr>
            </w:pPr>
            <w:r w:rsidRPr="005F77CE">
              <w:rPr>
                <w:sz w:val="24"/>
                <w:szCs w:val="24"/>
              </w:rPr>
              <w:t>timer</w:t>
            </w:r>
          </w:p>
        </w:tc>
      </w:tr>
      <w:tr w:rsidR="00243FF4" w:rsidRPr="005F77CE" w14:paraId="1DF75FE3" w14:textId="77777777" w:rsidTr="00870511">
        <w:trPr>
          <w:trHeight w:val="244"/>
        </w:trPr>
        <w:tc>
          <w:tcPr>
            <w:tcW w:w="964" w:type="pct"/>
            <w:tcBorders>
              <w:top w:val="single" w:sz="4" w:space="0" w:color="000000"/>
              <w:left w:val="single" w:sz="4" w:space="0" w:color="000000"/>
              <w:bottom w:val="single" w:sz="4" w:space="0" w:color="000000"/>
              <w:right w:val="single" w:sz="4" w:space="0" w:color="000000"/>
            </w:tcBorders>
            <w:hideMark/>
          </w:tcPr>
          <w:p w14:paraId="4A749B17" w14:textId="77777777" w:rsidR="00243FF4" w:rsidRPr="005F77CE" w:rsidRDefault="00243FF4" w:rsidP="004A11F9">
            <w:pPr>
              <w:pStyle w:val="TableParagraph"/>
              <w:ind w:left="142" w:right="131"/>
              <w:rPr>
                <w:sz w:val="24"/>
                <w:szCs w:val="24"/>
              </w:rPr>
            </w:pPr>
            <w:r w:rsidRPr="005F77CE">
              <w:rPr>
                <w:sz w:val="24"/>
                <w:szCs w:val="24"/>
              </w:rPr>
              <w:t>0,8 ≥ - &gt; 0,6</w:t>
            </w:r>
          </w:p>
        </w:tc>
        <w:tc>
          <w:tcPr>
            <w:tcW w:w="1046" w:type="pct"/>
            <w:tcBorders>
              <w:top w:val="single" w:sz="4" w:space="0" w:color="000000"/>
              <w:left w:val="single" w:sz="4" w:space="0" w:color="000000"/>
              <w:bottom w:val="single" w:sz="4" w:space="0" w:color="000000"/>
              <w:right w:val="single" w:sz="4" w:space="0" w:color="000000"/>
            </w:tcBorders>
            <w:hideMark/>
          </w:tcPr>
          <w:p w14:paraId="766EA2D6" w14:textId="77777777" w:rsidR="00243FF4" w:rsidRPr="005F77CE" w:rsidRDefault="00243FF4" w:rsidP="004A11F9">
            <w:pPr>
              <w:pStyle w:val="TableParagraph"/>
              <w:ind w:left="142" w:right="131"/>
              <w:rPr>
                <w:sz w:val="24"/>
                <w:szCs w:val="24"/>
              </w:rPr>
            </w:pPr>
            <w:r w:rsidRPr="005F77CE">
              <w:rPr>
                <w:sz w:val="24"/>
                <w:szCs w:val="24"/>
              </w:rPr>
              <w:t>80</w:t>
            </w:r>
          </w:p>
        </w:tc>
        <w:tc>
          <w:tcPr>
            <w:tcW w:w="179" w:type="pct"/>
            <w:tcBorders>
              <w:top w:val="single" w:sz="4" w:space="0" w:color="000000"/>
              <w:left w:val="single" w:sz="4" w:space="0" w:color="000000"/>
              <w:bottom w:val="single" w:sz="4" w:space="0" w:color="000000"/>
              <w:right w:val="nil"/>
            </w:tcBorders>
            <w:hideMark/>
          </w:tcPr>
          <w:p w14:paraId="0D69D1A6" w14:textId="77777777" w:rsidR="00243FF4" w:rsidRPr="005F77CE" w:rsidRDefault="00243FF4" w:rsidP="004A11F9">
            <w:pPr>
              <w:pStyle w:val="TableParagraph"/>
              <w:ind w:left="142" w:right="131"/>
              <w:jc w:val="right"/>
              <w:rPr>
                <w:sz w:val="24"/>
                <w:szCs w:val="24"/>
              </w:rPr>
            </w:pPr>
            <w:r w:rsidRPr="005F77CE">
              <w:rPr>
                <w:sz w:val="24"/>
                <w:szCs w:val="24"/>
              </w:rPr>
              <w:t>48</w:t>
            </w:r>
          </w:p>
        </w:tc>
        <w:tc>
          <w:tcPr>
            <w:tcW w:w="947" w:type="pct"/>
            <w:tcBorders>
              <w:top w:val="single" w:sz="4" w:space="0" w:color="000000"/>
              <w:left w:val="nil"/>
              <w:bottom w:val="single" w:sz="4" w:space="0" w:color="000000"/>
              <w:right w:val="single" w:sz="4" w:space="0" w:color="000000"/>
            </w:tcBorders>
            <w:hideMark/>
          </w:tcPr>
          <w:p w14:paraId="2F9C81FB" w14:textId="77777777" w:rsidR="00243FF4" w:rsidRPr="005F77CE" w:rsidRDefault="00243FF4" w:rsidP="004A11F9">
            <w:pPr>
              <w:pStyle w:val="TableParagraph"/>
              <w:ind w:left="142" w:right="131"/>
              <w:rPr>
                <w:sz w:val="24"/>
                <w:szCs w:val="24"/>
              </w:rPr>
            </w:pPr>
            <w:r w:rsidRPr="005F77CE">
              <w:rPr>
                <w:sz w:val="24"/>
                <w:szCs w:val="24"/>
              </w:rPr>
              <w:t>timer</w:t>
            </w:r>
          </w:p>
        </w:tc>
        <w:tc>
          <w:tcPr>
            <w:tcW w:w="967" w:type="pct"/>
            <w:tcBorders>
              <w:top w:val="single" w:sz="4" w:space="0" w:color="000000"/>
              <w:left w:val="single" w:sz="4" w:space="0" w:color="000000"/>
              <w:bottom w:val="single" w:sz="4" w:space="0" w:color="000000"/>
              <w:right w:val="single" w:sz="4" w:space="0" w:color="000000"/>
            </w:tcBorders>
            <w:hideMark/>
          </w:tcPr>
          <w:p w14:paraId="22334843" w14:textId="77777777" w:rsidR="00243FF4" w:rsidRPr="005F77CE" w:rsidRDefault="00243FF4" w:rsidP="004A11F9">
            <w:pPr>
              <w:pStyle w:val="TableParagraph"/>
              <w:ind w:left="142" w:right="131"/>
              <w:rPr>
                <w:sz w:val="24"/>
                <w:szCs w:val="24"/>
              </w:rPr>
            </w:pPr>
            <w:r w:rsidRPr="005F77CE">
              <w:rPr>
                <w:sz w:val="24"/>
                <w:szCs w:val="24"/>
              </w:rPr>
              <w:t>105</w:t>
            </w:r>
          </w:p>
        </w:tc>
        <w:tc>
          <w:tcPr>
            <w:tcW w:w="182" w:type="pct"/>
            <w:tcBorders>
              <w:top w:val="single" w:sz="4" w:space="0" w:color="000000"/>
              <w:left w:val="single" w:sz="4" w:space="0" w:color="000000"/>
              <w:bottom w:val="single" w:sz="4" w:space="0" w:color="000000"/>
              <w:right w:val="nil"/>
            </w:tcBorders>
            <w:hideMark/>
          </w:tcPr>
          <w:p w14:paraId="2467F028" w14:textId="77777777" w:rsidR="00243FF4" w:rsidRPr="005F77CE" w:rsidRDefault="00243FF4" w:rsidP="004A11F9">
            <w:pPr>
              <w:pStyle w:val="TableParagraph"/>
              <w:ind w:left="142" w:right="131"/>
              <w:jc w:val="right"/>
              <w:rPr>
                <w:sz w:val="24"/>
                <w:szCs w:val="24"/>
              </w:rPr>
            </w:pPr>
            <w:r w:rsidRPr="005F77CE">
              <w:rPr>
                <w:sz w:val="24"/>
                <w:szCs w:val="24"/>
              </w:rPr>
              <w:t>48</w:t>
            </w:r>
          </w:p>
        </w:tc>
        <w:tc>
          <w:tcPr>
            <w:tcW w:w="714" w:type="pct"/>
            <w:tcBorders>
              <w:top w:val="single" w:sz="4" w:space="0" w:color="000000"/>
              <w:left w:val="nil"/>
              <w:bottom w:val="single" w:sz="4" w:space="0" w:color="000000"/>
              <w:right w:val="single" w:sz="4" w:space="0" w:color="000000"/>
            </w:tcBorders>
            <w:hideMark/>
          </w:tcPr>
          <w:p w14:paraId="427502C0" w14:textId="77777777" w:rsidR="00243FF4" w:rsidRPr="005F77CE" w:rsidRDefault="00243FF4" w:rsidP="004A11F9">
            <w:pPr>
              <w:pStyle w:val="TableParagraph"/>
              <w:ind w:left="142" w:right="131"/>
              <w:rPr>
                <w:sz w:val="24"/>
                <w:szCs w:val="24"/>
              </w:rPr>
            </w:pPr>
            <w:r w:rsidRPr="005F77CE">
              <w:rPr>
                <w:sz w:val="24"/>
                <w:szCs w:val="24"/>
              </w:rPr>
              <w:t>timer</w:t>
            </w:r>
          </w:p>
        </w:tc>
      </w:tr>
      <w:tr w:rsidR="00243FF4" w:rsidRPr="005F77CE" w14:paraId="43B8BF30" w14:textId="77777777" w:rsidTr="00870511">
        <w:trPr>
          <w:trHeight w:val="241"/>
        </w:trPr>
        <w:tc>
          <w:tcPr>
            <w:tcW w:w="964" w:type="pct"/>
            <w:tcBorders>
              <w:top w:val="single" w:sz="4" w:space="0" w:color="000000"/>
              <w:left w:val="single" w:sz="4" w:space="0" w:color="000000"/>
              <w:bottom w:val="single" w:sz="4" w:space="0" w:color="000000"/>
              <w:right w:val="single" w:sz="4" w:space="0" w:color="000000"/>
            </w:tcBorders>
            <w:hideMark/>
          </w:tcPr>
          <w:p w14:paraId="36263CAA" w14:textId="77777777" w:rsidR="00243FF4" w:rsidRPr="005F77CE" w:rsidRDefault="00243FF4" w:rsidP="004A11F9">
            <w:pPr>
              <w:pStyle w:val="TableParagraph"/>
              <w:ind w:left="142" w:right="131"/>
              <w:rPr>
                <w:sz w:val="24"/>
                <w:szCs w:val="24"/>
              </w:rPr>
            </w:pPr>
            <w:r w:rsidRPr="005F77CE">
              <w:rPr>
                <w:sz w:val="24"/>
                <w:szCs w:val="24"/>
              </w:rPr>
              <w:t>0,6 ≥ - &gt; 0,5</w:t>
            </w:r>
          </w:p>
        </w:tc>
        <w:tc>
          <w:tcPr>
            <w:tcW w:w="1046" w:type="pct"/>
            <w:tcBorders>
              <w:top w:val="single" w:sz="4" w:space="0" w:color="000000"/>
              <w:left w:val="single" w:sz="4" w:space="0" w:color="000000"/>
              <w:bottom w:val="single" w:sz="4" w:space="0" w:color="000000"/>
              <w:right w:val="single" w:sz="4" w:space="0" w:color="000000"/>
            </w:tcBorders>
            <w:hideMark/>
          </w:tcPr>
          <w:p w14:paraId="73F21E3F" w14:textId="77777777" w:rsidR="00243FF4" w:rsidRPr="005F77CE" w:rsidRDefault="00243FF4" w:rsidP="004A11F9">
            <w:pPr>
              <w:pStyle w:val="TableParagraph"/>
              <w:ind w:left="142" w:right="131"/>
              <w:rPr>
                <w:sz w:val="24"/>
                <w:szCs w:val="24"/>
              </w:rPr>
            </w:pPr>
            <w:r w:rsidRPr="005F77CE">
              <w:rPr>
                <w:sz w:val="24"/>
                <w:szCs w:val="24"/>
              </w:rPr>
              <w:t>60</w:t>
            </w:r>
          </w:p>
        </w:tc>
        <w:tc>
          <w:tcPr>
            <w:tcW w:w="179" w:type="pct"/>
            <w:tcBorders>
              <w:top w:val="single" w:sz="4" w:space="0" w:color="000000"/>
              <w:left w:val="single" w:sz="4" w:space="0" w:color="000000"/>
              <w:bottom w:val="single" w:sz="4" w:space="0" w:color="000000"/>
              <w:right w:val="nil"/>
            </w:tcBorders>
            <w:hideMark/>
          </w:tcPr>
          <w:p w14:paraId="2A7F4495" w14:textId="77777777" w:rsidR="00243FF4" w:rsidRPr="005F77CE" w:rsidRDefault="00243FF4" w:rsidP="004A11F9">
            <w:pPr>
              <w:pStyle w:val="TableParagraph"/>
              <w:ind w:left="142" w:right="131"/>
              <w:jc w:val="right"/>
              <w:rPr>
                <w:sz w:val="24"/>
                <w:szCs w:val="24"/>
              </w:rPr>
            </w:pPr>
            <w:r w:rsidRPr="005F77CE">
              <w:rPr>
                <w:sz w:val="24"/>
                <w:szCs w:val="24"/>
              </w:rPr>
              <w:t>48</w:t>
            </w:r>
          </w:p>
        </w:tc>
        <w:tc>
          <w:tcPr>
            <w:tcW w:w="947" w:type="pct"/>
            <w:tcBorders>
              <w:top w:val="single" w:sz="4" w:space="0" w:color="000000"/>
              <w:left w:val="nil"/>
              <w:bottom w:val="single" w:sz="4" w:space="0" w:color="000000"/>
              <w:right w:val="single" w:sz="4" w:space="0" w:color="000000"/>
            </w:tcBorders>
            <w:hideMark/>
          </w:tcPr>
          <w:p w14:paraId="6F76DEF8" w14:textId="77777777" w:rsidR="00243FF4" w:rsidRPr="005F77CE" w:rsidRDefault="00243FF4" w:rsidP="004A11F9">
            <w:pPr>
              <w:pStyle w:val="TableParagraph"/>
              <w:ind w:left="142" w:right="131"/>
              <w:rPr>
                <w:sz w:val="24"/>
                <w:szCs w:val="24"/>
              </w:rPr>
            </w:pPr>
            <w:r w:rsidRPr="005F77CE">
              <w:rPr>
                <w:sz w:val="24"/>
                <w:szCs w:val="24"/>
              </w:rPr>
              <w:t>timer</w:t>
            </w:r>
          </w:p>
        </w:tc>
        <w:tc>
          <w:tcPr>
            <w:tcW w:w="967" w:type="pct"/>
            <w:tcBorders>
              <w:top w:val="single" w:sz="4" w:space="0" w:color="000000"/>
              <w:left w:val="single" w:sz="4" w:space="0" w:color="000000"/>
              <w:bottom w:val="single" w:sz="4" w:space="0" w:color="000000"/>
              <w:right w:val="single" w:sz="4" w:space="0" w:color="000000"/>
            </w:tcBorders>
            <w:hideMark/>
          </w:tcPr>
          <w:p w14:paraId="3E54BDF0" w14:textId="77777777" w:rsidR="00243FF4" w:rsidRPr="005F77CE" w:rsidRDefault="00243FF4" w:rsidP="004A11F9">
            <w:pPr>
              <w:pStyle w:val="TableParagraph"/>
              <w:ind w:left="142" w:right="131"/>
              <w:rPr>
                <w:sz w:val="24"/>
                <w:szCs w:val="24"/>
              </w:rPr>
            </w:pPr>
            <w:r w:rsidRPr="005F77CE">
              <w:rPr>
                <w:sz w:val="24"/>
                <w:szCs w:val="24"/>
              </w:rPr>
              <w:t>80</w:t>
            </w:r>
          </w:p>
        </w:tc>
        <w:tc>
          <w:tcPr>
            <w:tcW w:w="182" w:type="pct"/>
            <w:tcBorders>
              <w:top w:val="single" w:sz="4" w:space="0" w:color="000000"/>
              <w:left w:val="single" w:sz="4" w:space="0" w:color="000000"/>
              <w:bottom w:val="single" w:sz="4" w:space="0" w:color="000000"/>
              <w:right w:val="nil"/>
            </w:tcBorders>
            <w:hideMark/>
          </w:tcPr>
          <w:p w14:paraId="5407851D" w14:textId="77777777" w:rsidR="00243FF4" w:rsidRPr="005F77CE" w:rsidRDefault="00243FF4" w:rsidP="004A11F9">
            <w:pPr>
              <w:pStyle w:val="TableParagraph"/>
              <w:ind w:left="142" w:right="131"/>
              <w:jc w:val="right"/>
              <w:rPr>
                <w:sz w:val="24"/>
                <w:szCs w:val="24"/>
              </w:rPr>
            </w:pPr>
            <w:r w:rsidRPr="005F77CE">
              <w:rPr>
                <w:sz w:val="24"/>
                <w:szCs w:val="24"/>
              </w:rPr>
              <w:t>48</w:t>
            </w:r>
          </w:p>
        </w:tc>
        <w:tc>
          <w:tcPr>
            <w:tcW w:w="714" w:type="pct"/>
            <w:tcBorders>
              <w:top w:val="single" w:sz="4" w:space="0" w:color="000000"/>
              <w:left w:val="nil"/>
              <w:bottom w:val="single" w:sz="4" w:space="0" w:color="000000"/>
              <w:right w:val="single" w:sz="4" w:space="0" w:color="000000"/>
            </w:tcBorders>
            <w:hideMark/>
          </w:tcPr>
          <w:p w14:paraId="3F8A9D13" w14:textId="77777777" w:rsidR="00243FF4" w:rsidRPr="005F77CE" w:rsidRDefault="00243FF4" w:rsidP="004A11F9">
            <w:pPr>
              <w:pStyle w:val="TableParagraph"/>
              <w:ind w:left="142" w:right="131"/>
              <w:rPr>
                <w:sz w:val="24"/>
                <w:szCs w:val="24"/>
              </w:rPr>
            </w:pPr>
            <w:r w:rsidRPr="005F77CE">
              <w:rPr>
                <w:sz w:val="24"/>
                <w:szCs w:val="24"/>
              </w:rPr>
              <w:t>timer</w:t>
            </w:r>
          </w:p>
        </w:tc>
      </w:tr>
      <w:tr w:rsidR="00243FF4" w:rsidRPr="005F77CE" w14:paraId="18A2205B" w14:textId="77777777" w:rsidTr="00870511">
        <w:trPr>
          <w:trHeight w:val="244"/>
        </w:trPr>
        <w:tc>
          <w:tcPr>
            <w:tcW w:w="964" w:type="pct"/>
            <w:tcBorders>
              <w:top w:val="single" w:sz="4" w:space="0" w:color="000000"/>
              <w:left w:val="single" w:sz="4" w:space="0" w:color="000000"/>
              <w:bottom w:val="single" w:sz="4" w:space="0" w:color="000000"/>
              <w:right w:val="single" w:sz="4" w:space="0" w:color="000000"/>
            </w:tcBorders>
            <w:hideMark/>
          </w:tcPr>
          <w:p w14:paraId="218B73C0" w14:textId="77777777" w:rsidR="00243FF4" w:rsidRPr="005F77CE" w:rsidRDefault="00243FF4" w:rsidP="004A11F9">
            <w:pPr>
              <w:pStyle w:val="TableParagraph"/>
              <w:ind w:left="142" w:right="131"/>
              <w:rPr>
                <w:sz w:val="24"/>
                <w:szCs w:val="24"/>
              </w:rPr>
            </w:pPr>
            <w:r w:rsidRPr="005F77CE">
              <w:rPr>
                <w:sz w:val="24"/>
                <w:szCs w:val="24"/>
              </w:rPr>
              <w:t>0,5 ≥ - ≥ 0,4</w:t>
            </w:r>
          </w:p>
        </w:tc>
        <w:tc>
          <w:tcPr>
            <w:tcW w:w="1046" w:type="pct"/>
            <w:tcBorders>
              <w:top w:val="single" w:sz="4" w:space="0" w:color="000000"/>
              <w:left w:val="single" w:sz="4" w:space="0" w:color="000000"/>
              <w:bottom w:val="single" w:sz="4" w:space="0" w:color="000000"/>
              <w:right w:val="single" w:sz="4" w:space="0" w:color="000000"/>
            </w:tcBorders>
            <w:hideMark/>
          </w:tcPr>
          <w:p w14:paraId="7DE44205" w14:textId="77777777" w:rsidR="00243FF4" w:rsidRPr="005F77CE" w:rsidRDefault="00243FF4" w:rsidP="004A11F9">
            <w:pPr>
              <w:pStyle w:val="TableParagraph"/>
              <w:ind w:left="142" w:right="131"/>
              <w:rPr>
                <w:sz w:val="24"/>
                <w:szCs w:val="24"/>
              </w:rPr>
            </w:pPr>
            <w:r w:rsidRPr="005F77CE">
              <w:rPr>
                <w:sz w:val="24"/>
                <w:szCs w:val="24"/>
              </w:rPr>
              <w:t>50</w:t>
            </w:r>
          </w:p>
        </w:tc>
        <w:tc>
          <w:tcPr>
            <w:tcW w:w="179" w:type="pct"/>
            <w:tcBorders>
              <w:top w:val="single" w:sz="4" w:space="0" w:color="000000"/>
              <w:left w:val="single" w:sz="4" w:space="0" w:color="000000"/>
              <w:bottom w:val="single" w:sz="4" w:space="0" w:color="000000"/>
              <w:right w:val="nil"/>
            </w:tcBorders>
            <w:hideMark/>
          </w:tcPr>
          <w:p w14:paraId="38C5BFA4" w14:textId="77777777" w:rsidR="00243FF4" w:rsidRPr="005F77CE" w:rsidRDefault="00243FF4" w:rsidP="004A11F9">
            <w:pPr>
              <w:pStyle w:val="TableParagraph"/>
              <w:ind w:left="142" w:right="131"/>
              <w:jc w:val="right"/>
              <w:rPr>
                <w:sz w:val="24"/>
                <w:szCs w:val="24"/>
              </w:rPr>
            </w:pPr>
            <w:r w:rsidRPr="005F77CE">
              <w:rPr>
                <w:sz w:val="24"/>
                <w:szCs w:val="24"/>
              </w:rPr>
              <w:t>48</w:t>
            </w:r>
          </w:p>
        </w:tc>
        <w:tc>
          <w:tcPr>
            <w:tcW w:w="947" w:type="pct"/>
            <w:tcBorders>
              <w:top w:val="single" w:sz="4" w:space="0" w:color="000000"/>
              <w:left w:val="nil"/>
              <w:bottom w:val="single" w:sz="4" w:space="0" w:color="000000"/>
              <w:right w:val="single" w:sz="4" w:space="0" w:color="000000"/>
            </w:tcBorders>
            <w:hideMark/>
          </w:tcPr>
          <w:p w14:paraId="1555B9F1" w14:textId="77777777" w:rsidR="00243FF4" w:rsidRPr="005F77CE" w:rsidRDefault="00243FF4" w:rsidP="004A11F9">
            <w:pPr>
              <w:pStyle w:val="TableParagraph"/>
              <w:ind w:left="142" w:right="131"/>
              <w:rPr>
                <w:sz w:val="24"/>
                <w:szCs w:val="24"/>
              </w:rPr>
            </w:pPr>
            <w:r w:rsidRPr="005F77CE">
              <w:rPr>
                <w:sz w:val="24"/>
                <w:szCs w:val="24"/>
              </w:rPr>
              <w:t>timer</w:t>
            </w:r>
          </w:p>
        </w:tc>
        <w:tc>
          <w:tcPr>
            <w:tcW w:w="967" w:type="pct"/>
            <w:tcBorders>
              <w:top w:val="single" w:sz="4" w:space="0" w:color="000000"/>
              <w:left w:val="single" w:sz="4" w:space="0" w:color="000000"/>
              <w:bottom w:val="single" w:sz="4" w:space="0" w:color="000000"/>
              <w:right w:val="single" w:sz="4" w:space="0" w:color="000000"/>
            </w:tcBorders>
            <w:hideMark/>
          </w:tcPr>
          <w:p w14:paraId="14CB1158" w14:textId="77777777" w:rsidR="00243FF4" w:rsidRPr="005F77CE" w:rsidRDefault="00243FF4" w:rsidP="004A11F9">
            <w:pPr>
              <w:pStyle w:val="TableParagraph"/>
              <w:ind w:left="142" w:right="131"/>
              <w:rPr>
                <w:sz w:val="24"/>
                <w:szCs w:val="24"/>
              </w:rPr>
            </w:pPr>
            <w:r w:rsidRPr="005F77CE">
              <w:rPr>
                <w:sz w:val="24"/>
                <w:szCs w:val="24"/>
              </w:rPr>
              <w:t>65</w:t>
            </w:r>
          </w:p>
        </w:tc>
        <w:tc>
          <w:tcPr>
            <w:tcW w:w="182" w:type="pct"/>
            <w:tcBorders>
              <w:top w:val="single" w:sz="4" w:space="0" w:color="000000"/>
              <w:left w:val="single" w:sz="4" w:space="0" w:color="000000"/>
              <w:bottom w:val="single" w:sz="4" w:space="0" w:color="000000"/>
              <w:right w:val="nil"/>
            </w:tcBorders>
            <w:hideMark/>
          </w:tcPr>
          <w:p w14:paraId="4D6518B0" w14:textId="77777777" w:rsidR="00243FF4" w:rsidRPr="005F77CE" w:rsidRDefault="00243FF4" w:rsidP="004A11F9">
            <w:pPr>
              <w:pStyle w:val="TableParagraph"/>
              <w:ind w:left="142" w:right="131"/>
              <w:jc w:val="right"/>
              <w:rPr>
                <w:sz w:val="24"/>
                <w:szCs w:val="24"/>
              </w:rPr>
            </w:pPr>
            <w:r w:rsidRPr="005F77CE">
              <w:rPr>
                <w:sz w:val="24"/>
                <w:szCs w:val="24"/>
              </w:rPr>
              <w:t>48</w:t>
            </w:r>
          </w:p>
        </w:tc>
        <w:tc>
          <w:tcPr>
            <w:tcW w:w="714" w:type="pct"/>
            <w:tcBorders>
              <w:top w:val="single" w:sz="4" w:space="0" w:color="000000"/>
              <w:left w:val="nil"/>
              <w:bottom w:val="single" w:sz="4" w:space="0" w:color="000000"/>
              <w:right w:val="single" w:sz="4" w:space="0" w:color="000000"/>
            </w:tcBorders>
            <w:hideMark/>
          </w:tcPr>
          <w:p w14:paraId="3A70E8DC" w14:textId="77777777" w:rsidR="00243FF4" w:rsidRPr="005F77CE" w:rsidRDefault="00243FF4" w:rsidP="004A11F9">
            <w:pPr>
              <w:pStyle w:val="TableParagraph"/>
              <w:ind w:left="142" w:right="131"/>
              <w:rPr>
                <w:sz w:val="24"/>
                <w:szCs w:val="24"/>
              </w:rPr>
            </w:pPr>
            <w:r w:rsidRPr="005F77CE">
              <w:rPr>
                <w:sz w:val="24"/>
                <w:szCs w:val="24"/>
              </w:rPr>
              <w:t>timer</w:t>
            </w:r>
          </w:p>
        </w:tc>
      </w:tr>
      <w:tr w:rsidR="00243FF4" w:rsidRPr="005F77CE" w14:paraId="776CA640" w14:textId="77777777" w:rsidTr="00870511">
        <w:trPr>
          <w:trHeight w:val="342"/>
        </w:trPr>
        <w:tc>
          <w:tcPr>
            <w:tcW w:w="964" w:type="pct"/>
            <w:tcBorders>
              <w:top w:val="single" w:sz="4" w:space="0" w:color="000000"/>
              <w:left w:val="single" w:sz="4" w:space="0" w:color="000000"/>
              <w:bottom w:val="single" w:sz="4" w:space="0" w:color="000000"/>
              <w:right w:val="single" w:sz="4" w:space="0" w:color="000000"/>
            </w:tcBorders>
            <w:hideMark/>
          </w:tcPr>
          <w:p w14:paraId="1EC01422" w14:textId="77777777" w:rsidR="00243FF4" w:rsidRPr="005F77CE" w:rsidRDefault="00243FF4" w:rsidP="004A11F9">
            <w:pPr>
              <w:pStyle w:val="TableParagraph"/>
              <w:ind w:left="142" w:right="131"/>
              <w:rPr>
                <w:sz w:val="24"/>
                <w:szCs w:val="24"/>
              </w:rPr>
            </w:pPr>
            <w:r w:rsidRPr="005F77CE">
              <w:rPr>
                <w:sz w:val="24"/>
                <w:szCs w:val="24"/>
              </w:rPr>
              <w:t>&lt; 0,4</w:t>
            </w:r>
          </w:p>
        </w:tc>
        <w:tc>
          <w:tcPr>
            <w:tcW w:w="4036" w:type="pct"/>
            <w:gridSpan w:val="6"/>
            <w:tcBorders>
              <w:top w:val="single" w:sz="4" w:space="0" w:color="000000"/>
              <w:left w:val="single" w:sz="4" w:space="0" w:color="000000"/>
              <w:bottom w:val="single" w:sz="4" w:space="0" w:color="000000"/>
              <w:right w:val="single" w:sz="4" w:space="0" w:color="000000"/>
            </w:tcBorders>
            <w:hideMark/>
          </w:tcPr>
          <w:p w14:paraId="49D1245B" w14:textId="77777777" w:rsidR="00243FF4" w:rsidRPr="005F77CE" w:rsidRDefault="00243FF4" w:rsidP="004A11F9">
            <w:pPr>
              <w:pStyle w:val="TableParagraph"/>
              <w:ind w:left="142" w:right="131"/>
              <w:rPr>
                <w:sz w:val="24"/>
                <w:szCs w:val="24"/>
              </w:rPr>
            </w:pPr>
            <w:r w:rsidRPr="005F77CE">
              <w:rPr>
                <w:sz w:val="24"/>
                <w:szCs w:val="24"/>
              </w:rPr>
              <w:t>Ingen anbefalet behandling</w:t>
            </w:r>
          </w:p>
        </w:tc>
      </w:tr>
    </w:tbl>
    <w:p w14:paraId="1E32D45F" w14:textId="3C6E0F77" w:rsidR="00243FF4" w:rsidRPr="005F77CE" w:rsidRDefault="00243FF4" w:rsidP="004A11F9">
      <w:pPr>
        <w:ind w:left="284" w:hanging="284"/>
        <w:rPr>
          <w:sz w:val="24"/>
          <w:szCs w:val="24"/>
          <w:lang w:eastAsia="en-GB"/>
        </w:rPr>
      </w:pPr>
      <w:r w:rsidRPr="005F77CE">
        <w:rPr>
          <w:sz w:val="24"/>
          <w:szCs w:val="24"/>
        </w:rPr>
        <w:t>*</w:t>
      </w:r>
      <w:r w:rsidR="004A11F9">
        <w:rPr>
          <w:sz w:val="24"/>
          <w:szCs w:val="24"/>
        </w:rPr>
        <w:tab/>
      </w:r>
      <w:r w:rsidRPr="005F77CE">
        <w:rPr>
          <w:sz w:val="24"/>
          <w:szCs w:val="24"/>
        </w:rPr>
        <w:t xml:space="preserve">Bemærk: Dataene er baseret på </w:t>
      </w:r>
      <w:proofErr w:type="spellStart"/>
      <w:r w:rsidRPr="005F77CE">
        <w:rPr>
          <w:sz w:val="24"/>
          <w:szCs w:val="24"/>
        </w:rPr>
        <w:t>farmakokinetiske</w:t>
      </w:r>
      <w:proofErr w:type="spellEnd"/>
      <w:r w:rsidRPr="005F77CE">
        <w:rPr>
          <w:sz w:val="24"/>
          <w:szCs w:val="24"/>
        </w:rPr>
        <w:t xml:space="preserve"> studier efter én dosis </w:t>
      </w:r>
      <w:proofErr w:type="spellStart"/>
      <w:r w:rsidRPr="005F77CE">
        <w:rPr>
          <w:sz w:val="24"/>
          <w:szCs w:val="24"/>
        </w:rPr>
        <w:t>foscarnetnatrium</w:t>
      </w:r>
      <w:r w:rsidR="00F8422A">
        <w:rPr>
          <w:sz w:val="24"/>
          <w:szCs w:val="24"/>
        </w:rPr>
        <w:softHyphen/>
      </w:r>
      <w:r w:rsidRPr="005F77CE">
        <w:rPr>
          <w:sz w:val="24"/>
          <w:szCs w:val="24"/>
        </w:rPr>
        <w:t>hexahydrat</w:t>
      </w:r>
      <w:proofErr w:type="spellEnd"/>
      <w:r w:rsidRPr="005F77CE">
        <w:rPr>
          <w:sz w:val="24"/>
          <w:szCs w:val="24"/>
        </w:rPr>
        <w:t xml:space="preserve"> hos patienter med varierende grader af nedsat nyrefunktion.</w:t>
      </w:r>
    </w:p>
    <w:p w14:paraId="51CF5AD8" w14:textId="77777777" w:rsidR="004A11F9" w:rsidRDefault="004A11F9" w:rsidP="00473F2D">
      <w:pPr>
        <w:ind w:left="851"/>
        <w:rPr>
          <w:sz w:val="24"/>
          <w:szCs w:val="24"/>
        </w:rPr>
      </w:pPr>
    </w:p>
    <w:p w14:paraId="1F0A0260" w14:textId="31E33C57" w:rsidR="00243FF4" w:rsidRPr="005F77CE" w:rsidRDefault="00243FF4" w:rsidP="00473F2D">
      <w:pPr>
        <w:ind w:left="851"/>
        <w:rPr>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anbefales ikke til patienter i dialyse, da der ikke er udarbejdet retningslinjer for dosering.</w:t>
      </w:r>
    </w:p>
    <w:p w14:paraId="28C5027C" w14:textId="77777777" w:rsidR="004A11F9" w:rsidRDefault="004A11F9" w:rsidP="00473F2D">
      <w:pPr>
        <w:ind w:left="851"/>
        <w:rPr>
          <w:i/>
          <w:sz w:val="24"/>
          <w:szCs w:val="24"/>
        </w:rPr>
      </w:pPr>
    </w:p>
    <w:p w14:paraId="5E09E9C0" w14:textId="1ADCEEE2" w:rsidR="00243FF4" w:rsidRPr="005F77CE" w:rsidRDefault="00243FF4" w:rsidP="00473F2D">
      <w:pPr>
        <w:ind w:left="851"/>
        <w:rPr>
          <w:i/>
          <w:iCs/>
          <w:sz w:val="24"/>
          <w:szCs w:val="24"/>
        </w:rPr>
      </w:pPr>
      <w:r w:rsidRPr="005F77CE">
        <w:rPr>
          <w:i/>
          <w:sz w:val="24"/>
          <w:szCs w:val="24"/>
        </w:rPr>
        <w:t>Patienter med nedsat leverfunktion</w:t>
      </w:r>
    </w:p>
    <w:p w14:paraId="3D595287" w14:textId="77777777" w:rsidR="00243FF4" w:rsidRPr="005F77CE" w:rsidRDefault="00243FF4" w:rsidP="00473F2D">
      <w:pPr>
        <w:ind w:left="851"/>
        <w:rPr>
          <w:sz w:val="24"/>
          <w:szCs w:val="24"/>
        </w:rPr>
      </w:pPr>
      <w:r w:rsidRPr="005F77CE">
        <w:rPr>
          <w:sz w:val="24"/>
          <w:szCs w:val="24"/>
        </w:rPr>
        <w:t>Dosisjustering er ikke nødvendig hos patienter med nedsat leverfunktion.</w:t>
      </w:r>
    </w:p>
    <w:p w14:paraId="2760D219" w14:textId="77777777" w:rsidR="00243FF4" w:rsidRPr="005F77CE" w:rsidRDefault="00243FF4" w:rsidP="00473F2D">
      <w:pPr>
        <w:ind w:left="851"/>
        <w:rPr>
          <w:sz w:val="24"/>
          <w:szCs w:val="24"/>
        </w:rPr>
      </w:pPr>
    </w:p>
    <w:p w14:paraId="4868D044" w14:textId="77777777" w:rsidR="00243FF4" w:rsidRPr="005F77CE" w:rsidRDefault="00243FF4" w:rsidP="00473F2D">
      <w:pPr>
        <w:ind w:left="851"/>
        <w:rPr>
          <w:sz w:val="24"/>
          <w:szCs w:val="24"/>
          <w:u w:val="single"/>
        </w:rPr>
      </w:pPr>
      <w:r w:rsidRPr="005F77CE">
        <w:rPr>
          <w:sz w:val="24"/>
          <w:szCs w:val="24"/>
          <w:u w:val="single"/>
        </w:rPr>
        <w:t>Behandlingens varighed</w:t>
      </w:r>
    </w:p>
    <w:p w14:paraId="780A899B" w14:textId="77777777" w:rsidR="00243FF4" w:rsidRPr="005F77CE" w:rsidRDefault="00243FF4" w:rsidP="00473F2D">
      <w:pPr>
        <w:ind w:left="851"/>
        <w:rPr>
          <w:bCs/>
          <w:iCs/>
          <w:sz w:val="24"/>
          <w:szCs w:val="24"/>
        </w:rPr>
      </w:pPr>
      <w:r w:rsidRPr="005F77CE">
        <w:rPr>
          <w:sz w:val="24"/>
          <w:szCs w:val="24"/>
        </w:rPr>
        <w:t>Varigheden af induktionsbehandlingen af en CMV-infektion bestemmes af den kliniske respons og er generelt ca. 2 til 3 uger.</w:t>
      </w:r>
    </w:p>
    <w:p w14:paraId="0FD7A384" w14:textId="77777777" w:rsidR="004A11F9" w:rsidRDefault="004A11F9" w:rsidP="00473F2D">
      <w:pPr>
        <w:ind w:left="851"/>
        <w:rPr>
          <w:sz w:val="24"/>
          <w:szCs w:val="24"/>
        </w:rPr>
      </w:pPr>
    </w:p>
    <w:p w14:paraId="474DF565" w14:textId="65542EE1" w:rsidR="00243FF4" w:rsidRPr="005F77CE" w:rsidRDefault="00243FF4" w:rsidP="00473F2D">
      <w:pPr>
        <w:ind w:left="851"/>
        <w:rPr>
          <w:bCs/>
          <w:iCs/>
          <w:sz w:val="24"/>
          <w:szCs w:val="24"/>
        </w:rPr>
      </w:pPr>
      <w:r w:rsidRPr="005F77CE">
        <w:rPr>
          <w:sz w:val="24"/>
          <w:szCs w:val="24"/>
        </w:rPr>
        <w:t>For at undgå tilbagefald foretages en efterfølgende overgang til vedligeholdelses</w:t>
      </w:r>
      <w:r w:rsidR="00F8422A">
        <w:rPr>
          <w:sz w:val="24"/>
          <w:szCs w:val="24"/>
        </w:rPr>
        <w:softHyphen/>
      </w:r>
      <w:r w:rsidRPr="005F77CE">
        <w:rPr>
          <w:sz w:val="24"/>
          <w:szCs w:val="24"/>
        </w:rPr>
        <w:t>behandling. Denne behandling har en længere varighed, mindst 6 måneder, men den kan vare resten af patientens levetid.</w:t>
      </w:r>
    </w:p>
    <w:p w14:paraId="14CC07B9" w14:textId="77777777" w:rsidR="00243FF4" w:rsidRPr="005F77CE" w:rsidRDefault="00243FF4" w:rsidP="00473F2D">
      <w:pPr>
        <w:ind w:left="851"/>
        <w:rPr>
          <w:bCs/>
          <w:iCs/>
          <w:sz w:val="24"/>
          <w:szCs w:val="24"/>
        </w:rPr>
      </w:pPr>
      <w:r w:rsidRPr="005F77CE">
        <w:rPr>
          <w:sz w:val="24"/>
          <w:szCs w:val="24"/>
        </w:rPr>
        <w:t>Beslutningen om eventuelt at stoppe en vedligeholdelsesbehandling skal være baseret på generelt accepterede og aktuelle retningslinjer for behandlingen.</w:t>
      </w:r>
    </w:p>
    <w:p w14:paraId="72510A7D" w14:textId="77777777" w:rsidR="00243FF4" w:rsidRPr="005F77CE" w:rsidRDefault="00243FF4" w:rsidP="00473F2D">
      <w:pPr>
        <w:ind w:left="851"/>
        <w:rPr>
          <w:sz w:val="24"/>
          <w:szCs w:val="24"/>
        </w:rPr>
      </w:pPr>
    </w:p>
    <w:p w14:paraId="2A0C45C9" w14:textId="77777777" w:rsidR="00243FF4" w:rsidRPr="005F77CE" w:rsidRDefault="00243FF4" w:rsidP="00473F2D">
      <w:pPr>
        <w:ind w:left="851"/>
        <w:rPr>
          <w:b/>
          <w:sz w:val="24"/>
          <w:szCs w:val="24"/>
          <w:u w:val="single"/>
        </w:rPr>
      </w:pPr>
      <w:r w:rsidRPr="005F77CE">
        <w:rPr>
          <w:b/>
          <w:i/>
          <w:sz w:val="24"/>
          <w:szCs w:val="24"/>
          <w:u w:val="single"/>
        </w:rPr>
        <w:t>Herpes</w:t>
      </w:r>
      <w:r w:rsidRPr="005F77CE">
        <w:rPr>
          <w:b/>
          <w:sz w:val="24"/>
          <w:szCs w:val="24"/>
          <w:u w:val="single"/>
        </w:rPr>
        <w:t>-infektion:</w:t>
      </w:r>
    </w:p>
    <w:p w14:paraId="33DE0AE9" w14:textId="77777777" w:rsidR="00243FF4" w:rsidRPr="005F77CE" w:rsidRDefault="00243FF4" w:rsidP="00473F2D">
      <w:pPr>
        <w:ind w:left="851"/>
        <w:rPr>
          <w:sz w:val="24"/>
          <w:szCs w:val="24"/>
          <w:u w:val="single"/>
        </w:rPr>
      </w:pPr>
      <w:r w:rsidRPr="005F77CE">
        <w:rPr>
          <w:sz w:val="24"/>
          <w:szCs w:val="24"/>
          <w:u w:val="single"/>
        </w:rPr>
        <w:t>Dosering</w:t>
      </w:r>
    </w:p>
    <w:p w14:paraId="68554CC8" w14:textId="77777777" w:rsidR="00243FF4" w:rsidRPr="005F77CE" w:rsidRDefault="00243FF4" w:rsidP="00473F2D">
      <w:pPr>
        <w:ind w:left="851"/>
        <w:rPr>
          <w:i/>
          <w:sz w:val="24"/>
          <w:szCs w:val="24"/>
        </w:rPr>
      </w:pPr>
      <w:r w:rsidRPr="005F77CE">
        <w:rPr>
          <w:i/>
          <w:sz w:val="24"/>
          <w:szCs w:val="24"/>
        </w:rPr>
        <w:t>Voksne:</w:t>
      </w:r>
    </w:p>
    <w:p w14:paraId="2B6F8114" w14:textId="69976818" w:rsidR="00243FF4" w:rsidRPr="005F77CE" w:rsidRDefault="00243FF4" w:rsidP="00473F2D">
      <w:pPr>
        <w:ind w:left="851"/>
        <w:rPr>
          <w:sz w:val="24"/>
          <w:szCs w:val="24"/>
        </w:rPr>
      </w:pPr>
      <w:r w:rsidRPr="005F77CE">
        <w:rPr>
          <w:sz w:val="24"/>
          <w:szCs w:val="24"/>
        </w:rPr>
        <w:t xml:space="preserve">En </w:t>
      </w:r>
      <w:proofErr w:type="spellStart"/>
      <w:r w:rsidRPr="005F77CE">
        <w:rPr>
          <w:sz w:val="24"/>
          <w:szCs w:val="24"/>
        </w:rPr>
        <w:t>aciclovir</w:t>
      </w:r>
      <w:proofErr w:type="spellEnd"/>
      <w:r w:rsidRPr="005F77CE">
        <w:rPr>
          <w:sz w:val="24"/>
          <w:szCs w:val="24"/>
        </w:rPr>
        <w:t xml:space="preserve">-resistent herpes-infektion behandles 3 gange dagligt med </w:t>
      </w:r>
      <w:proofErr w:type="spellStart"/>
      <w:r w:rsidRPr="005F77CE">
        <w:rPr>
          <w:sz w:val="24"/>
          <w:szCs w:val="24"/>
        </w:rPr>
        <w:t>foscarnetnatrium</w:t>
      </w:r>
      <w:r w:rsidR="00F8422A">
        <w:rPr>
          <w:sz w:val="24"/>
          <w:szCs w:val="24"/>
        </w:rPr>
        <w:softHyphen/>
      </w:r>
      <w:r w:rsidRPr="005F77CE">
        <w:rPr>
          <w:sz w:val="24"/>
          <w:szCs w:val="24"/>
        </w:rPr>
        <w:t>hexahydrat</w:t>
      </w:r>
      <w:proofErr w:type="spellEnd"/>
      <w:r w:rsidRPr="005F77CE">
        <w:rPr>
          <w:sz w:val="24"/>
          <w:szCs w:val="24"/>
        </w:rPr>
        <w:t xml:space="preserve"> 40 mg/kg kropsvægt (= 3 gange 1,7 ml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/kg kropsvægt), 3 gange dagligt med et interval på 8 timer.</w:t>
      </w:r>
    </w:p>
    <w:p w14:paraId="0902D570" w14:textId="77777777" w:rsidR="004A11F9" w:rsidRDefault="004A11F9" w:rsidP="00473F2D">
      <w:pPr>
        <w:ind w:left="851"/>
        <w:rPr>
          <w:sz w:val="24"/>
          <w:szCs w:val="24"/>
        </w:rPr>
      </w:pPr>
    </w:p>
    <w:p w14:paraId="6FB7AFBC" w14:textId="5EA8B3B3" w:rsidR="00243FF4" w:rsidRPr="005F77CE" w:rsidRDefault="00243FF4" w:rsidP="00473F2D">
      <w:pPr>
        <w:ind w:left="851"/>
        <w:rPr>
          <w:b/>
          <w:sz w:val="24"/>
          <w:szCs w:val="24"/>
          <w:u w:val="single"/>
        </w:rPr>
      </w:pPr>
      <w:r w:rsidRPr="005F77CE">
        <w:rPr>
          <w:sz w:val="24"/>
          <w:szCs w:val="24"/>
        </w:rPr>
        <w:t>Infusionens varighed må ikke være under 1 time (se "Administration").</w:t>
      </w:r>
    </w:p>
    <w:p w14:paraId="74DDA678" w14:textId="77777777" w:rsidR="00243FF4" w:rsidRPr="005F77CE" w:rsidRDefault="00243FF4" w:rsidP="00473F2D">
      <w:pPr>
        <w:ind w:left="851"/>
        <w:rPr>
          <w:sz w:val="24"/>
          <w:szCs w:val="24"/>
        </w:rPr>
      </w:pPr>
    </w:p>
    <w:p w14:paraId="76484E70" w14:textId="77777777" w:rsidR="00243FF4" w:rsidRPr="005F77CE" w:rsidRDefault="00243FF4" w:rsidP="00473F2D">
      <w:pPr>
        <w:ind w:left="851"/>
        <w:rPr>
          <w:b/>
          <w:sz w:val="24"/>
          <w:szCs w:val="24"/>
          <w:u w:val="single"/>
        </w:rPr>
      </w:pPr>
      <w:r w:rsidRPr="005F77CE">
        <w:rPr>
          <w:b/>
          <w:sz w:val="24"/>
          <w:szCs w:val="24"/>
          <w:u w:val="single"/>
        </w:rPr>
        <w:t>Særlige populationer</w:t>
      </w:r>
    </w:p>
    <w:p w14:paraId="4EF620D6" w14:textId="77777777" w:rsidR="00243FF4" w:rsidRPr="005F77CE" w:rsidRDefault="00243FF4" w:rsidP="00473F2D">
      <w:pPr>
        <w:ind w:left="851"/>
        <w:rPr>
          <w:sz w:val="24"/>
          <w:szCs w:val="24"/>
        </w:rPr>
      </w:pPr>
      <w:r w:rsidRPr="005F77CE">
        <w:rPr>
          <w:i/>
          <w:sz w:val="24"/>
          <w:szCs w:val="24"/>
        </w:rPr>
        <w:t>Pædiatrisk population</w:t>
      </w:r>
    </w:p>
    <w:p w14:paraId="53569F36" w14:textId="77777777" w:rsidR="00243FF4" w:rsidRPr="005F77CE" w:rsidRDefault="00243FF4" w:rsidP="00473F2D">
      <w:pPr>
        <w:ind w:left="851"/>
        <w:rPr>
          <w:sz w:val="24"/>
          <w:szCs w:val="24"/>
        </w:rPr>
      </w:pPr>
      <w:r w:rsidRPr="005F77CE">
        <w:rPr>
          <w:sz w:val="24"/>
          <w:szCs w:val="24"/>
        </w:rPr>
        <w:t xml:space="preserve">Sikkerheden og virkningen af </w:t>
      </w:r>
      <w:proofErr w:type="spellStart"/>
      <w:r w:rsidRPr="005F77CE">
        <w:rPr>
          <w:sz w:val="24"/>
          <w:szCs w:val="24"/>
        </w:rPr>
        <w:t>foscarnetnatriumhexahydrat</w:t>
      </w:r>
      <w:proofErr w:type="spellEnd"/>
      <w:r w:rsidRPr="005F77CE">
        <w:rPr>
          <w:sz w:val="24"/>
          <w:szCs w:val="24"/>
        </w:rPr>
        <w:t xml:space="preserve"> hos børn og unge under 18 år er ikke fastlagt. Se mere information i pkt. 4.4 og 5.3.</w:t>
      </w:r>
    </w:p>
    <w:p w14:paraId="3D26C2EB" w14:textId="77777777" w:rsidR="00243FF4" w:rsidRPr="005F77CE" w:rsidRDefault="00243FF4" w:rsidP="00473F2D">
      <w:pPr>
        <w:ind w:left="851"/>
        <w:rPr>
          <w:sz w:val="24"/>
          <w:szCs w:val="24"/>
        </w:rPr>
      </w:pPr>
    </w:p>
    <w:p w14:paraId="13108538" w14:textId="77777777" w:rsidR="00243FF4" w:rsidRPr="005F77CE" w:rsidRDefault="00243FF4" w:rsidP="00473F2D">
      <w:pPr>
        <w:ind w:left="851"/>
        <w:rPr>
          <w:bCs/>
          <w:i/>
          <w:sz w:val="24"/>
          <w:szCs w:val="24"/>
        </w:rPr>
      </w:pPr>
      <w:r w:rsidRPr="005F77CE">
        <w:rPr>
          <w:i/>
          <w:sz w:val="24"/>
          <w:szCs w:val="24"/>
        </w:rPr>
        <w:t>Ældre</w:t>
      </w:r>
    </w:p>
    <w:p w14:paraId="7BD372A2" w14:textId="153C465A" w:rsidR="00243FF4" w:rsidRPr="005F77CE" w:rsidRDefault="00243FF4" w:rsidP="00473F2D">
      <w:pPr>
        <w:ind w:left="851"/>
        <w:rPr>
          <w:bCs/>
          <w:iCs/>
          <w:sz w:val="24"/>
          <w:szCs w:val="24"/>
        </w:rPr>
      </w:pPr>
      <w:r w:rsidRPr="005F77CE">
        <w:rPr>
          <w:sz w:val="24"/>
          <w:szCs w:val="24"/>
        </w:rPr>
        <w:t xml:space="preserve">Eftersom </w:t>
      </w:r>
      <w:proofErr w:type="spellStart"/>
      <w:r w:rsidRPr="005F77CE">
        <w:rPr>
          <w:sz w:val="24"/>
          <w:szCs w:val="24"/>
        </w:rPr>
        <w:t>foscarnetnatriumhexahydrat</w:t>
      </w:r>
      <w:proofErr w:type="spellEnd"/>
      <w:r w:rsidRPr="005F77CE">
        <w:rPr>
          <w:sz w:val="24"/>
          <w:szCs w:val="24"/>
        </w:rPr>
        <w:t xml:space="preserve"> udskilles via nyrerne, skal det bemærkes, at nyrefunktionen kan være nedsat hos ældre patienter på trods af normale </w:t>
      </w:r>
      <w:proofErr w:type="spellStart"/>
      <w:r w:rsidRPr="005F77CE">
        <w:rPr>
          <w:sz w:val="24"/>
          <w:szCs w:val="24"/>
        </w:rPr>
        <w:t>serumkreatinin</w:t>
      </w:r>
      <w:r w:rsidR="003B206C">
        <w:rPr>
          <w:sz w:val="24"/>
          <w:szCs w:val="24"/>
        </w:rPr>
        <w:softHyphen/>
      </w:r>
      <w:r w:rsidRPr="005F77CE">
        <w:rPr>
          <w:sz w:val="24"/>
          <w:szCs w:val="24"/>
        </w:rPr>
        <w:t>niveauer</w:t>
      </w:r>
      <w:proofErr w:type="spellEnd"/>
      <w:r w:rsidRPr="005F77CE">
        <w:rPr>
          <w:sz w:val="24"/>
          <w:szCs w:val="24"/>
        </w:rPr>
        <w:t xml:space="preserve">. Nyrefunktionen bestemmes ved at beregne </w:t>
      </w:r>
      <w:proofErr w:type="spellStart"/>
      <w:r w:rsidRPr="005F77CE">
        <w:rPr>
          <w:sz w:val="24"/>
          <w:szCs w:val="24"/>
        </w:rPr>
        <w:t>kreatininclearance</w:t>
      </w:r>
      <w:proofErr w:type="spellEnd"/>
      <w:r w:rsidRPr="005F77CE">
        <w:rPr>
          <w:sz w:val="24"/>
          <w:szCs w:val="24"/>
        </w:rPr>
        <w:t xml:space="preserve">. Der gælder de samme dosistitreringer for brug af </w:t>
      </w:r>
      <w:proofErr w:type="spellStart"/>
      <w:r w:rsidRPr="005F77CE">
        <w:rPr>
          <w:sz w:val="24"/>
          <w:szCs w:val="24"/>
        </w:rPr>
        <w:t>foscarnetnatrium</w:t>
      </w:r>
      <w:proofErr w:type="spellEnd"/>
      <w:r w:rsidRPr="005F77CE">
        <w:rPr>
          <w:sz w:val="24"/>
          <w:szCs w:val="24"/>
        </w:rPr>
        <w:t xml:space="preserve"> hos ældre som dem, der er beskrevet i “Patienter med nedsat nyrefunktion” i Tabel 3.</w:t>
      </w:r>
    </w:p>
    <w:p w14:paraId="79E1A104" w14:textId="77777777" w:rsidR="00243FF4" w:rsidRPr="005F77CE" w:rsidRDefault="00243FF4" w:rsidP="00473F2D">
      <w:pPr>
        <w:ind w:left="851"/>
        <w:rPr>
          <w:bCs/>
          <w:iCs/>
          <w:sz w:val="24"/>
          <w:szCs w:val="24"/>
        </w:rPr>
      </w:pPr>
    </w:p>
    <w:p w14:paraId="5FEB1382" w14:textId="77777777" w:rsidR="00243FF4" w:rsidRPr="005F77CE" w:rsidRDefault="00243FF4" w:rsidP="00473F2D">
      <w:pPr>
        <w:ind w:left="851"/>
        <w:rPr>
          <w:bCs/>
          <w:i/>
          <w:iCs/>
          <w:sz w:val="24"/>
          <w:szCs w:val="24"/>
        </w:rPr>
      </w:pPr>
      <w:r w:rsidRPr="005F77CE">
        <w:rPr>
          <w:i/>
          <w:sz w:val="24"/>
          <w:szCs w:val="24"/>
        </w:rPr>
        <w:t>Patienter med nedsat nyrefunktion</w:t>
      </w:r>
    </w:p>
    <w:p w14:paraId="58584235" w14:textId="77777777" w:rsidR="00243FF4" w:rsidRPr="005F77CE" w:rsidRDefault="00243FF4" w:rsidP="00473F2D">
      <w:pPr>
        <w:ind w:left="851"/>
        <w:rPr>
          <w:bCs/>
          <w:iCs/>
          <w:sz w:val="24"/>
          <w:szCs w:val="24"/>
        </w:rPr>
      </w:pPr>
      <w:r w:rsidRPr="005F77CE">
        <w:rPr>
          <w:sz w:val="24"/>
          <w:szCs w:val="24"/>
        </w:rPr>
        <w:t xml:space="preserve">Hvis nyrefunktionen er nedsat, skal doseringen af </w:t>
      </w:r>
      <w:proofErr w:type="spellStart"/>
      <w:r w:rsidRPr="005F77CE">
        <w:rPr>
          <w:sz w:val="24"/>
          <w:szCs w:val="24"/>
        </w:rPr>
        <w:t>kreatininclearance</w:t>
      </w:r>
      <w:proofErr w:type="spellEnd"/>
      <w:r w:rsidRPr="005F77CE">
        <w:rPr>
          <w:sz w:val="24"/>
          <w:szCs w:val="24"/>
        </w:rPr>
        <w:t xml:space="preserve"> justeres (se Tabel 3; ved beregning af </w:t>
      </w:r>
      <w:proofErr w:type="spellStart"/>
      <w:r w:rsidRPr="005F77CE">
        <w:rPr>
          <w:sz w:val="24"/>
          <w:szCs w:val="24"/>
        </w:rPr>
        <w:t>kreatininclearance</w:t>
      </w:r>
      <w:proofErr w:type="spellEnd"/>
      <w:r w:rsidRPr="005F77CE">
        <w:rPr>
          <w:sz w:val="24"/>
          <w:szCs w:val="24"/>
        </w:rPr>
        <w:t>, se formlen i afsnittet vedrørende CMV-infektion). Nyrefunktionen skal monitoreres ved baseline og regelmæssigt under behandlingen, og dosis skal beregnes derefter.</w:t>
      </w:r>
    </w:p>
    <w:p w14:paraId="4CF0DF3E" w14:textId="77777777" w:rsidR="00243FF4" w:rsidRPr="005F77CE" w:rsidRDefault="00243FF4" w:rsidP="00473F2D">
      <w:pPr>
        <w:ind w:left="851"/>
        <w:rPr>
          <w:bCs/>
          <w:iCs/>
          <w:sz w:val="24"/>
          <w:szCs w:val="24"/>
        </w:rPr>
      </w:pPr>
    </w:p>
    <w:p w14:paraId="4FB12E41" w14:textId="77777777" w:rsidR="00243FF4" w:rsidRPr="005F77CE" w:rsidRDefault="00243FF4" w:rsidP="00473F2D">
      <w:pPr>
        <w:ind w:left="851"/>
        <w:rPr>
          <w:i/>
          <w:color w:val="000000"/>
          <w:sz w:val="24"/>
          <w:szCs w:val="24"/>
        </w:rPr>
      </w:pPr>
      <w:r w:rsidRPr="005F77CE">
        <w:rPr>
          <w:i/>
          <w:sz w:val="24"/>
          <w:szCs w:val="24"/>
        </w:rPr>
        <w:t xml:space="preserve">Tabel 3: </w:t>
      </w:r>
      <w:r w:rsidRPr="005F77CE">
        <w:rPr>
          <w:i/>
          <w:color w:val="000000"/>
          <w:sz w:val="24"/>
          <w:szCs w:val="24"/>
        </w:rPr>
        <w:t>Doseringsplan ved nedsat nyrefunktion i behandling af herpes-infektion</w:t>
      </w: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2"/>
        <w:gridCol w:w="2410"/>
        <w:gridCol w:w="1797"/>
      </w:tblGrid>
      <w:tr w:rsidR="00243FF4" w:rsidRPr="005F77CE" w14:paraId="48777B12" w14:textId="77777777" w:rsidTr="003B206C">
        <w:trPr>
          <w:trHeight w:val="239"/>
        </w:trPr>
        <w:tc>
          <w:tcPr>
            <w:tcW w:w="1732" w:type="dxa"/>
            <w:tcBorders>
              <w:top w:val="single" w:sz="4" w:space="0" w:color="000000"/>
              <w:left w:val="single" w:sz="4" w:space="0" w:color="000000"/>
              <w:bottom w:val="single" w:sz="4" w:space="0" w:color="000000"/>
              <w:right w:val="single" w:sz="4" w:space="0" w:color="000000"/>
            </w:tcBorders>
          </w:tcPr>
          <w:p w14:paraId="5B48608F" w14:textId="77777777" w:rsidR="00243FF4" w:rsidRPr="005F77CE" w:rsidRDefault="00243FF4" w:rsidP="00A24333">
            <w:pPr>
              <w:pStyle w:val="TableParagraph"/>
              <w:ind w:left="176"/>
              <w:rPr>
                <w:sz w:val="24"/>
                <w:szCs w:val="24"/>
              </w:rPr>
            </w:pPr>
          </w:p>
        </w:tc>
        <w:tc>
          <w:tcPr>
            <w:tcW w:w="4207" w:type="dxa"/>
            <w:gridSpan w:val="2"/>
            <w:tcBorders>
              <w:top w:val="single" w:sz="4" w:space="0" w:color="000000"/>
              <w:left w:val="single" w:sz="4" w:space="0" w:color="000000"/>
              <w:bottom w:val="single" w:sz="4" w:space="0" w:color="000000"/>
              <w:right w:val="single" w:sz="4" w:space="0" w:color="000000"/>
            </w:tcBorders>
            <w:hideMark/>
          </w:tcPr>
          <w:p w14:paraId="02AD2BD7" w14:textId="77777777" w:rsidR="00243FF4" w:rsidRPr="005F77CE" w:rsidRDefault="00243FF4" w:rsidP="00A24333">
            <w:pPr>
              <w:pStyle w:val="TableParagraph"/>
              <w:ind w:left="176"/>
              <w:rPr>
                <w:sz w:val="24"/>
                <w:szCs w:val="24"/>
              </w:rPr>
            </w:pPr>
            <w:r w:rsidRPr="005F77CE">
              <w:rPr>
                <w:sz w:val="24"/>
                <w:szCs w:val="24"/>
              </w:rPr>
              <w:t xml:space="preserve">Dosis </w:t>
            </w:r>
            <w:proofErr w:type="spellStart"/>
            <w:r w:rsidRPr="005F77CE">
              <w:rPr>
                <w:sz w:val="24"/>
                <w:szCs w:val="24"/>
              </w:rPr>
              <w:t>foscarnetnatriumhexahydrat</w:t>
            </w:r>
            <w:proofErr w:type="spellEnd"/>
            <w:r w:rsidRPr="005F77CE">
              <w:rPr>
                <w:sz w:val="24"/>
                <w:szCs w:val="24"/>
              </w:rPr>
              <w:t xml:space="preserve"> *</w:t>
            </w:r>
          </w:p>
        </w:tc>
      </w:tr>
      <w:tr w:rsidR="00243FF4" w:rsidRPr="005F77CE" w14:paraId="089C871C" w14:textId="77777777" w:rsidTr="003B206C">
        <w:trPr>
          <w:trHeight w:val="966"/>
        </w:trPr>
        <w:tc>
          <w:tcPr>
            <w:tcW w:w="1732" w:type="dxa"/>
            <w:tcBorders>
              <w:top w:val="single" w:sz="4" w:space="0" w:color="000000"/>
              <w:left w:val="single" w:sz="4" w:space="0" w:color="000000"/>
              <w:bottom w:val="single" w:sz="4" w:space="0" w:color="000000"/>
              <w:right w:val="single" w:sz="4" w:space="0" w:color="000000"/>
            </w:tcBorders>
            <w:hideMark/>
          </w:tcPr>
          <w:p w14:paraId="2AB94293" w14:textId="77777777" w:rsidR="00243FF4" w:rsidRPr="005F77CE" w:rsidRDefault="00243FF4" w:rsidP="00A24333">
            <w:pPr>
              <w:pStyle w:val="TableParagraph"/>
              <w:ind w:left="176" w:right="213"/>
              <w:jc w:val="center"/>
              <w:rPr>
                <w:sz w:val="24"/>
                <w:szCs w:val="24"/>
              </w:rPr>
            </w:pPr>
            <w:proofErr w:type="spellStart"/>
            <w:r w:rsidRPr="005F77CE">
              <w:rPr>
                <w:sz w:val="24"/>
                <w:szCs w:val="24"/>
              </w:rPr>
              <w:t>Kreatinin-clearance</w:t>
            </w:r>
            <w:proofErr w:type="spellEnd"/>
          </w:p>
          <w:p w14:paraId="203BD480" w14:textId="77777777" w:rsidR="00243FF4" w:rsidRPr="005F77CE" w:rsidRDefault="00243FF4" w:rsidP="00A24333">
            <w:pPr>
              <w:pStyle w:val="TableParagraph"/>
              <w:ind w:left="176" w:right="213"/>
              <w:jc w:val="center"/>
              <w:rPr>
                <w:sz w:val="24"/>
                <w:szCs w:val="24"/>
              </w:rPr>
            </w:pPr>
            <w:r w:rsidRPr="005F77CE">
              <w:rPr>
                <w:sz w:val="24"/>
                <w:szCs w:val="24"/>
              </w:rPr>
              <w:t>(ml/min/kg kropsvægt)</w:t>
            </w:r>
          </w:p>
        </w:tc>
        <w:tc>
          <w:tcPr>
            <w:tcW w:w="2410" w:type="dxa"/>
            <w:tcBorders>
              <w:top w:val="single" w:sz="4" w:space="0" w:color="000000"/>
              <w:left w:val="single" w:sz="4" w:space="0" w:color="000000"/>
              <w:bottom w:val="single" w:sz="4" w:space="0" w:color="000000"/>
              <w:right w:val="single" w:sz="4" w:space="0" w:color="000000"/>
            </w:tcBorders>
            <w:hideMark/>
          </w:tcPr>
          <w:p w14:paraId="5E80695B" w14:textId="77777777" w:rsidR="00A24333" w:rsidRDefault="00243FF4" w:rsidP="00A24333">
            <w:pPr>
              <w:pStyle w:val="TableParagraph"/>
              <w:ind w:left="176" w:right="122"/>
              <w:jc w:val="center"/>
              <w:rPr>
                <w:sz w:val="24"/>
                <w:szCs w:val="24"/>
              </w:rPr>
            </w:pPr>
            <w:r w:rsidRPr="005F77CE">
              <w:rPr>
                <w:sz w:val="24"/>
                <w:szCs w:val="24"/>
              </w:rPr>
              <w:t>40 mg/kg kropsvægt (infusionens varighed:</w:t>
            </w:r>
            <w:r w:rsidR="00A24333">
              <w:rPr>
                <w:sz w:val="24"/>
                <w:szCs w:val="24"/>
              </w:rPr>
              <w:t xml:space="preserve"> </w:t>
            </w:r>
          </w:p>
          <w:p w14:paraId="5A313C64" w14:textId="3D9A2B6A" w:rsidR="00243FF4" w:rsidRPr="005F77CE" w:rsidRDefault="00243FF4" w:rsidP="00A24333">
            <w:pPr>
              <w:pStyle w:val="TableParagraph"/>
              <w:ind w:left="176" w:right="122"/>
              <w:jc w:val="center"/>
              <w:rPr>
                <w:sz w:val="24"/>
                <w:szCs w:val="24"/>
              </w:rPr>
            </w:pPr>
            <w:r w:rsidRPr="005F77CE">
              <w:rPr>
                <w:sz w:val="24"/>
                <w:szCs w:val="24"/>
              </w:rPr>
              <w:t>min. 1 time)</w:t>
            </w:r>
          </w:p>
        </w:tc>
        <w:tc>
          <w:tcPr>
            <w:tcW w:w="1797" w:type="dxa"/>
            <w:tcBorders>
              <w:top w:val="single" w:sz="4" w:space="0" w:color="000000"/>
              <w:left w:val="single" w:sz="4" w:space="0" w:color="000000"/>
              <w:bottom w:val="single" w:sz="4" w:space="0" w:color="000000"/>
              <w:right w:val="single" w:sz="4" w:space="0" w:color="000000"/>
            </w:tcBorders>
            <w:hideMark/>
          </w:tcPr>
          <w:p w14:paraId="2DE6C190" w14:textId="77777777" w:rsidR="00243FF4" w:rsidRPr="005F77CE" w:rsidRDefault="00243FF4" w:rsidP="00A24333">
            <w:pPr>
              <w:pStyle w:val="TableParagraph"/>
              <w:ind w:left="176"/>
              <w:jc w:val="center"/>
              <w:rPr>
                <w:sz w:val="24"/>
                <w:szCs w:val="24"/>
              </w:rPr>
            </w:pPr>
            <w:r w:rsidRPr="005F77CE">
              <w:rPr>
                <w:sz w:val="24"/>
                <w:szCs w:val="24"/>
              </w:rPr>
              <w:t>I intervaller på:</w:t>
            </w:r>
          </w:p>
        </w:tc>
      </w:tr>
      <w:tr w:rsidR="00243FF4" w:rsidRPr="005F77CE" w14:paraId="5E940C8E" w14:textId="77777777" w:rsidTr="003B206C">
        <w:trPr>
          <w:trHeight w:val="234"/>
        </w:trPr>
        <w:tc>
          <w:tcPr>
            <w:tcW w:w="1732" w:type="dxa"/>
            <w:tcBorders>
              <w:top w:val="single" w:sz="4" w:space="0" w:color="000000"/>
              <w:left w:val="single" w:sz="4" w:space="0" w:color="000000"/>
              <w:bottom w:val="single" w:sz="4" w:space="0" w:color="000000"/>
              <w:right w:val="single" w:sz="4" w:space="0" w:color="000000"/>
            </w:tcBorders>
            <w:hideMark/>
          </w:tcPr>
          <w:p w14:paraId="77F7EFD2" w14:textId="77777777" w:rsidR="00243FF4" w:rsidRPr="005F77CE" w:rsidRDefault="00243FF4" w:rsidP="00A24333">
            <w:pPr>
              <w:pStyle w:val="TableParagraph"/>
              <w:ind w:left="176" w:right="162"/>
              <w:jc w:val="center"/>
              <w:rPr>
                <w:sz w:val="24"/>
                <w:szCs w:val="24"/>
              </w:rPr>
            </w:pPr>
            <w:r w:rsidRPr="005F77CE">
              <w:rPr>
                <w:sz w:val="24"/>
                <w:szCs w:val="24"/>
              </w:rPr>
              <w:t>&gt; 1,4</w:t>
            </w:r>
          </w:p>
        </w:tc>
        <w:tc>
          <w:tcPr>
            <w:tcW w:w="2410" w:type="dxa"/>
            <w:tcBorders>
              <w:top w:val="single" w:sz="4" w:space="0" w:color="000000"/>
              <w:left w:val="single" w:sz="4" w:space="0" w:color="000000"/>
              <w:bottom w:val="single" w:sz="4" w:space="0" w:color="000000"/>
              <w:right w:val="single" w:sz="4" w:space="0" w:color="000000"/>
            </w:tcBorders>
            <w:hideMark/>
          </w:tcPr>
          <w:p w14:paraId="7DB84365" w14:textId="77777777" w:rsidR="00243FF4" w:rsidRPr="005F77CE" w:rsidRDefault="00243FF4" w:rsidP="00A24333">
            <w:pPr>
              <w:pStyle w:val="TableParagraph"/>
              <w:ind w:left="176"/>
              <w:rPr>
                <w:sz w:val="24"/>
                <w:szCs w:val="24"/>
              </w:rPr>
            </w:pPr>
            <w:r w:rsidRPr="005F77CE">
              <w:rPr>
                <w:sz w:val="24"/>
                <w:szCs w:val="24"/>
              </w:rPr>
              <w:t>40</w:t>
            </w:r>
          </w:p>
        </w:tc>
        <w:tc>
          <w:tcPr>
            <w:tcW w:w="1797" w:type="dxa"/>
            <w:tcBorders>
              <w:top w:val="single" w:sz="4" w:space="0" w:color="000000"/>
              <w:left w:val="single" w:sz="4" w:space="0" w:color="000000"/>
              <w:bottom w:val="single" w:sz="4" w:space="0" w:color="000000"/>
              <w:right w:val="single" w:sz="4" w:space="0" w:color="000000"/>
            </w:tcBorders>
            <w:hideMark/>
          </w:tcPr>
          <w:p w14:paraId="20FE807D" w14:textId="77777777" w:rsidR="00243FF4" w:rsidRPr="005F77CE" w:rsidRDefault="00243FF4" w:rsidP="00A24333">
            <w:pPr>
              <w:pStyle w:val="TableParagraph"/>
              <w:ind w:left="176"/>
              <w:rPr>
                <w:sz w:val="24"/>
                <w:szCs w:val="24"/>
              </w:rPr>
            </w:pPr>
            <w:r w:rsidRPr="005F77CE">
              <w:rPr>
                <w:sz w:val="24"/>
                <w:szCs w:val="24"/>
              </w:rPr>
              <w:t>8 timer</w:t>
            </w:r>
          </w:p>
        </w:tc>
      </w:tr>
      <w:tr w:rsidR="00243FF4" w:rsidRPr="005F77CE" w14:paraId="32E7B104" w14:textId="77777777" w:rsidTr="003B206C">
        <w:trPr>
          <w:trHeight w:val="242"/>
        </w:trPr>
        <w:tc>
          <w:tcPr>
            <w:tcW w:w="1732" w:type="dxa"/>
            <w:tcBorders>
              <w:top w:val="single" w:sz="4" w:space="0" w:color="000000"/>
              <w:left w:val="single" w:sz="4" w:space="0" w:color="000000"/>
              <w:bottom w:val="single" w:sz="4" w:space="0" w:color="000000"/>
              <w:right w:val="single" w:sz="4" w:space="0" w:color="000000"/>
            </w:tcBorders>
            <w:hideMark/>
          </w:tcPr>
          <w:p w14:paraId="70B298EC" w14:textId="77777777" w:rsidR="00243FF4" w:rsidRPr="005F77CE" w:rsidRDefault="00243FF4" w:rsidP="00A24333">
            <w:pPr>
              <w:pStyle w:val="TableParagraph"/>
              <w:ind w:left="176"/>
              <w:rPr>
                <w:sz w:val="24"/>
                <w:szCs w:val="24"/>
              </w:rPr>
            </w:pPr>
            <w:r w:rsidRPr="005F77CE">
              <w:rPr>
                <w:sz w:val="24"/>
                <w:szCs w:val="24"/>
              </w:rPr>
              <w:t>1,4 ≥ - &gt; 1</w:t>
            </w:r>
          </w:p>
        </w:tc>
        <w:tc>
          <w:tcPr>
            <w:tcW w:w="2410" w:type="dxa"/>
            <w:tcBorders>
              <w:top w:val="single" w:sz="4" w:space="0" w:color="000000"/>
              <w:left w:val="single" w:sz="4" w:space="0" w:color="000000"/>
              <w:bottom w:val="single" w:sz="4" w:space="0" w:color="000000"/>
              <w:right w:val="single" w:sz="4" w:space="0" w:color="000000"/>
            </w:tcBorders>
            <w:hideMark/>
          </w:tcPr>
          <w:p w14:paraId="0EA180CF" w14:textId="77777777" w:rsidR="00243FF4" w:rsidRPr="005F77CE" w:rsidRDefault="00243FF4" w:rsidP="00A24333">
            <w:pPr>
              <w:pStyle w:val="TableParagraph"/>
              <w:ind w:left="176"/>
              <w:rPr>
                <w:sz w:val="24"/>
                <w:szCs w:val="24"/>
              </w:rPr>
            </w:pPr>
            <w:r w:rsidRPr="005F77CE">
              <w:rPr>
                <w:sz w:val="24"/>
                <w:szCs w:val="24"/>
              </w:rPr>
              <w:t>30</w:t>
            </w:r>
          </w:p>
        </w:tc>
        <w:tc>
          <w:tcPr>
            <w:tcW w:w="1797" w:type="dxa"/>
            <w:tcBorders>
              <w:top w:val="single" w:sz="4" w:space="0" w:color="000000"/>
              <w:left w:val="single" w:sz="4" w:space="0" w:color="000000"/>
              <w:bottom w:val="single" w:sz="4" w:space="0" w:color="000000"/>
              <w:right w:val="single" w:sz="4" w:space="0" w:color="000000"/>
            </w:tcBorders>
            <w:hideMark/>
          </w:tcPr>
          <w:p w14:paraId="64D74E67" w14:textId="77777777" w:rsidR="00243FF4" w:rsidRPr="005F77CE" w:rsidRDefault="00243FF4" w:rsidP="00A24333">
            <w:pPr>
              <w:pStyle w:val="TableParagraph"/>
              <w:ind w:left="176"/>
              <w:rPr>
                <w:sz w:val="24"/>
                <w:szCs w:val="24"/>
              </w:rPr>
            </w:pPr>
            <w:r w:rsidRPr="005F77CE">
              <w:rPr>
                <w:sz w:val="24"/>
                <w:szCs w:val="24"/>
              </w:rPr>
              <w:t>8 timer</w:t>
            </w:r>
          </w:p>
        </w:tc>
      </w:tr>
      <w:tr w:rsidR="00243FF4" w:rsidRPr="005F77CE" w14:paraId="3CAE03C7" w14:textId="77777777" w:rsidTr="003B206C">
        <w:trPr>
          <w:trHeight w:val="244"/>
        </w:trPr>
        <w:tc>
          <w:tcPr>
            <w:tcW w:w="1732" w:type="dxa"/>
            <w:tcBorders>
              <w:top w:val="single" w:sz="4" w:space="0" w:color="000000"/>
              <w:left w:val="single" w:sz="4" w:space="0" w:color="000000"/>
              <w:bottom w:val="single" w:sz="4" w:space="0" w:color="000000"/>
              <w:right w:val="single" w:sz="4" w:space="0" w:color="000000"/>
            </w:tcBorders>
            <w:hideMark/>
          </w:tcPr>
          <w:p w14:paraId="7D7EB9FF" w14:textId="77777777" w:rsidR="00243FF4" w:rsidRPr="005F77CE" w:rsidRDefault="00243FF4" w:rsidP="00A24333">
            <w:pPr>
              <w:pStyle w:val="TableParagraph"/>
              <w:tabs>
                <w:tab w:val="left" w:pos="429"/>
              </w:tabs>
              <w:ind w:left="176"/>
              <w:rPr>
                <w:sz w:val="24"/>
                <w:szCs w:val="24"/>
              </w:rPr>
            </w:pPr>
            <w:r w:rsidRPr="005F77CE">
              <w:rPr>
                <w:sz w:val="24"/>
                <w:szCs w:val="24"/>
              </w:rPr>
              <w:t>1 ≥ - &gt; 0,8</w:t>
            </w:r>
          </w:p>
        </w:tc>
        <w:tc>
          <w:tcPr>
            <w:tcW w:w="2410" w:type="dxa"/>
            <w:tcBorders>
              <w:top w:val="single" w:sz="4" w:space="0" w:color="000000"/>
              <w:left w:val="single" w:sz="4" w:space="0" w:color="000000"/>
              <w:bottom w:val="single" w:sz="4" w:space="0" w:color="000000"/>
              <w:right w:val="single" w:sz="4" w:space="0" w:color="000000"/>
            </w:tcBorders>
            <w:hideMark/>
          </w:tcPr>
          <w:p w14:paraId="01B259C9" w14:textId="77777777" w:rsidR="00243FF4" w:rsidRPr="005F77CE" w:rsidRDefault="00243FF4" w:rsidP="00A24333">
            <w:pPr>
              <w:pStyle w:val="TableParagraph"/>
              <w:ind w:left="176"/>
              <w:rPr>
                <w:sz w:val="24"/>
                <w:szCs w:val="24"/>
              </w:rPr>
            </w:pPr>
            <w:r w:rsidRPr="005F77CE">
              <w:rPr>
                <w:sz w:val="24"/>
                <w:szCs w:val="24"/>
              </w:rPr>
              <w:t>20</w:t>
            </w:r>
          </w:p>
        </w:tc>
        <w:tc>
          <w:tcPr>
            <w:tcW w:w="1797" w:type="dxa"/>
            <w:tcBorders>
              <w:top w:val="single" w:sz="4" w:space="0" w:color="000000"/>
              <w:left w:val="single" w:sz="4" w:space="0" w:color="000000"/>
              <w:bottom w:val="single" w:sz="4" w:space="0" w:color="000000"/>
              <w:right w:val="single" w:sz="4" w:space="0" w:color="000000"/>
            </w:tcBorders>
            <w:hideMark/>
          </w:tcPr>
          <w:p w14:paraId="322B2819" w14:textId="77777777" w:rsidR="00243FF4" w:rsidRPr="005F77CE" w:rsidRDefault="00243FF4" w:rsidP="00A24333">
            <w:pPr>
              <w:pStyle w:val="TableParagraph"/>
              <w:ind w:left="176"/>
              <w:rPr>
                <w:sz w:val="24"/>
                <w:szCs w:val="24"/>
              </w:rPr>
            </w:pPr>
            <w:r w:rsidRPr="005F77CE">
              <w:rPr>
                <w:sz w:val="24"/>
                <w:szCs w:val="24"/>
              </w:rPr>
              <w:t>8 timer</w:t>
            </w:r>
          </w:p>
        </w:tc>
      </w:tr>
      <w:tr w:rsidR="00243FF4" w:rsidRPr="005F77CE" w14:paraId="4F5BEEF3" w14:textId="77777777" w:rsidTr="003B206C">
        <w:trPr>
          <w:trHeight w:val="241"/>
        </w:trPr>
        <w:tc>
          <w:tcPr>
            <w:tcW w:w="1732" w:type="dxa"/>
            <w:tcBorders>
              <w:top w:val="single" w:sz="4" w:space="0" w:color="000000"/>
              <w:left w:val="single" w:sz="4" w:space="0" w:color="000000"/>
              <w:bottom w:val="single" w:sz="4" w:space="0" w:color="000000"/>
              <w:right w:val="single" w:sz="4" w:space="0" w:color="000000"/>
            </w:tcBorders>
            <w:hideMark/>
          </w:tcPr>
          <w:p w14:paraId="7AD3B8B7" w14:textId="77777777" w:rsidR="00243FF4" w:rsidRPr="005F77CE" w:rsidRDefault="00243FF4" w:rsidP="00A24333">
            <w:pPr>
              <w:pStyle w:val="TableParagraph"/>
              <w:ind w:left="176"/>
              <w:rPr>
                <w:sz w:val="24"/>
                <w:szCs w:val="24"/>
              </w:rPr>
            </w:pPr>
            <w:r w:rsidRPr="005F77CE">
              <w:rPr>
                <w:sz w:val="24"/>
                <w:szCs w:val="24"/>
              </w:rPr>
              <w:t>0,8 ≥ - &gt; 0,6</w:t>
            </w:r>
          </w:p>
        </w:tc>
        <w:tc>
          <w:tcPr>
            <w:tcW w:w="2410" w:type="dxa"/>
            <w:tcBorders>
              <w:top w:val="single" w:sz="4" w:space="0" w:color="000000"/>
              <w:left w:val="single" w:sz="4" w:space="0" w:color="000000"/>
              <w:bottom w:val="single" w:sz="4" w:space="0" w:color="000000"/>
              <w:right w:val="single" w:sz="4" w:space="0" w:color="000000"/>
            </w:tcBorders>
            <w:hideMark/>
          </w:tcPr>
          <w:p w14:paraId="27623300" w14:textId="77777777" w:rsidR="00243FF4" w:rsidRPr="005F77CE" w:rsidRDefault="00243FF4" w:rsidP="00A24333">
            <w:pPr>
              <w:pStyle w:val="TableParagraph"/>
              <w:ind w:left="176"/>
              <w:rPr>
                <w:sz w:val="24"/>
                <w:szCs w:val="24"/>
              </w:rPr>
            </w:pPr>
            <w:r w:rsidRPr="005F77CE">
              <w:rPr>
                <w:sz w:val="24"/>
                <w:szCs w:val="24"/>
              </w:rPr>
              <w:t>25</w:t>
            </w:r>
          </w:p>
        </w:tc>
        <w:tc>
          <w:tcPr>
            <w:tcW w:w="1797" w:type="dxa"/>
            <w:tcBorders>
              <w:top w:val="single" w:sz="4" w:space="0" w:color="000000"/>
              <w:left w:val="single" w:sz="4" w:space="0" w:color="000000"/>
              <w:bottom w:val="single" w:sz="4" w:space="0" w:color="000000"/>
              <w:right w:val="single" w:sz="4" w:space="0" w:color="000000"/>
            </w:tcBorders>
            <w:hideMark/>
          </w:tcPr>
          <w:p w14:paraId="7D4B5DD7" w14:textId="77777777" w:rsidR="00243FF4" w:rsidRPr="005F77CE" w:rsidRDefault="00243FF4" w:rsidP="00A24333">
            <w:pPr>
              <w:pStyle w:val="TableParagraph"/>
              <w:ind w:left="176"/>
              <w:rPr>
                <w:sz w:val="24"/>
                <w:szCs w:val="24"/>
              </w:rPr>
            </w:pPr>
            <w:r w:rsidRPr="005F77CE">
              <w:rPr>
                <w:sz w:val="24"/>
                <w:szCs w:val="24"/>
              </w:rPr>
              <w:t>12 timer</w:t>
            </w:r>
          </w:p>
        </w:tc>
      </w:tr>
      <w:tr w:rsidR="00243FF4" w:rsidRPr="005F77CE" w14:paraId="5702AC32" w14:textId="77777777" w:rsidTr="003B206C">
        <w:trPr>
          <w:trHeight w:val="244"/>
        </w:trPr>
        <w:tc>
          <w:tcPr>
            <w:tcW w:w="1732" w:type="dxa"/>
            <w:tcBorders>
              <w:top w:val="single" w:sz="4" w:space="0" w:color="000000"/>
              <w:left w:val="single" w:sz="4" w:space="0" w:color="000000"/>
              <w:bottom w:val="single" w:sz="4" w:space="0" w:color="000000"/>
              <w:right w:val="single" w:sz="4" w:space="0" w:color="000000"/>
            </w:tcBorders>
            <w:hideMark/>
          </w:tcPr>
          <w:p w14:paraId="14EAC535" w14:textId="77777777" w:rsidR="00243FF4" w:rsidRPr="005F77CE" w:rsidRDefault="00243FF4" w:rsidP="00A24333">
            <w:pPr>
              <w:pStyle w:val="TableParagraph"/>
              <w:ind w:left="176"/>
              <w:rPr>
                <w:sz w:val="24"/>
                <w:szCs w:val="24"/>
              </w:rPr>
            </w:pPr>
            <w:r w:rsidRPr="005F77CE">
              <w:rPr>
                <w:sz w:val="24"/>
                <w:szCs w:val="24"/>
              </w:rPr>
              <w:t>0,6 ≥ - &gt; 0,5</w:t>
            </w:r>
          </w:p>
        </w:tc>
        <w:tc>
          <w:tcPr>
            <w:tcW w:w="2410" w:type="dxa"/>
            <w:tcBorders>
              <w:top w:val="single" w:sz="4" w:space="0" w:color="000000"/>
              <w:left w:val="single" w:sz="4" w:space="0" w:color="000000"/>
              <w:bottom w:val="single" w:sz="4" w:space="0" w:color="000000"/>
              <w:right w:val="single" w:sz="4" w:space="0" w:color="000000"/>
            </w:tcBorders>
            <w:hideMark/>
          </w:tcPr>
          <w:p w14:paraId="0D9C4F6F" w14:textId="77777777" w:rsidR="00243FF4" w:rsidRPr="005F77CE" w:rsidRDefault="00243FF4" w:rsidP="00A24333">
            <w:pPr>
              <w:pStyle w:val="TableParagraph"/>
              <w:ind w:left="176"/>
              <w:rPr>
                <w:sz w:val="24"/>
                <w:szCs w:val="24"/>
              </w:rPr>
            </w:pPr>
            <w:r w:rsidRPr="005F77CE">
              <w:rPr>
                <w:sz w:val="24"/>
                <w:szCs w:val="24"/>
              </w:rPr>
              <w:t>20</w:t>
            </w:r>
          </w:p>
        </w:tc>
        <w:tc>
          <w:tcPr>
            <w:tcW w:w="1797" w:type="dxa"/>
            <w:tcBorders>
              <w:top w:val="single" w:sz="4" w:space="0" w:color="000000"/>
              <w:left w:val="single" w:sz="4" w:space="0" w:color="000000"/>
              <w:bottom w:val="single" w:sz="4" w:space="0" w:color="000000"/>
              <w:right w:val="single" w:sz="4" w:space="0" w:color="000000"/>
            </w:tcBorders>
            <w:hideMark/>
          </w:tcPr>
          <w:p w14:paraId="40A00C3F" w14:textId="77777777" w:rsidR="00243FF4" w:rsidRPr="005F77CE" w:rsidRDefault="00243FF4" w:rsidP="00A24333">
            <w:pPr>
              <w:pStyle w:val="TableParagraph"/>
              <w:ind w:left="176"/>
              <w:rPr>
                <w:sz w:val="24"/>
                <w:szCs w:val="24"/>
              </w:rPr>
            </w:pPr>
            <w:r w:rsidRPr="005F77CE">
              <w:rPr>
                <w:sz w:val="24"/>
                <w:szCs w:val="24"/>
              </w:rPr>
              <w:t>12 timer</w:t>
            </w:r>
          </w:p>
        </w:tc>
      </w:tr>
      <w:tr w:rsidR="00243FF4" w:rsidRPr="005F77CE" w14:paraId="42B0AC7C" w14:textId="77777777" w:rsidTr="003B206C">
        <w:trPr>
          <w:trHeight w:val="244"/>
        </w:trPr>
        <w:tc>
          <w:tcPr>
            <w:tcW w:w="1732" w:type="dxa"/>
            <w:tcBorders>
              <w:top w:val="single" w:sz="4" w:space="0" w:color="000000"/>
              <w:left w:val="single" w:sz="4" w:space="0" w:color="000000"/>
              <w:bottom w:val="single" w:sz="4" w:space="0" w:color="000000"/>
              <w:right w:val="single" w:sz="4" w:space="0" w:color="000000"/>
            </w:tcBorders>
            <w:hideMark/>
          </w:tcPr>
          <w:p w14:paraId="1C94D5CE" w14:textId="77777777" w:rsidR="00243FF4" w:rsidRPr="005F77CE" w:rsidRDefault="00243FF4" w:rsidP="00A24333">
            <w:pPr>
              <w:pStyle w:val="TableParagraph"/>
              <w:ind w:left="176"/>
              <w:rPr>
                <w:sz w:val="24"/>
                <w:szCs w:val="24"/>
              </w:rPr>
            </w:pPr>
            <w:r w:rsidRPr="005F77CE">
              <w:rPr>
                <w:sz w:val="24"/>
                <w:szCs w:val="24"/>
              </w:rPr>
              <w:t>0,5 ≥ - ≥ 0,4</w:t>
            </w:r>
          </w:p>
        </w:tc>
        <w:tc>
          <w:tcPr>
            <w:tcW w:w="2410" w:type="dxa"/>
            <w:tcBorders>
              <w:top w:val="single" w:sz="4" w:space="0" w:color="000000"/>
              <w:left w:val="single" w:sz="4" w:space="0" w:color="000000"/>
              <w:bottom w:val="single" w:sz="4" w:space="0" w:color="000000"/>
              <w:right w:val="single" w:sz="4" w:space="0" w:color="000000"/>
            </w:tcBorders>
            <w:hideMark/>
          </w:tcPr>
          <w:p w14:paraId="14DAF8EF" w14:textId="77777777" w:rsidR="00243FF4" w:rsidRPr="005F77CE" w:rsidRDefault="00243FF4" w:rsidP="00A24333">
            <w:pPr>
              <w:pStyle w:val="TableParagraph"/>
              <w:ind w:left="176"/>
              <w:rPr>
                <w:sz w:val="24"/>
                <w:szCs w:val="24"/>
              </w:rPr>
            </w:pPr>
            <w:r w:rsidRPr="005F77CE">
              <w:rPr>
                <w:sz w:val="24"/>
                <w:szCs w:val="24"/>
              </w:rPr>
              <w:t>15</w:t>
            </w:r>
          </w:p>
        </w:tc>
        <w:tc>
          <w:tcPr>
            <w:tcW w:w="1797" w:type="dxa"/>
            <w:tcBorders>
              <w:top w:val="single" w:sz="4" w:space="0" w:color="000000"/>
              <w:left w:val="single" w:sz="4" w:space="0" w:color="000000"/>
              <w:bottom w:val="single" w:sz="4" w:space="0" w:color="000000"/>
              <w:right w:val="single" w:sz="4" w:space="0" w:color="000000"/>
            </w:tcBorders>
            <w:hideMark/>
          </w:tcPr>
          <w:p w14:paraId="2F8CAC09" w14:textId="77777777" w:rsidR="00243FF4" w:rsidRPr="005F77CE" w:rsidRDefault="00243FF4" w:rsidP="00A24333">
            <w:pPr>
              <w:pStyle w:val="TableParagraph"/>
              <w:ind w:left="176"/>
              <w:rPr>
                <w:sz w:val="24"/>
                <w:szCs w:val="24"/>
              </w:rPr>
            </w:pPr>
            <w:r w:rsidRPr="005F77CE">
              <w:rPr>
                <w:sz w:val="24"/>
                <w:szCs w:val="24"/>
              </w:rPr>
              <w:t>12 timer</w:t>
            </w:r>
          </w:p>
        </w:tc>
      </w:tr>
      <w:tr w:rsidR="00243FF4" w:rsidRPr="005F77CE" w14:paraId="5D13900C" w14:textId="77777777" w:rsidTr="003B206C">
        <w:trPr>
          <w:trHeight w:val="239"/>
        </w:trPr>
        <w:tc>
          <w:tcPr>
            <w:tcW w:w="1732" w:type="dxa"/>
            <w:tcBorders>
              <w:top w:val="single" w:sz="4" w:space="0" w:color="000000"/>
              <w:left w:val="single" w:sz="4" w:space="0" w:color="000000"/>
              <w:bottom w:val="single" w:sz="4" w:space="0" w:color="000000"/>
              <w:right w:val="single" w:sz="4" w:space="0" w:color="000000"/>
            </w:tcBorders>
            <w:hideMark/>
          </w:tcPr>
          <w:p w14:paraId="0ED5FB60" w14:textId="77777777" w:rsidR="00243FF4" w:rsidRPr="005F77CE" w:rsidRDefault="00243FF4" w:rsidP="00A24333">
            <w:pPr>
              <w:pStyle w:val="TableParagraph"/>
              <w:ind w:left="176" w:right="162"/>
              <w:jc w:val="center"/>
              <w:rPr>
                <w:sz w:val="24"/>
                <w:szCs w:val="24"/>
              </w:rPr>
            </w:pPr>
            <w:r w:rsidRPr="005F77CE">
              <w:rPr>
                <w:sz w:val="24"/>
                <w:szCs w:val="24"/>
              </w:rPr>
              <w:t>&lt; 0,4</w:t>
            </w:r>
          </w:p>
        </w:tc>
        <w:tc>
          <w:tcPr>
            <w:tcW w:w="4207" w:type="dxa"/>
            <w:gridSpan w:val="2"/>
            <w:tcBorders>
              <w:top w:val="single" w:sz="4" w:space="0" w:color="000000"/>
              <w:left w:val="single" w:sz="4" w:space="0" w:color="000000"/>
              <w:bottom w:val="single" w:sz="4" w:space="0" w:color="000000"/>
              <w:right w:val="single" w:sz="4" w:space="0" w:color="000000"/>
            </w:tcBorders>
            <w:hideMark/>
          </w:tcPr>
          <w:p w14:paraId="42193BAF" w14:textId="77777777" w:rsidR="00243FF4" w:rsidRPr="005F77CE" w:rsidRDefault="00243FF4" w:rsidP="00A24333">
            <w:pPr>
              <w:pStyle w:val="TableParagraph"/>
              <w:ind w:left="176"/>
              <w:rPr>
                <w:sz w:val="24"/>
                <w:szCs w:val="24"/>
              </w:rPr>
            </w:pPr>
            <w:r w:rsidRPr="005F77CE">
              <w:rPr>
                <w:sz w:val="24"/>
                <w:szCs w:val="24"/>
              </w:rPr>
              <w:t xml:space="preserve">Ingen anbefalede behandlinger </w:t>
            </w:r>
          </w:p>
        </w:tc>
      </w:tr>
    </w:tbl>
    <w:p w14:paraId="16937C34" w14:textId="61B555CD" w:rsidR="00243FF4" w:rsidRPr="005F77CE" w:rsidRDefault="00243FF4" w:rsidP="00A24333">
      <w:pPr>
        <w:ind w:left="1134" w:hanging="283"/>
        <w:rPr>
          <w:sz w:val="24"/>
          <w:szCs w:val="24"/>
        </w:rPr>
      </w:pPr>
      <w:r w:rsidRPr="005F77CE">
        <w:rPr>
          <w:sz w:val="24"/>
          <w:szCs w:val="24"/>
        </w:rPr>
        <w:lastRenderedPageBreak/>
        <w:t xml:space="preserve">* </w:t>
      </w:r>
      <w:r w:rsidR="00A24333">
        <w:rPr>
          <w:sz w:val="24"/>
          <w:szCs w:val="24"/>
        </w:rPr>
        <w:tab/>
      </w:r>
      <w:r w:rsidRPr="005F77CE">
        <w:rPr>
          <w:sz w:val="24"/>
          <w:szCs w:val="24"/>
        </w:rPr>
        <w:t xml:space="preserve">Bemærk: Dataene er baseret på </w:t>
      </w:r>
      <w:proofErr w:type="spellStart"/>
      <w:r w:rsidRPr="005F77CE">
        <w:rPr>
          <w:sz w:val="24"/>
          <w:szCs w:val="24"/>
        </w:rPr>
        <w:t>farmakokinetiske</w:t>
      </w:r>
      <w:proofErr w:type="spellEnd"/>
      <w:r w:rsidRPr="005F77CE">
        <w:rPr>
          <w:sz w:val="24"/>
          <w:szCs w:val="24"/>
        </w:rPr>
        <w:t xml:space="preserve"> studier efter én dosis </w:t>
      </w:r>
      <w:proofErr w:type="spellStart"/>
      <w:r w:rsidRPr="005F77CE">
        <w:rPr>
          <w:sz w:val="24"/>
          <w:szCs w:val="24"/>
        </w:rPr>
        <w:t>foscarnetnatriumhexahydrat</w:t>
      </w:r>
      <w:proofErr w:type="spellEnd"/>
      <w:r w:rsidRPr="005F77CE">
        <w:rPr>
          <w:sz w:val="24"/>
          <w:szCs w:val="24"/>
        </w:rPr>
        <w:t xml:space="preserve"> hos patienter med varierende grader af nedsat nyrefunktion.</w:t>
      </w:r>
    </w:p>
    <w:p w14:paraId="3DE3544F" w14:textId="77777777" w:rsidR="00A24333" w:rsidRDefault="00A24333" w:rsidP="00473F2D">
      <w:pPr>
        <w:ind w:left="851"/>
        <w:rPr>
          <w:sz w:val="24"/>
          <w:szCs w:val="24"/>
        </w:rPr>
      </w:pPr>
    </w:p>
    <w:p w14:paraId="33109C93" w14:textId="7F56BED1" w:rsidR="00243FF4" w:rsidRPr="005F77CE" w:rsidRDefault="00243FF4" w:rsidP="00473F2D">
      <w:pPr>
        <w:ind w:left="851"/>
        <w:rPr>
          <w:bCs/>
          <w:iCs/>
          <w:sz w:val="24"/>
          <w:szCs w:val="24"/>
        </w:rPr>
      </w:pPr>
      <w:proofErr w:type="spellStart"/>
      <w:r w:rsidRPr="005F77CE">
        <w:rPr>
          <w:sz w:val="24"/>
          <w:szCs w:val="24"/>
        </w:rPr>
        <w:t>Foscarnetnatriumhexahydrat</w:t>
      </w:r>
      <w:proofErr w:type="spellEnd"/>
      <w:r w:rsidRPr="005F77CE">
        <w:rPr>
          <w:sz w:val="24"/>
          <w:szCs w:val="24"/>
        </w:rPr>
        <w:t xml:space="preserve"> anbefales ikke til patienter i dialyse, da der ikke er udarbejdet retningslinjer for dosering.</w:t>
      </w:r>
    </w:p>
    <w:p w14:paraId="7606DB38" w14:textId="77777777" w:rsidR="00A24333" w:rsidRDefault="00A24333" w:rsidP="00473F2D">
      <w:pPr>
        <w:ind w:left="851"/>
        <w:rPr>
          <w:i/>
          <w:sz w:val="24"/>
          <w:szCs w:val="24"/>
        </w:rPr>
      </w:pPr>
    </w:p>
    <w:p w14:paraId="1F538A65" w14:textId="04A982AD" w:rsidR="00243FF4" w:rsidRPr="005F77CE" w:rsidRDefault="00243FF4" w:rsidP="00473F2D">
      <w:pPr>
        <w:ind w:left="851"/>
        <w:rPr>
          <w:bCs/>
          <w:i/>
          <w:iCs/>
          <w:sz w:val="24"/>
          <w:szCs w:val="24"/>
        </w:rPr>
      </w:pPr>
      <w:r w:rsidRPr="005F77CE">
        <w:rPr>
          <w:i/>
          <w:sz w:val="24"/>
          <w:szCs w:val="24"/>
        </w:rPr>
        <w:t xml:space="preserve">Patienter med nedsat leverfunktion </w:t>
      </w:r>
    </w:p>
    <w:p w14:paraId="62F11A1C" w14:textId="77777777" w:rsidR="00243FF4" w:rsidRPr="005F77CE" w:rsidRDefault="00243FF4" w:rsidP="00473F2D">
      <w:pPr>
        <w:ind w:left="851"/>
        <w:rPr>
          <w:bCs/>
          <w:iCs/>
          <w:sz w:val="24"/>
          <w:szCs w:val="24"/>
        </w:rPr>
      </w:pPr>
      <w:r w:rsidRPr="005F77CE">
        <w:rPr>
          <w:sz w:val="24"/>
          <w:szCs w:val="24"/>
        </w:rPr>
        <w:t>Dosistitrering er ikke nødvendig hos patienter med nedsat leverfunktion</w:t>
      </w:r>
    </w:p>
    <w:p w14:paraId="568380B5" w14:textId="77777777" w:rsidR="00243FF4" w:rsidRPr="005F77CE" w:rsidRDefault="00243FF4" w:rsidP="00473F2D">
      <w:pPr>
        <w:ind w:left="851"/>
        <w:rPr>
          <w:bCs/>
          <w:sz w:val="24"/>
          <w:szCs w:val="24"/>
        </w:rPr>
      </w:pPr>
    </w:p>
    <w:p w14:paraId="0DED861C" w14:textId="77777777" w:rsidR="00243FF4" w:rsidRPr="005F77CE" w:rsidRDefault="00243FF4" w:rsidP="00473F2D">
      <w:pPr>
        <w:ind w:left="851"/>
        <w:rPr>
          <w:bCs/>
          <w:sz w:val="24"/>
          <w:szCs w:val="24"/>
          <w:u w:val="single"/>
        </w:rPr>
      </w:pPr>
      <w:r w:rsidRPr="005F77CE">
        <w:rPr>
          <w:sz w:val="24"/>
          <w:szCs w:val="24"/>
          <w:u w:val="single"/>
        </w:rPr>
        <w:t>Behandlingens varighed</w:t>
      </w:r>
    </w:p>
    <w:p w14:paraId="6C3E984A" w14:textId="77777777" w:rsidR="00243FF4" w:rsidRPr="005F77CE" w:rsidRDefault="00243FF4" w:rsidP="00473F2D">
      <w:pPr>
        <w:ind w:left="851"/>
        <w:rPr>
          <w:bCs/>
          <w:iCs/>
          <w:sz w:val="24"/>
          <w:szCs w:val="24"/>
        </w:rPr>
      </w:pPr>
      <w:r w:rsidRPr="005F77CE">
        <w:rPr>
          <w:sz w:val="24"/>
          <w:szCs w:val="24"/>
        </w:rPr>
        <w:t xml:space="preserve">Behandling af en </w:t>
      </w:r>
      <w:proofErr w:type="spellStart"/>
      <w:r w:rsidRPr="005F77CE">
        <w:rPr>
          <w:sz w:val="24"/>
          <w:szCs w:val="24"/>
        </w:rPr>
        <w:t>aciclovir</w:t>
      </w:r>
      <w:proofErr w:type="spellEnd"/>
      <w:r w:rsidRPr="005F77CE">
        <w:rPr>
          <w:sz w:val="24"/>
          <w:szCs w:val="24"/>
        </w:rPr>
        <w:t>-resistent herpes-infektion skal foretages, til der er fuld remission af læsioner (komplet re-</w:t>
      </w:r>
      <w:proofErr w:type="spellStart"/>
      <w:r w:rsidRPr="005F77CE">
        <w:rPr>
          <w:sz w:val="24"/>
          <w:szCs w:val="24"/>
        </w:rPr>
        <w:t>epitelialisering</w:t>
      </w:r>
      <w:proofErr w:type="spellEnd"/>
      <w:r w:rsidRPr="005F77CE">
        <w:rPr>
          <w:sz w:val="24"/>
          <w:szCs w:val="24"/>
        </w:rPr>
        <w:t>). Det kræver normalt en behandlingsperiode på 2 til 3 uger. Hvis der ses en virkning efter 1 uges behandling, skal yderligere behandling undersøges kritisk med udgangspunkt i benefit/</w:t>
      </w:r>
      <w:proofErr w:type="spellStart"/>
      <w:r w:rsidRPr="005F77CE">
        <w:rPr>
          <w:sz w:val="24"/>
          <w:szCs w:val="24"/>
        </w:rPr>
        <w:t>risk</w:t>
      </w:r>
      <w:proofErr w:type="spellEnd"/>
      <w:r w:rsidRPr="005F77CE">
        <w:rPr>
          <w:sz w:val="24"/>
          <w:szCs w:val="24"/>
        </w:rPr>
        <w:t>-forholdet.</w:t>
      </w:r>
    </w:p>
    <w:p w14:paraId="386550F6" w14:textId="77777777" w:rsidR="00243FF4" w:rsidRPr="005F77CE" w:rsidRDefault="00243FF4" w:rsidP="00473F2D">
      <w:pPr>
        <w:ind w:left="851"/>
        <w:rPr>
          <w:bCs/>
          <w:sz w:val="24"/>
          <w:szCs w:val="24"/>
        </w:rPr>
      </w:pPr>
      <w:r w:rsidRPr="005F77CE">
        <w:rPr>
          <w:sz w:val="24"/>
          <w:szCs w:val="24"/>
        </w:rPr>
        <w:t xml:space="preserve">Forebyggelse af tilbagefald efter </w:t>
      </w:r>
      <w:proofErr w:type="spellStart"/>
      <w:r w:rsidRPr="005F77CE">
        <w:rPr>
          <w:sz w:val="24"/>
          <w:szCs w:val="24"/>
        </w:rPr>
        <w:t>aciclovir</w:t>
      </w:r>
      <w:proofErr w:type="spellEnd"/>
      <w:r w:rsidRPr="005F77CE">
        <w:rPr>
          <w:sz w:val="24"/>
          <w:szCs w:val="24"/>
        </w:rPr>
        <w:t xml:space="preserve">-resistent herpes-infektion med </w:t>
      </w:r>
      <w:proofErr w:type="spellStart"/>
      <w:r w:rsidRPr="005F77CE">
        <w:rPr>
          <w:sz w:val="24"/>
          <w:szCs w:val="24"/>
        </w:rPr>
        <w:t>foscarnetnatriumhexahydrat</w:t>
      </w:r>
      <w:proofErr w:type="spellEnd"/>
      <w:r w:rsidRPr="005F77CE">
        <w:rPr>
          <w:sz w:val="24"/>
          <w:szCs w:val="24"/>
        </w:rPr>
        <w:t xml:space="preserve"> er ikke tilstrækkeligt undersøgt. Hvis der sker tilbagefald, skal resistensen gennemgås.</w:t>
      </w:r>
    </w:p>
    <w:p w14:paraId="21DFAD6F" w14:textId="77777777" w:rsidR="00243FF4" w:rsidRPr="005F77CE" w:rsidRDefault="00243FF4" w:rsidP="00473F2D">
      <w:pPr>
        <w:ind w:left="851"/>
        <w:rPr>
          <w:bCs/>
          <w:sz w:val="24"/>
          <w:szCs w:val="24"/>
        </w:rPr>
      </w:pPr>
    </w:p>
    <w:p w14:paraId="1D0D3A6B" w14:textId="77777777" w:rsidR="00243FF4" w:rsidRPr="005F77CE" w:rsidRDefault="00243FF4" w:rsidP="00473F2D">
      <w:pPr>
        <w:ind w:left="851"/>
        <w:rPr>
          <w:sz w:val="24"/>
          <w:szCs w:val="24"/>
          <w:u w:val="single"/>
        </w:rPr>
      </w:pPr>
      <w:r w:rsidRPr="005F77CE">
        <w:rPr>
          <w:sz w:val="24"/>
          <w:szCs w:val="24"/>
          <w:u w:val="single"/>
        </w:rPr>
        <w:t>Administration</w:t>
      </w:r>
    </w:p>
    <w:p w14:paraId="1F86CC1A" w14:textId="1A1F824E" w:rsidR="00243FF4" w:rsidRPr="005F77CE" w:rsidRDefault="00243FF4" w:rsidP="00473F2D">
      <w:pPr>
        <w:ind w:left="851"/>
        <w:rPr>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må </w:t>
      </w:r>
      <w:r w:rsidRPr="005F77CE">
        <w:rPr>
          <w:b/>
          <w:sz w:val="24"/>
          <w:szCs w:val="24"/>
        </w:rPr>
        <w:t>ikke</w:t>
      </w:r>
      <w:r w:rsidRPr="005F77CE">
        <w:rPr>
          <w:sz w:val="24"/>
          <w:szCs w:val="24"/>
        </w:rPr>
        <w:t xml:space="preserve"> administreres som kortvarig intravenøs injektion.</w:t>
      </w:r>
    </w:p>
    <w:p w14:paraId="1150C1E3" w14:textId="77777777" w:rsidR="00243FF4" w:rsidRPr="005F77CE" w:rsidRDefault="00243FF4" w:rsidP="00473F2D">
      <w:pPr>
        <w:ind w:left="851"/>
        <w:rPr>
          <w:sz w:val="24"/>
          <w:szCs w:val="24"/>
        </w:rPr>
      </w:pPr>
      <w:r w:rsidRPr="005F77CE">
        <w:rPr>
          <w:sz w:val="24"/>
          <w:szCs w:val="24"/>
        </w:rPr>
        <w:t>Ved infusion via centrale vener er fortynding af infusionsopløsningen ikke nødvendig. Ved infusion i en perifer vene skal infusionsopløsningen fortyndes før brug. Se instruktioner om fortynding i pkt. 6.6).</w:t>
      </w:r>
    </w:p>
    <w:p w14:paraId="622ADD08" w14:textId="77777777" w:rsidR="00243FF4" w:rsidRPr="005F77CE" w:rsidRDefault="00243FF4" w:rsidP="00473F2D">
      <w:pPr>
        <w:ind w:left="851"/>
        <w:rPr>
          <w:sz w:val="24"/>
          <w:szCs w:val="24"/>
        </w:rPr>
      </w:pPr>
      <w:r w:rsidRPr="005F77CE">
        <w:rPr>
          <w:sz w:val="24"/>
          <w:szCs w:val="24"/>
        </w:rPr>
        <w:t>Se mere information om klargøring og opbevaring af den brugsklar opløsning i pkt. 6.2 og 6.4.</w:t>
      </w:r>
    </w:p>
    <w:p w14:paraId="3E9F35E1" w14:textId="77777777" w:rsidR="00A24333" w:rsidRDefault="00A24333" w:rsidP="00473F2D">
      <w:pPr>
        <w:ind w:left="851"/>
        <w:rPr>
          <w:sz w:val="24"/>
          <w:szCs w:val="24"/>
          <w:u w:val="single"/>
        </w:rPr>
      </w:pPr>
    </w:p>
    <w:p w14:paraId="216E6542" w14:textId="0014F247" w:rsidR="00243FF4" w:rsidRPr="005F77CE" w:rsidRDefault="00243FF4" w:rsidP="00473F2D">
      <w:pPr>
        <w:ind w:left="851"/>
        <w:rPr>
          <w:bCs/>
          <w:sz w:val="24"/>
          <w:szCs w:val="24"/>
          <w:u w:val="single"/>
        </w:rPr>
      </w:pPr>
      <w:r w:rsidRPr="005F77CE">
        <w:rPr>
          <w:sz w:val="24"/>
          <w:szCs w:val="24"/>
          <w:u w:val="single"/>
        </w:rPr>
        <w:t>Hydrering</w:t>
      </w:r>
    </w:p>
    <w:p w14:paraId="232F574A" w14:textId="04CD158D" w:rsidR="00243FF4" w:rsidRPr="005F77CE" w:rsidRDefault="00243FF4" w:rsidP="00473F2D">
      <w:pPr>
        <w:ind w:left="851"/>
        <w:rPr>
          <w:sz w:val="24"/>
          <w:szCs w:val="24"/>
        </w:rPr>
      </w:pPr>
      <w:r w:rsidRPr="005F77CE">
        <w:rPr>
          <w:sz w:val="24"/>
          <w:szCs w:val="24"/>
        </w:rPr>
        <w:t xml:space="preserve">Nyretoksiciteten af </w:t>
      </w:r>
      <w:proofErr w:type="spellStart"/>
      <w:r w:rsidRPr="005F77CE">
        <w:rPr>
          <w:sz w:val="24"/>
          <w:szCs w:val="24"/>
        </w:rPr>
        <w:t>foscarnetnatriumhexahydrat</w:t>
      </w:r>
      <w:proofErr w:type="spellEnd"/>
      <w:r w:rsidRPr="005F77CE">
        <w:rPr>
          <w:sz w:val="24"/>
          <w:szCs w:val="24"/>
        </w:rPr>
        <w:t xml:space="preserve"> kan reduceres med et tilstrækkeligt væskeindtag. Før første administration af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skal der skabes en tilstrækkelig diurese via infusion af 0,5 - 1,0 liter 0,9 % </w:t>
      </w:r>
      <w:proofErr w:type="spellStart"/>
      <w:r w:rsidRPr="005F77CE">
        <w:rPr>
          <w:sz w:val="24"/>
          <w:szCs w:val="24"/>
        </w:rPr>
        <w:t>natriumchloridopløsning</w:t>
      </w:r>
      <w:proofErr w:type="spellEnd"/>
      <w:r w:rsidRPr="005F77CE">
        <w:rPr>
          <w:sz w:val="24"/>
          <w:szCs w:val="24"/>
        </w:rPr>
        <w:t xml:space="preserve">. Efterfølgende skal der gives 0,5 - 1,0 liter 0,9 % </w:t>
      </w:r>
      <w:proofErr w:type="spellStart"/>
      <w:r w:rsidRPr="005F77CE">
        <w:rPr>
          <w:sz w:val="24"/>
          <w:szCs w:val="24"/>
        </w:rPr>
        <w:t>natriumchloridopløsning</w:t>
      </w:r>
      <w:proofErr w:type="spellEnd"/>
      <w:r w:rsidRPr="005F77CE">
        <w:rPr>
          <w:sz w:val="24"/>
          <w:szCs w:val="24"/>
        </w:rPr>
        <w:t xml:space="preserve"> med hver infusion. Hos patienter med god compliance skal et tilstrækkeligt væskeindtag også gives oralt. Der skal kompenseres for klinisk manifesteret væskemangel, før behandling med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påbegyndes.</w:t>
      </w:r>
    </w:p>
    <w:p w14:paraId="6831FC98" w14:textId="77777777" w:rsidR="009260DE" w:rsidRPr="005F77CE" w:rsidRDefault="009260DE" w:rsidP="009260DE">
      <w:pPr>
        <w:tabs>
          <w:tab w:val="left" w:pos="851"/>
        </w:tabs>
        <w:ind w:left="851"/>
        <w:rPr>
          <w:sz w:val="24"/>
          <w:szCs w:val="24"/>
        </w:rPr>
      </w:pPr>
    </w:p>
    <w:p w14:paraId="60B4499B" w14:textId="77777777" w:rsidR="009260DE" w:rsidRPr="005F77CE" w:rsidRDefault="009260DE" w:rsidP="009260DE">
      <w:pPr>
        <w:tabs>
          <w:tab w:val="left" w:pos="851"/>
        </w:tabs>
        <w:ind w:left="851" w:hanging="851"/>
        <w:rPr>
          <w:b/>
          <w:sz w:val="24"/>
          <w:szCs w:val="24"/>
        </w:rPr>
      </w:pPr>
      <w:r w:rsidRPr="005F77CE">
        <w:rPr>
          <w:b/>
          <w:sz w:val="24"/>
          <w:szCs w:val="24"/>
        </w:rPr>
        <w:t>4.3</w:t>
      </w:r>
      <w:r w:rsidRPr="005F77CE">
        <w:rPr>
          <w:b/>
          <w:sz w:val="24"/>
          <w:szCs w:val="24"/>
        </w:rPr>
        <w:tab/>
        <w:t>Kontraindikationer</w:t>
      </w:r>
    </w:p>
    <w:p w14:paraId="0AC12B56" w14:textId="77777777" w:rsidR="008562FC" w:rsidRPr="005F77CE" w:rsidRDefault="008562FC" w:rsidP="00473F2D">
      <w:pPr>
        <w:ind w:left="851"/>
        <w:rPr>
          <w:rFonts w:eastAsia="Arial Unicode MS"/>
          <w:sz w:val="24"/>
          <w:szCs w:val="24"/>
        </w:rPr>
      </w:pPr>
      <w:r w:rsidRPr="005F77CE">
        <w:rPr>
          <w:sz w:val="24"/>
          <w:szCs w:val="24"/>
        </w:rPr>
        <w:t>Overfølsomhed over for det aktive stof eller over for et eller flere af hjælpestofferne anført i pkt. 6.1.</w:t>
      </w:r>
    </w:p>
    <w:p w14:paraId="508C98FE" w14:textId="77777777" w:rsidR="009260DE" w:rsidRPr="005F77CE" w:rsidRDefault="009260DE" w:rsidP="009260DE">
      <w:pPr>
        <w:tabs>
          <w:tab w:val="left" w:pos="851"/>
        </w:tabs>
        <w:ind w:left="851"/>
        <w:rPr>
          <w:sz w:val="24"/>
          <w:szCs w:val="24"/>
        </w:rPr>
      </w:pPr>
    </w:p>
    <w:p w14:paraId="3CD6324C" w14:textId="77777777" w:rsidR="009260DE" w:rsidRPr="005F77CE" w:rsidRDefault="009260DE" w:rsidP="009260DE">
      <w:pPr>
        <w:tabs>
          <w:tab w:val="left" w:pos="851"/>
        </w:tabs>
        <w:ind w:left="851" w:hanging="851"/>
        <w:rPr>
          <w:b/>
          <w:sz w:val="24"/>
          <w:szCs w:val="24"/>
        </w:rPr>
      </w:pPr>
      <w:r w:rsidRPr="005F77CE">
        <w:rPr>
          <w:b/>
          <w:sz w:val="24"/>
          <w:szCs w:val="24"/>
        </w:rPr>
        <w:t>4.4</w:t>
      </w:r>
      <w:r w:rsidRPr="005F77CE">
        <w:rPr>
          <w:b/>
          <w:sz w:val="24"/>
          <w:szCs w:val="24"/>
        </w:rPr>
        <w:tab/>
        <w:t>Særlige advarsler og forsigtighedsregler vedrørende brugen</w:t>
      </w:r>
    </w:p>
    <w:p w14:paraId="03DC5B0D" w14:textId="3A8CE28C" w:rsidR="008562FC" w:rsidRPr="005F77CE" w:rsidRDefault="008562FC" w:rsidP="00473F2D">
      <w:pPr>
        <w:ind w:left="851"/>
        <w:rPr>
          <w:sz w:val="24"/>
          <w:szCs w:val="24"/>
          <w:lang w:eastAsia="en-GB"/>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skal anvendes med forsigtighed hos patienter med nedsat nyrefunktion. Eftersom nedsat nyrefunktion kan forekomme når som helst under administration af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skal </w:t>
      </w:r>
      <w:proofErr w:type="spellStart"/>
      <w:r w:rsidRPr="005F77CE">
        <w:rPr>
          <w:sz w:val="24"/>
          <w:szCs w:val="24"/>
        </w:rPr>
        <w:t>serumkreatinin</w:t>
      </w:r>
      <w:proofErr w:type="spellEnd"/>
      <w:r w:rsidRPr="005F77CE">
        <w:rPr>
          <w:sz w:val="24"/>
          <w:szCs w:val="24"/>
        </w:rPr>
        <w:t xml:space="preserve"> monitoreres hver anden dag under induktionsbehandling og en gang om ugen under vedligeholdelsesbehandling, og passende dosisjusteringer skal foretages afhængigt af nyrefunktionen. Der skal opretholdes tilstrækkelig hydrering hos alle patienter (se pkt. 4.2). Nyrefunktionen hos patienter med nyresygdom, eller som modtager samtidig behandling med andre </w:t>
      </w:r>
      <w:proofErr w:type="spellStart"/>
      <w:r w:rsidRPr="005F77CE">
        <w:rPr>
          <w:sz w:val="24"/>
          <w:szCs w:val="24"/>
        </w:rPr>
        <w:t>nefrotoksiske</w:t>
      </w:r>
      <w:proofErr w:type="spellEnd"/>
      <w:r w:rsidRPr="005F77CE">
        <w:rPr>
          <w:sz w:val="24"/>
          <w:szCs w:val="24"/>
        </w:rPr>
        <w:t xml:space="preserve"> lægemidler, skal monitoreres tæt (se pkt. 4.5).</w:t>
      </w:r>
    </w:p>
    <w:p w14:paraId="379DAA56" w14:textId="77777777" w:rsidR="008562FC" w:rsidRPr="005F77CE" w:rsidRDefault="008562FC" w:rsidP="00473F2D">
      <w:pPr>
        <w:ind w:left="851"/>
        <w:rPr>
          <w:sz w:val="24"/>
          <w:szCs w:val="24"/>
        </w:rPr>
      </w:pPr>
    </w:p>
    <w:p w14:paraId="369C69F4" w14:textId="630CC457" w:rsidR="008562FC" w:rsidRPr="005F77CE" w:rsidRDefault="008562FC" w:rsidP="00473F2D">
      <w:pPr>
        <w:ind w:left="851"/>
        <w:rPr>
          <w:sz w:val="24"/>
          <w:szCs w:val="24"/>
        </w:rPr>
      </w:pPr>
      <w:r w:rsidRPr="005F77CE">
        <w:rPr>
          <w:sz w:val="24"/>
          <w:szCs w:val="24"/>
        </w:rPr>
        <w:t xml:space="preserve">Eftersom </w:t>
      </w:r>
      <w:proofErr w:type="spellStart"/>
      <w:r w:rsidRPr="005F77CE">
        <w:rPr>
          <w:sz w:val="24"/>
          <w:szCs w:val="24"/>
        </w:rPr>
        <w:t>foscarnetnatriumhexahydrat</w:t>
      </w:r>
      <w:proofErr w:type="spellEnd"/>
      <w:r w:rsidRPr="005F77CE">
        <w:rPr>
          <w:sz w:val="24"/>
          <w:szCs w:val="24"/>
        </w:rPr>
        <w:t xml:space="preserve"> har en tendens til at </w:t>
      </w:r>
      <w:proofErr w:type="spellStart"/>
      <w:r w:rsidRPr="005F77CE">
        <w:rPr>
          <w:sz w:val="24"/>
          <w:szCs w:val="24"/>
        </w:rPr>
        <w:t>chelatere</w:t>
      </w:r>
      <w:proofErr w:type="spellEnd"/>
      <w:r w:rsidRPr="005F77CE">
        <w:rPr>
          <w:sz w:val="24"/>
          <w:szCs w:val="24"/>
        </w:rPr>
        <w:t xml:space="preserve"> bivalente metal-ioner som f.eks. kalcium, kan administration af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være forbundet med et </w:t>
      </w:r>
      <w:r w:rsidRPr="005F77CE">
        <w:rPr>
          <w:sz w:val="24"/>
          <w:szCs w:val="24"/>
        </w:rPr>
        <w:lastRenderedPageBreak/>
        <w:t xml:space="preserve">akut fald i ioniseret serumkalcium, som er proportionalt med infusionshastigheden for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hvilket muligvis ikke afspejles i de totale serumkalciumniveauer. Elektrolytterne, navnlig kalcium og magnesium, skal vurderes før og under behandling med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og eventuelle mangler skal korrigeres. </w:t>
      </w:r>
    </w:p>
    <w:p w14:paraId="29997EC6" w14:textId="77777777" w:rsidR="008562FC" w:rsidRPr="005F77CE" w:rsidRDefault="008562FC" w:rsidP="00473F2D">
      <w:pPr>
        <w:ind w:left="851"/>
        <w:rPr>
          <w:sz w:val="24"/>
          <w:szCs w:val="24"/>
        </w:rPr>
      </w:pPr>
    </w:p>
    <w:p w14:paraId="00A13033" w14:textId="77777777" w:rsidR="008562FC" w:rsidRPr="005F77CE" w:rsidRDefault="008562FC" w:rsidP="00473F2D">
      <w:pPr>
        <w:ind w:left="851"/>
        <w:rPr>
          <w:bCs/>
          <w:sz w:val="24"/>
          <w:szCs w:val="24"/>
        </w:rPr>
      </w:pPr>
      <w:proofErr w:type="spellStart"/>
      <w:r w:rsidRPr="005F77CE">
        <w:rPr>
          <w:sz w:val="24"/>
          <w:szCs w:val="24"/>
        </w:rPr>
        <w:t>Foscarnetnatriumhexahydrat</w:t>
      </w:r>
      <w:proofErr w:type="spellEnd"/>
      <w:r w:rsidRPr="005F77CE">
        <w:rPr>
          <w:sz w:val="24"/>
          <w:szCs w:val="24"/>
        </w:rPr>
        <w:t xml:space="preserve"> har været knyttet til tilfælde af forlænget QT-interval og i sjældnere tilfælde med </w:t>
      </w:r>
      <w:proofErr w:type="spellStart"/>
      <w:r w:rsidRPr="005F77CE">
        <w:rPr>
          <w:sz w:val="24"/>
          <w:szCs w:val="24"/>
        </w:rPr>
        <w:t>torsade</w:t>
      </w:r>
      <w:proofErr w:type="spellEnd"/>
      <w:r w:rsidRPr="005F77CE">
        <w:rPr>
          <w:sz w:val="24"/>
          <w:szCs w:val="24"/>
        </w:rPr>
        <w:t xml:space="preserve"> de Pointes (se pkt. 4.8). Patienter med kendt eksisterede forlængelse af hjerteledningsintervaller, navnlig </w:t>
      </w:r>
      <w:proofErr w:type="spellStart"/>
      <w:r w:rsidRPr="005F77CE">
        <w:rPr>
          <w:sz w:val="24"/>
          <w:szCs w:val="24"/>
        </w:rPr>
        <w:t>QTc</w:t>
      </w:r>
      <w:proofErr w:type="spellEnd"/>
      <w:r w:rsidRPr="005F77CE">
        <w:rPr>
          <w:sz w:val="24"/>
          <w:szCs w:val="24"/>
        </w:rPr>
        <w:t>, patienter med signifikante elektrolytforstyrrelser (</w:t>
      </w:r>
      <w:proofErr w:type="spellStart"/>
      <w:r w:rsidRPr="005F77CE">
        <w:rPr>
          <w:sz w:val="24"/>
          <w:szCs w:val="24"/>
        </w:rPr>
        <w:t>hypokaliæmi</w:t>
      </w:r>
      <w:proofErr w:type="spellEnd"/>
      <w:r w:rsidRPr="005F77CE">
        <w:rPr>
          <w:sz w:val="24"/>
          <w:szCs w:val="24"/>
        </w:rPr>
        <w:t xml:space="preserve">, </w:t>
      </w:r>
      <w:proofErr w:type="spellStart"/>
      <w:r w:rsidRPr="005F77CE">
        <w:rPr>
          <w:sz w:val="24"/>
          <w:szCs w:val="24"/>
        </w:rPr>
        <w:t>hypomagnesiæmi</w:t>
      </w:r>
      <w:proofErr w:type="spellEnd"/>
      <w:r w:rsidRPr="005F77CE">
        <w:rPr>
          <w:sz w:val="24"/>
          <w:szCs w:val="24"/>
        </w:rPr>
        <w:t xml:space="preserve">), bradykardi, samt patienter med underliggende hjertesygdomme som f.eks. kongestiv hjerteinsufficiens, eller som tager medicin, som man ved forlænger QT-intervallet, skal monitoreres tæt på grund af en øget risiko for </w:t>
      </w:r>
      <w:proofErr w:type="spellStart"/>
      <w:r w:rsidRPr="005F77CE">
        <w:rPr>
          <w:sz w:val="24"/>
          <w:szCs w:val="24"/>
        </w:rPr>
        <w:t>ventrikulær</w:t>
      </w:r>
      <w:proofErr w:type="spellEnd"/>
      <w:r w:rsidRPr="005F77CE">
        <w:rPr>
          <w:sz w:val="24"/>
          <w:szCs w:val="24"/>
        </w:rPr>
        <w:t xml:space="preserve"> </w:t>
      </w:r>
      <w:proofErr w:type="spellStart"/>
      <w:r w:rsidRPr="005F77CE">
        <w:rPr>
          <w:sz w:val="24"/>
          <w:szCs w:val="24"/>
        </w:rPr>
        <w:t>arytmi</w:t>
      </w:r>
      <w:proofErr w:type="spellEnd"/>
      <w:r w:rsidRPr="005F77CE">
        <w:rPr>
          <w:sz w:val="24"/>
          <w:szCs w:val="24"/>
        </w:rPr>
        <w:t xml:space="preserve">. Patienterne skal informeres om, at de straks skal rapportere eventuelle hjertesymptomer. </w:t>
      </w:r>
    </w:p>
    <w:p w14:paraId="42C2C5D5" w14:textId="77777777" w:rsidR="008562FC" w:rsidRPr="005F77CE" w:rsidRDefault="008562FC" w:rsidP="00473F2D">
      <w:pPr>
        <w:ind w:left="851"/>
        <w:rPr>
          <w:bCs/>
          <w:sz w:val="24"/>
          <w:szCs w:val="24"/>
        </w:rPr>
      </w:pPr>
    </w:p>
    <w:p w14:paraId="452C43C9" w14:textId="77777777" w:rsidR="008562FC" w:rsidRPr="005F77CE" w:rsidRDefault="008562FC" w:rsidP="00473F2D">
      <w:pPr>
        <w:ind w:left="851"/>
        <w:rPr>
          <w:bCs/>
          <w:sz w:val="24"/>
          <w:szCs w:val="24"/>
        </w:rPr>
      </w:pPr>
      <w:proofErr w:type="spellStart"/>
      <w:r w:rsidRPr="005F77CE">
        <w:rPr>
          <w:sz w:val="24"/>
          <w:szCs w:val="24"/>
        </w:rPr>
        <w:t>Foscarnetnatriumhexahydrat</w:t>
      </w:r>
      <w:proofErr w:type="spellEnd"/>
      <w:r w:rsidRPr="005F77CE">
        <w:rPr>
          <w:sz w:val="24"/>
          <w:szCs w:val="24"/>
        </w:rPr>
        <w:t xml:space="preserve"> aflejres i tænder, knogler og brusk. Data fra dyr viser, at aflejringen er større i yngre dyr. Sikkerheden af </w:t>
      </w:r>
      <w:proofErr w:type="spellStart"/>
      <w:r w:rsidRPr="005F77CE">
        <w:rPr>
          <w:sz w:val="24"/>
          <w:szCs w:val="24"/>
        </w:rPr>
        <w:t>foscarnetnatriumhexahydrat</w:t>
      </w:r>
      <w:proofErr w:type="spellEnd"/>
      <w:r w:rsidRPr="005F77CE">
        <w:rPr>
          <w:sz w:val="24"/>
          <w:szCs w:val="24"/>
        </w:rPr>
        <w:t xml:space="preserve"> og dets effekt på skeletudviklingen er ikke undersøgt hos børn. Se pkt. 5.3.</w:t>
      </w:r>
    </w:p>
    <w:p w14:paraId="4E315F4B" w14:textId="77777777" w:rsidR="008562FC" w:rsidRPr="005F77CE" w:rsidRDefault="008562FC" w:rsidP="00473F2D">
      <w:pPr>
        <w:ind w:left="851"/>
        <w:rPr>
          <w:bCs/>
          <w:sz w:val="24"/>
          <w:szCs w:val="24"/>
        </w:rPr>
      </w:pPr>
    </w:p>
    <w:p w14:paraId="5721A1F4" w14:textId="77777777" w:rsidR="008562FC" w:rsidRPr="005F77CE" w:rsidRDefault="008562FC" w:rsidP="00473F2D">
      <w:pPr>
        <w:ind w:left="851"/>
        <w:rPr>
          <w:bCs/>
          <w:sz w:val="24"/>
          <w:szCs w:val="24"/>
        </w:rPr>
      </w:pPr>
      <w:r w:rsidRPr="005F77CE">
        <w:rPr>
          <w:sz w:val="24"/>
          <w:szCs w:val="24"/>
        </w:rPr>
        <w:t xml:space="preserve">Anfald forbundet med ændringer i plasmamineraler og elektrolytter har været knyttet til behandling med </w:t>
      </w:r>
      <w:proofErr w:type="spellStart"/>
      <w:r w:rsidRPr="005F77CE">
        <w:rPr>
          <w:sz w:val="24"/>
          <w:szCs w:val="24"/>
        </w:rPr>
        <w:t>foscarnetnatriumhexahydrat</w:t>
      </w:r>
      <w:proofErr w:type="spellEnd"/>
      <w:r w:rsidRPr="005F77CE">
        <w:rPr>
          <w:sz w:val="24"/>
          <w:szCs w:val="24"/>
        </w:rPr>
        <w:t xml:space="preserve">. Der er rapporteret tilfælde af status </w:t>
      </w:r>
      <w:proofErr w:type="spellStart"/>
      <w:r w:rsidRPr="005F77CE">
        <w:rPr>
          <w:sz w:val="24"/>
          <w:szCs w:val="24"/>
        </w:rPr>
        <w:t>epilepticus</w:t>
      </w:r>
      <w:proofErr w:type="spellEnd"/>
      <w:r w:rsidRPr="005F77CE">
        <w:rPr>
          <w:sz w:val="24"/>
          <w:szCs w:val="24"/>
        </w:rPr>
        <w:t xml:space="preserve">. Patienterne skal derfor monitoreres tæt for sådanne ændringer og mulige </w:t>
      </w:r>
      <w:proofErr w:type="spellStart"/>
      <w:r w:rsidRPr="005F77CE">
        <w:rPr>
          <w:sz w:val="24"/>
          <w:szCs w:val="24"/>
        </w:rPr>
        <w:t>sequelae</w:t>
      </w:r>
      <w:proofErr w:type="spellEnd"/>
      <w:r w:rsidRPr="005F77CE">
        <w:rPr>
          <w:sz w:val="24"/>
          <w:szCs w:val="24"/>
        </w:rPr>
        <w:t xml:space="preserve"> af disse. Det kan være nødvendigt at give tilskud af mineraler og elektrolytter.</w:t>
      </w:r>
    </w:p>
    <w:p w14:paraId="404EE216" w14:textId="77777777" w:rsidR="008562FC" w:rsidRPr="005F77CE" w:rsidRDefault="008562FC" w:rsidP="00473F2D">
      <w:pPr>
        <w:ind w:left="851"/>
        <w:rPr>
          <w:bCs/>
          <w:sz w:val="24"/>
          <w:szCs w:val="24"/>
        </w:rPr>
      </w:pPr>
    </w:p>
    <w:p w14:paraId="2D4434AB" w14:textId="77777777" w:rsidR="008562FC" w:rsidRPr="005F77CE" w:rsidRDefault="008562FC" w:rsidP="00473F2D">
      <w:pPr>
        <w:ind w:left="851"/>
        <w:rPr>
          <w:sz w:val="24"/>
          <w:szCs w:val="24"/>
        </w:rPr>
      </w:pPr>
      <w:r w:rsidRPr="005F77CE">
        <w:rPr>
          <w:sz w:val="24"/>
          <w:szCs w:val="24"/>
        </w:rPr>
        <w:t xml:space="preserve">Brug af </w:t>
      </w:r>
      <w:proofErr w:type="spellStart"/>
      <w:r w:rsidRPr="005F77CE">
        <w:rPr>
          <w:sz w:val="24"/>
          <w:szCs w:val="24"/>
        </w:rPr>
        <w:t>foscarnet</w:t>
      </w:r>
      <w:proofErr w:type="spellEnd"/>
      <w:r w:rsidRPr="005F77CE">
        <w:rPr>
          <w:sz w:val="24"/>
          <w:szCs w:val="24"/>
        </w:rPr>
        <w:t xml:space="preserve"> skal undgås, hvor saltbelastning ikke tåles (f.eks. ved </w:t>
      </w:r>
      <w:proofErr w:type="spellStart"/>
      <w:r w:rsidRPr="005F77CE">
        <w:rPr>
          <w:sz w:val="24"/>
          <w:szCs w:val="24"/>
        </w:rPr>
        <w:t>kardiomyopati</w:t>
      </w:r>
      <w:proofErr w:type="spellEnd"/>
      <w:r w:rsidRPr="005F77CE">
        <w:rPr>
          <w:sz w:val="24"/>
          <w:szCs w:val="24"/>
        </w:rPr>
        <w:t>).</w:t>
      </w:r>
    </w:p>
    <w:p w14:paraId="2CA55352" w14:textId="77777777" w:rsidR="008562FC" w:rsidRPr="005F77CE" w:rsidRDefault="008562FC" w:rsidP="00473F2D">
      <w:pPr>
        <w:ind w:left="851"/>
        <w:rPr>
          <w:bCs/>
          <w:sz w:val="24"/>
          <w:szCs w:val="24"/>
        </w:rPr>
      </w:pPr>
    </w:p>
    <w:p w14:paraId="5D7A4A67" w14:textId="77777777" w:rsidR="008562FC" w:rsidRPr="005F77CE" w:rsidRDefault="008562FC" w:rsidP="00473F2D">
      <w:pPr>
        <w:ind w:left="851"/>
        <w:rPr>
          <w:bCs/>
          <w:sz w:val="24"/>
          <w:szCs w:val="24"/>
        </w:rPr>
      </w:pPr>
      <w:proofErr w:type="spellStart"/>
      <w:r w:rsidRPr="005F77CE">
        <w:rPr>
          <w:sz w:val="24"/>
          <w:szCs w:val="24"/>
        </w:rPr>
        <w:t>Foscarnetnatriumhexahydrat</w:t>
      </w:r>
      <w:proofErr w:type="spellEnd"/>
      <w:r w:rsidRPr="005F77CE">
        <w:rPr>
          <w:sz w:val="24"/>
          <w:szCs w:val="24"/>
        </w:rPr>
        <w:t xml:space="preserve"> udskilles i høje koncentrationer i urinen og kan være forbundet med signifikant genital irritation og/eller </w:t>
      </w:r>
      <w:proofErr w:type="spellStart"/>
      <w:r w:rsidRPr="005F77CE">
        <w:rPr>
          <w:sz w:val="24"/>
          <w:szCs w:val="24"/>
        </w:rPr>
        <w:t>ulceration</w:t>
      </w:r>
      <w:proofErr w:type="spellEnd"/>
      <w:r w:rsidRPr="005F77CE">
        <w:rPr>
          <w:sz w:val="24"/>
          <w:szCs w:val="24"/>
        </w:rPr>
        <w:t xml:space="preserve">. For at forebygge irritation og </w:t>
      </w:r>
      <w:proofErr w:type="spellStart"/>
      <w:r w:rsidRPr="005F77CE">
        <w:rPr>
          <w:sz w:val="24"/>
          <w:szCs w:val="24"/>
        </w:rPr>
        <w:t>ulceration</w:t>
      </w:r>
      <w:proofErr w:type="spellEnd"/>
      <w:r w:rsidRPr="005F77CE">
        <w:rPr>
          <w:sz w:val="24"/>
          <w:szCs w:val="24"/>
        </w:rPr>
        <w:t xml:space="preserve"> anbefales omhyggelig personlig hygiejne og vask af genitalområdet efter vandladning.</w:t>
      </w:r>
    </w:p>
    <w:p w14:paraId="3785348D" w14:textId="77777777" w:rsidR="008562FC" w:rsidRPr="005F77CE" w:rsidRDefault="008562FC" w:rsidP="00473F2D">
      <w:pPr>
        <w:ind w:left="851"/>
        <w:rPr>
          <w:bCs/>
          <w:sz w:val="24"/>
          <w:szCs w:val="24"/>
        </w:rPr>
      </w:pPr>
    </w:p>
    <w:p w14:paraId="0C3DC49E" w14:textId="77777777" w:rsidR="008562FC" w:rsidRPr="005F77CE" w:rsidRDefault="008562FC" w:rsidP="00473F2D">
      <w:pPr>
        <w:ind w:left="851"/>
        <w:rPr>
          <w:bCs/>
          <w:sz w:val="24"/>
          <w:szCs w:val="24"/>
        </w:rPr>
      </w:pPr>
      <w:r w:rsidRPr="005F77CE">
        <w:rPr>
          <w:sz w:val="24"/>
          <w:szCs w:val="24"/>
        </w:rPr>
        <w:t xml:space="preserve">Såfremt patienterne oplever </w:t>
      </w:r>
      <w:proofErr w:type="spellStart"/>
      <w:r w:rsidRPr="005F77CE">
        <w:rPr>
          <w:sz w:val="24"/>
          <w:szCs w:val="24"/>
        </w:rPr>
        <w:t>paræstesi</w:t>
      </w:r>
      <w:proofErr w:type="spellEnd"/>
      <w:r w:rsidRPr="005F77CE">
        <w:rPr>
          <w:sz w:val="24"/>
          <w:szCs w:val="24"/>
        </w:rPr>
        <w:t xml:space="preserve"> af ekstremiteter eller kvalme, anbefales det at sænke infusionshastigheden.</w:t>
      </w:r>
    </w:p>
    <w:p w14:paraId="38AC8823" w14:textId="77777777" w:rsidR="008562FC" w:rsidRPr="005F77CE" w:rsidRDefault="008562FC" w:rsidP="00473F2D">
      <w:pPr>
        <w:ind w:left="851"/>
        <w:rPr>
          <w:bCs/>
          <w:sz w:val="24"/>
          <w:szCs w:val="24"/>
        </w:rPr>
      </w:pPr>
    </w:p>
    <w:p w14:paraId="4DEF7D08" w14:textId="77777777" w:rsidR="008562FC" w:rsidRPr="005F77CE" w:rsidRDefault="008562FC" w:rsidP="00473F2D">
      <w:pPr>
        <w:ind w:left="851"/>
        <w:rPr>
          <w:sz w:val="24"/>
          <w:szCs w:val="24"/>
        </w:rPr>
      </w:pPr>
      <w:r w:rsidRPr="005F77CE">
        <w:rPr>
          <w:sz w:val="24"/>
          <w:szCs w:val="24"/>
        </w:rPr>
        <w:t xml:space="preserve">Hvor </w:t>
      </w:r>
      <w:proofErr w:type="spellStart"/>
      <w:r w:rsidRPr="005F77CE">
        <w:rPr>
          <w:sz w:val="24"/>
          <w:szCs w:val="24"/>
        </w:rPr>
        <w:t>diuretika</w:t>
      </w:r>
      <w:proofErr w:type="spellEnd"/>
      <w:r w:rsidRPr="005F77CE">
        <w:rPr>
          <w:sz w:val="24"/>
          <w:szCs w:val="24"/>
        </w:rPr>
        <w:t xml:space="preserve"> er indiceret, anbefales </w:t>
      </w:r>
      <w:proofErr w:type="spellStart"/>
      <w:r w:rsidRPr="005F77CE">
        <w:rPr>
          <w:sz w:val="24"/>
          <w:szCs w:val="24"/>
        </w:rPr>
        <w:t>thiazider</w:t>
      </w:r>
      <w:proofErr w:type="spellEnd"/>
      <w:r w:rsidRPr="005F77CE">
        <w:rPr>
          <w:sz w:val="24"/>
          <w:szCs w:val="24"/>
        </w:rPr>
        <w:t>.</w:t>
      </w:r>
    </w:p>
    <w:p w14:paraId="779C7F55" w14:textId="7EF741EE" w:rsidR="008562FC" w:rsidRPr="005F77CE" w:rsidRDefault="008562FC" w:rsidP="00473F2D">
      <w:pPr>
        <w:ind w:left="851"/>
        <w:rPr>
          <w:bCs/>
          <w:sz w:val="24"/>
          <w:szCs w:val="24"/>
        </w:rPr>
      </w:pPr>
      <w:r w:rsidRPr="005F77CE">
        <w:rPr>
          <w:sz w:val="24"/>
          <w:szCs w:val="24"/>
        </w:rPr>
        <w:t xml:space="preserve">Udvikling af resistens: Hvis administration af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ikke medfører en behandlingsrespons eller fører til en forværring af tilstanden efter en initial respons, kan dette skyldes en nedsat følsomhed i virus mod </w:t>
      </w:r>
      <w:proofErr w:type="spellStart"/>
      <w:r w:rsidRPr="005F77CE">
        <w:rPr>
          <w:sz w:val="24"/>
          <w:szCs w:val="24"/>
        </w:rPr>
        <w:t>foscarnetnatriumhexahydrat</w:t>
      </w:r>
      <w:proofErr w:type="spellEnd"/>
      <w:r w:rsidRPr="005F77CE">
        <w:rPr>
          <w:sz w:val="24"/>
          <w:szCs w:val="24"/>
        </w:rPr>
        <w:t xml:space="preserve">. I så fald skal det overvejes af stoppe behandlingen med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og skifte til et andet egnet lægemiddel.</w:t>
      </w:r>
    </w:p>
    <w:p w14:paraId="49CDE181" w14:textId="77777777" w:rsidR="008562FC" w:rsidRPr="005F77CE" w:rsidRDefault="008562FC" w:rsidP="00473F2D">
      <w:pPr>
        <w:ind w:left="851"/>
        <w:rPr>
          <w:sz w:val="24"/>
          <w:szCs w:val="24"/>
        </w:rPr>
      </w:pPr>
    </w:p>
    <w:p w14:paraId="7A50F4FD" w14:textId="77777777" w:rsidR="008562FC" w:rsidRPr="005F77CE" w:rsidRDefault="008562FC" w:rsidP="00473F2D">
      <w:pPr>
        <w:ind w:left="851"/>
        <w:rPr>
          <w:iCs/>
          <w:sz w:val="24"/>
          <w:szCs w:val="24"/>
        </w:rPr>
      </w:pPr>
      <w:r w:rsidRPr="005F77CE">
        <w:rPr>
          <w:sz w:val="24"/>
          <w:szCs w:val="24"/>
        </w:rPr>
        <w:t>Dette lægemiddel indeholder 1375 mg natrium pr. 250 ml flaske, svarende til 69 % af det WHO-anbefalede maksimale daglige indtag på 2 g natrium for en voksen.</w:t>
      </w:r>
    </w:p>
    <w:p w14:paraId="0ED39A08" w14:textId="77777777" w:rsidR="008562FC" w:rsidRPr="005F77CE" w:rsidRDefault="008562FC" w:rsidP="00473F2D">
      <w:pPr>
        <w:ind w:left="851"/>
        <w:rPr>
          <w:iCs/>
          <w:sz w:val="24"/>
          <w:szCs w:val="24"/>
        </w:rPr>
      </w:pPr>
    </w:p>
    <w:p w14:paraId="66C8CBCB" w14:textId="77777777" w:rsidR="008562FC" w:rsidRPr="005F77CE" w:rsidRDefault="008562FC" w:rsidP="00473F2D">
      <w:pPr>
        <w:ind w:left="851"/>
        <w:rPr>
          <w:iCs/>
          <w:sz w:val="24"/>
          <w:szCs w:val="24"/>
        </w:rPr>
      </w:pPr>
      <w:r w:rsidRPr="005F77CE">
        <w:rPr>
          <w:sz w:val="24"/>
          <w:szCs w:val="24"/>
        </w:rPr>
        <w:t>Den maksimale daglige dosis af dette produkt under vedligeholdelsesbehandling (dvs. 120 mg/kg/dag) og uden fortynding til en patient med en kropsvægt på 70 kg svarer til 96 % af det WHO-anbefalede maksimale daglige indtag af natrium.</w:t>
      </w:r>
    </w:p>
    <w:p w14:paraId="403F0F00" w14:textId="77777777" w:rsidR="008562FC" w:rsidRPr="005F77CE" w:rsidRDefault="008562FC" w:rsidP="00473F2D">
      <w:pPr>
        <w:ind w:left="851"/>
        <w:rPr>
          <w:iCs/>
          <w:sz w:val="24"/>
          <w:szCs w:val="24"/>
        </w:rPr>
      </w:pPr>
    </w:p>
    <w:p w14:paraId="4E2F4E30" w14:textId="77777777" w:rsidR="008562FC" w:rsidRPr="005F77CE" w:rsidRDefault="008562FC" w:rsidP="00473F2D">
      <w:pPr>
        <w:ind w:left="851"/>
        <w:rPr>
          <w:iCs/>
          <w:sz w:val="24"/>
          <w:szCs w:val="24"/>
        </w:rPr>
      </w:pPr>
      <w:r w:rsidRPr="005F77CE">
        <w:rPr>
          <w:sz w:val="24"/>
          <w:szCs w:val="24"/>
        </w:rPr>
        <w:t xml:space="preserve">Den maksimale daglige dosis af dette produkt under vedligeholdelsesbehandling (dvs. 120 mg/kg/dag) og fortyndet med en 9 mg/ml (0,9 %) </w:t>
      </w:r>
      <w:proofErr w:type="spellStart"/>
      <w:r w:rsidRPr="005F77CE">
        <w:rPr>
          <w:sz w:val="24"/>
          <w:szCs w:val="24"/>
        </w:rPr>
        <w:t>natriumchloridopløsning</w:t>
      </w:r>
      <w:proofErr w:type="spellEnd"/>
      <w:r w:rsidRPr="005F77CE">
        <w:rPr>
          <w:sz w:val="24"/>
          <w:szCs w:val="24"/>
        </w:rPr>
        <w:t xml:space="preserve"> til en koncentration på 12 mg/ml til en patient med en kropsvægt på 70 kg svarer til 158 % af det WHO-anbefalede maksimale daglige indtag af natrium.</w:t>
      </w:r>
    </w:p>
    <w:p w14:paraId="07D76374" w14:textId="77777777" w:rsidR="008562FC" w:rsidRPr="005F77CE" w:rsidRDefault="008562FC" w:rsidP="00473F2D">
      <w:pPr>
        <w:ind w:left="851"/>
        <w:rPr>
          <w:iCs/>
          <w:sz w:val="24"/>
          <w:szCs w:val="24"/>
        </w:rPr>
      </w:pPr>
    </w:p>
    <w:p w14:paraId="6D0F0EB6" w14:textId="6D96E8DE" w:rsidR="008562FC" w:rsidRPr="005F77CE" w:rsidRDefault="008562FC" w:rsidP="00473F2D">
      <w:pPr>
        <w:ind w:left="851"/>
        <w:rPr>
          <w:iCs/>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anses for at have et højt indhold af natrium. Der skal især tages højde for dette for personer, der følger en diæt med lavt indhold af salt.</w:t>
      </w:r>
    </w:p>
    <w:p w14:paraId="41311707" w14:textId="77777777" w:rsidR="009260DE" w:rsidRPr="005F77CE" w:rsidRDefault="009260DE" w:rsidP="009260DE">
      <w:pPr>
        <w:tabs>
          <w:tab w:val="left" w:pos="851"/>
        </w:tabs>
        <w:ind w:left="851"/>
        <w:rPr>
          <w:sz w:val="24"/>
          <w:szCs w:val="24"/>
        </w:rPr>
      </w:pPr>
    </w:p>
    <w:p w14:paraId="134D39F8" w14:textId="77777777" w:rsidR="009260DE" w:rsidRPr="005F77CE" w:rsidRDefault="009260DE" w:rsidP="009260DE">
      <w:pPr>
        <w:tabs>
          <w:tab w:val="left" w:pos="851"/>
        </w:tabs>
        <w:ind w:left="851" w:hanging="851"/>
        <w:rPr>
          <w:b/>
          <w:sz w:val="24"/>
          <w:szCs w:val="24"/>
        </w:rPr>
      </w:pPr>
      <w:r w:rsidRPr="005F77CE">
        <w:rPr>
          <w:b/>
          <w:sz w:val="24"/>
          <w:szCs w:val="24"/>
        </w:rPr>
        <w:t>4.5</w:t>
      </w:r>
      <w:r w:rsidRPr="005F77CE">
        <w:rPr>
          <w:b/>
          <w:sz w:val="24"/>
          <w:szCs w:val="24"/>
        </w:rPr>
        <w:tab/>
        <w:t>Interaktion med andre lægemidler og andre former for interaktion</w:t>
      </w:r>
    </w:p>
    <w:p w14:paraId="2E40B6EC" w14:textId="53520F77" w:rsidR="008562FC" w:rsidRPr="005F77CE" w:rsidRDefault="008562FC" w:rsidP="00520CF5">
      <w:pPr>
        <w:ind w:left="851"/>
        <w:rPr>
          <w:sz w:val="24"/>
          <w:szCs w:val="24"/>
          <w:lang w:eastAsia="en-GB"/>
        </w:rPr>
      </w:pPr>
      <w:r w:rsidRPr="005F77CE">
        <w:rPr>
          <w:sz w:val="24"/>
          <w:szCs w:val="24"/>
        </w:rPr>
        <w:t xml:space="preserve">Eftersom </w:t>
      </w:r>
      <w:proofErr w:type="spellStart"/>
      <w:r w:rsidRPr="005F77CE">
        <w:rPr>
          <w:sz w:val="24"/>
          <w:szCs w:val="24"/>
        </w:rPr>
        <w:t>foscarnetnatriumhexahydrat</w:t>
      </w:r>
      <w:proofErr w:type="spellEnd"/>
      <w:r w:rsidRPr="005F77CE">
        <w:rPr>
          <w:sz w:val="24"/>
          <w:szCs w:val="24"/>
        </w:rPr>
        <w:t xml:space="preserve"> kan hæmme nyrefunktionen, kan der forekomme additiv toksicitet, når det anvendes i kombination med andre </w:t>
      </w:r>
      <w:proofErr w:type="spellStart"/>
      <w:r w:rsidRPr="005F77CE">
        <w:rPr>
          <w:sz w:val="24"/>
          <w:szCs w:val="24"/>
        </w:rPr>
        <w:t>nefrotoksiske</w:t>
      </w:r>
      <w:proofErr w:type="spellEnd"/>
      <w:r w:rsidRPr="005F77CE">
        <w:rPr>
          <w:sz w:val="24"/>
          <w:szCs w:val="24"/>
        </w:rPr>
        <w:t xml:space="preserve"> lægemidler som f.eks. aminoglykosider, </w:t>
      </w:r>
      <w:proofErr w:type="spellStart"/>
      <w:r w:rsidRPr="005F77CE">
        <w:rPr>
          <w:sz w:val="24"/>
          <w:szCs w:val="24"/>
        </w:rPr>
        <w:t>amphotericin</w:t>
      </w:r>
      <w:proofErr w:type="spellEnd"/>
      <w:r w:rsidRPr="005F77CE">
        <w:rPr>
          <w:sz w:val="24"/>
          <w:szCs w:val="24"/>
        </w:rPr>
        <w:t xml:space="preserve"> B, </w:t>
      </w:r>
      <w:proofErr w:type="spellStart"/>
      <w:r w:rsidRPr="005F77CE">
        <w:rPr>
          <w:sz w:val="24"/>
          <w:szCs w:val="24"/>
        </w:rPr>
        <w:t>ciclosporin</w:t>
      </w:r>
      <w:proofErr w:type="spellEnd"/>
      <w:r w:rsidRPr="005F77CE">
        <w:rPr>
          <w:sz w:val="24"/>
          <w:szCs w:val="24"/>
        </w:rPr>
        <w:t xml:space="preserve"> A, </w:t>
      </w:r>
      <w:proofErr w:type="spellStart"/>
      <w:r w:rsidRPr="005F77CE">
        <w:rPr>
          <w:sz w:val="24"/>
          <w:szCs w:val="24"/>
        </w:rPr>
        <w:t>aciclovir</w:t>
      </w:r>
      <w:proofErr w:type="spellEnd"/>
      <w:r w:rsidRPr="005F77CE">
        <w:rPr>
          <w:sz w:val="24"/>
          <w:szCs w:val="24"/>
        </w:rPr>
        <w:t xml:space="preserve">, </w:t>
      </w:r>
      <w:proofErr w:type="spellStart"/>
      <w:r w:rsidRPr="005F77CE">
        <w:rPr>
          <w:sz w:val="24"/>
          <w:szCs w:val="24"/>
        </w:rPr>
        <w:t>methotrexat</w:t>
      </w:r>
      <w:proofErr w:type="spellEnd"/>
      <w:r w:rsidRPr="005F77CE">
        <w:rPr>
          <w:sz w:val="24"/>
          <w:szCs w:val="24"/>
        </w:rPr>
        <w:t xml:space="preserve"> og </w:t>
      </w:r>
      <w:proofErr w:type="spellStart"/>
      <w:r w:rsidRPr="005F77CE">
        <w:rPr>
          <w:sz w:val="24"/>
          <w:szCs w:val="24"/>
        </w:rPr>
        <w:t>tacrolimus</w:t>
      </w:r>
      <w:proofErr w:type="spellEnd"/>
      <w:r w:rsidRPr="005F77CE">
        <w:rPr>
          <w:sz w:val="24"/>
          <w:szCs w:val="24"/>
        </w:rPr>
        <w:t xml:space="preserve">. Eftersom </w:t>
      </w:r>
      <w:proofErr w:type="spellStart"/>
      <w:r w:rsidRPr="005F77CE">
        <w:rPr>
          <w:sz w:val="24"/>
          <w:szCs w:val="24"/>
        </w:rPr>
        <w:t>foscarnetnatriumhexahydrat</w:t>
      </w:r>
      <w:proofErr w:type="spellEnd"/>
      <w:r w:rsidRPr="005F77CE">
        <w:rPr>
          <w:sz w:val="24"/>
          <w:szCs w:val="24"/>
        </w:rPr>
        <w:t xml:space="preserve"> kan reducere serumniveauerne af ioniseret kalcium, skal der desuden udvises meget stor forsigtighed ved samtidig brug med andre aktive stoffer med kendt påvirkning af serumkalciumniveauerne, f.eks. intravenøst </w:t>
      </w:r>
      <w:proofErr w:type="spellStart"/>
      <w:r w:rsidRPr="005F77CE">
        <w:rPr>
          <w:sz w:val="24"/>
          <w:szCs w:val="24"/>
        </w:rPr>
        <w:t>pentamidin</w:t>
      </w:r>
      <w:proofErr w:type="spellEnd"/>
      <w:r w:rsidRPr="005F77CE">
        <w:rPr>
          <w:sz w:val="24"/>
          <w:szCs w:val="24"/>
        </w:rPr>
        <w:t xml:space="preserve">. Der er observeret nedsat nyrefunktion og symptomatisk </w:t>
      </w:r>
      <w:proofErr w:type="spellStart"/>
      <w:r w:rsidRPr="005F77CE">
        <w:rPr>
          <w:sz w:val="24"/>
          <w:szCs w:val="24"/>
        </w:rPr>
        <w:t>hypocalcæmi</w:t>
      </w:r>
      <w:proofErr w:type="spellEnd"/>
      <w:r w:rsidRPr="005F77CE">
        <w:rPr>
          <w:sz w:val="24"/>
          <w:szCs w:val="24"/>
        </w:rPr>
        <w:t xml:space="preserve"> (</w:t>
      </w:r>
      <w:proofErr w:type="spellStart"/>
      <w:r w:rsidRPr="005F77CE">
        <w:rPr>
          <w:sz w:val="24"/>
          <w:szCs w:val="24"/>
        </w:rPr>
        <w:t>Trousseaus</w:t>
      </w:r>
      <w:proofErr w:type="spellEnd"/>
      <w:r w:rsidRPr="005F77CE">
        <w:rPr>
          <w:sz w:val="24"/>
          <w:szCs w:val="24"/>
        </w:rPr>
        <w:t xml:space="preserve"> og </w:t>
      </w:r>
      <w:proofErr w:type="spellStart"/>
      <w:r w:rsidRPr="005F77CE">
        <w:rPr>
          <w:sz w:val="24"/>
          <w:szCs w:val="24"/>
        </w:rPr>
        <w:t>Chvosteks</w:t>
      </w:r>
      <w:proofErr w:type="spellEnd"/>
      <w:r w:rsidRPr="005F77CE">
        <w:rPr>
          <w:sz w:val="24"/>
          <w:szCs w:val="24"/>
        </w:rPr>
        <w:t xml:space="preserve"> tegn) under samtidig behandling med </w:t>
      </w:r>
      <w:proofErr w:type="spellStart"/>
      <w:r w:rsidRPr="005F77CE">
        <w:rPr>
          <w:sz w:val="24"/>
          <w:szCs w:val="24"/>
        </w:rPr>
        <w:t>foscarnetnatrium</w:t>
      </w:r>
      <w:r w:rsidR="00520CF5">
        <w:rPr>
          <w:sz w:val="24"/>
          <w:szCs w:val="24"/>
        </w:rPr>
        <w:softHyphen/>
      </w:r>
      <w:r w:rsidRPr="005F77CE">
        <w:rPr>
          <w:sz w:val="24"/>
          <w:szCs w:val="24"/>
        </w:rPr>
        <w:t>hexahydrat</w:t>
      </w:r>
      <w:proofErr w:type="spellEnd"/>
      <w:r w:rsidRPr="005F77CE">
        <w:rPr>
          <w:sz w:val="24"/>
          <w:szCs w:val="24"/>
        </w:rPr>
        <w:t xml:space="preserve"> og intravenøst </w:t>
      </w:r>
      <w:proofErr w:type="spellStart"/>
      <w:r w:rsidRPr="005F77CE">
        <w:rPr>
          <w:sz w:val="24"/>
          <w:szCs w:val="24"/>
        </w:rPr>
        <w:t>pentamidin</w:t>
      </w:r>
      <w:proofErr w:type="spellEnd"/>
      <w:r w:rsidRPr="005F77CE">
        <w:rPr>
          <w:sz w:val="24"/>
          <w:szCs w:val="24"/>
        </w:rPr>
        <w:t xml:space="preserve">. Der er rapporteret om unormal nyrefunktion i forbindelse med brug af </w:t>
      </w:r>
      <w:proofErr w:type="spellStart"/>
      <w:r w:rsidRPr="005F77CE">
        <w:rPr>
          <w:sz w:val="24"/>
          <w:szCs w:val="24"/>
        </w:rPr>
        <w:t>foscarnetnatriumhexahydrat</w:t>
      </w:r>
      <w:proofErr w:type="spellEnd"/>
      <w:r w:rsidRPr="005F77CE">
        <w:rPr>
          <w:sz w:val="24"/>
          <w:szCs w:val="24"/>
        </w:rPr>
        <w:t xml:space="preserve"> i kombination med </w:t>
      </w:r>
      <w:proofErr w:type="spellStart"/>
      <w:r w:rsidRPr="005F77CE">
        <w:rPr>
          <w:sz w:val="24"/>
          <w:szCs w:val="24"/>
        </w:rPr>
        <w:t>ritonavir</w:t>
      </w:r>
      <w:proofErr w:type="spellEnd"/>
      <w:r w:rsidRPr="005F77CE">
        <w:rPr>
          <w:sz w:val="24"/>
          <w:szCs w:val="24"/>
        </w:rPr>
        <w:t xml:space="preserve"> og/eller </w:t>
      </w:r>
      <w:proofErr w:type="spellStart"/>
      <w:r w:rsidRPr="005F77CE">
        <w:rPr>
          <w:sz w:val="24"/>
          <w:szCs w:val="24"/>
        </w:rPr>
        <w:t>saquinavir</w:t>
      </w:r>
      <w:proofErr w:type="spellEnd"/>
      <w:r w:rsidRPr="005F77CE">
        <w:rPr>
          <w:sz w:val="24"/>
          <w:szCs w:val="24"/>
        </w:rPr>
        <w:t>.</w:t>
      </w:r>
    </w:p>
    <w:p w14:paraId="03B6355C" w14:textId="77777777" w:rsidR="008562FC" w:rsidRPr="005F77CE" w:rsidRDefault="008562FC" w:rsidP="00520CF5">
      <w:pPr>
        <w:ind w:left="851"/>
        <w:rPr>
          <w:sz w:val="24"/>
          <w:szCs w:val="24"/>
        </w:rPr>
      </w:pPr>
    </w:p>
    <w:p w14:paraId="0029B1B0" w14:textId="628B3EF6" w:rsidR="008562FC" w:rsidRPr="005F77CE" w:rsidRDefault="008562FC" w:rsidP="00520CF5">
      <w:pPr>
        <w:ind w:left="851"/>
        <w:rPr>
          <w:sz w:val="24"/>
          <w:szCs w:val="24"/>
        </w:rPr>
      </w:pPr>
      <w:r w:rsidRPr="005F77CE">
        <w:rPr>
          <w:sz w:val="24"/>
          <w:szCs w:val="24"/>
        </w:rPr>
        <w:t xml:space="preserve">På grund af den potentielt øgede risiko for forlænget QT og </w:t>
      </w:r>
      <w:proofErr w:type="spellStart"/>
      <w:r w:rsidRPr="005F77CE">
        <w:rPr>
          <w:sz w:val="24"/>
          <w:szCs w:val="24"/>
        </w:rPr>
        <w:t>torsade</w:t>
      </w:r>
      <w:proofErr w:type="spellEnd"/>
      <w:r w:rsidRPr="005F77CE">
        <w:rPr>
          <w:sz w:val="24"/>
          <w:szCs w:val="24"/>
        </w:rPr>
        <w:t xml:space="preserve"> de pointes skal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undgås sammen med lægemidler, som man ved forlænger QT-intervallet. Det gælder især klasse IA (f.eks. </w:t>
      </w:r>
      <w:proofErr w:type="spellStart"/>
      <w:r w:rsidRPr="005F77CE">
        <w:rPr>
          <w:sz w:val="24"/>
          <w:szCs w:val="24"/>
        </w:rPr>
        <w:t>quinidin</w:t>
      </w:r>
      <w:proofErr w:type="spellEnd"/>
      <w:r w:rsidRPr="005F77CE">
        <w:rPr>
          <w:sz w:val="24"/>
          <w:szCs w:val="24"/>
        </w:rPr>
        <w:t xml:space="preserve">) og III (f.eks. </w:t>
      </w:r>
      <w:proofErr w:type="spellStart"/>
      <w:r w:rsidRPr="005F77CE">
        <w:rPr>
          <w:sz w:val="24"/>
          <w:szCs w:val="24"/>
        </w:rPr>
        <w:t>amiodaron</w:t>
      </w:r>
      <w:proofErr w:type="spellEnd"/>
      <w:r w:rsidRPr="005F77CE">
        <w:rPr>
          <w:sz w:val="24"/>
          <w:szCs w:val="24"/>
        </w:rPr>
        <w:t xml:space="preserve">, </w:t>
      </w:r>
      <w:proofErr w:type="spellStart"/>
      <w:r w:rsidRPr="005F77CE">
        <w:rPr>
          <w:sz w:val="24"/>
          <w:szCs w:val="24"/>
        </w:rPr>
        <w:t>sotalol</w:t>
      </w:r>
      <w:proofErr w:type="spellEnd"/>
      <w:r w:rsidRPr="005F77CE">
        <w:rPr>
          <w:sz w:val="24"/>
          <w:szCs w:val="24"/>
        </w:rPr>
        <w:t xml:space="preserve">), </w:t>
      </w:r>
      <w:proofErr w:type="spellStart"/>
      <w:r w:rsidRPr="005F77CE">
        <w:rPr>
          <w:sz w:val="24"/>
          <w:szCs w:val="24"/>
        </w:rPr>
        <w:t>antiarytmika</w:t>
      </w:r>
      <w:proofErr w:type="spellEnd"/>
      <w:r w:rsidRPr="005F77CE">
        <w:rPr>
          <w:sz w:val="24"/>
          <w:szCs w:val="24"/>
        </w:rPr>
        <w:t xml:space="preserve"> og </w:t>
      </w:r>
      <w:proofErr w:type="spellStart"/>
      <w:r w:rsidRPr="005F77CE">
        <w:rPr>
          <w:sz w:val="24"/>
          <w:szCs w:val="24"/>
        </w:rPr>
        <w:t>neuroleptiske</w:t>
      </w:r>
      <w:proofErr w:type="spellEnd"/>
      <w:r w:rsidRPr="005F77CE">
        <w:rPr>
          <w:sz w:val="24"/>
          <w:szCs w:val="24"/>
        </w:rPr>
        <w:t xml:space="preserve"> aktive stoffer. Der skal foretages tæt hjertemonitorering i tilfælde, hvor der anvendes samtidig administration.</w:t>
      </w:r>
    </w:p>
    <w:p w14:paraId="5A92674E" w14:textId="77777777" w:rsidR="008562FC" w:rsidRPr="005F77CE" w:rsidRDefault="008562FC" w:rsidP="00520CF5">
      <w:pPr>
        <w:ind w:left="851"/>
        <w:rPr>
          <w:sz w:val="24"/>
          <w:szCs w:val="24"/>
        </w:rPr>
      </w:pPr>
    </w:p>
    <w:p w14:paraId="3D920849" w14:textId="77777777" w:rsidR="008562FC" w:rsidRPr="005F77CE" w:rsidRDefault="008562FC" w:rsidP="00520CF5">
      <w:pPr>
        <w:ind w:left="851"/>
        <w:rPr>
          <w:sz w:val="24"/>
          <w:szCs w:val="24"/>
        </w:rPr>
      </w:pPr>
      <w:r w:rsidRPr="005F77CE">
        <w:rPr>
          <w:sz w:val="24"/>
          <w:szCs w:val="24"/>
        </w:rPr>
        <w:t xml:space="preserve">Der er ingen </w:t>
      </w:r>
      <w:proofErr w:type="spellStart"/>
      <w:r w:rsidRPr="005F77CE">
        <w:rPr>
          <w:sz w:val="24"/>
          <w:szCs w:val="24"/>
        </w:rPr>
        <w:t>farmakokinetisk</w:t>
      </w:r>
      <w:proofErr w:type="spellEnd"/>
      <w:r w:rsidRPr="005F77CE">
        <w:rPr>
          <w:sz w:val="24"/>
          <w:szCs w:val="24"/>
        </w:rPr>
        <w:t xml:space="preserve"> interaktion med </w:t>
      </w:r>
      <w:proofErr w:type="spellStart"/>
      <w:r w:rsidRPr="005F77CE">
        <w:rPr>
          <w:sz w:val="24"/>
          <w:szCs w:val="24"/>
        </w:rPr>
        <w:t>zidovudin</w:t>
      </w:r>
      <w:proofErr w:type="spellEnd"/>
      <w:r w:rsidRPr="005F77CE">
        <w:rPr>
          <w:sz w:val="24"/>
          <w:szCs w:val="24"/>
        </w:rPr>
        <w:t xml:space="preserve"> (AZT), </w:t>
      </w:r>
      <w:proofErr w:type="spellStart"/>
      <w:r w:rsidRPr="005F77CE">
        <w:rPr>
          <w:sz w:val="24"/>
          <w:szCs w:val="24"/>
        </w:rPr>
        <w:t>ganciclovir</w:t>
      </w:r>
      <w:proofErr w:type="spellEnd"/>
      <w:r w:rsidRPr="005F77CE">
        <w:rPr>
          <w:sz w:val="24"/>
          <w:szCs w:val="24"/>
        </w:rPr>
        <w:t xml:space="preserve">, </w:t>
      </w:r>
      <w:proofErr w:type="spellStart"/>
      <w:r w:rsidRPr="005F77CE">
        <w:rPr>
          <w:sz w:val="24"/>
          <w:szCs w:val="24"/>
        </w:rPr>
        <w:t>didanosin</w:t>
      </w:r>
      <w:proofErr w:type="spellEnd"/>
      <w:r w:rsidRPr="005F77CE">
        <w:rPr>
          <w:sz w:val="24"/>
          <w:szCs w:val="24"/>
        </w:rPr>
        <w:t xml:space="preserve"> (</w:t>
      </w:r>
      <w:proofErr w:type="spellStart"/>
      <w:r w:rsidRPr="005F77CE">
        <w:rPr>
          <w:sz w:val="24"/>
          <w:szCs w:val="24"/>
        </w:rPr>
        <w:t>ddI</w:t>
      </w:r>
      <w:proofErr w:type="spellEnd"/>
      <w:r w:rsidRPr="005F77CE">
        <w:rPr>
          <w:sz w:val="24"/>
          <w:szCs w:val="24"/>
        </w:rPr>
        <w:t xml:space="preserve">), </w:t>
      </w:r>
      <w:proofErr w:type="spellStart"/>
      <w:r w:rsidRPr="005F77CE">
        <w:rPr>
          <w:sz w:val="24"/>
          <w:szCs w:val="24"/>
        </w:rPr>
        <w:t>zalcitabin</w:t>
      </w:r>
      <w:proofErr w:type="spellEnd"/>
      <w:r w:rsidRPr="005F77CE">
        <w:rPr>
          <w:sz w:val="24"/>
          <w:szCs w:val="24"/>
        </w:rPr>
        <w:t xml:space="preserve"> (</w:t>
      </w:r>
      <w:proofErr w:type="spellStart"/>
      <w:r w:rsidRPr="005F77CE">
        <w:rPr>
          <w:sz w:val="24"/>
          <w:szCs w:val="24"/>
        </w:rPr>
        <w:t>ddC</w:t>
      </w:r>
      <w:proofErr w:type="spellEnd"/>
      <w:r w:rsidRPr="005F77CE">
        <w:rPr>
          <w:sz w:val="24"/>
          <w:szCs w:val="24"/>
        </w:rPr>
        <w:t xml:space="preserve">) eller </w:t>
      </w:r>
      <w:proofErr w:type="spellStart"/>
      <w:r w:rsidRPr="005F77CE">
        <w:rPr>
          <w:sz w:val="24"/>
          <w:szCs w:val="24"/>
        </w:rPr>
        <w:t>probenecid</w:t>
      </w:r>
      <w:proofErr w:type="spellEnd"/>
      <w:r w:rsidRPr="005F77CE">
        <w:rPr>
          <w:sz w:val="24"/>
          <w:szCs w:val="24"/>
        </w:rPr>
        <w:t>.</w:t>
      </w:r>
    </w:p>
    <w:p w14:paraId="26549E6E" w14:textId="77777777" w:rsidR="008562FC" w:rsidRPr="005F77CE" w:rsidRDefault="008562FC" w:rsidP="00520CF5">
      <w:pPr>
        <w:ind w:left="851"/>
        <w:rPr>
          <w:sz w:val="24"/>
          <w:szCs w:val="24"/>
        </w:rPr>
      </w:pPr>
    </w:p>
    <w:p w14:paraId="174EA77F" w14:textId="77777777" w:rsidR="008562FC" w:rsidRPr="005F77CE" w:rsidRDefault="008562FC" w:rsidP="00520CF5">
      <w:pPr>
        <w:ind w:left="851"/>
        <w:rPr>
          <w:sz w:val="24"/>
          <w:szCs w:val="24"/>
        </w:rPr>
      </w:pPr>
      <w:r w:rsidRPr="005F77CE">
        <w:rPr>
          <w:sz w:val="24"/>
          <w:szCs w:val="24"/>
        </w:rPr>
        <w:t>Farmaceutiske interaktioner (uforligneligheder ved infusion) er beskrevet i pkt. 6.2.</w:t>
      </w:r>
    </w:p>
    <w:p w14:paraId="15CD30D1" w14:textId="77777777" w:rsidR="009260DE" w:rsidRPr="005F77CE" w:rsidRDefault="009260DE" w:rsidP="009260DE">
      <w:pPr>
        <w:tabs>
          <w:tab w:val="left" w:pos="851"/>
        </w:tabs>
        <w:ind w:left="851"/>
        <w:rPr>
          <w:sz w:val="24"/>
          <w:szCs w:val="24"/>
        </w:rPr>
      </w:pPr>
    </w:p>
    <w:p w14:paraId="7BD67972" w14:textId="77777777" w:rsidR="009260DE" w:rsidRPr="005F77CE" w:rsidRDefault="009260DE" w:rsidP="009260DE">
      <w:pPr>
        <w:tabs>
          <w:tab w:val="left" w:pos="851"/>
        </w:tabs>
        <w:ind w:left="851" w:hanging="851"/>
        <w:rPr>
          <w:b/>
          <w:sz w:val="24"/>
          <w:szCs w:val="24"/>
        </w:rPr>
      </w:pPr>
      <w:r w:rsidRPr="005F77CE">
        <w:rPr>
          <w:b/>
          <w:sz w:val="24"/>
          <w:szCs w:val="24"/>
        </w:rPr>
        <w:t>4.6</w:t>
      </w:r>
      <w:r w:rsidRPr="005F77CE">
        <w:rPr>
          <w:b/>
          <w:sz w:val="24"/>
          <w:szCs w:val="24"/>
        </w:rPr>
        <w:tab/>
        <w:t>Graviditet og amning</w:t>
      </w:r>
    </w:p>
    <w:p w14:paraId="42F56BFC" w14:textId="77777777" w:rsidR="00520CF5" w:rsidRDefault="00520CF5" w:rsidP="00473F2D">
      <w:pPr>
        <w:ind w:left="851"/>
        <w:rPr>
          <w:sz w:val="24"/>
          <w:szCs w:val="24"/>
        </w:rPr>
      </w:pPr>
    </w:p>
    <w:p w14:paraId="0D514F5C" w14:textId="475C8209" w:rsidR="008562FC" w:rsidRPr="00520CF5" w:rsidRDefault="008562FC" w:rsidP="00473F2D">
      <w:pPr>
        <w:ind w:left="851"/>
        <w:rPr>
          <w:i/>
          <w:sz w:val="24"/>
          <w:szCs w:val="24"/>
          <w:lang w:eastAsia="en-GB"/>
        </w:rPr>
      </w:pPr>
      <w:r w:rsidRPr="00520CF5">
        <w:rPr>
          <w:i/>
          <w:sz w:val="24"/>
          <w:szCs w:val="24"/>
        </w:rPr>
        <w:t xml:space="preserve">Fertilitet </w:t>
      </w:r>
    </w:p>
    <w:p w14:paraId="035E44CE" w14:textId="77777777" w:rsidR="008562FC" w:rsidRPr="005F77CE" w:rsidRDefault="008562FC" w:rsidP="00473F2D">
      <w:pPr>
        <w:ind w:left="851"/>
        <w:rPr>
          <w:bCs/>
          <w:sz w:val="24"/>
          <w:szCs w:val="24"/>
        </w:rPr>
      </w:pPr>
      <w:r w:rsidRPr="005F77CE">
        <w:rPr>
          <w:sz w:val="24"/>
          <w:szCs w:val="24"/>
        </w:rPr>
        <w:t xml:space="preserve">Der er ingen tilgængelige data om </w:t>
      </w:r>
      <w:proofErr w:type="spellStart"/>
      <w:r w:rsidRPr="005F77CE">
        <w:rPr>
          <w:sz w:val="24"/>
          <w:szCs w:val="24"/>
        </w:rPr>
        <w:t>foscarnetnatriumhexahydrats</w:t>
      </w:r>
      <w:proofErr w:type="spellEnd"/>
      <w:r w:rsidRPr="005F77CE">
        <w:rPr>
          <w:sz w:val="24"/>
          <w:szCs w:val="24"/>
        </w:rPr>
        <w:t xml:space="preserve"> påvirkning af fertiliteten.</w:t>
      </w:r>
    </w:p>
    <w:p w14:paraId="52825825" w14:textId="77777777" w:rsidR="008562FC" w:rsidRPr="005F77CE" w:rsidRDefault="008562FC" w:rsidP="00473F2D">
      <w:pPr>
        <w:ind w:left="851"/>
        <w:rPr>
          <w:rFonts w:eastAsia="Arial Unicode MS"/>
          <w:b/>
          <w:sz w:val="24"/>
          <w:szCs w:val="24"/>
        </w:rPr>
      </w:pPr>
      <w:r w:rsidRPr="005F77CE">
        <w:rPr>
          <w:sz w:val="24"/>
          <w:szCs w:val="24"/>
        </w:rPr>
        <w:t>Der er ikke observeret virkninger på fertiliteten i dyrestudier (se pkt. 5.3).</w:t>
      </w:r>
    </w:p>
    <w:p w14:paraId="6D7C5DF4" w14:textId="77777777" w:rsidR="008562FC" w:rsidRPr="005F77CE" w:rsidRDefault="008562FC" w:rsidP="00473F2D">
      <w:pPr>
        <w:ind w:left="851"/>
        <w:rPr>
          <w:noProof/>
          <w:sz w:val="24"/>
          <w:szCs w:val="24"/>
        </w:rPr>
      </w:pPr>
    </w:p>
    <w:p w14:paraId="572D43AA" w14:textId="77777777" w:rsidR="008562FC" w:rsidRPr="00520CF5" w:rsidRDefault="008562FC" w:rsidP="00473F2D">
      <w:pPr>
        <w:ind w:left="851"/>
        <w:rPr>
          <w:i/>
          <w:noProof/>
          <w:sz w:val="24"/>
          <w:szCs w:val="24"/>
        </w:rPr>
      </w:pPr>
      <w:r w:rsidRPr="00520CF5">
        <w:rPr>
          <w:i/>
          <w:sz w:val="24"/>
          <w:szCs w:val="24"/>
        </w:rPr>
        <w:t>Kvinder i den fødedygtige alder/prævention hos mænd og kvinder</w:t>
      </w:r>
    </w:p>
    <w:p w14:paraId="7E89AB7E" w14:textId="77777777" w:rsidR="008562FC" w:rsidRPr="005F77CE" w:rsidRDefault="008562FC" w:rsidP="00473F2D">
      <w:pPr>
        <w:ind w:left="851"/>
        <w:rPr>
          <w:bCs/>
          <w:noProof/>
          <w:sz w:val="24"/>
          <w:szCs w:val="24"/>
        </w:rPr>
      </w:pPr>
      <w:r w:rsidRPr="005F77CE">
        <w:rPr>
          <w:sz w:val="24"/>
          <w:szCs w:val="24"/>
        </w:rPr>
        <w:t>Kvinder i den fødedygtige alder og seksuelt aktive mænd skal anvende effektiv prævention under og i op til 6 måneder efter behandlingen.</w:t>
      </w:r>
    </w:p>
    <w:p w14:paraId="0284FFB5" w14:textId="77777777" w:rsidR="008562FC" w:rsidRPr="005F77CE" w:rsidRDefault="008562FC" w:rsidP="00473F2D">
      <w:pPr>
        <w:ind w:left="851"/>
        <w:rPr>
          <w:bCs/>
          <w:noProof/>
          <w:sz w:val="24"/>
          <w:szCs w:val="24"/>
        </w:rPr>
      </w:pPr>
    </w:p>
    <w:p w14:paraId="43526AD7" w14:textId="77777777" w:rsidR="008562FC" w:rsidRPr="00520CF5" w:rsidRDefault="008562FC" w:rsidP="00473F2D">
      <w:pPr>
        <w:ind w:left="851"/>
        <w:rPr>
          <w:i/>
          <w:noProof/>
          <w:sz w:val="24"/>
          <w:szCs w:val="24"/>
        </w:rPr>
      </w:pPr>
      <w:r w:rsidRPr="00520CF5">
        <w:rPr>
          <w:i/>
          <w:sz w:val="24"/>
          <w:szCs w:val="24"/>
        </w:rPr>
        <w:t>Graviditet</w:t>
      </w:r>
    </w:p>
    <w:p w14:paraId="4BD99AC4" w14:textId="77777777" w:rsidR="008562FC" w:rsidRPr="005F77CE" w:rsidRDefault="008562FC" w:rsidP="00473F2D">
      <w:pPr>
        <w:ind w:left="851"/>
        <w:rPr>
          <w:bCs/>
          <w:sz w:val="24"/>
          <w:szCs w:val="24"/>
        </w:rPr>
      </w:pPr>
      <w:r w:rsidRPr="005F77CE">
        <w:rPr>
          <w:sz w:val="24"/>
          <w:szCs w:val="24"/>
        </w:rPr>
        <w:t xml:space="preserve">Der er ingen eller utilstrækkelige data fra anvendelsen af </w:t>
      </w:r>
      <w:proofErr w:type="spellStart"/>
      <w:r w:rsidRPr="005F77CE">
        <w:rPr>
          <w:sz w:val="24"/>
          <w:szCs w:val="24"/>
        </w:rPr>
        <w:t>foscarnetnatriumhexahydrat</w:t>
      </w:r>
      <w:proofErr w:type="spellEnd"/>
      <w:r w:rsidRPr="005F77CE">
        <w:rPr>
          <w:sz w:val="24"/>
          <w:szCs w:val="24"/>
        </w:rPr>
        <w:t xml:space="preserve"> til gravide kvinder.</w:t>
      </w:r>
    </w:p>
    <w:p w14:paraId="761327D1" w14:textId="77777777" w:rsidR="008562FC" w:rsidRPr="005F77CE" w:rsidRDefault="008562FC" w:rsidP="00473F2D">
      <w:pPr>
        <w:ind w:left="851"/>
        <w:rPr>
          <w:bCs/>
          <w:sz w:val="24"/>
          <w:szCs w:val="24"/>
        </w:rPr>
      </w:pPr>
      <w:r w:rsidRPr="005F77CE">
        <w:rPr>
          <w:sz w:val="24"/>
          <w:szCs w:val="24"/>
        </w:rPr>
        <w:t>Erfaringsgrundlaget fra dyreforsøg er utilstrækkeligt, hvad angår reproduktionstoksicitet (se pkt. 5.3).</w:t>
      </w:r>
    </w:p>
    <w:p w14:paraId="57EB7C3A" w14:textId="4FBA9A22" w:rsidR="008562FC" w:rsidRPr="005F77CE" w:rsidRDefault="008562FC" w:rsidP="00473F2D">
      <w:pPr>
        <w:ind w:left="851"/>
        <w:rPr>
          <w:bCs/>
          <w:sz w:val="24"/>
          <w:szCs w:val="24"/>
          <w:lang w:val="nb-NO"/>
        </w:rPr>
      </w:pPr>
      <w:r w:rsidRPr="005F77CE">
        <w:rPr>
          <w:sz w:val="24"/>
          <w:szCs w:val="24"/>
          <w:lang w:val="nb-NO"/>
        </w:rPr>
        <w:t xml:space="preserve">Foscarnet </w:t>
      </w:r>
      <w:r w:rsidR="00C957E0">
        <w:rPr>
          <w:sz w:val="24"/>
          <w:szCs w:val="24"/>
          <w:lang w:val="nb-NO"/>
        </w:rPr>
        <w:t>"Tillomed"</w:t>
      </w:r>
      <w:r w:rsidRPr="005F77CE">
        <w:rPr>
          <w:sz w:val="24"/>
          <w:szCs w:val="24"/>
          <w:lang w:val="nb-NO"/>
        </w:rPr>
        <w:t xml:space="preserve"> anbefales ikke under graviditet.</w:t>
      </w:r>
    </w:p>
    <w:p w14:paraId="0009AE4B" w14:textId="77777777" w:rsidR="008562FC" w:rsidRPr="005F77CE" w:rsidRDefault="008562FC" w:rsidP="00473F2D">
      <w:pPr>
        <w:ind w:left="851"/>
        <w:rPr>
          <w:bCs/>
          <w:sz w:val="24"/>
          <w:szCs w:val="24"/>
          <w:lang w:val="nb-NO"/>
        </w:rPr>
      </w:pPr>
    </w:p>
    <w:p w14:paraId="0E7011F8" w14:textId="77777777" w:rsidR="008562FC" w:rsidRPr="00520CF5" w:rsidRDefault="008562FC" w:rsidP="00473F2D">
      <w:pPr>
        <w:ind w:left="851"/>
        <w:rPr>
          <w:i/>
          <w:sz w:val="24"/>
          <w:szCs w:val="24"/>
        </w:rPr>
      </w:pPr>
      <w:r w:rsidRPr="00520CF5">
        <w:rPr>
          <w:i/>
          <w:sz w:val="24"/>
          <w:szCs w:val="24"/>
        </w:rPr>
        <w:t>Amning</w:t>
      </w:r>
    </w:p>
    <w:p w14:paraId="7C6E1CB3" w14:textId="77777777" w:rsidR="008562FC" w:rsidRPr="005F77CE" w:rsidRDefault="008562FC" w:rsidP="00473F2D">
      <w:pPr>
        <w:ind w:left="851"/>
        <w:rPr>
          <w:bCs/>
          <w:sz w:val="24"/>
          <w:szCs w:val="24"/>
        </w:rPr>
      </w:pPr>
      <w:r w:rsidRPr="005F77CE">
        <w:rPr>
          <w:sz w:val="24"/>
          <w:szCs w:val="24"/>
        </w:rPr>
        <w:t xml:space="preserve">Der foreligger ikke tilstrækkelige data om udskillelse af </w:t>
      </w:r>
      <w:proofErr w:type="spellStart"/>
      <w:r w:rsidRPr="005F77CE">
        <w:rPr>
          <w:sz w:val="24"/>
          <w:szCs w:val="24"/>
        </w:rPr>
        <w:t>foscarnetnatriumhexahydrat</w:t>
      </w:r>
      <w:proofErr w:type="spellEnd"/>
      <w:r w:rsidRPr="005F77CE">
        <w:rPr>
          <w:sz w:val="24"/>
          <w:szCs w:val="24"/>
        </w:rPr>
        <w:t xml:space="preserve"> i modermælken. </w:t>
      </w:r>
    </w:p>
    <w:p w14:paraId="27500312" w14:textId="77777777" w:rsidR="008562FC" w:rsidRPr="005F77CE" w:rsidRDefault="008562FC" w:rsidP="00473F2D">
      <w:pPr>
        <w:ind w:left="851"/>
        <w:rPr>
          <w:bCs/>
          <w:sz w:val="24"/>
          <w:szCs w:val="24"/>
        </w:rPr>
      </w:pPr>
      <w:r w:rsidRPr="005F77CE">
        <w:rPr>
          <w:sz w:val="24"/>
          <w:szCs w:val="24"/>
        </w:rPr>
        <w:t xml:space="preserve">Tilgængelige </w:t>
      </w:r>
      <w:proofErr w:type="spellStart"/>
      <w:r w:rsidRPr="005F77CE">
        <w:rPr>
          <w:sz w:val="24"/>
          <w:szCs w:val="24"/>
        </w:rPr>
        <w:t>farmakodynamiske</w:t>
      </w:r>
      <w:proofErr w:type="spellEnd"/>
      <w:r w:rsidRPr="005F77CE">
        <w:rPr>
          <w:sz w:val="24"/>
          <w:szCs w:val="24"/>
        </w:rPr>
        <w:t xml:space="preserve">/toksikologiske data fra dyr har påvist udskillelse af </w:t>
      </w:r>
      <w:proofErr w:type="spellStart"/>
      <w:r w:rsidRPr="005F77CE">
        <w:rPr>
          <w:sz w:val="24"/>
          <w:szCs w:val="24"/>
        </w:rPr>
        <w:t>foscarnetnatriumhexahydrat</w:t>
      </w:r>
      <w:proofErr w:type="spellEnd"/>
      <w:r w:rsidRPr="005F77CE">
        <w:rPr>
          <w:sz w:val="24"/>
          <w:szCs w:val="24"/>
        </w:rPr>
        <w:t xml:space="preserve"> i mælk (se yderligere oplysninger i pkt. 5.3).</w:t>
      </w:r>
    </w:p>
    <w:p w14:paraId="43929D89" w14:textId="77777777" w:rsidR="008562FC" w:rsidRPr="005F77CE" w:rsidRDefault="008562FC" w:rsidP="00473F2D">
      <w:pPr>
        <w:ind w:left="851"/>
        <w:rPr>
          <w:bCs/>
          <w:sz w:val="24"/>
          <w:szCs w:val="24"/>
        </w:rPr>
      </w:pPr>
    </w:p>
    <w:p w14:paraId="6AB25BFF" w14:textId="77777777" w:rsidR="008562FC" w:rsidRPr="005F77CE" w:rsidRDefault="008562FC" w:rsidP="00473F2D">
      <w:pPr>
        <w:ind w:left="851"/>
        <w:rPr>
          <w:bCs/>
          <w:sz w:val="24"/>
          <w:szCs w:val="24"/>
        </w:rPr>
      </w:pPr>
      <w:r w:rsidRPr="005F77CE">
        <w:rPr>
          <w:sz w:val="24"/>
          <w:szCs w:val="24"/>
        </w:rPr>
        <w:lastRenderedPageBreak/>
        <w:t>Det er ikke muligt at udelukke en risiko for nyfødte/spædbørn.</w:t>
      </w:r>
    </w:p>
    <w:p w14:paraId="57802D90" w14:textId="77777777" w:rsidR="008562FC" w:rsidRPr="005F77CE" w:rsidRDefault="008562FC" w:rsidP="00473F2D">
      <w:pPr>
        <w:ind w:left="851"/>
        <w:rPr>
          <w:bCs/>
          <w:sz w:val="24"/>
          <w:szCs w:val="24"/>
        </w:rPr>
      </w:pPr>
    </w:p>
    <w:p w14:paraId="6B60C4AD" w14:textId="615A73B3" w:rsidR="008562FC" w:rsidRPr="005F77CE" w:rsidRDefault="008562FC" w:rsidP="00473F2D">
      <w:pPr>
        <w:ind w:left="851"/>
        <w:rPr>
          <w:bCs/>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bør ikke bruges under amning.</w:t>
      </w:r>
    </w:p>
    <w:p w14:paraId="7A66191B" w14:textId="77777777" w:rsidR="008562FC" w:rsidRPr="005F77CE" w:rsidRDefault="008562FC" w:rsidP="00473F2D">
      <w:pPr>
        <w:ind w:left="851"/>
        <w:rPr>
          <w:bCs/>
          <w:sz w:val="24"/>
          <w:szCs w:val="24"/>
        </w:rPr>
      </w:pPr>
    </w:p>
    <w:p w14:paraId="39DE0F2E" w14:textId="77777777" w:rsidR="008562FC" w:rsidRPr="005F77CE" w:rsidRDefault="008562FC" w:rsidP="00473F2D">
      <w:pPr>
        <w:ind w:left="851"/>
        <w:rPr>
          <w:color w:val="000000"/>
          <w:sz w:val="24"/>
          <w:szCs w:val="24"/>
        </w:rPr>
      </w:pPr>
      <w:r w:rsidRPr="005F77CE">
        <w:rPr>
          <w:sz w:val="24"/>
          <w:szCs w:val="24"/>
        </w:rPr>
        <w:t xml:space="preserve">Beslutningen om, hvorvidt amning skal afbrydes, eller om behandling med </w:t>
      </w:r>
      <w:proofErr w:type="spellStart"/>
      <w:r w:rsidRPr="005F77CE">
        <w:rPr>
          <w:sz w:val="24"/>
          <w:szCs w:val="24"/>
        </w:rPr>
        <w:t>foscarnet</w:t>
      </w:r>
      <w:proofErr w:type="spellEnd"/>
      <w:r w:rsidRPr="005F77CE">
        <w:rPr>
          <w:sz w:val="24"/>
          <w:szCs w:val="24"/>
        </w:rPr>
        <w:t xml:space="preserve"> skal fortsættes/afbrydes, bør tages under hensyntagen til fordelen ved amning for barnet og fordelen ved behandlingen for moderen.</w:t>
      </w:r>
    </w:p>
    <w:p w14:paraId="43971BD7" w14:textId="77777777" w:rsidR="009260DE" w:rsidRPr="005F77CE" w:rsidRDefault="009260DE" w:rsidP="009260DE">
      <w:pPr>
        <w:tabs>
          <w:tab w:val="left" w:pos="851"/>
        </w:tabs>
        <w:ind w:left="851"/>
        <w:rPr>
          <w:sz w:val="24"/>
          <w:szCs w:val="24"/>
        </w:rPr>
      </w:pPr>
    </w:p>
    <w:p w14:paraId="1713E9A4" w14:textId="77777777" w:rsidR="009260DE" w:rsidRPr="005F77CE" w:rsidRDefault="009260DE" w:rsidP="009260DE">
      <w:pPr>
        <w:tabs>
          <w:tab w:val="left" w:pos="851"/>
        </w:tabs>
        <w:ind w:left="851" w:hanging="851"/>
        <w:rPr>
          <w:b/>
          <w:sz w:val="24"/>
          <w:szCs w:val="24"/>
        </w:rPr>
      </w:pPr>
      <w:r w:rsidRPr="005F77CE">
        <w:rPr>
          <w:b/>
          <w:sz w:val="24"/>
          <w:szCs w:val="24"/>
        </w:rPr>
        <w:t>4.7</w:t>
      </w:r>
      <w:r w:rsidRPr="005F77CE">
        <w:rPr>
          <w:b/>
          <w:sz w:val="24"/>
          <w:szCs w:val="24"/>
        </w:rPr>
        <w:tab/>
        <w:t>Virkninger på evnen til at føre motorkøretøj eller betjene maskiner</w:t>
      </w:r>
    </w:p>
    <w:p w14:paraId="7A9C67BF" w14:textId="77777777" w:rsidR="008562FC" w:rsidRPr="005F77CE" w:rsidRDefault="008562FC" w:rsidP="00473F2D">
      <w:pPr>
        <w:ind w:left="851"/>
        <w:rPr>
          <w:noProof/>
          <w:sz w:val="24"/>
          <w:szCs w:val="24"/>
          <w:lang w:eastAsia="en-GB"/>
        </w:rPr>
      </w:pPr>
      <w:r w:rsidRPr="005F77CE">
        <w:rPr>
          <w:noProof/>
          <w:sz w:val="24"/>
          <w:szCs w:val="24"/>
        </w:rPr>
        <w:t>Ikke mærkning</w:t>
      </w:r>
    </w:p>
    <w:p w14:paraId="5D450AAA" w14:textId="77777777" w:rsidR="008562FC" w:rsidRPr="005F77CE" w:rsidRDefault="008562FC" w:rsidP="00473F2D">
      <w:pPr>
        <w:ind w:left="851"/>
        <w:rPr>
          <w:noProof/>
          <w:sz w:val="24"/>
          <w:szCs w:val="24"/>
        </w:rPr>
      </w:pPr>
      <w:proofErr w:type="spellStart"/>
      <w:r w:rsidRPr="005F77CE">
        <w:rPr>
          <w:sz w:val="24"/>
          <w:szCs w:val="24"/>
        </w:rPr>
        <w:t>Foscarnetnatriumhexahydrat</w:t>
      </w:r>
      <w:proofErr w:type="spellEnd"/>
      <w:r w:rsidRPr="005F77CE">
        <w:rPr>
          <w:sz w:val="24"/>
          <w:szCs w:val="24"/>
        </w:rPr>
        <w:t xml:space="preserve"> påvirker i mindre grad evnen til at føre motorkøretøj og betjene maskiner. På grund af selve sygdommen og de mulige bivirkninger af </w:t>
      </w:r>
      <w:proofErr w:type="spellStart"/>
      <w:r w:rsidRPr="005F77CE">
        <w:rPr>
          <w:sz w:val="24"/>
          <w:szCs w:val="24"/>
        </w:rPr>
        <w:t>foscarnet</w:t>
      </w:r>
      <w:proofErr w:type="spellEnd"/>
      <w:r w:rsidRPr="005F77CE">
        <w:rPr>
          <w:sz w:val="24"/>
          <w:szCs w:val="24"/>
        </w:rPr>
        <w:t xml:space="preserve"> (f.eks. svimmelhed og kramper, se pkt. 4.8) kan evnen til at føre motorkøretøj og betjene maskiner være påvirket. Det anbefales, at lægen drøfter denne problemstilling med patienten og giver en individuel rådgivning i det enkelte tilfælde baseret på sygdomstilstanden, og hvor godt patienten tåler medicinen.</w:t>
      </w:r>
    </w:p>
    <w:p w14:paraId="27F8D033" w14:textId="77777777" w:rsidR="009260DE" w:rsidRPr="005F77CE" w:rsidRDefault="009260DE" w:rsidP="009260DE">
      <w:pPr>
        <w:tabs>
          <w:tab w:val="left" w:pos="851"/>
        </w:tabs>
        <w:ind w:left="851"/>
        <w:rPr>
          <w:sz w:val="24"/>
          <w:szCs w:val="24"/>
        </w:rPr>
      </w:pPr>
    </w:p>
    <w:p w14:paraId="0F5807ED" w14:textId="77777777" w:rsidR="009260DE" w:rsidRPr="005F77CE" w:rsidRDefault="009260DE" w:rsidP="009260DE">
      <w:pPr>
        <w:tabs>
          <w:tab w:val="left" w:pos="851"/>
        </w:tabs>
        <w:ind w:left="851" w:hanging="851"/>
        <w:rPr>
          <w:b/>
          <w:sz w:val="24"/>
          <w:szCs w:val="24"/>
        </w:rPr>
      </w:pPr>
      <w:r w:rsidRPr="005F77CE">
        <w:rPr>
          <w:b/>
          <w:sz w:val="24"/>
          <w:szCs w:val="24"/>
        </w:rPr>
        <w:t>4.8</w:t>
      </w:r>
      <w:r w:rsidRPr="005F77CE">
        <w:rPr>
          <w:b/>
          <w:sz w:val="24"/>
          <w:szCs w:val="24"/>
        </w:rPr>
        <w:tab/>
        <w:t>Bivirkninger</w:t>
      </w:r>
    </w:p>
    <w:p w14:paraId="5FEFE5CA" w14:textId="6A829D25" w:rsidR="008562FC" w:rsidRPr="005F77CE" w:rsidRDefault="008562FC" w:rsidP="00473F2D">
      <w:pPr>
        <w:ind w:left="851"/>
        <w:rPr>
          <w:sz w:val="24"/>
          <w:szCs w:val="24"/>
        </w:rPr>
      </w:pPr>
      <w:r w:rsidRPr="005F77CE">
        <w:rPr>
          <w:sz w:val="24"/>
          <w:szCs w:val="24"/>
        </w:rPr>
        <w:t xml:space="preserve">De fleste patienter, som får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er svært immunkompromitterede og har alvorlige virusinfektioner. Patientens fysiske status, graden af den underliggende sygdom, andre infektioner og samtidige behandlinger bidrager til de bivirkninger, der observeres under brug af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w:t>
      </w:r>
    </w:p>
    <w:p w14:paraId="114F54F2" w14:textId="77777777" w:rsidR="008562FC" w:rsidRPr="005F77CE" w:rsidRDefault="008562FC" w:rsidP="00473F2D">
      <w:pPr>
        <w:ind w:left="851"/>
        <w:rPr>
          <w:sz w:val="24"/>
          <w:szCs w:val="24"/>
        </w:rPr>
      </w:pPr>
    </w:p>
    <w:p w14:paraId="2B7A843C" w14:textId="77777777" w:rsidR="008562FC" w:rsidRPr="005F77CE" w:rsidRDefault="008562FC" w:rsidP="00473F2D">
      <w:pPr>
        <w:ind w:left="851"/>
        <w:rPr>
          <w:sz w:val="24"/>
          <w:szCs w:val="24"/>
        </w:rPr>
      </w:pPr>
      <w:r w:rsidRPr="005F77CE">
        <w:rPr>
          <w:sz w:val="24"/>
          <w:szCs w:val="24"/>
        </w:rPr>
        <w:t xml:space="preserve">De bivirkninger, der er rapporteret for </w:t>
      </w:r>
      <w:proofErr w:type="spellStart"/>
      <w:r w:rsidRPr="005F77CE">
        <w:rPr>
          <w:sz w:val="24"/>
          <w:szCs w:val="24"/>
        </w:rPr>
        <w:t>foscarnetnatriumhexahydrat</w:t>
      </w:r>
      <w:proofErr w:type="spellEnd"/>
      <w:r w:rsidRPr="005F77CE">
        <w:rPr>
          <w:sz w:val="24"/>
          <w:szCs w:val="24"/>
        </w:rPr>
        <w:t xml:space="preserve"> under kliniske forsøg og overvågning efter markedsføring, er angivet i tabellen nedenfor. De er angivet efter systemorganklasse (SOC) og hyppighed ved brug af følgende konvention: meget almindelig (≥ 1/10); almindelig (≥ 1/100 til &lt; 1/10); ikke almindelig (≥ 1/1.000 til &lt; 1/100); sjælden (≥ 1/10.000 til &lt; 1/1.000); meget sjælden (&lt; 1/10.000); ikke kendt (kan ikke estimeres ud fra forhåndenværende data). </w:t>
      </w:r>
    </w:p>
    <w:p w14:paraId="162FADBE" w14:textId="77777777" w:rsidR="008562FC" w:rsidRPr="005F77CE" w:rsidRDefault="008562FC" w:rsidP="00473F2D">
      <w:pPr>
        <w:ind w:left="851"/>
        <w:rPr>
          <w:sz w:val="24"/>
          <w:szCs w:val="24"/>
        </w:rPr>
      </w:pPr>
    </w:p>
    <w:p w14:paraId="3E29117D" w14:textId="0340FA25" w:rsidR="008562FC" w:rsidRDefault="008562FC" w:rsidP="00473F2D">
      <w:pPr>
        <w:ind w:left="851"/>
        <w:rPr>
          <w:sz w:val="24"/>
          <w:szCs w:val="24"/>
        </w:rPr>
      </w:pPr>
      <w:r w:rsidRPr="005F77CE">
        <w:rPr>
          <w:sz w:val="24"/>
          <w:szCs w:val="24"/>
        </w:rPr>
        <w:t>Bemærk, at i disse kliniske forsøg er hydrering og opmærksomhed på elektrolytbalancen ikke angivet konsistent. Hyppigheden af visse bivirkninger vil være lavere, når de aktuelle anbefalinger følges (se pkt. 4.2 og 4.4).</w:t>
      </w:r>
    </w:p>
    <w:p w14:paraId="6EC9175C" w14:textId="33920DED" w:rsidR="00C93AB6" w:rsidRDefault="00C93AB6" w:rsidP="00473F2D">
      <w:pPr>
        <w:ind w:left="851"/>
        <w:rPr>
          <w:sz w:val="24"/>
          <w:szCs w:val="24"/>
        </w:rPr>
      </w:pPr>
    </w:p>
    <w:p w14:paraId="052CFE10" w14:textId="690A7654" w:rsidR="00C93AB6" w:rsidRDefault="00C93AB6" w:rsidP="00473F2D">
      <w:pPr>
        <w:ind w:left="851"/>
        <w:rPr>
          <w:b/>
          <w:i/>
          <w:sz w:val="24"/>
          <w:szCs w:val="24"/>
        </w:rPr>
      </w:pPr>
      <w:r w:rsidRPr="005F77CE">
        <w:rPr>
          <w:b/>
          <w:i/>
          <w:sz w:val="24"/>
          <w:szCs w:val="24"/>
        </w:rPr>
        <w:t>Tabel 4: Bivirkningsfrekvens</w:t>
      </w:r>
    </w:p>
    <w:p w14:paraId="516A5D6A" w14:textId="6A63D448" w:rsidR="00C03974" w:rsidRDefault="00C03974" w:rsidP="00473F2D">
      <w:pPr>
        <w:ind w:left="851"/>
        <w:rPr>
          <w:sz w:val="24"/>
          <w:szCs w:val="24"/>
        </w:rPr>
      </w:pPr>
    </w:p>
    <w:tbl>
      <w:tblPr>
        <w:tblStyle w:val="Tabel-Gitter"/>
        <w:tblW w:w="0" w:type="auto"/>
        <w:tblInd w:w="851" w:type="dxa"/>
        <w:tblLook w:val="04A0" w:firstRow="1" w:lastRow="0" w:firstColumn="1" w:lastColumn="0" w:noHBand="0" w:noVBand="1"/>
      </w:tblPr>
      <w:tblGrid>
        <w:gridCol w:w="3027"/>
        <w:gridCol w:w="2875"/>
        <w:gridCol w:w="2875"/>
      </w:tblGrid>
      <w:tr w:rsidR="00C03974" w:rsidRPr="00484BC5" w14:paraId="1DBDD794" w14:textId="77777777" w:rsidTr="003242EB">
        <w:tc>
          <w:tcPr>
            <w:tcW w:w="3028" w:type="dxa"/>
          </w:tcPr>
          <w:p w14:paraId="7137A3DB" w14:textId="33513CA3" w:rsidR="00C03974" w:rsidRPr="00484BC5" w:rsidRDefault="00C03974" w:rsidP="00484BC5">
            <w:pPr>
              <w:jc w:val="center"/>
              <w:rPr>
                <w:sz w:val="24"/>
                <w:szCs w:val="24"/>
              </w:rPr>
            </w:pPr>
            <w:proofErr w:type="spellStart"/>
            <w:r w:rsidRPr="00484BC5">
              <w:rPr>
                <w:b/>
                <w:color w:val="000000"/>
                <w:sz w:val="24"/>
                <w:szCs w:val="24"/>
              </w:rPr>
              <w:t>MedDRA</w:t>
            </w:r>
            <w:proofErr w:type="spellEnd"/>
            <w:r w:rsidRPr="00484BC5">
              <w:rPr>
                <w:b/>
                <w:color w:val="000000"/>
                <w:sz w:val="24"/>
                <w:szCs w:val="24"/>
              </w:rPr>
              <w:t>-systemorganklasse</w:t>
            </w:r>
          </w:p>
        </w:tc>
        <w:tc>
          <w:tcPr>
            <w:tcW w:w="2877" w:type="dxa"/>
          </w:tcPr>
          <w:p w14:paraId="7E95FEB8" w14:textId="17C2777D" w:rsidR="00C03974" w:rsidRPr="00484BC5" w:rsidRDefault="00C03974" w:rsidP="00484BC5">
            <w:pPr>
              <w:jc w:val="center"/>
              <w:rPr>
                <w:sz w:val="24"/>
                <w:szCs w:val="24"/>
              </w:rPr>
            </w:pPr>
            <w:r w:rsidRPr="00484BC5">
              <w:rPr>
                <w:b/>
                <w:color w:val="000000"/>
                <w:sz w:val="24"/>
                <w:szCs w:val="24"/>
              </w:rPr>
              <w:t>Frekvens</w:t>
            </w:r>
          </w:p>
        </w:tc>
        <w:tc>
          <w:tcPr>
            <w:tcW w:w="2872" w:type="dxa"/>
          </w:tcPr>
          <w:p w14:paraId="5B59C3EA" w14:textId="0C690588" w:rsidR="00C03974" w:rsidRPr="00484BC5" w:rsidRDefault="00C03974" w:rsidP="00484BC5">
            <w:pPr>
              <w:jc w:val="center"/>
              <w:rPr>
                <w:sz w:val="24"/>
                <w:szCs w:val="24"/>
              </w:rPr>
            </w:pPr>
            <w:r w:rsidRPr="00484BC5">
              <w:rPr>
                <w:b/>
                <w:color w:val="000000"/>
                <w:sz w:val="24"/>
                <w:szCs w:val="24"/>
              </w:rPr>
              <w:t>Bivirkning</w:t>
            </w:r>
          </w:p>
        </w:tc>
      </w:tr>
      <w:tr w:rsidR="003242EB" w:rsidRPr="00484BC5" w14:paraId="4311D8DE" w14:textId="77777777" w:rsidTr="003242EB">
        <w:tc>
          <w:tcPr>
            <w:tcW w:w="3028" w:type="dxa"/>
            <w:vMerge w:val="restart"/>
          </w:tcPr>
          <w:p w14:paraId="17040E01" w14:textId="3E66EE15" w:rsidR="003242EB" w:rsidRPr="00484BC5" w:rsidRDefault="003242EB" w:rsidP="00473F2D">
            <w:pPr>
              <w:rPr>
                <w:sz w:val="24"/>
                <w:szCs w:val="24"/>
              </w:rPr>
            </w:pPr>
            <w:r w:rsidRPr="00484BC5">
              <w:rPr>
                <w:sz w:val="24"/>
                <w:szCs w:val="24"/>
              </w:rPr>
              <w:t>Blod og lymfesystem</w:t>
            </w:r>
          </w:p>
        </w:tc>
        <w:tc>
          <w:tcPr>
            <w:tcW w:w="2877" w:type="dxa"/>
          </w:tcPr>
          <w:p w14:paraId="1199E98C" w14:textId="67AE19E2" w:rsidR="003242EB" w:rsidRPr="00484BC5" w:rsidRDefault="003242EB" w:rsidP="00473F2D">
            <w:pPr>
              <w:rPr>
                <w:sz w:val="24"/>
                <w:szCs w:val="24"/>
              </w:rPr>
            </w:pPr>
            <w:r w:rsidRPr="00484BC5">
              <w:rPr>
                <w:color w:val="000000"/>
                <w:sz w:val="24"/>
                <w:szCs w:val="24"/>
              </w:rPr>
              <w:t>Meget almindelig</w:t>
            </w:r>
          </w:p>
        </w:tc>
        <w:tc>
          <w:tcPr>
            <w:tcW w:w="2872" w:type="dxa"/>
          </w:tcPr>
          <w:p w14:paraId="58A167A4" w14:textId="33F137F5" w:rsidR="003242EB" w:rsidRPr="00484BC5" w:rsidRDefault="004D682C" w:rsidP="00473F2D">
            <w:pPr>
              <w:rPr>
                <w:sz w:val="24"/>
                <w:szCs w:val="24"/>
              </w:rPr>
            </w:pPr>
            <w:proofErr w:type="spellStart"/>
            <w:r w:rsidRPr="00484BC5">
              <w:rPr>
                <w:color w:val="000000"/>
                <w:sz w:val="24"/>
                <w:szCs w:val="24"/>
              </w:rPr>
              <w:t>Granulocytopeni</w:t>
            </w:r>
            <w:proofErr w:type="spellEnd"/>
            <w:r w:rsidRPr="00484BC5">
              <w:rPr>
                <w:color w:val="000000"/>
                <w:sz w:val="24"/>
                <w:szCs w:val="24"/>
              </w:rPr>
              <w:t>, anæmi</w:t>
            </w:r>
          </w:p>
        </w:tc>
      </w:tr>
      <w:tr w:rsidR="003242EB" w:rsidRPr="00484BC5" w14:paraId="029E1745" w14:textId="77777777" w:rsidTr="003242EB">
        <w:tc>
          <w:tcPr>
            <w:tcW w:w="3028" w:type="dxa"/>
            <w:vMerge/>
          </w:tcPr>
          <w:p w14:paraId="1EB991C5" w14:textId="77777777" w:rsidR="003242EB" w:rsidRPr="00484BC5" w:rsidRDefault="003242EB" w:rsidP="00473F2D">
            <w:pPr>
              <w:rPr>
                <w:sz w:val="24"/>
                <w:szCs w:val="24"/>
              </w:rPr>
            </w:pPr>
          </w:p>
        </w:tc>
        <w:tc>
          <w:tcPr>
            <w:tcW w:w="2877" w:type="dxa"/>
          </w:tcPr>
          <w:p w14:paraId="5019F33B" w14:textId="70E529A0" w:rsidR="003242EB" w:rsidRPr="00484BC5" w:rsidRDefault="003242EB" w:rsidP="00473F2D">
            <w:pPr>
              <w:rPr>
                <w:sz w:val="24"/>
                <w:szCs w:val="24"/>
              </w:rPr>
            </w:pPr>
            <w:r w:rsidRPr="00484BC5">
              <w:rPr>
                <w:color w:val="000000"/>
                <w:sz w:val="24"/>
                <w:szCs w:val="24"/>
              </w:rPr>
              <w:t>Almindelig</w:t>
            </w:r>
          </w:p>
        </w:tc>
        <w:tc>
          <w:tcPr>
            <w:tcW w:w="2872" w:type="dxa"/>
          </w:tcPr>
          <w:p w14:paraId="0E94EEE9" w14:textId="70A81A3F" w:rsidR="003242EB" w:rsidRPr="00484BC5" w:rsidRDefault="004D682C" w:rsidP="00473F2D">
            <w:pPr>
              <w:rPr>
                <w:sz w:val="24"/>
                <w:szCs w:val="24"/>
              </w:rPr>
            </w:pPr>
            <w:proofErr w:type="spellStart"/>
            <w:r w:rsidRPr="00484BC5">
              <w:rPr>
                <w:color w:val="000000"/>
                <w:sz w:val="24"/>
                <w:szCs w:val="24"/>
              </w:rPr>
              <w:t>Leukopeni</w:t>
            </w:r>
            <w:proofErr w:type="spellEnd"/>
            <w:r w:rsidRPr="00484BC5">
              <w:rPr>
                <w:color w:val="000000"/>
                <w:sz w:val="24"/>
                <w:szCs w:val="24"/>
              </w:rPr>
              <w:t xml:space="preserve">, </w:t>
            </w:r>
            <w:proofErr w:type="spellStart"/>
            <w:r w:rsidRPr="00484BC5">
              <w:rPr>
                <w:color w:val="000000"/>
                <w:sz w:val="24"/>
                <w:szCs w:val="24"/>
              </w:rPr>
              <w:t>trombocytopeni</w:t>
            </w:r>
            <w:proofErr w:type="spellEnd"/>
            <w:r w:rsidRPr="00484BC5">
              <w:rPr>
                <w:color w:val="000000"/>
                <w:sz w:val="24"/>
                <w:szCs w:val="24"/>
              </w:rPr>
              <w:t xml:space="preserve">, </w:t>
            </w:r>
            <w:proofErr w:type="spellStart"/>
            <w:r w:rsidRPr="00484BC5">
              <w:rPr>
                <w:color w:val="000000"/>
                <w:sz w:val="24"/>
                <w:szCs w:val="24"/>
              </w:rPr>
              <w:t>neutropeni</w:t>
            </w:r>
            <w:proofErr w:type="spellEnd"/>
          </w:p>
        </w:tc>
      </w:tr>
      <w:tr w:rsidR="003242EB" w:rsidRPr="00484BC5" w14:paraId="72B0A6C9" w14:textId="77777777" w:rsidTr="003242EB">
        <w:tc>
          <w:tcPr>
            <w:tcW w:w="3028" w:type="dxa"/>
            <w:vMerge/>
          </w:tcPr>
          <w:p w14:paraId="05EF7581" w14:textId="77777777" w:rsidR="003242EB" w:rsidRPr="00484BC5" w:rsidRDefault="003242EB" w:rsidP="00473F2D">
            <w:pPr>
              <w:rPr>
                <w:sz w:val="24"/>
                <w:szCs w:val="24"/>
              </w:rPr>
            </w:pPr>
          </w:p>
        </w:tc>
        <w:tc>
          <w:tcPr>
            <w:tcW w:w="2877" w:type="dxa"/>
          </w:tcPr>
          <w:p w14:paraId="4E7B9BA0" w14:textId="5BD4FC5E" w:rsidR="003242EB" w:rsidRPr="00484BC5" w:rsidRDefault="003242EB" w:rsidP="00473F2D">
            <w:pPr>
              <w:rPr>
                <w:sz w:val="24"/>
                <w:szCs w:val="24"/>
              </w:rPr>
            </w:pPr>
            <w:r w:rsidRPr="00484BC5">
              <w:rPr>
                <w:color w:val="000000"/>
                <w:sz w:val="24"/>
                <w:szCs w:val="24"/>
              </w:rPr>
              <w:t>Ikke almindelig</w:t>
            </w:r>
          </w:p>
        </w:tc>
        <w:tc>
          <w:tcPr>
            <w:tcW w:w="2872" w:type="dxa"/>
          </w:tcPr>
          <w:p w14:paraId="770E17B6" w14:textId="0BCD4CC6" w:rsidR="003242EB" w:rsidRPr="00484BC5" w:rsidRDefault="004D682C" w:rsidP="00473F2D">
            <w:pPr>
              <w:rPr>
                <w:sz w:val="24"/>
                <w:szCs w:val="24"/>
              </w:rPr>
            </w:pPr>
            <w:proofErr w:type="spellStart"/>
            <w:r w:rsidRPr="00484BC5">
              <w:rPr>
                <w:color w:val="000000"/>
                <w:sz w:val="24"/>
                <w:szCs w:val="24"/>
              </w:rPr>
              <w:t>Pancytopeni</w:t>
            </w:r>
            <w:proofErr w:type="spellEnd"/>
          </w:p>
        </w:tc>
      </w:tr>
      <w:tr w:rsidR="003242EB" w:rsidRPr="00484BC5" w14:paraId="28D6B458" w14:textId="77777777" w:rsidTr="003242EB">
        <w:tc>
          <w:tcPr>
            <w:tcW w:w="3028" w:type="dxa"/>
            <w:vMerge w:val="restart"/>
          </w:tcPr>
          <w:p w14:paraId="7DFB6F04" w14:textId="6ECAA6C4" w:rsidR="003242EB" w:rsidRPr="00484BC5" w:rsidRDefault="003242EB" w:rsidP="00473F2D">
            <w:pPr>
              <w:rPr>
                <w:sz w:val="24"/>
                <w:szCs w:val="24"/>
              </w:rPr>
            </w:pPr>
            <w:r w:rsidRPr="00484BC5">
              <w:rPr>
                <w:sz w:val="24"/>
                <w:szCs w:val="24"/>
              </w:rPr>
              <w:t>Immunsystemet</w:t>
            </w:r>
          </w:p>
        </w:tc>
        <w:tc>
          <w:tcPr>
            <w:tcW w:w="2877" w:type="dxa"/>
          </w:tcPr>
          <w:p w14:paraId="31DEF25A" w14:textId="0D4AAE35" w:rsidR="003242EB" w:rsidRPr="00484BC5" w:rsidRDefault="003242EB" w:rsidP="00473F2D">
            <w:pPr>
              <w:rPr>
                <w:sz w:val="24"/>
                <w:szCs w:val="24"/>
              </w:rPr>
            </w:pPr>
            <w:r w:rsidRPr="00484BC5">
              <w:rPr>
                <w:sz w:val="24"/>
                <w:szCs w:val="24"/>
              </w:rPr>
              <w:t>Almindelig</w:t>
            </w:r>
          </w:p>
        </w:tc>
        <w:tc>
          <w:tcPr>
            <w:tcW w:w="2872" w:type="dxa"/>
          </w:tcPr>
          <w:p w14:paraId="510430F3" w14:textId="57FEC1BD" w:rsidR="003242EB" w:rsidRPr="00484BC5" w:rsidRDefault="00AC4E6E" w:rsidP="00473F2D">
            <w:pPr>
              <w:rPr>
                <w:sz w:val="24"/>
                <w:szCs w:val="24"/>
              </w:rPr>
            </w:pPr>
            <w:r w:rsidRPr="00484BC5">
              <w:rPr>
                <w:sz w:val="24"/>
                <w:szCs w:val="24"/>
              </w:rPr>
              <w:t>Sepsis</w:t>
            </w:r>
          </w:p>
        </w:tc>
      </w:tr>
      <w:tr w:rsidR="003242EB" w:rsidRPr="00484BC5" w14:paraId="0C640667" w14:textId="77777777" w:rsidTr="003242EB">
        <w:tc>
          <w:tcPr>
            <w:tcW w:w="3028" w:type="dxa"/>
            <w:vMerge/>
          </w:tcPr>
          <w:p w14:paraId="31B7F964" w14:textId="77777777" w:rsidR="003242EB" w:rsidRPr="00484BC5" w:rsidRDefault="003242EB" w:rsidP="00473F2D">
            <w:pPr>
              <w:rPr>
                <w:sz w:val="24"/>
                <w:szCs w:val="24"/>
              </w:rPr>
            </w:pPr>
          </w:p>
        </w:tc>
        <w:tc>
          <w:tcPr>
            <w:tcW w:w="2877" w:type="dxa"/>
          </w:tcPr>
          <w:p w14:paraId="79E73163" w14:textId="40ECC7CE" w:rsidR="003242EB" w:rsidRPr="00484BC5" w:rsidRDefault="003242EB" w:rsidP="00473F2D">
            <w:pPr>
              <w:rPr>
                <w:sz w:val="24"/>
                <w:szCs w:val="24"/>
              </w:rPr>
            </w:pPr>
            <w:r w:rsidRPr="00484BC5">
              <w:rPr>
                <w:sz w:val="24"/>
                <w:szCs w:val="24"/>
              </w:rPr>
              <w:t>Ikke kendt</w:t>
            </w:r>
          </w:p>
        </w:tc>
        <w:tc>
          <w:tcPr>
            <w:tcW w:w="2872" w:type="dxa"/>
          </w:tcPr>
          <w:p w14:paraId="355EAEC8" w14:textId="637DE0AF" w:rsidR="003242EB" w:rsidRPr="00484BC5" w:rsidRDefault="00AC4E6E" w:rsidP="00473F2D">
            <w:pPr>
              <w:rPr>
                <w:sz w:val="24"/>
                <w:szCs w:val="24"/>
              </w:rPr>
            </w:pPr>
            <w:r w:rsidRPr="00484BC5">
              <w:rPr>
                <w:color w:val="000000"/>
                <w:sz w:val="24"/>
                <w:szCs w:val="24"/>
              </w:rPr>
              <w:t xml:space="preserve">Overfølsomhed (herunder </w:t>
            </w:r>
            <w:proofErr w:type="spellStart"/>
            <w:r w:rsidRPr="00484BC5">
              <w:rPr>
                <w:color w:val="000000"/>
                <w:sz w:val="24"/>
                <w:szCs w:val="24"/>
              </w:rPr>
              <w:t>anafylaktiske</w:t>
            </w:r>
            <w:proofErr w:type="spellEnd"/>
            <w:r w:rsidRPr="00484BC5">
              <w:rPr>
                <w:color w:val="000000"/>
                <w:sz w:val="24"/>
                <w:szCs w:val="24"/>
              </w:rPr>
              <w:t xml:space="preserve"> reaktioner), </w:t>
            </w:r>
            <w:proofErr w:type="spellStart"/>
            <w:r w:rsidRPr="00484BC5">
              <w:rPr>
                <w:color w:val="000000"/>
                <w:sz w:val="24"/>
                <w:szCs w:val="24"/>
              </w:rPr>
              <w:t>anafylaktoide</w:t>
            </w:r>
            <w:proofErr w:type="spellEnd"/>
            <w:r w:rsidRPr="00484BC5">
              <w:rPr>
                <w:color w:val="000000"/>
                <w:sz w:val="24"/>
                <w:szCs w:val="24"/>
              </w:rPr>
              <w:t xml:space="preserve"> reaktioner</w:t>
            </w:r>
          </w:p>
        </w:tc>
      </w:tr>
      <w:tr w:rsidR="00C03974" w:rsidRPr="00484BC5" w14:paraId="2430DE38" w14:textId="77777777" w:rsidTr="003242EB">
        <w:tc>
          <w:tcPr>
            <w:tcW w:w="3028" w:type="dxa"/>
          </w:tcPr>
          <w:p w14:paraId="7B35A8EB" w14:textId="2420A752" w:rsidR="00C03974" w:rsidRPr="00484BC5" w:rsidRDefault="00C413DC" w:rsidP="00473F2D">
            <w:pPr>
              <w:rPr>
                <w:sz w:val="24"/>
                <w:szCs w:val="24"/>
              </w:rPr>
            </w:pPr>
            <w:r w:rsidRPr="00484BC5">
              <w:rPr>
                <w:color w:val="000000"/>
                <w:sz w:val="24"/>
                <w:szCs w:val="24"/>
              </w:rPr>
              <w:t>Endokrine sygdomme</w:t>
            </w:r>
          </w:p>
        </w:tc>
        <w:tc>
          <w:tcPr>
            <w:tcW w:w="2877" w:type="dxa"/>
          </w:tcPr>
          <w:p w14:paraId="549E2F17" w14:textId="533D55D5" w:rsidR="00C03974" w:rsidRPr="00484BC5" w:rsidRDefault="00C413DC" w:rsidP="00473F2D">
            <w:pPr>
              <w:rPr>
                <w:sz w:val="24"/>
                <w:szCs w:val="24"/>
              </w:rPr>
            </w:pPr>
            <w:r w:rsidRPr="00484BC5">
              <w:rPr>
                <w:sz w:val="24"/>
                <w:szCs w:val="24"/>
              </w:rPr>
              <w:t>Ikke kendt</w:t>
            </w:r>
          </w:p>
        </w:tc>
        <w:tc>
          <w:tcPr>
            <w:tcW w:w="2872" w:type="dxa"/>
          </w:tcPr>
          <w:p w14:paraId="5381589A" w14:textId="1589414A" w:rsidR="00C03974" w:rsidRPr="00484BC5" w:rsidRDefault="00AC4E6E" w:rsidP="00473F2D">
            <w:pPr>
              <w:rPr>
                <w:sz w:val="24"/>
                <w:szCs w:val="24"/>
              </w:rPr>
            </w:pPr>
            <w:r w:rsidRPr="00484BC5">
              <w:rPr>
                <w:color w:val="000000"/>
                <w:sz w:val="24"/>
                <w:szCs w:val="24"/>
              </w:rPr>
              <w:t xml:space="preserve">Diabetes </w:t>
            </w:r>
            <w:proofErr w:type="spellStart"/>
            <w:r w:rsidRPr="00484BC5">
              <w:rPr>
                <w:color w:val="000000"/>
                <w:sz w:val="24"/>
                <w:szCs w:val="24"/>
              </w:rPr>
              <w:t>insipidus</w:t>
            </w:r>
            <w:proofErr w:type="spellEnd"/>
          </w:p>
        </w:tc>
      </w:tr>
      <w:tr w:rsidR="003242EB" w:rsidRPr="00484BC5" w14:paraId="55B102FC" w14:textId="77777777" w:rsidTr="003242EB">
        <w:tc>
          <w:tcPr>
            <w:tcW w:w="3028" w:type="dxa"/>
            <w:vMerge w:val="restart"/>
          </w:tcPr>
          <w:p w14:paraId="30DEE588" w14:textId="0541BE95" w:rsidR="003242EB" w:rsidRPr="00484BC5" w:rsidRDefault="003242EB" w:rsidP="00473F2D">
            <w:pPr>
              <w:rPr>
                <w:sz w:val="24"/>
                <w:szCs w:val="24"/>
              </w:rPr>
            </w:pPr>
            <w:r w:rsidRPr="00484BC5">
              <w:rPr>
                <w:color w:val="000000"/>
                <w:sz w:val="24"/>
                <w:szCs w:val="24"/>
              </w:rPr>
              <w:t>Metabolisme og ernæring</w:t>
            </w:r>
          </w:p>
        </w:tc>
        <w:tc>
          <w:tcPr>
            <w:tcW w:w="2877" w:type="dxa"/>
          </w:tcPr>
          <w:p w14:paraId="72185ED5" w14:textId="13DE9D68" w:rsidR="003242EB" w:rsidRPr="00484BC5" w:rsidRDefault="003242EB" w:rsidP="00473F2D">
            <w:pPr>
              <w:rPr>
                <w:sz w:val="24"/>
                <w:szCs w:val="24"/>
              </w:rPr>
            </w:pPr>
            <w:r w:rsidRPr="00484BC5">
              <w:rPr>
                <w:sz w:val="24"/>
                <w:szCs w:val="24"/>
              </w:rPr>
              <w:t>Meget almindelig</w:t>
            </w:r>
          </w:p>
        </w:tc>
        <w:tc>
          <w:tcPr>
            <w:tcW w:w="2872" w:type="dxa"/>
          </w:tcPr>
          <w:p w14:paraId="2BFAF5B6" w14:textId="231C64DE" w:rsidR="003242EB" w:rsidRPr="00484BC5" w:rsidRDefault="00AC4E6E" w:rsidP="00473F2D">
            <w:pPr>
              <w:rPr>
                <w:sz w:val="24"/>
                <w:szCs w:val="24"/>
              </w:rPr>
            </w:pPr>
            <w:r w:rsidRPr="00484BC5">
              <w:rPr>
                <w:color w:val="000000"/>
                <w:sz w:val="24"/>
                <w:szCs w:val="24"/>
              </w:rPr>
              <w:t xml:space="preserve">Nedsat appetit, </w:t>
            </w:r>
            <w:proofErr w:type="spellStart"/>
            <w:r w:rsidRPr="00484BC5">
              <w:rPr>
                <w:color w:val="000000"/>
                <w:sz w:val="24"/>
                <w:szCs w:val="24"/>
              </w:rPr>
              <w:t>hypokaliæmi</w:t>
            </w:r>
            <w:proofErr w:type="spellEnd"/>
            <w:r w:rsidRPr="00484BC5">
              <w:rPr>
                <w:color w:val="000000"/>
                <w:sz w:val="24"/>
                <w:szCs w:val="24"/>
              </w:rPr>
              <w:t xml:space="preserve">, </w:t>
            </w:r>
            <w:proofErr w:type="spellStart"/>
            <w:r w:rsidRPr="00484BC5">
              <w:rPr>
                <w:color w:val="000000"/>
                <w:sz w:val="24"/>
                <w:szCs w:val="24"/>
              </w:rPr>
              <w:lastRenderedPageBreak/>
              <w:t>hypomagnesiæmi</w:t>
            </w:r>
            <w:proofErr w:type="spellEnd"/>
            <w:r w:rsidRPr="00484BC5">
              <w:rPr>
                <w:color w:val="000000"/>
                <w:sz w:val="24"/>
                <w:szCs w:val="24"/>
              </w:rPr>
              <w:t xml:space="preserve">, </w:t>
            </w:r>
            <w:proofErr w:type="spellStart"/>
            <w:r w:rsidRPr="00484BC5">
              <w:rPr>
                <w:color w:val="000000"/>
                <w:sz w:val="24"/>
                <w:szCs w:val="24"/>
              </w:rPr>
              <w:t>hypocalcæmi</w:t>
            </w:r>
            <w:proofErr w:type="spellEnd"/>
          </w:p>
        </w:tc>
      </w:tr>
      <w:tr w:rsidR="003242EB" w:rsidRPr="00484BC5" w14:paraId="7175C9B6" w14:textId="77777777" w:rsidTr="003242EB">
        <w:tc>
          <w:tcPr>
            <w:tcW w:w="3028" w:type="dxa"/>
            <w:vMerge/>
          </w:tcPr>
          <w:p w14:paraId="10025D33" w14:textId="77777777" w:rsidR="003242EB" w:rsidRPr="00484BC5" w:rsidRDefault="003242EB" w:rsidP="00473F2D">
            <w:pPr>
              <w:rPr>
                <w:sz w:val="24"/>
                <w:szCs w:val="24"/>
              </w:rPr>
            </w:pPr>
          </w:p>
        </w:tc>
        <w:tc>
          <w:tcPr>
            <w:tcW w:w="2877" w:type="dxa"/>
          </w:tcPr>
          <w:p w14:paraId="45BE316A" w14:textId="280C7552" w:rsidR="003242EB" w:rsidRPr="00484BC5" w:rsidRDefault="003242EB" w:rsidP="00473F2D">
            <w:pPr>
              <w:rPr>
                <w:sz w:val="24"/>
                <w:szCs w:val="24"/>
              </w:rPr>
            </w:pPr>
            <w:r w:rsidRPr="00484BC5">
              <w:rPr>
                <w:sz w:val="24"/>
                <w:szCs w:val="24"/>
              </w:rPr>
              <w:t>Almindelig</w:t>
            </w:r>
          </w:p>
        </w:tc>
        <w:tc>
          <w:tcPr>
            <w:tcW w:w="2872" w:type="dxa"/>
          </w:tcPr>
          <w:p w14:paraId="2C7A78B7" w14:textId="528F7E72" w:rsidR="003242EB" w:rsidRPr="00484BC5" w:rsidRDefault="00AC4E6E" w:rsidP="00473F2D">
            <w:pPr>
              <w:rPr>
                <w:sz w:val="24"/>
                <w:szCs w:val="24"/>
              </w:rPr>
            </w:pPr>
            <w:proofErr w:type="spellStart"/>
            <w:r w:rsidRPr="00484BC5">
              <w:rPr>
                <w:sz w:val="24"/>
                <w:szCs w:val="24"/>
              </w:rPr>
              <w:t>Hyperfosfatæmi</w:t>
            </w:r>
            <w:proofErr w:type="spellEnd"/>
            <w:r w:rsidRPr="00484BC5">
              <w:rPr>
                <w:sz w:val="24"/>
                <w:szCs w:val="24"/>
              </w:rPr>
              <w:t xml:space="preserve">, </w:t>
            </w:r>
            <w:proofErr w:type="spellStart"/>
            <w:r w:rsidRPr="00484BC5">
              <w:rPr>
                <w:sz w:val="24"/>
                <w:szCs w:val="24"/>
              </w:rPr>
              <w:t>hyponatriæmi</w:t>
            </w:r>
            <w:proofErr w:type="spellEnd"/>
            <w:r w:rsidRPr="00484BC5">
              <w:rPr>
                <w:sz w:val="24"/>
                <w:szCs w:val="24"/>
              </w:rPr>
              <w:t xml:space="preserve">, </w:t>
            </w:r>
            <w:proofErr w:type="spellStart"/>
            <w:r w:rsidRPr="00484BC5">
              <w:rPr>
                <w:sz w:val="24"/>
                <w:szCs w:val="24"/>
              </w:rPr>
              <w:t>hypofosfastæmi</w:t>
            </w:r>
            <w:proofErr w:type="spellEnd"/>
            <w:r w:rsidRPr="00484BC5">
              <w:rPr>
                <w:sz w:val="24"/>
                <w:szCs w:val="24"/>
              </w:rPr>
              <w:t xml:space="preserve">, forhøjet basisk fosfatase i blodet, forhøjet </w:t>
            </w:r>
            <w:proofErr w:type="spellStart"/>
            <w:r w:rsidRPr="00484BC5">
              <w:rPr>
                <w:sz w:val="24"/>
                <w:szCs w:val="24"/>
              </w:rPr>
              <w:t>laktatdehydrogenase</w:t>
            </w:r>
            <w:proofErr w:type="spellEnd"/>
            <w:r w:rsidRPr="00484BC5">
              <w:rPr>
                <w:sz w:val="24"/>
                <w:szCs w:val="24"/>
              </w:rPr>
              <w:t xml:space="preserve"> i blodet, </w:t>
            </w:r>
            <w:proofErr w:type="spellStart"/>
            <w:r w:rsidRPr="00484BC5">
              <w:rPr>
                <w:sz w:val="24"/>
                <w:szCs w:val="24"/>
              </w:rPr>
              <w:t>hyperkalcæmi</w:t>
            </w:r>
            <w:proofErr w:type="spellEnd"/>
            <w:r w:rsidRPr="00484BC5">
              <w:rPr>
                <w:sz w:val="24"/>
                <w:szCs w:val="24"/>
              </w:rPr>
              <w:t>, dehydrering</w:t>
            </w:r>
          </w:p>
        </w:tc>
      </w:tr>
      <w:tr w:rsidR="003242EB" w:rsidRPr="00484BC5" w14:paraId="005ED998" w14:textId="77777777" w:rsidTr="003242EB">
        <w:tc>
          <w:tcPr>
            <w:tcW w:w="3028" w:type="dxa"/>
            <w:vMerge/>
          </w:tcPr>
          <w:p w14:paraId="20C0DD36" w14:textId="77777777" w:rsidR="003242EB" w:rsidRPr="00484BC5" w:rsidRDefault="003242EB" w:rsidP="00473F2D">
            <w:pPr>
              <w:rPr>
                <w:sz w:val="24"/>
                <w:szCs w:val="24"/>
              </w:rPr>
            </w:pPr>
          </w:p>
        </w:tc>
        <w:tc>
          <w:tcPr>
            <w:tcW w:w="2877" w:type="dxa"/>
          </w:tcPr>
          <w:p w14:paraId="21F32F98" w14:textId="4FD91EEF" w:rsidR="003242EB" w:rsidRPr="00484BC5" w:rsidRDefault="003242EB" w:rsidP="00473F2D">
            <w:pPr>
              <w:rPr>
                <w:sz w:val="24"/>
                <w:szCs w:val="24"/>
              </w:rPr>
            </w:pPr>
            <w:r w:rsidRPr="00484BC5">
              <w:rPr>
                <w:sz w:val="24"/>
                <w:szCs w:val="24"/>
              </w:rPr>
              <w:t>Ikke almindelig</w:t>
            </w:r>
          </w:p>
        </w:tc>
        <w:tc>
          <w:tcPr>
            <w:tcW w:w="2872" w:type="dxa"/>
          </w:tcPr>
          <w:p w14:paraId="09759EEF" w14:textId="347549B8" w:rsidR="003242EB" w:rsidRPr="00484BC5" w:rsidRDefault="00AC4E6E" w:rsidP="00473F2D">
            <w:pPr>
              <w:rPr>
                <w:sz w:val="24"/>
                <w:szCs w:val="24"/>
              </w:rPr>
            </w:pPr>
            <w:proofErr w:type="spellStart"/>
            <w:r w:rsidRPr="00484BC5">
              <w:rPr>
                <w:sz w:val="24"/>
                <w:szCs w:val="24"/>
              </w:rPr>
              <w:t>Acidose</w:t>
            </w:r>
            <w:proofErr w:type="spellEnd"/>
          </w:p>
        </w:tc>
      </w:tr>
      <w:tr w:rsidR="003242EB" w:rsidRPr="00484BC5" w14:paraId="40CD74EC" w14:textId="77777777" w:rsidTr="003242EB">
        <w:tc>
          <w:tcPr>
            <w:tcW w:w="3028" w:type="dxa"/>
            <w:vMerge/>
          </w:tcPr>
          <w:p w14:paraId="0242DE86" w14:textId="77777777" w:rsidR="003242EB" w:rsidRPr="00484BC5" w:rsidRDefault="003242EB" w:rsidP="00473F2D">
            <w:pPr>
              <w:rPr>
                <w:sz w:val="24"/>
                <w:szCs w:val="24"/>
              </w:rPr>
            </w:pPr>
          </w:p>
        </w:tc>
        <w:tc>
          <w:tcPr>
            <w:tcW w:w="2877" w:type="dxa"/>
          </w:tcPr>
          <w:p w14:paraId="5A5F6D08" w14:textId="6EAF15C7" w:rsidR="003242EB" w:rsidRPr="00484BC5" w:rsidRDefault="003242EB" w:rsidP="00473F2D">
            <w:pPr>
              <w:rPr>
                <w:sz w:val="24"/>
                <w:szCs w:val="24"/>
              </w:rPr>
            </w:pPr>
            <w:r w:rsidRPr="00484BC5">
              <w:rPr>
                <w:sz w:val="24"/>
                <w:szCs w:val="24"/>
              </w:rPr>
              <w:t>Ikke kendt</w:t>
            </w:r>
          </w:p>
        </w:tc>
        <w:tc>
          <w:tcPr>
            <w:tcW w:w="2872" w:type="dxa"/>
          </w:tcPr>
          <w:p w14:paraId="19E6A826" w14:textId="19867E1B" w:rsidR="003242EB" w:rsidRPr="00484BC5" w:rsidRDefault="00AC4E6E" w:rsidP="00473F2D">
            <w:pPr>
              <w:rPr>
                <w:sz w:val="24"/>
                <w:szCs w:val="24"/>
              </w:rPr>
            </w:pPr>
            <w:proofErr w:type="spellStart"/>
            <w:r w:rsidRPr="00484BC5">
              <w:rPr>
                <w:sz w:val="24"/>
                <w:szCs w:val="24"/>
              </w:rPr>
              <w:t>Hypernatriæmi</w:t>
            </w:r>
            <w:proofErr w:type="spellEnd"/>
          </w:p>
        </w:tc>
      </w:tr>
      <w:tr w:rsidR="007C2A51" w:rsidRPr="00484BC5" w14:paraId="0ECFB43C" w14:textId="77777777" w:rsidTr="003242EB">
        <w:tc>
          <w:tcPr>
            <w:tcW w:w="3028" w:type="dxa"/>
          </w:tcPr>
          <w:p w14:paraId="1894BD3C" w14:textId="0C552AF4" w:rsidR="007C2A51" w:rsidRPr="00484BC5" w:rsidRDefault="007C2A51" w:rsidP="007C2A51">
            <w:pPr>
              <w:rPr>
                <w:sz w:val="24"/>
                <w:szCs w:val="24"/>
              </w:rPr>
            </w:pPr>
            <w:r w:rsidRPr="00484BC5">
              <w:rPr>
                <w:color w:val="000000"/>
                <w:sz w:val="24"/>
                <w:szCs w:val="24"/>
              </w:rPr>
              <w:t>Psykiske forstyrrelser</w:t>
            </w:r>
          </w:p>
        </w:tc>
        <w:tc>
          <w:tcPr>
            <w:tcW w:w="2877" w:type="dxa"/>
          </w:tcPr>
          <w:p w14:paraId="1D2C6657" w14:textId="3E610FB5" w:rsidR="007C2A51" w:rsidRPr="00484BC5" w:rsidRDefault="007C2A51" w:rsidP="00473F2D">
            <w:pPr>
              <w:rPr>
                <w:sz w:val="24"/>
                <w:szCs w:val="24"/>
              </w:rPr>
            </w:pPr>
            <w:r w:rsidRPr="00484BC5">
              <w:rPr>
                <w:sz w:val="24"/>
                <w:szCs w:val="24"/>
              </w:rPr>
              <w:t>Almindelig</w:t>
            </w:r>
          </w:p>
        </w:tc>
        <w:tc>
          <w:tcPr>
            <w:tcW w:w="2872" w:type="dxa"/>
          </w:tcPr>
          <w:p w14:paraId="4B5ECC48" w14:textId="0BC8AF3C" w:rsidR="007C2A51" w:rsidRPr="00484BC5" w:rsidRDefault="00AC4E6E" w:rsidP="00473F2D">
            <w:pPr>
              <w:rPr>
                <w:sz w:val="24"/>
                <w:szCs w:val="24"/>
              </w:rPr>
            </w:pPr>
            <w:r w:rsidRPr="00484BC5">
              <w:rPr>
                <w:sz w:val="24"/>
                <w:szCs w:val="24"/>
              </w:rPr>
              <w:t>Aggression, angst, ophidselse, forvirring, depression, nervøsitet</w:t>
            </w:r>
          </w:p>
        </w:tc>
      </w:tr>
      <w:tr w:rsidR="003242EB" w:rsidRPr="00484BC5" w14:paraId="7E69E1AC" w14:textId="77777777" w:rsidTr="003242EB">
        <w:tc>
          <w:tcPr>
            <w:tcW w:w="3028" w:type="dxa"/>
            <w:vMerge w:val="restart"/>
          </w:tcPr>
          <w:p w14:paraId="24EB9207" w14:textId="3AD2A7C2" w:rsidR="003242EB" w:rsidRPr="00484BC5" w:rsidRDefault="003242EB" w:rsidP="007C2A51">
            <w:pPr>
              <w:rPr>
                <w:sz w:val="24"/>
                <w:szCs w:val="24"/>
              </w:rPr>
            </w:pPr>
            <w:r w:rsidRPr="00484BC5">
              <w:rPr>
                <w:color w:val="000000"/>
                <w:sz w:val="24"/>
                <w:szCs w:val="24"/>
              </w:rPr>
              <w:t>Nervesystemet</w:t>
            </w:r>
          </w:p>
        </w:tc>
        <w:tc>
          <w:tcPr>
            <w:tcW w:w="2877" w:type="dxa"/>
          </w:tcPr>
          <w:p w14:paraId="7C4DCFA3" w14:textId="527F29AE" w:rsidR="003242EB" w:rsidRPr="00484BC5" w:rsidRDefault="003242EB" w:rsidP="00473F2D">
            <w:pPr>
              <w:rPr>
                <w:sz w:val="24"/>
                <w:szCs w:val="24"/>
              </w:rPr>
            </w:pPr>
            <w:r w:rsidRPr="00484BC5">
              <w:rPr>
                <w:sz w:val="24"/>
                <w:szCs w:val="24"/>
              </w:rPr>
              <w:t>Meget almindelig</w:t>
            </w:r>
          </w:p>
        </w:tc>
        <w:tc>
          <w:tcPr>
            <w:tcW w:w="2872" w:type="dxa"/>
          </w:tcPr>
          <w:p w14:paraId="502389CA" w14:textId="3DEDA017" w:rsidR="003242EB" w:rsidRPr="00484BC5" w:rsidRDefault="00AC4E6E" w:rsidP="00473F2D">
            <w:pPr>
              <w:rPr>
                <w:sz w:val="24"/>
                <w:szCs w:val="24"/>
              </w:rPr>
            </w:pPr>
            <w:r w:rsidRPr="00484BC5">
              <w:rPr>
                <w:sz w:val="24"/>
                <w:szCs w:val="24"/>
              </w:rPr>
              <w:t xml:space="preserve">Svimmelhed, hovedpine, </w:t>
            </w:r>
            <w:proofErr w:type="spellStart"/>
            <w:r w:rsidRPr="00484BC5">
              <w:rPr>
                <w:sz w:val="24"/>
                <w:szCs w:val="24"/>
              </w:rPr>
              <w:t>paræstesi</w:t>
            </w:r>
            <w:proofErr w:type="spellEnd"/>
          </w:p>
        </w:tc>
      </w:tr>
      <w:tr w:rsidR="003242EB" w:rsidRPr="00484BC5" w14:paraId="69E98221" w14:textId="77777777" w:rsidTr="003242EB">
        <w:tc>
          <w:tcPr>
            <w:tcW w:w="3028" w:type="dxa"/>
            <w:vMerge/>
          </w:tcPr>
          <w:p w14:paraId="09DDF5B1" w14:textId="77777777" w:rsidR="003242EB" w:rsidRPr="00484BC5" w:rsidRDefault="003242EB" w:rsidP="00473F2D">
            <w:pPr>
              <w:rPr>
                <w:sz w:val="24"/>
                <w:szCs w:val="24"/>
              </w:rPr>
            </w:pPr>
          </w:p>
        </w:tc>
        <w:tc>
          <w:tcPr>
            <w:tcW w:w="2877" w:type="dxa"/>
          </w:tcPr>
          <w:p w14:paraId="23274DF6" w14:textId="54A2BBFE" w:rsidR="003242EB" w:rsidRPr="00484BC5" w:rsidRDefault="003242EB" w:rsidP="00473F2D">
            <w:pPr>
              <w:rPr>
                <w:sz w:val="24"/>
                <w:szCs w:val="24"/>
              </w:rPr>
            </w:pPr>
            <w:r w:rsidRPr="00484BC5">
              <w:rPr>
                <w:sz w:val="24"/>
                <w:szCs w:val="24"/>
              </w:rPr>
              <w:t>Almindelig</w:t>
            </w:r>
          </w:p>
        </w:tc>
        <w:tc>
          <w:tcPr>
            <w:tcW w:w="2872" w:type="dxa"/>
          </w:tcPr>
          <w:p w14:paraId="35E694DC" w14:textId="55CA213D" w:rsidR="003242EB" w:rsidRPr="00484BC5" w:rsidRDefault="00AC4E6E" w:rsidP="00473F2D">
            <w:pPr>
              <w:rPr>
                <w:sz w:val="24"/>
                <w:szCs w:val="24"/>
              </w:rPr>
            </w:pPr>
            <w:r w:rsidRPr="00484BC5">
              <w:rPr>
                <w:sz w:val="24"/>
                <w:szCs w:val="24"/>
              </w:rPr>
              <w:t xml:space="preserve">Unormal koordinationsevne, kramper, </w:t>
            </w:r>
            <w:proofErr w:type="spellStart"/>
            <w:r w:rsidRPr="00484BC5">
              <w:rPr>
                <w:sz w:val="24"/>
                <w:szCs w:val="24"/>
              </w:rPr>
              <w:t>hypæstesi</w:t>
            </w:r>
            <w:proofErr w:type="spellEnd"/>
            <w:r w:rsidRPr="00484BC5">
              <w:rPr>
                <w:sz w:val="24"/>
                <w:szCs w:val="24"/>
              </w:rPr>
              <w:t xml:space="preserve">, ufrivillige muskelsammentrækninger, perifer </w:t>
            </w:r>
            <w:proofErr w:type="spellStart"/>
            <w:r w:rsidRPr="00484BC5">
              <w:rPr>
                <w:sz w:val="24"/>
                <w:szCs w:val="24"/>
              </w:rPr>
              <w:t>neuropati</w:t>
            </w:r>
            <w:proofErr w:type="spellEnd"/>
            <w:r w:rsidRPr="00484BC5">
              <w:rPr>
                <w:sz w:val="24"/>
                <w:szCs w:val="24"/>
              </w:rPr>
              <w:t xml:space="preserve">, </w:t>
            </w:r>
            <w:proofErr w:type="spellStart"/>
            <w:r w:rsidRPr="00484BC5">
              <w:rPr>
                <w:sz w:val="24"/>
                <w:szCs w:val="24"/>
              </w:rPr>
              <w:t>tremor</w:t>
            </w:r>
            <w:proofErr w:type="spellEnd"/>
          </w:p>
        </w:tc>
      </w:tr>
      <w:tr w:rsidR="003242EB" w:rsidRPr="00484BC5" w14:paraId="69C5A98C" w14:textId="77777777" w:rsidTr="003242EB">
        <w:tc>
          <w:tcPr>
            <w:tcW w:w="3028" w:type="dxa"/>
            <w:vMerge/>
          </w:tcPr>
          <w:p w14:paraId="2C8C9D39" w14:textId="77777777" w:rsidR="003242EB" w:rsidRPr="00484BC5" w:rsidRDefault="003242EB" w:rsidP="00473F2D">
            <w:pPr>
              <w:rPr>
                <w:sz w:val="24"/>
                <w:szCs w:val="24"/>
              </w:rPr>
            </w:pPr>
          </w:p>
        </w:tc>
        <w:tc>
          <w:tcPr>
            <w:tcW w:w="2877" w:type="dxa"/>
          </w:tcPr>
          <w:p w14:paraId="2978550C" w14:textId="090371D0" w:rsidR="003242EB" w:rsidRPr="00484BC5" w:rsidRDefault="003242EB" w:rsidP="00473F2D">
            <w:pPr>
              <w:rPr>
                <w:sz w:val="24"/>
                <w:szCs w:val="24"/>
              </w:rPr>
            </w:pPr>
            <w:r w:rsidRPr="00484BC5">
              <w:rPr>
                <w:sz w:val="24"/>
                <w:szCs w:val="24"/>
              </w:rPr>
              <w:t>Ikke kendt</w:t>
            </w:r>
          </w:p>
        </w:tc>
        <w:tc>
          <w:tcPr>
            <w:tcW w:w="2872" w:type="dxa"/>
          </w:tcPr>
          <w:p w14:paraId="08636FD3" w14:textId="53C3010D" w:rsidR="003242EB" w:rsidRPr="00484BC5" w:rsidRDefault="00AC4E6E" w:rsidP="00473F2D">
            <w:pPr>
              <w:rPr>
                <w:sz w:val="24"/>
                <w:szCs w:val="24"/>
              </w:rPr>
            </w:pPr>
            <w:r w:rsidRPr="00484BC5">
              <w:rPr>
                <w:sz w:val="24"/>
                <w:szCs w:val="24"/>
              </w:rPr>
              <w:t>Encefalopati</w:t>
            </w:r>
          </w:p>
        </w:tc>
      </w:tr>
      <w:tr w:rsidR="003242EB" w:rsidRPr="00484BC5" w14:paraId="2B38C294" w14:textId="77777777" w:rsidTr="003242EB">
        <w:tc>
          <w:tcPr>
            <w:tcW w:w="3028" w:type="dxa"/>
            <w:vMerge w:val="restart"/>
          </w:tcPr>
          <w:p w14:paraId="53D20869" w14:textId="2EFE6704" w:rsidR="003242EB" w:rsidRPr="00484BC5" w:rsidRDefault="003242EB" w:rsidP="00473F2D">
            <w:pPr>
              <w:rPr>
                <w:sz w:val="24"/>
                <w:szCs w:val="24"/>
              </w:rPr>
            </w:pPr>
            <w:r w:rsidRPr="00484BC5">
              <w:rPr>
                <w:sz w:val="24"/>
                <w:szCs w:val="24"/>
              </w:rPr>
              <w:t>Hjerte</w:t>
            </w:r>
          </w:p>
        </w:tc>
        <w:tc>
          <w:tcPr>
            <w:tcW w:w="2877" w:type="dxa"/>
          </w:tcPr>
          <w:p w14:paraId="3B997C09" w14:textId="1B7239CE" w:rsidR="003242EB" w:rsidRPr="00484BC5" w:rsidRDefault="003242EB" w:rsidP="00473F2D">
            <w:pPr>
              <w:rPr>
                <w:sz w:val="24"/>
                <w:szCs w:val="24"/>
              </w:rPr>
            </w:pPr>
            <w:r w:rsidRPr="00484BC5">
              <w:rPr>
                <w:sz w:val="24"/>
                <w:szCs w:val="24"/>
              </w:rPr>
              <w:t>Almindelig</w:t>
            </w:r>
          </w:p>
        </w:tc>
        <w:tc>
          <w:tcPr>
            <w:tcW w:w="2872" w:type="dxa"/>
          </w:tcPr>
          <w:p w14:paraId="0A384196" w14:textId="6BA03B07" w:rsidR="003242EB" w:rsidRPr="00484BC5" w:rsidRDefault="00AC4E6E" w:rsidP="00473F2D">
            <w:pPr>
              <w:rPr>
                <w:sz w:val="24"/>
                <w:szCs w:val="24"/>
              </w:rPr>
            </w:pPr>
            <w:proofErr w:type="spellStart"/>
            <w:r w:rsidRPr="00484BC5">
              <w:rPr>
                <w:sz w:val="24"/>
                <w:szCs w:val="24"/>
              </w:rPr>
              <w:t>Palpitationer</w:t>
            </w:r>
            <w:proofErr w:type="spellEnd"/>
            <w:r w:rsidRPr="00484BC5">
              <w:rPr>
                <w:sz w:val="24"/>
                <w:szCs w:val="24"/>
              </w:rPr>
              <w:t xml:space="preserve">, </w:t>
            </w:r>
            <w:proofErr w:type="spellStart"/>
            <w:r w:rsidRPr="00484BC5">
              <w:rPr>
                <w:sz w:val="24"/>
                <w:szCs w:val="24"/>
              </w:rPr>
              <w:t>takykardi</w:t>
            </w:r>
            <w:proofErr w:type="spellEnd"/>
          </w:p>
        </w:tc>
      </w:tr>
      <w:tr w:rsidR="003242EB" w:rsidRPr="00484BC5" w14:paraId="4965741A" w14:textId="77777777" w:rsidTr="003242EB">
        <w:tc>
          <w:tcPr>
            <w:tcW w:w="3028" w:type="dxa"/>
            <w:vMerge/>
          </w:tcPr>
          <w:p w14:paraId="77FD91D6" w14:textId="77777777" w:rsidR="003242EB" w:rsidRPr="00484BC5" w:rsidRDefault="003242EB" w:rsidP="00473F2D">
            <w:pPr>
              <w:rPr>
                <w:sz w:val="24"/>
                <w:szCs w:val="24"/>
              </w:rPr>
            </w:pPr>
          </w:p>
        </w:tc>
        <w:tc>
          <w:tcPr>
            <w:tcW w:w="2877" w:type="dxa"/>
          </w:tcPr>
          <w:p w14:paraId="55D0B713" w14:textId="5DCB94C2" w:rsidR="003242EB" w:rsidRPr="00484BC5" w:rsidRDefault="003242EB" w:rsidP="00473F2D">
            <w:pPr>
              <w:rPr>
                <w:sz w:val="24"/>
                <w:szCs w:val="24"/>
              </w:rPr>
            </w:pPr>
            <w:r w:rsidRPr="00484BC5">
              <w:rPr>
                <w:sz w:val="24"/>
                <w:szCs w:val="24"/>
              </w:rPr>
              <w:t>Ikke kendt</w:t>
            </w:r>
          </w:p>
        </w:tc>
        <w:tc>
          <w:tcPr>
            <w:tcW w:w="2872" w:type="dxa"/>
          </w:tcPr>
          <w:p w14:paraId="430C4951" w14:textId="0CCFBDD4" w:rsidR="003242EB" w:rsidRPr="00484BC5" w:rsidRDefault="00AC4E6E" w:rsidP="00473F2D">
            <w:pPr>
              <w:rPr>
                <w:sz w:val="24"/>
                <w:szCs w:val="24"/>
              </w:rPr>
            </w:pPr>
            <w:proofErr w:type="gramStart"/>
            <w:r w:rsidRPr="00484BC5">
              <w:rPr>
                <w:sz w:val="24"/>
                <w:szCs w:val="24"/>
              </w:rPr>
              <w:t>QT forlængelse</w:t>
            </w:r>
            <w:proofErr w:type="gramEnd"/>
            <w:r w:rsidRPr="00484BC5">
              <w:rPr>
                <w:sz w:val="24"/>
                <w:szCs w:val="24"/>
              </w:rPr>
              <w:t xml:space="preserve"> </w:t>
            </w:r>
            <w:proofErr w:type="spellStart"/>
            <w:r w:rsidRPr="00484BC5">
              <w:rPr>
                <w:sz w:val="24"/>
                <w:szCs w:val="24"/>
              </w:rPr>
              <w:t>påelektrokardiogram</w:t>
            </w:r>
            <w:proofErr w:type="spellEnd"/>
            <w:r w:rsidRPr="00484BC5">
              <w:rPr>
                <w:sz w:val="24"/>
                <w:szCs w:val="24"/>
              </w:rPr>
              <w:t xml:space="preserve">, </w:t>
            </w:r>
            <w:proofErr w:type="spellStart"/>
            <w:r w:rsidRPr="00484BC5">
              <w:rPr>
                <w:sz w:val="24"/>
                <w:szCs w:val="24"/>
              </w:rPr>
              <w:t>ventrikulær</w:t>
            </w:r>
            <w:proofErr w:type="spellEnd"/>
            <w:r w:rsidRPr="00484BC5">
              <w:rPr>
                <w:sz w:val="24"/>
                <w:szCs w:val="24"/>
              </w:rPr>
              <w:t xml:space="preserve"> </w:t>
            </w:r>
            <w:proofErr w:type="spellStart"/>
            <w:r w:rsidRPr="00484BC5">
              <w:rPr>
                <w:sz w:val="24"/>
                <w:szCs w:val="24"/>
              </w:rPr>
              <w:t>arytmi</w:t>
            </w:r>
            <w:proofErr w:type="spellEnd"/>
            <w:r w:rsidRPr="00484BC5">
              <w:rPr>
                <w:sz w:val="24"/>
                <w:szCs w:val="24"/>
              </w:rPr>
              <w:t xml:space="preserve">, </w:t>
            </w:r>
            <w:proofErr w:type="spellStart"/>
            <w:r w:rsidRPr="00484BC5">
              <w:rPr>
                <w:sz w:val="24"/>
                <w:szCs w:val="24"/>
              </w:rPr>
              <w:t>torsade</w:t>
            </w:r>
            <w:proofErr w:type="spellEnd"/>
            <w:r w:rsidRPr="00484BC5">
              <w:rPr>
                <w:sz w:val="24"/>
                <w:szCs w:val="24"/>
              </w:rPr>
              <w:t xml:space="preserve"> de pointes</w:t>
            </w:r>
          </w:p>
        </w:tc>
      </w:tr>
      <w:tr w:rsidR="00097104" w:rsidRPr="00484BC5" w14:paraId="58814B77" w14:textId="77777777" w:rsidTr="003242EB">
        <w:tc>
          <w:tcPr>
            <w:tcW w:w="3028" w:type="dxa"/>
          </w:tcPr>
          <w:p w14:paraId="1F99430C" w14:textId="641024EF" w:rsidR="00097104" w:rsidRPr="00484BC5" w:rsidRDefault="00097104" w:rsidP="00473F2D">
            <w:pPr>
              <w:rPr>
                <w:sz w:val="24"/>
                <w:szCs w:val="24"/>
              </w:rPr>
            </w:pPr>
            <w:proofErr w:type="spellStart"/>
            <w:r w:rsidRPr="00484BC5">
              <w:rPr>
                <w:color w:val="000000"/>
                <w:sz w:val="24"/>
                <w:szCs w:val="24"/>
              </w:rPr>
              <w:t>Vaskulære</w:t>
            </w:r>
            <w:proofErr w:type="spellEnd"/>
            <w:r w:rsidRPr="00484BC5">
              <w:rPr>
                <w:color w:val="000000"/>
                <w:sz w:val="24"/>
                <w:szCs w:val="24"/>
              </w:rPr>
              <w:t xml:space="preserve"> sygdomme</w:t>
            </w:r>
          </w:p>
        </w:tc>
        <w:tc>
          <w:tcPr>
            <w:tcW w:w="2877" w:type="dxa"/>
          </w:tcPr>
          <w:p w14:paraId="55ADE585" w14:textId="4148ECE6" w:rsidR="00097104" w:rsidRPr="00484BC5" w:rsidRDefault="00097104" w:rsidP="00473F2D">
            <w:pPr>
              <w:rPr>
                <w:sz w:val="24"/>
                <w:szCs w:val="24"/>
              </w:rPr>
            </w:pPr>
            <w:r w:rsidRPr="00484BC5">
              <w:rPr>
                <w:sz w:val="24"/>
                <w:szCs w:val="24"/>
              </w:rPr>
              <w:t>Almindelig</w:t>
            </w:r>
          </w:p>
        </w:tc>
        <w:tc>
          <w:tcPr>
            <w:tcW w:w="2872" w:type="dxa"/>
          </w:tcPr>
          <w:p w14:paraId="0B4B0812" w14:textId="0E731E83" w:rsidR="00097104" w:rsidRPr="00484BC5" w:rsidRDefault="00AC4E6E" w:rsidP="00473F2D">
            <w:pPr>
              <w:rPr>
                <w:sz w:val="24"/>
                <w:szCs w:val="24"/>
              </w:rPr>
            </w:pPr>
            <w:r w:rsidRPr="00484BC5">
              <w:rPr>
                <w:sz w:val="24"/>
                <w:szCs w:val="24"/>
              </w:rPr>
              <w:t xml:space="preserve">Hypertension, hypotension, </w:t>
            </w:r>
            <w:proofErr w:type="spellStart"/>
            <w:r w:rsidRPr="00484BC5">
              <w:rPr>
                <w:sz w:val="24"/>
                <w:szCs w:val="24"/>
              </w:rPr>
              <w:t>tromboflebit</w:t>
            </w:r>
            <w:r w:rsidRPr="00484BC5">
              <w:rPr>
                <w:sz w:val="24"/>
                <w:szCs w:val="24"/>
                <w:vertAlign w:val="superscript"/>
              </w:rPr>
              <w:t>a</w:t>
            </w:r>
            <w:proofErr w:type="spellEnd"/>
          </w:p>
        </w:tc>
      </w:tr>
      <w:tr w:rsidR="003242EB" w:rsidRPr="00484BC5" w14:paraId="3B76FFEC" w14:textId="77777777" w:rsidTr="003242EB">
        <w:tc>
          <w:tcPr>
            <w:tcW w:w="3028" w:type="dxa"/>
            <w:vMerge w:val="restart"/>
          </w:tcPr>
          <w:p w14:paraId="296EE15D" w14:textId="076D787A" w:rsidR="003242EB" w:rsidRPr="00484BC5" w:rsidRDefault="003242EB" w:rsidP="00473F2D">
            <w:pPr>
              <w:rPr>
                <w:sz w:val="24"/>
                <w:szCs w:val="24"/>
              </w:rPr>
            </w:pPr>
            <w:r w:rsidRPr="00484BC5">
              <w:rPr>
                <w:color w:val="000000"/>
                <w:sz w:val="24"/>
                <w:szCs w:val="24"/>
              </w:rPr>
              <w:t>Mave-tarm-kanalen</w:t>
            </w:r>
          </w:p>
        </w:tc>
        <w:tc>
          <w:tcPr>
            <w:tcW w:w="2877" w:type="dxa"/>
          </w:tcPr>
          <w:p w14:paraId="1DC885A7" w14:textId="78CF7CCA" w:rsidR="003242EB" w:rsidRPr="00484BC5" w:rsidRDefault="003242EB" w:rsidP="00473F2D">
            <w:pPr>
              <w:rPr>
                <w:sz w:val="24"/>
                <w:szCs w:val="24"/>
              </w:rPr>
            </w:pPr>
            <w:r w:rsidRPr="00484BC5">
              <w:rPr>
                <w:sz w:val="24"/>
                <w:szCs w:val="24"/>
              </w:rPr>
              <w:t>Meget almindelig</w:t>
            </w:r>
          </w:p>
        </w:tc>
        <w:tc>
          <w:tcPr>
            <w:tcW w:w="2872" w:type="dxa"/>
          </w:tcPr>
          <w:p w14:paraId="30BC1B7B" w14:textId="5B77FFC5" w:rsidR="003242EB" w:rsidRPr="00484BC5" w:rsidRDefault="00DA3AE0" w:rsidP="00473F2D">
            <w:pPr>
              <w:rPr>
                <w:sz w:val="24"/>
                <w:szCs w:val="24"/>
              </w:rPr>
            </w:pPr>
            <w:r w:rsidRPr="00484BC5">
              <w:rPr>
                <w:sz w:val="24"/>
                <w:szCs w:val="24"/>
              </w:rPr>
              <w:t>Diarré, kvalme, opkastning</w:t>
            </w:r>
          </w:p>
        </w:tc>
      </w:tr>
      <w:tr w:rsidR="003242EB" w:rsidRPr="00484BC5" w14:paraId="5AF9FED2" w14:textId="77777777" w:rsidTr="003242EB">
        <w:tc>
          <w:tcPr>
            <w:tcW w:w="3028" w:type="dxa"/>
            <w:vMerge/>
          </w:tcPr>
          <w:p w14:paraId="32DC6BF0" w14:textId="77777777" w:rsidR="003242EB" w:rsidRPr="00484BC5" w:rsidRDefault="003242EB" w:rsidP="00473F2D">
            <w:pPr>
              <w:rPr>
                <w:sz w:val="24"/>
                <w:szCs w:val="24"/>
              </w:rPr>
            </w:pPr>
          </w:p>
        </w:tc>
        <w:tc>
          <w:tcPr>
            <w:tcW w:w="2877" w:type="dxa"/>
          </w:tcPr>
          <w:p w14:paraId="4D25B067" w14:textId="4868ADE2" w:rsidR="003242EB" w:rsidRPr="00484BC5" w:rsidRDefault="003242EB" w:rsidP="00473F2D">
            <w:pPr>
              <w:rPr>
                <w:sz w:val="24"/>
                <w:szCs w:val="24"/>
              </w:rPr>
            </w:pPr>
            <w:r w:rsidRPr="00484BC5">
              <w:rPr>
                <w:sz w:val="24"/>
                <w:szCs w:val="24"/>
              </w:rPr>
              <w:t>Almindelig</w:t>
            </w:r>
          </w:p>
        </w:tc>
        <w:tc>
          <w:tcPr>
            <w:tcW w:w="2872" w:type="dxa"/>
          </w:tcPr>
          <w:p w14:paraId="39ED2D92" w14:textId="191E3DC8" w:rsidR="003242EB" w:rsidRPr="00484BC5" w:rsidRDefault="00DA3AE0" w:rsidP="00473F2D">
            <w:pPr>
              <w:rPr>
                <w:sz w:val="24"/>
                <w:szCs w:val="24"/>
              </w:rPr>
            </w:pPr>
            <w:r w:rsidRPr="00484BC5">
              <w:rPr>
                <w:sz w:val="24"/>
                <w:szCs w:val="24"/>
              </w:rPr>
              <w:t xml:space="preserve">Mavesmerter, forstoppelse, dyspepsi, </w:t>
            </w:r>
            <w:proofErr w:type="spellStart"/>
            <w:r w:rsidRPr="00484BC5">
              <w:rPr>
                <w:sz w:val="24"/>
                <w:szCs w:val="24"/>
              </w:rPr>
              <w:t>pankreatitis</w:t>
            </w:r>
            <w:proofErr w:type="spellEnd"/>
            <w:r w:rsidRPr="00484BC5">
              <w:rPr>
                <w:sz w:val="24"/>
                <w:szCs w:val="24"/>
              </w:rPr>
              <w:t xml:space="preserve">, </w:t>
            </w:r>
            <w:proofErr w:type="spellStart"/>
            <w:r w:rsidRPr="00484BC5">
              <w:rPr>
                <w:sz w:val="24"/>
                <w:szCs w:val="24"/>
              </w:rPr>
              <w:t>gastrointestinal</w:t>
            </w:r>
            <w:proofErr w:type="spellEnd"/>
            <w:r w:rsidRPr="00484BC5">
              <w:rPr>
                <w:sz w:val="24"/>
                <w:szCs w:val="24"/>
              </w:rPr>
              <w:t xml:space="preserve"> blødning</w:t>
            </w:r>
          </w:p>
        </w:tc>
      </w:tr>
      <w:tr w:rsidR="003242EB" w:rsidRPr="00484BC5" w14:paraId="11E16E79" w14:textId="77777777" w:rsidTr="003242EB">
        <w:tc>
          <w:tcPr>
            <w:tcW w:w="3028" w:type="dxa"/>
            <w:vMerge/>
          </w:tcPr>
          <w:p w14:paraId="4291A9B4" w14:textId="77777777" w:rsidR="003242EB" w:rsidRPr="00484BC5" w:rsidRDefault="003242EB" w:rsidP="00473F2D">
            <w:pPr>
              <w:rPr>
                <w:sz w:val="24"/>
                <w:szCs w:val="24"/>
              </w:rPr>
            </w:pPr>
          </w:p>
        </w:tc>
        <w:tc>
          <w:tcPr>
            <w:tcW w:w="2877" w:type="dxa"/>
          </w:tcPr>
          <w:p w14:paraId="69282798" w14:textId="6EE4F038" w:rsidR="003242EB" w:rsidRPr="00484BC5" w:rsidRDefault="003242EB" w:rsidP="00473F2D">
            <w:pPr>
              <w:rPr>
                <w:sz w:val="24"/>
                <w:szCs w:val="24"/>
              </w:rPr>
            </w:pPr>
            <w:r w:rsidRPr="00484BC5">
              <w:rPr>
                <w:sz w:val="24"/>
                <w:szCs w:val="24"/>
              </w:rPr>
              <w:t>Ikke kendt</w:t>
            </w:r>
          </w:p>
        </w:tc>
        <w:tc>
          <w:tcPr>
            <w:tcW w:w="2872" w:type="dxa"/>
          </w:tcPr>
          <w:p w14:paraId="4483DDD1" w14:textId="6F5974A6" w:rsidR="003242EB" w:rsidRPr="00484BC5" w:rsidRDefault="00DA3AE0" w:rsidP="00473F2D">
            <w:pPr>
              <w:rPr>
                <w:sz w:val="24"/>
                <w:szCs w:val="24"/>
              </w:rPr>
            </w:pPr>
            <w:proofErr w:type="spellStart"/>
            <w:r w:rsidRPr="00484BC5">
              <w:rPr>
                <w:sz w:val="24"/>
                <w:szCs w:val="24"/>
              </w:rPr>
              <w:t>Øsofageal</w:t>
            </w:r>
            <w:proofErr w:type="spellEnd"/>
            <w:r w:rsidRPr="00484BC5">
              <w:rPr>
                <w:sz w:val="24"/>
                <w:szCs w:val="24"/>
              </w:rPr>
              <w:t xml:space="preserve"> </w:t>
            </w:r>
            <w:proofErr w:type="spellStart"/>
            <w:r w:rsidRPr="00484BC5">
              <w:rPr>
                <w:sz w:val="24"/>
                <w:szCs w:val="24"/>
              </w:rPr>
              <w:t>ulceration</w:t>
            </w:r>
            <w:proofErr w:type="spellEnd"/>
          </w:p>
        </w:tc>
      </w:tr>
      <w:tr w:rsidR="00097104" w:rsidRPr="00484BC5" w14:paraId="09527FF2" w14:textId="77777777" w:rsidTr="003242EB">
        <w:tc>
          <w:tcPr>
            <w:tcW w:w="3028" w:type="dxa"/>
          </w:tcPr>
          <w:p w14:paraId="1D18D3B8" w14:textId="7D83CA3A" w:rsidR="00097104" w:rsidRPr="00484BC5" w:rsidRDefault="00C331F7" w:rsidP="00473F2D">
            <w:pPr>
              <w:rPr>
                <w:sz w:val="24"/>
                <w:szCs w:val="24"/>
              </w:rPr>
            </w:pPr>
            <w:r w:rsidRPr="00484BC5">
              <w:rPr>
                <w:color w:val="000000"/>
                <w:sz w:val="24"/>
                <w:szCs w:val="24"/>
              </w:rPr>
              <w:t>Lever og galdeveje</w:t>
            </w:r>
          </w:p>
        </w:tc>
        <w:tc>
          <w:tcPr>
            <w:tcW w:w="2877" w:type="dxa"/>
          </w:tcPr>
          <w:p w14:paraId="5C7F0A51" w14:textId="5A380799" w:rsidR="00097104" w:rsidRPr="00484BC5" w:rsidRDefault="00C331F7" w:rsidP="00473F2D">
            <w:pPr>
              <w:rPr>
                <w:sz w:val="24"/>
                <w:szCs w:val="24"/>
              </w:rPr>
            </w:pPr>
            <w:r w:rsidRPr="00484BC5">
              <w:rPr>
                <w:sz w:val="24"/>
                <w:szCs w:val="24"/>
              </w:rPr>
              <w:t>Almindelig</w:t>
            </w:r>
          </w:p>
        </w:tc>
        <w:tc>
          <w:tcPr>
            <w:tcW w:w="2872" w:type="dxa"/>
          </w:tcPr>
          <w:p w14:paraId="10BBA26A" w14:textId="13A3A5CA" w:rsidR="00097104" w:rsidRPr="00484BC5" w:rsidRDefault="00DA3AE0" w:rsidP="00473F2D">
            <w:pPr>
              <w:rPr>
                <w:sz w:val="24"/>
                <w:szCs w:val="24"/>
              </w:rPr>
            </w:pPr>
            <w:r w:rsidRPr="00484BC5">
              <w:rPr>
                <w:sz w:val="24"/>
                <w:szCs w:val="24"/>
              </w:rPr>
              <w:t>Unormal leverfunktion</w:t>
            </w:r>
          </w:p>
        </w:tc>
      </w:tr>
      <w:tr w:rsidR="004D682C" w:rsidRPr="00484BC5" w14:paraId="5C4D01B3" w14:textId="77777777" w:rsidTr="003242EB">
        <w:tc>
          <w:tcPr>
            <w:tcW w:w="3028" w:type="dxa"/>
            <w:vMerge w:val="restart"/>
          </w:tcPr>
          <w:p w14:paraId="09035108" w14:textId="147B2A57" w:rsidR="004D682C" w:rsidRPr="00484BC5" w:rsidRDefault="004D682C" w:rsidP="00473F2D">
            <w:pPr>
              <w:rPr>
                <w:sz w:val="24"/>
                <w:szCs w:val="24"/>
              </w:rPr>
            </w:pPr>
            <w:r w:rsidRPr="00484BC5">
              <w:rPr>
                <w:color w:val="000000"/>
                <w:sz w:val="24"/>
                <w:szCs w:val="24"/>
              </w:rPr>
              <w:t>Hud og subkutane væv</w:t>
            </w:r>
          </w:p>
        </w:tc>
        <w:tc>
          <w:tcPr>
            <w:tcW w:w="2877" w:type="dxa"/>
          </w:tcPr>
          <w:p w14:paraId="5F485C5F" w14:textId="17BEF85C" w:rsidR="004D682C" w:rsidRPr="00484BC5" w:rsidRDefault="004D682C" w:rsidP="00473F2D">
            <w:pPr>
              <w:rPr>
                <w:sz w:val="24"/>
                <w:szCs w:val="24"/>
              </w:rPr>
            </w:pPr>
            <w:r w:rsidRPr="00484BC5">
              <w:rPr>
                <w:sz w:val="24"/>
                <w:szCs w:val="24"/>
              </w:rPr>
              <w:t>Meget almindelig</w:t>
            </w:r>
          </w:p>
        </w:tc>
        <w:tc>
          <w:tcPr>
            <w:tcW w:w="2872" w:type="dxa"/>
          </w:tcPr>
          <w:p w14:paraId="760C98C0" w14:textId="7EE0CA98" w:rsidR="004D682C" w:rsidRPr="00484BC5" w:rsidRDefault="00DA3AE0" w:rsidP="00473F2D">
            <w:pPr>
              <w:rPr>
                <w:sz w:val="24"/>
                <w:szCs w:val="24"/>
              </w:rPr>
            </w:pPr>
            <w:r w:rsidRPr="00484BC5">
              <w:rPr>
                <w:sz w:val="24"/>
                <w:szCs w:val="24"/>
              </w:rPr>
              <w:t>Udslæt</w:t>
            </w:r>
          </w:p>
        </w:tc>
      </w:tr>
      <w:tr w:rsidR="004D682C" w:rsidRPr="00484BC5" w14:paraId="4EB510E1" w14:textId="77777777" w:rsidTr="003242EB">
        <w:tc>
          <w:tcPr>
            <w:tcW w:w="3028" w:type="dxa"/>
            <w:vMerge/>
          </w:tcPr>
          <w:p w14:paraId="2EDCC4CB" w14:textId="77777777" w:rsidR="004D682C" w:rsidRPr="00484BC5" w:rsidRDefault="004D682C" w:rsidP="00473F2D">
            <w:pPr>
              <w:rPr>
                <w:color w:val="000000"/>
                <w:sz w:val="24"/>
                <w:szCs w:val="24"/>
              </w:rPr>
            </w:pPr>
          </w:p>
        </w:tc>
        <w:tc>
          <w:tcPr>
            <w:tcW w:w="2877" w:type="dxa"/>
          </w:tcPr>
          <w:p w14:paraId="66765937" w14:textId="46A8F4AB" w:rsidR="004D682C" w:rsidRPr="00484BC5" w:rsidRDefault="004D682C" w:rsidP="00473F2D">
            <w:pPr>
              <w:rPr>
                <w:sz w:val="24"/>
                <w:szCs w:val="24"/>
              </w:rPr>
            </w:pPr>
            <w:r w:rsidRPr="00484BC5">
              <w:rPr>
                <w:sz w:val="24"/>
                <w:szCs w:val="24"/>
              </w:rPr>
              <w:t>Almindelig</w:t>
            </w:r>
          </w:p>
        </w:tc>
        <w:tc>
          <w:tcPr>
            <w:tcW w:w="2872" w:type="dxa"/>
          </w:tcPr>
          <w:p w14:paraId="65497908" w14:textId="6C5E7015" w:rsidR="004D682C" w:rsidRPr="00484BC5" w:rsidRDefault="00DA3AE0" w:rsidP="00473F2D">
            <w:pPr>
              <w:rPr>
                <w:sz w:val="24"/>
                <w:szCs w:val="24"/>
              </w:rPr>
            </w:pPr>
            <w:r w:rsidRPr="00484BC5">
              <w:rPr>
                <w:sz w:val="24"/>
                <w:szCs w:val="24"/>
              </w:rPr>
              <w:t>Kløe</w:t>
            </w:r>
          </w:p>
        </w:tc>
      </w:tr>
      <w:tr w:rsidR="004D682C" w:rsidRPr="00484BC5" w14:paraId="5B31B59D" w14:textId="77777777" w:rsidTr="003242EB">
        <w:tc>
          <w:tcPr>
            <w:tcW w:w="3028" w:type="dxa"/>
            <w:vMerge/>
          </w:tcPr>
          <w:p w14:paraId="7018852A" w14:textId="77777777" w:rsidR="004D682C" w:rsidRPr="00484BC5" w:rsidRDefault="004D682C" w:rsidP="00473F2D">
            <w:pPr>
              <w:rPr>
                <w:color w:val="000000"/>
                <w:sz w:val="24"/>
                <w:szCs w:val="24"/>
              </w:rPr>
            </w:pPr>
          </w:p>
        </w:tc>
        <w:tc>
          <w:tcPr>
            <w:tcW w:w="2877" w:type="dxa"/>
          </w:tcPr>
          <w:p w14:paraId="77B9A1ED" w14:textId="5667313D" w:rsidR="004D682C" w:rsidRPr="00484BC5" w:rsidRDefault="004D682C" w:rsidP="00473F2D">
            <w:pPr>
              <w:rPr>
                <w:sz w:val="24"/>
                <w:szCs w:val="24"/>
              </w:rPr>
            </w:pPr>
            <w:r w:rsidRPr="00484BC5">
              <w:rPr>
                <w:sz w:val="24"/>
                <w:szCs w:val="24"/>
              </w:rPr>
              <w:t>Ikke almindelig</w:t>
            </w:r>
          </w:p>
        </w:tc>
        <w:tc>
          <w:tcPr>
            <w:tcW w:w="2872" w:type="dxa"/>
          </w:tcPr>
          <w:p w14:paraId="2786031A" w14:textId="0BDEF924" w:rsidR="004D682C" w:rsidRPr="00484BC5" w:rsidRDefault="00DA3AE0" w:rsidP="00473F2D">
            <w:pPr>
              <w:rPr>
                <w:sz w:val="24"/>
                <w:szCs w:val="24"/>
              </w:rPr>
            </w:pPr>
            <w:proofErr w:type="spellStart"/>
            <w:r w:rsidRPr="00484BC5">
              <w:rPr>
                <w:sz w:val="24"/>
                <w:szCs w:val="24"/>
              </w:rPr>
              <w:t>Urticaria</w:t>
            </w:r>
            <w:proofErr w:type="spellEnd"/>
            <w:r w:rsidRPr="00484BC5">
              <w:rPr>
                <w:sz w:val="24"/>
                <w:szCs w:val="24"/>
              </w:rPr>
              <w:t xml:space="preserve">, </w:t>
            </w:r>
            <w:proofErr w:type="spellStart"/>
            <w:r w:rsidRPr="00484BC5">
              <w:rPr>
                <w:sz w:val="24"/>
                <w:szCs w:val="24"/>
              </w:rPr>
              <w:t>angioødem</w:t>
            </w:r>
            <w:proofErr w:type="spellEnd"/>
          </w:p>
        </w:tc>
      </w:tr>
      <w:tr w:rsidR="004D682C" w:rsidRPr="00484BC5" w14:paraId="233B2FD0" w14:textId="77777777" w:rsidTr="003242EB">
        <w:tc>
          <w:tcPr>
            <w:tcW w:w="3028" w:type="dxa"/>
            <w:vMerge/>
          </w:tcPr>
          <w:p w14:paraId="1CECD26A" w14:textId="77777777" w:rsidR="004D682C" w:rsidRPr="00484BC5" w:rsidRDefault="004D682C" w:rsidP="00473F2D">
            <w:pPr>
              <w:rPr>
                <w:color w:val="000000"/>
                <w:sz w:val="24"/>
                <w:szCs w:val="24"/>
              </w:rPr>
            </w:pPr>
          </w:p>
        </w:tc>
        <w:tc>
          <w:tcPr>
            <w:tcW w:w="2877" w:type="dxa"/>
          </w:tcPr>
          <w:p w14:paraId="4450FF74" w14:textId="56961B3B" w:rsidR="004D682C" w:rsidRPr="00484BC5" w:rsidRDefault="004D682C" w:rsidP="00473F2D">
            <w:pPr>
              <w:rPr>
                <w:sz w:val="24"/>
                <w:szCs w:val="24"/>
              </w:rPr>
            </w:pPr>
            <w:r w:rsidRPr="00484BC5">
              <w:rPr>
                <w:sz w:val="24"/>
                <w:szCs w:val="24"/>
              </w:rPr>
              <w:t>Ikke kendt</w:t>
            </w:r>
          </w:p>
        </w:tc>
        <w:tc>
          <w:tcPr>
            <w:tcW w:w="2872" w:type="dxa"/>
          </w:tcPr>
          <w:p w14:paraId="7264E1E6" w14:textId="31DF470F" w:rsidR="004D682C" w:rsidRPr="00484BC5" w:rsidRDefault="00DA3AE0" w:rsidP="00473F2D">
            <w:pPr>
              <w:rPr>
                <w:sz w:val="24"/>
                <w:szCs w:val="24"/>
              </w:rPr>
            </w:pPr>
            <w:r w:rsidRPr="00484BC5">
              <w:rPr>
                <w:sz w:val="24"/>
                <w:szCs w:val="24"/>
                <w:lang w:val="nb-NO"/>
              </w:rPr>
              <w:t>Erythema multiforme, toksisk epidermal nekrolyse, Stevens-Johnsons syndrom</w:t>
            </w:r>
            <w:r w:rsidRPr="00484BC5">
              <w:rPr>
                <w:sz w:val="24"/>
                <w:szCs w:val="24"/>
                <w:vertAlign w:val="superscript"/>
                <w:lang w:val="nb-NO"/>
              </w:rPr>
              <w:t>b</w:t>
            </w:r>
          </w:p>
        </w:tc>
      </w:tr>
      <w:tr w:rsidR="004D682C" w:rsidRPr="00484BC5" w14:paraId="08B044CC" w14:textId="77777777" w:rsidTr="003242EB">
        <w:tc>
          <w:tcPr>
            <w:tcW w:w="3028" w:type="dxa"/>
            <w:vMerge w:val="restart"/>
          </w:tcPr>
          <w:p w14:paraId="2CF93902" w14:textId="0070E54D" w:rsidR="004D682C" w:rsidRPr="00484BC5" w:rsidRDefault="004D682C" w:rsidP="00473F2D">
            <w:pPr>
              <w:rPr>
                <w:color w:val="000000"/>
                <w:sz w:val="24"/>
                <w:szCs w:val="24"/>
              </w:rPr>
            </w:pPr>
            <w:r w:rsidRPr="00484BC5">
              <w:rPr>
                <w:color w:val="000000"/>
                <w:sz w:val="24"/>
                <w:szCs w:val="24"/>
              </w:rPr>
              <w:t>Knogler, led, muskler og bindevæv</w:t>
            </w:r>
          </w:p>
        </w:tc>
        <w:tc>
          <w:tcPr>
            <w:tcW w:w="2877" w:type="dxa"/>
          </w:tcPr>
          <w:p w14:paraId="700CBC18" w14:textId="12D79181" w:rsidR="004D682C" w:rsidRPr="00484BC5" w:rsidRDefault="004D682C" w:rsidP="00473F2D">
            <w:pPr>
              <w:rPr>
                <w:sz w:val="24"/>
                <w:szCs w:val="24"/>
              </w:rPr>
            </w:pPr>
            <w:r w:rsidRPr="00484BC5">
              <w:rPr>
                <w:sz w:val="24"/>
                <w:szCs w:val="24"/>
              </w:rPr>
              <w:t>Almindelig</w:t>
            </w:r>
          </w:p>
        </w:tc>
        <w:tc>
          <w:tcPr>
            <w:tcW w:w="2872" w:type="dxa"/>
          </w:tcPr>
          <w:p w14:paraId="3398D1AA" w14:textId="2D3A4348" w:rsidR="004D682C" w:rsidRPr="00484BC5" w:rsidRDefault="00DA3AE0" w:rsidP="00473F2D">
            <w:pPr>
              <w:rPr>
                <w:sz w:val="24"/>
                <w:szCs w:val="24"/>
              </w:rPr>
            </w:pPr>
            <w:r w:rsidRPr="00484BC5">
              <w:rPr>
                <w:sz w:val="24"/>
                <w:szCs w:val="24"/>
              </w:rPr>
              <w:t>Myalgi</w:t>
            </w:r>
          </w:p>
        </w:tc>
      </w:tr>
      <w:tr w:rsidR="004D682C" w:rsidRPr="00484BC5" w14:paraId="33E35C05" w14:textId="77777777" w:rsidTr="003242EB">
        <w:tc>
          <w:tcPr>
            <w:tcW w:w="3028" w:type="dxa"/>
            <w:vMerge/>
          </w:tcPr>
          <w:p w14:paraId="4D089724" w14:textId="77777777" w:rsidR="004D682C" w:rsidRPr="00484BC5" w:rsidRDefault="004D682C" w:rsidP="00473F2D">
            <w:pPr>
              <w:rPr>
                <w:color w:val="000000"/>
                <w:sz w:val="24"/>
                <w:szCs w:val="24"/>
              </w:rPr>
            </w:pPr>
          </w:p>
        </w:tc>
        <w:tc>
          <w:tcPr>
            <w:tcW w:w="2877" w:type="dxa"/>
          </w:tcPr>
          <w:p w14:paraId="5D9B2B4D" w14:textId="5C956203" w:rsidR="004D682C" w:rsidRPr="00484BC5" w:rsidRDefault="004D682C" w:rsidP="00473F2D">
            <w:pPr>
              <w:rPr>
                <w:sz w:val="24"/>
                <w:szCs w:val="24"/>
              </w:rPr>
            </w:pPr>
            <w:r w:rsidRPr="00484BC5">
              <w:rPr>
                <w:sz w:val="24"/>
                <w:szCs w:val="24"/>
              </w:rPr>
              <w:t>Ikke kendt</w:t>
            </w:r>
          </w:p>
        </w:tc>
        <w:tc>
          <w:tcPr>
            <w:tcW w:w="2872" w:type="dxa"/>
          </w:tcPr>
          <w:p w14:paraId="24D9000B" w14:textId="029620A8" w:rsidR="004D682C" w:rsidRPr="00484BC5" w:rsidRDefault="00DA3AE0" w:rsidP="00473F2D">
            <w:pPr>
              <w:rPr>
                <w:sz w:val="24"/>
                <w:szCs w:val="24"/>
              </w:rPr>
            </w:pPr>
            <w:r w:rsidRPr="00484BC5">
              <w:rPr>
                <w:sz w:val="24"/>
                <w:szCs w:val="24"/>
              </w:rPr>
              <w:t xml:space="preserve">Muskelsvaghed, </w:t>
            </w:r>
            <w:proofErr w:type="spellStart"/>
            <w:r w:rsidRPr="00484BC5">
              <w:rPr>
                <w:sz w:val="24"/>
                <w:szCs w:val="24"/>
              </w:rPr>
              <w:t>myopati</w:t>
            </w:r>
            <w:proofErr w:type="spellEnd"/>
            <w:r w:rsidRPr="00484BC5">
              <w:rPr>
                <w:sz w:val="24"/>
                <w:szCs w:val="24"/>
              </w:rPr>
              <w:t xml:space="preserve">, </w:t>
            </w:r>
            <w:proofErr w:type="spellStart"/>
            <w:r w:rsidRPr="00484BC5">
              <w:rPr>
                <w:sz w:val="24"/>
                <w:szCs w:val="24"/>
              </w:rPr>
              <w:t>myositis</w:t>
            </w:r>
            <w:proofErr w:type="spellEnd"/>
            <w:r w:rsidRPr="00484BC5">
              <w:rPr>
                <w:sz w:val="24"/>
                <w:szCs w:val="24"/>
              </w:rPr>
              <w:t xml:space="preserve">, </w:t>
            </w:r>
            <w:proofErr w:type="spellStart"/>
            <w:r w:rsidRPr="00484BC5">
              <w:rPr>
                <w:sz w:val="24"/>
                <w:szCs w:val="24"/>
              </w:rPr>
              <w:t>rabdomyolyse</w:t>
            </w:r>
            <w:proofErr w:type="spellEnd"/>
          </w:p>
        </w:tc>
      </w:tr>
      <w:tr w:rsidR="004D682C" w:rsidRPr="00484BC5" w14:paraId="59C7D2B7" w14:textId="77777777" w:rsidTr="003242EB">
        <w:tc>
          <w:tcPr>
            <w:tcW w:w="3028" w:type="dxa"/>
            <w:vMerge w:val="restart"/>
          </w:tcPr>
          <w:p w14:paraId="1AECA408" w14:textId="6269EA28" w:rsidR="004D682C" w:rsidRPr="00484BC5" w:rsidRDefault="004D682C" w:rsidP="00473F2D">
            <w:pPr>
              <w:rPr>
                <w:color w:val="000000"/>
                <w:sz w:val="24"/>
                <w:szCs w:val="24"/>
              </w:rPr>
            </w:pPr>
            <w:r w:rsidRPr="00484BC5">
              <w:rPr>
                <w:color w:val="000000"/>
                <w:sz w:val="24"/>
                <w:szCs w:val="24"/>
              </w:rPr>
              <w:t>Nyrer og urinveje</w:t>
            </w:r>
          </w:p>
        </w:tc>
        <w:tc>
          <w:tcPr>
            <w:tcW w:w="2877" w:type="dxa"/>
          </w:tcPr>
          <w:p w14:paraId="035D88D9" w14:textId="0FEF916C" w:rsidR="004D682C" w:rsidRPr="00484BC5" w:rsidRDefault="004D682C" w:rsidP="00473F2D">
            <w:pPr>
              <w:rPr>
                <w:sz w:val="24"/>
                <w:szCs w:val="24"/>
              </w:rPr>
            </w:pPr>
            <w:r w:rsidRPr="00484BC5">
              <w:rPr>
                <w:sz w:val="24"/>
                <w:szCs w:val="24"/>
              </w:rPr>
              <w:t>Almindelig</w:t>
            </w:r>
          </w:p>
        </w:tc>
        <w:tc>
          <w:tcPr>
            <w:tcW w:w="2872" w:type="dxa"/>
          </w:tcPr>
          <w:p w14:paraId="36579A50" w14:textId="5C5EC031" w:rsidR="004D682C" w:rsidRPr="00484BC5" w:rsidRDefault="00DA3AE0" w:rsidP="00473F2D">
            <w:pPr>
              <w:rPr>
                <w:sz w:val="24"/>
                <w:szCs w:val="24"/>
              </w:rPr>
            </w:pPr>
            <w:r w:rsidRPr="00484BC5">
              <w:rPr>
                <w:sz w:val="24"/>
                <w:szCs w:val="24"/>
              </w:rPr>
              <w:t xml:space="preserve">Nedsat nyrefunktion, akut nyresvigt, </w:t>
            </w:r>
            <w:proofErr w:type="spellStart"/>
            <w:r w:rsidRPr="00484BC5">
              <w:rPr>
                <w:sz w:val="24"/>
                <w:szCs w:val="24"/>
              </w:rPr>
              <w:t>dysuri</w:t>
            </w:r>
            <w:proofErr w:type="spellEnd"/>
            <w:r w:rsidRPr="00484BC5">
              <w:rPr>
                <w:sz w:val="24"/>
                <w:szCs w:val="24"/>
              </w:rPr>
              <w:t xml:space="preserve">, </w:t>
            </w:r>
            <w:proofErr w:type="spellStart"/>
            <w:r w:rsidRPr="00484BC5">
              <w:rPr>
                <w:sz w:val="24"/>
                <w:szCs w:val="24"/>
              </w:rPr>
              <w:t>polyuri</w:t>
            </w:r>
            <w:proofErr w:type="spellEnd"/>
            <w:r w:rsidRPr="00484BC5">
              <w:rPr>
                <w:sz w:val="24"/>
                <w:szCs w:val="24"/>
              </w:rPr>
              <w:t xml:space="preserve">, </w:t>
            </w:r>
            <w:proofErr w:type="spellStart"/>
            <w:r w:rsidRPr="00484BC5">
              <w:rPr>
                <w:sz w:val="24"/>
                <w:szCs w:val="24"/>
              </w:rPr>
              <w:t>proteinuri</w:t>
            </w:r>
            <w:proofErr w:type="spellEnd"/>
          </w:p>
        </w:tc>
      </w:tr>
      <w:tr w:rsidR="004D682C" w:rsidRPr="00484BC5" w14:paraId="39DB4E3A" w14:textId="77777777" w:rsidTr="003242EB">
        <w:tc>
          <w:tcPr>
            <w:tcW w:w="3028" w:type="dxa"/>
            <w:vMerge/>
          </w:tcPr>
          <w:p w14:paraId="6AF279A0" w14:textId="77777777" w:rsidR="004D682C" w:rsidRPr="00484BC5" w:rsidRDefault="004D682C" w:rsidP="00473F2D">
            <w:pPr>
              <w:rPr>
                <w:color w:val="000000"/>
                <w:sz w:val="24"/>
                <w:szCs w:val="24"/>
              </w:rPr>
            </w:pPr>
          </w:p>
        </w:tc>
        <w:tc>
          <w:tcPr>
            <w:tcW w:w="2877" w:type="dxa"/>
          </w:tcPr>
          <w:p w14:paraId="7330D39A" w14:textId="59CB0170" w:rsidR="004D682C" w:rsidRPr="00484BC5" w:rsidRDefault="004D682C" w:rsidP="00473F2D">
            <w:pPr>
              <w:rPr>
                <w:sz w:val="24"/>
                <w:szCs w:val="24"/>
              </w:rPr>
            </w:pPr>
            <w:r w:rsidRPr="00484BC5">
              <w:rPr>
                <w:sz w:val="24"/>
                <w:szCs w:val="24"/>
              </w:rPr>
              <w:t>Ikke almindelig</w:t>
            </w:r>
          </w:p>
        </w:tc>
        <w:tc>
          <w:tcPr>
            <w:tcW w:w="2872" w:type="dxa"/>
          </w:tcPr>
          <w:p w14:paraId="3332AB1D" w14:textId="1E0648BA" w:rsidR="004D682C" w:rsidRPr="00484BC5" w:rsidRDefault="00DA3AE0" w:rsidP="00473F2D">
            <w:pPr>
              <w:rPr>
                <w:sz w:val="24"/>
                <w:szCs w:val="24"/>
              </w:rPr>
            </w:pPr>
            <w:proofErr w:type="spellStart"/>
            <w:r w:rsidRPr="00484BC5">
              <w:rPr>
                <w:sz w:val="24"/>
                <w:szCs w:val="24"/>
              </w:rPr>
              <w:t>Renal</w:t>
            </w:r>
            <w:proofErr w:type="spellEnd"/>
            <w:r w:rsidRPr="00484BC5">
              <w:rPr>
                <w:sz w:val="24"/>
                <w:szCs w:val="24"/>
              </w:rPr>
              <w:t xml:space="preserve"> </w:t>
            </w:r>
            <w:proofErr w:type="spellStart"/>
            <w:r w:rsidRPr="00484BC5">
              <w:rPr>
                <w:sz w:val="24"/>
                <w:szCs w:val="24"/>
              </w:rPr>
              <w:t>tubulær</w:t>
            </w:r>
            <w:proofErr w:type="spellEnd"/>
            <w:r w:rsidRPr="00484BC5">
              <w:rPr>
                <w:sz w:val="24"/>
                <w:szCs w:val="24"/>
              </w:rPr>
              <w:t xml:space="preserve"> sygdom, </w:t>
            </w:r>
            <w:proofErr w:type="spellStart"/>
            <w:r w:rsidRPr="00484BC5">
              <w:rPr>
                <w:sz w:val="24"/>
                <w:szCs w:val="24"/>
              </w:rPr>
              <w:t>glomerulonefritis</w:t>
            </w:r>
            <w:proofErr w:type="spellEnd"/>
            <w:r w:rsidRPr="00484BC5">
              <w:rPr>
                <w:sz w:val="24"/>
                <w:szCs w:val="24"/>
              </w:rPr>
              <w:t xml:space="preserve">, </w:t>
            </w:r>
            <w:proofErr w:type="spellStart"/>
            <w:r w:rsidRPr="00484BC5">
              <w:rPr>
                <w:sz w:val="24"/>
                <w:szCs w:val="24"/>
              </w:rPr>
              <w:t>nefrotisk</w:t>
            </w:r>
            <w:proofErr w:type="spellEnd"/>
            <w:r w:rsidRPr="00484BC5">
              <w:rPr>
                <w:sz w:val="24"/>
                <w:szCs w:val="24"/>
              </w:rPr>
              <w:t xml:space="preserve"> syndrom</w:t>
            </w:r>
          </w:p>
        </w:tc>
      </w:tr>
      <w:tr w:rsidR="004D682C" w:rsidRPr="00484BC5" w14:paraId="3E502021" w14:textId="77777777" w:rsidTr="003242EB">
        <w:tc>
          <w:tcPr>
            <w:tcW w:w="3028" w:type="dxa"/>
            <w:vMerge/>
          </w:tcPr>
          <w:p w14:paraId="02E0930A" w14:textId="77777777" w:rsidR="004D682C" w:rsidRPr="00484BC5" w:rsidRDefault="004D682C" w:rsidP="00473F2D">
            <w:pPr>
              <w:rPr>
                <w:color w:val="000000"/>
                <w:sz w:val="24"/>
                <w:szCs w:val="24"/>
              </w:rPr>
            </w:pPr>
          </w:p>
        </w:tc>
        <w:tc>
          <w:tcPr>
            <w:tcW w:w="2877" w:type="dxa"/>
          </w:tcPr>
          <w:p w14:paraId="7C75A0C6" w14:textId="6FF293DF" w:rsidR="004D682C" w:rsidRPr="00484BC5" w:rsidRDefault="004D682C" w:rsidP="00473F2D">
            <w:pPr>
              <w:rPr>
                <w:sz w:val="24"/>
                <w:szCs w:val="24"/>
              </w:rPr>
            </w:pPr>
            <w:r w:rsidRPr="00484BC5">
              <w:rPr>
                <w:sz w:val="24"/>
                <w:szCs w:val="24"/>
              </w:rPr>
              <w:t>Ikke kendt</w:t>
            </w:r>
          </w:p>
        </w:tc>
        <w:tc>
          <w:tcPr>
            <w:tcW w:w="2872" w:type="dxa"/>
          </w:tcPr>
          <w:p w14:paraId="47A5CA56" w14:textId="2B3CF438" w:rsidR="004D682C" w:rsidRPr="00484BC5" w:rsidRDefault="00DA3AE0" w:rsidP="00473F2D">
            <w:pPr>
              <w:rPr>
                <w:sz w:val="24"/>
                <w:szCs w:val="24"/>
              </w:rPr>
            </w:pPr>
            <w:r w:rsidRPr="00484BC5">
              <w:rPr>
                <w:sz w:val="24"/>
                <w:szCs w:val="24"/>
              </w:rPr>
              <w:t xml:space="preserve">Nyresmerter, </w:t>
            </w:r>
            <w:proofErr w:type="spellStart"/>
            <w:r w:rsidRPr="00484BC5">
              <w:rPr>
                <w:sz w:val="24"/>
                <w:szCs w:val="24"/>
              </w:rPr>
              <w:t>renal</w:t>
            </w:r>
            <w:proofErr w:type="spellEnd"/>
            <w:r w:rsidRPr="00484BC5">
              <w:rPr>
                <w:sz w:val="24"/>
                <w:szCs w:val="24"/>
              </w:rPr>
              <w:t xml:space="preserve"> </w:t>
            </w:r>
            <w:proofErr w:type="spellStart"/>
            <w:r w:rsidRPr="00484BC5">
              <w:rPr>
                <w:sz w:val="24"/>
                <w:szCs w:val="24"/>
              </w:rPr>
              <w:t>tubulær</w:t>
            </w:r>
            <w:proofErr w:type="spellEnd"/>
            <w:r w:rsidRPr="00484BC5">
              <w:rPr>
                <w:sz w:val="24"/>
                <w:szCs w:val="24"/>
              </w:rPr>
              <w:t xml:space="preserve"> </w:t>
            </w:r>
            <w:proofErr w:type="spellStart"/>
            <w:r w:rsidRPr="00484BC5">
              <w:rPr>
                <w:sz w:val="24"/>
                <w:szCs w:val="24"/>
              </w:rPr>
              <w:t>adidose</w:t>
            </w:r>
            <w:proofErr w:type="spellEnd"/>
            <w:r w:rsidRPr="00484BC5">
              <w:rPr>
                <w:sz w:val="24"/>
                <w:szCs w:val="24"/>
              </w:rPr>
              <w:t xml:space="preserve">, </w:t>
            </w:r>
            <w:proofErr w:type="spellStart"/>
            <w:r w:rsidRPr="00484BC5">
              <w:rPr>
                <w:sz w:val="24"/>
                <w:szCs w:val="24"/>
              </w:rPr>
              <w:t>renal</w:t>
            </w:r>
            <w:proofErr w:type="spellEnd"/>
            <w:r w:rsidRPr="00484BC5">
              <w:rPr>
                <w:sz w:val="24"/>
                <w:szCs w:val="24"/>
              </w:rPr>
              <w:t xml:space="preserve"> </w:t>
            </w:r>
            <w:proofErr w:type="spellStart"/>
            <w:r w:rsidRPr="00484BC5">
              <w:rPr>
                <w:sz w:val="24"/>
                <w:szCs w:val="24"/>
              </w:rPr>
              <w:t>tubulær</w:t>
            </w:r>
            <w:proofErr w:type="spellEnd"/>
            <w:r w:rsidRPr="00484BC5">
              <w:rPr>
                <w:sz w:val="24"/>
                <w:szCs w:val="24"/>
              </w:rPr>
              <w:t xml:space="preserve"> nekrose, akut </w:t>
            </w:r>
            <w:proofErr w:type="spellStart"/>
            <w:r w:rsidRPr="00484BC5">
              <w:rPr>
                <w:sz w:val="24"/>
                <w:szCs w:val="24"/>
              </w:rPr>
              <w:t>renal</w:t>
            </w:r>
            <w:proofErr w:type="spellEnd"/>
            <w:r w:rsidRPr="00484BC5">
              <w:rPr>
                <w:sz w:val="24"/>
                <w:szCs w:val="24"/>
              </w:rPr>
              <w:t xml:space="preserve"> </w:t>
            </w:r>
            <w:proofErr w:type="spellStart"/>
            <w:r w:rsidRPr="00484BC5">
              <w:rPr>
                <w:sz w:val="24"/>
                <w:szCs w:val="24"/>
              </w:rPr>
              <w:t>tubulær</w:t>
            </w:r>
            <w:proofErr w:type="spellEnd"/>
            <w:r w:rsidRPr="00484BC5">
              <w:rPr>
                <w:sz w:val="24"/>
                <w:szCs w:val="24"/>
              </w:rPr>
              <w:t xml:space="preserve"> nekrose, </w:t>
            </w:r>
            <w:proofErr w:type="spellStart"/>
            <w:r w:rsidRPr="00484BC5">
              <w:rPr>
                <w:sz w:val="24"/>
                <w:szCs w:val="24"/>
              </w:rPr>
              <w:t>krystalnefropati</w:t>
            </w:r>
            <w:proofErr w:type="spellEnd"/>
            <w:r w:rsidRPr="00484BC5">
              <w:rPr>
                <w:sz w:val="24"/>
                <w:szCs w:val="24"/>
              </w:rPr>
              <w:t>, hæmaturi</w:t>
            </w:r>
          </w:p>
        </w:tc>
      </w:tr>
      <w:tr w:rsidR="00965831" w:rsidRPr="00484BC5" w14:paraId="518DDDCA" w14:textId="77777777" w:rsidTr="003242EB">
        <w:tc>
          <w:tcPr>
            <w:tcW w:w="3028" w:type="dxa"/>
          </w:tcPr>
          <w:p w14:paraId="2013B245" w14:textId="3E9423C7" w:rsidR="00965831" w:rsidRPr="00484BC5" w:rsidRDefault="00965831" w:rsidP="00473F2D">
            <w:pPr>
              <w:rPr>
                <w:color w:val="000000"/>
                <w:sz w:val="24"/>
                <w:szCs w:val="24"/>
              </w:rPr>
            </w:pPr>
            <w:r w:rsidRPr="00484BC5">
              <w:rPr>
                <w:color w:val="000000"/>
                <w:sz w:val="24"/>
                <w:szCs w:val="24"/>
              </w:rPr>
              <w:t>Det reproduktive system og mammae</w:t>
            </w:r>
          </w:p>
        </w:tc>
        <w:tc>
          <w:tcPr>
            <w:tcW w:w="2877" w:type="dxa"/>
          </w:tcPr>
          <w:p w14:paraId="2EAAD0CB" w14:textId="1D57EF4F" w:rsidR="00965831" w:rsidRPr="00484BC5" w:rsidRDefault="00965831" w:rsidP="00473F2D">
            <w:pPr>
              <w:rPr>
                <w:sz w:val="24"/>
                <w:szCs w:val="24"/>
              </w:rPr>
            </w:pPr>
            <w:r w:rsidRPr="00484BC5">
              <w:rPr>
                <w:sz w:val="24"/>
                <w:szCs w:val="24"/>
              </w:rPr>
              <w:t>Almindelig</w:t>
            </w:r>
          </w:p>
        </w:tc>
        <w:tc>
          <w:tcPr>
            <w:tcW w:w="2872" w:type="dxa"/>
          </w:tcPr>
          <w:p w14:paraId="6A18B969" w14:textId="1D5DAB4F" w:rsidR="00965831" w:rsidRPr="00484BC5" w:rsidRDefault="00DA3AE0" w:rsidP="00473F2D">
            <w:pPr>
              <w:rPr>
                <w:sz w:val="24"/>
                <w:szCs w:val="24"/>
              </w:rPr>
            </w:pPr>
            <w:r w:rsidRPr="00484BC5">
              <w:rPr>
                <w:sz w:val="24"/>
                <w:szCs w:val="24"/>
              </w:rPr>
              <w:t xml:space="preserve">Genitalt ubehag og genital </w:t>
            </w:r>
            <w:proofErr w:type="spellStart"/>
            <w:r w:rsidRPr="00484BC5">
              <w:rPr>
                <w:sz w:val="24"/>
                <w:szCs w:val="24"/>
              </w:rPr>
              <w:t>ulceration</w:t>
            </w:r>
            <w:r w:rsidRPr="00484BC5">
              <w:rPr>
                <w:sz w:val="24"/>
                <w:szCs w:val="24"/>
                <w:vertAlign w:val="superscript"/>
              </w:rPr>
              <w:t>c</w:t>
            </w:r>
            <w:proofErr w:type="spellEnd"/>
          </w:p>
        </w:tc>
      </w:tr>
      <w:tr w:rsidR="004D682C" w:rsidRPr="00484BC5" w14:paraId="1F129465" w14:textId="77777777" w:rsidTr="003242EB">
        <w:tc>
          <w:tcPr>
            <w:tcW w:w="3028" w:type="dxa"/>
            <w:vMerge w:val="restart"/>
          </w:tcPr>
          <w:p w14:paraId="24B7B31A" w14:textId="68BB3566" w:rsidR="004D682C" w:rsidRPr="00484BC5" w:rsidRDefault="004D682C" w:rsidP="00473F2D">
            <w:pPr>
              <w:rPr>
                <w:color w:val="000000"/>
                <w:sz w:val="24"/>
                <w:szCs w:val="24"/>
              </w:rPr>
            </w:pPr>
            <w:r w:rsidRPr="00484BC5">
              <w:rPr>
                <w:color w:val="000000"/>
                <w:sz w:val="24"/>
                <w:szCs w:val="24"/>
              </w:rPr>
              <w:t>Almene symptomer og reaktioner på administrationsstedet</w:t>
            </w:r>
          </w:p>
        </w:tc>
        <w:tc>
          <w:tcPr>
            <w:tcW w:w="2877" w:type="dxa"/>
          </w:tcPr>
          <w:p w14:paraId="365EC576" w14:textId="7C70EF59" w:rsidR="004D682C" w:rsidRPr="00484BC5" w:rsidRDefault="004D682C" w:rsidP="00473F2D">
            <w:pPr>
              <w:rPr>
                <w:sz w:val="24"/>
                <w:szCs w:val="24"/>
              </w:rPr>
            </w:pPr>
            <w:r w:rsidRPr="00484BC5">
              <w:rPr>
                <w:sz w:val="24"/>
                <w:szCs w:val="24"/>
              </w:rPr>
              <w:t>Meget almindelig</w:t>
            </w:r>
          </w:p>
        </w:tc>
        <w:tc>
          <w:tcPr>
            <w:tcW w:w="2872" w:type="dxa"/>
          </w:tcPr>
          <w:p w14:paraId="6CCA119D" w14:textId="2D81EFFF" w:rsidR="004D682C" w:rsidRPr="00484BC5" w:rsidRDefault="001159FD" w:rsidP="00473F2D">
            <w:pPr>
              <w:rPr>
                <w:sz w:val="24"/>
                <w:szCs w:val="24"/>
              </w:rPr>
            </w:pPr>
            <w:r w:rsidRPr="00484BC5">
              <w:rPr>
                <w:sz w:val="24"/>
                <w:szCs w:val="24"/>
              </w:rPr>
              <w:t xml:space="preserve">Asteni, kulderystelser, træthed, </w:t>
            </w:r>
            <w:proofErr w:type="spellStart"/>
            <w:r w:rsidRPr="00484BC5">
              <w:rPr>
                <w:sz w:val="24"/>
                <w:szCs w:val="24"/>
              </w:rPr>
              <w:t>pyreksi</w:t>
            </w:r>
            <w:proofErr w:type="spellEnd"/>
          </w:p>
        </w:tc>
      </w:tr>
      <w:tr w:rsidR="004D682C" w:rsidRPr="00484BC5" w14:paraId="4CF741FB" w14:textId="77777777" w:rsidTr="003242EB">
        <w:tc>
          <w:tcPr>
            <w:tcW w:w="3028" w:type="dxa"/>
            <w:vMerge/>
          </w:tcPr>
          <w:p w14:paraId="3F8F733E" w14:textId="77777777" w:rsidR="004D682C" w:rsidRPr="00484BC5" w:rsidRDefault="004D682C" w:rsidP="00473F2D">
            <w:pPr>
              <w:rPr>
                <w:color w:val="000000"/>
                <w:sz w:val="24"/>
                <w:szCs w:val="24"/>
              </w:rPr>
            </w:pPr>
          </w:p>
        </w:tc>
        <w:tc>
          <w:tcPr>
            <w:tcW w:w="2877" w:type="dxa"/>
          </w:tcPr>
          <w:p w14:paraId="7D44E73D" w14:textId="4BF3B5B5" w:rsidR="004D682C" w:rsidRPr="00484BC5" w:rsidRDefault="004D682C" w:rsidP="00473F2D">
            <w:pPr>
              <w:rPr>
                <w:sz w:val="24"/>
                <w:szCs w:val="24"/>
              </w:rPr>
            </w:pPr>
            <w:r w:rsidRPr="00484BC5">
              <w:rPr>
                <w:sz w:val="24"/>
                <w:szCs w:val="24"/>
              </w:rPr>
              <w:t>Almindelig</w:t>
            </w:r>
          </w:p>
        </w:tc>
        <w:tc>
          <w:tcPr>
            <w:tcW w:w="2872" w:type="dxa"/>
          </w:tcPr>
          <w:p w14:paraId="57680792" w14:textId="305D84A6" w:rsidR="004D682C" w:rsidRPr="00484BC5" w:rsidRDefault="001159FD" w:rsidP="00473F2D">
            <w:pPr>
              <w:rPr>
                <w:sz w:val="24"/>
                <w:szCs w:val="24"/>
              </w:rPr>
            </w:pPr>
            <w:proofErr w:type="spellStart"/>
            <w:r w:rsidRPr="00484BC5">
              <w:rPr>
                <w:sz w:val="24"/>
                <w:szCs w:val="24"/>
              </w:rPr>
              <w:t>Malaise</w:t>
            </w:r>
            <w:proofErr w:type="spellEnd"/>
            <w:r w:rsidRPr="00484BC5">
              <w:rPr>
                <w:sz w:val="24"/>
                <w:szCs w:val="24"/>
              </w:rPr>
              <w:t xml:space="preserve">, ødem, </w:t>
            </w:r>
            <w:proofErr w:type="spellStart"/>
            <w:r w:rsidRPr="00484BC5">
              <w:rPr>
                <w:sz w:val="24"/>
                <w:szCs w:val="24"/>
              </w:rPr>
              <w:t>brystsmerter</w:t>
            </w:r>
            <w:r w:rsidRPr="00484BC5">
              <w:rPr>
                <w:sz w:val="24"/>
                <w:szCs w:val="24"/>
                <w:vertAlign w:val="superscript"/>
              </w:rPr>
              <w:t>d</w:t>
            </w:r>
            <w:proofErr w:type="spellEnd"/>
            <w:r w:rsidRPr="00484BC5">
              <w:rPr>
                <w:sz w:val="24"/>
                <w:szCs w:val="24"/>
              </w:rPr>
              <w:t>, smerter på injektionsstedet, inflammation på injektionsstedet</w:t>
            </w:r>
          </w:p>
        </w:tc>
      </w:tr>
      <w:tr w:rsidR="004D682C" w:rsidRPr="00484BC5" w14:paraId="31A863FF" w14:textId="77777777" w:rsidTr="003242EB">
        <w:tc>
          <w:tcPr>
            <w:tcW w:w="3028" w:type="dxa"/>
            <w:vMerge/>
          </w:tcPr>
          <w:p w14:paraId="0A646E66" w14:textId="77777777" w:rsidR="004D682C" w:rsidRPr="00484BC5" w:rsidRDefault="004D682C" w:rsidP="00473F2D">
            <w:pPr>
              <w:rPr>
                <w:color w:val="000000"/>
                <w:sz w:val="24"/>
                <w:szCs w:val="24"/>
              </w:rPr>
            </w:pPr>
          </w:p>
        </w:tc>
        <w:tc>
          <w:tcPr>
            <w:tcW w:w="2877" w:type="dxa"/>
          </w:tcPr>
          <w:p w14:paraId="49EBEE2F" w14:textId="64ACD975" w:rsidR="004D682C" w:rsidRPr="00484BC5" w:rsidRDefault="004D682C" w:rsidP="00473F2D">
            <w:pPr>
              <w:rPr>
                <w:sz w:val="24"/>
                <w:szCs w:val="24"/>
              </w:rPr>
            </w:pPr>
            <w:r w:rsidRPr="00484BC5">
              <w:rPr>
                <w:sz w:val="24"/>
                <w:szCs w:val="24"/>
              </w:rPr>
              <w:t>Ikke kendt</w:t>
            </w:r>
          </w:p>
        </w:tc>
        <w:tc>
          <w:tcPr>
            <w:tcW w:w="2872" w:type="dxa"/>
          </w:tcPr>
          <w:p w14:paraId="7B1D6493" w14:textId="4A4B38D6" w:rsidR="004D682C" w:rsidRPr="00484BC5" w:rsidRDefault="001159FD" w:rsidP="00473F2D">
            <w:pPr>
              <w:rPr>
                <w:sz w:val="24"/>
                <w:szCs w:val="24"/>
              </w:rPr>
            </w:pPr>
            <w:proofErr w:type="spellStart"/>
            <w:r w:rsidRPr="00484BC5">
              <w:rPr>
                <w:sz w:val="24"/>
                <w:szCs w:val="24"/>
              </w:rPr>
              <w:t>Ekstravasation</w:t>
            </w:r>
            <w:proofErr w:type="spellEnd"/>
          </w:p>
        </w:tc>
      </w:tr>
      <w:tr w:rsidR="004D682C" w:rsidRPr="00484BC5" w14:paraId="3F18F87D" w14:textId="77777777" w:rsidTr="003242EB">
        <w:tc>
          <w:tcPr>
            <w:tcW w:w="3028" w:type="dxa"/>
            <w:vMerge w:val="restart"/>
          </w:tcPr>
          <w:p w14:paraId="5E3F9BAC" w14:textId="16C2092A" w:rsidR="004D682C" w:rsidRPr="00484BC5" w:rsidRDefault="004D682C" w:rsidP="00473F2D">
            <w:pPr>
              <w:rPr>
                <w:color w:val="000000"/>
                <w:sz w:val="24"/>
                <w:szCs w:val="24"/>
              </w:rPr>
            </w:pPr>
            <w:r w:rsidRPr="00484BC5">
              <w:rPr>
                <w:color w:val="000000"/>
                <w:sz w:val="24"/>
                <w:szCs w:val="24"/>
              </w:rPr>
              <w:t>Undersøgelser</w:t>
            </w:r>
          </w:p>
        </w:tc>
        <w:tc>
          <w:tcPr>
            <w:tcW w:w="2877" w:type="dxa"/>
          </w:tcPr>
          <w:p w14:paraId="49440235" w14:textId="10803A6F" w:rsidR="004D682C" w:rsidRPr="00484BC5" w:rsidRDefault="004D682C" w:rsidP="00473F2D">
            <w:pPr>
              <w:rPr>
                <w:sz w:val="24"/>
                <w:szCs w:val="24"/>
              </w:rPr>
            </w:pPr>
            <w:r w:rsidRPr="00484BC5">
              <w:rPr>
                <w:sz w:val="24"/>
                <w:szCs w:val="24"/>
              </w:rPr>
              <w:t>Meget almindelig</w:t>
            </w:r>
          </w:p>
        </w:tc>
        <w:tc>
          <w:tcPr>
            <w:tcW w:w="2872" w:type="dxa"/>
          </w:tcPr>
          <w:p w14:paraId="5115743C" w14:textId="0598AA88" w:rsidR="004D682C" w:rsidRPr="00484BC5" w:rsidRDefault="001159FD" w:rsidP="00473F2D">
            <w:pPr>
              <w:rPr>
                <w:sz w:val="24"/>
                <w:szCs w:val="24"/>
              </w:rPr>
            </w:pPr>
            <w:r w:rsidRPr="00484BC5">
              <w:rPr>
                <w:sz w:val="24"/>
                <w:szCs w:val="24"/>
              </w:rPr>
              <w:t xml:space="preserve">Forhøjet </w:t>
            </w:r>
            <w:proofErr w:type="spellStart"/>
            <w:r w:rsidRPr="00484BC5">
              <w:rPr>
                <w:sz w:val="24"/>
                <w:szCs w:val="24"/>
              </w:rPr>
              <w:t>kreatinin</w:t>
            </w:r>
            <w:proofErr w:type="spellEnd"/>
            <w:r w:rsidRPr="00484BC5">
              <w:rPr>
                <w:sz w:val="24"/>
                <w:szCs w:val="24"/>
              </w:rPr>
              <w:t xml:space="preserve"> i blodet, fald i hæmoglobin</w:t>
            </w:r>
          </w:p>
        </w:tc>
      </w:tr>
      <w:tr w:rsidR="004D682C" w:rsidRPr="00484BC5" w14:paraId="0D0DB6F2" w14:textId="77777777" w:rsidTr="003242EB">
        <w:tc>
          <w:tcPr>
            <w:tcW w:w="3028" w:type="dxa"/>
            <w:vMerge/>
          </w:tcPr>
          <w:p w14:paraId="106BA4EE" w14:textId="77777777" w:rsidR="004D682C" w:rsidRPr="00484BC5" w:rsidRDefault="004D682C" w:rsidP="00473F2D">
            <w:pPr>
              <w:rPr>
                <w:color w:val="000000"/>
                <w:sz w:val="24"/>
                <w:szCs w:val="24"/>
              </w:rPr>
            </w:pPr>
          </w:p>
        </w:tc>
        <w:tc>
          <w:tcPr>
            <w:tcW w:w="2877" w:type="dxa"/>
          </w:tcPr>
          <w:p w14:paraId="0CA2F9BC" w14:textId="2BF17046" w:rsidR="004D682C" w:rsidRPr="00484BC5" w:rsidRDefault="004D682C" w:rsidP="00473F2D">
            <w:pPr>
              <w:rPr>
                <w:sz w:val="24"/>
                <w:szCs w:val="24"/>
              </w:rPr>
            </w:pPr>
            <w:r w:rsidRPr="00484BC5">
              <w:rPr>
                <w:sz w:val="24"/>
                <w:szCs w:val="24"/>
              </w:rPr>
              <w:t>Almindelig</w:t>
            </w:r>
          </w:p>
        </w:tc>
        <w:tc>
          <w:tcPr>
            <w:tcW w:w="2872" w:type="dxa"/>
          </w:tcPr>
          <w:p w14:paraId="63534868" w14:textId="493C8392" w:rsidR="004D682C" w:rsidRPr="00484BC5" w:rsidRDefault="001159FD" w:rsidP="00473F2D">
            <w:pPr>
              <w:rPr>
                <w:sz w:val="24"/>
                <w:szCs w:val="24"/>
              </w:rPr>
            </w:pPr>
            <w:r w:rsidRPr="00484BC5">
              <w:rPr>
                <w:sz w:val="24"/>
                <w:szCs w:val="24"/>
              </w:rPr>
              <w:t xml:space="preserve">Fald i </w:t>
            </w:r>
            <w:proofErr w:type="spellStart"/>
            <w:r w:rsidRPr="00484BC5">
              <w:rPr>
                <w:sz w:val="24"/>
                <w:szCs w:val="24"/>
              </w:rPr>
              <w:t>kreatininclearance</w:t>
            </w:r>
            <w:proofErr w:type="spellEnd"/>
            <w:r w:rsidRPr="00484BC5">
              <w:rPr>
                <w:sz w:val="24"/>
                <w:szCs w:val="24"/>
              </w:rPr>
              <w:t xml:space="preserve"> i nyrerne, unormalt elektrokardiogram, forhøjet </w:t>
            </w:r>
            <w:proofErr w:type="spellStart"/>
            <w:r w:rsidRPr="00484BC5">
              <w:rPr>
                <w:sz w:val="24"/>
                <w:szCs w:val="24"/>
              </w:rPr>
              <w:t>gammaglutamyltransferase</w:t>
            </w:r>
            <w:proofErr w:type="spellEnd"/>
            <w:r w:rsidRPr="00484BC5">
              <w:rPr>
                <w:sz w:val="24"/>
                <w:szCs w:val="24"/>
              </w:rPr>
              <w:t xml:space="preserve">, forhøjet </w:t>
            </w:r>
            <w:proofErr w:type="spellStart"/>
            <w:r w:rsidRPr="00484BC5">
              <w:rPr>
                <w:sz w:val="24"/>
                <w:szCs w:val="24"/>
              </w:rPr>
              <w:t>alaninaminotransferase</w:t>
            </w:r>
            <w:proofErr w:type="spellEnd"/>
            <w:r w:rsidRPr="00484BC5">
              <w:rPr>
                <w:sz w:val="24"/>
                <w:szCs w:val="24"/>
              </w:rPr>
              <w:t xml:space="preserve">, forhøjet </w:t>
            </w:r>
            <w:proofErr w:type="spellStart"/>
            <w:r w:rsidRPr="00484BC5">
              <w:rPr>
                <w:sz w:val="24"/>
                <w:szCs w:val="24"/>
              </w:rPr>
              <w:t>aspartataminotransferase</w:t>
            </w:r>
            <w:proofErr w:type="spellEnd"/>
            <w:r w:rsidRPr="00484BC5">
              <w:rPr>
                <w:sz w:val="24"/>
                <w:szCs w:val="24"/>
              </w:rPr>
              <w:t xml:space="preserve">, forhøjet </w:t>
            </w:r>
            <w:proofErr w:type="spellStart"/>
            <w:r w:rsidRPr="00484BC5">
              <w:rPr>
                <w:sz w:val="24"/>
                <w:szCs w:val="24"/>
              </w:rPr>
              <w:t>lipase</w:t>
            </w:r>
            <w:proofErr w:type="spellEnd"/>
          </w:p>
        </w:tc>
      </w:tr>
      <w:tr w:rsidR="004D682C" w:rsidRPr="00484BC5" w14:paraId="4378C7DE" w14:textId="77777777" w:rsidTr="003242EB">
        <w:tc>
          <w:tcPr>
            <w:tcW w:w="3028" w:type="dxa"/>
            <w:vMerge/>
          </w:tcPr>
          <w:p w14:paraId="765E1C1C" w14:textId="77777777" w:rsidR="004D682C" w:rsidRPr="00484BC5" w:rsidRDefault="004D682C" w:rsidP="00473F2D">
            <w:pPr>
              <w:rPr>
                <w:color w:val="000000"/>
                <w:sz w:val="24"/>
                <w:szCs w:val="24"/>
              </w:rPr>
            </w:pPr>
          </w:p>
        </w:tc>
        <w:tc>
          <w:tcPr>
            <w:tcW w:w="2877" w:type="dxa"/>
          </w:tcPr>
          <w:p w14:paraId="13695D2E" w14:textId="7C10293B" w:rsidR="004D682C" w:rsidRPr="00484BC5" w:rsidRDefault="004D682C" w:rsidP="00473F2D">
            <w:pPr>
              <w:rPr>
                <w:sz w:val="24"/>
                <w:szCs w:val="24"/>
              </w:rPr>
            </w:pPr>
            <w:r w:rsidRPr="00484BC5">
              <w:rPr>
                <w:sz w:val="24"/>
                <w:szCs w:val="24"/>
              </w:rPr>
              <w:t>Ikke almindelig</w:t>
            </w:r>
          </w:p>
        </w:tc>
        <w:tc>
          <w:tcPr>
            <w:tcW w:w="2872" w:type="dxa"/>
          </w:tcPr>
          <w:p w14:paraId="4C285CB1" w14:textId="793AA458" w:rsidR="004D682C" w:rsidRPr="00484BC5" w:rsidRDefault="001159FD" w:rsidP="00473F2D">
            <w:pPr>
              <w:rPr>
                <w:sz w:val="24"/>
                <w:szCs w:val="24"/>
              </w:rPr>
            </w:pPr>
            <w:r w:rsidRPr="00484BC5">
              <w:rPr>
                <w:sz w:val="24"/>
                <w:szCs w:val="24"/>
              </w:rPr>
              <w:t xml:space="preserve">Forhøjet amylase, forhøjet </w:t>
            </w:r>
            <w:proofErr w:type="spellStart"/>
            <w:r w:rsidRPr="00484BC5">
              <w:rPr>
                <w:sz w:val="24"/>
                <w:szCs w:val="24"/>
              </w:rPr>
              <w:t>kreatininfosfokinase</w:t>
            </w:r>
            <w:proofErr w:type="spellEnd"/>
            <w:r w:rsidRPr="00484BC5">
              <w:rPr>
                <w:sz w:val="24"/>
                <w:szCs w:val="24"/>
              </w:rPr>
              <w:t xml:space="preserve"> i blodet</w:t>
            </w:r>
          </w:p>
        </w:tc>
      </w:tr>
    </w:tbl>
    <w:p w14:paraId="4B93E3C2" w14:textId="08B29C30" w:rsidR="008562FC" w:rsidRPr="005F77CE" w:rsidRDefault="008562FC" w:rsidP="001159FD">
      <w:pPr>
        <w:ind w:left="1276" w:hanging="425"/>
        <w:rPr>
          <w:sz w:val="24"/>
          <w:szCs w:val="24"/>
          <w:lang w:eastAsia="en-GB"/>
        </w:rPr>
      </w:pPr>
      <w:r w:rsidRPr="005F77CE">
        <w:rPr>
          <w:sz w:val="24"/>
          <w:szCs w:val="24"/>
          <w:vertAlign w:val="superscript"/>
        </w:rPr>
        <w:t>a</w:t>
      </w:r>
      <w:r w:rsidR="0062390A">
        <w:rPr>
          <w:sz w:val="24"/>
          <w:szCs w:val="24"/>
          <w:vertAlign w:val="superscript"/>
        </w:rPr>
        <w:tab/>
      </w:r>
      <w:proofErr w:type="spellStart"/>
      <w:r w:rsidRPr="005F77CE">
        <w:rPr>
          <w:sz w:val="24"/>
          <w:szCs w:val="24"/>
        </w:rPr>
        <w:t>Tromboflebit</w:t>
      </w:r>
      <w:proofErr w:type="spellEnd"/>
      <w:r w:rsidRPr="005F77CE">
        <w:rPr>
          <w:sz w:val="24"/>
          <w:szCs w:val="24"/>
        </w:rPr>
        <w:t xml:space="preserve"> er observeret i perifere vener er observeret efter infusion med ufortyndet </w:t>
      </w:r>
      <w:proofErr w:type="spellStart"/>
      <w:r w:rsidRPr="005F77CE">
        <w:rPr>
          <w:sz w:val="24"/>
          <w:szCs w:val="24"/>
        </w:rPr>
        <w:t>foscarnetnatriumhexahydratopløsning</w:t>
      </w:r>
      <w:proofErr w:type="spellEnd"/>
      <w:r w:rsidRPr="005F77CE">
        <w:rPr>
          <w:sz w:val="24"/>
          <w:szCs w:val="24"/>
        </w:rPr>
        <w:t>.</w:t>
      </w:r>
    </w:p>
    <w:p w14:paraId="0395583B" w14:textId="471EA12C" w:rsidR="008562FC" w:rsidRPr="005F77CE" w:rsidRDefault="008562FC" w:rsidP="001159FD">
      <w:pPr>
        <w:ind w:left="1276" w:hanging="425"/>
        <w:rPr>
          <w:sz w:val="24"/>
          <w:szCs w:val="24"/>
        </w:rPr>
      </w:pPr>
      <w:r w:rsidRPr="005F77CE">
        <w:rPr>
          <w:sz w:val="24"/>
          <w:szCs w:val="24"/>
          <w:vertAlign w:val="superscript"/>
        </w:rPr>
        <w:t xml:space="preserve">b </w:t>
      </w:r>
      <w:r w:rsidR="0062390A">
        <w:rPr>
          <w:sz w:val="24"/>
          <w:szCs w:val="24"/>
          <w:vertAlign w:val="superscript"/>
        </w:rPr>
        <w:tab/>
      </w:r>
      <w:r w:rsidRPr="005F77CE">
        <w:rPr>
          <w:sz w:val="24"/>
          <w:szCs w:val="24"/>
        </w:rPr>
        <w:t xml:space="preserve">Der er rapporteret tilfælde af </w:t>
      </w:r>
      <w:proofErr w:type="spellStart"/>
      <w:r w:rsidRPr="005F77CE">
        <w:rPr>
          <w:sz w:val="24"/>
          <w:szCs w:val="24"/>
        </w:rPr>
        <w:t>vesikulobulløse</w:t>
      </w:r>
      <w:proofErr w:type="spellEnd"/>
      <w:r w:rsidRPr="005F77CE">
        <w:rPr>
          <w:sz w:val="24"/>
          <w:szCs w:val="24"/>
        </w:rPr>
        <w:t xml:space="preserve"> udbrud, herunder </w:t>
      </w:r>
      <w:proofErr w:type="spellStart"/>
      <w:r w:rsidRPr="005F77CE">
        <w:rPr>
          <w:sz w:val="24"/>
          <w:szCs w:val="24"/>
        </w:rPr>
        <w:t>erythema</w:t>
      </w:r>
      <w:proofErr w:type="spellEnd"/>
      <w:r w:rsidRPr="005F77CE">
        <w:rPr>
          <w:sz w:val="24"/>
          <w:szCs w:val="24"/>
        </w:rPr>
        <w:t xml:space="preserve"> multiforme, toksisk </w:t>
      </w:r>
      <w:proofErr w:type="spellStart"/>
      <w:r w:rsidRPr="005F77CE">
        <w:rPr>
          <w:sz w:val="24"/>
          <w:szCs w:val="24"/>
        </w:rPr>
        <w:t>epidermal</w:t>
      </w:r>
      <w:proofErr w:type="spellEnd"/>
      <w:r w:rsidRPr="005F77CE">
        <w:rPr>
          <w:sz w:val="24"/>
          <w:szCs w:val="24"/>
        </w:rPr>
        <w:t xml:space="preserve"> </w:t>
      </w:r>
      <w:proofErr w:type="spellStart"/>
      <w:r w:rsidRPr="005F77CE">
        <w:rPr>
          <w:sz w:val="24"/>
          <w:szCs w:val="24"/>
        </w:rPr>
        <w:t>nekrolyse</w:t>
      </w:r>
      <w:proofErr w:type="spellEnd"/>
      <w:r w:rsidRPr="005F77CE">
        <w:rPr>
          <w:sz w:val="24"/>
          <w:szCs w:val="24"/>
        </w:rPr>
        <w:t xml:space="preserve"> og Stevens-Johnsons syndrom. I de fleste tilfælde tog patienterne anden medicin, som er blevet knyttet til toksisk </w:t>
      </w:r>
      <w:proofErr w:type="spellStart"/>
      <w:r w:rsidRPr="005F77CE">
        <w:rPr>
          <w:sz w:val="24"/>
          <w:szCs w:val="24"/>
        </w:rPr>
        <w:t>epidermal</w:t>
      </w:r>
      <w:proofErr w:type="spellEnd"/>
      <w:r w:rsidRPr="005F77CE">
        <w:rPr>
          <w:sz w:val="24"/>
          <w:szCs w:val="24"/>
        </w:rPr>
        <w:t xml:space="preserve"> </w:t>
      </w:r>
      <w:proofErr w:type="spellStart"/>
      <w:r w:rsidRPr="005F77CE">
        <w:rPr>
          <w:sz w:val="24"/>
          <w:szCs w:val="24"/>
        </w:rPr>
        <w:t>nekrolyse</w:t>
      </w:r>
      <w:proofErr w:type="spellEnd"/>
      <w:r w:rsidRPr="005F77CE">
        <w:rPr>
          <w:sz w:val="24"/>
          <w:szCs w:val="24"/>
        </w:rPr>
        <w:t xml:space="preserve"> eller Stevens-Johnsons syndrom.</w:t>
      </w:r>
    </w:p>
    <w:p w14:paraId="13667F3E" w14:textId="7D19F69D" w:rsidR="008562FC" w:rsidRPr="005F77CE" w:rsidRDefault="008562FC" w:rsidP="001159FD">
      <w:pPr>
        <w:ind w:left="1276" w:hanging="425"/>
        <w:rPr>
          <w:sz w:val="24"/>
          <w:szCs w:val="24"/>
        </w:rPr>
      </w:pPr>
      <w:r w:rsidRPr="005F77CE">
        <w:rPr>
          <w:sz w:val="24"/>
          <w:szCs w:val="24"/>
          <w:vertAlign w:val="superscript"/>
        </w:rPr>
        <w:t>c</w:t>
      </w:r>
      <w:r w:rsidR="0062390A">
        <w:rPr>
          <w:sz w:val="24"/>
          <w:szCs w:val="24"/>
          <w:vertAlign w:val="superscript"/>
        </w:rPr>
        <w:tab/>
      </w:r>
      <w:proofErr w:type="spellStart"/>
      <w:r w:rsidRPr="005F77CE">
        <w:rPr>
          <w:sz w:val="24"/>
          <w:szCs w:val="24"/>
        </w:rPr>
        <w:t>Foscarnetnatriumhexahydrat</w:t>
      </w:r>
      <w:proofErr w:type="spellEnd"/>
      <w:r w:rsidRPr="005F77CE">
        <w:rPr>
          <w:sz w:val="24"/>
          <w:szCs w:val="24"/>
        </w:rPr>
        <w:t xml:space="preserve"> udskilles i høje koncentrationer i urinen og kan være knyttet til signifikant irritation og </w:t>
      </w:r>
      <w:proofErr w:type="spellStart"/>
      <w:r w:rsidRPr="005F77CE">
        <w:rPr>
          <w:sz w:val="24"/>
          <w:szCs w:val="24"/>
        </w:rPr>
        <w:t>ulceration</w:t>
      </w:r>
      <w:proofErr w:type="spellEnd"/>
      <w:r w:rsidRPr="005F77CE">
        <w:rPr>
          <w:sz w:val="24"/>
          <w:szCs w:val="24"/>
        </w:rPr>
        <w:t xml:space="preserve"> i det genitale område efter længere tids behandling</w:t>
      </w:r>
    </w:p>
    <w:p w14:paraId="5E2C1CA7" w14:textId="6816D8DF" w:rsidR="008562FC" w:rsidRPr="005F77CE" w:rsidRDefault="008562FC" w:rsidP="001159FD">
      <w:pPr>
        <w:ind w:left="1276" w:hanging="425"/>
        <w:rPr>
          <w:sz w:val="24"/>
          <w:szCs w:val="24"/>
        </w:rPr>
      </w:pPr>
      <w:r w:rsidRPr="005F77CE">
        <w:rPr>
          <w:sz w:val="24"/>
          <w:szCs w:val="24"/>
          <w:vertAlign w:val="superscript"/>
        </w:rPr>
        <w:t>d</w:t>
      </w:r>
      <w:r w:rsidR="0062390A">
        <w:rPr>
          <w:sz w:val="24"/>
          <w:szCs w:val="24"/>
          <w:vertAlign w:val="superscript"/>
        </w:rPr>
        <w:tab/>
      </w:r>
      <w:r w:rsidRPr="005F77CE">
        <w:rPr>
          <w:sz w:val="24"/>
          <w:szCs w:val="24"/>
        </w:rPr>
        <w:t xml:space="preserve">Transiente brystsmerter været rapporteret som en del af infusionsreaktioner på </w:t>
      </w:r>
      <w:proofErr w:type="spellStart"/>
      <w:r w:rsidRPr="005F77CE">
        <w:rPr>
          <w:sz w:val="24"/>
          <w:szCs w:val="24"/>
        </w:rPr>
        <w:t>foscarnetnatriumhexahydrat</w:t>
      </w:r>
      <w:proofErr w:type="spellEnd"/>
      <w:r w:rsidRPr="005F77CE">
        <w:rPr>
          <w:sz w:val="24"/>
          <w:szCs w:val="24"/>
        </w:rPr>
        <w:t>.</w:t>
      </w:r>
    </w:p>
    <w:p w14:paraId="5D54162C" w14:textId="77777777" w:rsidR="008562FC" w:rsidRPr="005F77CE" w:rsidRDefault="008562FC" w:rsidP="00473F2D">
      <w:pPr>
        <w:rPr>
          <w:sz w:val="24"/>
          <w:szCs w:val="24"/>
        </w:rPr>
      </w:pPr>
    </w:p>
    <w:p w14:paraId="7DE37836" w14:textId="77777777" w:rsidR="008562FC" w:rsidRPr="005F77CE" w:rsidRDefault="008562FC" w:rsidP="00473F2D">
      <w:pPr>
        <w:ind w:left="851"/>
        <w:rPr>
          <w:sz w:val="24"/>
          <w:szCs w:val="24"/>
          <w:u w:val="single"/>
        </w:rPr>
      </w:pPr>
      <w:r w:rsidRPr="005F77CE">
        <w:rPr>
          <w:sz w:val="24"/>
          <w:szCs w:val="24"/>
          <w:u w:val="single"/>
        </w:rPr>
        <w:t>Indberetning af formodede bivirkninger</w:t>
      </w:r>
    </w:p>
    <w:p w14:paraId="1A87B4D8" w14:textId="77777777" w:rsidR="008562FC" w:rsidRPr="005F77CE" w:rsidRDefault="008562FC" w:rsidP="00473F2D">
      <w:pPr>
        <w:ind w:left="851"/>
        <w:rPr>
          <w:sz w:val="24"/>
          <w:szCs w:val="24"/>
        </w:rPr>
      </w:pPr>
      <w:r w:rsidRPr="005F77CE">
        <w:rPr>
          <w:sz w:val="24"/>
          <w:szCs w:val="24"/>
        </w:rPr>
        <w:t>Når lægemidlet er godkendt, er indberetning af formodede bivirkninger vigtig. Det muliggør løbende overvågning af benefit/</w:t>
      </w:r>
      <w:proofErr w:type="spellStart"/>
      <w:r w:rsidRPr="005F77CE">
        <w:rPr>
          <w:sz w:val="24"/>
          <w:szCs w:val="24"/>
        </w:rPr>
        <w:t>risk</w:t>
      </w:r>
      <w:proofErr w:type="spellEnd"/>
      <w:r w:rsidRPr="005F77CE">
        <w:rPr>
          <w:sz w:val="24"/>
          <w:szCs w:val="24"/>
        </w:rPr>
        <w:t>-forholdet for lægemidlet. Sundhedspersoner anmodes om at indberette alle formodede bivirkninger til Lægemiddelstyrelsen via</w:t>
      </w:r>
    </w:p>
    <w:p w14:paraId="63317472" w14:textId="77777777" w:rsidR="008562FC" w:rsidRPr="005F77CE" w:rsidRDefault="008562FC" w:rsidP="00473F2D">
      <w:pPr>
        <w:ind w:left="851"/>
        <w:rPr>
          <w:sz w:val="24"/>
          <w:szCs w:val="24"/>
        </w:rPr>
      </w:pPr>
    </w:p>
    <w:p w14:paraId="7B4D192B" w14:textId="77777777" w:rsidR="008562FC" w:rsidRPr="005F77CE" w:rsidRDefault="008562FC" w:rsidP="00473F2D">
      <w:pPr>
        <w:ind w:left="851"/>
        <w:rPr>
          <w:rFonts w:eastAsia="Calibri"/>
          <w:color w:val="000000"/>
          <w:sz w:val="24"/>
          <w:szCs w:val="24"/>
          <w:lang w:eastAsia="zh-CN"/>
        </w:rPr>
      </w:pPr>
      <w:r w:rsidRPr="005F77CE">
        <w:rPr>
          <w:sz w:val="24"/>
          <w:szCs w:val="24"/>
        </w:rPr>
        <w:t>Lægemiddelstyrelsen</w:t>
      </w:r>
    </w:p>
    <w:p w14:paraId="57CB8C11" w14:textId="77777777" w:rsidR="008562FC" w:rsidRPr="005F77CE" w:rsidRDefault="008562FC" w:rsidP="00473F2D">
      <w:pPr>
        <w:ind w:left="851"/>
        <w:rPr>
          <w:rFonts w:eastAsia="Calibri"/>
          <w:noProof/>
          <w:sz w:val="24"/>
          <w:szCs w:val="24"/>
          <w:lang w:eastAsia="zh-CN"/>
        </w:rPr>
      </w:pPr>
      <w:r w:rsidRPr="005F77CE">
        <w:rPr>
          <w:rFonts w:eastAsia="Calibri"/>
          <w:sz w:val="24"/>
          <w:szCs w:val="24"/>
          <w:lang w:eastAsia="zh-CN"/>
        </w:rPr>
        <w:t>Axel Heides Gade 1</w:t>
      </w:r>
    </w:p>
    <w:p w14:paraId="36C95559" w14:textId="77777777" w:rsidR="008562FC" w:rsidRPr="005F77CE" w:rsidRDefault="008562FC" w:rsidP="00473F2D">
      <w:pPr>
        <w:ind w:left="851"/>
        <w:rPr>
          <w:rFonts w:eastAsia="Calibri"/>
          <w:noProof/>
          <w:sz w:val="24"/>
          <w:szCs w:val="24"/>
          <w:lang w:eastAsia="zh-CN"/>
        </w:rPr>
      </w:pPr>
      <w:r w:rsidRPr="005F77CE">
        <w:rPr>
          <w:rFonts w:eastAsia="Calibri"/>
          <w:noProof/>
          <w:sz w:val="24"/>
          <w:szCs w:val="24"/>
          <w:lang w:eastAsia="zh-CN"/>
        </w:rPr>
        <w:lastRenderedPageBreak/>
        <w:t xml:space="preserve">DK-2300 </w:t>
      </w:r>
      <w:r w:rsidRPr="005F77CE">
        <w:rPr>
          <w:rFonts w:eastAsia="Calibri"/>
          <w:sz w:val="24"/>
          <w:szCs w:val="24"/>
          <w:lang w:eastAsia="zh-CN"/>
        </w:rPr>
        <w:t>København S</w:t>
      </w:r>
    </w:p>
    <w:p w14:paraId="64DC03C2" w14:textId="77777777" w:rsidR="008562FC" w:rsidRPr="005F77CE" w:rsidRDefault="008562FC" w:rsidP="00473F2D">
      <w:pPr>
        <w:ind w:left="851"/>
        <w:rPr>
          <w:sz w:val="24"/>
          <w:szCs w:val="24"/>
          <w:lang w:eastAsia="en-GB"/>
        </w:rPr>
      </w:pPr>
      <w:r w:rsidRPr="005F77CE">
        <w:rPr>
          <w:rFonts w:eastAsia="Calibri"/>
          <w:sz w:val="24"/>
          <w:szCs w:val="24"/>
          <w:lang w:eastAsia="zh-CN"/>
        </w:rPr>
        <w:t>Websted</w:t>
      </w:r>
      <w:r w:rsidRPr="005F77CE">
        <w:rPr>
          <w:rFonts w:eastAsia="Calibri"/>
          <w:noProof/>
          <w:sz w:val="24"/>
          <w:szCs w:val="24"/>
          <w:lang w:eastAsia="zh-CN"/>
        </w:rPr>
        <w:t>: www.meldenbivirkning.dk</w:t>
      </w:r>
    </w:p>
    <w:p w14:paraId="670DA814" w14:textId="77777777" w:rsidR="009260DE" w:rsidRPr="005F77CE" w:rsidRDefault="009260DE" w:rsidP="00A10294">
      <w:pPr>
        <w:tabs>
          <w:tab w:val="left" w:pos="851"/>
        </w:tabs>
        <w:ind w:left="851"/>
        <w:rPr>
          <w:sz w:val="24"/>
          <w:szCs w:val="24"/>
        </w:rPr>
      </w:pPr>
    </w:p>
    <w:p w14:paraId="11F60200" w14:textId="77777777" w:rsidR="009260DE" w:rsidRPr="005F77CE" w:rsidRDefault="009260DE" w:rsidP="009260DE">
      <w:pPr>
        <w:tabs>
          <w:tab w:val="left" w:pos="851"/>
        </w:tabs>
        <w:ind w:left="851" w:hanging="851"/>
        <w:rPr>
          <w:b/>
          <w:sz w:val="24"/>
          <w:szCs w:val="24"/>
        </w:rPr>
      </w:pPr>
      <w:r w:rsidRPr="005F77CE">
        <w:rPr>
          <w:b/>
          <w:sz w:val="24"/>
          <w:szCs w:val="24"/>
        </w:rPr>
        <w:t>4.9</w:t>
      </w:r>
      <w:r w:rsidRPr="005F77CE">
        <w:rPr>
          <w:b/>
          <w:sz w:val="24"/>
          <w:szCs w:val="24"/>
        </w:rPr>
        <w:tab/>
        <w:t>Overdosering</w:t>
      </w:r>
    </w:p>
    <w:p w14:paraId="7CD147C5" w14:textId="77777777" w:rsidR="008562FC" w:rsidRPr="005F77CE" w:rsidRDefault="008562FC" w:rsidP="00473F2D">
      <w:pPr>
        <w:ind w:left="851"/>
        <w:rPr>
          <w:sz w:val="24"/>
          <w:szCs w:val="24"/>
        </w:rPr>
      </w:pPr>
      <w:r w:rsidRPr="005F77CE">
        <w:rPr>
          <w:sz w:val="24"/>
          <w:szCs w:val="24"/>
        </w:rPr>
        <w:t xml:space="preserve">Der er rapporteret overdosering under brug af </w:t>
      </w:r>
      <w:proofErr w:type="spellStart"/>
      <w:r w:rsidRPr="005F77CE">
        <w:rPr>
          <w:sz w:val="24"/>
          <w:szCs w:val="24"/>
        </w:rPr>
        <w:t>foscarnetnatriumhexahydrat</w:t>
      </w:r>
      <w:proofErr w:type="spellEnd"/>
      <w:r w:rsidRPr="005F77CE">
        <w:rPr>
          <w:sz w:val="24"/>
          <w:szCs w:val="24"/>
        </w:rPr>
        <w:t>. Den højeste dosis var ca. 20 gange den anbefalede dosis. Nogle af tilfældene var relative overdoseringer, dvs. at dosis af de anvendte aktive stoffer ikke var blevet justeret øjeblikkeligt for en patient, der oplevede nedsat nyrefunktion.</w:t>
      </w:r>
    </w:p>
    <w:p w14:paraId="03BB520C" w14:textId="77777777" w:rsidR="008562FC" w:rsidRPr="005F77CE" w:rsidRDefault="008562FC" w:rsidP="00473F2D">
      <w:pPr>
        <w:ind w:left="851"/>
        <w:rPr>
          <w:rFonts w:eastAsia="Arial Unicode MS"/>
          <w:sz w:val="24"/>
          <w:szCs w:val="24"/>
        </w:rPr>
      </w:pPr>
    </w:p>
    <w:p w14:paraId="4447450A" w14:textId="77777777" w:rsidR="008562FC" w:rsidRPr="005F77CE" w:rsidRDefault="008562FC" w:rsidP="00473F2D">
      <w:pPr>
        <w:ind w:left="851"/>
        <w:rPr>
          <w:sz w:val="24"/>
          <w:szCs w:val="24"/>
        </w:rPr>
      </w:pPr>
      <w:r w:rsidRPr="005F77CE">
        <w:rPr>
          <w:sz w:val="24"/>
          <w:szCs w:val="24"/>
        </w:rPr>
        <w:t xml:space="preserve">Der er tilfælde, hvor det er rapporteret, at der ikke var nogen kliniske </w:t>
      </w:r>
      <w:proofErr w:type="spellStart"/>
      <w:r w:rsidRPr="005F77CE">
        <w:rPr>
          <w:sz w:val="24"/>
          <w:szCs w:val="24"/>
        </w:rPr>
        <w:t>sequelae</w:t>
      </w:r>
      <w:proofErr w:type="spellEnd"/>
      <w:r w:rsidRPr="005F77CE">
        <w:rPr>
          <w:sz w:val="24"/>
          <w:szCs w:val="24"/>
        </w:rPr>
        <w:t xml:space="preserve"> som følge af overdoseringen. </w:t>
      </w:r>
    </w:p>
    <w:p w14:paraId="7D3070B0" w14:textId="77777777" w:rsidR="008562FC" w:rsidRPr="005F77CE" w:rsidRDefault="008562FC" w:rsidP="00473F2D">
      <w:pPr>
        <w:ind w:left="851"/>
        <w:rPr>
          <w:rFonts w:eastAsia="Arial Unicode MS"/>
          <w:sz w:val="24"/>
          <w:szCs w:val="24"/>
        </w:rPr>
      </w:pPr>
    </w:p>
    <w:p w14:paraId="46600AE5" w14:textId="77777777" w:rsidR="008562FC" w:rsidRPr="005F77CE" w:rsidRDefault="008562FC" w:rsidP="00473F2D">
      <w:pPr>
        <w:ind w:left="851"/>
        <w:rPr>
          <w:rFonts w:eastAsia="Arial Unicode MS"/>
          <w:sz w:val="24"/>
          <w:szCs w:val="24"/>
        </w:rPr>
      </w:pPr>
      <w:r w:rsidRPr="005F77CE">
        <w:rPr>
          <w:sz w:val="24"/>
          <w:szCs w:val="24"/>
        </w:rPr>
        <w:t xml:space="preserve">De symptomer, der er rapporteret i tilknytning til en overdosering af </w:t>
      </w:r>
      <w:proofErr w:type="spellStart"/>
      <w:r w:rsidRPr="005F77CE">
        <w:rPr>
          <w:sz w:val="24"/>
          <w:szCs w:val="24"/>
        </w:rPr>
        <w:t>foscarnetnatriumhexahydrat</w:t>
      </w:r>
      <w:proofErr w:type="spellEnd"/>
      <w:r w:rsidRPr="005F77CE">
        <w:rPr>
          <w:sz w:val="24"/>
          <w:szCs w:val="24"/>
        </w:rPr>
        <w:t>, er i overensstemmelse med den kendte bivirkningsprofil for det aktive stof (se pkt. 4.8).</w:t>
      </w:r>
    </w:p>
    <w:p w14:paraId="6D8ECFE0" w14:textId="77777777" w:rsidR="008562FC" w:rsidRPr="005F77CE" w:rsidRDefault="008562FC" w:rsidP="00473F2D">
      <w:pPr>
        <w:ind w:left="851"/>
        <w:rPr>
          <w:rFonts w:eastAsia="Arial Unicode MS"/>
          <w:sz w:val="24"/>
          <w:szCs w:val="24"/>
        </w:rPr>
      </w:pPr>
    </w:p>
    <w:p w14:paraId="1AC9B8AB" w14:textId="77777777" w:rsidR="008562FC" w:rsidRPr="005F77CE" w:rsidRDefault="008562FC" w:rsidP="00473F2D">
      <w:pPr>
        <w:ind w:left="851"/>
        <w:rPr>
          <w:sz w:val="24"/>
          <w:szCs w:val="24"/>
        </w:rPr>
      </w:pPr>
      <w:r w:rsidRPr="005F77CE">
        <w:rPr>
          <w:sz w:val="24"/>
          <w:szCs w:val="24"/>
        </w:rPr>
        <w:t xml:space="preserve">Hæmodialyse øger udskillelsen af </w:t>
      </w:r>
      <w:proofErr w:type="spellStart"/>
      <w:r w:rsidRPr="005F77CE">
        <w:rPr>
          <w:sz w:val="24"/>
          <w:szCs w:val="24"/>
        </w:rPr>
        <w:t>foscarnetnatriumhexahydrat</w:t>
      </w:r>
      <w:proofErr w:type="spellEnd"/>
      <w:r w:rsidRPr="005F77CE">
        <w:rPr>
          <w:sz w:val="24"/>
          <w:szCs w:val="24"/>
        </w:rPr>
        <w:t xml:space="preserve"> og kan anvendes med fordel i relevante tilfælde.</w:t>
      </w:r>
    </w:p>
    <w:p w14:paraId="0BF7D014" w14:textId="77777777" w:rsidR="009260DE" w:rsidRPr="005F77CE" w:rsidRDefault="009260DE" w:rsidP="009260DE">
      <w:pPr>
        <w:tabs>
          <w:tab w:val="left" w:pos="851"/>
        </w:tabs>
        <w:ind w:left="851"/>
        <w:rPr>
          <w:sz w:val="24"/>
          <w:szCs w:val="24"/>
        </w:rPr>
      </w:pPr>
    </w:p>
    <w:p w14:paraId="3CF64224" w14:textId="77777777" w:rsidR="009260DE" w:rsidRPr="005F77CE" w:rsidRDefault="009260DE" w:rsidP="009260DE">
      <w:pPr>
        <w:tabs>
          <w:tab w:val="left" w:pos="851"/>
        </w:tabs>
        <w:ind w:left="851" w:hanging="851"/>
        <w:rPr>
          <w:b/>
          <w:sz w:val="24"/>
          <w:szCs w:val="24"/>
        </w:rPr>
      </w:pPr>
      <w:r w:rsidRPr="005F77CE">
        <w:rPr>
          <w:b/>
          <w:sz w:val="24"/>
          <w:szCs w:val="24"/>
        </w:rPr>
        <w:t>4.10</w:t>
      </w:r>
      <w:r w:rsidRPr="005F77CE">
        <w:rPr>
          <w:b/>
          <w:sz w:val="24"/>
          <w:szCs w:val="24"/>
        </w:rPr>
        <w:tab/>
        <w:t>Udlevering</w:t>
      </w:r>
    </w:p>
    <w:p w14:paraId="4E5445BB" w14:textId="3268248D" w:rsidR="009260DE" w:rsidRPr="005F77CE" w:rsidRDefault="0062390A" w:rsidP="009260DE">
      <w:pPr>
        <w:tabs>
          <w:tab w:val="left" w:pos="851"/>
        </w:tabs>
        <w:ind w:left="851"/>
        <w:rPr>
          <w:sz w:val="24"/>
          <w:szCs w:val="24"/>
        </w:rPr>
      </w:pPr>
      <w:r>
        <w:rPr>
          <w:sz w:val="24"/>
          <w:szCs w:val="24"/>
        </w:rPr>
        <w:t>BEGR – kun til sygehuse</w:t>
      </w:r>
    </w:p>
    <w:p w14:paraId="1203EAEE" w14:textId="77777777" w:rsidR="009260DE" w:rsidRPr="005F77CE" w:rsidRDefault="009260DE" w:rsidP="009260DE">
      <w:pPr>
        <w:tabs>
          <w:tab w:val="left" w:pos="851"/>
        </w:tabs>
        <w:ind w:left="851"/>
        <w:rPr>
          <w:sz w:val="24"/>
          <w:szCs w:val="24"/>
        </w:rPr>
      </w:pPr>
    </w:p>
    <w:p w14:paraId="3B5877B1" w14:textId="77777777" w:rsidR="009260DE" w:rsidRPr="005F77CE" w:rsidRDefault="009260DE" w:rsidP="009260DE">
      <w:pPr>
        <w:tabs>
          <w:tab w:val="left" w:pos="851"/>
        </w:tabs>
        <w:ind w:left="851"/>
        <w:rPr>
          <w:sz w:val="24"/>
          <w:szCs w:val="24"/>
        </w:rPr>
      </w:pPr>
    </w:p>
    <w:p w14:paraId="4BF482DD" w14:textId="77777777" w:rsidR="009260DE" w:rsidRPr="005F77CE" w:rsidRDefault="009260DE" w:rsidP="009260DE">
      <w:pPr>
        <w:tabs>
          <w:tab w:val="left" w:pos="851"/>
        </w:tabs>
        <w:ind w:left="851" w:hanging="851"/>
        <w:rPr>
          <w:b/>
          <w:sz w:val="24"/>
          <w:szCs w:val="24"/>
        </w:rPr>
      </w:pPr>
      <w:r w:rsidRPr="005F77CE">
        <w:rPr>
          <w:b/>
          <w:sz w:val="24"/>
          <w:szCs w:val="24"/>
        </w:rPr>
        <w:t>5.</w:t>
      </w:r>
      <w:r w:rsidRPr="005F77CE">
        <w:rPr>
          <w:b/>
          <w:sz w:val="24"/>
          <w:szCs w:val="24"/>
        </w:rPr>
        <w:tab/>
        <w:t>FARMAKOLOGISKE EGENSKABER</w:t>
      </w:r>
    </w:p>
    <w:p w14:paraId="7E4D2FA6" w14:textId="77777777" w:rsidR="009260DE" w:rsidRPr="005F77CE" w:rsidRDefault="009260DE" w:rsidP="009260DE">
      <w:pPr>
        <w:tabs>
          <w:tab w:val="left" w:pos="851"/>
        </w:tabs>
        <w:ind w:left="851"/>
        <w:rPr>
          <w:sz w:val="24"/>
          <w:szCs w:val="24"/>
        </w:rPr>
      </w:pPr>
    </w:p>
    <w:p w14:paraId="7229EB90" w14:textId="77777777" w:rsidR="009260DE" w:rsidRPr="005F77CE" w:rsidRDefault="009260DE" w:rsidP="009260DE">
      <w:pPr>
        <w:tabs>
          <w:tab w:val="left" w:pos="851"/>
        </w:tabs>
        <w:ind w:left="851" w:hanging="851"/>
        <w:rPr>
          <w:b/>
          <w:sz w:val="24"/>
          <w:szCs w:val="24"/>
        </w:rPr>
      </w:pPr>
      <w:r w:rsidRPr="005F77CE">
        <w:rPr>
          <w:b/>
          <w:sz w:val="24"/>
          <w:szCs w:val="24"/>
        </w:rPr>
        <w:t>5.0</w:t>
      </w:r>
      <w:r w:rsidRPr="005F77CE">
        <w:rPr>
          <w:b/>
          <w:sz w:val="24"/>
          <w:szCs w:val="24"/>
        </w:rPr>
        <w:tab/>
        <w:t>Terapeutisk klassifikation</w:t>
      </w:r>
    </w:p>
    <w:p w14:paraId="2F6A92C6" w14:textId="0A409CA5" w:rsidR="008562FC" w:rsidRPr="005F77CE" w:rsidRDefault="00473F2D" w:rsidP="00473F2D">
      <w:pPr>
        <w:ind w:left="851"/>
        <w:rPr>
          <w:rFonts w:eastAsia="Arial Unicode MS"/>
          <w:sz w:val="24"/>
          <w:szCs w:val="24"/>
          <w:lang w:eastAsia="en-GB"/>
        </w:rPr>
      </w:pPr>
      <w:r w:rsidRPr="005F77CE">
        <w:rPr>
          <w:sz w:val="24"/>
          <w:szCs w:val="24"/>
        </w:rPr>
        <w:t>ATC-kode: J</w:t>
      </w:r>
      <w:r w:rsidR="00A836F6">
        <w:rPr>
          <w:sz w:val="24"/>
          <w:szCs w:val="24"/>
        </w:rPr>
        <w:t xml:space="preserve"> </w:t>
      </w:r>
      <w:r w:rsidRPr="005F77CE">
        <w:rPr>
          <w:sz w:val="24"/>
          <w:szCs w:val="24"/>
        </w:rPr>
        <w:t>05</w:t>
      </w:r>
      <w:r w:rsidR="00A836F6">
        <w:rPr>
          <w:sz w:val="24"/>
          <w:szCs w:val="24"/>
        </w:rPr>
        <w:t xml:space="preserve"> </w:t>
      </w:r>
      <w:r w:rsidRPr="005F77CE">
        <w:rPr>
          <w:sz w:val="24"/>
          <w:szCs w:val="24"/>
        </w:rPr>
        <w:t>AD</w:t>
      </w:r>
      <w:r w:rsidR="00A836F6">
        <w:rPr>
          <w:sz w:val="24"/>
          <w:szCs w:val="24"/>
        </w:rPr>
        <w:t xml:space="preserve"> </w:t>
      </w:r>
      <w:r w:rsidRPr="005F77CE">
        <w:rPr>
          <w:sz w:val="24"/>
          <w:szCs w:val="24"/>
        </w:rPr>
        <w:t>01.</w:t>
      </w:r>
      <w:r w:rsidR="008562FC" w:rsidRPr="005F77CE">
        <w:rPr>
          <w:sz w:val="24"/>
          <w:szCs w:val="24"/>
        </w:rPr>
        <w:t xml:space="preserve"> Antivirale midler til systemisk brug: direkte virkende antivirale midler; </w:t>
      </w:r>
      <w:proofErr w:type="spellStart"/>
      <w:r w:rsidR="008562FC" w:rsidRPr="005F77CE">
        <w:rPr>
          <w:sz w:val="24"/>
          <w:szCs w:val="24"/>
        </w:rPr>
        <w:t>fosfonsyrederivater</w:t>
      </w:r>
      <w:proofErr w:type="spellEnd"/>
      <w:r w:rsidRPr="005F77CE">
        <w:rPr>
          <w:sz w:val="24"/>
          <w:szCs w:val="24"/>
        </w:rPr>
        <w:t>.</w:t>
      </w:r>
    </w:p>
    <w:p w14:paraId="0064BF7C" w14:textId="77777777" w:rsidR="009260DE" w:rsidRPr="005F77CE" w:rsidRDefault="009260DE" w:rsidP="009260DE">
      <w:pPr>
        <w:tabs>
          <w:tab w:val="left" w:pos="851"/>
        </w:tabs>
        <w:ind w:left="851"/>
        <w:rPr>
          <w:sz w:val="24"/>
          <w:szCs w:val="24"/>
        </w:rPr>
      </w:pPr>
    </w:p>
    <w:p w14:paraId="3412A169" w14:textId="77777777" w:rsidR="009260DE" w:rsidRPr="005F77CE" w:rsidRDefault="009260DE" w:rsidP="009260DE">
      <w:pPr>
        <w:tabs>
          <w:tab w:val="num" w:pos="851"/>
        </w:tabs>
        <w:ind w:left="851" w:hanging="851"/>
        <w:rPr>
          <w:b/>
          <w:sz w:val="24"/>
          <w:szCs w:val="24"/>
        </w:rPr>
      </w:pPr>
      <w:r w:rsidRPr="005F77CE">
        <w:rPr>
          <w:b/>
          <w:sz w:val="24"/>
          <w:szCs w:val="24"/>
        </w:rPr>
        <w:t>5.1</w:t>
      </w:r>
      <w:r w:rsidRPr="005F77CE">
        <w:rPr>
          <w:b/>
          <w:sz w:val="24"/>
          <w:szCs w:val="24"/>
        </w:rPr>
        <w:tab/>
      </w:r>
      <w:proofErr w:type="spellStart"/>
      <w:r w:rsidRPr="005F77CE">
        <w:rPr>
          <w:b/>
          <w:sz w:val="24"/>
          <w:szCs w:val="24"/>
        </w:rPr>
        <w:t>Farmakodynamiske</w:t>
      </w:r>
      <w:proofErr w:type="spellEnd"/>
      <w:r w:rsidRPr="005F77CE">
        <w:rPr>
          <w:b/>
          <w:sz w:val="24"/>
          <w:szCs w:val="24"/>
        </w:rPr>
        <w:t xml:space="preserve"> egenskaber</w:t>
      </w:r>
    </w:p>
    <w:p w14:paraId="56BC10AC" w14:textId="6BC627A7" w:rsidR="008562FC" w:rsidRPr="005F77CE" w:rsidRDefault="008562FC" w:rsidP="006A2906">
      <w:pPr>
        <w:ind w:left="851"/>
        <w:rPr>
          <w:bCs/>
          <w:sz w:val="24"/>
          <w:szCs w:val="24"/>
        </w:rPr>
      </w:pPr>
      <w:proofErr w:type="spellStart"/>
      <w:r w:rsidRPr="005F77CE">
        <w:rPr>
          <w:sz w:val="24"/>
          <w:szCs w:val="24"/>
        </w:rPr>
        <w:t>Foscarnetnatriumhexahydrat</w:t>
      </w:r>
      <w:proofErr w:type="spellEnd"/>
      <w:r w:rsidRPr="005F77CE">
        <w:rPr>
          <w:sz w:val="24"/>
          <w:szCs w:val="24"/>
        </w:rPr>
        <w:t xml:space="preserve"> er et antiviralt middel med et bredt spektrum, som hæmmer alle kendte humane virus i herpesgruppen: herpes </w:t>
      </w:r>
      <w:proofErr w:type="spellStart"/>
      <w:r w:rsidRPr="005F77CE">
        <w:rPr>
          <w:sz w:val="24"/>
          <w:szCs w:val="24"/>
        </w:rPr>
        <w:t>simplex</w:t>
      </w:r>
      <w:proofErr w:type="spellEnd"/>
      <w:r w:rsidRPr="005F77CE">
        <w:rPr>
          <w:sz w:val="24"/>
          <w:szCs w:val="24"/>
        </w:rPr>
        <w:t xml:space="preserve">-virus type 1 og 2, human herpesvirus 6, </w:t>
      </w:r>
      <w:proofErr w:type="spellStart"/>
      <w:r w:rsidRPr="005F77CE">
        <w:rPr>
          <w:sz w:val="24"/>
          <w:szCs w:val="24"/>
        </w:rPr>
        <w:t>varicella</w:t>
      </w:r>
      <w:proofErr w:type="spellEnd"/>
      <w:r w:rsidRPr="005F77CE">
        <w:rPr>
          <w:sz w:val="24"/>
          <w:szCs w:val="24"/>
        </w:rPr>
        <w:t xml:space="preserve"> </w:t>
      </w:r>
      <w:proofErr w:type="spellStart"/>
      <w:r w:rsidRPr="005F77CE">
        <w:rPr>
          <w:sz w:val="24"/>
          <w:szCs w:val="24"/>
        </w:rPr>
        <w:t>zoster</w:t>
      </w:r>
      <w:proofErr w:type="spellEnd"/>
      <w:r w:rsidRPr="005F77CE">
        <w:rPr>
          <w:sz w:val="24"/>
          <w:szCs w:val="24"/>
        </w:rPr>
        <w:t xml:space="preserve">-virus, </w:t>
      </w:r>
      <w:proofErr w:type="spellStart"/>
      <w:r w:rsidRPr="005F77CE">
        <w:rPr>
          <w:sz w:val="24"/>
          <w:szCs w:val="24"/>
        </w:rPr>
        <w:t>Epstein</w:t>
      </w:r>
      <w:proofErr w:type="spellEnd"/>
      <w:r w:rsidRPr="005F77CE">
        <w:rPr>
          <w:sz w:val="24"/>
          <w:szCs w:val="24"/>
        </w:rPr>
        <w:t xml:space="preserve">-Barr-virus og </w:t>
      </w:r>
      <w:proofErr w:type="spellStart"/>
      <w:r w:rsidRPr="005F77CE">
        <w:rPr>
          <w:sz w:val="24"/>
          <w:szCs w:val="24"/>
        </w:rPr>
        <w:t>cytomegalovirus</w:t>
      </w:r>
      <w:proofErr w:type="spellEnd"/>
      <w:r w:rsidRPr="005F77CE">
        <w:rPr>
          <w:sz w:val="24"/>
          <w:szCs w:val="24"/>
        </w:rPr>
        <w:t xml:space="preserve"> (CMV) samt visse typer retrovirus, herunder human immundefektvirus (HIV) i koncentrationer, som ikke påvirker normal cellevækst. </w:t>
      </w:r>
      <w:proofErr w:type="spellStart"/>
      <w:r w:rsidRPr="005F77CE">
        <w:rPr>
          <w:sz w:val="24"/>
          <w:szCs w:val="24"/>
        </w:rPr>
        <w:t>Foscarnetnatriumhexahydrat</w:t>
      </w:r>
      <w:proofErr w:type="spellEnd"/>
      <w:r w:rsidRPr="005F77CE">
        <w:rPr>
          <w:sz w:val="24"/>
          <w:szCs w:val="24"/>
        </w:rPr>
        <w:t xml:space="preserve"> hæmmer også den virale DNA-polymerase fra hepatitis B-virus.</w:t>
      </w:r>
    </w:p>
    <w:p w14:paraId="07D86C95" w14:textId="77777777" w:rsidR="008562FC" w:rsidRPr="005F77CE" w:rsidRDefault="008562FC" w:rsidP="006A2906">
      <w:pPr>
        <w:ind w:left="851"/>
        <w:rPr>
          <w:bCs/>
          <w:sz w:val="24"/>
          <w:szCs w:val="24"/>
        </w:rPr>
      </w:pPr>
    </w:p>
    <w:p w14:paraId="14CA384B" w14:textId="77777777" w:rsidR="008562FC" w:rsidRPr="005F77CE" w:rsidRDefault="008562FC" w:rsidP="006A2906">
      <w:pPr>
        <w:ind w:left="851"/>
        <w:rPr>
          <w:b/>
          <w:bCs/>
          <w:sz w:val="24"/>
          <w:szCs w:val="24"/>
        </w:rPr>
      </w:pPr>
      <w:proofErr w:type="spellStart"/>
      <w:r w:rsidRPr="005F77CE">
        <w:rPr>
          <w:sz w:val="24"/>
          <w:szCs w:val="24"/>
        </w:rPr>
        <w:t>Foscarnetnatriumhexahydrat</w:t>
      </w:r>
      <w:proofErr w:type="spellEnd"/>
      <w:r w:rsidRPr="005F77CE">
        <w:rPr>
          <w:sz w:val="24"/>
          <w:szCs w:val="24"/>
        </w:rPr>
        <w:t xml:space="preserve"> har en </w:t>
      </w:r>
      <w:proofErr w:type="spellStart"/>
      <w:r w:rsidRPr="005F77CE">
        <w:rPr>
          <w:sz w:val="24"/>
          <w:szCs w:val="24"/>
        </w:rPr>
        <w:t>virostatisk</w:t>
      </w:r>
      <w:proofErr w:type="spellEnd"/>
      <w:r w:rsidRPr="005F77CE">
        <w:rPr>
          <w:sz w:val="24"/>
          <w:szCs w:val="24"/>
        </w:rPr>
        <w:t xml:space="preserve"> virkning mod </w:t>
      </w:r>
      <w:proofErr w:type="spellStart"/>
      <w:r w:rsidRPr="005F77CE">
        <w:rPr>
          <w:sz w:val="24"/>
          <w:szCs w:val="24"/>
        </w:rPr>
        <w:t>cytomegalovirus</w:t>
      </w:r>
      <w:proofErr w:type="spellEnd"/>
      <w:r w:rsidRPr="005F77CE">
        <w:rPr>
          <w:sz w:val="24"/>
          <w:szCs w:val="24"/>
        </w:rPr>
        <w:t xml:space="preserve"> og herpesvirus, dvs. det undertrykker virusvæksten, men kan ikke fjerne </w:t>
      </w:r>
      <w:proofErr w:type="spellStart"/>
      <w:r w:rsidRPr="005F77CE">
        <w:rPr>
          <w:sz w:val="24"/>
          <w:szCs w:val="24"/>
        </w:rPr>
        <w:t>cytomegalovirus</w:t>
      </w:r>
      <w:proofErr w:type="spellEnd"/>
      <w:r w:rsidRPr="005F77CE">
        <w:rPr>
          <w:sz w:val="24"/>
          <w:szCs w:val="24"/>
        </w:rPr>
        <w:t xml:space="preserve"> eller herpesvirus. De resultater, der er opnået ved at bruge kliniske </w:t>
      </w:r>
      <w:proofErr w:type="spellStart"/>
      <w:r w:rsidRPr="005F77CE">
        <w:rPr>
          <w:sz w:val="24"/>
          <w:szCs w:val="24"/>
        </w:rPr>
        <w:t>isolater</w:t>
      </w:r>
      <w:proofErr w:type="spellEnd"/>
      <w:r w:rsidRPr="005F77CE">
        <w:rPr>
          <w:sz w:val="24"/>
          <w:szCs w:val="24"/>
        </w:rPr>
        <w:t xml:space="preserve"> in </w:t>
      </w:r>
      <w:proofErr w:type="spellStart"/>
      <w:r w:rsidRPr="005F77CE">
        <w:rPr>
          <w:sz w:val="24"/>
          <w:szCs w:val="24"/>
        </w:rPr>
        <w:t>vitro</w:t>
      </w:r>
      <w:proofErr w:type="spellEnd"/>
      <w:r w:rsidRPr="005F77CE">
        <w:rPr>
          <w:sz w:val="24"/>
          <w:szCs w:val="24"/>
        </w:rPr>
        <w:t xml:space="preserve"> til en 50 % reversibel hæmning af formering af </w:t>
      </w:r>
      <w:proofErr w:type="spellStart"/>
      <w:r w:rsidRPr="005F77CE">
        <w:rPr>
          <w:sz w:val="24"/>
          <w:szCs w:val="24"/>
        </w:rPr>
        <w:t>cytomegalovirus</w:t>
      </w:r>
      <w:proofErr w:type="spellEnd"/>
      <w:r w:rsidRPr="005F77CE">
        <w:rPr>
          <w:sz w:val="24"/>
          <w:szCs w:val="24"/>
        </w:rPr>
        <w:t xml:space="preserve"> (IC</w:t>
      </w:r>
      <w:r w:rsidRPr="005F77CE">
        <w:rPr>
          <w:sz w:val="24"/>
          <w:szCs w:val="24"/>
          <w:vertAlign w:val="subscript"/>
        </w:rPr>
        <w:t>50</w:t>
      </w:r>
      <w:r w:rsidRPr="005F77CE">
        <w:rPr>
          <w:sz w:val="24"/>
          <w:szCs w:val="24"/>
        </w:rPr>
        <w:t xml:space="preserve">) var i gennemsnit 270 </w:t>
      </w:r>
      <w:proofErr w:type="spellStart"/>
      <w:r w:rsidRPr="005F77CE">
        <w:rPr>
          <w:sz w:val="24"/>
          <w:szCs w:val="24"/>
        </w:rPr>
        <w:t>μmol</w:t>
      </w:r>
      <w:proofErr w:type="spellEnd"/>
      <w:r w:rsidRPr="005F77CE">
        <w:rPr>
          <w:sz w:val="24"/>
          <w:szCs w:val="24"/>
        </w:rPr>
        <w:t>/l. Mod HSV-1 og HSV-2 lå IC</w:t>
      </w:r>
      <w:r w:rsidRPr="005F77CE">
        <w:rPr>
          <w:sz w:val="24"/>
          <w:szCs w:val="24"/>
          <w:vertAlign w:val="subscript"/>
        </w:rPr>
        <w:t>50</w:t>
      </w:r>
      <w:r w:rsidRPr="005F77CE">
        <w:rPr>
          <w:sz w:val="24"/>
          <w:szCs w:val="24"/>
        </w:rPr>
        <w:t xml:space="preserve">-værdierne i området fra 10 </w:t>
      </w:r>
      <w:proofErr w:type="spellStart"/>
      <w:r w:rsidRPr="005F77CE">
        <w:rPr>
          <w:sz w:val="24"/>
          <w:szCs w:val="24"/>
        </w:rPr>
        <w:t>μmol</w:t>
      </w:r>
      <w:proofErr w:type="spellEnd"/>
      <w:r w:rsidRPr="005F77CE">
        <w:rPr>
          <w:sz w:val="24"/>
          <w:szCs w:val="24"/>
        </w:rPr>
        <w:t xml:space="preserve">/l til 130 </w:t>
      </w:r>
      <w:proofErr w:type="spellStart"/>
      <w:r w:rsidRPr="005F77CE">
        <w:rPr>
          <w:sz w:val="24"/>
          <w:szCs w:val="24"/>
        </w:rPr>
        <w:t>μmol</w:t>
      </w:r>
      <w:proofErr w:type="spellEnd"/>
      <w:r w:rsidRPr="005F77CE">
        <w:rPr>
          <w:sz w:val="24"/>
          <w:szCs w:val="24"/>
        </w:rPr>
        <w:t>/l. IC</w:t>
      </w:r>
      <w:r w:rsidRPr="005F77CE">
        <w:rPr>
          <w:sz w:val="24"/>
          <w:szCs w:val="24"/>
          <w:vertAlign w:val="subscript"/>
        </w:rPr>
        <w:t>50</w:t>
      </w:r>
      <w:r w:rsidRPr="005F77CE">
        <w:rPr>
          <w:sz w:val="24"/>
          <w:szCs w:val="24"/>
        </w:rPr>
        <w:t xml:space="preserve"> for hæmning af normal human cellevækst er 1000 </w:t>
      </w:r>
      <w:proofErr w:type="spellStart"/>
      <w:r w:rsidRPr="005F77CE">
        <w:rPr>
          <w:sz w:val="24"/>
          <w:szCs w:val="24"/>
        </w:rPr>
        <w:t>μmol</w:t>
      </w:r>
      <w:proofErr w:type="spellEnd"/>
      <w:r w:rsidRPr="005F77CE">
        <w:rPr>
          <w:sz w:val="24"/>
          <w:szCs w:val="24"/>
        </w:rPr>
        <w:t xml:space="preserve">/l </w:t>
      </w:r>
      <w:proofErr w:type="spellStart"/>
      <w:r w:rsidRPr="005F77CE">
        <w:rPr>
          <w:sz w:val="24"/>
          <w:szCs w:val="24"/>
        </w:rPr>
        <w:t>foscarnetnatriumhexahydrat</w:t>
      </w:r>
      <w:proofErr w:type="spellEnd"/>
      <w:r w:rsidRPr="005F77CE">
        <w:rPr>
          <w:sz w:val="24"/>
          <w:szCs w:val="24"/>
        </w:rPr>
        <w:t>.</w:t>
      </w:r>
    </w:p>
    <w:p w14:paraId="70F75E3B" w14:textId="77777777" w:rsidR="009260DE" w:rsidRPr="005F77CE" w:rsidRDefault="009260DE" w:rsidP="009260DE">
      <w:pPr>
        <w:tabs>
          <w:tab w:val="left" w:pos="851"/>
        </w:tabs>
        <w:ind w:left="851"/>
        <w:rPr>
          <w:sz w:val="24"/>
          <w:szCs w:val="24"/>
        </w:rPr>
      </w:pPr>
    </w:p>
    <w:p w14:paraId="5CE6E103" w14:textId="77777777" w:rsidR="009260DE" w:rsidRPr="005F77CE" w:rsidRDefault="009260DE" w:rsidP="009260DE">
      <w:pPr>
        <w:tabs>
          <w:tab w:val="left" w:pos="851"/>
        </w:tabs>
        <w:ind w:left="851" w:hanging="851"/>
        <w:rPr>
          <w:b/>
          <w:sz w:val="24"/>
          <w:szCs w:val="24"/>
        </w:rPr>
      </w:pPr>
      <w:r w:rsidRPr="005F77CE">
        <w:rPr>
          <w:b/>
          <w:sz w:val="24"/>
          <w:szCs w:val="24"/>
        </w:rPr>
        <w:t>5.2</w:t>
      </w:r>
      <w:r w:rsidRPr="005F77CE">
        <w:rPr>
          <w:b/>
          <w:sz w:val="24"/>
          <w:szCs w:val="24"/>
        </w:rPr>
        <w:tab/>
      </w:r>
      <w:proofErr w:type="spellStart"/>
      <w:r w:rsidRPr="005F77CE">
        <w:rPr>
          <w:b/>
          <w:sz w:val="24"/>
          <w:szCs w:val="24"/>
        </w:rPr>
        <w:t>Farmakokinetiske</w:t>
      </w:r>
      <w:proofErr w:type="spellEnd"/>
      <w:r w:rsidRPr="005F77CE">
        <w:rPr>
          <w:b/>
          <w:sz w:val="24"/>
          <w:szCs w:val="24"/>
        </w:rPr>
        <w:t xml:space="preserve"> egenskaber</w:t>
      </w:r>
    </w:p>
    <w:p w14:paraId="1B3A181D" w14:textId="77777777" w:rsidR="00A836F6" w:rsidRDefault="00A836F6" w:rsidP="006A2906">
      <w:pPr>
        <w:ind w:left="851"/>
        <w:rPr>
          <w:sz w:val="24"/>
          <w:szCs w:val="24"/>
        </w:rPr>
      </w:pPr>
    </w:p>
    <w:p w14:paraId="3F5B742C" w14:textId="2BEC16F9" w:rsidR="008562FC" w:rsidRPr="00A836F6" w:rsidRDefault="008562FC" w:rsidP="006A2906">
      <w:pPr>
        <w:ind w:left="851"/>
        <w:rPr>
          <w:bCs/>
          <w:i/>
          <w:sz w:val="24"/>
          <w:szCs w:val="24"/>
          <w:u w:val="single"/>
          <w:lang w:eastAsia="en-GB"/>
        </w:rPr>
      </w:pPr>
      <w:r w:rsidRPr="00A836F6">
        <w:rPr>
          <w:i/>
          <w:sz w:val="24"/>
          <w:szCs w:val="24"/>
          <w:u w:val="single"/>
        </w:rPr>
        <w:t>Absorption</w:t>
      </w:r>
    </w:p>
    <w:p w14:paraId="32849347" w14:textId="77777777" w:rsidR="008562FC" w:rsidRPr="005F77CE" w:rsidRDefault="008562FC" w:rsidP="006A2906">
      <w:pPr>
        <w:ind w:left="851"/>
        <w:rPr>
          <w:bCs/>
          <w:sz w:val="24"/>
          <w:szCs w:val="24"/>
        </w:rPr>
      </w:pPr>
      <w:r w:rsidRPr="005F77CE">
        <w:rPr>
          <w:sz w:val="24"/>
          <w:szCs w:val="24"/>
        </w:rPr>
        <w:t xml:space="preserve">Plasmaniveauerne målt i et klinisk forsøg med kontinuerlig intravenøs infusion af 16 g/24 t (0,13 - 0,19 mg/kg kropsvægt/min.) </w:t>
      </w:r>
      <w:proofErr w:type="spellStart"/>
      <w:r w:rsidRPr="005F77CE">
        <w:rPr>
          <w:sz w:val="24"/>
          <w:szCs w:val="24"/>
        </w:rPr>
        <w:t>foscarnetnatriumhexahydrat</w:t>
      </w:r>
      <w:proofErr w:type="spellEnd"/>
      <w:r w:rsidRPr="005F77CE">
        <w:rPr>
          <w:sz w:val="24"/>
          <w:szCs w:val="24"/>
        </w:rPr>
        <w:t xml:space="preserve"> er 75-265 </w:t>
      </w:r>
      <w:proofErr w:type="spellStart"/>
      <w:r w:rsidRPr="005F77CE">
        <w:rPr>
          <w:sz w:val="24"/>
          <w:szCs w:val="24"/>
        </w:rPr>
        <w:t>μmol</w:t>
      </w:r>
      <w:proofErr w:type="spellEnd"/>
      <w:r w:rsidRPr="005F77CE">
        <w:rPr>
          <w:sz w:val="24"/>
          <w:szCs w:val="24"/>
        </w:rPr>
        <w:t xml:space="preserve"> </w:t>
      </w:r>
      <w:proofErr w:type="spellStart"/>
      <w:r w:rsidRPr="005F77CE">
        <w:rPr>
          <w:sz w:val="24"/>
          <w:szCs w:val="24"/>
        </w:rPr>
        <w:t>foscarnet</w:t>
      </w:r>
      <w:proofErr w:type="spellEnd"/>
      <w:r w:rsidRPr="005F77CE">
        <w:rPr>
          <w:sz w:val="24"/>
          <w:szCs w:val="24"/>
        </w:rPr>
        <w:t>/l (=</w:t>
      </w:r>
      <w:proofErr w:type="spellStart"/>
      <w:r w:rsidRPr="005F77CE">
        <w:rPr>
          <w:sz w:val="24"/>
          <w:szCs w:val="24"/>
        </w:rPr>
        <w:t>foscarnetnatriumhexahydrat</w:t>
      </w:r>
      <w:proofErr w:type="spellEnd"/>
      <w:r w:rsidRPr="005F77CE">
        <w:rPr>
          <w:sz w:val="24"/>
          <w:szCs w:val="24"/>
        </w:rPr>
        <w:t xml:space="preserve"> 22,5 - 79,5 mg/l). Med kontinuerlig infusion nås </w:t>
      </w:r>
      <w:proofErr w:type="spellStart"/>
      <w:r w:rsidRPr="005F77CE">
        <w:rPr>
          <w:sz w:val="24"/>
          <w:szCs w:val="24"/>
        </w:rPr>
        <w:t>steady</w:t>
      </w:r>
      <w:proofErr w:type="spellEnd"/>
      <w:r w:rsidRPr="005F77CE">
        <w:rPr>
          <w:sz w:val="24"/>
          <w:szCs w:val="24"/>
        </w:rPr>
        <w:t xml:space="preserve"> state-betingelserne efter ca. 2 dage.</w:t>
      </w:r>
    </w:p>
    <w:p w14:paraId="2312D5B9" w14:textId="77777777" w:rsidR="008562FC" w:rsidRPr="005F77CE" w:rsidRDefault="008562FC" w:rsidP="006A2906">
      <w:pPr>
        <w:ind w:left="851"/>
        <w:rPr>
          <w:bCs/>
          <w:sz w:val="24"/>
          <w:szCs w:val="24"/>
        </w:rPr>
      </w:pPr>
    </w:p>
    <w:p w14:paraId="249DE643" w14:textId="77777777" w:rsidR="008562FC" w:rsidRPr="00A836F6" w:rsidRDefault="008562FC" w:rsidP="006A2906">
      <w:pPr>
        <w:ind w:left="851"/>
        <w:rPr>
          <w:bCs/>
          <w:i/>
          <w:iCs/>
          <w:sz w:val="24"/>
          <w:szCs w:val="24"/>
          <w:u w:val="single"/>
        </w:rPr>
      </w:pPr>
      <w:r w:rsidRPr="00A836F6">
        <w:rPr>
          <w:i/>
          <w:sz w:val="24"/>
          <w:szCs w:val="24"/>
          <w:u w:val="single"/>
        </w:rPr>
        <w:t>Fordeling</w:t>
      </w:r>
    </w:p>
    <w:p w14:paraId="589759D3" w14:textId="77777777" w:rsidR="008562FC" w:rsidRPr="005F77CE" w:rsidRDefault="008562FC" w:rsidP="006A2906">
      <w:pPr>
        <w:ind w:left="851"/>
        <w:rPr>
          <w:bCs/>
          <w:sz w:val="24"/>
          <w:szCs w:val="24"/>
        </w:rPr>
      </w:pPr>
      <w:r w:rsidRPr="005F77CE">
        <w:rPr>
          <w:sz w:val="24"/>
          <w:szCs w:val="24"/>
        </w:rPr>
        <w:t xml:space="preserve">Koncentration-tid-profilen i plasma ved brug af en multikomponentmodel bruges til at beskrive situationen efter én intravenøs administration af </w:t>
      </w:r>
      <w:proofErr w:type="spellStart"/>
      <w:r w:rsidRPr="005F77CE">
        <w:rPr>
          <w:sz w:val="24"/>
          <w:szCs w:val="24"/>
        </w:rPr>
        <w:t>foscarnetnatriumhexahydrat</w:t>
      </w:r>
      <w:proofErr w:type="spellEnd"/>
      <w:r w:rsidRPr="005F77CE">
        <w:rPr>
          <w:sz w:val="24"/>
          <w:szCs w:val="24"/>
        </w:rPr>
        <w:t xml:space="preserve"> i mennesker. Fordelingsvolumenet er 0,4 - 0,6 l/kg kropsvægt, og den koncentration, der opnås i cerebrospinalvæsken, er 10-70 % af plasmakoncentrationen. Plasmaproteinbindingen er under 20 %.</w:t>
      </w:r>
    </w:p>
    <w:p w14:paraId="415DEA6A" w14:textId="77777777" w:rsidR="008562FC" w:rsidRPr="005F77CE" w:rsidRDefault="008562FC" w:rsidP="006A2906">
      <w:pPr>
        <w:ind w:left="851"/>
        <w:rPr>
          <w:bCs/>
          <w:sz w:val="24"/>
          <w:szCs w:val="24"/>
        </w:rPr>
      </w:pPr>
    </w:p>
    <w:p w14:paraId="4AF6BA86" w14:textId="77777777" w:rsidR="008562FC" w:rsidRPr="00A836F6" w:rsidRDefault="008562FC" w:rsidP="006A2906">
      <w:pPr>
        <w:ind w:left="851"/>
        <w:rPr>
          <w:bCs/>
          <w:i/>
          <w:iCs/>
          <w:sz w:val="24"/>
          <w:szCs w:val="24"/>
          <w:u w:val="single"/>
        </w:rPr>
      </w:pPr>
      <w:r w:rsidRPr="00A836F6">
        <w:rPr>
          <w:i/>
          <w:sz w:val="24"/>
          <w:szCs w:val="24"/>
          <w:u w:val="single"/>
        </w:rPr>
        <w:t>Biotransformation</w:t>
      </w:r>
    </w:p>
    <w:p w14:paraId="765E9499" w14:textId="77777777" w:rsidR="008562FC" w:rsidRPr="005F77CE" w:rsidRDefault="008562FC" w:rsidP="006A2906">
      <w:pPr>
        <w:ind w:left="851"/>
        <w:rPr>
          <w:bCs/>
          <w:sz w:val="24"/>
          <w:szCs w:val="24"/>
        </w:rPr>
      </w:pPr>
      <w:proofErr w:type="spellStart"/>
      <w:r w:rsidRPr="005F77CE">
        <w:rPr>
          <w:sz w:val="24"/>
          <w:szCs w:val="24"/>
        </w:rPr>
        <w:t>Foscarnetnatriumhexahydrat</w:t>
      </w:r>
      <w:proofErr w:type="spellEnd"/>
      <w:r w:rsidRPr="005F77CE">
        <w:rPr>
          <w:sz w:val="24"/>
          <w:szCs w:val="24"/>
        </w:rPr>
        <w:t xml:space="preserve"> </w:t>
      </w:r>
      <w:proofErr w:type="spellStart"/>
      <w:r w:rsidRPr="005F77CE">
        <w:rPr>
          <w:sz w:val="24"/>
          <w:szCs w:val="24"/>
        </w:rPr>
        <w:t>metaboliseres</w:t>
      </w:r>
      <w:proofErr w:type="spellEnd"/>
      <w:r w:rsidRPr="005F77CE">
        <w:rPr>
          <w:sz w:val="24"/>
          <w:szCs w:val="24"/>
        </w:rPr>
        <w:t xml:space="preserve"> ikke.</w:t>
      </w:r>
    </w:p>
    <w:p w14:paraId="25779D55" w14:textId="77777777" w:rsidR="008562FC" w:rsidRPr="005F77CE" w:rsidRDefault="008562FC" w:rsidP="006A2906">
      <w:pPr>
        <w:ind w:left="851"/>
        <w:rPr>
          <w:bCs/>
          <w:sz w:val="24"/>
          <w:szCs w:val="24"/>
        </w:rPr>
      </w:pPr>
    </w:p>
    <w:p w14:paraId="78DB8125" w14:textId="77777777" w:rsidR="008562FC" w:rsidRPr="00A836F6" w:rsidRDefault="008562FC" w:rsidP="006A2906">
      <w:pPr>
        <w:ind w:left="851"/>
        <w:rPr>
          <w:bCs/>
          <w:i/>
          <w:sz w:val="24"/>
          <w:szCs w:val="24"/>
          <w:u w:val="single"/>
        </w:rPr>
      </w:pPr>
      <w:r w:rsidRPr="00A836F6">
        <w:rPr>
          <w:i/>
          <w:sz w:val="24"/>
          <w:szCs w:val="24"/>
          <w:u w:val="single"/>
        </w:rPr>
        <w:t>Elimination</w:t>
      </w:r>
    </w:p>
    <w:p w14:paraId="17F65C49" w14:textId="77777777" w:rsidR="008562FC" w:rsidRPr="005F77CE" w:rsidRDefault="008562FC" w:rsidP="006A2906">
      <w:pPr>
        <w:ind w:left="851"/>
        <w:rPr>
          <w:bCs/>
          <w:sz w:val="24"/>
          <w:szCs w:val="24"/>
        </w:rPr>
      </w:pPr>
      <w:proofErr w:type="spellStart"/>
      <w:r w:rsidRPr="005F77CE">
        <w:rPr>
          <w:sz w:val="24"/>
          <w:szCs w:val="24"/>
        </w:rPr>
        <w:t>Foscarnetnatriumhexahydrat</w:t>
      </w:r>
      <w:proofErr w:type="spellEnd"/>
      <w:r w:rsidRPr="005F77CE">
        <w:rPr>
          <w:sz w:val="24"/>
          <w:szCs w:val="24"/>
        </w:rPr>
        <w:t xml:space="preserve"> udskilles udelukkende via nyrerne ved </w:t>
      </w:r>
      <w:proofErr w:type="spellStart"/>
      <w:r w:rsidRPr="005F77CE">
        <w:rPr>
          <w:sz w:val="24"/>
          <w:szCs w:val="24"/>
        </w:rPr>
        <w:t>glomerulær</w:t>
      </w:r>
      <w:proofErr w:type="spellEnd"/>
      <w:r w:rsidRPr="005F77CE">
        <w:rPr>
          <w:sz w:val="24"/>
          <w:szCs w:val="24"/>
        </w:rPr>
        <w:t xml:space="preserve"> filtration og </w:t>
      </w:r>
      <w:proofErr w:type="spellStart"/>
      <w:r w:rsidRPr="005F77CE">
        <w:rPr>
          <w:sz w:val="24"/>
          <w:szCs w:val="24"/>
        </w:rPr>
        <w:t>tubulær</w:t>
      </w:r>
      <w:proofErr w:type="spellEnd"/>
      <w:r w:rsidRPr="005F77CE">
        <w:rPr>
          <w:sz w:val="24"/>
          <w:szCs w:val="24"/>
        </w:rPr>
        <w:t xml:space="preserve"> sekretion. </w:t>
      </w:r>
      <w:proofErr w:type="spellStart"/>
      <w:r w:rsidRPr="005F77CE">
        <w:rPr>
          <w:sz w:val="24"/>
          <w:szCs w:val="24"/>
        </w:rPr>
        <w:t>Nyreclearance</w:t>
      </w:r>
      <w:proofErr w:type="spellEnd"/>
      <w:r w:rsidRPr="005F77CE">
        <w:rPr>
          <w:sz w:val="24"/>
          <w:szCs w:val="24"/>
        </w:rPr>
        <w:t xml:space="preserve"> er i størrelsesordenen 150 ml/min. Plasmahalveringstiden ved normal nyrefunktion er 2 til 4 timer.</w:t>
      </w:r>
    </w:p>
    <w:p w14:paraId="613F091A" w14:textId="77777777" w:rsidR="008562FC" w:rsidRPr="005F77CE" w:rsidRDefault="008562FC" w:rsidP="006A2906">
      <w:pPr>
        <w:ind w:left="851"/>
        <w:rPr>
          <w:bCs/>
          <w:sz w:val="24"/>
          <w:szCs w:val="24"/>
        </w:rPr>
      </w:pPr>
    </w:p>
    <w:p w14:paraId="4A4D0735" w14:textId="77777777" w:rsidR="008562FC" w:rsidRPr="005F77CE" w:rsidRDefault="008562FC" w:rsidP="006A2906">
      <w:pPr>
        <w:ind w:left="851"/>
        <w:rPr>
          <w:bCs/>
          <w:sz w:val="24"/>
          <w:szCs w:val="24"/>
        </w:rPr>
      </w:pPr>
      <w:r w:rsidRPr="005F77CE">
        <w:rPr>
          <w:sz w:val="24"/>
          <w:szCs w:val="24"/>
        </w:rPr>
        <w:t xml:space="preserve">Den terminale halveringstid er 1 til 8 dage, hvilket sandsynligvis skyldes den langsomme frigivelse af </w:t>
      </w:r>
      <w:proofErr w:type="spellStart"/>
      <w:r w:rsidRPr="005F77CE">
        <w:rPr>
          <w:sz w:val="24"/>
          <w:szCs w:val="24"/>
        </w:rPr>
        <w:t>foscarnetnatriumhexahydrat</w:t>
      </w:r>
      <w:proofErr w:type="spellEnd"/>
      <w:r w:rsidRPr="005F77CE">
        <w:rPr>
          <w:sz w:val="24"/>
          <w:szCs w:val="24"/>
        </w:rPr>
        <w:t xml:space="preserve"> fra knoglerne.</w:t>
      </w:r>
    </w:p>
    <w:p w14:paraId="081A5127" w14:textId="77777777" w:rsidR="008562FC" w:rsidRPr="005F77CE" w:rsidRDefault="008562FC" w:rsidP="006A2906">
      <w:pPr>
        <w:ind w:left="851"/>
        <w:rPr>
          <w:bCs/>
          <w:sz w:val="24"/>
          <w:szCs w:val="24"/>
        </w:rPr>
      </w:pPr>
    </w:p>
    <w:p w14:paraId="74A7F0EC" w14:textId="77777777" w:rsidR="008562FC" w:rsidRPr="005F77CE" w:rsidRDefault="008562FC" w:rsidP="006A2906">
      <w:pPr>
        <w:ind w:left="851"/>
        <w:rPr>
          <w:bCs/>
          <w:sz w:val="24"/>
          <w:szCs w:val="24"/>
        </w:rPr>
      </w:pPr>
      <w:r w:rsidRPr="005F77CE">
        <w:rPr>
          <w:sz w:val="24"/>
          <w:szCs w:val="24"/>
        </w:rPr>
        <w:t xml:space="preserve">Tabel 5 viser de </w:t>
      </w:r>
      <w:proofErr w:type="spellStart"/>
      <w:r w:rsidRPr="005F77CE">
        <w:rPr>
          <w:sz w:val="24"/>
          <w:szCs w:val="24"/>
        </w:rPr>
        <w:t>farmakokinetiske</w:t>
      </w:r>
      <w:proofErr w:type="spellEnd"/>
      <w:r w:rsidRPr="005F77CE">
        <w:rPr>
          <w:sz w:val="24"/>
          <w:szCs w:val="24"/>
        </w:rPr>
        <w:t xml:space="preserve"> parametre, som er fastlagt for indledende behandling af CMV-infektioner hos </w:t>
      </w:r>
      <w:proofErr w:type="spellStart"/>
      <w:r w:rsidRPr="005F77CE">
        <w:rPr>
          <w:sz w:val="24"/>
          <w:szCs w:val="24"/>
        </w:rPr>
        <w:t>AIDS-patienter</w:t>
      </w:r>
      <w:proofErr w:type="spellEnd"/>
      <w:r w:rsidRPr="005F77CE">
        <w:rPr>
          <w:sz w:val="24"/>
          <w:szCs w:val="24"/>
        </w:rPr>
        <w:t xml:space="preserve">, for administration af </w:t>
      </w:r>
      <w:proofErr w:type="spellStart"/>
      <w:r w:rsidRPr="005F77CE">
        <w:rPr>
          <w:sz w:val="24"/>
          <w:szCs w:val="24"/>
        </w:rPr>
        <w:t>foscarnetnatriumhexahydrat</w:t>
      </w:r>
      <w:proofErr w:type="spellEnd"/>
      <w:r w:rsidRPr="005F77CE">
        <w:rPr>
          <w:sz w:val="24"/>
          <w:szCs w:val="24"/>
        </w:rPr>
        <w:t xml:space="preserve"> to gange dagligt og tre gange dagligt.</w:t>
      </w:r>
    </w:p>
    <w:p w14:paraId="69D290EE" w14:textId="77777777" w:rsidR="008562FC" w:rsidRPr="00A836F6" w:rsidRDefault="008562FC" w:rsidP="006A2906">
      <w:pPr>
        <w:ind w:left="851"/>
        <w:rPr>
          <w:sz w:val="24"/>
          <w:szCs w:val="24"/>
        </w:rPr>
      </w:pPr>
    </w:p>
    <w:p w14:paraId="4E0EFCC3" w14:textId="77777777" w:rsidR="008562FC" w:rsidRPr="005F77CE" w:rsidRDefault="008562FC" w:rsidP="006A2906">
      <w:pPr>
        <w:pStyle w:val="Brdtekst"/>
        <w:spacing w:after="0"/>
        <w:ind w:left="851"/>
        <w:jc w:val="left"/>
        <w:rPr>
          <w:sz w:val="24"/>
          <w:szCs w:val="24"/>
        </w:rPr>
      </w:pPr>
      <w:r w:rsidRPr="005F77CE">
        <w:rPr>
          <w:sz w:val="24"/>
          <w:szCs w:val="24"/>
        </w:rPr>
        <w:t>Tabel 5</w:t>
      </w:r>
    </w:p>
    <w:tbl>
      <w:tblPr>
        <w:tblW w:w="82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7"/>
        <w:gridCol w:w="2342"/>
        <w:gridCol w:w="2251"/>
      </w:tblGrid>
      <w:tr w:rsidR="008562FC" w:rsidRPr="005F77CE" w14:paraId="3540E7D2" w14:textId="77777777" w:rsidTr="006A2906">
        <w:trPr>
          <w:trHeight w:val="484"/>
        </w:trPr>
        <w:tc>
          <w:tcPr>
            <w:tcW w:w="3687" w:type="dxa"/>
            <w:tcBorders>
              <w:top w:val="single" w:sz="4" w:space="0" w:color="auto"/>
              <w:left w:val="single" w:sz="4" w:space="0" w:color="auto"/>
              <w:bottom w:val="single" w:sz="4" w:space="0" w:color="auto"/>
              <w:right w:val="single" w:sz="4" w:space="0" w:color="auto"/>
            </w:tcBorders>
            <w:hideMark/>
          </w:tcPr>
          <w:p w14:paraId="300399CF" w14:textId="77777777" w:rsidR="008562FC" w:rsidRPr="005F77CE" w:rsidRDefault="008562FC">
            <w:pPr>
              <w:pStyle w:val="TableParagraph"/>
              <w:ind w:left="69"/>
              <w:rPr>
                <w:sz w:val="24"/>
                <w:szCs w:val="24"/>
              </w:rPr>
            </w:pPr>
            <w:r w:rsidRPr="005F77CE">
              <w:rPr>
                <w:sz w:val="24"/>
                <w:szCs w:val="24"/>
              </w:rPr>
              <w:t>Parameter</w:t>
            </w:r>
          </w:p>
        </w:tc>
        <w:tc>
          <w:tcPr>
            <w:tcW w:w="2342" w:type="dxa"/>
            <w:tcBorders>
              <w:top w:val="single" w:sz="4" w:space="0" w:color="auto"/>
              <w:left w:val="single" w:sz="4" w:space="0" w:color="auto"/>
              <w:bottom w:val="single" w:sz="4" w:space="0" w:color="auto"/>
              <w:right w:val="single" w:sz="4" w:space="0" w:color="auto"/>
            </w:tcBorders>
            <w:hideMark/>
          </w:tcPr>
          <w:p w14:paraId="1530734B" w14:textId="006793C3" w:rsidR="008562FC" w:rsidRPr="005F77CE" w:rsidRDefault="008562FC">
            <w:pPr>
              <w:pStyle w:val="TableParagraph"/>
              <w:ind w:left="69"/>
              <w:rPr>
                <w:sz w:val="24"/>
                <w:szCs w:val="24"/>
              </w:rPr>
            </w:pPr>
            <w:r w:rsidRPr="005F77CE">
              <w:rPr>
                <w:sz w:val="24"/>
                <w:szCs w:val="24"/>
              </w:rPr>
              <w:t>Dosering 3 gange dagligt med 60 mg/kg kropsvægt hver 8. time*</w:t>
            </w:r>
          </w:p>
        </w:tc>
        <w:tc>
          <w:tcPr>
            <w:tcW w:w="2251" w:type="dxa"/>
            <w:tcBorders>
              <w:top w:val="single" w:sz="4" w:space="0" w:color="auto"/>
              <w:left w:val="single" w:sz="4" w:space="0" w:color="auto"/>
              <w:bottom w:val="single" w:sz="4" w:space="0" w:color="auto"/>
              <w:right w:val="single" w:sz="4" w:space="0" w:color="auto"/>
            </w:tcBorders>
            <w:hideMark/>
          </w:tcPr>
          <w:p w14:paraId="7EC3B698" w14:textId="055FCD1E" w:rsidR="008562FC" w:rsidRPr="005F77CE" w:rsidRDefault="008562FC">
            <w:pPr>
              <w:pStyle w:val="TableParagraph"/>
              <w:ind w:left="69"/>
              <w:rPr>
                <w:sz w:val="24"/>
                <w:szCs w:val="24"/>
              </w:rPr>
            </w:pPr>
            <w:r w:rsidRPr="005F77CE">
              <w:rPr>
                <w:sz w:val="24"/>
                <w:szCs w:val="24"/>
              </w:rPr>
              <w:t>Dosering 2 gange dagligt med 90 mg/kg kropsvægt hver 12.</w:t>
            </w:r>
            <w:r w:rsidR="00C332D4">
              <w:rPr>
                <w:sz w:val="24"/>
                <w:szCs w:val="24"/>
              </w:rPr>
              <w:t xml:space="preserve"> </w:t>
            </w:r>
            <w:r w:rsidRPr="005F77CE">
              <w:rPr>
                <w:sz w:val="24"/>
                <w:szCs w:val="24"/>
              </w:rPr>
              <w:t>time*</w:t>
            </w:r>
          </w:p>
        </w:tc>
      </w:tr>
      <w:tr w:rsidR="008562FC" w:rsidRPr="005F77CE" w14:paraId="11854BE2" w14:textId="77777777" w:rsidTr="006A2906">
        <w:trPr>
          <w:trHeight w:val="244"/>
        </w:trPr>
        <w:tc>
          <w:tcPr>
            <w:tcW w:w="3687" w:type="dxa"/>
            <w:tcBorders>
              <w:top w:val="single" w:sz="4" w:space="0" w:color="auto"/>
              <w:left w:val="single" w:sz="4" w:space="0" w:color="auto"/>
              <w:bottom w:val="single" w:sz="4" w:space="0" w:color="auto"/>
              <w:right w:val="single" w:sz="4" w:space="0" w:color="auto"/>
            </w:tcBorders>
            <w:hideMark/>
          </w:tcPr>
          <w:p w14:paraId="160A2DD8" w14:textId="77777777" w:rsidR="008562FC" w:rsidRPr="005F77CE" w:rsidRDefault="008562FC">
            <w:pPr>
              <w:pStyle w:val="TableParagraph"/>
              <w:ind w:left="69"/>
              <w:rPr>
                <w:sz w:val="24"/>
                <w:szCs w:val="24"/>
              </w:rPr>
            </w:pPr>
            <w:r w:rsidRPr="005F77CE">
              <w:rPr>
                <w:sz w:val="24"/>
                <w:szCs w:val="24"/>
              </w:rPr>
              <w:t>C-</w:t>
            </w:r>
            <w:r w:rsidRPr="005F77CE">
              <w:rPr>
                <w:sz w:val="24"/>
                <w:szCs w:val="24"/>
                <w:vertAlign w:val="subscript"/>
              </w:rPr>
              <w:t>max</w:t>
            </w:r>
            <w:r w:rsidRPr="005F77CE">
              <w:rPr>
                <w:sz w:val="24"/>
                <w:szCs w:val="24"/>
              </w:rPr>
              <w:t xml:space="preserve"> i fordelingsligevægt (µM)</w:t>
            </w:r>
          </w:p>
        </w:tc>
        <w:tc>
          <w:tcPr>
            <w:tcW w:w="2342" w:type="dxa"/>
            <w:tcBorders>
              <w:top w:val="single" w:sz="4" w:space="0" w:color="auto"/>
              <w:left w:val="single" w:sz="4" w:space="0" w:color="auto"/>
              <w:bottom w:val="single" w:sz="4" w:space="0" w:color="auto"/>
              <w:right w:val="single" w:sz="4" w:space="0" w:color="auto"/>
            </w:tcBorders>
            <w:hideMark/>
          </w:tcPr>
          <w:p w14:paraId="1F8D870B" w14:textId="77777777" w:rsidR="008562FC" w:rsidRPr="005F77CE" w:rsidRDefault="008562FC">
            <w:pPr>
              <w:pStyle w:val="TableParagraph"/>
              <w:jc w:val="center"/>
              <w:rPr>
                <w:sz w:val="24"/>
                <w:szCs w:val="24"/>
              </w:rPr>
            </w:pPr>
            <w:r w:rsidRPr="005F77CE">
              <w:rPr>
                <w:sz w:val="24"/>
                <w:szCs w:val="24"/>
              </w:rPr>
              <w:t>589 ± 192 (24)</w:t>
            </w:r>
          </w:p>
        </w:tc>
        <w:tc>
          <w:tcPr>
            <w:tcW w:w="2251" w:type="dxa"/>
            <w:tcBorders>
              <w:top w:val="single" w:sz="4" w:space="0" w:color="auto"/>
              <w:left w:val="single" w:sz="4" w:space="0" w:color="auto"/>
              <w:bottom w:val="single" w:sz="4" w:space="0" w:color="auto"/>
              <w:right w:val="single" w:sz="4" w:space="0" w:color="auto"/>
            </w:tcBorders>
            <w:hideMark/>
          </w:tcPr>
          <w:p w14:paraId="13828717" w14:textId="77777777" w:rsidR="008562FC" w:rsidRPr="005F77CE" w:rsidRDefault="008562FC">
            <w:pPr>
              <w:pStyle w:val="TableParagraph"/>
              <w:jc w:val="center"/>
              <w:rPr>
                <w:sz w:val="24"/>
                <w:szCs w:val="24"/>
              </w:rPr>
            </w:pPr>
            <w:r w:rsidRPr="005F77CE">
              <w:rPr>
                <w:sz w:val="24"/>
                <w:szCs w:val="24"/>
              </w:rPr>
              <w:t>623 ± 132 (19)</w:t>
            </w:r>
          </w:p>
        </w:tc>
      </w:tr>
      <w:tr w:rsidR="008562FC" w:rsidRPr="005F77CE" w14:paraId="5AA693CC" w14:textId="77777777" w:rsidTr="006A2906">
        <w:trPr>
          <w:trHeight w:val="244"/>
        </w:trPr>
        <w:tc>
          <w:tcPr>
            <w:tcW w:w="3687" w:type="dxa"/>
            <w:tcBorders>
              <w:top w:val="single" w:sz="4" w:space="0" w:color="auto"/>
              <w:left w:val="single" w:sz="4" w:space="0" w:color="auto"/>
              <w:bottom w:val="single" w:sz="4" w:space="0" w:color="auto"/>
              <w:right w:val="single" w:sz="4" w:space="0" w:color="auto"/>
            </w:tcBorders>
            <w:hideMark/>
          </w:tcPr>
          <w:p w14:paraId="41BCDE5D" w14:textId="77777777" w:rsidR="008562FC" w:rsidRPr="005F77CE" w:rsidRDefault="008562FC">
            <w:pPr>
              <w:pStyle w:val="TableParagraph"/>
              <w:ind w:left="69"/>
              <w:rPr>
                <w:sz w:val="24"/>
                <w:szCs w:val="24"/>
              </w:rPr>
            </w:pPr>
            <w:r w:rsidRPr="005F77CE">
              <w:rPr>
                <w:sz w:val="24"/>
                <w:szCs w:val="24"/>
              </w:rPr>
              <w:t>C-</w:t>
            </w:r>
            <w:r w:rsidRPr="005F77CE">
              <w:rPr>
                <w:sz w:val="24"/>
                <w:szCs w:val="24"/>
                <w:vertAlign w:val="subscript"/>
              </w:rPr>
              <w:t>min</w:t>
            </w:r>
            <w:r w:rsidRPr="005F77CE">
              <w:rPr>
                <w:sz w:val="24"/>
                <w:szCs w:val="24"/>
              </w:rPr>
              <w:t xml:space="preserve"> i fordelingsligevægt (µM)</w:t>
            </w:r>
          </w:p>
        </w:tc>
        <w:tc>
          <w:tcPr>
            <w:tcW w:w="2342" w:type="dxa"/>
            <w:tcBorders>
              <w:top w:val="single" w:sz="4" w:space="0" w:color="auto"/>
              <w:left w:val="single" w:sz="4" w:space="0" w:color="auto"/>
              <w:bottom w:val="single" w:sz="4" w:space="0" w:color="auto"/>
              <w:right w:val="single" w:sz="4" w:space="0" w:color="auto"/>
            </w:tcBorders>
            <w:hideMark/>
          </w:tcPr>
          <w:p w14:paraId="05AB77A5" w14:textId="77777777" w:rsidR="008562FC" w:rsidRPr="005F77CE" w:rsidRDefault="008562FC">
            <w:pPr>
              <w:pStyle w:val="TableParagraph"/>
              <w:jc w:val="center"/>
              <w:rPr>
                <w:sz w:val="24"/>
                <w:szCs w:val="24"/>
              </w:rPr>
            </w:pPr>
            <w:r w:rsidRPr="005F77CE">
              <w:rPr>
                <w:sz w:val="24"/>
                <w:szCs w:val="24"/>
              </w:rPr>
              <w:t>114 ± 91 (14)</w:t>
            </w:r>
          </w:p>
        </w:tc>
        <w:tc>
          <w:tcPr>
            <w:tcW w:w="2251" w:type="dxa"/>
            <w:tcBorders>
              <w:top w:val="single" w:sz="4" w:space="0" w:color="auto"/>
              <w:left w:val="single" w:sz="4" w:space="0" w:color="auto"/>
              <w:bottom w:val="single" w:sz="4" w:space="0" w:color="auto"/>
              <w:right w:val="single" w:sz="4" w:space="0" w:color="auto"/>
            </w:tcBorders>
            <w:hideMark/>
          </w:tcPr>
          <w:p w14:paraId="1E19B0F6" w14:textId="77777777" w:rsidR="008562FC" w:rsidRPr="005F77CE" w:rsidRDefault="008562FC">
            <w:pPr>
              <w:pStyle w:val="TableParagraph"/>
              <w:jc w:val="center"/>
              <w:rPr>
                <w:sz w:val="24"/>
                <w:szCs w:val="24"/>
              </w:rPr>
            </w:pPr>
            <w:r w:rsidRPr="005F77CE">
              <w:rPr>
                <w:sz w:val="24"/>
                <w:szCs w:val="24"/>
              </w:rPr>
              <w:t>63 ± 57 (17)</w:t>
            </w:r>
          </w:p>
        </w:tc>
      </w:tr>
      <w:tr w:rsidR="008562FC" w:rsidRPr="005F77CE" w14:paraId="740F3F65" w14:textId="77777777" w:rsidTr="006A2906">
        <w:trPr>
          <w:trHeight w:val="241"/>
        </w:trPr>
        <w:tc>
          <w:tcPr>
            <w:tcW w:w="3687" w:type="dxa"/>
            <w:tcBorders>
              <w:top w:val="single" w:sz="4" w:space="0" w:color="auto"/>
              <w:left w:val="single" w:sz="4" w:space="0" w:color="auto"/>
              <w:bottom w:val="single" w:sz="4" w:space="0" w:color="auto"/>
              <w:right w:val="single" w:sz="4" w:space="0" w:color="auto"/>
            </w:tcBorders>
            <w:hideMark/>
          </w:tcPr>
          <w:p w14:paraId="4380EF6C" w14:textId="77777777" w:rsidR="008562FC" w:rsidRPr="005F77CE" w:rsidRDefault="008562FC">
            <w:pPr>
              <w:pStyle w:val="TableParagraph"/>
              <w:ind w:left="69"/>
              <w:rPr>
                <w:sz w:val="24"/>
                <w:szCs w:val="24"/>
              </w:rPr>
            </w:pPr>
            <w:r w:rsidRPr="005F77CE">
              <w:rPr>
                <w:sz w:val="24"/>
                <w:szCs w:val="24"/>
              </w:rPr>
              <w:t>Fordelingsvolumen (l/kg)</w:t>
            </w:r>
          </w:p>
        </w:tc>
        <w:tc>
          <w:tcPr>
            <w:tcW w:w="2342" w:type="dxa"/>
            <w:tcBorders>
              <w:top w:val="single" w:sz="4" w:space="0" w:color="auto"/>
              <w:left w:val="single" w:sz="4" w:space="0" w:color="auto"/>
              <w:bottom w:val="single" w:sz="4" w:space="0" w:color="auto"/>
              <w:right w:val="single" w:sz="4" w:space="0" w:color="auto"/>
            </w:tcBorders>
            <w:hideMark/>
          </w:tcPr>
          <w:p w14:paraId="446DD4CE" w14:textId="77777777" w:rsidR="008562FC" w:rsidRPr="005F77CE" w:rsidRDefault="008562FC">
            <w:pPr>
              <w:pStyle w:val="TableParagraph"/>
              <w:jc w:val="center"/>
              <w:rPr>
                <w:sz w:val="24"/>
                <w:szCs w:val="24"/>
              </w:rPr>
            </w:pPr>
            <w:r w:rsidRPr="005F77CE">
              <w:rPr>
                <w:sz w:val="24"/>
                <w:szCs w:val="24"/>
              </w:rPr>
              <w:t>0,41 ± 0,13 (12)</w:t>
            </w:r>
          </w:p>
        </w:tc>
        <w:tc>
          <w:tcPr>
            <w:tcW w:w="2251" w:type="dxa"/>
            <w:tcBorders>
              <w:top w:val="single" w:sz="4" w:space="0" w:color="auto"/>
              <w:left w:val="single" w:sz="4" w:space="0" w:color="auto"/>
              <w:bottom w:val="single" w:sz="4" w:space="0" w:color="auto"/>
              <w:right w:val="single" w:sz="4" w:space="0" w:color="auto"/>
            </w:tcBorders>
            <w:hideMark/>
          </w:tcPr>
          <w:p w14:paraId="4489C31E" w14:textId="77777777" w:rsidR="008562FC" w:rsidRPr="005F77CE" w:rsidRDefault="008562FC">
            <w:pPr>
              <w:pStyle w:val="TableParagraph"/>
              <w:jc w:val="center"/>
              <w:rPr>
                <w:sz w:val="24"/>
                <w:szCs w:val="24"/>
              </w:rPr>
            </w:pPr>
            <w:r w:rsidRPr="005F77CE">
              <w:rPr>
                <w:sz w:val="24"/>
                <w:szCs w:val="24"/>
              </w:rPr>
              <w:t>0,52 ± 0,20 (18)</w:t>
            </w:r>
          </w:p>
        </w:tc>
      </w:tr>
      <w:tr w:rsidR="008562FC" w:rsidRPr="005F77CE" w14:paraId="62A59103" w14:textId="77777777" w:rsidTr="006A2906">
        <w:trPr>
          <w:trHeight w:val="244"/>
        </w:trPr>
        <w:tc>
          <w:tcPr>
            <w:tcW w:w="3687" w:type="dxa"/>
            <w:tcBorders>
              <w:top w:val="single" w:sz="4" w:space="0" w:color="auto"/>
              <w:left w:val="single" w:sz="4" w:space="0" w:color="auto"/>
              <w:bottom w:val="single" w:sz="4" w:space="0" w:color="auto"/>
              <w:right w:val="single" w:sz="4" w:space="0" w:color="auto"/>
            </w:tcBorders>
            <w:hideMark/>
          </w:tcPr>
          <w:p w14:paraId="07FFFC4F" w14:textId="77777777" w:rsidR="008562FC" w:rsidRPr="005F77CE" w:rsidRDefault="008562FC">
            <w:pPr>
              <w:pStyle w:val="TableParagraph"/>
              <w:ind w:left="69"/>
              <w:rPr>
                <w:sz w:val="24"/>
                <w:szCs w:val="24"/>
              </w:rPr>
            </w:pPr>
            <w:r w:rsidRPr="005F77CE">
              <w:rPr>
                <w:sz w:val="24"/>
                <w:szCs w:val="24"/>
              </w:rPr>
              <w:t>Plasmahalveringstid (t)</w:t>
            </w:r>
          </w:p>
        </w:tc>
        <w:tc>
          <w:tcPr>
            <w:tcW w:w="2342" w:type="dxa"/>
            <w:tcBorders>
              <w:top w:val="single" w:sz="4" w:space="0" w:color="auto"/>
              <w:left w:val="single" w:sz="4" w:space="0" w:color="auto"/>
              <w:bottom w:val="single" w:sz="4" w:space="0" w:color="auto"/>
              <w:right w:val="single" w:sz="4" w:space="0" w:color="auto"/>
            </w:tcBorders>
            <w:hideMark/>
          </w:tcPr>
          <w:p w14:paraId="027F047F" w14:textId="77777777" w:rsidR="008562FC" w:rsidRPr="005F77CE" w:rsidRDefault="008562FC">
            <w:pPr>
              <w:pStyle w:val="TableParagraph"/>
              <w:jc w:val="center"/>
              <w:rPr>
                <w:sz w:val="24"/>
                <w:szCs w:val="24"/>
              </w:rPr>
            </w:pPr>
            <w:r w:rsidRPr="005F77CE">
              <w:rPr>
                <w:sz w:val="24"/>
                <w:szCs w:val="24"/>
              </w:rPr>
              <w:t>4,0 ± 2,0 (24)</w:t>
            </w:r>
          </w:p>
        </w:tc>
        <w:tc>
          <w:tcPr>
            <w:tcW w:w="2251" w:type="dxa"/>
            <w:tcBorders>
              <w:top w:val="single" w:sz="4" w:space="0" w:color="auto"/>
              <w:left w:val="single" w:sz="4" w:space="0" w:color="auto"/>
              <w:bottom w:val="single" w:sz="4" w:space="0" w:color="auto"/>
              <w:right w:val="single" w:sz="4" w:space="0" w:color="auto"/>
            </w:tcBorders>
            <w:hideMark/>
          </w:tcPr>
          <w:p w14:paraId="5DDC2C8A" w14:textId="77777777" w:rsidR="008562FC" w:rsidRPr="005F77CE" w:rsidRDefault="008562FC">
            <w:pPr>
              <w:pStyle w:val="TableParagraph"/>
              <w:ind w:right="745"/>
              <w:jc w:val="center"/>
              <w:rPr>
                <w:sz w:val="24"/>
                <w:szCs w:val="24"/>
              </w:rPr>
            </w:pPr>
            <w:r w:rsidRPr="005F77CE">
              <w:rPr>
                <w:sz w:val="24"/>
                <w:szCs w:val="24"/>
              </w:rPr>
              <w:t>3,3 ± 1,4 (18)</w:t>
            </w:r>
          </w:p>
        </w:tc>
      </w:tr>
      <w:tr w:rsidR="008562FC" w:rsidRPr="005F77CE" w14:paraId="0B04CC71" w14:textId="77777777" w:rsidTr="006A2906">
        <w:trPr>
          <w:trHeight w:val="242"/>
        </w:trPr>
        <w:tc>
          <w:tcPr>
            <w:tcW w:w="3687" w:type="dxa"/>
            <w:tcBorders>
              <w:top w:val="single" w:sz="4" w:space="0" w:color="auto"/>
              <w:left w:val="single" w:sz="4" w:space="0" w:color="auto"/>
              <w:bottom w:val="single" w:sz="4" w:space="0" w:color="auto"/>
              <w:right w:val="single" w:sz="4" w:space="0" w:color="auto"/>
            </w:tcBorders>
            <w:hideMark/>
          </w:tcPr>
          <w:p w14:paraId="04B8F9A2" w14:textId="77777777" w:rsidR="008562FC" w:rsidRPr="005F77CE" w:rsidRDefault="008562FC">
            <w:pPr>
              <w:pStyle w:val="TableParagraph"/>
              <w:ind w:left="69"/>
              <w:rPr>
                <w:sz w:val="24"/>
                <w:szCs w:val="24"/>
              </w:rPr>
            </w:pPr>
            <w:r w:rsidRPr="005F77CE">
              <w:rPr>
                <w:sz w:val="24"/>
                <w:szCs w:val="24"/>
              </w:rPr>
              <w:t xml:space="preserve">Total </w:t>
            </w:r>
            <w:proofErr w:type="spellStart"/>
            <w:r w:rsidRPr="005F77CE">
              <w:rPr>
                <w:sz w:val="24"/>
                <w:szCs w:val="24"/>
              </w:rPr>
              <w:t>kropsclearance</w:t>
            </w:r>
            <w:proofErr w:type="spellEnd"/>
            <w:r w:rsidRPr="005F77CE">
              <w:rPr>
                <w:sz w:val="24"/>
                <w:szCs w:val="24"/>
              </w:rPr>
              <w:t xml:space="preserve"> (l/t)</w:t>
            </w:r>
          </w:p>
        </w:tc>
        <w:tc>
          <w:tcPr>
            <w:tcW w:w="2342" w:type="dxa"/>
            <w:tcBorders>
              <w:top w:val="single" w:sz="4" w:space="0" w:color="auto"/>
              <w:left w:val="single" w:sz="4" w:space="0" w:color="auto"/>
              <w:bottom w:val="single" w:sz="4" w:space="0" w:color="auto"/>
              <w:right w:val="single" w:sz="4" w:space="0" w:color="auto"/>
            </w:tcBorders>
            <w:hideMark/>
          </w:tcPr>
          <w:p w14:paraId="474D71A6" w14:textId="77777777" w:rsidR="008562FC" w:rsidRPr="005F77CE" w:rsidRDefault="008562FC">
            <w:pPr>
              <w:pStyle w:val="TableParagraph"/>
              <w:jc w:val="center"/>
              <w:rPr>
                <w:sz w:val="24"/>
                <w:szCs w:val="24"/>
              </w:rPr>
            </w:pPr>
            <w:r w:rsidRPr="005F77CE">
              <w:rPr>
                <w:sz w:val="24"/>
                <w:szCs w:val="24"/>
              </w:rPr>
              <w:t>6,2 ± 2,1 (24)</w:t>
            </w:r>
          </w:p>
        </w:tc>
        <w:tc>
          <w:tcPr>
            <w:tcW w:w="2251" w:type="dxa"/>
            <w:tcBorders>
              <w:top w:val="single" w:sz="4" w:space="0" w:color="auto"/>
              <w:left w:val="single" w:sz="4" w:space="0" w:color="auto"/>
              <w:bottom w:val="single" w:sz="4" w:space="0" w:color="auto"/>
              <w:right w:val="single" w:sz="4" w:space="0" w:color="auto"/>
            </w:tcBorders>
            <w:hideMark/>
          </w:tcPr>
          <w:p w14:paraId="010DD72F" w14:textId="77777777" w:rsidR="008562FC" w:rsidRPr="005F77CE" w:rsidRDefault="008562FC">
            <w:pPr>
              <w:pStyle w:val="TableParagraph"/>
              <w:ind w:right="745"/>
              <w:jc w:val="center"/>
              <w:rPr>
                <w:sz w:val="24"/>
                <w:szCs w:val="24"/>
              </w:rPr>
            </w:pPr>
            <w:r w:rsidRPr="005F77CE">
              <w:rPr>
                <w:sz w:val="24"/>
                <w:szCs w:val="24"/>
              </w:rPr>
              <w:t>7,1 ± 2,7 (18)</w:t>
            </w:r>
          </w:p>
        </w:tc>
      </w:tr>
      <w:tr w:rsidR="008562FC" w:rsidRPr="005F77CE" w14:paraId="5A357A84" w14:textId="77777777" w:rsidTr="006A2906">
        <w:trPr>
          <w:trHeight w:val="244"/>
        </w:trPr>
        <w:tc>
          <w:tcPr>
            <w:tcW w:w="3687" w:type="dxa"/>
            <w:tcBorders>
              <w:top w:val="single" w:sz="4" w:space="0" w:color="auto"/>
              <w:left w:val="single" w:sz="4" w:space="0" w:color="auto"/>
              <w:bottom w:val="single" w:sz="4" w:space="0" w:color="auto"/>
              <w:right w:val="single" w:sz="4" w:space="0" w:color="auto"/>
            </w:tcBorders>
            <w:hideMark/>
          </w:tcPr>
          <w:p w14:paraId="5223BE87" w14:textId="77777777" w:rsidR="008562FC" w:rsidRPr="005F77CE" w:rsidRDefault="008562FC">
            <w:pPr>
              <w:pStyle w:val="TableParagraph"/>
              <w:ind w:left="69"/>
              <w:rPr>
                <w:sz w:val="24"/>
                <w:szCs w:val="24"/>
              </w:rPr>
            </w:pPr>
            <w:proofErr w:type="spellStart"/>
            <w:r w:rsidRPr="005F77CE">
              <w:rPr>
                <w:sz w:val="24"/>
                <w:szCs w:val="24"/>
              </w:rPr>
              <w:t>Nyreclearance</w:t>
            </w:r>
            <w:proofErr w:type="spellEnd"/>
            <w:r w:rsidRPr="005F77CE">
              <w:rPr>
                <w:sz w:val="24"/>
                <w:szCs w:val="24"/>
              </w:rPr>
              <w:t xml:space="preserve"> (l/t)</w:t>
            </w:r>
          </w:p>
        </w:tc>
        <w:tc>
          <w:tcPr>
            <w:tcW w:w="2342" w:type="dxa"/>
            <w:tcBorders>
              <w:top w:val="single" w:sz="4" w:space="0" w:color="auto"/>
              <w:left w:val="single" w:sz="4" w:space="0" w:color="auto"/>
              <w:bottom w:val="single" w:sz="4" w:space="0" w:color="auto"/>
              <w:right w:val="single" w:sz="4" w:space="0" w:color="auto"/>
            </w:tcBorders>
            <w:hideMark/>
          </w:tcPr>
          <w:p w14:paraId="40511E37" w14:textId="77777777" w:rsidR="008562FC" w:rsidRPr="005F77CE" w:rsidRDefault="008562FC">
            <w:pPr>
              <w:pStyle w:val="TableParagraph"/>
              <w:jc w:val="center"/>
              <w:rPr>
                <w:sz w:val="24"/>
                <w:szCs w:val="24"/>
              </w:rPr>
            </w:pPr>
            <w:r w:rsidRPr="005F77CE">
              <w:rPr>
                <w:sz w:val="24"/>
                <w:szCs w:val="24"/>
              </w:rPr>
              <w:t>5,6 ± 1,9 (5)</w:t>
            </w:r>
          </w:p>
        </w:tc>
        <w:tc>
          <w:tcPr>
            <w:tcW w:w="2251" w:type="dxa"/>
            <w:tcBorders>
              <w:top w:val="single" w:sz="4" w:space="0" w:color="auto"/>
              <w:left w:val="single" w:sz="4" w:space="0" w:color="auto"/>
              <w:bottom w:val="single" w:sz="4" w:space="0" w:color="auto"/>
              <w:right w:val="single" w:sz="4" w:space="0" w:color="auto"/>
            </w:tcBorders>
            <w:hideMark/>
          </w:tcPr>
          <w:p w14:paraId="03010BFC" w14:textId="77777777" w:rsidR="008562FC" w:rsidRPr="005F77CE" w:rsidRDefault="008562FC">
            <w:pPr>
              <w:pStyle w:val="TableParagraph"/>
              <w:jc w:val="center"/>
              <w:rPr>
                <w:sz w:val="24"/>
                <w:szCs w:val="24"/>
              </w:rPr>
            </w:pPr>
            <w:r w:rsidRPr="005F77CE">
              <w:rPr>
                <w:sz w:val="24"/>
                <w:szCs w:val="24"/>
              </w:rPr>
              <w:t>6,4 ± 2,5 (13)</w:t>
            </w:r>
          </w:p>
        </w:tc>
      </w:tr>
      <w:tr w:rsidR="008562FC" w:rsidRPr="005F77CE" w14:paraId="68598A2B" w14:textId="77777777" w:rsidTr="006A2906">
        <w:trPr>
          <w:trHeight w:val="242"/>
        </w:trPr>
        <w:tc>
          <w:tcPr>
            <w:tcW w:w="3687" w:type="dxa"/>
            <w:tcBorders>
              <w:top w:val="single" w:sz="4" w:space="0" w:color="auto"/>
              <w:left w:val="single" w:sz="4" w:space="0" w:color="auto"/>
              <w:bottom w:val="single" w:sz="4" w:space="0" w:color="auto"/>
              <w:right w:val="single" w:sz="4" w:space="0" w:color="auto"/>
            </w:tcBorders>
            <w:hideMark/>
          </w:tcPr>
          <w:p w14:paraId="50AA0E18" w14:textId="77777777" w:rsidR="008562FC" w:rsidRPr="005F77CE" w:rsidRDefault="008562FC">
            <w:pPr>
              <w:pStyle w:val="TableParagraph"/>
              <w:ind w:left="69"/>
              <w:rPr>
                <w:sz w:val="24"/>
                <w:szCs w:val="24"/>
              </w:rPr>
            </w:pPr>
            <w:r w:rsidRPr="005F77CE">
              <w:rPr>
                <w:sz w:val="24"/>
                <w:szCs w:val="24"/>
              </w:rPr>
              <w:t>CSF/plasma-forhold</w:t>
            </w:r>
          </w:p>
        </w:tc>
        <w:tc>
          <w:tcPr>
            <w:tcW w:w="2342" w:type="dxa"/>
            <w:tcBorders>
              <w:top w:val="single" w:sz="4" w:space="0" w:color="auto"/>
              <w:left w:val="single" w:sz="4" w:space="0" w:color="auto"/>
              <w:bottom w:val="single" w:sz="4" w:space="0" w:color="auto"/>
              <w:right w:val="single" w:sz="4" w:space="0" w:color="auto"/>
            </w:tcBorders>
            <w:hideMark/>
          </w:tcPr>
          <w:p w14:paraId="26EB8E08" w14:textId="77777777" w:rsidR="008562FC" w:rsidRPr="005F77CE" w:rsidRDefault="008562FC">
            <w:pPr>
              <w:pStyle w:val="TableParagraph"/>
              <w:jc w:val="center"/>
              <w:rPr>
                <w:sz w:val="24"/>
                <w:szCs w:val="24"/>
              </w:rPr>
            </w:pPr>
            <w:r w:rsidRPr="005F77CE">
              <w:rPr>
                <w:sz w:val="24"/>
                <w:szCs w:val="24"/>
              </w:rPr>
              <w:t>0,69 ± 0,19 (</w:t>
            </w:r>
            <w:proofErr w:type="gramStart"/>
            <w:r w:rsidRPr="005F77CE">
              <w:rPr>
                <w:sz w:val="24"/>
                <w:szCs w:val="24"/>
              </w:rPr>
              <w:t>9)*</w:t>
            </w:r>
            <w:proofErr w:type="gramEnd"/>
            <w:r w:rsidRPr="005F77CE">
              <w:rPr>
                <w:sz w:val="24"/>
                <w:szCs w:val="24"/>
              </w:rPr>
              <w:t>*</w:t>
            </w:r>
          </w:p>
        </w:tc>
        <w:tc>
          <w:tcPr>
            <w:tcW w:w="2251" w:type="dxa"/>
            <w:tcBorders>
              <w:top w:val="single" w:sz="4" w:space="0" w:color="auto"/>
              <w:left w:val="single" w:sz="4" w:space="0" w:color="auto"/>
              <w:bottom w:val="single" w:sz="4" w:space="0" w:color="auto"/>
              <w:right w:val="single" w:sz="4" w:space="0" w:color="auto"/>
            </w:tcBorders>
            <w:hideMark/>
          </w:tcPr>
          <w:p w14:paraId="35B47E2E" w14:textId="77777777" w:rsidR="008562FC" w:rsidRPr="005F77CE" w:rsidRDefault="008562FC">
            <w:pPr>
              <w:pStyle w:val="TableParagraph"/>
              <w:jc w:val="center"/>
              <w:rPr>
                <w:sz w:val="24"/>
                <w:szCs w:val="24"/>
              </w:rPr>
            </w:pPr>
            <w:r w:rsidRPr="005F77CE">
              <w:rPr>
                <w:sz w:val="24"/>
                <w:szCs w:val="24"/>
              </w:rPr>
              <w:t>0,66 ± 0,11 (</w:t>
            </w:r>
            <w:proofErr w:type="gramStart"/>
            <w:r w:rsidRPr="005F77CE">
              <w:rPr>
                <w:sz w:val="24"/>
                <w:szCs w:val="24"/>
              </w:rPr>
              <w:t>5)*</w:t>
            </w:r>
            <w:proofErr w:type="gramEnd"/>
            <w:r w:rsidRPr="005F77CE">
              <w:rPr>
                <w:sz w:val="24"/>
                <w:szCs w:val="24"/>
              </w:rPr>
              <w:t>**</w:t>
            </w:r>
          </w:p>
        </w:tc>
      </w:tr>
    </w:tbl>
    <w:p w14:paraId="4E167D32" w14:textId="4A063E62" w:rsidR="008562FC" w:rsidRPr="005F77CE" w:rsidRDefault="008562FC" w:rsidP="00A836F6">
      <w:pPr>
        <w:ind w:left="1418" w:hanging="567"/>
        <w:rPr>
          <w:bCs/>
          <w:sz w:val="24"/>
          <w:szCs w:val="24"/>
          <w:lang w:eastAsia="en-GB"/>
        </w:rPr>
      </w:pPr>
      <w:r w:rsidRPr="005F77CE">
        <w:rPr>
          <w:b/>
          <w:sz w:val="24"/>
          <w:szCs w:val="24"/>
        </w:rPr>
        <w:t>*</w:t>
      </w:r>
      <w:r w:rsidRPr="005F77CE">
        <w:rPr>
          <w:sz w:val="24"/>
          <w:szCs w:val="24"/>
        </w:rPr>
        <w:t xml:space="preserve"> </w:t>
      </w:r>
      <w:r w:rsidR="00A836F6">
        <w:rPr>
          <w:sz w:val="24"/>
          <w:szCs w:val="24"/>
        </w:rPr>
        <w:tab/>
      </w:r>
      <w:r w:rsidRPr="005F77CE">
        <w:rPr>
          <w:sz w:val="24"/>
          <w:szCs w:val="24"/>
        </w:rPr>
        <w:t>Gennemsnit ± standardafvigelse (antal undersøgte patienter) for hver parameter</w:t>
      </w:r>
    </w:p>
    <w:p w14:paraId="4FCDBE61" w14:textId="6C940865" w:rsidR="008562FC" w:rsidRPr="005F77CE" w:rsidRDefault="008562FC" w:rsidP="00A836F6">
      <w:pPr>
        <w:ind w:left="1418" w:hanging="567"/>
        <w:rPr>
          <w:bCs/>
          <w:sz w:val="24"/>
          <w:szCs w:val="24"/>
        </w:rPr>
      </w:pPr>
      <w:r w:rsidRPr="005F77CE">
        <w:rPr>
          <w:sz w:val="24"/>
          <w:szCs w:val="24"/>
        </w:rPr>
        <w:t xml:space="preserve">** </w:t>
      </w:r>
      <w:r w:rsidR="00A836F6">
        <w:rPr>
          <w:sz w:val="24"/>
          <w:szCs w:val="24"/>
        </w:rPr>
        <w:tab/>
      </w:r>
      <w:r w:rsidRPr="005F77CE">
        <w:rPr>
          <w:sz w:val="24"/>
          <w:szCs w:val="24"/>
        </w:rPr>
        <w:t>50 mg/kg kropsvægt hver 8. time i 28 dage, prøver blev taget 3 timer efter afslutningen af infusionen, som foregik over en time</w:t>
      </w:r>
    </w:p>
    <w:p w14:paraId="230D7990" w14:textId="0612FFE2" w:rsidR="008562FC" w:rsidRPr="005F77CE" w:rsidRDefault="008562FC" w:rsidP="00A836F6">
      <w:pPr>
        <w:ind w:left="1418" w:hanging="567"/>
        <w:rPr>
          <w:bCs/>
          <w:sz w:val="24"/>
          <w:szCs w:val="24"/>
        </w:rPr>
      </w:pPr>
      <w:r w:rsidRPr="005F77CE">
        <w:rPr>
          <w:sz w:val="24"/>
          <w:szCs w:val="24"/>
        </w:rPr>
        <w:t xml:space="preserve">*** </w:t>
      </w:r>
      <w:r w:rsidR="00A836F6">
        <w:rPr>
          <w:sz w:val="24"/>
          <w:szCs w:val="24"/>
        </w:rPr>
        <w:tab/>
      </w:r>
      <w:r w:rsidRPr="005F77CE">
        <w:rPr>
          <w:sz w:val="24"/>
          <w:szCs w:val="24"/>
        </w:rPr>
        <w:t>90 mg/kg kropsvægt hver 12. time i 28 dage, prøver blev taget 1 time efter afslutningen af infusionen, som foregik over to timer.</w:t>
      </w:r>
    </w:p>
    <w:p w14:paraId="2F00E67E" w14:textId="77777777" w:rsidR="009260DE" w:rsidRPr="005F77CE" w:rsidRDefault="009260DE" w:rsidP="009260DE">
      <w:pPr>
        <w:tabs>
          <w:tab w:val="left" w:pos="851"/>
        </w:tabs>
        <w:ind w:left="851"/>
        <w:rPr>
          <w:sz w:val="24"/>
          <w:szCs w:val="24"/>
        </w:rPr>
      </w:pPr>
    </w:p>
    <w:p w14:paraId="50974438" w14:textId="77777777" w:rsidR="009260DE" w:rsidRPr="005F77CE" w:rsidRDefault="009260DE" w:rsidP="009260DE">
      <w:pPr>
        <w:tabs>
          <w:tab w:val="left" w:pos="851"/>
        </w:tabs>
        <w:ind w:left="851" w:hanging="851"/>
        <w:rPr>
          <w:b/>
          <w:sz w:val="24"/>
          <w:szCs w:val="24"/>
        </w:rPr>
      </w:pPr>
      <w:r w:rsidRPr="005F77CE">
        <w:rPr>
          <w:b/>
          <w:sz w:val="24"/>
          <w:szCs w:val="24"/>
        </w:rPr>
        <w:t>5.3</w:t>
      </w:r>
      <w:r w:rsidRPr="005F77CE">
        <w:rPr>
          <w:b/>
          <w:sz w:val="24"/>
          <w:szCs w:val="24"/>
        </w:rPr>
        <w:tab/>
        <w:t>Prækliniske sikkerhedsdata</w:t>
      </w:r>
    </w:p>
    <w:p w14:paraId="22DE3BCC" w14:textId="77777777" w:rsidR="00FB3806" w:rsidRDefault="00FB3806" w:rsidP="006A2906">
      <w:pPr>
        <w:ind w:left="851"/>
        <w:rPr>
          <w:sz w:val="24"/>
          <w:szCs w:val="24"/>
        </w:rPr>
      </w:pPr>
    </w:p>
    <w:p w14:paraId="07169EB9" w14:textId="72EDABA1" w:rsidR="008562FC" w:rsidRPr="00FB3806" w:rsidRDefault="008562FC" w:rsidP="006A2906">
      <w:pPr>
        <w:ind w:left="851"/>
        <w:rPr>
          <w:bCs/>
          <w:i/>
          <w:iCs/>
          <w:sz w:val="24"/>
          <w:szCs w:val="24"/>
          <w:lang w:eastAsia="en-GB"/>
        </w:rPr>
      </w:pPr>
      <w:r w:rsidRPr="00FB3806">
        <w:rPr>
          <w:i/>
          <w:sz w:val="24"/>
          <w:szCs w:val="24"/>
        </w:rPr>
        <w:t>Kronisk toksicitet</w:t>
      </w:r>
    </w:p>
    <w:p w14:paraId="09D3DB61" w14:textId="77777777" w:rsidR="008562FC" w:rsidRPr="005F77CE" w:rsidRDefault="008562FC" w:rsidP="006A2906">
      <w:pPr>
        <w:ind w:left="851"/>
        <w:rPr>
          <w:bCs/>
          <w:sz w:val="24"/>
          <w:szCs w:val="24"/>
        </w:rPr>
      </w:pPr>
      <w:r w:rsidRPr="005F77CE">
        <w:rPr>
          <w:sz w:val="24"/>
          <w:szCs w:val="24"/>
        </w:rPr>
        <w:t>Undersøgelser af kronisk toksicitet har vist, at nyrer og knogler er målorganerne for toksiske effekter.</w:t>
      </w:r>
    </w:p>
    <w:p w14:paraId="1F93C63F" w14:textId="77777777" w:rsidR="008562FC" w:rsidRPr="005F77CE" w:rsidRDefault="008562FC" w:rsidP="006A2906">
      <w:pPr>
        <w:ind w:left="851"/>
        <w:rPr>
          <w:bCs/>
          <w:sz w:val="24"/>
          <w:szCs w:val="24"/>
        </w:rPr>
      </w:pPr>
    </w:p>
    <w:p w14:paraId="03292699" w14:textId="77777777" w:rsidR="008562FC" w:rsidRPr="005F77CE" w:rsidRDefault="008562FC" w:rsidP="006A2906">
      <w:pPr>
        <w:ind w:left="851"/>
        <w:rPr>
          <w:bCs/>
          <w:sz w:val="24"/>
          <w:szCs w:val="24"/>
        </w:rPr>
      </w:pPr>
      <w:proofErr w:type="spellStart"/>
      <w:r w:rsidRPr="005F77CE">
        <w:rPr>
          <w:sz w:val="24"/>
          <w:szCs w:val="24"/>
        </w:rPr>
        <w:t>Tubulære</w:t>
      </w:r>
      <w:proofErr w:type="spellEnd"/>
      <w:r w:rsidRPr="005F77CE">
        <w:rPr>
          <w:sz w:val="24"/>
          <w:szCs w:val="24"/>
        </w:rPr>
        <w:t xml:space="preserve"> atrofier blev observeret hos hunde og rotter efter høje intravenøse doser (15 og 180 mg/kg kropsvægt) </w:t>
      </w:r>
      <w:proofErr w:type="spellStart"/>
      <w:r w:rsidRPr="005F77CE">
        <w:rPr>
          <w:sz w:val="24"/>
          <w:szCs w:val="24"/>
        </w:rPr>
        <w:t>foscarnetnatriumhexahydrat</w:t>
      </w:r>
      <w:proofErr w:type="spellEnd"/>
      <w:r w:rsidRPr="005F77CE">
        <w:rPr>
          <w:sz w:val="24"/>
          <w:szCs w:val="24"/>
        </w:rPr>
        <w:t>. Virkningsmekanismen for nyreskader er ikke kendt på nuværende tidspunkt.</w:t>
      </w:r>
    </w:p>
    <w:p w14:paraId="5CBA688A" w14:textId="77777777" w:rsidR="008562FC" w:rsidRPr="005F77CE" w:rsidRDefault="008562FC" w:rsidP="006A2906">
      <w:pPr>
        <w:ind w:left="851"/>
        <w:rPr>
          <w:bCs/>
          <w:sz w:val="24"/>
          <w:szCs w:val="24"/>
        </w:rPr>
      </w:pPr>
    </w:p>
    <w:p w14:paraId="76494F5F" w14:textId="77777777" w:rsidR="008562FC" w:rsidRPr="005F77CE" w:rsidRDefault="008562FC" w:rsidP="006A2906">
      <w:pPr>
        <w:ind w:left="851"/>
        <w:rPr>
          <w:bCs/>
          <w:sz w:val="24"/>
          <w:szCs w:val="24"/>
        </w:rPr>
      </w:pPr>
      <w:r w:rsidRPr="005F77CE">
        <w:rPr>
          <w:sz w:val="24"/>
          <w:szCs w:val="24"/>
        </w:rPr>
        <w:lastRenderedPageBreak/>
        <w:t xml:space="preserve">Osteologiske forandringer er beskrevet som øget </w:t>
      </w:r>
      <w:proofErr w:type="spellStart"/>
      <w:r w:rsidRPr="005F77CE">
        <w:rPr>
          <w:sz w:val="24"/>
          <w:szCs w:val="24"/>
        </w:rPr>
        <w:t>osteoklastaktivitet</w:t>
      </w:r>
      <w:proofErr w:type="spellEnd"/>
      <w:r w:rsidRPr="005F77CE">
        <w:rPr>
          <w:sz w:val="24"/>
          <w:szCs w:val="24"/>
        </w:rPr>
        <w:t xml:space="preserve"> og knogleresorption. Ca. 20 % af det administrerede lægemiddel absorberes i knogler og brusk, og aflejringen er højere hos unge dyr og dyr i vækst. Denne effekt er kun observeret i hunde. Én forklaring på disse forandringer kan være, at </w:t>
      </w:r>
      <w:proofErr w:type="spellStart"/>
      <w:r w:rsidRPr="005F77CE">
        <w:rPr>
          <w:sz w:val="24"/>
          <w:szCs w:val="24"/>
        </w:rPr>
        <w:t>foscarnetnatriumhexahydrat</w:t>
      </w:r>
      <w:proofErr w:type="spellEnd"/>
      <w:r w:rsidRPr="005F77CE">
        <w:rPr>
          <w:sz w:val="24"/>
          <w:szCs w:val="24"/>
        </w:rPr>
        <w:t xml:space="preserve"> optages i </w:t>
      </w:r>
      <w:proofErr w:type="spellStart"/>
      <w:r w:rsidRPr="005F77CE">
        <w:rPr>
          <w:sz w:val="24"/>
          <w:szCs w:val="24"/>
        </w:rPr>
        <w:t>hydroxyapatit</w:t>
      </w:r>
      <w:proofErr w:type="spellEnd"/>
      <w:r w:rsidRPr="005F77CE">
        <w:rPr>
          <w:sz w:val="24"/>
          <w:szCs w:val="24"/>
        </w:rPr>
        <w:t xml:space="preserve"> på grund af dets strukturelle lighed med fosfat.</w:t>
      </w:r>
    </w:p>
    <w:p w14:paraId="7576ED2A" w14:textId="77777777" w:rsidR="008562FC" w:rsidRPr="005F77CE" w:rsidRDefault="008562FC" w:rsidP="006A2906">
      <w:pPr>
        <w:ind w:left="851"/>
        <w:rPr>
          <w:bCs/>
          <w:sz w:val="24"/>
          <w:szCs w:val="24"/>
        </w:rPr>
      </w:pPr>
    </w:p>
    <w:p w14:paraId="6E75559F" w14:textId="77777777" w:rsidR="008562FC" w:rsidRPr="005F77CE" w:rsidRDefault="008562FC" w:rsidP="006A2906">
      <w:pPr>
        <w:ind w:left="851"/>
        <w:rPr>
          <w:bCs/>
          <w:sz w:val="24"/>
          <w:szCs w:val="24"/>
        </w:rPr>
      </w:pPr>
      <w:r w:rsidRPr="005F77CE">
        <w:rPr>
          <w:sz w:val="24"/>
          <w:szCs w:val="24"/>
        </w:rPr>
        <w:t xml:space="preserve">Autoradiografiske undersøgelser har vist, at </w:t>
      </w:r>
      <w:proofErr w:type="spellStart"/>
      <w:r w:rsidRPr="005F77CE">
        <w:rPr>
          <w:sz w:val="24"/>
          <w:szCs w:val="24"/>
        </w:rPr>
        <w:t>foscarnetnatriumhexahydrat</w:t>
      </w:r>
      <w:proofErr w:type="spellEnd"/>
      <w:r w:rsidRPr="005F77CE">
        <w:rPr>
          <w:sz w:val="24"/>
          <w:szCs w:val="24"/>
        </w:rPr>
        <w:t xml:space="preserve"> har en tydelig affinitet for knoglevæv. Regenereringsstudier har vist, at knogleforandringerne er reversible. Det er påvist, at </w:t>
      </w:r>
      <w:proofErr w:type="spellStart"/>
      <w:r w:rsidRPr="005F77CE">
        <w:rPr>
          <w:sz w:val="24"/>
          <w:szCs w:val="24"/>
        </w:rPr>
        <w:t>foscarnetnatriumhexahydrat</w:t>
      </w:r>
      <w:proofErr w:type="spellEnd"/>
      <w:r w:rsidRPr="005F77CE">
        <w:rPr>
          <w:sz w:val="24"/>
          <w:szCs w:val="24"/>
        </w:rPr>
        <w:t xml:space="preserve"> påvirker udviklingen af tandemaljen hos mus og rotter. Effekterne af denne aflejring på den skeletale udvikling er ikke undersøgt.</w:t>
      </w:r>
    </w:p>
    <w:p w14:paraId="2662AE39" w14:textId="77777777" w:rsidR="008562FC" w:rsidRPr="005F77CE" w:rsidRDefault="008562FC" w:rsidP="006A2906">
      <w:pPr>
        <w:ind w:left="851"/>
        <w:rPr>
          <w:bCs/>
          <w:sz w:val="24"/>
          <w:szCs w:val="24"/>
        </w:rPr>
      </w:pPr>
    </w:p>
    <w:p w14:paraId="32C2851E" w14:textId="77777777" w:rsidR="008562FC" w:rsidRPr="005F77CE" w:rsidRDefault="008562FC" w:rsidP="006A2906">
      <w:pPr>
        <w:ind w:left="851"/>
        <w:rPr>
          <w:bCs/>
          <w:sz w:val="24"/>
          <w:szCs w:val="24"/>
        </w:rPr>
      </w:pPr>
      <w:r w:rsidRPr="005F77CE">
        <w:rPr>
          <w:sz w:val="24"/>
          <w:szCs w:val="24"/>
        </w:rPr>
        <w:t xml:space="preserve">Et andet ikke almindeligt resultat var nedsat hæmoglobinkoncentration og incisiv </w:t>
      </w:r>
      <w:proofErr w:type="spellStart"/>
      <w:r w:rsidRPr="005F77CE">
        <w:rPr>
          <w:sz w:val="24"/>
          <w:szCs w:val="24"/>
        </w:rPr>
        <w:t>amelogenese</w:t>
      </w:r>
      <w:proofErr w:type="spellEnd"/>
      <w:r w:rsidRPr="005F77CE">
        <w:rPr>
          <w:sz w:val="24"/>
          <w:szCs w:val="24"/>
        </w:rPr>
        <w:t xml:space="preserve"> hos rotter (6-måneders forsøg).</w:t>
      </w:r>
    </w:p>
    <w:p w14:paraId="6B79A384" w14:textId="77777777" w:rsidR="008562FC" w:rsidRPr="005F77CE" w:rsidRDefault="008562FC" w:rsidP="006A2906">
      <w:pPr>
        <w:ind w:left="851"/>
        <w:rPr>
          <w:bCs/>
          <w:sz w:val="24"/>
          <w:szCs w:val="24"/>
        </w:rPr>
      </w:pPr>
    </w:p>
    <w:p w14:paraId="3482F411" w14:textId="77777777" w:rsidR="008562FC" w:rsidRPr="00FB3806" w:rsidRDefault="008562FC" w:rsidP="006A2906">
      <w:pPr>
        <w:ind w:left="851"/>
        <w:rPr>
          <w:bCs/>
          <w:i/>
          <w:iCs/>
          <w:sz w:val="24"/>
          <w:szCs w:val="24"/>
        </w:rPr>
      </w:pPr>
      <w:proofErr w:type="spellStart"/>
      <w:r w:rsidRPr="00FB3806">
        <w:rPr>
          <w:i/>
          <w:sz w:val="24"/>
          <w:szCs w:val="24"/>
        </w:rPr>
        <w:t>Karcinogenicitet</w:t>
      </w:r>
      <w:proofErr w:type="spellEnd"/>
    </w:p>
    <w:p w14:paraId="1EDA066C" w14:textId="77777777" w:rsidR="008562FC" w:rsidRPr="005F77CE" w:rsidRDefault="008562FC" w:rsidP="006A2906">
      <w:pPr>
        <w:ind w:left="851"/>
        <w:rPr>
          <w:bCs/>
          <w:sz w:val="24"/>
          <w:szCs w:val="24"/>
        </w:rPr>
      </w:pPr>
      <w:proofErr w:type="spellStart"/>
      <w:r w:rsidRPr="005F77CE">
        <w:rPr>
          <w:sz w:val="24"/>
          <w:szCs w:val="24"/>
        </w:rPr>
        <w:t>Foscarnetnatriumhexahydrats</w:t>
      </w:r>
      <w:proofErr w:type="spellEnd"/>
      <w:r w:rsidRPr="005F77CE">
        <w:rPr>
          <w:sz w:val="24"/>
          <w:szCs w:val="24"/>
        </w:rPr>
        <w:t xml:space="preserve"> </w:t>
      </w:r>
      <w:proofErr w:type="spellStart"/>
      <w:r w:rsidRPr="005F77CE">
        <w:rPr>
          <w:sz w:val="24"/>
          <w:szCs w:val="24"/>
        </w:rPr>
        <w:t>karcinogene</w:t>
      </w:r>
      <w:proofErr w:type="spellEnd"/>
      <w:r w:rsidRPr="005F77CE">
        <w:rPr>
          <w:sz w:val="24"/>
          <w:szCs w:val="24"/>
        </w:rPr>
        <w:t xml:space="preserve"> potentiale er undersøgt i mus og rotter efter oral administration (hhv. 250 og 500 mg/kg kropsvægt). Der var ingen tegn på </w:t>
      </w:r>
      <w:proofErr w:type="spellStart"/>
      <w:r w:rsidRPr="005F77CE">
        <w:rPr>
          <w:sz w:val="24"/>
          <w:szCs w:val="24"/>
        </w:rPr>
        <w:t>karcinogene</w:t>
      </w:r>
      <w:proofErr w:type="spellEnd"/>
      <w:r w:rsidRPr="005F77CE">
        <w:rPr>
          <w:sz w:val="24"/>
          <w:szCs w:val="24"/>
        </w:rPr>
        <w:t xml:space="preserve"> effekter hos hverken mus eller rotter.</w:t>
      </w:r>
    </w:p>
    <w:p w14:paraId="2D351356" w14:textId="77777777" w:rsidR="008562FC" w:rsidRPr="005F77CE" w:rsidRDefault="008562FC" w:rsidP="006A2906">
      <w:pPr>
        <w:ind w:left="851"/>
        <w:rPr>
          <w:bCs/>
          <w:sz w:val="24"/>
          <w:szCs w:val="24"/>
        </w:rPr>
      </w:pPr>
    </w:p>
    <w:p w14:paraId="68338343" w14:textId="77777777" w:rsidR="008562FC" w:rsidRPr="005F77CE" w:rsidRDefault="008562FC" w:rsidP="006A2906">
      <w:pPr>
        <w:ind w:left="851"/>
        <w:rPr>
          <w:bCs/>
          <w:sz w:val="24"/>
          <w:szCs w:val="24"/>
        </w:rPr>
      </w:pPr>
      <w:r w:rsidRPr="005F77CE">
        <w:rPr>
          <w:sz w:val="24"/>
          <w:szCs w:val="24"/>
        </w:rPr>
        <w:t xml:space="preserve">På grund af </w:t>
      </w:r>
      <w:proofErr w:type="spellStart"/>
      <w:r w:rsidRPr="005F77CE">
        <w:rPr>
          <w:sz w:val="24"/>
          <w:szCs w:val="24"/>
        </w:rPr>
        <w:t>foscarnetnatriumhexahydrats</w:t>
      </w:r>
      <w:proofErr w:type="spellEnd"/>
      <w:r w:rsidRPr="005F77CE">
        <w:rPr>
          <w:sz w:val="24"/>
          <w:szCs w:val="24"/>
        </w:rPr>
        <w:t xml:space="preserve"> DNA-</w:t>
      </w:r>
      <w:proofErr w:type="spellStart"/>
      <w:r w:rsidRPr="005F77CE">
        <w:rPr>
          <w:sz w:val="24"/>
          <w:szCs w:val="24"/>
        </w:rPr>
        <w:t>polymerasehæmmende</w:t>
      </w:r>
      <w:proofErr w:type="spellEnd"/>
      <w:r w:rsidRPr="005F77CE">
        <w:rPr>
          <w:sz w:val="24"/>
          <w:szCs w:val="24"/>
        </w:rPr>
        <w:t xml:space="preserve"> egenskaber og den relaterede genotoksicitet ved høje koncentrationer kan et </w:t>
      </w:r>
      <w:proofErr w:type="spellStart"/>
      <w:r w:rsidRPr="005F77CE">
        <w:rPr>
          <w:sz w:val="24"/>
          <w:szCs w:val="24"/>
        </w:rPr>
        <w:t>karcinogent</w:t>
      </w:r>
      <w:proofErr w:type="spellEnd"/>
      <w:r w:rsidRPr="005F77CE">
        <w:rPr>
          <w:sz w:val="24"/>
          <w:szCs w:val="24"/>
        </w:rPr>
        <w:t xml:space="preserve"> potentiale ikke udelukkes for en langvarig høj dosis </w:t>
      </w:r>
      <w:proofErr w:type="spellStart"/>
      <w:r w:rsidRPr="005F77CE">
        <w:rPr>
          <w:sz w:val="24"/>
          <w:szCs w:val="24"/>
        </w:rPr>
        <w:t>foscarnetnatriumhexahydrat</w:t>
      </w:r>
      <w:proofErr w:type="spellEnd"/>
      <w:r w:rsidRPr="005F77CE">
        <w:rPr>
          <w:sz w:val="24"/>
          <w:szCs w:val="24"/>
        </w:rPr>
        <w:t>.</w:t>
      </w:r>
    </w:p>
    <w:p w14:paraId="1B3F83F3" w14:textId="77777777" w:rsidR="008562FC" w:rsidRPr="005F77CE" w:rsidRDefault="008562FC" w:rsidP="006A2906">
      <w:pPr>
        <w:ind w:left="851"/>
        <w:rPr>
          <w:bCs/>
          <w:sz w:val="24"/>
          <w:szCs w:val="24"/>
        </w:rPr>
      </w:pPr>
    </w:p>
    <w:p w14:paraId="6EB5B640" w14:textId="77777777" w:rsidR="008562FC" w:rsidRPr="00FB3806" w:rsidRDefault="008562FC" w:rsidP="006A2906">
      <w:pPr>
        <w:ind w:left="851"/>
        <w:rPr>
          <w:bCs/>
          <w:i/>
          <w:iCs/>
          <w:sz w:val="24"/>
          <w:szCs w:val="24"/>
        </w:rPr>
      </w:pPr>
      <w:proofErr w:type="spellStart"/>
      <w:r w:rsidRPr="00FB3806">
        <w:rPr>
          <w:i/>
          <w:sz w:val="24"/>
          <w:szCs w:val="24"/>
        </w:rPr>
        <w:t>Mutagenicitet</w:t>
      </w:r>
      <w:proofErr w:type="spellEnd"/>
    </w:p>
    <w:p w14:paraId="4C1D9F33" w14:textId="77777777" w:rsidR="008562FC" w:rsidRPr="005F77CE" w:rsidRDefault="008562FC" w:rsidP="006A2906">
      <w:pPr>
        <w:ind w:left="851"/>
        <w:rPr>
          <w:bCs/>
          <w:sz w:val="24"/>
          <w:szCs w:val="24"/>
        </w:rPr>
      </w:pPr>
      <w:r w:rsidRPr="005F77CE">
        <w:rPr>
          <w:sz w:val="24"/>
          <w:szCs w:val="24"/>
        </w:rPr>
        <w:t xml:space="preserve">Følgende </w:t>
      </w:r>
      <w:proofErr w:type="spellStart"/>
      <w:r w:rsidRPr="005F77CE">
        <w:rPr>
          <w:sz w:val="24"/>
          <w:szCs w:val="24"/>
        </w:rPr>
        <w:t>mutagenicitetstest</w:t>
      </w:r>
      <w:proofErr w:type="spellEnd"/>
      <w:r w:rsidRPr="005F77CE">
        <w:rPr>
          <w:sz w:val="24"/>
          <w:szCs w:val="24"/>
        </w:rPr>
        <w:t xml:space="preserve"> blev udført med </w:t>
      </w:r>
      <w:proofErr w:type="spellStart"/>
      <w:r w:rsidRPr="005F77CE">
        <w:rPr>
          <w:sz w:val="24"/>
          <w:szCs w:val="24"/>
        </w:rPr>
        <w:t>foscarnetnatriumhexahydrat</w:t>
      </w:r>
      <w:proofErr w:type="spellEnd"/>
      <w:r w:rsidRPr="005F77CE">
        <w:rPr>
          <w:sz w:val="24"/>
          <w:szCs w:val="24"/>
        </w:rPr>
        <w:t>:</w:t>
      </w:r>
    </w:p>
    <w:p w14:paraId="27713B60" w14:textId="77777777" w:rsidR="008562FC" w:rsidRPr="005F77CE" w:rsidRDefault="008562FC" w:rsidP="006A2906">
      <w:pPr>
        <w:ind w:left="851"/>
        <w:rPr>
          <w:bCs/>
          <w:sz w:val="24"/>
          <w:szCs w:val="24"/>
        </w:rPr>
      </w:pPr>
      <w:proofErr w:type="spellStart"/>
      <w:r w:rsidRPr="005F77CE">
        <w:rPr>
          <w:sz w:val="24"/>
          <w:szCs w:val="24"/>
        </w:rPr>
        <w:t>Ames</w:t>
      </w:r>
      <w:proofErr w:type="spellEnd"/>
      <w:r w:rsidRPr="005F77CE">
        <w:rPr>
          <w:sz w:val="24"/>
          <w:szCs w:val="24"/>
        </w:rPr>
        <w:t>-test, muse-</w:t>
      </w:r>
      <w:proofErr w:type="spellStart"/>
      <w:r w:rsidRPr="005F77CE">
        <w:rPr>
          <w:sz w:val="24"/>
          <w:szCs w:val="24"/>
        </w:rPr>
        <w:t>lymfomtest</w:t>
      </w:r>
      <w:proofErr w:type="spellEnd"/>
      <w:r w:rsidRPr="005F77CE">
        <w:rPr>
          <w:sz w:val="24"/>
          <w:szCs w:val="24"/>
        </w:rPr>
        <w:t xml:space="preserve">, SCE-test og kromosomaberrationstest i CHO-celler, celleforandringstest og </w:t>
      </w:r>
      <w:proofErr w:type="spellStart"/>
      <w:r w:rsidRPr="005F77CE">
        <w:rPr>
          <w:sz w:val="24"/>
          <w:szCs w:val="24"/>
        </w:rPr>
        <w:t>mikronukleustest</w:t>
      </w:r>
      <w:proofErr w:type="spellEnd"/>
      <w:r w:rsidRPr="005F77CE">
        <w:rPr>
          <w:sz w:val="24"/>
          <w:szCs w:val="24"/>
        </w:rPr>
        <w:t xml:space="preserve"> i mus.</w:t>
      </w:r>
    </w:p>
    <w:p w14:paraId="3DFF8F2B" w14:textId="77777777" w:rsidR="008562FC" w:rsidRPr="005F77CE" w:rsidRDefault="008562FC" w:rsidP="006A2906">
      <w:pPr>
        <w:ind w:left="851"/>
        <w:rPr>
          <w:bCs/>
          <w:sz w:val="24"/>
          <w:szCs w:val="24"/>
        </w:rPr>
      </w:pPr>
    </w:p>
    <w:p w14:paraId="10242E6E" w14:textId="77777777" w:rsidR="008562FC" w:rsidRPr="005F77CE" w:rsidRDefault="008562FC" w:rsidP="006A2906">
      <w:pPr>
        <w:ind w:left="851"/>
        <w:rPr>
          <w:bCs/>
          <w:sz w:val="24"/>
          <w:szCs w:val="24"/>
        </w:rPr>
      </w:pPr>
      <w:proofErr w:type="spellStart"/>
      <w:r w:rsidRPr="005F77CE">
        <w:rPr>
          <w:sz w:val="24"/>
          <w:szCs w:val="24"/>
        </w:rPr>
        <w:t>Foscarnetnatriumhexahydrat</w:t>
      </w:r>
      <w:proofErr w:type="spellEnd"/>
      <w:r w:rsidRPr="005F77CE">
        <w:rPr>
          <w:sz w:val="24"/>
          <w:szCs w:val="24"/>
        </w:rPr>
        <w:t xml:space="preserve"> viste ingen genotoksiske effekter i </w:t>
      </w:r>
      <w:proofErr w:type="spellStart"/>
      <w:r w:rsidRPr="005F77CE">
        <w:rPr>
          <w:sz w:val="24"/>
          <w:szCs w:val="24"/>
        </w:rPr>
        <w:t>Ames</w:t>
      </w:r>
      <w:proofErr w:type="spellEnd"/>
      <w:r w:rsidRPr="005F77CE">
        <w:rPr>
          <w:sz w:val="24"/>
          <w:szCs w:val="24"/>
        </w:rPr>
        <w:t>-testen, i muse-</w:t>
      </w:r>
      <w:proofErr w:type="spellStart"/>
      <w:r w:rsidRPr="005F77CE">
        <w:rPr>
          <w:sz w:val="24"/>
          <w:szCs w:val="24"/>
        </w:rPr>
        <w:t>lymfomtesten</w:t>
      </w:r>
      <w:proofErr w:type="spellEnd"/>
      <w:r w:rsidRPr="005F77CE">
        <w:rPr>
          <w:sz w:val="24"/>
          <w:szCs w:val="24"/>
        </w:rPr>
        <w:t xml:space="preserve"> og i SCE-bestemmelsen i CHO-celler. Det blev påvist, at kromosomaberrationsfrekvensen i CHO-celler var øget ved høje koncentrationer af </w:t>
      </w:r>
      <w:proofErr w:type="spellStart"/>
      <w:r w:rsidRPr="005F77CE">
        <w:rPr>
          <w:sz w:val="24"/>
          <w:szCs w:val="24"/>
        </w:rPr>
        <w:t>foscarnet</w:t>
      </w:r>
      <w:proofErr w:type="spellEnd"/>
      <w:r w:rsidRPr="005F77CE">
        <w:rPr>
          <w:sz w:val="24"/>
          <w:szCs w:val="24"/>
        </w:rPr>
        <w:t xml:space="preserve"> (3,3 mmol/l uden og 10 mmol/l med metabolisk aktivering). </w:t>
      </w:r>
      <w:proofErr w:type="spellStart"/>
      <w:r w:rsidRPr="005F77CE">
        <w:rPr>
          <w:sz w:val="24"/>
          <w:szCs w:val="24"/>
        </w:rPr>
        <w:t>Foscarnetnatriumhexahydrat</w:t>
      </w:r>
      <w:proofErr w:type="spellEnd"/>
      <w:r w:rsidRPr="005F77CE">
        <w:rPr>
          <w:sz w:val="24"/>
          <w:szCs w:val="24"/>
        </w:rPr>
        <w:t xml:space="preserve"> var også aktiv i celleforandringstesten.</w:t>
      </w:r>
    </w:p>
    <w:p w14:paraId="5715E237" w14:textId="77777777" w:rsidR="008562FC" w:rsidRPr="005F77CE" w:rsidRDefault="008562FC" w:rsidP="006A2906">
      <w:pPr>
        <w:ind w:left="851"/>
        <w:rPr>
          <w:bCs/>
          <w:sz w:val="24"/>
          <w:szCs w:val="24"/>
        </w:rPr>
      </w:pPr>
    </w:p>
    <w:p w14:paraId="7D9430EB" w14:textId="42A8C1C6" w:rsidR="008562FC" w:rsidRPr="005F77CE" w:rsidRDefault="008562FC" w:rsidP="006A2906">
      <w:pPr>
        <w:ind w:left="851"/>
        <w:rPr>
          <w:bCs/>
          <w:sz w:val="24"/>
          <w:szCs w:val="24"/>
        </w:rPr>
      </w:pPr>
      <w:r w:rsidRPr="005F77CE">
        <w:rPr>
          <w:sz w:val="24"/>
          <w:szCs w:val="24"/>
        </w:rPr>
        <w:t xml:space="preserve">I </w:t>
      </w:r>
      <w:proofErr w:type="spellStart"/>
      <w:r w:rsidRPr="005F77CE">
        <w:rPr>
          <w:sz w:val="24"/>
          <w:szCs w:val="24"/>
        </w:rPr>
        <w:t>mikronukleustesten</w:t>
      </w:r>
      <w:proofErr w:type="spellEnd"/>
      <w:r w:rsidRPr="005F77CE">
        <w:rPr>
          <w:sz w:val="24"/>
          <w:szCs w:val="24"/>
        </w:rPr>
        <w:t xml:space="preserve"> med en dosis på 175 mg/kg </w:t>
      </w:r>
      <w:proofErr w:type="spellStart"/>
      <w:r w:rsidRPr="005F77CE">
        <w:rPr>
          <w:sz w:val="24"/>
          <w:szCs w:val="24"/>
        </w:rPr>
        <w:t>foscarnetnatriumhexahydrat</w:t>
      </w:r>
      <w:proofErr w:type="spellEnd"/>
      <w:r w:rsidRPr="005F77CE">
        <w:rPr>
          <w:sz w:val="24"/>
          <w:szCs w:val="24"/>
        </w:rPr>
        <w:t xml:space="preserve">/kg kropsvægt intravenøst blev der ikke fundet tegn på en statistisk signifikant forøgelse i antallet af polykromatiske erytrocytter med </w:t>
      </w:r>
      <w:proofErr w:type="spellStart"/>
      <w:r w:rsidRPr="005F77CE">
        <w:rPr>
          <w:sz w:val="24"/>
          <w:szCs w:val="24"/>
        </w:rPr>
        <w:t>mikronuklei</w:t>
      </w:r>
      <w:proofErr w:type="spellEnd"/>
      <w:r w:rsidRPr="005F77CE">
        <w:rPr>
          <w:sz w:val="24"/>
          <w:szCs w:val="24"/>
        </w:rPr>
        <w:t xml:space="preserve">, men de blev dog fundet ved den maksimale tålelige dosis på 350 mg </w:t>
      </w:r>
      <w:proofErr w:type="spellStart"/>
      <w:r w:rsidRPr="005F77CE">
        <w:rPr>
          <w:sz w:val="24"/>
          <w:szCs w:val="24"/>
        </w:rPr>
        <w:t>foscarnetnatriumhexahydrat</w:t>
      </w:r>
      <w:proofErr w:type="spellEnd"/>
      <w:r w:rsidRPr="005F77CE">
        <w:rPr>
          <w:sz w:val="24"/>
          <w:szCs w:val="24"/>
        </w:rPr>
        <w:t>/kg kropsvægt intravenøst.</w:t>
      </w:r>
    </w:p>
    <w:p w14:paraId="39259883" w14:textId="77777777" w:rsidR="008562FC" w:rsidRPr="005F77CE" w:rsidRDefault="008562FC" w:rsidP="006A2906">
      <w:pPr>
        <w:ind w:left="851"/>
        <w:rPr>
          <w:bCs/>
          <w:sz w:val="24"/>
          <w:szCs w:val="24"/>
        </w:rPr>
      </w:pPr>
    </w:p>
    <w:p w14:paraId="7258BE37" w14:textId="77777777" w:rsidR="008562FC" w:rsidRPr="005F77CE" w:rsidRDefault="008562FC" w:rsidP="006A2906">
      <w:pPr>
        <w:ind w:left="851"/>
        <w:rPr>
          <w:bCs/>
          <w:sz w:val="24"/>
          <w:szCs w:val="24"/>
        </w:rPr>
      </w:pPr>
      <w:r w:rsidRPr="005F77CE">
        <w:rPr>
          <w:sz w:val="24"/>
          <w:szCs w:val="24"/>
        </w:rPr>
        <w:t>Resultaterne af disse forsøg indikerer et genotoksisk potentiale for dette stof ved høje doser.</w:t>
      </w:r>
    </w:p>
    <w:p w14:paraId="51864202" w14:textId="77777777" w:rsidR="008562FC" w:rsidRPr="005F77CE" w:rsidRDefault="008562FC" w:rsidP="006A2906">
      <w:pPr>
        <w:ind w:left="851"/>
        <w:rPr>
          <w:bCs/>
          <w:sz w:val="24"/>
          <w:szCs w:val="24"/>
        </w:rPr>
      </w:pPr>
    </w:p>
    <w:p w14:paraId="269F34A6" w14:textId="77777777" w:rsidR="008562FC" w:rsidRPr="00EE2DB3" w:rsidRDefault="008562FC" w:rsidP="006A2906">
      <w:pPr>
        <w:ind w:left="851"/>
        <w:rPr>
          <w:bCs/>
          <w:i/>
          <w:iCs/>
          <w:sz w:val="24"/>
          <w:szCs w:val="24"/>
        </w:rPr>
      </w:pPr>
      <w:r w:rsidRPr="00EE2DB3">
        <w:rPr>
          <w:i/>
          <w:sz w:val="24"/>
          <w:szCs w:val="24"/>
        </w:rPr>
        <w:t>Reproduktionstoksikologi</w:t>
      </w:r>
    </w:p>
    <w:p w14:paraId="44B389B0" w14:textId="580244EE" w:rsidR="008562FC" w:rsidRPr="005F77CE" w:rsidRDefault="008562FC" w:rsidP="006A2906">
      <w:pPr>
        <w:ind w:left="851"/>
        <w:rPr>
          <w:bCs/>
          <w:sz w:val="24"/>
          <w:szCs w:val="24"/>
        </w:rPr>
      </w:pPr>
      <w:proofErr w:type="spellStart"/>
      <w:r w:rsidRPr="005F77CE">
        <w:rPr>
          <w:sz w:val="24"/>
          <w:szCs w:val="24"/>
        </w:rPr>
        <w:t>Teratogenicitetsstudier</w:t>
      </w:r>
      <w:proofErr w:type="spellEnd"/>
      <w:r w:rsidRPr="005F77CE">
        <w:rPr>
          <w:sz w:val="24"/>
          <w:szCs w:val="24"/>
        </w:rPr>
        <w:t xml:space="preserve"> i rotter og kaniner viste en øget forekomst af skeletale abnormiteter efter administration af </w:t>
      </w:r>
      <w:proofErr w:type="spellStart"/>
      <w:r w:rsidRPr="005F77CE">
        <w:rPr>
          <w:sz w:val="24"/>
          <w:szCs w:val="24"/>
        </w:rPr>
        <w:t>foscarnetnatriumhexahydrat</w:t>
      </w:r>
      <w:proofErr w:type="spellEnd"/>
      <w:r w:rsidRPr="005F77CE">
        <w:rPr>
          <w:sz w:val="24"/>
          <w:szCs w:val="24"/>
        </w:rPr>
        <w:t xml:space="preserve">. </w:t>
      </w:r>
      <w:r w:rsidRPr="005F77CE">
        <w:rPr>
          <w:sz w:val="24"/>
          <w:szCs w:val="24"/>
          <w:lang w:val="nb-NO"/>
        </w:rPr>
        <w:t>Et fertilitetstudie i rotter og et peri- og postnatalt studie i rotter viste ingen bivirkninger, som kunne tilskrives foscarnetnatrium</w:t>
      </w:r>
      <w:r w:rsidR="009E7A0D">
        <w:rPr>
          <w:sz w:val="24"/>
          <w:szCs w:val="24"/>
          <w:lang w:val="nb-NO"/>
        </w:rPr>
        <w:softHyphen/>
      </w:r>
      <w:r w:rsidRPr="005F77CE">
        <w:rPr>
          <w:sz w:val="24"/>
          <w:szCs w:val="24"/>
          <w:lang w:val="nb-NO"/>
        </w:rPr>
        <w:t xml:space="preserve">hexahydrat. </w:t>
      </w:r>
      <w:r w:rsidRPr="005F77CE">
        <w:rPr>
          <w:sz w:val="24"/>
          <w:szCs w:val="24"/>
        </w:rPr>
        <w:t xml:space="preserve">I disse studier blev </w:t>
      </w:r>
      <w:proofErr w:type="spellStart"/>
      <w:r w:rsidRPr="005F77CE">
        <w:rPr>
          <w:sz w:val="24"/>
          <w:szCs w:val="24"/>
        </w:rPr>
        <w:t>foscarnetnatriumhexahydrat</w:t>
      </w:r>
      <w:proofErr w:type="spellEnd"/>
      <w:r w:rsidRPr="005F77CE">
        <w:rPr>
          <w:sz w:val="24"/>
          <w:szCs w:val="24"/>
        </w:rPr>
        <w:t xml:space="preserve"> administreret subkutant i dosisintervaller op til 75 eller 150 mg/kg kropsvægt.</w:t>
      </w:r>
    </w:p>
    <w:p w14:paraId="474B7A04" w14:textId="77777777" w:rsidR="009260DE" w:rsidRPr="005F77CE" w:rsidRDefault="009260DE" w:rsidP="009260DE">
      <w:pPr>
        <w:tabs>
          <w:tab w:val="left" w:pos="851"/>
        </w:tabs>
        <w:ind w:left="851"/>
        <w:rPr>
          <w:sz w:val="24"/>
          <w:szCs w:val="24"/>
        </w:rPr>
      </w:pPr>
    </w:p>
    <w:p w14:paraId="3594C511" w14:textId="77777777" w:rsidR="009260DE" w:rsidRPr="005F77CE" w:rsidRDefault="009260DE" w:rsidP="009260DE">
      <w:pPr>
        <w:tabs>
          <w:tab w:val="left" w:pos="851"/>
        </w:tabs>
        <w:ind w:left="851"/>
        <w:rPr>
          <w:sz w:val="24"/>
          <w:szCs w:val="24"/>
        </w:rPr>
      </w:pPr>
    </w:p>
    <w:p w14:paraId="2759004F" w14:textId="77777777" w:rsidR="009260DE" w:rsidRPr="005F77CE" w:rsidRDefault="009260DE" w:rsidP="009260DE">
      <w:pPr>
        <w:tabs>
          <w:tab w:val="left" w:pos="851"/>
        </w:tabs>
        <w:ind w:left="851" w:hanging="851"/>
        <w:rPr>
          <w:b/>
          <w:sz w:val="24"/>
          <w:szCs w:val="24"/>
        </w:rPr>
      </w:pPr>
      <w:r w:rsidRPr="005F77CE">
        <w:rPr>
          <w:b/>
          <w:sz w:val="24"/>
          <w:szCs w:val="24"/>
        </w:rPr>
        <w:lastRenderedPageBreak/>
        <w:t>6.</w:t>
      </w:r>
      <w:r w:rsidRPr="005F77CE">
        <w:rPr>
          <w:b/>
          <w:sz w:val="24"/>
          <w:szCs w:val="24"/>
        </w:rPr>
        <w:tab/>
        <w:t>FARMACEUTISKE OPLYSNINGER</w:t>
      </w:r>
    </w:p>
    <w:p w14:paraId="1C6D9617" w14:textId="77777777" w:rsidR="009260DE" w:rsidRPr="005F77CE" w:rsidRDefault="009260DE" w:rsidP="009260DE">
      <w:pPr>
        <w:tabs>
          <w:tab w:val="left" w:pos="851"/>
        </w:tabs>
        <w:ind w:left="851"/>
        <w:rPr>
          <w:sz w:val="24"/>
          <w:szCs w:val="24"/>
        </w:rPr>
      </w:pPr>
    </w:p>
    <w:p w14:paraId="3323BD75" w14:textId="77777777" w:rsidR="009260DE" w:rsidRPr="005F77CE" w:rsidRDefault="009260DE" w:rsidP="009260DE">
      <w:pPr>
        <w:tabs>
          <w:tab w:val="left" w:pos="851"/>
        </w:tabs>
        <w:ind w:left="851" w:hanging="851"/>
        <w:rPr>
          <w:b/>
          <w:sz w:val="24"/>
          <w:szCs w:val="24"/>
        </w:rPr>
      </w:pPr>
      <w:r w:rsidRPr="005F77CE">
        <w:rPr>
          <w:b/>
          <w:sz w:val="24"/>
          <w:szCs w:val="24"/>
        </w:rPr>
        <w:t>6.1</w:t>
      </w:r>
      <w:r w:rsidRPr="005F77CE">
        <w:rPr>
          <w:b/>
          <w:sz w:val="24"/>
          <w:szCs w:val="24"/>
        </w:rPr>
        <w:tab/>
        <w:t>Hjælpestoffer</w:t>
      </w:r>
    </w:p>
    <w:p w14:paraId="24E80E52" w14:textId="77777777" w:rsidR="008562FC" w:rsidRPr="005F77CE" w:rsidRDefault="008562FC" w:rsidP="006A2906">
      <w:pPr>
        <w:ind w:left="851"/>
        <w:rPr>
          <w:sz w:val="24"/>
          <w:szCs w:val="24"/>
          <w:lang w:eastAsia="en-GB"/>
        </w:rPr>
      </w:pPr>
      <w:proofErr w:type="spellStart"/>
      <w:r w:rsidRPr="005F77CE">
        <w:rPr>
          <w:sz w:val="24"/>
          <w:szCs w:val="24"/>
        </w:rPr>
        <w:t>Hydrogenchlorid</w:t>
      </w:r>
      <w:proofErr w:type="spellEnd"/>
      <w:r w:rsidRPr="005F77CE">
        <w:rPr>
          <w:sz w:val="24"/>
          <w:szCs w:val="24"/>
        </w:rPr>
        <w:t>, fortyndet (til justering af pH)</w:t>
      </w:r>
    </w:p>
    <w:p w14:paraId="757A27B8" w14:textId="77777777" w:rsidR="008562FC" w:rsidRPr="005F77CE" w:rsidRDefault="008562FC" w:rsidP="006A2906">
      <w:pPr>
        <w:ind w:left="851"/>
        <w:rPr>
          <w:sz w:val="24"/>
          <w:szCs w:val="24"/>
        </w:rPr>
      </w:pPr>
      <w:r w:rsidRPr="005F77CE">
        <w:rPr>
          <w:sz w:val="24"/>
          <w:szCs w:val="24"/>
        </w:rPr>
        <w:t>Vand til injektionsvæsker</w:t>
      </w:r>
    </w:p>
    <w:p w14:paraId="03C0E6B9" w14:textId="77777777" w:rsidR="009260DE" w:rsidRPr="005F77CE" w:rsidRDefault="009260DE" w:rsidP="009260DE">
      <w:pPr>
        <w:tabs>
          <w:tab w:val="left" w:pos="851"/>
        </w:tabs>
        <w:ind w:left="851"/>
        <w:rPr>
          <w:sz w:val="24"/>
          <w:szCs w:val="24"/>
        </w:rPr>
      </w:pPr>
    </w:p>
    <w:p w14:paraId="1A5FFC2F" w14:textId="77777777" w:rsidR="009260DE" w:rsidRPr="005F77CE" w:rsidRDefault="009260DE" w:rsidP="009260DE">
      <w:pPr>
        <w:tabs>
          <w:tab w:val="left" w:pos="851"/>
        </w:tabs>
        <w:ind w:left="851" w:hanging="851"/>
        <w:rPr>
          <w:b/>
          <w:sz w:val="24"/>
          <w:szCs w:val="24"/>
        </w:rPr>
      </w:pPr>
      <w:r w:rsidRPr="005F77CE">
        <w:rPr>
          <w:b/>
          <w:sz w:val="24"/>
          <w:szCs w:val="24"/>
        </w:rPr>
        <w:t>6.2</w:t>
      </w:r>
      <w:r w:rsidRPr="005F77CE">
        <w:rPr>
          <w:b/>
          <w:sz w:val="24"/>
          <w:szCs w:val="24"/>
        </w:rPr>
        <w:tab/>
        <w:t>Uforligeligheder</w:t>
      </w:r>
    </w:p>
    <w:p w14:paraId="03327CC1" w14:textId="0593D62A" w:rsidR="008562FC" w:rsidRPr="005F77CE" w:rsidRDefault="008562FC" w:rsidP="006A2906">
      <w:pPr>
        <w:ind w:left="851"/>
        <w:rPr>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er uforligneligt med glukoseopløsning ≥ 30 %, Ringer-acetat,</w:t>
      </w:r>
      <w:r w:rsidR="00EE2DB3">
        <w:rPr>
          <w:sz w:val="24"/>
          <w:szCs w:val="24"/>
        </w:rPr>
        <w:t xml:space="preserve"> </w:t>
      </w:r>
      <w:proofErr w:type="spellStart"/>
      <w:r w:rsidRPr="005F77CE">
        <w:rPr>
          <w:sz w:val="24"/>
          <w:szCs w:val="24"/>
        </w:rPr>
        <w:t>amphotericin</w:t>
      </w:r>
      <w:proofErr w:type="spellEnd"/>
      <w:r w:rsidRPr="005F77CE">
        <w:rPr>
          <w:sz w:val="24"/>
          <w:szCs w:val="24"/>
        </w:rPr>
        <w:t xml:space="preserve"> B, </w:t>
      </w:r>
      <w:proofErr w:type="spellStart"/>
      <w:r w:rsidRPr="005F77CE">
        <w:rPr>
          <w:sz w:val="24"/>
          <w:szCs w:val="24"/>
        </w:rPr>
        <w:t>aciclovirnatrium</w:t>
      </w:r>
      <w:proofErr w:type="spellEnd"/>
      <w:r w:rsidRPr="005F77CE">
        <w:rPr>
          <w:sz w:val="24"/>
          <w:szCs w:val="24"/>
        </w:rPr>
        <w:t xml:space="preserve">, </w:t>
      </w:r>
      <w:proofErr w:type="spellStart"/>
      <w:r w:rsidRPr="005F77CE">
        <w:rPr>
          <w:sz w:val="24"/>
          <w:szCs w:val="24"/>
        </w:rPr>
        <w:t>ganciclovir</w:t>
      </w:r>
      <w:proofErr w:type="spellEnd"/>
      <w:r w:rsidRPr="005F77CE">
        <w:rPr>
          <w:sz w:val="24"/>
          <w:szCs w:val="24"/>
        </w:rPr>
        <w:t xml:space="preserve">, </w:t>
      </w:r>
      <w:proofErr w:type="spellStart"/>
      <w:r w:rsidRPr="005F77CE">
        <w:rPr>
          <w:sz w:val="24"/>
          <w:szCs w:val="24"/>
        </w:rPr>
        <w:t>pentamidinisethionat</w:t>
      </w:r>
      <w:proofErr w:type="spellEnd"/>
      <w:r w:rsidRPr="005F77CE">
        <w:rPr>
          <w:sz w:val="24"/>
          <w:szCs w:val="24"/>
        </w:rPr>
        <w:t xml:space="preserve">, </w:t>
      </w:r>
      <w:proofErr w:type="spellStart"/>
      <w:r w:rsidRPr="005F77CE">
        <w:rPr>
          <w:sz w:val="24"/>
          <w:szCs w:val="24"/>
        </w:rPr>
        <w:t>trimethoprim-sulfamethoxazol</w:t>
      </w:r>
      <w:proofErr w:type="spellEnd"/>
      <w:r w:rsidRPr="005F77CE">
        <w:rPr>
          <w:sz w:val="24"/>
          <w:szCs w:val="24"/>
        </w:rPr>
        <w:t xml:space="preserve"> og </w:t>
      </w:r>
      <w:proofErr w:type="spellStart"/>
      <w:r w:rsidRPr="005F77CE">
        <w:rPr>
          <w:sz w:val="24"/>
          <w:szCs w:val="24"/>
        </w:rPr>
        <w:t>vancomycinhydrochlorid</w:t>
      </w:r>
      <w:proofErr w:type="spellEnd"/>
      <w:r w:rsidRPr="005F77CE">
        <w:rPr>
          <w:sz w:val="24"/>
          <w:szCs w:val="24"/>
        </w:rPr>
        <w:t xml:space="preserve">.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er også uforligneligt med elektrolytopløsninger, der indeholder divalente kationer som f.eks. Ca</w:t>
      </w:r>
      <w:r w:rsidRPr="005F77CE">
        <w:rPr>
          <w:sz w:val="24"/>
          <w:szCs w:val="24"/>
          <w:vertAlign w:val="superscript"/>
        </w:rPr>
        <w:t>2+</w:t>
      </w:r>
      <w:r w:rsidRPr="005F77CE">
        <w:rPr>
          <w:sz w:val="24"/>
          <w:szCs w:val="24"/>
        </w:rPr>
        <w:t>, Mg</w:t>
      </w:r>
      <w:r w:rsidRPr="005F77CE">
        <w:rPr>
          <w:sz w:val="24"/>
          <w:szCs w:val="24"/>
          <w:vertAlign w:val="superscript"/>
        </w:rPr>
        <w:t>2+</w:t>
      </w:r>
      <w:r w:rsidRPr="005F77CE">
        <w:rPr>
          <w:sz w:val="24"/>
          <w:szCs w:val="24"/>
        </w:rPr>
        <w:t>og Zn</w:t>
      </w:r>
      <w:r w:rsidRPr="005F77CE">
        <w:rPr>
          <w:sz w:val="24"/>
          <w:szCs w:val="24"/>
          <w:vertAlign w:val="superscript"/>
        </w:rPr>
        <w:t>2+</w:t>
      </w:r>
      <w:r w:rsidRPr="005F77CE">
        <w:rPr>
          <w:sz w:val="24"/>
          <w:szCs w:val="24"/>
        </w:rPr>
        <w:t xml:space="preserve">. Det anbefales, at andre lægemidler ikke </w:t>
      </w:r>
      <w:proofErr w:type="spellStart"/>
      <w:r w:rsidRPr="005F77CE">
        <w:rPr>
          <w:sz w:val="24"/>
          <w:szCs w:val="24"/>
        </w:rPr>
        <w:t>infunderes</w:t>
      </w:r>
      <w:proofErr w:type="spellEnd"/>
      <w:r w:rsidRPr="005F77CE">
        <w:rPr>
          <w:sz w:val="24"/>
          <w:szCs w:val="24"/>
        </w:rPr>
        <w:t xml:space="preserve"> samtidigt via det samme kateter.</w:t>
      </w:r>
    </w:p>
    <w:p w14:paraId="42E8B422" w14:textId="77777777" w:rsidR="008562FC" w:rsidRPr="005F77CE" w:rsidRDefault="008562FC" w:rsidP="006A2906">
      <w:pPr>
        <w:ind w:left="851"/>
        <w:rPr>
          <w:sz w:val="24"/>
          <w:szCs w:val="24"/>
        </w:rPr>
      </w:pPr>
    </w:p>
    <w:p w14:paraId="745342C9" w14:textId="715BBAE8" w:rsidR="008562FC" w:rsidRPr="005F77CE" w:rsidRDefault="008562FC" w:rsidP="006A2906">
      <w:pPr>
        <w:ind w:left="851"/>
        <w:rPr>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må ikke administreres sammen med andre lægemidler via den samme infusionskanyle.</w:t>
      </w:r>
    </w:p>
    <w:p w14:paraId="3935FFF9" w14:textId="77777777" w:rsidR="008562FC" w:rsidRPr="005F77CE" w:rsidRDefault="008562FC" w:rsidP="006A2906">
      <w:pPr>
        <w:ind w:left="851"/>
        <w:rPr>
          <w:sz w:val="24"/>
          <w:szCs w:val="24"/>
        </w:rPr>
      </w:pPr>
    </w:p>
    <w:p w14:paraId="67A9BD1C" w14:textId="77777777" w:rsidR="008562FC" w:rsidRPr="005F77CE" w:rsidRDefault="008562FC" w:rsidP="006A2906">
      <w:pPr>
        <w:ind w:left="851"/>
        <w:rPr>
          <w:sz w:val="24"/>
          <w:szCs w:val="24"/>
        </w:rPr>
      </w:pPr>
      <w:r w:rsidRPr="005F77CE">
        <w:rPr>
          <w:sz w:val="24"/>
          <w:szCs w:val="24"/>
        </w:rPr>
        <w:t>Dette lægemiddel må ikke blandes med andre lægemidler end dem, der er anført under pkt. 6.6.</w:t>
      </w:r>
    </w:p>
    <w:p w14:paraId="7854D916" w14:textId="77777777" w:rsidR="009260DE" w:rsidRPr="005F77CE" w:rsidRDefault="009260DE" w:rsidP="009260DE">
      <w:pPr>
        <w:tabs>
          <w:tab w:val="left" w:pos="851"/>
        </w:tabs>
        <w:ind w:left="851"/>
        <w:rPr>
          <w:sz w:val="24"/>
          <w:szCs w:val="24"/>
        </w:rPr>
      </w:pPr>
    </w:p>
    <w:p w14:paraId="6A191D25" w14:textId="77777777" w:rsidR="009260DE" w:rsidRPr="005F77CE" w:rsidRDefault="009260DE" w:rsidP="009260DE">
      <w:pPr>
        <w:tabs>
          <w:tab w:val="left" w:pos="851"/>
        </w:tabs>
        <w:ind w:left="851" w:hanging="851"/>
        <w:rPr>
          <w:b/>
          <w:sz w:val="24"/>
          <w:szCs w:val="24"/>
        </w:rPr>
      </w:pPr>
      <w:r w:rsidRPr="005F77CE">
        <w:rPr>
          <w:b/>
          <w:sz w:val="24"/>
          <w:szCs w:val="24"/>
        </w:rPr>
        <w:t>6.3</w:t>
      </w:r>
      <w:r w:rsidRPr="005F77CE">
        <w:rPr>
          <w:b/>
          <w:sz w:val="24"/>
          <w:szCs w:val="24"/>
        </w:rPr>
        <w:tab/>
        <w:t>Opbevaringstid</w:t>
      </w:r>
    </w:p>
    <w:p w14:paraId="62E702A1" w14:textId="62E1BFFF" w:rsidR="008562FC" w:rsidRPr="005F77CE" w:rsidRDefault="008562FC" w:rsidP="006A2906">
      <w:pPr>
        <w:ind w:left="851"/>
        <w:rPr>
          <w:sz w:val="24"/>
          <w:szCs w:val="24"/>
        </w:rPr>
      </w:pPr>
      <w:r w:rsidRPr="005F77CE">
        <w:rPr>
          <w:sz w:val="24"/>
          <w:szCs w:val="24"/>
        </w:rPr>
        <w:t xml:space="preserve">Uåbnet: 2 år </w:t>
      </w:r>
    </w:p>
    <w:p w14:paraId="639ACF75" w14:textId="77777777" w:rsidR="00EE2DB3" w:rsidRDefault="00EE2DB3" w:rsidP="006A2906">
      <w:pPr>
        <w:ind w:left="851"/>
        <w:rPr>
          <w:sz w:val="24"/>
          <w:szCs w:val="24"/>
        </w:rPr>
      </w:pPr>
    </w:p>
    <w:p w14:paraId="535CCDF4" w14:textId="098F902D" w:rsidR="008562FC" w:rsidRPr="005F77CE" w:rsidRDefault="008562FC" w:rsidP="006A2906">
      <w:pPr>
        <w:ind w:left="851"/>
        <w:rPr>
          <w:sz w:val="24"/>
          <w:szCs w:val="24"/>
        </w:rPr>
      </w:pPr>
      <w:r w:rsidRPr="005F77CE">
        <w:rPr>
          <w:sz w:val="24"/>
          <w:szCs w:val="24"/>
        </w:rPr>
        <w:t xml:space="preserve">Efter åbning: </w:t>
      </w:r>
    </w:p>
    <w:p w14:paraId="2A55DFF6" w14:textId="77777777" w:rsidR="008562FC" w:rsidRPr="005F77CE" w:rsidRDefault="008562FC" w:rsidP="006A2906">
      <w:pPr>
        <w:ind w:left="851"/>
        <w:rPr>
          <w:sz w:val="24"/>
          <w:szCs w:val="24"/>
        </w:rPr>
      </w:pPr>
      <w:r w:rsidRPr="005F77CE">
        <w:rPr>
          <w:sz w:val="24"/>
          <w:szCs w:val="24"/>
        </w:rPr>
        <w:t>Fra et mikrobiologisk synspunkt skal produktet bruges omgående, medmindre åbningsmetoden udelukker risiko for mikrobiel kontamination. Hvis det ikke bruges omgående, er brugsopbevaringstiden og -betingelserne før brug brugerens ansvar.</w:t>
      </w:r>
    </w:p>
    <w:p w14:paraId="3B7D9D6F" w14:textId="77777777" w:rsidR="008562FC" w:rsidRPr="005F77CE" w:rsidRDefault="008562FC" w:rsidP="006A2906">
      <w:pPr>
        <w:ind w:left="851"/>
        <w:rPr>
          <w:sz w:val="24"/>
          <w:szCs w:val="24"/>
        </w:rPr>
      </w:pPr>
    </w:p>
    <w:p w14:paraId="5D0D8696" w14:textId="77777777" w:rsidR="008562FC" w:rsidRPr="005F77CE" w:rsidRDefault="008562FC" w:rsidP="006A2906">
      <w:pPr>
        <w:ind w:left="851"/>
        <w:rPr>
          <w:sz w:val="24"/>
          <w:szCs w:val="24"/>
        </w:rPr>
      </w:pPr>
      <w:r w:rsidRPr="005F77CE">
        <w:rPr>
          <w:sz w:val="24"/>
          <w:szCs w:val="24"/>
        </w:rPr>
        <w:t xml:space="preserve">Efter fortynding: </w:t>
      </w:r>
    </w:p>
    <w:p w14:paraId="6AF10B78" w14:textId="77777777" w:rsidR="008562FC" w:rsidRPr="005F77CE" w:rsidRDefault="008562FC" w:rsidP="006A2906">
      <w:pPr>
        <w:ind w:left="851"/>
        <w:rPr>
          <w:sz w:val="24"/>
          <w:szCs w:val="24"/>
        </w:rPr>
      </w:pPr>
      <w:r w:rsidRPr="005F77CE">
        <w:rPr>
          <w:sz w:val="24"/>
          <w:szCs w:val="24"/>
        </w:rPr>
        <w:t xml:space="preserve">Der er påvist kemisk og fysisk brugsstabilitet i 36 timer ved 2-8 ℃ og 20-25 ℃, når opløsning fortyndes fra 24 mg/ml til 12 mg/ml </w:t>
      </w:r>
      <w:proofErr w:type="spellStart"/>
      <w:r w:rsidRPr="005F77CE">
        <w:rPr>
          <w:sz w:val="24"/>
          <w:szCs w:val="24"/>
        </w:rPr>
        <w:t>foscarnetnatriumhexahydrat</w:t>
      </w:r>
      <w:proofErr w:type="spellEnd"/>
      <w:r w:rsidRPr="005F77CE">
        <w:rPr>
          <w:sz w:val="24"/>
          <w:szCs w:val="24"/>
        </w:rPr>
        <w:t xml:space="preserve"> i PVC-poser.</w:t>
      </w:r>
    </w:p>
    <w:p w14:paraId="3C51F8C6" w14:textId="77777777" w:rsidR="008562FC" w:rsidRPr="005F77CE" w:rsidRDefault="008562FC" w:rsidP="006A2906">
      <w:pPr>
        <w:ind w:left="851"/>
        <w:rPr>
          <w:sz w:val="24"/>
          <w:szCs w:val="24"/>
        </w:rPr>
      </w:pPr>
      <w:r w:rsidRPr="005F77CE">
        <w:rPr>
          <w:sz w:val="24"/>
          <w:szCs w:val="24"/>
        </w:rPr>
        <w:t>Fra et mikrobiologisk synspunkt skal produktet bruges omgående. Hvis det ikke bruges omgående, er brugsopbevaringstiden og -betingelserne før brug brugerens ansvar og vil normalt ikke overstige 24 timer ved 2-8 ℃, medmindre fortynding er sket under kontrollerede og validerede aseptiske forhold.</w:t>
      </w:r>
    </w:p>
    <w:p w14:paraId="2C8810E8" w14:textId="77777777" w:rsidR="009260DE" w:rsidRPr="005F77CE" w:rsidRDefault="009260DE" w:rsidP="009260DE">
      <w:pPr>
        <w:tabs>
          <w:tab w:val="left" w:pos="851"/>
        </w:tabs>
        <w:ind w:left="851"/>
        <w:rPr>
          <w:sz w:val="24"/>
          <w:szCs w:val="24"/>
        </w:rPr>
      </w:pPr>
    </w:p>
    <w:p w14:paraId="7AFD7084" w14:textId="77777777" w:rsidR="009260DE" w:rsidRPr="005F77CE" w:rsidRDefault="009260DE" w:rsidP="009260DE">
      <w:pPr>
        <w:tabs>
          <w:tab w:val="left" w:pos="851"/>
        </w:tabs>
        <w:ind w:left="851" w:hanging="851"/>
        <w:rPr>
          <w:b/>
          <w:sz w:val="24"/>
          <w:szCs w:val="24"/>
        </w:rPr>
      </w:pPr>
      <w:r w:rsidRPr="005F77CE">
        <w:rPr>
          <w:b/>
          <w:sz w:val="24"/>
          <w:szCs w:val="24"/>
        </w:rPr>
        <w:t>6.4</w:t>
      </w:r>
      <w:r w:rsidRPr="005F77CE">
        <w:rPr>
          <w:b/>
          <w:sz w:val="24"/>
          <w:szCs w:val="24"/>
        </w:rPr>
        <w:tab/>
        <w:t>Særlige opbevaringsforhold</w:t>
      </w:r>
    </w:p>
    <w:p w14:paraId="722A9E6A" w14:textId="77777777" w:rsidR="00CD07B3" w:rsidRPr="005F77CE" w:rsidRDefault="00CD07B3" w:rsidP="006A2906">
      <w:pPr>
        <w:ind w:left="851"/>
        <w:rPr>
          <w:sz w:val="24"/>
          <w:szCs w:val="24"/>
          <w:lang w:eastAsia="en-GB"/>
        </w:rPr>
      </w:pPr>
      <w:r w:rsidRPr="005F77CE">
        <w:rPr>
          <w:sz w:val="24"/>
          <w:szCs w:val="24"/>
        </w:rPr>
        <w:t>Må ikke opbevares i køleskab eller nedfryses.</w:t>
      </w:r>
    </w:p>
    <w:p w14:paraId="680C3FDE" w14:textId="1241C0DD" w:rsidR="00CD07B3" w:rsidRPr="005F77CE" w:rsidRDefault="00CD07B3" w:rsidP="006A2906">
      <w:pPr>
        <w:ind w:left="851"/>
        <w:rPr>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må ikke opbevares under 8 °C, da bundfald kan forekomme ved lave temperaturer. Bundfaldet vil fortsat være der, selvom infusionsopløsningen fryses ned og tøs op igen.</w:t>
      </w:r>
    </w:p>
    <w:p w14:paraId="38FB0F20" w14:textId="68545616" w:rsidR="00CD07B3" w:rsidRPr="005F77CE" w:rsidRDefault="00CD07B3" w:rsidP="006A2906">
      <w:pPr>
        <w:ind w:left="851"/>
        <w:rPr>
          <w:sz w:val="24"/>
          <w:szCs w:val="24"/>
        </w:rPr>
      </w:pP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kan klargøres til brug igen, hvis det utilsigtet har været opbevaret ved køleskabstemperaturer, eller hvis infusionsopløsningen har været udsat for temperaturer under frysepunktet. Flasken skal så rystes kraftigt flere gange og opbevares ved rumtemperatur i 4 timer, indtil alt bundfald er helt opløst.</w:t>
      </w:r>
    </w:p>
    <w:p w14:paraId="1280128C" w14:textId="77777777" w:rsidR="00CD07B3" w:rsidRPr="005F77CE" w:rsidRDefault="00CD07B3" w:rsidP="006A2906">
      <w:pPr>
        <w:ind w:left="851"/>
        <w:rPr>
          <w:sz w:val="24"/>
          <w:szCs w:val="24"/>
        </w:rPr>
      </w:pPr>
      <w:r w:rsidRPr="005F77CE">
        <w:rPr>
          <w:sz w:val="24"/>
          <w:szCs w:val="24"/>
        </w:rPr>
        <w:t>Opbevaringsforhold efter fortynding af lægemidlet, se pkt. 6.3.</w:t>
      </w:r>
    </w:p>
    <w:p w14:paraId="0E0B22DE" w14:textId="77777777" w:rsidR="009260DE" w:rsidRPr="005F77CE" w:rsidRDefault="009260DE" w:rsidP="009260DE">
      <w:pPr>
        <w:tabs>
          <w:tab w:val="left" w:pos="851"/>
        </w:tabs>
        <w:ind w:left="851"/>
        <w:rPr>
          <w:sz w:val="24"/>
          <w:szCs w:val="24"/>
        </w:rPr>
      </w:pPr>
    </w:p>
    <w:p w14:paraId="5C45606F" w14:textId="77777777" w:rsidR="009260DE" w:rsidRPr="005F77CE" w:rsidRDefault="009260DE" w:rsidP="009260DE">
      <w:pPr>
        <w:tabs>
          <w:tab w:val="left" w:pos="851"/>
        </w:tabs>
        <w:ind w:left="851" w:hanging="851"/>
        <w:rPr>
          <w:b/>
          <w:sz w:val="24"/>
          <w:szCs w:val="24"/>
        </w:rPr>
      </w:pPr>
      <w:r w:rsidRPr="005F77CE">
        <w:rPr>
          <w:b/>
          <w:sz w:val="24"/>
          <w:szCs w:val="24"/>
        </w:rPr>
        <w:t>6.5</w:t>
      </w:r>
      <w:r w:rsidRPr="005F77CE">
        <w:rPr>
          <w:b/>
          <w:sz w:val="24"/>
          <w:szCs w:val="24"/>
        </w:rPr>
        <w:tab/>
        <w:t>Emballagetyper og pakningsstørrelser</w:t>
      </w:r>
    </w:p>
    <w:p w14:paraId="68C0EFA6" w14:textId="77777777" w:rsidR="00CD07B3" w:rsidRPr="005F77CE" w:rsidRDefault="00CD07B3" w:rsidP="006A2906">
      <w:pPr>
        <w:ind w:left="851"/>
        <w:rPr>
          <w:sz w:val="24"/>
          <w:szCs w:val="24"/>
          <w:lang w:eastAsia="en-GB"/>
        </w:rPr>
      </w:pPr>
      <w:r w:rsidRPr="005F77CE">
        <w:rPr>
          <w:sz w:val="24"/>
          <w:szCs w:val="24"/>
        </w:rPr>
        <w:t xml:space="preserve">250 ml infusionsvæske, opløsning i glasflaske med prop af </w:t>
      </w:r>
      <w:proofErr w:type="spellStart"/>
      <w:r w:rsidRPr="005F77CE">
        <w:rPr>
          <w:sz w:val="24"/>
          <w:szCs w:val="24"/>
        </w:rPr>
        <w:t>bromobutylgummi</w:t>
      </w:r>
      <w:proofErr w:type="spellEnd"/>
      <w:r w:rsidRPr="005F77CE">
        <w:rPr>
          <w:sz w:val="24"/>
          <w:szCs w:val="24"/>
        </w:rPr>
        <w:t xml:space="preserve"> og med aluminiumsforsegling samt vippelåg i plast. </w:t>
      </w:r>
    </w:p>
    <w:p w14:paraId="4CB693F6" w14:textId="77777777" w:rsidR="00CD07B3" w:rsidRPr="005F77CE" w:rsidRDefault="00CD07B3" w:rsidP="006A2906">
      <w:pPr>
        <w:ind w:left="851"/>
        <w:rPr>
          <w:sz w:val="24"/>
          <w:szCs w:val="24"/>
        </w:rPr>
      </w:pPr>
      <w:r w:rsidRPr="005F77CE">
        <w:rPr>
          <w:sz w:val="24"/>
          <w:szCs w:val="24"/>
        </w:rPr>
        <w:t>Pakningsstørrelse: 1 flaske og 10 flasker</w:t>
      </w:r>
    </w:p>
    <w:p w14:paraId="13572A59" w14:textId="77777777" w:rsidR="00CD07B3" w:rsidRPr="005F77CE" w:rsidRDefault="00CD07B3" w:rsidP="006A2906">
      <w:pPr>
        <w:ind w:left="851"/>
        <w:rPr>
          <w:sz w:val="24"/>
          <w:szCs w:val="24"/>
        </w:rPr>
      </w:pPr>
      <w:r w:rsidRPr="005F77CE">
        <w:rPr>
          <w:sz w:val="24"/>
          <w:szCs w:val="24"/>
        </w:rPr>
        <w:t>Ikke alle pakningsstørrelser er nødvendigvis markedsført.</w:t>
      </w:r>
    </w:p>
    <w:p w14:paraId="224CA91E" w14:textId="77777777" w:rsidR="009260DE" w:rsidRPr="005F77CE" w:rsidRDefault="009260DE" w:rsidP="009260DE">
      <w:pPr>
        <w:tabs>
          <w:tab w:val="left" w:pos="851"/>
        </w:tabs>
        <w:ind w:left="851"/>
        <w:rPr>
          <w:sz w:val="24"/>
          <w:szCs w:val="24"/>
        </w:rPr>
      </w:pPr>
    </w:p>
    <w:p w14:paraId="7200ACF3" w14:textId="77777777" w:rsidR="009260DE" w:rsidRPr="005F77CE" w:rsidRDefault="009260DE" w:rsidP="009260DE">
      <w:pPr>
        <w:tabs>
          <w:tab w:val="left" w:pos="851"/>
        </w:tabs>
        <w:ind w:left="851" w:hanging="851"/>
        <w:rPr>
          <w:b/>
          <w:sz w:val="24"/>
          <w:szCs w:val="24"/>
        </w:rPr>
      </w:pPr>
      <w:r w:rsidRPr="005F77CE">
        <w:rPr>
          <w:b/>
          <w:sz w:val="24"/>
          <w:szCs w:val="24"/>
        </w:rPr>
        <w:t>6.6</w:t>
      </w:r>
      <w:r w:rsidRPr="005F77CE">
        <w:rPr>
          <w:b/>
          <w:sz w:val="24"/>
          <w:szCs w:val="24"/>
        </w:rPr>
        <w:tab/>
        <w:t>Regler for destruktion og anden håndtering</w:t>
      </w:r>
    </w:p>
    <w:p w14:paraId="24AB855E" w14:textId="31E3BE83" w:rsidR="00CD07B3" w:rsidRPr="005F77CE" w:rsidRDefault="00CD07B3" w:rsidP="006A2906">
      <w:pPr>
        <w:ind w:left="851"/>
        <w:rPr>
          <w:sz w:val="24"/>
          <w:szCs w:val="24"/>
          <w:lang w:eastAsia="en-GB"/>
        </w:rPr>
      </w:pPr>
      <w:r w:rsidRPr="005F77CE">
        <w:rPr>
          <w:sz w:val="24"/>
          <w:szCs w:val="24"/>
        </w:rPr>
        <w:t xml:space="preserve">Hver flaske med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må kun bruges til behandling af én patient med én infusion.</w:t>
      </w:r>
    </w:p>
    <w:p w14:paraId="632824F6" w14:textId="77777777" w:rsidR="00CD07B3" w:rsidRPr="005F77CE" w:rsidRDefault="00CD07B3" w:rsidP="006A2906">
      <w:pPr>
        <w:ind w:left="851"/>
        <w:rPr>
          <w:sz w:val="24"/>
          <w:szCs w:val="24"/>
        </w:rPr>
      </w:pPr>
    </w:p>
    <w:p w14:paraId="161EEBF4" w14:textId="69E39CC1" w:rsidR="00CD07B3" w:rsidRPr="005F77CE" w:rsidRDefault="00CD07B3" w:rsidP="006A2906">
      <w:pPr>
        <w:ind w:left="851"/>
        <w:rPr>
          <w:sz w:val="24"/>
          <w:szCs w:val="24"/>
        </w:rPr>
      </w:pPr>
      <w:r w:rsidRPr="005F77CE">
        <w:rPr>
          <w:sz w:val="24"/>
          <w:szCs w:val="24"/>
        </w:rPr>
        <w:t xml:space="preserve">Ved infusion i perifere vener skal opløsningen fortyndes fra 24 mg/ml </w:t>
      </w:r>
      <w:proofErr w:type="spellStart"/>
      <w:r w:rsidRPr="005F77CE">
        <w:rPr>
          <w:sz w:val="24"/>
          <w:szCs w:val="24"/>
        </w:rPr>
        <w:t>foscarnetnatriumhexahydrat</w:t>
      </w:r>
      <w:proofErr w:type="spellEnd"/>
      <w:r w:rsidRPr="005F77CE">
        <w:rPr>
          <w:sz w:val="24"/>
          <w:szCs w:val="24"/>
        </w:rPr>
        <w:t xml:space="preserve"> til 12 mg/ml </w:t>
      </w:r>
      <w:proofErr w:type="spellStart"/>
      <w:r w:rsidRPr="005F77CE">
        <w:rPr>
          <w:sz w:val="24"/>
          <w:szCs w:val="24"/>
        </w:rPr>
        <w:t>foscarnetnatriumhexahydrat</w:t>
      </w:r>
      <w:proofErr w:type="spellEnd"/>
      <w:r w:rsidRPr="005F77CE">
        <w:rPr>
          <w:sz w:val="24"/>
          <w:szCs w:val="24"/>
        </w:rPr>
        <w:t xml:space="preserve"> før brug med 50</w:t>
      </w:r>
      <w:r w:rsidR="008F1723">
        <w:rPr>
          <w:sz w:val="24"/>
          <w:szCs w:val="24"/>
        </w:rPr>
        <w:t> </w:t>
      </w:r>
      <w:r w:rsidRPr="005F77CE">
        <w:rPr>
          <w:sz w:val="24"/>
          <w:szCs w:val="24"/>
        </w:rPr>
        <w:t xml:space="preserve">mg/ml (5 %) glukoseopløsning eller 9 mg/ml (0,9 %) </w:t>
      </w:r>
      <w:proofErr w:type="spellStart"/>
      <w:r w:rsidRPr="005F77CE">
        <w:rPr>
          <w:sz w:val="24"/>
          <w:szCs w:val="24"/>
        </w:rPr>
        <w:t>natriumchloridopløsning</w:t>
      </w:r>
      <w:proofErr w:type="spellEnd"/>
      <w:r w:rsidRPr="005F77CE">
        <w:rPr>
          <w:sz w:val="24"/>
          <w:szCs w:val="24"/>
        </w:rPr>
        <w:t xml:space="preserve">. </w:t>
      </w:r>
    </w:p>
    <w:p w14:paraId="3B4EA969" w14:textId="77777777" w:rsidR="00CD07B3" w:rsidRPr="005F77CE" w:rsidRDefault="00CD07B3" w:rsidP="006A2906">
      <w:pPr>
        <w:ind w:left="851"/>
        <w:rPr>
          <w:sz w:val="24"/>
          <w:szCs w:val="24"/>
        </w:rPr>
      </w:pPr>
    </w:p>
    <w:p w14:paraId="53C5FCB5" w14:textId="4417CEC7" w:rsidR="00CD07B3" w:rsidRPr="005F77CE" w:rsidRDefault="00CD07B3" w:rsidP="006A2906">
      <w:pPr>
        <w:ind w:left="851"/>
        <w:rPr>
          <w:sz w:val="24"/>
          <w:szCs w:val="24"/>
        </w:rPr>
      </w:pPr>
      <w:r w:rsidRPr="005F77CE">
        <w:rPr>
          <w:sz w:val="24"/>
          <w:szCs w:val="24"/>
        </w:rPr>
        <w:t xml:space="preserve">Individuelt udleverede doser af </w:t>
      </w:r>
      <w:proofErr w:type="spellStart"/>
      <w:r w:rsidRPr="005F77CE">
        <w:rPr>
          <w:sz w:val="24"/>
          <w:szCs w:val="24"/>
        </w:rPr>
        <w:t>Foscarnet</w:t>
      </w:r>
      <w:proofErr w:type="spellEnd"/>
      <w:r w:rsidRPr="005F77CE">
        <w:rPr>
          <w:sz w:val="24"/>
          <w:szCs w:val="24"/>
        </w:rPr>
        <w:t xml:space="preserve"> </w:t>
      </w:r>
      <w:r w:rsidR="00C957E0">
        <w:rPr>
          <w:sz w:val="24"/>
          <w:szCs w:val="24"/>
        </w:rPr>
        <w:t>"</w:t>
      </w:r>
      <w:proofErr w:type="spellStart"/>
      <w:r w:rsidR="00C957E0">
        <w:rPr>
          <w:sz w:val="24"/>
          <w:szCs w:val="24"/>
        </w:rPr>
        <w:t>Tillomed</w:t>
      </w:r>
      <w:proofErr w:type="spellEnd"/>
      <w:r w:rsidR="00C957E0">
        <w:rPr>
          <w:sz w:val="24"/>
          <w:szCs w:val="24"/>
        </w:rPr>
        <w:t>"</w:t>
      </w:r>
      <w:r w:rsidRPr="005F77CE">
        <w:rPr>
          <w:sz w:val="24"/>
          <w:szCs w:val="24"/>
        </w:rPr>
        <w:t xml:space="preserve"> skal overføres aseptisk til infusionsposer i plast (PVC-poser) af hospitalets apotek og fortyndes med lige dele 9</w:t>
      </w:r>
      <w:r w:rsidR="008F1723">
        <w:rPr>
          <w:sz w:val="24"/>
          <w:szCs w:val="24"/>
        </w:rPr>
        <w:t> </w:t>
      </w:r>
      <w:r w:rsidRPr="005F77CE">
        <w:rPr>
          <w:sz w:val="24"/>
          <w:szCs w:val="24"/>
        </w:rPr>
        <w:t xml:space="preserve">mg/ml (0,9 %) </w:t>
      </w:r>
      <w:proofErr w:type="spellStart"/>
      <w:r w:rsidRPr="005F77CE">
        <w:rPr>
          <w:sz w:val="24"/>
          <w:szCs w:val="24"/>
        </w:rPr>
        <w:t>natriumchloridopløsning</w:t>
      </w:r>
      <w:proofErr w:type="spellEnd"/>
      <w:r w:rsidRPr="005F77CE">
        <w:rPr>
          <w:sz w:val="24"/>
          <w:szCs w:val="24"/>
        </w:rPr>
        <w:t xml:space="preserve"> eller 50 mg/ml (5 %) glukoseopløsning.</w:t>
      </w:r>
    </w:p>
    <w:p w14:paraId="6D7C843E" w14:textId="77777777" w:rsidR="00CD07B3" w:rsidRPr="005F77CE" w:rsidRDefault="00CD07B3" w:rsidP="006A2906">
      <w:pPr>
        <w:ind w:left="851"/>
        <w:rPr>
          <w:sz w:val="24"/>
          <w:szCs w:val="24"/>
        </w:rPr>
      </w:pPr>
    </w:p>
    <w:p w14:paraId="5CEA2C38" w14:textId="77777777" w:rsidR="00CD07B3" w:rsidRPr="005F77CE" w:rsidRDefault="00CD07B3" w:rsidP="006A2906">
      <w:pPr>
        <w:ind w:left="851"/>
        <w:rPr>
          <w:sz w:val="24"/>
          <w:szCs w:val="24"/>
        </w:rPr>
      </w:pPr>
      <w:r w:rsidRPr="005F77CE">
        <w:rPr>
          <w:sz w:val="24"/>
          <w:szCs w:val="24"/>
        </w:rPr>
        <w:t xml:space="preserve">Utilsigtet kontakt med </w:t>
      </w:r>
      <w:proofErr w:type="spellStart"/>
      <w:r w:rsidRPr="005F77CE">
        <w:rPr>
          <w:sz w:val="24"/>
          <w:szCs w:val="24"/>
        </w:rPr>
        <w:t>foscarnetnatriumhexahydrat</w:t>
      </w:r>
      <w:proofErr w:type="spellEnd"/>
      <w:r w:rsidRPr="005F77CE">
        <w:rPr>
          <w:sz w:val="24"/>
          <w:szCs w:val="24"/>
        </w:rPr>
        <w:t xml:space="preserve"> på hud og i øjne kan forårsage lokal irritation og forbrænding. De berørte område skal skylles med rigeligt vand.</w:t>
      </w:r>
    </w:p>
    <w:p w14:paraId="1EAF3730" w14:textId="77777777" w:rsidR="00CD07B3" w:rsidRPr="005F77CE" w:rsidRDefault="00CD07B3" w:rsidP="006A2906">
      <w:pPr>
        <w:ind w:left="851"/>
        <w:rPr>
          <w:sz w:val="24"/>
          <w:szCs w:val="24"/>
        </w:rPr>
      </w:pPr>
    </w:p>
    <w:p w14:paraId="42E4F3EB" w14:textId="77777777" w:rsidR="00CD07B3" w:rsidRPr="005F77CE" w:rsidRDefault="00CD07B3" w:rsidP="006A2906">
      <w:pPr>
        <w:ind w:left="851"/>
        <w:rPr>
          <w:sz w:val="24"/>
          <w:szCs w:val="24"/>
        </w:rPr>
      </w:pPr>
      <w:r w:rsidRPr="005F77CE">
        <w:rPr>
          <w:sz w:val="24"/>
          <w:szCs w:val="24"/>
        </w:rPr>
        <w:t>Ikke anvendt lægemiddel samt affald heraf skal bortskaffes i henhold til lokale retningslinjer.</w:t>
      </w:r>
    </w:p>
    <w:p w14:paraId="27E467E9" w14:textId="77777777" w:rsidR="009260DE" w:rsidRPr="005F77CE" w:rsidRDefault="009260DE" w:rsidP="000730CA">
      <w:pPr>
        <w:tabs>
          <w:tab w:val="left" w:pos="851"/>
        </w:tabs>
        <w:ind w:left="851"/>
        <w:rPr>
          <w:sz w:val="24"/>
          <w:szCs w:val="24"/>
        </w:rPr>
      </w:pPr>
    </w:p>
    <w:p w14:paraId="00732A9E" w14:textId="77777777" w:rsidR="009260DE" w:rsidRPr="005F77CE" w:rsidRDefault="009260DE" w:rsidP="009260DE">
      <w:pPr>
        <w:tabs>
          <w:tab w:val="left" w:pos="851"/>
        </w:tabs>
        <w:ind w:left="851" w:hanging="851"/>
        <w:rPr>
          <w:b/>
          <w:sz w:val="24"/>
          <w:szCs w:val="24"/>
        </w:rPr>
      </w:pPr>
      <w:r w:rsidRPr="005F77CE">
        <w:rPr>
          <w:b/>
          <w:sz w:val="24"/>
          <w:szCs w:val="24"/>
        </w:rPr>
        <w:t>7.</w:t>
      </w:r>
      <w:r w:rsidRPr="005F77CE">
        <w:rPr>
          <w:b/>
          <w:sz w:val="24"/>
          <w:szCs w:val="24"/>
        </w:rPr>
        <w:tab/>
        <w:t>INDEHAVER AF MARKEDSFØRINGSTILLADELSEN</w:t>
      </w:r>
    </w:p>
    <w:p w14:paraId="131F18E4" w14:textId="77777777" w:rsidR="00CD07B3" w:rsidRPr="005F77CE" w:rsidRDefault="00CD07B3" w:rsidP="006A2906">
      <w:pPr>
        <w:ind w:left="851"/>
        <w:rPr>
          <w:sz w:val="24"/>
          <w:szCs w:val="24"/>
          <w:lang w:val="nb-NO" w:eastAsia="en-GB"/>
        </w:rPr>
      </w:pPr>
      <w:bookmarkStart w:id="1" w:name="_Hlk114124086"/>
      <w:r w:rsidRPr="005F77CE">
        <w:rPr>
          <w:sz w:val="24"/>
          <w:szCs w:val="24"/>
          <w:lang w:val="nb-NO"/>
        </w:rPr>
        <w:t>Tillomed Pharma GmbH</w:t>
      </w:r>
    </w:p>
    <w:p w14:paraId="2B0AA704" w14:textId="77777777" w:rsidR="00CD07B3" w:rsidRPr="005F77CE" w:rsidRDefault="00CD07B3" w:rsidP="006A2906">
      <w:pPr>
        <w:ind w:left="851"/>
        <w:rPr>
          <w:sz w:val="24"/>
          <w:szCs w:val="24"/>
          <w:lang w:val="nb-NO"/>
        </w:rPr>
      </w:pPr>
      <w:r w:rsidRPr="005F77CE">
        <w:rPr>
          <w:sz w:val="24"/>
          <w:szCs w:val="24"/>
          <w:lang w:val="nb-NO"/>
        </w:rPr>
        <w:t>Mittelstrasse 5/5a</w:t>
      </w:r>
    </w:p>
    <w:p w14:paraId="52B6032B" w14:textId="77777777" w:rsidR="00CD07B3" w:rsidRPr="005F77CE" w:rsidRDefault="00CD07B3" w:rsidP="006A2906">
      <w:pPr>
        <w:ind w:left="851"/>
        <w:rPr>
          <w:sz w:val="24"/>
          <w:szCs w:val="24"/>
          <w:lang w:val="nb-NO"/>
        </w:rPr>
      </w:pPr>
      <w:r w:rsidRPr="005F77CE">
        <w:rPr>
          <w:sz w:val="24"/>
          <w:szCs w:val="24"/>
          <w:lang w:val="nb-NO"/>
        </w:rPr>
        <w:t>12529 Schönefeld</w:t>
      </w:r>
    </w:p>
    <w:p w14:paraId="2BA463BC" w14:textId="77777777" w:rsidR="00CD07B3" w:rsidRPr="005F77CE" w:rsidRDefault="00CD07B3" w:rsidP="006A2906">
      <w:pPr>
        <w:ind w:left="851"/>
        <w:contextualSpacing/>
        <w:rPr>
          <w:noProof/>
          <w:sz w:val="24"/>
          <w:szCs w:val="24"/>
        </w:rPr>
      </w:pPr>
      <w:r w:rsidRPr="005F77CE">
        <w:rPr>
          <w:sz w:val="24"/>
          <w:szCs w:val="24"/>
        </w:rPr>
        <w:t>Tyskland</w:t>
      </w:r>
    </w:p>
    <w:bookmarkEnd w:id="1"/>
    <w:p w14:paraId="13F67E58" w14:textId="77777777" w:rsidR="009260DE" w:rsidRPr="005F77CE" w:rsidRDefault="009260DE" w:rsidP="009260DE">
      <w:pPr>
        <w:tabs>
          <w:tab w:val="left" w:pos="851"/>
        </w:tabs>
        <w:ind w:left="851"/>
        <w:rPr>
          <w:sz w:val="24"/>
          <w:szCs w:val="24"/>
        </w:rPr>
      </w:pPr>
    </w:p>
    <w:p w14:paraId="7259B74E" w14:textId="77777777" w:rsidR="009260DE" w:rsidRPr="005F77CE" w:rsidRDefault="009260DE" w:rsidP="009260DE">
      <w:pPr>
        <w:tabs>
          <w:tab w:val="left" w:pos="851"/>
        </w:tabs>
        <w:ind w:left="851" w:hanging="851"/>
        <w:rPr>
          <w:b/>
          <w:sz w:val="24"/>
          <w:szCs w:val="24"/>
        </w:rPr>
      </w:pPr>
      <w:r w:rsidRPr="005F77CE">
        <w:rPr>
          <w:b/>
          <w:sz w:val="24"/>
          <w:szCs w:val="24"/>
        </w:rPr>
        <w:t>8.</w:t>
      </w:r>
      <w:r w:rsidRPr="005F77CE">
        <w:rPr>
          <w:b/>
          <w:sz w:val="24"/>
          <w:szCs w:val="24"/>
        </w:rPr>
        <w:tab/>
        <w:t>MARKEDSFØRINGSTILLADELSESNUMMER (NUMRE)</w:t>
      </w:r>
    </w:p>
    <w:p w14:paraId="76DA1428" w14:textId="564F5C94" w:rsidR="009260DE" w:rsidRPr="005F77CE" w:rsidRDefault="00CD07B3" w:rsidP="009260DE">
      <w:pPr>
        <w:tabs>
          <w:tab w:val="left" w:pos="851"/>
        </w:tabs>
        <w:ind w:left="851"/>
        <w:rPr>
          <w:sz w:val="24"/>
          <w:szCs w:val="24"/>
        </w:rPr>
      </w:pPr>
      <w:r w:rsidRPr="005F77CE">
        <w:rPr>
          <w:sz w:val="24"/>
          <w:szCs w:val="24"/>
        </w:rPr>
        <w:t>64596</w:t>
      </w:r>
    </w:p>
    <w:p w14:paraId="2744473B" w14:textId="77777777" w:rsidR="009260DE" w:rsidRPr="005F77CE" w:rsidRDefault="009260DE" w:rsidP="009260DE">
      <w:pPr>
        <w:tabs>
          <w:tab w:val="left" w:pos="851"/>
        </w:tabs>
        <w:ind w:left="851"/>
        <w:jc w:val="both"/>
        <w:rPr>
          <w:sz w:val="24"/>
          <w:szCs w:val="24"/>
        </w:rPr>
      </w:pPr>
    </w:p>
    <w:p w14:paraId="016D704A" w14:textId="77777777" w:rsidR="009260DE" w:rsidRPr="005F77CE" w:rsidRDefault="009260DE" w:rsidP="009260DE">
      <w:pPr>
        <w:tabs>
          <w:tab w:val="left" w:pos="851"/>
        </w:tabs>
        <w:ind w:left="851" w:hanging="851"/>
        <w:rPr>
          <w:b/>
          <w:sz w:val="24"/>
          <w:szCs w:val="24"/>
        </w:rPr>
      </w:pPr>
      <w:r w:rsidRPr="005F77CE">
        <w:rPr>
          <w:b/>
          <w:sz w:val="24"/>
          <w:szCs w:val="24"/>
        </w:rPr>
        <w:t>9.</w:t>
      </w:r>
      <w:r w:rsidRPr="005F77CE">
        <w:rPr>
          <w:b/>
          <w:sz w:val="24"/>
          <w:szCs w:val="24"/>
        </w:rPr>
        <w:tab/>
        <w:t>DATO FOR FØRSTE MARKEDSFØRINGSTILLADELSE</w:t>
      </w:r>
    </w:p>
    <w:p w14:paraId="5E796FCB" w14:textId="0A166F12" w:rsidR="009260DE" w:rsidRPr="005F77CE" w:rsidRDefault="005E218D" w:rsidP="009260DE">
      <w:pPr>
        <w:tabs>
          <w:tab w:val="left" w:pos="851"/>
        </w:tabs>
        <w:ind w:left="851"/>
        <w:rPr>
          <w:sz w:val="24"/>
          <w:szCs w:val="24"/>
        </w:rPr>
      </w:pPr>
      <w:r>
        <w:rPr>
          <w:sz w:val="24"/>
          <w:szCs w:val="24"/>
        </w:rPr>
        <w:t>15. september 2022</w:t>
      </w:r>
    </w:p>
    <w:p w14:paraId="73C29F54" w14:textId="77777777" w:rsidR="009260DE" w:rsidRPr="005F77CE" w:rsidRDefault="009260DE" w:rsidP="009260DE">
      <w:pPr>
        <w:tabs>
          <w:tab w:val="left" w:pos="851"/>
        </w:tabs>
        <w:ind w:left="851"/>
        <w:rPr>
          <w:sz w:val="24"/>
          <w:szCs w:val="24"/>
        </w:rPr>
      </w:pPr>
    </w:p>
    <w:p w14:paraId="0C6743FE" w14:textId="77777777" w:rsidR="009260DE" w:rsidRPr="005F77CE" w:rsidRDefault="009260DE" w:rsidP="009260DE">
      <w:pPr>
        <w:tabs>
          <w:tab w:val="left" w:pos="851"/>
        </w:tabs>
        <w:ind w:left="851" w:hanging="851"/>
        <w:rPr>
          <w:b/>
          <w:sz w:val="24"/>
          <w:szCs w:val="24"/>
        </w:rPr>
      </w:pPr>
      <w:r w:rsidRPr="005F77CE">
        <w:rPr>
          <w:b/>
          <w:sz w:val="24"/>
          <w:szCs w:val="24"/>
        </w:rPr>
        <w:t>10.</w:t>
      </w:r>
      <w:r w:rsidRPr="005F77CE">
        <w:rPr>
          <w:b/>
          <w:sz w:val="24"/>
          <w:szCs w:val="24"/>
        </w:rPr>
        <w:tab/>
        <w:t>DATO FOR ÆNDRING AF TEKSTEN</w:t>
      </w:r>
    </w:p>
    <w:p w14:paraId="70A81F18" w14:textId="07394E0F" w:rsidR="009260DE" w:rsidRPr="005F77CE" w:rsidRDefault="00CD07B3" w:rsidP="009260DE">
      <w:pPr>
        <w:tabs>
          <w:tab w:val="left" w:pos="851"/>
        </w:tabs>
        <w:ind w:left="851"/>
        <w:rPr>
          <w:sz w:val="24"/>
          <w:szCs w:val="24"/>
        </w:rPr>
      </w:pPr>
      <w:r w:rsidRPr="005F77CE">
        <w:rPr>
          <w:sz w:val="24"/>
          <w:szCs w:val="24"/>
        </w:rPr>
        <w:t>-</w:t>
      </w:r>
    </w:p>
    <w:sectPr w:rsidR="009260DE" w:rsidRPr="005F77C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F3FF" w14:textId="77777777" w:rsidR="008F1723" w:rsidRDefault="008F1723">
      <w:r>
        <w:separator/>
      </w:r>
    </w:p>
  </w:endnote>
  <w:endnote w:type="continuationSeparator" w:id="0">
    <w:p w14:paraId="1CBDB84E" w14:textId="77777777" w:rsidR="008F1723" w:rsidRDefault="008F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D1D9" w14:textId="77777777" w:rsidR="008F1723" w:rsidRDefault="008F1723">
    <w:pPr>
      <w:pStyle w:val="Sidefod"/>
      <w:pBdr>
        <w:bottom w:val="single" w:sz="6" w:space="1" w:color="auto"/>
      </w:pBdr>
    </w:pPr>
  </w:p>
  <w:p w14:paraId="756C74E1" w14:textId="77777777" w:rsidR="008F1723" w:rsidRDefault="008F1723" w:rsidP="00C42586">
    <w:pPr>
      <w:pStyle w:val="Sidefod"/>
      <w:tabs>
        <w:tab w:val="clear" w:pos="4819"/>
        <w:tab w:val="left" w:pos="8505"/>
      </w:tabs>
      <w:rPr>
        <w:i/>
        <w:sz w:val="18"/>
        <w:szCs w:val="18"/>
      </w:rPr>
    </w:pPr>
  </w:p>
  <w:p w14:paraId="5CCCD01A" w14:textId="092B2A4B" w:rsidR="008F1723" w:rsidRPr="00B373D7" w:rsidRDefault="008F172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Foscarnet Tillomed, infusionsvæske, opløsning 24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E543E" w14:textId="77777777" w:rsidR="008F1723" w:rsidRDefault="008F1723">
      <w:r>
        <w:separator/>
      </w:r>
    </w:p>
  </w:footnote>
  <w:footnote w:type="continuationSeparator" w:id="0">
    <w:p w14:paraId="784D323B" w14:textId="77777777" w:rsidR="008F1723" w:rsidRDefault="008F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596A"/>
    <w:multiLevelType w:val="hybridMultilevel"/>
    <w:tmpl w:val="1FD48DE2"/>
    <w:lvl w:ilvl="0" w:tplc="0ED087E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0FA01389"/>
    <w:multiLevelType w:val="hybridMultilevel"/>
    <w:tmpl w:val="5C7679A6"/>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FF"/>
    <w:rsid w:val="000259B9"/>
    <w:rsid w:val="00041491"/>
    <w:rsid w:val="00050D16"/>
    <w:rsid w:val="000730CA"/>
    <w:rsid w:val="00074F2A"/>
    <w:rsid w:val="00097104"/>
    <w:rsid w:val="000A1CA8"/>
    <w:rsid w:val="000A466B"/>
    <w:rsid w:val="000B058C"/>
    <w:rsid w:val="000C40C1"/>
    <w:rsid w:val="000E4EE6"/>
    <w:rsid w:val="001159FD"/>
    <w:rsid w:val="001454E2"/>
    <w:rsid w:val="00206CE8"/>
    <w:rsid w:val="0021526C"/>
    <w:rsid w:val="00243FF4"/>
    <w:rsid w:val="00283A2B"/>
    <w:rsid w:val="002B30AD"/>
    <w:rsid w:val="002C2C01"/>
    <w:rsid w:val="003242EB"/>
    <w:rsid w:val="003A29AE"/>
    <w:rsid w:val="003A32D7"/>
    <w:rsid w:val="003B206C"/>
    <w:rsid w:val="003B4074"/>
    <w:rsid w:val="003C769A"/>
    <w:rsid w:val="003F1838"/>
    <w:rsid w:val="0045746C"/>
    <w:rsid w:val="00473F2D"/>
    <w:rsid w:val="00484BC5"/>
    <w:rsid w:val="0049104B"/>
    <w:rsid w:val="004A11F9"/>
    <w:rsid w:val="004D682C"/>
    <w:rsid w:val="004E3B12"/>
    <w:rsid w:val="005007DA"/>
    <w:rsid w:val="00520CF5"/>
    <w:rsid w:val="00532310"/>
    <w:rsid w:val="00565F0F"/>
    <w:rsid w:val="00594A86"/>
    <w:rsid w:val="00596D86"/>
    <w:rsid w:val="005E218D"/>
    <w:rsid w:val="005F77CE"/>
    <w:rsid w:val="0062390A"/>
    <w:rsid w:val="00637F5A"/>
    <w:rsid w:val="006560B1"/>
    <w:rsid w:val="006756DD"/>
    <w:rsid w:val="006A2906"/>
    <w:rsid w:val="00737275"/>
    <w:rsid w:val="00740EEC"/>
    <w:rsid w:val="00746622"/>
    <w:rsid w:val="0078011A"/>
    <w:rsid w:val="00782AF4"/>
    <w:rsid w:val="00790EE7"/>
    <w:rsid w:val="007B6649"/>
    <w:rsid w:val="007C2A51"/>
    <w:rsid w:val="0082576E"/>
    <w:rsid w:val="008562FC"/>
    <w:rsid w:val="00870511"/>
    <w:rsid w:val="008F1723"/>
    <w:rsid w:val="00907F75"/>
    <w:rsid w:val="009260DE"/>
    <w:rsid w:val="0093258A"/>
    <w:rsid w:val="00965831"/>
    <w:rsid w:val="009C7BA3"/>
    <w:rsid w:val="009D1F5A"/>
    <w:rsid w:val="009E4328"/>
    <w:rsid w:val="009E7A0D"/>
    <w:rsid w:val="00A078F6"/>
    <w:rsid w:val="00A10294"/>
    <w:rsid w:val="00A24333"/>
    <w:rsid w:val="00A836F6"/>
    <w:rsid w:val="00AC4E6E"/>
    <w:rsid w:val="00B003BF"/>
    <w:rsid w:val="00B373D7"/>
    <w:rsid w:val="00B547B5"/>
    <w:rsid w:val="00C03974"/>
    <w:rsid w:val="00C331F7"/>
    <w:rsid w:val="00C332D4"/>
    <w:rsid w:val="00C36276"/>
    <w:rsid w:val="00C413DC"/>
    <w:rsid w:val="00C42586"/>
    <w:rsid w:val="00C60CCD"/>
    <w:rsid w:val="00C84483"/>
    <w:rsid w:val="00C93AB6"/>
    <w:rsid w:val="00C95551"/>
    <w:rsid w:val="00C957E0"/>
    <w:rsid w:val="00CB20D7"/>
    <w:rsid w:val="00CD07B3"/>
    <w:rsid w:val="00CE6259"/>
    <w:rsid w:val="00D020B0"/>
    <w:rsid w:val="00D11748"/>
    <w:rsid w:val="00D366CF"/>
    <w:rsid w:val="00DA3AE0"/>
    <w:rsid w:val="00E108AA"/>
    <w:rsid w:val="00E3749A"/>
    <w:rsid w:val="00E7437F"/>
    <w:rsid w:val="00E865B8"/>
    <w:rsid w:val="00EB79FF"/>
    <w:rsid w:val="00EC0B9B"/>
    <w:rsid w:val="00ED5E9F"/>
    <w:rsid w:val="00EE2DB3"/>
    <w:rsid w:val="00F3355F"/>
    <w:rsid w:val="00F66D4F"/>
    <w:rsid w:val="00F7288C"/>
    <w:rsid w:val="00F8422A"/>
    <w:rsid w:val="00FB380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9395A"/>
  <w15:chartTrackingRefBased/>
  <w15:docId w15:val="{5690044E-ABCC-485E-8691-5F53F505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243FF4"/>
    <w:pPr>
      <w:spacing w:after="120"/>
      <w:jc w:val="both"/>
    </w:pPr>
    <w:rPr>
      <w:sz w:val="22"/>
      <w:lang w:eastAsia="en-GB"/>
    </w:rPr>
  </w:style>
  <w:style w:type="character" w:customStyle="1" w:styleId="BrdtekstTegn">
    <w:name w:val="Brødtekst Tegn"/>
    <w:basedOn w:val="Standardskrifttypeiafsnit"/>
    <w:link w:val="Brdtekst"/>
    <w:semiHidden/>
    <w:rsid w:val="00243FF4"/>
    <w:rPr>
      <w:sz w:val="22"/>
      <w:lang w:eastAsia="en-GB"/>
    </w:rPr>
  </w:style>
  <w:style w:type="paragraph" w:customStyle="1" w:styleId="TableParagraph">
    <w:name w:val="Table Paragraph"/>
    <w:basedOn w:val="Normal"/>
    <w:uiPriority w:val="1"/>
    <w:qFormat/>
    <w:rsid w:val="00243FF4"/>
    <w:pPr>
      <w:widowControl w:val="0"/>
      <w:autoSpaceDE w:val="0"/>
      <w:autoSpaceDN w:val="0"/>
    </w:pPr>
    <w:rPr>
      <w:sz w:val="22"/>
      <w:szCs w:val="22"/>
      <w:lang w:eastAsia="de-DE" w:bidi="de-DE"/>
    </w:rPr>
  </w:style>
  <w:style w:type="paragraph" w:styleId="Ingenafstand">
    <w:name w:val="No Spacing"/>
    <w:uiPriority w:val="1"/>
    <w:qFormat/>
    <w:rsid w:val="008562FC"/>
    <w:rPr>
      <w:rFonts w:asciiTheme="minorHAnsi" w:eastAsiaTheme="minorEastAsia" w:hAnsiTheme="minorHAnsi" w:cstheme="minorBidi"/>
      <w:sz w:val="22"/>
      <w:szCs w:val="22"/>
      <w:lang w:eastAsia="en-US" w:bidi="ta-IN"/>
    </w:rPr>
  </w:style>
  <w:style w:type="paragraph" w:styleId="Billedtekst">
    <w:name w:val="caption"/>
    <w:basedOn w:val="Normal"/>
    <w:next w:val="Normal"/>
    <w:semiHidden/>
    <w:unhideWhenUsed/>
    <w:qFormat/>
    <w:rsid w:val="008562FC"/>
    <w:pPr>
      <w:spacing w:after="120"/>
      <w:jc w:val="center"/>
    </w:pPr>
    <w:rPr>
      <w:bCs/>
      <w:i/>
      <w:sz w:val="18"/>
      <w:lang w:eastAsia="en-GB"/>
    </w:rPr>
  </w:style>
  <w:style w:type="paragraph" w:styleId="Slutnotetekst">
    <w:name w:val="endnote text"/>
    <w:basedOn w:val="Normal"/>
    <w:link w:val="SlutnotetekstTegn"/>
    <w:semiHidden/>
    <w:unhideWhenUsed/>
    <w:rsid w:val="008562FC"/>
    <w:pPr>
      <w:tabs>
        <w:tab w:val="left" w:pos="567"/>
      </w:tabs>
    </w:pPr>
    <w:rPr>
      <w:rFonts w:cs="Latha"/>
      <w:sz w:val="22"/>
      <w:lang w:bidi="ta-IN"/>
    </w:rPr>
  </w:style>
  <w:style w:type="character" w:customStyle="1" w:styleId="SlutnotetekstTegn">
    <w:name w:val="Slutnotetekst Tegn"/>
    <w:basedOn w:val="Standardskrifttypeiafsnit"/>
    <w:link w:val="Slutnotetekst"/>
    <w:semiHidden/>
    <w:rsid w:val="008562FC"/>
    <w:rPr>
      <w:rFonts w:cs="Latha"/>
      <w:sz w:val="22"/>
      <w:lang w:eastAsia="en-US" w:bidi="ta-IN"/>
    </w:rPr>
  </w:style>
  <w:style w:type="paragraph" w:customStyle="1" w:styleId="knZulassung02">
    <w:name w:val="knZulassung02"/>
    <w:basedOn w:val="Normal"/>
    <w:rsid w:val="008562FC"/>
    <w:pPr>
      <w:overflowPunct w:val="0"/>
      <w:autoSpaceDE w:val="0"/>
      <w:autoSpaceDN w:val="0"/>
      <w:adjustRightInd w:val="0"/>
      <w:spacing w:line="280" w:lineRule="exact"/>
      <w:ind w:left="1843" w:right="284"/>
      <w:jc w:val="both"/>
    </w:pPr>
    <w:rPr>
      <w:rFonts w:ascii="Arial" w:hAnsi="Arial"/>
      <w:sz w:val="20"/>
    </w:rPr>
  </w:style>
  <w:style w:type="paragraph" w:styleId="Normalindrykning">
    <w:name w:val="Normal Indent"/>
    <w:basedOn w:val="Normal"/>
    <w:semiHidden/>
    <w:unhideWhenUsed/>
    <w:rsid w:val="008562FC"/>
    <w:pPr>
      <w:spacing w:after="120"/>
      <w:ind w:left="720"/>
      <w:jc w:val="both"/>
    </w:pPr>
    <w:rPr>
      <w:sz w:val="22"/>
      <w:lang w:eastAsia="en-GB"/>
    </w:rPr>
  </w:style>
  <w:style w:type="paragraph" w:customStyle="1" w:styleId="xmsonormal">
    <w:name w:val="x_msonormal"/>
    <w:basedOn w:val="Normal"/>
    <w:rsid w:val="008562FC"/>
    <w:rPr>
      <w:rFonts w:eastAsiaTheme="minorHAnsi"/>
      <w:sz w:val="24"/>
      <w:szCs w:val="24"/>
    </w:rPr>
  </w:style>
  <w:style w:type="paragraph" w:customStyle="1" w:styleId="Default">
    <w:name w:val="Default"/>
    <w:rsid w:val="008562FC"/>
    <w:pPr>
      <w:autoSpaceDE w:val="0"/>
      <w:autoSpaceDN w:val="0"/>
      <w:adjustRightInd w:val="0"/>
    </w:pPr>
    <w:rPr>
      <w:color w:val="000000"/>
      <w:sz w:val="24"/>
      <w:szCs w:val="24"/>
      <w:lang w:eastAsia="en-GB"/>
    </w:rPr>
  </w:style>
  <w:style w:type="paragraph" w:styleId="Listeafsnit">
    <w:name w:val="List Paragraph"/>
    <w:basedOn w:val="Normal"/>
    <w:uiPriority w:val="34"/>
    <w:qFormat/>
    <w:rsid w:val="00B547B5"/>
    <w:pPr>
      <w:ind w:left="720"/>
      <w:contextualSpacing/>
    </w:pPr>
  </w:style>
  <w:style w:type="table" w:styleId="Tabel-Gitter">
    <w:name w:val="Table Grid"/>
    <w:basedOn w:val="Tabel-Normal"/>
    <w:uiPriority w:val="59"/>
    <w:rsid w:val="00C0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6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327037">
      <w:bodyDiv w:val="1"/>
      <w:marLeft w:val="0"/>
      <w:marRight w:val="0"/>
      <w:marTop w:val="0"/>
      <w:marBottom w:val="0"/>
      <w:divBdr>
        <w:top w:val="none" w:sz="0" w:space="0" w:color="auto"/>
        <w:left w:val="none" w:sz="0" w:space="0" w:color="auto"/>
        <w:bottom w:val="none" w:sz="0" w:space="0" w:color="auto"/>
        <w:right w:val="none" w:sz="0" w:space="0" w:color="auto"/>
      </w:divBdr>
    </w:div>
    <w:div w:id="338579517">
      <w:bodyDiv w:val="1"/>
      <w:marLeft w:val="0"/>
      <w:marRight w:val="0"/>
      <w:marTop w:val="0"/>
      <w:marBottom w:val="0"/>
      <w:divBdr>
        <w:top w:val="none" w:sz="0" w:space="0" w:color="auto"/>
        <w:left w:val="none" w:sz="0" w:space="0" w:color="auto"/>
        <w:bottom w:val="none" w:sz="0" w:space="0" w:color="auto"/>
        <w:right w:val="none" w:sz="0" w:space="0" w:color="auto"/>
      </w:divBdr>
    </w:div>
    <w:div w:id="484662296">
      <w:bodyDiv w:val="1"/>
      <w:marLeft w:val="0"/>
      <w:marRight w:val="0"/>
      <w:marTop w:val="0"/>
      <w:marBottom w:val="0"/>
      <w:divBdr>
        <w:top w:val="none" w:sz="0" w:space="0" w:color="auto"/>
        <w:left w:val="none" w:sz="0" w:space="0" w:color="auto"/>
        <w:bottom w:val="none" w:sz="0" w:space="0" w:color="auto"/>
        <w:right w:val="none" w:sz="0" w:space="0" w:color="auto"/>
      </w:divBdr>
    </w:div>
    <w:div w:id="885482749">
      <w:bodyDiv w:val="1"/>
      <w:marLeft w:val="0"/>
      <w:marRight w:val="0"/>
      <w:marTop w:val="0"/>
      <w:marBottom w:val="0"/>
      <w:divBdr>
        <w:top w:val="none" w:sz="0" w:space="0" w:color="auto"/>
        <w:left w:val="none" w:sz="0" w:space="0" w:color="auto"/>
        <w:bottom w:val="none" w:sz="0" w:space="0" w:color="auto"/>
        <w:right w:val="none" w:sz="0" w:space="0" w:color="auto"/>
      </w:divBdr>
    </w:div>
    <w:div w:id="941228442">
      <w:bodyDiv w:val="1"/>
      <w:marLeft w:val="0"/>
      <w:marRight w:val="0"/>
      <w:marTop w:val="0"/>
      <w:marBottom w:val="0"/>
      <w:divBdr>
        <w:top w:val="none" w:sz="0" w:space="0" w:color="auto"/>
        <w:left w:val="none" w:sz="0" w:space="0" w:color="auto"/>
        <w:bottom w:val="none" w:sz="0" w:space="0" w:color="auto"/>
        <w:right w:val="none" w:sz="0" w:space="0" w:color="auto"/>
      </w:divBdr>
    </w:div>
    <w:div w:id="941260017">
      <w:bodyDiv w:val="1"/>
      <w:marLeft w:val="0"/>
      <w:marRight w:val="0"/>
      <w:marTop w:val="0"/>
      <w:marBottom w:val="0"/>
      <w:divBdr>
        <w:top w:val="none" w:sz="0" w:space="0" w:color="auto"/>
        <w:left w:val="none" w:sz="0" w:space="0" w:color="auto"/>
        <w:bottom w:val="none" w:sz="0" w:space="0" w:color="auto"/>
        <w:right w:val="none" w:sz="0" w:space="0" w:color="auto"/>
      </w:divBdr>
    </w:div>
    <w:div w:id="959646946">
      <w:bodyDiv w:val="1"/>
      <w:marLeft w:val="0"/>
      <w:marRight w:val="0"/>
      <w:marTop w:val="0"/>
      <w:marBottom w:val="0"/>
      <w:divBdr>
        <w:top w:val="none" w:sz="0" w:space="0" w:color="auto"/>
        <w:left w:val="none" w:sz="0" w:space="0" w:color="auto"/>
        <w:bottom w:val="none" w:sz="0" w:space="0" w:color="auto"/>
        <w:right w:val="none" w:sz="0" w:space="0" w:color="auto"/>
      </w:divBdr>
    </w:div>
    <w:div w:id="1005523484">
      <w:bodyDiv w:val="1"/>
      <w:marLeft w:val="0"/>
      <w:marRight w:val="0"/>
      <w:marTop w:val="0"/>
      <w:marBottom w:val="0"/>
      <w:divBdr>
        <w:top w:val="none" w:sz="0" w:space="0" w:color="auto"/>
        <w:left w:val="none" w:sz="0" w:space="0" w:color="auto"/>
        <w:bottom w:val="none" w:sz="0" w:space="0" w:color="auto"/>
        <w:right w:val="none" w:sz="0" w:space="0" w:color="auto"/>
      </w:divBdr>
    </w:div>
    <w:div w:id="1047724676">
      <w:bodyDiv w:val="1"/>
      <w:marLeft w:val="0"/>
      <w:marRight w:val="0"/>
      <w:marTop w:val="0"/>
      <w:marBottom w:val="0"/>
      <w:divBdr>
        <w:top w:val="none" w:sz="0" w:space="0" w:color="auto"/>
        <w:left w:val="none" w:sz="0" w:space="0" w:color="auto"/>
        <w:bottom w:val="none" w:sz="0" w:space="0" w:color="auto"/>
        <w:right w:val="none" w:sz="0" w:space="0" w:color="auto"/>
      </w:divBdr>
    </w:div>
    <w:div w:id="1080450133">
      <w:bodyDiv w:val="1"/>
      <w:marLeft w:val="0"/>
      <w:marRight w:val="0"/>
      <w:marTop w:val="0"/>
      <w:marBottom w:val="0"/>
      <w:divBdr>
        <w:top w:val="none" w:sz="0" w:space="0" w:color="auto"/>
        <w:left w:val="none" w:sz="0" w:space="0" w:color="auto"/>
        <w:bottom w:val="none" w:sz="0" w:space="0" w:color="auto"/>
        <w:right w:val="none" w:sz="0" w:space="0" w:color="auto"/>
      </w:divBdr>
    </w:div>
    <w:div w:id="1204711859">
      <w:bodyDiv w:val="1"/>
      <w:marLeft w:val="0"/>
      <w:marRight w:val="0"/>
      <w:marTop w:val="0"/>
      <w:marBottom w:val="0"/>
      <w:divBdr>
        <w:top w:val="none" w:sz="0" w:space="0" w:color="auto"/>
        <w:left w:val="none" w:sz="0" w:space="0" w:color="auto"/>
        <w:bottom w:val="none" w:sz="0" w:space="0" w:color="auto"/>
        <w:right w:val="none" w:sz="0" w:space="0" w:color="auto"/>
      </w:divBdr>
    </w:div>
    <w:div w:id="1511795465">
      <w:bodyDiv w:val="1"/>
      <w:marLeft w:val="0"/>
      <w:marRight w:val="0"/>
      <w:marTop w:val="0"/>
      <w:marBottom w:val="0"/>
      <w:divBdr>
        <w:top w:val="none" w:sz="0" w:space="0" w:color="auto"/>
        <w:left w:val="none" w:sz="0" w:space="0" w:color="auto"/>
        <w:bottom w:val="none" w:sz="0" w:space="0" w:color="auto"/>
        <w:right w:val="none" w:sz="0" w:space="0" w:color="auto"/>
      </w:divBdr>
    </w:div>
    <w:div w:id="1553275992">
      <w:bodyDiv w:val="1"/>
      <w:marLeft w:val="0"/>
      <w:marRight w:val="0"/>
      <w:marTop w:val="0"/>
      <w:marBottom w:val="0"/>
      <w:divBdr>
        <w:top w:val="none" w:sz="0" w:space="0" w:color="auto"/>
        <w:left w:val="none" w:sz="0" w:space="0" w:color="auto"/>
        <w:bottom w:val="none" w:sz="0" w:space="0" w:color="auto"/>
        <w:right w:val="none" w:sz="0" w:space="0" w:color="auto"/>
      </w:divBdr>
    </w:div>
    <w:div w:id="1620599367">
      <w:bodyDiv w:val="1"/>
      <w:marLeft w:val="0"/>
      <w:marRight w:val="0"/>
      <w:marTop w:val="0"/>
      <w:marBottom w:val="0"/>
      <w:divBdr>
        <w:top w:val="none" w:sz="0" w:space="0" w:color="auto"/>
        <w:left w:val="none" w:sz="0" w:space="0" w:color="auto"/>
        <w:bottom w:val="none" w:sz="0" w:space="0" w:color="auto"/>
        <w:right w:val="none" w:sz="0" w:space="0" w:color="auto"/>
      </w:divBdr>
    </w:div>
    <w:div w:id="1649701250">
      <w:bodyDiv w:val="1"/>
      <w:marLeft w:val="0"/>
      <w:marRight w:val="0"/>
      <w:marTop w:val="0"/>
      <w:marBottom w:val="0"/>
      <w:divBdr>
        <w:top w:val="none" w:sz="0" w:space="0" w:color="auto"/>
        <w:left w:val="none" w:sz="0" w:space="0" w:color="auto"/>
        <w:bottom w:val="none" w:sz="0" w:space="0" w:color="auto"/>
        <w:right w:val="none" w:sz="0" w:space="0" w:color="auto"/>
      </w:divBdr>
    </w:div>
    <w:div w:id="1676345497">
      <w:bodyDiv w:val="1"/>
      <w:marLeft w:val="0"/>
      <w:marRight w:val="0"/>
      <w:marTop w:val="0"/>
      <w:marBottom w:val="0"/>
      <w:divBdr>
        <w:top w:val="none" w:sz="0" w:space="0" w:color="auto"/>
        <w:left w:val="none" w:sz="0" w:space="0" w:color="auto"/>
        <w:bottom w:val="none" w:sz="0" w:space="0" w:color="auto"/>
        <w:right w:val="none" w:sz="0" w:space="0" w:color="auto"/>
      </w:divBdr>
    </w:div>
    <w:div w:id="1732725695">
      <w:bodyDiv w:val="1"/>
      <w:marLeft w:val="0"/>
      <w:marRight w:val="0"/>
      <w:marTop w:val="0"/>
      <w:marBottom w:val="0"/>
      <w:divBdr>
        <w:top w:val="none" w:sz="0" w:space="0" w:color="auto"/>
        <w:left w:val="none" w:sz="0" w:space="0" w:color="auto"/>
        <w:bottom w:val="none" w:sz="0" w:space="0" w:color="auto"/>
        <w:right w:val="none" w:sz="0" w:space="0" w:color="auto"/>
      </w:divBdr>
    </w:div>
    <w:div w:id="1746341278">
      <w:bodyDiv w:val="1"/>
      <w:marLeft w:val="0"/>
      <w:marRight w:val="0"/>
      <w:marTop w:val="0"/>
      <w:marBottom w:val="0"/>
      <w:divBdr>
        <w:top w:val="none" w:sz="0" w:space="0" w:color="auto"/>
        <w:left w:val="none" w:sz="0" w:space="0" w:color="auto"/>
        <w:bottom w:val="none" w:sz="0" w:space="0" w:color="auto"/>
        <w:right w:val="none" w:sz="0" w:space="0" w:color="auto"/>
      </w:divBdr>
    </w:div>
    <w:div w:id="1762021695">
      <w:bodyDiv w:val="1"/>
      <w:marLeft w:val="0"/>
      <w:marRight w:val="0"/>
      <w:marTop w:val="0"/>
      <w:marBottom w:val="0"/>
      <w:divBdr>
        <w:top w:val="none" w:sz="0" w:space="0" w:color="auto"/>
        <w:left w:val="none" w:sz="0" w:space="0" w:color="auto"/>
        <w:bottom w:val="none" w:sz="0" w:space="0" w:color="auto"/>
        <w:right w:val="none" w:sz="0" w:space="0" w:color="auto"/>
      </w:divBdr>
    </w:div>
    <w:div w:id="2103722904">
      <w:bodyDiv w:val="1"/>
      <w:marLeft w:val="0"/>
      <w:marRight w:val="0"/>
      <w:marTop w:val="0"/>
      <w:marBottom w:val="0"/>
      <w:divBdr>
        <w:top w:val="none" w:sz="0" w:space="0" w:color="auto"/>
        <w:left w:val="none" w:sz="0" w:space="0" w:color="auto"/>
        <w:bottom w:val="none" w:sz="0" w:space="0" w:color="auto"/>
        <w:right w:val="none" w:sz="0" w:space="0" w:color="auto"/>
      </w:divBdr>
    </w:div>
    <w:div w:id="21360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57</TotalTime>
  <Pages>15</Pages>
  <Words>4319</Words>
  <Characters>28884</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2020062135, MT</dc:description>
  <cp:lastModifiedBy>Gitte Jørgensen</cp:lastModifiedBy>
  <cp:revision>11</cp:revision>
  <cp:lastPrinted>2012-08-22T08:53:00Z</cp:lastPrinted>
  <dcterms:created xsi:type="dcterms:W3CDTF">2022-09-14T13:07:00Z</dcterms:created>
  <dcterms:modified xsi:type="dcterms:W3CDTF">2022-09-15T07:55:00Z</dcterms:modified>
</cp:coreProperties>
</file>