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947" w:rsidRPr="008F49E1" w:rsidRDefault="00E22947" w:rsidP="00E22947">
      <w:pPr>
        <w:rPr>
          <w:sz w:val="24"/>
          <w:szCs w:val="24"/>
        </w:rPr>
      </w:pPr>
      <w:r w:rsidRPr="009260DE">
        <w:rPr>
          <w:noProof/>
          <w:sz w:val="24"/>
          <w:szCs w:val="24"/>
          <w:lang w:eastAsia="da-DK"/>
        </w:rPr>
        <w:drawing>
          <wp:anchor distT="0" distB="0" distL="114300" distR="114300" simplePos="0" relativeHeight="251659264" behindDoc="0" locked="0" layoutInCell="1" allowOverlap="1" wp14:anchorId="23901808" wp14:editId="69F6A8C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22947" w:rsidRPr="00C84483" w:rsidRDefault="00E22947" w:rsidP="00E22947">
      <w:pPr>
        <w:pStyle w:val="Titel"/>
        <w:tabs>
          <w:tab w:val="right" w:pos="9356"/>
        </w:tabs>
        <w:jc w:val="left"/>
        <w:rPr>
          <w:b w:val="0"/>
          <w:szCs w:val="24"/>
          <w:lang w:eastAsia="en-US"/>
        </w:rPr>
      </w:pPr>
    </w:p>
    <w:p w:rsidR="00E22947" w:rsidRPr="00C84483" w:rsidRDefault="00E22947" w:rsidP="00E22947">
      <w:pPr>
        <w:pStyle w:val="Titel"/>
        <w:tabs>
          <w:tab w:val="right" w:pos="9356"/>
        </w:tabs>
        <w:jc w:val="left"/>
        <w:rPr>
          <w:b w:val="0"/>
          <w:szCs w:val="24"/>
          <w:lang w:eastAsia="en-US"/>
        </w:rPr>
      </w:pPr>
      <w:r w:rsidRPr="00C84483">
        <w:rPr>
          <w:b w:val="0"/>
          <w:szCs w:val="24"/>
          <w:lang w:eastAsia="en-US"/>
        </w:rPr>
        <w:tab/>
      </w:r>
      <w:r w:rsidR="003F214A">
        <w:rPr>
          <w:szCs w:val="24"/>
          <w:lang w:eastAsia="en-US"/>
        </w:rPr>
        <w:t>13</w:t>
      </w:r>
      <w:r w:rsidR="00D7645D">
        <w:rPr>
          <w:szCs w:val="24"/>
          <w:lang w:eastAsia="en-US"/>
        </w:rPr>
        <w:t>. marts 2025</w:t>
      </w:r>
    </w:p>
    <w:p w:rsidR="00E22947" w:rsidRPr="00C84483" w:rsidRDefault="00E22947" w:rsidP="00E22947">
      <w:pPr>
        <w:pStyle w:val="Titel"/>
        <w:tabs>
          <w:tab w:val="left" w:pos="8222"/>
        </w:tabs>
        <w:jc w:val="left"/>
        <w:rPr>
          <w:b w:val="0"/>
          <w:szCs w:val="24"/>
        </w:rPr>
      </w:pPr>
    </w:p>
    <w:p w:rsidR="00E22947" w:rsidRPr="00C84483" w:rsidRDefault="00E22947" w:rsidP="00E22947">
      <w:pPr>
        <w:pStyle w:val="Titel"/>
        <w:jc w:val="left"/>
        <w:rPr>
          <w:b w:val="0"/>
          <w:szCs w:val="24"/>
        </w:rPr>
      </w:pPr>
    </w:p>
    <w:p w:rsidR="00E22947" w:rsidRPr="00C84483" w:rsidRDefault="00E22947" w:rsidP="00E22947">
      <w:pPr>
        <w:jc w:val="center"/>
        <w:rPr>
          <w:b/>
          <w:sz w:val="24"/>
          <w:szCs w:val="24"/>
        </w:rPr>
      </w:pPr>
      <w:r w:rsidRPr="00C84483">
        <w:rPr>
          <w:b/>
          <w:sz w:val="24"/>
          <w:szCs w:val="24"/>
        </w:rPr>
        <w:t>PRODUKTRESUMÉ</w:t>
      </w:r>
    </w:p>
    <w:p w:rsidR="00E22947" w:rsidRPr="00C84483" w:rsidRDefault="00E22947" w:rsidP="00215313">
      <w:pPr>
        <w:rPr>
          <w:b/>
          <w:sz w:val="24"/>
          <w:szCs w:val="24"/>
        </w:rPr>
      </w:pPr>
    </w:p>
    <w:p w:rsidR="00E22947" w:rsidRDefault="00E22947" w:rsidP="00E22947">
      <w:pPr>
        <w:jc w:val="center"/>
        <w:rPr>
          <w:b/>
          <w:sz w:val="24"/>
          <w:szCs w:val="24"/>
        </w:rPr>
      </w:pPr>
      <w:r w:rsidRPr="00C84483">
        <w:rPr>
          <w:b/>
          <w:sz w:val="24"/>
          <w:szCs w:val="24"/>
        </w:rPr>
        <w:t>for</w:t>
      </w:r>
    </w:p>
    <w:p w:rsidR="00E22947" w:rsidRPr="00C84483" w:rsidRDefault="00E22947" w:rsidP="00E22947">
      <w:pPr>
        <w:jc w:val="center"/>
        <w:rPr>
          <w:b/>
          <w:sz w:val="24"/>
          <w:szCs w:val="24"/>
        </w:rPr>
      </w:pPr>
    </w:p>
    <w:p w:rsidR="00E22947" w:rsidRPr="00C84483" w:rsidRDefault="00E22947" w:rsidP="00E22947">
      <w:pPr>
        <w:jc w:val="center"/>
        <w:rPr>
          <w:b/>
          <w:sz w:val="24"/>
          <w:szCs w:val="24"/>
        </w:rPr>
      </w:pPr>
      <w:proofErr w:type="spellStart"/>
      <w:r>
        <w:rPr>
          <w:b/>
          <w:sz w:val="24"/>
          <w:szCs w:val="24"/>
        </w:rPr>
        <w:t>Fosfomycin</w:t>
      </w:r>
      <w:proofErr w:type="spellEnd"/>
      <w:r>
        <w:rPr>
          <w:b/>
          <w:sz w:val="24"/>
          <w:szCs w:val="24"/>
        </w:rPr>
        <w:t xml:space="preserve"> "</w:t>
      </w:r>
      <w:proofErr w:type="spellStart"/>
      <w:r>
        <w:rPr>
          <w:b/>
          <w:sz w:val="24"/>
          <w:szCs w:val="24"/>
        </w:rPr>
        <w:t>Infectopharm</w:t>
      </w:r>
      <w:proofErr w:type="spellEnd"/>
      <w:r>
        <w:rPr>
          <w:b/>
          <w:sz w:val="24"/>
          <w:szCs w:val="24"/>
        </w:rPr>
        <w:t>", pulver til infusionsvæske, opløsning</w:t>
      </w:r>
    </w:p>
    <w:p w:rsidR="00E22947" w:rsidRPr="00C84483" w:rsidRDefault="00E22947" w:rsidP="00E22947">
      <w:pPr>
        <w:jc w:val="both"/>
        <w:rPr>
          <w:sz w:val="24"/>
          <w:szCs w:val="24"/>
        </w:rPr>
      </w:pPr>
    </w:p>
    <w:p w:rsidR="00E22947" w:rsidRPr="00C84483" w:rsidRDefault="00E22947" w:rsidP="00E22947">
      <w:pPr>
        <w:jc w:val="both"/>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0.</w:t>
      </w:r>
      <w:r w:rsidRPr="00C84483">
        <w:rPr>
          <w:b/>
          <w:sz w:val="24"/>
          <w:szCs w:val="24"/>
        </w:rPr>
        <w:tab/>
        <w:t>D.SP.NR.</w:t>
      </w:r>
    </w:p>
    <w:p w:rsidR="00E22947" w:rsidRPr="00C84483" w:rsidRDefault="00E22947" w:rsidP="00E22947">
      <w:pPr>
        <w:tabs>
          <w:tab w:val="left" w:pos="851"/>
        </w:tabs>
        <w:ind w:left="851"/>
        <w:rPr>
          <w:sz w:val="24"/>
          <w:szCs w:val="24"/>
        </w:rPr>
      </w:pPr>
      <w:r>
        <w:rPr>
          <w:sz w:val="24"/>
          <w:szCs w:val="24"/>
        </w:rPr>
        <w:t>30424</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1.</w:t>
      </w:r>
      <w:r w:rsidRPr="00C84483">
        <w:rPr>
          <w:b/>
          <w:sz w:val="24"/>
          <w:szCs w:val="24"/>
        </w:rPr>
        <w:tab/>
        <w:t>LÆGEMIDLETS NAVN</w:t>
      </w:r>
    </w:p>
    <w:p w:rsidR="00E22947" w:rsidRPr="00C84483" w:rsidRDefault="00E22947" w:rsidP="00E22947">
      <w:pPr>
        <w:tabs>
          <w:tab w:val="left" w:pos="851"/>
        </w:tabs>
        <w:ind w:left="851"/>
        <w:rPr>
          <w:sz w:val="24"/>
          <w:szCs w:val="24"/>
        </w:rPr>
      </w:pPr>
      <w:proofErr w:type="spellStart"/>
      <w:r>
        <w:rPr>
          <w:sz w:val="24"/>
          <w:szCs w:val="24"/>
        </w:rPr>
        <w:t>Fosfomycin</w:t>
      </w:r>
      <w:proofErr w:type="spellEnd"/>
      <w:r>
        <w:rPr>
          <w:sz w:val="24"/>
          <w:szCs w:val="24"/>
        </w:rPr>
        <w:t xml:space="preserve"> "</w:t>
      </w:r>
      <w:proofErr w:type="spellStart"/>
      <w:r>
        <w:rPr>
          <w:sz w:val="24"/>
          <w:szCs w:val="24"/>
        </w:rPr>
        <w:t>Infectopharm</w:t>
      </w:r>
      <w:proofErr w:type="spellEnd"/>
      <w:r>
        <w:rPr>
          <w:sz w:val="24"/>
          <w:szCs w:val="24"/>
        </w:rPr>
        <w:t>"</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22947" w:rsidRDefault="00E22947" w:rsidP="00E22947">
      <w:pPr>
        <w:ind w:left="851"/>
        <w:rPr>
          <w:noProof/>
          <w:sz w:val="24"/>
          <w:szCs w:val="24"/>
          <w:lang w:bidi="ar-QA"/>
        </w:rPr>
      </w:pPr>
      <w:r w:rsidRPr="00614D33">
        <w:rPr>
          <w:noProof/>
          <w:sz w:val="24"/>
          <w:szCs w:val="24"/>
          <w:lang w:bidi="ar-QA"/>
        </w:rPr>
        <w:t xml:space="preserve">Hver ml </w:t>
      </w:r>
      <w:r>
        <w:rPr>
          <w:noProof/>
          <w:sz w:val="24"/>
          <w:szCs w:val="24"/>
          <w:lang w:bidi="ar-QA"/>
        </w:rPr>
        <w:t>infusionsvæske,</w:t>
      </w:r>
      <w:r w:rsidRPr="00614D33">
        <w:rPr>
          <w:noProof/>
          <w:sz w:val="24"/>
          <w:szCs w:val="24"/>
          <w:lang w:bidi="ar-QA"/>
        </w:rPr>
        <w:t xml:space="preserve"> opløsni</w:t>
      </w:r>
      <w:r>
        <w:rPr>
          <w:noProof/>
          <w:sz w:val="24"/>
          <w:szCs w:val="24"/>
          <w:lang w:bidi="ar-QA"/>
        </w:rPr>
        <w:t>ng indeholder 40 mg fosfomycin.</w:t>
      </w:r>
    </w:p>
    <w:p w:rsidR="00E22947" w:rsidRPr="00614D33" w:rsidRDefault="00E22947" w:rsidP="00E22947">
      <w:pPr>
        <w:ind w:left="851"/>
        <w:rPr>
          <w:noProof/>
          <w:sz w:val="24"/>
          <w:szCs w:val="24"/>
          <w:lang w:bidi="ar-QA"/>
        </w:rPr>
      </w:pPr>
    </w:p>
    <w:p w:rsidR="00E22947" w:rsidRDefault="00E22947" w:rsidP="00E22947">
      <w:pPr>
        <w:ind w:left="851"/>
        <w:rPr>
          <w:noProof/>
          <w:sz w:val="24"/>
          <w:szCs w:val="24"/>
          <w:lang w:eastAsia="en-GB" w:bidi="ar-QA"/>
        </w:rPr>
      </w:pPr>
      <w:r w:rsidRPr="00614D33">
        <w:rPr>
          <w:noProof/>
          <w:sz w:val="24"/>
          <w:szCs w:val="24"/>
          <w:lang w:bidi="ar-QA"/>
        </w:rPr>
        <w:t xml:space="preserve">Hver flaske med </w:t>
      </w:r>
      <w:smartTag w:uri="urn:schemas-microsoft-com:office:smarttags" w:element="metricconverter">
        <w:smartTagPr>
          <w:attr w:name="ProductID" w:val="2,69 g"/>
        </w:smartTagPr>
        <w:r w:rsidRPr="00614D33">
          <w:rPr>
            <w:noProof/>
            <w:sz w:val="24"/>
            <w:szCs w:val="24"/>
            <w:lang w:eastAsia="en-GB" w:bidi="ar-QA"/>
          </w:rPr>
          <w:t>2,69 g</w:t>
        </w:r>
      </w:smartTag>
      <w:r w:rsidRPr="00614D33">
        <w:rPr>
          <w:noProof/>
          <w:sz w:val="24"/>
          <w:szCs w:val="24"/>
          <w:lang w:eastAsia="en-GB" w:bidi="ar-QA"/>
        </w:rPr>
        <w:t xml:space="preserve"> pulver indeholder </w:t>
      </w:r>
      <w:smartTag w:uri="urn:schemas-microsoft-com:office:smarttags" w:element="metricconverter">
        <w:smartTagPr>
          <w:attr w:name="ProductID" w:val="2,64 g"/>
        </w:smartTagPr>
        <w:r w:rsidRPr="00614D33">
          <w:rPr>
            <w:noProof/>
            <w:sz w:val="24"/>
            <w:szCs w:val="24"/>
            <w:lang w:eastAsia="en-GB" w:bidi="ar-QA"/>
          </w:rPr>
          <w:t>2,64 g</w:t>
        </w:r>
      </w:smartTag>
      <w:r>
        <w:rPr>
          <w:noProof/>
          <w:sz w:val="24"/>
          <w:szCs w:val="24"/>
          <w:lang w:eastAsia="en-GB" w:bidi="ar-QA"/>
        </w:rPr>
        <w:t xml:space="preserve"> dinatrium</w:t>
      </w:r>
      <w:r w:rsidRPr="00614D33">
        <w:rPr>
          <w:noProof/>
          <w:sz w:val="24"/>
          <w:szCs w:val="24"/>
          <w:lang w:eastAsia="en-GB" w:bidi="ar-QA"/>
        </w:rPr>
        <w:t xml:space="preserve">fosfomycin, svarende til </w:t>
      </w:r>
      <w:smartTag w:uri="urn:schemas-microsoft-com:office:smarttags" w:element="metricconverter">
        <w:smartTagPr>
          <w:attr w:name="ProductID" w:val="2 g"/>
        </w:smartTagPr>
        <w:r w:rsidRPr="00614D33">
          <w:rPr>
            <w:noProof/>
            <w:sz w:val="24"/>
            <w:szCs w:val="24"/>
            <w:lang w:eastAsia="en-GB" w:bidi="ar-QA"/>
          </w:rPr>
          <w:t>2 g</w:t>
        </w:r>
      </w:smartTag>
      <w:r w:rsidRPr="00614D33">
        <w:rPr>
          <w:noProof/>
          <w:sz w:val="24"/>
          <w:szCs w:val="24"/>
          <w:lang w:eastAsia="en-GB" w:bidi="ar-QA"/>
        </w:rPr>
        <w:t xml:space="preserve"> fosfomycin og </w:t>
      </w:r>
      <w:smartTag w:uri="urn:schemas-microsoft-com:office:smarttags" w:element="metricconverter">
        <w:smartTagPr>
          <w:attr w:name="ProductID" w:val="0,64 g"/>
        </w:smartTagPr>
        <w:r w:rsidRPr="00614D33">
          <w:rPr>
            <w:noProof/>
            <w:sz w:val="24"/>
            <w:szCs w:val="24"/>
            <w:lang w:eastAsia="en-GB" w:bidi="ar-QA"/>
          </w:rPr>
          <w:t>0,64 g</w:t>
        </w:r>
      </w:smartTag>
      <w:r w:rsidRPr="00614D33">
        <w:rPr>
          <w:noProof/>
          <w:sz w:val="24"/>
          <w:szCs w:val="24"/>
          <w:lang w:eastAsia="en-GB" w:bidi="ar-QA"/>
        </w:rPr>
        <w:t xml:space="preserve"> natrium, til </w:t>
      </w:r>
      <w:r>
        <w:rPr>
          <w:noProof/>
          <w:sz w:val="24"/>
          <w:szCs w:val="24"/>
          <w:lang w:eastAsia="en-GB" w:bidi="ar-QA"/>
        </w:rPr>
        <w:t>opløsning</w:t>
      </w:r>
      <w:r w:rsidRPr="00614D33">
        <w:rPr>
          <w:noProof/>
          <w:sz w:val="24"/>
          <w:szCs w:val="24"/>
          <w:lang w:eastAsia="en-GB" w:bidi="ar-QA"/>
        </w:rPr>
        <w:t xml:space="preserve"> i 50 ml solvens.</w:t>
      </w:r>
    </w:p>
    <w:p w:rsidR="00E22947" w:rsidRPr="00614D33" w:rsidRDefault="00E22947" w:rsidP="00E22947">
      <w:pPr>
        <w:ind w:left="851"/>
        <w:rPr>
          <w:noProof/>
          <w:sz w:val="24"/>
          <w:szCs w:val="24"/>
          <w:lang w:eastAsia="en-GB" w:bidi="ar-QA"/>
        </w:rPr>
      </w:pPr>
    </w:p>
    <w:p w:rsidR="00E22947" w:rsidRDefault="00E22947" w:rsidP="00E22947">
      <w:pPr>
        <w:ind w:left="851"/>
        <w:rPr>
          <w:sz w:val="24"/>
          <w:szCs w:val="24"/>
          <w:lang w:eastAsia="en-GB"/>
        </w:rPr>
      </w:pPr>
      <w:r w:rsidRPr="00614D33">
        <w:rPr>
          <w:noProof/>
          <w:sz w:val="24"/>
          <w:szCs w:val="24"/>
          <w:lang w:bidi="ar-QA"/>
        </w:rPr>
        <w:t xml:space="preserve">Hver flaske med </w:t>
      </w:r>
      <w:smartTag w:uri="urn:schemas-microsoft-com:office:smarttags" w:element="metricconverter">
        <w:smartTagPr>
          <w:attr w:name="ProductID" w:val="5,38 g"/>
        </w:smartTagPr>
        <w:r w:rsidRPr="00614D33">
          <w:rPr>
            <w:sz w:val="24"/>
            <w:szCs w:val="24"/>
            <w:lang w:eastAsia="en-GB"/>
          </w:rPr>
          <w:t>5,38 g</w:t>
        </w:r>
      </w:smartTag>
      <w:r w:rsidRPr="00614D33">
        <w:rPr>
          <w:sz w:val="24"/>
          <w:szCs w:val="24"/>
          <w:lang w:eastAsia="en-GB"/>
        </w:rPr>
        <w:t xml:space="preserve"> pulver indeholder </w:t>
      </w:r>
      <w:smartTag w:uri="urn:schemas-microsoft-com:office:smarttags" w:element="metricconverter">
        <w:smartTagPr>
          <w:attr w:name="ProductID" w:val="5,28 g"/>
        </w:smartTagPr>
        <w:r w:rsidRPr="00614D33">
          <w:rPr>
            <w:sz w:val="24"/>
            <w:szCs w:val="24"/>
            <w:lang w:eastAsia="en-GB"/>
          </w:rPr>
          <w:t>5,28 g</w:t>
        </w:r>
      </w:smartTag>
      <w:r>
        <w:rPr>
          <w:sz w:val="24"/>
          <w:szCs w:val="24"/>
          <w:lang w:eastAsia="en-GB"/>
        </w:rPr>
        <w:t xml:space="preserve"> </w:t>
      </w:r>
      <w:proofErr w:type="spellStart"/>
      <w:r>
        <w:rPr>
          <w:sz w:val="24"/>
          <w:szCs w:val="24"/>
          <w:lang w:eastAsia="en-GB"/>
        </w:rPr>
        <w:t>dinatrium</w:t>
      </w:r>
      <w:r w:rsidRPr="00614D33">
        <w:rPr>
          <w:sz w:val="24"/>
          <w:szCs w:val="24"/>
          <w:lang w:eastAsia="en-GB"/>
        </w:rPr>
        <w:t>fosfomycin</w:t>
      </w:r>
      <w:proofErr w:type="spellEnd"/>
      <w:r w:rsidRPr="00614D33">
        <w:rPr>
          <w:sz w:val="24"/>
          <w:szCs w:val="24"/>
          <w:lang w:eastAsia="en-GB"/>
        </w:rPr>
        <w:t xml:space="preserve">, svarende til </w:t>
      </w:r>
      <w:smartTag w:uri="urn:schemas-microsoft-com:office:smarttags" w:element="metricconverter">
        <w:smartTagPr>
          <w:attr w:name="ProductID" w:val="8 g"/>
        </w:smartTagPr>
        <w:r w:rsidRPr="00614D33">
          <w:rPr>
            <w:sz w:val="24"/>
            <w:szCs w:val="24"/>
            <w:lang w:eastAsia="en-GB"/>
          </w:rPr>
          <w:t>4 g</w:t>
        </w:r>
      </w:smartTag>
      <w:r w:rsidRPr="00614D33">
        <w:rPr>
          <w:sz w:val="24"/>
          <w:szCs w:val="24"/>
          <w:lang w:eastAsia="en-GB"/>
        </w:rPr>
        <w:t xml:space="preserve"> </w:t>
      </w:r>
      <w:proofErr w:type="spellStart"/>
      <w:r w:rsidRPr="00614D33">
        <w:rPr>
          <w:sz w:val="24"/>
          <w:szCs w:val="24"/>
          <w:lang w:eastAsia="en-GB"/>
        </w:rPr>
        <w:t>fosfomycin</w:t>
      </w:r>
      <w:proofErr w:type="spellEnd"/>
      <w:r w:rsidRPr="00614D33">
        <w:rPr>
          <w:sz w:val="24"/>
          <w:szCs w:val="24"/>
          <w:lang w:eastAsia="en-GB"/>
        </w:rPr>
        <w:t xml:space="preserve"> og </w:t>
      </w:r>
      <w:smartTag w:uri="urn:schemas-microsoft-com:office:smarttags" w:element="metricconverter">
        <w:smartTagPr>
          <w:attr w:name="ProductID" w:val="1,28 g"/>
        </w:smartTagPr>
        <w:r w:rsidRPr="00614D33">
          <w:rPr>
            <w:sz w:val="24"/>
            <w:szCs w:val="24"/>
            <w:lang w:eastAsia="en-GB"/>
          </w:rPr>
          <w:t>1,28 g</w:t>
        </w:r>
      </w:smartTag>
      <w:r w:rsidRPr="00614D33">
        <w:rPr>
          <w:sz w:val="24"/>
          <w:szCs w:val="24"/>
          <w:lang w:eastAsia="en-GB"/>
        </w:rPr>
        <w:t xml:space="preserve"> natrium, til </w:t>
      </w:r>
      <w:r>
        <w:rPr>
          <w:sz w:val="24"/>
          <w:szCs w:val="24"/>
          <w:lang w:eastAsia="en-GB"/>
        </w:rPr>
        <w:t>opløsning</w:t>
      </w:r>
      <w:r w:rsidRPr="00614D33">
        <w:rPr>
          <w:sz w:val="24"/>
          <w:szCs w:val="24"/>
          <w:lang w:eastAsia="en-GB"/>
        </w:rPr>
        <w:t xml:space="preserve"> i 100 ml solvens.</w:t>
      </w:r>
    </w:p>
    <w:p w:rsidR="00E22947" w:rsidRPr="00614D33" w:rsidRDefault="00E22947" w:rsidP="00E22947">
      <w:pPr>
        <w:ind w:left="851"/>
        <w:rPr>
          <w:sz w:val="24"/>
          <w:szCs w:val="24"/>
          <w:lang w:eastAsia="en-GB"/>
        </w:rPr>
      </w:pPr>
    </w:p>
    <w:p w:rsidR="00E22947" w:rsidRPr="00614D33" w:rsidRDefault="00E22947" w:rsidP="00E22947">
      <w:pPr>
        <w:ind w:left="851"/>
        <w:rPr>
          <w:noProof/>
          <w:sz w:val="24"/>
          <w:szCs w:val="24"/>
          <w:lang w:bidi="ar-QA"/>
        </w:rPr>
      </w:pPr>
      <w:r w:rsidRPr="00614D33">
        <w:rPr>
          <w:noProof/>
          <w:sz w:val="24"/>
          <w:szCs w:val="24"/>
          <w:lang w:bidi="ar-QA"/>
        </w:rPr>
        <w:t>Hver flaske med 10,76 g pulv</w:t>
      </w:r>
      <w:r>
        <w:rPr>
          <w:noProof/>
          <w:sz w:val="24"/>
          <w:szCs w:val="24"/>
          <w:lang w:bidi="ar-QA"/>
        </w:rPr>
        <w:t>er indeholder 10,56 g dinatrium</w:t>
      </w:r>
      <w:r w:rsidRPr="00614D33">
        <w:rPr>
          <w:noProof/>
          <w:sz w:val="24"/>
          <w:szCs w:val="24"/>
          <w:lang w:bidi="ar-QA"/>
        </w:rPr>
        <w:t>fosfomycin, svarende til</w:t>
      </w:r>
      <w:r>
        <w:rPr>
          <w:noProof/>
          <w:sz w:val="24"/>
          <w:szCs w:val="24"/>
          <w:lang w:bidi="ar-QA"/>
        </w:rPr>
        <w:t xml:space="preserve"> </w:t>
      </w:r>
      <w:smartTag w:uri="urn:schemas-microsoft-com:office:smarttags" w:element="metricconverter">
        <w:smartTagPr>
          <w:attr w:name="ProductID" w:val="8ﾠg"/>
        </w:smartTagPr>
        <w:r w:rsidRPr="00614D33">
          <w:rPr>
            <w:noProof/>
            <w:sz w:val="24"/>
            <w:szCs w:val="24"/>
            <w:lang w:bidi="ar-QA"/>
          </w:rPr>
          <w:t>8 g</w:t>
        </w:r>
      </w:smartTag>
      <w:r w:rsidRPr="00614D33">
        <w:rPr>
          <w:noProof/>
          <w:sz w:val="24"/>
          <w:szCs w:val="24"/>
          <w:lang w:bidi="ar-QA"/>
        </w:rPr>
        <w:t xml:space="preserve"> fosfomycin og </w:t>
      </w:r>
      <w:smartTag w:uri="urn:schemas-microsoft-com:office:smarttags" w:element="metricconverter">
        <w:smartTagPr>
          <w:attr w:name="ProductID" w:val="2,56 g"/>
        </w:smartTagPr>
        <w:r w:rsidRPr="00614D33">
          <w:rPr>
            <w:noProof/>
            <w:sz w:val="24"/>
            <w:szCs w:val="24"/>
            <w:lang w:bidi="ar-QA"/>
          </w:rPr>
          <w:t>2,56 g</w:t>
        </w:r>
      </w:smartTag>
      <w:r w:rsidRPr="00614D33">
        <w:rPr>
          <w:noProof/>
          <w:sz w:val="24"/>
          <w:szCs w:val="24"/>
          <w:lang w:bidi="ar-QA"/>
        </w:rPr>
        <w:t xml:space="preserve"> natrium, til </w:t>
      </w:r>
      <w:r>
        <w:rPr>
          <w:noProof/>
          <w:sz w:val="24"/>
          <w:szCs w:val="24"/>
          <w:lang w:bidi="ar-QA"/>
        </w:rPr>
        <w:t>opløsning</w:t>
      </w:r>
      <w:r w:rsidRPr="00614D33">
        <w:rPr>
          <w:noProof/>
          <w:sz w:val="24"/>
          <w:szCs w:val="24"/>
          <w:lang w:bidi="ar-QA"/>
        </w:rPr>
        <w:t xml:space="preserve"> i 200 ml solvens.</w:t>
      </w:r>
    </w:p>
    <w:p w:rsidR="00E22947" w:rsidRPr="00614D33" w:rsidRDefault="00E22947" w:rsidP="00E22947">
      <w:pPr>
        <w:tabs>
          <w:tab w:val="left" w:pos="-720"/>
        </w:tabs>
        <w:suppressAutoHyphens/>
        <w:ind w:left="851"/>
        <w:rPr>
          <w:sz w:val="24"/>
          <w:szCs w:val="24"/>
          <w:lang w:eastAsia="en-GB"/>
        </w:rPr>
      </w:pPr>
    </w:p>
    <w:p w:rsidR="00E22947" w:rsidRPr="00C84483" w:rsidRDefault="00E22947" w:rsidP="00E22947">
      <w:pPr>
        <w:ind w:left="851"/>
        <w:rPr>
          <w:sz w:val="24"/>
          <w:szCs w:val="24"/>
          <w:lang w:eastAsia="sv-SE"/>
        </w:rPr>
      </w:pPr>
      <w:r w:rsidRPr="00614D33">
        <w:rPr>
          <w:sz w:val="24"/>
          <w:szCs w:val="24"/>
          <w:lang w:eastAsia="en-GB"/>
        </w:rPr>
        <w:t>Alle hjælpestoffer er anført under pkt. 6.1.</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3.</w:t>
      </w:r>
      <w:r w:rsidRPr="00C84483">
        <w:rPr>
          <w:b/>
          <w:sz w:val="24"/>
          <w:szCs w:val="24"/>
        </w:rPr>
        <w:tab/>
        <w:t>LÆGEMIDDELFORM</w:t>
      </w:r>
    </w:p>
    <w:p w:rsidR="00E22947" w:rsidRDefault="00E22947" w:rsidP="00E22947">
      <w:pPr>
        <w:ind w:left="851"/>
        <w:rPr>
          <w:noProof/>
          <w:spacing w:val="-3"/>
          <w:lang w:bidi="ar-QA"/>
        </w:rPr>
      </w:pPr>
      <w:r w:rsidRPr="004C67F1">
        <w:rPr>
          <w:noProof/>
          <w:spacing w:val="-3"/>
          <w:lang w:bidi="ar-QA"/>
        </w:rPr>
        <w:t xml:space="preserve">Pulver </w:t>
      </w:r>
      <w:r w:rsidRPr="0002330E">
        <w:rPr>
          <w:rStyle w:val="st"/>
          <w:sz w:val="24"/>
          <w:szCs w:val="24"/>
        </w:rPr>
        <w:t>til</w:t>
      </w:r>
      <w:r w:rsidRPr="004C67F1">
        <w:rPr>
          <w:rStyle w:val="st"/>
          <w:sz w:val="24"/>
          <w:szCs w:val="24"/>
        </w:rPr>
        <w:t xml:space="preserve"> </w:t>
      </w:r>
      <w:r w:rsidRPr="0002330E">
        <w:rPr>
          <w:rStyle w:val="Fremhv"/>
          <w:sz w:val="24"/>
          <w:szCs w:val="24"/>
        </w:rPr>
        <w:t>infusion</w:t>
      </w:r>
      <w:r w:rsidRPr="0002330E">
        <w:rPr>
          <w:rStyle w:val="st"/>
          <w:sz w:val="24"/>
          <w:szCs w:val="24"/>
        </w:rPr>
        <w:t>svæske</w:t>
      </w:r>
      <w:r>
        <w:rPr>
          <w:rStyle w:val="st"/>
          <w:sz w:val="24"/>
          <w:szCs w:val="24"/>
        </w:rPr>
        <w:t>,</w:t>
      </w:r>
      <w:r w:rsidRPr="004C67F1">
        <w:rPr>
          <w:rStyle w:val="st"/>
          <w:sz w:val="24"/>
          <w:szCs w:val="24"/>
        </w:rPr>
        <w:t xml:space="preserve"> </w:t>
      </w:r>
      <w:r w:rsidRPr="004C67F1">
        <w:rPr>
          <w:rStyle w:val="Fremhv"/>
          <w:sz w:val="24"/>
          <w:szCs w:val="24"/>
        </w:rPr>
        <w:t>opløsning</w:t>
      </w:r>
    </w:p>
    <w:p w:rsidR="00E22947" w:rsidRPr="004C67F1" w:rsidRDefault="00E22947" w:rsidP="00E22947">
      <w:pPr>
        <w:ind w:left="851"/>
        <w:rPr>
          <w:noProof/>
          <w:spacing w:val="-3"/>
          <w:lang w:bidi="ar-QA"/>
        </w:rPr>
      </w:pPr>
    </w:p>
    <w:p w:rsidR="00E22947" w:rsidRPr="0002330E" w:rsidRDefault="00E22947" w:rsidP="00E22947">
      <w:pPr>
        <w:pStyle w:val="Normalindrykning"/>
        <w:spacing w:after="0"/>
        <w:ind w:left="851"/>
        <w:rPr>
          <w:sz w:val="24"/>
          <w:szCs w:val="24"/>
          <w:lang w:val="da-DK" w:bidi="ar-QA"/>
        </w:rPr>
      </w:pPr>
      <w:r w:rsidRPr="008C2513">
        <w:rPr>
          <w:noProof/>
          <w:spacing w:val="-3"/>
          <w:sz w:val="24"/>
          <w:szCs w:val="24"/>
          <w:lang w:val="da-DK" w:eastAsia="en-US" w:bidi="ar-QA"/>
        </w:rPr>
        <w:t>Hvidt og cremefarvet pulver.</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4.</w:t>
      </w:r>
      <w:r w:rsidRPr="00C84483">
        <w:rPr>
          <w:b/>
          <w:sz w:val="24"/>
          <w:szCs w:val="24"/>
        </w:rPr>
        <w:tab/>
        <w:t>KLINISKE OPLYSNINGER</w:t>
      </w:r>
    </w:p>
    <w:p w:rsidR="00E22947" w:rsidRPr="00C84483" w:rsidRDefault="00E22947" w:rsidP="00E22947">
      <w:pPr>
        <w:tabs>
          <w:tab w:val="left" w:pos="851"/>
        </w:tabs>
        <w:ind w:left="851"/>
        <w:rPr>
          <w:b/>
          <w:sz w:val="24"/>
          <w:szCs w:val="24"/>
        </w:rPr>
      </w:pPr>
    </w:p>
    <w:p w:rsidR="00E22947" w:rsidRPr="00C84483" w:rsidRDefault="00E22947" w:rsidP="00E2294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675F0" w:rsidRPr="009675F0" w:rsidRDefault="009675F0" w:rsidP="009675F0">
      <w:pPr>
        <w:spacing w:after="140" w:line="280" w:lineRule="atLeast"/>
        <w:ind w:left="851"/>
        <w:rPr>
          <w:rFonts w:eastAsia="Verdana"/>
          <w:sz w:val="24"/>
          <w:szCs w:val="24"/>
          <w:lang w:eastAsia="en-GB"/>
        </w:rPr>
      </w:pPr>
      <w:proofErr w:type="spellStart"/>
      <w:r w:rsidRPr="009675F0">
        <w:rPr>
          <w:rFonts w:eastAsia="Verdana"/>
          <w:sz w:val="24"/>
          <w:szCs w:val="24"/>
          <w:lang w:eastAsia="en-GB"/>
        </w:rPr>
        <w:t>Fosfomycin</w:t>
      </w:r>
      <w:proofErr w:type="spellEnd"/>
      <w:r w:rsidRPr="009675F0">
        <w:rPr>
          <w:rFonts w:eastAsia="Verdana"/>
          <w:sz w:val="24"/>
          <w:szCs w:val="24"/>
          <w:lang w:eastAsia="en-GB"/>
        </w:rPr>
        <w:t xml:space="preserve"> </w:t>
      </w:r>
      <w:r w:rsidRPr="009675F0">
        <w:rPr>
          <w:sz w:val="24"/>
          <w:szCs w:val="24"/>
        </w:rPr>
        <w:t>"</w:t>
      </w:r>
      <w:proofErr w:type="spellStart"/>
      <w:r w:rsidRPr="009675F0">
        <w:rPr>
          <w:sz w:val="24"/>
          <w:szCs w:val="24"/>
        </w:rPr>
        <w:t>Infectopharm"</w:t>
      </w:r>
      <w:r w:rsidRPr="009675F0">
        <w:rPr>
          <w:rFonts w:eastAsia="Verdana"/>
          <w:sz w:val="24"/>
          <w:szCs w:val="24"/>
          <w:lang w:eastAsia="en-GB"/>
        </w:rPr>
        <w:t>er</w:t>
      </w:r>
      <w:proofErr w:type="spellEnd"/>
      <w:r w:rsidRPr="009675F0">
        <w:rPr>
          <w:rFonts w:eastAsia="Verdana"/>
          <w:sz w:val="24"/>
          <w:szCs w:val="24"/>
          <w:lang w:eastAsia="en-GB"/>
        </w:rPr>
        <w:t xml:space="preserve"> indiceret hos alle aldersgrupper til behandling af følgende infektioner, når det betragtes som værende uhensigtsmæssigt at bruge antibakterielle midler, som almindeligvis er anbefalet som indledende behandling af disse infektioner (se pkt. 4.2, 4.4 og 5.1):</w:t>
      </w:r>
    </w:p>
    <w:p w:rsidR="009675F0" w:rsidRPr="009675F0" w:rsidRDefault="009675F0" w:rsidP="009675F0">
      <w:pPr>
        <w:numPr>
          <w:ilvl w:val="0"/>
          <w:numId w:val="6"/>
        </w:numPr>
        <w:tabs>
          <w:tab w:val="left" w:pos="567"/>
        </w:tabs>
        <w:spacing w:line="280" w:lineRule="atLeast"/>
        <w:ind w:left="851" w:firstLine="0"/>
        <w:rPr>
          <w:rFonts w:eastAsia="Verdana"/>
          <w:sz w:val="24"/>
          <w:szCs w:val="24"/>
          <w:lang w:eastAsia="en-GB"/>
        </w:rPr>
      </w:pPr>
      <w:r w:rsidRPr="009675F0">
        <w:rPr>
          <w:rFonts w:eastAsia="Verdana"/>
          <w:sz w:val="24"/>
          <w:szCs w:val="24"/>
          <w:lang w:eastAsia="en-GB"/>
        </w:rPr>
        <w:t>komplicerede urinvejsinfektioner</w:t>
      </w:r>
      <w:r w:rsidRPr="009675F0">
        <w:rPr>
          <w:rFonts w:eastAsia="Verdana"/>
          <w:strike/>
          <w:sz w:val="24"/>
          <w:szCs w:val="24"/>
          <w:lang w:eastAsia="en-GB"/>
        </w:rPr>
        <w:t xml:space="preserve"> </w:t>
      </w:r>
    </w:p>
    <w:p w:rsidR="009675F0" w:rsidRPr="009675F0" w:rsidRDefault="009675F0" w:rsidP="009675F0">
      <w:pPr>
        <w:numPr>
          <w:ilvl w:val="0"/>
          <w:numId w:val="6"/>
        </w:numPr>
        <w:tabs>
          <w:tab w:val="left" w:pos="567"/>
        </w:tabs>
        <w:spacing w:line="280" w:lineRule="atLeast"/>
        <w:ind w:left="851" w:firstLine="0"/>
        <w:rPr>
          <w:rFonts w:eastAsia="Verdana"/>
          <w:sz w:val="24"/>
          <w:szCs w:val="24"/>
          <w:lang w:eastAsia="en-GB"/>
        </w:rPr>
      </w:pPr>
      <w:proofErr w:type="spellStart"/>
      <w:r w:rsidRPr="009675F0">
        <w:rPr>
          <w:sz w:val="24"/>
          <w:szCs w:val="24"/>
        </w:rPr>
        <w:lastRenderedPageBreak/>
        <w:t>infektiv</w:t>
      </w:r>
      <w:proofErr w:type="spellEnd"/>
      <w:r w:rsidRPr="009675F0">
        <w:rPr>
          <w:sz w:val="24"/>
          <w:szCs w:val="24"/>
        </w:rPr>
        <w:t xml:space="preserve"> </w:t>
      </w:r>
      <w:proofErr w:type="spellStart"/>
      <w:r w:rsidRPr="009675F0">
        <w:rPr>
          <w:sz w:val="24"/>
          <w:szCs w:val="24"/>
        </w:rPr>
        <w:t>endocarditis</w:t>
      </w:r>
      <w:proofErr w:type="spellEnd"/>
    </w:p>
    <w:p w:rsidR="009675F0" w:rsidRPr="009675F0" w:rsidRDefault="009675F0" w:rsidP="009675F0">
      <w:pPr>
        <w:numPr>
          <w:ilvl w:val="0"/>
          <w:numId w:val="6"/>
        </w:numPr>
        <w:tabs>
          <w:tab w:val="left" w:pos="567"/>
        </w:tabs>
        <w:spacing w:line="280" w:lineRule="atLeast"/>
        <w:ind w:left="851" w:firstLine="0"/>
        <w:rPr>
          <w:rFonts w:eastAsia="Verdana"/>
          <w:sz w:val="24"/>
          <w:szCs w:val="24"/>
          <w:lang w:eastAsia="en-GB"/>
        </w:rPr>
      </w:pPr>
      <w:r w:rsidRPr="009675F0">
        <w:rPr>
          <w:rFonts w:eastAsia="Verdana"/>
          <w:sz w:val="24"/>
          <w:szCs w:val="24"/>
          <w:lang w:eastAsia="en-GB"/>
        </w:rPr>
        <w:t>infektioner i knogler og led</w:t>
      </w:r>
    </w:p>
    <w:p w:rsidR="009675F0" w:rsidRPr="009675F0" w:rsidRDefault="009675F0" w:rsidP="009675F0">
      <w:pPr>
        <w:numPr>
          <w:ilvl w:val="0"/>
          <w:numId w:val="6"/>
        </w:numPr>
        <w:tabs>
          <w:tab w:val="left" w:pos="567"/>
        </w:tabs>
        <w:spacing w:line="280" w:lineRule="atLeast"/>
        <w:ind w:left="851" w:firstLine="0"/>
        <w:rPr>
          <w:rFonts w:eastAsia="Verdana"/>
          <w:sz w:val="24"/>
          <w:szCs w:val="24"/>
          <w:lang w:eastAsia="en-GB"/>
        </w:rPr>
      </w:pPr>
      <w:r w:rsidRPr="009675F0">
        <w:rPr>
          <w:rFonts w:eastAsia="Verdana"/>
          <w:sz w:val="24"/>
          <w:szCs w:val="24"/>
          <w:lang w:eastAsia="en-GB"/>
        </w:rPr>
        <w:t>hospitalserhvervet lungebetændelse, herunder respiratorrelateret lungebetændelse</w:t>
      </w:r>
    </w:p>
    <w:p w:rsidR="009675F0" w:rsidRPr="009675F0" w:rsidRDefault="009675F0" w:rsidP="009675F0">
      <w:pPr>
        <w:numPr>
          <w:ilvl w:val="0"/>
          <w:numId w:val="6"/>
        </w:numPr>
        <w:tabs>
          <w:tab w:val="left" w:pos="567"/>
        </w:tabs>
        <w:spacing w:line="280" w:lineRule="atLeast"/>
        <w:ind w:left="851" w:firstLine="0"/>
        <w:rPr>
          <w:rFonts w:eastAsia="Verdana"/>
          <w:sz w:val="24"/>
          <w:szCs w:val="24"/>
          <w:lang w:eastAsia="en-GB"/>
        </w:rPr>
      </w:pPr>
      <w:r w:rsidRPr="009675F0">
        <w:rPr>
          <w:sz w:val="24"/>
          <w:szCs w:val="24"/>
        </w:rPr>
        <w:t>komplicerede infektioner i hud og bløddele</w:t>
      </w:r>
    </w:p>
    <w:p w:rsidR="009675F0" w:rsidRPr="009675F0" w:rsidRDefault="009675F0" w:rsidP="009675F0">
      <w:pPr>
        <w:numPr>
          <w:ilvl w:val="0"/>
          <w:numId w:val="6"/>
        </w:numPr>
        <w:tabs>
          <w:tab w:val="left" w:pos="567"/>
        </w:tabs>
        <w:spacing w:line="280" w:lineRule="atLeast"/>
        <w:ind w:left="851" w:firstLine="0"/>
        <w:rPr>
          <w:rFonts w:eastAsia="Verdana"/>
          <w:sz w:val="24"/>
          <w:szCs w:val="24"/>
          <w:lang w:eastAsia="en-GB"/>
        </w:rPr>
      </w:pPr>
      <w:r w:rsidRPr="009675F0">
        <w:rPr>
          <w:rFonts w:eastAsia="Verdana"/>
          <w:sz w:val="24"/>
          <w:szCs w:val="24"/>
          <w:lang w:eastAsia="en-GB"/>
        </w:rPr>
        <w:t>bakteriel meningitis</w:t>
      </w:r>
    </w:p>
    <w:p w:rsidR="009675F0" w:rsidRPr="009675F0" w:rsidRDefault="009675F0" w:rsidP="009675F0">
      <w:pPr>
        <w:numPr>
          <w:ilvl w:val="0"/>
          <w:numId w:val="6"/>
        </w:numPr>
        <w:tabs>
          <w:tab w:val="left" w:pos="567"/>
        </w:tabs>
        <w:spacing w:line="280" w:lineRule="atLeast"/>
        <w:ind w:left="851" w:firstLine="0"/>
        <w:rPr>
          <w:rFonts w:eastAsia="Verdana"/>
          <w:sz w:val="24"/>
          <w:szCs w:val="24"/>
          <w:lang w:eastAsia="en-GB"/>
        </w:rPr>
      </w:pPr>
      <w:r w:rsidRPr="009675F0">
        <w:rPr>
          <w:sz w:val="24"/>
          <w:szCs w:val="24"/>
        </w:rPr>
        <w:t xml:space="preserve">komplicerede </w:t>
      </w:r>
      <w:proofErr w:type="spellStart"/>
      <w:r w:rsidRPr="009675F0">
        <w:rPr>
          <w:sz w:val="24"/>
          <w:szCs w:val="24"/>
        </w:rPr>
        <w:t>intraabdominale</w:t>
      </w:r>
      <w:proofErr w:type="spellEnd"/>
      <w:r w:rsidRPr="009675F0">
        <w:rPr>
          <w:sz w:val="24"/>
          <w:szCs w:val="24"/>
        </w:rPr>
        <w:t xml:space="preserve"> infektioner</w:t>
      </w:r>
    </w:p>
    <w:p w:rsidR="009675F0" w:rsidRPr="009675F0" w:rsidRDefault="009675F0" w:rsidP="009675F0">
      <w:pPr>
        <w:numPr>
          <w:ilvl w:val="0"/>
          <w:numId w:val="6"/>
        </w:numPr>
        <w:tabs>
          <w:tab w:val="left" w:pos="567"/>
        </w:tabs>
        <w:spacing w:line="280" w:lineRule="atLeast"/>
        <w:ind w:left="1304" w:hanging="453"/>
        <w:rPr>
          <w:rFonts w:eastAsia="Verdana"/>
          <w:sz w:val="24"/>
          <w:szCs w:val="24"/>
          <w:lang w:eastAsia="en-GB"/>
        </w:rPr>
      </w:pPr>
      <w:proofErr w:type="spellStart"/>
      <w:r w:rsidRPr="009675F0">
        <w:rPr>
          <w:rFonts w:eastAsia="Verdana"/>
          <w:sz w:val="24"/>
          <w:szCs w:val="24"/>
          <w:lang w:eastAsia="en-GB"/>
        </w:rPr>
        <w:t>bakteriæmi</w:t>
      </w:r>
      <w:proofErr w:type="spellEnd"/>
      <w:r w:rsidRPr="009675F0">
        <w:rPr>
          <w:rFonts w:eastAsia="Verdana"/>
          <w:sz w:val="24"/>
          <w:szCs w:val="24"/>
          <w:lang w:eastAsia="en-GB"/>
        </w:rPr>
        <w:t>, der forekommer i forbindelse med, eller mistænkes at være forbundet med nogen af ovenstående infektioner</w:t>
      </w:r>
    </w:p>
    <w:p w:rsidR="009675F0" w:rsidRPr="009675F0" w:rsidRDefault="009675F0" w:rsidP="009675F0">
      <w:pPr>
        <w:tabs>
          <w:tab w:val="left" w:pos="567"/>
        </w:tabs>
        <w:spacing w:line="280" w:lineRule="atLeast"/>
        <w:ind w:left="851"/>
        <w:rPr>
          <w:rFonts w:eastAsia="Verdana"/>
          <w:sz w:val="24"/>
          <w:szCs w:val="24"/>
          <w:lang w:eastAsia="en-GB"/>
        </w:rPr>
      </w:pPr>
    </w:p>
    <w:p w:rsidR="009675F0" w:rsidRPr="009675F0" w:rsidRDefault="009675F0" w:rsidP="009675F0">
      <w:pPr>
        <w:tabs>
          <w:tab w:val="left" w:pos="567"/>
        </w:tabs>
        <w:ind w:left="851"/>
        <w:rPr>
          <w:snapToGrid w:val="0"/>
          <w:color w:val="000000"/>
          <w:sz w:val="24"/>
          <w:szCs w:val="24"/>
          <w:lang w:bidi="ar-QA"/>
        </w:rPr>
      </w:pPr>
      <w:r w:rsidRPr="009675F0">
        <w:rPr>
          <w:rFonts w:eastAsia="SimSun"/>
          <w:sz w:val="24"/>
          <w:szCs w:val="24"/>
          <w:lang w:eastAsia="zh-CN"/>
        </w:rPr>
        <w:t>Der bør tages hensyn til officielle retningslinjer vedrørende korrekt brug af antibakterielle midler.</w:t>
      </w:r>
    </w:p>
    <w:p w:rsidR="00E22947" w:rsidRPr="00C84483" w:rsidRDefault="00E22947" w:rsidP="00E22947">
      <w:pPr>
        <w:tabs>
          <w:tab w:val="left" w:pos="851"/>
        </w:tabs>
        <w:ind w:left="851"/>
        <w:rPr>
          <w:sz w:val="24"/>
          <w:szCs w:val="24"/>
        </w:rPr>
      </w:pPr>
    </w:p>
    <w:p w:rsidR="00F21F4A" w:rsidRPr="00F21F4A" w:rsidRDefault="00E22947" w:rsidP="00F21F4A">
      <w:pPr>
        <w:pStyle w:val="BodytextAgency"/>
        <w:tabs>
          <w:tab w:val="left" w:pos="851"/>
        </w:tabs>
        <w:spacing w:after="0" w:line="240" w:lineRule="auto"/>
        <w:rPr>
          <w:rFonts w:ascii="Times New Roman" w:hAnsi="Times New Roman" w:cs="Times New Roman"/>
          <w:b/>
          <w:sz w:val="24"/>
          <w:szCs w:val="24"/>
        </w:rPr>
      </w:pPr>
      <w:r w:rsidRPr="00F21F4A">
        <w:rPr>
          <w:rFonts w:ascii="Times New Roman" w:hAnsi="Times New Roman" w:cs="Times New Roman"/>
          <w:b/>
          <w:sz w:val="24"/>
          <w:szCs w:val="24"/>
        </w:rPr>
        <w:t>4.2</w:t>
      </w:r>
      <w:r w:rsidRPr="00F21F4A">
        <w:rPr>
          <w:rFonts w:ascii="Times New Roman" w:hAnsi="Times New Roman" w:cs="Times New Roman"/>
          <w:b/>
          <w:sz w:val="24"/>
          <w:szCs w:val="24"/>
        </w:rPr>
        <w:tab/>
        <w:t xml:space="preserve">Dosering og </w:t>
      </w:r>
      <w:r w:rsidR="00D7645D">
        <w:rPr>
          <w:rFonts w:ascii="Times New Roman" w:hAnsi="Times New Roman" w:cs="Times New Roman"/>
          <w:b/>
          <w:sz w:val="24"/>
          <w:szCs w:val="24"/>
        </w:rPr>
        <w:t>administration</w:t>
      </w:r>
    </w:p>
    <w:p w:rsidR="00F21F4A" w:rsidRPr="00F21F4A" w:rsidRDefault="00F21F4A" w:rsidP="00F21F4A">
      <w:pPr>
        <w:pStyle w:val="BodytextAgency"/>
        <w:spacing w:after="0" w:line="240" w:lineRule="auto"/>
        <w:ind w:left="851"/>
        <w:rPr>
          <w:rFonts w:ascii="Times New Roman" w:hAnsi="Times New Roman" w:cs="Times New Roman"/>
          <w:sz w:val="24"/>
          <w:szCs w:val="24"/>
        </w:rPr>
      </w:pPr>
      <w:r w:rsidRPr="00F21F4A">
        <w:rPr>
          <w:rFonts w:ascii="Times New Roman" w:hAnsi="Times New Roman" w:cs="Times New Roman"/>
          <w:sz w:val="24"/>
          <w:szCs w:val="24"/>
          <w:u w:val="single"/>
        </w:rPr>
        <w:t>Dosering</w:t>
      </w:r>
    </w:p>
    <w:p w:rsidR="00F21F4A" w:rsidRDefault="00F21F4A" w:rsidP="00F21F4A">
      <w:pPr>
        <w:ind w:left="851"/>
        <w:rPr>
          <w:rFonts w:eastAsia="Verdana"/>
          <w:sz w:val="24"/>
          <w:szCs w:val="24"/>
          <w:lang w:eastAsia="en-GB"/>
        </w:rPr>
      </w:pPr>
      <w:r w:rsidRPr="00F21F4A">
        <w:rPr>
          <w:rFonts w:eastAsia="Verdana"/>
          <w:sz w:val="24"/>
          <w:szCs w:val="24"/>
          <w:lang w:eastAsia="en-GB"/>
        </w:rPr>
        <w:t xml:space="preserve">Den daglige dosis </w:t>
      </w:r>
      <w:proofErr w:type="spellStart"/>
      <w:r w:rsidRPr="00F21F4A">
        <w:rPr>
          <w:rFonts w:eastAsia="Verdana"/>
          <w:sz w:val="24"/>
          <w:szCs w:val="24"/>
          <w:lang w:eastAsia="en-GB"/>
        </w:rPr>
        <w:t>fosfomycin</w:t>
      </w:r>
      <w:proofErr w:type="spellEnd"/>
      <w:r w:rsidRPr="00F21F4A">
        <w:rPr>
          <w:rFonts w:eastAsia="Verdana"/>
          <w:sz w:val="24"/>
          <w:szCs w:val="24"/>
          <w:lang w:eastAsia="en-GB"/>
        </w:rPr>
        <w:t xml:space="preserve"> bestemmes ud fra indikationen, sværhedsgraden og infektionsstedet, </w:t>
      </w:r>
      <w:proofErr w:type="spellStart"/>
      <w:r w:rsidRPr="00F21F4A">
        <w:rPr>
          <w:rFonts w:eastAsia="Verdana"/>
          <w:sz w:val="24"/>
          <w:szCs w:val="24"/>
          <w:lang w:eastAsia="en-GB"/>
        </w:rPr>
        <w:t>patogenets</w:t>
      </w:r>
      <w:proofErr w:type="spellEnd"/>
      <w:r w:rsidRPr="00F21F4A">
        <w:rPr>
          <w:rFonts w:eastAsia="Verdana"/>
          <w:sz w:val="24"/>
          <w:szCs w:val="24"/>
          <w:lang w:eastAsia="en-GB"/>
        </w:rPr>
        <w:t>/</w:t>
      </w:r>
      <w:proofErr w:type="spellStart"/>
      <w:r w:rsidRPr="00F21F4A">
        <w:rPr>
          <w:rFonts w:eastAsia="Verdana"/>
          <w:sz w:val="24"/>
          <w:szCs w:val="24"/>
          <w:lang w:eastAsia="en-GB"/>
        </w:rPr>
        <w:t>patogenernes</w:t>
      </w:r>
      <w:proofErr w:type="spellEnd"/>
      <w:r w:rsidRPr="00F21F4A">
        <w:rPr>
          <w:rFonts w:eastAsia="Verdana"/>
          <w:sz w:val="24"/>
          <w:szCs w:val="24"/>
          <w:lang w:eastAsia="en-GB"/>
        </w:rPr>
        <w:t xml:space="preserve"> følsomhed over for </w:t>
      </w:r>
      <w:proofErr w:type="spellStart"/>
      <w:r w:rsidRPr="00F21F4A">
        <w:rPr>
          <w:rFonts w:eastAsia="Verdana"/>
          <w:sz w:val="24"/>
          <w:szCs w:val="24"/>
          <w:lang w:eastAsia="en-GB"/>
        </w:rPr>
        <w:t>fosfomycin</w:t>
      </w:r>
      <w:proofErr w:type="spellEnd"/>
      <w:r w:rsidRPr="00F21F4A">
        <w:rPr>
          <w:rFonts w:eastAsia="Verdana"/>
          <w:sz w:val="24"/>
          <w:szCs w:val="24"/>
          <w:lang w:eastAsia="en-GB"/>
        </w:rPr>
        <w:t xml:space="preserve"> og nyrefunktionen. Hos børn afhænger det endvidere af alder og kropsvægt.</w:t>
      </w:r>
    </w:p>
    <w:p w:rsidR="00F21F4A" w:rsidRPr="00F21F4A" w:rsidRDefault="00F21F4A" w:rsidP="00F21F4A">
      <w:pPr>
        <w:ind w:left="851"/>
        <w:rPr>
          <w:rFonts w:eastAsia="Verdana"/>
          <w:sz w:val="24"/>
          <w:szCs w:val="24"/>
          <w:lang w:eastAsia="en-GB"/>
        </w:rPr>
      </w:pPr>
    </w:p>
    <w:p w:rsidR="00F21F4A" w:rsidRPr="00F21F4A" w:rsidRDefault="00F21F4A" w:rsidP="00F21F4A">
      <w:pPr>
        <w:ind w:left="851"/>
        <w:rPr>
          <w:rFonts w:eastAsia="Verdana"/>
          <w:i/>
          <w:sz w:val="24"/>
          <w:szCs w:val="24"/>
          <w:lang w:eastAsia="en-GB"/>
        </w:rPr>
      </w:pPr>
      <w:r w:rsidRPr="00F21F4A">
        <w:rPr>
          <w:rFonts w:eastAsia="Verdana"/>
          <w:i/>
          <w:iCs/>
          <w:sz w:val="24"/>
          <w:szCs w:val="24"/>
          <w:lang w:eastAsia="en-GB"/>
        </w:rPr>
        <w:t>Voksne og unge (≥ 12 år) (≥ 40 kg):</w:t>
      </w:r>
    </w:p>
    <w:p w:rsidR="00F21F4A" w:rsidRDefault="00F21F4A" w:rsidP="00F21F4A">
      <w:pPr>
        <w:ind w:left="851"/>
        <w:rPr>
          <w:rFonts w:eastAsia="Verdana"/>
          <w:sz w:val="24"/>
          <w:szCs w:val="24"/>
          <w:lang w:eastAsia="en-GB"/>
        </w:rPr>
      </w:pPr>
      <w:r w:rsidRPr="00F21F4A">
        <w:rPr>
          <w:rFonts w:eastAsia="Verdana"/>
          <w:sz w:val="24"/>
          <w:szCs w:val="24"/>
          <w:lang w:eastAsia="en-GB"/>
        </w:rPr>
        <w:t xml:space="preserve">De generelle doseringsretningslinjer for voksne og unge med estimeret </w:t>
      </w:r>
      <w:proofErr w:type="spellStart"/>
      <w:r w:rsidRPr="00F21F4A">
        <w:rPr>
          <w:rFonts w:eastAsia="Verdana"/>
          <w:sz w:val="24"/>
          <w:szCs w:val="24"/>
          <w:lang w:eastAsia="en-GB"/>
        </w:rPr>
        <w:t>kreatininclearance</w:t>
      </w:r>
      <w:proofErr w:type="spellEnd"/>
      <w:r w:rsidRPr="00F21F4A">
        <w:rPr>
          <w:rFonts w:eastAsia="Verdana"/>
          <w:sz w:val="24"/>
          <w:szCs w:val="24"/>
          <w:lang w:eastAsia="en-GB"/>
        </w:rPr>
        <w:t xml:space="preserve"> &gt; 80 ml/min er som følger:</w:t>
      </w:r>
    </w:p>
    <w:p w:rsidR="00F21F4A" w:rsidRPr="00F21F4A" w:rsidRDefault="00F21F4A" w:rsidP="00F21F4A">
      <w:pPr>
        <w:ind w:left="851"/>
        <w:rPr>
          <w:rFonts w:eastAsia="Verdana"/>
          <w:sz w:val="24"/>
          <w:szCs w:val="24"/>
          <w:lang w:eastAsia="en-GB"/>
        </w:rPr>
      </w:pPr>
    </w:p>
    <w:p w:rsidR="00F21F4A" w:rsidRPr="00F21F4A" w:rsidRDefault="00F21F4A" w:rsidP="00F21F4A">
      <w:pPr>
        <w:spacing w:after="140" w:line="280" w:lineRule="atLeast"/>
        <w:ind w:left="851"/>
        <w:rPr>
          <w:rFonts w:eastAsia="Verdana"/>
          <w:b/>
          <w:sz w:val="24"/>
          <w:szCs w:val="24"/>
          <w:lang w:eastAsia="en-GB"/>
        </w:rPr>
      </w:pPr>
      <w:r w:rsidRPr="00F21F4A">
        <w:rPr>
          <w:rFonts w:eastAsia="Verdana"/>
          <w:b/>
          <w:bCs/>
          <w:sz w:val="24"/>
          <w:szCs w:val="24"/>
          <w:lang w:eastAsia="en-GB"/>
        </w:rPr>
        <w:t xml:space="preserve">Tabel 1 – dosering hos voksne og unge med </w:t>
      </w:r>
      <w:proofErr w:type="spellStart"/>
      <w:r w:rsidRPr="00F21F4A">
        <w:rPr>
          <w:rFonts w:eastAsia="Verdana"/>
          <w:b/>
          <w:bCs/>
          <w:sz w:val="24"/>
          <w:szCs w:val="24"/>
          <w:lang w:eastAsia="en-GB"/>
        </w:rPr>
        <w:t>CrCl</w:t>
      </w:r>
      <w:proofErr w:type="spellEnd"/>
      <w:r w:rsidRPr="00F21F4A">
        <w:rPr>
          <w:rFonts w:eastAsia="Verdana"/>
          <w:b/>
          <w:bCs/>
          <w:sz w:val="24"/>
          <w:szCs w:val="24"/>
          <w:lang w:eastAsia="en-GB"/>
        </w:rPr>
        <w:t xml:space="preserve"> &gt; 80 ml/min</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3974"/>
      </w:tblGrid>
      <w:tr w:rsidR="00F21F4A" w:rsidRPr="00F21F4A" w:rsidTr="00F21F4A">
        <w:tc>
          <w:tcPr>
            <w:tcW w:w="2739" w:type="pct"/>
            <w:tcBorders>
              <w:top w:val="single" w:sz="4" w:space="0" w:color="auto"/>
              <w:left w:val="single" w:sz="4" w:space="0" w:color="auto"/>
              <w:bottom w:val="single" w:sz="4" w:space="0" w:color="auto"/>
              <w:right w:val="single" w:sz="4" w:space="0" w:color="auto"/>
            </w:tcBorders>
            <w:hideMark/>
          </w:tcPr>
          <w:p w:rsidR="00F21F4A" w:rsidRPr="00F21F4A" w:rsidRDefault="00F21F4A">
            <w:pPr>
              <w:spacing w:after="140" w:line="280" w:lineRule="atLeast"/>
              <w:rPr>
                <w:rFonts w:eastAsia="Verdana"/>
                <w:sz w:val="24"/>
                <w:szCs w:val="24"/>
                <w:lang w:eastAsia="en-GB"/>
              </w:rPr>
            </w:pPr>
            <w:r w:rsidRPr="00F21F4A">
              <w:rPr>
                <w:rFonts w:eastAsia="Verdana"/>
                <w:b/>
                <w:bCs/>
                <w:sz w:val="24"/>
                <w:szCs w:val="24"/>
                <w:lang w:eastAsia="en-GB"/>
              </w:rPr>
              <w:t xml:space="preserve">Indikation </w:t>
            </w:r>
          </w:p>
        </w:tc>
        <w:tc>
          <w:tcPr>
            <w:tcW w:w="2261" w:type="pct"/>
            <w:tcBorders>
              <w:top w:val="single" w:sz="4" w:space="0" w:color="auto"/>
              <w:left w:val="single" w:sz="4" w:space="0" w:color="auto"/>
              <w:bottom w:val="single" w:sz="4" w:space="0" w:color="auto"/>
              <w:right w:val="single" w:sz="4" w:space="0" w:color="auto"/>
            </w:tcBorders>
            <w:hideMark/>
          </w:tcPr>
          <w:p w:rsidR="00F21F4A" w:rsidRPr="00F21F4A" w:rsidRDefault="00F21F4A">
            <w:pPr>
              <w:spacing w:after="140" w:line="280" w:lineRule="atLeast"/>
              <w:rPr>
                <w:rFonts w:eastAsia="Verdana"/>
                <w:b/>
                <w:sz w:val="24"/>
                <w:szCs w:val="24"/>
                <w:lang w:eastAsia="en-GB"/>
              </w:rPr>
            </w:pPr>
            <w:r w:rsidRPr="00F21F4A">
              <w:rPr>
                <w:rFonts w:eastAsia="Verdana"/>
                <w:b/>
                <w:bCs/>
                <w:sz w:val="24"/>
                <w:szCs w:val="24"/>
                <w:lang w:eastAsia="en-GB"/>
              </w:rPr>
              <w:t>Daglig dosis</w:t>
            </w:r>
          </w:p>
        </w:tc>
      </w:tr>
      <w:tr w:rsidR="00F21F4A" w:rsidRPr="00F21F4A" w:rsidTr="00F21F4A">
        <w:tc>
          <w:tcPr>
            <w:tcW w:w="2739" w:type="pct"/>
            <w:tcBorders>
              <w:top w:val="single" w:sz="4" w:space="0" w:color="auto"/>
              <w:left w:val="single" w:sz="4" w:space="0" w:color="auto"/>
              <w:bottom w:val="single" w:sz="4" w:space="0" w:color="auto"/>
              <w:right w:val="single" w:sz="4" w:space="0" w:color="auto"/>
            </w:tcBorders>
            <w:hideMark/>
          </w:tcPr>
          <w:p w:rsidR="00F21F4A" w:rsidRPr="00F21F4A" w:rsidRDefault="00F21F4A">
            <w:pPr>
              <w:spacing w:after="140" w:line="280" w:lineRule="atLeast"/>
              <w:rPr>
                <w:rFonts w:eastAsia="Verdana"/>
                <w:sz w:val="24"/>
                <w:szCs w:val="24"/>
                <w:lang w:eastAsia="en-GB"/>
              </w:rPr>
            </w:pPr>
            <w:r w:rsidRPr="00F21F4A">
              <w:rPr>
                <w:rFonts w:eastAsia="Verdana"/>
                <w:sz w:val="24"/>
                <w:szCs w:val="24"/>
                <w:lang w:eastAsia="en-GB"/>
              </w:rPr>
              <w:t xml:space="preserve">Kompliceret urinvejsinfektion </w:t>
            </w:r>
          </w:p>
        </w:tc>
        <w:tc>
          <w:tcPr>
            <w:tcW w:w="2261" w:type="pct"/>
            <w:tcBorders>
              <w:top w:val="single" w:sz="4" w:space="0" w:color="auto"/>
              <w:left w:val="single" w:sz="4" w:space="0" w:color="auto"/>
              <w:bottom w:val="single" w:sz="4" w:space="0" w:color="auto"/>
              <w:right w:val="single" w:sz="4" w:space="0" w:color="auto"/>
            </w:tcBorders>
            <w:hideMark/>
          </w:tcPr>
          <w:p w:rsidR="00F21F4A" w:rsidRPr="00F21F4A" w:rsidRDefault="00F21F4A">
            <w:pPr>
              <w:spacing w:after="140" w:line="280" w:lineRule="atLeast"/>
              <w:rPr>
                <w:rFonts w:eastAsia="Verdana"/>
                <w:sz w:val="24"/>
                <w:szCs w:val="24"/>
                <w:lang w:val="pt-BR" w:eastAsia="en-GB"/>
              </w:rPr>
            </w:pPr>
            <w:r w:rsidRPr="00F21F4A">
              <w:rPr>
                <w:rFonts w:eastAsia="Verdana"/>
                <w:sz w:val="24"/>
                <w:szCs w:val="24"/>
                <w:lang w:eastAsia="en-GB"/>
              </w:rPr>
              <w:t xml:space="preserve">12-24 </w:t>
            </w:r>
            <w:r w:rsidR="00E738E0">
              <w:rPr>
                <w:rFonts w:eastAsia="Verdana"/>
                <w:sz w:val="24"/>
                <w:szCs w:val="24"/>
                <w:lang w:eastAsia="en-GB"/>
              </w:rPr>
              <w:t xml:space="preserve">g </w:t>
            </w:r>
            <w:r w:rsidRPr="00F21F4A">
              <w:rPr>
                <w:rFonts w:eastAsia="Verdana"/>
                <w:sz w:val="24"/>
                <w:szCs w:val="24"/>
                <w:vertAlign w:val="superscript"/>
                <w:lang w:eastAsia="en-GB"/>
              </w:rPr>
              <w:t>a</w:t>
            </w:r>
            <w:r w:rsidRPr="00F21F4A">
              <w:rPr>
                <w:rFonts w:eastAsia="Verdana"/>
                <w:sz w:val="24"/>
                <w:szCs w:val="24"/>
                <w:lang w:eastAsia="en-GB"/>
              </w:rPr>
              <w:t xml:space="preserve"> i 2-3 opdelte doser</w:t>
            </w:r>
          </w:p>
        </w:tc>
      </w:tr>
      <w:tr w:rsidR="00F21F4A" w:rsidRPr="00F21F4A" w:rsidTr="00F21F4A">
        <w:tc>
          <w:tcPr>
            <w:tcW w:w="2739" w:type="pct"/>
            <w:tcBorders>
              <w:top w:val="single" w:sz="4" w:space="0" w:color="auto"/>
              <w:left w:val="single" w:sz="4" w:space="0" w:color="auto"/>
              <w:bottom w:val="single" w:sz="4" w:space="0" w:color="auto"/>
              <w:right w:val="single" w:sz="4" w:space="0" w:color="auto"/>
            </w:tcBorders>
            <w:hideMark/>
          </w:tcPr>
          <w:p w:rsidR="00F21F4A" w:rsidRPr="00F21F4A" w:rsidRDefault="00F21F4A">
            <w:pPr>
              <w:pStyle w:val="BodytextAgency"/>
              <w:rPr>
                <w:rFonts w:ascii="Times New Roman" w:hAnsi="Times New Roman" w:cs="Times New Roman"/>
                <w:sz w:val="24"/>
                <w:szCs w:val="24"/>
              </w:rPr>
            </w:pPr>
            <w:proofErr w:type="spellStart"/>
            <w:r w:rsidRPr="00F21F4A">
              <w:rPr>
                <w:rFonts w:ascii="Times New Roman" w:hAnsi="Times New Roman" w:cs="Times New Roman"/>
                <w:sz w:val="24"/>
                <w:szCs w:val="24"/>
              </w:rPr>
              <w:t>Infektiv</w:t>
            </w:r>
            <w:proofErr w:type="spellEnd"/>
            <w:r w:rsidRPr="00F21F4A">
              <w:rPr>
                <w:rFonts w:ascii="Times New Roman" w:hAnsi="Times New Roman" w:cs="Times New Roman"/>
                <w:sz w:val="24"/>
                <w:szCs w:val="24"/>
              </w:rPr>
              <w:t xml:space="preserve"> </w:t>
            </w:r>
            <w:proofErr w:type="spellStart"/>
            <w:r w:rsidRPr="00F21F4A">
              <w:rPr>
                <w:rFonts w:ascii="Times New Roman" w:hAnsi="Times New Roman" w:cs="Times New Roman"/>
                <w:sz w:val="24"/>
                <w:szCs w:val="24"/>
              </w:rPr>
              <w:t>endocarditis</w:t>
            </w:r>
            <w:proofErr w:type="spellEnd"/>
          </w:p>
        </w:tc>
        <w:tc>
          <w:tcPr>
            <w:tcW w:w="2261" w:type="pct"/>
            <w:tcBorders>
              <w:top w:val="single" w:sz="4" w:space="0" w:color="auto"/>
              <w:left w:val="single" w:sz="4" w:space="0" w:color="auto"/>
              <w:bottom w:val="single" w:sz="4" w:space="0" w:color="auto"/>
              <w:right w:val="single" w:sz="4" w:space="0" w:color="auto"/>
            </w:tcBorders>
            <w:hideMark/>
          </w:tcPr>
          <w:p w:rsidR="00F21F4A" w:rsidRPr="00F21F4A" w:rsidRDefault="00F21F4A">
            <w:pPr>
              <w:pStyle w:val="BodytextAgency"/>
              <w:rPr>
                <w:rFonts w:ascii="Times New Roman" w:hAnsi="Times New Roman" w:cs="Times New Roman"/>
                <w:sz w:val="24"/>
                <w:szCs w:val="24"/>
                <w:lang w:val="pt-BR"/>
              </w:rPr>
            </w:pPr>
            <w:r w:rsidRPr="00F21F4A">
              <w:rPr>
                <w:rFonts w:ascii="Times New Roman" w:hAnsi="Times New Roman" w:cs="Times New Roman"/>
                <w:sz w:val="24"/>
                <w:szCs w:val="24"/>
              </w:rPr>
              <w:t xml:space="preserve">12-24 g </w:t>
            </w:r>
            <w:r w:rsidRPr="00F21F4A">
              <w:rPr>
                <w:rFonts w:ascii="Times New Roman" w:hAnsi="Times New Roman" w:cs="Times New Roman"/>
                <w:sz w:val="24"/>
                <w:szCs w:val="24"/>
                <w:vertAlign w:val="superscript"/>
              </w:rPr>
              <w:t>a</w:t>
            </w:r>
            <w:r w:rsidRPr="00F21F4A">
              <w:rPr>
                <w:rFonts w:ascii="Times New Roman" w:hAnsi="Times New Roman" w:cs="Times New Roman"/>
                <w:sz w:val="24"/>
                <w:szCs w:val="24"/>
              </w:rPr>
              <w:t xml:space="preserve"> i 2-3 opdelte doser</w:t>
            </w:r>
          </w:p>
        </w:tc>
      </w:tr>
      <w:tr w:rsidR="00F21F4A" w:rsidRPr="00F21F4A" w:rsidTr="00F21F4A">
        <w:tc>
          <w:tcPr>
            <w:tcW w:w="2739" w:type="pct"/>
            <w:tcBorders>
              <w:top w:val="single" w:sz="4" w:space="0" w:color="auto"/>
              <w:left w:val="single" w:sz="4" w:space="0" w:color="auto"/>
              <w:bottom w:val="single" w:sz="4" w:space="0" w:color="auto"/>
              <w:right w:val="single" w:sz="4" w:space="0" w:color="auto"/>
            </w:tcBorders>
            <w:hideMark/>
          </w:tcPr>
          <w:p w:rsidR="00F21F4A" w:rsidRPr="00F21F4A" w:rsidRDefault="00F21F4A">
            <w:pPr>
              <w:spacing w:after="140" w:line="280" w:lineRule="atLeast"/>
              <w:rPr>
                <w:rFonts w:eastAsia="Verdana"/>
                <w:sz w:val="24"/>
                <w:szCs w:val="24"/>
                <w:lang w:eastAsia="en-GB"/>
              </w:rPr>
            </w:pPr>
            <w:r w:rsidRPr="00F21F4A">
              <w:rPr>
                <w:rFonts w:eastAsia="Verdana"/>
                <w:sz w:val="24"/>
                <w:szCs w:val="24"/>
                <w:lang w:eastAsia="en-GB"/>
              </w:rPr>
              <w:t>Infektioner i knogler og led</w:t>
            </w:r>
          </w:p>
        </w:tc>
        <w:tc>
          <w:tcPr>
            <w:tcW w:w="2261" w:type="pct"/>
            <w:tcBorders>
              <w:top w:val="single" w:sz="4" w:space="0" w:color="auto"/>
              <w:left w:val="single" w:sz="4" w:space="0" w:color="auto"/>
              <w:bottom w:val="single" w:sz="4" w:space="0" w:color="auto"/>
              <w:right w:val="single" w:sz="4" w:space="0" w:color="auto"/>
            </w:tcBorders>
            <w:hideMark/>
          </w:tcPr>
          <w:p w:rsidR="00F21F4A" w:rsidRPr="00F21F4A" w:rsidRDefault="00F21F4A">
            <w:pPr>
              <w:spacing w:after="140" w:line="280" w:lineRule="atLeast"/>
              <w:rPr>
                <w:rFonts w:eastAsia="Verdana"/>
                <w:sz w:val="24"/>
                <w:szCs w:val="24"/>
                <w:lang w:val="pt-BR" w:eastAsia="en-GB"/>
              </w:rPr>
            </w:pPr>
            <w:r w:rsidRPr="00F21F4A">
              <w:rPr>
                <w:rFonts w:eastAsia="Verdana"/>
                <w:sz w:val="24"/>
                <w:szCs w:val="24"/>
                <w:lang w:eastAsia="en-GB"/>
              </w:rPr>
              <w:t xml:space="preserve">12-24 g </w:t>
            </w:r>
            <w:r w:rsidRPr="00F21F4A">
              <w:rPr>
                <w:rFonts w:eastAsia="Verdana"/>
                <w:sz w:val="24"/>
                <w:szCs w:val="24"/>
                <w:vertAlign w:val="superscript"/>
                <w:lang w:eastAsia="en-GB"/>
              </w:rPr>
              <w:t>a</w:t>
            </w:r>
            <w:r w:rsidRPr="00F21F4A">
              <w:rPr>
                <w:rFonts w:eastAsia="Verdana"/>
                <w:sz w:val="24"/>
                <w:szCs w:val="24"/>
                <w:lang w:eastAsia="en-GB"/>
              </w:rPr>
              <w:t xml:space="preserve"> i 2-3 opdelte doser</w:t>
            </w:r>
          </w:p>
        </w:tc>
      </w:tr>
      <w:tr w:rsidR="00F21F4A" w:rsidRPr="00F21F4A" w:rsidTr="00F21F4A">
        <w:tc>
          <w:tcPr>
            <w:tcW w:w="2739" w:type="pct"/>
            <w:tcBorders>
              <w:top w:val="single" w:sz="4" w:space="0" w:color="auto"/>
              <w:left w:val="single" w:sz="4" w:space="0" w:color="auto"/>
              <w:bottom w:val="single" w:sz="4" w:space="0" w:color="auto"/>
              <w:right w:val="single" w:sz="4" w:space="0" w:color="auto"/>
            </w:tcBorders>
            <w:hideMark/>
          </w:tcPr>
          <w:p w:rsidR="00F21F4A" w:rsidRPr="00F21F4A" w:rsidRDefault="00F21F4A">
            <w:pPr>
              <w:spacing w:after="140" w:line="280" w:lineRule="atLeast"/>
              <w:rPr>
                <w:rFonts w:eastAsia="Verdana"/>
                <w:sz w:val="24"/>
                <w:szCs w:val="24"/>
                <w:lang w:eastAsia="en-GB"/>
              </w:rPr>
            </w:pPr>
            <w:r w:rsidRPr="00F21F4A">
              <w:rPr>
                <w:rFonts w:eastAsia="Verdana"/>
                <w:sz w:val="24"/>
                <w:szCs w:val="24"/>
                <w:lang w:eastAsia="en-GB"/>
              </w:rPr>
              <w:t>Hospitalserhvervet lungebetændelse, herunder respiratorrelateret lungebetændelse</w:t>
            </w:r>
          </w:p>
        </w:tc>
        <w:tc>
          <w:tcPr>
            <w:tcW w:w="2261" w:type="pct"/>
            <w:tcBorders>
              <w:top w:val="single" w:sz="4" w:space="0" w:color="auto"/>
              <w:left w:val="single" w:sz="4" w:space="0" w:color="auto"/>
              <w:bottom w:val="single" w:sz="4" w:space="0" w:color="auto"/>
              <w:right w:val="single" w:sz="4" w:space="0" w:color="auto"/>
            </w:tcBorders>
            <w:hideMark/>
          </w:tcPr>
          <w:p w:rsidR="00F21F4A" w:rsidRPr="00F21F4A" w:rsidRDefault="00F21F4A">
            <w:pPr>
              <w:spacing w:after="140" w:line="280" w:lineRule="atLeast"/>
              <w:rPr>
                <w:rFonts w:eastAsia="Verdana"/>
                <w:sz w:val="24"/>
                <w:szCs w:val="24"/>
                <w:lang w:val="pt-BR" w:eastAsia="en-GB"/>
              </w:rPr>
            </w:pPr>
            <w:r w:rsidRPr="00F21F4A">
              <w:rPr>
                <w:rFonts w:eastAsia="Verdana"/>
                <w:sz w:val="24"/>
                <w:szCs w:val="24"/>
                <w:lang w:eastAsia="en-GB"/>
              </w:rPr>
              <w:t xml:space="preserve">12-24 g </w:t>
            </w:r>
            <w:r w:rsidRPr="00F21F4A">
              <w:rPr>
                <w:rFonts w:eastAsia="Verdana"/>
                <w:sz w:val="24"/>
                <w:szCs w:val="24"/>
                <w:vertAlign w:val="superscript"/>
                <w:lang w:eastAsia="en-GB"/>
              </w:rPr>
              <w:t>a</w:t>
            </w:r>
            <w:r w:rsidRPr="00F21F4A">
              <w:rPr>
                <w:rFonts w:eastAsia="Verdana"/>
                <w:sz w:val="24"/>
                <w:szCs w:val="24"/>
                <w:lang w:eastAsia="en-GB"/>
              </w:rPr>
              <w:t xml:space="preserve"> i 2-3 opdelte doser</w:t>
            </w:r>
          </w:p>
        </w:tc>
      </w:tr>
      <w:tr w:rsidR="00F21F4A" w:rsidRPr="00F21F4A" w:rsidTr="00F21F4A">
        <w:tc>
          <w:tcPr>
            <w:tcW w:w="2739" w:type="pct"/>
            <w:tcBorders>
              <w:top w:val="single" w:sz="4" w:space="0" w:color="auto"/>
              <w:left w:val="single" w:sz="4" w:space="0" w:color="auto"/>
              <w:bottom w:val="single" w:sz="4" w:space="0" w:color="auto"/>
              <w:right w:val="single" w:sz="4" w:space="0" w:color="auto"/>
            </w:tcBorders>
            <w:hideMark/>
          </w:tcPr>
          <w:p w:rsidR="00F21F4A" w:rsidRPr="00F21F4A" w:rsidRDefault="00F21F4A">
            <w:pPr>
              <w:pStyle w:val="BodytextAgency"/>
              <w:rPr>
                <w:rFonts w:ascii="Times New Roman" w:hAnsi="Times New Roman" w:cs="Times New Roman"/>
                <w:sz w:val="24"/>
                <w:szCs w:val="24"/>
              </w:rPr>
            </w:pPr>
            <w:r w:rsidRPr="00F21F4A">
              <w:rPr>
                <w:rFonts w:ascii="Times New Roman" w:hAnsi="Times New Roman" w:cs="Times New Roman"/>
                <w:sz w:val="24"/>
                <w:szCs w:val="24"/>
              </w:rPr>
              <w:t>Komplicerede infektioner i hud og bløddele</w:t>
            </w:r>
          </w:p>
        </w:tc>
        <w:tc>
          <w:tcPr>
            <w:tcW w:w="2261" w:type="pct"/>
            <w:tcBorders>
              <w:top w:val="single" w:sz="4" w:space="0" w:color="auto"/>
              <w:left w:val="single" w:sz="4" w:space="0" w:color="auto"/>
              <w:bottom w:val="single" w:sz="4" w:space="0" w:color="auto"/>
              <w:right w:val="single" w:sz="4" w:space="0" w:color="auto"/>
            </w:tcBorders>
            <w:hideMark/>
          </w:tcPr>
          <w:p w:rsidR="00F21F4A" w:rsidRPr="00F21F4A" w:rsidRDefault="00F21F4A">
            <w:pPr>
              <w:pStyle w:val="BodytextAgency"/>
              <w:rPr>
                <w:rFonts w:ascii="Times New Roman" w:hAnsi="Times New Roman" w:cs="Times New Roman"/>
                <w:sz w:val="24"/>
                <w:szCs w:val="24"/>
                <w:lang w:val="pt-BR"/>
              </w:rPr>
            </w:pPr>
            <w:r w:rsidRPr="00F21F4A">
              <w:rPr>
                <w:rFonts w:ascii="Times New Roman" w:hAnsi="Times New Roman" w:cs="Times New Roman"/>
                <w:sz w:val="24"/>
                <w:szCs w:val="24"/>
              </w:rPr>
              <w:t xml:space="preserve">12-24 g </w:t>
            </w:r>
            <w:r w:rsidRPr="00F21F4A">
              <w:rPr>
                <w:rFonts w:ascii="Times New Roman" w:hAnsi="Times New Roman" w:cs="Times New Roman"/>
                <w:sz w:val="24"/>
                <w:szCs w:val="24"/>
                <w:vertAlign w:val="superscript"/>
              </w:rPr>
              <w:t>a</w:t>
            </w:r>
            <w:r w:rsidRPr="00F21F4A">
              <w:rPr>
                <w:rFonts w:ascii="Times New Roman" w:hAnsi="Times New Roman" w:cs="Times New Roman"/>
                <w:sz w:val="24"/>
                <w:szCs w:val="24"/>
              </w:rPr>
              <w:t xml:space="preserve"> i 2-3 opdelte doser</w:t>
            </w:r>
          </w:p>
        </w:tc>
      </w:tr>
      <w:tr w:rsidR="00F21F4A" w:rsidRPr="00F21F4A" w:rsidTr="00F21F4A">
        <w:tc>
          <w:tcPr>
            <w:tcW w:w="2739" w:type="pct"/>
            <w:tcBorders>
              <w:top w:val="single" w:sz="4" w:space="0" w:color="auto"/>
              <w:left w:val="single" w:sz="4" w:space="0" w:color="auto"/>
              <w:bottom w:val="single" w:sz="4" w:space="0" w:color="auto"/>
              <w:right w:val="single" w:sz="4" w:space="0" w:color="auto"/>
            </w:tcBorders>
            <w:hideMark/>
          </w:tcPr>
          <w:p w:rsidR="00F21F4A" w:rsidRPr="00F21F4A" w:rsidRDefault="00F21F4A">
            <w:pPr>
              <w:spacing w:after="140" w:line="280" w:lineRule="atLeast"/>
              <w:rPr>
                <w:rFonts w:eastAsia="Verdana"/>
                <w:sz w:val="24"/>
                <w:szCs w:val="24"/>
                <w:lang w:eastAsia="en-GB"/>
              </w:rPr>
            </w:pPr>
            <w:r w:rsidRPr="00F21F4A">
              <w:rPr>
                <w:rFonts w:eastAsia="Verdana"/>
                <w:sz w:val="24"/>
                <w:szCs w:val="24"/>
                <w:lang w:eastAsia="en-GB"/>
              </w:rPr>
              <w:t>Bakteriel meningitis</w:t>
            </w:r>
          </w:p>
        </w:tc>
        <w:tc>
          <w:tcPr>
            <w:tcW w:w="2261" w:type="pct"/>
            <w:tcBorders>
              <w:top w:val="single" w:sz="4" w:space="0" w:color="auto"/>
              <w:left w:val="single" w:sz="4" w:space="0" w:color="auto"/>
              <w:bottom w:val="single" w:sz="4" w:space="0" w:color="auto"/>
              <w:right w:val="single" w:sz="4" w:space="0" w:color="auto"/>
            </w:tcBorders>
            <w:hideMark/>
          </w:tcPr>
          <w:p w:rsidR="00F21F4A" w:rsidRPr="00F21F4A" w:rsidRDefault="00F21F4A">
            <w:pPr>
              <w:spacing w:after="140" w:line="280" w:lineRule="atLeast"/>
              <w:rPr>
                <w:rFonts w:eastAsia="Verdana"/>
                <w:sz w:val="24"/>
                <w:szCs w:val="24"/>
                <w:lang w:val="pt-BR" w:eastAsia="en-GB"/>
              </w:rPr>
            </w:pPr>
            <w:r w:rsidRPr="00F21F4A">
              <w:rPr>
                <w:rFonts w:eastAsia="Verdana"/>
                <w:sz w:val="24"/>
                <w:szCs w:val="24"/>
                <w:lang w:eastAsia="en-GB"/>
              </w:rPr>
              <w:t xml:space="preserve">16-24 g </w:t>
            </w:r>
            <w:r w:rsidRPr="00F21F4A">
              <w:rPr>
                <w:rFonts w:eastAsia="Verdana"/>
                <w:sz w:val="24"/>
                <w:szCs w:val="24"/>
                <w:vertAlign w:val="superscript"/>
                <w:lang w:eastAsia="en-GB"/>
              </w:rPr>
              <w:t>a</w:t>
            </w:r>
            <w:r w:rsidRPr="00F21F4A">
              <w:rPr>
                <w:rFonts w:eastAsia="Verdana"/>
                <w:sz w:val="24"/>
                <w:szCs w:val="24"/>
                <w:lang w:eastAsia="en-GB"/>
              </w:rPr>
              <w:t xml:space="preserve"> i 3-4 opdelte doser</w:t>
            </w:r>
          </w:p>
        </w:tc>
      </w:tr>
      <w:tr w:rsidR="00F21F4A" w:rsidRPr="00F21F4A" w:rsidTr="00F21F4A">
        <w:tc>
          <w:tcPr>
            <w:tcW w:w="2739" w:type="pct"/>
            <w:tcBorders>
              <w:top w:val="single" w:sz="4" w:space="0" w:color="auto"/>
              <w:left w:val="single" w:sz="4" w:space="0" w:color="auto"/>
              <w:bottom w:val="single" w:sz="4" w:space="0" w:color="auto"/>
              <w:right w:val="single" w:sz="4" w:space="0" w:color="auto"/>
            </w:tcBorders>
            <w:hideMark/>
          </w:tcPr>
          <w:p w:rsidR="00F21F4A" w:rsidRPr="00F21F4A" w:rsidRDefault="00F21F4A">
            <w:pPr>
              <w:pStyle w:val="BodytextAgency"/>
              <w:rPr>
                <w:rFonts w:ascii="Times New Roman" w:hAnsi="Times New Roman" w:cs="Times New Roman"/>
                <w:sz w:val="24"/>
                <w:szCs w:val="24"/>
              </w:rPr>
            </w:pPr>
            <w:r w:rsidRPr="00F21F4A">
              <w:rPr>
                <w:rFonts w:ascii="Times New Roman" w:hAnsi="Times New Roman" w:cs="Times New Roman"/>
                <w:sz w:val="24"/>
                <w:szCs w:val="24"/>
              </w:rPr>
              <w:t xml:space="preserve">Komplicerede </w:t>
            </w:r>
            <w:proofErr w:type="spellStart"/>
            <w:r w:rsidRPr="00F21F4A">
              <w:rPr>
                <w:rFonts w:ascii="Times New Roman" w:hAnsi="Times New Roman" w:cs="Times New Roman"/>
                <w:sz w:val="24"/>
                <w:szCs w:val="24"/>
              </w:rPr>
              <w:t>intraabdominale</w:t>
            </w:r>
            <w:proofErr w:type="spellEnd"/>
            <w:r w:rsidRPr="00F21F4A">
              <w:rPr>
                <w:rFonts w:ascii="Times New Roman" w:hAnsi="Times New Roman" w:cs="Times New Roman"/>
                <w:sz w:val="24"/>
                <w:szCs w:val="24"/>
              </w:rPr>
              <w:t xml:space="preserve"> infektioner</w:t>
            </w:r>
          </w:p>
        </w:tc>
        <w:tc>
          <w:tcPr>
            <w:tcW w:w="2261" w:type="pct"/>
            <w:tcBorders>
              <w:top w:val="single" w:sz="4" w:space="0" w:color="auto"/>
              <w:left w:val="single" w:sz="4" w:space="0" w:color="auto"/>
              <w:bottom w:val="single" w:sz="4" w:space="0" w:color="auto"/>
              <w:right w:val="single" w:sz="4" w:space="0" w:color="auto"/>
            </w:tcBorders>
            <w:hideMark/>
          </w:tcPr>
          <w:p w:rsidR="00F21F4A" w:rsidRPr="00F21F4A" w:rsidRDefault="00F21F4A">
            <w:pPr>
              <w:pStyle w:val="BodytextAgency"/>
              <w:rPr>
                <w:rFonts w:ascii="Times New Roman" w:hAnsi="Times New Roman" w:cs="Times New Roman"/>
                <w:sz w:val="24"/>
                <w:szCs w:val="24"/>
                <w:lang w:val="pt-BR"/>
              </w:rPr>
            </w:pPr>
            <w:r w:rsidRPr="00F21F4A">
              <w:rPr>
                <w:rFonts w:ascii="Times New Roman" w:hAnsi="Times New Roman" w:cs="Times New Roman"/>
                <w:sz w:val="24"/>
                <w:szCs w:val="24"/>
              </w:rPr>
              <w:t xml:space="preserve">12-24 g </w:t>
            </w:r>
            <w:r w:rsidRPr="00F21F4A">
              <w:rPr>
                <w:rFonts w:ascii="Times New Roman" w:hAnsi="Times New Roman" w:cs="Times New Roman"/>
                <w:sz w:val="24"/>
                <w:szCs w:val="24"/>
                <w:vertAlign w:val="superscript"/>
              </w:rPr>
              <w:t>a</w:t>
            </w:r>
            <w:r w:rsidRPr="00F21F4A">
              <w:rPr>
                <w:rFonts w:ascii="Times New Roman" w:hAnsi="Times New Roman" w:cs="Times New Roman"/>
                <w:sz w:val="24"/>
                <w:szCs w:val="24"/>
              </w:rPr>
              <w:t xml:space="preserve"> i 2-3 opdelte doser</w:t>
            </w:r>
          </w:p>
        </w:tc>
      </w:tr>
      <w:tr w:rsidR="00F21F4A" w:rsidRPr="00F21F4A" w:rsidTr="00F21F4A">
        <w:tc>
          <w:tcPr>
            <w:tcW w:w="2739" w:type="pct"/>
            <w:tcBorders>
              <w:top w:val="single" w:sz="4" w:space="0" w:color="auto"/>
              <w:left w:val="single" w:sz="4" w:space="0" w:color="auto"/>
              <w:bottom w:val="single" w:sz="4" w:space="0" w:color="auto"/>
              <w:right w:val="single" w:sz="4" w:space="0" w:color="auto"/>
            </w:tcBorders>
            <w:hideMark/>
          </w:tcPr>
          <w:p w:rsidR="00F21F4A" w:rsidRPr="00F21F4A" w:rsidRDefault="00F21F4A">
            <w:pPr>
              <w:spacing w:after="140" w:line="280" w:lineRule="atLeast"/>
              <w:rPr>
                <w:rFonts w:eastAsia="Verdana"/>
                <w:sz w:val="24"/>
                <w:szCs w:val="24"/>
                <w:lang w:eastAsia="en-GB"/>
              </w:rPr>
            </w:pPr>
            <w:proofErr w:type="spellStart"/>
            <w:r w:rsidRPr="00F21F4A">
              <w:rPr>
                <w:rFonts w:eastAsia="Verdana"/>
                <w:sz w:val="24"/>
                <w:szCs w:val="24"/>
                <w:lang w:eastAsia="en-GB"/>
              </w:rPr>
              <w:t>Bakteriæmi</w:t>
            </w:r>
            <w:proofErr w:type="spellEnd"/>
            <w:r w:rsidRPr="00F21F4A">
              <w:rPr>
                <w:rFonts w:eastAsia="Verdana"/>
                <w:sz w:val="24"/>
                <w:szCs w:val="24"/>
                <w:lang w:eastAsia="en-GB"/>
              </w:rPr>
              <w:t>, der forekommer i forbindelse med, eller mistænkes at være forbundet med nogen af ovenstående infektioner</w:t>
            </w:r>
          </w:p>
        </w:tc>
        <w:tc>
          <w:tcPr>
            <w:tcW w:w="2261" w:type="pct"/>
            <w:tcBorders>
              <w:top w:val="single" w:sz="4" w:space="0" w:color="auto"/>
              <w:left w:val="single" w:sz="4" w:space="0" w:color="auto"/>
              <w:bottom w:val="single" w:sz="4" w:space="0" w:color="auto"/>
              <w:right w:val="single" w:sz="4" w:space="0" w:color="auto"/>
            </w:tcBorders>
            <w:hideMark/>
          </w:tcPr>
          <w:p w:rsidR="00F21F4A" w:rsidRPr="00F21F4A" w:rsidRDefault="00F21F4A">
            <w:pPr>
              <w:spacing w:after="140" w:line="280" w:lineRule="atLeast"/>
              <w:rPr>
                <w:rFonts w:eastAsia="Verdana"/>
                <w:sz w:val="24"/>
                <w:szCs w:val="24"/>
                <w:lang w:val="pt-BR" w:eastAsia="en-GB"/>
              </w:rPr>
            </w:pPr>
            <w:r w:rsidRPr="00F21F4A">
              <w:rPr>
                <w:rFonts w:eastAsia="Verdana"/>
                <w:sz w:val="24"/>
                <w:szCs w:val="24"/>
                <w:lang w:eastAsia="en-GB"/>
              </w:rPr>
              <w:t xml:space="preserve">12-24 g </w:t>
            </w:r>
            <w:r w:rsidRPr="00F21F4A">
              <w:rPr>
                <w:rFonts w:eastAsia="Verdana"/>
                <w:sz w:val="24"/>
                <w:szCs w:val="24"/>
                <w:vertAlign w:val="superscript"/>
                <w:lang w:eastAsia="en-GB"/>
              </w:rPr>
              <w:t>a</w:t>
            </w:r>
            <w:r w:rsidRPr="00F21F4A">
              <w:rPr>
                <w:rFonts w:eastAsia="Verdana"/>
                <w:sz w:val="24"/>
                <w:szCs w:val="24"/>
                <w:lang w:eastAsia="en-GB"/>
              </w:rPr>
              <w:t xml:space="preserve"> i 2-3 opdelte doser</w:t>
            </w:r>
          </w:p>
        </w:tc>
      </w:tr>
    </w:tbl>
    <w:p w:rsidR="00F21F4A" w:rsidRPr="00F21F4A" w:rsidRDefault="00F21F4A" w:rsidP="00F21F4A">
      <w:pPr>
        <w:ind w:left="851"/>
        <w:rPr>
          <w:rFonts w:eastAsia="Verdana"/>
          <w:sz w:val="24"/>
          <w:szCs w:val="24"/>
          <w:lang w:val="pt-BR" w:eastAsia="en-GB"/>
        </w:rPr>
      </w:pPr>
      <w:r w:rsidRPr="00F21F4A">
        <w:rPr>
          <w:rFonts w:eastAsia="Verdana"/>
          <w:sz w:val="24"/>
          <w:szCs w:val="24"/>
          <w:lang w:eastAsia="en-GB"/>
        </w:rPr>
        <w:t>Individuelle doser må ikke overstige 8 g.</w:t>
      </w:r>
    </w:p>
    <w:p w:rsidR="00F21F4A" w:rsidRPr="00F21F4A" w:rsidRDefault="00F21F4A" w:rsidP="00F21F4A">
      <w:pPr>
        <w:ind w:left="851"/>
        <w:rPr>
          <w:rFonts w:eastAsia="Verdana"/>
          <w:sz w:val="24"/>
          <w:szCs w:val="24"/>
          <w:lang w:eastAsia="en-GB"/>
        </w:rPr>
      </w:pPr>
      <w:r w:rsidRPr="00F21F4A">
        <w:rPr>
          <w:rFonts w:eastAsia="Verdana"/>
          <w:sz w:val="24"/>
          <w:szCs w:val="24"/>
          <w:vertAlign w:val="superscript"/>
          <w:lang w:eastAsia="en-GB"/>
        </w:rPr>
        <w:t>a</w:t>
      </w:r>
      <w:r w:rsidRPr="00F21F4A">
        <w:rPr>
          <w:rFonts w:eastAsia="Verdana"/>
          <w:sz w:val="24"/>
          <w:szCs w:val="24"/>
          <w:lang w:eastAsia="en-GB"/>
        </w:rPr>
        <w:t xml:space="preserve"> Højdosisregimet i 3 opdelte doser skal benyttes til alvorlige infektioner, der forventes eller vides at være forårsaget af mindre følsomme bakterier.</w:t>
      </w:r>
    </w:p>
    <w:p w:rsidR="00F21F4A" w:rsidRDefault="00F21F4A" w:rsidP="00F21F4A">
      <w:pPr>
        <w:ind w:left="851"/>
        <w:rPr>
          <w:rFonts w:eastAsia="Verdana"/>
          <w:sz w:val="24"/>
          <w:szCs w:val="24"/>
          <w:lang w:eastAsia="en-GB"/>
        </w:rPr>
      </w:pPr>
      <w:r w:rsidRPr="00F21F4A">
        <w:rPr>
          <w:rFonts w:eastAsia="Verdana"/>
          <w:sz w:val="24"/>
          <w:szCs w:val="24"/>
          <w:lang w:eastAsia="en-GB"/>
        </w:rPr>
        <w:t>Der er begrænsede data især for doser over 16 g/dag. Særlig forsigtighed tilrådes ved ordination af sådanne doser.</w:t>
      </w:r>
    </w:p>
    <w:p w:rsidR="00F21F4A" w:rsidRPr="00F21F4A" w:rsidRDefault="00F21F4A" w:rsidP="00F21F4A">
      <w:pPr>
        <w:ind w:left="851"/>
        <w:rPr>
          <w:rFonts w:eastAsia="Verdana"/>
          <w:sz w:val="24"/>
          <w:szCs w:val="24"/>
          <w:lang w:eastAsia="en-GB"/>
        </w:rPr>
      </w:pPr>
    </w:p>
    <w:p w:rsidR="00F21F4A" w:rsidRPr="00F21F4A" w:rsidRDefault="00F21F4A" w:rsidP="00F21F4A">
      <w:pPr>
        <w:ind w:left="851"/>
        <w:rPr>
          <w:rFonts w:eastAsia="Verdana"/>
          <w:i/>
          <w:sz w:val="24"/>
          <w:szCs w:val="24"/>
          <w:lang w:eastAsia="en-GB"/>
        </w:rPr>
      </w:pPr>
      <w:r w:rsidRPr="00F21F4A">
        <w:rPr>
          <w:rFonts w:eastAsia="Verdana"/>
          <w:i/>
          <w:iCs/>
          <w:sz w:val="24"/>
          <w:szCs w:val="24"/>
          <w:lang w:eastAsia="en-GB"/>
        </w:rPr>
        <w:t>Behandlingsvarighed</w:t>
      </w:r>
    </w:p>
    <w:p w:rsidR="00F21F4A" w:rsidRDefault="00F21F4A" w:rsidP="00F21F4A">
      <w:pPr>
        <w:ind w:left="851"/>
        <w:rPr>
          <w:rFonts w:eastAsia="Verdana"/>
          <w:sz w:val="24"/>
          <w:szCs w:val="24"/>
          <w:lang w:eastAsia="en-GB"/>
        </w:rPr>
      </w:pPr>
      <w:r w:rsidRPr="00F21F4A">
        <w:rPr>
          <w:rFonts w:eastAsia="Verdana"/>
          <w:sz w:val="24"/>
          <w:szCs w:val="24"/>
          <w:lang w:eastAsia="en-GB"/>
        </w:rPr>
        <w:t>Behandlingsvarigheden skal tage hensyn til infektionstypen, infektionens sværhedsgrad samt patientens kliniske respons.</w:t>
      </w:r>
    </w:p>
    <w:p w:rsidR="00350652" w:rsidRPr="00F21F4A" w:rsidRDefault="00350652" w:rsidP="00F21F4A">
      <w:pPr>
        <w:ind w:left="851"/>
        <w:rPr>
          <w:rFonts w:eastAsia="Verdana"/>
          <w:sz w:val="24"/>
          <w:szCs w:val="24"/>
          <w:lang w:eastAsia="en-GB"/>
        </w:rPr>
      </w:pPr>
    </w:p>
    <w:p w:rsidR="00F21F4A" w:rsidRPr="00F21F4A" w:rsidRDefault="00F21F4A" w:rsidP="00F21F4A">
      <w:pPr>
        <w:ind w:left="851"/>
        <w:rPr>
          <w:rFonts w:eastAsia="Verdana"/>
          <w:i/>
          <w:sz w:val="24"/>
          <w:szCs w:val="24"/>
          <w:lang w:eastAsia="en-GB"/>
        </w:rPr>
      </w:pPr>
      <w:r w:rsidRPr="00F21F4A">
        <w:rPr>
          <w:rFonts w:eastAsia="Verdana"/>
          <w:i/>
          <w:iCs/>
          <w:sz w:val="24"/>
          <w:szCs w:val="24"/>
          <w:lang w:eastAsia="en-GB"/>
        </w:rPr>
        <w:lastRenderedPageBreak/>
        <w:t>Ældre patienter</w:t>
      </w:r>
    </w:p>
    <w:p w:rsidR="00F21F4A" w:rsidRDefault="00F21F4A" w:rsidP="00F21F4A">
      <w:pPr>
        <w:ind w:left="851"/>
        <w:rPr>
          <w:rFonts w:eastAsia="Verdana"/>
          <w:sz w:val="24"/>
          <w:szCs w:val="24"/>
          <w:lang w:eastAsia="en-GB"/>
        </w:rPr>
      </w:pPr>
      <w:r w:rsidRPr="00F21F4A">
        <w:rPr>
          <w:rFonts w:eastAsia="Verdana"/>
          <w:sz w:val="24"/>
          <w:szCs w:val="24"/>
          <w:lang w:eastAsia="en-GB"/>
        </w:rPr>
        <w:t>De anbefalede doser for voksne bør anvendes hos ældre patienter. Forsigtighed tilrådes, når der overvejes anvendelse af doser i den højere ende af det anbefalede område (se også anbefalinger vedrørende dosering til patienter med nedsat nyrefunktion).</w:t>
      </w:r>
    </w:p>
    <w:p w:rsidR="00350652" w:rsidRPr="00F21F4A" w:rsidRDefault="00350652" w:rsidP="00F21F4A">
      <w:pPr>
        <w:ind w:left="851"/>
        <w:rPr>
          <w:rFonts w:eastAsia="Verdana"/>
          <w:sz w:val="24"/>
          <w:szCs w:val="24"/>
          <w:lang w:eastAsia="en-GB"/>
        </w:rPr>
      </w:pPr>
    </w:p>
    <w:p w:rsidR="00F21F4A" w:rsidRPr="00F21F4A" w:rsidRDefault="00F21F4A" w:rsidP="00F21F4A">
      <w:pPr>
        <w:ind w:left="851"/>
        <w:rPr>
          <w:rFonts w:eastAsia="Verdana"/>
          <w:i/>
          <w:sz w:val="24"/>
          <w:szCs w:val="24"/>
          <w:lang w:eastAsia="en-GB"/>
        </w:rPr>
      </w:pPr>
      <w:r w:rsidRPr="00F21F4A">
        <w:rPr>
          <w:rFonts w:eastAsia="Verdana"/>
          <w:i/>
          <w:iCs/>
          <w:sz w:val="24"/>
          <w:szCs w:val="24"/>
          <w:lang w:eastAsia="en-GB"/>
        </w:rPr>
        <w:t>Nedsat nyrefunktion</w:t>
      </w:r>
    </w:p>
    <w:p w:rsidR="00F21F4A" w:rsidRDefault="00F21F4A" w:rsidP="00F21F4A">
      <w:pPr>
        <w:ind w:left="851"/>
        <w:rPr>
          <w:rFonts w:eastAsia="Verdana"/>
          <w:sz w:val="24"/>
          <w:szCs w:val="24"/>
          <w:lang w:eastAsia="en-GB"/>
        </w:rPr>
      </w:pPr>
      <w:r w:rsidRPr="00F21F4A">
        <w:rPr>
          <w:rFonts w:eastAsia="Verdana"/>
          <w:sz w:val="24"/>
          <w:szCs w:val="24"/>
          <w:lang w:eastAsia="en-GB"/>
        </w:rPr>
        <w:t xml:space="preserve">Der anbefales ingen dosisjustering hos patienter med estimeret </w:t>
      </w:r>
      <w:proofErr w:type="spellStart"/>
      <w:r w:rsidRPr="00F21F4A">
        <w:rPr>
          <w:rFonts w:eastAsia="Verdana"/>
          <w:sz w:val="24"/>
          <w:szCs w:val="24"/>
          <w:lang w:eastAsia="en-GB"/>
        </w:rPr>
        <w:t>kreatininclearance</w:t>
      </w:r>
      <w:proofErr w:type="spellEnd"/>
      <w:r w:rsidRPr="00F21F4A">
        <w:rPr>
          <w:rFonts w:eastAsia="Verdana"/>
          <w:sz w:val="24"/>
          <w:szCs w:val="24"/>
          <w:lang w:eastAsia="en-GB"/>
        </w:rPr>
        <w:t xml:space="preserve"> mellem 40-80 ml/min. Der skal dog udvises forsigtighed i disse tilfælde, især ved overvejelse af doser i den højere ende af det anbefalede doseringsområde</w:t>
      </w:r>
      <w:r w:rsidR="00350652">
        <w:rPr>
          <w:rFonts w:eastAsia="Verdana"/>
          <w:sz w:val="24"/>
          <w:szCs w:val="24"/>
          <w:lang w:eastAsia="en-GB"/>
        </w:rPr>
        <w:t>.</w:t>
      </w:r>
    </w:p>
    <w:p w:rsidR="00350652" w:rsidRPr="00F21F4A" w:rsidRDefault="00350652" w:rsidP="00F21F4A">
      <w:pPr>
        <w:ind w:left="851"/>
        <w:rPr>
          <w:rFonts w:eastAsia="Verdana"/>
          <w:sz w:val="24"/>
          <w:szCs w:val="24"/>
          <w:lang w:eastAsia="en-GB"/>
        </w:rPr>
      </w:pPr>
    </w:p>
    <w:p w:rsidR="00F21F4A" w:rsidRDefault="00F21F4A" w:rsidP="00F21F4A">
      <w:pPr>
        <w:ind w:left="851"/>
        <w:rPr>
          <w:rFonts w:eastAsia="Verdana"/>
          <w:sz w:val="24"/>
          <w:szCs w:val="24"/>
          <w:lang w:eastAsia="en-GB"/>
        </w:rPr>
      </w:pPr>
      <w:r w:rsidRPr="00F21F4A">
        <w:rPr>
          <w:rFonts w:eastAsia="Verdana"/>
          <w:sz w:val="24"/>
          <w:szCs w:val="24"/>
          <w:lang w:eastAsia="en-GB"/>
        </w:rPr>
        <w:t xml:space="preserve">Hos patienter med nedsat nyrefunktion skal dosen af </w:t>
      </w:r>
      <w:proofErr w:type="spellStart"/>
      <w:r w:rsidRPr="00F21F4A">
        <w:rPr>
          <w:rFonts w:eastAsia="Verdana"/>
          <w:sz w:val="24"/>
          <w:szCs w:val="24"/>
          <w:lang w:eastAsia="en-GB"/>
        </w:rPr>
        <w:t>fosfomycin</w:t>
      </w:r>
      <w:proofErr w:type="spellEnd"/>
      <w:r w:rsidRPr="00F21F4A">
        <w:rPr>
          <w:rFonts w:eastAsia="Verdana"/>
          <w:sz w:val="24"/>
          <w:szCs w:val="24"/>
          <w:lang w:eastAsia="en-GB"/>
        </w:rPr>
        <w:t xml:space="preserve"> justeres i henhold til graden af nedsat nyrefunktion.</w:t>
      </w:r>
    </w:p>
    <w:p w:rsidR="00350652" w:rsidRPr="00F21F4A" w:rsidRDefault="00350652" w:rsidP="00F21F4A">
      <w:pPr>
        <w:ind w:left="851"/>
        <w:rPr>
          <w:rFonts w:eastAsia="Verdana"/>
          <w:sz w:val="24"/>
          <w:szCs w:val="24"/>
          <w:lang w:eastAsia="en-GB"/>
        </w:rPr>
      </w:pPr>
    </w:p>
    <w:p w:rsidR="00F21F4A" w:rsidRDefault="00F21F4A" w:rsidP="00F21F4A">
      <w:pPr>
        <w:ind w:left="851"/>
        <w:rPr>
          <w:rFonts w:eastAsia="Verdana"/>
          <w:sz w:val="24"/>
          <w:szCs w:val="24"/>
          <w:lang w:eastAsia="en-GB"/>
        </w:rPr>
      </w:pPr>
      <w:r w:rsidRPr="00F21F4A">
        <w:rPr>
          <w:rFonts w:eastAsia="Verdana"/>
          <w:sz w:val="24"/>
          <w:szCs w:val="24"/>
          <w:lang w:eastAsia="en-GB"/>
        </w:rPr>
        <w:t xml:space="preserve">Dosistitrering skal være baseret på </w:t>
      </w:r>
      <w:proofErr w:type="spellStart"/>
      <w:r w:rsidRPr="00F21F4A">
        <w:rPr>
          <w:rFonts w:eastAsia="Verdana"/>
          <w:sz w:val="24"/>
          <w:szCs w:val="24"/>
          <w:lang w:eastAsia="en-GB"/>
        </w:rPr>
        <w:t>kreatininclearance</w:t>
      </w:r>
      <w:proofErr w:type="spellEnd"/>
      <w:r w:rsidRPr="00F21F4A">
        <w:rPr>
          <w:rFonts w:eastAsia="Verdana"/>
          <w:sz w:val="24"/>
          <w:szCs w:val="24"/>
          <w:lang w:eastAsia="en-GB"/>
        </w:rPr>
        <w:t>-værdier.</w:t>
      </w:r>
    </w:p>
    <w:p w:rsidR="00350652" w:rsidRPr="00F21F4A" w:rsidRDefault="00350652" w:rsidP="00F21F4A">
      <w:pPr>
        <w:ind w:left="851"/>
        <w:rPr>
          <w:rFonts w:eastAsia="Verdana"/>
          <w:sz w:val="24"/>
          <w:szCs w:val="24"/>
          <w:lang w:eastAsia="en-GB"/>
        </w:rPr>
      </w:pPr>
    </w:p>
    <w:p w:rsidR="00F21F4A" w:rsidRDefault="00F21F4A" w:rsidP="00F21F4A">
      <w:pPr>
        <w:ind w:left="851"/>
        <w:rPr>
          <w:rFonts w:eastAsia="Verdana"/>
          <w:sz w:val="24"/>
          <w:szCs w:val="24"/>
          <w:lang w:eastAsia="en-GB"/>
        </w:rPr>
      </w:pPr>
      <w:r w:rsidRPr="00F21F4A">
        <w:rPr>
          <w:rFonts w:eastAsia="Verdana"/>
          <w:sz w:val="24"/>
          <w:szCs w:val="24"/>
          <w:lang w:eastAsia="en-GB"/>
        </w:rPr>
        <w:t xml:space="preserve">Tabel 2 viser de anbefalede dosisjusteringer for patienter med en </w:t>
      </w:r>
      <w:proofErr w:type="spellStart"/>
      <w:r w:rsidRPr="00F21F4A">
        <w:rPr>
          <w:rFonts w:eastAsia="Verdana"/>
          <w:sz w:val="24"/>
          <w:szCs w:val="24"/>
          <w:lang w:eastAsia="en-GB"/>
        </w:rPr>
        <w:t>CrCL</w:t>
      </w:r>
      <w:proofErr w:type="spellEnd"/>
      <w:r w:rsidRPr="00F21F4A">
        <w:rPr>
          <w:rFonts w:eastAsia="Verdana"/>
          <w:sz w:val="24"/>
          <w:szCs w:val="24"/>
          <w:lang w:eastAsia="en-GB"/>
        </w:rPr>
        <w:t xml:space="preserve"> under 40 ml/min:</w:t>
      </w:r>
    </w:p>
    <w:p w:rsidR="00350652" w:rsidRPr="00F21F4A" w:rsidRDefault="00350652" w:rsidP="00F21F4A">
      <w:pPr>
        <w:ind w:left="851"/>
        <w:rPr>
          <w:rFonts w:eastAsia="Verdana"/>
          <w:sz w:val="24"/>
          <w:szCs w:val="24"/>
          <w:lang w:eastAsia="en-GB"/>
        </w:rPr>
      </w:pPr>
    </w:p>
    <w:p w:rsidR="00F21F4A" w:rsidRPr="00F21F4A" w:rsidRDefault="00F21F4A" w:rsidP="00F21F4A">
      <w:pPr>
        <w:ind w:left="851"/>
        <w:rPr>
          <w:rFonts w:eastAsia="Verdana"/>
          <w:b/>
          <w:bCs/>
          <w:sz w:val="24"/>
          <w:szCs w:val="24"/>
          <w:lang w:eastAsia="en-GB"/>
        </w:rPr>
      </w:pPr>
      <w:r w:rsidRPr="00F21F4A">
        <w:rPr>
          <w:rFonts w:eastAsia="Verdana"/>
          <w:b/>
          <w:bCs/>
          <w:sz w:val="24"/>
          <w:szCs w:val="24"/>
          <w:lang w:eastAsia="en-GB"/>
        </w:rPr>
        <w:t xml:space="preserve">Tabel 2 – Dosisjusteringer for patienter med en </w:t>
      </w:r>
      <w:proofErr w:type="spellStart"/>
      <w:r w:rsidRPr="00F21F4A">
        <w:rPr>
          <w:rFonts w:eastAsia="Verdana"/>
          <w:b/>
          <w:bCs/>
          <w:sz w:val="24"/>
          <w:szCs w:val="24"/>
          <w:lang w:eastAsia="en-GB"/>
        </w:rPr>
        <w:t>CrCL</w:t>
      </w:r>
      <w:proofErr w:type="spellEnd"/>
      <w:r w:rsidRPr="00F21F4A">
        <w:rPr>
          <w:rFonts w:eastAsia="Verdana"/>
          <w:b/>
          <w:bCs/>
          <w:sz w:val="24"/>
          <w:szCs w:val="24"/>
          <w:lang w:eastAsia="en-GB"/>
        </w:rPr>
        <w:t xml:space="preserve"> under 40 ml/min</w:t>
      </w:r>
    </w:p>
    <w:p w:rsidR="00F21F4A" w:rsidRPr="00F21F4A" w:rsidRDefault="00F21F4A" w:rsidP="00F21F4A">
      <w:pPr>
        <w:ind w:left="851"/>
        <w:rPr>
          <w:rFonts w:eastAsia="Verdana"/>
          <w:b/>
          <w:sz w:val="24"/>
          <w:szCs w:val="24"/>
          <w:lang w:eastAsia="en-GB"/>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3290"/>
        <w:gridCol w:w="3721"/>
      </w:tblGrid>
      <w:tr w:rsidR="00F21F4A" w:rsidRPr="00350652" w:rsidTr="00350652">
        <w:tc>
          <w:tcPr>
            <w:tcW w:w="1011"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b/>
                <w:sz w:val="24"/>
                <w:szCs w:val="24"/>
                <w:lang w:eastAsia="en-GB"/>
              </w:rPr>
            </w:pPr>
            <w:proofErr w:type="gramStart"/>
            <w:r w:rsidRPr="00350652">
              <w:rPr>
                <w:rFonts w:eastAsia="Verdana"/>
                <w:b/>
                <w:bCs/>
                <w:sz w:val="24"/>
                <w:szCs w:val="24"/>
                <w:lang w:eastAsia="en-GB"/>
              </w:rPr>
              <w:t>CL</w:t>
            </w:r>
            <w:r w:rsidRPr="00350652">
              <w:rPr>
                <w:rFonts w:eastAsia="Verdana"/>
                <w:b/>
                <w:bCs/>
                <w:sz w:val="24"/>
                <w:szCs w:val="24"/>
                <w:vertAlign w:val="subscript"/>
                <w:lang w:eastAsia="en-GB"/>
              </w:rPr>
              <w:t>CR patient</w:t>
            </w:r>
            <w:proofErr w:type="gramEnd"/>
          </w:p>
        </w:tc>
        <w:tc>
          <w:tcPr>
            <w:tcW w:w="1872"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b/>
                <w:sz w:val="24"/>
                <w:szCs w:val="24"/>
                <w:lang w:eastAsia="en-GB"/>
              </w:rPr>
            </w:pPr>
            <w:proofErr w:type="gramStart"/>
            <w:r w:rsidRPr="00350652">
              <w:rPr>
                <w:rFonts w:eastAsia="Verdana"/>
                <w:b/>
                <w:bCs/>
                <w:sz w:val="24"/>
                <w:szCs w:val="24"/>
                <w:lang w:eastAsia="en-GB"/>
              </w:rPr>
              <w:t>CL</w:t>
            </w:r>
            <w:r w:rsidRPr="00350652">
              <w:rPr>
                <w:rFonts w:eastAsia="Verdana"/>
                <w:b/>
                <w:bCs/>
                <w:sz w:val="24"/>
                <w:szCs w:val="24"/>
                <w:vertAlign w:val="subscript"/>
                <w:lang w:eastAsia="en-GB"/>
              </w:rPr>
              <w:t>CR patient</w:t>
            </w:r>
            <w:proofErr w:type="gramEnd"/>
            <w:r w:rsidRPr="00350652">
              <w:rPr>
                <w:rFonts w:eastAsia="Verdana"/>
                <w:b/>
                <w:bCs/>
                <w:sz w:val="24"/>
                <w:szCs w:val="24"/>
                <w:lang w:eastAsia="en-GB"/>
              </w:rPr>
              <w:t> / CL</w:t>
            </w:r>
            <w:r w:rsidRPr="00350652">
              <w:rPr>
                <w:rFonts w:eastAsia="Verdana"/>
                <w:b/>
                <w:bCs/>
                <w:sz w:val="24"/>
                <w:szCs w:val="24"/>
                <w:vertAlign w:val="subscript"/>
                <w:lang w:eastAsia="en-GB"/>
              </w:rPr>
              <w:t>CR normal</w:t>
            </w:r>
          </w:p>
        </w:tc>
        <w:tc>
          <w:tcPr>
            <w:tcW w:w="2117"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b/>
                <w:sz w:val="24"/>
                <w:szCs w:val="24"/>
                <w:lang w:eastAsia="en-GB"/>
              </w:rPr>
            </w:pPr>
            <w:r w:rsidRPr="00350652">
              <w:rPr>
                <w:rFonts w:eastAsia="Verdana"/>
                <w:b/>
                <w:bCs/>
                <w:sz w:val="24"/>
                <w:szCs w:val="24"/>
                <w:lang w:eastAsia="en-GB"/>
              </w:rPr>
              <w:t xml:space="preserve">Anbefalet daglig </w:t>
            </w:r>
            <w:proofErr w:type="spellStart"/>
            <w:r w:rsidRPr="00350652">
              <w:rPr>
                <w:rFonts w:eastAsia="Verdana"/>
                <w:b/>
                <w:bCs/>
                <w:sz w:val="24"/>
                <w:szCs w:val="24"/>
                <w:lang w:eastAsia="en-GB"/>
              </w:rPr>
              <w:t>dosis</w:t>
            </w:r>
            <w:r w:rsidRPr="00350652">
              <w:rPr>
                <w:rFonts w:eastAsia="Verdana"/>
                <w:b/>
                <w:bCs/>
                <w:sz w:val="24"/>
                <w:szCs w:val="24"/>
                <w:vertAlign w:val="superscript"/>
                <w:lang w:eastAsia="en-GB"/>
              </w:rPr>
              <w:t>a</w:t>
            </w:r>
            <w:proofErr w:type="spellEnd"/>
          </w:p>
        </w:tc>
      </w:tr>
      <w:tr w:rsidR="00F21F4A" w:rsidRPr="00350652" w:rsidTr="00350652">
        <w:tc>
          <w:tcPr>
            <w:tcW w:w="1011"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40 ml/min</w:t>
            </w:r>
          </w:p>
        </w:tc>
        <w:tc>
          <w:tcPr>
            <w:tcW w:w="1872"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0,333</w:t>
            </w:r>
          </w:p>
        </w:tc>
        <w:tc>
          <w:tcPr>
            <w:tcW w:w="2117"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70 % (i 2-3 opdelte doser)</w:t>
            </w:r>
          </w:p>
        </w:tc>
      </w:tr>
      <w:tr w:rsidR="00F21F4A" w:rsidRPr="00350652" w:rsidTr="00350652">
        <w:tc>
          <w:tcPr>
            <w:tcW w:w="1011"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30 ml/min</w:t>
            </w:r>
          </w:p>
        </w:tc>
        <w:tc>
          <w:tcPr>
            <w:tcW w:w="1872"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0,250</w:t>
            </w:r>
          </w:p>
        </w:tc>
        <w:tc>
          <w:tcPr>
            <w:tcW w:w="2117"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60 % (i 2-3 opdelte doser)</w:t>
            </w:r>
          </w:p>
        </w:tc>
      </w:tr>
      <w:tr w:rsidR="00F21F4A" w:rsidRPr="00350652" w:rsidTr="00350652">
        <w:tc>
          <w:tcPr>
            <w:tcW w:w="1011"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20 ml/min</w:t>
            </w:r>
          </w:p>
        </w:tc>
        <w:tc>
          <w:tcPr>
            <w:tcW w:w="1872"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0,167</w:t>
            </w:r>
          </w:p>
        </w:tc>
        <w:tc>
          <w:tcPr>
            <w:tcW w:w="2117"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40 % (i 2-3 opdelte doser)</w:t>
            </w:r>
          </w:p>
        </w:tc>
      </w:tr>
      <w:tr w:rsidR="00F21F4A" w:rsidRPr="00350652" w:rsidTr="00350652">
        <w:tc>
          <w:tcPr>
            <w:tcW w:w="1011"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10 ml/min</w:t>
            </w:r>
          </w:p>
        </w:tc>
        <w:tc>
          <w:tcPr>
            <w:tcW w:w="1872"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0,083</w:t>
            </w:r>
          </w:p>
        </w:tc>
        <w:tc>
          <w:tcPr>
            <w:tcW w:w="2117"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20 % (i 1-2 opdelte doser)</w:t>
            </w:r>
          </w:p>
        </w:tc>
      </w:tr>
    </w:tbl>
    <w:p w:rsidR="00F21F4A" w:rsidRDefault="00F21F4A" w:rsidP="00350652">
      <w:pPr>
        <w:ind w:left="851"/>
        <w:rPr>
          <w:rFonts w:eastAsia="Verdana"/>
          <w:sz w:val="24"/>
          <w:szCs w:val="24"/>
          <w:lang w:eastAsia="en-GB"/>
        </w:rPr>
      </w:pPr>
      <w:r w:rsidRPr="00350652">
        <w:rPr>
          <w:rFonts w:eastAsia="Verdana"/>
          <w:sz w:val="24"/>
          <w:szCs w:val="24"/>
          <w:vertAlign w:val="superscript"/>
          <w:lang w:eastAsia="en-GB"/>
        </w:rPr>
        <w:t>a</w:t>
      </w:r>
      <w:r w:rsidRPr="00350652">
        <w:rPr>
          <w:rFonts w:eastAsia="Verdana"/>
          <w:sz w:val="24"/>
          <w:szCs w:val="24"/>
          <w:lang w:eastAsia="en-GB"/>
        </w:rPr>
        <w:t xml:space="preserve"> Dosis udtrykkes som en andel af dosen, der ville have været anset som passende, hvis patientens nyrefunktion var normal som beregnet i henhold til </w:t>
      </w:r>
      <w:proofErr w:type="spellStart"/>
      <w:r w:rsidRPr="00350652">
        <w:rPr>
          <w:rFonts w:eastAsia="Verdana"/>
          <w:sz w:val="24"/>
          <w:szCs w:val="24"/>
          <w:lang w:eastAsia="en-GB"/>
        </w:rPr>
        <w:t>Cockgroft</w:t>
      </w:r>
      <w:proofErr w:type="spellEnd"/>
      <w:r w:rsidRPr="00350652">
        <w:rPr>
          <w:rFonts w:eastAsia="Verdana"/>
          <w:sz w:val="24"/>
          <w:szCs w:val="24"/>
          <w:lang w:eastAsia="en-GB"/>
        </w:rPr>
        <w:t>-</w:t>
      </w:r>
      <w:proofErr w:type="spellStart"/>
      <w:r w:rsidRPr="00350652">
        <w:rPr>
          <w:rFonts w:eastAsia="Verdana"/>
          <w:sz w:val="24"/>
          <w:szCs w:val="24"/>
          <w:lang w:eastAsia="en-GB"/>
        </w:rPr>
        <w:t>Gault</w:t>
      </w:r>
      <w:proofErr w:type="spellEnd"/>
      <w:r w:rsidRPr="00350652">
        <w:rPr>
          <w:rFonts w:eastAsia="Verdana"/>
          <w:sz w:val="24"/>
          <w:szCs w:val="24"/>
          <w:lang w:eastAsia="en-GB"/>
        </w:rPr>
        <w:t>-formlen.</w:t>
      </w:r>
    </w:p>
    <w:p w:rsidR="00350652" w:rsidRPr="00350652" w:rsidRDefault="00350652" w:rsidP="00350652">
      <w:pPr>
        <w:ind w:left="851"/>
        <w:rPr>
          <w:rFonts w:eastAsia="Verdana"/>
          <w:sz w:val="24"/>
          <w:szCs w:val="24"/>
          <w:lang w:eastAsia="en-GB"/>
        </w:rPr>
      </w:pPr>
    </w:p>
    <w:p w:rsidR="00F21F4A" w:rsidRDefault="00F21F4A" w:rsidP="00350652">
      <w:pPr>
        <w:ind w:left="851"/>
        <w:rPr>
          <w:rFonts w:eastAsia="Verdana"/>
          <w:sz w:val="24"/>
          <w:szCs w:val="24"/>
          <w:lang w:eastAsia="en-GB"/>
        </w:rPr>
      </w:pPr>
      <w:r w:rsidRPr="00350652">
        <w:rPr>
          <w:rFonts w:eastAsia="Verdana"/>
          <w:sz w:val="24"/>
          <w:szCs w:val="24"/>
          <w:lang w:eastAsia="en-GB"/>
        </w:rPr>
        <w:t>Den første dosis (støddosis) skal øges med 100 %, men må ikke overskride 8 g.</w:t>
      </w:r>
    </w:p>
    <w:p w:rsidR="00350652" w:rsidRPr="00350652" w:rsidRDefault="00350652" w:rsidP="00350652">
      <w:pPr>
        <w:ind w:left="851"/>
        <w:rPr>
          <w:rFonts w:eastAsia="Verdana"/>
          <w:sz w:val="24"/>
          <w:szCs w:val="24"/>
          <w:lang w:eastAsia="en-GB"/>
        </w:rPr>
      </w:pPr>
    </w:p>
    <w:p w:rsidR="00F21F4A" w:rsidRPr="00350652" w:rsidRDefault="00F21F4A" w:rsidP="00350652">
      <w:pPr>
        <w:ind w:left="851"/>
        <w:rPr>
          <w:rFonts w:eastAsia="Verdana"/>
          <w:i/>
          <w:sz w:val="24"/>
          <w:szCs w:val="24"/>
          <w:lang w:eastAsia="en-GB"/>
        </w:rPr>
      </w:pPr>
      <w:r w:rsidRPr="00350652">
        <w:rPr>
          <w:rFonts w:eastAsia="Verdana"/>
          <w:i/>
          <w:iCs/>
          <w:sz w:val="24"/>
          <w:szCs w:val="24"/>
          <w:lang w:eastAsia="en-GB"/>
        </w:rPr>
        <w:t>Patienter, som gennemgår nyresubstitutionsterapi</w:t>
      </w:r>
    </w:p>
    <w:p w:rsidR="00350652" w:rsidRDefault="00F21F4A" w:rsidP="00350652">
      <w:pPr>
        <w:ind w:left="851"/>
        <w:rPr>
          <w:rFonts w:eastAsia="Verdana"/>
          <w:sz w:val="24"/>
          <w:szCs w:val="24"/>
          <w:lang w:eastAsia="en-GB"/>
        </w:rPr>
      </w:pPr>
      <w:r w:rsidRPr="00350652">
        <w:rPr>
          <w:rFonts w:eastAsia="Verdana"/>
          <w:sz w:val="24"/>
          <w:szCs w:val="24"/>
          <w:lang w:eastAsia="en-GB"/>
        </w:rPr>
        <w:t xml:space="preserve">Patienter, som får kronisk intermitterende dialyse (hver 48 timer), skal modtage 2 g </w:t>
      </w:r>
      <w:proofErr w:type="spellStart"/>
      <w:r w:rsidRPr="00350652">
        <w:rPr>
          <w:rFonts w:eastAsia="Verdana"/>
          <w:sz w:val="24"/>
          <w:szCs w:val="24"/>
          <w:lang w:eastAsia="en-GB"/>
        </w:rPr>
        <w:t>fosfomycin</w:t>
      </w:r>
      <w:proofErr w:type="spellEnd"/>
      <w:r w:rsidRPr="00350652">
        <w:rPr>
          <w:rFonts w:eastAsia="Verdana"/>
          <w:sz w:val="24"/>
          <w:szCs w:val="24"/>
          <w:lang w:eastAsia="en-GB"/>
        </w:rPr>
        <w:t xml:space="preserve"> ved slutningen af hver dialysebehandling.</w:t>
      </w:r>
    </w:p>
    <w:p w:rsidR="00350652" w:rsidRPr="00350652" w:rsidRDefault="00350652" w:rsidP="00350652">
      <w:pPr>
        <w:ind w:left="851"/>
        <w:rPr>
          <w:rFonts w:eastAsia="Verdana"/>
          <w:sz w:val="24"/>
          <w:szCs w:val="24"/>
          <w:lang w:eastAsia="en-GB"/>
        </w:rPr>
      </w:pPr>
    </w:p>
    <w:p w:rsidR="00F21F4A" w:rsidRDefault="00F21F4A" w:rsidP="00350652">
      <w:pPr>
        <w:ind w:left="851"/>
        <w:rPr>
          <w:rFonts w:eastAsia="Verdana"/>
          <w:sz w:val="24"/>
          <w:szCs w:val="24"/>
          <w:lang w:eastAsia="en-GB"/>
        </w:rPr>
      </w:pPr>
      <w:r w:rsidRPr="00350652">
        <w:rPr>
          <w:rFonts w:eastAsia="Verdana"/>
          <w:sz w:val="24"/>
          <w:szCs w:val="24"/>
          <w:lang w:eastAsia="en-GB"/>
        </w:rPr>
        <w:t xml:space="preserve">Under kontinuerlig </w:t>
      </w:r>
      <w:proofErr w:type="spellStart"/>
      <w:r w:rsidRPr="00350652">
        <w:rPr>
          <w:rFonts w:eastAsia="Verdana"/>
          <w:sz w:val="24"/>
          <w:szCs w:val="24"/>
          <w:lang w:eastAsia="en-GB"/>
        </w:rPr>
        <w:t>venovenøs</w:t>
      </w:r>
      <w:proofErr w:type="spellEnd"/>
      <w:r w:rsidRPr="00350652">
        <w:rPr>
          <w:rFonts w:eastAsia="Verdana"/>
          <w:sz w:val="24"/>
          <w:szCs w:val="24"/>
          <w:lang w:eastAsia="en-GB"/>
        </w:rPr>
        <w:t xml:space="preserve"> </w:t>
      </w:r>
      <w:proofErr w:type="spellStart"/>
      <w:r w:rsidRPr="00350652">
        <w:rPr>
          <w:rFonts w:eastAsia="Verdana"/>
          <w:sz w:val="24"/>
          <w:szCs w:val="24"/>
          <w:lang w:eastAsia="en-GB"/>
        </w:rPr>
        <w:t>hæmofiltration</w:t>
      </w:r>
      <w:proofErr w:type="spellEnd"/>
      <w:r w:rsidRPr="00350652">
        <w:rPr>
          <w:rFonts w:eastAsia="Verdana"/>
          <w:sz w:val="24"/>
          <w:szCs w:val="24"/>
          <w:lang w:eastAsia="en-GB"/>
        </w:rPr>
        <w:t xml:space="preserve"> (CVVHF efter fortynding) elimineres </w:t>
      </w:r>
      <w:proofErr w:type="spellStart"/>
      <w:r w:rsidRPr="00350652">
        <w:rPr>
          <w:rFonts w:eastAsia="Verdana"/>
          <w:sz w:val="24"/>
          <w:szCs w:val="24"/>
          <w:lang w:eastAsia="en-GB"/>
        </w:rPr>
        <w:t>fosfomycin</w:t>
      </w:r>
      <w:proofErr w:type="spellEnd"/>
      <w:r w:rsidRPr="00350652">
        <w:rPr>
          <w:rFonts w:eastAsia="Verdana"/>
          <w:sz w:val="24"/>
          <w:szCs w:val="24"/>
          <w:lang w:eastAsia="en-GB"/>
        </w:rPr>
        <w:t xml:space="preserve"> effektivt. Patienter, som gennemgår CVVHF efter fortynding, kræver ikke dosisjustering (se pkt. 5.2).</w:t>
      </w:r>
    </w:p>
    <w:p w:rsidR="00350652" w:rsidRPr="00350652" w:rsidRDefault="00350652" w:rsidP="00350652">
      <w:pPr>
        <w:ind w:left="851"/>
        <w:rPr>
          <w:rFonts w:eastAsia="Verdana"/>
          <w:sz w:val="24"/>
          <w:szCs w:val="24"/>
          <w:lang w:eastAsia="en-GB"/>
        </w:rPr>
      </w:pPr>
    </w:p>
    <w:p w:rsidR="00F21F4A" w:rsidRPr="00350652" w:rsidRDefault="00F21F4A" w:rsidP="00350652">
      <w:pPr>
        <w:ind w:left="851"/>
        <w:rPr>
          <w:rFonts w:eastAsia="Verdana"/>
          <w:i/>
          <w:sz w:val="24"/>
          <w:szCs w:val="24"/>
          <w:lang w:eastAsia="en-GB"/>
        </w:rPr>
      </w:pPr>
      <w:r w:rsidRPr="00350652">
        <w:rPr>
          <w:rFonts w:eastAsia="Verdana"/>
          <w:i/>
          <w:iCs/>
          <w:sz w:val="24"/>
          <w:szCs w:val="24"/>
          <w:lang w:eastAsia="en-GB"/>
        </w:rPr>
        <w:t>Nedsat leverfunktion</w:t>
      </w:r>
    </w:p>
    <w:p w:rsidR="00F21F4A" w:rsidRDefault="00F21F4A" w:rsidP="00350652">
      <w:pPr>
        <w:ind w:left="851"/>
        <w:rPr>
          <w:rFonts w:eastAsia="Verdana"/>
          <w:sz w:val="24"/>
          <w:szCs w:val="24"/>
          <w:lang w:eastAsia="en-GB"/>
        </w:rPr>
      </w:pPr>
      <w:r w:rsidRPr="00350652">
        <w:rPr>
          <w:rFonts w:eastAsia="Verdana"/>
          <w:sz w:val="24"/>
          <w:szCs w:val="24"/>
          <w:lang w:eastAsia="en-GB"/>
        </w:rPr>
        <w:t>Dosisjustering er ikke nødvendig for patienter med nedsat leverfunktion.</w:t>
      </w:r>
    </w:p>
    <w:p w:rsidR="00350652" w:rsidRPr="00350652" w:rsidRDefault="00350652" w:rsidP="00350652">
      <w:pPr>
        <w:ind w:left="851"/>
        <w:rPr>
          <w:rFonts w:eastAsia="Verdana"/>
          <w:sz w:val="24"/>
          <w:szCs w:val="24"/>
          <w:lang w:eastAsia="en-GB"/>
        </w:rPr>
      </w:pPr>
    </w:p>
    <w:p w:rsidR="00F21F4A" w:rsidRPr="00350652" w:rsidRDefault="00F21F4A" w:rsidP="00350652">
      <w:pPr>
        <w:ind w:left="851"/>
        <w:rPr>
          <w:rFonts w:eastAsia="Verdana"/>
          <w:i/>
          <w:sz w:val="24"/>
          <w:szCs w:val="24"/>
          <w:lang w:eastAsia="en-GB"/>
        </w:rPr>
      </w:pPr>
      <w:r w:rsidRPr="00350652">
        <w:rPr>
          <w:rFonts w:eastAsia="Verdana"/>
          <w:i/>
          <w:iCs/>
          <w:sz w:val="24"/>
          <w:szCs w:val="24"/>
          <w:lang w:eastAsia="en-GB"/>
        </w:rPr>
        <w:t>Pædiatrisk population</w:t>
      </w:r>
    </w:p>
    <w:p w:rsidR="00F21F4A" w:rsidRDefault="00F21F4A" w:rsidP="00350652">
      <w:pPr>
        <w:ind w:left="851"/>
        <w:rPr>
          <w:rFonts w:eastAsia="Verdana"/>
          <w:sz w:val="24"/>
          <w:szCs w:val="24"/>
          <w:lang w:eastAsia="en-GB"/>
        </w:rPr>
      </w:pPr>
      <w:r w:rsidRPr="00350652">
        <w:rPr>
          <w:rFonts w:eastAsia="Verdana"/>
          <w:sz w:val="24"/>
          <w:szCs w:val="24"/>
          <w:lang w:eastAsia="en-GB"/>
        </w:rPr>
        <w:t>Dosisanbefalinger er baseret på meget begrænsede data.</w:t>
      </w:r>
    </w:p>
    <w:p w:rsidR="00350652" w:rsidRPr="00350652" w:rsidRDefault="00350652" w:rsidP="00350652">
      <w:pPr>
        <w:ind w:left="851"/>
        <w:rPr>
          <w:rFonts w:eastAsia="Verdana"/>
          <w:sz w:val="24"/>
          <w:szCs w:val="24"/>
          <w:lang w:eastAsia="en-GB"/>
        </w:rPr>
      </w:pPr>
    </w:p>
    <w:p w:rsidR="00F21F4A" w:rsidRPr="00350652" w:rsidRDefault="00F21F4A" w:rsidP="00350652">
      <w:pPr>
        <w:ind w:left="851"/>
        <w:rPr>
          <w:rFonts w:eastAsia="Verdana"/>
          <w:sz w:val="24"/>
          <w:szCs w:val="24"/>
          <w:u w:val="single"/>
          <w:lang w:eastAsia="en-GB"/>
        </w:rPr>
      </w:pPr>
      <w:r w:rsidRPr="00350652">
        <w:rPr>
          <w:rFonts w:eastAsia="Verdana"/>
          <w:sz w:val="24"/>
          <w:szCs w:val="24"/>
          <w:u w:val="single"/>
          <w:lang w:eastAsia="en-GB"/>
        </w:rPr>
        <w:t xml:space="preserve">Nyfødte, spædbørn og børn &lt; 12 år (&lt; 40 kg) </w:t>
      </w:r>
    </w:p>
    <w:p w:rsidR="00F21F4A" w:rsidRDefault="00F21F4A" w:rsidP="00350652">
      <w:pPr>
        <w:ind w:left="851"/>
        <w:rPr>
          <w:rFonts w:eastAsia="Verdana"/>
          <w:sz w:val="24"/>
          <w:szCs w:val="24"/>
          <w:lang w:eastAsia="en-GB"/>
        </w:rPr>
      </w:pPr>
      <w:r w:rsidRPr="00350652">
        <w:rPr>
          <w:rFonts w:eastAsia="Verdana"/>
          <w:sz w:val="24"/>
          <w:szCs w:val="24"/>
          <w:lang w:eastAsia="en-GB"/>
        </w:rPr>
        <w:t xml:space="preserve">Doseringen af </w:t>
      </w:r>
      <w:proofErr w:type="spellStart"/>
      <w:r w:rsidRPr="00350652">
        <w:rPr>
          <w:rFonts w:eastAsia="Verdana"/>
          <w:sz w:val="24"/>
          <w:szCs w:val="24"/>
          <w:lang w:eastAsia="en-GB"/>
        </w:rPr>
        <w:t>fosfomycin</w:t>
      </w:r>
      <w:proofErr w:type="spellEnd"/>
      <w:r w:rsidRPr="00350652">
        <w:rPr>
          <w:rFonts w:eastAsia="Verdana"/>
          <w:sz w:val="24"/>
          <w:szCs w:val="24"/>
          <w:lang w:eastAsia="en-GB"/>
        </w:rPr>
        <w:t xml:space="preserve"> hos børn bør baseres på alder og kropsvægt:</w:t>
      </w:r>
    </w:p>
    <w:p w:rsidR="00350652" w:rsidRDefault="00350652" w:rsidP="00350652">
      <w:pPr>
        <w:ind w:left="851"/>
        <w:rPr>
          <w:rFonts w:eastAsia="Verdana"/>
          <w:sz w:val="24"/>
          <w:szCs w:val="24"/>
          <w:lang w:eastAsia="en-GB"/>
        </w:rPr>
      </w:pPr>
    </w:p>
    <w:p w:rsidR="00D7645D" w:rsidRPr="00350652" w:rsidRDefault="00D7645D" w:rsidP="00350652">
      <w:pPr>
        <w:ind w:left="851"/>
        <w:rPr>
          <w:rFonts w:eastAsia="Verdana"/>
          <w:sz w:val="24"/>
          <w:szCs w:val="24"/>
          <w:lang w:eastAsia="en-GB"/>
        </w:rPr>
      </w:pPr>
    </w:p>
    <w:p w:rsidR="00F21F4A" w:rsidRPr="00350652" w:rsidRDefault="00F21F4A" w:rsidP="00FF1DC7">
      <w:pPr>
        <w:keepNext/>
        <w:ind w:left="851"/>
        <w:rPr>
          <w:rFonts w:eastAsia="Verdana"/>
          <w:b/>
          <w:sz w:val="24"/>
          <w:szCs w:val="24"/>
          <w:lang w:eastAsia="en-GB"/>
        </w:rPr>
      </w:pPr>
      <w:r w:rsidRPr="00350652">
        <w:rPr>
          <w:rFonts w:eastAsia="Verdana"/>
          <w:b/>
          <w:bCs/>
          <w:sz w:val="24"/>
          <w:szCs w:val="24"/>
          <w:lang w:eastAsia="en-GB"/>
        </w:rPr>
        <w:lastRenderedPageBreak/>
        <w:t>Tabel 3 – Dosering hos børn og nyfødte</w:t>
      </w: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270"/>
      </w:tblGrid>
      <w:tr w:rsidR="00F21F4A" w:rsidRPr="00350652" w:rsidTr="00350652">
        <w:tc>
          <w:tcPr>
            <w:tcW w:w="2569"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b/>
                <w:sz w:val="24"/>
                <w:szCs w:val="24"/>
                <w:lang w:eastAsia="en-GB"/>
              </w:rPr>
            </w:pPr>
            <w:r w:rsidRPr="00350652">
              <w:rPr>
                <w:rFonts w:eastAsia="Verdana"/>
                <w:b/>
                <w:bCs/>
                <w:sz w:val="24"/>
                <w:szCs w:val="24"/>
                <w:lang w:eastAsia="en-GB"/>
              </w:rPr>
              <w:t>Alder/vægt</w:t>
            </w:r>
          </w:p>
        </w:tc>
        <w:tc>
          <w:tcPr>
            <w:tcW w:w="2431"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b/>
                <w:sz w:val="24"/>
                <w:szCs w:val="24"/>
                <w:lang w:eastAsia="en-GB"/>
              </w:rPr>
            </w:pPr>
            <w:r w:rsidRPr="00350652">
              <w:rPr>
                <w:rFonts w:eastAsia="Verdana"/>
                <w:b/>
                <w:bCs/>
                <w:sz w:val="24"/>
                <w:szCs w:val="24"/>
                <w:lang w:eastAsia="en-GB"/>
              </w:rPr>
              <w:t>Daglig dosis</w:t>
            </w:r>
          </w:p>
        </w:tc>
      </w:tr>
      <w:tr w:rsidR="00F21F4A" w:rsidRPr="00350652" w:rsidTr="00350652">
        <w:tc>
          <w:tcPr>
            <w:tcW w:w="2569"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 xml:space="preserve">Præmature nyfødte (alder </w:t>
            </w:r>
            <w:r w:rsidRPr="00350652">
              <w:rPr>
                <w:rFonts w:eastAsia="Verdana"/>
                <w:sz w:val="24"/>
                <w:szCs w:val="24"/>
                <w:vertAlign w:val="superscript"/>
                <w:lang w:eastAsia="en-GB"/>
              </w:rPr>
              <w:t>a</w:t>
            </w:r>
            <w:r w:rsidRPr="00350652">
              <w:rPr>
                <w:rFonts w:eastAsia="Verdana"/>
                <w:sz w:val="24"/>
                <w:szCs w:val="24"/>
                <w:lang w:eastAsia="en-GB"/>
              </w:rPr>
              <w:t xml:space="preserve"> &lt; 40 uger) </w:t>
            </w:r>
          </w:p>
        </w:tc>
        <w:tc>
          <w:tcPr>
            <w:tcW w:w="2431"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100 mg/kg kropsvægt i 2 opdelte doser</w:t>
            </w:r>
          </w:p>
        </w:tc>
      </w:tr>
      <w:tr w:rsidR="00F21F4A" w:rsidRPr="00350652" w:rsidTr="00350652">
        <w:tc>
          <w:tcPr>
            <w:tcW w:w="2569"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 xml:space="preserve">Nyfødte (alder </w:t>
            </w:r>
            <w:r w:rsidRPr="00350652">
              <w:rPr>
                <w:rFonts w:eastAsia="Verdana"/>
                <w:sz w:val="24"/>
                <w:szCs w:val="24"/>
                <w:vertAlign w:val="superscript"/>
                <w:lang w:eastAsia="en-GB"/>
              </w:rPr>
              <w:t>a</w:t>
            </w:r>
            <w:r w:rsidRPr="00350652">
              <w:rPr>
                <w:rFonts w:eastAsia="Verdana"/>
                <w:sz w:val="24"/>
                <w:szCs w:val="24"/>
                <w:lang w:eastAsia="en-GB"/>
              </w:rPr>
              <w:t xml:space="preserve"> 40-44 uger)</w:t>
            </w:r>
          </w:p>
        </w:tc>
        <w:tc>
          <w:tcPr>
            <w:tcW w:w="2431"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200 mg/kg kropsvægt i 3 opdelte doser</w:t>
            </w:r>
          </w:p>
        </w:tc>
      </w:tr>
      <w:tr w:rsidR="00F21F4A" w:rsidRPr="00350652" w:rsidTr="00350652">
        <w:tc>
          <w:tcPr>
            <w:tcW w:w="2569"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Spædbørn 1-12 måneder (op til 10 kg kropsvægt)</w:t>
            </w:r>
          </w:p>
        </w:tc>
        <w:tc>
          <w:tcPr>
            <w:tcW w:w="2431"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 xml:space="preserve">200-300 </w:t>
            </w:r>
            <w:r w:rsidRPr="00350652">
              <w:rPr>
                <w:rFonts w:eastAsia="Verdana"/>
                <w:sz w:val="24"/>
                <w:szCs w:val="24"/>
                <w:vertAlign w:val="superscript"/>
                <w:lang w:eastAsia="en-GB"/>
              </w:rPr>
              <w:t>b</w:t>
            </w:r>
            <w:r w:rsidRPr="00350652">
              <w:rPr>
                <w:rFonts w:eastAsia="Verdana"/>
                <w:sz w:val="24"/>
                <w:szCs w:val="24"/>
                <w:lang w:eastAsia="en-GB"/>
              </w:rPr>
              <w:t xml:space="preserve"> mg/kg kropsvægt i 3 opdelte doser</w:t>
            </w:r>
          </w:p>
        </w:tc>
      </w:tr>
      <w:tr w:rsidR="00F21F4A" w:rsidRPr="00350652" w:rsidTr="00350652">
        <w:tc>
          <w:tcPr>
            <w:tcW w:w="2569"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Spædbørn og børn i alderen 1 ≤ 12 år (10</w:t>
            </w:r>
            <w:r w:rsidR="00350652">
              <w:rPr>
                <w:rFonts w:eastAsia="Verdana"/>
                <w:sz w:val="24"/>
                <w:szCs w:val="24"/>
                <w:lang w:eastAsia="en-GB"/>
              </w:rPr>
              <w:t> </w:t>
            </w:r>
            <w:r w:rsidRPr="00350652">
              <w:rPr>
                <w:rFonts w:eastAsia="Verdana"/>
                <w:sz w:val="24"/>
                <w:szCs w:val="24"/>
                <w:lang w:eastAsia="en-GB"/>
              </w:rPr>
              <w:t>≤</w:t>
            </w:r>
            <w:r w:rsidR="00350652">
              <w:rPr>
                <w:rFonts w:eastAsia="Verdana"/>
                <w:sz w:val="24"/>
                <w:szCs w:val="24"/>
                <w:lang w:eastAsia="en-GB"/>
              </w:rPr>
              <w:t> </w:t>
            </w:r>
            <w:r w:rsidRPr="00350652">
              <w:rPr>
                <w:rFonts w:eastAsia="Verdana"/>
                <w:sz w:val="24"/>
                <w:szCs w:val="24"/>
                <w:lang w:eastAsia="en-GB"/>
              </w:rPr>
              <w:t>40 kg kropsvægt)</w:t>
            </w:r>
          </w:p>
        </w:tc>
        <w:tc>
          <w:tcPr>
            <w:tcW w:w="2431" w:type="pct"/>
            <w:tcBorders>
              <w:top w:val="single" w:sz="4" w:space="0" w:color="auto"/>
              <w:left w:val="single" w:sz="4" w:space="0" w:color="auto"/>
              <w:bottom w:val="single" w:sz="4" w:space="0" w:color="auto"/>
              <w:right w:val="single" w:sz="4" w:space="0" w:color="auto"/>
            </w:tcBorders>
            <w:hideMark/>
          </w:tcPr>
          <w:p w:rsidR="00F21F4A" w:rsidRPr="00350652" w:rsidRDefault="00F21F4A">
            <w:pPr>
              <w:spacing w:after="140" w:line="280" w:lineRule="atLeast"/>
              <w:rPr>
                <w:rFonts w:eastAsia="Verdana"/>
                <w:sz w:val="24"/>
                <w:szCs w:val="24"/>
                <w:lang w:eastAsia="en-GB"/>
              </w:rPr>
            </w:pPr>
            <w:r w:rsidRPr="00350652">
              <w:rPr>
                <w:rFonts w:eastAsia="Verdana"/>
                <w:sz w:val="24"/>
                <w:szCs w:val="24"/>
                <w:lang w:eastAsia="en-GB"/>
              </w:rPr>
              <w:t xml:space="preserve">200-400 </w:t>
            </w:r>
            <w:r w:rsidRPr="00350652">
              <w:rPr>
                <w:rFonts w:eastAsia="Verdana"/>
                <w:sz w:val="24"/>
                <w:szCs w:val="24"/>
                <w:vertAlign w:val="superscript"/>
                <w:lang w:eastAsia="en-GB"/>
              </w:rPr>
              <w:t>b</w:t>
            </w:r>
            <w:r w:rsidRPr="00350652">
              <w:rPr>
                <w:rFonts w:eastAsia="Verdana"/>
                <w:sz w:val="24"/>
                <w:szCs w:val="24"/>
                <w:lang w:eastAsia="en-GB"/>
              </w:rPr>
              <w:t xml:space="preserve"> mg/kg kropsvægt i 3-4 opdelte doser</w:t>
            </w:r>
          </w:p>
        </w:tc>
      </w:tr>
    </w:tbl>
    <w:p w:rsidR="00F21F4A" w:rsidRPr="00350652" w:rsidRDefault="00F21F4A" w:rsidP="00350652">
      <w:pPr>
        <w:ind w:left="851"/>
        <w:rPr>
          <w:rFonts w:eastAsia="Verdana"/>
          <w:sz w:val="24"/>
          <w:szCs w:val="24"/>
          <w:lang w:eastAsia="en-GB"/>
        </w:rPr>
      </w:pPr>
      <w:r w:rsidRPr="00350652">
        <w:rPr>
          <w:rFonts w:eastAsia="Verdana"/>
          <w:sz w:val="24"/>
          <w:szCs w:val="24"/>
          <w:vertAlign w:val="superscript"/>
          <w:lang w:eastAsia="en-GB"/>
        </w:rPr>
        <w:t>a</w:t>
      </w:r>
      <w:r w:rsidRPr="00350652">
        <w:rPr>
          <w:rFonts w:eastAsia="Verdana"/>
          <w:sz w:val="24"/>
          <w:szCs w:val="24"/>
          <w:lang w:eastAsia="en-GB"/>
        </w:rPr>
        <w:t xml:space="preserve"> Sum af </w:t>
      </w:r>
      <w:proofErr w:type="spellStart"/>
      <w:r w:rsidRPr="00350652">
        <w:rPr>
          <w:rFonts w:eastAsia="Verdana"/>
          <w:sz w:val="24"/>
          <w:szCs w:val="24"/>
          <w:lang w:eastAsia="en-GB"/>
        </w:rPr>
        <w:t>gestationsalder</w:t>
      </w:r>
      <w:proofErr w:type="spellEnd"/>
      <w:r w:rsidRPr="00350652">
        <w:rPr>
          <w:rFonts w:eastAsia="Verdana"/>
          <w:sz w:val="24"/>
          <w:szCs w:val="24"/>
          <w:lang w:eastAsia="en-GB"/>
        </w:rPr>
        <w:t xml:space="preserve"> og </w:t>
      </w:r>
      <w:proofErr w:type="spellStart"/>
      <w:r w:rsidRPr="00350652">
        <w:rPr>
          <w:rFonts w:eastAsia="Verdana"/>
          <w:sz w:val="24"/>
          <w:szCs w:val="24"/>
          <w:lang w:eastAsia="en-GB"/>
        </w:rPr>
        <w:t>postnatal</w:t>
      </w:r>
      <w:proofErr w:type="spellEnd"/>
      <w:r w:rsidRPr="00350652">
        <w:rPr>
          <w:rFonts w:eastAsia="Verdana"/>
          <w:sz w:val="24"/>
          <w:szCs w:val="24"/>
          <w:lang w:eastAsia="en-GB"/>
        </w:rPr>
        <w:t xml:space="preserve"> alder</w:t>
      </w:r>
    </w:p>
    <w:p w:rsidR="00F21F4A" w:rsidRDefault="00F21F4A" w:rsidP="00350652">
      <w:pPr>
        <w:ind w:left="851"/>
        <w:rPr>
          <w:rFonts w:eastAsia="Verdana"/>
          <w:sz w:val="24"/>
          <w:szCs w:val="24"/>
          <w:lang w:eastAsia="en-GB"/>
        </w:rPr>
      </w:pPr>
      <w:r w:rsidRPr="00350652">
        <w:rPr>
          <w:rFonts w:eastAsia="Verdana"/>
          <w:sz w:val="24"/>
          <w:szCs w:val="24"/>
          <w:vertAlign w:val="superscript"/>
          <w:lang w:eastAsia="en-GB"/>
        </w:rPr>
        <w:t>b</w:t>
      </w:r>
      <w:r w:rsidRPr="00350652">
        <w:rPr>
          <w:rFonts w:eastAsia="Verdana"/>
          <w:sz w:val="24"/>
          <w:szCs w:val="24"/>
          <w:lang w:eastAsia="en-GB"/>
        </w:rPr>
        <w:t xml:space="preserve"> Højdosisregimet kan overvejes for svære infektioner og/eller alvorlige infektioner (såsom meningitis), især når de vides eller mistænkes at være forårsaget af organismer med moderat følsomhed.</w:t>
      </w:r>
    </w:p>
    <w:p w:rsidR="00350652" w:rsidRPr="00350652" w:rsidRDefault="00350652" w:rsidP="00350652">
      <w:pPr>
        <w:ind w:left="851"/>
        <w:rPr>
          <w:rFonts w:eastAsia="Verdana"/>
          <w:sz w:val="24"/>
          <w:szCs w:val="24"/>
          <w:lang w:eastAsia="en-GB"/>
        </w:rPr>
      </w:pPr>
    </w:p>
    <w:p w:rsidR="00F21F4A" w:rsidRDefault="00F21F4A" w:rsidP="00350652">
      <w:pPr>
        <w:ind w:left="851"/>
        <w:rPr>
          <w:rFonts w:eastAsia="Verdana"/>
          <w:sz w:val="24"/>
          <w:szCs w:val="24"/>
          <w:lang w:eastAsia="en-GB"/>
        </w:rPr>
      </w:pPr>
      <w:r w:rsidRPr="00350652">
        <w:rPr>
          <w:rFonts w:eastAsia="Verdana"/>
          <w:sz w:val="24"/>
          <w:szCs w:val="24"/>
          <w:lang w:eastAsia="en-GB"/>
        </w:rPr>
        <w:t>Der kan ikke gives nogen dosisanbefalinger for børn med nedsat nyrefunktion.</w:t>
      </w:r>
    </w:p>
    <w:p w:rsidR="00350652" w:rsidRPr="00350652" w:rsidRDefault="00350652" w:rsidP="00350652">
      <w:pPr>
        <w:ind w:left="851"/>
        <w:rPr>
          <w:rFonts w:eastAsia="Verdana"/>
          <w:sz w:val="24"/>
          <w:szCs w:val="24"/>
          <w:lang w:eastAsia="en-GB"/>
        </w:rPr>
      </w:pPr>
    </w:p>
    <w:p w:rsidR="00F21F4A" w:rsidRPr="00350652" w:rsidRDefault="00F21F4A" w:rsidP="00350652">
      <w:pPr>
        <w:ind w:left="851"/>
        <w:rPr>
          <w:rFonts w:eastAsia="Verdana"/>
          <w:sz w:val="24"/>
          <w:szCs w:val="24"/>
          <w:u w:val="single"/>
          <w:lang w:eastAsia="en-GB"/>
        </w:rPr>
      </w:pPr>
      <w:r w:rsidRPr="00350652">
        <w:rPr>
          <w:rFonts w:eastAsia="Verdana"/>
          <w:sz w:val="24"/>
          <w:szCs w:val="24"/>
          <w:u w:val="single"/>
          <w:lang w:eastAsia="en-GB"/>
        </w:rPr>
        <w:t>Administration</w:t>
      </w:r>
    </w:p>
    <w:p w:rsidR="00F21F4A" w:rsidRDefault="00F21F4A" w:rsidP="00350652">
      <w:pPr>
        <w:ind w:left="851"/>
        <w:rPr>
          <w:rFonts w:eastAsia="Verdana"/>
          <w:sz w:val="24"/>
          <w:szCs w:val="24"/>
          <w:lang w:eastAsia="en-GB"/>
        </w:rPr>
      </w:pPr>
      <w:proofErr w:type="spellStart"/>
      <w:r w:rsidRPr="00350652">
        <w:rPr>
          <w:rFonts w:eastAsia="Verdana"/>
          <w:sz w:val="24"/>
          <w:szCs w:val="24"/>
          <w:lang w:eastAsia="en-GB"/>
        </w:rPr>
        <w:t>Fosfomycin</w:t>
      </w:r>
      <w:proofErr w:type="spellEnd"/>
      <w:r w:rsidRPr="00350652">
        <w:rPr>
          <w:rFonts w:eastAsia="Verdana"/>
          <w:sz w:val="24"/>
          <w:szCs w:val="24"/>
          <w:lang w:eastAsia="en-GB"/>
        </w:rPr>
        <w:t xml:space="preserve"> </w:t>
      </w:r>
      <w:r w:rsidRPr="00350652">
        <w:rPr>
          <w:sz w:val="24"/>
          <w:szCs w:val="24"/>
        </w:rPr>
        <w:t>"</w:t>
      </w:r>
      <w:proofErr w:type="spellStart"/>
      <w:r w:rsidRPr="00350652">
        <w:rPr>
          <w:rFonts w:eastAsia="Verdana"/>
          <w:sz w:val="24"/>
          <w:szCs w:val="24"/>
          <w:lang w:eastAsia="en-GB"/>
        </w:rPr>
        <w:t>Infectopharm</w:t>
      </w:r>
      <w:proofErr w:type="spellEnd"/>
      <w:r w:rsidRPr="00350652">
        <w:rPr>
          <w:sz w:val="24"/>
          <w:szCs w:val="24"/>
        </w:rPr>
        <w:t>"</w:t>
      </w:r>
      <w:r w:rsidRPr="00350652">
        <w:rPr>
          <w:rFonts w:eastAsia="Verdana"/>
          <w:sz w:val="24"/>
          <w:szCs w:val="24"/>
          <w:lang w:eastAsia="en-GB"/>
        </w:rPr>
        <w:t xml:space="preserve"> er beregnet til intravenøs anvendelse. </w:t>
      </w:r>
    </w:p>
    <w:p w:rsidR="00350652" w:rsidRPr="00350652" w:rsidRDefault="00350652" w:rsidP="00350652">
      <w:pPr>
        <w:ind w:left="851"/>
        <w:rPr>
          <w:rFonts w:eastAsia="Verdana"/>
          <w:sz w:val="24"/>
          <w:szCs w:val="24"/>
          <w:u w:val="single"/>
          <w:lang w:eastAsia="en-GB"/>
        </w:rPr>
      </w:pPr>
    </w:p>
    <w:p w:rsidR="00F21F4A" w:rsidRDefault="00F21F4A" w:rsidP="00350652">
      <w:pPr>
        <w:ind w:left="851"/>
        <w:rPr>
          <w:rFonts w:eastAsia="Verdana"/>
          <w:sz w:val="24"/>
          <w:szCs w:val="24"/>
          <w:lang w:eastAsia="en-GB"/>
        </w:rPr>
      </w:pPr>
      <w:r w:rsidRPr="00350652">
        <w:rPr>
          <w:rFonts w:eastAsia="Verdana"/>
          <w:sz w:val="24"/>
          <w:szCs w:val="24"/>
          <w:lang w:eastAsia="en-GB"/>
        </w:rPr>
        <w:t>Varigheden af infusion skal være mindst 15 minutter for pakningsstørrelsen på 2 g, mindst 30 minutter for pakningsstørrelsen på 4 g, og mindst 60 minutter for pakningsstørrelsen på 8 g.</w:t>
      </w:r>
    </w:p>
    <w:p w:rsidR="00350652" w:rsidRPr="00350652" w:rsidRDefault="00350652" w:rsidP="00350652">
      <w:pPr>
        <w:ind w:left="851"/>
        <w:rPr>
          <w:rFonts w:eastAsia="Verdana"/>
          <w:sz w:val="24"/>
          <w:szCs w:val="24"/>
          <w:lang w:eastAsia="en-GB"/>
        </w:rPr>
      </w:pPr>
    </w:p>
    <w:p w:rsidR="00F21F4A" w:rsidRDefault="00F21F4A" w:rsidP="00350652">
      <w:pPr>
        <w:ind w:left="851"/>
        <w:rPr>
          <w:rFonts w:eastAsia="Verdana"/>
          <w:sz w:val="24"/>
          <w:szCs w:val="24"/>
          <w:lang w:eastAsia="en-GB"/>
        </w:rPr>
      </w:pPr>
      <w:r w:rsidRPr="00350652">
        <w:rPr>
          <w:rFonts w:eastAsia="Verdana"/>
          <w:sz w:val="24"/>
          <w:szCs w:val="24"/>
          <w:lang w:eastAsia="en-GB"/>
        </w:rPr>
        <w:t xml:space="preserve">Da utilsigtet intraarteriel administration af produkter, der ikke er specifikt anbefalet til intraarteriel behandling, kan resultere i skadelige virkninger, er det vigtigt at sørge for, at </w:t>
      </w:r>
      <w:proofErr w:type="spellStart"/>
      <w:r w:rsidRPr="00350652">
        <w:rPr>
          <w:rFonts w:eastAsia="Verdana"/>
          <w:sz w:val="24"/>
          <w:szCs w:val="24"/>
          <w:lang w:eastAsia="en-GB"/>
        </w:rPr>
        <w:t>fosfomycin</w:t>
      </w:r>
      <w:proofErr w:type="spellEnd"/>
      <w:r w:rsidRPr="00350652">
        <w:rPr>
          <w:rFonts w:eastAsia="Verdana"/>
          <w:sz w:val="24"/>
          <w:szCs w:val="24"/>
          <w:lang w:eastAsia="en-GB"/>
        </w:rPr>
        <w:t xml:space="preserve"> kun administreres i vener.</w:t>
      </w:r>
    </w:p>
    <w:p w:rsidR="00350652" w:rsidRPr="00350652" w:rsidRDefault="00350652" w:rsidP="00350652">
      <w:pPr>
        <w:ind w:left="851"/>
        <w:rPr>
          <w:rFonts w:eastAsia="Verdana"/>
          <w:sz w:val="24"/>
          <w:szCs w:val="24"/>
          <w:lang w:eastAsia="en-GB"/>
        </w:rPr>
      </w:pPr>
    </w:p>
    <w:p w:rsidR="00F21F4A" w:rsidRPr="00350652" w:rsidRDefault="00F21F4A" w:rsidP="00350652">
      <w:pPr>
        <w:tabs>
          <w:tab w:val="left" w:pos="851"/>
        </w:tabs>
        <w:ind w:left="851"/>
        <w:rPr>
          <w:sz w:val="24"/>
          <w:szCs w:val="24"/>
        </w:rPr>
      </w:pPr>
      <w:r w:rsidRPr="00350652">
        <w:rPr>
          <w:rFonts w:eastAsia="SimSun"/>
          <w:sz w:val="24"/>
          <w:szCs w:val="24"/>
          <w:lang w:eastAsia="zh-CN"/>
        </w:rPr>
        <w:t xml:space="preserve">For instruktioner om </w:t>
      </w:r>
      <w:proofErr w:type="spellStart"/>
      <w:r w:rsidRPr="00350652">
        <w:rPr>
          <w:rFonts w:eastAsia="SimSun"/>
          <w:sz w:val="24"/>
          <w:szCs w:val="24"/>
          <w:lang w:eastAsia="zh-CN"/>
        </w:rPr>
        <w:t>rekonstitution</w:t>
      </w:r>
      <w:proofErr w:type="spellEnd"/>
      <w:r w:rsidRPr="00350652">
        <w:rPr>
          <w:rFonts w:eastAsia="SimSun"/>
          <w:sz w:val="24"/>
          <w:szCs w:val="24"/>
          <w:lang w:eastAsia="zh-CN"/>
        </w:rPr>
        <w:t xml:space="preserve"> og fortynding af lægemidlet før administration, se pkt. 6.6.</w:t>
      </w:r>
    </w:p>
    <w:p w:rsidR="00E22947" w:rsidRPr="00350652" w:rsidRDefault="00E22947" w:rsidP="00350652">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4.3</w:t>
      </w:r>
      <w:r w:rsidRPr="00C84483">
        <w:rPr>
          <w:b/>
          <w:sz w:val="24"/>
          <w:szCs w:val="24"/>
        </w:rPr>
        <w:tab/>
        <w:t>Kontraindikationer</w:t>
      </w:r>
    </w:p>
    <w:p w:rsidR="00FA6389" w:rsidRPr="00FA6389" w:rsidRDefault="00FA6389" w:rsidP="00FA6389">
      <w:pPr>
        <w:ind w:left="851"/>
        <w:rPr>
          <w:noProof/>
          <w:sz w:val="24"/>
          <w:szCs w:val="24"/>
          <w:lang w:bidi="ar-QA"/>
        </w:rPr>
      </w:pPr>
      <w:r w:rsidRPr="00FA6389">
        <w:rPr>
          <w:rFonts w:eastAsia="SimSun"/>
          <w:sz w:val="24"/>
          <w:szCs w:val="24"/>
          <w:lang w:eastAsia="zh-CN"/>
        </w:rPr>
        <w:t>Overfølsomhed over for det aktive stof eller over for et eller flere af hjælpestofferne anført i pkt. 6.1.</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A6389" w:rsidRPr="00FA6389" w:rsidRDefault="00FA6389" w:rsidP="00FA6389">
      <w:pPr>
        <w:ind w:left="851"/>
        <w:rPr>
          <w:rFonts w:eastAsia="Verdana"/>
          <w:sz w:val="24"/>
          <w:szCs w:val="24"/>
          <w:u w:val="single"/>
          <w:lang w:eastAsia="en-GB"/>
        </w:rPr>
      </w:pPr>
      <w:r w:rsidRPr="00FA6389">
        <w:rPr>
          <w:rFonts w:eastAsia="Verdana"/>
          <w:sz w:val="24"/>
          <w:szCs w:val="24"/>
          <w:u w:val="single"/>
          <w:lang w:eastAsia="en-GB"/>
        </w:rPr>
        <w:t>Risiko for selektion for resistens og behovet for kombinationsbehandling</w:t>
      </w:r>
    </w:p>
    <w:p w:rsidR="00FA6389" w:rsidRDefault="00FA6389" w:rsidP="00FA6389">
      <w:pPr>
        <w:ind w:left="851"/>
        <w:rPr>
          <w:rFonts w:eastAsia="Verdana"/>
          <w:sz w:val="24"/>
          <w:szCs w:val="24"/>
          <w:lang w:eastAsia="en-GB"/>
        </w:rPr>
      </w:pPr>
      <w:r w:rsidRPr="00FA6389">
        <w:rPr>
          <w:rFonts w:eastAsia="Verdana"/>
          <w:i/>
          <w:iCs/>
          <w:sz w:val="24"/>
          <w:szCs w:val="24"/>
          <w:lang w:eastAsia="en-GB"/>
        </w:rPr>
        <w:t xml:space="preserve">In </w:t>
      </w:r>
      <w:proofErr w:type="spellStart"/>
      <w:r w:rsidRPr="00FA6389">
        <w:rPr>
          <w:rFonts w:eastAsia="Verdana"/>
          <w:i/>
          <w:iCs/>
          <w:sz w:val="24"/>
          <w:szCs w:val="24"/>
          <w:lang w:eastAsia="en-GB"/>
        </w:rPr>
        <w:t>vitro</w:t>
      </w:r>
      <w:proofErr w:type="spellEnd"/>
      <w:r w:rsidRPr="00FA6389">
        <w:rPr>
          <w:rFonts w:eastAsia="Verdana"/>
          <w:i/>
          <w:iCs/>
          <w:sz w:val="24"/>
          <w:szCs w:val="24"/>
          <w:lang w:eastAsia="en-GB"/>
        </w:rPr>
        <w:t xml:space="preserve"> </w:t>
      </w:r>
      <w:r w:rsidRPr="00FA6389">
        <w:rPr>
          <w:rFonts w:eastAsia="Verdana"/>
          <w:sz w:val="24"/>
          <w:szCs w:val="24"/>
          <w:lang w:eastAsia="en-GB"/>
        </w:rPr>
        <w:t xml:space="preserve">har </w:t>
      </w:r>
      <w:proofErr w:type="spellStart"/>
      <w:r w:rsidRPr="00FA6389">
        <w:rPr>
          <w:rFonts w:eastAsia="Verdana"/>
          <w:sz w:val="24"/>
          <w:szCs w:val="24"/>
          <w:lang w:eastAsia="en-GB"/>
        </w:rPr>
        <w:t>fosfomycin</w:t>
      </w:r>
      <w:proofErr w:type="spellEnd"/>
      <w:r w:rsidRPr="00FA6389">
        <w:rPr>
          <w:rFonts w:eastAsia="Verdana"/>
          <w:sz w:val="24"/>
          <w:szCs w:val="24"/>
          <w:lang w:eastAsia="en-GB"/>
        </w:rPr>
        <w:t xml:space="preserve"> vist sig hurtigt at selektere for resistente mutanter. Desuden har brug af intravenøs </w:t>
      </w:r>
      <w:proofErr w:type="spellStart"/>
      <w:r w:rsidRPr="00FA6389">
        <w:rPr>
          <w:rFonts w:eastAsia="Verdana"/>
          <w:sz w:val="24"/>
          <w:szCs w:val="24"/>
          <w:lang w:eastAsia="en-GB"/>
        </w:rPr>
        <w:t>fosfomycin</w:t>
      </w:r>
      <w:proofErr w:type="spellEnd"/>
      <w:r w:rsidRPr="00FA6389">
        <w:rPr>
          <w:rFonts w:eastAsia="Verdana"/>
          <w:sz w:val="24"/>
          <w:szCs w:val="24"/>
          <w:lang w:eastAsia="en-GB"/>
        </w:rPr>
        <w:t xml:space="preserve"> alene været forbundet med selektion for resistens i kliniske forsøg. Når det er muligt, anbefales det, at </w:t>
      </w:r>
      <w:proofErr w:type="spellStart"/>
      <w:r w:rsidRPr="00FA6389">
        <w:rPr>
          <w:rFonts w:eastAsia="Verdana"/>
          <w:sz w:val="24"/>
          <w:szCs w:val="24"/>
          <w:lang w:eastAsia="en-GB"/>
        </w:rPr>
        <w:t>fosfomycin</w:t>
      </w:r>
      <w:proofErr w:type="spellEnd"/>
      <w:r w:rsidRPr="00FA6389">
        <w:rPr>
          <w:rFonts w:eastAsia="Verdana"/>
          <w:sz w:val="24"/>
          <w:szCs w:val="24"/>
          <w:lang w:eastAsia="en-GB"/>
        </w:rPr>
        <w:t xml:space="preserve"> administreres som en del af et kombinationsregime af antibakterielle lægemidler for at reducere risikoen for selektion for resistens.</w:t>
      </w:r>
    </w:p>
    <w:p w:rsidR="00FA6389" w:rsidRPr="00FA6389" w:rsidRDefault="00FA6389" w:rsidP="00FA6389">
      <w:pPr>
        <w:ind w:left="851"/>
        <w:rPr>
          <w:rFonts w:eastAsia="Verdana"/>
          <w:sz w:val="24"/>
          <w:szCs w:val="24"/>
          <w:lang w:eastAsia="en-GB"/>
        </w:rPr>
      </w:pPr>
    </w:p>
    <w:p w:rsidR="00FA6389" w:rsidRPr="00FA6389" w:rsidRDefault="00FA6389" w:rsidP="00FA6389">
      <w:pPr>
        <w:ind w:left="851"/>
        <w:rPr>
          <w:rFonts w:eastAsia="Verdana"/>
          <w:sz w:val="24"/>
          <w:szCs w:val="24"/>
          <w:u w:val="single"/>
          <w:lang w:eastAsia="en-GB"/>
        </w:rPr>
      </w:pPr>
      <w:r w:rsidRPr="00FA6389">
        <w:rPr>
          <w:rFonts w:eastAsia="Verdana"/>
          <w:sz w:val="24"/>
          <w:szCs w:val="24"/>
          <w:u w:val="single"/>
          <w:lang w:eastAsia="en-GB"/>
        </w:rPr>
        <w:t>Begrænsninger i de kliniske data</w:t>
      </w:r>
    </w:p>
    <w:p w:rsidR="00FA6389" w:rsidRDefault="00FA6389" w:rsidP="00FA6389">
      <w:pPr>
        <w:ind w:left="851"/>
        <w:rPr>
          <w:rFonts w:eastAsia="Verdana"/>
          <w:sz w:val="24"/>
          <w:szCs w:val="24"/>
          <w:lang w:eastAsia="en-GB"/>
        </w:rPr>
      </w:pPr>
      <w:r w:rsidRPr="00FA6389">
        <w:rPr>
          <w:rFonts w:eastAsia="Verdana"/>
          <w:sz w:val="24"/>
          <w:szCs w:val="24"/>
          <w:lang w:eastAsia="en-GB"/>
        </w:rPr>
        <w:t xml:space="preserve">De kliniske data til understøttelse af brugen af intravenøs </w:t>
      </w:r>
      <w:proofErr w:type="spellStart"/>
      <w:r w:rsidRPr="00FA6389">
        <w:rPr>
          <w:rFonts w:eastAsia="Verdana"/>
          <w:sz w:val="24"/>
          <w:szCs w:val="24"/>
          <w:lang w:eastAsia="en-GB"/>
        </w:rPr>
        <w:t>fosfomycin</w:t>
      </w:r>
      <w:proofErr w:type="spellEnd"/>
      <w:r w:rsidRPr="00FA6389">
        <w:rPr>
          <w:rFonts w:eastAsia="Verdana"/>
          <w:sz w:val="24"/>
          <w:szCs w:val="24"/>
          <w:lang w:eastAsia="en-GB"/>
        </w:rPr>
        <w:t xml:space="preserve"> til behandling af nogle af de angivne indikationer er begrænset af mangel på tilstrækkelige randomiserede kontrollerede forsøg. Desuden er forskellige doseringsregimer blevet anvendt, og intet enkelt intravenøst doseringsregime er blevet stærkt understøttet af kliniske forsøgsdata. Det anbefales, at </w:t>
      </w:r>
      <w:proofErr w:type="spellStart"/>
      <w:r w:rsidRPr="00FA6389">
        <w:rPr>
          <w:rFonts w:eastAsia="Verdana"/>
          <w:sz w:val="24"/>
          <w:szCs w:val="24"/>
          <w:lang w:eastAsia="en-GB"/>
        </w:rPr>
        <w:t>fosfomycin</w:t>
      </w:r>
      <w:proofErr w:type="spellEnd"/>
      <w:r w:rsidRPr="00FA6389">
        <w:rPr>
          <w:rFonts w:eastAsia="Verdana"/>
          <w:sz w:val="24"/>
          <w:szCs w:val="24"/>
          <w:lang w:eastAsia="en-GB"/>
        </w:rPr>
        <w:t xml:space="preserve"> kun vælges til behandling af de angivne indikationer, når det </w:t>
      </w:r>
      <w:r w:rsidRPr="00FA6389">
        <w:rPr>
          <w:rFonts w:eastAsia="Verdana"/>
          <w:sz w:val="24"/>
          <w:szCs w:val="24"/>
          <w:lang w:eastAsia="en-GB"/>
        </w:rPr>
        <w:lastRenderedPageBreak/>
        <w:t>betragtes som værende uhensigtsmæssigt at bruge antibakterielle lægemidler, som almindeligvis anbefales til indledende behandling af disse infektioner.</w:t>
      </w:r>
    </w:p>
    <w:p w:rsidR="00FA6389" w:rsidRPr="00FA6389" w:rsidRDefault="00FA6389" w:rsidP="00FA6389">
      <w:pPr>
        <w:ind w:left="851"/>
        <w:rPr>
          <w:rFonts w:eastAsia="Verdana"/>
          <w:sz w:val="24"/>
          <w:szCs w:val="24"/>
          <w:lang w:eastAsia="en-GB"/>
        </w:rPr>
      </w:pPr>
    </w:p>
    <w:p w:rsidR="00FA6389" w:rsidRPr="00FA6389" w:rsidRDefault="00FA6389" w:rsidP="00FA6389">
      <w:pPr>
        <w:ind w:left="851"/>
        <w:rPr>
          <w:rFonts w:eastAsia="Verdana"/>
          <w:sz w:val="24"/>
          <w:szCs w:val="24"/>
          <w:u w:val="single"/>
          <w:lang w:eastAsia="en-GB"/>
        </w:rPr>
      </w:pPr>
      <w:r w:rsidRPr="00FA6389">
        <w:rPr>
          <w:rFonts w:eastAsia="Verdana"/>
          <w:sz w:val="24"/>
          <w:szCs w:val="24"/>
          <w:u w:val="single"/>
          <w:lang w:eastAsia="en-GB"/>
        </w:rPr>
        <w:t>Overfølsomhedsreaktioner</w:t>
      </w:r>
    </w:p>
    <w:p w:rsidR="00FA6389" w:rsidRDefault="00FA6389" w:rsidP="00FA6389">
      <w:pPr>
        <w:ind w:left="851"/>
        <w:rPr>
          <w:rFonts w:eastAsia="Verdana"/>
          <w:sz w:val="24"/>
          <w:szCs w:val="24"/>
          <w:lang w:eastAsia="en-GB"/>
        </w:rPr>
      </w:pPr>
      <w:r w:rsidRPr="00FA6389">
        <w:rPr>
          <w:rFonts w:eastAsia="Verdana"/>
          <w:sz w:val="24"/>
          <w:szCs w:val="24"/>
          <w:lang w:eastAsia="en-GB"/>
        </w:rPr>
        <w:t xml:space="preserve">Alvorlige og undertiden dødelige overfølsomhedsreaktioner, herunder anafylaksi og </w:t>
      </w:r>
      <w:proofErr w:type="spellStart"/>
      <w:r w:rsidRPr="00FA6389">
        <w:rPr>
          <w:rFonts w:eastAsia="Verdana"/>
          <w:sz w:val="24"/>
          <w:szCs w:val="24"/>
          <w:lang w:eastAsia="en-GB"/>
        </w:rPr>
        <w:t>anafylaktisk</w:t>
      </w:r>
      <w:proofErr w:type="spellEnd"/>
      <w:r w:rsidRPr="00FA6389">
        <w:rPr>
          <w:rFonts w:eastAsia="Verdana"/>
          <w:sz w:val="24"/>
          <w:szCs w:val="24"/>
          <w:lang w:eastAsia="en-GB"/>
        </w:rPr>
        <w:t xml:space="preserve"> </w:t>
      </w:r>
      <w:proofErr w:type="spellStart"/>
      <w:r w:rsidRPr="00FA6389">
        <w:rPr>
          <w:rFonts w:eastAsia="Verdana"/>
          <w:sz w:val="24"/>
          <w:szCs w:val="24"/>
          <w:lang w:eastAsia="en-GB"/>
        </w:rPr>
        <w:t>shock</w:t>
      </w:r>
      <w:proofErr w:type="spellEnd"/>
      <w:r w:rsidRPr="00FA6389">
        <w:rPr>
          <w:rFonts w:eastAsia="Verdana"/>
          <w:sz w:val="24"/>
          <w:szCs w:val="24"/>
          <w:lang w:eastAsia="en-GB"/>
        </w:rPr>
        <w:t xml:space="preserve">, kan forekomme under behandling med </w:t>
      </w:r>
      <w:proofErr w:type="spellStart"/>
      <w:r w:rsidRPr="00FA6389">
        <w:rPr>
          <w:rFonts w:eastAsia="Verdana"/>
          <w:sz w:val="24"/>
          <w:szCs w:val="24"/>
          <w:lang w:eastAsia="en-GB"/>
        </w:rPr>
        <w:t>fosfomycin</w:t>
      </w:r>
      <w:proofErr w:type="spellEnd"/>
      <w:r w:rsidRPr="00FA6389">
        <w:rPr>
          <w:rFonts w:eastAsia="Verdana"/>
          <w:sz w:val="24"/>
          <w:szCs w:val="24"/>
          <w:lang w:eastAsia="en-GB"/>
        </w:rPr>
        <w:t xml:space="preserve"> (se pkt. 4.3 og 4.8). Hvis sådanne reaktioner opstår, skal behandling med </w:t>
      </w:r>
      <w:proofErr w:type="spellStart"/>
      <w:r w:rsidRPr="00FA6389">
        <w:rPr>
          <w:rFonts w:eastAsia="Verdana"/>
          <w:sz w:val="24"/>
          <w:szCs w:val="24"/>
          <w:lang w:eastAsia="en-GB"/>
        </w:rPr>
        <w:t>fosfomycin</w:t>
      </w:r>
      <w:proofErr w:type="spellEnd"/>
      <w:r w:rsidRPr="00FA6389">
        <w:rPr>
          <w:rFonts w:eastAsia="Verdana"/>
          <w:sz w:val="24"/>
          <w:szCs w:val="24"/>
          <w:lang w:eastAsia="en-GB"/>
        </w:rPr>
        <w:t xml:space="preserve"> straks seponeres, og der skal iværksættes passende nødforanstaltninger.</w:t>
      </w:r>
    </w:p>
    <w:p w:rsidR="00FA6389" w:rsidRPr="00FA6389" w:rsidRDefault="00FA6389" w:rsidP="00FA6389">
      <w:pPr>
        <w:ind w:left="851"/>
        <w:rPr>
          <w:rFonts w:eastAsia="Verdana"/>
          <w:sz w:val="24"/>
          <w:szCs w:val="24"/>
          <w:lang w:eastAsia="en-GB"/>
        </w:rPr>
      </w:pPr>
    </w:p>
    <w:p w:rsidR="00FA6389" w:rsidRPr="00FA6389" w:rsidRDefault="00FA6389" w:rsidP="00FA6389">
      <w:pPr>
        <w:ind w:left="851"/>
        <w:rPr>
          <w:rFonts w:eastAsia="Verdana"/>
          <w:sz w:val="24"/>
          <w:szCs w:val="24"/>
          <w:u w:val="single"/>
          <w:lang w:eastAsia="en-GB"/>
        </w:rPr>
      </w:pPr>
      <w:proofErr w:type="spellStart"/>
      <w:r w:rsidRPr="00FA6389">
        <w:rPr>
          <w:rFonts w:eastAsia="Verdana"/>
          <w:i/>
          <w:iCs/>
          <w:sz w:val="24"/>
          <w:szCs w:val="24"/>
          <w:u w:val="single"/>
          <w:lang w:eastAsia="en-GB"/>
        </w:rPr>
        <w:t>Clostridioides</w:t>
      </w:r>
      <w:proofErr w:type="spellEnd"/>
      <w:r w:rsidRPr="00FA6389">
        <w:rPr>
          <w:rFonts w:eastAsia="Verdana"/>
          <w:i/>
          <w:iCs/>
          <w:sz w:val="24"/>
          <w:szCs w:val="24"/>
          <w:u w:val="single"/>
          <w:lang w:eastAsia="en-GB"/>
        </w:rPr>
        <w:t xml:space="preserve"> difficile</w:t>
      </w:r>
      <w:r w:rsidRPr="00FA6389">
        <w:rPr>
          <w:rFonts w:eastAsia="Verdana"/>
          <w:sz w:val="24"/>
          <w:szCs w:val="24"/>
          <w:u w:val="single"/>
          <w:lang w:eastAsia="en-GB"/>
        </w:rPr>
        <w:t>-associeret diarré</w:t>
      </w:r>
    </w:p>
    <w:p w:rsidR="00FA6389" w:rsidRDefault="00FA6389" w:rsidP="00FA6389">
      <w:pPr>
        <w:ind w:left="851"/>
        <w:rPr>
          <w:rFonts w:eastAsia="Verdana"/>
          <w:sz w:val="24"/>
          <w:szCs w:val="24"/>
          <w:lang w:eastAsia="en-GB"/>
        </w:rPr>
      </w:pPr>
      <w:proofErr w:type="spellStart"/>
      <w:r w:rsidRPr="00FA6389">
        <w:rPr>
          <w:rFonts w:eastAsia="Verdana"/>
          <w:i/>
          <w:iCs/>
          <w:sz w:val="24"/>
          <w:szCs w:val="24"/>
          <w:lang w:eastAsia="en-GB"/>
        </w:rPr>
        <w:t>Clostridioides</w:t>
      </w:r>
      <w:proofErr w:type="spellEnd"/>
      <w:r w:rsidRPr="00FA6389">
        <w:rPr>
          <w:rFonts w:eastAsia="Verdana"/>
          <w:i/>
          <w:iCs/>
          <w:sz w:val="24"/>
          <w:szCs w:val="24"/>
          <w:lang w:eastAsia="en-GB"/>
        </w:rPr>
        <w:t xml:space="preserve"> difficile</w:t>
      </w:r>
      <w:r w:rsidRPr="00FA6389">
        <w:rPr>
          <w:rFonts w:eastAsia="Verdana"/>
          <w:sz w:val="24"/>
          <w:szCs w:val="24"/>
          <w:lang w:eastAsia="en-GB"/>
        </w:rPr>
        <w:t xml:space="preserve">-associeret </w:t>
      </w:r>
      <w:proofErr w:type="spellStart"/>
      <w:r w:rsidRPr="00FA6389">
        <w:rPr>
          <w:rFonts w:eastAsia="Verdana"/>
          <w:sz w:val="24"/>
          <w:szCs w:val="24"/>
          <w:lang w:eastAsia="en-GB"/>
        </w:rPr>
        <w:t>kolitis</w:t>
      </w:r>
      <w:proofErr w:type="spellEnd"/>
      <w:r w:rsidRPr="00FA6389">
        <w:rPr>
          <w:rFonts w:eastAsia="Verdana"/>
          <w:sz w:val="24"/>
          <w:szCs w:val="24"/>
          <w:lang w:eastAsia="en-GB"/>
        </w:rPr>
        <w:t xml:space="preserve"> og </w:t>
      </w:r>
      <w:proofErr w:type="spellStart"/>
      <w:r w:rsidRPr="00FA6389">
        <w:rPr>
          <w:rFonts w:eastAsia="Verdana"/>
          <w:sz w:val="24"/>
          <w:szCs w:val="24"/>
          <w:lang w:eastAsia="en-GB"/>
        </w:rPr>
        <w:t>pseudomembranøs</w:t>
      </w:r>
      <w:proofErr w:type="spellEnd"/>
      <w:r w:rsidRPr="00FA6389">
        <w:rPr>
          <w:rFonts w:eastAsia="Verdana"/>
          <w:sz w:val="24"/>
          <w:szCs w:val="24"/>
          <w:lang w:eastAsia="en-GB"/>
        </w:rPr>
        <w:t xml:space="preserve"> </w:t>
      </w:r>
      <w:proofErr w:type="spellStart"/>
      <w:r w:rsidRPr="00FA6389">
        <w:rPr>
          <w:rFonts w:eastAsia="Verdana"/>
          <w:sz w:val="24"/>
          <w:szCs w:val="24"/>
          <w:lang w:eastAsia="en-GB"/>
        </w:rPr>
        <w:t>kolitis</w:t>
      </w:r>
      <w:proofErr w:type="spellEnd"/>
      <w:r w:rsidRPr="00FA6389">
        <w:rPr>
          <w:rFonts w:eastAsia="Verdana"/>
          <w:sz w:val="24"/>
          <w:szCs w:val="24"/>
          <w:lang w:eastAsia="en-GB"/>
        </w:rPr>
        <w:t xml:space="preserve"> er blevet rapporteret med </w:t>
      </w:r>
      <w:proofErr w:type="spellStart"/>
      <w:r w:rsidRPr="00FA6389">
        <w:rPr>
          <w:rFonts w:eastAsia="Verdana"/>
          <w:sz w:val="24"/>
          <w:szCs w:val="24"/>
          <w:lang w:eastAsia="en-GB"/>
        </w:rPr>
        <w:t>fosfomycin</w:t>
      </w:r>
      <w:proofErr w:type="spellEnd"/>
      <w:r w:rsidRPr="00FA6389">
        <w:rPr>
          <w:rFonts w:eastAsia="Verdana"/>
          <w:sz w:val="24"/>
          <w:szCs w:val="24"/>
          <w:lang w:eastAsia="en-GB"/>
        </w:rPr>
        <w:t xml:space="preserve"> og kan variere i sværhedsgrad fra let til livstruende (se pkt. 4.8). Det er derfor vigtigt at overveje denne diagnose hos patienter, der får diarré under eller efter administration af </w:t>
      </w:r>
      <w:proofErr w:type="spellStart"/>
      <w:r w:rsidRPr="00FA6389">
        <w:rPr>
          <w:rFonts w:eastAsia="Verdana"/>
          <w:sz w:val="24"/>
          <w:szCs w:val="24"/>
          <w:lang w:eastAsia="en-GB"/>
        </w:rPr>
        <w:t>fosfomycin</w:t>
      </w:r>
      <w:proofErr w:type="spellEnd"/>
      <w:r w:rsidRPr="00FA6389">
        <w:rPr>
          <w:rFonts w:eastAsia="Verdana"/>
          <w:sz w:val="24"/>
          <w:szCs w:val="24"/>
          <w:lang w:eastAsia="en-GB"/>
        </w:rPr>
        <w:t xml:space="preserve">. </w:t>
      </w:r>
      <w:proofErr w:type="spellStart"/>
      <w:r w:rsidRPr="00FA6389">
        <w:rPr>
          <w:rFonts w:eastAsia="Verdana"/>
          <w:sz w:val="24"/>
          <w:szCs w:val="24"/>
          <w:lang w:eastAsia="en-GB"/>
        </w:rPr>
        <w:t>Seponering</w:t>
      </w:r>
      <w:proofErr w:type="spellEnd"/>
      <w:r w:rsidRPr="00FA6389">
        <w:rPr>
          <w:rFonts w:eastAsia="Verdana"/>
          <w:sz w:val="24"/>
          <w:szCs w:val="24"/>
          <w:lang w:eastAsia="en-GB"/>
        </w:rPr>
        <w:t xml:space="preserve"> af behandlingen med </w:t>
      </w:r>
      <w:proofErr w:type="spellStart"/>
      <w:r w:rsidRPr="00FA6389">
        <w:rPr>
          <w:rFonts w:eastAsia="Verdana"/>
          <w:sz w:val="24"/>
          <w:szCs w:val="24"/>
          <w:lang w:eastAsia="en-GB"/>
        </w:rPr>
        <w:t>fosfomycin</w:t>
      </w:r>
      <w:proofErr w:type="spellEnd"/>
      <w:r w:rsidRPr="00FA6389">
        <w:rPr>
          <w:rFonts w:eastAsia="Verdana"/>
          <w:sz w:val="24"/>
          <w:szCs w:val="24"/>
          <w:lang w:eastAsia="en-GB"/>
        </w:rPr>
        <w:t xml:space="preserve"> og administration af specifik behandling for </w:t>
      </w:r>
      <w:proofErr w:type="spellStart"/>
      <w:r w:rsidRPr="00FA6389">
        <w:rPr>
          <w:rFonts w:eastAsia="Verdana"/>
          <w:i/>
          <w:iCs/>
          <w:sz w:val="24"/>
          <w:szCs w:val="24"/>
          <w:lang w:eastAsia="en-GB"/>
        </w:rPr>
        <w:t>Clostridioides</w:t>
      </w:r>
      <w:proofErr w:type="spellEnd"/>
      <w:r w:rsidRPr="00FA6389">
        <w:rPr>
          <w:rFonts w:eastAsia="Verdana"/>
          <w:i/>
          <w:iCs/>
          <w:sz w:val="24"/>
          <w:szCs w:val="24"/>
          <w:lang w:eastAsia="en-GB"/>
        </w:rPr>
        <w:t xml:space="preserve"> difficile</w:t>
      </w:r>
      <w:r w:rsidRPr="00FA6389">
        <w:rPr>
          <w:rFonts w:eastAsia="Verdana"/>
          <w:sz w:val="24"/>
          <w:szCs w:val="24"/>
          <w:lang w:eastAsia="en-GB"/>
        </w:rPr>
        <w:t xml:space="preserve"> bør overvejes. Der bør ikke gives lægemidler, der hæmmer peristaltikken.</w:t>
      </w:r>
    </w:p>
    <w:p w:rsidR="00FA6389" w:rsidRPr="00FA6389" w:rsidRDefault="00FA6389" w:rsidP="00FA6389">
      <w:pPr>
        <w:ind w:left="851"/>
        <w:rPr>
          <w:rFonts w:eastAsia="Verdana"/>
          <w:sz w:val="24"/>
          <w:szCs w:val="24"/>
          <w:lang w:eastAsia="en-GB"/>
        </w:rPr>
      </w:pPr>
    </w:p>
    <w:p w:rsidR="00FA6389" w:rsidRPr="00FA6389" w:rsidRDefault="00FA6389" w:rsidP="00FA6389">
      <w:pPr>
        <w:ind w:left="851"/>
        <w:rPr>
          <w:rFonts w:eastAsia="Verdana"/>
          <w:sz w:val="24"/>
          <w:szCs w:val="24"/>
          <w:u w:val="single"/>
          <w:lang w:eastAsia="en-GB"/>
        </w:rPr>
      </w:pPr>
      <w:r w:rsidRPr="00FA6389">
        <w:rPr>
          <w:rFonts w:eastAsia="Verdana"/>
          <w:sz w:val="24"/>
          <w:szCs w:val="24"/>
          <w:u w:val="single"/>
          <w:lang w:eastAsia="en-GB"/>
        </w:rPr>
        <w:t>Natrium- og kaliumniveauer og risiko for natriumoverbelastning</w:t>
      </w:r>
    </w:p>
    <w:p w:rsidR="00FA6389" w:rsidRDefault="00FA6389" w:rsidP="00FA6389">
      <w:pPr>
        <w:ind w:left="851"/>
        <w:rPr>
          <w:rFonts w:eastAsia="Verdana"/>
          <w:sz w:val="24"/>
          <w:szCs w:val="24"/>
          <w:lang w:eastAsia="en-GB"/>
        </w:rPr>
      </w:pPr>
      <w:r w:rsidRPr="00FA6389">
        <w:rPr>
          <w:rFonts w:eastAsia="Verdana"/>
          <w:sz w:val="24"/>
          <w:szCs w:val="24"/>
          <w:lang w:eastAsia="en-GB"/>
        </w:rPr>
        <w:t xml:space="preserve">Natrium- og kaliumniveauer bør monitoreres regelmæssigt hos patienter, der får </w:t>
      </w:r>
      <w:proofErr w:type="spellStart"/>
      <w:r w:rsidRPr="00FA6389">
        <w:rPr>
          <w:rFonts w:eastAsia="Verdana"/>
          <w:sz w:val="24"/>
          <w:szCs w:val="24"/>
          <w:lang w:eastAsia="en-GB"/>
        </w:rPr>
        <w:t>fosfomycin</w:t>
      </w:r>
      <w:proofErr w:type="spellEnd"/>
      <w:r w:rsidRPr="00FA6389">
        <w:rPr>
          <w:rFonts w:eastAsia="Verdana"/>
          <w:sz w:val="24"/>
          <w:szCs w:val="24"/>
          <w:lang w:eastAsia="en-GB"/>
        </w:rPr>
        <w:t xml:space="preserve">, især under forlænget behandling. Grundet det høje indhold af natrium (0,32 gram) pr. gram </w:t>
      </w:r>
      <w:proofErr w:type="spellStart"/>
      <w:r w:rsidRPr="00FA6389">
        <w:rPr>
          <w:rFonts w:eastAsia="Verdana"/>
          <w:sz w:val="24"/>
          <w:szCs w:val="24"/>
          <w:lang w:eastAsia="en-GB"/>
        </w:rPr>
        <w:t>fosfomycin</w:t>
      </w:r>
      <w:proofErr w:type="spellEnd"/>
      <w:r w:rsidRPr="00FA6389">
        <w:rPr>
          <w:rFonts w:eastAsia="Verdana"/>
          <w:sz w:val="24"/>
          <w:szCs w:val="24"/>
          <w:lang w:eastAsia="en-GB"/>
        </w:rPr>
        <w:t xml:space="preserve">, bør risikoen for </w:t>
      </w:r>
      <w:proofErr w:type="spellStart"/>
      <w:r w:rsidRPr="00FA6389">
        <w:rPr>
          <w:rFonts w:eastAsia="Verdana"/>
          <w:sz w:val="24"/>
          <w:szCs w:val="24"/>
          <w:lang w:eastAsia="en-GB"/>
        </w:rPr>
        <w:t>hypernatriæmi</w:t>
      </w:r>
      <w:proofErr w:type="spellEnd"/>
      <w:r w:rsidRPr="00FA6389">
        <w:rPr>
          <w:rFonts w:eastAsia="Verdana"/>
          <w:sz w:val="24"/>
          <w:szCs w:val="24"/>
          <w:lang w:eastAsia="en-GB"/>
        </w:rPr>
        <w:t xml:space="preserve"> og overhydrering vurderes inden start af behandling, især hos patienter med en anamnese med hjerteinsufficiens eller underliggende </w:t>
      </w:r>
      <w:proofErr w:type="spellStart"/>
      <w:r w:rsidRPr="00FA6389">
        <w:rPr>
          <w:rFonts w:eastAsia="Verdana"/>
          <w:sz w:val="24"/>
          <w:szCs w:val="24"/>
          <w:lang w:eastAsia="en-GB"/>
        </w:rPr>
        <w:t>komorbiditeter</w:t>
      </w:r>
      <w:proofErr w:type="spellEnd"/>
      <w:r w:rsidRPr="00FA6389">
        <w:rPr>
          <w:rFonts w:eastAsia="Verdana"/>
          <w:sz w:val="24"/>
          <w:szCs w:val="24"/>
          <w:lang w:eastAsia="en-GB"/>
        </w:rPr>
        <w:t xml:space="preserve">, eksempelvis </w:t>
      </w:r>
      <w:proofErr w:type="spellStart"/>
      <w:r w:rsidRPr="00FA6389">
        <w:rPr>
          <w:rFonts w:eastAsia="Verdana"/>
          <w:sz w:val="24"/>
          <w:szCs w:val="24"/>
          <w:lang w:eastAsia="en-GB"/>
        </w:rPr>
        <w:t>nefrotisk</w:t>
      </w:r>
      <w:proofErr w:type="spellEnd"/>
      <w:r w:rsidRPr="00FA6389">
        <w:rPr>
          <w:rFonts w:eastAsia="Verdana"/>
          <w:sz w:val="24"/>
          <w:szCs w:val="24"/>
          <w:lang w:eastAsia="en-GB"/>
        </w:rPr>
        <w:t xml:space="preserve"> syndrom, levercirrose, hypertension, </w:t>
      </w:r>
      <w:proofErr w:type="spellStart"/>
      <w:r w:rsidRPr="00FA6389">
        <w:rPr>
          <w:rFonts w:eastAsia="Verdana"/>
          <w:sz w:val="24"/>
          <w:szCs w:val="24"/>
          <w:lang w:eastAsia="en-GB"/>
        </w:rPr>
        <w:t>hyperaldosteronisme</w:t>
      </w:r>
      <w:proofErr w:type="spellEnd"/>
      <w:r w:rsidRPr="00FA6389">
        <w:rPr>
          <w:rFonts w:eastAsia="Verdana"/>
          <w:sz w:val="24"/>
          <w:szCs w:val="24"/>
          <w:lang w:eastAsia="en-GB"/>
        </w:rPr>
        <w:t xml:space="preserve">, lungeødem eller hypoalbuminæmi samt hos nyfødte på natriumbegrænset diæt. En kost med et lavt natriumindhold anbefales under behandling. En længere infusionsvarighed og/eller en reduktion af den individuelle dosis (med hyppigere administration) kan også overvejes. </w:t>
      </w:r>
      <w:proofErr w:type="spellStart"/>
      <w:r w:rsidRPr="00FA6389">
        <w:rPr>
          <w:rFonts w:eastAsia="Verdana"/>
          <w:sz w:val="24"/>
          <w:szCs w:val="24"/>
          <w:lang w:eastAsia="en-GB"/>
        </w:rPr>
        <w:t>Fosfomycin</w:t>
      </w:r>
      <w:proofErr w:type="spellEnd"/>
      <w:r w:rsidRPr="00FA6389">
        <w:rPr>
          <w:rFonts w:eastAsia="Verdana"/>
          <w:sz w:val="24"/>
          <w:szCs w:val="24"/>
          <w:lang w:eastAsia="en-GB"/>
        </w:rPr>
        <w:t xml:space="preserve"> kan nedsætte kaliumniveauer i serum eller plasma, så kaliumtilskud bør altid overvejes.</w:t>
      </w:r>
    </w:p>
    <w:p w:rsidR="00FA6389" w:rsidRPr="00FA6389" w:rsidRDefault="00FA6389" w:rsidP="00FA6389">
      <w:pPr>
        <w:ind w:left="851"/>
        <w:rPr>
          <w:rFonts w:eastAsia="Verdana"/>
          <w:sz w:val="24"/>
          <w:szCs w:val="24"/>
          <w:lang w:eastAsia="en-GB"/>
        </w:rPr>
      </w:pPr>
    </w:p>
    <w:p w:rsidR="00FA6389" w:rsidRPr="00FA6389" w:rsidRDefault="00FA6389" w:rsidP="00FA6389">
      <w:pPr>
        <w:ind w:left="851"/>
        <w:rPr>
          <w:rFonts w:eastAsia="Verdana"/>
          <w:sz w:val="24"/>
          <w:szCs w:val="24"/>
          <w:u w:val="single"/>
          <w:lang w:eastAsia="en-GB"/>
        </w:rPr>
      </w:pPr>
      <w:r w:rsidRPr="00FA6389">
        <w:rPr>
          <w:rFonts w:eastAsia="Verdana"/>
          <w:sz w:val="24"/>
          <w:szCs w:val="24"/>
          <w:u w:val="single"/>
          <w:lang w:eastAsia="en-GB"/>
        </w:rPr>
        <w:t xml:space="preserve">Hæmatologiske reaktioner (inklusive </w:t>
      </w:r>
      <w:proofErr w:type="spellStart"/>
      <w:r w:rsidRPr="00FA6389">
        <w:rPr>
          <w:rFonts w:eastAsia="Verdana"/>
          <w:sz w:val="24"/>
          <w:szCs w:val="24"/>
          <w:u w:val="single"/>
          <w:lang w:eastAsia="en-GB"/>
        </w:rPr>
        <w:t>agranulocytose</w:t>
      </w:r>
      <w:proofErr w:type="spellEnd"/>
      <w:r w:rsidRPr="00FA6389">
        <w:rPr>
          <w:rFonts w:eastAsia="Verdana"/>
          <w:sz w:val="24"/>
          <w:szCs w:val="24"/>
          <w:u w:val="single"/>
          <w:lang w:eastAsia="en-GB"/>
        </w:rPr>
        <w:t>)</w:t>
      </w:r>
    </w:p>
    <w:p w:rsidR="00FA6389" w:rsidRDefault="00FA6389" w:rsidP="00FA6389">
      <w:pPr>
        <w:ind w:left="851"/>
        <w:rPr>
          <w:rFonts w:eastAsia="Verdana"/>
          <w:sz w:val="24"/>
          <w:szCs w:val="24"/>
          <w:lang w:eastAsia="en-GB"/>
        </w:rPr>
      </w:pPr>
      <w:r w:rsidRPr="00FA6389">
        <w:rPr>
          <w:rFonts w:eastAsia="Verdana"/>
          <w:sz w:val="24"/>
          <w:szCs w:val="24"/>
          <w:lang w:eastAsia="en-GB"/>
        </w:rPr>
        <w:t xml:space="preserve">Hos patienter, som får </w:t>
      </w:r>
      <w:proofErr w:type="spellStart"/>
      <w:r w:rsidRPr="00FA6389">
        <w:rPr>
          <w:rFonts w:eastAsia="Verdana"/>
          <w:sz w:val="24"/>
          <w:szCs w:val="24"/>
          <w:lang w:eastAsia="en-GB"/>
        </w:rPr>
        <w:t>fosfomycin</w:t>
      </w:r>
      <w:proofErr w:type="spellEnd"/>
      <w:r w:rsidRPr="00FA6389">
        <w:rPr>
          <w:rFonts w:eastAsia="Verdana"/>
          <w:sz w:val="24"/>
          <w:szCs w:val="24"/>
          <w:lang w:eastAsia="en-GB"/>
        </w:rPr>
        <w:t xml:space="preserve"> intravenøst, er der forekommet hæmatologiske reaktioner, herunder </w:t>
      </w:r>
      <w:proofErr w:type="spellStart"/>
      <w:r w:rsidRPr="00FA6389">
        <w:rPr>
          <w:rFonts w:eastAsia="Verdana"/>
          <w:sz w:val="24"/>
          <w:szCs w:val="24"/>
          <w:lang w:eastAsia="en-GB"/>
        </w:rPr>
        <w:t>neutropeni</w:t>
      </w:r>
      <w:proofErr w:type="spellEnd"/>
      <w:r w:rsidRPr="00FA6389">
        <w:rPr>
          <w:rFonts w:eastAsia="Verdana"/>
          <w:sz w:val="24"/>
          <w:szCs w:val="24"/>
          <w:lang w:eastAsia="en-GB"/>
        </w:rPr>
        <w:t xml:space="preserve"> eller </w:t>
      </w:r>
      <w:proofErr w:type="spellStart"/>
      <w:r w:rsidRPr="00FA6389">
        <w:rPr>
          <w:rFonts w:eastAsia="Verdana"/>
          <w:sz w:val="24"/>
          <w:szCs w:val="24"/>
          <w:lang w:eastAsia="en-GB"/>
        </w:rPr>
        <w:t>agranulocytose</w:t>
      </w:r>
      <w:proofErr w:type="spellEnd"/>
      <w:r w:rsidRPr="00FA6389">
        <w:rPr>
          <w:rFonts w:eastAsia="Verdana"/>
          <w:sz w:val="24"/>
          <w:szCs w:val="24"/>
          <w:lang w:eastAsia="en-GB"/>
        </w:rPr>
        <w:t xml:space="preserve"> (se pkt. 4.8). Derfor bør leukocyttællingen overvåges med jævne mellemrum, og hvis sådanne reaktioner opstår, skal passende medicinsk behandling indledes.</w:t>
      </w:r>
    </w:p>
    <w:p w:rsidR="00FA6389" w:rsidRPr="00FA6389" w:rsidRDefault="00FA6389" w:rsidP="00FA6389">
      <w:pPr>
        <w:ind w:left="851"/>
        <w:rPr>
          <w:rFonts w:eastAsia="Verdana"/>
          <w:sz w:val="24"/>
          <w:szCs w:val="24"/>
          <w:lang w:eastAsia="en-GB"/>
        </w:rPr>
      </w:pPr>
    </w:p>
    <w:p w:rsidR="00FA6389" w:rsidRPr="00FA6389" w:rsidRDefault="00FA6389" w:rsidP="00FA6389">
      <w:pPr>
        <w:ind w:left="851"/>
        <w:rPr>
          <w:rFonts w:eastAsia="Verdana"/>
          <w:sz w:val="24"/>
          <w:szCs w:val="24"/>
          <w:u w:val="single"/>
          <w:lang w:eastAsia="en-GB"/>
        </w:rPr>
      </w:pPr>
      <w:r w:rsidRPr="00FA6389">
        <w:rPr>
          <w:rFonts w:eastAsia="Verdana"/>
          <w:sz w:val="24"/>
          <w:szCs w:val="24"/>
          <w:u w:val="single"/>
          <w:lang w:eastAsia="en-GB"/>
        </w:rPr>
        <w:t>Nedsat nyrefunktion</w:t>
      </w:r>
    </w:p>
    <w:p w:rsidR="00FA6389" w:rsidRDefault="00FA6389" w:rsidP="00FA6389">
      <w:pPr>
        <w:ind w:left="851"/>
        <w:rPr>
          <w:rFonts w:eastAsia="Verdana"/>
          <w:sz w:val="24"/>
          <w:szCs w:val="24"/>
          <w:lang w:eastAsia="en-GB"/>
        </w:rPr>
      </w:pPr>
      <w:r w:rsidRPr="00FA6389">
        <w:rPr>
          <w:rFonts w:eastAsia="Verdana"/>
          <w:sz w:val="24"/>
          <w:szCs w:val="24"/>
          <w:lang w:eastAsia="en-GB"/>
        </w:rPr>
        <w:t>Hos patienter med nedsat nyrefunktion, skal doseringen justeres i henhold til sværhedsgraden af nyreinsufficiens (se pkt. 4.2).</w:t>
      </w:r>
    </w:p>
    <w:p w:rsidR="00FA6389" w:rsidRPr="00FA6389" w:rsidRDefault="00FA6389" w:rsidP="00FA6389">
      <w:pPr>
        <w:ind w:left="851"/>
        <w:rPr>
          <w:rFonts w:eastAsia="Verdana"/>
          <w:sz w:val="24"/>
          <w:szCs w:val="24"/>
          <w:lang w:eastAsia="en-GB"/>
        </w:rPr>
      </w:pPr>
    </w:p>
    <w:p w:rsidR="00FA6389" w:rsidRPr="00FA6389" w:rsidRDefault="00FA6389" w:rsidP="00FA6389">
      <w:pPr>
        <w:ind w:left="851"/>
        <w:rPr>
          <w:sz w:val="24"/>
          <w:szCs w:val="24"/>
          <w:lang w:eastAsia="en-GB"/>
        </w:rPr>
      </w:pPr>
      <w:r w:rsidRPr="00FA6389">
        <w:rPr>
          <w:rFonts w:eastAsia="SimSun"/>
          <w:iCs/>
          <w:sz w:val="24"/>
          <w:szCs w:val="24"/>
          <w:u w:val="single"/>
          <w:lang w:eastAsia="zh-CN"/>
        </w:rPr>
        <w:t>Hjælpestoffer</w:t>
      </w:r>
    </w:p>
    <w:p w:rsidR="00FA6389" w:rsidRPr="00FA6389" w:rsidRDefault="00FA6389" w:rsidP="00FA6389">
      <w:pPr>
        <w:ind w:left="851"/>
        <w:rPr>
          <w:noProof/>
          <w:spacing w:val="-3"/>
          <w:sz w:val="24"/>
          <w:szCs w:val="24"/>
          <w:lang w:bidi="ar-QA"/>
        </w:rPr>
      </w:pPr>
      <w:r w:rsidRPr="00FA6389">
        <w:rPr>
          <w:noProof/>
          <w:spacing w:val="-3"/>
          <w:sz w:val="24"/>
          <w:szCs w:val="24"/>
          <w:lang w:bidi="ar-QA"/>
        </w:rPr>
        <w:t xml:space="preserve">1 g fosfomycin (svarende til 1,32 g dinatriumfosfomycin) indeholder 14 mmol (320 mg) natrium, svarende til 16  % af WHO’s anbefalede, maksimale daglige indtagelse af 2 g natrium i kosten for en voksen. En flaske med </w:t>
      </w:r>
      <w:r w:rsidRPr="00FA6389">
        <w:rPr>
          <w:noProof/>
          <w:sz w:val="24"/>
          <w:szCs w:val="24"/>
          <w:lang w:bidi="ar-QA"/>
        </w:rPr>
        <w:t xml:space="preserve">2 g fosfomycin indeholder </w:t>
      </w:r>
      <w:r w:rsidRPr="00FA6389">
        <w:rPr>
          <w:noProof/>
          <w:spacing w:val="-3"/>
          <w:sz w:val="24"/>
          <w:szCs w:val="24"/>
          <w:lang w:bidi="ar-QA"/>
        </w:rPr>
        <w:t xml:space="preserve">28 mmol (640 mg) natrium, en flaske med 4 g fosfomycin indeholder 56 mmol (1280 mg) natrium og en flaske med </w:t>
      </w:r>
      <w:r w:rsidRPr="00FA6389">
        <w:rPr>
          <w:noProof/>
          <w:sz w:val="24"/>
          <w:szCs w:val="24"/>
          <w:lang w:bidi="ar-QA"/>
        </w:rPr>
        <w:t xml:space="preserve">8 g fosfomycin indeholder </w:t>
      </w:r>
      <w:r w:rsidRPr="00FA6389">
        <w:rPr>
          <w:noProof/>
          <w:spacing w:val="-3"/>
          <w:sz w:val="24"/>
          <w:szCs w:val="24"/>
          <w:lang w:bidi="ar-QA"/>
        </w:rPr>
        <w:t xml:space="preserve">111 mmol (2560 mg) natrium. </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A6389" w:rsidRPr="00FA6389" w:rsidRDefault="00FA6389" w:rsidP="00FA6389">
      <w:pPr>
        <w:pStyle w:val="BodytextAgency"/>
        <w:spacing w:after="0" w:line="240" w:lineRule="auto"/>
        <w:ind w:left="851"/>
        <w:rPr>
          <w:rFonts w:ascii="Times New Roman" w:hAnsi="Times New Roman" w:cs="Times New Roman"/>
          <w:sz w:val="24"/>
          <w:szCs w:val="24"/>
          <w:u w:val="single"/>
        </w:rPr>
      </w:pPr>
      <w:r w:rsidRPr="00FA6389">
        <w:rPr>
          <w:rFonts w:ascii="Times New Roman" w:hAnsi="Times New Roman" w:cs="Times New Roman"/>
          <w:sz w:val="24"/>
          <w:szCs w:val="24"/>
          <w:u w:val="single"/>
        </w:rPr>
        <w:t>Specifikke betænkeligheder vedrørende INR-ubalance:</w:t>
      </w:r>
    </w:p>
    <w:p w:rsidR="00FA6389" w:rsidRPr="00FA6389" w:rsidRDefault="00FA6389" w:rsidP="00FA6389">
      <w:pPr>
        <w:ind w:left="851"/>
        <w:rPr>
          <w:snapToGrid w:val="0"/>
          <w:color w:val="000000"/>
          <w:sz w:val="24"/>
          <w:szCs w:val="24"/>
          <w:lang w:eastAsia="en-GB" w:bidi="ar-QA"/>
        </w:rPr>
      </w:pPr>
      <w:r w:rsidRPr="00FA6389">
        <w:rPr>
          <w:sz w:val="24"/>
          <w:szCs w:val="24"/>
        </w:rPr>
        <w:t xml:space="preserve">Der er blevet rapporteret adskillige tilfælde af øget oral antikoagulerende aktivitet hos patienter, som fik antibiotikabehandling. Sværhedsgraden af infektion eller inflammation, patientens alder og almentilstand synes at være risikofaktorer. Under disse </w:t>
      </w:r>
      <w:r w:rsidRPr="00FA6389">
        <w:rPr>
          <w:sz w:val="24"/>
          <w:szCs w:val="24"/>
        </w:rPr>
        <w:lastRenderedPageBreak/>
        <w:t xml:space="preserve">omstændigheder er det vanskeligt at fastslå, i hvilken grad selve infektionen eller dens behandling spiller en rolle i INR-ubalancen. Dog er visse klasser af antibiotika mere involverede, især: </w:t>
      </w:r>
      <w:proofErr w:type="spellStart"/>
      <w:r w:rsidRPr="00FA6389">
        <w:rPr>
          <w:sz w:val="24"/>
          <w:szCs w:val="24"/>
        </w:rPr>
        <w:t>fluoroquinoloner</w:t>
      </w:r>
      <w:proofErr w:type="spellEnd"/>
      <w:r w:rsidRPr="00FA6389">
        <w:rPr>
          <w:sz w:val="24"/>
          <w:szCs w:val="24"/>
        </w:rPr>
        <w:t xml:space="preserve">, makrolider, </w:t>
      </w:r>
      <w:proofErr w:type="spellStart"/>
      <w:r w:rsidRPr="00FA6389">
        <w:rPr>
          <w:sz w:val="24"/>
          <w:szCs w:val="24"/>
        </w:rPr>
        <w:t>cycliner</w:t>
      </w:r>
      <w:proofErr w:type="spellEnd"/>
      <w:r w:rsidRPr="00FA6389">
        <w:rPr>
          <w:sz w:val="24"/>
          <w:szCs w:val="24"/>
        </w:rPr>
        <w:t xml:space="preserve">, </w:t>
      </w:r>
      <w:proofErr w:type="spellStart"/>
      <w:r w:rsidRPr="00FA6389">
        <w:rPr>
          <w:sz w:val="24"/>
          <w:szCs w:val="24"/>
        </w:rPr>
        <w:t>cotrimoxazol</w:t>
      </w:r>
      <w:proofErr w:type="spellEnd"/>
      <w:r w:rsidRPr="00FA6389">
        <w:rPr>
          <w:sz w:val="24"/>
          <w:szCs w:val="24"/>
        </w:rPr>
        <w:t xml:space="preserve"> og visse </w:t>
      </w:r>
      <w:proofErr w:type="spellStart"/>
      <w:r w:rsidRPr="00FA6389">
        <w:rPr>
          <w:sz w:val="24"/>
          <w:szCs w:val="24"/>
        </w:rPr>
        <w:t>cefalosporiner</w:t>
      </w:r>
      <w:proofErr w:type="spellEnd"/>
      <w:r w:rsidRPr="00FA6389">
        <w:rPr>
          <w:sz w:val="24"/>
          <w:szCs w:val="24"/>
        </w:rPr>
        <w:t>.</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4.6</w:t>
      </w:r>
      <w:r w:rsidRPr="00C84483">
        <w:rPr>
          <w:b/>
          <w:sz w:val="24"/>
          <w:szCs w:val="24"/>
        </w:rPr>
        <w:tab/>
      </w:r>
      <w:r w:rsidR="00D7645D">
        <w:rPr>
          <w:b/>
          <w:sz w:val="24"/>
          <w:szCs w:val="24"/>
        </w:rPr>
        <w:t>Fertilitet, g</w:t>
      </w:r>
      <w:r w:rsidRPr="00C84483">
        <w:rPr>
          <w:b/>
          <w:sz w:val="24"/>
          <w:szCs w:val="24"/>
        </w:rPr>
        <w:t>raviditet og amning</w:t>
      </w:r>
    </w:p>
    <w:p w:rsidR="00F2350D" w:rsidRPr="00F2350D" w:rsidRDefault="00F2350D" w:rsidP="008C198A">
      <w:pPr>
        <w:tabs>
          <w:tab w:val="left" w:pos="8613"/>
        </w:tabs>
        <w:ind w:left="851"/>
        <w:rPr>
          <w:sz w:val="24"/>
          <w:szCs w:val="24"/>
        </w:rPr>
      </w:pPr>
      <w:r w:rsidRPr="00F2350D">
        <w:rPr>
          <w:sz w:val="24"/>
          <w:szCs w:val="24"/>
        </w:rPr>
        <w:t>Graviditet:</w:t>
      </w:r>
    </w:p>
    <w:p w:rsidR="00F2350D" w:rsidRDefault="00F2350D" w:rsidP="008C198A">
      <w:pPr>
        <w:ind w:left="851"/>
        <w:rPr>
          <w:sz w:val="24"/>
          <w:szCs w:val="24"/>
        </w:rPr>
      </w:pPr>
      <w:r w:rsidRPr="00F2350D">
        <w:rPr>
          <w:sz w:val="24"/>
          <w:szCs w:val="24"/>
        </w:rPr>
        <w:t xml:space="preserve">Der foreligger ingen data om brugen af </w:t>
      </w:r>
      <w:proofErr w:type="spellStart"/>
      <w:r w:rsidRPr="00F2350D">
        <w:rPr>
          <w:sz w:val="24"/>
          <w:szCs w:val="24"/>
        </w:rPr>
        <w:t>fosfomycin</w:t>
      </w:r>
      <w:proofErr w:type="spellEnd"/>
      <w:r w:rsidRPr="00F2350D">
        <w:rPr>
          <w:sz w:val="24"/>
          <w:szCs w:val="24"/>
        </w:rPr>
        <w:t xml:space="preserve"> administreret intravenøst hos gravide kvinder. </w:t>
      </w:r>
      <w:proofErr w:type="spellStart"/>
      <w:r w:rsidRPr="00F2350D">
        <w:rPr>
          <w:sz w:val="24"/>
          <w:szCs w:val="24"/>
        </w:rPr>
        <w:t>Fosfomycin</w:t>
      </w:r>
      <w:proofErr w:type="spellEnd"/>
      <w:r w:rsidRPr="00F2350D">
        <w:rPr>
          <w:sz w:val="24"/>
          <w:szCs w:val="24"/>
        </w:rPr>
        <w:t xml:space="preserve"> krydser placenta. Dyreforsøg indikerer hverken direkte eller indirekte skadelige virkninger hvad angår reproduktionstoksicitet (se pkt. 5.3). </w:t>
      </w:r>
      <w:proofErr w:type="spellStart"/>
      <w:r w:rsidRPr="00F2350D">
        <w:rPr>
          <w:sz w:val="24"/>
          <w:szCs w:val="24"/>
        </w:rPr>
        <w:t>Fosfomycin</w:t>
      </w:r>
      <w:proofErr w:type="spellEnd"/>
      <w:r w:rsidRPr="00F2350D">
        <w:rPr>
          <w:sz w:val="24"/>
          <w:szCs w:val="24"/>
        </w:rPr>
        <w:t xml:space="preserve"> bør derfor ikke ordineres til gravide kvinder, medmindre fordelene opvejer risiciene.</w:t>
      </w:r>
    </w:p>
    <w:p w:rsidR="008C198A" w:rsidRPr="00F2350D" w:rsidRDefault="008C198A" w:rsidP="008C198A">
      <w:pPr>
        <w:ind w:left="851"/>
        <w:rPr>
          <w:sz w:val="24"/>
          <w:szCs w:val="24"/>
        </w:rPr>
      </w:pPr>
    </w:p>
    <w:p w:rsidR="00F2350D" w:rsidRPr="00F2350D" w:rsidRDefault="00F2350D" w:rsidP="008C198A">
      <w:pPr>
        <w:ind w:left="851"/>
        <w:rPr>
          <w:sz w:val="24"/>
          <w:szCs w:val="24"/>
        </w:rPr>
      </w:pPr>
      <w:r w:rsidRPr="00F2350D">
        <w:rPr>
          <w:sz w:val="24"/>
          <w:szCs w:val="24"/>
        </w:rPr>
        <w:t>Amning:</w:t>
      </w:r>
    </w:p>
    <w:p w:rsidR="00F2350D" w:rsidRDefault="00F2350D" w:rsidP="008C198A">
      <w:pPr>
        <w:ind w:left="851"/>
        <w:rPr>
          <w:sz w:val="24"/>
          <w:szCs w:val="24"/>
        </w:rPr>
      </w:pPr>
      <w:r w:rsidRPr="00F2350D">
        <w:rPr>
          <w:sz w:val="24"/>
          <w:szCs w:val="24"/>
        </w:rPr>
        <w:t xml:space="preserve">Efter administrationen af </w:t>
      </w:r>
      <w:proofErr w:type="spellStart"/>
      <w:r w:rsidRPr="00F2350D">
        <w:rPr>
          <w:sz w:val="24"/>
          <w:szCs w:val="24"/>
        </w:rPr>
        <w:t>fosfomycin</w:t>
      </w:r>
      <w:proofErr w:type="spellEnd"/>
      <w:r w:rsidRPr="00F2350D">
        <w:rPr>
          <w:sz w:val="24"/>
          <w:szCs w:val="24"/>
        </w:rPr>
        <w:t xml:space="preserve"> blev små mængder fundet i human mælk. Kun sparsomme oplysninger om brug af </w:t>
      </w:r>
      <w:proofErr w:type="spellStart"/>
      <w:r w:rsidRPr="00F2350D">
        <w:rPr>
          <w:sz w:val="24"/>
          <w:szCs w:val="24"/>
        </w:rPr>
        <w:t>fosfomycin</w:t>
      </w:r>
      <w:proofErr w:type="spellEnd"/>
      <w:r w:rsidRPr="00F2350D">
        <w:rPr>
          <w:sz w:val="24"/>
          <w:szCs w:val="24"/>
        </w:rPr>
        <w:t xml:space="preserve"> under amning er tilgængelige. Derfor anbefales denne behandling ikke som første valg til en kvinde, som ammer, især hvis hun ammer en præmatur eller nyfødt baby. Der blev ikke påvist en specifik risiko for et barn, der ammes, men, som med andre antibiotika bør en potentiel risiko for ændringer i spædbørns tarmflora tages i betragtning.</w:t>
      </w:r>
    </w:p>
    <w:p w:rsidR="008C198A" w:rsidRPr="00F2350D" w:rsidRDefault="008C198A" w:rsidP="008C198A">
      <w:pPr>
        <w:ind w:left="851"/>
        <w:rPr>
          <w:sz w:val="24"/>
          <w:szCs w:val="24"/>
        </w:rPr>
      </w:pPr>
    </w:p>
    <w:p w:rsidR="00F2350D" w:rsidRPr="00F2350D" w:rsidRDefault="00F2350D" w:rsidP="008C198A">
      <w:pPr>
        <w:ind w:left="851"/>
        <w:rPr>
          <w:sz w:val="24"/>
          <w:szCs w:val="24"/>
        </w:rPr>
      </w:pPr>
      <w:r w:rsidRPr="00F2350D">
        <w:rPr>
          <w:sz w:val="24"/>
          <w:szCs w:val="24"/>
        </w:rPr>
        <w:t>Fertilitet:</w:t>
      </w:r>
    </w:p>
    <w:p w:rsidR="00F2350D" w:rsidRPr="00F2350D" w:rsidRDefault="00F2350D" w:rsidP="008C198A">
      <w:pPr>
        <w:tabs>
          <w:tab w:val="left" w:pos="851"/>
        </w:tabs>
        <w:ind w:left="851"/>
        <w:rPr>
          <w:sz w:val="24"/>
          <w:szCs w:val="24"/>
        </w:rPr>
      </w:pPr>
      <w:r w:rsidRPr="00F2350D">
        <w:rPr>
          <w:sz w:val="24"/>
          <w:szCs w:val="24"/>
        </w:rPr>
        <w:t xml:space="preserve">Ingen humane data er tilgængelige. I han- og hunrotter påvirkede oral administration af </w:t>
      </w:r>
      <w:proofErr w:type="spellStart"/>
      <w:r w:rsidRPr="00F2350D">
        <w:rPr>
          <w:sz w:val="24"/>
          <w:szCs w:val="24"/>
        </w:rPr>
        <w:t>fosfomycin</w:t>
      </w:r>
      <w:proofErr w:type="spellEnd"/>
      <w:r w:rsidRPr="00F2350D">
        <w:rPr>
          <w:sz w:val="24"/>
          <w:szCs w:val="24"/>
        </w:rPr>
        <w:t xml:space="preserve"> op til 1000 mg/kg/dag ikke fertilitet (se pkt. 5.3).</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D7645D">
        <w:rPr>
          <w:b/>
          <w:sz w:val="24"/>
          <w:szCs w:val="24"/>
        </w:rPr>
        <w:t>og</w:t>
      </w:r>
      <w:r w:rsidRPr="00C84483">
        <w:rPr>
          <w:b/>
          <w:sz w:val="24"/>
          <w:szCs w:val="24"/>
        </w:rPr>
        <w:t xml:space="preserve"> betjene maskiner</w:t>
      </w:r>
    </w:p>
    <w:p w:rsidR="008C198A" w:rsidRPr="008C198A" w:rsidRDefault="008C198A" w:rsidP="008C198A">
      <w:pPr>
        <w:pStyle w:val="Brdtekstindrykning"/>
        <w:spacing w:after="0"/>
        <w:ind w:left="851"/>
        <w:rPr>
          <w:sz w:val="24"/>
          <w:szCs w:val="24"/>
          <w:lang w:bidi="ar-QA"/>
        </w:rPr>
      </w:pPr>
      <w:r w:rsidRPr="008C198A">
        <w:rPr>
          <w:rFonts w:eastAsia="SimSun"/>
          <w:sz w:val="24"/>
          <w:szCs w:val="24"/>
          <w:lang w:eastAsia="zh-CN"/>
        </w:rPr>
        <w:t>Der er ikke blevet udført nogen specifikke studier, men patienter bør informeres om, at forvirring og asteni er blevet rapporteret. Dette kan påvirke nogle patienters evne til at føre motorkøretøj og betjene maskiner (se pkt. 4.8).</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4.8</w:t>
      </w:r>
      <w:r w:rsidRPr="00C84483">
        <w:rPr>
          <w:b/>
          <w:sz w:val="24"/>
          <w:szCs w:val="24"/>
        </w:rPr>
        <w:tab/>
        <w:t>Bivirkninger</w:t>
      </w:r>
    </w:p>
    <w:p w:rsidR="000835A2" w:rsidRPr="000835A2" w:rsidRDefault="000835A2" w:rsidP="000835A2">
      <w:pPr>
        <w:ind w:left="851"/>
        <w:rPr>
          <w:rFonts w:eastAsia="Verdana"/>
          <w:sz w:val="24"/>
          <w:szCs w:val="24"/>
          <w:u w:val="single"/>
          <w:lang w:eastAsia="en-GB"/>
        </w:rPr>
      </w:pPr>
      <w:r w:rsidRPr="000835A2">
        <w:rPr>
          <w:rFonts w:eastAsia="Verdana"/>
          <w:sz w:val="24"/>
          <w:szCs w:val="24"/>
          <w:u w:val="single"/>
          <w:lang w:eastAsia="en-GB"/>
        </w:rPr>
        <w:t>Sammenfatning af sikkerhedsprofilen</w:t>
      </w:r>
    </w:p>
    <w:p w:rsidR="000835A2" w:rsidRDefault="000835A2" w:rsidP="000835A2">
      <w:pPr>
        <w:ind w:left="851"/>
        <w:rPr>
          <w:rFonts w:eastAsia="Verdana"/>
          <w:sz w:val="24"/>
          <w:szCs w:val="24"/>
          <w:lang w:eastAsia="en-GB"/>
        </w:rPr>
      </w:pPr>
      <w:r w:rsidRPr="000835A2">
        <w:rPr>
          <w:rFonts w:eastAsia="Verdana"/>
          <w:sz w:val="24"/>
          <w:szCs w:val="24"/>
          <w:lang w:eastAsia="en-GB"/>
        </w:rPr>
        <w:t xml:space="preserve">De mest almindeligt rapporterede </w:t>
      </w:r>
      <w:proofErr w:type="spellStart"/>
      <w:r w:rsidRPr="000835A2">
        <w:rPr>
          <w:rFonts w:eastAsia="Verdana"/>
          <w:sz w:val="24"/>
          <w:szCs w:val="24"/>
          <w:lang w:eastAsia="en-GB"/>
        </w:rPr>
        <w:t>bivirkniner</w:t>
      </w:r>
      <w:proofErr w:type="spellEnd"/>
      <w:r w:rsidRPr="000835A2">
        <w:rPr>
          <w:rFonts w:eastAsia="Verdana"/>
          <w:sz w:val="24"/>
          <w:szCs w:val="24"/>
          <w:lang w:eastAsia="en-GB"/>
        </w:rPr>
        <w:t xml:space="preserve"> under behandling er </w:t>
      </w:r>
      <w:proofErr w:type="spellStart"/>
      <w:r w:rsidRPr="000835A2">
        <w:rPr>
          <w:rFonts w:eastAsia="Verdana"/>
          <w:sz w:val="24"/>
          <w:szCs w:val="24"/>
          <w:lang w:eastAsia="en-GB"/>
        </w:rPr>
        <w:t>erytematøst</w:t>
      </w:r>
      <w:proofErr w:type="spellEnd"/>
      <w:r w:rsidRPr="000835A2">
        <w:rPr>
          <w:rFonts w:eastAsia="Verdana"/>
          <w:sz w:val="24"/>
          <w:szCs w:val="24"/>
          <w:lang w:eastAsia="en-GB"/>
        </w:rPr>
        <w:t xml:space="preserve"> hududslæt, ionforstyrrelser (se pkt. 4.4), reaktioner på injektionsstedet, </w:t>
      </w:r>
      <w:proofErr w:type="spellStart"/>
      <w:r w:rsidRPr="000835A2">
        <w:rPr>
          <w:rFonts w:eastAsia="Verdana"/>
          <w:sz w:val="24"/>
          <w:szCs w:val="24"/>
          <w:lang w:eastAsia="en-GB"/>
        </w:rPr>
        <w:t>dysgeusi</w:t>
      </w:r>
      <w:proofErr w:type="spellEnd"/>
      <w:r w:rsidRPr="000835A2">
        <w:rPr>
          <w:rFonts w:eastAsia="Verdana"/>
          <w:sz w:val="24"/>
          <w:szCs w:val="24"/>
          <w:lang w:eastAsia="en-GB"/>
        </w:rPr>
        <w:t xml:space="preserve"> og </w:t>
      </w:r>
      <w:proofErr w:type="spellStart"/>
      <w:r w:rsidRPr="000835A2">
        <w:rPr>
          <w:rFonts w:eastAsia="Verdana"/>
          <w:sz w:val="24"/>
          <w:szCs w:val="24"/>
          <w:lang w:eastAsia="en-GB"/>
        </w:rPr>
        <w:t>gastrointestinale</w:t>
      </w:r>
      <w:proofErr w:type="spellEnd"/>
      <w:r w:rsidRPr="000835A2">
        <w:rPr>
          <w:rFonts w:eastAsia="Verdana"/>
          <w:sz w:val="24"/>
          <w:szCs w:val="24"/>
          <w:lang w:eastAsia="en-GB"/>
        </w:rPr>
        <w:t xml:space="preserve"> forstyrrelser. Andre vigtige bivirkninger omfatter </w:t>
      </w:r>
      <w:proofErr w:type="spellStart"/>
      <w:r w:rsidRPr="000835A2">
        <w:rPr>
          <w:rFonts w:eastAsia="Verdana"/>
          <w:sz w:val="24"/>
          <w:szCs w:val="24"/>
          <w:lang w:eastAsia="en-GB"/>
        </w:rPr>
        <w:t>anafylaktisk</w:t>
      </w:r>
      <w:proofErr w:type="spellEnd"/>
      <w:r w:rsidRPr="000835A2">
        <w:rPr>
          <w:rFonts w:eastAsia="Verdana"/>
          <w:sz w:val="24"/>
          <w:szCs w:val="24"/>
          <w:lang w:eastAsia="en-GB"/>
        </w:rPr>
        <w:t xml:space="preserve"> chok, antibiotika-associeret </w:t>
      </w:r>
      <w:proofErr w:type="spellStart"/>
      <w:r w:rsidRPr="000835A2">
        <w:rPr>
          <w:rFonts w:eastAsia="Verdana"/>
          <w:sz w:val="24"/>
          <w:szCs w:val="24"/>
          <w:lang w:eastAsia="en-GB"/>
        </w:rPr>
        <w:t>kolitis</w:t>
      </w:r>
      <w:proofErr w:type="spellEnd"/>
      <w:r w:rsidRPr="000835A2">
        <w:rPr>
          <w:rFonts w:eastAsia="Verdana"/>
          <w:sz w:val="24"/>
          <w:szCs w:val="24"/>
          <w:lang w:eastAsia="en-GB"/>
        </w:rPr>
        <w:t> og reduktion i antallet hvide blodlegemer (se pkt. 4.4).</w:t>
      </w:r>
    </w:p>
    <w:p w:rsidR="000835A2" w:rsidRPr="000835A2" w:rsidRDefault="000835A2" w:rsidP="000835A2">
      <w:pPr>
        <w:ind w:left="851"/>
        <w:rPr>
          <w:rFonts w:eastAsia="Verdana"/>
          <w:sz w:val="24"/>
          <w:szCs w:val="24"/>
          <w:lang w:eastAsia="en-GB"/>
        </w:rPr>
      </w:pPr>
    </w:p>
    <w:p w:rsidR="000835A2" w:rsidRPr="000835A2" w:rsidRDefault="000835A2" w:rsidP="000835A2">
      <w:pPr>
        <w:ind w:left="851"/>
        <w:rPr>
          <w:rFonts w:eastAsia="Verdana"/>
          <w:sz w:val="24"/>
          <w:szCs w:val="24"/>
          <w:u w:val="single"/>
          <w:lang w:eastAsia="en-GB"/>
        </w:rPr>
      </w:pPr>
      <w:r w:rsidRPr="000835A2">
        <w:rPr>
          <w:rFonts w:eastAsia="Verdana"/>
          <w:sz w:val="24"/>
          <w:szCs w:val="24"/>
          <w:u w:val="single"/>
          <w:lang w:eastAsia="en-GB"/>
        </w:rPr>
        <w:t>Tabel over bivirkninger</w:t>
      </w:r>
    </w:p>
    <w:p w:rsidR="000835A2" w:rsidRDefault="000835A2" w:rsidP="000835A2">
      <w:pPr>
        <w:ind w:left="851"/>
        <w:rPr>
          <w:rFonts w:eastAsia="Verdana"/>
          <w:sz w:val="24"/>
          <w:szCs w:val="24"/>
          <w:lang w:eastAsia="en-GB"/>
        </w:rPr>
      </w:pPr>
      <w:r w:rsidRPr="000835A2">
        <w:rPr>
          <w:rFonts w:eastAsia="Verdana"/>
          <w:sz w:val="24"/>
          <w:szCs w:val="24"/>
          <w:lang w:eastAsia="en-GB"/>
        </w:rPr>
        <w:t>Bivirkninger er angivet efter systemorganklasse og hyppighed ved brug af følgende konvention:</w:t>
      </w:r>
    </w:p>
    <w:p w:rsidR="000835A2" w:rsidRPr="000835A2" w:rsidRDefault="000835A2" w:rsidP="000835A2">
      <w:pPr>
        <w:ind w:left="851"/>
        <w:rPr>
          <w:rFonts w:eastAsia="Verdana"/>
          <w:sz w:val="24"/>
          <w:szCs w:val="24"/>
          <w:lang w:eastAsia="en-GB"/>
        </w:rPr>
      </w:pPr>
    </w:p>
    <w:p w:rsidR="000835A2" w:rsidRPr="000835A2" w:rsidRDefault="000835A2" w:rsidP="000835A2">
      <w:pPr>
        <w:ind w:left="851"/>
        <w:rPr>
          <w:rFonts w:eastAsia="Verdana"/>
          <w:sz w:val="24"/>
          <w:szCs w:val="24"/>
          <w:lang w:eastAsia="en-GB"/>
        </w:rPr>
      </w:pPr>
      <w:r w:rsidRPr="000835A2">
        <w:rPr>
          <w:rFonts w:eastAsia="Verdana"/>
          <w:sz w:val="24"/>
          <w:szCs w:val="24"/>
          <w:lang w:eastAsia="en-GB"/>
        </w:rPr>
        <w:t>Meget almindelig (≥1/10)</w:t>
      </w:r>
    </w:p>
    <w:p w:rsidR="000835A2" w:rsidRPr="000835A2" w:rsidRDefault="000835A2" w:rsidP="000835A2">
      <w:pPr>
        <w:ind w:left="851"/>
        <w:rPr>
          <w:rFonts w:eastAsia="Verdana"/>
          <w:sz w:val="24"/>
          <w:szCs w:val="24"/>
          <w:lang w:eastAsia="en-GB"/>
        </w:rPr>
      </w:pPr>
      <w:r w:rsidRPr="000835A2">
        <w:rPr>
          <w:rFonts w:eastAsia="Verdana"/>
          <w:sz w:val="24"/>
          <w:szCs w:val="24"/>
          <w:lang w:eastAsia="en-GB"/>
        </w:rPr>
        <w:t>Almindelig (≥1/100 til &lt;1/10)</w:t>
      </w:r>
    </w:p>
    <w:p w:rsidR="000835A2" w:rsidRPr="000835A2" w:rsidRDefault="000835A2" w:rsidP="000835A2">
      <w:pPr>
        <w:ind w:left="851"/>
        <w:rPr>
          <w:rFonts w:eastAsia="Verdana"/>
          <w:sz w:val="24"/>
          <w:szCs w:val="24"/>
          <w:lang w:eastAsia="en-GB"/>
        </w:rPr>
      </w:pPr>
      <w:r w:rsidRPr="000835A2">
        <w:rPr>
          <w:rFonts w:eastAsia="Verdana"/>
          <w:sz w:val="24"/>
          <w:szCs w:val="24"/>
          <w:lang w:eastAsia="en-GB"/>
        </w:rPr>
        <w:t>Ikke almindelig (≥1/1.000 til &lt;1/100)</w:t>
      </w:r>
    </w:p>
    <w:p w:rsidR="000835A2" w:rsidRPr="000835A2" w:rsidRDefault="000835A2" w:rsidP="000835A2">
      <w:pPr>
        <w:ind w:left="851"/>
        <w:rPr>
          <w:rFonts w:eastAsia="Verdana"/>
          <w:sz w:val="24"/>
          <w:szCs w:val="24"/>
          <w:lang w:eastAsia="en-GB"/>
        </w:rPr>
      </w:pPr>
      <w:r w:rsidRPr="000835A2">
        <w:rPr>
          <w:rFonts w:eastAsia="Verdana"/>
          <w:sz w:val="24"/>
          <w:szCs w:val="24"/>
          <w:lang w:eastAsia="en-GB"/>
        </w:rPr>
        <w:t>Sjælden (≥1/10.000 til &lt;1/1.000)</w:t>
      </w:r>
    </w:p>
    <w:p w:rsidR="000835A2" w:rsidRPr="000835A2" w:rsidRDefault="000835A2" w:rsidP="000835A2">
      <w:pPr>
        <w:ind w:left="851"/>
        <w:rPr>
          <w:rFonts w:eastAsia="Verdana"/>
          <w:sz w:val="24"/>
          <w:szCs w:val="24"/>
          <w:lang w:eastAsia="en-GB"/>
        </w:rPr>
      </w:pPr>
      <w:r w:rsidRPr="000835A2">
        <w:rPr>
          <w:rFonts w:eastAsia="Verdana"/>
          <w:sz w:val="24"/>
          <w:szCs w:val="24"/>
          <w:lang w:eastAsia="en-GB"/>
        </w:rPr>
        <w:t>Meget sjælden (&lt;1/10.000)</w:t>
      </w:r>
    </w:p>
    <w:p w:rsidR="000835A2" w:rsidRDefault="000835A2" w:rsidP="000835A2">
      <w:pPr>
        <w:ind w:left="851"/>
        <w:rPr>
          <w:rFonts w:eastAsia="Verdana"/>
          <w:sz w:val="24"/>
          <w:szCs w:val="24"/>
          <w:lang w:eastAsia="en-GB"/>
        </w:rPr>
      </w:pPr>
      <w:r w:rsidRPr="000835A2">
        <w:rPr>
          <w:rFonts w:eastAsia="Verdana"/>
          <w:sz w:val="24"/>
          <w:szCs w:val="24"/>
          <w:lang w:eastAsia="en-GB"/>
        </w:rPr>
        <w:t>Ikke kendt (kan ikke estimeres ud fra forhåndenværende data)</w:t>
      </w:r>
    </w:p>
    <w:p w:rsidR="000835A2" w:rsidRPr="000835A2" w:rsidRDefault="000835A2" w:rsidP="000835A2">
      <w:pPr>
        <w:ind w:left="851"/>
        <w:rPr>
          <w:rFonts w:eastAsia="Verdana"/>
          <w:sz w:val="24"/>
          <w:szCs w:val="24"/>
          <w:lang w:eastAsia="en-GB"/>
        </w:rPr>
      </w:pPr>
    </w:p>
    <w:p w:rsidR="000835A2" w:rsidRDefault="000835A2" w:rsidP="000835A2">
      <w:pPr>
        <w:ind w:left="851"/>
        <w:rPr>
          <w:rFonts w:eastAsia="Verdana"/>
          <w:sz w:val="24"/>
          <w:szCs w:val="24"/>
          <w:lang w:eastAsia="en-GB"/>
        </w:rPr>
      </w:pPr>
      <w:r w:rsidRPr="000835A2">
        <w:rPr>
          <w:rFonts w:eastAsia="Verdana"/>
          <w:sz w:val="24"/>
          <w:szCs w:val="24"/>
          <w:lang w:eastAsia="en-GB"/>
        </w:rPr>
        <w:t>Inden for hver hyppighedsgruppe er bivirkningerne vist efter aftagende sværhedsgrad.</w:t>
      </w:r>
    </w:p>
    <w:p w:rsidR="000835A2" w:rsidRPr="000835A2" w:rsidRDefault="000835A2" w:rsidP="000835A2">
      <w:pPr>
        <w:ind w:left="851"/>
        <w:rPr>
          <w:rFonts w:eastAsia="Verdana"/>
          <w:sz w:val="24"/>
          <w:szCs w:val="24"/>
          <w:lang w:eastAsia="en-GB"/>
        </w:rPr>
      </w:pP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3212"/>
        <w:gridCol w:w="3241"/>
      </w:tblGrid>
      <w:tr w:rsidR="000835A2" w:rsidRPr="006B741E" w:rsidTr="000835A2">
        <w:tc>
          <w:tcPr>
            <w:tcW w:w="1384" w:type="pct"/>
            <w:tcBorders>
              <w:top w:val="single" w:sz="4" w:space="0" w:color="auto"/>
              <w:left w:val="single" w:sz="4" w:space="0" w:color="auto"/>
              <w:bottom w:val="single" w:sz="4" w:space="0" w:color="auto"/>
              <w:right w:val="single" w:sz="4" w:space="0" w:color="auto"/>
            </w:tcBorders>
            <w:hideMark/>
          </w:tcPr>
          <w:p w:rsidR="000835A2" w:rsidRPr="006B741E" w:rsidRDefault="000835A2" w:rsidP="000835A2">
            <w:pPr>
              <w:keepNext/>
              <w:spacing w:after="140" w:line="280" w:lineRule="atLeast"/>
              <w:rPr>
                <w:rFonts w:eastAsia="Verdana"/>
                <w:b/>
                <w:sz w:val="24"/>
                <w:szCs w:val="24"/>
                <w:lang w:eastAsia="en-GB"/>
              </w:rPr>
            </w:pPr>
            <w:r w:rsidRPr="006B741E">
              <w:rPr>
                <w:rFonts w:eastAsia="Verdana"/>
                <w:b/>
                <w:bCs/>
                <w:sz w:val="24"/>
                <w:szCs w:val="24"/>
                <w:lang w:eastAsia="en-GB"/>
              </w:rPr>
              <w:lastRenderedPageBreak/>
              <w:t>Systemorganklasse</w:t>
            </w:r>
          </w:p>
        </w:tc>
        <w:tc>
          <w:tcPr>
            <w:tcW w:w="1800"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b/>
                <w:sz w:val="24"/>
                <w:szCs w:val="24"/>
                <w:lang w:eastAsia="en-GB"/>
              </w:rPr>
            </w:pPr>
            <w:r w:rsidRPr="006B741E">
              <w:rPr>
                <w:rFonts w:eastAsia="Verdana"/>
                <w:b/>
                <w:bCs/>
                <w:sz w:val="24"/>
                <w:szCs w:val="24"/>
                <w:lang w:eastAsia="en-GB"/>
              </w:rPr>
              <w:t>Hyppighed</w:t>
            </w:r>
          </w:p>
        </w:tc>
        <w:tc>
          <w:tcPr>
            <w:tcW w:w="1816"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b/>
                <w:sz w:val="24"/>
                <w:szCs w:val="24"/>
                <w:lang w:eastAsia="en-GB"/>
              </w:rPr>
            </w:pPr>
            <w:r w:rsidRPr="006B741E">
              <w:rPr>
                <w:rFonts w:eastAsia="Verdana"/>
                <w:b/>
                <w:bCs/>
                <w:sz w:val="24"/>
                <w:szCs w:val="24"/>
                <w:lang w:eastAsia="en-GB"/>
              </w:rPr>
              <w:t>Bivirkning</w:t>
            </w:r>
          </w:p>
        </w:tc>
      </w:tr>
      <w:tr w:rsidR="000835A2" w:rsidRPr="006B741E" w:rsidTr="000835A2">
        <w:tc>
          <w:tcPr>
            <w:tcW w:w="1384"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b/>
                <w:sz w:val="24"/>
                <w:szCs w:val="24"/>
                <w:lang w:eastAsia="en-GB"/>
              </w:rPr>
            </w:pPr>
            <w:r w:rsidRPr="006B741E">
              <w:rPr>
                <w:rFonts w:eastAsia="Verdana"/>
                <w:b/>
                <w:bCs/>
                <w:sz w:val="24"/>
                <w:szCs w:val="24"/>
                <w:lang w:eastAsia="en-GB"/>
              </w:rPr>
              <w:t>Blod og lymfesystem</w:t>
            </w:r>
          </w:p>
        </w:tc>
        <w:tc>
          <w:tcPr>
            <w:tcW w:w="1800"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Ikke kendt</w:t>
            </w:r>
          </w:p>
        </w:tc>
        <w:tc>
          <w:tcPr>
            <w:tcW w:w="1816"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proofErr w:type="spellStart"/>
            <w:r w:rsidRPr="006B741E">
              <w:rPr>
                <w:rFonts w:eastAsia="Verdana"/>
                <w:sz w:val="24"/>
                <w:szCs w:val="24"/>
                <w:lang w:eastAsia="en-GB"/>
              </w:rPr>
              <w:t>Agranulocytose</w:t>
            </w:r>
            <w:proofErr w:type="spellEnd"/>
            <w:r w:rsidRPr="006B741E">
              <w:rPr>
                <w:rFonts w:eastAsia="Verdana"/>
                <w:sz w:val="24"/>
                <w:szCs w:val="24"/>
                <w:lang w:eastAsia="en-GB"/>
              </w:rPr>
              <w:t xml:space="preserve"> (forbigående), </w:t>
            </w:r>
            <w:proofErr w:type="spellStart"/>
            <w:r w:rsidRPr="006B741E">
              <w:rPr>
                <w:rFonts w:eastAsia="Verdana"/>
                <w:sz w:val="24"/>
                <w:szCs w:val="24"/>
                <w:lang w:eastAsia="en-GB"/>
              </w:rPr>
              <w:t>leukopeni</w:t>
            </w:r>
            <w:proofErr w:type="spellEnd"/>
            <w:r w:rsidRPr="006B741E">
              <w:rPr>
                <w:rFonts w:eastAsia="Verdana"/>
                <w:sz w:val="24"/>
                <w:szCs w:val="24"/>
                <w:lang w:eastAsia="en-GB"/>
              </w:rPr>
              <w:t xml:space="preserve">, </w:t>
            </w:r>
            <w:proofErr w:type="spellStart"/>
            <w:r w:rsidRPr="006B741E">
              <w:rPr>
                <w:rFonts w:eastAsia="Verdana"/>
                <w:sz w:val="24"/>
                <w:szCs w:val="24"/>
                <w:lang w:eastAsia="en-GB"/>
              </w:rPr>
              <w:t>trombocytopeni</w:t>
            </w:r>
            <w:proofErr w:type="spellEnd"/>
            <w:r w:rsidRPr="006B741E">
              <w:rPr>
                <w:rFonts w:eastAsia="Verdana"/>
                <w:sz w:val="24"/>
                <w:szCs w:val="24"/>
                <w:lang w:eastAsia="en-GB"/>
              </w:rPr>
              <w:t xml:space="preserve">, </w:t>
            </w:r>
            <w:proofErr w:type="spellStart"/>
            <w:r w:rsidRPr="006B741E">
              <w:rPr>
                <w:rFonts w:eastAsia="Verdana"/>
                <w:sz w:val="24"/>
                <w:szCs w:val="24"/>
                <w:lang w:eastAsia="en-GB"/>
              </w:rPr>
              <w:t>neutropeni</w:t>
            </w:r>
            <w:proofErr w:type="spellEnd"/>
          </w:p>
        </w:tc>
      </w:tr>
      <w:tr w:rsidR="000835A2" w:rsidRPr="006B741E" w:rsidTr="000835A2">
        <w:tc>
          <w:tcPr>
            <w:tcW w:w="1384"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b/>
                <w:sz w:val="24"/>
                <w:szCs w:val="24"/>
                <w:lang w:eastAsia="en-GB"/>
              </w:rPr>
            </w:pPr>
            <w:r w:rsidRPr="006B741E">
              <w:rPr>
                <w:rFonts w:eastAsia="Verdana"/>
                <w:b/>
                <w:bCs/>
                <w:sz w:val="24"/>
                <w:szCs w:val="24"/>
                <w:lang w:eastAsia="en-GB"/>
              </w:rPr>
              <w:t>Immunsystemet</w:t>
            </w:r>
          </w:p>
        </w:tc>
        <w:tc>
          <w:tcPr>
            <w:tcW w:w="1800"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Meget sjælden</w:t>
            </w:r>
          </w:p>
        </w:tc>
        <w:tc>
          <w:tcPr>
            <w:tcW w:w="1816"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proofErr w:type="spellStart"/>
            <w:r w:rsidRPr="006B741E">
              <w:rPr>
                <w:rFonts w:eastAsia="Verdana"/>
                <w:sz w:val="24"/>
                <w:szCs w:val="24"/>
                <w:lang w:eastAsia="en-GB"/>
              </w:rPr>
              <w:t>Anafylaktiske</w:t>
            </w:r>
            <w:proofErr w:type="spellEnd"/>
            <w:r w:rsidRPr="006B741E">
              <w:rPr>
                <w:rFonts w:eastAsia="Verdana"/>
                <w:sz w:val="24"/>
                <w:szCs w:val="24"/>
                <w:lang w:eastAsia="en-GB"/>
              </w:rPr>
              <w:t xml:space="preserve"> reaktioner, herunder </w:t>
            </w:r>
            <w:proofErr w:type="spellStart"/>
            <w:r w:rsidRPr="006B741E">
              <w:rPr>
                <w:rFonts w:eastAsia="Verdana"/>
                <w:sz w:val="24"/>
                <w:szCs w:val="24"/>
                <w:lang w:eastAsia="en-GB"/>
              </w:rPr>
              <w:t>anafylaktisk</w:t>
            </w:r>
            <w:proofErr w:type="spellEnd"/>
            <w:r w:rsidRPr="006B741E">
              <w:rPr>
                <w:rFonts w:eastAsia="Verdana"/>
                <w:sz w:val="24"/>
                <w:szCs w:val="24"/>
                <w:lang w:eastAsia="en-GB"/>
              </w:rPr>
              <w:t xml:space="preserve"> chok og overfølsomhed (se pkt. 4.4)</w:t>
            </w:r>
          </w:p>
        </w:tc>
      </w:tr>
      <w:tr w:rsidR="000835A2" w:rsidRPr="006B741E" w:rsidTr="000835A2">
        <w:tc>
          <w:tcPr>
            <w:tcW w:w="1384" w:type="pct"/>
            <w:vMerge w:val="restar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b/>
                <w:sz w:val="24"/>
                <w:szCs w:val="24"/>
                <w:lang w:eastAsia="en-GB"/>
              </w:rPr>
            </w:pPr>
            <w:r w:rsidRPr="006B741E">
              <w:rPr>
                <w:rFonts w:eastAsia="Verdana"/>
                <w:b/>
                <w:bCs/>
                <w:sz w:val="24"/>
                <w:szCs w:val="24"/>
                <w:lang w:eastAsia="en-GB"/>
              </w:rPr>
              <w:t>Nervesystemet</w:t>
            </w:r>
          </w:p>
        </w:tc>
        <w:tc>
          <w:tcPr>
            <w:tcW w:w="1800"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Almindelig</w:t>
            </w:r>
          </w:p>
        </w:tc>
        <w:tc>
          <w:tcPr>
            <w:tcW w:w="1816"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proofErr w:type="spellStart"/>
            <w:r w:rsidRPr="006B741E">
              <w:rPr>
                <w:rFonts w:eastAsia="Verdana"/>
                <w:sz w:val="24"/>
                <w:szCs w:val="24"/>
                <w:lang w:eastAsia="en-GB"/>
              </w:rPr>
              <w:t>Dysgeusi</w:t>
            </w:r>
            <w:proofErr w:type="spellEnd"/>
            <w:r w:rsidRPr="006B741E">
              <w:rPr>
                <w:rFonts w:eastAsia="Verdana"/>
                <w:sz w:val="24"/>
                <w:szCs w:val="24"/>
                <w:lang w:eastAsia="en-GB"/>
              </w:rPr>
              <w:t xml:space="preserve">, </w:t>
            </w:r>
          </w:p>
        </w:tc>
      </w:tr>
      <w:tr w:rsidR="000835A2" w:rsidRPr="006B741E" w:rsidTr="000835A2">
        <w:tc>
          <w:tcPr>
            <w:tcW w:w="1384" w:type="pct"/>
            <w:vMerge/>
            <w:tcBorders>
              <w:top w:val="single" w:sz="4" w:space="0" w:color="auto"/>
              <w:left w:val="single" w:sz="4" w:space="0" w:color="auto"/>
              <w:bottom w:val="single" w:sz="4" w:space="0" w:color="auto"/>
              <w:right w:val="single" w:sz="4" w:space="0" w:color="auto"/>
            </w:tcBorders>
            <w:vAlign w:val="center"/>
            <w:hideMark/>
          </w:tcPr>
          <w:p w:rsidR="000835A2" w:rsidRPr="006B741E" w:rsidRDefault="000835A2">
            <w:pPr>
              <w:rPr>
                <w:rFonts w:eastAsia="Verdana"/>
                <w:b/>
                <w:sz w:val="24"/>
                <w:szCs w:val="24"/>
                <w:lang w:eastAsia="en-GB"/>
              </w:rPr>
            </w:pPr>
          </w:p>
        </w:tc>
        <w:tc>
          <w:tcPr>
            <w:tcW w:w="1800"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Ikke almindelig</w:t>
            </w:r>
          </w:p>
        </w:tc>
        <w:tc>
          <w:tcPr>
            <w:tcW w:w="1816"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Hovedpine</w:t>
            </w:r>
          </w:p>
        </w:tc>
      </w:tr>
      <w:tr w:rsidR="000835A2" w:rsidRPr="006B741E" w:rsidTr="000835A2">
        <w:tc>
          <w:tcPr>
            <w:tcW w:w="1384"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b/>
                <w:strike/>
                <w:sz w:val="24"/>
                <w:szCs w:val="24"/>
                <w:lang w:eastAsia="en-GB"/>
              </w:rPr>
            </w:pPr>
            <w:r w:rsidRPr="006B741E">
              <w:rPr>
                <w:rFonts w:eastAsia="Verdana"/>
                <w:b/>
                <w:bCs/>
                <w:sz w:val="24"/>
                <w:szCs w:val="24"/>
                <w:lang w:eastAsia="en-GB"/>
              </w:rPr>
              <w:t>Undersøgelser</w:t>
            </w:r>
          </w:p>
        </w:tc>
        <w:tc>
          <w:tcPr>
            <w:tcW w:w="1800"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trike/>
                <w:sz w:val="24"/>
                <w:szCs w:val="24"/>
                <w:lang w:eastAsia="en-GB"/>
              </w:rPr>
            </w:pPr>
            <w:r w:rsidRPr="006B741E">
              <w:rPr>
                <w:rFonts w:eastAsia="Verdana"/>
                <w:sz w:val="24"/>
                <w:szCs w:val="24"/>
                <w:lang w:eastAsia="en-GB"/>
              </w:rPr>
              <w:t>Almindelig</w:t>
            </w:r>
          </w:p>
        </w:tc>
        <w:tc>
          <w:tcPr>
            <w:tcW w:w="1816"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trike/>
                <w:sz w:val="24"/>
                <w:szCs w:val="24"/>
                <w:lang w:eastAsia="en-GB"/>
              </w:rPr>
            </w:pPr>
            <w:proofErr w:type="spellStart"/>
            <w:r w:rsidRPr="006B741E">
              <w:rPr>
                <w:rFonts w:eastAsia="Verdana"/>
                <w:sz w:val="24"/>
                <w:szCs w:val="24"/>
                <w:lang w:eastAsia="en-GB"/>
              </w:rPr>
              <w:t>Hypernatriæmi</w:t>
            </w:r>
            <w:proofErr w:type="spellEnd"/>
            <w:r w:rsidRPr="006B741E">
              <w:rPr>
                <w:rFonts w:eastAsia="Verdana"/>
                <w:sz w:val="24"/>
                <w:szCs w:val="24"/>
                <w:lang w:eastAsia="en-GB"/>
              </w:rPr>
              <w:t xml:space="preserve">, </w:t>
            </w:r>
            <w:proofErr w:type="spellStart"/>
            <w:r w:rsidRPr="006B741E">
              <w:rPr>
                <w:rFonts w:eastAsia="Verdana"/>
                <w:sz w:val="24"/>
                <w:szCs w:val="24"/>
                <w:lang w:eastAsia="en-GB"/>
              </w:rPr>
              <w:t>hypokaliæmi</w:t>
            </w:r>
            <w:proofErr w:type="spellEnd"/>
            <w:r w:rsidRPr="006B741E">
              <w:rPr>
                <w:rFonts w:eastAsia="Verdana"/>
                <w:sz w:val="24"/>
                <w:szCs w:val="24"/>
                <w:lang w:eastAsia="en-GB"/>
              </w:rPr>
              <w:t>* (se pkt. 4.4)</w:t>
            </w:r>
          </w:p>
        </w:tc>
      </w:tr>
      <w:tr w:rsidR="000835A2" w:rsidRPr="006B741E" w:rsidTr="000835A2">
        <w:tc>
          <w:tcPr>
            <w:tcW w:w="1384" w:type="pct"/>
            <w:vMerge w:val="restar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b/>
                <w:strike/>
                <w:sz w:val="24"/>
                <w:szCs w:val="24"/>
                <w:lang w:eastAsia="en-GB"/>
              </w:rPr>
            </w:pPr>
            <w:r w:rsidRPr="006B741E">
              <w:rPr>
                <w:rFonts w:eastAsia="Verdana"/>
                <w:b/>
                <w:bCs/>
                <w:sz w:val="24"/>
                <w:szCs w:val="24"/>
                <w:lang w:eastAsia="en-GB"/>
              </w:rPr>
              <w:t>Mave-tarm-kanalen</w:t>
            </w:r>
          </w:p>
        </w:tc>
        <w:tc>
          <w:tcPr>
            <w:tcW w:w="1800"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trike/>
                <w:sz w:val="24"/>
                <w:szCs w:val="24"/>
                <w:lang w:eastAsia="en-GB"/>
              </w:rPr>
            </w:pPr>
            <w:r w:rsidRPr="006B741E">
              <w:rPr>
                <w:rFonts w:eastAsia="Verdana"/>
                <w:sz w:val="24"/>
                <w:szCs w:val="24"/>
                <w:lang w:eastAsia="en-GB"/>
              </w:rPr>
              <w:t>Ikke almindelig</w:t>
            </w:r>
          </w:p>
        </w:tc>
        <w:tc>
          <w:tcPr>
            <w:tcW w:w="1816"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trike/>
                <w:sz w:val="24"/>
                <w:szCs w:val="24"/>
                <w:lang w:eastAsia="en-GB"/>
              </w:rPr>
            </w:pPr>
            <w:r w:rsidRPr="006B741E">
              <w:rPr>
                <w:rFonts w:eastAsia="Verdana"/>
                <w:sz w:val="24"/>
                <w:szCs w:val="24"/>
                <w:lang w:eastAsia="en-GB"/>
              </w:rPr>
              <w:t>Kvalme, opkastning, diarré</w:t>
            </w:r>
          </w:p>
        </w:tc>
      </w:tr>
      <w:tr w:rsidR="000835A2" w:rsidRPr="006B741E" w:rsidTr="000835A2">
        <w:tc>
          <w:tcPr>
            <w:tcW w:w="1384" w:type="pct"/>
            <w:vMerge/>
            <w:tcBorders>
              <w:top w:val="single" w:sz="4" w:space="0" w:color="auto"/>
              <w:left w:val="single" w:sz="4" w:space="0" w:color="auto"/>
              <w:bottom w:val="single" w:sz="4" w:space="0" w:color="auto"/>
              <w:right w:val="single" w:sz="4" w:space="0" w:color="auto"/>
            </w:tcBorders>
            <w:vAlign w:val="center"/>
            <w:hideMark/>
          </w:tcPr>
          <w:p w:rsidR="000835A2" w:rsidRPr="006B741E" w:rsidRDefault="000835A2">
            <w:pPr>
              <w:rPr>
                <w:rFonts w:eastAsia="Verdana"/>
                <w:b/>
                <w:strike/>
                <w:sz w:val="24"/>
                <w:szCs w:val="24"/>
                <w:lang w:eastAsia="en-GB"/>
              </w:rPr>
            </w:pPr>
          </w:p>
        </w:tc>
        <w:tc>
          <w:tcPr>
            <w:tcW w:w="1800"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Ikke kendt</w:t>
            </w:r>
          </w:p>
        </w:tc>
        <w:tc>
          <w:tcPr>
            <w:tcW w:w="1816"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val="it-IT" w:eastAsia="en-GB"/>
              </w:rPr>
            </w:pPr>
            <w:r w:rsidRPr="006B741E">
              <w:rPr>
                <w:rFonts w:eastAsia="Verdana"/>
                <w:sz w:val="24"/>
                <w:szCs w:val="24"/>
                <w:lang w:eastAsia="en-GB"/>
              </w:rPr>
              <w:t xml:space="preserve">Antibiotika-associeret </w:t>
            </w:r>
            <w:proofErr w:type="spellStart"/>
            <w:r w:rsidRPr="006B741E">
              <w:rPr>
                <w:rFonts w:eastAsia="Verdana"/>
                <w:sz w:val="24"/>
                <w:szCs w:val="24"/>
                <w:lang w:eastAsia="en-GB"/>
              </w:rPr>
              <w:t>kolitis</w:t>
            </w:r>
            <w:proofErr w:type="spellEnd"/>
            <w:r w:rsidRPr="006B741E">
              <w:rPr>
                <w:rFonts w:eastAsia="Verdana"/>
                <w:sz w:val="24"/>
                <w:szCs w:val="24"/>
                <w:lang w:eastAsia="en-GB"/>
              </w:rPr>
              <w:t xml:space="preserve"> (se pkt. 4.4)</w:t>
            </w:r>
          </w:p>
        </w:tc>
      </w:tr>
      <w:tr w:rsidR="000835A2" w:rsidRPr="006B741E" w:rsidTr="000835A2">
        <w:tc>
          <w:tcPr>
            <w:tcW w:w="1384" w:type="pct"/>
            <w:vMerge w:val="restar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b/>
                <w:sz w:val="24"/>
                <w:szCs w:val="24"/>
                <w:lang w:eastAsia="en-GB"/>
              </w:rPr>
            </w:pPr>
            <w:r w:rsidRPr="006B741E">
              <w:rPr>
                <w:rFonts w:eastAsia="Verdana"/>
                <w:b/>
                <w:bCs/>
                <w:sz w:val="24"/>
                <w:szCs w:val="24"/>
                <w:lang w:eastAsia="en-GB"/>
              </w:rPr>
              <w:t>Lever og galdeveje</w:t>
            </w:r>
          </w:p>
        </w:tc>
        <w:tc>
          <w:tcPr>
            <w:tcW w:w="1800"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Ikke almindelig</w:t>
            </w:r>
          </w:p>
        </w:tc>
        <w:tc>
          <w:tcPr>
            <w:tcW w:w="1816"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 xml:space="preserve">Forhøjet alkalisk fosfatase i blodet (forbigående), forhøjede </w:t>
            </w:r>
            <w:proofErr w:type="spellStart"/>
            <w:r w:rsidRPr="006B741E">
              <w:rPr>
                <w:rFonts w:eastAsia="Verdana"/>
                <w:sz w:val="24"/>
                <w:szCs w:val="24"/>
                <w:lang w:eastAsia="en-GB"/>
              </w:rPr>
              <w:t>transaminaser</w:t>
            </w:r>
            <w:proofErr w:type="spellEnd"/>
            <w:r w:rsidRPr="006B741E">
              <w:rPr>
                <w:rFonts w:eastAsia="Verdana"/>
                <w:sz w:val="24"/>
                <w:szCs w:val="24"/>
                <w:lang w:eastAsia="en-GB"/>
              </w:rPr>
              <w:t xml:space="preserve"> (ALAT, ASAT), forhøjet gamma-GT </w:t>
            </w:r>
          </w:p>
        </w:tc>
      </w:tr>
      <w:tr w:rsidR="000835A2" w:rsidRPr="006B741E" w:rsidTr="000835A2">
        <w:tc>
          <w:tcPr>
            <w:tcW w:w="1384" w:type="pct"/>
            <w:vMerge/>
            <w:tcBorders>
              <w:top w:val="single" w:sz="4" w:space="0" w:color="auto"/>
              <w:left w:val="single" w:sz="4" w:space="0" w:color="auto"/>
              <w:bottom w:val="single" w:sz="4" w:space="0" w:color="auto"/>
              <w:right w:val="single" w:sz="4" w:space="0" w:color="auto"/>
            </w:tcBorders>
            <w:vAlign w:val="center"/>
            <w:hideMark/>
          </w:tcPr>
          <w:p w:rsidR="000835A2" w:rsidRPr="006B741E" w:rsidRDefault="000835A2">
            <w:pPr>
              <w:rPr>
                <w:rFonts w:eastAsia="Verdana"/>
                <w:b/>
                <w:sz w:val="24"/>
                <w:szCs w:val="24"/>
                <w:lang w:eastAsia="en-GB"/>
              </w:rPr>
            </w:pPr>
          </w:p>
        </w:tc>
        <w:tc>
          <w:tcPr>
            <w:tcW w:w="1800"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Ikke kendt</w:t>
            </w:r>
          </w:p>
        </w:tc>
        <w:tc>
          <w:tcPr>
            <w:tcW w:w="1816"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Hepatitis</w:t>
            </w:r>
          </w:p>
        </w:tc>
      </w:tr>
      <w:tr w:rsidR="000835A2" w:rsidRPr="006B741E" w:rsidTr="000835A2">
        <w:tc>
          <w:tcPr>
            <w:tcW w:w="1384" w:type="pct"/>
            <w:vMerge w:val="restar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b/>
                <w:sz w:val="24"/>
                <w:szCs w:val="24"/>
                <w:lang w:eastAsia="en-GB"/>
              </w:rPr>
            </w:pPr>
            <w:r w:rsidRPr="006B741E">
              <w:rPr>
                <w:rFonts w:eastAsia="Verdana"/>
                <w:b/>
                <w:bCs/>
                <w:sz w:val="24"/>
                <w:szCs w:val="24"/>
                <w:lang w:eastAsia="en-GB"/>
              </w:rPr>
              <w:t>Hud og subkutane væv</w:t>
            </w:r>
          </w:p>
        </w:tc>
        <w:tc>
          <w:tcPr>
            <w:tcW w:w="1800"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Almindelig</w:t>
            </w:r>
          </w:p>
        </w:tc>
        <w:tc>
          <w:tcPr>
            <w:tcW w:w="1816"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proofErr w:type="spellStart"/>
            <w:r w:rsidRPr="006B741E">
              <w:rPr>
                <w:rFonts w:eastAsia="Verdana"/>
                <w:sz w:val="24"/>
                <w:szCs w:val="24"/>
                <w:lang w:eastAsia="en-GB"/>
              </w:rPr>
              <w:t>Erytematøst</w:t>
            </w:r>
            <w:proofErr w:type="spellEnd"/>
            <w:r w:rsidRPr="006B741E">
              <w:rPr>
                <w:rFonts w:eastAsia="Verdana"/>
                <w:sz w:val="24"/>
                <w:szCs w:val="24"/>
                <w:lang w:eastAsia="en-GB"/>
              </w:rPr>
              <w:t xml:space="preserve"> udslæt</w:t>
            </w:r>
          </w:p>
        </w:tc>
      </w:tr>
      <w:tr w:rsidR="000835A2" w:rsidRPr="006B741E" w:rsidTr="000835A2">
        <w:tc>
          <w:tcPr>
            <w:tcW w:w="1384" w:type="pct"/>
            <w:vMerge/>
            <w:tcBorders>
              <w:top w:val="single" w:sz="4" w:space="0" w:color="auto"/>
              <w:left w:val="single" w:sz="4" w:space="0" w:color="auto"/>
              <w:bottom w:val="single" w:sz="4" w:space="0" w:color="auto"/>
              <w:right w:val="single" w:sz="4" w:space="0" w:color="auto"/>
            </w:tcBorders>
            <w:vAlign w:val="center"/>
            <w:hideMark/>
          </w:tcPr>
          <w:p w:rsidR="000835A2" w:rsidRPr="006B741E" w:rsidRDefault="000835A2">
            <w:pPr>
              <w:rPr>
                <w:rFonts w:eastAsia="Verdana"/>
                <w:b/>
                <w:sz w:val="24"/>
                <w:szCs w:val="24"/>
                <w:lang w:eastAsia="en-GB"/>
              </w:rPr>
            </w:pPr>
          </w:p>
        </w:tc>
        <w:tc>
          <w:tcPr>
            <w:tcW w:w="1800"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Ikke almindelig</w:t>
            </w:r>
          </w:p>
        </w:tc>
        <w:tc>
          <w:tcPr>
            <w:tcW w:w="1816"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Udslæt</w:t>
            </w:r>
          </w:p>
        </w:tc>
      </w:tr>
      <w:tr w:rsidR="000835A2" w:rsidRPr="006B741E" w:rsidTr="000835A2">
        <w:tc>
          <w:tcPr>
            <w:tcW w:w="1384" w:type="pct"/>
            <w:vMerge/>
            <w:tcBorders>
              <w:top w:val="single" w:sz="4" w:space="0" w:color="auto"/>
              <w:left w:val="single" w:sz="4" w:space="0" w:color="auto"/>
              <w:bottom w:val="single" w:sz="4" w:space="0" w:color="auto"/>
              <w:right w:val="single" w:sz="4" w:space="0" w:color="auto"/>
            </w:tcBorders>
            <w:vAlign w:val="center"/>
            <w:hideMark/>
          </w:tcPr>
          <w:p w:rsidR="000835A2" w:rsidRPr="006B741E" w:rsidRDefault="000835A2">
            <w:pPr>
              <w:rPr>
                <w:rFonts w:eastAsia="Verdana"/>
                <w:b/>
                <w:sz w:val="24"/>
                <w:szCs w:val="24"/>
                <w:lang w:eastAsia="en-GB"/>
              </w:rPr>
            </w:pPr>
          </w:p>
        </w:tc>
        <w:tc>
          <w:tcPr>
            <w:tcW w:w="1800"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Ikke kendt</w:t>
            </w:r>
          </w:p>
        </w:tc>
        <w:tc>
          <w:tcPr>
            <w:tcW w:w="1816"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proofErr w:type="spellStart"/>
            <w:r w:rsidRPr="006B741E">
              <w:rPr>
                <w:rFonts w:eastAsia="Verdana"/>
                <w:sz w:val="24"/>
                <w:szCs w:val="24"/>
                <w:lang w:eastAsia="en-GB"/>
              </w:rPr>
              <w:t>Angioødem</w:t>
            </w:r>
            <w:proofErr w:type="spellEnd"/>
            <w:r w:rsidRPr="006B741E">
              <w:rPr>
                <w:rFonts w:eastAsia="Verdana"/>
                <w:sz w:val="24"/>
                <w:szCs w:val="24"/>
                <w:lang w:eastAsia="en-GB"/>
              </w:rPr>
              <w:t xml:space="preserve">, </w:t>
            </w:r>
            <w:proofErr w:type="spellStart"/>
            <w:r w:rsidRPr="006B741E">
              <w:rPr>
                <w:rFonts w:eastAsia="Verdana"/>
                <w:sz w:val="24"/>
                <w:szCs w:val="24"/>
                <w:lang w:eastAsia="en-GB"/>
              </w:rPr>
              <w:t>pruritus</w:t>
            </w:r>
            <w:proofErr w:type="spellEnd"/>
            <w:r w:rsidRPr="006B741E">
              <w:rPr>
                <w:rFonts w:eastAsia="Verdana"/>
                <w:sz w:val="24"/>
                <w:szCs w:val="24"/>
                <w:lang w:eastAsia="en-GB"/>
              </w:rPr>
              <w:t xml:space="preserve">, </w:t>
            </w:r>
            <w:proofErr w:type="spellStart"/>
            <w:r w:rsidRPr="006B741E">
              <w:rPr>
                <w:rFonts w:eastAsia="Verdana"/>
                <w:sz w:val="24"/>
                <w:szCs w:val="24"/>
                <w:lang w:eastAsia="en-GB"/>
              </w:rPr>
              <w:t>urticaria</w:t>
            </w:r>
            <w:proofErr w:type="spellEnd"/>
          </w:p>
        </w:tc>
      </w:tr>
      <w:tr w:rsidR="000835A2" w:rsidRPr="006B741E" w:rsidTr="000835A2">
        <w:tc>
          <w:tcPr>
            <w:tcW w:w="1384" w:type="pct"/>
            <w:vMerge w:val="restar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b/>
                <w:sz w:val="24"/>
                <w:szCs w:val="24"/>
                <w:lang w:eastAsia="en-GB"/>
              </w:rPr>
            </w:pPr>
            <w:r w:rsidRPr="006B741E">
              <w:rPr>
                <w:rFonts w:eastAsia="Verdana"/>
                <w:b/>
                <w:bCs/>
                <w:sz w:val="24"/>
                <w:szCs w:val="24"/>
                <w:lang w:eastAsia="en-GB"/>
              </w:rPr>
              <w:t>Almene symptomer og reaktioner på administrationsstedet</w:t>
            </w:r>
          </w:p>
        </w:tc>
        <w:tc>
          <w:tcPr>
            <w:tcW w:w="1800"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Almindelig</w:t>
            </w:r>
          </w:p>
        </w:tc>
        <w:tc>
          <w:tcPr>
            <w:tcW w:w="1816"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proofErr w:type="spellStart"/>
            <w:r w:rsidRPr="006B741E">
              <w:rPr>
                <w:rFonts w:eastAsia="Verdana"/>
                <w:sz w:val="24"/>
                <w:szCs w:val="24"/>
                <w:lang w:eastAsia="en-GB"/>
              </w:rPr>
              <w:t>Flebitis</w:t>
            </w:r>
            <w:proofErr w:type="spellEnd"/>
            <w:r w:rsidRPr="006B741E">
              <w:rPr>
                <w:rFonts w:eastAsia="Verdana"/>
                <w:sz w:val="24"/>
                <w:szCs w:val="24"/>
                <w:lang w:eastAsia="en-GB"/>
              </w:rPr>
              <w:t xml:space="preserve"> på injektionsstedet</w:t>
            </w:r>
          </w:p>
        </w:tc>
      </w:tr>
      <w:tr w:rsidR="000835A2" w:rsidRPr="006B741E" w:rsidTr="000835A2">
        <w:trPr>
          <w:trHeight w:val="408"/>
        </w:trPr>
        <w:tc>
          <w:tcPr>
            <w:tcW w:w="1384" w:type="pct"/>
            <w:vMerge/>
            <w:tcBorders>
              <w:top w:val="single" w:sz="4" w:space="0" w:color="auto"/>
              <w:left w:val="single" w:sz="4" w:space="0" w:color="auto"/>
              <w:bottom w:val="single" w:sz="4" w:space="0" w:color="auto"/>
              <w:right w:val="single" w:sz="4" w:space="0" w:color="auto"/>
            </w:tcBorders>
            <w:vAlign w:val="center"/>
            <w:hideMark/>
          </w:tcPr>
          <w:p w:rsidR="000835A2" w:rsidRPr="006B741E" w:rsidRDefault="000835A2">
            <w:pPr>
              <w:rPr>
                <w:rFonts w:eastAsia="Verdana"/>
                <w:b/>
                <w:sz w:val="24"/>
                <w:szCs w:val="24"/>
                <w:lang w:eastAsia="en-GB"/>
              </w:rPr>
            </w:pPr>
          </w:p>
        </w:tc>
        <w:tc>
          <w:tcPr>
            <w:tcW w:w="1800"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Ikke almindelig</w:t>
            </w:r>
          </w:p>
        </w:tc>
        <w:tc>
          <w:tcPr>
            <w:tcW w:w="1816" w:type="pct"/>
            <w:tcBorders>
              <w:top w:val="single" w:sz="4" w:space="0" w:color="auto"/>
              <w:left w:val="single" w:sz="4" w:space="0" w:color="auto"/>
              <w:bottom w:val="single" w:sz="4" w:space="0" w:color="auto"/>
              <w:right w:val="single" w:sz="4" w:space="0" w:color="auto"/>
            </w:tcBorders>
            <w:hideMark/>
          </w:tcPr>
          <w:p w:rsidR="000835A2" w:rsidRPr="006B741E" w:rsidRDefault="000835A2">
            <w:pPr>
              <w:spacing w:after="140" w:line="280" w:lineRule="atLeast"/>
              <w:rPr>
                <w:rFonts w:eastAsia="Verdana"/>
                <w:sz w:val="24"/>
                <w:szCs w:val="24"/>
                <w:lang w:eastAsia="en-GB"/>
              </w:rPr>
            </w:pPr>
            <w:r w:rsidRPr="006B741E">
              <w:rPr>
                <w:rFonts w:eastAsia="Verdana"/>
                <w:sz w:val="24"/>
                <w:szCs w:val="24"/>
                <w:lang w:eastAsia="en-GB"/>
              </w:rPr>
              <w:t>Asteni</w:t>
            </w:r>
          </w:p>
        </w:tc>
      </w:tr>
    </w:tbl>
    <w:p w:rsidR="000835A2" w:rsidRDefault="000835A2" w:rsidP="000835A2">
      <w:pPr>
        <w:ind w:left="851"/>
        <w:rPr>
          <w:rFonts w:eastAsia="Verdana"/>
          <w:sz w:val="24"/>
          <w:szCs w:val="24"/>
          <w:lang w:eastAsia="en-GB"/>
        </w:rPr>
      </w:pPr>
      <w:r w:rsidRPr="000835A2">
        <w:rPr>
          <w:rFonts w:eastAsia="Verdana"/>
          <w:sz w:val="24"/>
          <w:szCs w:val="24"/>
          <w:lang w:eastAsia="en-GB"/>
        </w:rPr>
        <w:t>* se nedenstående afsnit (Beskrivelse af udvalgte bivirkninger)</w:t>
      </w:r>
    </w:p>
    <w:p w:rsidR="000835A2" w:rsidRPr="000835A2" w:rsidRDefault="000835A2" w:rsidP="000835A2">
      <w:pPr>
        <w:ind w:left="851"/>
        <w:rPr>
          <w:rFonts w:eastAsia="Verdana"/>
          <w:sz w:val="24"/>
          <w:szCs w:val="24"/>
          <w:lang w:eastAsia="en-GB"/>
        </w:rPr>
      </w:pPr>
    </w:p>
    <w:p w:rsidR="000835A2" w:rsidRPr="000835A2" w:rsidRDefault="000835A2" w:rsidP="000835A2">
      <w:pPr>
        <w:ind w:left="851"/>
        <w:rPr>
          <w:rFonts w:eastAsia="Verdana"/>
          <w:sz w:val="24"/>
          <w:szCs w:val="24"/>
          <w:u w:val="single"/>
          <w:lang w:eastAsia="en-GB"/>
        </w:rPr>
      </w:pPr>
      <w:r w:rsidRPr="000835A2">
        <w:rPr>
          <w:rFonts w:eastAsia="Verdana"/>
          <w:sz w:val="24"/>
          <w:szCs w:val="24"/>
          <w:u w:val="single"/>
          <w:lang w:eastAsia="en-GB"/>
        </w:rPr>
        <w:t>Beskrivelse af udvalgte bivirkninger:</w:t>
      </w:r>
    </w:p>
    <w:p w:rsidR="000835A2" w:rsidRDefault="000835A2" w:rsidP="000835A2">
      <w:pPr>
        <w:ind w:left="851"/>
        <w:rPr>
          <w:rFonts w:eastAsia="Verdana"/>
          <w:sz w:val="24"/>
          <w:szCs w:val="24"/>
          <w:lang w:eastAsia="en-GB"/>
        </w:rPr>
      </w:pPr>
      <w:proofErr w:type="spellStart"/>
      <w:r w:rsidRPr="000835A2">
        <w:rPr>
          <w:rFonts w:eastAsia="Verdana"/>
          <w:sz w:val="24"/>
          <w:szCs w:val="24"/>
          <w:lang w:eastAsia="en-GB"/>
        </w:rPr>
        <w:t>Hypokaliæmi</w:t>
      </w:r>
      <w:proofErr w:type="spellEnd"/>
      <w:r w:rsidRPr="000835A2">
        <w:rPr>
          <w:rFonts w:eastAsia="Verdana"/>
          <w:sz w:val="24"/>
          <w:szCs w:val="24"/>
          <w:lang w:eastAsia="en-GB"/>
        </w:rPr>
        <w:t xml:space="preserve"> kan resultere i diffuse symptomer, såsom svaghed, træthed eller ødem og/eller muskelspasmer. Svære former kan forårsage </w:t>
      </w:r>
      <w:proofErr w:type="spellStart"/>
      <w:r w:rsidRPr="000835A2">
        <w:rPr>
          <w:rFonts w:eastAsia="Verdana"/>
          <w:sz w:val="24"/>
          <w:szCs w:val="24"/>
          <w:lang w:eastAsia="en-GB"/>
        </w:rPr>
        <w:t>hyporefleksi</w:t>
      </w:r>
      <w:proofErr w:type="spellEnd"/>
      <w:r w:rsidRPr="000835A2">
        <w:rPr>
          <w:rFonts w:eastAsia="Verdana"/>
          <w:sz w:val="24"/>
          <w:szCs w:val="24"/>
          <w:lang w:eastAsia="en-GB"/>
        </w:rPr>
        <w:t xml:space="preserve"> og </w:t>
      </w:r>
      <w:proofErr w:type="spellStart"/>
      <w:r w:rsidRPr="000835A2">
        <w:rPr>
          <w:rFonts w:eastAsia="Verdana"/>
          <w:sz w:val="24"/>
          <w:szCs w:val="24"/>
          <w:lang w:eastAsia="en-GB"/>
        </w:rPr>
        <w:t>hjertearytmi</w:t>
      </w:r>
      <w:proofErr w:type="spellEnd"/>
      <w:r w:rsidRPr="000835A2">
        <w:rPr>
          <w:rFonts w:eastAsia="Verdana"/>
          <w:sz w:val="24"/>
          <w:szCs w:val="24"/>
          <w:lang w:eastAsia="en-GB"/>
        </w:rPr>
        <w:t xml:space="preserve">. </w:t>
      </w:r>
      <w:proofErr w:type="spellStart"/>
      <w:r w:rsidRPr="000835A2">
        <w:rPr>
          <w:rFonts w:eastAsia="Verdana"/>
          <w:sz w:val="24"/>
          <w:szCs w:val="24"/>
          <w:lang w:eastAsia="en-GB"/>
        </w:rPr>
        <w:t>Hypernatriæmi</w:t>
      </w:r>
      <w:proofErr w:type="spellEnd"/>
      <w:r w:rsidRPr="000835A2">
        <w:rPr>
          <w:rFonts w:eastAsia="Verdana"/>
          <w:sz w:val="24"/>
          <w:szCs w:val="24"/>
          <w:lang w:eastAsia="en-GB"/>
        </w:rPr>
        <w:t xml:space="preserve"> kan være forbundet med tørst, hypertension og tegn på væskeophobning, såsom ødem (se pkt. 4.4). Svære former kan forårsage forvirring, </w:t>
      </w:r>
      <w:proofErr w:type="spellStart"/>
      <w:r w:rsidRPr="000835A2">
        <w:rPr>
          <w:rFonts w:eastAsia="Verdana"/>
          <w:sz w:val="24"/>
          <w:szCs w:val="24"/>
          <w:lang w:eastAsia="en-GB"/>
        </w:rPr>
        <w:t>hyperrefleksi</w:t>
      </w:r>
      <w:proofErr w:type="spellEnd"/>
      <w:r w:rsidRPr="000835A2">
        <w:rPr>
          <w:rFonts w:eastAsia="Verdana"/>
          <w:sz w:val="24"/>
          <w:szCs w:val="24"/>
          <w:lang w:eastAsia="en-GB"/>
        </w:rPr>
        <w:t>, krampeanfald og koma.</w:t>
      </w:r>
    </w:p>
    <w:p w:rsidR="000835A2" w:rsidRPr="000835A2" w:rsidRDefault="000835A2" w:rsidP="000835A2">
      <w:pPr>
        <w:ind w:left="851"/>
        <w:rPr>
          <w:rFonts w:eastAsia="Verdana"/>
          <w:sz w:val="24"/>
          <w:szCs w:val="24"/>
          <w:lang w:eastAsia="en-GB"/>
        </w:rPr>
      </w:pPr>
    </w:p>
    <w:p w:rsidR="000835A2" w:rsidRPr="000835A2" w:rsidRDefault="000835A2" w:rsidP="000835A2">
      <w:pPr>
        <w:ind w:left="851"/>
        <w:rPr>
          <w:rFonts w:eastAsia="Verdana"/>
          <w:sz w:val="24"/>
          <w:szCs w:val="24"/>
          <w:u w:val="single"/>
          <w:lang w:eastAsia="en-GB"/>
        </w:rPr>
      </w:pPr>
      <w:r w:rsidRPr="000835A2">
        <w:rPr>
          <w:rFonts w:eastAsia="Verdana"/>
          <w:sz w:val="24"/>
          <w:szCs w:val="24"/>
          <w:u w:val="single"/>
          <w:lang w:eastAsia="en-GB"/>
        </w:rPr>
        <w:t>Pædiatrisk population</w:t>
      </w:r>
    </w:p>
    <w:p w:rsidR="000835A2" w:rsidRDefault="000835A2" w:rsidP="000835A2">
      <w:pPr>
        <w:ind w:left="851"/>
        <w:rPr>
          <w:rFonts w:eastAsia="Verdana"/>
          <w:sz w:val="24"/>
          <w:szCs w:val="24"/>
          <w:lang w:eastAsia="en-GB"/>
        </w:rPr>
      </w:pPr>
      <w:r w:rsidRPr="000835A2">
        <w:rPr>
          <w:rFonts w:eastAsia="Verdana"/>
          <w:sz w:val="24"/>
          <w:szCs w:val="24"/>
          <w:lang w:eastAsia="en-GB"/>
        </w:rPr>
        <w:t>Der foreligger begrænsede sikkerhedsoplysninger for den pædiatriske population. Frekvensen, typen og sværhedsgraden af bivirkninger kan forventes at svare til den voksne befolkning.</w:t>
      </w:r>
    </w:p>
    <w:p w:rsidR="000835A2" w:rsidRPr="000835A2" w:rsidRDefault="000835A2" w:rsidP="000835A2">
      <w:pPr>
        <w:ind w:left="851"/>
        <w:rPr>
          <w:rFonts w:eastAsia="Verdana"/>
          <w:sz w:val="24"/>
          <w:szCs w:val="24"/>
          <w:lang w:eastAsia="en-GB"/>
        </w:rPr>
      </w:pPr>
    </w:p>
    <w:p w:rsidR="000835A2" w:rsidRDefault="000835A2" w:rsidP="000835A2">
      <w:pPr>
        <w:ind w:left="851"/>
        <w:rPr>
          <w:rFonts w:eastAsia="Verdana"/>
          <w:sz w:val="24"/>
          <w:szCs w:val="24"/>
          <w:u w:val="single"/>
        </w:rPr>
      </w:pPr>
      <w:r w:rsidRPr="000835A2">
        <w:rPr>
          <w:rFonts w:eastAsia="Verdana"/>
          <w:sz w:val="24"/>
          <w:szCs w:val="24"/>
          <w:u w:val="single"/>
        </w:rPr>
        <w:t>Indberetning af formodede bivirkninger</w:t>
      </w:r>
    </w:p>
    <w:p w:rsidR="000835A2" w:rsidRPr="000835A2" w:rsidRDefault="000835A2" w:rsidP="000835A2">
      <w:pPr>
        <w:ind w:left="851"/>
        <w:rPr>
          <w:rFonts w:eastAsia="Verdana"/>
          <w:sz w:val="24"/>
          <w:szCs w:val="24"/>
          <w:lang w:eastAsia="en-GB"/>
        </w:rPr>
      </w:pPr>
      <w:r w:rsidRPr="000835A2">
        <w:rPr>
          <w:rFonts w:eastAsia="Verdana"/>
          <w:sz w:val="24"/>
          <w:szCs w:val="24"/>
          <w:lang w:eastAsia="en-GB"/>
        </w:rPr>
        <w:t>Når lægemidlet er godkendt, er indberetning af formodede bivirkninger vigtig. Det muliggør løbende overvågning af benefit/</w:t>
      </w:r>
      <w:proofErr w:type="spellStart"/>
      <w:r w:rsidRPr="000835A2">
        <w:rPr>
          <w:rFonts w:eastAsia="Verdana"/>
          <w:sz w:val="24"/>
          <w:szCs w:val="24"/>
          <w:lang w:eastAsia="en-GB"/>
        </w:rPr>
        <w:t>risk</w:t>
      </w:r>
      <w:proofErr w:type="spellEnd"/>
      <w:r w:rsidRPr="000835A2">
        <w:rPr>
          <w:rFonts w:eastAsia="Verdana"/>
          <w:sz w:val="24"/>
          <w:szCs w:val="24"/>
          <w:lang w:eastAsia="en-GB"/>
        </w:rPr>
        <w:t>-forholdet for lægemidlet. Sundhedspersoner anmodes om at indberette alle formodede bivirkninger via:</w:t>
      </w:r>
    </w:p>
    <w:p w:rsidR="000835A2" w:rsidRPr="000835A2" w:rsidRDefault="000835A2" w:rsidP="000835A2">
      <w:pPr>
        <w:autoSpaceDE w:val="0"/>
        <w:autoSpaceDN w:val="0"/>
        <w:adjustRightInd w:val="0"/>
        <w:ind w:left="851"/>
        <w:rPr>
          <w:noProof/>
          <w:sz w:val="24"/>
          <w:szCs w:val="24"/>
        </w:rPr>
      </w:pPr>
    </w:p>
    <w:p w:rsidR="000835A2" w:rsidRPr="000835A2" w:rsidRDefault="000835A2" w:rsidP="000835A2">
      <w:pPr>
        <w:autoSpaceDE w:val="0"/>
        <w:autoSpaceDN w:val="0"/>
        <w:adjustRightInd w:val="0"/>
        <w:ind w:left="851"/>
        <w:rPr>
          <w:noProof/>
          <w:sz w:val="24"/>
          <w:szCs w:val="24"/>
        </w:rPr>
      </w:pPr>
      <w:r w:rsidRPr="000835A2">
        <w:rPr>
          <w:noProof/>
          <w:sz w:val="24"/>
          <w:szCs w:val="24"/>
        </w:rPr>
        <w:t>Lægemiddelstyrelsen</w:t>
      </w:r>
    </w:p>
    <w:p w:rsidR="000835A2" w:rsidRPr="000835A2" w:rsidRDefault="000835A2" w:rsidP="000835A2">
      <w:pPr>
        <w:autoSpaceDE w:val="0"/>
        <w:autoSpaceDN w:val="0"/>
        <w:adjustRightInd w:val="0"/>
        <w:ind w:left="851"/>
        <w:rPr>
          <w:noProof/>
          <w:sz w:val="24"/>
          <w:szCs w:val="24"/>
        </w:rPr>
      </w:pPr>
      <w:r w:rsidRPr="000835A2">
        <w:rPr>
          <w:noProof/>
          <w:sz w:val="24"/>
          <w:szCs w:val="24"/>
        </w:rPr>
        <w:t>Axel Heides Gade 1</w:t>
      </w:r>
    </w:p>
    <w:p w:rsidR="000835A2" w:rsidRPr="000835A2" w:rsidRDefault="000835A2" w:rsidP="000835A2">
      <w:pPr>
        <w:autoSpaceDE w:val="0"/>
        <w:autoSpaceDN w:val="0"/>
        <w:adjustRightInd w:val="0"/>
        <w:ind w:left="851"/>
        <w:rPr>
          <w:noProof/>
          <w:sz w:val="24"/>
          <w:szCs w:val="24"/>
        </w:rPr>
      </w:pPr>
      <w:r w:rsidRPr="000835A2">
        <w:rPr>
          <w:noProof/>
          <w:sz w:val="24"/>
          <w:szCs w:val="24"/>
        </w:rPr>
        <w:t>DK-2300 København S</w:t>
      </w:r>
    </w:p>
    <w:p w:rsidR="000835A2" w:rsidRPr="00E738E0" w:rsidRDefault="000835A2" w:rsidP="000835A2">
      <w:pPr>
        <w:autoSpaceDE w:val="0"/>
        <w:autoSpaceDN w:val="0"/>
        <w:adjustRightInd w:val="0"/>
        <w:ind w:left="851"/>
        <w:rPr>
          <w:noProof/>
          <w:sz w:val="24"/>
          <w:szCs w:val="24"/>
        </w:rPr>
      </w:pPr>
      <w:r w:rsidRPr="00E738E0">
        <w:rPr>
          <w:noProof/>
          <w:sz w:val="24"/>
          <w:szCs w:val="24"/>
        </w:rPr>
        <w:t xml:space="preserve">Websted: </w:t>
      </w:r>
      <w:hyperlink r:id="rId8" w:history="1">
        <w:r w:rsidR="0045481F" w:rsidRPr="00EA53CD">
          <w:rPr>
            <w:rStyle w:val="Hyperlink"/>
            <w:noProof/>
            <w:sz w:val="24"/>
            <w:szCs w:val="24"/>
          </w:rPr>
          <w:t>www.meldenbivirkning.dk</w:t>
        </w:r>
      </w:hyperlink>
      <w:r w:rsidR="0045481F">
        <w:rPr>
          <w:noProof/>
          <w:sz w:val="24"/>
          <w:szCs w:val="24"/>
        </w:rPr>
        <w:t xml:space="preserve"> </w:t>
      </w:r>
    </w:p>
    <w:p w:rsidR="000835A2" w:rsidRPr="00E738E0" w:rsidRDefault="000835A2" w:rsidP="000835A2">
      <w:pPr>
        <w:autoSpaceDE w:val="0"/>
        <w:autoSpaceDN w:val="0"/>
        <w:adjustRightInd w:val="0"/>
        <w:ind w:left="851"/>
        <w:rPr>
          <w:noProof/>
          <w:sz w:val="24"/>
          <w:szCs w:val="24"/>
        </w:rPr>
      </w:pPr>
    </w:p>
    <w:p w:rsidR="00E22947" w:rsidRPr="00E738E0" w:rsidRDefault="00E22947" w:rsidP="00E22947">
      <w:pPr>
        <w:tabs>
          <w:tab w:val="left" w:pos="851"/>
        </w:tabs>
        <w:ind w:left="851" w:hanging="851"/>
        <w:rPr>
          <w:b/>
          <w:sz w:val="24"/>
          <w:szCs w:val="24"/>
        </w:rPr>
      </w:pPr>
      <w:r w:rsidRPr="00E738E0">
        <w:rPr>
          <w:b/>
          <w:sz w:val="24"/>
          <w:szCs w:val="24"/>
        </w:rPr>
        <w:t>4.9</w:t>
      </w:r>
      <w:r w:rsidRPr="00E738E0">
        <w:rPr>
          <w:b/>
          <w:sz w:val="24"/>
          <w:szCs w:val="24"/>
        </w:rPr>
        <w:tab/>
        <w:t>Overdosering</w:t>
      </w:r>
    </w:p>
    <w:p w:rsidR="00816301" w:rsidRPr="00816301" w:rsidRDefault="00816301" w:rsidP="00816301">
      <w:pPr>
        <w:tabs>
          <w:tab w:val="left" w:pos="2514"/>
        </w:tabs>
        <w:ind w:left="851"/>
        <w:rPr>
          <w:noProof/>
          <w:sz w:val="24"/>
          <w:szCs w:val="24"/>
          <w:lang w:bidi="ar-QA"/>
        </w:rPr>
      </w:pPr>
      <w:r w:rsidRPr="00816301">
        <w:rPr>
          <w:rFonts w:eastAsia="SimSun"/>
          <w:sz w:val="24"/>
          <w:szCs w:val="24"/>
          <w:lang w:eastAsia="zh-CN"/>
        </w:rPr>
        <w:t xml:space="preserve">Erfaring vedrørende overdosering af </w:t>
      </w:r>
      <w:proofErr w:type="spellStart"/>
      <w:r w:rsidRPr="00816301">
        <w:rPr>
          <w:rFonts w:eastAsia="SimSun"/>
          <w:sz w:val="24"/>
          <w:szCs w:val="24"/>
          <w:lang w:eastAsia="zh-CN"/>
        </w:rPr>
        <w:t>fosfomycin</w:t>
      </w:r>
      <w:proofErr w:type="spellEnd"/>
      <w:r w:rsidRPr="00816301">
        <w:rPr>
          <w:rFonts w:eastAsia="SimSun"/>
          <w:sz w:val="24"/>
          <w:szCs w:val="24"/>
          <w:lang w:eastAsia="zh-CN"/>
        </w:rPr>
        <w:t xml:space="preserve"> er begrænset. Tilfælde af </w:t>
      </w:r>
      <w:proofErr w:type="spellStart"/>
      <w:r w:rsidRPr="00816301">
        <w:rPr>
          <w:rFonts w:eastAsia="SimSun"/>
          <w:sz w:val="24"/>
          <w:szCs w:val="24"/>
          <w:lang w:eastAsia="zh-CN"/>
        </w:rPr>
        <w:t>hypotoni</w:t>
      </w:r>
      <w:proofErr w:type="spellEnd"/>
      <w:r w:rsidRPr="00816301">
        <w:rPr>
          <w:rFonts w:eastAsia="SimSun"/>
          <w:sz w:val="24"/>
          <w:szCs w:val="24"/>
          <w:lang w:eastAsia="zh-CN"/>
        </w:rPr>
        <w:t xml:space="preserve">, </w:t>
      </w:r>
      <w:proofErr w:type="spellStart"/>
      <w:r w:rsidRPr="00816301">
        <w:rPr>
          <w:rFonts w:eastAsia="SimSun"/>
          <w:sz w:val="24"/>
          <w:szCs w:val="24"/>
          <w:lang w:eastAsia="zh-CN"/>
        </w:rPr>
        <w:t>somnolens</w:t>
      </w:r>
      <w:proofErr w:type="spellEnd"/>
      <w:r w:rsidRPr="00816301">
        <w:rPr>
          <w:rFonts w:eastAsia="SimSun"/>
          <w:sz w:val="24"/>
          <w:szCs w:val="24"/>
          <w:lang w:eastAsia="zh-CN"/>
        </w:rPr>
        <w:t xml:space="preserve">, elektrolytforstyrrelser, </w:t>
      </w:r>
      <w:proofErr w:type="spellStart"/>
      <w:r w:rsidRPr="00816301">
        <w:rPr>
          <w:rFonts w:eastAsia="SimSun"/>
          <w:sz w:val="24"/>
          <w:szCs w:val="24"/>
          <w:lang w:eastAsia="zh-CN"/>
        </w:rPr>
        <w:t>trombocytopeni</w:t>
      </w:r>
      <w:proofErr w:type="spellEnd"/>
      <w:r w:rsidRPr="00816301">
        <w:rPr>
          <w:rFonts w:eastAsia="SimSun"/>
          <w:sz w:val="24"/>
          <w:szCs w:val="24"/>
          <w:lang w:eastAsia="zh-CN"/>
        </w:rPr>
        <w:t xml:space="preserve"> og </w:t>
      </w:r>
      <w:proofErr w:type="spellStart"/>
      <w:r w:rsidRPr="00816301">
        <w:rPr>
          <w:rFonts w:eastAsia="SimSun"/>
          <w:sz w:val="24"/>
          <w:szCs w:val="24"/>
          <w:lang w:eastAsia="zh-CN"/>
        </w:rPr>
        <w:t>hypoprotrombinæmi</w:t>
      </w:r>
      <w:proofErr w:type="spellEnd"/>
      <w:r w:rsidRPr="00816301">
        <w:rPr>
          <w:rFonts w:eastAsia="SimSun"/>
          <w:sz w:val="24"/>
          <w:szCs w:val="24"/>
          <w:lang w:eastAsia="zh-CN"/>
        </w:rPr>
        <w:t xml:space="preserve"> er blevet rapporteret med parenteral anvendelse af </w:t>
      </w:r>
      <w:proofErr w:type="spellStart"/>
      <w:r w:rsidRPr="00816301">
        <w:rPr>
          <w:rFonts w:eastAsia="SimSun"/>
          <w:sz w:val="24"/>
          <w:szCs w:val="24"/>
          <w:lang w:eastAsia="zh-CN"/>
        </w:rPr>
        <w:t>fosfomycin</w:t>
      </w:r>
      <w:proofErr w:type="spellEnd"/>
      <w:r w:rsidRPr="00816301">
        <w:rPr>
          <w:rFonts w:eastAsia="SimSun"/>
          <w:sz w:val="24"/>
          <w:szCs w:val="24"/>
          <w:lang w:eastAsia="zh-CN"/>
        </w:rPr>
        <w:t xml:space="preserve">. I tilfælde af overdosering skal patienten monitoreres (især for elektrolytniveauer i plasma/serum), og behandlingen skal være symptomatisk og understøttende. </w:t>
      </w:r>
      <w:proofErr w:type="spellStart"/>
      <w:r w:rsidRPr="00816301">
        <w:rPr>
          <w:rFonts w:eastAsia="SimSun"/>
          <w:sz w:val="24"/>
          <w:szCs w:val="24"/>
          <w:lang w:eastAsia="zh-CN"/>
        </w:rPr>
        <w:t>Rehydrering</w:t>
      </w:r>
      <w:proofErr w:type="spellEnd"/>
      <w:r w:rsidRPr="00816301">
        <w:rPr>
          <w:rFonts w:eastAsia="SimSun"/>
          <w:sz w:val="24"/>
          <w:szCs w:val="24"/>
          <w:lang w:eastAsia="zh-CN"/>
        </w:rPr>
        <w:t xml:space="preserve"> anbefales for at fremme urinudskillelse af det aktive stof. </w:t>
      </w:r>
      <w:proofErr w:type="spellStart"/>
      <w:r w:rsidRPr="00816301">
        <w:rPr>
          <w:rFonts w:eastAsia="SimSun"/>
          <w:sz w:val="24"/>
          <w:szCs w:val="24"/>
          <w:lang w:eastAsia="zh-CN"/>
        </w:rPr>
        <w:t>Fosfomycin</w:t>
      </w:r>
      <w:proofErr w:type="spellEnd"/>
      <w:r w:rsidRPr="00816301">
        <w:rPr>
          <w:rFonts w:eastAsia="SimSun"/>
          <w:sz w:val="24"/>
          <w:szCs w:val="24"/>
          <w:lang w:eastAsia="zh-CN"/>
        </w:rPr>
        <w:t xml:space="preserve"> udskilles effektivt af kroppen ved hæmodialyse med en gennemsnitlig eliminationshalveringstid på cirka 4 timer.</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4.10</w:t>
      </w:r>
      <w:r w:rsidRPr="00C84483">
        <w:rPr>
          <w:b/>
          <w:sz w:val="24"/>
          <w:szCs w:val="24"/>
        </w:rPr>
        <w:tab/>
        <w:t>Udlevering</w:t>
      </w:r>
    </w:p>
    <w:p w:rsidR="00E22947" w:rsidRPr="00C84483" w:rsidRDefault="00E22947" w:rsidP="00E22947">
      <w:pPr>
        <w:tabs>
          <w:tab w:val="left" w:pos="851"/>
        </w:tabs>
        <w:ind w:left="851"/>
        <w:rPr>
          <w:sz w:val="24"/>
          <w:szCs w:val="24"/>
        </w:rPr>
      </w:pPr>
      <w:r>
        <w:rPr>
          <w:sz w:val="24"/>
          <w:szCs w:val="24"/>
        </w:rPr>
        <w:t>B</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E22947" w:rsidRPr="00C84483" w:rsidRDefault="00E22947" w:rsidP="00D7645D">
      <w:pPr>
        <w:tabs>
          <w:tab w:val="left" w:pos="851"/>
        </w:tabs>
        <w:rPr>
          <w:sz w:val="24"/>
          <w:szCs w:val="24"/>
        </w:rPr>
      </w:pPr>
    </w:p>
    <w:p w:rsidR="00E22947" w:rsidRPr="00C84483" w:rsidRDefault="00E22947" w:rsidP="00E2294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7645D" w:rsidRPr="00D7645D" w:rsidRDefault="00D7645D" w:rsidP="00D7645D">
      <w:pPr>
        <w:ind w:left="851"/>
        <w:rPr>
          <w:noProof/>
          <w:spacing w:val="-3"/>
          <w:sz w:val="24"/>
          <w:szCs w:val="24"/>
          <w:lang w:bidi="ar-QA"/>
        </w:rPr>
      </w:pPr>
      <w:proofErr w:type="spellStart"/>
      <w:r>
        <w:rPr>
          <w:rFonts w:eastAsia="Verdana"/>
          <w:sz w:val="24"/>
          <w:szCs w:val="24"/>
          <w:lang w:eastAsia="en-GB"/>
        </w:rPr>
        <w:t>Farmakoterapeutisk</w:t>
      </w:r>
      <w:proofErr w:type="spellEnd"/>
      <w:r>
        <w:rPr>
          <w:rFonts w:eastAsia="Verdana"/>
          <w:sz w:val="24"/>
          <w:szCs w:val="24"/>
          <w:lang w:eastAsia="en-GB"/>
        </w:rPr>
        <w:t xml:space="preserve"> klassifikation:</w:t>
      </w:r>
      <w:r w:rsidRPr="00D7645D">
        <w:rPr>
          <w:noProof/>
          <w:spacing w:val="-3"/>
          <w:sz w:val="24"/>
          <w:szCs w:val="24"/>
          <w:lang w:bidi="ar-QA"/>
        </w:rPr>
        <w:t xml:space="preserve"> </w:t>
      </w:r>
      <w:r w:rsidRPr="0087711D">
        <w:rPr>
          <w:noProof/>
          <w:spacing w:val="-3"/>
          <w:sz w:val="24"/>
          <w:szCs w:val="24"/>
          <w:lang w:bidi="ar-QA"/>
        </w:rPr>
        <w:t>Antibakterielle midler til systemisk brug; andre antibacterica midle</w:t>
      </w:r>
      <w:r>
        <w:rPr>
          <w:noProof/>
          <w:spacing w:val="-3"/>
          <w:sz w:val="24"/>
          <w:szCs w:val="24"/>
          <w:lang w:bidi="ar-QA"/>
        </w:rPr>
        <w:t xml:space="preserve">r, </w:t>
      </w:r>
      <w:r w:rsidRPr="008C2513">
        <w:rPr>
          <w:noProof/>
          <w:spacing w:val="-3"/>
          <w:sz w:val="24"/>
          <w:szCs w:val="24"/>
          <w:lang w:bidi="ar-QA"/>
        </w:rPr>
        <w:t>ATC-kode: J01XX01</w:t>
      </w:r>
      <w:r>
        <w:rPr>
          <w:noProof/>
          <w:spacing w:val="-3"/>
          <w:sz w:val="24"/>
          <w:szCs w:val="24"/>
          <w:lang w:bidi="ar-QA"/>
        </w:rPr>
        <w:t xml:space="preserve">. </w:t>
      </w:r>
    </w:p>
    <w:p w:rsidR="00D7645D" w:rsidRPr="00D7645D" w:rsidRDefault="00D7645D" w:rsidP="00885291">
      <w:pPr>
        <w:ind w:left="851"/>
        <w:rPr>
          <w:rFonts w:eastAsia="Verdana"/>
          <w:sz w:val="24"/>
          <w:szCs w:val="24"/>
          <w:lang w:eastAsia="en-GB"/>
        </w:rPr>
      </w:pPr>
    </w:p>
    <w:p w:rsidR="00885291" w:rsidRPr="00885291" w:rsidRDefault="00885291" w:rsidP="00885291">
      <w:pPr>
        <w:ind w:left="851"/>
        <w:rPr>
          <w:rFonts w:eastAsia="Verdana"/>
          <w:sz w:val="24"/>
          <w:szCs w:val="24"/>
          <w:u w:val="single"/>
          <w:lang w:eastAsia="en-GB"/>
        </w:rPr>
      </w:pPr>
      <w:r w:rsidRPr="00885291">
        <w:rPr>
          <w:rFonts w:eastAsia="Verdana"/>
          <w:sz w:val="24"/>
          <w:szCs w:val="24"/>
          <w:u w:val="single"/>
          <w:lang w:eastAsia="en-GB"/>
        </w:rPr>
        <w:t>Virkningsmekanisme</w:t>
      </w:r>
    </w:p>
    <w:p w:rsidR="00885291" w:rsidRPr="00885291" w:rsidRDefault="00885291" w:rsidP="00885291">
      <w:pPr>
        <w:ind w:left="851"/>
        <w:rPr>
          <w:rFonts w:eastAsia="Verdana"/>
          <w:sz w:val="24"/>
          <w:szCs w:val="24"/>
          <w:lang w:eastAsia="en-GB"/>
        </w:rPr>
      </w:pPr>
      <w:proofErr w:type="spellStart"/>
      <w:r w:rsidRPr="00885291">
        <w:rPr>
          <w:rFonts w:eastAsia="Verdana"/>
          <w:sz w:val="24"/>
          <w:szCs w:val="24"/>
          <w:lang w:eastAsia="en-GB"/>
        </w:rPr>
        <w:t>Fosfomycin</w:t>
      </w:r>
      <w:proofErr w:type="spellEnd"/>
      <w:r w:rsidRPr="00885291">
        <w:rPr>
          <w:rFonts w:eastAsia="Verdana"/>
          <w:sz w:val="24"/>
          <w:szCs w:val="24"/>
          <w:lang w:eastAsia="en-GB"/>
        </w:rPr>
        <w:t xml:space="preserve"> udøver en baktericid effekt på </w:t>
      </w:r>
      <w:proofErr w:type="spellStart"/>
      <w:r w:rsidRPr="00885291">
        <w:rPr>
          <w:rFonts w:eastAsia="Verdana"/>
          <w:sz w:val="24"/>
          <w:szCs w:val="24"/>
          <w:lang w:eastAsia="en-GB"/>
        </w:rPr>
        <w:t>prolifererende</w:t>
      </w:r>
      <w:proofErr w:type="spellEnd"/>
      <w:r w:rsidRPr="00885291">
        <w:rPr>
          <w:rFonts w:eastAsia="Verdana"/>
          <w:sz w:val="24"/>
          <w:szCs w:val="24"/>
          <w:lang w:eastAsia="en-GB"/>
        </w:rPr>
        <w:t xml:space="preserve"> </w:t>
      </w:r>
      <w:proofErr w:type="spellStart"/>
      <w:r w:rsidRPr="00885291">
        <w:rPr>
          <w:rFonts w:eastAsia="Verdana"/>
          <w:sz w:val="24"/>
          <w:szCs w:val="24"/>
          <w:lang w:eastAsia="en-GB"/>
        </w:rPr>
        <w:t>patogener</w:t>
      </w:r>
      <w:proofErr w:type="spellEnd"/>
      <w:r w:rsidRPr="00885291">
        <w:rPr>
          <w:rFonts w:eastAsia="Verdana"/>
          <w:sz w:val="24"/>
          <w:szCs w:val="24"/>
          <w:lang w:eastAsia="en-GB"/>
        </w:rPr>
        <w:t xml:space="preserve"> ved at forhindre enzymsyntesen af bakteriens cellevæg. </w:t>
      </w:r>
      <w:proofErr w:type="spellStart"/>
      <w:r w:rsidRPr="00885291">
        <w:rPr>
          <w:rFonts w:eastAsia="Verdana"/>
          <w:sz w:val="24"/>
          <w:szCs w:val="24"/>
          <w:lang w:eastAsia="en-GB"/>
        </w:rPr>
        <w:t>Fosfomycin</w:t>
      </w:r>
      <w:proofErr w:type="spellEnd"/>
      <w:r w:rsidRPr="00885291">
        <w:rPr>
          <w:rFonts w:eastAsia="Verdana"/>
          <w:sz w:val="24"/>
          <w:szCs w:val="24"/>
          <w:lang w:eastAsia="en-GB"/>
        </w:rPr>
        <w:t xml:space="preserve"> hæmmer den første fase af syntesen af den intracellulære bakteriecellevæg ved at blokere syntesen af </w:t>
      </w:r>
      <w:proofErr w:type="spellStart"/>
      <w:r w:rsidRPr="00885291">
        <w:rPr>
          <w:rFonts w:eastAsia="Verdana"/>
          <w:sz w:val="24"/>
          <w:szCs w:val="24"/>
          <w:lang w:eastAsia="en-GB"/>
        </w:rPr>
        <w:t>peptidoglycan</w:t>
      </w:r>
      <w:proofErr w:type="spellEnd"/>
      <w:r w:rsidRPr="00885291">
        <w:rPr>
          <w:rFonts w:eastAsia="Verdana"/>
          <w:sz w:val="24"/>
          <w:szCs w:val="24"/>
          <w:lang w:eastAsia="en-GB"/>
        </w:rPr>
        <w:t>.</w:t>
      </w:r>
    </w:p>
    <w:p w:rsidR="00885291" w:rsidRDefault="00885291" w:rsidP="00885291">
      <w:pPr>
        <w:ind w:left="851"/>
        <w:rPr>
          <w:rFonts w:eastAsia="Verdana"/>
          <w:sz w:val="24"/>
          <w:szCs w:val="24"/>
          <w:lang w:eastAsia="en-GB"/>
        </w:rPr>
      </w:pPr>
      <w:proofErr w:type="spellStart"/>
      <w:r w:rsidRPr="00885291">
        <w:rPr>
          <w:rFonts w:eastAsia="Verdana"/>
          <w:sz w:val="24"/>
          <w:szCs w:val="24"/>
          <w:lang w:eastAsia="en-GB"/>
        </w:rPr>
        <w:t>Fosfomycin</w:t>
      </w:r>
      <w:proofErr w:type="spellEnd"/>
      <w:r w:rsidRPr="00885291">
        <w:rPr>
          <w:rFonts w:eastAsia="Verdana"/>
          <w:sz w:val="24"/>
          <w:szCs w:val="24"/>
          <w:lang w:eastAsia="en-GB"/>
        </w:rPr>
        <w:t xml:space="preserve"> transporteres aktivt ind i bakteriens cellevæg via to forskellige transportsystemer (sn-glycerol-3-fosfat- og hexose-6-transportsystemerne).</w:t>
      </w:r>
    </w:p>
    <w:p w:rsidR="00885291" w:rsidRPr="00885291" w:rsidRDefault="00885291" w:rsidP="00885291">
      <w:pPr>
        <w:ind w:left="851"/>
        <w:rPr>
          <w:rFonts w:eastAsia="Verdana"/>
          <w:sz w:val="24"/>
          <w:szCs w:val="24"/>
          <w:lang w:eastAsia="en-GB"/>
        </w:rPr>
      </w:pPr>
    </w:p>
    <w:p w:rsidR="00885291" w:rsidRPr="00885291" w:rsidRDefault="00885291" w:rsidP="00885291">
      <w:pPr>
        <w:ind w:left="851"/>
        <w:rPr>
          <w:rFonts w:eastAsia="Verdana"/>
          <w:sz w:val="24"/>
          <w:szCs w:val="24"/>
          <w:u w:val="single"/>
          <w:lang w:eastAsia="en-GB"/>
        </w:rPr>
      </w:pPr>
      <w:proofErr w:type="spellStart"/>
      <w:r w:rsidRPr="00885291">
        <w:rPr>
          <w:rFonts w:eastAsia="Verdana"/>
          <w:sz w:val="24"/>
          <w:szCs w:val="24"/>
          <w:u w:val="single"/>
          <w:lang w:eastAsia="en-GB"/>
        </w:rPr>
        <w:t>Farmakokinetiske</w:t>
      </w:r>
      <w:proofErr w:type="spellEnd"/>
      <w:r w:rsidRPr="00885291">
        <w:rPr>
          <w:rFonts w:eastAsia="Verdana"/>
          <w:sz w:val="24"/>
          <w:szCs w:val="24"/>
          <w:u w:val="single"/>
          <w:lang w:eastAsia="en-GB"/>
        </w:rPr>
        <w:t>/</w:t>
      </w:r>
      <w:proofErr w:type="spellStart"/>
      <w:r w:rsidRPr="00885291">
        <w:rPr>
          <w:rFonts w:eastAsia="Verdana"/>
          <w:sz w:val="24"/>
          <w:szCs w:val="24"/>
          <w:u w:val="single"/>
          <w:lang w:eastAsia="en-GB"/>
        </w:rPr>
        <w:t>farmakodynamiske</w:t>
      </w:r>
      <w:proofErr w:type="spellEnd"/>
      <w:r w:rsidRPr="00885291">
        <w:rPr>
          <w:rFonts w:eastAsia="Verdana"/>
          <w:sz w:val="24"/>
          <w:szCs w:val="24"/>
          <w:u w:val="single"/>
          <w:lang w:eastAsia="en-GB"/>
        </w:rPr>
        <w:t xml:space="preserve"> forhold</w:t>
      </w:r>
    </w:p>
    <w:p w:rsidR="00885291" w:rsidRDefault="00885291" w:rsidP="00885291">
      <w:pPr>
        <w:ind w:left="851"/>
        <w:rPr>
          <w:rFonts w:eastAsia="Verdana"/>
          <w:sz w:val="24"/>
          <w:szCs w:val="24"/>
          <w:lang w:eastAsia="en-GB"/>
        </w:rPr>
      </w:pPr>
      <w:r w:rsidRPr="00885291">
        <w:rPr>
          <w:rFonts w:eastAsia="Verdana"/>
          <w:sz w:val="24"/>
          <w:szCs w:val="24"/>
          <w:lang w:eastAsia="en-GB"/>
        </w:rPr>
        <w:t xml:space="preserve">Begrænsede data indikerer, at </w:t>
      </w:r>
      <w:proofErr w:type="spellStart"/>
      <w:r w:rsidRPr="00885291">
        <w:rPr>
          <w:rFonts w:eastAsia="Verdana"/>
          <w:sz w:val="24"/>
          <w:szCs w:val="24"/>
          <w:lang w:eastAsia="en-GB"/>
        </w:rPr>
        <w:t>fosfomycin</w:t>
      </w:r>
      <w:proofErr w:type="spellEnd"/>
      <w:r w:rsidRPr="00885291">
        <w:rPr>
          <w:rFonts w:eastAsia="Verdana"/>
          <w:sz w:val="24"/>
          <w:szCs w:val="24"/>
          <w:lang w:eastAsia="en-GB"/>
        </w:rPr>
        <w:t xml:space="preserve"> virker på tidsafhængig vis.</w:t>
      </w:r>
    </w:p>
    <w:p w:rsidR="00885291" w:rsidRPr="00885291" w:rsidRDefault="00885291" w:rsidP="00885291">
      <w:pPr>
        <w:ind w:left="851"/>
        <w:rPr>
          <w:rFonts w:eastAsia="Verdana"/>
          <w:sz w:val="24"/>
          <w:szCs w:val="24"/>
          <w:lang w:eastAsia="en-GB"/>
        </w:rPr>
      </w:pPr>
    </w:p>
    <w:p w:rsidR="00885291" w:rsidRPr="00885291" w:rsidRDefault="00885291" w:rsidP="00885291">
      <w:pPr>
        <w:keepNext/>
        <w:ind w:left="851"/>
        <w:rPr>
          <w:rFonts w:eastAsia="Verdana"/>
          <w:sz w:val="24"/>
          <w:szCs w:val="24"/>
          <w:u w:val="single"/>
          <w:lang w:eastAsia="en-GB"/>
        </w:rPr>
      </w:pPr>
      <w:r w:rsidRPr="00885291">
        <w:rPr>
          <w:rFonts w:eastAsia="Verdana"/>
          <w:sz w:val="24"/>
          <w:szCs w:val="24"/>
          <w:u w:val="single"/>
          <w:lang w:eastAsia="en-GB"/>
        </w:rPr>
        <w:t>Mekanisme for resistens</w:t>
      </w:r>
    </w:p>
    <w:p w:rsidR="00885291" w:rsidRDefault="00885291" w:rsidP="00885291">
      <w:pPr>
        <w:ind w:left="851"/>
        <w:rPr>
          <w:rFonts w:eastAsia="Verdana"/>
          <w:sz w:val="24"/>
          <w:szCs w:val="24"/>
          <w:lang w:eastAsia="en-GB"/>
        </w:rPr>
      </w:pPr>
      <w:r w:rsidRPr="00885291">
        <w:rPr>
          <w:rFonts w:eastAsia="Verdana"/>
          <w:sz w:val="24"/>
          <w:szCs w:val="24"/>
          <w:lang w:eastAsia="en-GB"/>
        </w:rPr>
        <w:t xml:space="preserve">Hovedmekanismen for resistens er en kromosommutation, som forårsager en ændring af de bakterielle transportsystemer for </w:t>
      </w:r>
      <w:proofErr w:type="spellStart"/>
      <w:r w:rsidRPr="00885291">
        <w:rPr>
          <w:rFonts w:eastAsia="Verdana"/>
          <w:sz w:val="24"/>
          <w:szCs w:val="24"/>
          <w:lang w:eastAsia="en-GB"/>
        </w:rPr>
        <w:t>fosfomycin</w:t>
      </w:r>
      <w:proofErr w:type="spellEnd"/>
      <w:r w:rsidRPr="00885291">
        <w:rPr>
          <w:rFonts w:eastAsia="Verdana"/>
          <w:sz w:val="24"/>
          <w:szCs w:val="24"/>
          <w:lang w:eastAsia="en-GB"/>
        </w:rPr>
        <w:t xml:space="preserve">. Yderligere resistensmekanismer, som er affødt af plasmid eller </w:t>
      </w:r>
      <w:proofErr w:type="spellStart"/>
      <w:r w:rsidRPr="00885291">
        <w:rPr>
          <w:rFonts w:eastAsia="Verdana"/>
          <w:sz w:val="24"/>
          <w:szCs w:val="24"/>
          <w:lang w:eastAsia="en-GB"/>
        </w:rPr>
        <w:t>transposon</w:t>
      </w:r>
      <w:proofErr w:type="spellEnd"/>
      <w:r w:rsidRPr="00885291">
        <w:rPr>
          <w:rFonts w:eastAsia="Verdana"/>
          <w:sz w:val="24"/>
          <w:szCs w:val="24"/>
          <w:lang w:eastAsia="en-GB"/>
        </w:rPr>
        <w:t xml:space="preserve">, forårsager enzymatisk inaktivering af </w:t>
      </w:r>
      <w:proofErr w:type="spellStart"/>
      <w:r w:rsidRPr="00885291">
        <w:rPr>
          <w:rFonts w:eastAsia="Verdana"/>
          <w:sz w:val="24"/>
          <w:szCs w:val="24"/>
          <w:lang w:eastAsia="en-GB"/>
        </w:rPr>
        <w:t>fosfomycin</w:t>
      </w:r>
      <w:proofErr w:type="spellEnd"/>
      <w:r w:rsidRPr="00885291">
        <w:rPr>
          <w:rFonts w:eastAsia="Verdana"/>
          <w:sz w:val="24"/>
          <w:szCs w:val="24"/>
          <w:lang w:eastAsia="en-GB"/>
        </w:rPr>
        <w:t xml:space="preserve"> ved henholdsvis at binde molekylet til </w:t>
      </w:r>
      <w:proofErr w:type="spellStart"/>
      <w:r w:rsidRPr="00885291">
        <w:rPr>
          <w:rFonts w:eastAsia="Verdana"/>
          <w:sz w:val="24"/>
          <w:szCs w:val="24"/>
          <w:lang w:eastAsia="en-GB"/>
        </w:rPr>
        <w:t>glutathion</w:t>
      </w:r>
      <w:proofErr w:type="spellEnd"/>
      <w:r w:rsidRPr="00885291">
        <w:rPr>
          <w:rFonts w:eastAsia="Verdana"/>
          <w:sz w:val="24"/>
          <w:szCs w:val="24"/>
          <w:lang w:eastAsia="en-GB"/>
        </w:rPr>
        <w:t xml:space="preserve"> eller at spalte kulstof-fosfor-bindingen i </w:t>
      </w:r>
      <w:proofErr w:type="spellStart"/>
      <w:r w:rsidRPr="00885291">
        <w:rPr>
          <w:rFonts w:eastAsia="Verdana"/>
          <w:sz w:val="24"/>
          <w:szCs w:val="24"/>
          <w:lang w:eastAsia="en-GB"/>
        </w:rPr>
        <w:t>fosfomycin</w:t>
      </w:r>
      <w:proofErr w:type="spellEnd"/>
      <w:r w:rsidRPr="00885291">
        <w:rPr>
          <w:rFonts w:eastAsia="Verdana"/>
          <w:sz w:val="24"/>
          <w:szCs w:val="24"/>
          <w:lang w:eastAsia="en-GB"/>
        </w:rPr>
        <w:t>-molekylet.</w:t>
      </w:r>
    </w:p>
    <w:p w:rsidR="00885291" w:rsidRPr="00885291" w:rsidRDefault="00885291" w:rsidP="00885291">
      <w:pPr>
        <w:ind w:left="851"/>
        <w:rPr>
          <w:rFonts w:eastAsia="Verdana"/>
          <w:sz w:val="24"/>
          <w:szCs w:val="24"/>
          <w:lang w:eastAsia="en-GB"/>
        </w:rPr>
      </w:pPr>
    </w:p>
    <w:p w:rsidR="00D7645D" w:rsidRPr="00885291" w:rsidRDefault="00D7645D" w:rsidP="00D7645D">
      <w:pPr>
        <w:ind w:left="851"/>
        <w:rPr>
          <w:rFonts w:eastAsia="Verdana"/>
          <w:sz w:val="24"/>
          <w:szCs w:val="24"/>
          <w:u w:val="single"/>
          <w:lang w:eastAsia="en-GB"/>
        </w:rPr>
      </w:pPr>
      <w:r w:rsidRPr="00885291">
        <w:rPr>
          <w:rFonts w:eastAsia="Verdana"/>
          <w:sz w:val="24"/>
          <w:szCs w:val="24"/>
          <w:u w:val="single"/>
          <w:lang w:eastAsia="en-GB"/>
        </w:rPr>
        <w:t>Krydsresistens</w:t>
      </w:r>
    </w:p>
    <w:p w:rsidR="00D7645D" w:rsidRDefault="00D7645D" w:rsidP="00D7645D">
      <w:pPr>
        <w:ind w:left="851"/>
        <w:rPr>
          <w:rFonts w:eastAsia="Verdana"/>
          <w:sz w:val="24"/>
          <w:szCs w:val="24"/>
          <w:lang w:eastAsia="en-GB"/>
        </w:rPr>
      </w:pPr>
      <w:r w:rsidRPr="00885291">
        <w:rPr>
          <w:rFonts w:eastAsia="Verdana"/>
          <w:sz w:val="24"/>
          <w:szCs w:val="24"/>
          <w:lang w:eastAsia="en-GB"/>
        </w:rPr>
        <w:t xml:space="preserve">Krydsresistens mellem </w:t>
      </w:r>
      <w:proofErr w:type="spellStart"/>
      <w:r w:rsidRPr="00885291">
        <w:rPr>
          <w:rFonts w:eastAsia="Verdana"/>
          <w:sz w:val="24"/>
          <w:szCs w:val="24"/>
          <w:lang w:eastAsia="en-GB"/>
        </w:rPr>
        <w:t>fosfomycin</w:t>
      </w:r>
      <w:proofErr w:type="spellEnd"/>
      <w:r w:rsidRPr="00885291">
        <w:rPr>
          <w:rFonts w:eastAsia="Verdana"/>
          <w:sz w:val="24"/>
          <w:szCs w:val="24"/>
          <w:lang w:eastAsia="en-GB"/>
        </w:rPr>
        <w:t xml:space="preserve"> og andre klasser af antibiotika er ikke kendt. </w:t>
      </w:r>
    </w:p>
    <w:p w:rsidR="00D7645D" w:rsidRDefault="00D7645D" w:rsidP="00D7645D">
      <w:pPr>
        <w:ind w:left="851"/>
        <w:rPr>
          <w:rFonts w:eastAsia="Verdana"/>
          <w:sz w:val="24"/>
          <w:szCs w:val="24"/>
          <w:lang w:eastAsia="en-GB"/>
        </w:rPr>
      </w:pPr>
    </w:p>
    <w:p w:rsidR="00D7645D" w:rsidRPr="00CC7ED5" w:rsidRDefault="00D7645D" w:rsidP="00D7645D">
      <w:pPr>
        <w:widowControl w:val="0"/>
        <w:autoSpaceDE w:val="0"/>
        <w:autoSpaceDN w:val="0"/>
        <w:adjustRightInd w:val="0"/>
        <w:spacing w:line="280" w:lineRule="exact"/>
        <w:ind w:left="108" w:right="108" w:firstLine="743"/>
        <w:rPr>
          <w:rFonts w:cs="Verdana"/>
          <w:color w:val="000000"/>
          <w:sz w:val="24"/>
          <w:szCs w:val="24"/>
          <w:u w:val="single"/>
        </w:rPr>
      </w:pPr>
      <w:r w:rsidRPr="00CC7ED5">
        <w:rPr>
          <w:sz w:val="24"/>
          <w:szCs w:val="24"/>
          <w:u w:val="single"/>
        </w:rPr>
        <w:t>Grænseværdier ved følsomhedstestning</w:t>
      </w:r>
    </w:p>
    <w:p w:rsidR="00D7645D" w:rsidRDefault="00D7645D" w:rsidP="00D7645D">
      <w:pPr>
        <w:ind w:left="851"/>
        <w:rPr>
          <w:rStyle w:val="Hyperlink"/>
          <w:sz w:val="24"/>
          <w:szCs w:val="24"/>
        </w:rPr>
      </w:pPr>
      <w:r w:rsidRPr="00CC7ED5">
        <w:rPr>
          <w:color w:val="000000"/>
          <w:sz w:val="24"/>
          <w:szCs w:val="24"/>
        </w:rPr>
        <w:t xml:space="preserve">MIC (mindste inhiberende koncentration)-fortolkningskriterierne for følsomhedstestning er fastlagt af European </w:t>
      </w:r>
      <w:proofErr w:type="spellStart"/>
      <w:r w:rsidRPr="00CC7ED5">
        <w:rPr>
          <w:color w:val="000000"/>
          <w:sz w:val="24"/>
          <w:szCs w:val="24"/>
        </w:rPr>
        <w:t>Committee</w:t>
      </w:r>
      <w:proofErr w:type="spellEnd"/>
      <w:r w:rsidRPr="00CC7ED5">
        <w:rPr>
          <w:color w:val="000000"/>
          <w:sz w:val="24"/>
          <w:szCs w:val="24"/>
        </w:rPr>
        <w:t xml:space="preserve"> on </w:t>
      </w:r>
      <w:proofErr w:type="spellStart"/>
      <w:r w:rsidRPr="00CC7ED5">
        <w:rPr>
          <w:color w:val="000000"/>
          <w:sz w:val="24"/>
          <w:szCs w:val="24"/>
        </w:rPr>
        <w:t>Antimicrobial</w:t>
      </w:r>
      <w:proofErr w:type="spellEnd"/>
      <w:r w:rsidRPr="00CC7ED5">
        <w:rPr>
          <w:color w:val="000000"/>
          <w:sz w:val="24"/>
          <w:szCs w:val="24"/>
        </w:rPr>
        <w:t xml:space="preserve"> </w:t>
      </w:r>
      <w:proofErr w:type="spellStart"/>
      <w:r w:rsidRPr="00CC7ED5">
        <w:rPr>
          <w:color w:val="000000"/>
          <w:sz w:val="24"/>
          <w:szCs w:val="24"/>
        </w:rPr>
        <w:t>Susceptibility</w:t>
      </w:r>
      <w:proofErr w:type="spellEnd"/>
      <w:r w:rsidRPr="00CC7ED5">
        <w:rPr>
          <w:color w:val="000000"/>
          <w:sz w:val="24"/>
          <w:szCs w:val="24"/>
        </w:rPr>
        <w:t xml:space="preserve"> </w:t>
      </w:r>
      <w:proofErr w:type="spellStart"/>
      <w:r w:rsidRPr="00CC7ED5">
        <w:rPr>
          <w:color w:val="000000"/>
          <w:sz w:val="24"/>
          <w:szCs w:val="24"/>
        </w:rPr>
        <w:t>Testing</w:t>
      </w:r>
      <w:proofErr w:type="spellEnd"/>
      <w:r w:rsidRPr="00CC7ED5">
        <w:rPr>
          <w:color w:val="000000"/>
          <w:sz w:val="24"/>
          <w:szCs w:val="24"/>
        </w:rPr>
        <w:t xml:space="preserve"> (EUCAST) for intravenøs </w:t>
      </w:r>
      <w:proofErr w:type="spellStart"/>
      <w:r w:rsidRPr="00CC7ED5">
        <w:rPr>
          <w:color w:val="000000"/>
          <w:sz w:val="24"/>
          <w:szCs w:val="24"/>
        </w:rPr>
        <w:t>fosfomycin</w:t>
      </w:r>
      <w:proofErr w:type="spellEnd"/>
      <w:r w:rsidRPr="00CC7ED5">
        <w:rPr>
          <w:color w:val="000000"/>
          <w:sz w:val="24"/>
          <w:szCs w:val="24"/>
        </w:rPr>
        <w:t xml:space="preserve"> og er anført her: </w:t>
      </w:r>
      <w:hyperlink r:id="rId9" w:history="1">
        <w:r w:rsidRPr="00CC7ED5">
          <w:rPr>
            <w:rStyle w:val="Hyperlink"/>
            <w:sz w:val="24"/>
            <w:szCs w:val="24"/>
          </w:rPr>
          <w:t>https://www.ema.europa.eu/documents/other/minimum-inhibitory-concentration-mic-breakpoints_en.xlsx</w:t>
        </w:r>
      </w:hyperlink>
    </w:p>
    <w:p w:rsidR="00D7645D" w:rsidRPr="00885291" w:rsidRDefault="00D7645D" w:rsidP="00D7645D">
      <w:pPr>
        <w:ind w:left="851"/>
        <w:rPr>
          <w:rFonts w:eastAsia="Verdana"/>
          <w:sz w:val="24"/>
          <w:szCs w:val="24"/>
          <w:lang w:eastAsia="en-GB"/>
        </w:rPr>
      </w:pPr>
    </w:p>
    <w:p w:rsidR="00D7645D" w:rsidRDefault="00D7645D" w:rsidP="00D7645D">
      <w:pPr>
        <w:ind w:left="851"/>
        <w:rPr>
          <w:rFonts w:eastAsia="Verdana"/>
          <w:sz w:val="24"/>
          <w:szCs w:val="24"/>
          <w:u w:val="single"/>
          <w:lang w:eastAsia="en-GB"/>
        </w:rPr>
      </w:pPr>
      <w:r w:rsidRPr="00885291">
        <w:rPr>
          <w:rFonts w:eastAsia="Verdana"/>
          <w:sz w:val="24"/>
          <w:szCs w:val="24"/>
          <w:u w:val="single"/>
          <w:lang w:eastAsia="en-GB"/>
        </w:rPr>
        <w:t>Følsomhed</w:t>
      </w:r>
    </w:p>
    <w:p w:rsidR="00885291" w:rsidRPr="00885291" w:rsidRDefault="00885291" w:rsidP="00D7645D">
      <w:pPr>
        <w:ind w:left="851"/>
        <w:rPr>
          <w:rFonts w:eastAsia="Verdana"/>
          <w:sz w:val="24"/>
          <w:szCs w:val="24"/>
          <w:lang w:eastAsia="en-GB"/>
        </w:rPr>
      </w:pPr>
      <w:r w:rsidRPr="00885291">
        <w:rPr>
          <w:rFonts w:eastAsia="Verdana"/>
          <w:sz w:val="24"/>
          <w:szCs w:val="24"/>
          <w:lang w:eastAsia="en-GB"/>
        </w:rPr>
        <w:t>Prævalensen af erhvervet resistens for individuelle arter kan variere geografisk og over tid. Lokal information om resistenssituationen er derfor nødvendig, navnlig for at sørge for korrekt behandling af svære infektioner.</w:t>
      </w:r>
    </w:p>
    <w:p w:rsidR="00885291" w:rsidRPr="00885291" w:rsidRDefault="00885291" w:rsidP="00885291">
      <w:pPr>
        <w:ind w:left="851"/>
        <w:rPr>
          <w:rFonts w:eastAsia="Verdana"/>
          <w:sz w:val="24"/>
          <w:szCs w:val="24"/>
          <w:lang w:eastAsia="en-GB"/>
        </w:rPr>
      </w:pPr>
      <w:r w:rsidRPr="00885291">
        <w:rPr>
          <w:rFonts w:eastAsia="SimSun"/>
          <w:sz w:val="24"/>
          <w:szCs w:val="24"/>
          <w:lang w:eastAsia="zh-CN"/>
        </w:rPr>
        <w:t xml:space="preserve">Nedenstående information giver kun en omtrentlig vejledning om sandsynligheden for mikroorganismens følsomhed over for </w:t>
      </w:r>
      <w:proofErr w:type="spellStart"/>
      <w:r w:rsidRPr="00885291">
        <w:rPr>
          <w:rFonts w:eastAsia="SimSun"/>
          <w:sz w:val="24"/>
          <w:szCs w:val="24"/>
          <w:lang w:eastAsia="zh-CN"/>
        </w:rPr>
        <w:t>fosfomycin</w:t>
      </w:r>
      <w:proofErr w:type="spellEnd"/>
      <w:r w:rsidRPr="00885291">
        <w:rPr>
          <w:rFonts w:eastAsia="Verdana"/>
          <w:sz w:val="24"/>
          <w:szCs w:val="24"/>
          <w:lang w:eastAsia="en-GB"/>
        </w:rPr>
        <w:t>.</w:t>
      </w:r>
    </w:p>
    <w:p w:rsidR="00885291" w:rsidRPr="00885291" w:rsidRDefault="00885291" w:rsidP="00885291">
      <w:pPr>
        <w:ind w:left="851"/>
        <w:rPr>
          <w:rFonts w:eastAsia="Verdana"/>
          <w:b/>
          <w:bCs/>
          <w:sz w:val="24"/>
          <w:szCs w:val="24"/>
          <w:lang w:eastAsia="en-GB"/>
        </w:rPr>
      </w:pPr>
    </w:p>
    <w:p w:rsidR="00885291" w:rsidRDefault="00885291" w:rsidP="00885291">
      <w:pPr>
        <w:ind w:left="851"/>
        <w:rPr>
          <w:rFonts w:eastAsia="Verdana"/>
          <w:b/>
          <w:bCs/>
          <w:sz w:val="24"/>
          <w:szCs w:val="24"/>
          <w:lang w:eastAsia="en-GB"/>
        </w:rPr>
      </w:pPr>
      <w:r w:rsidRPr="00885291">
        <w:rPr>
          <w:rFonts w:eastAsia="Verdana"/>
          <w:b/>
          <w:bCs/>
          <w:sz w:val="24"/>
          <w:szCs w:val="24"/>
          <w:lang w:eastAsia="en-GB"/>
        </w:rPr>
        <w:t>Sædvanligvis følsomme arter</w:t>
      </w:r>
    </w:p>
    <w:p w:rsidR="00885291" w:rsidRPr="00885291" w:rsidRDefault="00885291" w:rsidP="00885291">
      <w:pPr>
        <w:ind w:left="851"/>
        <w:rPr>
          <w:rFonts w:eastAsia="Verdana"/>
          <w:b/>
          <w:sz w:val="24"/>
          <w:szCs w:val="24"/>
          <w:lang w:eastAsia="en-GB"/>
        </w:rPr>
      </w:pPr>
    </w:p>
    <w:p w:rsidR="00885291" w:rsidRPr="00885291" w:rsidRDefault="00885291" w:rsidP="00885291">
      <w:pPr>
        <w:ind w:left="851"/>
        <w:rPr>
          <w:rFonts w:eastAsia="Verdana"/>
          <w:b/>
          <w:i/>
          <w:sz w:val="24"/>
          <w:szCs w:val="24"/>
          <w:lang w:eastAsia="en-GB"/>
        </w:rPr>
      </w:pPr>
      <w:r w:rsidRPr="00885291">
        <w:rPr>
          <w:rFonts w:eastAsia="Verdana"/>
          <w:b/>
          <w:bCs/>
          <w:i/>
          <w:iCs/>
          <w:sz w:val="24"/>
          <w:szCs w:val="24"/>
          <w:lang w:eastAsia="en-GB"/>
        </w:rPr>
        <w:t>Aerobe grampositive mikroorganismer</w:t>
      </w:r>
    </w:p>
    <w:p w:rsidR="00885291" w:rsidRPr="003B6C0B" w:rsidRDefault="00885291" w:rsidP="00885291">
      <w:pPr>
        <w:ind w:left="851"/>
        <w:rPr>
          <w:rFonts w:eastAsia="Verdana"/>
          <w:i/>
          <w:iCs/>
          <w:sz w:val="24"/>
          <w:szCs w:val="24"/>
          <w:lang w:val="en-US" w:eastAsia="en-GB"/>
        </w:rPr>
      </w:pPr>
      <w:r w:rsidRPr="003B6C0B">
        <w:rPr>
          <w:rFonts w:eastAsia="Verdana"/>
          <w:i/>
          <w:iCs/>
          <w:sz w:val="24"/>
          <w:szCs w:val="24"/>
          <w:lang w:val="en-US" w:eastAsia="en-GB"/>
        </w:rPr>
        <w:t>Staphylococcus aureus</w:t>
      </w:r>
    </w:p>
    <w:p w:rsidR="00885291" w:rsidRPr="003B6C0B" w:rsidRDefault="00885291" w:rsidP="00885291">
      <w:pPr>
        <w:ind w:left="851"/>
        <w:rPr>
          <w:rFonts w:eastAsia="Verdana"/>
          <w:i/>
          <w:sz w:val="24"/>
          <w:szCs w:val="24"/>
          <w:lang w:val="en-US" w:eastAsia="en-GB"/>
        </w:rPr>
      </w:pPr>
    </w:p>
    <w:p w:rsidR="00885291" w:rsidRPr="003B6C0B" w:rsidRDefault="00885291" w:rsidP="00885291">
      <w:pPr>
        <w:ind w:left="851"/>
        <w:rPr>
          <w:rFonts w:eastAsia="Verdana"/>
          <w:b/>
          <w:i/>
          <w:sz w:val="24"/>
          <w:szCs w:val="24"/>
          <w:lang w:val="en-US" w:eastAsia="en-GB"/>
        </w:rPr>
      </w:pPr>
      <w:r w:rsidRPr="003B6C0B">
        <w:rPr>
          <w:rFonts w:eastAsia="Verdana"/>
          <w:b/>
          <w:bCs/>
          <w:i/>
          <w:iCs/>
          <w:sz w:val="24"/>
          <w:szCs w:val="24"/>
          <w:lang w:val="en-US" w:eastAsia="en-GB"/>
        </w:rPr>
        <w:t xml:space="preserve">Aerobe </w:t>
      </w:r>
      <w:proofErr w:type="spellStart"/>
      <w:r w:rsidRPr="003B6C0B">
        <w:rPr>
          <w:rFonts w:eastAsia="Verdana"/>
          <w:b/>
          <w:bCs/>
          <w:i/>
          <w:iCs/>
          <w:sz w:val="24"/>
          <w:szCs w:val="24"/>
          <w:lang w:val="en-US" w:eastAsia="en-GB"/>
        </w:rPr>
        <w:t>gramnegative</w:t>
      </w:r>
      <w:proofErr w:type="spellEnd"/>
      <w:r w:rsidRPr="003B6C0B">
        <w:rPr>
          <w:rFonts w:eastAsia="Verdana"/>
          <w:b/>
          <w:bCs/>
          <w:i/>
          <w:iCs/>
          <w:sz w:val="24"/>
          <w:szCs w:val="24"/>
          <w:lang w:val="en-US" w:eastAsia="en-GB"/>
        </w:rPr>
        <w:t xml:space="preserve"> </w:t>
      </w:r>
      <w:proofErr w:type="spellStart"/>
      <w:r w:rsidRPr="003B6C0B">
        <w:rPr>
          <w:rFonts w:eastAsia="Verdana"/>
          <w:b/>
          <w:bCs/>
          <w:i/>
          <w:iCs/>
          <w:sz w:val="24"/>
          <w:szCs w:val="24"/>
          <w:lang w:val="en-US" w:eastAsia="en-GB"/>
        </w:rPr>
        <w:t>mikroorganismer</w:t>
      </w:r>
      <w:proofErr w:type="spellEnd"/>
    </w:p>
    <w:p w:rsidR="00885291" w:rsidRPr="003B6C0B" w:rsidRDefault="00885291" w:rsidP="00885291">
      <w:pPr>
        <w:ind w:left="851"/>
        <w:rPr>
          <w:rFonts w:eastAsia="Verdana"/>
          <w:i/>
          <w:sz w:val="24"/>
          <w:szCs w:val="24"/>
          <w:lang w:val="en-US" w:eastAsia="en-GB"/>
        </w:rPr>
      </w:pPr>
      <w:r w:rsidRPr="003B6C0B">
        <w:rPr>
          <w:rFonts w:eastAsia="Verdana"/>
          <w:i/>
          <w:iCs/>
          <w:sz w:val="24"/>
          <w:szCs w:val="24"/>
          <w:lang w:val="en-US" w:eastAsia="en-GB"/>
        </w:rPr>
        <w:t xml:space="preserve">Citrobacter </w:t>
      </w:r>
      <w:proofErr w:type="spellStart"/>
      <w:r w:rsidRPr="003B6C0B">
        <w:rPr>
          <w:rFonts w:eastAsia="Verdana"/>
          <w:i/>
          <w:iCs/>
          <w:sz w:val="24"/>
          <w:szCs w:val="24"/>
          <w:lang w:val="en-US" w:eastAsia="en-GB"/>
        </w:rPr>
        <w:t>freundii</w:t>
      </w:r>
      <w:proofErr w:type="spellEnd"/>
    </w:p>
    <w:p w:rsidR="00885291" w:rsidRPr="003B6C0B" w:rsidRDefault="00885291" w:rsidP="00885291">
      <w:pPr>
        <w:ind w:left="851"/>
        <w:rPr>
          <w:rFonts w:eastAsia="Verdana"/>
          <w:i/>
          <w:sz w:val="24"/>
          <w:szCs w:val="24"/>
          <w:lang w:val="en-US" w:eastAsia="en-GB"/>
        </w:rPr>
      </w:pPr>
      <w:r w:rsidRPr="003B6C0B">
        <w:rPr>
          <w:rFonts w:eastAsia="Verdana"/>
          <w:i/>
          <w:iCs/>
          <w:sz w:val="24"/>
          <w:szCs w:val="24"/>
          <w:lang w:val="en-US" w:eastAsia="en-GB"/>
        </w:rPr>
        <w:t xml:space="preserve">Citrobacter </w:t>
      </w:r>
      <w:proofErr w:type="spellStart"/>
      <w:r w:rsidRPr="003B6C0B">
        <w:rPr>
          <w:rFonts w:eastAsia="Verdana"/>
          <w:i/>
          <w:iCs/>
          <w:sz w:val="24"/>
          <w:szCs w:val="24"/>
          <w:lang w:val="en-US" w:eastAsia="en-GB"/>
        </w:rPr>
        <w:t>koseri</w:t>
      </w:r>
      <w:proofErr w:type="spellEnd"/>
    </w:p>
    <w:p w:rsidR="00885291" w:rsidRPr="003B6C0B" w:rsidRDefault="00885291" w:rsidP="00885291">
      <w:pPr>
        <w:ind w:left="851"/>
        <w:rPr>
          <w:rFonts w:eastAsia="Verdana"/>
          <w:i/>
          <w:sz w:val="24"/>
          <w:szCs w:val="24"/>
          <w:lang w:val="en-US" w:eastAsia="en-GB"/>
        </w:rPr>
      </w:pPr>
      <w:r w:rsidRPr="003B6C0B">
        <w:rPr>
          <w:rFonts w:eastAsia="Verdana"/>
          <w:i/>
          <w:iCs/>
          <w:sz w:val="24"/>
          <w:szCs w:val="24"/>
          <w:lang w:val="en-US" w:eastAsia="en-GB"/>
        </w:rPr>
        <w:t>Escherichia coli</w:t>
      </w:r>
    </w:p>
    <w:p w:rsidR="00885291" w:rsidRPr="003B6C0B" w:rsidRDefault="00885291" w:rsidP="00885291">
      <w:pPr>
        <w:ind w:left="851"/>
        <w:rPr>
          <w:rFonts w:eastAsia="Verdana"/>
          <w:i/>
          <w:sz w:val="24"/>
          <w:szCs w:val="24"/>
          <w:lang w:val="en-US" w:eastAsia="en-GB"/>
        </w:rPr>
      </w:pPr>
      <w:proofErr w:type="spellStart"/>
      <w:r w:rsidRPr="003B6C0B">
        <w:rPr>
          <w:rFonts w:eastAsia="Verdana"/>
          <w:i/>
          <w:iCs/>
          <w:sz w:val="24"/>
          <w:szCs w:val="24"/>
          <w:lang w:val="en-US" w:eastAsia="en-GB"/>
        </w:rPr>
        <w:t>Haemophilus</w:t>
      </w:r>
      <w:proofErr w:type="spellEnd"/>
      <w:r w:rsidRPr="003B6C0B">
        <w:rPr>
          <w:rFonts w:eastAsia="Verdana"/>
          <w:i/>
          <w:iCs/>
          <w:sz w:val="24"/>
          <w:szCs w:val="24"/>
          <w:lang w:val="en-US" w:eastAsia="en-GB"/>
        </w:rPr>
        <w:t xml:space="preserve"> influenzae</w:t>
      </w:r>
    </w:p>
    <w:p w:rsidR="00885291" w:rsidRPr="003B6C0B" w:rsidRDefault="00885291" w:rsidP="00885291">
      <w:pPr>
        <w:ind w:left="851"/>
        <w:rPr>
          <w:rFonts w:eastAsia="Verdana"/>
          <w:i/>
          <w:sz w:val="24"/>
          <w:szCs w:val="24"/>
          <w:lang w:val="en-US" w:eastAsia="en-GB"/>
        </w:rPr>
      </w:pPr>
      <w:r w:rsidRPr="003B6C0B">
        <w:rPr>
          <w:rFonts w:eastAsia="Verdana"/>
          <w:i/>
          <w:iCs/>
          <w:sz w:val="24"/>
          <w:szCs w:val="24"/>
          <w:lang w:val="en-US" w:eastAsia="en-GB"/>
        </w:rPr>
        <w:t>Neisseria meningitidis</w:t>
      </w:r>
    </w:p>
    <w:p w:rsidR="00885291" w:rsidRPr="003B6C0B" w:rsidRDefault="00885291" w:rsidP="00885291">
      <w:pPr>
        <w:ind w:left="851"/>
        <w:rPr>
          <w:rFonts w:eastAsia="Verdana"/>
          <w:i/>
          <w:iCs/>
          <w:sz w:val="24"/>
          <w:szCs w:val="24"/>
          <w:lang w:val="en-US" w:eastAsia="en-GB"/>
        </w:rPr>
      </w:pPr>
      <w:r w:rsidRPr="003B6C0B">
        <w:rPr>
          <w:rFonts w:eastAsia="Verdana"/>
          <w:i/>
          <w:iCs/>
          <w:sz w:val="24"/>
          <w:szCs w:val="24"/>
          <w:lang w:val="en-US" w:eastAsia="en-GB"/>
        </w:rPr>
        <w:t>Salmonella enterica</w:t>
      </w:r>
    </w:p>
    <w:p w:rsidR="00885291" w:rsidRPr="003B6C0B" w:rsidRDefault="00885291" w:rsidP="00885291">
      <w:pPr>
        <w:ind w:left="851"/>
        <w:rPr>
          <w:rFonts w:eastAsia="Verdana"/>
          <w:i/>
          <w:sz w:val="24"/>
          <w:szCs w:val="24"/>
          <w:lang w:val="en-US" w:eastAsia="en-GB"/>
        </w:rPr>
      </w:pPr>
    </w:p>
    <w:p w:rsidR="00885291" w:rsidRPr="003B6C0B" w:rsidRDefault="00885291" w:rsidP="00885291">
      <w:pPr>
        <w:ind w:left="851"/>
        <w:rPr>
          <w:rFonts w:eastAsia="Verdana"/>
          <w:b/>
          <w:i/>
          <w:sz w:val="24"/>
          <w:szCs w:val="24"/>
          <w:lang w:val="en-US" w:eastAsia="en-GB"/>
        </w:rPr>
      </w:pPr>
      <w:r w:rsidRPr="003B6C0B">
        <w:rPr>
          <w:rFonts w:eastAsia="Verdana"/>
          <w:b/>
          <w:bCs/>
          <w:i/>
          <w:iCs/>
          <w:sz w:val="24"/>
          <w:szCs w:val="24"/>
          <w:lang w:val="en-US" w:eastAsia="en-GB"/>
        </w:rPr>
        <w:t xml:space="preserve">Anaerobe </w:t>
      </w:r>
      <w:proofErr w:type="spellStart"/>
      <w:r w:rsidRPr="003B6C0B">
        <w:rPr>
          <w:rFonts w:eastAsia="Verdana"/>
          <w:b/>
          <w:bCs/>
          <w:i/>
          <w:iCs/>
          <w:sz w:val="24"/>
          <w:szCs w:val="24"/>
          <w:lang w:val="en-US" w:eastAsia="en-GB"/>
        </w:rPr>
        <w:t>mikroorganismer</w:t>
      </w:r>
      <w:proofErr w:type="spellEnd"/>
    </w:p>
    <w:p w:rsidR="00885291" w:rsidRPr="003B6C0B" w:rsidRDefault="00885291" w:rsidP="00885291">
      <w:pPr>
        <w:ind w:left="851"/>
        <w:rPr>
          <w:rFonts w:eastAsia="Verdana"/>
          <w:i/>
          <w:sz w:val="24"/>
          <w:szCs w:val="24"/>
          <w:lang w:val="en-US" w:eastAsia="en-GB"/>
        </w:rPr>
      </w:pPr>
      <w:r w:rsidRPr="003B6C0B">
        <w:rPr>
          <w:rFonts w:eastAsia="Verdana"/>
          <w:i/>
          <w:iCs/>
          <w:sz w:val="24"/>
          <w:szCs w:val="24"/>
          <w:lang w:val="en-US" w:eastAsia="en-GB"/>
        </w:rPr>
        <w:t xml:space="preserve">Fusobacterium </w:t>
      </w:r>
      <w:r w:rsidRPr="003B6C0B">
        <w:rPr>
          <w:rFonts w:eastAsia="Verdana"/>
          <w:sz w:val="24"/>
          <w:szCs w:val="24"/>
          <w:lang w:val="en-US" w:eastAsia="en-GB"/>
        </w:rPr>
        <w:t>spp</w:t>
      </w:r>
      <w:r w:rsidRPr="003B6C0B">
        <w:rPr>
          <w:rFonts w:eastAsia="Verdana"/>
          <w:i/>
          <w:iCs/>
          <w:sz w:val="24"/>
          <w:szCs w:val="24"/>
          <w:lang w:val="en-US" w:eastAsia="en-GB"/>
        </w:rPr>
        <w:t>.</w:t>
      </w:r>
    </w:p>
    <w:p w:rsidR="00885291" w:rsidRPr="003B6C0B" w:rsidRDefault="00885291" w:rsidP="00885291">
      <w:pPr>
        <w:ind w:left="851"/>
        <w:rPr>
          <w:rFonts w:eastAsia="Verdana"/>
          <w:i/>
          <w:sz w:val="24"/>
          <w:szCs w:val="24"/>
          <w:lang w:val="en-US" w:eastAsia="en-GB"/>
        </w:rPr>
      </w:pPr>
      <w:proofErr w:type="spellStart"/>
      <w:r w:rsidRPr="003B6C0B">
        <w:rPr>
          <w:rFonts w:eastAsia="Verdana"/>
          <w:i/>
          <w:iCs/>
          <w:sz w:val="24"/>
          <w:szCs w:val="24"/>
          <w:lang w:val="en-US" w:eastAsia="en-GB"/>
        </w:rPr>
        <w:t>Peptococcus</w:t>
      </w:r>
      <w:proofErr w:type="spellEnd"/>
      <w:r w:rsidRPr="003B6C0B">
        <w:rPr>
          <w:rFonts w:eastAsia="Verdana"/>
          <w:i/>
          <w:iCs/>
          <w:sz w:val="24"/>
          <w:szCs w:val="24"/>
          <w:lang w:val="en-US" w:eastAsia="en-GB"/>
        </w:rPr>
        <w:t xml:space="preserve"> </w:t>
      </w:r>
      <w:r w:rsidRPr="003B6C0B">
        <w:rPr>
          <w:rFonts w:eastAsia="Verdana"/>
          <w:sz w:val="24"/>
          <w:szCs w:val="24"/>
          <w:lang w:val="en-US" w:eastAsia="en-GB"/>
        </w:rPr>
        <w:t>spp</w:t>
      </w:r>
      <w:r w:rsidRPr="003B6C0B">
        <w:rPr>
          <w:rFonts w:eastAsia="Verdana"/>
          <w:i/>
          <w:iCs/>
          <w:sz w:val="24"/>
          <w:szCs w:val="24"/>
          <w:lang w:val="en-US" w:eastAsia="en-GB"/>
        </w:rPr>
        <w:t>.</w:t>
      </w:r>
    </w:p>
    <w:p w:rsidR="00885291" w:rsidRPr="003B6C0B" w:rsidRDefault="00885291" w:rsidP="00885291">
      <w:pPr>
        <w:ind w:left="851"/>
        <w:rPr>
          <w:rFonts w:eastAsia="Verdana"/>
          <w:i/>
          <w:iCs/>
          <w:sz w:val="24"/>
          <w:szCs w:val="24"/>
          <w:lang w:val="en-US" w:eastAsia="en-GB"/>
        </w:rPr>
      </w:pPr>
      <w:proofErr w:type="spellStart"/>
      <w:r w:rsidRPr="003B6C0B">
        <w:rPr>
          <w:rFonts w:eastAsia="Verdana"/>
          <w:i/>
          <w:iCs/>
          <w:sz w:val="24"/>
          <w:szCs w:val="24"/>
          <w:lang w:val="en-US" w:eastAsia="en-GB"/>
        </w:rPr>
        <w:t>Peptostreptococcus</w:t>
      </w:r>
      <w:proofErr w:type="spellEnd"/>
      <w:r w:rsidRPr="003B6C0B">
        <w:rPr>
          <w:rFonts w:eastAsia="Verdana"/>
          <w:i/>
          <w:iCs/>
          <w:sz w:val="24"/>
          <w:szCs w:val="24"/>
          <w:lang w:val="en-US" w:eastAsia="en-GB"/>
        </w:rPr>
        <w:t xml:space="preserve"> </w:t>
      </w:r>
      <w:r w:rsidRPr="003B6C0B">
        <w:rPr>
          <w:rFonts w:eastAsia="Verdana"/>
          <w:sz w:val="24"/>
          <w:szCs w:val="24"/>
          <w:lang w:val="en-US" w:eastAsia="en-GB"/>
        </w:rPr>
        <w:t>spp</w:t>
      </w:r>
      <w:r w:rsidRPr="003B6C0B">
        <w:rPr>
          <w:rFonts w:eastAsia="Verdana"/>
          <w:i/>
          <w:iCs/>
          <w:sz w:val="24"/>
          <w:szCs w:val="24"/>
          <w:lang w:val="en-US" w:eastAsia="en-GB"/>
        </w:rPr>
        <w:t>.</w:t>
      </w:r>
    </w:p>
    <w:p w:rsidR="00885291" w:rsidRPr="003B6C0B" w:rsidRDefault="00885291" w:rsidP="00885291">
      <w:pPr>
        <w:ind w:left="851"/>
        <w:rPr>
          <w:rFonts w:eastAsia="Verdana"/>
          <w:i/>
          <w:sz w:val="24"/>
          <w:szCs w:val="24"/>
          <w:lang w:val="en-US" w:eastAsia="en-GB"/>
        </w:rPr>
      </w:pPr>
    </w:p>
    <w:p w:rsidR="00885291" w:rsidRDefault="00885291" w:rsidP="00885291">
      <w:pPr>
        <w:ind w:left="851"/>
        <w:rPr>
          <w:rFonts w:eastAsia="Verdana"/>
          <w:b/>
          <w:bCs/>
          <w:sz w:val="24"/>
          <w:szCs w:val="24"/>
          <w:lang w:eastAsia="en-GB"/>
        </w:rPr>
      </w:pPr>
      <w:r w:rsidRPr="00885291">
        <w:rPr>
          <w:rFonts w:eastAsia="Verdana"/>
          <w:b/>
          <w:bCs/>
          <w:sz w:val="24"/>
          <w:szCs w:val="24"/>
          <w:lang w:eastAsia="en-GB"/>
        </w:rPr>
        <w:t>Arter for hvilke erhvervet resistens kan være et problem</w:t>
      </w:r>
    </w:p>
    <w:p w:rsidR="00885291" w:rsidRPr="00885291" w:rsidRDefault="00885291" w:rsidP="00885291">
      <w:pPr>
        <w:ind w:left="851"/>
        <w:rPr>
          <w:rFonts w:eastAsia="Verdana"/>
          <w:b/>
          <w:sz w:val="24"/>
          <w:szCs w:val="24"/>
          <w:lang w:eastAsia="en-GB"/>
        </w:rPr>
      </w:pPr>
    </w:p>
    <w:p w:rsidR="00885291" w:rsidRPr="00885291" w:rsidRDefault="00885291" w:rsidP="00885291">
      <w:pPr>
        <w:ind w:left="851"/>
        <w:rPr>
          <w:rFonts w:eastAsia="Verdana"/>
          <w:b/>
          <w:i/>
          <w:sz w:val="24"/>
          <w:szCs w:val="24"/>
          <w:lang w:eastAsia="en-GB"/>
        </w:rPr>
      </w:pPr>
      <w:r w:rsidRPr="00885291">
        <w:rPr>
          <w:rFonts w:eastAsia="Verdana"/>
          <w:b/>
          <w:bCs/>
          <w:i/>
          <w:iCs/>
          <w:sz w:val="24"/>
          <w:szCs w:val="24"/>
          <w:lang w:eastAsia="en-GB"/>
        </w:rPr>
        <w:t>Aerobe grampositive mikroorganismer</w:t>
      </w:r>
    </w:p>
    <w:p w:rsidR="00885291" w:rsidRPr="00885291" w:rsidRDefault="00885291" w:rsidP="00885291">
      <w:pPr>
        <w:ind w:left="851"/>
        <w:rPr>
          <w:rFonts w:eastAsia="Verdana"/>
          <w:i/>
          <w:sz w:val="24"/>
          <w:szCs w:val="24"/>
          <w:lang w:eastAsia="en-GB"/>
        </w:rPr>
      </w:pPr>
      <w:proofErr w:type="spellStart"/>
      <w:r w:rsidRPr="00885291">
        <w:rPr>
          <w:rFonts w:eastAsia="Verdana"/>
          <w:i/>
          <w:iCs/>
          <w:sz w:val="24"/>
          <w:szCs w:val="24"/>
          <w:lang w:eastAsia="en-GB"/>
        </w:rPr>
        <w:t>Staphylococcus</w:t>
      </w:r>
      <w:proofErr w:type="spellEnd"/>
      <w:r w:rsidRPr="00885291">
        <w:rPr>
          <w:rFonts w:eastAsia="Verdana"/>
          <w:i/>
          <w:iCs/>
          <w:sz w:val="24"/>
          <w:szCs w:val="24"/>
          <w:lang w:eastAsia="en-GB"/>
        </w:rPr>
        <w:t xml:space="preserve"> </w:t>
      </w:r>
      <w:proofErr w:type="spellStart"/>
      <w:r w:rsidRPr="00885291">
        <w:rPr>
          <w:rFonts w:eastAsia="Verdana"/>
          <w:i/>
          <w:iCs/>
          <w:sz w:val="24"/>
          <w:szCs w:val="24"/>
          <w:lang w:eastAsia="en-GB"/>
        </w:rPr>
        <w:t>epidermidis</w:t>
      </w:r>
      <w:proofErr w:type="spellEnd"/>
    </w:p>
    <w:p w:rsidR="00885291" w:rsidRPr="00885291" w:rsidRDefault="00885291" w:rsidP="00885291">
      <w:pPr>
        <w:ind w:left="851"/>
        <w:rPr>
          <w:rFonts w:eastAsia="Verdana"/>
          <w:i/>
          <w:sz w:val="24"/>
          <w:szCs w:val="24"/>
          <w:lang w:eastAsia="en-GB"/>
        </w:rPr>
      </w:pPr>
      <w:proofErr w:type="spellStart"/>
      <w:r w:rsidRPr="00885291">
        <w:rPr>
          <w:rFonts w:eastAsia="Verdana"/>
          <w:i/>
          <w:iCs/>
          <w:sz w:val="24"/>
          <w:szCs w:val="24"/>
          <w:lang w:eastAsia="en-GB"/>
        </w:rPr>
        <w:t>Streptococcus</w:t>
      </w:r>
      <w:proofErr w:type="spellEnd"/>
      <w:r w:rsidRPr="00885291">
        <w:rPr>
          <w:rFonts w:eastAsia="Verdana"/>
          <w:i/>
          <w:iCs/>
          <w:sz w:val="24"/>
          <w:szCs w:val="24"/>
          <w:lang w:eastAsia="en-GB"/>
        </w:rPr>
        <w:t xml:space="preserve"> </w:t>
      </w:r>
      <w:proofErr w:type="spellStart"/>
      <w:r w:rsidRPr="00885291">
        <w:rPr>
          <w:rFonts w:eastAsia="Verdana"/>
          <w:i/>
          <w:iCs/>
          <w:sz w:val="24"/>
          <w:szCs w:val="24"/>
          <w:lang w:eastAsia="en-GB"/>
        </w:rPr>
        <w:t>pneumoniae</w:t>
      </w:r>
      <w:proofErr w:type="spellEnd"/>
    </w:p>
    <w:p w:rsidR="00885291" w:rsidRDefault="00885291" w:rsidP="00885291">
      <w:pPr>
        <w:ind w:left="851"/>
        <w:rPr>
          <w:rFonts w:eastAsia="Verdana"/>
          <w:i/>
          <w:iCs/>
          <w:sz w:val="24"/>
          <w:szCs w:val="24"/>
          <w:lang w:eastAsia="en-GB"/>
        </w:rPr>
      </w:pPr>
      <w:proofErr w:type="spellStart"/>
      <w:r w:rsidRPr="00885291">
        <w:rPr>
          <w:rFonts w:eastAsia="Verdana"/>
          <w:i/>
          <w:iCs/>
          <w:sz w:val="24"/>
          <w:szCs w:val="24"/>
          <w:lang w:eastAsia="en-GB"/>
        </w:rPr>
        <w:t>Enterococcus</w:t>
      </w:r>
      <w:proofErr w:type="spellEnd"/>
      <w:r w:rsidRPr="00885291">
        <w:rPr>
          <w:rFonts w:eastAsia="Verdana"/>
          <w:i/>
          <w:iCs/>
          <w:sz w:val="24"/>
          <w:szCs w:val="24"/>
          <w:lang w:eastAsia="en-GB"/>
        </w:rPr>
        <w:t xml:space="preserve"> </w:t>
      </w:r>
      <w:proofErr w:type="spellStart"/>
      <w:r w:rsidRPr="00885291">
        <w:rPr>
          <w:rFonts w:eastAsia="Verdana"/>
          <w:sz w:val="24"/>
          <w:szCs w:val="24"/>
          <w:lang w:eastAsia="en-GB"/>
        </w:rPr>
        <w:t>spp</w:t>
      </w:r>
      <w:proofErr w:type="spellEnd"/>
      <w:r w:rsidRPr="00885291">
        <w:rPr>
          <w:rFonts w:eastAsia="Verdana"/>
          <w:i/>
          <w:iCs/>
          <w:sz w:val="24"/>
          <w:szCs w:val="24"/>
          <w:lang w:eastAsia="en-GB"/>
        </w:rPr>
        <w:t>.</w:t>
      </w:r>
    </w:p>
    <w:p w:rsidR="00885291" w:rsidRPr="00885291" w:rsidRDefault="00885291" w:rsidP="00885291">
      <w:pPr>
        <w:ind w:left="851"/>
        <w:rPr>
          <w:rFonts w:eastAsia="Verdana"/>
          <w:i/>
          <w:sz w:val="24"/>
          <w:szCs w:val="24"/>
          <w:lang w:eastAsia="en-GB"/>
        </w:rPr>
      </w:pPr>
    </w:p>
    <w:p w:rsidR="00885291" w:rsidRPr="00885291" w:rsidRDefault="00885291" w:rsidP="00885291">
      <w:pPr>
        <w:ind w:left="851"/>
        <w:rPr>
          <w:rFonts w:eastAsia="Verdana"/>
          <w:b/>
          <w:i/>
          <w:sz w:val="24"/>
          <w:szCs w:val="24"/>
          <w:lang w:eastAsia="en-GB"/>
        </w:rPr>
      </w:pPr>
      <w:r w:rsidRPr="00885291">
        <w:rPr>
          <w:rFonts w:eastAsia="Verdana"/>
          <w:b/>
          <w:bCs/>
          <w:i/>
          <w:iCs/>
          <w:sz w:val="24"/>
          <w:szCs w:val="24"/>
          <w:lang w:eastAsia="en-GB"/>
        </w:rPr>
        <w:t>Aerobe gramnegative mikroorganismer</w:t>
      </w:r>
    </w:p>
    <w:p w:rsidR="00885291" w:rsidRPr="00885291" w:rsidRDefault="00885291" w:rsidP="00885291">
      <w:pPr>
        <w:ind w:left="851"/>
        <w:rPr>
          <w:rFonts w:eastAsia="Verdana"/>
          <w:i/>
          <w:sz w:val="24"/>
          <w:szCs w:val="24"/>
          <w:lang w:eastAsia="en-GB"/>
        </w:rPr>
      </w:pPr>
      <w:proofErr w:type="spellStart"/>
      <w:r w:rsidRPr="00885291">
        <w:rPr>
          <w:rFonts w:eastAsia="Verdana"/>
          <w:i/>
          <w:iCs/>
          <w:sz w:val="24"/>
          <w:szCs w:val="24"/>
          <w:lang w:eastAsia="en-GB"/>
        </w:rPr>
        <w:t>Enterobacter</w:t>
      </w:r>
      <w:proofErr w:type="spellEnd"/>
      <w:r w:rsidRPr="00885291">
        <w:rPr>
          <w:rFonts w:eastAsia="Verdana"/>
          <w:i/>
          <w:iCs/>
          <w:sz w:val="24"/>
          <w:szCs w:val="24"/>
          <w:lang w:eastAsia="en-GB"/>
        </w:rPr>
        <w:t xml:space="preserve"> </w:t>
      </w:r>
      <w:proofErr w:type="spellStart"/>
      <w:r w:rsidRPr="00885291">
        <w:rPr>
          <w:rFonts w:eastAsia="Verdana"/>
          <w:i/>
          <w:iCs/>
          <w:sz w:val="24"/>
          <w:szCs w:val="24"/>
          <w:lang w:eastAsia="en-GB"/>
        </w:rPr>
        <w:t>cloacae</w:t>
      </w:r>
      <w:proofErr w:type="spellEnd"/>
    </w:p>
    <w:p w:rsidR="00885291" w:rsidRPr="00885291" w:rsidRDefault="00885291" w:rsidP="00885291">
      <w:pPr>
        <w:ind w:left="851"/>
        <w:rPr>
          <w:rFonts w:eastAsia="Verdana"/>
          <w:i/>
          <w:sz w:val="24"/>
          <w:szCs w:val="24"/>
          <w:lang w:eastAsia="en-GB"/>
        </w:rPr>
      </w:pPr>
      <w:proofErr w:type="spellStart"/>
      <w:r w:rsidRPr="00885291">
        <w:rPr>
          <w:rFonts w:eastAsia="Verdana"/>
          <w:i/>
          <w:iCs/>
          <w:sz w:val="24"/>
          <w:szCs w:val="24"/>
          <w:lang w:eastAsia="en-GB"/>
        </w:rPr>
        <w:t>Klebsiella</w:t>
      </w:r>
      <w:proofErr w:type="spellEnd"/>
      <w:r w:rsidRPr="00885291">
        <w:rPr>
          <w:rFonts w:eastAsia="Verdana"/>
          <w:i/>
          <w:iCs/>
          <w:sz w:val="24"/>
          <w:szCs w:val="24"/>
          <w:lang w:eastAsia="en-GB"/>
        </w:rPr>
        <w:t xml:space="preserve"> </w:t>
      </w:r>
      <w:proofErr w:type="spellStart"/>
      <w:r w:rsidRPr="00885291">
        <w:rPr>
          <w:rFonts w:eastAsia="Verdana"/>
          <w:i/>
          <w:iCs/>
          <w:sz w:val="24"/>
          <w:szCs w:val="24"/>
          <w:lang w:eastAsia="en-GB"/>
        </w:rPr>
        <w:t>aerogenes</w:t>
      </w:r>
      <w:proofErr w:type="spellEnd"/>
    </w:p>
    <w:p w:rsidR="00885291" w:rsidRPr="00885291" w:rsidRDefault="00885291" w:rsidP="00885291">
      <w:pPr>
        <w:ind w:left="851"/>
        <w:rPr>
          <w:rFonts w:eastAsia="Verdana"/>
          <w:i/>
          <w:sz w:val="24"/>
          <w:szCs w:val="24"/>
          <w:lang w:eastAsia="en-GB"/>
        </w:rPr>
      </w:pPr>
      <w:proofErr w:type="spellStart"/>
      <w:r w:rsidRPr="00885291">
        <w:rPr>
          <w:rFonts w:eastAsia="Verdana"/>
          <w:i/>
          <w:iCs/>
          <w:sz w:val="24"/>
          <w:szCs w:val="24"/>
          <w:lang w:eastAsia="en-GB"/>
        </w:rPr>
        <w:t>Klebsiella</w:t>
      </w:r>
      <w:proofErr w:type="spellEnd"/>
      <w:r w:rsidRPr="00885291">
        <w:rPr>
          <w:rFonts w:eastAsia="Verdana"/>
          <w:i/>
          <w:iCs/>
          <w:sz w:val="24"/>
          <w:szCs w:val="24"/>
          <w:lang w:eastAsia="en-GB"/>
        </w:rPr>
        <w:t xml:space="preserve"> </w:t>
      </w:r>
      <w:proofErr w:type="spellStart"/>
      <w:r w:rsidRPr="00885291">
        <w:rPr>
          <w:rFonts w:eastAsia="Verdana"/>
          <w:i/>
          <w:iCs/>
          <w:sz w:val="24"/>
          <w:szCs w:val="24"/>
          <w:lang w:eastAsia="en-GB"/>
        </w:rPr>
        <w:t>oxytoca</w:t>
      </w:r>
      <w:proofErr w:type="spellEnd"/>
    </w:p>
    <w:p w:rsidR="00885291" w:rsidRPr="00885291" w:rsidRDefault="00885291" w:rsidP="00885291">
      <w:pPr>
        <w:ind w:left="851"/>
        <w:rPr>
          <w:rFonts w:eastAsia="Verdana"/>
          <w:i/>
          <w:sz w:val="24"/>
          <w:szCs w:val="24"/>
          <w:lang w:eastAsia="en-GB"/>
        </w:rPr>
      </w:pPr>
      <w:proofErr w:type="spellStart"/>
      <w:r w:rsidRPr="00885291">
        <w:rPr>
          <w:rFonts w:eastAsia="Verdana"/>
          <w:i/>
          <w:iCs/>
          <w:sz w:val="24"/>
          <w:szCs w:val="24"/>
          <w:lang w:eastAsia="en-GB"/>
        </w:rPr>
        <w:t>Klebsiella</w:t>
      </w:r>
      <w:proofErr w:type="spellEnd"/>
      <w:r w:rsidRPr="00885291">
        <w:rPr>
          <w:rFonts w:eastAsia="Verdana"/>
          <w:i/>
          <w:iCs/>
          <w:sz w:val="24"/>
          <w:szCs w:val="24"/>
          <w:lang w:eastAsia="en-GB"/>
        </w:rPr>
        <w:t xml:space="preserve"> </w:t>
      </w:r>
      <w:proofErr w:type="spellStart"/>
      <w:r w:rsidRPr="00885291">
        <w:rPr>
          <w:rFonts w:eastAsia="Verdana"/>
          <w:i/>
          <w:iCs/>
          <w:sz w:val="24"/>
          <w:szCs w:val="24"/>
          <w:lang w:eastAsia="en-GB"/>
        </w:rPr>
        <w:t>pneumonia</w:t>
      </w:r>
      <w:proofErr w:type="spellEnd"/>
    </w:p>
    <w:p w:rsidR="00885291" w:rsidRPr="00E738E0" w:rsidRDefault="00885291" w:rsidP="00885291">
      <w:pPr>
        <w:ind w:left="851"/>
        <w:rPr>
          <w:rFonts w:eastAsia="Verdana"/>
          <w:i/>
          <w:sz w:val="24"/>
          <w:szCs w:val="24"/>
          <w:lang w:eastAsia="en-GB"/>
        </w:rPr>
      </w:pPr>
      <w:r w:rsidRPr="00E738E0">
        <w:rPr>
          <w:rFonts w:eastAsia="Verdana"/>
          <w:i/>
          <w:iCs/>
          <w:sz w:val="24"/>
          <w:szCs w:val="24"/>
          <w:lang w:eastAsia="en-GB"/>
        </w:rPr>
        <w:t xml:space="preserve">Proteus </w:t>
      </w:r>
      <w:proofErr w:type="spellStart"/>
      <w:r w:rsidRPr="00E738E0">
        <w:rPr>
          <w:rFonts w:eastAsia="Verdana"/>
          <w:i/>
          <w:iCs/>
          <w:sz w:val="24"/>
          <w:szCs w:val="24"/>
          <w:lang w:eastAsia="en-GB"/>
        </w:rPr>
        <w:t>mirabilis</w:t>
      </w:r>
      <w:proofErr w:type="spellEnd"/>
    </w:p>
    <w:p w:rsidR="00885291" w:rsidRPr="00E738E0" w:rsidRDefault="00885291" w:rsidP="00885291">
      <w:pPr>
        <w:ind w:left="851"/>
        <w:rPr>
          <w:rFonts w:eastAsia="Verdana"/>
          <w:i/>
          <w:sz w:val="24"/>
          <w:szCs w:val="24"/>
          <w:lang w:eastAsia="en-GB"/>
        </w:rPr>
      </w:pPr>
      <w:proofErr w:type="spellStart"/>
      <w:r w:rsidRPr="00E738E0">
        <w:rPr>
          <w:rFonts w:eastAsia="Verdana"/>
          <w:i/>
          <w:iCs/>
          <w:sz w:val="24"/>
          <w:szCs w:val="24"/>
          <w:lang w:eastAsia="en-GB"/>
        </w:rPr>
        <w:t>Pseudomonas</w:t>
      </w:r>
      <w:proofErr w:type="spellEnd"/>
      <w:r w:rsidRPr="00E738E0">
        <w:rPr>
          <w:rFonts w:eastAsia="Verdana"/>
          <w:i/>
          <w:iCs/>
          <w:sz w:val="24"/>
          <w:szCs w:val="24"/>
          <w:lang w:eastAsia="en-GB"/>
        </w:rPr>
        <w:t xml:space="preserve"> </w:t>
      </w:r>
      <w:proofErr w:type="spellStart"/>
      <w:r w:rsidRPr="00E738E0">
        <w:rPr>
          <w:rFonts w:eastAsia="Verdana"/>
          <w:i/>
          <w:iCs/>
          <w:sz w:val="24"/>
          <w:szCs w:val="24"/>
          <w:lang w:eastAsia="en-GB"/>
        </w:rPr>
        <w:t>aeruginosa</w:t>
      </w:r>
      <w:proofErr w:type="spellEnd"/>
    </w:p>
    <w:p w:rsidR="00885291" w:rsidRPr="00E738E0" w:rsidRDefault="00885291" w:rsidP="00885291">
      <w:pPr>
        <w:ind w:left="851"/>
        <w:rPr>
          <w:rFonts w:eastAsia="Verdana"/>
          <w:i/>
          <w:iCs/>
          <w:sz w:val="24"/>
          <w:szCs w:val="24"/>
          <w:lang w:eastAsia="en-GB"/>
        </w:rPr>
      </w:pPr>
      <w:proofErr w:type="spellStart"/>
      <w:r w:rsidRPr="00E738E0">
        <w:rPr>
          <w:rFonts w:eastAsia="Verdana"/>
          <w:i/>
          <w:iCs/>
          <w:sz w:val="24"/>
          <w:szCs w:val="24"/>
          <w:lang w:eastAsia="en-GB"/>
        </w:rPr>
        <w:t>Serratia</w:t>
      </w:r>
      <w:proofErr w:type="spellEnd"/>
      <w:r w:rsidRPr="00E738E0">
        <w:rPr>
          <w:rFonts w:eastAsia="Verdana"/>
          <w:i/>
          <w:iCs/>
          <w:sz w:val="24"/>
          <w:szCs w:val="24"/>
          <w:lang w:eastAsia="en-GB"/>
        </w:rPr>
        <w:t xml:space="preserve"> </w:t>
      </w:r>
      <w:proofErr w:type="spellStart"/>
      <w:r w:rsidRPr="00E738E0">
        <w:rPr>
          <w:rFonts w:eastAsia="Verdana"/>
          <w:i/>
          <w:iCs/>
          <w:sz w:val="24"/>
          <w:szCs w:val="24"/>
          <w:lang w:eastAsia="en-GB"/>
        </w:rPr>
        <w:t>marcescens</w:t>
      </w:r>
      <w:proofErr w:type="spellEnd"/>
    </w:p>
    <w:p w:rsidR="00885291" w:rsidRPr="00E738E0" w:rsidRDefault="00885291" w:rsidP="00885291">
      <w:pPr>
        <w:ind w:left="851"/>
        <w:rPr>
          <w:rFonts w:eastAsia="Verdana"/>
          <w:i/>
          <w:sz w:val="24"/>
          <w:szCs w:val="24"/>
          <w:lang w:eastAsia="en-GB"/>
        </w:rPr>
      </w:pPr>
    </w:p>
    <w:p w:rsidR="00885291" w:rsidRPr="00E738E0" w:rsidRDefault="00885291" w:rsidP="00885291">
      <w:pPr>
        <w:ind w:left="851"/>
        <w:rPr>
          <w:rFonts w:eastAsia="Verdana"/>
          <w:b/>
          <w:i/>
          <w:sz w:val="24"/>
          <w:szCs w:val="24"/>
          <w:lang w:eastAsia="en-GB"/>
        </w:rPr>
      </w:pPr>
      <w:r w:rsidRPr="00E738E0">
        <w:rPr>
          <w:rFonts w:eastAsia="Verdana"/>
          <w:b/>
          <w:bCs/>
          <w:i/>
          <w:iCs/>
          <w:sz w:val="24"/>
          <w:szCs w:val="24"/>
          <w:lang w:eastAsia="en-GB"/>
        </w:rPr>
        <w:t>Anaerobe grampositive mikroorganismer</w:t>
      </w:r>
    </w:p>
    <w:p w:rsidR="00885291" w:rsidRDefault="00885291" w:rsidP="00885291">
      <w:pPr>
        <w:ind w:left="851"/>
        <w:rPr>
          <w:rFonts w:eastAsia="Verdana"/>
          <w:i/>
          <w:iCs/>
          <w:sz w:val="24"/>
          <w:szCs w:val="24"/>
          <w:lang w:val="nb-NO" w:eastAsia="en-GB"/>
        </w:rPr>
      </w:pPr>
      <w:r w:rsidRPr="00885291">
        <w:rPr>
          <w:rFonts w:eastAsia="Verdana"/>
          <w:i/>
          <w:iCs/>
          <w:sz w:val="24"/>
          <w:szCs w:val="24"/>
          <w:lang w:val="nb-NO" w:eastAsia="en-GB"/>
        </w:rPr>
        <w:t xml:space="preserve">Clostridium </w:t>
      </w:r>
      <w:r w:rsidRPr="00885291">
        <w:rPr>
          <w:rFonts w:eastAsia="Verdana"/>
          <w:sz w:val="24"/>
          <w:szCs w:val="24"/>
          <w:lang w:val="nb-NO" w:eastAsia="en-GB"/>
        </w:rPr>
        <w:t>spp</w:t>
      </w:r>
      <w:r w:rsidRPr="00885291">
        <w:rPr>
          <w:rFonts w:eastAsia="Verdana"/>
          <w:i/>
          <w:iCs/>
          <w:sz w:val="24"/>
          <w:szCs w:val="24"/>
          <w:lang w:val="nb-NO" w:eastAsia="en-GB"/>
        </w:rPr>
        <w:t>.</w:t>
      </w:r>
    </w:p>
    <w:p w:rsidR="00885291" w:rsidRPr="00885291" w:rsidRDefault="00885291" w:rsidP="00885291">
      <w:pPr>
        <w:ind w:left="851"/>
        <w:rPr>
          <w:rFonts w:eastAsia="Verdana"/>
          <w:i/>
          <w:sz w:val="24"/>
          <w:szCs w:val="24"/>
          <w:lang w:val="nb-NO" w:eastAsia="en-GB"/>
        </w:rPr>
      </w:pPr>
    </w:p>
    <w:p w:rsidR="00885291" w:rsidRDefault="00885291" w:rsidP="00D57ED7">
      <w:pPr>
        <w:keepNext/>
        <w:ind w:left="851"/>
        <w:rPr>
          <w:rFonts w:eastAsia="Verdana"/>
          <w:b/>
          <w:bCs/>
          <w:sz w:val="24"/>
          <w:szCs w:val="24"/>
          <w:lang w:val="nb-NO" w:eastAsia="en-GB"/>
        </w:rPr>
      </w:pPr>
      <w:r w:rsidRPr="00885291">
        <w:rPr>
          <w:rFonts w:eastAsia="Verdana"/>
          <w:b/>
          <w:bCs/>
          <w:sz w:val="24"/>
          <w:szCs w:val="24"/>
          <w:lang w:val="nb-NO" w:eastAsia="en-GB"/>
        </w:rPr>
        <w:t>Arter med medfødt resistens</w:t>
      </w:r>
    </w:p>
    <w:p w:rsidR="00885291" w:rsidRPr="00885291" w:rsidRDefault="00885291" w:rsidP="00D57ED7">
      <w:pPr>
        <w:keepNext/>
        <w:ind w:left="851"/>
        <w:rPr>
          <w:rFonts w:eastAsia="Verdana"/>
          <w:b/>
          <w:sz w:val="24"/>
          <w:szCs w:val="24"/>
          <w:lang w:val="nb-NO" w:eastAsia="en-GB"/>
        </w:rPr>
      </w:pPr>
    </w:p>
    <w:p w:rsidR="00885291" w:rsidRPr="00885291" w:rsidRDefault="00885291" w:rsidP="00885291">
      <w:pPr>
        <w:ind w:left="851"/>
        <w:rPr>
          <w:rFonts w:eastAsia="Verdana"/>
          <w:b/>
          <w:i/>
          <w:sz w:val="24"/>
          <w:szCs w:val="24"/>
          <w:lang w:val="nb-NO" w:eastAsia="en-GB"/>
        </w:rPr>
      </w:pPr>
      <w:r w:rsidRPr="00885291">
        <w:rPr>
          <w:rFonts w:eastAsia="Verdana"/>
          <w:b/>
          <w:bCs/>
          <w:i/>
          <w:iCs/>
          <w:sz w:val="24"/>
          <w:szCs w:val="24"/>
          <w:lang w:val="nb-NO" w:eastAsia="en-GB"/>
        </w:rPr>
        <w:t>Aerobe grampositive mikroorganismer</w:t>
      </w:r>
    </w:p>
    <w:p w:rsidR="00885291" w:rsidRPr="00885291" w:rsidRDefault="00885291" w:rsidP="00885291">
      <w:pPr>
        <w:ind w:left="851"/>
        <w:rPr>
          <w:rFonts w:eastAsia="Verdana"/>
          <w:i/>
          <w:sz w:val="24"/>
          <w:szCs w:val="24"/>
          <w:lang w:val="nb-NO" w:eastAsia="en-GB"/>
        </w:rPr>
      </w:pPr>
      <w:r w:rsidRPr="00885291">
        <w:rPr>
          <w:rFonts w:eastAsia="Verdana"/>
          <w:i/>
          <w:iCs/>
          <w:sz w:val="24"/>
          <w:szCs w:val="24"/>
          <w:lang w:val="nb-NO" w:eastAsia="en-GB"/>
        </w:rPr>
        <w:t>Staphylococcus saprophyticus</w:t>
      </w:r>
    </w:p>
    <w:p w:rsidR="00885291" w:rsidRDefault="00885291" w:rsidP="00885291">
      <w:pPr>
        <w:ind w:left="851"/>
        <w:rPr>
          <w:rFonts w:eastAsia="Verdana"/>
          <w:i/>
          <w:iCs/>
          <w:sz w:val="24"/>
          <w:szCs w:val="24"/>
          <w:lang w:val="nb-NO" w:eastAsia="en-GB"/>
        </w:rPr>
      </w:pPr>
      <w:r w:rsidRPr="00885291">
        <w:rPr>
          <w:rFonts w:eastAsia="Verdana"/>
          <w:i/>
          <w:iCs/>
          <w:sz w:val="24"/>
          <w:szCs w:val="24"/>
          <w:lang w:val="nb-NO" w:eastAsia="en-GB"/>
        </w:rPr>
        <w:t>Streptococcus pyogenes</w:t>
      </w:r>
    </w:p>
    <w:p w:rsidR="00885291" w:rsidRPr="00885291" w:rsidRDefault="00885291" w:rsidP="00885291">
      <w:pPr>
        <w:ind w:left="851"/>
        <w:rPr>
          <w:rFonts w:eastAsia="Verdana"/>
          <w:i/>
          <w:sz w:val="24"/>
          <w:szCs w:val="24"/>
          <w:lang w:val="nb-NO" w:eastAsia="en-GB"/>
        </w:rPr>
      </w:pPr>
    </w:p>
    <w:p w:rsidR="00885291" w:rsidRPr="00885291" w:rsidRDefault="00885291" w:rsidP="00885291">
      <w:pPr>
        <w:ind w:left="851"/>
        <w:rPr>
          <w:rFonts w:eastAsia="Verdana"/>
          <w:b/>
          <w:i/>
          <w:sz w:val="24"/>
          <w:szCs w:val="24"/>
          <w:lang w:val="it-IT" w:eastAsia="en-GB"/>
        </w:rPr>
      </w:pPr>
      <w:r w:rsidRPr="00885291">
        <w:rPr>
          <w:rFonts w:eastAsia="Verdana"/>
          <w:b/>
          <w:bCs/>
          <w:i/>
          <w:iCs/>
          <w:sz w:val="24"/>
          <w:szCs w:val="24"/>
          <w:lang w:val="it-IT" w:eastAsia="en-GB"/>
        </w:rPr>
        <w:lastRenderedPageBreak/>
        <w:t>Aerobe gramnegative mikroorganismer</w:t>
      </w:r>
    </w:p>
    <w:p w:rsidR="00885291" w:rsidRPr="00885291" w:rsidRDefault="00885291" w:rsidP="00885291">
      <w:pPr>
        <w:ind w:left="851"/>
        <w:rPr>
          <w:rFonts w:eastAsia="Verdana"/>
          <w:i/>
          <w:sz w:val="24"/>
          <w:szCs w:val="24"/>
          <w:lang w:val="it-IT" w:eastAsia="en-GB"/>
        </w:rPr>
      </w:pPr>
      <w:r w:rsidRPr="00885291">
        <w:rPr>
          <w:rFonts w:eastAsia="Verdana"/>
          <w:i/>
          <w:iCs/>
          <w:sz w:val="24"/>
          <w:szCs w:val="24"/>
          <w:lang w:val="it-IT" w:eastAsia="en-GB"/>
        </w:rPr>
        <w:t>Legionella pneumophila</w:t>
      </w:r>
    </w:p>
    <w:p w:rsidR="00885291" w:rsidRPr="00885291" w:rsidRDefault="00885291" w:rsidP="00885291">
      <w:pPr>
        <w:ind w:left="851"/>
        <w:rPr>
          <w:rFonts w:eastAsia="Verdana"/>
          <w:i/>
          <w:sz w:val="24"/>
          <w:szCs w:val="24"/>
          <w:lang w:val="it-IT" w:eastAsia="en-GB"/>
        </w:rPr>
      </w:pPr>
      <w:r w:rsidRPr="00885291">
        <w:rPr>
          <w:rFonts w:eastAsia="Verdana"/>
          <w:i/>
          <w:iCs/>
          <w:sz w:val="24"/>
          <w:szCs w:val="24"/>
          <w:lang w:val="it-IT" w:eastAsia="en-GB"/>
        </w:rPr>
        <w:t>Morganella morganii</w:t>
      </w:r>
    </w:p>
    <w:p w:rsidR="00885291" w:rsidRDefault="00885291" w:rsidP="00885291">
      <w:pPr>
        <w:ind w:left="851"/>
        <w:rPr>
          <w:rFonts w:eastAsia="Verdana"/>
          <w:i/>
          <w:iCs/>
          <w:sz w:val="24"/>
          <w:szCs w:val="24"/>
          <w:lang w:val="it-IT" w:eastAsia="en-GB"/>
        </w:rPr>
      </w:pPr>
      <w:r w:rsidRPr="00885291">
        <w:rPr>
          <w:rFonts w:eastAsia="Verdana"/>
          <w:i/>
          <w:iCs/>
          <w:sz w:val="24"/>
          <w:szCs w:val="24"/>
          <w:lang w:val="it-IT" w:eastAsia="en-GB"/>
        </w:rPr>
        <w:t>Stenotrophomonas maltophilia</w:t>
      </w:r>
    </w:p>
    <w:p w:rsidR="00885291" w:rsidRPr="00885291" w:rsidRDefault="00885291" w:rsidP="00885291">
      <w:pPr>
        <w:ind w:left="851"/>
        <w:rPr>
          <w:rFonts w:eastAsia="Verdana"/>
          <w:i/>
          <w:sz w:val="24"/>
          <w:szCs w:val="24"/>
          <w:lang w:val="it-IT" w:eastAsia="en-GB"/>
        </w:rPr>
      </w:pPr>
    </w:p>
    <w:p w:rsidR="00885291" w:rsidRPr="00885291" w:rsidRDefault="00885291" w:rsidP="00885291">
      <w:pPr>
        <w:ind w:left="851"/>
        <w:rPr>
          <w:rFonts w:eastAsia="Verdana"/>
          <w:b/>
          <w:i/>
          <w:sz w:val="24"/>
          <w:szCs w:val="24"/>
          <w:lang w:val="it-IT" w:eastAsia="en-GB"/>
        </w:rPr>
      </w:pPr>
      <w:r w:rsidRPr="00885291">
        <w:rPr>
          <w:rFonts w:eastAsia="Verdana"/>
          <w:b/>
          <w:bCs/>
          <w:i/>
          <w:iCs/>
          <w:sz w:val="24"/>
          <w:szCs w:val="24"/>
          <w:lang w:val="it-IT" w:eastAsia="en-GB"/>
        </w:rPr>
        <w:t>Anaerobe gramnegative mikroorganismer</w:t>
      </w:r>
    </w:p>
    <w:p w:rsidR="00885291" w:rsidRDefault="00885291" w:rsidP="00885291">
      <w:pPr>
        <w:ind w:left="851"/>
        <w:rPr>
          <w:rFonts w:eastAsia="Verdana"/>
          <w:i/>
          <w:iCs/>
          <w:sz w:val="24"/>
          <w:szCs w:val="24"/>
          <w:lang w:val="it-IT" w:eastAsia="en-GB"/>
        </w:rPr>
      </w:pPr>
      <w:r w:rsidRPr="00885291">
        <w:rPr>
          <w:rFonts w:eastAsia="Verdana"/>
          <w:i/>
          <w:iCs/>
          <w:sz w:val="24"/>
          <w:szCs w:val="24"/>
          <w:lang w:val="it-IT" w:eastAsia="en-GB"/>
        </w:rPr>
        <w:t xml:space="preserve">Bacteroides </w:t>
      </w:r>
      <w:r w:rsidRPr="00885291">
        <w:rPr>
          <w:rFonts w:eastAsia="Verdana"/>
          <w:sz w:val="24"/>
          <w:szCs w:val="24"/>
          <w:lang w:val="it-IT" w:eastAsia="en-GB"/>
        </w:rPr>
        <w:t>spp</w:t>
      </w:r>
      <w:r w:rsidRPr="00885291">
        <w:rPr>
          <w:rFonts w:eastAsia="Verdana"/>
          <w:i/>
          <w:iCs/>
          <w:sz w:val="24"/>
          <w:szCs w:val="24"/>
          <w:lang w:val="it-IT" w:eastAsia="en-GB"/>
        </w:rPr>
        <w:t>.</w:t>
      </w:r>
    </w:p>
    <w:p w:rsidR="00885291" w:rsidRPr="00885291" w:rsidRDefault="00885291" w:rsidP="00885291">
      <w:pPr>
        <w:ind w:left="851"/>
        <w:rPr>
          <w:rFonts w:eastAsia="Verdana"/>
          <w:i/>
          <w:sz w:val="24"/>
          <w:szCs w:val="24"/>
          <w:lang w:val="it-IT" w:eastAsia="en-GB"/>
        </w:rPr>
      </w:pPr>
    </w:p>
    <w:p w:rsidR="00885291" w:rsidRPr="00885291" w:rsidRDefault="00885291" w:rsidP="00885291">
      <w:pPr>
        <w:ind w:left="851"/>
        <w:rPr>
          <w:rFonts w:eastAsia="Verdana"/>
          <w:b/>
          <w:sz w:val="24"/>
          <w:szCs w:val="24"/>
          <w:lang w:val="it-IT" w:eastAsia="en-GB"/>
        </w:rPr>
      </w:pPr>
      <w:r w:rsidRPr="00885291">
        <w:rPr>
          <w:rFonts w:eastAsia="Verdana"/>
          <w:b/>
          <w:bCs/>
          <w:sz w:val="24"/>
          <w:szCs w:val="24"/>
          <w:lang w:val="it-IT" w:eastAsia="en-GB"/>
        </w:rPr>
        <w:t>Andre mikroorganismer</w:t>
      </w:r>
    </w:p>
    <w:p w:rsidR="00885291" w:rsidRPr="00885291" w:rsidRDefault="00885291" w:rsidP="00885291">
      <w:pPr>
        <w:ind w:left="851"/>
        <w:rPr>
          <w:rFonts w:eastAsia="Verdana"/>
          <w:i/>
          <w:sz w:val="24"/>
          <w:szCs w:val="24"/>
          <w:lang w:val="it-IT" w:eastAsia="en-GB"/>
        </w:rPr>
      </w:pPr>
      <w:r w:rsidRPr="00885291">
        <w:rPr>
          <w:rFonts w:eastAsia="Verdana"/>
          <w:i/>
          <w:iCs/>
          <w:sz w:val="24"/>
          <w:szCs w:val="24"/>
          <w:lang w:val="it-IT" w:eastAsia="en-GB"/>
        </w:rPr>
        <w:t xml:space="preserve">Chlamydia </w:t>
      </w:r>
      <w:r w:rsidRPr="00885291">
        <w:rPr>
          <w:rFonts w:eastAsia="Verdana"/>
          <w:sz w:val="24"/>
          <w:szCs w:val="24"/>
          <w:lang w:val="it-IT" w:eastAsia="en-GB"/>
        </w:rPr>
        <w:t>spp</w:t>
      </w:r>
      <w:r w:rsidRPr="00885291">
        <w:rPr>
          <w:rFonts w:eastAsia="Verdana"/>
          <w:i/>
          <w:iCs/>
          <w:sz w:val="24"/>
          <w:szCs w:val="24"/>
          <w:lang w:val="it-IT" w:eastAsia="en-GB"/>
        </w:rPr>
        <w:t>.</w:t>
      </w:r>
    </w:p>
    <w:p w:rsidR="00885291" w:rsidRPr="00885291" w:rsidRDefault="00885291" w:rsidP="00885291">
      <w:pPr>
        <w:ind w:left="851"/>
        <w:rPr>
          <w:rFonts w:eastAsia="Verdana"/>
          <w:i/>
          <w:sz w:val="24"/>
          <w:szCs w:val="24"/>
          <w:lang w:val="it-IT" w:eastAsia="en-GB"/>
        </w:rPr>
      </w:pPr>
      <w:r w:rsidRPr="00885291">
        <w:rPr>
          <w:rFonts w:eastAsia="Verdana"/>
          <w:i/>
          <w:iCs/>
          <w:sz w:val="24"/>
          <w:szCs w:val="24"/>
          <w:lang w:val="it-IT" w:eastAsia="en-GB"/>
        </w:rPr>
        <w:t xml:space="preserve">Chlamydophila </w:t>
      </w:r>
      <w:r w:rsidRPr="00D57ED7">
        <w:rPr>
          <w:rFonts w:eastAsia="Verdana"/>
          <w:iCs/>
          <w:sz w:val="24"/>
          <w:szCs w:val="24"/>
          <w:lang w:val="it-IT" w:eastAsia="en-GB"/>
        </w:rPr>
        <w:t>spp</w:t>
      </w:r>
      <w:r w:rsidRPr="00885291">
        <w:rPr>
          <w:rFonts w:eastAsia="Verdana"/>
          <w:i/>
          <w:iCs/>
          <w:sz w:val="24"/>
          <w:szCs w:val="24"/>
          <w:lang w:val="it-IT" w:eastAsia="en-GB"/>
        </w:rPr>
        <w:t>.</w:t>
      </w:r>
    </w:p>
    <w:p w:rsidR="00885291" w:rsidRPr="00E738E0" w:rsidRDefault="00885291" w:rsidP="00885291">
      <w:pPr>
        <w:ind w:left="851"/>
        <w:rPr>
          <w:sz w:val="24"/>
          <w:szCs w:val="24"/>
          <w:lang w:val="it-IT" w:bidi="ar-QA"/>
        </w:rPr>
      </w:pPr>
      <w:r w:rsidRPr="00E738E0">
        <w:rPr>
          <w:rFonts w:eastAsia="SimSun"/>
          <w:i/>
          <w:iCs/>
          <w:sz w:val="24"/>
          <w:szCs w:val="24"/>
          <w:lang w:val="it-IT" w:eastAsia="zh-CN"/>
        </w:rPr>
        <w:t xml:space="preserve">Mycoplasma </w:t>
      </w:r>
      <w:r w:rsidRPr="00E738E0">
        <w:rPr>
          <w:rFonts w:eastAsia="SimSun"/>
          <w:sz w:val="24"/>
          <w:szCs w:val="24"/>
          <w:lang w:val="it-IT" w:eastAsia="zh-CN"/>
        </w:rPr>
        <w:t>spp</w:t>
      </w:r>
    </w:p>
    <w:p w:rsidR="00E22947" w:rsidRPr="00E738E0" w:rsidRDefault="00E22947" w:rsidP="00E22947">
      <w:pPr>
        <w:tabs>
          <w:tab w:val="left" w:pos="851"/>
        </w:tabs>
        <w:ind w:left="851"/>
        <w:rPr>
          <w:sz w:val="24"/>
          <w:szCs w:val="24"/>
          <w:lang w:val="it-IT"/>
        </w:rPr>
      </w:pPr>
    </w:p>
    <w:p w:rsidR="00E22947" w:rsidRPr="00C84483" w:rsidRDefault="00E22947" w:rsidP="00E2294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80455" w:rsidRPr="00080455" w:rsidRDefault="00080455" w:rsidP="00080455">
      <w:pPr>
        <w:ind w:left="851"/>
        <w:rPr>
          <w:rFonts w:eastAsia="Verdana"/>
          <w:sz w:val="24"/>
          <w:szCs w:val="24"/>
          <w:u w:val="single"/>
          <w:lang w:eastAsia="en-GB"/>
        </w:rPr>
      </w:pPr>
      <w:r w:rsidRPr="00080455">
        <w:rPr>
          <w:rFonts w:eastAsia="Verdana"/>
          <w:sz w:val="24"/>
          <w:szCs w:val="24"/>
          <w:u w:val="single"/>
          <w:lang w:eastAsia="en-GB"/>
        </w:rPr>
        <w:t xml:space="preserve">Absorption </w:t>
      </w:r>
    </w:p>
    <w:p w:rsidR="00080455" w:rsidRDefault="00080455" w:rsidP="00080455">
      <w:pPr>
        <w:ind w:left="851"/>
        <w:rPr>
          <w:rFonts w:eastAsia="Verdana"/>
          <w:sz w:val="24"/>
          <w:szCs w:val="24"/>
          <w:lang w:eastAsia="en-GB"/>
        </w:rPr>
      </w:pPr>
      <w:r w:rsidRPr="00080455">
        <w:rPr>
          <w:rFonts w:eastAsia="Verdana"/>
          <w:sz w:val="24"/>
          <w:szCs w:val="24"/>
          <w:lang w:eastAsia="en-GB"/>
        </w:rPr>
        <w:t xml:space="preserve">En enkelt intravenøs infusion af 4 g og 8 g </w:t>
      </w:r>
      <w:proofErr w:type="spellStart"/>
      <w:r w:rsidRPr="00080455">
        <w:rPr>
          <w:rFonts w:eastAsia="Verdana"/>
          <w:sz w:val="24"/>
          <w:szCs w:val="24"/>
          <w:lang w:eastAsia="en-GB"/>
        </w:rPr>
        <w:t>fosfomycin</w:t>
      </w:r>
      <w:proofErr w:type="spellEnd"/>
      <w:r w:rsidRPr="00080455">
        <w:rPr>
          <w:rFonts w:eastAsia="Verdana"/>
          <w:sz w:val="24"/>
          <w:szCs w:val="24"/>
          <w:lang w:eastAsia="en-GB"/>
        </w:rPr>
        <w:t xml:space="preserve"> hos unge raske mænd resulterede i maksimale serumkoncentrationer (</w:t>
      </w:r>
      <w:proofErr w:type="spellStart"/>
      <w:r w:rsidRPr="00080455">
        <w:rPr>
          <w:rFonts w:eastAsia="Verdana"/>
          <w:sz w:val="24"/>
          <w:szCs w:val="24"/>
          <w:lang w:eastAsia="en-GB"/>
        </w:rPr>
        <w:t>C</w:t>
      </w:r>
      <w:r w:rsidRPr="00080455">
        <w:rPr>
          <w:rFonts w:eastAsia="Verdana"/>
          <w:sz w:val="24"/>
          <w:szCs w:val="24"/>
          <w:vertAlign w:val="subscript"/>
          <w:lang w:eastAsia="en-GB"/>
        </w:rPr>
        <w:t>max</w:t>
      </w:r>
      <w:proofErr w:type="spellEnd"/>
      <w:r w:rsidRPr="00080455">
        <w:rPr>
          <w:rFonts w:eastAsia="Verdana"/>
          <w:sz w:val="24"/>
          <w:szCs w:val="24"/>
          <w:lang w:eastAsia="en-GB"/>
        </w:rPr>
        <w:t xml:space="preserve">) på hhv. ca. 200 og 400 </w:t>
      </w:r>
      <w:proofErr w:type="spellStart"/>
      <w:r w:rsidRPr="00080455">
        <w:rPr>
          <w:rFonts w:eastAsia="Verdana"/>
          <w:sz w:val="24"/>
          <w:szCs w:val="24"/>
          <w:lang w:eastAsia="en-GB"/>
        </w:rPr>
        <w:t>μg</w:t>
      </w:r>
      <w:proofErr w:type="spellEnd"/>
      <w:r w:rsidRPr="00080455">
        <w:rPr>
          <w:rFonts w:eastAsia="Verdana"/>
          <w:sz w:val="24"/>
          <w:szCs w:val="24"/>
          <w:lang w:eastAsia="en-GB"/>
        </w:rPr>
        <w:t xml:space="preserve">/ml. Halveringstiden i serum var cirka 2 timer. Hos ældre og/eller kritisk syge mandlige og kvindelige forsøgspersoner, resulterede enkelte intravenøse doser på 8 g </w:t>
      </w:r>
      <w:proofErr w:type="spellStart"/>
      <w:r w:rsidRPr="00080455">
        <w:rPr>
          <w:rFonts w:eastAsia="Verdana"/>
          <w:sz w:val="24"/>
          <w:szCs w:val="24"/>
          <w:lang w:eastAsia="en-GB"/>
        </w:rPr>
        <w:t>fosfomycin</w:t>
      </w:r>
      <w:proofErr w:type="spellEnd"/>
      <w:r w:rsidRPr="00080455">
        <w:rPr>
          <w:rFonts w:eastAsia="Verdana"/>
          <w:sz w:val="24"/>
          <w:szCs w:val="24"/>
          <w:lang w:eastAsia="en-GB"/>
        </w:rPr>
        <w:t xml:space="preserve"> i gennemsnitlige </w:t>
      </w:r>
      <w:proofErr w:type="spellStart"/>
      <w:r w:rsidRPr="00080455">
        <w:rPr>
          <w:rFonts w:eastAsia="Verdana"/>
          <w:sz w:val="24"/>
          <w:szCs w:val="24"/>
          <w:lang w:eastAsia="en-GB"/>
        </w:rPr>
        <w:t>C</w:t>
      </w:r>
      <w:r w:rsidRPr="00080455">
        <w:rPr>
          <w:rFonts w:eastAsia="Verdana"/>
          <w:sz w:val="24"/>
          <w:szCs w:val="24"/>
          <w:vertAlign w:val="subscript"/>
          <w:lang w:eastAsia="en-GB"/>
        </w:rPr>
        <w:t>max</w:t>
      </w:r>
      <w:proofErr w:type="spellEnd"/>
      <w:r w:rsidRPr="00080455">
        <w:rPr>
          <w:rFonts w:eastAsia="Verdana"/>
          <w:sz w:val="24"/>
          <w:szCs w:val="24"/>
          <w:lang w:eastAsia="en-GB"/>
        </w:rPr>
        <w:t xml:space="preserve"> og halveringstider i plasma på hhv. ca. 350-380 </w:t>
      </w:r>
      <w:proofErr w:type="spellStart"/>
      <w:r w:rsidRPr="00080455">
        <w:rPr>
          <w:rFonts w:eastAsia="Verdana"/>
          <w:sz w:val="24"/>
          <w:szCs w:val="24"/>
          <w:lang w:eastAsia="en-GB"/>
        </w:rPr>
        <w:t>μg</w:t>
      </w:r>
      <w:proofErr w:type="spellEnd"/>
      <w:r w:rsidRPr="00080455">
        <w:rPr>
          <w:rFonts w:eastAsia="Verdana"/>
          <w:sz w:val="24"/>
          <w:szCs w:val="24"/>
          <w:lang w:eastAsia="en-GB"/>
        </w:rPr>
        <w:t>/ml og 3,6-3,8 timer.</w:t>
      </w:r>
    </w:p>
    <w:p w:rsidR="00080455" w:rsidRPr="00080455" w:rsidRDefault="00080455" w:rsidP="00080455">
      <w:pPr>
        <w:ind w:left="851"/>
        <w:rPr>
          <w:rFonts w:eastAsia="Verdana"/>
          <w:sz w:val="24"/>
          <w:szCs w:val="24"/>
          <w:lang w:eastAsia="en-GB"/>
        </w:rPr>
      </w:pPr>
    </w:p>
    <w:p w:rsidR="00080455" w:rsidRPr="00080455" w:rsidRDefault="00080455" w:rsidP="00080455">
      <w:pPr>
        <w:ind w:left="851"/>
        <w:rPr>
          <w:rFonts w:eastAsia="Verdana"/>
          <w:i/>
          <w:sz w:val="24"/>
          <w:szCs w:val="24"/>
          <w:lang w:eastAsia="en-GB"/>
        </w:rPr>
      </w:pPr>
      <w:r w:rsidRPr="00080455">
        <w:rPr>
          <w:rFonts w:eastAsia="Verdana"/>
          <w:i/>
          <w:iCs/>
          <w:sz w:val="24"/>
          <w:szCs w:val="24"/>
          <w:lang w:eastAsia="en-GB"/>
        </w:rPr>
        <w:t>Fordeling</w:t>
      </w:r>
    </w:p>
    <w:p w:rsidR="00080455" w:rsidRDefault="00080455" w:rsidP="00080455">
      <w:pPr>
        <w:ind w:left="851"/>
        <w:rPr>
          <w:rFonts w:eastAsia="Verdana"/>
          <w:sz w:val="24"/>
          <w:szCs w:val="24"/>
          <w:lang w:eastAsia="en-GB"/>
        </w:rPr>
      </w:pPr>
      <w:r w:rsidRPr="00080455">
        <w:rPr>
          <w:rFonts w:eastAsia="Verdana"/>
          <w:sz w:val="24"/>
          <w:szCs w:val="24"/>
          <w:lang w:eastAsia="en-GB"/>
        </w:rPr>
        <w:t xml:space="preserve">Det tilsyneladende distributionsvolumen for </w:t>
      </w:r>
      <w:proofErr w:type="spellStart"/>
      <w:r w:rsidRPr="00080455">
        <w:rPr>
          <w:rFonts w:eastAsia="Verdana"/>
          <w:sz w:val="24"/>
          <w:szCs w:val="24"/>
          <w:lang w:eastAsia="en-GB"/>
        </w:rPr>
        <w:t>fosfomycin</w:t>
      </w:r>
      <w:proofErr w:type="spellEnd"/>
      <w:r w:rsidRPr="00080455">
        <w:rPr>
          <w:rFonts w:eastAsia="Verdana"/>
          <w:sz w:val="24"/>
          <w:szCs w:val="24"/>
          <w:lang w:eastAsia="en-GB"/>
        </w:rPr>
        <w:t xml:space="preserve"> er ca. 0,30 l/kg kropsvægt. </w:t>
      </w:r>
      <w:proofErr w:type="spellStart"/>
      <w:r w:rsidRPr="00080455">
        <w:rPr>
          <w:rFonts w:eastAsia="Verdana"/>
          <w:sz w:val="24"/>
          <w:szCs w:val="24"/>
          <w:lang w:eastAsia="en-GB"/>
        </w:rPr>
        <w:t>Fosfomycin</w:t>
      </w:r>
      <w:proofErr w:type="spellEnd"/>
      <w:r w:rsidRPr="00080455">
        <w:rPr>
          <w:rFonts w:eastAsia="Verdana"/>
          <w:sz w:val="24"/>
          <w:szCs w:val="24"/>
          <w:lang w:eastAsia="en-GB"/>
        </w:rPr>
        <w:t xml:space="preserve"> fordeles godt til væv. Høje koncentrationer opnås i øjne, knogler, sårsekreter, muskulatur, hud, underhud, lunger og galde. Hos patienter med betændt </w:t>
      </w:r>
      <w:proofErr w:type="spellStart"/>
      <w:r w:rsidRPr="00080455">
        <w:rPr>
          <w:rFonts w:eastAsia="Verdana"/>
          <w:sz w:val="24"/>
          <w:szCs w:val="24"/>
          <w:lang w:eastAsia="en-GB"/>
        </w:rPr>
        <w:t>meninges</w:t>
      </w:r>
      <w:proofErr w:type="spellEnd"/>
      <w:r w:rsidRPr="00080455">
        <w:rPr>
          <w:rFonts w:eastAsia="Verdana"/>
          <w:sz w:val="24"/>
          <w:szCs w:val="24"/>
          <w:lang w:eastAsia="en-GB"/>
        </w:rPr>
        <w:t xml:space="preserve">, når koncentrationen i cerebrospinalvæske ca. 20-50 % af de tilsvarende serumniveauer. </w:t>
      </w:r>
      <w:proofErr w:type="spellStart"/>
      <w:r w:rsidRPr="00080455">
        <w:rPr>
          <w:rFonts w:eastAsia="Verdana"/>
          <w:sz w:val="24"/>
          <w:szCs w:val="24"/>
          <w:lang w:eastAsia="en-GB"/>
        </w:rPr>
        <w:t>Fosfomycin</w:t>
      </w:r>
      <w:proofErr w:type="spellEnd"/>
      <w:r w:rsidRPr="00080455">
        <w:rPr>
          <w:rFonts w:eastAsia="Verdana"/>
          <w:sz w:val="24"/>
          <w:szCs w:val="24"/>
          <w:lang w:eastAsia="en-GB"/>
        </w:rPr>
        <w:t xml:space="preserve"> krydser placentabarrieren. Små mængder blev fundet i human mælk (ca. 8 % af serumkoncentrationerne). Plasmaproteinbindingen er ubetydelig.</w:t>
      </w:r>
    </w:p>
    <w:p w:rsidR="00080455" w:rsidRPr="00080455" w:rsidRDefault="00080455" w:rsidP="00080455">
      <w:pPr>
        <w:ind w:left="851"/>
        <w:rPr>
          <w:rFonts w:eastAsia="Verdana"/>
          <w:sz w:val="24"/>
          <w:szCs w:val="24"/>
          <w:lang w:eastAsia="en-GB"/>
        </w:rPr>
      </w:pPr>
    </w:p>
    <w:p w:rsidR="00080455" w:rsidRPr="00080455" w:rsidRDefault="00080455" w:rsidP="00080455">
      <w:pPr>
        <w:ind w:left="851"/>
        <w:rPr>
          <w:rFonts w:eastAsia="Verdana"/>
          <w:i/>
          <w:sz w:val="24"/>
          <w:szCs w:val="24"/>
          <w:lang w:eastAsia="en-GB"/>
        </w:rPr>
      </w:pPr>
      <w:r w:rsidRPr="00080455">
        <w:rPr>
          <w:rFonts w:eastAsia="Verdana"/>
          <w:i/>
          <w:iCs/>
          <w:sz w:val="24"/>
          <w:szCs w:val="24"/>
          <w:lang w:eastAsia="en-GB"/>
        </w:rPr>
        <w:t>Metabolisme</w:t>
      </w:r>
    </w:p>
    <w:p w:rsidR="00080455" w:rsidRDefault="00080455" w:rsidP="00080455">
      <w:pPr>
        <w:ind w:left="851"/>
        <w:rPr>
          <w:rFonts w:eastAsia="Verdana"/>
          <w:sz w:val="24"/>
          <w:szCs w:val="24"/>
          <w:lang w:eastAsia="en-GB"/>
        </w:rPr>
      </w:pPr>
      <w:proofErr w:type="spellStart"/>
      <w:r w:rsidRPr="00080455">
        <w:rPr>
          <w:rFonts w:eastAsia="Verdana"/>
          <w:sz w:val="24"/>
          <w:szCs w:val="24"/>
          <w:lang w:eastAsia="en-GB"/>
        </w:rPr>
        <w:t>Fosfomycin</w:t>
      </w:r>
      <w:proofErr w:type="spellEnd"/>
      <w:r w:rsidRPr="00080455">
        <w:rPr>
          <w:rFonts w:eastAsia="Verdana"/>
          <w:sz w:val="24"/>
          <w:szCs w:val="24"/>
          <w:lang w:eastAsia="en-GB"/>
        </w:rPr>
        <w:t xml:space="preserve"> </w:t>
      </w:r>
      <w:proofErr w:type="spellStart"/>
      <w:r w:rsidRPr="00080455">
        <w:rPr>
          <w:rFonts w:eastAsia="Verdana"/>
          <w:sz w:val="24"/>
          <w:szCs w:val="24"/>
          <w:lang w:eastAsia="en-GB"/>
        </w:rPr>
        <w:t>metaboliseres</w:t>
      </w:r>
      <w:proofErr w:type="spellEnd"/>
      <w:r w:rsidRPr="00080455">
        <w:rPr>
          <w:rFonts w:eastAsia="Verdana"/>
          <w:sz w:val="24"/>
          <w:szCs w:val="24"/>
          <w:lang w:eastAsia="en-GB"/>
        </w:rPr>
        <w:t xml:space="preserve"> ikke af leveren og gennemgår ikke </w:t>
      </w:r>
      <w:proofErr w:type="spellStart"/>
      <w:r w:rsidRPr="00080455">
        <w:rPr>
          <w:rFonts w:eastAsia="Verdana"/>
          <w:sz w:val="24"/>
          <w:szCs w:val="24"/>
          <w:lang w:eastAsia="en-GB"/>
        </w:rPr>
        <w:t>enterohepatisk</w:t>
      </w:r>
      <w:proofErr w:type="spellEnd"/>
      <w:r w:rsidRPr="00080455">
        <w:rPr>
          <w:rFonts w:eastAsia="Verdana"/>
          <w:sz w:val="24"/>
          <w:szCs w:val="24"/>
          <w:lang w:eastAsia="en-GB"/>
        </w:rPr>
        <w:t xml:space="preserve"> cirkulation. Der forventes derfor ikke akkumulering hos patienter med nedsat leverfunktion.</w:t>
      </w:r>
    </w:p>
    <w:p w:rsidR="00080455" w:rsidRPr="00080455" w:rsidRDefault="00080455" w:rsidP="00080455">
      <w:pPr>
        <w:ind w:left="851"/>
        <w:rPr>
          <w:rFonts w:eastAsia="Verdana"/>
          <w:sz w:val="24"/>
          <w:szCs w:val="24"/>
          <w:lang w:eastAsia="en-GB"/>
        </w:rPr>
      </w:pPr>
    </w:p>
    <w:p w:rsidR="00080455" w:rsidRPr="00080455" w:rsidRDefault="00080455" w:rsidP="00080455">
      <w:pPr>
        <w:ind w:left="851"/>
        <w:rPr>
          <w:rFonts w:eastAsia="Verdana"/>
          <w:i/>
          <w:sz w:val="24"/>
          <w:szCs w:val="24"/>
          <w:lang w:eastAsia="en-GB"/>
        </w:rPr>
      </w:pPr>
      <w:r w:rsidRPr="00080455">
        <w:rPr>
          <w:rFonts w:eastAsia="Verdana"/>
          <w:i/>
          <w:iCs/>
          <w:sz w:val="24"/>
          <w:szCs w:val="24"/>
          <w:lang w:eastAsia="en-GB"/>
        </w:rPr>
        <w:t>Elimination</w:t>
      </w:r>
    </w:p>
    <w:p w:rsidR="00080455" w:rsidRDefault="00080455" w:rsidP="00080455">
      <w:pPr>
        <w:ind w:left="851"/>
        <w:rPr>
          <w:rFonts w:eastAsia="Verdana"/>
          <w:sz w:val="24"/>
          <w:szCs w:val="24"/>
          <w:lang w:eastAsia="en-GB"/>
        </w:rPr>
      </w:pPr>
      <w:r w:rsidRPr="00080455">
        <w:rPr>
          <w:rFonts w:eastAsia="Verdana"/>
          <w:sz w:val="24"/>
          <w:szCs w:val="24"/>
          <w:lang w:eastAsia="en-GB"/>
        </w:rPr>
        <w:t xml:space="preserve">80-90 % af mængden af </w:t>
      </w:r>
      <w:proofErr w:type="spellStart"/>
      <w:r w:rsidRPr="00080455">
        <w:rPr>
          <w:rFonts w:eastAsia="Verdana"/>
          <w:sz w:val="24"/>
          <w:szCs w:val="24"/>
          <w:lang w:eastAsia="en-GB"/>
        </w:rPr>
        <w:t>fosfomycin</w:t>
      </w:r>
      <w:proofErr w:type="spellEnd"/>
      <w:r w:rsidRPr="00080455">
        <w:rPr>
          <w:rFonts w:eastAsia="Verdana"/>
          <w:sz w:val="24"/>
          <w:szCs w:val="24"/>
          <w:lang w:eastAsia="en-GB"/>
        </w:rPr>
        <w:t xml:space="preserve"> administreret til raske voksne elimineres via nyrerne inden for 12 timer efter en enkelt intravenøs administration. En lille del af antibiotikummet kan dog findes i fæces (0,075 %). </w:t>
      </w:r>
      <w:proofErr w:type="spellStart"/>
      <w:r w:rsidRPr="00080455">
        <w:rPr>
          <w:rFonts w:eastAsia="Verdana"/>
          <w:sz w:val="24"/>
          <w:szCs w:val="24"/>
          <w:lang w:eastAsia="en-GB"/>
        </w:rPr>
        <w:t>Fosfomycin</w:t>
      </w:r>
      <w:proofErr w:type="spellEnd"/>
      <w:r w:rsidRPr="00080455">
        <w:rPr>
          <w:rFonts w:eastAsia="Verdana"/>
          <w:sz w:val="24"/>
          <w:szCs w:val="24"/>
          <w:lang w:eastAsia="en-GB"/>
        </w:rPr>
        <w:t xml:space="preserve"> </w:t>
      </w:r>
      <w:proofErr w:type="spellStart"/>
      <w:r w:rsidRPr="00080455">
        <w:rPr>
          <w:rFonts w:eastAsia="Verdana"/>
          <w:sz w:val="24"/>
          <w:szCs w:val="24"/>
          <w:lang w:eastAsia="en-GB"/>
        </w:rPr>
        <w:t>metaboliseres</w:t>
      </w:r>
      <w:proofErr w:type="spellEnd"/>
      <w:r w:rsidRPr="00080455">
        <w:rPr>
          <w:rFonts w:eastAsia="Verdana"/>
          <w:sz w:val="24"/>
          <w:szCs w:val="24"/>
          <w:lang w:eastAsia="en-GB"/>
        </w:rPr>
        <w:t xml:space="preserve"> ikke, dvs. det biologisk aktive stof elimineres. Hos patienter med normal eller let til moderat nedsat nyrefunktion (</w:t>
      </w:r>
      <w:proofErr w:type="spellStart"/>
      <w:r w:rsidRPr="00080455">
        <w:rPr>
          <w:rFonts w:eastAsia="Verdana"/>
          <w:sz w:val="24"/>
          <w:szCs w:val="24"/>
          <w:lang w:eastAsia="en-GB"/>
        </w:rPr>
        <w:t>kreatininclearance</w:t>
      </w:r>
      <w:proofErr w:type="spellEnd"/>
      <w:r w:rsidRPr="00080455">
        <w:rPr>
          <w:rFonts w:eastAsia="Verdana"/>
          <w:sz w:val="24"/>
          <w:szCs w:val="24"/>
          <w:lang w:eastAsia="en-GB"/>
        </w:rPr>
        <w:t xml:space="preserve"> ≥ 40 ml/min) udskilles ca. 50</w:t>
      </w:r>
      <w:r w:rsidRPr="00080455">
        <w:rPr>
          <w:rFonts w:eastAsia="Verdana"/>
          <w:sz w:val="24"/>
          <w:szCs w:val="24"/>
          <w:lang w:eastAsia="en-GB"/>
        </w:rPr>
        <w:noBreakHyphen/>
        <w:t>60 % af den samlede dosis inden for de første 3-4 timer.</w:t>
      </w:r>
    </w:p>
    <w:p w:rsidR="00080455" w:rsidRPr="00080455" w:rsidRDefault="00080455" w:rsidP="00080455">
      <w:pPr>
        <w:ind w:left="851"/>
        <w:rPr>
          <w:rFonts w:eastAsia="Verdana"/>
          <w:sz w:val="24"/>
          <w:szCs w:val="24"/>
          <w:lang w:eastAsia="en-GB"/>
        </w:rPr>
      </w:pPr>
    </w:p>
    <w:p w:rsidR="00080455" w:rsidRPr="00080455" w:rsidRDefault="00080455" w:rsidP="00080455">
      <w:pPr>
        <w:ind w:left="851"/>
        <w:rPr>
          <w:rFonts w:eastAsia="Verdana"/>
          <w:i/>
          <w:sz w:val="24"/>
          <w:szCs w:val="24"/>
          <w:lang w:eastAsia="en-GB"/>
        </w:rPr>
      </w:pPr>
      <w:r w:rsidRPr="00080455">
        <w:rPr>
          <w:rFonts w:eastAsia="Verdana"/>
          <w:i/>
          <w:iCs/>
          <w:sz w:val="24"/>
          <w:szCs w:val="24"/>
          <w:lang w:eastAsia="en-GB"/>
        </w:rPr>
        <w:t>Linearitet</w:t>
      </w:r>
    </w:p>
    <w:p w:rsidR="00080455" w:rsidRDefault="00080455" w:rsidP="00080455">
      <w:pPr>
        <w:ind w:left="851"/>
        <w:rPr>
          <w:rFonts w:eastAsia="Verdana"/>
          <w:sz w:val="24"/>
          <w:szCs w:val="24"/>
          <w:lang w:eastAsia="en-GB"/>
        </w:rPr>
      </w:pPr>
      <w:proofErr w:type="spellStart"/>
      <w:r w:rsidRPr="00080455">
        <w:rPr>
          <w:rFonts w:eastAsia="Verdana"/>
          <w:sz w:val="24"/>
          <w:szCs w:val="24"/>
          <w:lang w:eastAsia="en-GB"/>
        </w:rPr>
        <w:t>Fosfomycin</w:t>
      </w:r>
      <w:proofErr w:type="spellEnd"/>
      <w:r w:rsidRPr="00080455">
        <w:rPr>
          <w:rFonts w:eastAsia="Verdana"/>
          <w:sz w:val="24"/>
          <w:szCs w:val="24"/>
          <w:lang w:eastAsia="en-GB"/>
        </w:rPr>
        <w:t xml:space="preserve"> udviser lineære </w:t>
      </w:r>
      <w:proofErr w:type="spellStart"/>
      <w:r w:rsidRPr="00080455">
        <w:rPr>
          <w:rFonts w:eastAsia="Verdana"/>
          <w:sz w:val="24"/>
          <w:szCs w:val="24"/>
          <w:lang w:eastAsia="en-GB"/>
        </w:rPr>
        <w:t>farmakokinetiske</w:t>
      </w:r>
      <w:proofErr w:type="spellEnd"/>
      <w:r w:rsidRPr="00080455">
        <w:rPr>
          <w:rFonts w:eastAsia="Verdana"/>
          <w:sz w:val="24"/>
          <w:szCs w:val="24"/>
          <w:lang w:eastAsia="en-GB"/>
        </w:rPr>
        <w:t xml:space="preserve"> egenskaber efter intravenøs infusion af terapeutisk anvendte doser.</w:t>
      </w:r>
    </w:p>
    <w:p w:rsidR="00080455" w:rsidRPr="00080455" w:rsidRDefault="00080455" w:rsidP="00080455">
      <w:pPr>
        <w:ind w:left="851"/>
        <w:rPr>
          <w:rFonts w:eastAsia="Verdana"/>
          <w:sz w:val="24"/>
          <w:szCs w:val="24"/>
          <w:lang w:eastAsia="en-GB"/>
        </w:rPr>
      </w:pPr>
    </w:p>
    <w:p w:rsidR="00080455" w:rsidRPr="00080455" w:rsidRDefault="00080455" w:rsidP="00080455">
      <w:pPr>
        <w:ind w:left="851"/>
        <w:rPr>
          <w:rFonts w:eastAsia="Verdana"/>
          <w:i/>
          <w:sz w:val="24"/>
          <w:szCs w:val="24"/>
          <w:lang w:eastAsia="en-GB"/>
        </w:rPr>
      </w:pPr>
      <w:r w:rsidRPr="00080455">
        <w:rPr>
          <w:rFonts w:eastAsia="Verdana"/>
          <w:i/>
          <w:iCs/>
          <w:sz w:val="24"/>
          <w:szCs w:val="24"/>
          <w:lang w:eastAsia="en-GB"/>
        </w:rPr>
        <w:t>Særlige populationer</w:t>
      </w:r>
    </w:p>
    <w:p w:rsidR="00080455" w:rsidRDefault="00080455" w:rsidP="00080455">
      <w:pPr>
        <w:ind w:left="851"/>
        <w:rPr>
          <w:rFonts w:eastAsia="Verdana"/>
          <w:sz w:val="24"/>
          <w:szCs w:val="24"/>
          <w:lang w:eastAsia="en-GB"/>
        </w:rPr>
      </w:pPr>
      <w:r w:rsidRPr="00080455">
        <w:rPr>
          <w:rFonts w:eastAsia="Verdana"/>
          <w:sz w:val="24"/>
          <w:szCs w:val="24"/>
          <w:lang w:eastAsia="en-GB"/>
        </w:rPr>
        <w:t>Der er meget begrænsede data tilgængelige for særlige populationer.</w:t>
      </w:r>
    </w:p>
    <w:p w:rsidR="00080455" w:rsidRPr="00080455" w:rsidRDefault="00080455" w:rsidP="00080455">
      <w:pPr>
        <w:ind w:left="851"/>
        <w:rPr>
          <w:rFonts w:eastAsia="Verdana"/>
          <w:sz w:val="24"/>
          <w:szCs w:val="24"/>
          <w:lang w:eastAsia="en-GB"/>
        </w:rPr>
      </w:pPr>
    </w:p>
    <w:p w:rsidR="00080455" w:rsidRPr="00080455" w:rsidRDefault="00080455" w:rsidP="00080455">
      <w:pPr>
        <w:ind w:left="851"/>
        <w:rPr>
          <w:rFonts w:eastAsia="Verdana"/>
          <w:i/>
          <w:sz w:val="24"/>
          <w:szCs w:val="24"/>
          <w:lang w:eastAsia="en-GB"/>
        </w:rPr>
      </w:pPr>
      <w:r w:rsidRPr="00080455">
        <w:rPr>
          <w:rFonts w:eastAsia="Verdana"/>
          <w:i/>
          <w:iCs/>
          <w:sz w:val="24"/>
          <w:szCs w:val="24"/>
          <w:lang w:eastAsia="en-GB"/>
        </w:rPr>
        <w:t>Ældre</w:t>
      </w:r>
    </w:p>
    <w:p w:rsidR="00080455" w:rsidRDefault="00080455" w:rsidP="00080455">
      <w:pPr>
        <w:ind w:left="851"/>
        <w:rPr>
          <w:rFonts w:eastAsia="Verdana"/>
          <w:sz w:val="24"/>
          <w:szCs w:val="24"/>
          <w:lang w:eastAsia="en-GB"/>
        </w:rPr>
      </w:pPr>
      <w:r w:rsidRPr="00080455">
        <w:rPr>
          <w:rFonts w:eastAsia="Verdana"/>
          <w:sz w:val="24"/>
          <w:szCs w:val="24"/>
          <w:lang w:eastAsia="en-GB"/>
        </w:rPr>
        <w:t>Dosisjustering er ikke nødvendig udelukkende baseret på alder. Nyrefunktionen skal dog vurderes, og dosen reduceres, hvis der er tegn på nedsat nyrefunktion (se pkt. 4.2).</w:t>
      </w:r>
    </w:p>
    <w:p w:rsidR="00080455" w:rsidRPr="00080455" w:rsidRDefault="00080455" w:rsidP="00080455">
      <w:pPr>
        <w:ind w:left="851"/>
        <w:rPr>
          <w:rFonts w:eastAsia="Verdana"/>
          <w:sz w:val="24"/>
          <w:szCs w:val="24"/>
          <w:lang w:eastAsia="en-GB"/>
        </w:rPr>
      </w:pPr>
    </w:p>
    <w:p w:rsidR="00080455" w:rsidRPr="00080455" w:rsidRDefault="00080455" w:rsidP="00080455">
      <w:pPr>
        <w:ind w:left="851"/>
        <w:rPr>
          <w:rFonts w:eastAsia="Verdana"/>
          <w:i/>
          <w:sz w:val="24"/>
          <w:szCs w:val="24"/>
          <w:lang w:eastAsia="en-GB"/>
        </w:rPr>
      </w:pPr>
      <w:r w:rsidRPr="00080455">
        <w:rPr>
          <w:rFonts w:eastAsia="Verdana"/>
          <w:i/>
          <w:iCs/>
          <w:sz w:val="24"/>
          <w:szCs w:val="24"/>
          <w:lang w:eastAsia="en-GB"/>
        </w:rPr>
        <w:t>Pædiatrisk population</w:t>
      </w:r>
    </w:p>
    <w:p w:rsidR="00080455" w:rsidRDefault="00080455" w:rsidP="00080455">
      <w:pPr>
        <w:ind w:left="851"/>
        <w:rPr>
          <w:rFonts w:eastAsia="Verdana"/>
          <w:sz w:val="24"/>
          <w:szCs w:val="24"/>
          <w:lang w:eastAsia="en-GB"/>
        </w:rPr>
      </w:pPr>
      <w:proofErr w:type="spellStart"/>
      <w:r w:rsidRPr="00080455">
        <w:rPr>
          <w:rFonts w:eastAsia="Verdana"/>
          <w:sz w:val="24"/>
          <w:szCs w:val="24"/>
          <w:lang w:eastAsia="en-GB"/>
        </w:rPr>
        <w:t>Fosfomycins</w:t>
      </w:r>
      <w:proofErr w:type="spellEnd"/>
      <w:r w:rsidRPr="00080455">
        <w:rPr>
          <w:rFonts w:eastAsia="Verdana"/>
          <w:sz w:val="24"/>
          <w:szCs w:val="24"/>
          <w:lang w:eastAsia="en-GB"/>
        </w:rPr>
        <w:t xml:space="preserve"> farmakokinetik hos børn og unge i alderen 3-15 år samt hos fuldbårne nyfødte med normal nyrefunktion er generelt den samme som for raske, voksne forsøgspersoner. Hos nyfødte og spædbørn op til 12 måneder med raske nyrer er den </w:t>
      </w:r>
      <w:proofErr w:type="spellStart"/>
      <w:r w:rsidRPr="00080455">
        <w:rPr>
          <w:rFonts w:eastAsia="Verdana"/>
          <w:sz w:val="24"/>
          <w:szCs w:val="24"/>
          <w:lang w:eastAsia="en-GB"/>
        </w:rPr>
        <w:t>glomerulære</w:t>
      </w:r>
      <w:proofErr w:type="spellEnd"/>
      <w:r w:rsidRPr="00080455">
        <w:rPr>
          <w:rFonts w:eastAsia="Verdana"/>
          <w:sz w:val="24"/>
          <w:szCs w:val="24"/>
          <w:lang w:eastAsia="en-GB"/>
        </w:rPr>
        <w:t xml:space="preserve"> filtrationshastighed imidlertid fysiologisk nedsat i forhold til hos ældre børn og voksne. Dette er forbundet med en forlængelse af eliminationshalveringstiden for </w:t>
      </w:r>
      <w:proofErr w:type="spellStart"/>
      <w:r w:rsidRPr="00080455">
        <w:rPr>
          <w:rFonts w:eastAsia="Verdana"/>
          <w:sz w:val="24"/>
          <w:szCs w:val="24"/>
          <w:lang w:eastAsia="en-GB"/>
        </w:rPr>
        <w:t>fosfomycin</w:t>
      </w:r>
      <w:proofErr w:type="spellEnd"/>
      <w:r w:rsidRPr="00080455">
        <w:rPr>
          <w:rFonts w:eastAsia="Verdana"/>
          <w:sz w:val="24"/>
          <w:szCs w:val="24"/>
          <w:lang w:eastAsia="en-GB"/>
        </w:rPr>
        <w:t>, som er afhængig af nyrernes modningsstadie.</w:t>
      </w:r>
    </w:p>
    <w:p w:rsidR="00080455" w:rsidRPr="00080455" w:rsidRDefault="00080455" w:rsidP="00080455">
      <w:pPr>
        <w:ind w:left="851"/>
        <w:rPr>
          <w:rFonts w:eastAsia="Verdana"/>
          <w:sz w:val="24"/>
          <w:szCs w:val="24"/>
          <w:lang w:eastAsia="en-GB"/>
        </w:rPr>
      </w:pPr>
    </w:p>
    <w:p w:rsidR="00080455" w:rsidRPr="00080455" w:rsidRDefault="00080455" w:rsidP="00080455">
      <w:pPr>
        <w:ind w:left="851"/>
        <w:rPr>
          <w:rFonts w:eastAsia="Verdana"/>
          <w:i/>
          <w:sz w:val="24"/>
          <w:szCs w:val="24"/>
          <w:lang w:eastAsia="en-GB"/>
        </w:rPr>
      </w:pPr>
      <w:r w:rsidRPr="00080455">
        <w:rPr>
          <w:rFonts w:eastAsia="Verdana"/>
          <w:i/>
          <w:iCs/>
          <w:sz w:val="24"/>
          <w:szCs w:val="24"/>
          <w:lang w:eastAsia="en-GB"/>
        </w:rPr>
        <w:t>Nyreinsufficiens</w:t>
      </w:r>
    </w:p>
    <w:p w:rsidR="00080455" w:rsidRDefault="00080455" w:rsidP="00080455">
      <w:pPr>
        <w:ind w:left="851"/>
        <w:rPr>
          <w:rFonts w:eastAsia="Verdana"/>
          <w:sz w:val="24"/>
          <w:szCs w:val="24"/>
          <w:lang w:eastAsia="en-GB"/>
        </w:rPr>
      </w:pPr>
      <w:r w:rsidRPr="00080455">
        <w:rPr>
          <w:rFonts w:eastAsia="Verdana"/>
          <w:sz w:val="24"/>
          <w:szCs w:val="24"/>
          <w:lang w:eastAsia="en-GB"/>
        </w:rPr>
        <w:t xml:space="preserve">Hos patienter med nedsat nyrefunktion er eliminationshalveringstiden forøget proportionalt i forhold til graden af nyreinsufficiens. Patienter med </w:t>
      </w:r>
      <w:proofErr w:type="spellStart"/>
      <w:r w:rsidRPr="00080455">
        <w:rPr>
          <w:rFonts w:eastAsia="Verdana"/>
          <w:sz w:val="24"/>
          <w:szCs w:val="24"/>
          <w:lang w:eastAsia="en-GB"/>
        </w:rPr>
        <w:t>kreatininclearance</w:t>
      </w:r>
      <w:proofErr w:type="spellEnd"/>
      <w:r w:rsidRPr="00080455">
        <w:rPr>
          <w:rFonts w:eastAsia="Verdana"/>
          <w:sz w:val="24"/>
          <w:szCs w:val="24"/>
          <w:lang w:eastAsia="en-GB"/>
        </w:rPr>
        <w:t>-værdier på 40 ml/min eller derunder kræver dosisjustering (se også pkt. 4.2. "Nedsat nyrefunktion" for yderligere detaljer).</w:t>
      </w:r>
    </w:p>
    <w:p w:rsidR="00080455" w:rsidRPr="00080455" w:rsidRDefault="00080455" w:rsidP="00080455">
      <w:pPr>
        <w:ind w:left="851"/>
        <w:rPr>
          <w:rFonts w:eastAsia="Verdana"/>
          <w:sz w:val="24"/>
          <w:szCs w:val="24"/>
          <w:lang w:eastAsia="en-GB"/>
        </w:rPr>
      </w:pPr>
    </w:p>
    <w:p w:rsidR="00080455" w:rsidRDefault="00080455" w:rsidP="00080455">
      <w:pPr>
        <w:ind w:left="851"/>
        <w:rPr>
          <w:rFonts w:eastAsia="Verdana"/>
          <w:sz w:val="24"/>
          <w:szCs w:val="24"/>
          <w:lang w:eastAsia="en-GB"/>
        </w:rPr>
      </w:pPr>
      <w:r w:rsidRPr="00080455">
        <w:rPr>
          <w:rFonts w:eastAsia="Verdana"/>
          <w:sz w:val="24"/>
          <w:szCs w:val="24"/>
          <w:lang w:eastAsia="en-GB"/>
        </w:rPr>
        <w:t xml:space="preserve">I et studie med 12 patienter, som blev behandlet med CVVHF, blev der anvendt sædvanlige </w:t>
      </w:r>
      <w:proofErr w:type="spellStart"/>
      <w:r w:rsidRPr="00080455">
        <w:rPr>
          <w:rFonts w:eastAsia="Verdana"/>
          <w:sz w:val="24"/>
          <w:szCs w:val="24"/>
          <w:lang w:eastAsia="en-GB"/>
        </w:rPr>
        <w:t>polyetylensulfon</w:t>
      </w:r>
      <w:proofErr w:type="spellEnd"/>
      <w:r w:rsidRPr="00080455">
        <w:rPr>
          <w:rFonts w:eastAsia="Verdana"/>
          <w:sz w:val="24"/>
          <w:szCs w:val="24"/>
          <w:lang w:eastAsia="en-GB"/>
        </w:rPr>
        <w:t xml:space="preserve"> hæmofiltre med en membranoverflade på 1,2 m</w:t>
      </w:r>
      <w:r w:rsidRPr="00080455">
        <w:rPr>
          <w:rFonts w:eastAsia="Verdana"/>
          <w:sz w:val="24"/>
          <w:szCs w:val="24"/>
          <w:vertAlign w:val="superscript"/>
          <w:lang w:eastAsia="en-GB"/>
        </w:rPr>
        <w:t>2</w:t>
      </w:r>
      <w:r w:rsidRPr="00080455">
        <w:rPr>
          <w:rFonts w:eastAsia="Verdana"/>
          <w:sz w:val="24"/>
          <w:szCs w:val="24"/>
          <w:lang w:eastAsia="en-GB"/>
        </w:rPr>
        <w:t xml:space="preserve"> og en gennemsnitlig ultrafiltreringshastighed på 25 ml/min. I dette kliniske miljø var middelværdierne for </w:t>
      </w:r>
      <w:proofErr w:type="spellStart"/>
      <w:r w:rsidRPr="00080455">
        <w:rPr>
          <w:rFonts w:eastAsia="Verdana"/>
          <w:sz w:val="24"/>
          <w:szCs w:val="24"/>
          <w:lang w:eastAsia="en-GB"/>
        </w:rPr>
        <w:t>plasmaclearance</w:t>
      </w:r>
      <w:proofErr w:type="spellEnd"/>
      <w:r w:rsidRPr="00080455">
        <w:rPr>
          <w:rFonts w:eastAsia="Verdana"/>
          <w:sz w:val="24"/>
          <w:szCs w:val="24"/>
          <w:lang w:eastAsia="en-GB"/>
        </w:rPr>
        <w:t xml:space="preserve"> og eliminationshalveringstid i plasma hhv. 100 ml/min. og 12 timer.</w:t>
      </w:r>
    </w:p>
    <w:p w:rsidR="00080455" w:rsidRPr="00080455" w:rsidRDefault="00080455" w:rsidP="00080455">
      <w:pPr>
        <w:ind w:left="851"/>
        <w:rPr>
          <w:rFonts w:eastAsia="Verdana"/>
          <w:sz w:val="24"/>
          <w:szCs w:val="24"/>
          <w:lang w:eastAsia="en-GB"/>
        </w:rPr>
      </w:pPr>
    </w:p>
    <w:p w:rsidR="00080455" w:rsidRPr="00080455" w:rsidRDefault="00080455" w:rsidP="00080455">
      <w:pPr>
        <w:ind w:left="851"/>
        <w:rPr>
          <w:rFonts w:eastAsia="Verdana"/>
          <w:i/>
          <w:sz w:val="24"/>
          <w:szCs w:val="24"/>
          <w:lang w:eastAsia="en-GB"/>
        </w:rPr>
      </w:pPr>
      <w:r w:rsidRPr="00080455">
        <w:rPr>
          <w:rFonts w:eastAsia="Verdana"/>
          <w:i/>
          <w:iCs/>
          <w:sz w:val="24"/>
          <w:szCs w:val="24"/>
          <w:lang w:eastAsia="en-GB"/>
        </w:rPr>
        <w:t>Leverinsufficiens</w:t>
      </w:r>
    </w:p>
    <w:p w:rsidR="00080455" w:rsidRPr="00080455" w:rsidRDefault="00080455" w:rsidP="00080455">
      <w:pPr>
        <w:pStyle w:val="Normalindrykning"/>
        <w:spacing w:after="0"/>
        <w:ind w:left="851"/>
        <w:rPr>
          <w:noProof/>
          <w:sz w:val="24"/>
          <w:szCs w:val="24"/>
          <w:lang w:val="da-DK" w:eastAsia="en-US" w:bidi="ar-QA"/>
        </w:rPr>
      </w:pPr>
      <w:r w:rsidRPr="00080455">
        <w:rPr>
          <w:rFonts w:eastAsia="SimSun"/>
          <w:sz w:val="24"/>
          <w:szCs w:val="24"/>
          <w:lang w:val="da-DK" w:eastAsia="zh-CN"/>
        </w:rPr>
        <w:t xml:space="preserve">Der er ingen krav om dosisjustering hos patienter med leverinsufficiens, da </w:t>
      </w:r>
      <w:proofErr w:type="spellStart"/>
      <w:r w:rsidRPr="00080455">
        <w:rPr>
          <w:rFonts w:eastAsia="SimSun"/>
          <w:sz w:val="24"/>
          <w:szCs w:val="24"/>
          <w:lang w:val="da-DK" w:eastAsia="zh-CN"/>
        </w:rPr>
        <w:t>fosfomycins</w:t>
      </w:r>
      <w:proofErr w:type="spellEnd"/>
      <w:r w:rsidRPr="00080455">
        <w:rPr>
          <w:rFonts w:eastAsia="SimSun"/>
          <w:sz w:val="24"/>
          <w:szCs w:val="24"/>
          <w:lang w:val="da-DK" w:eastAsia="zh-CN"/>
        </w:rPr>
        <w:t xml:space="preserve"> farmakokinetik forbliver upåvirket i denne patientgruppe.</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5.3</w:t>
      </w:r>
      <w:r w:rsidRPr="00C84483">
        <w:rPr>
          <w:b/>
          <w:sz w:val="24"/>
          <w:szCs w:val="24"/>
        </w:rPr>
        <w:tab/>
      </w:r>
      <w:r w:rsidR="00D7645D">
        <w:rPr>
          <w:b/>
          <w:sz w:val="24"/>
          <w:szCs w:val="24"/>
        </w:rPr>
        <w:t>Non-</w:t>
      </w:r>
      <w:r w:rsidRPr="00C84483">
        <w:rPr>
          <w:b/>
          <w:sz w:val="24"/>
          <w:szCs w:val="24"/>
        </w:rPr>
        <w:t>kliniske sikkerhedsdata</w:t>
      </w:r>
    </w:p>
    <w:p w:rsidR="00B43BF8" w:rsidRDefault="00B43BF8" w:rsidP="00B43BF8">
      <w:pPr>
        <w:ind w:left="851"/>
        <w:rPr>
          <w:rFonts w:eastAsia="Verdana"/>
          <w:sz w:val="24"/>
          <w:szCs w:val="24"/>
          <w:lang w:eastAsia="en-GB"/>
        </w:rPr>
      </w:pPr>
      <w:r w:rsidRPr="00B43BF8">
        <w:rPr>
          <w:rFonts w:eastAsia="Verdana"/>
          <w:sz w:val="24"/>
          <w:szCs w:val="24"/>
          <w:lang w:eastAsia="en-GB"/>
        </w:rPr>
        <w:t>Non-kliniske data viser ingen speciel risiko for mennesker vurderet ud fra konventionelle studier af sikkerhedsfarmakologi, toksicitet efter gentagne doser, genotoksicitet eller reproduktionstoksicitet.</w:t>
      </w:r>
    </w:p>
    <w:p w:rsidR="00B43BF8" w:rsidRPr="00B43BF8" w:rsidRDefault="00B43BF8" w:rsidP="00B43BF8">
      <w:pPr>
        <w:ind w:left="851"/>
        <w:rPr>
          <w:rFonts w:eastAsia="Verdana"/>
          <w:sz w:val="24"/>
          <w:szCs w:val="24"/>
          <w:lang w:eastAsia="en-GB"/>
        </w:rPr>
      </w:pPr>
    </w:p>
    <w:p w:rsidR="00B43BF8" w:rsidRPr="00B43BF8" w:rsidRDefault="00B43BF8" w:rsidP="00B43BF8">
      <w:pPr>
        <w:ind w:left="851"/>
        <w:rPr>
          <w:rFonts w:eastAsia="Verdana"/>
          <w:sz w:val="24"/>
          <w:szCs w:val="24"/>
          <w:lang w:eastAsia="en-GB"/>
        </w:rPr>
      </w:pPr>
      <w:r w:rsidRPr="00B43BF8">
        <w:rPr>
          <w:rFonts w:eastAsia="Verdana"/>
          <w:sz w:val="24"/>
          <w:szCs w:val="24"/>
          <w:u w:val="single"/>
          <w:lang w:eastAsia="en-GB"/>
        </w:rPr>
        <w:t xml:space="preserve">Der er ingen </w:t>
      </w:r>
      <w:proofErr w:type="spellStart"/>
      <w:r w:rsidRPr="00B43BF8">
        <w:rPr>
          <w:rFonts w:eastAsia="Verdana"/>
          <w:sz w:val="24"/>
          <w:szCs w:val="24"/>
          <w:u w:val="single"/>
          <w:lang w:eastAsia="en-GB"/>
        </w:rPr>
        <w:t>carcinogenicitetsdata</w:t>
      </w:r>
      <w:proofErr w:type="spellEnd"/>
      <w:r w:rsidRPr="00B43BF8">
        <w:rPr>
          <w:rFonts w:eastAsia="Verdana"/>
          <w:sz w:val="24"/>
          <w:szCs w:val="24"/>
          <w:u w:val="single"/>
          <w:lang w:eastAsia="en-GB"/>
        </w:rPr>
        <w:t xml:space="preserve"> tilgængelige for </w:t>
      </w:r>
      <w:proofErr w:type="spellStart"/>
      <w:r w:rsidRPr="00B43BF8">
        <w:rPr>
          <w:rFonts w:eastAsia="Verdana"/>
          <w:sz w:val="24"/>
          <w:szCs w:val="24"/>
        </w:rPr>
        <w:t>f</w:t>
      </w:r>
      <w:r w:rsidRPr="00B43BF8">
        <w:rPr>
          <w:rFonts w:eastAsia="Verdana"/>
          <w:sz w:val="24"/>
          <w:szCs w:val="24"/>
          <w:u w:val="single"/>
          <w:lang w:eastAsia="en-GB"/>
        </w:rPr>
        <w:t>osfomycin</w:t>
      </w:r>
      <w:proofErr w:type="spellEnd"/>
      <w:r w:rsidRPr="00B43BF8">
        <w:rPr>
          <w:rFonts w:eastAsia="Verdana"/>
          <w:sz w:val="24"/>
          <w:szCs w:val="24"/>
        </w:rPr>
        <w:t>.</w:t>
      </w:r>
    </w:p>
    <w:p w:rsidR="00E22947" w:rsidRPr="00C84483" w:rsidRDefault="00E22947" w:rsidP="00B43BF8">
      <w:pPr>
        <w:tabs>
          <w:tab w:val="left" w:pos="851"/>
        </w:tabs>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E22947" w:rsidRPr="00BA09F1"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6.1</w:t>
      </w:r>
      <w:r w:rsidRPr="00C84483">
        <w:rPr>
          <w:b/>
          <w:sz w:val="24"/>
          <w:szCs w:val="24"/>
        </w:rPr>
        <w:tab/>
        <w:t>Hjælpestoffer</w:t>
      </w:r>
    </w:p>
    <w:p w:rsidR="00E22947" w:rsidRPr="00C84483" w:rsidRDefault="00E22947" w:rsidP="00E22947">
      <w:pPr>
        <w:ind w:left="851"/>
        <w:rPr>
          <w:sz w:val="24"/>
          <w:szCs w:val="24"/>
        </w:rPr>
      </w:pPr>
      <w:r>
        <w:rPr>
          <w:noProof/>
          <w:sz w:val="24"/>
          <w:szCs w:val="24"/>
          <w:lang w:bidi="ar-QA"/>
        </w:rPr>
        <w:t>Ravsyre</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6.2</w:t>
      </w:r>
      <w:r w:rsidRPr="00C84483">
        <w:rPr>
          <w:b/>
          <w:sz w:val="24"/>
          <w:szCs w:val="24"/>
        </w:rPr>
        <w:tab/>
        <w:t>Uforligeligheder</w:t>
      </w:r>
    </w:p>
    <w:p w:rsidR="00E22947" w:rsidRPr="00C84483" w:rsidRDefault="00E22947" w:rsidP="00E22947">
      <w:pPr>
        <w:ind w:left="851"/>
        <w:rPr>
          <w:noProof/>
          <w:sz w:val="24"/>
          <w:szCs w:val="24"/>
          <w:lang w:bidi="ar-QA"/>
        </w:rPr>
      </w:pPr>
      <w:r w:rsidRPr="008C2513">
        <w:rPr>
          <w:noProof/>
          <w:sz w:val="24"/>
          <w:szCs w:val="24"/>
          <w:lang w:bidi="ar-QA"/>
        </w:rPr>
        <w:t xml:space="preserve">Selvom der er ikke er konstateret nogen kemisk/farmaceutisk uforlignelighed, må opløsninger af </w:t>
      </w:r>
      <w:r>
        <w:rPr>
          <w:noProof/>
          <w:sz w:val="24"/>
          <w:szCs w:val="24"/>
          <w:lang w:bidi="ar-QA"/>
        </w:rPr>
        <w:t>Fosfomycin "Infectopharm"</w:t>
      </w:r>
      <w:r w:rsidRPr="008C2513">
        <w:rPr>
          <w:noProof/>
          <w:sz w:val="24"/>
          <w:szCs w:val="24"/>
          <w:lang w:bidi="ar-QA"/>
        </w:rPr>
        <w:t xml:space="preserve"> ikke blandes med andre parenterale tilberedninger med undtagelse af de i pkt. 6.6 nævnte.</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6.3</w:t>
      </w:r>
      <w:r w:rsidRPr="00C84483">
        <w:rPr>
          <w:b/>
          <w:sz w:val="24"/>
          <w:szCs w:val="24"/>
        </w:rPr>
        <w:tab/>
        <w:t>Opbevaringstid</w:t>
      </w:r>
    </w:p>
    <w:p w:rsidR="00E22947" w:rsidRDefault="00E22947" w:rsidP="00E22947">
      <w:pPr>
        <w:ind w:left="851"/>
        <w:rPr>
          <w:noProof/>
          <w:sz w:val="24"/>
          <w:szCs w:val="24"/>
          <w:lang w:bidi="ar-QA"/>
        </w:rPr>
      </w:pPr>
      <w:r w:rsidRPr="008C2513">
        <w:rPr>
          <w:noProof/>
          <w:sz w:val="24"/>
          <w:szCs w:val="24"/>
          <w:lang w:bidi="ar-QA"/>
        </w:rPr>
        <w:t>4 år.</w:t>
      </w:r>
    </w:p>
    <w:p w:rsidR="00E22947" w:rsidRPr="008C2513" w:rsidRDefault="00E22947" w:rsidP="00E22947">
      <w:pPr>
        <w:ind w:left="851"/>
        <w:rPr>
          <w:noProof/>
          <w:sz w:val="24"/>
          <w:szCs w:val="24"/>
          <w:lang w:bidi="ar-QA"/>
        </w:rPr>
      </w:pPr>
    </w:p>
    <w:p w:rsidR="00E22947" w:rsidRPr="008C2513" w:rsidRDefault="00E22947" w:rsidP="00E22947">
      <w:pPr>
        <w:ind w:left="851"/>
        <w:rPr>
          <w:noProof/>
          <w:sz w:val="24"/>
          <w:szCs w:val="24"/>
          <w:lang w:bidi="ar-QA"/>
        </w:rPr>
      </w:pPr>
      <w:r w:rsidRPr="008C2513">
        <w:rPr>
          <w:noProof/>
          <w:sz w:val="24"/>
          <w:szCs w:val="24"/>
          <w:lang w:bidi="ar-QA"/>
        </w:rPr>
        <w:t xml:space="preserve">Den kemiske og fysiske stabilitet i brug af den </w:t>
      </w:r>
      <w:r>
        <w:rPr>
          <w:noProof/>
          <w:sz w:val="24"/>
          <w:szCs w:val="24"/>
          <w:lang w:bidi="ar-QA"/>
        </w:rPr>
        <w:t>endeligt fortyndede</w:t>
      </w:r>
      <w:r w:rsidRPr="008C2513">
        <w:rPr>
          <w:noProof/>
          <w:sz w:val="24"/>
          <w:szCs w:val="24"/>
          <w:lang w:bidi="ar-QA"/>
        </w:rPr>
        <w:t xml:space="preserve"> opløsning, der fremstilles under aspetiske betingelser, er dokumenteret i 24 timer ved 25 °C, hvis den beskyttes mod lys.</w:t>
      </w:r>
    </w:p>
    <w:p w:rsidR="00E22947" w:rsidRPr="00C84483" w:rsidRDefault="00E22947" w:rsidP="00E22947">
      <w:pPr>
        <w:ind w:left="851"/>
        <w:rPr>
          <w:noProof/>
          <w:sz w:val="24"/>
          <w:szCs w:val="24"/>
          <w:lang w:bidi="ar-QA"/>
        </w:rPr>
      </w:pPr>
      <w:r w:rsidRPr="008C2513">
        <w:rPr>
          <w:noProof/>
          <w:sz w:val="24"/>
          <w:szCs w:val="24"/>
          <w:lang w:bidi="ar-QA"/>
        </w:rPr>
        <w:t xml:space="preserve">Mikrobiologisk skal produktet anvendes med det samme. Anvendes det ikke med det samme, er opbevaringstiden og </w:t>
      </w:r>
      <w:r>
        <w:rPr>
          <w:noProof/>
          <w:sz w:val="24"/>
          <w:szCs w:val="24"/>
          <w:lang w:bidi="ar-QA"/>
        </w:rPr>
        <w:t>-</w:t>
      </w:r>
      <w:r w:rsidRPr="008C2513">
        <w:rPr>
          <w:noProof/>
          <w:sz w:val="24"/>
          <w:szCs w:val="24"/>
          <w:lang w:bidi="ar-QA"/>
        </w:rPr>
        <w:t xml:space="preserve">betingelserne før anvendelse brugerens ansvar og normalt </w:t>
      </w:r>
      <w:r w:rsidRPr="008C2513">
        <w:rPr>
          <w:noProof/>
          <w:sz w:val="24"/>
          <w:szCs w:val="24"/>
          <w:lang w:bidi="ar-QA"/>
        </w:rPr>
        <w:lastRenderedPageBreak/>
        <w:t>ikke længere end 24 timer ved 2</w:t>
      </w:r>
      <w:r>
        <w:rPr>
          <w:noProof/>
          <w:sz w:val="24"/>
          <w:szCs w:val="24"/>
          <w:lang w:bidi="ar-QA"/>
        </w:rPr>
        <w:t>-</w:t>
      </w:r>
      <w:r w:rsidRPr="008C2513">
        <w:rPr>
          <w:noProof/>
          <w:sz w:val="24"/>
          <w:szCs w:val="24"/>
          <w:lang w:bidi="ar-QA"/>
        </w:rPr>
        <w:t xml:space="preserve">8 °C, medmindre </w:t>
      </w:r>
      <w:r>
        <w:rPr>
          <w:noProof/>
          <w:sz w:val="24"/>
          <w:szCs w:val="24"/>
          <w:lang w:bidi="ar-QA"/>
        </w:rPr>
        <w:t>tilberedningen</w:t>
      </w:r>
      <w:r w:rsidRPr="008C2513">
        <w:rPr>
          <w:noProof/>
          <w:sz w:val="24"/>
          <w:szCs w:val="24"/>
          <w:lang w:bidi="ar-QA"/>
        </w:rPr>
        <w:t xml:space="preserve"> udføres</w:t>
      </w:r>
      <w:r w:rsidRPr="008C2513">
        <w:rPr>
          <w:snapToGrid w:val="0"/>
          <w:color w:val="000000"/>
          <w:sz w:val="24"/>
          <w:szCs w:val="24"/>
          <w:lang w:bidi="ar-QA"/>
        </w:rPr>
        <w:t xml:space="preserve"> under kontrollerede og validerede aseptiske betingelser.</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22947" w:rsidRDefault="00E22947" w:rsidP="00E22947">
      <w:pPr>
        <w:ind w:left="851"/>
        <w:rPr>
          <w:noProof/>
          <w:sz w:val="24"/>
          <w:szCs w:val="24"/>
          <w:lang w:bidi="ar-QA"/>
        </w:rPr>
      </w:pPr>
      <w:r>
        <w:rPr>
          <w:noProof/>
          <w:sz w:val="24"/>
          <w:szCs w:val="24"/>
          <w:lang w:bidi="ar-QA"/>
        </w:rPr>
        <w:t>Dette lægemiddel kræver ingen særlige forholdsregler vedrørende opbevaringen.</w:t>
      </w:r>
    </w:p>
    <w:p w:rsidR="00E22947" w:rsidRDefault="00E22947" w:rsidP="00E22947">
      <w:pPr>
        <w:ind w:left="851"/>
        <w:rPr>
          <w:noProof/>
          <w:sz w:val="24"/>
          <w:szCs w:val="24"/>
          <w:lang w:bidi="ar-QA"/>
        </w:rPr>
      </w:pPr>
    </w:p>
    <w:p w:rsidR="00E22947" w:rsidRPr="00C84483" w:rsidRDefault="00E22947" w:rsidP="00E22947">
      <w:pPr>
        <w:ind w:left="851"/>
        <w:rPr>
          <w:noProof/>
          <w:sz w:val="24"/>
          <w:szCs w:val="24"/>
          <w:lang w:bidi="ar-QA"/>
        </w:rPr>
      </w:pPr>
      <w:r>
        <w:rPr>
          <w:noProof/>
          <w:sz w:val="24"/>
          <w:szCs w:val="24"/>
          <w:lang w:bidi="ar-QA"/>
        </w:rPr>
        <w:t>Opbevaringsforhold af infusionsvæsken, opløsningen</w:t>
      </w:r>
      <w:r w:rsidRPr="008C2513">
        <w:rPr>
          <w:noProof/>
          <w:sz w:val="24"/>
          <w:szCs w:val="24"/>
          <w:lang w:bidi="ar-QA"/>
        </w:rPr>
        <w:t>, se pkt. 6.3.</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E6A05" w:rsidRDefault="00E22947" w:rsidP="00E22947">
      <w:pPr>
        <w:ind w:left="851"/>
        <w:rPr>
          <w:noProof/>
          <w:sz w:val="24"/>
          <w:szCs w:val="24"/>
          <w:lang w:bidi="ar-QA"/>
        </w:rPr>
      </w:pPr>
      <w:r>
        <w:rPr>
          <w:noProof/>
          <w:sz w:val="24"/>
          <w:szCs w:val="24"/>
          <w:lang w:bidi="ar-QA"/>
        </w:rPr>
        <w:t>Klar</w:t>
      </w:r>
      <w:r w:rsidRPr="008C2513">
        <w:rPr>
          <w:noProof/>
          <w:sz w:val="24"/>
          <w:szCs w:val="24"/>
          <w:lang w:bidi="ar-QA"/>
        </w:rPr>
        <w:t xml:space="preserve"> glasflaske (type-</w:t>
      </w:r>
      <w:r>
        <w:rPr>
          <w:noProof/>
          <w:sz w:val="24"/>
          <w:szCs w:val="24"/>
          <w:lang w:bidi="ar-QA"/>
        </w:rPr>
        <w:t xml:space="preserve">I) </w:t>
      </w:r>
      <w:r w:rsidRPr="008C2513">
        <w:rPr>
          <w:noProof/>
          <w:sz w:val="24"/>
          <w:szCs w:val="24"/>
          <w:lang w:bidi="ar-QA"/>
        </w:rPr>
        <w:t xml:space="preserve"> med gummiprop (bromobutylgummi) og aftrækningshætte</w:t>
      </w:r>
      <w:r w:rsidR="005E6A05">
        <w:rPr>
          <w:noProof/>
          <w:sz w:val="24"/>
          <w:szCs w:val="24"/>
          <w:lang w:bidi="ar-QA"/>
        </w:rPr>
        <w:t>.</w:t>
      </w:r>
    </w:p>
    <w:p w:rsidR="005E6A05" w:rsidRDefault="005E6A05" w:rsidP="005E6A05">
      <w:pPr>
        <w:ind w:left="851"/>
        <w:rPr>
          <w:noProof/>
          <w:sz w:val="24"/>
          <w:szCs w:val="24"/>
          <w:lang w:bidi="ar-QA"/>
        </w:rPr>
      </w:pPr>
      <w:r>
        <w:rPr>
          <w:noProof/>
          <w:sz w:val="24"/>
          <w:szCs w:val="24"/>
          <w:lang w:bidi="ar-QA"/>
        </w:rPr>
        <w:t>Indeholder</w:t>
      </w:r>
    </w:p>
    <w:p w:rsidR="005E6A05" w:rsidRDefault="005E6A05" w:rsidP="005E6A05">
      <w:pPr>
        <w:ind w:left="851"/>
        <w:rPr>
          <w:noProof/>
          <w:sz w:val="24"/>
          <w:szCs w:val="24"/>
          <w:lang w:bidi="ar-QA"/>
        </w:rPr>
      </w:pPr>
      <w:r>
        <w:rPr>
          <w:noProof/>
          <w:sz w:val="24"/>
          <w:szCs w:val="24"/>
          <w:lang w:bidi="ar-QA"/>
        </w:rPr>
        <w:t>•</w:t>
      </w:r>
      <w:r>
        <w:rPr>
          <w:noProof/>
          <w:sz w:val="24"/>
          <w:szCs w:val="24"/>
          <w:lang w:bidi="ar-QA"/>
        </w:rPr>
        <w:tab/>
        <w:t>2 g (i 30 ml flaske) i pakninger à 10 flasker.</w:t>
      </w:r>
    </w:p>
    <w:p w:rsidR="005E6A05" w:rsidRDefault="005E6A05" w:rsidP="005E6A05">
      <w:pPr>
        <w:ind w:left="851"/>
        <w:rPr>
          <w:noProof/>
          <w:sz w:val="24"/>
          <w:szCs w:val="24"/>
          <w:lang w:bidi="ar-QA"/>
        </w:rPr>
      </w:pPr>
      <w:r>
        <w:rPr>
          <w:noProof/>
          <w:sz w:val="24"/>
          <w:szCs w:val="24"/>
          <w:lang w:bidi="ar-QA"/>
        </w:rPr>
        <w:t>•</w:t>
      </w:r>
      <w:r>
        <w:rPr>
          <w:noProof/>
          <w:sz w:val="24"/>
          <w:szCs w:val="24"/>
          <w:lang w:bidi="ar-QA"/>
        </w:rPr>
        <w:tab/>
        <w:t>4 g (i 30 ml flaske) i pakninger à 10 flasker.</w:t>
      </w:r>
    </w:p>
    <w:p w:rsidR="00E22947" w:rsidRDefault="005E6A05" w:rsidP="00E22947">
      <w:pPr>
        <w:ind w:left="851"/>
        <w:rPr>
          <w:noProof/>
          <w:sz w:val="24"/>
          <w:szCs w:val="24"/>
          <w:lang w:bidi="ar-QA"/>
        </w:rPr>
      </w:pPr>
      <w:r>
        <w:rPr>
          <w:noProof/>
          <w:sz w:val="24"/>
          <w:szCs w:val="24"/>
          <w:lang w:bidi="ar-QA"/>
        </w:rPr>
        <w:t>•</w:t>
      </w:r>
      <w:r>
        <w:rPr>
          <w:noProof/>
          <w:sz w:val="24"/>
          <w:szCs w:val="24"/>
          <w:lang w:bidi="ar-QA"/>
        </w:rPr>
        <w:tab/>
        <w:t>eller 8 g (i 50 ml flaske) i pakninger à 1 eller 10 flasker</w:t>
      </w:r>
    </w:p>
    <w:p w:rsidR="005E6A05" w:rsidRDefault="005E6A05" w:rsidP="00E22947">
      <w:pPr>
        <w:ind w:left="851"/>
        <w:rPr>
          <w:noProof/>
          <w:sz w:val="24"/>
          <w:szCs w:val="24"/>
          <w:lang w:bidi="ar-QA"/>
        </w:rPr>
      </w:pPr>
    </w:p>
    <w:p w:rsidR="00E22947" w:rsidRPr="00C84483" w:rsidRDefault="00E22947" w:rsidP="00E22947">
      <w:pPr>
        <w:ind w:left="851"/>
        <w:rPr>
          <w:noProof/>
          <w:sz w:val="24"/>
          <w:szCs w:val="24"/>
          <w:lang w:bidi="ar-QA"/>
        </w:rPr>
      </w:pPr>
      <w:r w:rsidRPr="008C2513">
        <w:rPr>
          <w:noProof/>
          <w:sz w:val="24"/>
          <w:szCs w:val="24"/>
          <w:lang w:bidi="ar-QA"/>
        </w:rPr>
        <w:t>Ikke alle pakningsstørrelser er nødvendigvis markedsført.</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D7645D">
        <w:rPr>
          <w:b/>
          <w:sz w:val="24"/>
          <w:szCs w:val="24"/>
        </w:rPr>
        <w:t>bortskaffelse</w:t>
      </w:r>
      <w:r w:rsidRPr="00C84483">
        <w:rPr>
          <w:b/>
          <w:sz w:val="24"/>
          <w:szCs w:val="24"/>
        </w:rPr>
        <w:t xml:space="preserve"> og anden håndtering</w:t>
      </w:r>
    </w:p>
    <w:p w:rsidR="00E22947" w:rsidRDefault="00E22947" w:rsidP="00E22947">
      <w:pPr>
        <w:ind w:left="851"/>
        <w:rPr>
          <w:b/>
          <w:noProof/>
          <w:sz w:val="24"/>
          <w:szCs w:val="24"/>
          <w:lang w:bidi="ar-QA"/>
        </w:rPr>
      </w:pPr>
    </w:p>
    <w:p w:rsidR="00E22947" w:rsidRPr="008C2513" w:rsidRDefault="00E22947" w:rsidP="00E22947">
      <w:pPr>
        <w:ind w:left="851"/>
        <w:rPr>
          <w:b/>
          <w:noProof/>
          <w:sz w:val="24"/>
          <w:szCs w:val="24"/>
          <w:lang w:bidi="ar-QA"/>
        </w:rPr>
      </w:pPr>
      <w:r w:rsidRPr="008C2513">
        <w:rPr>
          <w:b/>
          <w:noProof/>
          <w:sz w:val="24"/>
          <w:szCs w:val="24"/>
          <w:lang w:bidi="ar-QA"/>
        </w:rPr>
        <w:t>Kun til engangsbrug.</w:t>
      </w:r>
    </w:p>
    <w:p w:rsidR="00E22947" w:rsidRDefault="00E22947" w:rsidP="00E22947">
      <w:pPr>
        <w:ind w:left="851"/>
        <w:rPr>
          <w:noProof/>
          <w:sz w:val="24"/>
          <w:szCs w:val="24"/>
          <w:lang w:bidi="ar-QA"/>
        </w:rPr>
      </w:pPr>
      <w:r w:rsidRPr="008C2513">
        <w:rPr>
          <w:noProof/>
          <w:sz w:val="24"/>
          <w:szCs w:val="24"/>
          <w:lang w:bidi="ar-QA"/>
        </w:rPr>
        <w:t>Ikke anvendt lægemiddel samt affald heraf skal bortskaffes i henhold til lokale retningslinjer.</w:t>
      </w:r>
    </w:p>
    <w:p w:rsidR="00E22947" w:rsidRPr="008C2513" w:rsidRDefault="00E22947" w:rsidP="00E22947">
      <w:pPr>
        <w:ind w:left="851"/>
        <w:rPr>
          <w:noProof/>
          <w:sz w:val="24"/>
          <w:szCs w:val="24"/>
          <w:lang w:bidi="ar-QA"/>
        </w:rPr>
      </w:pPr>
    </w:p>
    <w:p w:rsidR="00E22947" w:rsidRDefault="00E22947" w:rsidP="00E22947">
      <w:pPr>
        <w:pStyle w:val="Formatvorlageberschrift3NichtKursivUnterstrichenLinks125cm"/>
        <w:spacing w:before="0" w:line="240" w:lineRule="auto"/>
        <w:ind w:left="851"/>
        <w:rPr>
          <w:rFonts w:ascii="Times New Roman" w:hAnsi="Times New Roman"/>
          <w:b w:val="0"/>
          <w:sz w:val="24"/>
          <w:szCs w:val="24"/>
          <w:lang w:val="da-DK"/>
        </w:rPr>
      </w:pPr>
      <w:r>
        <w:rPr>
          <w:rFonts w:ascii="Times New Roman" w:hAnsi="Times New Roman"/>
          <w:b w:val="0"/>
          <w:sz w:val="24"/>
          <w:szCs w:val="24"/>
          <w:lang w:val="da-DK"/>
        </w:rPr>
        <w:t>Tilberedning af infusionsvæske, opløsning</w:t>
      </w:r>
    </w:p>
    <w:p w:rsidR="00E22947" w:rsidRDefault="00E22947" w:rsidP="00E22947">
      <w:pPr>
        <w:ind w:left="851"/>
        <w:rPr>
          <w:snapToGrid w:val="0"/>
          <w:sz w:val="24"/>
          <w:szCs w:val="24"/>
          <w:lang w:bidi="da-DK"/>
        </w:rPr>
      </w:pPr>
      <w:proofErr w:type="spellStart"/>
      <w:r>
        <w:rPr>
          <w:b/>
          <w:snapToGrid w:val="0"/>
          <w:sz w:val="24"/>
          <w:szCs w:val="24"/>
          <w:lang w:bidi="da-DK"/>
        </w:rPr>
        <w:t>Fosfomycin</w:t>
      </w:r>
      <w:proofErr w:type="spellEnd"/>
      <w:r>
        <w:rPr>
          <w:b/>
          <w:snapToGrid w:val="0"/>
          <w:sz w:val="24"/>
          <w:szCs w:val="24"/>
          <w:lang w:bidi="da-DK"/>
        </w:rPr>
        <w:t xml:space="preserve"> ”</w:t>
      </w:r>
      <w:proofErr w:type="spellStart"/>
      <w:r>
        <w:rPr>
          <w:b/>
          <w:snapToGrid w:val="0"/>
          <w:sz w:val="24"/>
          <w:szCs w:val="24"/>
          <w:lang w:bidi="da-DK"/>
        </w:rPr>
        <w:t>Infectopharm</w:t>
      </w:r>
      <w:proofErr w:type="spellEnd"/>
      <w:r>
        <w:rPr>
          <w:b/>
          <w:snapToGrid w:val="0"/>
          <w:sz w:val="24"/>
          <w:szCs w:val="24"/>
          <w:lang w:bidi="da-DK"/>
        </w:rPr>
        <w:t xml:space="preserve">” skal </w:t>
      </w:r>
      <w:proofErr w:type="spellStart"/>
      <w:r>
        <w:rPr>
          <w:b/>
          <w:snapToGrid w:val="0"/>
          <w:sz w:val="24"/>
          <w:szCs w:val="24"/>
          <w:lang w:bidi="da-DK"/>
        </w:rPr>
        <w:t>rekonstitueres</w:t>
      </w:r>
      <w:proofErr w:type="spellEnd"/>
      <w:r>
        <w:rPr>
          <w:b/>
          <w:snapToGrid w:val="0"/>
          <w:sz w:val="24"/>
          <w:szCs w:val="24"/>
          <w:lang w:bidi="da-DK"/>
        </w:rPr>
        <w:t xml:space="preserve"> og fortyndes før administration.</w:t>
      </w:r>
      <w:r>
        <w:rPr>
          <w:snapToGrid w:val="0"/>
          <w:sz w:val="24"/>
          <w:szCs w:val="24"/>
          <w:lang w:bidi="da-DK"/>
        </w:rPr>
        <w:t xml:space="preserve"> Vand til injektionsvæsker og </w:t>
      </w:r>
      <w:proofErr w:type="spellStart"/>
      <w:r>
        <w:rPr>
          <w:snapToGrid w:val="0"/>
          <w:sz w:val="24"/>
          <w:szCs w:val="24"/>
          <w:lang w:bidi="da-DK"/>
        </w:rPr>
        <w:t>glucoseinfusion</w:t>
      </w:r>
      <w:proofErr w:type="spellEnd"/>
      <w:r>
        <w:rPr>
          <w:snapToGrid w:val="0"/>
          <w:sz w:val="24"/>
          <w:szCs w:val="24"/>
          <w:lang w:bidi="da-DK"/>
        </w:rPr>
        <w:t xml:space="preserve"> 50 mg/ml (5 %) eller </w:t>
      </w:r>
      <w:proofErr w:type="spellStart"/>
      <w:r>
        <w:rPr>
          <w:snapToGrid w:val="0"/>
          <w:sz w:val="24"/>
          <w:szCs w:val="24"/>
          <w:lang w:bidi="da-DK"/>
        </w:rPr>
        <w:t>glucoseinfusion</w:t>
      </w:r>
      <w:proofErr w:type="spellEnd"/>
      <w:r>
        <w:rPr>
          <w:snapToGrid w:val="0"/>
          <w:sz w:val="24"/>
          <w:szCs w:val="24"/>
          <w:lang w:bidi="da-DK"/>
        </w:rPr>
        <w:t xml:space="preserve"> 100 mg/ml (10 %) kan anvendes som solvens til </w:t>
      </w:r>
      <w:proofErr w:type="spellStart"/>
      <w:r>
        <w:rPr>
          <w:snapToGrid w:val="0"/>
          <w:sz w:val="24"/>
          <w:szCs w:val="24"/>
          <w:lang w:bidi="da-DK"/>
        </w:rPr>
        <w:t>rekonstitution</w:t>
      </w:r>
      <w:proofErr w:type="spellEnd"/>
      <w:r>
        <w:rPr>
          <w:snapToGrid w:val="0"/>
          <w:sz w:val="24"/>
          <w:szCs w:val="24"/>
          <w:lang w:bidi="da-DK"/>
        </w:rPr>
        <w:t xml:space="preserve"> og fortynding. Der må ikke anvendes </w:t>
      </w:r>
      <w:proofErr w:type="spellStart"/>
      <w:r>
        <w:rPr>
          <w:snapToGrid w:val="0"/>
          <w:sz w:val="24"/>
          <w:szCs w:val="24"/>
          <w:lang w:bidi="da-DK"/>
        </w:rPr>
        <w:t>solvenser</w:t>
      </w:r>
      <w:proofErr w:type="spellEnd"/>
      <w:r>
        <w:rPr>
          <w:snapToGrid w:val="0"/>
          <w:sz w:val="24"/>
          <w:szCs w:val="24"/>
          <w:lang w:bidi="da-DK"/>
        </w:rPr>
        <w:t xml:space="preserve"> indeholdende </w:t>
      </w:r>
      <w:proofErr w:type="spellStart"/>
      <w:r>
        <w:rPr>
          <w:snapToGrid w:val="0"/>
          <w:sz w:val="24"/>
          <w:szCs w:val="24"/>
          <w:lang w:bidi="da-DK"/>
        </w:rPr>
        <w:t>natriumchlorid</w:t>
      </w:r>
      <w:proofErr w:type="spellEnd"/>
      <w:r>
        <w:rPr>
          <w:snapToGrid w:val="0"/>
          <w:sz w:val="24"/>
          <w:szCs w:val="24"/>
          <w:lang w:bidi="da-DK"/>
        </w:rPr>
        <w:t xml:space="preserve"> (se pkt. 4.4).</w:t>
      </w:r>
    </w:p>
    <w:p w:rsidR="00E22947" w:rsidRDefault="00E22947" w:rsidP="00E22947">
      <w:pPr>
        <w:ind w:left="851"/>
        <w:rPr>
          <w:snapToGrid w:val="0"/>
          <w:sz w:val="24"/>
          <w:szCs w:val="24"/>
          <w:lang w:bidi="da-DK"/>
        </w:rPr>
      </w:pPr>
    </w:p>
    <w:p w:rsidR="00E22947" w:rsidRDefault="00E22947" w:rsidP="00E22947">
      <w:pPr>
        <w:ind w:left="851"/>
        <w:rPr>
          <w:snapToGrid w:val="0"/>
          <w:sz w:val="24"/>
          <w:szCs w:val="24"/>
          <w:u w:val="single"/>
          <w:lang w:bidi="da-DK"/>
        </w:rPr>
      </w:pPr>
      <w:proofErr w:type="spellStart"/>
      <w:r>
        <w:rPr>
          <w:snapToGrid w:val="0"/>
          <w:sz w:val="24"/>
          <w:szCs w:val="24"/>
          <w:u w:val="single"/>
          <w:lang w:bidi="da-DK"/>
        </w:rPr>
        <w:t>Rekonstitution</w:t>
      </w:r>
      <w:proofErr w:type="spellEnd"/>
    </w:p>
    <w:p w:rsidR="00E22947" w:rsidRDefault="00E22947" w:rsidP="00E22947">
      <w:pPr>
        <w:ind w:left="851"/>
        <w:rPr>
          <w:snapToGrid w:val="0"/>
          <w:sz w:val="24"/>
          <w:szCs w:val="24"/>
          <w:lang w:bidi="da-DK"/>
        </w:rPr>
      </w:pPr>
      <w:r>
        <w:rPr>
          <w:snapToGrid w:val="0"/>
          <w:sz w:val="24"/>
          <w:szCs w:val="24"/>
          <w:lang w:bidi="da-DK"/>
        </w:rPr>
        <w:t xml:space="preserve">Hætteglasset omrystes før </w:t>
      </w:r>
      <w:proofErr w:type="spellStart"/>
      <w:r>
        <w:rPr>
          <w:snapToGrid w:val="0"/>
          <w:sz w:val="24"/>
          <w:szCs w:val="24"/>
          <w:lang w:bidi="da-DK"/>
        </w:rPr>
        <w:t>rekonstitution</w:t>
      </w:r>
      <w:proofErr w:type="spellEnd"/>
      <w:r>
        <w:rPr>
          <w:snapToGrid w:val="0"/>
          <w:sz w:val="24"/>
          <w:szCs w:val="24"/>
          <w:lang w:bidi="da-DK"/>
        </w:rPr>
        <w:t xml:space="preserve"> for at løsne pulveret. Hætteglassene med 2 g eller 4 g </w:t>
      </w:r>
      <w:proofErr w:type="spellStart"/>
      <w:r>
        <w:rPr>
          <w:snapToGrid w:val="0"/>
          <w:sz w:val="24"/>
          <w:szCs w:val="24"/>
          <w:lang w:bidi="da-DK"/>
        </w:rPr>
        <w:t>rekonstitueres</w:t>
      </w:r>
      <w:proofErr w:type="spellEnd"/>
      <w:r>
        <w:rPr>
          <w:snapToGrid w:val="0"/>
          <w:sz w:val="24"/>
          <w:szCs w:val="24"/>
          <w:lang w:bidi="da-DK"/>
        </w:rPr>
        <w:t xml:space="preserve"> med 20 ml, og hætteglasset med 8 g med 40 ml solvens. Omrystes godt til opløsning. Der opstår en let opvarmning, når pulveret opløses.</w:t>
      </w:r>
    </w:p>
    <w:p w:rsidR="00E22947" w:rsidRDefault="00E22947" w:rsidP="00E22947">
      <w:pPr>
        <w:ind w:left="851"/>
        <w:rPr>
          <w:snapToGrid w:val="0"/>
          <w:sz w:val="24"/>
          <w:szCs w:val="24"/>
          <w:lang w:bidi="da-DK"/>
        </w:rPr>
      </w:pPr>
      <w:r>
        <w:rPr>
          <w:b/>
          <w:snapToGrid w:val="0"/>
          <w:sz w:val="24"/>
          <w:szCs w:val="24"/>
          <w:lang w:bidi="da-DK"/>
        </w:rPr>
        <w:t>Forsigtig:</w:t>
      </w:r>
      <w:r>
        <w:rPr>
          <w:snapToGrid w:val="0"/>
          <w:sz w:val="24"/>
          <w:szCs w:val="24"/>
          <w:lang w:bidi="da-DK"/>
        </w:rPr>
        <w:t xml:space="preserve"> Denne midlertidige opløsning er ikke til direkte infusion. Hele opløsningen trækkes op af det oprindelige hætteglas. Den optrukne opløsning overføres til en infusionspose eller en andet egnet infusionsbeholder til yderligere fortynding på følgende måde.</w:t>
      </w:r>
    </w:p>
    <w:p w:rsidR="00E22947" w:rsidRDefault="00E22947" w:rsidP="00E22947">
      <w:pPr>
        <w:ind w:left="851"/>
        <w:rPr>
          <w:snapToGrid w:val="0"/>
          <w:sz w:val="24"/>
          <w:szCs w:val="24"/>
          <w:lang w:bidi="da-DK"/>
        </w:rPr>
      </w:pPr>
    </w:p>
    <w:p w:rsidR="00E22947" w:rsidRDefault="00E22947" w:rsidP="00E22947">
      <w:pPr>
        <w:ind w:left="851"/>
        <w:rPr>
          <w:snapToGrid w:val="0"/>
          <w:sz w:val="24"/>
          <w:szCs w:val="24"/>
          <w:u w:val="single"/>
          <w:lang w:bidi="da-DK"/>
        </w:rPr>
      </w:pPr>
      <w:r>
        <w:rPr>
          <w:snapToGrid w:val="0"/>
          <w:sz w:val="24"/>
          <w:szCs w:val="24"/>
          <w:u w:val="single"/>
          <w:lang w:bidi="da-DK"/>
        </w:rPr>
        <w:t>Fortynding</w:t>
      </w:r>
    </w:p>
    <w:p w:rsidR="00E22947" w:rsidRDefault="00E22947" w:rsidP="00E22947">
      <w:pPr>
        <w:ind w:left="851"/>
        <w:rPr>
          <w:snapToGrid w:val="0"/>
          <w:sz w:val="24"/>
          <w:szCs w:val="24"/>
          <w:lang w:bidi="da-DK"/>
        </w:rPr>
      </w:pPr>
      <w:r>
        <w:rPr>
          <w:snapToGrid w:val="0"/>
          <w:sz w:val="24"/>
          <w:szCs w:val="24"/>
          <w:lang w:bidi="da-DK"/>
        </w:rPr>
        <w:t xml:space="preserve">Det </w:t>
      </w:r>
      <w:proofErr w:type="spellStart"/>
      <w:r>
        <w:rPr>
          <w:snapToGrid w:val="0"/>
          <w:sz w:val="24"/>
          <w:szCs w:val="24"/>
          <w:lang w:bidi="da-DK"/>
        </w:rPr>
        <w:t>rekonstituerede</w:t>
      </w:r>
      <w:proofErr w:type="spellEnd"/>
      <w:r>
        <w:rPr>
          <w:snapToGrid w:val="0"/>
          <w:sz w:val="24"/>
          <w:szCs w:val="24"/>
          <w:lang w:bidi="da-DK"/>
        </w:rPr>
        <w:t xml:space="preserve"> indhold af </w:t>
      </w:r>
      <w:r>
        <w:rPr>
          <w:b/>
          <w:snapToGrid w:val="0"/>
          <w:sz w:val="24"/>
          <w:szCs w:val="24"/>
          <w:lang w:bidi="da-DK"/>
        </w:rPr>
        <w:t>hætteglassene med 2 g</w:t>
      </w:r>
      <w:r>
        <w:rPr>
          <w:snapToGrid w:val="0"/>
          <w:sz w:val="24"/>
          <w:szCs w:val="24"/>
          <w:lang w:bidi="da-DK"/>
        </w:rPr>
        <w:t xml:space="preserve"> overføres til en infusionsbeholder med yderligere </w:t>
      </w:r>
      <w:r>
        <w:rPr>
          <w:b/>
          <w:snapToGrid w:val="0"/>
          <w:sz w:val="24"/>
          <w:szCs w:val="24"/>
          <w:lang w:bidi="da-DK"/>
        </w:rPr>
        <w:t>30 ml</w:t>
      </w:r>
      <w:r>
        <w:rPr>
          <w:snapToGrid w:val="0"/>
          <w:sz w:val="24"/>
          <w:szCs w:val="24"/>
          <w:lang w:bidi="da-DK"/>
        </w:rPr>
        <w:t xml:space="preserve"> solvens. </w:t>
      </w:r>
    </w:p>
    <w:p w:rsidR="00E22947" w:rsidRDefault="00E22947" w:rsidP="00E22947">
      <w:pPr>
        <w:ind w:left="851"/>
        <w:rPr>
          <w:snapToGrid w:val="0"/>
          <w:sz w:val="24"/>
          <w:szCs w:val="24"/>
          <w:lang w:bidi="da-DK"/>
        </w:rPr>
      </w:pPr>
      <w:r>
        <w:rPr>
          <w:snapToGrid w:val="0"/>
          <w:sz w:val="24"/>
          <w:szCs w:val="24"/>
          <w:lang w:bidi="da-DK"/>
        </w:rPr>
        <w:t xml:space="preserve">Det </w:t>
      </w:r>
      <w:proofErr w:type="spellStart"/>
      <w:r>
        <w:rPr>
          <w:snapToGrid w:val="0"/>
          <w:sz w:val="24"/>
          <w:szCs w:val="24"/>
          <w:lang w:bidi="da-DK"/>
        </w:rPr>
        <w:t>rekonstituerede</w:t>
      </w:r>
      <w:proofErr w:type="spellEnd"/>
      <w:r>
        <w:rPr>
          <w:snapToGrid w:val="0"/>
          <w:sz w:val="24"/>
          <w:szCs w:val="24"/>
          <w:lang w:bidi="da-DK"/>
        </w:rPr>
        <w:t xml:space="preserve"> indhold af </w:t>
      </w:r>
      <w:r>
        <w:rPr>
          <w:b/>
          <w:snapToGrid w:val="0"/>
          <w:sz w:val="24"/>
          <w:szCs w:val="24"/>
          <w:lang w:bidi="da-DK"/>
        </w:rPr>
        <w:t>hætteglassene med 4 g</w:t>
      </w:r>
      <w:r>
        <w:rPr>
          <w:snapToGrid w:val="0"/>
          <w:sz w:val="24"/>
          <w:szCs w:val="24"/>
          <w:lang w:bidi="da-DK"/>
        </w:rPr>
        <w:t xml:space="preserve"> overføres til en infusionsbeholder med yderligere </w:t>
      </w:r>
      <w:r>
        <w:rPr>
          <w:b/>
          <w:snapToGrid w:val="0"/>
          <w:sz w:val="24"/>
          <w:szCs w:val="24"/>
          <w:lang w:bidi="da-DK"/>
        </w:rPr>
        <w:t>80 ml</w:t>
      </w:r>
      <w:r>
        <w:rPr>
          <w:snapToGrid w:val="0"/>
          <w:sz w:val="24"/>
          <w:szCs w:val="24"/>
          <w:lang w:bidi="da-DK"/>
        </w:rPr>
        <w:t xml:space="preserve"> solvens. </w:t>
      </w:r>
    </w:p>
    <w:p w:rsidR="00E22947" w:rsidRDefault="00E22947" w:rsidP="00E22947">
      <w:pPr>
        <w:ind w:left="851"/>
        <w:rPr>
          <w:snapToGrid w:val="0"/>
          <w:sz w:val="24"/>
          <w:szCs w:val="24"/>
          <w:lang w:bidi="da-DK"/>
        </w:rPr>
      </w:pPr>
      <w:r>
        <w:rPr>
          <w:snapToGrid w:val="0"/>
          <w:sz w:val="24"/>
          <w:szCs w:val="24"/>
          <w:lang w:bidi="da-DK"/>
        </w:rPr>
        <w:t xml:space="preserve">Det </w:t>
      </w:r>
      <w:proofErr w:type="spellStart"/>
      <w:r>
        <w:rPr>
          <w:snapToGrid w:val="0"/>
          <w:sz w:val="24"/>
          <w:szCs w:val="24"/>
          <w:lang w:bidi="da-DK"/>
        </w:rPr>
        <w:t>rekonstituerede</w:t>
      </w:r>
      <w:proofErr w:type="spellEnd"/>
      <w:r>
        <w:rPr>
          <w:snapToGrid w:val="0"/>
          <w:sz w:val="24"/>
          <w:szCs w:val="24"/>
          <w:lang w:bidi="da-DK"/>
        </w:rPr>
        <w:t xml:space="preserve"> indhold af </w:t>
      </w:r>
      <w:r>
        <w:rPr>
          <w:b/>
          <w:snapToGrid w:val="0"/>
          <w:sz w:val="24"/>
          <w:szCs w:val="24"/>
          <w:lang w:bidi="da-DK"/>
        </w:rPr>
        <w:t>hætteglassene med 8 g</w:t>
      </w:r>
      <w:r>
        <w:rPr>
          <w:snapToGrid w:val="0"/>
          <w:sz w:val="24"/>
          <w:szCs w:val="24"/>
          <w:lang w:bidi="da-DK"/>
        </w:rPr>
        <w:t xml:space="preserve"> overføres til en infusionsbeholder med yderligere </w:t>
      </w:r>
      <w:r>
        <w:rPr>
          <w:b/>
          <w:snapToGrid w:val="0"/>
          <w:sz w:val="24"/>
          <w:szCs w:val="24"/>
          <w:lang w:bidi="da-DK"/>
        </w:rPr>
        <w:t>160 ml</w:t>
      </w:r>
      <w:r>
        <w:rPr>
          <w:snapToGrid w:val="0"/>
          <w:sz w:val="24"/>
          <w:szCs w:val="24"/>
          <w:lang w:bidi="da-DK"/>
        </w:rPr>
        <w:t xml:space="preserve"> solvens. </w:t>
      </w:r>
    </w:p>
    <w:p w:rsidR="00E22947" w:rsidRDefault="00E22947" w:rsidP="00E22947">
      <w:pPr>
        <w:ind w:left="851"/>
        <w:rPr>
          <w:snapToGrid w:val="0"/>
          <w:sz w:val="24"/>
          <w:szCs w:val="24"/>
          <w:lang w:bidi="da-DK"/>
        </w:rPr>
      </w:pPr>
      <w:r>
        <w:rPr>
          <w:snapToGrid w:val="0"/>
          <w:sz w:val="24"/>
          <w:szCs w:val="24"/>
          <w:lang w:bidi="da-DK"/>
        </w:rPr>
        <w:t>Den resulterende infusionsvæske, opløsning, er klar og farveløs til let gullig.</w:t>
      </w:r>
    </w:p>
    <w:p w:rsidR="00E22947" w:rsidRDefault="00E22947" w:rsidP="00E22947">
      <w:pPr>
        <w:ind w:left="851"/>
        <w:rPr>
          <w:snapToGrid w:val="0"/>
          <w:sz w:val="24"/>
          <w:szCs w:val="24"/>
          <w:lang w:bidi="da-DK"/>
        </w:rPr>
      </w:pPr>
    </w:p>
    <w:p w:rsidR="00E22947" w:rsidRDefault="00E22947" w:rsidP="005E526D">
      <w:pPr>
        <w:keepNext/>
        <w:ind w:left="851"/>
        <w:rPr>
          <w:snapToGrid w:val="0"/>
          <w:color w:val="000000"/>
          <w:sz w:val="24"/>
          <w:szCs w:val="24"/>
          <w:u w:val="single"/>
          <w:lang w:bidi="ar-QA"/>
        </w:rPr>
      </w:pPr>
      <w:r>
        <w:rPr>
          <w:snapToGrid w:val="0"/>
          <w:color w:val="000000"/>
          <w:sz w:val="24"/>
          <w:szCs w:val="24"/>
          <w:u w:val="single"/>
          <w:lang w:bidi="ar-QA"/>
        </w:rPr>
        <w:t>Forskydningsværdi</w:t>
      </w:r>
    </w:p>
    <w:p w:rsidR="00E22947" w:rsidRDefault="00E22947" w:rsidP="00E22947">
      <w:pPr>
        <w:ind w:left="851"/>
        <w:rPr>
          <w:snapToGrid w:val="0"/>
          <w:color w:val="000000"/>
          <w:sz w:val="24"/>
          <w:szCs w:val="24"/>
          <w:u w:val="single"/>
          <w:lang w:bidi="ar-QA"/>
        </w:rPr>
      </w:pPr>
      <w:r>
        <w:rPr>
          <w:snapToGrid w:val="0"/>
          <w:color w:val="000000"/>
          <w:sz w:val="24"/>
          <w:szCs w:val="24"/>
          <w:lang w:bidi="ar-QA"/>
        </w:rPr>
        <w:t>Forskydningsværdien for opløsningerne er 1 ml for pakningsstørrelsen med 2 g, 2 ml for pakningsstørrelsen med 4 g og 4 ml for pakningsstørrelsen med 8 g.</w:t>
      </w:r>
    </w:p>
    <w:p w:rsidR="00E22947" w:rsidRDefault="00E22947" w:rsidP="00E22947">
      <w:pPr>
        <w:ind w:left="851"/>
        <w:rPr>
          <w:snapToGrid w:val="0"/>
          <w:color w:val="000000"/>
          <w:sz w:val="24"/>
          <w:szCs w:val="24"/>
          <w:lang w:bidi="ar-QA"/>
        </w:rPr>
      </w:pPr>
    </w:p>
    <w:p w:rsidR="00E22947" w:rsidRDefault="00E22947" w:rsidP="00E22947">
      <w:pPr>
        <w:ind w:left="851"/>
        <w:rPr>
          <w:sz w:val="24"/>
          <w:szCs w:val="24"/>
        </w:rPr>
      </w:pPr>
      <w:r>
        <w:rPr>
          <w:snapToGrid w:val="0"/>
          <w:color w:val="000000"/>
          <w:sz w:val="24"/>
          <w:szCs w:val="24"/>
          <w:lang w:bidi="ar-QA"/>
        </w:rPr>
        <w:lastRenderedPageBreak/>
        <w:t>Disse volumener svarer til en forøgelse på 2 %. Det skal der tages hensyn til, såfremt hele volumen af den endeligt fortyndede opløsning ikke anvendes.</w:t>
      </w:r>
    </w:p>
    <w:p w:rsidR="00E22947" w:rsidRPr="00C84483" w:rsidRDefault="00E22947" w:rsidP="00E22947">
      <w:pPr>
        <w:tabs>
          <w:tab w:val="left" w:pos="851"/>
        </w:tabs>
        <w:ind w:left="851"/>
        <w:jc w:val="both"/>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22947" w:rsidRPr="008C2513" w:rsidRDefault="00E22947" w:rsidP="00E22947">
      <w:pPr>
        <w:ind w:left="851"/>
        <w:rPr>
          <w:noProof/>
          <w:sz w:val="24"/>
          <w:szCs w:val="24"/>
        </w:rPr>
      </w:pPr>
      <w:r w:rsidRPr="008C2513">
        <w:rPr>
          <w:noProof/>
          <w:sz w:val="24"/>
          <w:szCs w:val="24"/>
        </w:rPr>
        <w:t>I</w:t>
      </w:r>
      <w:r>
        <w:rPr>
          <w:noProof/>
          <w:sz w:val="24"/>
          <w:szCs w:val="24"/>
        </w:rPr>
        <w:t>nfectopharm</w:t>
      </w:r>
      <w:r w:rsidRPr="008C2513">
        <w:rPr>
          <w:noProof/>
          <w:sz w:val="24"/>
          <w:szCs w:val="24"/>
        </w:rPr>
        <w:t xml:space="preserve"> Arzneimittel und Consilium GmbH</w:t>
      </w:r>
    </w:p>
    <w:p w:rsidR="00E22947" w:rsidRPr="008C2513" w:rsidRDefault="00E22947" w:rsidP="00E22947">
      <w:pPr>
        <w:ind w:left="851"/>
        <w:rPr>
          <w:noProof/>
          <w:sz w:val="24"/>
          <w:szCs w:val="24"/>
        </w:rPr>
      </w:pPr>
      <w:r w:rsidRPr="008C2513">
        <w:rPr>
          <w:noProof/>
          <w:sz w:val="24"/>
          <w:szCs w:val="24"/>
        </w:rPr>
        <w:t>Von-Humboldt-Str. 1</w:t>
      </w:r>
    </w:p>
    <w:p w:rsidR="00E22947" w:rsidRPr="008C2513" w:rsidRDefault="00E22947" w:rsidP="00E22947">
      <w:pPr>
        <w:ind w:left="851"/>
        <w:rPr>
          <w:noProof/>
          <w:sz w:val="24"/>
          <w:szCs w:val="24"/>
        </w:rPr>
      </w:pPr>
      <w:r w:rsidRPr="008C2513">
        <w:rPr>
          <w:noProof/>
          <w:sz w:val="24"/>
          <w:szCs w:val="24"/>
        </w:rPr>
        <w:t>64646 Heppenheim</w:t>
      </w:r>
    </w:p>
    <w:p w:rsidR="00E22947" w:rsidRDefault="00E22947" w:rsidP="00E22947">
      <w:pPr>
        <w:ind w:left="851"/>
        <w:rPr>
          <w:noProof/>
          <w:sz w:val="24"/>
          <w:szCs w:val="24"/>
        </w:rPr>
      </w:pPr>
      <w:r w:rsidRPr="008C2513">
        <w:rPr>
          <w:noProof/>
          <w:sz w:val="24"/>
          <w:szCs w:val="24"/>
        </w:rPr>
        <w:t>Tyskland</w:t>
      </w:r>
    </w:p>
    <w:p w:rsidR="00E22947" w:rsidRDefault="00E22947" w:rsidP="00E22947">
      <w:pPr>
        <w:ind w:left="851"/>
        <w:rPr>
          <w:noProof/>
          <w:sz w:val="24"/>
          <w:szCs w:val="24"/>
        </w:rPr>
      </w:pPr>
    </w:p>
    <w:p w:rsidR="00E22947" w:rsidRPr="008D6517" w:rsidRDefault="00E22947" w:rsidP="00E22947">
      <w:pPr>
        <w:ind w:left="851"/>
        <w:rPr>
          <w:b/>
          <w:noProof/>
          <w:sz w:val="24"/>
          <w:szCs w:val="24"/>
        </w:rPr>
      </w:pPr>
      <w:r w:rsidRPr="008D6517">
        <w:rPr>
          <w:b/>
          <w:noProof/>
          <w:sz w:val="24"/>
          <w:szCs w:val="24"/>
        </w:rPr>
        <w:t>Repræsentant</w:t>
      </w:r>
    </w:p>
    <w:p w:rsidR="00E22947" w:rsidRPr="003B6C0B" w:rsidRDefault="00E22947" w:rsidP="00E22947">
      <w:pPr>
        <w:ind w:left="851"/>
        <w:rPr>
          <w:noProof/>
          <w:sz w:val="24"/>
          <w:szCs w:val="24"/>
          <w:lang w:val="en-US"/>
        </w:rPr>
      </w:pPr>
      <w:r w:rsidRPr="003B6C0B">
        <w:rPr>
          <w:noProof/>
          <w:sz w:val="24"/>
          <w:szCs w:val="24"/>
          <w:lang w:val="en-US"/>
        </w:rPr>
        <w:t>Unimedic Pharma AB</w:t>
      </w:r>
    </w:p>
    <w:p w:rsidR="0045481F" w:rsidRPr="0045481F" w:rsidRDefault="0045481F" w:rsidP="0045481F">
      <w:pPr>
        <w:ind w:left="851"/>
        <w:rPr>
          <w:noProof/>
          <w:sz w:val="24"/>
          <w:szCs w:val="24"/>
          <w:lang w:val="el-GR"/>
        </w:rPr>
      </w:pPr>
      <w:r w:rsidRPr="0045481F">
        <w:rPr>
          <w:noProof/>
          <w:sz w:val="24"/>
          <w:szCs w:val="24"/>
          <w:lang w:val="el-GR"/>
        </w:rPr>
        <w:t>Box 6216</w:t>
      </w:r>
    </w:p>
    <w:p w:rsidR="0045481F" w:rsidRPr="0045481F" w:rsidRDefault="0045481F" w:rsidP="0045481F">
      <w:pPr>
        <w:ind w:left="851"/>
        <w:rPr>
          <w:noProof/>
          <w:sz w:val="24"/>
          <w:szCs w:val="24"/>
          <w:lang w:val="el-GR"/>
        </w:rPr>
      </w:pPr>
      <w:r w:rsidRPr="0045481F">
        <w:rPr>
          <w:noProof/>
          <w:sz w:val="24"/>
          <w:szCs w:val="24"/>
          <w:lang w:val="el-GR"/>
        </w:rPr>
        <w:t>102 34 Stockholm</w:t>
      </w:r>
    </w:p>
    <w:p w:rsidR="00E22947" w:rsidRPr="00215313" w:rsidRDefault="0045481F" w:rsidP="0045481F">
      <w:pPr>
        <w:ind w:left="851"/>
        <w:rPr>
          <w:sz w:val="24"/>
          <w:szCs w:val="24"/>
          <w:lang w:val="en-US"/>
        </w:rPr>
      </w:pPr>
      <w:r w:rsidRPr="0045481F">
        <w:rPr>
          <w:noProof/>
          <w:sz w:val="24"/>
          <w:szCs w:val="24"/>
          <w:lang w:val="el-GR"/>
        </w:rPr>
        <w:t>Sverige</w:t>
      </w:r>
    </w:p>
    <w:p w:rsidR="00E22947" w:rsidRPr="00215313" w:rsidRDefault="00E22947" w:rsidP="00E22947">
      <w:pPr>
        <w:tabs>
          <w:tab w:val="left" w:pos="851"/>
        </w:tabs>
        <w:ind w:left="851"/>
        <w:rPr>
          <w:sz w:val="24"/>
          <w:szCs w:val="24"/>
          <w:lang w:val="en-US"/>
        </w:rPr>
      </w:pPr>
    </w:p>
    <w:p w:rsidR="00E22947" w:rsidRPr="00C84483" w:rsidRDefault="00E22947" w:rsidP="00E2294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D7645D">
        <w:rPr>
          <w:b/>
          <w:sz w:val="24"/>
          <w:szCs w:val="24"/>
        </w:rPr>
        <w:t>-</w:t>
      </w:r>
      <w:r w:rsidRPr="00C84483">
        <w:rPr>
          <w:b/>
          <w:sz w:val="24"/>
          <w:szCs w:val="24"/>
        </w:rPr>
        <w:t>NUMRE)</w:t>
      </w:r>
    </w:p>
    <w:p w:rsidR="00E22947" w:rsidRPr="00C84483" w:rsidRDefault="00E22947" w:rsidP="00E22947">
      <w:pPr>
        <w:tabs>
          <w:tab w:val="left" w:pos="851"/>
        </w:tabs>
        <w:ind w:left="851"/>
        <w:rPr>
          <w:sz w:val="24"/>
          <w:szCs w:val="24"/>
        </w:rPr>
      </w:pPr>
      <w:r>
        <w:rPr>
          <w:sz w:val="24"/>
          <w:szCs w:val="24"/>
        </w:rPr>
        <w:t>58248</w:t>
      </w:r>
    </w:p>
    <w:p w:rsidR="00E22947" w:rsidRPr="00C84483" w:rsidRDefault="00E22947" w:rsidP="00E22947">
      <w:pPr>
        <w:tabs>
          <w:tab w:val="left" w:pos="851"/>
        </w:tabs>
        <w:ind w:left="851"/>
        <w:jc w:val="both"/>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E22947" w:rsidRPr="00C84483" w:rsidRDefault="00E22947" w:rsidP="00E22947">
      <w:pPr>
        <w:tabs>
          <w:tab w:val="left" w:pos="851"/>
        </w:tabs>
        <w:ind w:left="851"/>
        <w:rPr>
          <w:sz w:val="24"/>
          <w:szCs w:val="24"/>
        </w:rPr>
      </w:pPr>
      <w:r>
        <w:rPr>
          <w:sz w:val="24"/>
          <w:szCs w:val="24"/>
        </w:rPr>
        <w:t>5. december 2016</w:t>
      </w:r>
    </w:p>
    <w:p w:rsidR="00E22947" w:rsidRPr="00C84483" w:rsidRDefault="00E22947" w:rsidP="00E22947">
      <w:pPr>
        <w:tabs>
          <w:tab w:val="left" w:pos="851"/>
        </w:tabs>
        <w:ind w:left="851"/>
        <w:rPr>
          <w:sz w:val="24"/>
          <w:szCs w:val="24"/>
        </w:rPr>
      </w:pPr>
    </w:p>
    <w:p w:rsidR="00E22947" w:rsidRPr="00C84483" w:rsidRDefault="00E22947" w:rsidP="00E2294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E22947" w:rsidRPr="00C84483" w:rsidRDefault="003F214A" w:rsidP="00E22947">
      <w:pPr>
        <w:tabs>
          <w:tab w:val="left" w:pos="851"/>
        </w:tabs>
        <w:ind w:left="851"/>
        <w:rPr>
          <w:sz w:val="24"/>
          <w:szCs w:val="24"/>
        </w:rPr>
      </w:pPr>
      <w:r>
        <w:rPr>
          <w:sz w:val="24"/>
          <w:szCs w:val="24"/>
        </w:rPr>
        <w:t>13</w:t>
      </w:r>
      <w:bookmarkStart w:id="0" w:name="_GoBack"/>
      <w:bookmarkEnd w:id="0"/>
      <w:r w:rsidR="00D7645D">
        <w:rPr>
          <w:sz w:val="24"/>
          <w:szCs w:val="24"/>
        </w:rPr>
        <w:t>. marts 2025</w:t>
      </w:r>
    </w:p>
    <w:p w:rsidR="00E22947" w:rsidRPr="007F4528" w:rsidRDefault="00E22947" w:rsidP="00E22947"/>
    <w:p w:rsidR="00E22947" w:rsidRPr="00EC0746" w:rsidRDefault="00E22947" w:rsidP="00E22947"/>
    <w:p w:rsidR="009260DE" w:rsidRPr="00E22947" w:rsidRDefault="009260DE" w:rsidP="00E22947"/>
    <w:sectPr w:rsidR="009260DE" w:rsidRPr="00E2294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50D" w:rsidRDefault="00F2350D">
      <w:r>
        <w:separator/>
      </w:r>
    </w:p>
  </w:endnote>
  <w:endnote w:type="continuationSeparator" w:id="0">
    <w:p w:rsidR="00F2350D" w:rsidRDefault="00F2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50D" w:rsidRDefault="00F2350D">
    <w:pPr>
      <w:pStyle w:val="Sidefod"/>
      <w:pBdr>
        <w:bottom w:val="single" w:sz="6" w:space="1" w:color="auto"/>
      </w:pBdr>
    </w:pPr>
  </w:p>
  <w:p w:rsidR="00F2350D" w:rsidRDefault="00F2350D" w:rsidP="00C42586">
    <w:pPr>
      <w:pStyle w:val="Sidefod"/>
      <w:tabs>
        <w:tab w:val="clear" w:pos="4819"/>
        <w:tab w:val="left" w:pos="8505"/>
      </w:tabs>
      <w:rPr>
        <w:i/>
        <w:sz w:val="18"/>
        <w:szCs w:val="18"/>
      </w:rPr>
    </w:pPr>
  </w:p>
  <w:p w:rsidR="00F2350D" w:rsidRPr="00B373D7" w:rsidRDefault="00F2350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Fosfomycin Infectopharm, pulver til infusionsvæske, opløsning 40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50D" w:rsidRDefault="00F2350D">
      <w:r>
        <w:separator/>
      </w:r>
    </w:p>
  </w:footnote>
  <w:footnote w:type="continuationSeparator" w:id="0">
    <w:p w:rsidR="00F2350D" w:rsidRDefault="00F23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5A835BA"/>
    <w:multiLevelType w:val="hybridMultilevel"/>
    <w:tmpl w:val="D0FAA216"/>
    <w:lvl w:ilvl="0" w:tplc="04F0DCC2">
      <w:start w:val="1"/>
      <w:numFmt w:val="bullet"/>
      <w:lvlText w:val=""/>
      <w:lvlJc w:val="left"/>
      <w:pPr>
        <w:ind w:left="720" w:hanging="360"/>
      </w:pPr>
      <w:rPr>
        <w:rFonts w:ascii="Symbol" w:hAnsi="Symbol" w:hint="default"/>
      </w:rPr>
    </w:lvl>
    <w:lvl w:ilvl="1" w:tplc="7D3C02B4">
      <w:start w:val="1"/>
      <w:numFmt w:val="bullet"/>
      <w:lvlText w:val="o"/>
      <w:lvlJc w:val="left"/>
      <w:pPr>
        <w:ind w:left="1440" w:hanging="360"/>
      </w:pPr>
      <w:rPr>
        <w:rFonts w:ascii="Courier New" w:hAnsi="Courier New" w:cs="Courier New" w:hint="default"/>
      </w:rPr>
    </w:lvl>
    <w:lvl w:ilvl="2" w:tplc="08A6223C">
      <w:start w:val="1"/>
      <w:numFmt w:val="bullet"/>
      <w:lvlText w:val=""/>
      <w:lvlJc w:val="left"/>
      <w:pPr>
        <w:ind w:left="2160" w:hanging="360"/>
      </w:pPr>
      <w:rPr>
        <w:rFonts w:ascii="Wingdings" w:hAnsi="Wingdings" w:hint="default"/>
      </w:rPr>
    </w:lvl>
    <w:lvl w:ilvl="3" w:tplc="9A5E74EC">
      <w:start w:val="1"/>
      <w:numFmt w:val="bullet"/>
      <w:lvlText w:val=""/>
      <w:lvlJc w:val="left"/>
      <w:pPr>
        <w:ind w:left="2880" w:hanging="360"/>
      </w:pPr>
      <w:rPr>
        <w:rFonts w:ascii="Symbol" w:hAnsi="Symbol" w:hint="default"/>
      </w:rPr>
    </w:lvl>
    <w:lvl w:ilvl="4" w:tplc="141030CA">
      <w:start w:val="1"/>
      <w:numFmt w:val="bullet"/>
      <w:lvlText w:val="o"/>
      <w:lvlJc w:val="left"/>
      <w:pPr>
        <w:ind w:left="3600" w:hanging="360"/>
      </w:pPr>
      <w:rPr>
        <w:rFonts w:ascii="Courier New" w:hAnsi="Courier New" w:cs="Courier New" w:hint="default"/>
      </w:rPr>
    </w:lvl>
    <w:lvl w:ilvl="5" w:tplc="1ECAA12A">
      <w:start w:val="1"/>
      <w:numFmt w:val="bullet"/>
      <w:lvlText w:val=""/>
      <w:lvlJc w:val="left"/>
      <w:pPr>
        <w:ind w:left="4320" w:hanging="360"/>
      </w:pPr>
      <w:rPr>
        <w:rFonts w:ascii="Wingdings" w:hAnsi="Wingdings" w:hint="default"/>
      </w:rPr>
    </w:lvl>
    <w:lvl w:ilvl="6" w:tplc="76BA3BF6">
      <w:start w:val="1"/>
      <w:numFmt w:val="bullet"/>
      <w:lvlText w:val=""/>
      <w:lvlJc w:val="left"/>
      <w:pPr>
        <w:ind w:left="5040" w:hanging="360"/>
      </w:pPr>
      <w:rPr>
        <w:rFonts w:ascii="Symbol" w:hAnsi="Symbol" w:hint="default"/>
      </w:rPr>
    </w:lvl>
    <w:lvl w:ilvl="7" w:tplc="9B8A6FC6">
      <w:start w:val="1"/>
      <w:numFmt w:val="bullet"/>
      <w:lvlText w:val="o"/>
      <w:lvlJc w:val="left"/>
      <w:pPr>
        <w:ind w:left="5760" w:hanging="360"/>
      </w:pPr>
      <w:rPr>
        <w:rFonts w:ascii="Courier New" w:hAnsi="Courier New" w:cs="Courier New" w:hint="default"/>
      </w:rPr>
    </w:lvl>
    <w:lvl w:ilvl="8" w:tplc="843205CE">
      <w:start w:val="1"/>
      <w:numFmt w:val="bullet"/>
      <w:lvlText w:val=""/>
      <w:lvlJc w:val="left"/>
      <w:pPr>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47"/>
    <w:rsid w:val="000259B9"/>
    <w:rsid w:val="00041491"/>
    <w:rsid w:val="00050D16"/>
    <w:rsid w:val="00074F2A"/>
    <w:rsid w:val="00080455"/>
    <w:rsid w:val="000835A2"/>
    <w:rsid w:val="000A1CA8"/>
    <w:rsid w:val="000A466B"/>
    <w:rsid w:val="000B058C"/>
    <w:rsid w:val="000E4EE6"/>
    <w:rsid w:val="00113516"/>
    <w:rsid w:val="001454E2"/>
    <w:rsid w:val="001A69D9"/>
    <w:rsid w:val="00206CE8"/>
    <w:rsid w:val="0021526C"/>
    <w:rsid w:val="00215313"/>
    <w:rsid w:val="00283A2B"/>
    <w:rsid w:val="002B1D90"/>
    <w:rsid w:val="002B30AD"/>
    <w:rsid w:val="002C2C01"/>
    <w:rsid w:val="00350652"/>
    <w:rsid w:val="003A29AE"/>
    <w:rsid w:val="003A32D7"/>
    <w:rsid w:val="003B4074"/>
    <w:rsid w:val="003B6C0B"/>
    <w:rsid w:val="003C769A"/>
    <w:rsid w:val="003F1838"/>
    <w:rsid w:val="003F214A"/>
    <w:rsid w:val="0045481F"/>
    <w:rsid w:val="0045746C"/>
    <w:rsid w:val="0049104B"/>
    <w:rsid w:val="004E3B12"/>
    <w:rsid w:val="00532310"/>
    <w:rsid w:val="00560ECC"/>
    <w:rsid w:val="00565F0F"/>
    <w:rsid w:val="005738A3"/>
    <w:rsid w:val="00594A86"/>
    <w:rsid w:val="00596D86"/>
    <w:rsid w:val="005E526D"/>
    <w:rsid w:val="005E6A05"/>
    <w:rsid w:val="00637F5A"/>
    <w:rsid w:val="006560B1"/>
    <w:rsid w:val="006756DD"/>
    <w:rsid w:val="006B741E"/>
    <w:rsid w:val="006E544C"/>
    <w:rsid w:val="00737275"/>
    <w:rsid w:val="00740EEC"/>
    <w:rsid w:val="00765AF7"/>
    <w:rsid w:val="0078011A"/>
    <w:rsid w:val="00782AF4"/>
    <w:rsid w:val="00790EE7"/>
    <w:rsid w:val="007B0539"/>
    <w:rsid w:val="007B6649"/>
    <w:rsid w:val="0081546F"/>
    <w:rsid w:val="00816301"/>
    <w:rsid w:val="0082576E"/>
    <w:rsid w:val="00885291"/>
    <w:rsid w:val="008C198A"/>
    <w:rsid w:val="00907F75"/>
    <w:rsid w:val="009260DE"/>
    <w:rsid w:val="0093258A"/>
    <w:rsid w:val="009675F0"/>
    <w:rsid w:val="009C7BA3"/>
    <w:rsid w:val="009D1F5A"/>
    <w:rsid w:val="00B003BF"/>
    <w:rsid w:val="00B373D7"/>
    <w:rsid w:val="00B43BF8"/>
    <w:rsid w:val="00C36276"/>
    <w:rsid w:val="00C42586"/>
    <w:rsid w:val="00C60CCD"/>
    <w:rsid w:val="00C84483"/>
    <w:rsid w:val="00C95551"/>
    <w:rsid w:val="00CB20D7"/>
    <w:rsid w:val="00D020B0"/>
    <w:rsid w:val="00D11748"/>
    <w:rsid w:val="00D366CF"/>
    <w:rsid w:val="00D57ED7"/>
    <w:rsid w:val="00D7645D"/>
    <w:rsid w:val="00E108AA"/>
    <w:rsid w:val="00E22947"/>
    <w:rsid w:val="00E31812"/>
    <w:rsid w:val="00E3749A"/>
    <w:rsid w:val="00E738E0"/>
    <w:rsid w:val="00E7437F"/>
    <w:rsid w:val="00E865B8"/>
    <w:rsid w:val="00EC0B9B"/>
    <w:rsid w:val="00ED5E9F"/>
    <w:rsid w:val="00F14DD9"/>
    <w:rsid w:val="00F21F4A"/>
    <w:rsid w:val="00F2350D"/>
    <w:rsid w:val="00F66D4F"/>
    <w:rsid w:val="00FA6389"/>
    <w:rsid w:val="00FB6D01"/>
    <w:rsid w:val="00FF1D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BB4C392"/>
  <w15:chartTrackingRefBased/>
  <w15:docId w15:val="{37558E3D-C74E-4FDB-8C35-B4C4046D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iPriority w:val="99"/>
    <w:rsid w:val="00E22947"/>
    <w:pPr>
      <w:spacing w:after="120"/>
      <w:ind w:left="720"/>
    </w:pPr>
    <w:rPr>
      <w:sz w:val="22"/>
      <w:szCs w:val="22"/>
      <w:lang w:val="en-GB" w:eastAsia="en-GB"/>
    </w:rPr>
  </w:style>
  <w:style w:type="character" w:customStyle="1" w:styleId="st">
    <w:name w:val="st"/>
    <w:basedOn w:val="Standardskrifttypeiafsnit"/>
    <w:uiPriority w:val="99"/>
    <w:rsid w:val="00E22947"/>
    <w:rPr>
      <w:rFonts w:cs="Times New Roman"/>
    </w:rPr>
  </w:style>
  <w:style w:type="character" w:styleId="Fremhv">
    <w:name w:val="Emphasis"/>
    <w:basedOn w:val="Standardskrifttypeiafsnit"/>
    <w:uiPriority w:val="99"/>
    <w:qFormat/>
    <w:rsid w:val="00E22947"/>
    <w:rPr>
      <w:rFonts w:cs="Times New Roman"/>
      <w:i/>
      <w:iCs/>
    </w:rPr>
  </w:style>
  <w:style w:type="paragraph" w:customStyle="1" w:styleId="Formatvorlageberschrift3NichtKursivUnterstrichenLinks125cm">
    <w:name w:val="Formatvorlage Überschrift 3 + Nicht Kursiv Unterstrichen Links:  125 cm..."/>
    <w:basedOn w:val="Overskrift3"/>
    <w:uiPriority w:val="99"/>
    <w:rsid w:val="00E22947"/>
    <w:pPr>
      <w:spacing w:after="0" w:line="276" w:lineRule="auto"/>
      <w:ind w:left="709"/>
    </w:pPr>
    <w:rPr>
      <w:rFonts w:ascii="Cambria" w:hAnsi="Cambria"/>
      <w:b/>
      <w:bCs/>
      <w:sz w:val="26"/>
      <w:u w:val="single"/>
      <w:lang w:val="en-GB" w:eastAsia="en-GB"/>
    </w:rPr>
  </w:style>
  <w:style w:type="paragraph" w:styleId="Brdtekstindrykning">
    <w:name w:val="Body Text Indent"/>
    <w:basedOn w:val="Normal"/>
    <w:link w:val="BrdtekstindrykningTegn"/>
    <w:uiPriority w:val="99"/>
    <w:unhideWhenUsed/>
    <w:rsid w:val="00E22947"/>
    <w:pPr>
      <w:spacing w:after="120"/>
      <w:ind w:left="283"/>
    </w:pPr>
  </w:style>
  <w:style w:type="character" w:customStyle="1" w:styleId="BrdtekstindrykningTegn">
    <w:name w:val="Brødtekstindrykning Tegn"/>
    <w:basedOn w:val="Standardskrifttypeiafsnit"/>
    <w:link w:val="Brdtekstindrykning"/>
    <w:uiPriority w:val="99"/>
    <w:rsid w:val="00E22947"/>
    <w:rPr>
      <w:sz w:val="23"/>
      <w:lang w:eastAsia="en-US"/>
    </w:rPr>
  </w:style>
  <w:style w:type="character" w:customStyle="1" w:styleId="Overskrift1Tegn">
    <w:name w:val="Overskrift 1 Tegn"/>
    <w:basedOn w:val="Standardskrifttypeiafsnit"/>
    <w:link w:val="Overskrift1"/>
    <w:uiPriority w:val="99"/>
    <w:locked/>
    <w:rsid w:val="00E22947"/>
    <w:rPr>
      <w:rFonts w:ascii="Arial" w:hAnsi="Arial"/>
      <w:b/>
      <w:kern w:val="28"/>
      <w:sz w:val="28"/>
      <w:lang w:eastAsia="en-US"/>
    </w:rPr>
  </w:style>
  <w:style w:type="paragraph" w:customStyle="1" w:styleId="MusterTitel">
    <w:name w:val="Muster_Titel"/>
    <w:basedOn w:val="Titel"/>
    <w:uiPriority w:val="99"/>
    <w:rsid w:val="00E22947"/>
    <w:pPr>
      <w:spacing w:before="480" w:after="480"/>
      <w:ind w:left="567"/>
    </w:pPr>
    <w:rPr>
      <w:rFonts w:ascii="Cambria" w:hAnsi="Cambria"/>
      <w:b w:val="0"/>
      <w:kern w:val="1"/>
      <w:sz w:val="28"/>
      <w:szCs w:val="28"/>
      <w:lang w:val="de-DE" w:eastAsia="de-DE"/>
    </w:rPr>
  </w:style>
  <w:style w:type="character" w:customStyle="1" w:styleId="BodytextAgencyChar">
    <w:name w:val="Body text (Agency) Char"/>
    <w:link w:val="BodytextAgency"/>
    <w:uiPriority w:val="99"/>
    <w:qFormat/>
    <w:locked/>
    <w:rsid w:val="00F21F4A"/>
    <w:rPr>
      <w:rFonts w:ascii="Verdana" w:eastAsia="Verdana" w:hAnsi="Verdana" w:cs="Verdana"/>
      <w:sz w:val="18"/>
      <w:szCs w:val="18"/>
      <w:lang w:eastAsia="en-GB"/>
    </w:rPr>
  </w:style>
  <w:style w:type="paragraph" w:customStyle="1" w:styleId="BodytextAgency">
    <w:name w:val="Body text (Agency)"/>
    <w:basedOn w:val="Normal"/>
    <w:link w:val="BodytextAgencyChar"/>
    <w:uiPriority w:val="99"/>
    <w:qFormat/>
    <w:rsid w:val="00F21F4A"/>
    <w:pPr>
      <w:spacing w:after="140" w:line="280" w:lineRule="atLeast"/>
    </w:pPr>
    <w:rPr>
      <w:rFonts w:ascii="Verdana" w:eastAsia="Verdana" w:hAnsi="Verdana" w:cs="Verdana"/>
      <w:sz w:val="18"/>
      <w:szCs w:val="18"/>
      <w:lang w:eastAsia="en-GB"/>
    </w:rPr>
  </w:style>
  <w:style w:type="character" w:styleId="Hyperlink">
    <w:name w:val="Hyperlink"/>
    <w:basedOn w:val="Standardskrifttypeiafsnit"/>
    <w:uiPriority w:val="99"/>
    <w:unhideWhenUsed/>
    <w:rsid w:val="000835A2"/>
    <w:rPr>
      <w:color w:val="0563C1" w:themeColor="hyperlink"/>
      <w:u w:val="single"/>
    </w:rPr>
  </w:style>
  <w:style w:type="character" w:styleId="Ulstomtale">
    <w:name w:val="Unresolved Mention"/>
    <w:basedOn w:val="Standardskrifttypeiafsnit"/>
    <w:uiPriority w:val="99"/>
    <w:semiHidden/>
    <w:unhideWhenUsed/>
    <w:rsid w:val="00083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5333884">
      <w:bodyDiv w:val="1"/>
      <w:marLeft w:val="0"/>
      <w:marRight w:val="0"/>
      <w:marTop w:val="0"/>
      <w:marBottom w:val="0"/>
      <w:divBdr>
        <w:top w:val="none" w:sz="0" w:space="0" w:color="auto"/>
        <w:left w:val="none" w:sz="0" w:space="0" w:color="auto"/>
        <w:bottom w:val="none" w:sz="0" w:space="0" w:color="auto"/>
        <w:right w:val="none" w:sz="0" w:space="0" w:color="auto"/>
      </w:divBdr>
    </w:div>
    <w:div w:id="443769962">
      <w:bodyDiv w:val="1"/>
      <w:marLeft w:val="0"/>
      <w:marRight w:val="0"/>
      <w:marTop w:val="0"/>
      <w:marBottom w:val="0"/>
      <w:divBdr>
        <w:top w:val="none" w:sz="0" w:space="0" w:color="auto"/>
        <w:left w:val="none" w:sz="0" w:space="0" w:color="auto"/>
        <w:bottom w:val="none" w:sz="0" w:space="0" w:color="auto"/>
        <w:right w:val="none" w:sz="0" w:space="0" w:color="auto"/>
      </w:divBdr>
    </w:div>
    <w:div w:id="642664720">
      <w:bodyDiv w:val="1"/>
      <w:marLeft w:val="0"/>
      <w:marRight w:val="0"/>
      <w:marTop w:val="0"/>
      <w:marBottom w:val="0"/>
      <w:divBdr>
        <w:top w:val="none" w:sz="0" w:space="0" w:color="auto"/>
        <w:left w:val="none" w:sz="0" w:space="0" w:color="auto"/>
        <w:bottom w:val="none" w:sz="0" w:space="0" w:color="auto"/>
        <w:right w:val="none" w:sz="0" w:space="0" w:color="auto"/>
      </w:divBdr>
    </w:div>
    <w:div w:id="989141342">
      <w:bodyDiv w:val="1"/>
      <w:marLeft w:val="0"/>
      <w:marRight w:val="0"/>
      <w:marTop w:val="0"/>
      <w:marBottom w:val="0"/>
      <w:divBdr>
        <w:top w:val="none" w:sz="0" w:space="0" w:color="auto"/>
        <w:left w:val="none" w:sz="0" w:space="0" w:color="auto"/>
        <w:bottom w:val="none" w:sz="0" w:space="0" w:color="auto"/>
        <w:right w:val="none" w:sz="0" w:space="0" w:color="auto"/>
      </w:divBdr>
    </w:div>
    <w:div w:id="1060640537">
      <w:bodyDiv w:val="1"/>
      <w:marLeft w:val="0"/>
      <w:marRight w:val="0"/>
      <w:marTop w:val="0"/>
      <w:marBottom w:val="0"/>
      <w:divBdr>
        <w:top w:val="none" w:sz="0" w:space="0" w:color="auto"/>
        <w:left w:val="none" w:sz="0" w:space="0" w:color="auto"/>
        <w:bottom w:val="none" w:sz="0" w:space="0" w:color="auto"/>
        <w:right w:val="none" w:sz="0" w:space="0" w:color="auto"/>
      </w:divBdr>
    </w:div>
    <w:div w:id="1077748746">
      <w:bodyDiv w:val="1"/>
      <w:marLeft w:val="0"/>
      <w:marRight w:val="0"/>
      <w:marTop w:val="0"/>
      <w:marBottom w:val="0"/>
      <w:divBdr>
        <w:top w:val="none" w:sz="0" w:space="0" w:color="auto"/>
        <w:left w:val="none" w:sz="0" w:space="0" w:color="auto"/>
        <w:bottom w:val="none" w:sz="0" w:space="0" w:color="auto"/>
        <w:right w:val="none" w:sz="0" w:space="0" w:color="auto"/>
      </w:divBdr>
    </w:div>
    <w:div w:id="1491480627">
      <w:bodyDiv w:val="1"/>
      <w:marLeft w:val="0"/>
      <w:marRight w:val="0"/>
      <w:marTop w:val="0"/>
      <w:marBottom w:val="0"/>
      <w:divBdr>
        <w:top w:val="none" w:sz="0" w:space="0" w:color="auto"/>
        <w:left w:val="none" w:sz="0" w:space="0" w:color="auto"/>
        <w:bottom w:val="none" w:sz="0" w:space="0" w:color="auto"/>
        <w:right w:val="none" w:sz="0" w:space="0" w:color="auto"/>
      </w:divBdr>
    </w:div>
    <w:div w:id="1606498189">
      <w:bodyDiv w:val="1"/>
      <w:marLeft w:val="0"/>
      <w:marRight w:val="0"/>
      <w:marTop w:val="0"/>
      <w:marBottom w:val="0"/>
      <w:divBdr>
        <w:top w:val="none" w:sz="0" w:space="0" w:color="auto"/>
        <w:left w:val="none" w:sz="0" w:space="0" w:color="auto"/>
        <w:bottom w:val="none" w:sz="0" w:space="0" w:color="auto"/>
        <w:right w:val="none" w:sz="0" w:space="0" w:color="auto"/>
      </w:divBdr>
    </w:div>
    <w:div w:id="1653363320">
      <w:bodyDiv w:val="1"/>
      <w:marLeft w:val="0"/>
      <w:marRight w:val="0"/>
      <w:marTop w:val="0"/>
      <w:marBottom w:val="0"/>
      <w:divBdr>
        <w:top w:val="none" w:sz="0" w:space="0" w:color="auto"/>
        <w:left w:val="none" w:sz="0" w:space="0" w:color="auto"/>
        <w:bottom w:val="none" w:sz="0" w:space="0" w:color="auto"/>
        <w:right w:val="none" w:sz="0" w:space="0" w:color="auto"/>
      </w:divBdr>
    </w:div>
    <w:div w:id="1661301296">
      <w:bodyDiv w:val="1"/>
      <w:marLeft w:val="0"/>
      <w:marRight w:val="0"/>
      <w:marTop w:val="0"/>
      <w:marBottom w:val="0"/>
      <w:divBdr>
        <w:top w:val="none" w:sz="0" w:space="0" w:color="auto"/>
        <w:left w:val="none" w:sz="0" w:space="0" w:color="auto"/>
        <w:bottom w:val="none" w:sz="0" w:space="0" w:color="auto"/>
        <w:right w:val="none" w:sz="0" w:space="0" w:color="auto"/>
      </w:divBdr>
    </w:div>
    <w:div w:id="1762531502">
      <w:bodyDiv w:val="1"/>
      <w:marLeft w:val="0"/>
      <w:marRight w:val="0"/>
      <w:marTop w:val="0"/>
      <w:marBottom w:val="0"/>
      <w:divBdr>
        <w:top w:val="none" w:sz="0" w:space="0" w:color="auto"/>
        <w:left w:val="none" w:sz="0" w:space="0" w:color="auto"/>
        <w:bottom w:val="none" w:sz="0" w:space="0" w:color="auto"/>
        <w:right w:val="none" w:sz="0" w:space="0" w:color="auto"/>
      </w:divBdr>
    </w:div>
    <w:div w:id="1868175424">
      <w:bodyDiv w:val="1"/>
      <w:marLeft w:val="0"/>
      <w:marRight w:val="0"/>
      <w:marTop w:val="0"/>
      <w:marBottom w:val="0"/>
      <w:divBdr>
        <w:top w:val="none" w:sz="0" w:space="0" w:color="auto"/>
        <w:left w:val="none" w:sz="0" w:space="0" w:color="auto"/>
        <w:bottom w:val="none" w:sz="0" w:space="0" w:color="auto"/>
        <w:right w:val="none" w:sz="0" w:space="0" w:color="auto"/>
      </w:divBdr>
    </w:div>
    <w:div w:id="1871529280">
      <w:bodyDiv w:val="1"/>
      <w:marLeft w:val="0"/>
      <w:marRight w:val="0"/>
      <w:marTop w:val="0"/>
      <w:marBottom w:val="0"/>
      <w:divBdr>
        <w:top w:val="none" w:sz="0" w:space="0" w:color="auto"/>
        <w:left w:val="none" w:sz="0" w:space="0" w:color="auto"/>
        <w:bottom w:val="none" w:sz="0" w:space="0" w:color="auto"/>
        <w:right w:val="none" w:sz="0" w:space="0" w:color="auto"/>
      </w:divBdr>
    </w:div>
    <w:div w:id="1930309586">
      <w:bodyDiv w:val="1"/>
      <w:marLeft w:val="0"/>
      <w:marRight w:val="0"/>
      <w:marTop w:val="0"/>
      <w:marBottom w:val="0"/>
      <w:divBdr>
        <w:top w:val="none" w:sz="0" w:space="0" w:color="auto"/>
        <w:left w:val="none" w:sz="0" w:space="0" w:color="auto"/>
        <w:bottom w:val="none" w:sz="0" w:space="0" w:color="auto"/>
        <w:right w:val="none" w:sz="0" w:space="0" w:color="auto"/>
      </w:divBdr>
    </w:div>
    <w:div w:id="2044134104">
      <w:bodyDiv w:val="1"/>
      <w:marLeft w:val="0"/>
      <w:marRight w:val="0"/>
      <w:marTop w:val="0"/>
      <w:marBottom w:val="0"/>
      <w:divBdr>
        <w:top w:val="none" w:sz="0" w:space="0" w:color="auto"/>
        <w:left w:val="none" w:sz="0" w:space="0" w:color="auto"/>
        <w:bottom w:val="none" w:sz="0" w:space="0" w:color="auto"/>
        <w:right w:val="none" w:sz="0" w:space="0" w:color="auto"/>
      </w:divBdr>
    </w:div>
    <w:div w:id="20904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documents/other/minimum-inhibitory-concentration-mic-breakpoints_en.xls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3407</Words>
  <Characters>22824</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2024044278  - pkt. 5.1</dc:description>
  <cp:lastModifiedBy>Line Aaboe Würtz</cp:lastModifiedBy>
  <cp:revision>4</cp:revision>
  <cp:lastPrinted>2012-08-22T08:53:00Z</cp:lastPrinted>
  <dcterms:created xsi:type="dcterms:W3CDTF">2025-03-03T12:29:00Z</dcterms:created>
  <dcterms:modified xsi:type="dcterms:W3CDTF">2025-03-13T10:38:00Z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