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F1A" w:rsidRPr="00290DD8" w:rsidRDefault="000810A9" w:rsidP="000C4F1A">
      <w:pPr>
        <w:pStyle w:val="Sidehoved"/>
        <w:tabs>
          <w:tab w:val="clear" w:pos="4819"/>
          <w:tab w:val="clear" w:pos="9638"/>
          <w:tab w:val="right" w:pos="9072"/>
        </w:tabs>
        <w:rPr>
          <w:noProof/>
        </w:rPr>
      </w:pPr>
      <w:bookmarkStart w:id="0" w:name="_GoBack"/>
      <w:bookmarkEnd w:id="0"/>
      <w:r w:rsidRPr="004C57C7">
        <w:rPr>
          <w:noProof/>
        </w:rPr>
        <w:drawing>
          <wp:inline distT="0" distB="0" distL="0" distR="0">
            <wp:extent cx="2463800" cy="685800"/>
            <wp:effectExtent l="0" t="0" r="0" b="0"/>
            <wp:docPr id="1" name="Billede 1"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logo (EN) - mind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p>
    <w:p w:rsidR="00F870E9" w:rsidRDefault="00F870E9" w:rsidP="000C4F1A">
      <w:pPr>
        <w:pStyle w:val="Sidehoved"/>
        <w:tabs>
          <w:tab w:val="clear" w:pos="4819"/>
          <w:tab w:val="clear" w:pos="9638"/>
          <w:tab w:val="right" w:pos="9072"/>
        </w:tabs>
        <w:jc w:val="right"/>
        <w:rPr>
          <w:b/>
          <w:spacing w:val="-3"/>
        </w:rPr>
      </w:pPr>
    </w:p>
    <w:p w:rsidR="00F870E9" w:rsidRDefault="00F870E9" w:rsidP="00F870E9">
      <w:pPr>
        <w:pStyle w:val="Sidehoved"/>
        <w:tabs>
          <w:tab w:val="clear" w:pos="4819"/>
          <w:tab w:val="clear" w:pos="9638"/>
          <w:tab w:val="right" w:pos="9072"/>
        </w:tabs>
        <w:rPr>
          <w:b/>
          <w:spacing w:val="-3"/>
        </w:rPr>
      </w:pPr>
    </w:p>
    <w:p w:rsidR="00921190" w:rsidRDefault="00921190" w:rsidP="00F870E9">
      <w:pPr>
        <w:pStyle w:val="Sidehoved"/>
        <w:tabs>
          <w:tab w:val="clear" w:pos="4819"/>
          <w:tab w:val="clear" w:pos="9638"/>
          <w:tab w:val="right" w:pos="9072"/>
        </w:tabs>
        <w:rPr>
          <w:b/>
          <w:spacing w:val="-3"/>
        </w:rPr>
      </w:pPr>
    </w:p>
    <w:p w:rsidR="00E84D5F" w:rsidRDefault="00921190" w:rsidP="000C4F1A">
      <w:pPr>
        <w:pStyle w:val="Sidehoved"/>
        <w:tabs>
          <w:tab w:val="clear" w:pos="4819"/>
          <w:tab w:val="clear" w:pos="9638"/>
          <w:tab w:val="right" w:pos="9072"/>
        </w:tabs>
        <w:jc w:val="right"/>
        <w:rPr>
          <w:b/>
          <w:spacing w:val="-3"/>
        </w:rPr>
      </w:pPr>
      <w:r>
        <w:rPr>
          <w:b/>
          <w:spacing w:val="-3"/>
        </w:rPr>
        <w:t>16. november 2023</w:t>
      </w:r>
    </w:p>
    <w:p w:rsidR="00921190" w:rsidRPr="00290DD8" w:rsidRDefault="00921190" w:rsidP="000C4F1A">
      <w:pPr>
        <w:pStyle w:val="Sidehoved"/>
        <w:tabs>
          <w:tab w:val="clear" w:pos="4819"/>
          <w:tab w:val="clear" w:pos="9638"/>
          <w:tab w:val="right" w:pos="9072"/>
        </w:tabs>
        <w:jc w:val="right"/>
        <w:rPr>
          <w:b/>
          <w:spacing w:val="-3"/>
        </w:rPr>
      </w:pPr>
    </w:p>
    <w:p w:rsidR="008A51D1" w:rsidRDefault="008A51D1" w:rsidP="008C5240">
      <w:pPr>
        <w:pStyle w:val="Overskrift1"/>
        <w:jc w:val="left"/>
      </w:pPr>
    </w:p>
    <w:p w:rsidR="00E84D5F" w:rsidRPr="00290DD8" w:rsidRDefault="00E84D5F">
      <w:pPr>
        <w:pStyle w:val="Overskrift1"/>
      </w:pPr>
      <w:r w:rsidRPr="00290DD8">
        <w:t>PRODUKTRESUMÉ</w:t>
      </w:r>
    </w:p>
    <w:p w:rsidR="00E84D5F" w:rsidRPr="00290DD8" w:rsidRDefault="00E84D5F">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E84D5F" w:rsidRPr="00290DD8" w:rsidRDefault="00262379" w:rsidP="00262379">
      <w:pPr>
        <w:tabs>
          <w:tab w:val="left" w:pos="290"/>
          <w:tab w:val="center" w:pos="4536"/>
          <w:tab w:val="center" w:pos="4819"/>
        </w:tabs>
        <w:rPr>
          <w:b/>
          <w:spacing w:val="-3"/>
        </w:rPr>
      </w:pPr>
      <w:r>
        <w:rPr>
          <w:b/>
          <w:spacing w:val="-3"/>
        </w:rPr>
        <w:tab/>
      </w:r>
      <w:r>
        <w:rPr>
          <w:b/>
          <w:spacing w:val="-3"/>
        </w:rPr>
        <w:tab/>
      </w:r>
      <w:r>
        <w:rPr>
          <w:b/>
          <w:spacing w:val="-3"/>
        </w:rPr>
        <w:tab/>
      </w:r>
      <w:r w:rsidR="00E84D5F" w:rsidRPr="00290DD8">
        <w:rPr>
          <w:b/>
          <w:spacing w:val="-3"/>
        </w:rPr>
        <w:t>for</w:t>
      </w:r>
    </w:p>
    <w:p w:rsidR="00E84D5F" w:rsidRPr="00290DD8" w:rsidRDefault="00E84D5F">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E84D5F" w:rsidRPr="00290DD8" w:rsidRDefault="00E84D5F">
      <w:pPr>
        <w:pStyle w:val="Overskrift1"/>
      </w:pPr>
      <w:proofErr w:type="spellStart"/>
      <w:r w:rsidRPr="00290DD8">
        <w:t>Frag</w:t>
      </w:r>
      <w:r w:rsidR="00304B43">
        <w:t>min</w:t>
      </w:r>
      <w:proofErr w:type="spellEnd"/>
      <w:r w:rsidR="00304B43">
        <w:t xml:space="preserve">, injektionsvæske, </w:t>
      </w:r>
      <w:r w:rsidR="000D0FDD">
        <w:t>opløsning i fyldt injektionssprøjte</w:t>
      </w:r>
      <w:r w:rsidR="001926B5">
        <w:t xml:space="preserve"> med nålebeskytter</w:t>
      </w:r>
      <w:r w:rsidR="004A6904">
        <w:t xml:space="preserve"> (</w:t>
      </w:r>
      <w:proofErr w:type="spellStart"/>
      <w:r w:rsidR="004A6904">
        <w:t>Orifarm</w:t>
      </w:r>
      <w:proofErr w:type="spellEnd"/>
      <w:r w:rsidR="004A6904">
        <w:t>)</w:t>
      </w:r>
    </w:p>
    <w:p w:rsidR="00E84D5F" w:rsidRPr="00290DD8" w:rsidRDefault="00E84D5F">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E84D5F" w:rsidRPr="00290DD8" w:rsidRDefault="00E84D5F" w:rsidP="00E90606">
      <w:pPr>
        <w:tabs>
          <w:tab w:val="left" w:pos="0"/>
          <w:tab w:val="left" w:pos="851"/>
          <w:tab w:val="left" w:pos="1701"/>
          <w:tab w:val="left" w:pos="2552"/>
          <w:tab w:val="left" w:pos="3403"/>
          <w:tab w:val="left" w:pos="4254"/>
          <w:tab w:val="left" w:pos="5105"/>
          <w:tab w:val="left" w:pos="5955"/>
          <w:tab w:val="left" w:pos="6806"/>
          <w:tab w:val="left" w:pos="7657"/>
          <w:tab w:val="left" w:pos="8508"/>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0.</w:t>
      </w:r>
      <w:r w:rsidRPr="00290DD8">
        <w:rPr>
          <w:b/>
          <w:spacing w:val="-3"/>
        </w:rPr>
        <w:tab/>
        <w:t>D.SP.NR.</w:t>
      </w:r>
    </w:p>
    <w:p w:rsidR="00E84D5F" w:rsidRPr="00290DD8" w:rsidRDefault="00E84D5F" w:rsidP="00E90606">
      <w:pPr>
        <w:tabs>
          <w:tab w:val="left" w:pos="0"/>
          <w:tab w:val="left" w:pos="851"/>
        </w:tabs>
        <w:ind w:left="850" w:hanging="850"/>
        <w:rPr>
          <w:spacing w:val="-3"/>
        </w:rPr>
      </w:pPr>
      <w:r w:rsidRPr="00290DD8">
        <w:rPr>
          <w:spacing w:val="-3"/>
        </w:rPr>
        <w:tab/>
      </w:r>
      <w:r w:rsidR="00304B43">
        <w:rPr>
          <w:spacing w:val="-3"/>
        </w:rPr>
        <w:t>0</w:t>
      </w:r>
      <w:r w:rsidRPr="00290DD8">
        <w:rPr>
          <w:spacing w:val="-3"/>
        </w:rPr>
        <w:t>6781</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1.</w:t>
      </w:r>
      <w:r w:rsidRPr="00290DD8">
        <w:rPr>
          <w:b/>
          <w:spacing w:val="-3"/>
        </w:rPr>
        <w:tab/>
        <w:t xml:space="preserve">LÆGEMIDLETS NAVN </w:t>
      </w:r>
    </w:p>
    <w:p w:rsidR="00E84D5F" w:rsidRPr="00290DD8" w:rsidRDefault="00E84D5F" w:rsidP="00E90606">
      <w:pPr>
        <w:tabs>
          <w:tab w:val="left" w:pos="0"/>
          <w:tab w:val="left" w:pos="851"/>
        </w:tabs>
        <w:ind w:left="850" w:hanging="850"/>
        <w:rPr>
          <w:spacing w:val="-3"/>
        </w:rPr>
      </w:pPr>
      <w:r w:rsidRPr="00290DD8">
        <w:rPr>
          <w:spacing w:val="-3"/>
        </w:rPr>
        <w:tab/>
      </w:r>
      <w:proofErr w:type="spellStart"/>
      <w:r w:rsidRPr="00290DD8">
        <w:rPr>
          <w:spacing w:val="-3"/>
        </w:rPr>
        <w:t>Fragmin</w:t>
      </w:r>
      <w:proofErr w:type="spellEnd"/>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2.</w:t>
      </w:r>
      <w:r w:rsidRPr="00290DD8">
        <w:rPr>
          <w:b/>
          <w:spacing w:val="-3"/>
        </w:rPr>
        <w:tab/>
        <w:t>KVALITATIV OG KVANTITATIV SAMMENSÆTNING</w:t>
      </w:r>
    </w:p>
    <w:p w:rsidR="00E84D5F" w:rsidRPr="00290DD8" w:rsidRDefault="001717B1" w:rsidP="002F2042">
      <w:pPr>
        <w:tabs>
          <w:tab w:val="left" w:pos="0"/>
          <w:tab w:val="left" w:pos="851"/>
        </w:tabs>
        <w:ind w:left="850" w:firstLine="1"/>
        <w:rPr>
          <w:spacing w:val="-3"/>
        </w:rPr>
      </w:pPr>
      <w:r>
        <w:rPr>
          <w:spacing w:val="-3"/>
        </w:rPr>
        <w:t xml:space="preserve">En fyldt injektionssprøjte indeholder </w:t>
      </w:r>
      <w:r w:rsidR="008A51D1">
        <w:rPr>
          <w:spacing w:val="-3"/>
        </w:rPr>
        <w:t xml:space="preserve">10.000, 12.500, 15.000 eller 18.000 </w:t>
      </w:r>
      <w:proofErr w:type="spellStart"/>
      <w:r w:rsidR="008A51D1">
        <w:rPr>
          <w:spacing w:val="-3"/>
        </w:rPr>
        <w:t>a</w:t>
      </w:r>
      <w:r w:rsidR="003343D4" w:rsidRPr="00290DD8">
        <w:rPr>
          <w:spacing w:val="-3"/>
        </w:rPr>
        <w:t>nti-Xa</w:t>
      </w:r>
      <w:proofErr w:type="spellEnd"/>
      <w:r w:rsidR="003343D4" w:rsidRPr="00290DD8">
        <w:rPr>
          <w:spacing w:val="-3"/>
        </w:rPr>
        <w:t xml:space="preserve"> IE</w:t>
      </w:r>
      <w:r w:rsidR="003343D4">
        <w:rPr>
          <w:spacing w:val="-3"/>
        </w:rPr>
        <w:t xml:space="preserve"> </w:t>
      </w:r>
      <w:proofErr w:type="spellStart"/>
      <w:r>
        <w:rPr>
          <w:spacing w:val="-3"/>
        </w:rPr>
        <w:t>d</w:t>
      </w:r>
      <w:r w:rsidR="00E84D5F" w:rsidRPr="00290DD8">
        <w:rPr>
          <w:spacing w:val="-3"/>
        </w:rPr>
        <w:t>al</w:t>
      </w:r>
      <w:r w:rsidR="003343D4">
        <w:rPr>
          <w:spacing w:val="-3"/>
        </w:rPr>
        <w:t>teparinnatrium</w:t>
      </w:r>
      <w:proofErr w:type="spellEnd"/>
      <w:r w:rsidR="003343D4">
        <w:rPr>
          <w:spacing w:val="-3"/>
        </w:rPr>
        <w:t>.</w:t>
      </w:r>
    </w:p>
    <w:p w:rsidR="00E84D5F" w:rsidRPr="00290DD8" w:rsidRDefault="00E84D5F" w:rsidP="002F2042">
      <w:pPr>
        <w:tabs>
          <w:tab w:val="left" w:pos="0"/>
          <w:tab w:val="left" w:pos="851"/>
        </w:tabs>
        <w:ind w:firstLine="1"/>
        <w:rPr>
          <w:spacing w:val="-3"/>
        </w:rPr>
      </w:pPr>
      <w:r w:rsidRPr="00290DD8">
        <w:rPr>
          <w:spacing w:val="-3"/>
        </w:rPr>
        <w:tab/>
      </w:r>
    </w:p>
    <w:p w:rsidR="0061515A" w:rsidRPr="00290DD8" w:rsidRDefault="00290DD8" w:rsidP="002F2042">
      <w:pPr>
        <w:ind w:left="851" w:firstLine="1"/>
        <w:rPr>
          <w:spacing w:val="-3"/>
        </w:rPr>
      </w:pPr>
      <w:r w:rsidRPr="00290DD8">
        <w:rPr>
          <w:spacing w:val="-3"/>
        </w:rPr>
        <w:t xml:space="preserve">Hjælpestoffer, som behandleren skal være opmærksom på: </w:t>
      </w:r>
      <w:r w:rsidR="0061515A" w:rsidRPr="00290DD8">
        <w:rPr>
          <w:spacing w:val="-3"/>
        </w:rPr>
        <w:t>Natrium</w:t>
      </w:r>
      <w:r w:rsidR="00132DFE" w:rsidRPr="00290DD8">
        <w:rPr>
          <w:spacing w:val="-3"/>
        </w:rPr>
        <w:t xml:space="preserve"> (se pkt. 4.4</w:t>
      </w:r>
      <w:r w:rsidR="0061515A" w:rsidRPr="00290DD8">
        <w:rPr>
          <w:spacing w:val="-3"/>
        </w:rPr>
        <w:t>)</w:t>
      </w:r>
      <w:r w:rsidR="00132DFE" w:rsidRPr="00290DD8">
        <w:rPr>
          <w:spacing w:val="-3"/>
        </w:rPr>
        <w:t>.</w:t>
      </w:r>
    </w:p>
    <w:p w:rsidR="00EA2CEE" w:rsidRPr="00290DD8" w:rsidRDefault="00EA2CEE" w:rsidP="002F2042">
      <w:pPr>
        <w:ind w:left="851" w:firstLine="1"/>
        <w:rPr>
          <w:spacing w:val="-3"/>
        </w:rPr>
      </w:pPr>
      <w:r w:rsidRPr="00290DD8">
        <w:rPr>
          <w:spacing w:val="-3"/>
        </w:rPr>
        <w:t>Alle hjælpestoffer er anført under pkt. 6.1.</w:t>
      </w:r>
    </w:p>
    <w:p w:rsidR="00E84D5F" w:rsidRPr="00290DD8" w:rsidRDefault="00E84D5F" w:rsidP="00E90606">
      <w:pPr>
        <w:tabs>
          <w:tab w:val="left" w:pos="0"/>
          <w:tab w:val="left" w:pos="851"/>
        </w:tabs>
        <w:rPr>
          <w:spacing w:val="-3"/>
        </w:rPr>
      </w:pPr>
    </w:p>
    <w:p w:rsidR="00E84D5F" w:rsidRPr="00290DD8" w:rsidRDefault="00E84D5F" w:rsidP="00E90606">
      <w:pPr>
        <w:numPr>
          <w:ilvl w:val="0"/>
          <w:numId w:val="23"/>
        </w:numPr>
        <w:tabs>
          <w:tab w:val="left" w:pos="0"/>
        </w:tabs>
        <w:rPr>
          <w:b/>
          <w:spacing w:val="-3"/>
        </w:rPr>
      </w:pPr>
      <w:r w:rsidRPr="00290DD8">
        <w:rPr>
          <w:b/>
          <w:spacing w:val="-3"/>
        </w:rPr>
        <w:t>LÆGEMIDDELFORM</w:t>
      </w:r>
    </w:p>
    <w:p w:rsidR="00E84D5F" w:rsidRPr="00290DD8" w:rsidRDefault="00E84D5F" w:rsidP="00E90606">
      <w:pPr>
        <w:tabs>
          <w:tab w:val="left" w:pos="0"/>
          <w:tab w:val="left" w:pos="851"/>
        </w:tabs>
        <w:ind w:left="850" w:hanging="850"/>
        <w:rPr>
          <w:spacing w:val="-3"/>
        </w:rPr>
      </w:pPr>
      <w:r w:rsidRPr="00290DD8">
        <w:rPr>
          <w:spacing w:val="-3"/>
        </w:rPr>
        <w:tab/>
        <w:t>Injek</w:t>
      </w:r>
      <w:r w:rsidR="00E90606">
        <w:rPr>
          <w:spacing w:val="-3"/>
        </w:rPr>
        <w:t>tionsvæske, opløsning i fyldt injektions</w:t>
      </w:r>
      <w:r w:rsidRPr="00290DD8">
        <w:rPr>
          <w:spacing w:val="-3"/>
        </w:rPr>
        <w:t>sprøjte</w:t>
      </w:r>
      <w:r w:rsidR="000D0FDD">
        <w:rPr>
          <w:spacing w:val="-3"/>
        </w:rPr>
        <w:t xml:space="preserve"> med nålebeskytter</w:t>
      </w:r>
      <w:r w:rsidR="004A6904">
        <w:rPr>
          <w:spacing w:val="-3"/>
        </w:rPr>
        <w:t xml:space="preserve"> (</w:t>
      </w:r>
      <w:proofErr w:type="spellStart"/>
      <w:r w:rsidR="004A6904">
        <w:rPr>
          <w:spacing w:val="-3"/>
        </w:rPr>
        <w:t>Orifarm</w:t>
      </w:r>
      <w:proofErr w:type="spellEnd"/>
      <w:r w:rsidR="004A6904">
        <w:rPr>
          <w:spacing w:val="-3"/>
        </w:rPr>
        <w:t>)</w:t>
      </w:r>
      <w:r w:rsidR="00E90606">
        <w:rPr>
          <w:spacing w:val="-3"/>
        </w:rPr>
        <w:t>.</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rPr>
          <w:spacing w:val="-3"/>
        </w:rPr>
      </w:pPr>
    </w:p>
    <w:p w:rsidR="00E84D5F" w:rsidRPr="00290DD8" w:rsidRDefault="00E84D5F" w:rsidP="00E90606">
      <w:pPr>
        <w:numPr>
          <w:ilvl w:val="0"/>
          <w:numId w:val="20"/>
        </w:numPr>
        <w:tabs>
          <w:tab w:val="clear" w:pos="855"/>
          <w:tab w:val="left" w:pos="851"/>
        </w:tabs>
        <w:rPr>
          <w:b/>
          <w:spacing w:val="-3"/>
        </w:rPr>
      </w:pPr>
      <w:r w:rsidRPr="00290DD8">
        <w:rPr>
          <w:b/>
          <w:spacing w:val="-3"/>
        </w:rPr>
        <w:t>KLINISKE OPLYSNINGER</w:t>
      </w:r>
    </w:p>
    <w:p w:rsidR="00E84D5F" w:rsidRPr="00290DD8" w:rsidRDefault="00E84D5F" w:rsidP="00E90606">
      <w:pPr>
        <w:tabs>
          <w:tab w:val="left" w:pos="0"/>
          <w:tab w:val="left" w:pos="851"/>
        </w:tabs>
        <w:rPr>
          <w:spacing w:val="-3"/>
        </w:rPr>
      </w:pPr>
    </w:p>
    <w:p w:rsidR="00E84D5F" w:rsidRPr="00290DD8" w:rsidRDefault="00E84D5F" w:rsidP="00E90606">
      <w:pPr>
        <w:numPr>
          <w:ilvl w:val="1"/>
          <w:numId w:val="20"/>
        </w:numPr>
        <w:tabs>
          <w:tab w:val="clear" w:pos="855"/>
          <w:tab w:val="left" w:pos="851"/>
        </w:tabs>
        <w:rPr>
          <w:b/>
          <w:spacing w:val="-3"/>
        </w:rPr>
      </w:pPr>
      <w:r w:rsidRPr="00290DD8">
        <w:rPr>
          <w:b/>
          <w:spacing w:val="-3"/>
        </w:rPr>
        <w:t>Terapeutiske indikationer</w:t>
      </w:r>
    </w:p>
    <w:p w:rsidR="006F7907" w:rsidRPr="00290DD8" w:rsidRDefault="006F7907" w:rsidP="006F7907">
      <w:pPr>
        <w:tabs>
          <w:tab w:val="left" w:pos="851"/>
        </w:tabs>
        <w:ind w:left="851"/>
        <w:rPr>
          <w:spacing w:val="-3"/>
        </w:rPr>
      </w:pPr>
      <w:r w:rsidRPr="00290DD8">
        <w:rPr>
          <w:spacing w:val="-3"/>
        </w:rPr>
        <w:t xml:space="preserve">Forebyggelse af dybe venøse tromboser og </w:t>
      </w:r>
      <w:proofErr w:type="spellStart"/>
      <w:r w:rsidRPr="00290DD8">
        <w:rPr>
          <w:spacing w:val="-3"/>
        </w:rPr>
        <w:t>tromboemboliske</w:t>
      </w:r>
      <w:proofErr w:type="spellEnd"/>
      <w:r w:rsidRPr="00290DD8">
        <w:rPr>
          <w:spacing w:val="-3"/>
        </w:rPr>
        <w:t xml:space="preserve"> komplikationer.</w:t>
      </w:r>
    </w:p>
    <w:p w:rsidR="006F7907" w:rsidRPr="00290DD8" w:rsidRDefault="006F7907" w:rsidP="006F7907">
      <w:pPr>
        <w:tabs>
          <w:tab w:val="left" w:pos="851"/>
        </w:tabs>
        <w:ind w:left="851"/>
        <w:rPr>
          <w:spacing w:val="-3"/>
        </w:rPr>
      </w:pPr>
      <w:r w:rsidRPr="00290DD8">
        <w:rPr>
          <w:spacing w:val="-3"/>
        </w:rPr>
        <w:t xml:space="preserve">Ustabil koronararterie sygdom, dvs. ustabil angina og non Q-tak myokardieinfarkt indtil </w:t>
      </w:r>
      <w:proofErr w:type="spellStart"/>
      <w:r w:rsidRPr="00290DD8">
        <w:rPr>
          <w:spacing w:val="-3"/>
        </w:rPr>
        <w:t>inter</w:t>
      </w:r>
      <w:r w:rsidRPr="00290DD8">
        <w:rPr>
          <w:spacing w:val="-3"/>
        </w:rPr>
        <w:softHyphen/>
        <w:t>ventionel</w:t>
      </w:r>
      <w:proofErr w:type="spellEnd"/>
      <w:r w:rsidRPr="00290DD8">
        <w:rPr>
          <w:spacing w:val="-3"/>
        </w:rPr>
        <w:t xml:space="preserve"> behandling kan etableres.</w:t>
      </w:r>
    </w:p>
    <w:p w:rsidR="006F7907" w:rsidRPr="00290DD8" w:rsidRDefault="006F7907" w:rsidP="006F7907">
      <w:pPr>
        <w:tabs>
          <w:tab w:val="left" w:pos="851"/>
        </w:tabs>
        <w:ind w:left="851"/>
        <w:rPr>
          <w:spacing w:val="-3"/>
        </w:rPr>
      </w:pPr>
      <w:r w:rsidRPr="00290DD8">
        <w:rPr>
          <w:spacing w:val="-3"/>
        </w:rPr>
        <w:t>Behandling af symptomatisk venøs trombose og forebyggelse af tilbagefald hos patienter med cancer.</w:t>
      </w:r>
    </w:p>
    <w:p w:rsidR="006F7907" w:rsidRDefault="006F7907" w:rsidP="006F7907">
      <w:pPr>
        <w:tabs>
          <w:tab w:val="left" w:pos="0"/>
          <w:tab w:val="left" w:pos="851"/>
        </w:tabs>
        <w:rPr>
          <w:spacing w:val="-3"/>
        </w:rPr>
      </w:pPr>
    </w:p>
    <w:p w:rsidR="006F7907" w:rsidRDefault="006F7907" w:rsidP="006F7907">
      <w:pPr>
        <w:tabs>
          <w:tab w:val="left" w:pos="851"/>
        </w:tabs>
        <w:ind w:left="851"/>
        <w:rPr>
          <w:spacing w:val="-3"/>
          <w:u w:val="single"/>
        </w:rPr>
      </w:pPr>
      <w:r>
        <w:rPr>
          <w:spacing w:val="-3"/>
          <w:u w:val="single"/>
        </w:rPr>
        <w:t>Pædiatrisk population</w:t>
      </w:r>
    </w:p>
    <w:p w:rsidR="00E84D5F" w:rsidRDefault="006F7907" w:rsidP="006F7907">
      <w:pPr>
        <w:tabs>
          <w:tab w:val="left" w:pos="851"/>
        </w:tabs>
        <w:ind w:left="851"/>
        <w:rPr>
          <w:spacing w:val="-3"/>
        </w:rPr>
      </w:pPr>
      <w:r>
        <w:rPr>
          <w:spacing w:val="-3"/>
        </w:rPr>
        <w:t xml:space="preserve">Behandling af symptomatisk venøs </w:t>
      </w:r>
      <w:proofErr w:type="spellStart"/>
      <w:r>
        <w:rPr>
          <w:spacing w:val="-3"/>
        </w:rPr>
        <w:t>tromboemboli</w:t>
      </w:r>
      <w:proofErr w:type="spellEnd"/>
      <w:r>
        <w:rPr>
          <w:spacing w:val="-3"/>
        </w:rPr>
        <w:t xml:space="preserve"> (VTE) hos pædiatriske patienter i alderen fra 1 måned og ældre.</w:t>
      </w:r>
    </w:p>
    <w:p w:rsidR="006F7907" w:rsidRPr="00290DD8" w:rsidRDefault="006F7907" w:rsidP="006F7907">
      <w:pPr>
        <w:tabs>
          <w:tab w:val="left" w:pos="0"/>
          <w:tab w:val="left" w:pos="851"/>
        </w:tabs>
        <w:rPr>
          <w:spacing w:val="-3"/>
        </w:rPr>
      </w:pPr>
    </w:p>
    <w:p w:rsidR="00E84D5F" w:rsidRPr="00290DD8" w:rsidRDefault="00E84D5F" w:rsidP="00E90606">
      <w:pPr>
        <w:tabs>
          <w:tab w:val="left" w:pos="851"/>
        </w:tabs>
        <w:rPr>
          <w:b/>
          <w:spacing w:val="-3"/>
        </w:rPr>
      </w:pPr>
      <w:r w:rsidRPr="00290DD8">
        <w:rPr>
          <w:b/>
          <w:spacing w:val="-3"/>
        </w:rPr>
        <w:t>4.2</w:t>
      </w:r>
      <w:r w:rsidRPr="00290DD8">
        <w:rPr>
          <w:b/>
          <w:spacing w:val="-3"/>
        </w:rPr>
        <w:tab/>
        <w:t>Dosering og indgivelsesmåde</w:t>
      </w:r>
    </w:p>
    <w:p w:rsidR="006F7907" w:rsidRPr="002F2042" w:rsidRDefault="006F7907" w:rsidP="006F7907">
      <w:pPr>
        <w:tabs>
          <w:tab w:val="left" w:pos="0"/>
          <w:tab w:val="left" w:pos="851"/>
        </w:tabs>
        <w:ind w:left="850" w:firstLine="1"/>
        <w:rPr>
          <w:b/>
          <w:spacing w:val="-3"/>
        </w:rPr>
      </w:pPr>
      <w:r w:rsidRPr="002F2042">
        <w:rPr>
          <w:b/>
          <w:spacing w:val="-3"/>
        </w:rPr>
        <w:t>Pædiatrisk population</w:t>
      </w:r>
    </w:p>
    <w:p w:rsidR="006F7907" w:rsidRDefault="006F7907" w:rsidP="006F7907">
      <w:pPr>
        <w:tabs>
          <w:tab w:val="left" w:pos="0"/>
          <w:tab w:val="left" w:pos="851"/>
        </w:tabs>
        <w:ind w:left="850" w:firstLine="1"/>
        <w:rPr>
          <w:spacing w:val="-3"/>
        </w:rPr>
      </w:pPr>
      <w:r>
        <w:rPr>
          <w:spacing w:val="-3"/>
        </w:rPr>
        <w:t xml:space="preserve">Behandling af symptomatisk venøs </w:t>
      </w:r>
      <w:proofErr w:type="spellStart"/>
      <w:r>
        <w:rPr>
          <w:spacing w:val="-3"/>
        </w:rPr>
        <w:t>tromboemboli</w:t>
      </w:r>
      <w:proofErr w:type="spellEnd"/>
      <w:r>
        <w:rPr>
          <w:spacing w:val="-3"/>
        </w:rPr>
        <w:t xml:space="preserve"> (VTE) hos pædiatriske patienter i alderen fra 1 måned og ældre.</w:t>
      </w:r>
    </w:p>
    <w:p w:rsidR="006F7907" w:rsidRDefault="006F7907" w:rsidP="006F7907">
      <w:pPr>
        <w:tabs>
          <w:tab w:val="left" w:pos="0"/>
          <w:tab w:val="left" w:pos="851"/>
        </w:tabs>
        <w:ind w:left="850" w:firstLine="1"/>
        <w:rPr>
          <w:spacing w:val="-3"/>
        </w:rPr>
      </w:pPr>
      <w:bookmarkStart w:id="1" w:name="_Hlk68086718"/>
    </w:p>
    <w:p w:rsidR="006F7907" w:rsidRDefault="006F7907" w:rsidP="006F7907">
      <w:pPr>
        <w:tabs>
          <w:tab w:val="left" w:pos="0"/>
          <w:tab w:val="left" w:pos="851"/>
        </w:tabs>
        <w:ind w:left="850" w:firstLine="1"/>
        <w:rPr>
          <w:spacing w:val="-3"/>
        </w:rPr>
      </w:pPr>
      <w:r>
        <w:rPr>
          <w:spacing w:val="-3"/>
        </w:rPr>
        <w:lastRenderedPageBreak/>
        <w:t xml:space="preserve">En koncentration på 2.500 IE/ml anbefales for at sikre en nøjagtig dosering i den yngste alderskohorte. Hvis fortynding er påkrævet, skal denne udføres af en sundhedsperson (se pkt. 6.6). Til børn under 3 år skal der anvendes en formulering uden </w:t>
      </w:r>
      <w:proofErr w:type="spellStart"/>
      <w:r>
        <w:rPr>
          <w:spacing w:val="-3"/>
        </w:rPr>
        <w:t>benzylalkohol</w:t>
      </w:r>
      <w:proofErr w:type="spellEnd"/>
      <w:r>
        <w:rPr>
          <w:spacing w:val="-3"/>
        </w:rPr>
        <w:t>.</w:t>
      </w:r>
    </w:p>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left="850" w:firstLine="1"/>
        <w:rPr>
          <w:i/>
          <w:spacing w:val="-3"/>
          <w:u w:val="single"/>
        </w:rPr>
      </w:pPr>
      <w:r>
        <w:rPr>
          <w:i/>
          <w:spacing w:val="-3"/>
          <w:u w:val="single"/>
        </w:rPr>
        <w:t xml:space="preserve">Behandling af symptomatisk venøs </w:t>
      </w:r>
      <w:proofErr w:type="spellStart"/>
      <w:r>
        <w:rPr>
          <w:i/>
          <w:spacing w:val="-3"/>
          <w:u w:val="single"/>
        </w:rPr>
        <w:t>tromboemboli</w:t>
      </w:r>
      <w:proofErr w:type="spellEnd"/>
      <w:r>
        <w:rPr>
          <w:i/>
          <w:spacing w:val="-3"/>
          <w:u w:val="single"/>
        </w:rPr>
        <w:t xml:space="preserve"> hos pædiatriske patienter</w:t>
      </w:r>
    </w:p>
    <w:p w:rsidR="006F7907" w:rsidRDefault="006F7907" w:rsidP="006F7907">
      <w:pPr>
        <w:tabs>
          <w:tab w:val="left" w:pos="0"/>
          <w:tab w:val="left" w:pos="851"/>
        </w:tabs>
        <w:ind w:left="850" w:firstLine="1"/>
        <w:rPr>
          <w:spacing w:val="-3"/>
        </w:rPr>
      </w:pPr>
      <w:r>
        <w:rPr>
          <w:spacing w:val="-3"/>
        </w:rPr>
        <w:t>Den anbefalede startdosis i henhold til den pædiatriske patients alder fremgår af tabellen herunder.</w:t>
      </w:r>
    </w:p>
    <w:p w:rsidR="006F7907" w:rsidRDefault="006F7907" w:rsidP="006F7907">
      <w:pPr>
        <w:tabs>
          <w:tab w:val="left" w:pos="0"/>
          <w:tab w:val="left" w:pos="851"/>
        </w:tabs>
        <w:ind w:left="850" w:firstLine="1"/>
        <w:rPr>
          <w:spacing w:val="-3"/>
        </w:rPr>
      </w:pPr>
    </w:p>
    <w:tbl>
      <w:tblPr>
        <w:tblW w:w="4550" w:type="pct"/>
        <w:tblInd w:w="6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06"/>
        <w:gridCol w:w="4546"/>
      </w:tblGrid>
      <w:tr w:rsidR="006F7907" w:rsidTr="00921190">
        <w:trPr>
          <w:trHeight w:val="288"/>
        </w:trPr>
        <w:tc>
          <w:tcPr>
            <w:tcW w:w="5000" w:type="pct"/>
            <w:gridSpan w:val="2"/>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firstLine="1"/>
              <w:jc w:val="center"/>
              <w:rPr>
                <w:spacing w:val="-3"/>
              </w:rPr>
            </w:pPr>
            <w:r>
              <w:rPr>
                <w:spacing w:val="-3"/>
              </w:rPr>
              <w:t>Tabel 1 - Startdosis til pædiatriske patienter med symptomatisk VTE</w:t>
            </w:r>
          </w:p>
        </w:tc>
      </w:tr>
      <w:tr w:rsidR="006F7907" w:rsidTr="00921190">
        <w:trPr>
          <w:trHeight w:val="288"/>
        </w:trPr>
        <w:tc>
          <w:tcPr>
            <w:tcW w:w="2403"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45" w:firstLine="1"/>
              <w:jc w:val="center"/>
              <w:rPr>
                <w:spacing w:val="-3"/>
              </w:rPr>
            </w:pPr>
            <w:r>
              <w:rPr>
                <w:spacing w:val="-3"/>
              </w:rPr>
              <w:t>Aldersgruppe</w:t>
            </w:r>
          </w:p>
        </w:tc>
        <w:tc>
          <w:tcPr>
            <w:tcW w:w="2597"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1" w:firstLine="1"/>
              <w:jc w:val="center"/>
              <w:rPr>
                <w:spacing w:val="-3"/>
              </w:rPr>
            </w:pPr>
            <w:r>
              <w:rPr>
                <w:spacing w:val="-3"/>
              </w:rPr>
              <w:t>Startdosis</w:t>
            </w:r>
          </w:p>
        </w:tc>
      </w:tr>
      <w:tr w:rsidR="006F7907" w:rsidTr="00921190">
        <w:trPr>
          <w:trHeight w:val="288"/>
        </w:trPr>
        <w:tc>
          <w:tcPr>
            <w:tcW w:w="2403"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45" w:firstLine="1"/>
              <w:jc w:val="center"/>
              <w:rPr>
                <w:spacing w:val="-3"/>
              </w:rPr>
            </w:pPr>
            <w:r>
              <w:rPr>
                <w:spacing w:val="-3"/>
              </w:rPr>
              <w:t>1 måned til under 2 år</w:t>
            </w:r>
          </w:p>
        </w:tc>
        <w:tc>
          <w:tcPr>
            <w:tcW w:w="2597"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1" w:firstLine="1"/>
              <w:jc w:val="center"/>
              <w:rPr>
                <w:spacing w:val="-3"/>
              </w:rPr>
            </w:pPr>
            <w:r>
              <w:rPr>
                <w:spacing w:val="-3"/>
              </w:rPr>
              <w:t>150 IE/kg to gange dagligt</w:t>
            </w:r>
          </w:p>
        </w:tc>
      </w:tr>
      <w:tr w:rsidR="006F7907" w:rsidTr="00921190">
        <w:trPr>
          <w:trHeight w:val="288"/>
        </w:trPr>
        <w:tc>
          <w:tcPr>
            <w:tcW w:w="2403"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45" w:firstLine="1"/>
              <w:jc w:val="center"/>
              <w:rPr>
                <w:spacing w:val="-3"/>
              </w:rPr>
            </w:pPr>
            <w:r>
              <w:rPr>
                <w:spacing w:val="-3"/>
              </w:rPr>
              <w:t>2 år til under 8 år</w:t>
            </w:r>
          </w:p>
        </w:tc>
        <w:tc>
          <w:tcPr>
            <w:tcW w:w="2597"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1" w:firstLine="1"/>
              <w:jc w:val="center"/>
              <w:rPr>
                <w:spacing w:val="-3"/>
              </w:rPr>
            </w:pPr>
            <w:r>
              <w:rPr>
                <w:spacing w:val="-3"/>
              </w:rPr>
              <w:t>125 IE/kg to gange dagligt</w:t>
            </w:r>
          </w:p>
        </w:tc>
      </w:tr>
      <w:tr w:rsidR="006F7907" w:rsidTr="00921190">
        <w:trPr>
          <w:trHeight w:val="288"/>
        </w:trPr>
        <w:tc>
          <w:tcPr>
            <w:tcW w:w="2403"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45" w:firstLine="1"/>
              <w:jc w:val="center"/>
              <w:rPr>
                <w:spacing w:val="-3"/>
              </w:rPr>
            </w:pPr>
            <w:r>
              <w:rPr>
                <w:spacing w:val="-3"/>
              </w:rPr>
              <w:t>8 år til under 18 år</w:t>
            </w:r>
          </w:p>
        </w:tc>
        <w:tc>
          <w:tcPr>
            <w:tcW w:w="2597" w:type="pct"/>
            <w:tcBorders>
              <w:top w:val="single" w:sz="8" w:space="0" w:color="auto"/>
              <w:left w:val="single" w:sz="8" w:space="0" w:color="auto"/>
              <w:bottom w:val="single" w:sz="8" w:space="0" w:color="auto"/>
              <w:right w:val="single" w:sz="8" w:space="0" w:color="auto"/>
            </w:tcBorders>
            <w:tcMar>
              <w:top w:w="29" w:type="dxa"/>
              <w:left w:w="115" w:type="dxa"/>
              <w:bottom w:w="29" w:type="dxa"/>
              <w:right w:w="115" w:type="dxa"/>
            </w:tcMar>
            <w:vAlign w:val="center"/>
            <w:hideMark/>
          </w:tcPr>
          <w:p w:rsidR="006F7907" w:rsidRDefault="006F7907" w:rsidP="00921190">
            <w:pPr>
              <w:tabs>
                <w:tab w:val="left" w:pos="0"/>
              </w:tabs>
              <w:ind w:left="1" w:firstLine="1"/>
              <w:jc w:val="center"/>
              <w:rPr>
                <w:spacing w:val="-3"/>
              </w:rPr>
            </w:pPr>
            <w:r>
              <w:rPr>
                <w:spacing w:val="-3"/>
              </w:rPr>
              <w:t>100 IE/kg to gange dagligt</w:t>
            </w:r>
          </w:p>
        </w:tc>
      </w:tr>
    </w:tbl>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left="850" w:firstLine="1"/>
        <w:rPr>
          <w:spacing w:val="-3"/>
        </w:rPr>
      </w:pPr>
      <w:bookmarkStart w:id="2" w:name="_Hlk57718438"/>
      <w:r>
        <w:rPr>
          <w:spacing w:val="-3"/>
        </w:rPr>
        <w:t>Tabel 2 – Fortyndingstabel til pædiatriske patienter</w:t>
      </w:r>
    </w:p>
    <w:tbl>
      <w:tblPr>
        <w:tblW w:w="460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751"/>
        <w:gridCol w:w="2642"/>
        <w:gridCol w:w="2804"/>
      </w:tblGrid>
      <w:tr w:rsidR="006F7907" w:rsidTr="00921190">
        <w:trPr>
          <w:cantSplit/>
          <w:tblHeader/>
        </w:trPr>
        <w:tc>
          <w:tcPr>
            <w:tcW w:w="1700" w:type="dxa"/>
            <w:vMerge w:val="restart"/>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
                <w:spacing w:val="-3"/>
              </w:rPr>
            </w:pPr>
            <w:r>
              <w:rPr>
                <w:b/>
                <w:spacing w:val="-3"/>
              </w:rPr>
              <w:t>Alder</w:t>
            </w:r>
          </w:p>
        </w:tc>
        <w:tc>
          <w:tcPr>
            <w:tcW w:w="1792" w:type="dxa"/>
            <w:vMerge w:val="restart"/>
            <w:tcBorders>
              <w:top w:val="single" w:sz="4" w:space="0" w:color="auto"/>
              <w:left w:val="single" w:sz="4" w:space="0" w:color="auto"/>
              <w:bottom w:val="single" w:sz="4" w:space="0" w:color="auto"/>
              <w:right w:val="single" w:sz="4" w:space="0" w:color="auto"/>
            </w:tcBorders>
          </w:tcPr>
          <w:p w:rsidR="006F7907" w:rsidRDefault="006F7907" w:rsidP="00921190">
            <w:pPr>
              <w:tabs>
                <w:tab w:val="left" w:pos="0"/>
              </w:tabs>
              <w:ind w:left="41" w:firstLine="1"/>
              <w:rPr>
                <w:b/>
                <w:spacing w:val="-3"/>
              </w:rPr>
            </w:pPr>
            <w:r>
              <w:rPr>
                <w:b/>
                <w:spacing w:val="-3"/>
              </w:rPr>
              <w:t>Anbefalet koncentration til administration</w:t>
            </w:r>
          </w:p>
          <w:p w:rsidR="006F7907" w:rsidRDefault="006F7907" w:rsidP="00921190">
            <w:pPr>
              <w:tabs>
                <w:tab w:val="left" w:pos="0"/>
              </w:tabs>
              <w:ind w:left="176" w:firstLine="1"/>
              <w:rPr>
                <w:b/>
                <w:spacing w:val="-3"/>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850" w:firstLine="1"/>
              <w:rPr>
                <w:b/>
                <w:bCs/>
                <w:spacing w:val="-3"/>
              </w:rPr>
            </w:pPr>
            <w:r>
              <w:rPr>
                <w:b/>
                <w:bCs/>
                <w:spacing w:val="-3"/>
              </w:rPr>
              <w:t>Koncentration som leveret*</w:t>
            </w:r>
          </w:p>
        </w:tc>
      </w:tr>
      <w:tr w:rsidR="006F7907" w:rsidTr="00921190">
        <w:trPr>
          <w:cantSplit/>
          <w:tblHeader/>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6F7907" w:rsidRDefault="006F7907" w:rsidP="00921190">
            <w:pPr>
              <w:rPr>
                <w:b/>
                <w:spacing w:val="-3"/>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rsidR="006F7907" w:rsidRDefault="006F7907" w:rsidP="00921190">
            <w:pPr>
              <w:rPr>
                <w:b/>
                <w:spacing w:val="-3"/>
              </w:rPr>
            </w:pPr>
          </w:p>
        </w:tc>
        <w:tc>
          <w:tcPr>
            <w:tcW w:w="2707"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 w:val="left" w:pos="851"/>
              </w:tabs>
              <w:ind w:left="850" w:firstLine="1"/>
              <w:rPr>
                <w:spacing w:val="-3"/>
              </w:rPr>
            </w:pPr>
            <w:r>
              <w:rPr>
                <w:spacing w:val="-3"/>
              </w:rPr>
              <w:t>10.000 IE/ml**</w:t>
            </w:r>
          </w:p>
        </w:tc>
        <w:tc>
          <w:tcPr>
            <w:tcW w:w="2873"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 w:val="left" w:pos="851"/>
              </w:tabs>
              <w:ind w:left="850" w:firstLine="1"/>
              <w:rPr>
                <w:spacing w:val="-3"/>
              </w:rPr>
            </w:pPr>
            <w:r>
              <w:rPr>
                <w:spacing w:val="-3"/>
              </w:rPr>
              <w:t>25.000 IE/ml**</w:t>
            </w:r>
          </w:p>
        </w:tc>
      </w:tr>
      <w:tr w:rsidR="006F7907" w:rsidTr="00921190">
        <w:trPr>
          <w:cantSplit/>
          <w:trHeight w:val="284"/>
        </w:trPr>
        <w:tc>
          <w:tcPr>
            <w:tcW w:w="1700"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1 måned - 2 år</w:t>
            </w:r>
          </w:p>
        </w:tc>
        <w:tc>
          <w:tcPr>
            <w:tcW w:w="1792"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2.500 IE/ml</w:t>
            </w:r>
          </w:p>
        </w:tc>
        <w:tc>
          <w:tcPr>
            <w:tcW w:w="2707" w:type="dxa"/>
            <w:tcBorders>
              <w:top w:val="single" w:sz="4" w:space="0" w:color="auto"/>
              <w:left w:val="single" w:sz="4" w:space="0" w:color="auto"/>
              <w:bottom w:val="single" w:sz="4" w:space="0" w:color="auto"/>
              <w:right w:val="single" w:sz="4" w:space="0" w:color="auto"/>
            </w:tcBorders>
            <w:vAlign w:val="center"/>
            <w:hideMark/>
          </w:tcPr>
          <w:p w:rsidR="006F7907" w:rsidRDefault="006F7907" w:rsidP="00921190">
            <w:pPr>
              <w:tabs>
                <w:tab w:val="left" w:pos="0"/>
              </w:tabs>
              <w:ind w:left="176" w:firstLine="1"/>
              <w:rPr>
                <w:bCs/>
                <w:spacing w:val="-3"/>
              </w:rPr>
            </w:pPr>
            <w:r>
              <w:rPr>
                <w:bCs/>
                <w:spacing w:val="-3"/>
              </w:rPr>
              <w:t>V (aktiv) + 3V (</w:t>
            </w:r>
            <w:proofErr w:type="spellStart"/>
            <w:r>
              <w:rPr>
                <w:bCs/>
                <w:spacing w:val="-3"/>
              </w:rPr>
              <w:t>diluent</w:t>
            </w:r>
            <w:proofErr w:type="spellEnd"/>
            <w:r>
              <w:rPr>
                <w:bCs/>
                <w:spacing w:val="-3"/>
              </w:rPr>
              <w:t>)</w:t>
            </w:r>
          </w:p>
        </w:tc>
        <w:tc>
          <w:tcPr>
            <w:tcW w:w="2873" w:type="dxa"/>
            <w:tcBorders>
              <w:top w:val="single" w:sz="4" w:space="0" w:color="auto"/>
              <w:left w:val="single" w:sz="4" w:space="0" w:color="auto"/>
              <w:bottom w:val="single" w:sz="4" w:space="0" w:color="auto"/>
              <w:right w:val="single" w:sz="4" w:space="0" w:color="auto"/>
            </w:tcBorders>
            <w:vAlign w:val="center"/>
            <w:hideMark/>
          </w:tcPr>
          <w:p w:rsidR="006F7907" w:rsidRDefault="006F7907" w:rsidP="00921190">
            <w:pPr>
              <w:tabs>
                <w:tab w:val="left" w:pos="0"/>
              </w:tabs>
              <w:ind w:left="176" w:firstLine="1"/>
              <w:rPr>
                <w:bCs/>
                <w:spacing w:val="-3"/>
              </w:rPr>
            </w:pPr>
            <w:r>
              <w:rPr>
                <w:bCs/>
                <w:spacing w:val="-3"/>
              </w:rPr>
              <w:t>V (aktiv) + 9V (</w:t>
            </w:r>
            <w:proofErr w:type="spellStart"/>
            <w:r>
              <w:rPr>
                <w:bCs/>
                <w:spacing w:val="-3"/>
              </w:rPr>
              <w:t>diluent</w:t>
            </w:r>
            <w:proofErr w:type="spellEnd"/>
            <w:r>
              <w:rPr>
                <w:bCs/>
                <w:spacing w:val="-3"/>
              </w:rPr>
              <w:t>)</w:t>
            </w:r>
          </w:p>
        </w:tc>
      </w:tr>
      <w:tr w:rsidR="006F7907" w:rsidTr="00921190">
        <w:trPr>
          <w:cantSplit/>
          <w:trHeight w:val="284"/>
        </w:trPr>
        <w:tc>
          <w:tcPr>
            <w:tcW w:w="1700"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2 år - 8 år</w:t>
            </w:r>
          </w:p>
        </w:tc>
        <w:tc>
          <w:tcPr>
            <w:tcW w:w="1792"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10.000 IE/ml</w:t>
            </w:r>
          </w:p>
        </w:tc>
        <w:tc>
          <w:tcPr>
            <w:tcW w:w="2707"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Skal ikke fortyndes</w:t>
            </w:r>
          </w:p>
        </w:tc>
        <w:tc>
          <w:tcPr>
            <w:tcW w:w="2873"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V (aktiv) + 1,5V (</w:t>
            </w:r>
            <w:proofErr w:type="spellStart"/>
            <w:r>
              <w:rPr>
                <w:bCs/>
                <w:spacing w:val="-3"/>
              </w:rPr>
              <w:t>diluent</w:t>
            </w:r>
            <w:proofErr w:type="spellEnd"/>
            <w:r>
              <w:rPr>
                <w:bCs/>
                <w:spacing w:val="-3"/>
              </w:rPr>
              <w:t>)</w:t>
            </w:r>
          </w:p>
        </w:tc>
      </w:tr>
      <w:tr w:rsidR="006F7907" w:rsidTr="00921190">
        <w:trPr>
          <w:cantSplit/>
          <w:trHeight w:val="284"/>
        </w:trPr>
        <w:tc>
          <w:tcPr>
            <w:tcW w:w="1700"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8 år - 17 år</w:t>
            </w:r>
          </w:p>
        </w:tc>
        <w:tc>
          <w:tcPr>
            <w:tcW w:w="1792"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10.000 IE/ml</w:t>
            </w:r>
          </w:p>
        </w:tc>
        <w:tc>
          <w:tcPr>
            <w:tcW w:w="2707"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Skal ikke fortyndes</w:t>
            </w:r>
          </w:p>
        </w:tc>
        <w:tc>
          <w:tcPr>
            <w:tcW w:w="2873" w:type="dxa"/>
            <w:tcBorders>
              <w:top w:val="single" w:sz="4" w:space="0" w:color="auto"/>
              <w:left w:val="single" w:sz="4" w:space="0" w:color="auto"/>
              <w:bottom w:val="single" w:sz="4" w:space="0" w:color="auto"/>
              <w:right w:val="single" w:sz="4" w:space="0" w:color="auto"/>
            </w:tcBorders>
            <w:hideMark/>
          </w:tcPr>
          <w:p w:rsidR="006F7907" w:rsidRDefault="006F7907" w:rsidP="00921190">
            <w:pPr>
              <w:tabs>
                <w:tab w:val="left" w:pos="0"/>
              </w:tabs>
              <w:ind w:left="176" w:firstLine="1"/>
              <w:rPr>
                <w:bCs/>
                <w:spacing w:val="-3"/>
              </w:rPr>
            </w:pPr>
            <w:r>
              <w:rPr>
                <w:bCs/>
                <w:spacing w:val="-3"/>
              </w:rPr>
              <w:t>V (aktiv) + 1,5V (</w:t>
            </w:r>
            <w:proofErr w:type="spellStart"/>
            <w:r>
              <w:rPr>
                <w:bCs/>
                <w:spacing w:val="-3"/>
              </w:rPr>
              <w:t>diluent</w:t>
            </w:r>
            <w:proofErr w:type="spellEnd"/>
            <w:r>
              <w:rPr>
                <w:bCs/>
                <w:spacing w:val="-3"/>
              </w:rPr>
              <w:t>)***</w:t>
            </w:r>
          </w:p>
        </w:tc>
      </w:tr>
      <w:tr w:rsidR="006F7907" w:rsidTr="00921190">
        <w:trPr>
          <w:cantSplit/>
        </w:trPr>
        <w:tc>
          <w:tcPr>
            <w:tcW w:w="9072" w:type="dxa"/>
            <w:gridSpan w:val="4"/>
            <w:tcBorders>
              <w:top w:val="single" w:sz="4" w:space="0" w:color="auto"/>
              <w:left w:val="single" w:sz="4" w:space="0" w:color="auto"/>
              <w:bottom w:val="single" w:sz="4" w:space="0" w:color="auto"/>
              <w:right w:val="single" w:sz="4" w:space="0" w:color="auto"/>
            </w:tcBorders>
            <w:hideMark/>
          </w:tcPr>
          <w:p w:rsidR="006F7907" w:rsidRDefault="006F7907" w:rsidP="00921190">
            <w:pPr>
              <w:spacing w:before="120"/>
              <w:ind w:left="426"/>
              <w:rPr>
                <w:rFonts w:cs="Arial"/>
                <w:sz w:val="22"/>
                <w:szCs w:val="22"/>
                <w:lang w:eastAsia="en-US"/>
              </w:rPr>
            </w:pPr>
            <w:r>
              <w:rPr>
                <w:rFonts w:cs="Arial"/>
                <w:sz w:val="22"/>
                <w:szCs w:val="22"/>
                <w:lang w:eastAsia="en-US"/>
              </w:rPr>
              <w:t>Det endelige volumen til injektion skal være mellem 0,15 ml og 1,0 ml. Hvis det er under/over dette interval, skal der klargøres en (henholdsvis) mindre/mere koncentreret opløsning til administration.</w:t>
            </w:r>
          </w:p>
          <w:p w:rsidR="006F7907" w:rsidRDefault="006F7907" w:rsidP="00921190">
            <w:pPr>
              <w:spacing w:before="120"/>
              <w:ind w:left="426"/>
              <w:rPr>
                <w:rFonts w:cs="Arial"/>
                <w:sz w:val="22"/>
                <w:szCs w:val="22"/>
                <w:lang w:eastAsia="en-US"/>
              </w:rPr>
            </w:pPr>
            <w:r>
              <w:rPr>
                <w:rFonts w:cs="Arial"/>
                <w:sz w:val="22"/>
                <w:szCs w:val="22"/>
                <w:lang w:eastAsia="en-US"/>
              </w:rPr>
              <w:t xml:space="preserve">* Træk et passende volumen (V) på mindst 1,0 ml af den medfølgende opløsning, og tilsæt derefter </w:t>
            </w:r>
            <w:proofErr w:type="spellStart"/>
            <w:r>
              <w:rPr>
                <w:rFonts w:cs="Arial"/>
                <w:sz w:val="22"/>
                <w:szCs w:val="22"/>
                <w:lang w:eastAsia="en-US"/>
              </w:rPr>
              <w:t>diluent</w:t>
            </w:r>
            <w:proofErr w:type="spellEnd"/>
            <w:r>
              <w:rPr>
                <w:rFonts w:cs="Arial"/>
                <w:sz w:val="22"/>
                <w:szCs w:val="22"/>
                <w:lang w:eastAsia="en-US"/>
              </w:rPr>
              <w:t xml:space="preserve"> (</w:t>
            </w:r>
            <w:proofErr w:type="spellStart"/>
            <w:r>
              <w:rPr>
                <w:rFonts w:cs="Arial"/>
                <w:sz w:val="22"/>
                <w:szCs w:val="22"/>
                <w:lang w:eastAsia="en-US"/>
              </w:rPr>
              <w:t>diluentvolumen</w:t>
            </w:r>
            <w:proofErr w:type="spellEnd"/>
            <w:r>
              <w:rPr>
                <w:rFonts w:cs="Arial"/>
                <w:sz w:val="22"/>
                <w:szCs w:val="22"/>
                <w:lang w:eastAsia="en-US"/>
              </w:rPr>
              <w:t xml:space="preserve"> udtrykkes som et multiplum af V). Administrer det korrekte volumen af den fortyndede opløsning. Til børn &gt; 20 kg kan koncentrationen på 12.500 IE/ml også administreres direkte uden fortynding.</w:t>
            </w:r>
          </w:p>
          <w:p w:rsidR="006F7907" w:rsidRDefault="006F7907" w:rsidP="00921190">
            <w:pPr>
              <w:spacing w:before="120"/>
              <w:ind w:left="426"/>
              <w:rPr>
                <w:rFonts w:cs="Arial"/>
                <w:sz w:val="22"/>
                <w:szCs w:val="22"/>
                <w:lang w:eastAsia="en-US"/>
              </w:rPr>
            </w:pPr>
            <w:r>
              <w:rPr>
                <w:rFonts w:cs="Arial"/>
                <w:sz w:val="22"/>
                <w:szCs w:val="22"/>
                <w:lang w:eastAsia="en-US"/>
              </w:rPr>
              <w:t xml:space="preserve">** Flerdosishætteglassene med 10.000 IE/ml (10 ml hætteglas) og 25.000 IE/ml (4 ml hætteglas) indeholder </w:t>
            </w:r>
            <w:proofErr w:type="spellStart"/>
            <w:r>
              <w:rPr>
                <w:rFonts w:cs="Arial"/>
                <w:sz w:val="22"/>
                <w:szCs w:val="22"/>
                <w:lang w:eastAsia="en-US"/>
              </w:rPr>
              <w:t>benzylalkohol</w:t>
            </w:r>
            <w:proofErr w:type="spellEnd"/>
            <w:r>
              <w:rPr>
                <w:rFonts w:cs="Arial"/>
                <w:sz w:val="22"/>
                <w:szCs w:val="22"/>
                <w:lang w:eastAsia="en-US"/>
              </w:rPr>
              <w:t xml:space="preserve">. Til børn under 3 år skal der anvendes en formulering uden </w:t>
            </w:r>
            <w:proofErr w:type="spellStart"/>
            <w:r>
              <w:rPr>
                <w:rFonts w:cs="Arial"/>
                <w:sz w:val="22"/>
                <w:szCs w:val="22"/>
                <w:lang w:eastAsia="en-US"/>
              </w:rPr>
              <w:t>benzylalkohol</w:t>
            </w:r>
            <w:proofErr w:type="spellEnd"/>
            <w:r>
              <w:rPr>
                <w:rFonts w:cs="Arial"/>
                <w:sz w:val="22"/>
                <w:szCs w:val="22"/>
                <w:lang w:eastAsia="en-US"/>
              </w:rPr>
              <w:t>.</w:t>
            </w:r>
          </w:p>
          <w:p w:rsidR="006F7907" w:rsidRDefault="006F7907" w:rsidP="00921190">
            <w:pPr>
              <w:spacing w:before="120"/>
              <w:ind w:left="426"/>
              <w:rPr>
                <w:rFonts w:cs="Arial"/>
                <w:sz w:val="22"/>
                <w:szCs w:val="22"/>
                <w:lang w:eastAsia="en-US"/>
              </w:rPr>
            </w:pPr>
            <w:r>
              <w:rPr>
                <w:rFonts w:cs="Arial"/>
                <w:sz w:val="22"/>
                <w:szCs w:val="22"/>
                <w:lang w:eastAsia="en-US"/>
              </w:rPr>
              <w:t>*** Til børn &gt; 50 kg kan opløsningen med 25.000 IE/ml også administreres direkte uden fortynding.</w:t>
            </w:r>
          </w:p>
        </w:tc>
      </w:tr>
      <w:bookmarkEnd w:id="2"/>
    </w:tbl>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left="850" w:firstLine="1"/>
        <w:rPr>
          <w:spacing w:val="-3"/>
        </w:rPr>
      </w:pPr>
      <w:proofErr w:type="spellStart"/>
      <w:r>
        <w:rPr>
          <w:spacing w:val="-3"/>
        </w:rPr>
        <w:t>Fragmin</w:t>
      </w:r>
      <w:proofErr w:type="spellEnd"/>
      <w:r>
        <w:rPr>
          <w:spacing w:val="-3"/>
        </w:rPr>
        <w:t xml:space="preserve"> er kompatibel med infusionsopløsninger bestående af </w:t>
      </w:r>
      <w:proofErr w:type="spellStart"/>
      <w:r>
        <w:rPr>
          <w:spacing w:val="-3"/>
        </w:rPr>
        <w:t>natriumchlorid</w:t>
      </w:r>
      <w:proofErr w:type="spellEnd"/>
      <w:r>
        <w:rPr>
          <w:spacing w:val="-3"/>
        </w:rPr>
        <w:t xml:space="preserve"> (9 mg/ml) eller </w:t>
      </w:r>
      <w:proofErr w:type="spellStart"/>
      <w:r>
        <w:rPr>
          <w:spacing w:val="-3"/>
        </w:rPr>
        <w:t>glucose</w:t>
      </w:r>
      <w:proofErr w:type="spellEnd"/>
      <w:r>
        <w:rPr>
          <w:spacing w:val="-3"/>
        </w:rPr>
        <w:t xml:space="preserve"> (50 mg/ml) i glasflasker og plastbeholdere (se pkt. 6.6).</w:t>
      </w:r>
      <w:bookmarkEnd w:id="1"/>
    </w:p>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left="850" w:firstLine="1"/>
        <w:rPr>
          <w:spacing w:val="-3"/>
          <w:szCs w:val="24"/>
          <w:u w:val="single"/>
        </w:rPr>
      </w:pPr>
      <w:r>
        <w:rPr>
          <w:spacing w:val="-3"/>
          <w:szCs w:val="24"/>
          <w:u w:val="single"/>
        </w:rPr>
        <w:t xml:space="preserve">Monitorering af </w:t>
      </w:r>
      <w:proofErr w:type="spellStart"/>
      <w:r>
        <w:rPr>
          <w:spacing w:val="-3"/>
          <w:szCs w:val="24"/>
          <w:u w:val="single"/>
        </w:rPr>
        <w:t>anti-Xa</w:t>
      </w:r>
      <w:proofErr w:type="spellEnd"/>
      <w:r>
        <w:rPr>
          <w:spacing w:val="-3"/>
          <w:szCs w:val="24"/>
          <w:u w:val="single"/>
        </w:rPr>
        <w:t xml:space="preserve"> niveau hos børn</w:t>
      </w:r>
    </w:p>
    <w:p w:rsidR="006F7907" w:rsidRDefault="006F7907" w:rsidP="006F7907">
      <w:pPr>
        <w:ind w:left="850" w:firstLine="1"/>
      </w:pPr>
      <w:r>
        <w:t xml:space="preserve">Efter initiering af </w:t>
      </w:r>
      <w:proofErr w:type="spellStart"/>
      <w:r>
        <w:t>Fragmin</w:t>
      </w:r>
      <w:proofErr w:type="spellEnd"/>
      <w:r>
        <w:t xml:space="preserve"> skal </w:t>
      </w:r>
      <w:proofErr w:type="spellStart"/>
      <w:r>
        <w:t>anti-Xa</w:t>
      </w:r>
      <w:proofErr w:type="spellEnd"/>
      <w:r>
        <w:t xml:space="preserve"> niveauet indledningsvist måles efter den første, anden eller tredje dosis. Prøver til måling af </w:t>
      </w:r>
      <w:proofErr w:type="spellStart"/>
      <w:r>
        <w:t>anti-Xa</w:t>
      </w:r>
      <w:proofErr w:type="spellEnd"/>
      <w:r>
        <w:t xml:space="preserve"> niveauer skal tages 4 timer efter administration.</w:t>
      </w:r>
    </w:p>
    <w:p w:rsidR="006F7907" w:rsidRDefault="006F7907" w:rsidP="006F7907">
      <w:pPr>
        <w:ind w:left="850" w:firstLine="1"/>
      </w:pPr>
    </w:p>
    <w:p w:rsidR="006F7907" w:rsidRDefault="006F7907" w:rsidP="006F7907">
      <w:pPr>
        <w:ind w:left="850" w:firstLine="1"/>
      </w:pPr>
      <w:r>
        <w:t xml:space="preserve">Doseringen skal justeres i trin på 25 IE/kg for at opnå det tilstræbte </w:t>
      </w:r>
      <w:proofErr w:type="spellStart"/>
      <w:r>
        <w:t>anti-Xa</w:t>
      </w:r>
      <w:proofErr w:type="spellEnd"/>
      <w:r>
        <w:t xml:space="preserve"> niveau på mellem 0,5 IE/ml og 1 IE/ml, og </w:t>
      </w:r>
      <w:proofErr w:type="spellStart"/>
      <w:r>
        <w:t>anti-Xa</w:t>
      </w:r>
      <w:proofErr w:type="spellEnd"/>
      <w:r>
        <w:t xml:space="preserve"> niveauet skal måles efter hver justering. Vedligeholdelsesdosis skal individualiseres baseret på den dosis, der opnår det tilsigtede </w:t>
      </w:r>
      <w:proofErr w:type="spellStart"/>
      <w:r>
        <w:t>anti-Xa</w:t>
      </w:r>
      <w:proofErr w:type="spellEnd"/>
      <w:r>
        <w:t xml:space="preserve"> niveau i prøver indsamlet 4 timer efter administration.</w:t>
      </w:r>
    </w:p>
    <w:p w:rsidR="006F7907" w:rsidRDefault="006F7907" w:rsidP="006F7907">
      <w:pPr>
        <w:ind w:left="850" w:firstLine="1"/>
      </w:pPr>
    </w:p>
    <w:p w:rsidR="006F7907" w:rsidRDefault="006F7907" w:rsidP="006F7907">
      <w:pPr>
        <w:ind w:left="850" w:firstLine="1"/>
      </w:pPr>
      <w:bookmarkStart w:id="3" w:name="_Hlk77842228"/>
      <w:r>
        <w:t xml:space="preserve">Monitoreringen af </w:t>
      </w:r>
      <w:proofErr w:type="spellStart"/>
      <w:r>
        <w:t>anti-Xa</w:t>
      </w:r>
      <w:proofErr w:type="spellEnd"/>
      <w:r>
        <w:t xml:space="preserve"> niveauerne skal opretholdes, indtil der er fastlagt en passende vedligeholdelsesdosis, hvorefter den skal fortsættes periodisk for at opretholde det tilstræbte </w:t>
      </w:r>
      <w:proofErr w:type="spellStart"/>
      <w:r>
        <w:t>anti-Xa</w:t>
      </w:r>
      <w:proofErr w:type="spellEnd"/>
      <w:r>
        <w:t xml:space="preserve"> niveau. Hos de yngste børn bør initial monitorering starte efter første dosis og der kan være behov for hyppigere monitorering efterfølgende for at styre dosisjusteringer indtil det tilstræbte </w:t>
      </w:r>
      <w:proofErr w:type="spellStart"/>
      <w:r>
        <w:t>anti-Xa</w:t>
      </w:r>
      <w:proofErr w:type="spellEnd"/>
      <w:r>
        <w:t xml:space="preserve"> niveau opnås (se pkt. 5.1 og 5.2).</w:t>
      </w:r>
      <w:bookmarkEnd w:id="3"/>
    </w:p>
    <w:p w:rsidR="006F7907" w:rsidRDefault="006F7907" w:rsidP="006F7907">
      <w:pPr>
        <w:ind w:left="850" w:firstLine="1"/>
      </w:pPr>
    </w:p>
    <w:p w:rsidR="006F7907" w:rsidRDefault="006F7907" w:rsidP="006F7907">
      <w:pPr>
        <w:ind w:left="850" w:firstLine="1"/>
      </w:pPr>
      <w:r>
        <w:t xml:space="preserve">I tilfælde af fysiologisk lav eller skiftende nyrefunktion, som hos nyfødte, er tæt monitorering påkrævet. </w:t>
      </w:r>
    </w:p>
    <w:p w:rsidR="006F7907" w:rsidRDefault="006F7907" w:rsidP="006F7907">
      <w:pPr>
        <w:tabs>
          <w:tab w:val="left" w:pos="0"/>
          <w:tab w:val="left" w:pos="851"/>
        </w:tabs>
        <w:ind w:left="850" w:firstLine="1"/>
        <w:rPr>
          <w:b/>
          <w:spacing w:val="-3"/>
        </w:rPr>
      </w:pPr>
    </w:p>
    <w:p w:rsidR="006F7907" w:rsidRDefault="006F7907" w:rsidP="006F7907">
      <w:pPr>
        <w:tabs>
          <w:tab w:val="left" w:pos="0"/>
          <w:tab w:val="left" w:pos="851"/>
        </w:tabs>
        <w:ind w:left="850" w:firstLine="1"/>
        <w:rPr>
          <w:bCs/>
          <w:spacing w:val="-3"/>
        </w:rPr>
      </w:pPr>
      <w:proofErr w:type="spellStart"/>
      <w:r>
        <w:rPr>
          <w:bCs/>
          <w:spacing w:val="-3"/>
        </w:rPr>
        <w:t>Dalteparinnatriums</w:t>
      </w:r>
      <w:proofErr w:type="spellEnd"/>
      <w:r>
        <w:rPr>
          <w:bCs/>
          <w:spacing w:val="-3"/>
        </w:rPr>
        <w:t xml:space="preserve"> sikkerhed og virkning ved profylakse af VTE hos børn er ikke klarlagt. De aktuelt tilgængelige data vedrørende profylakse af VTE er beskrevet i pkt. 5.1, men der kan ikke gives nogen anbefalinger vedrørende dosering.</w:t>
      </w:r>
    </w:p>
    <w:p w:rsidR="006F7907" w:rsidRDefault="006F7907" w:rsidP="006F7907">
      <w:pPr>
        <w:tabs>
          <w:tab w:val="left" w:pos="0"/>
          <w:tab w:val="left" w:pos="851"/>
        </w:tabs>
        <w:ind w:left="850" w:firstLine="1"/>
        <w:rPr>
          <w:bCs/>
          <w:spacing w:val="-3"/>
        </w:rPr>
      </w:pPr>
    </w:p>
    <w:p w:rsidR="006F7907" w:rsidRDefault="006F7907" w:rsidP="006F7907">
      <w:pPr>
        <w:tabs>
          <w:tab w:val="left" w:pos="0"/>
          <w:tab w:val="left" w:pos="851"/>
        </w:tabs>
        <w:ind w:left="850" w:firstLine="1"/>
        <w:rPr>
          <w:bCs/>
          <w:spacing w:val="-3"/>
          <w:u w:val="single"/>
        </w:rPr>
      </w:pPr>
      <w:r>
        <w:rPr>
          <w:bCs/>
          <w:spacing w:val="-3"/>
          <w:u w:val="single"/>
        </w:rPr>
        <w:t>Administration</w:t>
      </w:r>
    </w:p>
    <w:p w:rsidR="006F7907" w:rsidRDefault="006F7907" w:rsidP="006F7907">
      <w:pPr>
        <w:tabs>
          <w:tab w:val="left" w:pos="0"/>
          <w:tab w:val="left" w:pos="851"/>
        </w:tabs>
        <w:ind w:left="850" w:firstLine="1"/>
        <w:rPr>
          <w:bCs/>
          <w:i/>
          <w:iCs/>
          <w:spacing w:val="-3"/>
        </w:rPr>
      </w:pPr>
      <w:r>
        <w:rPr>
          <w:bCs/>
          <w:i/>
          <w:iCs/>
          <w:spacing w:val="-3"/>
        </w:rPr>
        <w:t>Pædiatrisk population:</w:t>
      </w:r>
    </w:p>
    <w:p w:rsidR="006F7907" w:rsidRDefault="006F7907" w:rsidP="006F7907">
      <w:pPr>
        <w:tabs>
          <w:tab w:val="left" w:pos="0"/>
          <w:tab w:val="left" w:pos="851"/>
        </w:tabs>
        <w:ind w:left="850" w:firstLine="1"/>
        <w:rPr>
          <w:bCs/>
          <w:spacing w:val="-3"/>
        </w:rPr>
      </w:pPr>
      <w:proofErr w:type="spellStart"/>
      <w:r>
        <w:rPr>
          <w:bCs/>
          <w:spacing w:val="-3"/>
        </w:rPr>
        <w:t>Fragmin</w:t>
      </w:r>
      <w:proofErr w:type="spellEnd"/>
      <w:r>
        <w:rPr>
          <w:bCs/>
          <w:spacing w:val="-3"/>
        </w:rPr>
        <w:t xml:space="preserve"> administreres ved subkutan administration, fortrinsvist </w:t>
      </w:r>
      <w:proofErr w:type="spellStart"/>
      <w:r>
        <w:rPr>
          <w:bCs/>
          <w:spacing w:val="-3"/>
        </w:rPr>
        <w:t>anterolateralt</w:t>
      </w:r>
      <w:proofErr w:type="spellEnd"/>
      <w:r>
        <w:rPr>
          <w:bCs/>
          <w:spacing w:val="-3"/>
        </w:rPr>
        <w:t xml:space="preserve"> eller </w:t>
      </w:r>
      <w:proofErr w:type="spellStart"/>
      <w:r>
        <w:rPr>
          <w:bCs/>
          <w:spacing w:val="-3"/>
        </w:rPr>
        <w:t>posterolateralt</w:t>
      </w:r>
      <w:proofErr w:type="spellEnd"/>
      <w:r>
        <w:rPr>
          <w:bCs/>
          <w:spacing w:val="-3"/>
        </w:rPr>
        <w:t xml:space="preserve"> i det </w:t>
      </w:r>
      <w:proofErr w:type="spellStart"/>
      <w:r>
        <w:rPr>
          <w:bCs/>
          <w:spacing w:val="-3"/>
        </w:rPr>
        <w:t>abdominale</w:t>
      </w:r>
      <w:proofErr w:type="spellEnd"/>
      <w:r>
        <w:rPr>
          <w:bCs/>
          <w:spacing w:val="-3"/>
        </w:rPr>
        <w:t xml:space="preserve"> subkutane væv eller lateralt i låret i en vinkel på mellem 45 ° og 90 °.</w:t>
      </w:r>
    </w:p>
    <w:p w:rsidR="006F7907" w:rsidRDefault="006F7907" w:rsidP="006F7907">
      <w:pPr>
        <w:tabs>
          <w:tab w:val="left" w:pos="0"/>
          <w:tab w:val="left" w:pos="851"/>
        </w:tabs>
        <w:ind w:left="850" w:firstLine="1"/>
        <w:rPr>
          <w:bCs/>
          <w:spacing w:val="-3"/>
        </w:rPr>
      </w:pPr>
      <w:r>
        <w:rPr>
          <w:bCs/>
          <w:spacing w:val="-3"/>
        </w:rPr>
        <w:t xml:space="preserve">Fuldstændige instruktioner vedrørende administrationen af </w:t>
      </w:r>
      <w:proofErr w:type="spellStart"/>
      <w:r>
        <w:rPr>
          <w:bCs/>
          <w:spacing w:val="-3"/>
        </w:rPr>
        <w:t>Fragmin</w:t>
      </w:r>
      <w:proofErr w:type="spellEnd"/>
      <w:r>
        <w:rPr>
          <w:bCs/>
          <w:spacing w:val="-3"/>
        </w:rPr>
        <w:t xml:space="preserve"> findes i punkt 3 i indlægssedlen.</w:t>
      </w:r>
    </w:p>
    <w:p w:rsidR="006F7907" w:rsidRDefault="006F7907" w:rsidP="006F7907">
      <w:pPr>
        <w:tabs>
          <w:tab w:val="left" w:pos="0"/>
          <w:tab w:val="left" w:pos="851"/>
        </w:tabs>
        <w:ind w:left="850" w:firstLine="1"/>
        <w:rPr>
          <w:b/>
          <w:spacing w:val="-3"/>
        </w:rPr>
      </w:pPr>
    </w:p>
    <w:p w:rsidR="006F7907" w:rsidRDefault="006F7907" w:rsidP="006F7907">
      <w:pPr>
        <w:tabs>
          <w:tab w:val="left" w:pos="0"/>
          <w:tab w:val="left" w:pos="851"/>
        </w:tabs>
        <w:ind w:left="850" w:firstLine="1"/>
        <w:rPr>
          <w:b/>
          <w:spacing w:val="-3"/>
        </w:rPr>
      </w:pPr>
      <w:r>
        <w:rPr>
          <w:b/>
          <w:spacing w:val="-3"/>
        </w:rPr>
        <w:t>Voksne</w:t>
      </w:r>
    </w:p>
    <w:p w:rsidR="006F7907" w:rsidRDefault="006F7907" w:rsidP="006F7907">
      <w:pPr>
        <w:tabs>
          <w:tab w:val="left" w:pos="0"/>
          <w:tab w:val="left" w:pos="851"/>
        </w:tabs>
        <w:ind w:left="850" w:firstLine="1"/>
        <w:rPr>
          <w:i/>
          <w:spacing w:val="-3"/>
        </w:rPr>
      </w:pPr>
      <w:r>
        <w:rPr>
          <w:i/>
          <w:spacing w:val="-3"/>
        </w:rPr>
        <w:tab/>
      </w:r>
    </w:p>
    <w:p w:rsidR="006F7907" w:rsidRDefault="006F7907" w:rsidP="006F7907">
      <w:pPr>
        <w:tabs>
          <w:tab w:val="left" w:pos="0"/>
          <w:tab w:val="left" w:pos="851"/>
        </w:tabs>
        <w:ind w:left="850" w:firstLine="1"/>
        <w:rPr>
          <w:i/>
          <w:iCs/>
          <w:spacing w:val="-3"/>
        </w:rPr>
      </w:pPr>
      <w:r>
        <w:rPr>
          <w:i/>
          <w:iCs/>
          <w:spacing w:val="-3"/>
        </w:rPr>
        <w:t>Tromboseprofylakse hos patienter med moderat risiko for trombose (almen kirurgi)</w:t>
      </w:r>
    </w:p>
    <w:p w:rsidR="006F7907" w:rsidRDefault="006F7907" w:rsidP="006F7907">
      <w:pPr>
        <w:tabs>
          <w:tab w:val="left" w:pos="0"/>
          <w:tab w:val="left" w:pos="851"/>
        </w:tabs>
        <w:ind w:left="850" w:firstLine="1"/>
        <w:rPr>
          <w:spacing w:val="-3"/>
        </w:rPr>
      </w:pPr>
      <w:r>
        <w:rPr>
          <w:spacing w:val="-3"/>
        </w:rPr>
        <w:t xml:space="preserve">På operationsdagen, 1-2 timer før operation 2.500 </w:t>
      </w:r>
      <w:proofErr w:type="spellStart"/>
      <w:r>
        <w:rPr>
          <w:spacing w:val="-3"/>
        </w:rPr>
        <w:t>anti-Xa</w:t>
      </w:r>
      <w:proofErr w:type="spellEnd"/>
      <w:r>
        <w:rPr>
          <w:spacing w:val="-3"/>
        </w:rPr>
        <w:t xml:space="preserve"> IE </w:t>
      </w:r>
      <w:proofErr w:type="spellStart"/>
      <w:r>
        <w:rPr>
          <w:spacing w:val="-3"/>
        </w:rPr>
        <w:t>s.c</w:t>
      </w:r>
      <w:proofErr w:type="spellEnd"/>
      <w:r>
        <w:rPr>
          <w:spacing w:val="-3"/>
        </w:rPr>
        <w:t>.</w:t>
      </w:r>
    </w:p>
    <w:p w:rsidR="006F7907" w:rsidRDefault="006F7907" w:rsidP="006F7907">
      <w:pPr>
        <w:tabs>
          <w:tab w:val="left" w:pos="0"/>
          <w:tab w:val="left" w:pos="851"/>
        </w:tabs>
        <w:ind w:left="850" w:firstLine="1"/>
        <w:rPr>
          <w:b/>
          <w:spacing w:val="-3"/>
        </w:rPr>
      </w:pPr>
      <w:r>
        <w:rPr>
          <w:spacing w:val="-3"/>
        </w:rPr>
        <w:t xml:space="preserve">Herefter 2.500 </w:t>
      </w:r>
      <w:proofErr w:type="spellStart"/>
      <w:r>
        <w:rPr>
          <w:spacing w:val="-3"/>
        </w:rPr>
        <w:t>anti-Xa</w:t>
      </w:r>
      <w:proofErr w:type="spellEnd"/>
      <w:r>
        <w:rPr>
          <w:spacing w:val="-3"/>
        </w:rPr>
        <w:t xml:space="preserve"> IE </w:t>
      </w:r>
      <w:proofErr w:type="spellStart"/>
      <w:r>
        <w:rPr>
          <w:spacing w:val="-3"/>
        </w:rPr>
        <w:t>s.c</w:t>
      </w:r>
      <w:proofErr w:type="spellEnd"/>
      <w:r>
        <w:rPr>
          <w:spacing w:val="-3"/>
        </w:rPr>
        <w:t>. hver morgen i 5 dage eller til patienten er fuldt mobiliseret.</w:t>
      </w:r>
    </w:p>
    <w:p w:rsidR="006F7907" w:rsidRDefault="006F7907" w:rsidP="006F7907">
      <w:pPr>
        <w:tabs>
          <w:tab w:val="left" w:pos="0"/>
          <w:tab w:val="left" w:pos="851"/>
        </w:tabs>
        <w:ind w:left="850" w:firstLine="1"/>
        <w:rPr>
          <w:spacing w:val="-3"/>
        </w:rPr>
      </w:pPr>
      <w:r>
        <w:rPr>
          <w:spacing w:val="-3"/>
        </w:rPr>
        <w:tab/>
      </w:r>
    </w:p>
    <w:p w:rsidR="006F7907" w:rsidRDefault="006F7907" w:rsidP="006F7907">
      <w:pPr>
        <w:tabs>
          <w:tab w:val="left" w:pos="0"/>
          <w:tab w:val="left" w:pos="851"/>
        </w:tabs>
        <w:ind w:left="850" w:firstLine="1"/>
        <w:rPr>
          <w:spacing w:val="-3"/>
        </w:rPr>
      </w:pPr>
      <w:r>
        <w:rPr>
          <w:spacing w:val="-3"/>
        </w:rPr>
        <w:t>Patienter med maligne sygdomme og/eller andre risikofaktorer, der kan forøge trom</w:t>
      </w:r>
      <w:r>
        <w:rPr>
          <w:spacing w:val="-3"/>
        </w:rPr>
        <w:softHyphen/>
        <w:t>bose</w:t>
      </w:r>
      <w:r>
        <w:rPr>
          <w:spacing w:val="-3"/>
        </w:rPr>
        <w:softHyphen/>
        <w:t xml:space="preserve">risikoen, kan eventuelt anvende den højere dosering som anført under </w:t>
      </w:r>
      <w:r>
        <w:rPr>
          <w:i/>
          <w:spacing w:val="-3"/>
        </w:rPr>
        <w:t>Tromboseprofylakse hos patienter med høj risiko for trombose</w:t>
      </w:r>
      <w:r>
        <w:rPr>
          <w:spacing w:val="-3"/>
        </w:rPr>
        <w:t>.</w:t>
      </w:r>
    </w:p>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left="850" w:firstLine="1"/>
        <w:rPr>
          <w:i/>
          <w:iCs/>
          <w:spacing w:val="-3"/>
        </w:rPr>
      </w:pPr>
      <w:r>
        <w:rPr>
          <w:i/>
          <w:iCs/>
          <w:spacing w:val="-3"/>
        </w:rPr>
        <w:t xml:space="preserve">Tromboseprofylakse hos patienter med høj risiko for trombose (fx total </w:t>
      </w:r>
      <w:proofErr w:type="spellStart"/>
      <w:r>
        <w:rPr>
          <w:i/>
          <w:iCs/>
          <w:spacing w:val="-3"/>
        </w:rPr>
        <w:t>hoftealloplastik</w:t>
      </w:r>
      <w:proofErr w:type="spellEnd"/>
      <w:r>
        <w:rPr>
          <w:i/>
          <w:iCs/>
          <w:spacing w:val="-3"/>
        </w:rPr>
        <w:t>)</w:t>
      </w:r>
    </w:p>
    <w:p w:rsidR="006F7907" w:rsidRDefault="006F7907" w:rsidP="006F7907">
      <w:pPr>
        <w:tabs>
          <w:tab w:val="left" w:pos="0"/>
          <w:tab w:val="left" w:pos="851"/>
        </w:tabs>
        <w:ind w:left="850" w:firstLine="1"/>
        <w:rPr>
          <w:spacing w:val="-3"/>
        </w:rPr>
      </w:pPr>
      <w:r>
        <w:rPr>
          <w:spacing w:val="-3"/>
        </w:rPr>
        <w:t xml:space="preserve">5.000 </w:t>
      </w:r>
      <w:proofErr w:type="spellStart"/>
      <w:r>
        <w:rPr>
          <w:spacing w:val="-3"/>
        </w:rPr>
        <w:t>anti-Xa</w:t>
      </w:r>
      <w:proofErr w:type="spellEnd"/>
      <w:r>
        <w:rPr>
          <w:spacing w:val="-3"/>
        </w:rPr>
        <w:t xml:space="preserve"> IE </w:t>
      </w:r>
      <w:proofErr w:type="spellStart"/>
      <w:r>
        <w:rPr>
          <w:spacing w:val="-3"/>
        </w:rPr>
        <w:t>s.c</w:t>
      </w:r>
      <w:proofErr w:type="spellEnd"/>
      <w:r>
        <w:rPr>
          <w:spacing w:val="-3"/>
        </w:rPr>
        <w:t xml:space="preserve">. aftenen før operation og herefter 5.000 </w:t>
      </w:r>
      <w:proofErr w:type="spellStart"/>
      <w:r>
        <w:rPr>
          <w:spacing w:val="-3"/>
        </w:rPr>
        <w:t>anti-Xa</w:t>
      </w:r>
      <w:proofErr w:type="spellEnd"/>
      <w:r>
        <w:rPr>
          <w:spacing w:val="-3"/>
        </w:rPr>
        <w:t xml:space="preserve"> IE </w:t>
      </w:r>
      <w:proofErr w:type="spellStart"/>
      <w:r>
        <w:rPr>
          <w:spacing w:val="-3"/>
        </w:rPr>
        <w:t>s.c</w:t>
      </w:r>
      <w:proofErr w:type="spellEnd"/>
      <w:r>
        <w:rPr>
          <w:spacing w:val="-3"/>
        </w:rPr>
        <w:t>. hver aften i 5 dage eller mere, afhængigt af patientens mobilitet og profylakserutine.</w:t>
      </w:r>
    </w:p>
    <w:p w:rsidR="006F7907" w:rsidRDefault="006F7907" w:rsidP="006F7907">
      <w:pPr>
        <w:tabs>
          <w:tab w:val="left" w:pos="0"/>
          <w:tab w:val="left" w:pos="851"/>
        </w:tabs>
        <w:ind w:firstLine="1"/>
        <w:rPr>
          <w:spacing w:val="-3"/>
        </w:rPr>
      </w:pPr>
    </w:p>
    <w:p w:rsidR="006F7907" w:rsidRDefault="006F7907" w:rsidP="006F7907">
      <w:pPr>
        <w:tabs>
          <w:tab w:val="left" w:pos="0"/>
          <w:tab w:val="left" w:pos="851"/>
        </w:tabs>
        <w:ind w:left="850" w:firstLine="1"/>
        <w:rPr>
          <w:spacing w:val="-3"/>
        </w:rPr>
      </w:pPr>
      <w:r>
        <w:rPr>
          <w:spacing w:val="-3"/>
        </w:rPr>
        <w:t xml:space="preserve">Alternativt gives 2.500 </w:t>
      </w:r>
      <w:proofErr w:type="spellStart"/>
      <w:r>
        <w:rPr>
          <w:spacing w:val="-3"/>
        </w:rPr>
        <w:t>anti-Xa</w:t>
      </w:r>
      <w:proofErr w:type="spellEnd"/>
      <w:r>
        <w:rPr>
          <w:spacing w:val="-3"/>
        </w:rPr>
        <w:t xml:space="preserve"> IE </w:t>
      </w:r>
      <w:proofErr w:type="spellStart"/>
      <w:r>
        <w:rPr>
          <w:spacing w:val="-3"/>
        </w:rPr>
        <w:t>s.c</w:t>
      </w:r>
      <w:proofErr w:type="spellEnd"/>
      <w:r>
        <w:rPr>
          <w:spacing w:val="-3"/>
        </w:rPr>
        <w:t xml:space="preserve">. 1-2 timer før operation samt 2.500 </w:t>
      </w:r>
      <w:proofErr w:type="spellStart"/>
      <w:r>
        <w:rPr>
          <w:spacing w:val="-3"/>
        </w:rPr>
        <w:t>anti-Xa</w:t>
      </w:r>
      <w:proofErr w:type="spellEnd"/>
      <w:r>
        <w:rPr>
          <w:spacing w:val="-3"/>
        </w:rPr>
        <w:t xml:space="preserve"> IE </w:t>
      </w:r>
      <w:proofErr w:type="spellStart"/>
      <w:r>
        <w:rPr>
          <w:spacing w:val="-3"/>
        </w:rPr>
        <w:t>s.c</w:t>
      </w:r>
      <w:proofErr w:type="spellEnd"/>
      <w:r>
        <w:rPr>
          <w:spacing w:val="-3"/>
        </w:rPr>
        <w:t>. 12 timer senere.</w:t>
      </w:r>
    </w:p>
    <w:p w:rsidR="006F7907" w:rsidRDefault="006F7907" w:rsidP="006F7907">
      <w:pPr>
        <w:tabs>
          <w:tab w:val="left" w:pos="0"/>
          <w:tab w:val="left" w:pos="851"/>
        </w:tabs>
        <w:ind w:left="850" w:firstLine="1"/>
        <w:rPr>
          <w:spacing w:val="-3"/>
        </w:rPr>
      </w:pPr>
      <w:r>
        <w:rPr>
          <w:spacing w:val="-3"/>
        </w:rPr>
        <w:t xml:space="preserve">Herefter 5.000 </w:t>
      </w:r>
      <w:proofErr w:type="spellStart"/>
      <w:r>
        <w:rPr>
          <w:spacing w:val="-3"/>
        </w:rPr>
        <w:t>anti-Xa</w:t>
      </w:r>
      <w:proofErr w:type="spellEnd"/>
      <w:r>
        <w:rPr>
          <w:spacing w:val="-3"/>
        </w:rPr>
        <w:t xml:space="preserve"> IE </w:t>
      </w:r>
      <w:proofErr w:type="spellStart"/>
      <w:r>
        <w:rPr>
          <w:spacing w:val="-3"/>
        </w:rPr>
        <w:t>s.c</w:t>
      </w:r>
      <w:proofErr w:type="spellEnd"/>
      <w:r>
        <w:rPr>
          <w:spacing w:val="-3"/>
        </w:rPr>
        <w:t xml:space="preserve">. hver morgen i 5 dage eller mere, afhængigt af patientens </w:t>
      </w:r>
      <w:proofErr w:type="spellStart"/>
      <w:r>
        <w:rPr>
          <w:spacing w:val="-3"/>
        </w:rPr>
        <w:t>mobilisation</w:t>
      </w:r>
      <w:proofErr w:type="spellEnd"/>
      <w:r>
        <w:rPr>
          <w:spacing w:val="-3"/>
        </w:rPr>
        <w:t xml:space="preserve"> og profylakserutine.</w:t>
      </w:r>
    </w:p>
    <w:p w:rsidR="006F7907" w:rsidRDefault="006F7907" w:rsidP="006F7907">
      <w:pPr>
        <w:tabs>
          <w:tab w:val="left" w:pos="0"/>
          <w:tab w:val="left" w:pos="851"/>
        </w:tabs>
        <w:ind w:left="850" w:firstLine="1"/>
        <w:rPr>
          <w:spacing w:val="-3"/>
        </w:rPr>
      </w:pPr>
    </w:p>
    <w:p w:rsidR="006F7907" w:rsidRDefault="006F7907" w:rsidP="006F7907">
      <w:pPr>
        <w:pStyle w:val="Brdtekstindrykning"/>
        <w:ind w:firstLine="1"/>
        <w:jc w:val="left"/>
        <w:rPr>
          <w:i/>
          <w:iCs/>
        </w:rPr>
      </w:pPr>
      <w:r>
        <w:rPr>
          <w:i/>
          <w:iCs/>
        </w:rPr>
        <w:t>Behandling af ustabil koronararterie sygdom, dvs. ustabil angina og non Q-tak myokardieinfarkt</w:t>
      </w:r>
    </w:p>
    <w:p w:rsidR="006F7907" w:rsidRDefault="006F7907" w:rsidP="006F7907">
      <w:pPr>
        <w:pStyle w:val="Brdtekstindrykning"/>
        <w:ind w:firstLine="1"/>
        <w:jc w:val="left"/>
      </w:pPr>
      <w:r>
        <w:t xml:space="preserve">120 </w:t>
      </w:r>
      <w:proofErr w:type="spellStart"/>
      <w:r>
        <w:t>anti-Xa</w:t>
      </w:r>
      <w:proofErr w:type="spellEnd"/>
      <w:r>
        <w:t xml:space="preserve"> IE/kg legemsvægt </w:t>
      </w:r>
      <w:proofErr w:type="spellStart"/>
      <w:r>
        <w:t>s.c</w:t>
      </w:r>
      <w:proofErr w:type="spellEnd"/>
      <w:r>
        <w:t xml:space="preserve">. 2 gange daglig. Maksimum dosis er 10.000 </w:t>
      </w:r>
      <w:proofErr w:type="spellStart"/>
      <w:r>
        <w:t>anti-Xa</w:t>
      </w:r>
      <w:proofErr w:type="spellEnd"/>
      <w:r>
        <w:t xml:space="preserve"> IE/12 timer.</w:t>
      </w:r>
    </w:p>
    <w:p w:rsidR="006F7907" w:rsidRDefault="006F7907" w:rsidP="006F7907">
      <w:pPr>
        <w:tabs>
          <w:tab w:val="left" w:pos="0"/>
          <w:tab w:val="left" w:pos="851"/>
        </w:tabs>
        <w:ind w:left="850" w:firstLine="1"/>
        <w:rPr>
          <w:spacing w:val="-3"/>
        </w:rPr>
      </w:pPr>
      <w:r>
        <w:rPr>
          <w:spacing w:val="-3"/>
        </w:rPr>
        <w:t>Behandlingen bør fortsættes i mindst 6 dage eller længere, såfremt lægen skønner det.</w:t>
      </w:r>
    </w:p>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left="851" w:firstLine="1"/>
        <w:rPr>
          <w:spacing w:val="-3"/>
        </w:rPr>
      </w:pPr>
      <w:r>
        <w:rPr>
          <w:spacing w:val="-3"/>
        </w:rPr>
        <w:t xml:space="preserve">Det anbefales at give </w:t>
      </w:r>
      <w:proofErr w:type="spellStart"/>
      <w:r>
        <w:rPr>
          <w:spacing w:val="-3"/>
        </w:rPr>
        <w:t>Fragmin</w:t>
      </w:r>
      <w:proofErr w:type="spellEnd"/>
      <w:r>
        <w:rPr>
          <w:spacing w:val="-3"/>
        </w:rPr>
        <w:t xml:space="preserve"> til patienter, der afventer </w:t>
      </w:r>
      <w:proofErr w:type="spellStart"/>
      <w:r>
        <w:rPr>
          <w:spacing w:val="-3"/>
        </w:rPr>
        <w:t>revaskularisation</w:t>
      </w:r>
      <w:proofErr w:type="spellEnd"/>
      <w:r>
        <w:rPr>
          <w:spacing w:val="-3"/>
        </w:rPr>
        <w:t xml:space="preserve">, indtil dagen for den invasive procedure (PTCA og CABG). Efter en initial stabilisering i 5-7 dage, hvor dosis justeres efter legemsvægt (120 </w:t>
      </w:r>
      <w:proofErr w:type="spellStart"/>
      <w:r>
        <w:rPr>
          <w:spacing w:val="-3"/>
        </w:rPr>
        <w:t>anti-Xa</w:t>
      </w:r>
      <w:proofErr w:type="spellEnd"/>
      <w:r>
        <w:rPr>
          <w:spacing w:val="-3"/>
        </w:rPr>
        <w:t xml:space="preserve"> IE/kg legemsvægt 2 gange daglig) gives </w:t>
      </w:r>
      <w:proofErr w:type="spellStart"/>
      <w:r>
        <w:rPr>
          <w:spacing w:val="-3"/>
        </w:rPr>
        <w:t>Fragmin</w:t>
      </w:r>
      <w:proofErr w:type="spellEnd"/>
      <w:r>
        <w:rPr>
          <w:spacing w:val="-3"/>
        </w:rPr>
        <w:t xml:space="preserve"> som fast dosis på 5.000 </w:t>
      </w:r>
      <w:proofErr w:type="spellStart"/>
      <w:r>
        <w:rPr>
          <w:spacing w:val="-3"/>
        </w:rPr>
        <w:t>anti-Xa</w:t>
      </w:r>
      <w:proofErr w:type="spellEnd"/>
      <w:r>
        <w:rPr>
          <w:spacing w:val="-3"/>
        </w:rPr>
        <w:t xml:space="preserve"> IE (kvinder &lt; 80 kg og mænd &lt; 70 kg) eller 7.500 </w:t>
      </w:r>
      <w:proofErr w:type="spellStart"/>
      <w:r>
        <w:rPr>
          <w:spacing w:val="-3"/>
        </w:rPr>
        <w:t>anti-Xa</w:t>
      </w:r>
      <w:proofErr w:type="spellEnd"/>
      <w:r>
        <w:rPr>
          <w:spacing w:val="-3"/>
        </w:rPr>
        <w:t xml:space="preserve"> IE (kvinder </w:t>
      </w:r>
      <w:r>
        <w:rPr>
          <w:spacing w:val="-3"/>
        </w:rPr>
        <w:sym w:font="Symbol" w:char="F0B3"/>
      </w:r>
      <w:r>
        <w:rPr>
          <w:spacing w:val="-3"/>
        </w:rPr>
        <w:t xml:space="preserve"> 80 kg og mænd </w:t>
      </w:r>
      <w:r>
        <w:rPr>
          <w:spacing w:val="-3"/>
        </w:rPr>
        <w:sym w:font="Symbol" w:char="F0B3"/>
      </w:r>
      <w:r>
        <w:rPr>
          <w:spacing w:val="-3"/>
        </w:rPr>
        <w:t xml:space="preserve"> 70 kg) 2 gange daglig.</w:t>
      </w:r>
    </w:p>
    <w:p w:rsidR="006F7907" w:rsidRDefault="006F7907" w:rsidP="006F7907">
      <w:pPr>
        <w:tabs>
          <w:tab w:val="left" w:pos="0"/>
          <w:tab w:val="left" w:pos="851"/>
        </w:tabs>
        <w:ind w:left="851" w:firstLine="1"/>
        <w:rPr>
          <w:spacing w:val="-3"/>
        </w:rPr>
      </w:pPr>
      <w:r>
        <w:rPr>
          <w:spacing w:val="-3"/>
        </w:rPr>
        <w:lastRenderedPageBreak/>
        <w:t>Den totale behandlingsperiode bør ikke overskride 45 dage.</w:t>
      </w:r>
    </w:p>
    <w:p w:rsidR="006F7907" w:rsidRDefault="006F7907" w:rsidP="006F7907">
      <w:pPr>
        <w:tabs>
          <w:tab w:val="left" w:pos="0"/>
          <w:tab w:val="left" w:pos="851"/>
        </w:tabs>
        <w:ind w:left="850" w:firstLine="1"/>
        <w:rPr>
          <w:spacing w:val="-3"/>
        </w:rPr>
      </w:pPr>
    </w:p>
    <w:p w:rsidR="006F7907" w:rsidRDefault="006F7907" w:rsidP="006F7907">
      <w:pPr>
        <w:tabs>
          <w:tab w:val="left" w:pos="0"/>
          <w:tab w:val="left" w:pos="851"/>
        </w:tabs>
        <w:ind w:firstLine="1"/>
        <w:rPr>
          <w:spacing w:val="-3"/>
        </w:rPr>
      </w:pPr>
      <w:r>
        <w:rPr>
          <w:spacing w:val="-3"/>
        </w:rPr>
        <w:tab/>
        <w:t>Samtidig behandling med lavdosis acetylsalicylsyre anbefales.</w:t>
      </w:r>
    </w:p>
    <w:p w:rsidR="006F7907" w:rsidRDefault="006F7907" w:rsidP="006F7907">
      <w:pPr>
        <w:tabs>
          <w:tab w:val="left" w:pos="851"/>
        </w:tabs>
        <w:ind w:left="851" w:firstLine="1"/>
        <w:rPr>
          <w:spacing w:val="-3"/>
        </w:rPr>
      </w:pPr>
    </w:p>
    <w:p w:rsidR="006F7907" w:rsidRDefault="006F7907" w:rsidP="006F7907">
      <w:pPr>
        <w:tabs>
          <w:tab w:val="left" w:pos="851"/>
        </w:tabs>
        <w:ind w:left="851" w:firstLine="1"/>
        <w:rPr>
          <w:spacing w:val="-3"/>
          <w:u w:val="single"/>
        </w:rPr>
      </w:pPr>
      <w:r>
        <w:rPr>
          <w:spacing w:val="-3"/>
          <w:u w:val="single"/>
        </w:rPr>
        <w:t>Behandling af symptomatisk venøs trombose og forebyggelse af tilbagefald hos patienter med cancer</w:t>
      </w:r>
    </w:p>
    <w:p w:rsidR="006F7907" w:rsidRDefault="006F7907" w:rsidP="006F7907">
      <w:pPr>
        <w:tabs>
          <w:tab w:val="left" w:pos="851"/>
        </w:tabs>
        <w:ind w:left="851" w:firstLine="1"/>
        <w:rPr>
          <w:spacing w:val="-3"/>
          <w:u w:val="single"/>
        </w:rPr>
      </w:pPr>
    </w:p>
    <w:p w:rsidR="006F7907" w:rsidRDefault="006F7907" w:rsidP="006F7907">
      <w:pPr>
        <w:tabs>
          <w:tab w:val="left" w:pos="851"/>
        </w:tabs>
        <w:ind w:left="851" w:firstLine="1"/>
        <w:rPr>
          <w:i/>
          <w:spacing w:val="-3"/>
        </w:rPr>
      </w:pPr>
      <w:r>
        <w:rPr>
          <w:i/>
          <w:spacing w:val="-3"/>
        </w:rPr>
        <w:t>Første måneds behandling</w:t>
      </w:r>
    </w:p>
    <w:p w:rsidR="006F7907" w:rsidRDefault="006F7907" w:rsidP="006F7907">
      <w:pPr>
        <w:tabs>
          <w:tab w:val="left" w:pos="851"/>
        </w:tabs>
        <w:ind w:left="851" w:firstLine="1"/>
        <w:rPr>
          <w:spacing w:val="-3"/>
        </w:rPr>
      </w:pPr>
      <w:r>
        <w:rPr>
          <w:spacing w:val="-3"/>
        </w:rPr>
        <w:t xml:space="preserve">I de første 30 dage af behandlingen administreres </w:t>
      </w:r>
      <w:proofErr w:type="spellStart"/>
      <w:r>
        <w:rPr>
          <w:spacing w:val="-3"/>
        </w:rPr>
        <w:t>Fragmin</w:t>
      </w:r>
      <w:proofErr w:type="spellEnd"/>
      <w:r>
        <w:rPr>
          <w:spacing w:val="-3"/>
        </w:rPr>
        <w:t xml:space="preserve"> 200 </w:t>
      </w:r>
      <w:proofErr w:type="spellStart"/>
      <w:r>
        <w:rPr>
          <w:spacing w:val="-3"/>
        </w:rPr>
        <w:t>anti-Xa</w:t>
      </w:r>
      <w:proofErr w:type="spellEnd"/>
      <w:r>
        <w:rPr>
          <w:spacing w:val="-3"/>
        </w:rPr>
        <w:t xml:space="preserve"> IE/kg legemsvægt </w:t>
      </w:r>
      <w:proofErr w:type="spellStart"/>
      <w:r>
        <w:rPr>
          <w:spacing w:val="-3"/>
        </w:rPr>
        <w:t>s.c</w:t>
      </w:r>
      <w:proofErr w:type="spellEnd"/>
      <w:r>
        <w:rPr>
          <w:spacing w:val="-3"/>
        </w:rPr>
        <w:t xml:space="preserve">. 1 gang daglig fra et 25.000 </w:t>
      </w:r>
      <w:proofErr w:type="spellStart"/>
      <w:r>
        <w:rPr>
          <w:spacing w:val="-3"/>
        </w:rPr>
        <w:t>anti-Xa</w:t>
      </w:r>
      <w:proofErr w:type="spellEnd"/>
      <w:r>
        <w:rPr>
          <w:spacing w:val="-3"/>
        </w:rPr>
        <w:t xml:space="preserve"> IE/ml hætteglas. Total daglig dosis bør ikke overstige 18.000 </w:t>
      </w:r>
      <w:proofErr w:type="spellStart"/>
      <w:r>
        <w:rPr>
          <w:spacing w:val="-3"/>
        </w:rPr>
        <w:t>anti-Xa</w:t>
      </w:r>
      <w:proofErr w:type="spellEnd"/>
      <w:r>
        <w:rPr>
          <w:spacing w:val="-3"/>
        </w:rPr>
        <w:t xml:space="preserve"> IE.</w:t>
      </w:r>
    </w:p>
    <w:p w:rsidR="006F7907" w:rsidRDefault="006F7907" w:rsidP="006F7907">
      <w:pPr>
        <w:tabs>
          <w:tab w:val="left" w:pos="851"/>
        </w:tabs>
        <w:ind w:left="851" w:firstLine="1"/>
        <w:rPr>
          <w:spacing w:val="-3"/>
        </w:rPr>
      </w:pPr>
    </w:p>
    <w:p w:rsidR="006F7907" w:rsidRDefault="006F7907" w:rsidP="006F7907">
      <w:pPr>
        <w:tabs>
          <w:tab w:val="left" w:pos="851"/>
        </w:tabs>
        <w:ind w:left="851" w:firstLine="1"/>
        <w:rPr>
          <w:i/>
          <w:spacing w:val="-3"/>
        </w:rPr>
      </w:pPr>
      <w:r>
        <w:rPr>
          <w:i/>
          <w:spacing w:val="-3"/>
        </w:rPr>
        <w:t>2.-6. måneds behandling</w:t>
      </w:r>
    </w:p>
    <w:p w:rsidR="006F7907" w:rsidRDefault="006F7907" w:rsidP="006F7907">
      <w:pPr>
        <w:tabs>
          <w:tab w:val="left" w:pos="851"/>
        </w:tabs>
        <w:ind w:left="851" w:firstLine="1"/>
        <w:rPr>
          <w:spacing w:val="-3"/>
        </w:rPr>
      </w:pPr>
      <w:proofErr w:type="spellStart"/>
      <w:r>
        <w:rPr>
          <w:spacing w:val="-3"/>
        </w:rPr>
        <w:t>Fragmin</w:t>
      </w:r>
      <w:proofErr w:type="spellEnd"/>
      <w:r>
        <w:rPr>
          <w:spacing w:val="-3"/>
        </w:rPr>
        <w:t xml:space="preserve"> bør administreres i doser på ca. 150 </w:t>
      </w:r>
      <w:proofErr w:type="spellStart"/>
      <w:r>
        <w:rPr>
          <w:spacing w:val="-3"/>
        </w:rPr>
        <w:t>anti-Xa</w:t>
      </w:r>
      <w:proofErr w:type="spellEnd"/>
      <w:r>
        <w:rPr>
          <w:spacing w:val="-3"/>
        </w:rPr>
        <w:t xml:space="preserve"> IE/kg </w:t>
      </w:r>
      <w:proofErr w:type="spellStart"/>
      <w:r>
        <w:rPr>
          <w:spacing w:val="-3"/>
        </w:rPr>
        <w:t>s.c</w:t>
      </w:r>
      <w:proofErr w:type="spellEnd"/>
      <w:r>
        <w:rPr>
          <w:spacing w:val="-3"/>
        </w:rPr>
        <w:t>. 1 gang daglig ved hjælp af injektionssprøjter i henhold til nedenstående tabel 3.</w:t>
      </w:r>
    </w:p>
    <w:p w:rsidR="006F7907" w:rsidRDefault="006F7907" w:rsidP="006F7907">
      <w:pPr>
        <w:tabs>
          <w:tab w:val="left" w:pos="851"/>
        </w:tabs>
        <w:ind w:left="851" w:firstLine="1"/>
        <w:rPr>
          <w:spacing w:val="-3"/>
        </w:rPr>
      </w:pPr>
    </w:p>
    <w:p w:rsidR="006F7907" w:rsidRPr="00E8405E" w:rsidRDefault="006F7907" w:rsidP="006F7907">
      <w:pPr>
        <w:tabs>
          <w:tab w:val="left" w:pos="851"/>
        </w:tabs>
        <w:ind w:left="851" w:firstLine="1"/>
        <w:rPr>
          <w:spacing w:val="-3"/>
          <w:szCs w:val="24"/>
        </w:rPr>
      </w:pPr>
      <w:r w:rsidRPr="00E8405E">
        <w:rPr>
          <w:b/>
          <w:spacing w:val="-3"/>
          <w:szCs w:val="24"/>
        </w:rPr>
        <w:t xml:space="preserve">Tabel 3. </w:t>
      </w:r>
      <w:proofErr w:type="spellStart"/>
      <w:r w:rsidRPr="00E8405E">
        <w:rPr>
          <w:b/>
          <w:spacing w:val="-3"/>
          <w:szCs w:val="24"/>
        </w:rPr>
        <w:t>Fragmindosis</w:t>
      </w:r>
      <w:proofErr w:type="spellEnd"/>
      <w:r w:rsidRPr="00E8405E">
        <w:rPr>
          <w:b/>
          <w:spacing w:val="-3"/>
          <w:szCs w:val="24"/>
        </w:rPr>
        <w:t xml:space="preserve"> efter legemsvægt.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8"/>
      </w:tblGrid>
      <w:tr w:rsidR="006F7907" w:rsidRPr="00F870E9" w:rsidTr="00921190">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6F7907" w:rsidRDefault="006F7907" w:rsidP="00921190">
            <w:pPr>
              <w:ind w:left="175" w:firstLine="1"/>
              <w:rPr>
                <w:b/>
                <w:spacing w:val="-3"/>
              </w:rPr>
            </w:pPr>
            <w:r>
              <w:rPr>
                <w:b/>
                <w:spacing w:val="-3"/>
              </w:rPr>
              <w:t>Legemsvægt (kg)</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rsidR="006F7907" w:rsidRDefault="006F7907" w:rsidP="00921190">
            <w:pPr>
              <w:ind w:left="175" w:firstLine="1"/>
              <w:rPr>
                <w:b/>
                <w:spacing w:val="-3"/>
                <w:lang w:val="fr-FR"/>
              </w:rPr>
            </w:pPr>
            <w:r>
              <w:rPr>
                <w:b/>
                <w:spacing w:val="-3"/>
                <w:lang w:val="fr-FR"/>
              </w:rPr>
              <w:t>Fragmin dosis (anti-Xa IE)</w:t>
            </w:r>
          </w:p>
        </w:tc>
      </w:tr>
      <w:tr w:rsidR="006F7907" w:rsidTr="00921190">
        <w:tc>
          <w:tcPr>
            <w:tcW w:w="226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 56</w:t>
            </w:r>
          </w:p>
        </w:tc>
        <w:tc>
          <w:tcPr>
            <w:tcW w:w="311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7.500</w:t>
            </w:r>
          </w:p>
        </w:tc>
      </w:tr>
      <w:tr w:rsidR="006F7907" w:rsidTr="00921190">
        <w:tc>
          <w:tcPr>
            <w:tcW w:w="226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57 - 68</w:t>
            </w:r>
          </w:p>
        </w:tc>
        <w:tc>
          <w:tcPr>
            <w:tcW w:w="311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10.000</w:t>
            </w:r>
          </w:p>
        </w:tc>
      </w:tr>
      <w:tr w:rsidR="006F7907" w:rsidTr="00921190">
        <w:tc>
          <w:tcPr>
            <w:tcW w:w="226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69 - 82</w:t>
            </w:r>
          </w:p>
        </w:tc>
        <w:tc>
          <w:tcPr>
            <w:tcW w:w="311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12.500</w:t>
            </w:r>
          </w:p>
        </w:tc>
      </w:tr>
      <w:tr w:rsidR="006F7907" w:rsidTr="00921190">
        <w:tc>
          <w:tcPr>
            <w:tcW w:w="226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83 - 98</w:t>
            </w:r>
          </w:p>
        </w:tc>
        <w:tc>
          <w:tcPr>
            <w:tcW w:w="311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15.000</w:t>
            </w:r>
          </w:p>
        </w:tc>
      </w:tr>
      <w:tr w:rsidR="006F7907" w:rsidTr="00921190">
        <w:tc>
          <w:tcPr>
            <w:tcW w:w="226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 99</w:t>
            </w:r>
          </w:p>
        </w:tc>
        <w:tc>
          <w:tcPr>
            <w:tcW w:w="3118"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75" w:firstLine="1"/>
              <w:rPr>
                <w:spacing w:val="-3"/>
              </w:rPr>
            </w:pPr>
            <w:r>
              <w:rPr>
                <w:spacing w:val="-3"/>
              </w:rPr>
              <w:t>18.000</w:t>
            </w:r>
          </w:p>
        </w:tc>
      </w:tr>
    </w:tbl>
    <w:p w:rsidR="006F7907" w:rsidRDefault="006F7907" w:rsidP="006F7907">
      <w:pPr>
        <w:tabs>
          <w:tab w:val="left" w:pos="851"/>
        </w:tabs>
        <w:ind w:left="851" w:firstLine="1"/>
        <w:rPr>
          <w:spacing w:val="-3"/>
        </w:rPr>
      </w:pPr>
    </w:p>
    <w:p w:rsidR="006F7907" w:rsidRDefault="006F7907" w:rsidP="006F7907">
      <w:pPr>
        <w:pStyle w:val="Brdtekstindrykning3"/>
        <w:tabs>
          <w:tab w:val="clear" w:pos="0"/>
        </w:tabs>
        <w:ind w:firstLine="1"/>
        <w:jc w:val="left"/>
      </w:pPr>
      <w:r>
        <w:t xml:space="preserve">Resultaterne fra en stor klinisk afprøvning viser, at et behandlingsregime med </w:t>
      </w:r>
      <w:proofErr w:type="spellStart"/>
      <w:r>
        <w:t>dalteparin</w:t>
      </w:r>
      <w:proofErr w:type="spellEnd"/>
      <w:r>
        <w:t xml:space="preserve"> 200 IE/kg i 30 dage efterfulgt af </w:t>
      </w:r>
      <w:proofErr w:type="spellStart"/>
      <w:r>
        <w:t>dalteparin</w:t>
      </w:r>
      <w:proofErr w:type="spellEnd"/>
      <w:r>
        <w:t xml:space="preserve"> 150 IE/kg i 5 måneder er forbundet med en statistisk signifikant reduktion på 52 % af recidiv dyb venøs trombose. Hovedparten af tilfælde af </w:t>
      </w:r>
      <w:proofErr w:type="spellStart"/>
      <w:r>
        <w:t>recidive</w:t>
      </w:r>
      <w:proofErr w:type="spellEnd"/>
      <w:r>
        <w:t xml:space="preserve"> dybe venøse tromboser blev observeret i løbet af de første 30 dage af behandlingen.</w:t>
      </w:r>
    </w:p>
    <w:p w:rsidR="006F7907" w:rsidRDefault="006F7907" w:rsidP="006F7907">
      <w:pPr>
        <w:tabs>
          <w:tab w:val="left" w:pos="851"/>
        </w:tabs>
        <w:ind w:left="851" w:firstLine="1"/>
        <w:rPr>
          <w:spacing w:val="-3"/>
          <w:u w:val="single"/>
        </w:rPr>
      </w:pPr>
    </w:p>
    <w:p w:rsidR="006F7907" w:rsidRDefault="006F7907" w:rsidP="006F7907">
      <w:pPr>
        <w:tabs>
          <w:tab w:val="left" w:pos="851"/>
        </w:tabs>
        <w:ind w:left="851" w:firstLine="1"/>
        <w:rPr>
          <w:spacing w:val="-3"/>
          <w:u w:val="single"/>
        </w:rPr>
      </w:pPr>
      <w:r>
        <w:rPr>
          <w:spacing w:val="-3"/>
          <w:u w:val="single"/>
        </w:rPr>
        <w:t xml:space="preserve">Dosisreduktion ved kemoterapi-induceret </w:t>
      </w:r>
      <w:proofErr w:type="spellStart"/>
      <w:r>
        <w:rPr>
          <w:spacing w:val="-3"/>
          <w:u w:val="single"/>
        </w:rPr>
        <w:t>trombocytopeni</w:t>
      </w:r>
      <w:proofErr w:type="spellEnd"/>
    </w:p>
    <w:p w:rsidR="006F7907" w:rsidRDefault="006F7907" w:rsidP="006F7907">
      <w:pPr>
        <w:tabs>
          <w:tab w:val="left" w:pos="851"/>
        </w:tabs>
        <w:ind w:left="851" w:firstLine="1"/>
        <w:rPr>
          <w:spacing w:val="-3"/>
          <w:u w:val="single"/>
        </w:rPr>
      </w:pPr>
    </w:p>
    <w:p w:rsidR="006F7907" w:rsidRDefault="006F7907" w:rsidP="006F7907">
      <w:pPr>
        <w:pStyle w:val="Brdtekstindrykning"/>
        <w:tabs>
          <w:tab w:val="clear" w:pos="0"/>
        </w:tabs>
        <w:ind w:left="851" w:firstLine="1"/>
        <w:jc w:val="left"/>
      </w:pPr>
      <w:proofErr w:type="spellStart"/>
      <w:r>
        <w:rPr>
          <w:i/>
        </w:rPr>
        <w:t>Trombocytopeni</w:t>
      </w:r>
      <w:proofErr w:type="spellEnd"/>
    </w:p>
    <w:p w:rsidR="006F7907" w:rsidRDefault="006F7907" w:rsidP="006F7907">
      <w:pPr>
        <w:pStyle w:val="Brdtekstindrykning"/>
        <w:tabs>
          <w:tab w:val="clear" w:pos="0"/>
        </w:tabs>
        <w:ind w:left="851" w:firstLine="1"/>
        <w:jc w:val="left"/>
      </w:pPr>
      <w:r>
        <w:t xml:space="preserve">I tilfælde af kemoterapi-induceret </w:t>
      </w:r>
      <w:proofErr w:type="spellStart"/>
      <w:r>
        <w:t>trombocytopeni</w:t>
      </w:r>
      <w:proofErr w:type="spellEnd"/>
      <w:r>
        <w:t>, hvor antallet af blodplader ≤ 50.000/mm</w:t>
      </w:r>
      <w:r>
        <w:rPr>
          <w:vertAlign w:val="superscript"/>
        </w:rPr>
        <w:t>3</w:t>
      </w:r>
      <w:r>
        <w:t xml:space="preserve">, bør </w:t>
      </w:r>
      <w:proofErr w:type="spellStart"/>
      <w:r>
        <w:t>Fragminbehandling</w:t>
      </w:r>
      <w:proofErr w:type="spellEnd"/>
      <w:r>
        <w:t xml:space="preserve"> afbrydes, indtil antallet af blodplader over</w:t>
      </w:r>
      <w:r>
        <w:softHyphen/>
        <w:t>stiger 50.000/mm</w:t>
      </w:r>
      <w:r>
        <w:rPr>
          <w:vertAlign w:val="superscript"/>
        </w:rPr>
        <w:t>3</w:t>
      </w:r>
      <w:r>
        <w:t>.</w:t>
      </w:r>
    </w:p>
    <w:p w:rsidR="006F7907" w:rsidRDefault="006F7907" w:rsidP="006F7907">
      <w:pPr>
        <w:pStyle w:val="Brdtekstindrykning"/>
        <w:tabs>
          <w:tab w:val="clear" w:pos="0"/>
        </w:tabs>
        <w:ind w:left="851" w:firstLine="1"/>
        <w:jc w:val="left"/>
      </w:pPr>
      <w:r>
        <w:t>Hvis antallet af blodplader ligger mellem 50.000 og 100.000/mm</w:t>
      </w:r>
      <w:r>
        <w:rPr>
          <w:vertAlign w:val="superscript"/>
        </w:rPr>
        <w:t>3</w:t>
      </w:r>
      <w:r>
        <w:t xml:space="preserve">, bør </w:t>
      </w:r>
      <w:proofErr w:type="spellStart"/>
      <w:r>
        <w:t>Fragmindosis</w:t>
      </w:r>
      <w:proofErr w:type="spellEnd"/>
      <w:r>
        <w:t xml:space="preserve"> re</w:t>
      </w:r>
      <w:r>
        <w:softHyphen/>
        <w:t>duceres med 17 % til 33 % af begyndelsesdosis afhængig af patientens vægt (tabel 4). Når an</w:t>
      </w:r>
      <w:r>
        <w:softHyphen/>
        <w:t>tallet af blodplader overstiger 100.000/mm</w:t>
      </w:r>
      <w:r>
        <w:rPr>
          <w:vertAlign w:val="superscript"/>
        </w:rPr>
        <w:t>3</w:t>
      </w:r>
      <w:r>
        <w:t xml:space="preserve">, bør fuld dosis af </w:t>
      </w:r>
      <w:proofErr w:type="spellStart"/>
      <w:r>
        <w:t>Fragmin</w:t>
      </w:r>
      <w:proofErr w:type="spellEnd"/>
      <w:r>
        <w:t xml:space="preserve"> anvendes.</w:t>
      </w:r>
    </w:p>
    <w:p w:rsidR="006F7907" w:rsidRDefault="006F7907" w:rsidP="006F7907">
      <w:pPr>
        <w:tabs>
          <w:tab w:val="left" w:pos="851"/>
        </w:tabs>
        <w:ind w:left="851" w:firstLine="1"/>
        <w:rPr>
          <w:spacing w:val="-3"/>
        </w:rPr>
      </w:pPr>
    </w:p>
    <w:p w:rsidR="006F7907" w:rsidRPr="00E8405E" w:rsidRDefault="006F7907" w:rsidP="006F7907">
      <w:pPr>
        <w:tabs>
          <w:tab w:val="left" w:pos="851"/>
        </w:tabs>
        <w:ind w:left="851" w:firstLine="1"/>
        <w:rPr>
          <w:b/>
          <w:spacing w:val="-3"/>
          <w:szCs w:val="24"/>
        </w:rPr>
      </w:pPr>
      <w:r w:rsidRPr="00E8405E">
        <w:rPr>
          <w:b/>
          <w:spacing w:val="-3"/>
          <w:szCs w:val="24"/>
        </w:rPr>
        <w:t xml:space="preserve">Tabel 4. Dosisreduktion af </w:t>
      </w:r>
      <w:proofErr w:type="spellStart"/>
      <w:r w:rsidRPr="00E8405E">
        <w:rPr>
          <w:b/>
          <w:spacing w:val="-3"/>
          <w:szCs w:val="24"/>
        </w:rPr>
        <w:t>Fragmin</w:t>
      </w:r>
      <w:proofErr w:type="spellEnd"/>
      <w:r w:rsidRPr="00E8405E">
        <w:rPr>
          <w:b/>
          <w:spacing w:val="-3"/>
          <w:szCs w:val="24"/>
        </w:rPr>
        <w:t xml:space="preserve"> ved </w:t>
      </w:r>
      <w:proofErr w:type="spellStart"/>
      <w:r w:rsidRPr="00E8405E">
        <w:rPr>
          <w:b/>
          <w:spacing w:val="-3"/>
          <w:szCs w:val="24"/>
        </w:rPr>
        <w:t>trombocytopeni</w:t>
      </w:r>
      <w:proofErr w:type="spellEnd"/>
      <w:r w:rsidRPr="00E8405E">
        <w:rPr>
          <w:b/>
          <w:spacing w:val="-3"/>
          <w:szCs w:val="24"/>
        </w:rPr>
        <w:t xml:space="preserve"> 50.000-100.000/mm</w:t>
      </w:r>
      <w:r w:rsidRPr="00E8405E">
        <w:rPr>
          <w:b/>
          <w:spacing w:val="-3"/>
          <w:szCs w:val="24"/>
          <w:vertAlign w:val="superscript"/>
        </w:rPr>
        <w:t>3</w:t>
      </w:r>
      <w:r w:rsidRPr="00E8405E">
        <w:rPr>
          <w:b/>
          <w:spacing w:val="-3"/>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7"/>
      </w:tblGrid>
      <w:tr w:rsidR="006F7907" w:rsidTr="00921190">
        <w:tc>
          <w:tcPr>
            <w:tcW w:w="2197" w:type="dxa"/>
            <w:tcBorders>
              <w:top w:val="single" w:sz="4" w:space="0" w:color="auto"/>
              <w:left w:val="single" w:sz="4" w:space="0" w:color="auto"/>
              <w:bottom w:val="single" w:sz="4" w:space="0" w:color="auto"/>
              <w:right w:val="single" w:sz="4" w:space="0" w:color="auto"/>
            </w:tcBorders>
            <w:shd w:val="clear" w:color="auto" w:fill="FFFFFF"/>
          </w:tcPr>
          <w:p w:rsidR="006F7907" w:rsidRDefault="006F7907" w:rsidP="00921190">
            <w:pPr>
              <w:ind w:left="34" w:firstLine="1"/>
              <w:rPr>
                <w:b/>
                <w:spacing w:val="-3"/>
              </w:rPr>
            </w:pPr>
            <w:r>
              <w:rPr>
                <w:b/>
                <w:spacing w:val="-3"/>
              </w:rPr>
              <w:t>Legemsvægt</w:t>
            </w:r>
          </w:p>
          <w:p w:rsidR="006F7907" w:rsidRDefault="006F7907" w:rsidP="00921190">
            <w:pPr>
              <w:ind w:left="34" w:firstLine="1"/>
              <w:rPr>
                <w:b/>
                <w:spacing w:val="-3"/>
              </w:rPr>
            </w:pPr>
          </w:p>
          <w:p w:rsidR="006F7907" w:rsidRDefault="006F7907" w:rsidP="00921190">
            <w:pPr>
              <w:ind w:left="34" w:firstLine="1"/>
              <w:rPr>
                <w:b/>
                <w:spacing w:val="-3"/>
              </w:rPr>
            </w:pPr>
            <w:r>
              <w:rPr>
                <w:b/>
                <w:spacing w:val="-3"/>
              </w:rPr>
              <w:t>(kg)</w:t>
            </w: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6F7907" w:rsidRDefault="006F7907" w:rsidP="00921190">
            <w:pPr>
              <w:ind w:left="105" w:firstLine="1"/>
              <w:rPr>
                <w:b/>
                <w:spacing w:val="-3"/>
              </w:rPr>
            </w:pPr>
            <w:r>
              <w:rPr>
                <w:b/>
                <w:spacing w:val="-3"/>
              </w:rPr>
              <w:t xml:space="preserve">Beregnet </w:t>
            </w:r>
          </w:p>
          <w:p w:rsidR="006F7907" w:rsidRDefault="006F7907" w:rsidP="00921190">
            <w:pPr>
              <w:ind w:left="105" w:firstLine="1"/>
              <w:rPr>
                <w:b/>
                <w:spacing w:val="-3"/>
              </w:rPr>
            </w:pPr>
            <w:proofErr w:type="spellStart"/>
            <w:r>
              <w:rPr>
                <w:b/>
                <w:spacing w:val="-3"/>
              </w:rPr>
              <w:t>Fragmin</w:t>
            </w:r>
            <w:r>
              <w:rPr>
                <w:b/>
                <w:spacing w:val="-3"/>
              </w:rPr>
              <w:softHyphen/>
              <w:t>dosis</w:t>
            </w:r>
            <w:proofErr w:type="spellEnd"/>
          </w:p>
          <w:p w:rsidR="006F7907" w:rsidRDefault="006F7907" w:rsidP="00921190">
            <w:pPr>
              <w:ind w:left="105" w:firstLine="1"/>
              <w:rPr>
                <w:b/>
                <w:spacing w:val="-3"/>
              </w:rPr>
            </w:pPr>
            <w:r>
              <w:rPr>
                <w:b/>
                <w:spacing w:val="-3"/>
              </w:rPr>
              <w:t>(</w:t>
            </w:r>
            <w:proofErr w:type="spellStart"/>
            <w:r>
              <w:rPr>
                <w:b/>
                <w:spacing w:val="-3"/>
              </w:rPr>
              <w:t>anti-Xa</w:t>
            </w:r>
            <w:proofErr w:type="spellEnd"/>
            <w:r>
              <w:rPr>
                <w:b/>
                <w:spacing w:val="-3"/>
              </w:rPr>
              <w:t xml:space="preserve"> IE)</w:t>
            </w: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6F7907" w:rsidRDefault="006F7907" w:rsidP="00921190">
            <w:pPr>
              <w:ind w:left="34" w:firstLine="1"/>
              <w:rPr>
                <w:b/>
                <w:spacing w:val="-3"/>
                <w:lang w:val="en-US"/>
              </w:rPr>
            </w:pPr>
            <w:proofErr w:type="spellStart"/>
            <w:r>
              <w:rPr>
                <w:b/>
                <w:spacing w:val="-3"/>
                <w:lang w:val="en-US"/>
              </w:rPr>
              <w:t>Reduceret</w:t>
            </w:r>
            <w:proofErr w:type="spellEnd"/>
            <w:r>
              <w:rPr>
                <w:b/>
                <w:spacing w:val="-3"/>
                <w:lang w:val="en-US"/>
              </w:rPr>
              <w:t xml:space="preserve"> </w:t>
            </w:r>
          </w:p>
          <w:p w:rsidR="006F7907" w:rsidRDefault="006F7907" w:rsidP="00921190">
            <w:pPr>
              <w:ind w:left="34" w:firstLine="1"/>
              <w:rPr>
                <w:b/>
                <w:spacing w:val="-3"/>
                <w:lang w:val="en-US"/>
              </w:rPr>
            </w:pPr>
            <w:proofErr w:type="spellStart"/>
            <w:r>
              <w:rPr>
                <w:b/>
                <w:spacing w:val="-3"/>
                <w:lang w:val="en-US"/>
              </w:rPr>
              <w:t>Fragmindosis</w:t>
            </w:r>
            <w:proofErr w:type="spellEnd"/>
          </w:p>
          <w:p w:rsidR="006F7907" w:rsidRDefault="006F7907" w:rsidP="00921190">
            <w:pPr>
              <w:ind w:left="34" w:firstLine="1"/>
              <w:rPr>
                <w:b/>
                <w:spacing w:val="-3"/>
                <w:lang w:val="en-US"/>
              </w:rPr>
            </w:pPr>
            <w:r>
              <w:rPr>
                <w:b/>
                <w:spacing w:val="-3"/>
                <w:lang w:val="en-US"/>
              </w:rPr>
              <w:t>(anti-</w:t>
            </w:r>
            <w:proofErr w:type="spellStart"/>
            <w:r>
              <w:rPr>
                <w:b/>
                <w:spacing w:val="-3"/>
                <w:lang w:val="en-US"/>
              </w:rPr>
              <w:t>Xa</w:t>
            </w:r>
            <w:proofErr w:type="spellEnd"/>
            <w:r>
              <w:rPr>
                <w:b/>
                <w:spacing w:val="-3"/>
                <w:lang w:val="en-US"/>
              </w:rPr>
              <w:t xml:space="preserve"> IE)</w:t>
            </w:r>
          </w:p>
        </w:tc>
        <w:tc>
          <w:tcPr>
            <w:tcW w:w="2197" w:type="dxa"/>
            <w:tcBorders>
              <w:top w:val="single" w:sz="4" w:space="0" w:color="auto"/>
              <w:left w:val="single" w:sz="4" w:space="0" w:color="auto"/>
              <w:bottom w:val="single" w:sz="4" w:space="0" w:color="auto"/>
              <w:right w:val="single" w:sz="4" w:space="0" w:color="auto"/>
            </w:tcBorders>
            <w:shd w:val="clear" w:color="auto" w:fill="FFFFFF"/>
            <w:hideMark/>
          </w:tcPr>
          <w:p w:rsidR="006F7907" w:rsidRDefault="006F7907" w:rsidP="00921190">
            <w:pPr>
              <w:ind w:left="105" w:firstLine="1"/>
              <w:rPr>
                <w:b/>
                <w:spacing w:val="-3"/>
              </w:rPr>
            </w:pPr>
            <w:r>
              <w:rPr>
                <w:b/>
                <w:spacing w:val="-3"/>
              </w:rPr>
              <w:t xml:space="preserve">Gennemsnitlig </w:t>
            </w:r>
          </w:p>
          <w:p w:rsidR="006F7907" w:rsidRDefault="006F7907" w:rsidP="00921190">
            <w:pPr>
              <w:ind w:left="105" w:firstLine="1"/>
              <w:rPr>
                <w:b/>
                <w:spacing w:val="-3"/>
              </w:rPr>
            </w:pPr>
            <w:r>
              <w:rPr>
                <w:b/>
                <w:spacing w:val="-3"/>
              </w:rPr>
              <w:t>dosisreduktion</w:t>
            </w:r>
          </w:p>
          <w:p w:rsidR="006F7907" w:rsidRDefault="006F7907" w:rsidP="00921190">
            <w:pPr>
              <w:ind w:left="105" w:firstLine="1"/>
              <w:rPr>
                <w:b/>
                <w:spacing w:val="-3"/>
              </w:rPr>
            </w:pPr>
            <w:r>
              <w:rPr>
                <w:b/>
                <w:spacing w:val="-3"/>
              </w:rPr>
              <w:t>(%)</w:t>
            </w:r>
          </w:p>
        </w:tc>
      </w:tr>
      <w:tr w:rsidR="006F7907" w:rsidTr="00921190">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 56</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7.500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5.000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33</w:t>
            </w:r>
          </w:p>
        </w:tc>
      </w:tr>
      <w:tr w:rsidR="006F7907" w:rsidTr="00921190">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57 - 68</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10.000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7.500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25</w:t>
            </w:r>
          </w:p>
        </w:tc>
      </w:tr>
      <w:tr w:rsidR="006F7907" w:rsidTr="00921190">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69 - 82</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12.500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10.000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20</w:t>
            </w:r>
          </w:p>
        </w:tc>
      </w:tr>
      <w:tr w:rsidR="006F7907" w:rsidTr="00921190">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83 - 98</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15.000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12.500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17</w:t>
            </w:r>
          </w:p>
        </w:tc>
      </w:tr>
      <w:tr w:rsidR="006F7907" w:rsidTr="00921190">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 99</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18.000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34" w:firstLine="1"/>
              <w:rPr>
                <w:spacing w:val="-3"/>
              </w:rPr>
            </w:pPr>
            <w:r>
              <w:rPr>
                <w:spacing w:val="-3"/>
              </w:rPr>
              <w:t>15.000</w:t>
            </w:r>
          </w:p>
        </w:tc>
        <w:tc>
          <w:tcPr>
            <w:tcW w:w="2197" w:type="dxa"/>
            <w:tcBorders>
              <w:top w:val="single" w:sz="4" w:space="0" w:color="auto"/>
              <w:left w:val="single" w:sz="4" w:space="0" w:color="auto"/>
              <w:bottom w:val="single" w:sz="4" w:space="0" w:color="auto"/>
              <w:right w:val="single" w:sz="4" w:space="0" w:color="auto"/>
            </w:tcBorders>
            <w:hideMark/>
          </w:tcPr>
          <w:p w:rsidR="006F7907" w:rsidRDefault="006F7907" w:rsidP="00921190">
            <w:pPr>
              <w:ind w:left="105" w:firstLine="1"/>
              <w:rPr>
                <w:spacing w:val="-3"/>
              </w:rPr>
            </w:pPr>
            <w:r>
              <w:rPr>
                <w:spacing w:val="-3"/>
              </w:rPr>
              <w:t>17</w:t>
            </w:r>
          </w:p>
        </w:tc>
      </w:tr>
    </w:tbl>
    <w:p w:rsidR="006F7907" w:rsidRDefault="006F7907" w:rsidP="006F7907">
      <w:pPr>
        <w:tabs>
          <w:tab w:val="left" w:pos="851"/>
        </w:tabs>
        <w:ind w:left="851" w:firstLine="1"/>
        <w:rPr>
          <w:spacing w:val="-3"/>
        </w:rPr>
      </w:pPr>
    </w:p>
    <w:p w:rsidR="006F7907" w:rsidRDefault="006F7907" w:rsidP="006F7907">
      <w:pPr>
        <w:keepNext/>
        <w:keepLines/>
        <w:tabs>
          <w:tab w:val="left" w:pos="851"/>
        </w:tabs>
        <w:ind w:left="851"/>
        <w:rPr>
          <w:i/>
          <w:spacing w:val="-3"/>
        </w:rPr>
      </w:pPr>
      <w:r>
        <w:rPr>
          <w:i/>
          <w:spacing w:val="-3"/>
        </w:rPr>
        <w:lastRenderedPageBreak/>
        <w:t>Nyresvigt</w:t>
      </w:r>
    </w:p>
    <w:p w:rsidR="006F7907" w:rsidRDefault="006F7907" w:rsidP="006F7907">
      <w:pPr>
        <w:keepLines/>
        <w:tabs>
          <w:tab w:val="left" w:pos="851"/>
        </w:tabs>
        <w:ind w:left="851" w:firstLine="1"/>
        <w:rPr>
          <w:spacing w:val="-3"/>
        </w:rPr>
      </w:pPr>
      <w:r>
        <w:rPr>
          <w:spacing w:val="-3"/>
        </w:rPr>
        <w:t xml:space="preserve">I tilfælde af signifikant nyresvigt, defineret som </w:t>
      </w:r>
      <w:proofErr w:type="spellStart"/>
      <w:r>
        <w:rPr>
          <w:spacing w:val="-3"/>
        </w:rPr>
        <w:t>kreatinin</w:t>
      </w:r>
      <w:proofErr w:type="spellEnd"/>
      <w:r>
        <w:rPr>
          <w:spacing w:val="-3"/>
        </w:rPr>
        <w:t xml:space="preserve"> niveau &gt; 3 gange øvre normalgrænse, bør </w:t>
      </w:r>
      <w:proofErr w:type="spellStart"/>
      <w:r>
        <w:rPr>
          <w:spacing w:val="-3"/>
        </w:rPr>
        <w:t>Fragmindosis</w:t>
      </w:r>
      <w:proofErr w:type="spellEnd"/>
      <w:r>
        <w:rPr>
          <w:spacing w:val="-3"/>
        </w:rPr>
        <w:t xml:space="preserve"> justeres således, at der bibeholdes et terapeutisk niveau på 1 </w:t>
      </w:r>
      <w:proofErr w:type="spellStart"/>
      <w:r>
        <w:rPr>
          <w:spacing w:val="-3"/>
        </w:rPr>
        <w:t>anti-Xa</w:t>
      </w:r>
      <w:proofErr w:type="spellEnd"/>
      <w:r>
        <w:rPr>
          <w:spacing w:val="-3"/>
        </w:rPr>
        <w:t xml:space="preserve"> IE/ml (i området 0,5-1,5 </w:t>
      </w:r>
      <w:proofErr w:type="spellStart"/>
      <w:r>
        <w:rPr>
          <w:spacing w:val="-3"/>
        </w:rPr>
        <w:t>anti-Xa</w:t>
      </w:r>
      <w:proofErr w:type="spellEnd"/>
      <w:r>
        <w:rPr>
          <w:spacing w:val="-3"/>
        </w:rPr>
        <w:t xml:space="preserve"> IE/ml) målt 4-6 timer efter injektion af </w:t>
      </w:r>
      <w:proofErr w:type="spellStart"/>
      <w:r>
        <w:rPr>
          <w:spacing w:val="-3"/>
        </w:rPr>
        <w:t>Fragmin</w:t>
      </w:r>
      <w:proofErr w:type="spellEnd"/>
      <w:r>
        <w:rPr>
          <w:spacing w:val="-3"/>
        </w:rPr>
        <w:t xml:space="preserve">. Hvis </w:t>
      </w:r>
      <w:proofErr w:type="spellStart"/>
      <w:r>
        <w:rPr>
          <w:spacing w:val="-3"/>
        </w:rPr>
        <w:t>anti-Xa</w:t>
      </w:r>
      <w:proofErr w:type="spellEnd"/>
      <w:r>
        <w:rPr>
          <w:spacing w:val="-3"/>
        </w:rPr>
        <w:t xml:space="preserve"> niveauet er under eller over det terapeutiske område, bør </w:t>
      </w:r>
      <w:proofErr w:type="spellStart"/>
      <w:r>
        <w:rPr>
          <w:spacing w:val="-3"/>
        </w:rPr>
        <w:t>Fragmindosis</w:t>
      </w:r>
      <w:proofErr w:type="spellEnd"/>
      <w:r>
        <w:rPr>
          <w:spacing w:val="-3"/>
        </w:rPr>
        <w:t xml:space="preserve"> øges henholdsvis nedsættes med en sprøjtestørrelse, og </w:t>
      </w:r>
      <w:proofErr w:type="spellStart"/>
      <w:r>
        <w:rPr>
          <w:spacing w:val="-3"/>
        </w:rPr>
        <w:t>anti-Xa</w:t>
      </w:r>
      <w:proofErr w:type="spellEnd"/>
      <w:r>
        <w:rPr>
          <w:spacing w:val="-3"/>
        </w:rPr>
        <w:t xml:space="preserve"> måling bør gentages efter 3-4 nye doser. Denne dosisjustering skal gentages, indtil det terapeutiske niveau af </w:t>
      </w:r>
      <w:proofErr w:type="spellStart"/>
      <w:r>
        <w:rPr>
          <w:spacing w:val="-3"/>
        </w:rPr>
        <w:t>anti-Xa</w:t>
      </w:r>
      <w:proofErr w:type="spellEnd"/>
      <w:r>
        <w:rPr>
          <w:spacing w:val="-3"/>
        </w:rPr>
        <w:t xml:space="preserve"> er opnået.</w:t>
      </w:r>
    </w:p>
    <w:p w:rsidR="00290DD8" w:rsidRPr="00290DD8" w:rsidRDefault="00290DD8" w:rsidP="00E90606">
      <w:pPr>
        <w:tabs>
          <w:tab w:val="left" w:pos="0"/>
          <w:tab w:val="left" w:pos="851"/>
        </w:tabs>
        <w:rPr>
          <w:spacing w:val="-3"/>
        </w:rPr>
      </w:pPr>
    </w:p>
    <w:p w:rsidR="00290DD8" w:rsidRPr="00290DD8" w:rsidRDefault="00290DD8" w:rsidP="00E90606">
      <w:pPr>
        <w:ind w:left="851" w:hanging="851"/>
        <w:rPr>
          <w:b/>
          <w:spacing w:val="-3"/>
        </w:rPr>
      </w:pPr>
      <w:r w:rsidRPr="00290DD8">
        <w:rPr>
          <w:b/>
          <w:spacing w:val="-3"/>
        </w:rPr>
        <w:t>4.3</w:t>
      </w:r>
      <w:r w:rsidRPr="00290DD8">
        <w:rPr>
          <w:b/>
          <w:spacing w:val="-3"/>
        </w:rPr>
        <w:tab/>
        <w:t>Kontraindikationer</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pacing w:val="-3"/>
          <w:szCs w:val="24"/>
        </w:rPr>
        <w:t xml:space="preserve">Overfølsomhed over for </w:t>
      </w:r>
      <w:proofErr w:type="spellStart"/>
      <w:r w:rsidRPr="00290DD8">
        <w:rPr>
          <w:spacing w:val="-3"/>
          <w:szCs w:val="24"/>
        </w:rPr>
        <w:t>dalteparin</w:t>
      </w:r>
      <w:proofErr w:type="spellEnd"/>
      <w:r w:rsidRPr="00290DD8">
        <w:rPr>
          <w:spacing w:val="-3"/>
          <w:szCs w:val="24"/>
        </w:rPr>
        <w:t xml:space="preserve">, andre lavmolekylære </w:t>
      </w:r>
      <w:proofErr w:type="spellStart"/>
      <w:r w:rsidRPr="00290DD8">
        <w:rPr>
          <w:spacing w:val="-3"/>
          <w:szCs w:val="24"/>
        </w:rPr>
        <w:t>hepariner</w:t>
      </w:r>
      <w:proofErr w:type="spellEnd"/>
      <w:r w:rsidRPr="00290DD8">
        <w:rPr>
          <w:spacing w:val="-3"/>
          <w:szCs w:val="24"/>
        </w:rPr>
        <w:t xml:space="preserve">, </w:t>
      </w:r>
      <w:proofErr w:type="spellStart"/>
      <w:r w:rsidRPr="00290DD8">
        <w:rPr>
          <w:spacing w:val="-3"/>
          <w:szCs w:val="24"/>
        </w:rPr>
        <w:t>hepariner</w:t>
      </w:r>
      <w:proofErr w:type="spellEnd"/>
      <w:r w:rsidRPr="00290DD8">
        <w:rPr>
          <w:spacing w:val="-3"/>
          <w:szCs w:val="24"/>
        </w:rPr>
        <w:t xml:space="preserve"> eller over for et eller flere af hjælpestofferne</w:t>
      </w:r>
      <w:r w:rsidR="00DE6CB9">
        <w:rPr>
          <w:spacing w:val="-3"/>
          <w:szCs w:val="24"/>
        </w:rPr>
        <w:t xml:space="preserve"> anført i pkt. 6.1.</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pacing w:val="-3"/>
          <w:szCs w:val="24"/>
        </w:rPr>
        <w:t xml:space="preserve">Akut </w:t>
      </w:r>
      <w:proofErr w:type="spellStart"/>
      <w:r w:rsidRPr="00290DD8">
        <w:rPr>
          <w:spacing w:val="-3"/>
          <w:szCs w:val="24"/>
        </w:rPr>
        <w:t>gastrointestinal</w:t>
      </w:r>
      <w:proofErr w:type="spellEnd"/>
      <w:r w:rsidRPr="00290DD8">
        <w:rPr>
          <w:spacing w:val="-3"/>
          <w:szCs w:val="24"/>
        </w:rPr>
        <w:t xml:space="preserve"> </w:t>
      </w:r>
      <w:proofErr w:type="spellStart"/>
      <w:r w:rsidRPr="00290DD8">
        <w:rPr>
          <w:spacing w:val="-3"/>
          <w:szCs w:val="24"/>
        </w:rPr>
        <w:t>ulceration</w:t>
      </w:r>
      <w:proofErr w:type="spellEnd"/>
      <w:r w:rsidRPr="00290DD8">
        <w:rPr>
          <w:spacing w:val="-3"/>
          <w:szCs w:val="24"/>
        </w:rPr>
        <w:t xml:space="preserve"> eller blødning, cerebral blødning eller anden aktiv blødning.   </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pacing w:val="-3"/>
          <w:szCs w:val="24"/>
        </w:rPr>
        <w:t xml:space="preserve">Akutte cerebrale insulter. </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pacing w:val="-3"/>
          <w:szCs w:val="24"/>
        </w:rPr>
        <w:t xml:space="preserve">Alvorlige koagulationsforstyrrelser. </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pacing w:val="-3"/>
          <w:szCs w:val="24"/>
        </w:rPr>
        <w:t xml:space="preserve">Akut eller sub-akut septisk </w:t>
      </w:r>
      <w:proofErr w:type="spellStart"/>
      <w:r w:rsidRPr="00290DD8">
        <w:rPr>
          <w:spacing w:val="-3"/>
          <w:szCs w:val="24"/>
        </w:rPr>
        <w:t>endokardit</w:t>
      </w:r>
      <w:proofErr w:type="spellEnd"/>
      <w:r w:rsidRPr="00290DD8">
        <w:rPr>
          <w:spacing w:val="-3"/>
          <w:szCs w:val="24"/>
        </w:rPr>
        <w:t>.</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pacing w:val="-3"/>
          <w:szCs w:val="24"/>
        </w:rPr>
        <w:t>Skader eller operation på centralnervesystemet, øjne eller ører.</w:t>
      </w:r>
    </w:p>
    <w:p w:rsidR="00290DD8" w:rsidRPr="00290DD8" w:rsidRDefault="00290DD8" w:rsidP="002E4816">
      <w:pPr>
        <w:numPr>
          <w:ilvl w:val="1"/>
          <w:numId w:val="26"/>
        </w:numPr>
        <w:tabs>
          <w:tab w:val="clear" w:pos="1440"/>
          <w:tab w:val="num" w:pos="1134"/>
        </w:tabs>
        <w:ind w:left="1134" w:hanging="283"/>
        <w:rPr>
          <w:spacing w:val="-3"/>
          <w:szCs w:val="24"/>
        </w:rPr>
      </w:pPr>
      <w:r w:rsidRPr="00290DD8">
        <w:rPr>
          <w:szCs w:val="24"/>
        </w:rPr>
        <w:t xml:space="preserve">Tidligere bekræftet eller mistanke om immunologisk medieret </w:t>
      </w:r>
      <w:proofErr w:type="spellStart"/>
      <w:r w:rsidRPr="00290DD8">
        <w:rPr>
          <w:szCs w:val="24"/>
        </w:rPr>
        <w:t>heparin</w:t>
      </w:r>
      <w:proofErr w:type="spellEnd"/>
      <w:r w:rsidRPr="00290DD8">
        <w:rPr>
          <w:szCs w:val="24"/>
        </w:rPr>
        <w:t xml:space="preserve">-induceret </w:t>
      </w:r>
      <w:proofErr w:type="spellStart"/>
      <w:r w:rsidRPr="00290DD8">
        <w:rPr>
          <w:szCs w:val="24"/>
        </w:rPr>
        <w:t>trombocytopeni</w:t>
      </w:r>
      <w:proofErr w:type="spellEnd"/>
      <w:r w:rsidRPr="00290DD8">
        <w:rPr>
          <w:szCs w:val="24"/>
        </w:rPr>
        <w:t xml:space="preserve"> type II. </w:t>
      </w:r>
    </w:p>
    <w:p w:rsidR="00290DD8" w:rsidRPr="00290DD8" w:rsidRDefault="00290DD8" w:rsidP="002E4816">
      <w:pPr>
        <w:numPr>
          <w:ilvl w:val="1"/>
          <w:numId w:val="26"/>
        </w:numPr>
        <w:tabs>
          <w:tab w:val="clear" w:pos="1440"/>
          <w:tab w:val="num" w:pos="1134"/>
        </w:tabs>
        <w:ind w:left="1134" w:hanging="283"/>
        <w:rPr>
          <w:b/>
          <w:szCs w:val="24"/>
        </w:rPr>
      </w:pPr>
      <w:r w:rsidRPr="00290DD8">
        <w:rPr>
          <w:szCs w:val="24"/>
        </w:rPr>
        <w:t xml:space="preserve">Pga. øget risiko for blødning er </w:t>
      </w:r>
      <w:r w:rsidRPr="00290DD8">
        <w:rPr>
          <w:spacing w:val="-3"/>
          <w:szCs w:val="24"/>
        </w:rPr>
        <w:t xml:space="preserve">spinal eller </w:t>
      </w:r>
      <w:proofErr w:type="spellStart"/>
      <w:r w:rsidRPr="00290DD8">
        <w:rPr>
          <w:spacing w:val="-3"/>
          <w:szCs w:val="24"/>
        </w:rPr>
        <w:t>epidural</w:t>
      </w:r>
      <w:proofErr w:type="spellEnd"/>
      <w:r w:rsidRPr="00290DD8">
        <w:rPr>
          <w:spacing w:val="-3"/>
          <w:szCs w:val="24"/>
        </w:rPr>
        <w:t xml:space="preserve"> anæstesi eller andre procedurer</w:t>
      </w:r>
      <w:r w:rsidR="00DE6CB9">
        <w:rPr>
          <w:spacing w:val="-3"/>
          <w:szCs w:val="24"/>
        </w:rPr>
        <w:t>,</w:t>
      </w:r>
      <w:r w:rsidRPr="00290DD8">
        <w:rPr>
          <w:spacing w:val="-3"/>
          <w:szCs w:val="24"/>
        </w:rPr>
        <w:t xml:space="preserve"> som kræver spinalpunktur</w:t>
      </w:r>
      <w:r w:rsidR="00DE6CB9">
        <w:rPr>
          <w:spacing w:val="-3"/>
          <w:szCs w:val="24"/>
        </w:rPr>
        <w:t>,</w:t>
      </w:r>
      <w:r w:rsidRPr="00290DD8">
        <w:rPr>
          <w:szCs w:val="24"/>
        </w:rPr>
        <w:t xml:space="preserve"> </w:t>
      </w:r>
      <w:r w:rsidRPr="00290DD8">
        <w:rPr>
          <w:spacing w:val="-3"/>
          <w:szCs w:val="24"/>
        </w:rPr>
        <w:t>kontraindiceret hos patienter i samtidig behandling med h</w:t>
      </w:r>
      <w:r w:rsidRPr="00290DD8">
        <w:rPr>
          <w:szCs w:val="24"/>
        </w:rPr>
        <w:t xml:space="preserve">øjdosis </w:t>
      </w:r>
      <w:proofErr w:type="spellStart"/>
      <w:r w:rsidRPr="00290DD8">
        <w:rPr>
          <w:szCs w:val="24"/>
        </w:rPr>
        <w:t>Fragmin</w:t>
      </w:r>
      <w:proofErr w:type="spellEnd"/>
      <w:r w:rsidRPr="00290DD8">
        <w:rPr>
          <w:spacing w:val="-3"/>
          <w:szCs w:val="24"/>
        </w:rPr>
        <w:t xml:space="preserve"> </w:t>
      </w:r>
      <w:r w:rsidRPr="00290DD8">
        <w:rPr>
          <w:szCs w:val="24"/>
        </w:rPr>
        <w:t>(f</w:t>
      </w:r>
      <w:r w:rsidR="00DE6CB9">
        <w:rPr>
          <w:szCs w:val="24"/>
        </w:rPr>
        <w:t>x</w:t>
      </w:r>
      <w:r w:rsidRPr="00290DD8">
        <w:rPr>
          <w:szCs w:val="24"/>
        </w:rPr>
        <w:t xml:space="preserve"> v</w:t>
      </w:r>
      <w:r w:rsidRPr="00290DD8">
        <w:rPr>
          <w:spacing w:val="-3"/>
          <w:szCs w:val="24"/>
        </w:rPr>
        <w:t xml:space="preserve">ed behandling af akut dyb venøs trombose, </w:t>
      </w:r>
      <w:proofErr w:type="spellStart"/>
      <w:r w:rsidRPr="00290DD8">
        <w:rPr>
          <w:spacing w:val="-3"/>
          <w:szCs w:val="24"/>
        </w:rPr>
        <w:t>pulmonal</w:t>
      </w:r>
      <w:proofErr w:type="spellEnd"/>
      <w:r w:rsidRPr="00290DD8">
        <w:rPr>
          <w:spacing w:val="-3"/>
          <w:szCs w:val="24"/>
        </w:rPr>
        <w:t xml:space="preserve"> </w:t>
      </w:r>
      <w:proofErr w:type="spellStart"/>
      <w:r w:rsidRPr="00290DD8">
        <w:rPr>
          <w:spacing w:val="-3"/>
          <w:szCs w:val="24"/>
        </w:rPr>
        <w:t>emboli</w:t>
      </w:r>
      <w:proofErr w:type="spellEnd"/>
      <w:r w:rsidRPr="00290DD8">
        <w:rPr>
          <w:spacing w:val="-3"/>
          <w:szCs w:val="24"/>
        </w:rPr>
        <w:t xml:space="preserve"> eller ustabil koronararteriesygdom) (se pkt. 4.4).   </w:t>
      </w:r>
    </w:p>
    <w:p w:rsidR="00290DD8" w:rsidRPr="00290DD8" w:rsidRDefault="00290DD8" w:rsidP="00E90606">
      <w:pPr>
        <w:tabs>
          <w:tab w:val="num" w:pos="1418"/>
        </w:tabs>
        <w:ind w:hanging="589"/>
        <w:rPr>
          <w:i/>
          <w:szCs w:val="24"/>
        </w:rPr>
      </w:pPr>
    </w:p>
    <w:p w:rsidR="00290DD8" w:rsidRPr="00290DD8" w:rsidRDefault="00290DD8" w:rsidP="00E90606">
      <w:pPr>
        <w:ind w:left="851" w:hanging="851"/>
        <w:rPr>
          <w:b/>
          <w:spacing w:val="-3"/>
        </w:rPr>
      </w:pPr>
      <w:r w:rsidRPr="00290DD8">
        <w:rPr>
          <w:b/>
          <w:spacing w:val="-3"/>
        </w:rPr>
        <w:t>4.4</w:t>
      </w:r>
      <w:r w:rsidRPr="00290DD8">
        <w:rPr>
          <w:b/>
          <w:spacing w:val="-3"/>
        </w:rPr>
        <w:tab/>
        <w:t>Særlige advarsler og forsigtighedsregler vedrørende brugen</w:t>
      </w:r>
    </w:p>
    <w:p w:rsidR="00290DD8" w:rsidRPr="00290DD8" w:rsidRDefault="00290DD8" w:rsidP="00E90606">
      <w:pPr>
        <w:tabs>
          <w:tab w:val="left" w:pos="0"/>
          <w:tab w:val="left" w:pos="851"/>
        </w:tabs>
        <w:ind w:left="850" w:hanging="850"/>
        <w:rPr>
          <w:spacing w:val="-3"/>
          <w:szCs w:val="24"/>
        </w:rPr>
      </w:pPr>
      <w:r w:rsidRPr="00290DD8">
        <w:rPr>
          <w:spacing w:val="-3"/>
        </w:rPr>
        <w:tab/>
      </w:r>
      <w:r w:rsidRPr="00290DD8">
        <w:rPr>
          <w:spacing w:val="-3"/>
          <w:szCs w:val="24"/>
        </w:rPr>
        <w:t xml:space="preserve">Må ikke administreres intramuskulært. Intramuskulær injektion med andre lægemidler skal undgås, når døgndosis af </w:t>
      </w:r>
      <w:proofErr w:type="spellStart"/>
      <w:r w:rsidRPr="00290DD8">
        <w:rPr>
          <w:spacing w:val="-3"/>
          <w:szCs w:val="24"/>
        </w:rPr>
        <w:t>dalteparin</w:t>
      </w:r>
      <w:proofErr w:type="spellEnd"/>
      <w:r w:rsidRPr="00290DD8">
        <w:rPr>
          <w:spacing w:val="-3"/>
          <w:szCs w:val="24"/>
        </w:rPr>
        <w:t xml:space="preserve"> overskrider 5.000 IE pga. risiko for </w:t>
      </w:r>
      <w:proofErr w:type="spellStart"/>
      <w:r w:rsidRPr="00290DD8">
        <w:rPr>
          <w:spacing w:val="-3"/>
          <w:szCs w:val="24"/>
        </w:rPr>
        <w:t>hæmatom</w:t>
      </w:r>
      <w:proofErr w:type="spellEnd"/>
      <w:r w:rsidRPr="00290DD8">
        <w:rPr>
          <w:spacing w:val="-3"/>
          <w:szCs w:val="24"/>
        </w:rPr>
        <w:t>.</w:t>
      </w:r>
    </w:p>
    <w:p w:rsidR="00290DD8" w:rsidRPr="00290DD8" w:rsidRDefault="00290DD8" w:rsidP="00E90606">
      <w:pPr>
        <w:tabs>
          <w:tab w:val="left" w:pos="1335"/>
        </w:tabs>
        <w:ind w:left="851"/>
        <w:rPr>
          <w:spacing w:val="-3"/>
          <w:szCs w:val="24"/>
        </w:rPr>
      </w:pPr>
      <w:r w:rsidRPr="00290DD8">
        <w:rPr>
          <w:spacing w:val="-3"/>
          <w:szCs w:val="24"/>
        </w:rPr>
        <w:tab/>
      </w:r>
    </w:p>
    <w:p w:rsidR="00290DD8" w:rsidRPr="00290DD8" w:rsidRDefault="00290DD8" w:rsidP="00E90606">
      <w:pPr>
        <w:ind w:left="851"/>
        <w:rPr>
          <w:spacing w:val="-3"/>
          <w:szCs w:val="24"/>
        </w:rPr>
      </w:pPr>
      <w:r w:rsidRPr="00290DD8">
        <w:rPr>
          <w:spacing w:val="-3"/>
          <w:szCs w:val="24"/>
          <w:u w:val="single"/>
        </w:rPr>
        <w:t>Spinal/</w:t>
      </w:r>
      <w:proofErr w:type="spellStart"/>
      <w:r w:rsidRPr="00290DD8">
        <w:rPr>
          <w:spacing w:val="-3"/>
          <w:szCs w:val="24"/>
          <w:u w:val="single"/>
        </w:rPr>
        <w:t>epidural</w:t>
      </w:r>
      <w:proofErr w:type="spellEnd"/>
      <w:r w:rsidRPr="00290DD8">
        <w:rPr>
          <w:spacing w:val="-3"/>
          <w:szCs w:val="24"/>
          <w:u w:val="single"/>
        </w:rPr>
        <w:t xml:space="preserve"> anæstesi</w:t>
      </w:r>
    </w:p>
    <w:p w:rsidR="00BC7D48" w:rsidRDefault="00290DD8" w:rsidP="00E90606">
      <w:pPr>
        <w:ind w:left="851"/>
        <w:rPr>
          <w:spacing w:val="-3"/>
          <w:szCs w:val="24"/>
        </w:rPr>
      </w:pPr>
      <w:r w:rsidRPr="00290DD8">
        <w:rPr>
          <w:spacing w:val="-3"/>
          <w:szCs w:val="24"/>
        </w:rPr>
        <w:t xml:space="preserve">Hos patienter i tromboseprofylaktisk behandling med lavmolekylære </w:t>
      </w:r>
      <w:proofErr w:type="spellStart"/>
      <w:r w:rsidRPr="00290DD8">
        <w:rPr>
          <w:spacing w:val="-3"/>
          <w:szCs w:val="24"/>
        </w:rPr>
        <w:t>hepariner</w:t>
      </w:r>
      <w:proofErr w:type="spellEnd"/>
      <w:r w:rsidRPr="00290DD8">
        <w:rPr>
          <w:spacing w:val="-3"/>
          <w:szCs w:val="24"/>
        </w:rPr>
        <w:t xml:space="preserve"> eller </w:t>
      </w:r>
      <w:proofErr w:type="spellStart"/>
      <w:r w:rsidRPr="00290DD8">
        <w:rPr>
          <w:spacing w:val="-3"/>
          <w:szCs w:val="24"/>
        </w:rPr>
        <w:t>hepari</w:t>
      </w:r>
      <w:r w:rsidR="00BC7D48">
        <w:rPr>
          <w:spacing w:val="-3"/>
          <w:szCs w:val="24"/>
        </w:rPr>
        <w:t>noider</w:t>
      </w:r>
      <w:proofErr w:type="spellEnd"/>
      <w:r w:rsidRPr="00290DD8">
        <w:rPr>
          <w:spacing w:val="-3"/>
          <w:szCs w:val="24"/>
        </w:rPr>
        <w:t xml:space="preserve"> er der risiko for udvikling af </w:t>
      </w:r>
      <w:proofErr w:type="spellStart"/>
      <w:r w:rsidRPr="00290DD8">
        <w:rPr>
          <w:spacing w:val="-3"/>
          <w:szCs w:val="24"/>
        </w:rPr>
        <w:t>epiduralt</w:t>
      </w:r>
      <w:proofErr w:type="spellEnd"/>
      <w:r w:rsidRPr="00290DD8">
        <w:rPr>
          <w:spacing w:val="-3"/>
          <w:szCs w:val="24"/>
        </w:rPr>
        <w:t xml:space="preserve"> eller spinalt </w:t>
      </w:r>
      <w:proofErr w:type="spellStart"/>
      <w:r w:rsidRPr="00290DD8">
        <w:rPr>
          <w:spacing w:val="-3"/>
          <w:szCs w:val="24"/>
        </w:rPr>
        <w:t>hæmatom</w:t>
      </w:r>
      <w:proofErr w:type="spellEnd"/>
      <w:r w:rsidRPr="00290DD8">
        <w:rPr>
          <w:spacing w:val="-3"/>
          <w:szCs w:val="24"/>
        </w:rPr>
        <w:t xml:space="preserve"> ved </w:t>
      </w:r>
      <w:proofErr w:type="spellStart"/>
      <w:r w:rsidRPr="00290DD8">
        <w:rPr>
          <w:spacing w:val="-3"/>
          <w:szCs w:val="24"/>
        </w:rPr>
        <w:t>neuraksial</w:t>
      </w:r>
      <w:proofErr w:type="spellEnd"/>
      <w:r w:rsidRPr="00290DD8">
        <w:rPr>
          <w:spacing w:val="-3"/>
          <w:szCs w:val="24"/>
        </w:rPr>
        <w:t xml:space="preserve"> anæstesi (</w:t>
      </w:r>
      <w:proofErr w:type="spellStart"/>
      <w:r w:rsidRPr="00290DD8">
        <w:rPr>
          <w:spacing w:val="-3"/>
          <w:szCs w:val="24"/>
        </w:rPr>
        <w:t>epidural</w:t>
      </w:r>
      <w:proofErr w:type="spellEnd"/>
      <w:r w:rsidRPr="00290DD8">
        <w:rPr>
          <w:spacing w:val="-3"/>
          <w:szCs w:val="24"/>
        </w:rPr>
        <w:t xml:space="preserve">/spinal anæstesi) eller </w:t>
      </w:r>
      <w:r w:rsidR="00BC7D48">
        <w:rPr>
          <w:spacing w:val="-3"/>
          <w:szCs w:val="24"/>
        </w:rPr>
        <w:t>spinalpunktur.</w:t>
      </w:r>
    </w:p>
    <w:p w:rsidR="00BC7D48" w:rsidRDefault="00290DD8" w:rsidP="00E90606">
      <w:pPr>
        <w:ind w:left="851"/>
        <w:rPr>
          <w:spacing w:val="-3"/>
          <w:szCs w:val="24"/>
        </w:rPr>
      </w:pPr>
      <w:r w:rsidRPr="00290DD8">
        <w:rPr>
          <w:spacing w:val="-3"/>
          <w:szCs w:val="24"/>
        </w:rPr>
        <w:t xml:space="preserve">Dette kan føre til langvarig eller permanent lammelse. Risikoen øges ved anvendelse af indlagte </w:t>
      </w:r>
      <w:proofErr w:type="spellStart"/>
      <w:r w:rsidRPr="00290DD8">
        <w:rPr>
          <w:spacing w:val="-3"/>
          <w:szCs w:val="24"/>
        </w:rPr>
        <w:t>epiduralkatetre</w:t>
      </w:r>
      <w:proofErr w:type="spellEnd"/>
      <w:r w:rsidRPr="00290DD8">
        <w:rPr>
          <w:spacing w:val="-3"/>
          <w:szCs w:val="24"/>
        </w:rPr>
        <w:t xml:space="preserve"> til administration af </w:t>
      </w:r>
      <w:proofErr w:type="spellStart"/>
      <w:r w:rsidRPr="00290DD8">
        <w:rPr>
          <w:spacing w:val="-3"/>
          <w:szCs w:val="24"/>
        </w:rPr>
        <w:t>analgetika</w:t>
      </w:r>
      <w:proofErr w:type="spellEnd"/>
      <w:r w:rsidRPr="00290DD8">
        <w:rPr>
          <w:spacing w:val="-3"/>
          <w:szCs w:val="24"/>
        </w:rPr>
        <w:t xml:space="preserve"> eller ved samtidig anvendelse af lægemidler, der påvirker </w:t>
      </w:r>
      <w:proofErr w:type="spellStart"/>
      <w:r w:rsidRPr="00290DD8">
        <w:rPr>
          <w:spacing w:val="-3"/>
          <w:szCs w:val="24"/>
        </w:rPr>
        <w:t>hæmostasen</w:t>
      </w:r>
      <w:proofErr w:type="spellEnd"/>
      <w:r w:rsidRPr="00290DD8">
        <w:rPr>
          <w:spacing w:val="-3"/>
          <w:szCs w:val="24"/>
        </w:rPr>
        <w:t xml:space="preserve">, </w:t>
      </w:r>
      <w:proofErr w:type="spellStart"/>
      <w:r w:rsidRPr="00290DD8">
        <w:rPr>
          <w:spacing w:val="-3"/>
          <w:szCs w:val="24"/>
        </w:rPr>
        <w:t>f.eks</w:t>
      </w:r>
      <w:proofErr w:type="spellEnd"/>
      <w:r w:rsidRPr="00290DD8">
        <w:rPr>
          <w:spacing w:val="-3"/>
          <w:szCs w:val="24"/>
        </w:rPr>
        <w:t xml:space="preserve"> NSAID, </w:t>
      </w:r>
      <w:proofErr w:type="spellStart"/>
      <w:r w:rsidRPr="00290DD8">
        <w:rPr>
          <w:spacing w:val="-3"/>
          <w:szCs w:val="24"/>
        </w:rPr>
        <w:t>trombocythæmme</w:t>
      </w:r>
      <w:r w:rsidR="00BC7D48">
        <w:rPr>
          <w:spacing w:val="-3"/>
          <w:szCs w:val="24"/>
        </w:rPr>
        <w:t>re</w:t>
      </w:r>
      <w:proofErr w:type="spellEnd"/>
      <w:r w:rsidR="00BC7D48">
        <w:rPr>
          <w:spacing w:val="-3"/>
          <w:szCs w:val="24"/>
        </w:rPr>
        <w:t xml:space="preserve"> eller andre </w:t>
      </w:r>
      <w:proofErr w:type="spellStart"/>
      <w:r w:rsidR="00BC7D48">
        <w:rPr>
          <w:spacing w:val="-3"/>
          <w:szCs w:val="24"/>
        </w:rPr>
        <w:t>antikoagulantia</w:t>
      </w:r>
      <w:proofErr w:type="spellEnd"/>
      <w:r w:rsidR="00BC7D48">
        <w:rPr>
          <w:spacing w:val="-3"/>
          <w:szCs w:val="24"/>
        </w:rPr>
        <w:t>.</w:t>
      </w:r>
    </w:p>
    <w:p w:rsidR="00BC7D48" w:rsidRDefault="00290DD8" w:rsidP="00E90606">
      <w:pPr>
        <w:ind w:left="851"/>
        <w:rPr>
          <w:spacing w:val="-3"/>
          <w:szCs w:val="24"/>
        </w:rPr>
      </w:pPr>
      <w:r w:rsidRPr="00290DD8">
        <w:rPr>
          <w:spacing w:val="-3"/>
          <w:szCs w:val="24"/>
        </w:rPr>
        <w:t>Risikoen synes også at øges ved traumatisk eller gentagen</w:t>
      </w:r>
      <w:r w:rsidR="00BC7D48">
        <w:rPr>
          <w:spacing w:val="-3"/>
          <w:szCs w:val="24"/>
        </w:rPr>
        <w:t xml:space="preserve"> </w:t>
      </w:r>
      <w:proofErr w:type="spellStart"/>
      <w:r w:rsidR="00BC7D48">
        <w:rPr>
          <w:spacing w:val="-3"/>
          <w:szCs w:val="24"/>
        </w:rPr>
        <w:t>epidural</w:t>
      </w:r>
      <w:proofErr w:type="spellEnd"/>
      <w:r w:rsidR="00BC7D48">
        <w:rPr>
          <w:spacing w:val="-3"/>
          <w:szCs w:val="24"/>
        </w:rPr>
        <w:t xml:space="preserve"> eller spinal punktur.</w:t>
      </w:r>
    </w:p>
    <w:p w:rsidR="00290DD8" w:rsidRPr="00290DD8" w:rsidRDefault="00290DD8" w:rsidP="00E90606">
      <w:pPr>
        <w:ind w:left="851"/>
        <w:rPr>
          <w:spacing w:val="-3"/>
          <w:szCs w:val="24"/>
        </w:rPr>
      </w:pPr>
      <w:r w:rsidRPr="00290DD8">
        <w:rPr>
          <w:spacing w:val="-3"/>
          <w:szCs w:val="24"/>
        </w:rPr>
        <w:t>Patienterne bør monitoreres ofte for tegn eller symptomer på neurologisk svækkelse. Hvis der ses neurologisk beskadigelse</w:t>
      </w:r>
      <w:r w:rsidR="00BC7D48">
        <w:rPr>
          <w:spacing w:val="-3"/>
          <w:szCs w:val="24"/>
        </w:rPr>
        <w:t>,</w:t>
      </w:r>
      <w:r w:rsidRPr="00290DD8">
        <w:rPr>
          <w:spacing w:val="-3"/>
          <w:szCs w:val="24"/>
        </w:rPr>
        <w:t xml:space="preserve"> er omgående behandling (dekompression) nødvendig. Lægen bør afveje den potentielle fordel overfor risikoen før </w:t>
      </w:r>
      <w:proofErr w:type="spellStart"/>
      <w:r w:rsidRPr="00290DD8">
        <w:rPr>
          <w:spacing w:val="-3"/>
          <w:szCs w:val="24"/>
        </w:rPr>
        <w:t>neuraksial</w:t>
      </w:r>
      <w:proofErr w:type="spellEnd"/>
      <w:r w:rsidRPr="00290DD8">
        <w:rPr>
          <w:spacing w:val="-3"/>
          <w:szCs w:val="24"/>
        </w:rPr>
        <w:t xml:space="preserve"> intervention hos patienter, der er i </w:t>
      </w:r>
      <w:proofErr w:type="spellStart"/>
      <w:r w:rsidRPr="00290DD8">
        <w:rPr>
          <w:spacing w:val="-3"/>
          <w:szCs w:val="24"/>
        </w:rPr>
        <w:t>antikoagulationsbehandling</w:t>
      </w:r>
      <w:proofErr w:type="spellEnd"/>
      <w:r w:rsidRPr="00290DD8">
        <w:rPr>
          <w:spacing w:val="-3"/>
          <w:szCs w:val="24"/>
        </w:rPr>
        <w:t xml:space="preserve"> som tromboseprofylakse (se pkt. 4.3).</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Indføring eller fjernelse af </w:t>
      </w:r>
      <w:proofErr w:type="spellStart"/>
      <w:r w:rsidRPr="00290DD8">
        <w:rPr>
          <w:spacing w:val="-3"/>
          <w:szCs w:val="24"/>
        </w:rPr>
        <w:t>epidural</w:t>
      </w:r>
      <w:proofErr w:type="spellEnd"/>
      <w:r w:rsidRPr="00290DD8">
        <w:rPr>
          <w:spacing w:val="-3"/>
          <w:szCs w:val="24"/>
        </w:rPr>
        <w:t xml:space="preserve">- eller spinalkateter bør udskydes 10-12 timer efter administration af </w:t>
      </w:r>
      <w:proofErr w:type="spellStart"/>
      <w:r w:rsidRPr="00290DD8">
        <w:rPr>
          <w:spacing w:val="-3"/>
          <w:szCs w:val="24"/>
        </w:rPr>
        <w:t>dalteparin</w:t>
      </w:r>
      <w:proofErr w:type="spellEnd"/>
      <w:r w:rsidRPr="00290DD8">
        <w:rPr>
          <w:spacing w:val="-3"/>
          <w:szCs w:val="24"/>
        </w:rPr>
        <w:t xml:space="preserve"> som tromboseprofylakse</w:t>
      </w:r>
      <w:r w:rsidR="00F6611C">
        <w:rPr>
          <w:spacing w:val="-3"/>
          <w:szCs w:val="24"/>
        </w:rPr>
        <w:t>,</w:t>
      </w:r>
      <w:r w:rsidRPr="00290DD8">
        <w:rPr>
          <w:spacing w:val="-3"/>
          <w:szCs w:val="24"/>
        </w:rPr>
        <w:t xml:space="preserve"> hvorimod der ved højere terapeutiske </w:t>
      </w:r>
      <w:proofErr w:type="spellStart"/>
      <w:r w:rsidRPr="00290DD8">
        <w:rPr>
          <w:spacing w:val="-3"/>
          <w:szCs w:val="24"/>
        </w:rPr>
        <w:t>daltepa</w:t>
      </w:r>
      <w:r w:rsidR="00F6611C">
        <w:rPr>
          <w:spacing w:val="-3"/>
          <w:szCs w:val="24"/>
        </w:rPr>
        <w:t>rin</w:t>
      </w:r>
      <w:r w:rsidRPr="00290DD8">
        <w:rPr>
          <w:spacing w:val="-3"/>
          <w:szCs w:val="24"/>
        </w:rPr>
        <w:t>doser</w:t>
      </w:r>
      <w:proofErr w:type="spellEnd"/>
      <w:r w:rsidRPr="00290DD8">
        <w:rPr>
          <w:spacing w:val="-3"/>
          <w:szCs w:val="24"/>
        </w:rPr>
        <w:t xml:space="preserve"> (som fx 100-120 IE/kg hver 12. time eller 200 IE/kg 1 gang </w:t>
      </w:r>
      <w:r w:rsidR="00F6611C">
        <w:rPr>
          <w:spacing w:val="-3"/>
          <w:szCs w:val="24"/>
        </w:rPr>
        <w:t>daglig</w:t>
      </w:r>
      <w:r w:rsidRPr="00290DD8">
        <w:rPr>
          <w:spacing w:val="-3"/>
          <w:szCs w:val="24"/>
        </w:rPr>
        <w:t>) bør være et interval på 24 timer.</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Hvis en læge af kliniske årsager beslutter at administrere </w:t>
      </w:r>
      <w:proofErr w:type="spellStart"/>
      <w:r w:rsidRPr="00290DD8">
        <w:rPr>
          <w:spacing w:val="-3"/>
          <w:szCs w:val="24"/>
        </w:rPr>
        <w:t>antikoagulantia</w:t>
      </w:r>
      <w:proofErr w:type="spellEnd"/>
      <w:r w:rsidRPr="00290DD8">
        <w:rPr>
          <w:spacing w:val="-3"/>
          <w:szCs w:val="24"/>
        </w:rPr>
        <w:t xml:space="preserve"> i forbindelse med </w:t>
      </w:r>
      <w:proofErr w:type="spellStart"/>
      <w:r w:rsidRPr="00290DD8">
        <w:rPr>
          <w:spacing w:val="-3"/>
          <w:szCs w:val="24"/>
        </w:rPr>
        <w:t>epidural</w:t>
      </w:r>
      <w:proofErr w:type="spellEnd"/>
      <w:r w:rsidRPr="00290DD8">
        <w:rPr>
          <w:spacing w:val="-3"/>
          <w:szCs w:val="24"/>
        </w:rPr>
        <w:t xml:space="preserve"> eller spinal anæstesi, skal der udvises yderst omhyggelig opmærksomhed, og der skal monitoreres hyppigt for symptomer på neurologisk påvirkning såsom rygsmerter, sensorisk eller motorisk påvirkning (følelsesløshed og svaghed i ekstremiteterne), tarm- eller </w:t>
      </w:r>
      <w:r w:rsidRPr="00290DD8">
        <w:rPr>
          <w:spacing w:val="-3"/>
          <w:szCs w:val="24"/>
        </w:rPr>
        <w:lastRenderedPageBreak/>
        <w:t>blæredysfunktion. Sundhedspersonalet skal oplæres i at opdage disse symptomer. Patienterne skal instrueres om, at de straks skal kontakte sundhedspersonalet eller lægen, hvis disse symptomer opstår.</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Der er ikke tilstrækkelige studier til at vurdere sikkerhed og virkning af </w:t>
      </w:r>
      <w:proofErr w:type="spellStart"/>
      <w:r w:rsidRPr="00290DD8">
        <w:rPr>
          <w:spacing w:val="-3"/>
          <w:szCs w:val="24"/>
        </w:rPr>
        <w:t>Fragmin</w:t>
      </w:r>
      <w:proofErr w:type="spellEnd"/>
      <w:r w:rsidRPr="00290DD8">
        <w:rPr>
          <w:spacing w:val="-3"/>
          <w:szCs w:val="24"/>
        </w:rPr>
        <w:t xml:space="preserve"> til forebyggelse af hjerteklaptrombose hos patienter med kunstige hjerteklapper. Profylaktiske doser af </w:t>
      </w:r>
      <w:proofErr w:type="spellStart"/>
      <w:r w:rsidRPr="00290DD8">
        <w:rPr>
          <w:spacing w:val="-3"/>
          <w:szCs w:val="24"/>
        </w:rPr>
        <w:t>Fragmin</w:t>
      </w:r>
      <w:proofErr w:type="spellEnd"/>
      <w:r w:rsidRPr="00290DD8">
        <w:rPr>
          <w:spacing w:val="-3"/>
          <w:szCs w:val="24"/>
        </w:rPr>
        <w:t xml:space="preserve"> er ikke tilstrækkelige til at undgå trombose hos patienter med kunstige hjerteklapper. </w:t>
      </w:r>
      <w:proofErr w:type="spellStart"/>
      <w:r w:rsidRPr="00290DD8">
        <w:rPr>
          <w:spacing w:val="-3"/>
          <w:szCs w:val="24"/>
        </w:rPr>
        <w:t>Fragmin</w:t>
      </w:r>
      <w:proofErr w:type="spellEnd"/>
      <w:r w:rsidRPr="00290DD8">
        <w:rPr>
          <w:spacing w:val="-3"/>
          <w:szCs w:val="24"/>
        </w:rPr>
        <w:t xml:space="preserve"> kan ikke anbefales til dette.</w:t>
      </w:r>
    </w:p>
    <w:p w:rsidR="00290DD8" w:rsidRPr="00290DD8" w:rsidRDefault="00290DD8" w:rsidP="00E90606">
      <w:pPr>
        <w:ind w:left="851"/>
        <w:rPr>
          <w:spacing w:val="-3"/>
          <w:szCs w:val="24"/>
        </w:rPr>
      </w:pPr>
    </w:p>
    <w:p w:rsidR="00290DD8" w:rsidRPr="00290DD8" w:rsidRDefault="00290DD8" w:rsidP="00E90606">
      <w:pPr>
        <w:ind w:left="851"/>
        <w:rPr>
          <w:spacing w:val="-3"/>
        </w:rPr>
      </w:pPr>
      <w:r w:rsidRPr="00290DD8">
        <w:rPr>
          <w:spacing w:val="-3"/>
          <w:szCs w:val="24"/>
        </w:rPr>
        <w:t xml:space="preserve">Ved langtidsbehandling </w:t>
      </w:r>
      <w:r w:rsidRPr="00290DD8">
        <w:rPr>
          <w:spacing w:val="-3"/>
        </w:rPr>
        <w:t>af ustabil koronararterie sygdom, som f</w:t>
      </w:r>
      <w:r w:rsidR="00F11FBE">
        <w:rPr>
          <w:spacing w:val="-3"/>
        </w:rPr>
        <w:t>x</w:t>
      </w:r>
      <w:r w:rsidRPr="00290DD8">
        <w:rPr>
          <w:spacing w:val="-3"/>
        </w:rPr>
        <w:t xml:space="preserve"> før </w:t>
      </w:r>
      <w:proofErr w:type="spellStart"/>
      <w:r w:rsidRPr="00290DD8">
        <w:rPr>
          <w:spacing w:val="-3"/>
        </w:rPr>
        <w:t>revaskularisering</w:t>
      </w:r>
      <w:proofErr w:type="spellEnd"/>
      <w:r w:rsidRPr="00290DD8">
        <w:rPr>
          <w:spacing w:val="-3"/>
        </w:rPr>
        <w:t>, bør dosisreduktion overvejes ved nedsat nyrefunktion (S-</w:t>
      </w:r>
      <w:proofErr w:type="spellStart"/>
      <w:r w:rsidRPr="00290DD8">
        <w:rPr>
          <w:spacing w:val="-3"/>
        </w:rPr>
        <w:t>kreatinin</w:t>
      </w:r>
      <w:proofErr w:type="spellEnd"/>
      <w:r w:rsidRPr="00290DD8">
        <w:rPr>
          <w:spacing w:val="-3"/>
        </w:rPr>
        <w:t xml:space="preserve"> &gt; 150 µmol/l).</w:t>
      </w:r>
    </w:p>
    <w:p w:rsidR="004A6904" w:rsidRPr="00290DD8" w:rsidRDefault="004A6904" w:rsidP="00E90606">
      <w:pPr>
        <w:ind w:left="851"/>
        <w:rPr>
          <w:spacing w:val="-3"/>
          <w:szCs w:val="24"/>
        </w:rPr>
      </w:pPr>
    </w:p>
    <w:p w:rsidR="00290DD8" w:rsidRPr="00290DD8" w:rsidRDefault="00290DD8" w:rsidP="00E90606">
      <w:pPr>
        <w:pStyle w:val="Brdtekstindrykning3"/>
        <w:jc w:val="left"/>
        <w:rPr>
          <w:szCs w:val="24"/>
        </w:rPr>
      </w:pPr>
      <w:r w:rsidRPr="00290DD8">
        <w:rPr>
          <w:szCs w:val="24"/>
          <w:u w:val="single"/>
        </w:rPr>
        <w:t>Blødningsrisiko</w:t>
      </w:r>
    </w:p>
    <w:p w:rsidR="00D31FE7" w:rsidRDefault="00290DD8" w:rsidP="00E90606">
      <w:pPr>
        <w:pStyle w:val="Brdtekstindrykning3"/>
        <w:jc w:val="left"/>
        <w:rPr>
          <w:szCs w:val="24"/>
        </w:rPr>
      </w:pPr>
      <w:proofErr w:type="spellStart"/>
      <w:r w:rsidRPr="00290DD8">
        <w:rPr>
          <w:szCs w:val="24"/>
        </w:rPr>
        <w:t>Fragmin</w:t>
      </w:r>
      <w:proofErr w:type="spellEnd"/>
      <w:r w:rsidRPr="00290DD8">
        <w:rPr>
          <w:szCs w:val="24"/>
        </w:rPr>
        <w:t xml:space="preserve"> skal gives med forsigtighed til patienter med </w:t>
      </w:r>
      <w:r w:rsidR="00193B12">
        <w:rPr>
          <w:szCs w:val="24"/>
        </w:rPr>
        <w:t>fx</w:t>
      </w:r>
      <w:r w:rsidRPr="00290DD8">
        <w:rPr>
          <w:szCs w:val="24"/>
        </w:rPr>
        <w:t xml:space="preserve"> </w:t>
      </w:r>
      <w:proofErr w:type="spellStart"/>
      <w:r w:rsidRPr="00290DD8">
        <w:rPr>
          <w:szCs w:val="24"/>
        </w:rPr>
        <w:t>trombocytopeni</w:t>
      </w:r>
      <w:proofErr w:type="spellEnd"/>
      <w:r w:rsidRPr="00290DD8">
        <w:rPr>
          <w:szCs w:val="24"/>
        </w:rPr>
        <w:t xml:space="preserve">, </w:t>
      </w:r>
      <w:proofErr w:type="spellStart"/>
      <w:r w:rsidRPr="00290DD8">
        <w:rPr>
          <w:szCs w:val="24"/>
        </w:rPr>
        <w:t>trombocytdefekter</w:t>
      </w:r>
      <w:proofErr w:type="spellEnd"/>
      <w:r w:rsidRPr="00290DD8">
        <w:rPr>
          <w:szCs w:val="24"/>
        </w:rPr>
        <w:t xml:space="preserve">, alvorlig lever- eller nyreinsufficiens, ikke-kontrolleret hypertension, </w:t>
      </w:r>
      <w:proofErr w:type="spellStart"/>
      <w:r w:rsidRPr="00290DD8">
        <w:rPr>
          <w:szCs w:val="24"/>
        </w:rPr>
        <w:t>hypertensiv</w:t>
      </w:r>
      <w:proofErr w:type="spellEnd"/>
      <w:r w:rsidRPr="00290DD8">
        <w:rPr>
          <w:szCs w:val="24"/>
        </w:rPr>
        <w:t xml:space="preserve"> eller diabetes </w:t>
      </w:r>
      <w:proofErr w:type="spellStart"/>
      <w:r w:rsidRPr="00290DD8">
        <w:rPr>
          <w:szCs w:val="24"/>
        </w:rPr>
        <w:t>retinopati</w:t>
      </w:r>
      <w:proofErr w:type="spellEnd"/>
      <w:r w:rsidRPr="00290DD8">
        <w:rPr>
          <w:szCs w:val="24"/>
        </w:rPr>
        <w:t xml:space="preserve"> og kendt overfølsomhed over for </w:t>
      </w:r>
      <w:proofErr w:type="spellStart"/>
      <w:r w:rsidRPr="00290DD8">
        <w:rPr>
          <w:szCs w:val="24"/>
        </w:rPr>
        <w:t>heparin</w:t>
      </w:r>
      <w:proofErr w:type="spellEnd"/>
      <w:r w:rsidRPr="00290DD8">
        <w:rPr>
          <w:szCs w:val="24"/>
        </w:rPr>
        <w:t xml:space="preserve"> og/eller lavmolekylære </w:t>
      </w:r>
      <w:proofErr w:type="spellStart"/>
      <w:r w:rsidRPr="00290DD8">
        <w:rPr>
          <w:szCs w:val="24"/>
        </w:rPr>
        <w:t>he</w:t>
      </w:r>
      <w:r w:rsidR="00D31FE7">
        <w:rPr>
          <w:szCs w:val="24"/>
        </w:rPr>
        <w:t>pariner</w:t>
      </w:r>
      <w:proofErr w:type="spellEnd"/>
      <w:r w:rsidR="00D31FE7">
        <w:rPr>
          <w:szCs w:val="24"/>
        </w:rPr>
        <w:t>.</w:t>
      </w:r>
    </w:p>
    <w:p w:rsidR="00290DD8" w:rsidRPr="00290DD8" w:rsidRDefault="00290DD8" w:rsidP="00E90606">
      <w:pPr>
        <w:pStyle w:val="Brdtekstindrykning3"/>
        <w:jc w:val="left"/>
        <w:rPr>
          <w:szCs w:val="24"/>
        </w:rPr>
      </w:pPr>
      <w:r w:rsidRPr="00290DD8">
        <w:rPr>
          <w:szCs w:val="24"/>
        </w:rPr>
        <w:t xml:space="preserve">Højdosis </w:t>
      </w:r>
      <w:proofErr w:type="spellStart"/>
      <w:r w:rsidRPr="00290DD8">
        <w:rPr>
          <w:szCs w:val="24"/>
        </w:rPr>
        <w:t>Fragminbehandling</w:t>
      </w:r>
      <w:proofErr w:type="spellEnd"/>
      <w:r w:rsidRPr="00290DD8">
        <w:rPr>
          <w:szCs w:val="24"/>
        </w:rPr>
        <w:t>, som f. eks bruges til behandling af akut dyb venetrombose eller ustabil koronararterie</w:t>
      </w:r>
      <w:r w:rsidRPr="00290DD8">
        <w:rPr>
          <w:szCs w:val="24"/>
        </w:rPr>
        <w:softHyphen/>
        <w:t>sygdom, bør anvendes med forsigtighed til nyligt opererede patienter</w:t>
      </w:r>
      <w:r w:rsidRPr="00290DD8">
        <w:t xml:space="preserve"> eller til patienter, hvor der er mistanke om øget risiko for blødning</w:t>
      </w:r>
      <w:r w:rsidRPr="00290DD8">
        <w:rPr>
          <w:szCs w:val="24"/>
        </w:rPr>
        <w:t>.</w:t>
      </w:r>
    </w:p>
    <w:p w:rsidR="00C56696" w:rsidRDefault="00C56696" w:rsidP="00E90606">
      <w:pPr>
        <w:pStyle w:val="Brdtekstindrykning3"/>
        <w:jc w:val="left"/>
        <w:rPr>
          <w:szCs w:val="24"/>
          <w:u w:val="single"/>
        </w:rPr>
      </w:pPr>
    </w:p>
    <w:p w:rsidR="00290DD8" w:rsidRPr="00290DD8" w:rsidRDefault="00290DD8" w:rsidP="00E90606">
      <w:pPr>
        <w:pStyle w:val="Brdtekstindrykning3"/>
        <w:jc w:val="left"/>
        <w:rPr>
          <w:szCs w:val="24"/>
        </w:rPr>
      </w:pPr>
      <w:proofErr w:type="spellStart"/>
      <w:r w:rsidRPr="00290DD8">
        <w:rPr>
          <w:szCs w:val="24"/>
          <w:u w:val="single"/>
        </w:rPr>
        <w:t>Trombocytopeni</w:t>
      </w:r>
      <w:proofErr w:type="spellEnd"/>
    </w:p>
    <w:p w:rsidR="00290DD8" w:rsidRPr="00290DD8" w:rsidRDefault="00290DD8" w:rsidP="00E90606">
      <w:pPr>
        <w:ind w:left="851"/>
        <w:rPr>
          <w:i/>
          <w:spacing w:val="-3"/>
          <w:szCs w:val="24"/>
        </w:rPr>
      </w:pPr>
      <w:proofErr w:type="spellStart"/>
      <w:r w:rsidRPr="00290DD8">
        <w:rPr>
          <w:spacing w:val="-3"/>
          <w:szCs w:val="24"/>
        </w:rPr>
        <w:t>Trombocyttælling</w:t>
      </w:r>
      <w:proofErr w:type="spellEnd"/>
      <w:r w:rsidRPr="00290DD8">
        <w:rPr>
          <w:spacing w:val="-3"/>
          <w:szCs w:val="24"/>
        </w:rPr>
        <w:t xml:space="preserve"> anbefales</w:t>
      </w:r>
      <w:r w:rsidR="00D31FE7">
        <w:rPr>
          <w:spacing w:val="-3"/>
          <w:szCs w:val="24"/>
        </w:rPr>
        <w:t>,</w:t>
      </w:r>
      <w:r w:rsidRPr="00290DD8">
        <w:rPr>
          <w:spacing w:val="-3"/>
          <w:szCs w:val="24"/>
        </w:rPr>
        <w:t xml:space="preserve"> før </w:t>
      </w:r>
      <w:proofErr w:type="spellStart"/>
      <w:r w:rsidRPr="00290DD8">
        <w:rPr>
          <w:spacing w:val="-3"/>
          <w:szCs w:val="24"/>
        </w:rPr>
        <w:t>Fragminbehandling</w:t>
      </w:r>
      <w:proofErr w:type="spellEnd"/>
      <w:r w:rsidRPr="00290DD8">
        <w:rPr>
          <w:spacing w:val="-3"/>
          <w:szCs w:val="24"/>
        </w:rPr>
        <w:t xml:space="preserve"> startes</w:t>
      </w:r>
      <w:r w:rsidRPr="00290DD8">
        <w:rPr>
          <w:spacing w:val="-3"/>
        </w:rPr>
        <w:t xml:space="preserve"> og regelmæssigt under behandlingen</w:t>
      </w:r>
      <w:r w:rsidRPr="00290DD8">
        <w:rPr>
          <w:spacing w:val="-3"/>
          <w:szCs w:val="24"/>
        </w:rPr>
        <w:t xml:space="preserve">. Særlig forsigtighed er nødvendig under </w:t>
      </w:r>
      <w:proofErr w:type="spellStart"/>
      <w:r w:rsidRPr="00290DD8">
        <w:rPr>
          <w:spacing w:val="-3"/>
          <w:szCs w:val="24"/>
        </w:rPr>
        <w:t>Fragmin</w:t>
      </w:r>
      <w:proofErr w:type="spellEnd"/>
      <w:r w:rsidRPr="00290DD8">
        <w:rPr>
          <w:spacing w:val="-3"/>
          <w:szCs w:val="24"/>
        </w:rPr>
        <w:t xml:space="preserve">-administration til patienter med hurtigt udviklende eller svær </w:t>
      </w:r>
      <w:proofErr w:type="spellStart"/>
      <w:r w:rsidRPr="00290DD8">
        <w:rPr>
          <w:spacing w:val="-3"/>
          <w:szCs w:val="24"/>
        </w:rPr>
        <w:t>trombocytopeni</w:t>
      </w:r>
      <w:proofErr w:type="spellEnd"/>
      <w:r w:rsidRPr="00290DD8">
        <w:rPr>
          <w:spacing w:val="-3"/>
          <w:szCs w:val="24"/>
        </w:rPr>
        <w:t xml:space="preserve"> (&lt; 100.000/mm</w:t>
      </w:r>
      <w:r w:rsidRPr="00290DD8">
        <w:rPr>
          <w:spacing w:val="-3"/>
          <w:szCs w:val="24"/>
          <w:vertAlign w:val="superscript"/>
        </w:rPr>
        <w:t>3</w:t>
      </w:r>
      <w:r w:rsidRPr="00290DD8">
        <w:rPr>
          <w:spacing w:val="-3"/>
          <w:szCs w:val="24"/>
        </w:rPr>
        <w:t xml:space="preserve">). Ved disse tilstande anbefales det, at der foretages </w:t>
      </w:r>
      <w:r w:rsidRPr="00290DD8">
        <w:rPr>
          <w:i/>
          <w:spacing w:val="-3"/>
          <w:szCs w:val="24"/>
        </w:rPr>
        <w:t xml:space="preserve">in </w:t>
      </w:r>
      <w:proofErr w:type="spellStart"/>
      <w:r w:rsidRPr="00290DD8">
        <w:rPr>
          <w:i/>
          <w:spacing w:val="-3"/>
          <w:szCs w:val="24"/>
        </w:rPr>
        <w:t>vitro</w:t>
      </w:r>
      <w:proofErr w:type="spellEnd"/>
      <w:r w:rsidRPr="00290DD8">
        <w:rPr>
          <w:i/>
          <w:spacing w:val="-3"/>
          <w:szCs w:val="24"/>
        </w:rPr>
        <w:t xml:space="preserve"> </w:t>
      </w:r>
      <w:proofErr w:type="spellStart"/>
      <w:r w:rsidRPr="00290DD8">
        <w:rPr>
          <w:spacing w:val="-3"/>
          <w:szCs w:val="24"/>
        </w:rPr>
        <w:t>trombocyt</w:t>
      </w:r>
      <w:proofErr w:type="spellEnd"/>
      <w:r w:rsidRPr="00290DD8">
        <w:rPr>
          <w:spacing w:val="-3"/>
          <w:szCs w:val="24"/>
        </w:rPr>
        <w:t xml:space="preserve">-aggregationstest. Hvis den viser sig at være positiv eller uden resultat, eller hvis testen ikke foretages, bør </w:t>
      </w:r>
      <w:proofErr w:type="spellStart"/>
      <w:r w:rsidRPr="00290DD8">
        <w:rPr>
          <w:spacing w:val="-3"/>
          <w:szCs w:val="24"/>
        </w:rPr>
        <w:t>Fragminbehandling</w:t>
      </w:r>
      <w:proofErr w:type="spellEnd"/>
      <w:r w:rsidRPr="00290DD8">
        <w:rPr>
          <w:spacing w:val="-3"/>
          <w:szCs w:val="24"/>
        </w:rPr>
        <w:t xml:space="preserve"> seponeres (se pkt. 4.3).</w:t>
      </w:r>
      <w:r w:rsidRPr="00290DD8">
        <w:rPr>
          <w:i/>
          <w:spacing w:val="-3"/>
          <w:szCs w:val="24"/>
        </w:rPr>
        <w:t xml:space="preserve"> </w:t>
      </w:r>
    </w:p>
    <w:p w:rsidR="00290DD8" w:rsidRPr="00290DD8" w:rsidRDefault="00290DD8" w:rsidP="00E90606">
      <w:pPr>
        <w:ind w:left="851"/>
        <w:rPr>
          <w:spacing w:val="-3"/>
          <w:szCs w:val="24"/>
        </w:rPr>
      </w:pPr>
    </w:p>
    <w:p w:rsidR="00290DD8" w:rsidRPr="00290DD8" w:rsidRDefault="0003295D" w:rsidP="00E90606">
      <w:pPr>
        <w:keepNext/>
        <w:ind w:left="851"/>
        <w:rPr>
          <w:spacing w:val="-3"/>
          <w:szCs w:val="24"/>
          <w:u w:val="single"/>
        </w:rPr>
      </w:pPr>
      <w:proofErr w:type="spellStart"/>
      <w:r>
        <w:rPr>
          <w:spacing w:val="-3"/>
          <w:szCs w:val="24"/>
          <w:u w:val="single"/>
        </w:rPr>
        <w:t>Anti-Xa</w:t>
      </w:r>
      <w:proofErr w:type="spellEnd"/>
      <w:r>
        <w:rPr>
          <w:spacing w:val="-3"/>
          <w:szCs w:val="24"/>
          <w:u w:val="single"/>
        </w:rPr>
        <w:t xml:space="preserve"> niveau</w:t>
      </w:r>
    </w:p>
    <w:p w:rsidR="00290DD8" w:rsidRPr="00290DD8" w:rsidRDefault="00290DD8" w:rsidP="00E90606">
      <w:pPr>
        <w:ind w:left="851"/>
        <w:rPr>
          <w:i/>
          <w:spacing w:val="-3"/>
          <w:szCs w:val="24"/>
        </w:rPr>
      </w:pPr>
      <w:r w:rsidRPr="00290DD8">
        <w:rPr>
          <w:spacing w:val="-3"/>
          <w:szCs w:val="24"/>
        </w:rPr>
        <w:t xml:space="preserve">Monitorering af </w:t>
      </w:r>
      <w:proofErr w:type="spellStart"/>
      <w:r w:rsidRPr="00290DD8">
        <w:rPr>
          <w:spacing w:val="-3"/>
          <w:szCs w:val="24"/>
        </w:rPr>
        <w:t>Fragmins</w:t>
      </w:r>
      <w:proofErr w:type="spellEnd"/>
      <w:r w:rsidRPr="00290DD8">
        <w:rPr>
          <w:spacing w:val="-3"/>
          <w:szCs w:val="24"/>
        </w:rPr>
        <w:t xml:space="preserve"> antikoagulerende virkning er generelt ikke nødvendig, men bør overvejes hos visse patientgrupper, </w:t>
      </w:r>
      <w:r w:rsidR="0003295D">
        <w:rPr>
          <w:spacing w:val="-3"/>
          <w:szCs w:val="24"/>
        </w:rPr>
        <w:t>fx</w:t>
      </w:r>
      <w:r w:rsidRPr="00290DD8">
        <w:rPr>
          <w:spacing w:val="-3"/>
          <w:szCs w:val="24"/>
        </w:rPr>
        <w:t xml:space="preserve"> børn, patienter med nyresvigt, meget undervægtige eller sygeligt overvægtige patienter, gravide eller patienter med øget risiko for blødning eller </w:t>
      </w:r>
      <w:proofErr w:type="spellStart"/>
      <w:r w:rsidRPr="00290DD8">
        <w:rPr>
          <w:spacing w:val="-3"/>
          <w:szCs w:val="24"/>
        </w:rPr>
        <w:t>retrombose</w:t>
      </w:r>
      <w:proofErr w:type="spellEnd"/>
      <w:r w:rsidRPr="00290DD8">
        <w:rPr>
          <w:spacing w:val="-3"/>
          <w:szCs w:val="24"/>
        </w:rPr>
        <w:t>.</w:t>
      </w:r>
    </w:p>
    <w:p w:rsidR="00290DD8" w:rsidRPr="00290DD8" w:rsidRDefault="00290DD8" w:rsidP="00E90606">
      <w:pPr>
        <w:keepNext/>
        <w:ind w:left="851"/>
        <w:rPr>
          <w:spacing w:val="-3"/>
          <w:szCs w:val="24"/>
        </w:rPr>
      </w:pPr>
      <w:r w:rsidRPr="00290DD8">
        <w:rPr>
          <w:spacing w:val="-3"/>
          <w:szCs w:val="24"/>
        </w:rPr>
        <w:t xml:space="preserve"> </w:t>
      </w:r>
    </w:p>
    <w:p w:rsidR="00290DD8" w:rsidRPr="00290DD8" w:rsidRDefault="0003295D" w:rsidP="00E90606">
      <w:pPr>
        <w:keepNext/>
        <w:ind w:left="851"/>
        <w:rPr>
          <w:spacing w:val="-3"/>
          <w:szCs w:val="24"/>
          <w:u w:val="single"/>
        </w:rPr>
      </w:pPr>
      <w:proofErr w:type="spellStart"/>
      <w:r>
        <w:rPr>
          <w:spacing w:val="-3"/>
          <w:szCs w:val="24"/>
          <w:u w:val="single"/>
        </w:rPr>
        <w:t>Hyperkaliæmi</w:t>
      </w:r>
      <w:proofErr w:type="spellEnd"/>
    </w:p>
    <w:p w:rsidR="00290DD8" w:rsidRPr="00290DD8" w:rsidRDefault="00290DD8" w:rsidP="00E90606">
      <w:pPr>
        <w:keepNext/>
        <w:ind w:left="851"/>
        <w:rPr>
          <w:spacing w:val="-3"/>
          <w:szCs w:val="24"/>
        </w:rPr>
      </w:pPr>
      <w:proofErr w:type="spellStart"/>
      <w:r w:rsidRPr="00290DD8">
        <w:rPr>
          <w:spacing w:val="-3"/>
          <w:szCs w:val="24"/>
        </w:rPr>
        <w:t>Heparin</w:t>
      </w:r>
      <w:proofErr w:type="spellEnd"/>
      <w:r w:rsidRPr="00290DD8">
        <w:rPr>
          <w:spacing w:val="-3"/>
          <w:szCs w:val="24"/>
        </w:rPr>
        <w:t xml:space="preserve"> kan hæmme sekretionen af </w:t>
      </w:r>
      <w:proofErr w:type="spellStart"/>
      <w:r w:rsidRPr="00290DD8">
        <w:rPr>
          <w:spacing w:val="-3"/>
          <w:szCs w:val="24"/>
        </w:rPr>
        <w:t>aldosteron</w:t>
      </w:r>
      <w:proofErr w:type="spellEnd"/>
      <w:r w:rsidRPr="00290DD8">
        <w:rPr>
          <w:spacing w:val="-3"/>
          <w:szCs w:val="24"/>
        </w:rPr>
        <w:t xml:space="preserve"> og medføre </w:t>
      </w:r>
      <w:proofErr w:type="spellStart"/>
      <w:r w:rsidRPr="00290DD8">
        <w:rPr>
          <w:spacing w:val="-3"/>
          <w:szCs w:val="24"/>
        </w:rPr>
        <w:t>hyperkaliæmi</w:t>
      </w:r>
      <w:proofErr w:type="spellEnd"/>
      <w:r w:rsidRPr="00290DD8">
        <w:rPr>
          <w:spacing w:val="-3"/>
          <w:szCs w:val="24"/>
        </w:rPr>
        <w:t xml:space="preserve">, specielt hos patienter med diabetes mellitus, kronisk nyresvigt, præ-eksisterende metabolisk </w:t>
      </w:r>
      <w:proofErr w:type="spellStart"/>
      <w:r w:rsidRPr="00290DD8">
        <w:rPr>
          <w:spacing w:val="-3"/>
          <w:szCs w:val="24"/>
        </w:rPr>
        <w:t>acidose</w:t>
      </w:r>
      <w:proofErr w:type="spellEnd"/>
      <w:r w:rsidRPr="00290DD8">
        <w:rPr>
          <w:spacing w:val="-3"/>
          <w:szCs w:val="24"/>
        </w:rPr>
        <w:t xml:space="preserve">, forhøjet plasma-kalium eller patienter i behandling med kaliumbesparende lægemidler. Risikoen for </w:t>
      </w:r>
      <w:proofErr w:type="spellStart"/>
      <w:r w:rsidRPr="00290DD8">
        <w:rPr>
          <w:spacing w:val="-3"/>
          <w:szCs w:val="24"/>
        </w:rPr>
        <w:t>hyperkaliæmi</w:t>
      </w:r>
      <w:proofErr w:type="spellEnd"/>
      <w:r w:rsidRPr="00290DD8">
        <w:rPr>
          <w:spacing w:val="-3"/>
          <w:szCs w:val="24"/>
        </w:rPr>
        <w:t xml:space="preserve"> synes proportional med behandlingsvarighed, men er sædvanligvis reversibel. Plasma-kalium bør måles før </w:t>
      </w:r>
      <w:proofErr w:type="spellStart"/>
      <w:r w:rsidRPr="00290DD8">
        <w:rPr>
          <w:spacing w:val="-3"/>
          <w:szCs w:val="24"/>
        </w:rPr>
        <w:t>heparin</w:t>
      </w:r>
      <w:proofErr w:type="spellEnd"/>
      <w:r w:rsidRPr="00290DD8">
        <w:rPr>
          <w:spacing w:val="-3"/>
          <w:szCs w:val="24"/>
        </w:rPr>
        <w:t>-behandling påbegyndes og derefter regelmæssigt under behandlingen</w:t>
      </w:r>
      <w:r w:rsidR="000A4F32">
        <w:rPr>
          <w:spacing w:val="-3"/>
          <w:szCs w:val="24"/>
        </w:rPr>
        <w:t>,</w:t>
      </w:r>
      <w:r w:rsidRPr="00290DD8">
        <w:rPr>
          <w:spacing w:val="-3"/>
          <w:szCs w:val="24"/>
        </w:rPr>
        <w:t xml:space="preserve"> især ved behandling udover 7 dage.</w:t>
      </w:r>
    </w:p>
    <w:p w:rsidR="00290DD8" w:rsidRPr="00290DD8" w:rsidRDefault="00290DD8" w:rsidP="00E90606">
      <w:pPr>
        <w:keepNext/>
        <w:ind w:left="851"/>
        <w:rPr>
          <w:spacing w:val="-3"/>
          <w:szCs w:val="24"/>
          <w:u w:val="single"/>
        </w:rPr>
      </w:pPr>
    </w:p>
    <w:p w:rsidR="000A4F32" w:rsidRDefault="00290DD8" w:rsidP="00E90606">
      <w:pPr>
        <w:ind w:left="851"/>
        <w:rPr>
          <w:spacing w:val="-3"/>
          <w:szCs w:val="24"/>
        </w:rPr>
      </w:pPr>
      <w:r w:rsidRPr="00290DD8">
        <w:rPr>
          <w:spacing w:val="-3"/>
          <w:szCs w:val="24"/>
        </w:rPr>
        <w:t xml:space="preserve">Patienter i kronisk hæmodialyse med </w:t>
      </w:r>
      <w:proofErr w:type="spellStart"/>
      <w:r w:rsidRPr="00290DD8">
        <w:rPr>
          <w:spacing w:val="-3"/>
          <w:szCs w:val="24"/>
        </w:rPr>
        <w:t>Fragmin</w:t>
      </w:r>
      <w:proofErr w:type="spellEnd"/>
      <w:r w:rsidRPr="00290DD8">
        <w:rPr>
          <w:spacing w:val="-3"/>
          <w:szCs w:val="24"/>
        </w:rPr>
        <w:t xml:space="preserve"> kræver normalt kun få dosisjusteringer og derfor k</w:t>
      </w:r>
      <w:r w:rsidR="000A4F32">
        <w:rPr>
          <w:spacing w:val="-3"/>
          <w:szCs w:val="24"/>
        </w:rPr>
        <w:t xml:space="preserve">un få </w:t>
      </w:r>
      <w:proofErr w:type="spellStart"/>
      <w:r w:rsidR="000A4F32">
        <w:rPr>
          <w:spacing w:val="-3"/>
          <w:szCs w:val="24"/>
        </w:rPr>
        <w:t>anti</w:t>
      </w:r>
      <w:proofErr w:type="spellEnd"/>
      <w:r w:rsidR="000A4F32">
        <w:rPr>
          <w:spacing w:val="-3"/>
          <w:szCs w:val="24"/>
        </w:rPr>
        <w:t>-</w:t>
      </w:r>
      <w:proofErr w:type="spellStart"/>
      <w:r w:rsidR="000A4F32">
        <w:rPr>
          <w:spacing w:val="-3"/>
          <w:szCs w:val="24"/>
        </w:rPr>
        <w:t>Xa</w:t>
      </w:r>
      <w:proofErr w:type="spellEnd"/>
      <w:r w:rsidR="000A4F32">
        <w:rPr>
          <w:spacing w:val="-3"/>
          <w:szCs w:val="24"/>
        </w:rPr>
        <w:t>-niveaukontroller.</w:t>
      </w:r>
    </w:p>
    <w:p w:rsidR="00290DD8" w:rsidRPr="00290DD8" w:rsidRDefault="00290DD8" w:rsidP="00E90606">
      <w:pPr>
        <w:ind w:left="851"/>
        <w:rPr>
          <w:i/>
          <w:spacing w:val="-3"/>
          <w:szCs w:val="24"/>
        </w:rPr>
      </w:pPr>
      <w:r w:rsidRPr="00290DD8">
        <w:rPr>
          <w:spacing w:val="-3"/>
          <w:szCs w:val="24"/>
        </w:rPr>
        <w:t>Patienter i akut hæmodialyse har et snævrere terapeutisk dosisområde</w:t>
      </w:r>
      <w:r w:rsidR="000A4F32">
        <w:rPr>
          <w:spacing w:val="-3"/>
          <w:szCs w:val="24"/>
        </w:rPr>
        <w:t>,</w:t>
      </w:r>
      <w:r w:rsidRPr="00290DD8">
        <w:rPr>
          <w:spacing w:val="-3"/>
          <w:szCs w:val="24"/>
        </w:rPr>
        <w:t xml:space="preserve"> og der bør foretages omhyggelig monitorering af </w:t>
      </w:r>
      <w:proofErr w:type="spellStart"/>
      <w:r w:rsidRPr="00290DD8">
        <w:rPr>
          <w:spacing w:val="-3"/>
          <w:szCs w:val="24"/>
        </w:rPr>
        <w:t>anti-Xa</w:t>
      </w:r>
      <w:proofErr w:type="spellEnd"/>
      <w:r w:rsidRPr="00290DD8">
        <w:rPr>
          <w:spacing w:val="-3"/>
          <w:szCs w:val="24"/>
        </w:rPr>
        <w:t xml:space="preserve"> niveauerne. </w:t>
      </w:r>
    </w:p>
    <w:p w:rsidR="00290DD8" w:rsidRPr="00290DD8" w:rsidRDefault="00290DD8" w:rsidP="00E90606">
      <w:pPr>
        <w:ind w:left="851"/>
        <w:rPr>
          <w:spacing w:val="-3"/>
          <w:szCs w:val="24"/>
        </w:rPr>
      </w:pPr>
    </w:p>
    <w:p w:rsidR="00290DD8" w:rsidRPr="00290DD8" w:rsidRDefault="00290DD8" w:rsidP="00E90606">
      <w:pPr>
        <w:ind w:left="851"/>
        <w:rPr>
          <w:i/>
          <w:spacing w:val="-3"/>
          <w:szCs w:val="24"/>
        </w:rPr>
      </w:pPr>
      <w:proofErr w:type="spellStart"/>
      <w:r w:rsidRPr="00290DD8">
        <w:rPr>
          <w:spacing w:val="-3"/>
          <w:szCs w:val="24"/>
        </w:rPr>
        <w:t>Fragmin</w:t>
      </w:r>
      <w:proofErr w:type="spellEnd"/>
      <w:r w:rsidRPr="00290DD8">
        <w:rPr>
          <w:spacing w:val="-3"/>
          <w:szCs w:val="24"/>
        </w:rPr>
        <w:t xml:space="preserve"> har kun en moderat forlængende effekt på </w:t>
      </w:r>
      <w:r w:rsidR="00193B12">
        <w:rPr>
          <w:spacing w:val="-3"/>
          <w:szCs w:val="24"/>
        </w:rPr>
        <w:t>fx</w:t>
      </w:r>
      <w:r w:rsidRPr="00290DD8">
        <w:rPr>
          <w:spacing w:val="-3"/>
          <w:szCs w:val="24"/>
        </w:rPr>
        <w:t xml:space="preserve"> aktiveret partiel </w:t>
      </w:r>
      <w:proofErr w:type="spellStart"/>
      <w:r w:rsidRPr="00290DD8">
        <w:rPr>
          <w:spacing w:val="-3"/>
          <w:szCs w:val="24"/>
        </w:rPr>
        <w:t>thromboplastin</w:t>
      </w:r>
      <w:proofErr w:type="spellEnd"/>
      <w:r w:rsidRPr="00290DD8">
        <w:rPr>
          <w:spacing w:val="-3"/>
          <w:szCs w:val="24"/>
        </w:rPr>
        <w:t xml:space="preserve"> tid (APTT) eller </w:t>
      </w:r>
      <w:proofErr w:type="spellStart"/>
      <w:r w:rsidRPr="00290DD8">
        <w:rPr>
          <w:spacing w:val="-3"/>
          <w:szCs w:val="24"/>
        </w:rPr>
        <w:t>trombintid</w:t>
      </w:r>
      <w:proofErr w:type="spellEnd"/>
      <w:r w:rsidRPr="00290DD8">
        <w:rPr>
          <w:spacing w:val="-3"/>
          <w:szCs w:val="24"/>
        </w:rPr>
        <w:t xml:space="preserve">, og det er derfor ikke hensigtsmæssigt at bruge disse tests. </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Dosisforøgelse med henblik på at forlænge APTT kan medføre overdosering og blødning (se pkt. 4.9). Til laboratoriemonitorering af effekten anbefales den funktionelle </w:t>
      </w:r>
      <w:proofErr w:type="spellStart"/>
      <w:r w:rsidRPr="00290DD8">
        <w:rPr>
          <w:spacing w:val="-3"/>
          <w:szCs w:val="24"/>
        </w:rPr>
        <w:t>anti</w:t>
      </w:r>
      <w:proofErr w:type="spellEnd"/>
      <w:r w:rsidRPr="00290DD8">
        <w:rPr>
          <w:spacing w:val="-3"/>
          <w:szCs w:val="24"/>
        </w:rPr>
        <w:t>-</w:t>
      </w:r>
      <w:proofErr w:type="spellStart"/>
      <w:r w:rsidRPr="00290DD8">
        <w:rPr>
          <w:spacing w:val="-3"/>
          <w:szCs w:val="24"/>
        </w:rPr>
        <w:t>Xa</w:t>
      </w:r>
      <w:proofErr w:type="spellEnd"/>
      <w:r w:rsidRPr="00290DD8">
        <w:rPr>
          <w:spacing w:val="-3"/>
          <w:szCs w:val="24"/>
        </w:rPr>
        <w:t>-metode.</w:t>
      </w:r>
    </w:p>
    <w:p w:rsidR="00290DD8" w:rsidRPr="00290DD8" w:rsidRDefault="00290DD8" w:rsidP="00E90606">
      <w:pPr>
        <w:ind w:left="851"/>
        <w:rPr>
          <w:spacing w:val="-3"/>
          <w:szCs w:val="24"/>
          <w:u w:val="single"/>
        </w:rPr>
      </w:pPr>
    </w:p>
    <w:p w:rsidR="00290DD8" w:rsidRPr="00290DD8" w:rsidRDefault="00290DD8" w:rsidP="00E90606">
      <w:pPr>
        <w:ind w:left="851"/>
        <w:rPr>
          <w:spacing w:val="-3"/>
          <w:szCs w:val="24"/>
        </w:rPr>
      </w:pPr>
      <w:r w:rsidRPr="00290DD8">
        <w:rPr>
          <w:spacing w:val="-3"/>
          <w:szCs w:val="24"/>
          <w:u w:val="single"/>
        </w:rPr>
        <w:t>Myokardieinfarkt</w:t>
      </w:r>
    </w:p>
    <w:p w:rsidR="00290DD8" w:rsidRPr="00290DD8" w:rsidRDefault="00290DD8" w:rsidP="00E90606">
      <w:pPr>
        <w:ind w:left="851"/>
        <w:rPr>
          <w:spacing w:val="-3"/>
          <w:szCs w:val="24"/>
        </w:rPr>
      </w:pPr>
      <w:r w:rsidRPr="00290DD8">
        <w:rPr>
          <w:spacing w:val="-3"/>
          <w:szCs w:val="24"/>
        </w:rPr>
        <w:t xml:space="preserve">Hvis et </w:t>
      </w:r>
      <w:proofErr w:type="spellStart"/>
      <w:r w:rsidRPr="00290DD8">
        <w:rPr>
          <w:spacing w:val="-3"/>
          <w:szCs w:val="24"/>
        </w:rPr>
        <w:t>transmuralt</w:t>
      </w:r>
      <w:proofErr w:type="spellEnd"/>
      <w:r w:rsidRPr="00290DD8">
        <w:rPr>
          <w:spacing w:val="-3"/>
          <w:szCs w:val="24"/>
        </w:rPr>
        <w:t xml:space="preserve"> myokardieinfarkt opstår hos patienter med ustabil koronararteriesygdom, det vil sige ustabil angina og non-Q-tak myokardieinfarkt, kan </w:t>
      </w:r>
      <w:proofErr w:type="spellStart"/>
      <w:r w:rsidRPr="00290DD8">
        <w:rPr>
          <w:spacing w:val="-3"/>
          <w:szCs w:val="24"/>
        </w:rPr>
        <w:t>trombolytisk</w:t>
      </w:r>
      <w:proofErr w:type="spellEnd"/>
      <w:r w:rsidRPr="00290DD8">
        <w:rPr>
          <w:spacing w:val="-3"/>
          <w:szCs w:val="24"/>
        </w:rPr>
        <w:t xml:space="preserve"> behandling være indiceret. Det betyder ikke</w:t>
      </w:r>
      <w:r w:rsidR="00151132">
        <w:rPr>
          <w:spacing w:val="-3"/>
          <w:szCs w:val="24"/>
        </w:rPr>
        <w:t>,</w:t>
      </w:r>
      <w:r w:rsidRPr="00290DD8">
        <w:rPr>
          <w:spacing w:val="-3"/>
          <w:szCs w:val="24"/>
        </w:rPr>
        <w:t xml:space="preserve"> at </w:t>
      </w:r>
      <w:proofErr w:type="spellStart"/>
      <w:r w:rsidRPr="00290DD8">
        <w:rPr>
          <w:spacing w:val="-3"/>
          <w:szCs w:val="24"/>
        </w:rPr>
        <w:t>dalteparin</w:t>
      </w:r>
      <w:proofErr w:type="spellEnd"/>
      <w:r w:rsidRPr="00290DD8">
        <w:rPr>
          <w:spacing w:val="-3"/>
          <w:szCs w:val="24"/>
        </w:rPr>
        <w:t xml:space="preserve">-behandlingen skal seponeres, men samtidig anvendelse af </w:t>
      </w:r>
      <w:proofErr w:type="spellStart"/>
      <w:r w:rsidRPr="00290DD8">
        <w:rPr>
          <w:spacing w:val="-3"/>
          <w:szCs w:val="24"/>
        </w:rPr>
        <w:t>dalteparin</w:t>
      </w:r>
      <w:proofErr w:type="spellEnd"/>
      <w:r w:rsidRPr="00290DD8">
        <w:rPr>
          <w:spacing w:val="-3"/>
          <w:szCs w:val="24"/>
        </w:rPr>
        <w:t xml:space="preserve"> og </w:t>
      </w:r>
      <w:proofErr w:type="spellStart"/>
      <w:r w:rsidRPr="00290DD8">
        <w:rPr>
          <w:spacing w:val="-3"/>
          <w:szCs w:val="24"/>
        </w:rPr>
        <w:t>trombolytisk</w:t>
      </w:r>
      <w:proofErr w:type="spellEnd"/>
      <w:r w:rsidRPr="00290DD8">
        <w:rPr>
          <w:spacing w:val="-3"/>
          <w:szCs w:val="24"/>
        </w:rPr>
        <w:t xml:space="preserve"> behandling øger blødningsrisikoen.</w:t>
      </w:r>
    </w:p>
    <w:p w:rsidR="00290DD8" w:rsidRPr="00290DD8" w:rsidRDefault="00290DD8" w:rsidP="00E90606">
      <w:pPr>
        <w:ind w:left="851"/>
        <w:rPr>
          <w:spacing w:val="-3"/>
          <w:szCs w:val="24"/>
        </w:rPr>
      </w:pPr>
    </w:p>
    <w:p w:rsidR="00290DD8" w:rsidRPr="00290DD8" w:rsidRDefault="00290DD8" w:rsidP="00E90606">
      <w:pPr>
        <w:ind w:left="851"/>
        <w:rPr>
          <w:spacing w:val="-3"/>
          <w:szCs w:val="24"/>
          <w:u w:val="single"/>
        </w:rPr>
      </w:pPr>
      <w:r w:rsidRPr="00290DD8">
        <w:rPr>
          <w:spacing w:val="-3"/>
          <w:szCs w:val="24"/>
          <w:u w:val="single"/>
        </w:rPr>
        <w:t xml:space="preserve">Erstatning af </w:t>
      </w:r>
      <w:proofErr w:type="spellStart"/>
      <w:r w:rsidRPr="00290DD8">
        <w:rPr>
          <w:spacing w:val="-3"/>
          <w:szCs w:val="24"/>
          <w:u w:val="single"/>
        </w:rPr>
        <w:t>Fr</w:t>
      </w:r>
      <w:r w:rsidR="00151132">
        <w:rPr>
          <w:spacing w:val="-3"/>
          <w:szCs w:val="24"/>
          <w:u w:val="single"/>
        </w:rPr>
        <w:t>agmin</w:t>
      </w:r>
      <w:proofErr w:type="spellEnd"/>
      <w:r w:rsidR="00151132">
        <w:rPr>
          <w:spacing w:val="-3"/>
          <w:szCs w:val="24"/>
          <w:u w:val="single"/>
        </w:rPr>
        <w:t xml:space="preserve"> med andre </w:t>
      </w:r>
      <w:proofErr w:type="spellStart"/>
      <w:r w:rsidR="00151132">
        <w:rPr>
          <w:spacing w:val="-3"/>
          <w:szCs w:val="24"/>
          <w:u w:val="single"/>
        </w:rPr>
        <w:t>antikoagulantia</w:t>
      </w:r>
      <w:proofErr w:type="spellEnd"/>
    </w:p>
    <w:p w:rsidR="00290DD8" w:rsidRPr="00290DD8" w:rsidRDefault="00290DD8" w:rsidP="00E90606">
      <w:pPr>
        <w:ind w:left="851"/>
        <w:rPr>
          <w:i/>
          <w:spacing w:val="-3"/>
          <w:szCs w:val="24"/>
        </w:rPr>
      </w:pPr>
      <w:proofErr w:type="spellStart"/>
      <w:r w:rsidRPr="00290DD8">
        <w:rPr>
          <w:spacing w:val="-3"/>
          <w:szCs w:val="24"/>
        </w:rPr>
        <w:t>Fragmin</w:t>
      </w:r>
      <w:proofErr w:type="spellEnd"/>
      <w:r w:rsidRPr="00290DD8">
        <w:rPr>
          <w:spacing w:val="-3"/>
          <w:szCs w:val="24"/>
        </w:rPr>
        <w:t xml:space="preserve"> kan ikke erstattes (enhed for enhed) med </w:t>
      </w:r>
      <w:proofErr w:type="spellStart"/>
      <w:r w:rsidRPr="00290DD8">
        <w:rPr>
          <w:spacing w:val="-3"/>
          <w:szCs w:val="24"/>
        </w:rPr>
        <w:t>ufraktioneret</w:t>
      </w:r>
      <w:proofErr w:type="spellEnd"/>
      <w:r w:rsidRPr="00290DD8">
        <w:rPr>
          <w:spacing w:val="-3"/>
          <w:szCs w:val="24"/>
        </w:rPr>
        <w:t xml:space="preserve"> </w:t>
      </w:r>
      <w:proofErr w:type="spellStart"/>
      <w:r w:rsidRPr="00290DD8">
        <w:rPr>
          <w:spacing w:val="-3"/>
          <w:szCs w:val="24"/>
        </w:rPr>
        <w:t>heparin</w:t>
      </w:r>
      <w:proofErr w:type="spellEnd"/>
      <w:r w:rsidRPr="00290DD8">
        <w:rPr>
          <w:spacing w:val="-3"/>
          <w:szCs w:val="24"/>
        </w:rPr>
        <w:t xml:space="preserve">, andre lavmolekylære </w:t>
      </w:r>
      <w:proofErr w:type="spellStart"/>
      <w:r w:rsidRPr="00290DD8">
        <w:rPr>
          <w:spacing w:val="-3"/>
          <w:szCs w:val="24"/>
        </w:rPr>
        <w:t>hepariner</w:t>
      </w:r>
      <w:proofErr w:type="spellEnd"/>
      <w:r w:rsidRPr="00290DD8">
        <w:rPr>
          <w:spacing w:val="-3"/>
          <w:szCs w:val="24"/>
        </w:rPr>
        <w:t xml:space="preserve"> eller syntetiske </w:t>
      </w:r>
      <w:proofErr w:type="spellStart"/>
      <w:r w:rsidRPr="00290DD8">
        <w:rPr>
          <w:spacing w:val="-3"/>
          <w:szCs w:val="24"/>
        </w:rPr>
        <w:t>polysaccharider</w:t>
      </w:r>
      <w:proofErr w:type="spellEnd"/>
      <w:r w:rsidRPr="00290DD8">
        <w:rPr>
          <w:spacing w:val="-3"/>
          <w:szCs w:val="24"/>
        </w:rPr>
        <w:t>, idet disse typer medicin har forskellige karak</w:t>
      </w:r>
      <w:r w:rsidRPr="00290DD8">
        <w:rPr>
          <w:spacing w:val="-3"/>
          <w:szCs w:val="24"/>
        </w:rPr>
        <w:softHyphen/>
        <w:t xml:space="preserve">teristika og forskellige dosisrekommandationer. Der er </w:t>
      </w:r>
      <w:r w:rsidR="00193B12">
        <w:rPr>
          <w:spacing w:val="-3"/>
          <w:szCs w:val="24"/>
        </w:rPr>
        <w:t>fx</w:t>
      </w:r>
      <w:r w:rsidRPr="00290DD8">
        <w:rPr>
          <w:spacing w:val="-3"/>
          <w:szCs w:val="24"/>
        </w:rPr>
        <w:t xml:space="preserve"> forskel i de anvendte råvarer, fremstillingsprocessen, fysisk-kemiske, biologiske og kliniske egenskaber. Dette betyder således også biokemiske forskelle og forskelle i dosering og muligvis også i klinisk effekt og sikkerhed. Det er derfor vigtigt at følge de specifikke anbefalinger for det enkelte produkt. </w:t>
      </w:r>
    </w:p>
    <w:p w:rsidR="00290DD8" w:rsidRPr="00290DD8" w:rsidRDefault="00290DD8" w:rsidP="00E90606">
      <w:pPr>
        <w:ind w:left="851"/>
        <w:rPr>
          <w:spacing w:val="-3"/>
          <w:szCs w:val="24"/>
          <w:u w:val="single"/>
        </w:rPr>
      </w:pPr>
    </w:p>
    <w:p w:rsidR="006F7907" w:rsidRDefault="006F7907" w:rsidP="006F7907">
      <w:pPr>
        <w:tabs>
          <w:tab w:val="left" w:pos="851"/>
        </w:tabs>
        <w:ind w:left="851"/>
        <w:rPr>
          <w:spacing w:val="-3"/>
          <w:u w:val="single"/>
        </w:rPr>
      </w:pPr>
      <w:r>
        <w:rPr>
          <w:spacing w:val="-3"/>
          <w:u w:val="single"/>
        </w:rPr>
        <w:t>Pædiatrisk population</w:t>
      </w:r>
    </w:p>
    <w:p w:rsidR="006F7907" w:rsidRDefault="006F7907" w:rsidP="006F7907">
      <w:pPr>
        <w:tabs>
          <w:tab w:val="left" w:pos="851"/>
        </w:tabs>
        <w:ind w:left="851"/>
        <w:rPr>
          <w:spacing w:val="-3"/>
        </w:rPr>
      </w:pPr>
      <w:proofErr w:type="spellStart"/>
      <w:r>
        <w:rPr>
          <w:spacing w:val="-3"/>
        </w:rPr>
        <w:t>Anti-Xa</w:t>
      </w:r>
      <w:proofErr w:type="spellEnd"/>
      <w:r>
        <w:rPr>
          <w:spacing w:val="-3"/>
        </w:rPr>
        <w:t xml:space="preserve"> niveauerne skal overvåges under indledning af behandlingen og efter enhver dosisjustering (se pkt. 4.2).</w:t>
      </w:r>
    </w:p>
    <w:p w:rsidR="006F7907" w:rsidRDefault="006F7907" w:rsidP="006F7907">
      <w:pPr>
        <w:tabs>
          <w:tab w:val="left" w:pos="851"/>
        </w:tabs>
        <w:ind w:left="851"/>
        <w:rPr>
          <w:spacing w:val="-3"/>
        </w:rPr>
      </w:pPr>
    </w:p>
    <w:p w:rsidR="006F7907" w:rsidRDefault="006F7907" w:rsidP="006F7907">
      <w:pPr>
        <w:tabs>
          <w:tab w:val="left" w:pos="851"/>
        </w:tabs>
        <w:ind w:left="851"/>
        <w:rPr>
          <w:spacing w:val="-3"/>
        </w:rPr>
      </w:pPr>
      <w:bookmarkStart w:id="4" w:name="_Hlk77842284"/>
      <w:r>
        <w:rPr>
          <w:spacing w:val="-3"/>
        </w:rPr>
        <w:t xml:space="preserve">Der er ingen data om børn med cerebral vene- og sinustrombose, der har en CNS-infektion. Risikoen for blødning skal evalueres omhyggeligt før og under behandling med </w:t>
      </w:r>
      <w:proofErr w:type="spellStart"/>
      <w:r>
        <w:rPr>
          <w:spacing w:val="-3"/>
        </w:rPr>
        <w:t>dalteparin</w:t>
      </w:r>
      <w:proofErr w:type="spellEnd"/>
      <w:r>
        <w:rPr>
          <w:spacing w:val="-3"/>
        </w:rPr>
        <w:t>.</w:t>
      </w:r>
      <w:bookmarkEnd w:id="4"/>
    </w:p>
    <w:p w:rsidR="006F7907" w:rsidRDefault="006F7907" w:rsidP="006F7907">
      <w:pPr>
        <w:tabs>
          <w:tab w:val="left" w:pos="851"/>
        </w:tabs>
        <w:ind w:left="851"/>
        <w:rPr>
          <w:spacing w:val="-3"/>
          <w:u w:val="single"/>
        </w:rPr>
      </w:pPr>
    </w:p>
    <w:p w:rsidR="006F7907" w:rsidRDefault="006F7907" w:rsidP="006F7907">
      <w:pPr>
        <w:tabs>
          <w:tab w:val="left" w:pos="851"/>
        </w:tabs>
        <w:ind w:left="851"/>
        <w:rPr>
          <w:spacing w:val="-3"/>
          <w:u w:val="single"/>
        </w:rPr>
      </w:pPr>
      <w:r>
        <w:rPr>
          <w:spacing w:val="-3"/>
          <w:u w:val="single"/>
        </w:rPr>
        <w:t>Brug hos ældre</w:t>
      </w:r>
    </w:p>
    <w:p w:rsidR="006F7907" w:rsidRDefault="006F7907" w:rsidP="006F7907">
      <w:pPr>
        <w:tabs>
          <w:tab w:val="left" w:pos="851"/>
        </w:tabs>
        <w:ind w:left="851"/>
        <w:rPr>
          <w:spacing w:val="-3"/>
        </w:rPr>
      </w:pPr>
      <w:r>
        <w:rPr>
          <w:spacing w:val="-3"/>
        </w:rPr>
        <w:t xml:space="preserve">Ældre patienter (især patienter </w:t>
      </w:r>
      <w:r>
        <w:rPr>
          <w:spacing w:val="-3"/>
          <w:u w:val="single"/>
        </w:rPr>
        <w:t>&gt;</w:t>
      </w:r>
      <w:r>
        <w:rPr>
          <w:spacing w:val="-3"/>
        </w:rPr>
        <w:t xml:space="preserve"> 80 år) kan have øget risiko for blødningskomplikationer inden for det terapeutiske behandlingsområde. Omhyggelig monitorering anbefales.</w:t>
      </w:r>
    </w:p>
    <w:p w:rsidR="006F7907" w:rsidRDefault="006F7907" w:rsidP="006F7907">
      <w:pPr>
        <w:tabs>
          <w:tab w:val="left" w:pos="851"/>
        </w:tabs>
        <w:ind w:left="851"/>
        <w:rPr>
          <w:spacing w:val="-3"/>
        </w:rPr>
      </w:pPr>
    </w:p>
    <w:p w:rsidR="006F7907" w:rsidRDefault="006F7907" w:rsidP="006F7907">
      <w:pPr>
        <w:tabs>
          <w:tab w:val="left" w:pos="851"/>
        </w:tabs>
        <w:ind w:left="851"/>
        <w:rPr>
          <w:spacing w:val="-3"/>
          <w:u w:val="single"/>
        </w:rPr>
      </w:pPr>
      <w:r>
        <w:rPr>
          <w:spacing w:val="-3"/>
          <w:u w:val="single"/>
        </w:rPr>
        <w:t>Allergiske reaktioner</w:t>
      </w:r>
    </w:p>
    <w:p w:rsidR="006F7907" w:rsidRDefault="006F7907" w:rsidP="006F7907">
      <w:pPr>
        <w:tabs>
          <w:tab w:val="left" w:pos="851"/>
        </w:tabs>
        <w:ind w:left="851"/>
        <w:rPr>
          <w:spacing w:val="-3"/>
        </w:rPr>
      </w:pPr>
      <w:r>
        <w:rPr>
          <w:spacing w:val="-3"/>
        </w:rPr>
        <w:t xml:space="preserve">Nålebeskytteren på fyldte injektionssprøjter med </w:t>
      </w:r>
      <w:proofErr w:type="spellStart"/>
      <w:r>
        <w:rPr>
          <w:spacing w:val="-3"/>
        </w:rPr>
        <w:t>Fragmin</w:t>
      </w:r>
      <w:proofErr w:type="spellEnd"/>
      <w:r>
        <w:rPr>
          <w:spacing w:val="-3"/>
        </w:rPr>
        <w:t xml:space="preserve"> kan indeholde latex (naturgummi), som kan medføre svære allergiske reaktioner hos personer med overfølsomhed over for latex.</w:t>
      </w:r>
    </w:p>
    <w:p w:rsidR="006F7907" w:rsidRDefault="006F7907" w:rsidP="006F7907">
      <w:pPr>
        <w:tabs>
          <w:tab w:val="left" w:pos="851"/>
        </w:tabs>
        <w:ind w:left="851"/>
        <w:rPr>
          <w:spacing w:val="-3"/>
        </w:rPr>
      </w:pPr>
    </w:p>
    <w:p w:rsidR="006F7907" w:rsidRDefault="006F7907" w:rsidP="006F7907">
      <w:pPr>
        <w:tabs>
          <w:tab w:val="left" w:pos="851"/>
        </w:tabs>
        <w:ind w:left="851"/>
        <w:rPr>
          <w:spacing w:val="-3"/>
          <w:u w:val="single"/>
        </w:rPr>
      </w:pPr>
      <w:r>
        <w:rPr>
          <w:spacing w:val="-3"/>
          <w:u w:val="single"/>
        </w:rPr>
        <w:t>Hjælpestoffer</w:t>
      </w:r>
    </w:p>
    <w:p w:rsidR="006F7907" w:rsidRDefault="006F7907" w:rsidP="006F7907">
      <w:pPr>
        <w:tabs>
          <w:tab w:val="left" w:pos="851"/>
        </w:tabs>
        <w:ind w:left="851"/>
        <w:rPr>
          <w:i/>
          <w:iCs/>
          <w:spacing w:val="-3"/>
        </w:rPr>
      </w:pPr>
      <w:r>
        <w:rPr>
          <w:i/>
          <w:iCs/>
          <w:spacing w:val="-3"/>
        </w:rPr>
        <w:t>Natrium</w:t>
      </w:r>
    </w:p>
    <w:p w:rsidR="006F7907" w:rsidRDefault="006F7907" w:rsidP="006F7907">
      <w:pPr>
        <w:tabs>
          <w:tab w:val="left" w:pos="851"/>
        </w:tabs>
        <w:ind w:left="851"/>
        <w:rPr>
          <w:spacing w:val="-3"/>
        </w:rPr>
      </w:pPr>
      <w:r>
        <w:rPr>
          <w:spacing w:val="-3"/>
        </w:rPr>
        <w:t>Dette lægemiddel indeholder mindre end 1 mmol (23 mg) natrium pr. dosis, dvs. det er i det væsentlige natriumfrit.</w:t>
      </w:r>
    </w:p>
    <w:p w:rsidR="006F7907" w:rsidRDefault="006F7907" w:rsidP="006F7907">
      <w:pPr>
        <w:tabs>
          <w:tab w:val="left" w:pos="851"/>
        </w:tabs>
        <w:ind w:left="851"/>
        <w:rPr>
          <w:spacing w:val="-3"/>
        </w:rPr>
      </w:pPr>
    </w:p>
    <w:p w:rsidR="006F7907" w:rsidRDefault="006F7907" w:rsidP="006F7907">
      <w:pPr>
        <w:tabs>
          <w:tab w:val="left" w:pos="851"/>
        </w:tabs>
        <w:ind w:left="851"/>
        <w:rPr>
          <w:spacing w:val="-3"/>
        </w:rPr>
      </w:pPr>
      <w:r>
        <w:rPr>
          <w:spacing w:val="-3"/>
        </w:rPr>
        <w:t>Dette lægemiddel kan fortyndes yderligere med natriumholdige opløsninger (se pkt. 4.2 og pkt. 6.6), og der skal tages højde for dette, for så vidt angår den totale mængde natrium fra alle kilder, som vil blive administreret til patienten.</w:t>
      </w:r>
    </w:p>
    <w:p w:rsidR="00290DD8" w:rsidRPr="00290DD8" w:rsidRDefault="00290DD8" w:rsidP="00E90606">
      <w:pPr>
        <w:tabs>
          <w:tab w:val="left" w:pos="0"/>
          <w:tab w:val="left" w:pos="851"/>
        </w:tabs>
        <w:rPr>
          <w:spacing w:val="-3"/>
        </w:rPr>
      </w:pPr>
    </w:p>
    <w:p w:rsidR="00290DD8" w:rsidRDefault="00290DD8" w:rsidP="00E90606">
      <w:pPr>
        <w:ind w:left="851" w:hanging="851"/>
        <w:rPr>
          <w:b/>
          <w:spacing w:val="-3"/>
        </w:rPr>
      </w:pPr>
      <w:r w:rsidRPr="00290DD8">
        <w:rPr>
          <w:b/>
          <w:spacing w:val="-3"/>
        </w:rPr>
        <w:t>4.5</w:t>
      </w:r>
      <w:r w:rsidRPr="00290DD8">
        <w:rPr>
          <w:b/>
          <w:spacing w:val="-3"/>
        </w:rPr>
        <w:tab/>
        <w:t>Interaktion med andre lægemidler og andre former for interaktion</w:t>
      </w:r>
    </w:p>
    <w:p w:rsidR="00290DD8" w:rsidRPr="00290DD8" w:rsidRDefault="00290DD8" w:rsidP="00E90606">
      <w:pPr>
        <w:ind w:left="851"/>
        <w:rPr>
          <w:b/>
          <w:spacing w:val="-3"/>
        </w:rPr>
      </w:pPr>
      <w:r w:rsidRPr="00290DD8">
        <w:rPr>
          <w:spacing w:val="-3"/>
          <w:szCs w:val="24"/>
        </w:rPr>
        <w:t xml:space="preserve">Samtidig indgift af medicin med virkning på </w:t>
      </w:r>
      <w:proofErr w:type="spellStart"/>
      <w:r w:rsidRPr="00290DD8">
        <w:rPr>
          <w:spacing w:val="-3"/>
          <w:szCs w:val="24"/>
        </w:rPr>
        <w:t>hæmostasen</w:t>
      </w:r>
      <w:proofErr w:type="spellEnd"/>
      <w:r w:rsidRPr="00290DD8">
        <w:rPr>
          <w:spacing w:val="-3"/>
          <w:szCs w:val="24"/>
        </w:rPr>
        <w:t xml:space="preserve">, som </w:t>
      </w:r>
      <w:r w:rsidR="00193B12">
        <w:rPr>
          <w:spacing w:val="-3"/>
          <w:szCs w:val="24"/>
        </w:rPr>
        <w:t>fx</w:t>
      </w:r>
      <w:r w:rsidRPr="00290DD8">
        <w:rPr>
          <w:spacing w:val="-3"/>
          <w:szCs w:val="24"/>
        </w:rPr>
        <w:t xml:space="preserve"> </w:t>
      </w:r>
      <w:proofErr w:type="spellStart"/>
      <w:r w:rsidRPr="00290DD8">
        <w:rPr>
          <w:spacing w:val="-3"/>
          <w:szCs w:val="24"/>
        </w:rPr>
        <w:t>trombolytika</w:t>
      </w:r>
      <w:proofErr w:type="spellEnd"/>
      <w:r w:rsidRPr="00290DD8">
        <w:rPr>
          <w:spacing w:val="-3"/>
          <w:szCs w:val="24"/>
        </w:rPr>
        <w:t xml:space="preserve">, andre </w:t>
      </w:r>
      <w:proofErr w:type="spellStart"/>
      <w:r w:rsidRPr="00290DD8">
        <w:rPr>
          <w:spacing w:val="-3"/>
          <w:szCs w:val="24"/>
        </w:rPr>
        <w:t>antikoagulantia</w:t>
      </w:r>
      <w:proofErr w:type="spellEnd"/>
      <w:r w:rsidRPr="00290DD8">
        <w:rPr>
          <w:spacing w:val="-3"/>
          <w:szCs w:val="24"/>
        </w:rPr>
        <w:t>, acetylsalicylsyre, NSAID,</w:t>
      </w:r>
      <w:r w:rsidRPr="00290DD8">
        <w:rPr>
          <w:szCs w:val="24"/>
        </w:rPr>
        <w:t xml:space="preserve"> </w:t>
      </w:r>
      <w:proofErr w:type="spellStart"/>
      <w:r w:rsidRPr="00290DD8">
        <w:rPr>
          <w:szCs w:val="24"/>
        </w:rPr>
        <w:t>glycoprotein</w:t>
      </w:r>
      <w:proofErr w:type="spellEnd"/>
      <w:r w:rsidRPr="00290DD8">
        <w:rPr>
          <w:szCs w:val="24"/>
        </w:rPr>
        <w:t xml:space="preserve"> (GP) </w:t>
      </w:r>
      <w:proofErr w:type="spellStart"/>
      <w:r w:rsidRPr="00290DD8">
        <w:rPr>
          <w:szCs w:val="24"/>
        </w:rPr>
        <w:t>IIb</w:t>
      </w:r>
      <w:proofErr w:type="spellEnd"/>
      <w:r w:rsidRPr="00290DD8">
        <w:rPr>
          <w:szCs w:val="24"/>
        </w:rPr>
        <w:t>/</w:t>
      </w:r>
      <w:proofErr w:type="spellStart"/>
      <w:r w:rsidRPr="00290DD8">
        <w:rPr>
          <w:szCs w:val="24"/>
        </w:rPr>
        <w:t>IIIa</w:t>
      </w:r>
      <w:proofErr w:type="spellEnd"/>
      <w:r w:rsidRPr="00290DD8">
        <w:rPr>
          <w:szCs w:val="24"/>
        </w:rPr>
        <w:t xml:space="preserve">-receptor-antagonister, </w:t>
      </w:r>
      <w:r w:rsidRPr="00290DD8">
        <w:rPr>
          <w:spacing w:val="-3"/>
          <w:szCs w:val="24"/>
        </w:rPr>
        <w:t xml:space="preserve">vitamin K-antagonister og Dextran kan forstærke den antikoagulerende virkning af </w:t>
      </w:r>
      <w:proofErr w:type="spellStart"/>
      <w:r w:rsidRPr="00290DD8">
        <w:rPr>
          <w:spacing w:val="-3"/>
          <w:szCs w:val="24"/>
        </w:rPr>
        <w:t>dalteparin</w:t>
      </w:r>
      <w:proofErr w:type="spellEnd"/>
      <w:r w:rsidRPr="00290DD8">
        <w:rPr>
          <w:spacing w:val="-3"/>
          <w:szCs w:val="24"/>
        </w:rPr>
        <w:t>.</w:t>
      </w:r>
    </w:p>
    <w:p w:rsidR="00290DD8" w:rsidRPr="00290DD8" w:rsidRDefault="00290DD8" w:rsidP="00E90606">
      <w:pPr>
        <w:keepNext/>
        <w:ind w:left="851"/>
        <w:rPr>
          <w:spacing w:val="-3"/>
          <w:szCs w:val="24"/>
        </w:rPr>
      </w:pPr>
    </w:p>
    <w:p w:rsidR="00290DD8" w:rsidRPr="00290DD8" w:rsidRDefault="00290DD8" w:rsidP="00E90606">
      <w:pPr>
        <w:ind w:left="851"/>
        <w:rPr>
          <w:spacing w:val="-3"/>
          <w:szCs w:val="24"/>
        </w:rPr>
      </w:pPr>
      <w:r w:rsidRPr="00290DD8">
        <w:rPr>
          <w:spacing w:val="-3"/>
          <w:szCs w:val="24"/>
        </w:rPr>
        <w:t>Da NSAID og acetylsalicylsyre (</w:t>
      </w:r>
      <w:proofErr w:type="spellStart"/>
      <w:r w:rsidRPr="00290DD8">
        <w:rPr>
          <w:spacing w:val="-3"/>
          <w:szCs w:val="24"/>
        </w:rPr>
        <w:t>analgestisk</w:t>
      </w:r>
      <w:proofErr w:type="spellEnd"/>
      <w:r w:rsidRPr="00290DD8">
        <w:rPr>
          <w:spacing w:val="-3"/>
          <w:szCs w:val="24"/>
        </w:rPr>
        <w:t xml:space="preserve"> og antiinflammatorisk) reducerer dannelsen af </w:t>
      </w:r>
      <w:proofErr w:type="spellStart"/>
      <w:r w:rsidRPr="00290DD8">
        <w:rPr>
          <w:spacing w:val="-3"/>
          <w:szCs w:val="24"/>
        </w:rPr>
        <w:t>vasodilaterende</w:t>
      </w:r>
      <w:proofErr w:type="spellEnd"/>
      <w:r w:rsidRPr="00290DD8">
        <w:rPr>
          <w:spacing w:val="-3"/>
          <w:szCs w:val="24"/>
        </w:rPr>
        <w:t xml:space="preserve"> </w:t>
      </w:r>
      <w:proofErr w:type="spellStart"/>
      <w:r w:rsidRPr="00290DD8">
        <w:rPr>
          <w:spacing w:val="-3"/>
          <w:szCs w:val="24"/>
        </w:rPr>
        <w:t>prostaglandiner</w:t>
      </w:r>
      <w:proofErr w:type="spellEnd"/>
      <w:r w:rsidRPr="00290DD8">
        <w:rPr>
          <w:spacing w:val="-3"/>
          <w:szCs w:val="24"/>
        </w:rPr>
        <w:t xml:space="preserve"> og derved reducerer </w:t>
      </w:r>
      <w:proofErr w:type="spellStart"/>
      <w:r w:rsidRPr="00290DD8">
        <w:rPr>
          <w:spacing w:val="-3"/>
          <w:szCs w:val="24"/>
        </w:rPr>
        <w:t>renal</w:t>
      </w:r>
      <w:proofErr w:type="spellEnd"/>
      <w:r w:rsidRPr="00290DD8">
        <w:rPr>
          <w:spacing w:val="-3"/>
          <w:szCs w:val="24"/>
        </w:rPr>
        <w:t xml:space="preserve"> blodgennemstrømning og </w:t>
      </w:r>
      <w:proofErr w:type="spellStart"/>
      <w:r w:rsidRPr="00290DD8">
        <w:rPr>
          <w:spacing w:val="-3"/>
          <w:szCs w:val="24"/>
        </w:rPr>
        <w:t>renal</w:t>
      </w:r>
      <w:proofErr w:type="spellEnd"/>
      <w:r w:rsidRPr="00290DD8">
        <w:rPr>
          <w:spacing w:val="-3"/>
          <w:szCs w:val="24"/>
        </w:rPr>
        <w:t xml:space="preserve"> </w:t>
      </w:r>
      <w:proofErr w:type="spellStart"/>
      <w:r w:rsidRPr="00290DD8">
        <w:rPr>
          <w:spacing w:val="-3"/>
          <w:szCs w:val="24"/>
        </w:rPr>
        <w:t>ekskretion</w:t>
      </w:r>
      <w:proofErr w:type="spellEnd"/>
      <w:r w:rsidRPr="00290DD8">
        <w:rPr>
          <w:spacing w:val="-3"/>
          <w:szCs w:val="24"/>
        </w:rPr>
        <w:t xml:space="preserve">, bør der udvises forsigtighed ved samtidig administration af </w:t>
      </w:r>
      <w:proofErr w:type="spellStart"/>
      <w:r w:rsidRPr="00290DD8">
        <w:rPr>
          <w:spacing w:val="-3"/>
          <w:szCs w:val="24"/>
        </w:rPr>
        <w:t>dalteparin</w:t>
      </w:r>
      <w:proofErr w:type="spellEnd"/>
      <w:r w:rsidRPr="00290DD8">
        <w:rPr>
          <w:spacing w:val="-3"/>
          <w:szCs w:val="24"/>
        </w:rPr>
        <w:t xml:space="preserve"> og NSAID eller højdosis acetylsalicylsyre til patienter med nyresvigt. </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Patienter med ustabil koronararteriesygdom, dvs. ustabil angina og non Q-tak myokardieinfarkt, bør dog have oral lavdosisacetylsalicylsyrebehandling, medmindre dette er specifikt kontraindiceret.</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Da der er set interaktion mellem </w:t>
      </w:r>
      <w:proofErr w:type="spellStart"/>
      <w:r w:rsidRPr="00290DD8">
        <w:rPr>
          <w:spacing w:val="-3"/>
          <w:szCs w:val="24"/>
        </w:rPr>
        <w:t>hepariner</w:t>
      </w:r>
      <w:proofErr w:type="spellEnd"/>
      <w:r w:rsidRPr="00290DD8">
        <w:rPr>
          <w:spacing w:val="-3"/>
          <w:szCs w:val="24"/>
        </w:rPr>
        <w:t xml:space="preserve"> og </w:t>
      </w:r>
      <w:proofErr w:type="spellStart"/>
      <w:r w:rsidRPr="00290DD8">
        <w:rPr>
          <w:spacing w:val="-3"/>
          <w:szCs w:val="24"/>
        </w:rPr>
        <w:t>i.v</w:t>
      </w:r>
      <w:proofErr w:type="spellEnd"/>
      <w:r w:rsidRPr="00290DD8">
        <w:rPr>
          <w:spacing w:val="-3"/>
          <w:szCs w:val="24"/>
        </w:rPr>
        <w:t xml:space="preserve">. nitroglycerin, højdosis penicillin, </w:t>
      </w:r>
      <w:proofErr w:type="spellStart"/>
      <w:r w:rsidRPr="00290DD8">
        <w:rPr>
          <w:spacing w:val="-3"/>
          <w:szCs w:val="24"/>
        </w:rPr>
        <w:t>sulfinpyrazon</w:t>
      </w:r>
      <w:proofErr w:type="spellEnd"/>
      <w:r w:rsidRPr="00290DD8">
        <w:rPr>
          <w:spacing w:val="-3"/>
          <w:szCs w:val="24"/>
        </w:rPr>
        <w:t xml:space="preserve">, </w:t>
      </w:r>
      <w:proofErr w:type="spellStart"/>
      <w:r w:rsidRPr="00290DD8">
        <w:rPr>
          <w:spacing w:val="-3"/>
          <w:szCs w:val="24"/>
        </w:rPr>
        <w:t>probenecid</w:t>
      </w:r>
      <w:proofErr w:type="spellEnd"/>
      <w:r w:rsidRPr="00290DD8">
        <w:rPr>
          <w:spacing w:val="-3"/>
          <w:szCs w:val="24"/>
        </w:rPr>
        <w:t xml:space="preserve">, </w:t>
      </w:r>
      <w:proofErr w:type="spellStart"/>
      <w:r w:rsidRPr="00290DD8">
        <w:rPr>
          <w:spacing w:val="-3"/>
          <w:szCs w:val="24"/>
        </w:rPr>
        <w:t>etacrinsyre</w:t>
      </w:r>
      <w:proofErr w:type="spellEnd"/>
      <w:r w:rsidRPr="00290DD8">
        <w:rPr>
          <w:spacing w:val="-3"/>
          <w:szCs w:val="24"/>
        </w:rPr>
        <w:t xml:space="preserve">, </w:t>
      </w:r>
      <w:proofErr w:type="spellStart"/>
      <w:r w:rsidRPr="00290DD8">
        <w:rPr>
          <w:spacing w:val="-3"/>
          <w:szCs w:val="24"/>
        </w:rPr>
        <w:t>cytostatika</w:t>
      </w:r>
      <w:proofErr w:type="spellEnd"/>
      <w:r w:rsidRPr="00290DD8">
        <w:rPr>
          <w:spacing w:val="-3"/>
          <w:szCs w:val="24"/>
        </w:rPr>
        <w:t xml:space="preserve">, kinin, antihistaminer, digitalis, </w:t>
      </w:r>
      <w:proofErr w:type="spellStart"/>
      <w:r w:rsidRPr="00290DD8">
        <w:rPr>
          <w:spacing w:val="-3"/>
          <w:szCs w:val="24"/>
        </w:rPr>
        <w:t>tetracycliner</w:t>
      </w:r>
      <w:proofErr w:type="spellEnd"/>
      <w:r w:rsidRPr="00290DD8">
        <w:rPr>
          <w:spacing w:val="-3"/>
          <w:szCs w:val="24"/>
        </w:rPr>
        <w:t>, tobaksrygning og askorbinsyre, kan in</w:t>
      </w:r>
      <w:r w:rsidR="002305D2">
        <w:rPr>
          <w:spacing w:val="-3"/>
          <w:szCs w:val="24"/>
        </w:rPr>
        <w:t xml:space="preserve">teraktion med </w:t>
      </w:r>
      <w:proofErr w:type="spellStart"/>
      <w:r w:rsidR="002305D2">
        <w:rPr>
          <w:spacing w:val="-3"/>
          <w:szCs w:val="24"/>
        </w:rPr>
        <w:t>dalteparin</w:t>
      </w:r>
      <w:proofErr w:type="spellEnd"/>
      <w:r w:rsidRPr="00290DD8">
        <w:rPr>
          <w:spacing w:val="-3"/>
          <w:szCs w:val="24"/>
        </w:rPr>
        <w:t xml:space="preserve"> derfor ikke udelukkes.</w:t>
      </w:r>
    </w:p>
    <w:p w:rsidR="00290DD8" w:rsidRPr="00290DD8" w:rsidRDefault="00290DD8" w:rsidP="00E90606">
      <w:pPr>
        <w:tabs>
          <w:tab w:val="left" w:pos="0"/>
          <w:tab w:val="left" w:pos="851"/>
        </w:tabs>
        <w:ind w:left="850" w:hanging="850"/>
        <w:rPr>
          <w:spacing w:val="-3"/>
        </w:rPr>
      </w:pPr>
    </w:p>
    <w:p w:rsidR="00290DD8" w:rsidRPr="00290DD8" w:rsidRDefault="00290DD8" w:rsidP="00E90606">
      <w:pPr>
        <w:ind w:left="851" w:hanging="851"/>
        <w:rPr>
          <w:b/>
          <w:spacing w:val="-3"/>
        </w:rPr>
      </w:pPr>
      <w:r w:rsidRPr="00290DD8">
        <w:rPr>
          <w:b/>
          <w:spacing w:val="-3"/>
        </w:rPr>
        <w:t>4.6</w:t>
      </w:r>
      <w:r w:rsidRPr="00290DD8">
        <w:rPr>
          <w:b/>
          <w:spacing w:val="-3"/>
        </w:rPr>
        <w:tab/>
        <w:t>Graviditet og amning</w:t>
      </w:r>
    </w:p>
    <w:p w:rsidR="00290DD8" w:rsidRPr="00290DD8" w:rsidRDefault="00290DD8" w:rsidP="00E90606">
      <w:pPr>
        <w:ind w:left="851"/>
        <w:rPr>
          <w:spacing w:val="-3"/>
          <w:szCs w:val="24"/>
        </w:rPr>
      </w:pPr>
    </w:p>
    <w:p w:rsidR="00290DD8" w:rsidRPr="0082276D" w:rsidRDefault="00D63A84" w:rsidP="00E90606">
      <w:pPr>
        <w:ind w:left="851"/>
        <w:rPr>
          <w:spacing w:val="-3"/>
          <w:szCs w:val="24"/>
          <w:u w:val="single"/>
        </w:rPr>
      </w:pPr>
      <w:r>
        <w:rPr>
          <w:spacing w:val="-3"/>
          <w:szCs w:val="24"/>
          <w:u w:val="single"/>
        </w:rPr>
        <w:t>Graviditet</w:t>
      </w:r>
    </w:p>
    <w:p w:rsidR="00290DD8" w:rsidRPr="00290DD8" w:rsidRDefault="00290DD8" w:rsidP="00E90606">
      <w:pPr>
        <w:ind w:left="851"/>
        <w:rPr>
          <w:spacing w:val="-3"/>
          <w:szCs w:val="24"/>
        </w:rPr>
      </w:pPr>
      <w:proofErr w:type="spellStart"/>
      <w:r w:rsidRPr="00290DD8">
        <w:rPr>
          <w:spacing w:val="-3"/>
          <w:szCs w:val="24"/>
        </w:rPr>
        <w:t>Dalteparin</w:t>
      </w:r>
      <w:proofErr w:type="spellEnd"/>
      <w:r w:rsidRPr="00290DD8">
        <w:rPr>
          <w:spacing w:val="-3"/>
          <w:szCs w:val="24"/>
        </w:rPr>
        <w:t xml:space="preserve"> passerer ikke placenta. Der er intet, der tyder på at behandling af moderen med lavmolekylær </w:t>
      </w:r>
      <w:proofErr w:type="spellStart"/>
      <w:r w:rsidRPr="00290DD8">
        <w:rPr>
          <w:spacing w:val="-3"/>
          <w:szCs w:val="24"/>
        </w:rPr>
        <w:t>heparin</w:t>
      </w:r>
      <w:proofErr w:type="spellEnd"/>
      <w:r w:rsidRPr="00290DD8">
        <w:rPr>
          <w:spacing w:val="-3"/>
          <w:szCs w:val="24"/>
        </w:rPr>
        <w:t xml:space="preserve"> medfører påvirkning af embryo eller foster. </w:t>
      </w:r>
      <w:proofErr w:type="spellStart"/>
      <w:r w:rsidRPr="00290DD8">
        <w:rPr>
          <w:spacing w:val="-3"/>
          <w:szCs w:val="24"/>
        </w:rPr>
        <w:t>Fragmin</w:t>
      </w:r>
      <w:proofErr w:type="spellEnd"/>
      <w:r w:rsidRPr="00290DD8">
        <w:rPr>
          <w:spacing w:val="-3"/>
          <w:szCs w:val="24"/>
        </w:rPr>
        <w:t xml:space="preserve"> kan anvendes til gravide</w:t>
      </w:r>
      <w:r w:rsidR="00C03AC3">
        <w:rPr>
          <w:spacing w:val="-3"/>
          <w:szCs w:val="24"/>
        </w:rPr>
        <w:t>,</w:t>
      </w:r>
      <w:r w:rsidRPr="00290DD8">
        <w:rPr>
          <w:spacing w:val="-3"/>
          <w:szCs w:val="24"/>
        </w:rPr>
        <w:t xml:space="preserve"> hvis indikeret. </w:t>
      </w:r>
    </w:p>
    <w:p w:rsidR="00290DD8" w:rsidRPr="00290DD8" w:rsidRDefault="00290DD8" w:rsidP="00E90606">
      <w:pPr>
        <w:ind w:left="851"/>
        <w:rPr>
          <w:spacing w:val="-3"/>
          <w:szCs w:val="24"/>
        </w:rPr>
      </w:pPr>
    </w:p>
    <w:p w:rsidR="00C03AC3" w:rsidRDefault="00290DD8" w:rsidP="00E90606">
      <w:pPr>
        <w:ind w:left="851"/>
        <w:rPr>
          <w:spacing w:val="-3"/>
          <w:szCs w:val="24"/>
        </w:rPr>
      </w:pPr>
      <w:r w:rsidRPr="00290DD8">
        <w:rPr>
          <w:spacing w:val="-3"/>
          <w:szCs w:val="24"/>
        </w:rPr>
        <w:t xml:space="preserve">Der er mere end 2000 publicerede kasuistikker (studier, kasuistik serier og rapporter) om administration af </w:t>
      </w:r>
      <w:proofErr w:type="spellStart"/>
      <w:r w:rsidRPr="00290DD8">
        <w:rPr>
          <w:spacing w:val="-3"/>
          <w:szCs w:val="24"/>
        </w:rPr>
        <w:t>dalteparin</w:t>
      </w:r>
      <w:proofErr w:type="spellEnd"/>
      <w:r w:rsidRPr="00290DD8">
        <w:rPr>
          <w:spacing w:val="-3"/>
          <w:szCs w:val="24"/>
        </w:rPr>
        <w:t xml:space="preserve"> under graviditet. Sammenlignet med </w:t>
      </w:r>
      <w:proofErr w:type="spellStart"/>
      <w:r w:rsidRPr="00290DD8">
        <w:rPr>
          <w:spacing w:val="-3"/>
          <w:szCs w:val="24"/>
        </w:rPr>
        <w:t>ufraktioneret</w:t>
      </w:r>
      <w:proofErr w:type="spellEnd"/>
      <w:r w:rsidRPr="00290DD8">
        <w:rPr>
          <w:spacing w:val="-3"/>
          <w:szCs w:val="24"/>
        </w:rPr>
        <w:t xml:space="preserve"> </w:t>
      </w:r>
      <w:proofErr w:type="spellStart"/>
      <w:r w:rsidRPr="00290DD8">
        <w:rPr>
          <w:spacing w:val="-3"/>
          <w:szCs w:val="24"/>
        </w:rPr>
        <w:t>heparin</w:t>
      </w:r>
      <w:proofErr w:type="spellEnd"/>
      <w:r w:rsidRPr="00290DD8">
        <w:rPr>
          <w:spacing w:val="-3"/>
          <w:szCs w:val="24"/>
        </w:rPr>
        <w:t xml:space="preserve"> ses der en lavere blødningstendens og nedsat risiko for </w:t>
      </w:r>
      <w:proofErr w:type="spellStart"/>
      <w:r w:rsidRPr="00290DD8">
        <w:rPr>
          <w:spacing w:val="-3"/>
          <w:szCs w:val="24"/>
        </w:rPr>
        <w:t>osteoporotiske</w:t>
      </w:r>
      <w:proofErr w:type="spellEnd"/>
      <w:r w:rsidRPr="00290DD8">
        <w:rPr>
          <w:spacing w:val="-3"/>
          <w:szCs w:val="24"/>
        </w:rPr>
        <w:t xml:space="preserve"> frakturer. Det største </w:t>
      </w:r>
      <w:proofErr w:type="spellStart"/>
      <w:r w:rsidRPr="00290DD8">
        <w:rPr>
          <w:spacing w:val="-3"/>
          <w:szCs w:val="24"/>
        </w:rPr>
        <w:t>prospektive</w:t>
      </w:r>
      <w:proofErr w:type="spellEnd"/>
      <w:r w:rsidRPr="00290DD8">
        <w:rPr>
          <w:spacing w:val="-3"/>
          <w:szCs w:val="24"/>
        </w:rPr>
        <w:t xml:space="preserve"> studie ”</w:t>
      </w:r>
      <w:r w:rsidRPr="00290DD8">
        <w:rPr>
          <w:sz w:val="22"/>
          <w:szCs w:val="22"/>
        </w:rPr>
        <w:t xml:space="preserve"> </w:t>
      </w:r>
      <w:proofErr w:type="spellStart"/>
      <w:r w:rsidRPr="00290DD8">
        <w:rPr>
          <w:spacing w:val="-3"/>
          <w:szCs w:val="24"/>
        </w:rPr>
        <w:t>Efficacy</w:t>
      </w:r>
      <w:proofErr w:type="spellEnd"/>
      <w:r w:rsidRPr="00290DD8">
        <w:rPr>
          <w:spacing w:val="-3"/>
          <w:szCs w:val="24"/>
        </w:rPr>
        <w:t xml:space="preserve"> of </w:t>
      </w:r>
      <w:proofErr w:type="spellStart"/>
      <w:r w:rsidRPr="00290DD8">
        <w:rPr>
          <w:spacing w:val="-3"/>
          <w:szCs w:val="24"/>
        </w:rPr>
        <w:t>Thromboprophylaxis</w:t>
      </w:r>
      <w:proofErr w:type="spellEnd"/>
      <w:r w:rsidRPr="00290DD8">
        <w:rPr>
          <w:spacing w:val="-3"/>
          <w:szCs w:val="24"/>
        </w:rPr>
        <w:t xml:space="preserve"> as an Intervention </w:t>
      </w:r>
      <w:proofErr w:type="spellStart"/>
      <w:r w:rsidRPr="00290DD8">
        <w:rPr>
          <w:spacing w:val="-3"/>
          <w:szCs w:val="24"/>
        </w:rPr>
        <w:t>during</w:t>
      </w:r>
      <w:proofErr w:type="spellEnd"/>
      <w:r w:rsidRPr="00290DD8">
        <w:rPr>
          <w:spacing w:val="-3"/>
          <w:szCs w:val="24"/>
        </w:rPr>
        <w:t xml:space="preserve"> </w:t>
      </w:r>
      <w:proofErr w:type="spellStart"/>
      <w:r w:rsidRPr="00290DD8">
        <w:rPr>
          <w:spacing w:val="-3"/>
          <w:szCs w:val="24"/>
        </w:rPr>
        <w:t>Gravidity</w:t>
      </w:r>
      <w:proofErr w:type="spellEnd"/>
      <w:r w:rsidRPr="00290DD8">
        <w:rPr>
          <w:spacing w:val="-3"/>
          <w:szCs w:val="24"/>
        </w:rPr>
        <w:t>“ (</w:t>
      </w:r>
      <w:proofErr w:type="spellStart"/>
      <w:r w:rsidRPr="00290DD8">
        <w:rPr>
          <w:spacing w:val="-3"/>
          <w:szCs w:val="24"/>
        </w:rPr>
        <w:t>EThIG</w:t>
      </w:r>
      <w:proofErr w:type="spellEnd"/>
      <w:r w:rsidRPr="00290DD8">
        <w:rPr>
          <w:spacing w:val="-3"/>
          <w:szCs w:val="24"/>
        </w:rPr>
        <w:t xml:space="preserve">), involverede 810 gravide kvinder og undersøgte graviditetsspecifik risikostratifikation (lav, høj, meget høj risiko for venøs </w:t>
      </w:r>
      <w:proofErr w:type="spellStart"/>
      <w:r w:rsidRPr="00290DD8">
        <w:rPr>
          <w:spacing w:val="-3"/>
          <w:szCs w:val="24"/>
        </w:rPr>
        <w:t>tromboembolisme</w:t>
      </w:r>
      <w:proofErr w:type="spellEnd"/>
      <w:r w:rsidRPr="00290DD8">
        <w:rPr>
          <w:spacing w:val="-3"/>
          <w:szCs w:val="24"/>
        </w:rPr>
        <w:t xml:space="preserve">) ved daglige doser af </w:t>
      </w:r>
      <w:proofErr w:type="spellStart"/>
      <w:r w:rsidRPr="00290DD8">
        <w:rPr>
          <w:spacing w:val="-3"/>
          <w:szCs w:val="24"/>
        </w:rPr>
        <w:t>dalteparin</w:t>
      </w:r>
      <w:proofErr w:type="spellEnd"/>
      <w:r w:rsidRPr="00290DD8">
        <w:rPr>
          <w:spacing w:val="-3"/>
          <w:szCs w:val="24"/>
        </w:rPr>
        <w:t xml:space="preserve"> på 50</w:t>
      </w:r>
      <w:r w:rsidRPr="00290DD8">
        <w:rPr>
          <w:spacing w:val="-3"/>
          <w:szCs w:val="24"/>
        </w:rPr>
        <w:noBreakHyphen/>
        <w:t>150 IE/kg legemsvægt (i enkelte studier op t</w:t>
      </w:r>
      <w:r w:rsidR="00C03AC3">
        <w:rPr>
          <w:spacing w:val="-3"/>
          <w:szCs w:val="24"/>
        </w:rPr>
        <w:t>il højst 200 IE/kg legemsvægt).</w:t>
      </w:r>
    </w:p>
    <w:p w:rsidR="00290DD8" w:rsidRPr="00290DD8" w:rsidRDefault="00290DD8" w:rsidP="00E90606">
      <w:pPr>
        <w:ind w:left="851"/>
        <w:rPr>
          <w:spacing w:val="-3"/>
          <w:szCs w:val="24"/>
        </w:rPr>
      </w:pPr>
      <w:r w:rsidRPr="00290DD8">
        <w:rPr>
          <w:spacing w:val="-3"/>
          <w:szCs w:val="24"/>
        </w:rPr>
        <w:t xml:space="preserve">Der er dog kun begrænsede randomiserede kontrollerede studier om brug af lavmolekylære </w:t>
      </w:r>
      <w:proofErr w:type="spellStart"/>
      <w:r w:rsidRPr="00290DD8">
        <w:rPr>
          <w:spacing w:val="-3"/>
          <w:szCs w:val="24"/>
        </w:rPr>
        <w:t>hepariner</w:t>
      </w:r>
      <w:proofErr w:type="spellEnd"/>
      <w:r w:rsidRPr="00290DD8">
        <w:rPr>
          <w:spacing w:val="-3"/>
          <w:szCs w:val="24"/>
        </w:rPr>
        <w:t xml:space="preserve"> hos gravide tilgængelige.</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Dyreforsøg har ikke vist </w:t>
      </w:r>
      <w:proofErr w:type="spellStart"/>
      <w:r w:rsidRPr="00290DD8">
        <w:rPr>
          <w:spacing w:val="-3"/>
          <w:szCs w:val="24"/>
        </w:rPr>
        <w:t>teratogene</w:t>
      </w:r>
      <w:proofErr w:type="spellEnd"/>
      <w:r w:rsidRPr="00290DD8">
        <w:rPr>
          <w:spacing w:val="-3"/>
          <w:szCs w:val="24"/>
        </w:rPr>
        <w:t xml:space="preserve">- eller </w:t>
      </w:r>
      <w:proofErr w:type="spellStart"/>
      <w:r w:rsidRPr="00290DD8">
        <w:rPr>
          <w:spacing w:val="-3"/>
          <w:szCs w:val="24"/>
        </w:rPr>
        <w:t>føtotoksiske</w:t>
      </w:r>
      <w:proofErr w:type="spellEnd"/>
      <w:r w:rsidRPr="00290DD8">
        <w:rPr>
          <w:spacing w:val="-3"/>
          <w:szCs w:val="24"/>
        </w:rPr>
        <w:t xml:space="preserve"> egenskaber ved </w:t>
      </w:r>
      <w:proofErr w:type="spellStart"/>
      <w:r w:rsidRPr="00290DD8">
        <w:rPr>
          <w:spacing w:val="-3"/>
          <w:szCs w:val="24"/>
        </w:rPr>
        <w:t>dalteparin</w:t>
      </w:r>
      <w:proofErr w:type="spellEnd"/>
      <w:r w:rsidRPr="00290DD8">
        <w:rPr>
          <w:spacing w:val="-3"/>
          <w:szCs w:val="24"/>
        </w:rPr>
        <w:t xml:space="preserve"> (se pkt. 5.3).</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proofErr w:type="spellStart"/>
      <w:r w:rsidRPr="00290DD8">
        <w:rPr>
          <w:spacing w:val="-3"/>
          <w:szCs w:val="24"/>
        </w:rPr>
        <w:t>Epidural</w:t>
      </w:r>
      <w:proofErr w:type="spellEnd"/>
      <w:r w:rsidRPr="00290DD8">
        <w:rPr>
          <w:spacing w:val="-3"/>
          <w:szCs w:val="24"/>
        </w:rPr>
        <w:t xml:space="preserve"> anæstesi er absolut kontraindiceret under fødsel, hos mødre i behandling med højdosis </w:t>
      </w:r>
      <w:proofErr w:type="spellStart"/>
      <w:r w:rsidRPr="00290DD8">
        <w:rPr>
          <w:spacing w:val="-3"/>
          <w:szCs w:val="24"/>
        </w:rPr>
        <w:t>antikoagulantia</w:t>
      </w:r>
      <w:proofErr w:type="spellEnd"/>
      <w:r w:rsidRPr="00290DD8">
        <w:rPr>
          <w:spacing w:val="-3"/>
          <w:szCs w:val="24"/>
        </w:rPr>
        <w:t xml:space="preserve"> (se pkt. 4.3). Særlig forsigtighed anbefales ved behandling af patienter med øget risiko for blødning, som fx </w:t>
      </w:r>
      <w:proofErr w:type="spellStart"/>
      <w:r w:rsidRPr="00290DD8">
        <w:rPr>
          <w:spacing w:val="-3"/>
          <w:szCs w:val="24"/>
        </w:rPr>
        <w:t>perinatale</w:t>
      </w:r>
      <w:proofErr w:type="spellEnd"/>
      <w:r w:rsidRPr="00290DD8">
        <w:rPr>
          <w:spacing w:val="-3"/>
          <w:szCs w:val="24"/>
        </w:rPr>
        <w:t xml:space="preserve"> kvinder (se pkt. 4.4). Der er målt </w:t>
      </w:r>
      <w:proofErr w:type="spellStart"/>
      <w:r w:rsidRPr="00290DD8">
        <w:rPr>
          <w:spacing w:val="-3"/>
          <w:szCs w:val="24"/>
        </w:rPr>
        <w:t>dalteparin</w:t>
      </w:r>
      <w:proofErr w:type="spellEnd"/>
      <w:r w:rsidRPr="00290DD8">
        <w:rPr>
          <w:spacing w:val="-3"/>
          <w:szCs w:val="24"/>
        </w:rPr>
        <w:t>-halveringstider på 4-5 timer hos kvinder i 3. trimester.</w:t>
      </w:r>
    </w:p>
    <w:p w:rsidR="00290DD8" w:rsidRPr="00290DD8" w:rsidRDefault="00290DD8" w:rsidP="00E90606">
      <w:pPr>
        <w:ind w:left="851"/>
        <w:rPr>
          <w:spacing w:val="-3"/>
          <w:szCs w:val="24"/>
        </w:rPr>
      </w:pPr>
    </w:p>
    <w:p w:rsidR="00290DD8" w:rsidRPr="00290DD8" w:rsidRDefault="00290DD8" w:rsidP="00E90606">
      <w:pPr>
        <w:ind w:left="851"/>
        <w:rPr>
          <w:spacing w:val="-3"/>
          <w:szCs w:val="24"/>
        </w:rPr>
      </w:pPr>
      <w:r w:rsidRPr="00290DD8">
        <w:rPr>
          <w:spacing w:val="-3"/>
          <w:szCs w:val="24"/>
        </w:rPr>
        <w:t xml:space="preserve">Der er set behandlingssvigt hos gravide kvinder med kunstige hjerteklapper ved fuld </w:t>
      </w:r>
      <w:proofErr w:type="spellStart"/>
      <w:r w:rsidRPr="00290DD8">
        <w:rPr>
          <w:spacing w:val="-3"/>
          <w:szCs w:val="24"/>
        </w:rPr>
        <w:t>antikoagulans</w:t>
      </w:r>
      <w:proofErr w:type="spellEnd"/>
      <w:r w:rsidRPr="00290DD8">
        <w:rPr>
          <w:spacing w:val="-3"/>
          <w:szCs w:val="24"/>
        </w:rPr>
        <w:t xml:space="preserve">-dosis af lavmolekylær </w:t>
      </w:r>
      <w:proofErr w:type="spellStart"/>
      <w:r w:rsidRPr="00290DD8">
        <w:rPr>
          <w:spacing w:val="-3"/>
          <w:szCs w:val="24"/>
        </w:rPr>
        <w:t>heparin</w:t>
      </w:r>
      <w:proofErr w:type="spellEnd"/>
      <w:r w:rsidRPr="00290DD8">
        <w:rPr>
          <w:spacing w:val="-3"/>
          <w:szCs w:val="24"/>
        </w:rPr>
        <w:t xml:space="preserve">. Der er ikke tilstrækkelige studier vedrørende brug af </w:t>
      </w:r>
      <w:proofErr w:type="spellStart"/>
      <w:r w:rsidRPr="00290DD8">
        <w:rPr>
          <w:spacing w:val="-3"/>
          <w:szCs w:val="24"/>
        </w:rPr>
        <w:t>Fragmin</w:t>
      </w:r>
      <w:proofErr w:type="spellEnd"/>
      <w:r w:rsidRPr="00290DD8">
        <w:rPr>
          <w:spacing w:val="-3"/>
          <w:szCs w:val="24"/>
        </w:rPr>
        <w:t xml:space="preserve"> hos gravide med kunstige hjerteklapper. </w:t>
      </w:r>
    </w:p>
    <w:p w:rsidR="00290DD8" w:rsidRPr="00290DD8" w:rsidRDefault="00290DD8" w:rsidP="00E90606">
      <w:pPr>
        <w:ind w:left="851"/>
        <w:rPr>
          <w:spacing w:val="-3"/>
          <w:szCs w:val="24"/>
        </w:rPr>
      </w:pPr>
    </w:p>
    <w:p w:rsidR="00290DD8" w:rsidRPr="00345609" w:rsidRDefault="00D63A84" w:rsidP="00E90606">
      <w:pPr>
        <w:ind w:left="851"/>
        <w:rPr>
          <w:spacing w:val="-3"/>
          <w:szCs w:val="24"/>
          <w:u w:val="single"/>
        </w:rPr>
      </w:pPr>
      <w:r w:rsidRPr="00345609">
        <w:rPr>
          <w:spacing w:val="-3"/>
          <w:szCs w:val="24"/>
          <w:u w:val="single"/>
        </w:rPr>
        <w:t>Amning</w:t>
      </w:r>
    </w:p>
    <w:p w:rsidR="00345609" w:rsidRDefault="00290DD8" w:rsidP="00E90606">
      <w:pPr>
        <w:tabs>
          <w:tab w:val="left" w:pos="0"/>
          <w:tab w:val="left" w:pos="851"/>
        </w:tabs>
        <w:ind w:left="851"/>
        <w:rPr>
          <w:spacing w:val="-3"/>
          <w:szCs w:val="24"/>
        </w:rPr>
      </w:pPr>
      <w:r w:rsidRPr="00290DD8">
        <w:rPr>
          <w:spacing w:val="-3"/>
          <w:szCs w:val="24"/>
        </w:rPr>
        <w:t>Der foreligger kun begrænsede data om udskille</w:t>
      </w:r>
      <w:r w:rsidR="00345609">
        <w:rPr>
          <w:spacing w:val="-3"/>
          <w:szCs w:val="24"/>
        </w:rPr>
        <w:t xml:space="preserve">lsen af </w:t>
      </w:r>
      <w:proofErr w:type="spellStart"/>
      <w:r w:rsidR="00345609">
        <w:rPr>
          <w:spacing w:val="-3"/>
          <w:szCs w:val="24"/>
        </w:rPr>
        <w:t>dalteparin</w:t>
      </w:r>
      <w:proofErr w:type="spellEnd"/>
      <w:r w:rsidR="00345609">
        <w:rPr>
          <w:spacing w:val="-3"/>
          <w:szCs w:val="24"/>
        </w:rPr>
        <w:t xml:space="preserve"> i modermælk.</w:t>
      </w:r>
    </w:p>
    <w:p w:rsidR="00345609" w:rsidRDefault="00290DD8" w:rsidP="00E90606">
      <w:pPr>
        <w:tabs>
          <w:tab w:val="left" w:pos="0"/>
          <w:tab w:val="left" w:pos="851"/>
        </w:tabs>
        <w:ind w:left="851"/>
        <w:rPr>
          <w:spacing w:val="-3"/>
          <w:szCs w:val="24"/>
        </w:rPr>
      </w:pPr>
      <w:r w:rsidRPr="00290DD8">
        <w:rPr>
          <w:spacing w:val="-3"/>
          <w:szCs w:val="24"/>
        </w:rPr>
        <w:t xml:space="preserve">Små mængder af </w:t>
      </w:r>
      <w:proofErr w:type="spellStart"/>
      <w:r w:rsidRPr="00290DD8">
        <w:rPr>
          <w:spacing w:val="-3"/>
          <w:szCs w:val="24"/>
        </w:rPr>
        <w:t>dalteparinnatrium</w:t>
      </w:r>
      <w:proofErr w:type="spellEnd"/>
      <w:r w:rsidRPr="00290DD8">
        <w:rPr>
          <w:spacing w:val="-3"/>
          <w:szCs w:val="24"/>
        </w:rPr>
        <w:t xml:space="preserve"> passerer over i modermælk.</w:t>
      </w:r>
    </w:p>
    <w:p w:rsidR="00290DD8" w:rsidRPr="00290DD8" w:rsidRDefault="00290DD8" w:rsidP="00E90606">
      <w:pPr>
        <w:tabs>
          <w:tab w:val="left" w:pos="0"/>
          <w:tab w:val="left" w:pos="851"/>
        </w:tabs>
        <w:ind w:left="851"/>
        <w:rPr>
          <w:spacing w:val="-3"/>
          <w:szCs w:val="24"/>
        </w:rPr>
      </w:pPr>
      <w:r w:rsidRPr="00290DD8">
        <w:rPr>
          <w:spacing w:val="-3"/>
          <w:szCs w:val="24"/>
        </w:rPr>
        <w:t xml:space="preserve">Forsøg har vist </w:t>
      </w:r>
      <w:proofErr w:type="spellStart"/>
      <w:r w:rsidRPr="00290DD8">
        <w:rPr>
          <w:spacing w:val="-3"/>
          <w:szCs w:val="24"/>
        </w:rPr>
        <w:t>anti-Xa</w:t>
      </w:r>
      <w:proofErr w:type="spellEnd"/>
      <w:r w:rsidRPr="00290DD8">
        <w:rPr>
          <w:spacing w:val="-3"/>
          <w:szCs w:val="24"/>
        </w:rPr>
        <w:t xml:space="preserve"> niveauer på 2-8</w:t>
      </w:r>
      <w:r w:rsidR="00345609">
        <w:rPr>
          <w:spacing w:val="-3"/>
          <w:szCs w:val="24"/>
        </w:rPr>
        <w:t xml:space="preserve"> </w:t>
      </w:r>
      <w:r w:rsidRPr="00290DD8">
        <w:rPr>
          <w:spacing w:val="-3"/>
          <w:szCs w:val="24"/>
        </w:rPr>
        <w:t xml:space="preserve">% af plasmakoncentrationen i modermælk (15 kvinder, 3.-5. amningsdag, 2-3 timer efter </w:t>
      </w:r>
      <w:proofErr w:type="spellStart"/>
      <w:r w:rsidRPr="00290DD8">
        <w:rPr>
          <w:spacing w:val="-3"/>
          <w:szCs w:val="24"/>
        </w:rPr>
        <w:t>s.c</w:t>
      </w:r>
      <w:proofErr w:type="spellEnd"/>
      <w:r w:rsidRPr="00290DD8">
        <w:rPr>
          <w:spacing w:val="-3"/>
          <w:szCs w:val="24"/>
        </w:rPr>
        <w:t xml:space="preserve">. administration af </w:t>
      </w:r>
      <w:proofErr w:type="spellStart"/>
      <w:r w:rsidRPr="00290DD8">
        <w:rPr>
          <w:spacing w:val="-3"/>
          <w:szCs w:val="24"/>
        </w:rPr>
        <w:t>dalteparin</w:t>
      </w:r>
      <w:proofErr w:type="spellEnd"/>
      <w:r w:rsidRPr="00290DD8">
        <w:rPr>
          <w:spacing w:val="-3"/>
          <w:szCs w:val="24"/>
        </w:rPr>
        <w:t xml:space="preserve">). Den orale absorption af lavmolekylære </w:t>
      </w:r>
      <w:proofErr w:type="spellStart"/>
      <w:r w:rsidRPr="00290DD8">
        <w:rPr>
          <w:spacing w:val="-3"/>
          <w:szCs w:val="24"/>
        </w:rPr>
        <w:t>hepariner</w:t>
      </w:r>
      <w:proofErr w:type="spellEnd"/>
      <w:r w:rsidRPr="00290DD8">
        <w:rPr>
          <w:spacing w:val="-3"/>
          <w:szCs w:val="24"/>
        </w:rPr>
        <w:t xml:space="preserve"> er yderst lav, men hvorvidt dette er af klinisk betydning vides ikke.</w:t>
      </w:r>
    </w:p>
    <w:p w:rsidR="00290DD8" w:rsidRPr="00290DD8" w:rsidRDefault="00290DD8" w:rsidP="00E90606">
      <w:pPr>
        <w:tabs>
          <w:tab w:val="left" w:pos="0"/>
          <w:tab w:val="left" w:pos="851"/>
        </w:tabs>
        <w:ind w:left="851"/>
        <w:rPr>
          <w:spacing w:val="-3"/>
          <w:szCs w:val="24"/>
        </w:rPr>
      </w:pPr>
    </w:p>
    <w:p w:rsidR="00290DD8" w:rsidRDefault="00290DD8" w:rsidP="00E90606">
      <w:pPr>
        <w:tabs>
          <w:tab w:val="left" w:pos="0"/>
          <w:tab w:val="left" w:pos="851"/>
        </w:tabs>
        <w:ind w:left="851"/>
        <w:rPr>
          <w:spacing w:val="-3"/>
          <w:szCs w:val="24"/>
        </w:rPr>
      </w:pPr>
      <w:r w:rsidRPr="00290DD8">
        <w:rPr>
          <w:spacing w:val="-3"/>
          <w:szCs w:val="24"/>
        </w:rPr>
        <w:t xml:space="preserve">Antikoagulerende effekt hos det ammede barn er ikke sandsynlig, men </w:t>
      </w:r>
      <w:proofErr w:type="spellStart"/>
      <w:r w:rsidRPr="00290DD8">
        <w:rPr>
          <w:spacing w:val="-3"/>
          <w:szCs w:val="24"/>
        </w:rPr>
        <w:t>dalteparin</w:t>
      </w:r>
      <w:proofErr w:type="spellEnd"/>
      <w:r w:rsidRPr="00290DD8">
        <w:rPr>
          <w:spacing w:val="-3"/>
          <w:szCs w:val="24"/>
        </w:rPr>
        <w:t xml:space="preserve"> bør kun anvendes til ammende kvinder på tvingende indikation.</w:t>
      </w:r>
    </w:p>
    <w:p w:rsidR="00E371D9" w:rsidRDefault="00E371D9" w:rsidP="00E90606">
      <w:pPr>
        <w:tabs>
          <w:tab w:val="left" w:pos="0"/>
          <w:tab w:val="left" w:pos="851"/>
        </w:tabs>
        <w:ind w:left="851"/>
        <w:rPr>
          <w:spacing w:val="-3"/>
          <w:szCs w:val="24"/>
        </w:rPr>
      </w:pPr>
    </w:p>
    <w:p w:rsidR="00E371D9" w:rsidRPr="0082276D" w:rsidRDefault="00E371D9" w:rsidP="00E371D9">
      <w:pPr>
        <w:ind w:left="851"/>
        <w:rPr>
          <w:spacing w:val="-3"/>
          <w:szCs w:val="24"/>
          <w:u w:val="single"/>
        </w:rPr>
      </w:pPr>
      <w:r w:rsidRPr="0082276D">
        <w:rPr>
          <w:spacing w:val="-3"/>
          <w:szCs w:val="24"/>
          <w:u w:val="single"/>
        </w:rPr>
        <w:t>Fertilitet</w:t>
      </w:r>
    </w:p>
    <w:p w:rsidR="00E371D9" w:rsidRPr="00290DD8" w:rsidRDefault="00E371D9" w:rsidP="00E371D9">
      <w:pPr>
        <w:ind w:left="851"/>
        <w:rPr>
          <w:spacing w:val="-3"/>
          <w:szCs w:val="24"/>
        </w:rPr>
      </w:pPr>
      <w:r w:rsidRPr="00290DD8">
        <w:rPr>
          <w:spacing w:val="-3"/>
          <w:szCs w:val="24"/>
        </w:rPr>
        <w:t xml:space="preserve">Baseret på nuværende tilgængelige data er der intet der tyder på, at </w:t>
      </w:r>
      <w:proofErr w:type="spellStart"/>
      <w:r w:rsidRPr="00290DD8">
        <w:rPr>
          <w:spacing w:val="-3"/>
          <w:szCs w:val="24"/>
        </w:rPr>
        <w:t>dalteparin</w:t>
      </w:r>
      <w:proofErr w:type="spellEnd"/>
      <w:r w:rsidRPr="00290DD8">
        <w:rPr>
          <w:spacing w:val="-3"/>
          <w:szCs w:val="24"/>
        </w:rPr>
        <w:t xml:space="preserve"> påvirker fertiliteten. Der er ikke set påvirkning af fertilitet, kopulation eller peri- og </w:t>
      </w:r>
      <w:proofErr w:type="spellStart"/>
      <w:r w:rsidRPr="00290DD8">
        <w:rPr>
          <w:spacing w:val="-3"/>
          <w:szCs w:val="24"/>
        </w:rPr>
        <w:t>postnatal</w:t>
      </w:r>
      <w:proofErr w:type="spellEnd"/>
      <w:r w:rsidRPr="00290DD8">
        <w:rPr>
          <w:spacing w:val="-3"/>
          <w:szCs w:val="24"/>
        </w:rPr>
        <w:t xml:space="preserve"> udvikling, når </w:t>
      </w:r>
      <w:proofErr w:type="spellStart"/>
      <w:r w:rsidRPr="00290DD8">
        <w:rPr>
          <w:spacing w:val="-3"/>
          <w:szCs w:val="24"/>
        </w:rPr>
        <w:t>dalteparin</w:t>
      </w:r>
      <w:proofErr w:type="spellEnd"/>
      <w:r w:rsidRPr="00290DD8">
        <w:rPr>
          <w:spacing w:val="-3"/>
          <w:szCs w:val="24"/>
        </w:rPr>
        <w:t xml:space="preserve"> blev testet på dyr.</w:t>
      </w:r>
    </w:p>
    <w:p w:rsidR="00290DD8" w:rsidRPr="00290DD8" w:rsidRDefault="00290DD8" w:rsidP="00E90606">
      <w:pPr>
        <w:tabs>
          <w:tab w:val="left" w:pos="0"/>
          <w:tab w:val="left" w:pos="851"/>
        </w:tabs>
        <w:rPr>
          <w:spacing w:val="-3"/>
        </w:rPr>
      </w:pPr>
    </w:p>
    <w:p w:rsidR="00290DD8" w:rsidRPr="00290DD8" w:rsidRDefault="00290DD8" w:rsidP="00E90606">
      <w:pPr>
        <w:ind w:left="851" w:hanging="851"/>
        <w:rPr>
          <w:b/>
          <w:spacing w:val="-3"/>
        </w:rPr>
      </w:pPr>
      <w:r>
        <w:rPr>
          <w:b/>
          <w:spacing w:val="-3"/>
        </w:rPr>
        <w:t>4.</w:t>
      </w:r>
      <w:r w:rsidRPr="00290DD8">
        <w:rPr>
          <w:b/>
          <w:spacing w:val="-3"/>
        </w:rPr>
        <w:t>7</w:t>
      </w:r>
      <w:r w:rsidRPr="00290DD8">
        <w:rPr>
          <w:b/>
          <w:spacing w:val="-3"/>
        </w:rPr>
        <w:tab/>
        <w:t>Virkninger på evnen til at føre motorkøretøj og betjene maskiner</w:t>
      </w:r>
    </w:p>
    <w:p w:rsidR="00290DD8" w:rsidRPr="00290DD8" w:rsidRDefault="00290DD8" w:rsidP="00E90606">
      <w:pPr>
        <w:ind w:left="851"/>
        <w:rPr>
          <w:spacing w:val="-3"/>
          <w:szCs w:val="24"/>
        </w:rPr>
      </w:pPr>
      <w:r w:rsidRPr="00290DD8">
        <w:rPr>
          <w:spacing w:val="-3"/>
          <w:szCs w:val="24"/>
        </w:rPr>
        <w:t xml:space="preserve">Ikke mærkning. </w:t>
      </w:r>
    </w:p>
    <w:p w:rsidR="00290DD8" w:rsidRPr="00290DD8" w:rsidRDefault="00290DD8" w:rsidP="00E90606">
      <w:pPr>
        <w:ind w:left="851"/>
        <w:rPr>
          <w:spacing w:val="-3"/>
          <w:szCs w:val="24"/>
        </w:rPr>
      </w:pPr>
      <w:proofErr w:type="spellStart"/>
      <w:r w:rsidRPr="00290DD8">
        <w:rPr>
          <w:spacing w:val="-3"/>
          <w:szCs w:val="24"/>
        </w:rPr>
        <w:t>Fragmin</w:t>
      </w:r>
      <w:proofErr w:type="spellEnd"/>
      <w:r w:rsidRPr="00290DD8">
        <w:rPr>
          <w:spacing w:val="-3"/>
          <w:szCs w:val="24"/>
        </w:rPr>
        <w:t xml:space="preserve"> påvirker ikke evnen til at føre motorkøretøj eller betjene maskiner. </w:t>
      </w:r>
    </w:p>
    <w:p w:rsidR="00290DD8" w:rsidRPr="00290DD8" w:rsidRDefault="00290DD8" w:rsidP="00E90606">
      <w:pPr>
        <w:tabs>
          <w:tab w:val="left" w:pos="0"/>
          <w:tab w:val="left" w:pos="851"/>
        </w:tabs>
        <w:ind w:left="850" w:hanging="850"/>
        <w:rPr>
          <w:spacing w:val="-3"/>
        </w:rPr>
      </w:pPr>
    </w:p>
    <w:p w:rsidR="00290DD8" w:rsidRPr="00290DD8" w:rsidRDefault="00290DD8" w:rsidP="00E90606">
      <w:pPr>
        <w:numPr>
          <w:ilvl w:val="1"/>
          <w:numId w:val="22"/>
        </w:numPr>
        <w:tabs>
          <w:tab w:val="clear" w:pos="855"/>
          <w:tab w:val="left" w:pos="851"/>
        </w:tabs>
        <w:rPr>
          <w:b/>
          <w:spacing w:val="-3"/>
        </w:rPr>
      </w:pPr>
      <w:r w:rsidRPr="00290DD8">
        <w:rPr>
          <w:b/>
          <w:spacing w:val="-3"/>
        </w:rPr>
        <w:t>Bivirkninger</w:t>
      </w:r>
    </w:p>
    <w:p w:rsidR="00290DD8" w:rsidRPr="00290DD8" w:rsidRDefault="00290DD8" w:rsidP="00E90606">
      <w:pPr>
        <w:ind w:left="855"/>
        <w:rPr>
          <w:b/>
          <w:spacing w:val="-3"/>
        </w:rPr>
      </w:pPr>
      <w:r w:rsidRPr="00290DD8">
        <w:rPr>
          <w:szCs w:val="24"/>
        </w:rPr>
        <w:t xml:space="preserve">Omkring 3 % af patienterne, der havde været i profylaktisk behandling med </w:t>
      </w:r>
      <w:proofErr w:type="spellStart"/>
      <w:r w:rsidRPr="00290DD8">
        <w:rPr>
          <w:szCs w:val="24"/>
        </w:rPr>
        <w:t>dalteparin</w:t>
      </w:r>
      <w:proofErr w:type="spellEnd"/>
      <w:r w:rsidRPr="00290DD8">
        <w:rPr>
          <w:szCs w:val="24"/>
        </w:rPr>
        <w:t>, rapporterede bivirkninger.</w:t>
      </w:r>
    </w:p>
    <w:p w:rsidR="00290DD8" w:rsidRPr="00290DD8" w:rsidRDefault="00290DD8" w:rsidP="00E90606">
      <w:pPr>
        <w:rPr>
          <w:b/>
          <w:szCs w:val="24"/>
        </w:rPr>
      </w:pPr>
      <w:r w:rsidRPr="00290DD8">
        <w:rPr>
          <w:spacing w:val="-3"/>
        </w:rPr>
        <w:tab/>
      </w:r>
    </w:p>
    <w:tbl>
      <w:tblPr>
        <w:tblW w:w="880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4"/>
        <w:gridCol w:w="4404"/>
      </w:tblGrid>
      <w:tr w:rsidR="00290DD8" w:rsidRPr="00290DD8" w:rsidTr="004E6440">
        <w:trPr>
          <w:trHeight w:val="533"/>
        </w:trPr>
        <w:tc>
          <w:tcPr>
            <w:tcW w:w="4404" w:type="dxa"/>
          </w:tcPr>
          <w:p w:rsidR="00290DD8" w:rsidRPr="00290DD8" w:rsidRDefault="00290DD8" w:rsidP="00E90606">
            <w:pPr>
              <w:rPr>
                <w:b/>
                <w:szCs w:val="24"/>
              </w:rPr>
            </w:pPr>
            <w:r w:rsidRPr="00290DD8">
              <w:rPr>
                <w:b/>
                <w:szCs w:val="24"/>
              </w:rPr>
              <w:t xml:space="preserve">Blod og lymfesystem  </w:t>
            </w:r>
          </w:p>
          <w:p w:rsidR="00290DD8" w:rsidRPr="00290DD8" w:rsidRDefault="00290DD8" w:rsidP="00E90606">
            <w:pPr>
              <w:ind w:left="850" w:hanging="850"/>
              <w:rPr>
                <w:spacing w:val="-3"/>
                <w:szCs w:val="24"/>
              </w:rPr>
            </w:pPr>
            <w:r w:rsidRPr="00290DD8">
              <w:rPr>
                <w:bCs/>
                <w:spacing w:val="-3"/>
                <w:szCs w:val="24"/>
              </w:rPr>
              <w:t>Ikke almindelig (</w:t>
            </w:r>
            <w:r w:rsidRPr="00290DD8">
              <w:rPr>
                <w:bCs/>
                <w:i/>
                <w:szCs w:val="24"/>
              </w:rPr>
              <w:sym w:font="Symbol" w:char="F0B3"/>
            </w:r>
            <w:r w:rsidRPr="00290DD8">
              <w:rPr>
                <w:bCs/>
                <w:spacing w:val="-3"/>
                <w:szCs w:val="24"/>
              </w:rPr>
              <w:t xml:space="preserve">1/1000 og </w:t>
            </w:r>
            <w:r w:rsidRPr="00290DD8">
              <w:rPr>
                <w:bCs/>
                <w:i/>
                <w:szCs w:val="24"/>
              </w:rPr>
              <w:t>&lt;</w:t>
            </w:r>
            <w:r w:rsidRPr="00290DD8">
              <w:rPr>
                <w:bCs/>
                <w:spacing w:val="-3"/>
                <w:szCs w:val="24"/>
              </w:rPr>
              <w:t>1/100)</w:t>
            </w:r>
          </w:p>
          <w:p w:rsidR="00290DD8" w:rsidRPr="00290DD8" w:rsidRDefault="00290DD8" w:rsidP="00E90606">
            <w:pPr>
              <w:ind w:left="850" w:hanging="850"/>
              <w:rPr>
                <w:b/>
                <w:spacing w:val="-3"/>
                <w:szCs w:val="24"/>
              </w:rPr>
            </w:pPr>
          </w:p>
          <w:p w:rsidR="00290DD8" w:rsidRPr="00290DD8" w:rsidRDefault="00290DD8" w:rsidP="00E90606">
            <w:pPr>
              <w:ind w:left="850" w:hanging="850"/>
              <w:rPr>
                <w:b/>
                <w:spacing w:val="-3"/>
                <w:szCs w:val="24"/>
              </w:rPr>
            </w:pPr>
          </w:p>
          <w:p w:rsidR="00290DD8" w:rsidRPr="00290DD8" w:rsidRDefault="00290DD8" w:rsidP="00E90606">
            <w:pPr>
              <w:ind w:left="850" w:hanging="850"/>
              <w:rPr>
                <w:b/>
                <w:spacing w:val="-3"/>
                <w:szCs w:val="24"/>
              </w:rPr>
            </w:pPr>
          </w:p>
          <w:p w:rsidR="00290DD8" w:rsidRPr="00290DD8" w:rsidRDefault="00290DD8" w:rsidP="00E90606">
            <w:pPr>
              <w:ind w:left="850" w:hanging="850"/>
              <w:rPr>
                <w:b/>
                <w:spacing w:val="-3"/>
                <w:szCs w:val="24"/>
              </w:rPr>
            </w:pPr>
          </w:p>
          <w:p w:rsidR="00290DD8" w:rsidRPr="00290DD8" w:rsidRDefault="00290DD8" w:rsidP="00E90606">
            <w:pPr>
              <w:ind w:left="850" w:hanging="850"/>
              <w:rPr>
                <w:spacing w:val="-3"/>
                <w:szCs w:val="24"/>
              </w:rPr>
            </w:pPr>
            <w:r w:rsidRPr="00290DD8">
              <w:rPr>
                <w:spacing w:val="-3"/>
                <w:szCs w:val="24"/>
              </w:rPr>
              <w:t>Almindelig (</w:t>
            </w:r>
            <w:r w:rsidRPr="00290DD8">
              <w:rPr>
                <w:i/>
                <w:szCs w:val="24"/>
              </w:rPr>
              <w:t>≥</w:t>
            </w:r>
            <w:r w:rsidRPr="00290DD8">
              <w:rPr>
                <w:spacing w:val="-3"/>
                <w:szCs w:val="24"/>
              </w:rPr>
              <w:t xml:space="preserve">1/100 og &lt;1/10) </w:t>
            </w:r>
          </w:p>
          <w:p w:rsidR="00290DD8" w:rsidRPr="00290DD8" w:rsidRDefault="00290DD8" w:rsidP="00E90606">
            <w:pPr>
              <w:rPr>
                <w:b/>
                <w:szCs w:val="24"/>
              </w:rPr>
            </w:pPr>
          </w:p>
        </w:tc>
        <w:tc>
          <w:tcPr>
            <w:tcW w:w="4404" w:type="dxa"/>
          </w:tcPr>
          <w:p w:rsidR="00290DD8" w:rsidRPr="00290DD8" w:rsidRDefault="00290DD8" w:rsidP="00E90606">
            <w:pPr>
              <w:rPr>
                <w:szCs w:val="24"/>
              </w:rPr>
            </w:pPr>
          </w:p>
          <w:p w:rsidR="00290DD8" w:rsidRPr="00290DD8" w:rsidRDefault="00290DD8" w:rsidP="00E90606">
            <w:pPr>
              <w:tabs>
                <w:tab w:val="left" w:pos="12"/>
              </w:tabs>
              <w:ind w:firstLine="12"/>
              <w:rPr>
                <w:spacing w:val="-3"/>
                <w:szCs w:val="24"/>
              </w:rPr>
            </w:pPr>
            <w:r w:rsidRPr="00290DD8">
              <w:rPr>
                <w:spacing w:val="-3"/>
                <w:szCs w:val="24"/>
              </w:rPr>
              <w:t xml:space="preserve">Immunologisk medieret </w:t>
            </w:r>
            <w:proofErr w:type="spellStart"/>
            <w:r w:rsidRPr="00290DD8">
              <w:rPr>
                <w:spacing w:val="-3"/>
                <w:szCs w:val="24"/>
              </w:rPr>
              <w:t>heparin</w:t>
            </w:r>
            <w:proofErr w:type="spellEnd"/>
            <w:r w:rsidRPr="00290DD8">
              <w:rPr>
                <w:spacing w:val="-3"/>
                <w:szCs w:val="24"/>
              </w:rPr>
              <w:t xml:space="preserve">-induceret </w:t>
            </w:r>
            <w:proofErr w:type="spellStart"/>
            <w:r w:rsidRPr="00290DD8">
              <w:rPr>
                <w:spacing w:val="-3"/>
                <w:szCs w:val="24"/>
              </w:rPr>
              <w:t>trombocytopeni</w:t>
            </w:r>
            <w:proofErr w:type="spellEnd"/>
            <w:r w:rsidRPr="00290DD8">
              <w:rPr>
                <w:spacing w:val="-3"/>
                <w:szCs w:val="24"/>
              </w:rPr>
              <w:t xml:space="preserve"> (type II) med eller uden arteriel og/eller venetrombose eller </w:t>
            </w:r>
            <w:proofErr w:type="spellStart"/>
            <w:r w:rsidRPr="00290DD8">
              <w:rPr>
                <w:spacing w:val="-3"/>
                <w:szCs w:val="24"/>
              </w:rPr>
              <w:t>tromboemboliske</w:t>
            </w:r>
            <w:proofErr w:type="spellEnd"/>
            <w:r w:rsidRPr="00290DD8">
              <w:rPr>
                <w:spacing w:val="-3"/>
                <w:szCs w:val="24"/>
              </w:rPr>
              <w:t xml:space="preserve"> komplikationer. </w:t>
            </w:r>
          </w:p>
          <w:p w:rsidR="00290DD8" w:rsidRPr="00290DD8" w:rsidRDefault="00290DD8" w:rsidP="00E90606">
            <w:pPr>
              <w:tabs>
                <w:tab w:val="left" w:pos="12"/>
              </w:tabs>
              <w:ind w:firstLine="12"/>
              <w:rPr>
                <w:spacing w:val="-3"/>
                <w:szCs w:val="24"/>
              </w:rPr>
            </w:pPr>
          </w:p>
          <w:p w:rsidR="00290DD8" w:rsidRPr="00290DD8" w:rsidRDefault="00290DD8" w:rsidP="00E90606">
            <w:pPr>
              <w:tabs>
                <w:tab w:val="left" w:pos="12"/>
              </w:tabs>
              <w:ind w:firstLine="12"/>
              <w:rPr>
                <w:spacing w:val="-3"/>
                <w:szCs w:val="24"/>
                <w:lang w:val="nb-NO"/>
              </w:rPr>
            </w:pPr>
            <w:r w:rsidRPr="00290DD8">
              <w:rPr>
                <w:spacing w:val="-3"/>
                <w:szCs w:val="24"/>
              </w:rPr>
              <w:t xml:space="preserve">Reversibel non-immunologisk medieret </w:t>
            </w:r>
            <w:proofErr w:type="spellStart"/>
            <w:r w:rsidRPr="00290DD8">
              <w:rPr>
                <w:spacing w:val="-3"/>
                <w:szCs w:val="24"/>
              </w:rPr>
              <w:t>trombocytopeni</w:t>
            </w:r>
            <w:proofErr w:type="spellEnd"/>
            <w:r w:rsidRPr="00290DD8">
              <w:rPr>
                <w:spacing w:val="-3"/>
                <w:szCs w:val="24"/>
              </w:rPr>
              <w:t xml:space="preserve"> (type I). </w:t>
            </w:r>
          </w:p>
          <w:p w:rsidR="00290DD8" w:rsidRPr="00290DD8" w:rsidRDefault="00290DD8" w:rsidP="00E90606">
            <w:pPr>
              <w:rPr>
                <w:szCs w:val="24"/>
                <w:lang w:val="nb-NO"/>
              </w:rPr>
            </w:pPr>
          </w:p>
        </w:tc>
      </w:tr>
      <w:tr w:rsidR="00290DD8" w:rsidRPr="00290DD8" w:rsidTr="004E6440">
        <w:trPr>
          <w:trHeight w:val="533"/>
        </w:trPr>
        <w:tc>
          <w:tcPr>
            <w:tcW w:w="4404" w:type="dxa"/>
          </w:tcPr>
          <w:p w:rsidR="00290DD8" w:rsidRPr="00290DD8" w:rsidRDefault="00290DD8" w:rsidP="00E90606">
            <w:pPr>
              <w:rPr>
                <w:b/>
                <w:szCs w:val="24"/>
              </w:rPr>
            </w:pPr>
            <w:r w:rsidRPr="00290DD8">
              <w:rPr>
                <w:b/>
                <w:szCs w:val="24"/>
              </w:rPr>
              <w:t xml:space="preserve">Immunsystemet   </w:t>
            </w:r>
          </w:p>
          <w:p w:rsidR="00290DD8" w:rsidRPr="00290DD8" w:rsidRDefault="00290DD8" w:rsidP="00E90606">
            <w:pPr>
              <w:keepNext/>
              <w:rPr>
                <w:szCs w:val="24"/>
              </w:rPr>
            </w:pPr>
            <w:r w:rsidRPr="00290DD8">
              <w:rPr>
                <w:bCs/>
                <w:szCs w:val="24"/>
              </w:rPr>
              <w:t>Ikke almindelig (</w:t>
            </w:r>
            <w:r w:rsidRPr="00290DD8">
              <w:rPr>
                <w:bCs/>
                <w:szCs w:val="24"/>
              </w:rPr>
              <w:sym w:font="Symbol" w:char="F0B3"/>
            </w:r>
            <w:r w:rsidRPr="00290DD8">
              <w:rPr>
                <w:bCs/>
                <w:szCs w:val="24"/>
              </w:rPr>
              <w:t xml:space="preserve">1/1000 og </w:t>
            </w:r>
            <w:r w:rsidRPr="00290DD8">
              <w:rPr>
                <w:bCs/>
                <w:i/>
                <w:szCs w:val="24"/>
              </w:rPr>
              <w:t>&lt;</w:t>
            </w:r>
            <w:r w:rsidRPr="00290DD8">
              <w:rPr>
                <w:bCs/>
                <w:szCs w:val="24"/>
              </w:rPr>
              <w:t>1/100)</w:t>
            </w:r>
          </w:p>
          <w:p w:rsidR="00290DD8" w:rsidRPr="00290DD8" w:rsidRDefault="00290DD8" w:rsidP="00E90606">
            <w:pPr>
              <w:rPr>
                <w:szCs w:val="24"/>
              </w:rPr>
            </w:pPr>
          </w:p>
          <w:p w:rsidR="00290DD8" w:rsidRDefault="00290DD8" w:rsidP="00E90606">
            <w:pPr>
              <w:rPr>
                <w:szCs w:val="24"/>
              </w:rPr>
            </w:pPr>
            <w:r w:rsidRPr="00290DD8">
              <w:rPr>
                <w:szCs w:val="24"/>
              </w:rPr>
              <w:t xml:space="preserve">Frekvens ikke kendt (kan ikke estimeres ud fra </w:t>
            </w:r>
            <w:r w:rsidRPr="00290DD8">
              <w:rPr>
                <w:spacing w:val="-3"/>
                <w:szCs w:val="24"/>
              </w:rPr>
              <w:t>forhåndenværende</w:t>
            </w:r>
            <w:r w:rsidRPr="00290DD8">
              <w:rPr>
                <w:szCs w:val="24"/>
              </w:rPr>
              <w:t xml:space="preserve"> data)</w:t>
            </w:r>
          </w:p>
          <w:p w:rsidR="000700DC" w:rsidRPr="00290DD8" w:rsidRDefault="000700DC" w:rsidP="00E90606">
            <w:pPr>
              <w:rPr>
                <w:b/>
                <w:szCs w:val="24"/>
              </w:rPr>
            </w:pPr>
          </w:p>
        </w:tc>
        <w:tc>
          <w:tcPr>
            <w:tcW w:w="4404" w:type="dxa"/>
          </w:tcPr>
          <w:p w:rsidR="00290DD8" w:rsidRPr="00290DD8" w:rsidRDefault="00290DD8" w:rsidP="00E90606">
            <w:pPr>
              <w:rPr>
                <w:szCs w:val="24"/>
              </w:rPr>
            </w:pPr>
          </w:p>
          <w:p w:rsidR="00290DD8" w:rsidRPr="00290DD8" w:rsidRDefault="00290DD8" w:rsidP="00E90606">
            <w:pPr>
              <w:keepNext/>
              <w:rPr>
                <w:szCs w:val="24"/>
              </w:rPr>
            </w:pPr>
            <w:r w:rsidRPr="00290DD8">
              <w:rPr>
                <w:szCs w:val="24"/>
              </w:rPr>
              <w:t xml:space="preserve">Allergiske reaktioner.  </w:t>
            </w:r>
          </w:p>
          <w:p w:rsidR="00290DD8" w:rsidRPr="00290DD8" w:rsidRDefault="00290DD8" w:rsidP="00E90606">
            <w:pPr>
              <w:keepNext/>
              <w:rPr>
                <w:szCs w:val="24"/>
              </w:rPr>
            </w:pPr>
          </w:p>
          <w:p w:rsidR="00290DD8" w:rsidRPr="00290DD8" w:rsidRDefault="00290DD8" w:rsidP="00E90606">
            <w:pPr>
              <w:keepNext/>
              <w:rPr>
                <w:szCs w:val="24"/>
              </w:rPr>
            </w:pPr>
            <w:proofErr w:type="spellStart"/>
            <w:r w:rsidRPr="00290DD8">
              <w:rPr>
                <w:szCs w:val="24"/>
              </w:rPr>
              <w:t>Anafylaktoide</w:t>
            </w:r>
            <w:proofErr w:type="spellEnd"/>
            <w:r w:rsidRPr="00290DD8">
              <w:rPr>
                <w:szCs w:val="24"/>
              </w:rPr>
              <w:t xml:space="preserve"> reaktioner.</w:t>
            </w:r>
          </w:p>
          <w:p w:rsidR="00290DD8" w:rsidRPr="00290DD8" w:rsidRDefault="00290DD8" w:rsidP="00E90606">
            <w:pPr>
              <w:keepNext/>
              <w:rPr>
                <w:szCs w:val="24"/>
              </w:rPr>
            </w:pPr>
          </w:p>
        </w:tc>
      </w:tr>
      <w:tr w:rsidR="00290DD8" w:rsidRPr="00290DD8" w:rsidTr="004E6440">
        <w:trPr>
          <w:trHeight w:val="533"/>
        </w:trPr>
        <w:tc>
          <w:tcPr>
            <w:tcW w:w="4404" w:type="dxa"/>
          </w:tcPr>
          <w:p w:rsidR="00290DD8" w:rsidRPr="00290DD8" w:rsidRDefault="00290DD8" w:rsidP="00E90606">
            <w:pPr>
              <w:rPr>
                <w:b/>
                <w:szCs w:val="24"/>
              </w:rPr>
            </w:pPr>
            <w:r w:rsidRPr="00290DD8">
              <w:rPr>
                <w:b/>
                <w:szCs w:val="24"/>
              </w:rPr>
              <w:t xml:space="preserve">Nervesystemet  </w:t>
            </w:r>
          </w:p>
          <w:p w:rsidR="00290DD8" w:rsidRPr="00290DD8" w:rsidRDefault="00290DD8" w:rsidP="00E90606">
            <w:pPr>
              <w:rPr>
                <w:szCs w:val="24"/>
              </w:rPr>
            </w:pPr>
            <w:r w:rsidRPr="00290DD8">
              <w:rPr>
                <w:bCs/>
                <w:szCs w:val="24"/>
              </w:rPr>
              <w:t>Ikke almindelig (</w:t>
            </w:r>
            <w:r w:rsidRPr="00290DD8">
              <w:rPr>
                <w:bCs/>
                <w:szCs w:val="24"/>
              </w:rPr>
              <w:sym w:font="Symbol" w:char="F0B3"/>
            </w:r>
            <w:r w:rsidRPr="00290DD8">
              <w:rPr>
                <w:bCs/>
                <w:szCs w:val="24"/>
              </w:rPr>
              <w:t xml:space="preserve">1/1000 og </w:t>
            </w:r>
            <w:r w:rsidRPr="00290DD8">
              <w:rPr>
                <w:bCs/>
                <w:i/>
                <w:szCs w:val="24"/>
              </w:rPr>
              <w:t>&lt;</w:t>
            </w:r>
            <w:r w:rsidRPr="00290DD8">
              <w:rPr>
                <w:bCs/>
                <w:szCs w:val="24"/>
              </w:rPr>
              <w:t>1/100)</w:t>
            </w:r>
          </w:p>
          <w:p w:rsidR="00290DD8" w:rsidRPr="00290DD8" w:rsidRDefault="00290DD8" w:rsidP="00E90606">
            <w:pPr>
              <w:rPr>
                <w:b/>
                <w:szCs w:val="24"/>
              </w:rPr>
            </w:pPr>
          </w:p>
        </w:tc>
        <w:tc>
          <w:tcPr>
            <w:tcW w:w="4404" w:type="dxa"/>
          </w:tcPr>
          <w:p w:rsidR="00290DD8" w:rsidRPr="00290DD8" w:rsidRDefault="00290DD8" w:rsidP="00E90606">
            <w:pPr>
              <w:rPr>
                <w:szCs w:val="24"/>
              </w:rPr>
            </w:pPr>
          </w:p>
          <w:p w:rsidR="00290DD8" w:rsidRPr="00290DD8" w:rsidRDefault="00290DD8" w:rsidP="00E90606">
            <w:pPr>
              <w:rPr>
                <w:szCs w:val="24"/>
              </w:rPr>
            </w:pPr>
            <w:proofErr w:type="spellStart"/>
            <w:r w:rsidRPr="00290DD8">
              <w:rPr>
                <w:spacing w:val="-3"/>
                <w:szCs w:val="24"/>
              </w:rPr>
              <w:t>Intrakranial</w:t>
            </w:r>
            <w:proofErr w:type="spellEnd"/>
            <w:r w:rsidRPr="00290DD8">
              <w:rPr>
                <w:spacing w:val="-3"/>
                <w:szCs w:val="24"/>
              </w:rPr>
              <w:t xml:space="preserve"> blødning</w:t>
            </w:r>
            <w:r w:rsidRPr="00290DD8">
              <w:rPr>
                <w:spacing w:val="-3"/>
                <w:szCs w:val="24"/>
                <w:vertAlign w:val="superscript"/>
              </w:rPr>
              <w:t>1</w:t>
            </w:r>
            <w:r w:rsidRPr="00290DD8">
              <w:rPr>
                <w:spacing w:val="-3"/>
                <w:szCs w:val="24"/>
              </w:rPr>
              <w:t xml:space="preserve"> (i nogle tilfælde letal).</w:t>
            </w:r>
          </w:p>
        </w:tc>
      </w:tr>
      <w:tr w:rsidR="00290DD8" w:rsidRPr="00290DD8" w:rsidTr="004E6440">
        <w:trPr>
          <w:trHeight w:val="533"/>
        </w:trPr>
        <w:tc>
          <w:tcPr>
            <w:tcW w:w="4404" w:type="dxa"/>
          </w:tcPr>
          <w:p w:rsidR="00290DD8" w:rsidRPr="00290DD8" w:rsidRDefault="00290DD8" w:rsidP="00E90606">
            <w:pPr>
              <w:rPr>
                <w:b/>
                <w:szCs w:val="24"/>
              </w:rPr>
            </w:pPr>
            <w:proofErr w:type="spellStart"/>
            <w:r w:rsidRPr="00290DD8">
              <w:rPr>
                <w:b/>
                <w:szCs w:val="24"/>
              </w:rPr>
              <w:t>Vaskulære</w:t>
            </w:r>
            <w:proofErr w:type="spellEnd"/>
            <w:r w:rsidRPr="00290DD8">
              <w:rPr>
                <w:b/>
                <w:szCs w:val="24"/>
              </w:rPr>
              <w:t xml:space="preserve"> sygdomme</w:t>
            </w:r>
          </w:p>
          <w:p w:rsidR="00290DD8" w:rsidRPr="00290DD8" w:rsidRDefault="00290DD8" w:rsidP="00E90606">
            <w:pPr>
              <w:ind w:left="850" w:hanging="850"/>
              <w:rPr>
                <w:spacing w:val="-3"/>
                <w:szCs w:val="24"/>
              </w:rPr>
            </w:pPr>
            <w:r w:rsidRPr="00290DD8">
              <w:rPr>
                <w:spacing w:val="-3"/>
                <w:szCs w:val="24"/>
              </w:rPr>
              <w:t>Almindelig (</w:t>
            </w:r>
            <w:r w:rsidRPr="00290DD8">
              <w:rPr>
                <w:i/>
                <w:szCs w:val="24"/>
              </w:rPr>
              <w:t>≥</w:t>
            </w:r>
            <w:r w:rsidRPr="00290DD8">
              <w:rPr>
                <w:spacing w:val="-3"/>
                <w:szCs w:val="24"/>
              </w:rPr>
              <w:t xml:space="preserve">1/100 og &lt;1/10) </w:t>
            </w:r>
          </w:p>
          <w:p w:rsidR="00290DD8" w:rsidRPr="00290DD8" w:rsidRDefault="00290DD8" w:rsidP="00E90606">
            <w:pPr>
              <w:rPr>
                <w:b/>
                <w:szCs w:val="24"/>
              </w:rPr>
            </w:pPr>
          </w:p>
        </w:tc>
        <w:tc>
          <w:tcPr>
            <w:tcW w:w="4404" w:type="dxa"/>
          </w:tcPr>
          <w:p w:rsidR="00290DD8" w:rsidRPr="00290DD8" w:rsidRDefault="00290DD8" w:rsidP="00E90606">
            <w:pPr>
              <w:rPr>
                <w:szCs w:val="24"/>
              </w:rPr>
            </w:pPr>
          </w:p>
          <w:p w:rsidR="00290DD8" w:rsidRPr="00290DD8" w:rsidRDefault="00290DD8" w:rsidP="00E90606">
            <w:pPr>
              <w:rPr>
                <w:szCs w:val="24"/>
              </w:rPr>
            </w:pPr>
            <w:r w:rsidRPr="00290DD8">
              <w:rPr>
                <w:szCs w:val="24"/>
              </w:rPr>
              <w:t>Blødning</w:t>
            </w:r>
            <w:r w:rsidRPr="00290DD8">
              <w:rPr>
                <w:szCs w:val="24"/>
                <w:vertAlign w:val="superscript"/>
              </w:rPr>
              <w:t>1</w:t>
            </w:r>
            <w:r w:rsidRPr="00290DD8">
              <w:rPr>
                <w:szCs w:val="24"/>
              </w:rPr>
              <w:t>.</w:t>
            </w:r>
          </w:p>
        </w:tc>
      </w:tr>
      <w:tr w:rsidR="00290DD8" w:rsidRPr="00290DD8" w:rsidTr="004E6440">
        <w:trPr>
          <w:trHeight w:val="533"/>
        </w:trPr>
        <w:tc>
          <w:tcPr>
            <w:tcW w:w="4404" w:type="dxa"/>
          </w:tcPr>
          <w:p w:rsidR="00290DD8" w:rsidRPr="00290DD8" w:rsidRDefault="00290DD8" w:rsidP="00E90606">
            <w:pPr>
              <w:rPr>
                <w:b/>
                <w:szCs w:val="24"/>
              </w:rPr>
            </w:pPr>
            <w:r w:rsidRPr="00290DD8">
              <w:rPr>
                <w:b/>
                <w:szCs w:val="24"/>
              </w:rPr>
              <w:t xml:space="preserve">Mave-tarm-kanalen  </w:t>
            </w:r>
          </w:p>
          <w:p w:rsidR="00290DD8" w:rsidRPr="00290DD8" w:rsidRDefault="00290DD8" w:rsidP="00E90606">
            <w:pPr>
              <w:tabs>
                <w:tab w:val="left" w:pos="0"/>
                <w:tab w:val="left" w:pos="851"/>
              </w:tabs>
              <w:rPr>
                <w:spacing w:val="-3"/>
                <w:szCs w:val="24"/>
              </w:rPr>
            </w:pPr>
            <w:r w:rsidRPr="00290DD8">
              <w:rPr>
                <w:spacing w:val="-3"/>
                <w:szCs w:val="24"/>
              </w:rPr>
              <w:t>Frekvens ikke kendt (kan ikke estimeres ud fra forhåndenværende data)</w:t>
            </w:r>
          </w:p>
          <w:p w:rsidR="00290DD8" w:rsidRPr="00290DD8" w:rsidRDefault="00290DD8" w:rsidP="00E90606">
            <w:pPr>
              <w:rPr>
                <w:b/>
                <w:szCs w:val="24"/>
              </w:rPr>
            </w:pPr>
          </w:p>
        </w:tc>
        <w:tc>
          <w:tcPr>
            <w:tcW w:w="4404" w:type="dxa"/>
          </w:tcPr>
          <w:p w:rsidR="00290DD8" w:rsidRPr="00290DD8" w:rsidRDefault="00290DD8" w:rsidP="00E90606">
            <w:pPr>
              <w:rPr>
                <w:szCs w:val="24"/>
              </w:rPr>
            </w:pPr>
          </w:p>
          <w:p w:rsidR="00290DD8" w:rsidRPr="00290DD8" w:rsidRDefault="00290DD8" w:rsidP="00E90606">
            <w:pPr>
              <w:rPr>
                <w:szCs w:val="24"/>
              </w:rPr>
            </w:pPr>
            <w:proofErr w:type="spellStart"/>
            <w:r w:rsidRPr="00290DD8">
              <w:rPr>
                <w:spacing w:val="-3"/>
                <w:szCs w:val="24"/>
              </w:rPr>
              <w:t>Retroperitoneal</w:t>
            </w:r>
            <w:proofErr w:type="spellEnd"/>
            <w:r w:rsidRPr="00290DD8">
              <w:rPr>
                <w:spacing w:val="-3"/>
                <w:szCs w:val="24"/>
              </w:rPr>
              <w:t xml:space="preserve"> blødning (i nogle tilfælde fatal).</w:t>
            </w:r>
          </w:p>
        </w:tc>
      </w:tr>
      <w:tr w:rsidR="00290DD8" w:rsidRPr="00290DD8" w:rsidTr="004E6440">
        <w:trPr>
          <w:trHeight w:val="533"/>
        </w:trPr>
        <w:tc>
          <w:tcPr>
            <w:tcW w:w="4404" w:type="dxa"/>
            <w:tcBorders>
              <w:bottom w:val="single" w:sz="4" w:space="0" w:color="auto"/>
            </w:tcBorders>
          </w:tcPr>
          <w:p w:rsidR="00290DD8" w:rsidRPr="00290DD8" w:rsidRDefault="00290DD8" w:rsidP="00E90606">
            <w:pPr>
              <w:rPr>
                <w:b/>
                <w:szCs w:val="24"/>
              </w:rPr>
            </w:pPr>
            <w:r w:rsidRPr="00290DD8">
              <w:rPr>
                <w:b/>
                <w:szCs w:val="24"/>
              </w:rPr>
              <w:t xml:space="preserve">Lever og galdeveje   </w:t>
            </w:r>
          </w:p>
          <w:p w:rsidR="00290DD8" w:rsidRPr="00290DD8" w:rsidRDefault="00290DD8" w:rsidP="00E90606">
            <w:pPr>
              <w:rPr>
                <w:i/>
                <w:szCs w:val="24"/>
              </w:rPr>
            </w:pPr>
            <w:r w:rsidRPr="00290DD8">
              <w:rPr>
                <w:szCs w:val="24"/>
              </w:rPr>
              <w:t xml:space="preserve">Almindelig (≥1/100 og &lt;1/10) </w:t>
            </w:r>
          </w:p>
          <w:p w:rsidR="00290DD8" w:rsidRPr="00290DD8" w:rsidRDefault="00290DD8" w:rsidP="00E90606">
            <w:pPr>
              <w:rPr>
                <w:b/>
                <w:szCs w:val="24"/>
              </w:rPr>
            </w:pPr>
          </w:p>
        </w:tc>
        <w:tc>
          <w:tcPr>
            <w:tcW w:w="4404" w:type="dxa"/>
            <w:tcBorders>
              <w:bottom w:val="single" w:sz="4" w:space="0" w:color="auto"/>
            </w:tcBorders>
          </w:tcPr>
          <w:p w:rsidR="00290DD8" w:rsidRPr="00290DD8" w:rsidRDefault="00290DD8" w:rsidP="00E90606">
            <w:pPr>
              <w:rPr>
                <w:szCs w:val="24"/>
              </w:rPr>
            </w:pPr>
          </w:p>
          <w:p w:rsidR="00290DD8" w:rsidRPr="00290DD8" w:rsidRDefault="00290DD8" w:rsidP="00E90606">
            <w:pPr>
              <w:rPr>
                <w:szCs w:val="24"/>
              </w:rPr>
            </w:pPr>
            <w:r w:rsidRPr="00290DD8">
              <w:rPr>
                <w:szCs w:val="24"/>
              </w:rPr>
              <w:t xml:space="preserve">Forbigående, let til moderat forhøjelse af </w:t>
            </w:r>
            <w:proofErr w:type="spellStart"/>
            <w:r w:rsidRPr="00290DD8">
              <w:rPr>
                <w:szCs w:val="24"/>
              </w:rPr>
              <w:t>levertransaminaserne</w:t>
            </w:r>
            <w:proofErr w:type="spellEnd"/>
            <w:r w:rsidRPr="00290DD8">
              <w:rPr>
                <w:szCs w:val="24"/>
              </w:rPr>
              <w:t xml:space="preserve"> (ASAT, ALAT).</w:t>
            </w:r>
          </w:p>
          <w:p w:rsidR="00290DD8" w:rsidRPr="00290DD8" w:rsidRDefault="00290DD8" w:rsidP="00E90606">
            <w:pPr>
              <w:rPr>
                <w:szCs w:val="24"/>
              </w:rPr>
            </w:pPr>
          </w:p>
        </w:tc>
      </w:tr>
      <w:tr w:rsidR="00290DD8" w:rsidRPr="00290DD8" w:rsidTr="004E6440">
        <w:trPr>
          <w:trHeight w:val="533"/>
        </w:trPr>
        <w:tc>
          <w:tcPr>
            <w:tcW w:w="4404" w:type="dxa"/>
            <w:tcBorders>
              <w:bottom w:val="single" w:sz="4" w:space="0" w:color="auto"/>
            </w:tcBorders>
          </w:tcPr>
          <w:p w:rsidR="00290DD8" w:rsidRPr="00290DD8" w:rsidRDefault="00290DD8" w:rsidP="00E90606">
            <w:pPr>
              <w:rPr>
                <w:b/>
                <w:szCs w:val="24"/>
              </w:rPr>
            </w:pPr>
            <w:r w:rsidRPr="00290DD8">
              <w:rPr>
                <w:b/>
                <w:szCs w:val="24"/>
              </w:rPr>
              <w:t xml:space="preserve">Hud og subkutant væv </w:t>
            </w:r>
          </w:p>
          <w:p w:rsidR="00290DD8" w:rsidRPr="00290DD8" w:rsidRDefault="00290DD8" w:rsidP="00E90606">
            <w:pPr>
              <w:rPr>
                <w:i/>
                <w:szCs w:val="24"/>
              </w:rPr>
            </w:pPr>
            <w:r w:rsidRPr="00290DD8">
              <w:rPr>
                <w:szCs w:val="24"/>
              </w:rPr>
              <w:t xml:space="preserve">Almindelig (≥1/100 og &lt;1/10) </w:t>
            </w:r>
          </w:p>
          <w:p w:rsidR="00290DD8" w:rsidRPr="00290DD8" w:rsidRDefault="00290DD8" w:rsidP="00E90606">
            <w:pPr>
              <w:rPr>
                <w:szCs w:val="24"/>
              </w:rPr>
            </w:pPr>
          </w:p>
          <w:p w:rsidR="00290DD8" w:rsidRPr="00290DD8" w:rsidRDefault="00290DD8" w:rsidP="00E90606">
            <w:pPr>
              <w:pStyle w:val="Titel"/>
              <w:jc w:val="left"/>
              <w:rPr>
                <w:b w:val="0"/>
                <w:szCs w:val="24"/>
              </w:rPr>
            </w:pPr>
            <w:r w:rsidRPr="00290DD8">
              <w:rPr>
                <w:b w:val="0"/>
                <w:szCs w:val="24"/>
              </w:rPr>
              <w:t xml:space="preserve">Sjælden (&gt;1/10.000 til &lt;1/1.000) </w:t>
            </w:r>
          </w:p>
          <w:p w:rsidR="00290DD8" w:rsidRPr="00290DD8" w:rsidRDefault="00290DD8" w:rsidP="00E90606">
            <w:pPr>
              <w:tabs>
                <w:tab w:val="left" w:pos="0"/>
                <w:tab w:val="left" w:pos="851"/>
              </w:tabs>
              <w:rPr>
                <w:spacing w:val="-3"/>
                <w:szCs w:val="24"/>
              </w:rPr>
            </w:pPr>
          </w:p>
          <w:p w:rsidR="00290DD8" w:rsidRPr="00290DD8" w:rsidRDefault="00290DD8" w:rsidP="00E90606">
            <w:pPr>
              <w:tabs>
                <w:tab w:val="left" w:pos="0"/>
                <w:tab w:val="left" w:pos="851"/>
              </w:tabs>
              <w:rPr>
                <w:b/>
                <w:i/>
                <w:szCs w:val="24"/>
              </w:rPr>
            </w:pPr>
            <w:r w:rsidRPr="00290DD8">
              <w:rPr>
                <w:spacing w:val="-3"/>
                <w:szCs w:val="24"/>
              </w:rPr>
              <w:t>Frekvens ikke kendt (kan ikke estimeres ud fra forhåndenværende data)</w:t>
            </w:r>
          </w:p>
          <w:p w:rsidR="00290DD8" w:rsidRPr="00290DD8" w:rsidRDefault="00290DD8" w:rsidP="00E90606">
            <w:pPr>
              <w:rPr>
                <w:b/>
                <w:szCs w:val="24"/>
              </w:rPr>
            </w:pPr>
          </w:p>
        </w:tc>
        <w:tc>
          <w:tcPr>
            <w:tcW w:w="4404" w:type="dxa"/>
            <w:tcBorders>
              <w:bottom w:val="single" w:sz="4" w:space="0" w:color="auto"/>
            </w:tcBorders>
          </w:tcPr>
          <w:p w:rsidR="00290DD8" w:rsidRPr="00290DD8" w:rsidRDefault="00290DD8" w:rsidP="00E90606">
            <w:pPr>
              <w:rPr>
                <w:szCs w:val="24"/>
              </w:rPr>
            </w:pPr>
          </w:p>
          <w:p w:rsidR="00290DD8" w:rsidRPr="00290DD8" w:rsidRDefault="00290DD8" w:rsidP="00E90606">
            <w:pPr>
              <w:rPr>
                <w:szCs w:val="24"/>
              </w:rPr>
            </w:pPr>
            <w:proofErr w:type="spellStart"/>
            <w:r w:rsidRPr="00290DD8">
              <w:rPr>
                <w:szCs w:val="24"/>
              </w:rPr>
              <w:t>Alopeci</w:t>
            </w:r>
            <w:proofErr w:type="spellEnd"/>
            <w:r w:rsidRPr="00290DD8">
              <w:rPr>
                <w:szCs w:val="24"/>
              </w:rPr>
              <w:t>.</w:t>
            </w:r>
          </w:p>
          <w:p w:rsidR="00290DD8" w:rsidRPr="00290DD8" w:rsidRDefault="00290DD8" w:rsidP="00E90606">
            <w:pPr>
              <w:rPr>
                <w:szCs w:val="24"/>
              </w:rPr>
            </w:pPr>
          </w:p>
          <w:p w:rsidR="00290DD8" w:rsidRPr="00290DD8" w:rsidRDefault="00290DD8" w:rsidP="00E90606">
            <w:pPr>
              <w:rPr>
                <w:szCs w:val="24"/>
              </w:rPr>
            </w:pPr>
            <w:proofErr w:type="spellStart"/>
            <w:r w:rsidRPr="00290DD8">
              <w:rPr>
                <w:szCs w:val="24"/>
              </w:rPr>
              <w:t>Hudnekroser</w:t>
            </w:r>
            <w:proofErr w:type="spellEnd"/>
            <w:r w:rsidRPr="00290DD8">
              <w:rPr>
                <w:szCs w:val="24"/>
              </w:rPr>
              <w:t>.</w:t>
            </w:r>
          </w:p>
          <w:p w:rsidR="00290DD8" w:rsidRPr="00290DD8" w:rsidRDefault="00290DD8" w:rsidP="00E90606">
            <w:pPr>
              <w:rPr>
                <w:szCs w:val="24"/>
              </w:rPr>
            </w:pPr>
          </w:p>
          <w:p w:rsidR="00290DD8" w:rsidRPr="00290DD8" w:rsidRDefault="00290DD8" w:rsidP="00E90606">
            <w:pPr>
              <w:rPr>
                <w:szCs w:val="24"/>
              </w:rPr>
            </w:pPr>
            <w:r w:rsidRPr="00290DD8">
              <w:rPr>
                <w:szCs w:val="24"/>
              </w:rPr>
              <w:t>Udslæt.</w:t>
            </w:r>
          </w:p>
        </w:tc>
      </w:tr>
      <w:tr w:rsidR="00290DD8" w:rsidRPr="00290DD8" w:rsidTr="004E6440">
        <w:trPr>
          <w:trHeight w:val="533"/>
        </w:trPr>
        <w:tc>
          <w:tcPr>
            <w:tcW w:w="4404" w:type="dxa"/>
            <w:tcBorders>
              <w:bottom w:val="single" w:sz="4" w:space="0" w:color="auto"/>
            </w:tcBorders>
            <w:shd w:val="clear" w:color="auto" w:fill="auto"/>
          </w:tcPr>
          <w:p w:rsidR="00290DD8" w:rsidRPr="00290DD8" w:rsidRDefault="00290DD8" w:rsidP="00E90606">
            <w:pPr>
              <w:rPr>
                <w:b/>
                <w:szCs w:val="24"/>
              </w:rPr>
            </w:pPr>
            <w:r w:rsidRPr="00290DD8">
              <w:rPr>
                <w:b/>
                <w:szCs w:val="24"/>
              </w:rPr>
              <w:t xml:space="preserve">Almene symptomer og reaktioner på administrationsstedet   </w:t>
            </w:r>
          </w:p>
          <w:p w:rsidR="00290DD8" w:rsidRPr="00290DD8" w:rsidRDefault="00290DD8" w:rsidP="00E90606">
            <w:pPr>
              <w:rPr>
                <w:b/>
                <w:szCs w:val="24"/>
              </w:rPr>
            </w:pPr>
            <w:r w:rsidRPr="00290DD8">
              <w:rPr>
                <w:szCs w:val="24"/>
              </w:rPr>
              <w:t>Almindelig (≥1/100 og &lt;1/10)</w:t>
            </w:r>
          </w:p>
        </w:tc>
        <w:tc>
          <w:tcPr>
            <w:tcW w:w="4404" w:type="dxa"/>
            <w:tcBorders>
              <w:bottom w:val="single" w:sz="4" w:space="0" w:color="auto"/>
            </w:tcBorders>
            <w:shd w:val="clear" w:color="auto" w:fill="auto"/>
          </w:tcPr>
          <w:p w:rsidR="00290DD8" w:rsidRPr="00290DD8" w:rsidRDefault="00290DD8" w:rsidP="00E90606">
            <w:pPr>
              <w:rPr>
                <w:szCs w:val="24"/>
              </w:rPr>
            </w:pPr>
          </w:p>
          <w:p w:rsidR="00290DD8" w:rsidRPr="00290DD8" w:rsidRDefault="00290DD8" w:rsidP="00E90606">
            <w:pPr>
              <w:rPr>
                <w:szCs w:val="24"/>
              </w:rPr>
            </w:pPr>
          </w:p>
          <w:p w:rsidR="00290DD8" w:rsidRPr="00290DD8" w:rsidRDefault="00290DD8" w:rsidP="00E90606">
            <w:pPr>
              <w:rPr>
                <w:szCs w:val="24"/>
              </w:rPr>
            </w:pPr>
            <w:r w:rsidRPr="00290DD8">
              <w:rPr>
                <w:szCs w:val="24"/>
              </w:rPr>
              <w:t xml:space="preserve">Subkutant </w:t>
            </w:r>
            <w:proofErr w:type="spellStart"/>
            <w:r w:rsidRPr="00290DD8">
              <w:rPr>
                <w:szCs w:val="24"/>
              </w:rPr>
              <w:t>hæmatom</w:t>
            </w:r>
            <w:proofErr w:type="spellEnd"/>
            <w:r w:rsidRPr="00290DD8">
              <w:rPr>
                <w:szCs w:val="24"/>
              </w:rPr>
              <w:t xml:space="preserve"> på injektionsstedet, smerter på injektionsstedet.</w:t>
            </w:r>
          </w:p>
          <w:p w:rsidR="00290DD8" w:rsidRPr="00290DD8" w:rsidRDefault="00290DD8" w:rsidP="00E90606">
            <w:pPr>
              <w:rPr>
                <w:szCs w:val="24"/>
              </w:rPr>
            </w:pPr>
          </w:p>
        </w:tc>
      </w:tr>
      <w:tr w:rsidR="00290DD8" w:rsidRPr="00290DD8" w:rsidTr="004E6440">
        <w:trPr>
          <w:trHeight w:val="533"/>
        </w:trPr>
        <w:tc>
          <w:tcPr>
            <w:tcW w:w="4404" w:type="dxa"/>
            <w:tcBorders>
              <w:top w:val="single" w:sz="4" w:space="0" w:color="auto"/>
              <w:left w:val="single" w:sz="4" w:space="0" w:color="auto"/>
              <w:bottom w:val="single" w:sz="4" w:space="0" w:color="auto"/>
              <w:right w:val="single" w:sz="4" w:space="0" w:color="auto"/>
            </w:tcBorders>
            <w:shd w:val="clear" w:color="auto" w:fill="auto"/>
          </w:tcPr>
          <w:p w:rsidR="00290DD8" w:rsidRPr="00290DD8" w:rsidRDefault="00290DD8" w:rsidP="00E90606">
            <w:pPr>
              <w:rPr>
                <w:b/>
                <w:szCs w:val="24"/>
              </w:rPr>
            </w:pPr>
            <w:r w:rsidRPr="00290DD8">
              <w:rPr>
                <w:b/>
                <w:szCs w:val="24"/>
              </w:rPr>
              <w:t xml:space="preserve">Traumer, forgiftninger og behandlingskomplikationer  </w:t>
            </w:r>
          </w:p>
          <w:p w:rsidR="00290DD8" w:rsidRPr="00290DD8" w:rsidRDefault="00290DD8" w:rsidP="00E90606">
            <w:pPr>
              <w:pStyle w:val="Titel"/>
              <w:jc w:val="left"/>
              <w:rPr>
                <w:b w:val="0"/>
                <w:i/>
                <w:szCs w:val="24"/>
              </w:rPr>
            </w:pPr>
            <w:r w:rsidRPr="00290DD8">
              <w:rPr>
                <w:b w:val="0"/>
                <w:szCs w:val="24"/>
              </w:rPr>
              <w:t xml:space="preserve">Meget sjælden (&lt;1/10.000) </w:t>
            </w:r>
          </w:p>
          <w:p w:rsidR="00290DD8" w:rsidRPr="00290DD8" w:rsidRDefault="00290DD8" w:rsidP="00E90606">
            <w:pPr>
              <w:rPr>
                <w:b/>
                <w:szCs w:val="24"/>
              </w:rPr>
            </w:pPr>
          </w:p>
        </w:tc>
        <w:tc>
          <w:tcPr>
            <w:tcW w:w="4404" w:type="dxa"/>
            <w:tcBorders>
              <w:top w:val="single" w:sz="4" w:space="0" w:color="auto"/>
              <w:left w:val="single" w:sz="4" w:space="0" w:color="auto"/>
              <w:bottom w:val="single" w:sz="4" w:space="0" w:color="auto"/>
              <w:right w:val="single" w:sz="4" w:space="0" w:color="auto"/>
            </w:tcBorders>
            <w:shd w:val="clear" w:color="auto" w:fill="auto"/>
          </w:tcPr>
          <w:p w:rsidR="00290DD8" w:rsidRPr="00290DD8" w:rsidRDefault="00290DD8" w:rsidP="00E90606">
            <w:pPr>
              <w:rPr>
                <w:szCs w:val="24"/>
              </w:rPr>
            </w:pPr>
          </w:p>
          <w:p w:rsidR="00290DD8" w:rsidRPr="00290DD8" w:rsidRDefault="00290DD8" w:rsidP="00E90606">
            <w:pPr>
              <w:rPr>
                <w:szCs w:val="24"/>
              </w:rPr>
            </w:pPr>
          </w:p>
          <w:p w:rsidR="00290DD8" w:rsidRPr="00290DD8" w:rsidRDefault="00290DD8" w:rsidP="00E90606">
            <w:pPr>
              <w:rPr>
                <w:szCs w:val="24"/>
              </w:rPr>
            </w:pPr>
            <w:proofErr w:type="spellStart"/>
            <w:r w:rsidRPr="00290DD8">
              <w:rPr>
                <w:szCs w:val="24"/>
              </w:rPr>
              <w:t>Epiduralt</w:t>
            </w:r>
            <w:proofErr w:type="spellEnd"/>
            <w:r w:rsidRPr="00290DD8">
              <w:rPr>
                <w:szCs w:val="24"/>
              </w:rPr>
              <w:t xml:space="preserve"> eller spinalt </w:t>
            </w:r>
            <w:proofErr w:type="spellStart"/>
            <w:r w:rsidRPr="00290DD8">
              <w:rPr>
                <w:szCs w:val="24"/>
              </w:rPr>
              <w:t>hæmatom</w:t>
            </w:r>
            <w:proofErr w:type="spellEnd"/>
            <w:r w:rsidRPr="00290DD8">
              <w:rPr>
                <w:szCs w:val="24"/>
              </w:rPr>
              <w:t>.</w:t>
            </w:r>
          </w:p>
          <w:p w:rsidR="00290DD8" w:rsidRPr="00290DD8" w:rsidRDefault="00290DD8" w:rsidP="00E90606">
            <w:pPr>
              <w:rPr>
                <w:szCs w:val="24"/>
              </w:rPr>
            </w:pPr>
          </w:p>
        </w:tc>
      </w:tr>
    </w:tbl>
    <w:p w:rsidR="00290DD8" w:rsidRPr="00DF738B" w:rsidRDefault="00290DD8" w:rsidP="00E90606">
      <w:pPr>
        <w:ind w:left="851"/>
        <w:rPr>
          <w:sz w:val="22"/>
          <w:szCs w:val="22"/>
        </w:rPr>
      </w:pPr>
      <w:r w:rsidRPr="00DF738B">
        <w:rPr>
          <w:spacing w:val="-3"/>
          <w:sz w:val="22"/>
          <w:szCs w:val="22"/>
          <w:vertAlign w:val="superscript"/>
        </w:rPr>
        <w:lastRenderedPageBreak/>
        <w:t>1</w:t>
      </w:r>
      <w:r w:rsidRPr="00DF738B">
        <w:rPr>
          <w:spacing w:val="-3"/>
          <w:sz w:val="22"/>
          <w:szCs w:val="22"/>
        </w:rPr>
        <w:t>Blødning er dosisafhængig. De fleste blødninger er milde. Alvorlige blødninger er set, i nogle tilfælde med letalt udfald.</w:t>
      </w:r>
    </w:p>
    <w:p w:rsidR="00290DD8" w:rsidRPr="00DF738B" w:rsidRDefault="00290DD8" w:rsidP="00E90606">
      <w:pPr>
        <w:tabs>
          <w:tab w:val="left" w:pos="0"/>
          <w:tab w:val="left" w:pos="851"/>
        </w:tabs>
        <w:ind w:left="850"/>
        <w:rPr>
          <w:spacing w:val="-3"/>
          <w:sz w:val="22"/>
          <w:szCs w:val="22"/>
        </w:rPr>
      </w:pPr>
      <w:proofErr w:type="spellStart"/>
      <w:r w:rsidRPr="00DF738B">
        <w:rPr>
          <w:spacing w:val="-3"/>
          <w:sz w:val="22"/>
          <w:szCs w:val="22"/>
        </w:rPr>
        <w:t>Heparin</w:t>
      </w:r>
      <w:proofErr w:type="spellEnd"/>
      <w:r w:rsidRPr="00DF738B">
        <w:rPr>
          <w:spacing w:val="-3"/>
          <w:sz w:val="22"/>
          <w:szCs w:val="22"/>
        </w:rPr>
        <w:t xml:space="preserve"> kan hæmme sekretionen af </w:t>
      </w:r>
      <w:proofErr w:type="spellStart"/>
      <w:r w:rsidRPr="00DF738B">
        <w:rPr>
          <w:spacing w:val="-3"/>
          <w:sz w:val="22"/>
          <w:szCs w:val="22"/>
        </w:rPr>
        <w:t>aldosteron</w:t>
      </w:r>
      <w:proofErr w:type="spellEnd"/>
      <w:r w:rsidRPr="00DF738B">
        <w:rPr>
          <w:spacing w:val="-3"/>
          <w:sz w:val="22"/>
          <w:szCs w:val="22"/>
        </w:rPr>
        <w:t xml:space="preserve"> og medføre </w:t>
      </w:r>
      <w:proofErr w:type="spellStart"/>
      <w:r w:rsidRPr="00DF738B">
        <w:rPr>
          <w:spacing w:val="-3"/>
          <w:sz w:val="22"/>
          <w:szCs w:val="22"/>
        </w:rPr>
        <w:t>hyperkaliæmi</w:t>
      </w:r>
      <w:proofErr w:type="spellEnd"/>
      <w:r w:rsidRPr="00DF738B">
        <w:rPr>
          <w:spacing w:val="-3"/>
          <w:sz w:val="22"/>
          <w:szCs w:val="22"/>
        </w:rPr>
        <w:t xml:space="preserve">. I sjældne tilfælde forekommer klinisk signifikant </w:t>
      </w:r>
      <w:proofErr w:type="spellStart"/>
      <w:r w:rsidRPr="00DF738B">
        <w:rPr>
          <w:spacing w:val="-3"/>
          <w:sz w:val="22"/>
          <w:szCs w:val="22"/>
        </w:rPr>
        <w:t>hyperkaliæmi</w:t>
      </w:r>
      <w:proofErr w:type="spellEnd"/>
      <w:r w:rsidRPr="00DF738B">
        <w:rPr>
          <w:spacing w:val="-3"/>
          <w:sz w:val="22"/>
          <w:szCs w:val="22"/>
        </w:rPr>
        <w:t xml:space="preserve"> specielt hos patienter med kronisk nyresvigt og diabetes mellitus (se pkt. 4.4).</w:t>
      </w:r>
    </w:p>
    <w:p w:rsidR="00290DD8" w:rsidRPr="00DF738B" w:rsidRDefault="00290DD8" w:rsidP="00E90606">
      <w:pPr>
        <w:tabs>
          <w:tab w:val="left" w:pos="0"/>
          <w:tab w:val="left" w:pos="851"/>
        </w:tabs>
        <w:ind w:left="850"/>
        <w:rPr>
          <w:spacing w:val="-3"/>
          <w:sz w:val="22"/>
          <w:szCs w:val="22"/>
        </w:rPr>
      </w:pPr>
      <w:r w:rsidRPr="00DF738B">
        <w:rPr>
          <w:spacing w:val="-3"/>
          <w:sz w:val="22"/>
          <w:szCs w:val="22"/>
        </w:rPr>
        <w:t xml:space="preserve">Langtidsbehandling med </w:t>
      </w:r>
      <w:proofErr w:type="spellStart"/>
      <w:r w:rsidRPr="00DF738B">
        <w:rPr>
          <w:spacing w:val="-3"/>
          <w:sz w:val="22"/>
          <w:szCs w:val="22"/>
        </w:rPr>
        <w:t>heparin</w:t>
      </w:r>
      <w:proofErr w:type="spellEnd"/>
      <w:r w:rsidRPr="00DF738B">
        <w:rPr>
          <w:spacing w:val="-3"/>
          <w:sz w:val="22"/>
          <w:szCs w:val="22"/>
        </w:rPr>
        <w:t xml:space="preserve"> er blevet associeret med risiko for osteoporose. Selvom </w:t>
      </w:r>
      <w:proofErr w:type="gramStart"/>
      <w:r w:rsidRPr="00DF738B">
        <w:rPr>
          <w:spacing w:val="-3"/>
          <w:sz w:val="22"/>
          <w:szCs w:val="22"/>
        </w:rPr>
        <w:t>det  ikke</w:t>
      </w:r>
      <w:proofErr w:type="gramEnd"/>
      <w:r w:rsidRPr="00DF738B">
        <w:rPr>
          <w:spacing w:val="-3"/>
          <w:sz w:val="22"/>
          <w:szCs w:val="22"/>
        </w:rPr>
        <w:t xml:space="preserve"> er set med </w:t>
      </w:r>
      <w:proofErr w:type="spellStart"/>
      <w:r w:rsidRPr="00DF738B">
        <w:rPr>
          <w:spacing w:val="-3"/>
          <w:sz w:val="22"/>
          <w:szCs w:val="22"/>
        </w:rPr>
        <w:t>dalteparin</w:t>
      </w:r>
      <w:proofErr w:type="spellEnd"/>
      <w:r w:rsidRPr="00DF738B">
        <w:rPr>
          <w:spacing w:val="-3"/>
          <w:sz w:val="22"/>
          <w:szCs w:val="22"/>
        </w:rPr>
        <w:t>, kan risiko for osteoporose ikke udelukkes.</w:t>
      </w:r>
    </w:p>
    <w:p w:rsidR="00290DD8" w:rsidRPr="00290DD8" w:rsidRDefault="00290DD8" w:rsidP="00E90606">
      <w:pPr>
        <w:tabs>
          <w:tab w:val="left" w:pos="0"/>
          <w:tab w:val="left" w:pos="851"/>
        </w:tabs>
        <w:ind w:left="850"/>
        <w:rPr>
          <w:spacing w:val="-3"/>
        </w:rPr>
      </w:pPr>
    </w:p>
    <w:p w:rsidR="00290DD8" w:rsidRPr="00DF738B" w:rsidRDefault="00DF738B" w:rsidP="00E90606">
      <w:pPr>
        <w:tabs>
          <w:tab w:val="left" w:pos="0"/>
          <w:tab w:val="left" w:pos="851"/>
        </w:tabs>
        <w:ind w:left="850"/>
        <w:rPr>
          <w:spacing w:val="-3"/>
          <w:u w:val="single"/>
        </w:rPr>
      </w:pPr>
      <w:r>
        <w:rPr>
          <w:spacing w:val="-3"/>
          <w:u w:val="single"/>
        </w:rPr>
        <w:t>Bivirkninger set post-marketing</w:t>
      </w:r>
    </w:p>
    <w:p w:rsidR="00DF738B" w:rsidRDefault="00DF738B" w:rsidP="00E90606">
      <w:pPr>
        <w:tabs>
          <w:tab w:val="left" w:pos="0"/>
          <w:tab w:val="left" w:pos="851"/>
        </w:tabs>
        <w:ind w:left="850"/>
        <w:rPr>
          <w:b/>
          <w:szCs w:val="24"/>
        </w:rPr>
      </w:pPr>
    </w:p>
    <w:p w:rsidR="00DF738B" w:rsidRDefault="00290DD8" w:rsidP="00E90606">
      <w:pPr>
        <w:tabs>
          <w:tab w:val="left" w:pos="0"/>
          <w:tab w:val="left" w:pos="851"/>
        </w:tabs>
        <w:ind w:left="850"/>
        <w:rPr>
          <w:i/>
          <w:szCs w:val="24"/>
        </w:rPr>
      </w:pPr>
      <w:r w:rsidRPr="00DF738B">
        <w:rPr>
          <w:i/>
          <w:szCs w:val="24"/>
        </w:rPr>
        <w:t>Blod og lymfesystem</w:t>
      </w:r>
    </w:p>
    <w:p w:rsidR="00290DD8" w:rsidRPr="00290DD8" w:rsidRDefault="00290DD8" w:rsidP="00E90606">
      <w:pPr>
        <w:tabs>
          <w:tab w:val="left" w:pos="0"/>
          <w:tab w:val="left" w:pos="851"/>
        </w:tabs>
        <w:ind w:left="850"/>
        <w:rPr>
          <w:spacing w:val="-3"/>
        </w:rPr>
      </w:pPr>
      <w:r w:rsidRPr="00290DD8">
        <w:rPr>
          <w:szCs w:val="24"/>
        </w:rPr>
        <w:t xml:space="preserve">Immunologisk medieret </w:t>
      </w:r>
      <w:proofErr w:type="spellStart"/>
      <w:r w:rsidRPr="00290DD8">
        <w:rPr>
          <w:szCs w:val="24"/>
        </w:rPr>
        <w:t>heparininduceret</w:t>
      </w:r>
      <w:proofErr w:type="spellEnd"/>
      <w:r w:rsidRPr="00290DD8">
        <w:rPr>
          <w:szCs w:val="24"/>
        </w:rPr>
        <w:t xml:space="preserve"> </w:t>
      </w:r>
      <w:proofErr w:type="spellStart"/>
      <w:r w:rsidRPr="00290DD8">
        <w:rPr>
          <w:szCs w:val="24"/>
        </w:rPr>
        <w:t>trombocytopeni</w:t>
      </w:r>
      <w:proofErr w:type="spellEnd"/>
      <w:r w:rsidRPr="00290DD8">
        <w:rPr>
          <w:szCs w:val="24"/>
        </w:rPr>
        <w:t xml:space="preserve"> (type II, med eller uden association til </w:t>
      </w:r>
      <w:proofErr w:type="spellStart"/>
      <w:r w:rsidRPr="00290DD8">
        <w:rPr>
          <w:szCs w:val="24"/>
        </w:rPr>
        <w:t>trombotiske</w:t>
      </w:r>
      <w:proofErr w:type="spellEnd"/>
      <w:r w:rsidRPr="00290DD8">
        <w:rPr>
          <w:szCs w:val="24"/>
        </w:rPr>
        <w:t xml:space="preserve"> komplikationer).</w:t>
      </w:r>
    </w:p>
    <w:p w:rsidR="00DF738B" w:rsidRDefault="00DF738B" w:rsidP="00E90606">
      <w:pPr>
        <w:tabs>
          <w:tab w:val="left" w:pos="0"/>
          <w:tab w:val="left" w:pos="851"/>
        </w:tabs>
        <w:ind w:left="850"/>
        <w:rPr>
          <w:b/>
          <w:szCs w:val="24"/>
        </w:rPr>
      </w:pPr>
    </w:p>
    <w:p w:rsidR="00DF738B" w:rsidRDefault="00290DD8" w:rsidP="00E90606">
      <w:pPr>
        <w:tabs>
          <w:tab w:val="left" w:pos="0"/>
          <w:tab w:val="left" w:pos="851"/>
        </w:tabs>
        <w:ind w:left="850"/>
        <w:rPr>
          <w:i/>
          <w:szCs w:val="24"/>
        </w:rPr>
      </w:pPr>
      <w:r w:rsidRPr="00DF738B">
        <w:rPr>
          <w:i/>
          <w:szCs w:val="24"/>
        </w:rPr>
        <w:t>Immunsystemet</w:t>
      </w:r>
    </w:p>
    <w:p w:rsidR="00290DD8" w:rsidRPr="00290DD8" w:rsidRDefault="00290DD8" w:rsidP="00E90606">
      <w:pPr>
        <w:tabs>
          <w:tab w:val="left" w:pos="0"/>
          <w:tab w:val="left" w:pos="851"/>
        </w:tabs>
        <w:ind w:left="850"/>
        <w:rPr>
          <w:szCs w:val="24"/>
        </w:rPr>
      </w:pPr>
      <w:r w:rsidRPr="00290DD8">
        <w:rPr>
          <w:szCs w:val="24"/>
        </w:rPr>
        <w:t>Anafylaktiske reaktioner.</w:t>
      </w:r>
    </w:p>
    <w:p w:rsidR="00DF738B" w:rsidRDefault="00DF738B" w:rsidP="00E90606">
      <w:pPr>
        <w:tabs>
          <w:tab w:val="left" w:pos="0"/>
          <w:tab w:val="left" w:pos="851"/>
        </w:tabs>
        <w:ind w:left="850"/>
        <w:rPr>
          <w:b/>
          <w:szCs w:val="24"/>
        </w:rPr>
      </w:pPr>
    </w:p>
    <w:p w:rsidR="00DF738B" w:rsidRDefault="00290DD8" w:rsidP="00E90606">
      <w:pPr>
        <w:tabs>
          <w:tab w:val="left" w:pos="0"/>
          <w:tab w:val="left" w:pos="851"/>
        </w:tabs>
        <w:ind w:left="850"/>
        <w:rPr>
          <w:i/>
          <w:szCs w:val="24"/>
        </w:rPr>
      </w:pPr>
      <w:r w:rsidRPr="00DF738B">
        <w:rPr>
          <w:i/>
          <w:szCs w:val="24"/>
        </w:rPr>
        <w:t>Nervesystemet</w:t>
      </w:r>
    </w:p>
    <w:p w:rsidR="00290DD8" w:rsidRPr="00290DD8" w:rsidRDefault="00290DD8" w:rsidP="00E90606">
      <w:pPr>
        <w:tabs>
          <w:tab w:val="left" w:pos="0"/>
          <w:tab w:val="left" w:pos="851"/>
        </w:tabs>
        <w:ind w:left="850"/>
        <w:rPr>
          <w:szCs w:val="24"/>
        </w:rPr>
      </w:pPr>
      <w:proofErr w:type="spellStart"/>
      <w:r w:rsidRPr="00290DD8">
        <w:rPr>
          <w:szCs w:val="24"/>
        </w:rPr>
        <w:t>Intrakranielle</w:t>
      </w:r>
      <w:proofErr w:type="spellEnd"/>
      <w:r w:rsidRPr="00290DD8">
        <w:rPr>
          <w:szCs w:val="24"/>
        </w:rPr>
        <w:t xml:space="preserve"> blødninger er set, hvoraf nogle var fatale.</w:t>
      </w:r>
    </w:p>
    <w:p w:rsidR="00DF738B" w:rsidRDefault="00DF738B" w:rsidP="00E90606">
      <w:pPr>
        <w:tabs>
          <w:tab w:val="left" w:pos="0"/>
          <w:tab w:val="left" w:pos="851"/>
        </w:tabs>
        <w:ind w:left="850"/>
        <w:rPr>
          <w:b/>
          <w:szCs w:val="24"/>
        </w:rPr>
      </w:pPr>
    </w:p>
    <w:p w:rsidR="009847F3" w:rsidRDefault="00290DD8" w:rsidP="00E90606">
      <w:pPr>
        <w:tabs>
          <w:tab w:val="left" w:pos="0"/>
          <w:tab w:val="left" w:pos="851"/>
        </w:tabs>
        <w:ind w:left="850"/>
        <w:rPr>
          <w:i/>
          <w:szCs w:val="24"/>
        </w:rPr>
      </w:pPr>
      <w:proofErr w:type="spellStart"/>
      <w:r w:rsidRPr="009847F3">
        <w:rPr>
          <w:i/>
          <w:szCs w:val="24"/>
        </w:rPr>
        <w:t>Vaskulære</w:t>
      </w:r>
      <w:proofErr w:type="spellEnd"/>
      <w:r w:rsidRPr="009847F3">
        <w:rPr>
          <w:i/>
          <w:szCs w:val="24"/>
        </w:rPr>
        <w:t xml:space="preserve"> sygdomme</w:t>
      </w:r>
    </w:p>
    <w:p w:rsidR="00290DD8" w:rsidRPr="00290DD8" w:rsidRDefault="00290DD8" w:rsidP="00E90606">
      <w:pPr>
        <w:tabs>
          <w:tab w:val="left" w:pos="0"/>
          <w:tab w:val="left" w:pos="851"/>
        </w:tabs>
        <w:ind w:left="850"/>
        <w:rPr>
          <w:szCs w:val="24"/>
        </w:rPr>
      </w:pPr>
      <w:r w:rsidRPr="00290DD8">
        <w:rPr>
          <w:szCs w:val="24"/>
        </w:rPr>
        <w:t>Blødning (af alle typer), hvoraf nogle var fatale.</w:t>
      </w:r>
    </w:p>
    <w:p w:rsidR="00DF738B" w:rsidRDefault="00DF738B" w:rsidP="00E90606">
      <w:pPr>
        <w:tabs>
          <w:tab w:val="left" w:pos="0"/>
          <w:tab w:val="left" w:pos="851"/>
        </w:tabs>
        <w:ind w:left="850"/>
        <w:rPr>
          <w:b/>
          <w:szCs w:val="24"/>
        </w:rPr>
      </w:pPr>
    </w:p>
    <w:p w:rsidR="009847F3" w:rsidRDefault="00290DD8" w:rsidP="00E90606">
      <w:pPr>
        <w:tabs>
          <w:tab w:val="left" w:pos="0"/>
          <w:tab w:val="left" w:pos="851"/>
        </w:tabs>
        <w:ind w:left="850"/>
        <w:rPr>
          <w:b/>
          <w:szCs w:val="24"/>
        </w:rPr>
      </w:pPr>
      <w:r w:rsidRPr="009847F3">
        <w:rPr>
          <w:i/>
          <w:szCs w:val="24"/>
        </w:rPr>
        <w:t>Mave-tarm-kanalen</w:t>
      </w:r>
    </w:p>
    <w:p w:rsidR="00290DD8" w:rsidRPr="00290DD8" w:rsidRDefault="00290DD8" w:rsidP="00E90606">
      <w:pPr>
        <w:tabs>
          <w:tab w:val="left" w:pos="0"/>
          <w:tab w:val="left" w:pos="851"/>
        </w:tabs>
        <w:ind w:left="850"/>
        <w:rPr>
          <w:b/>
          <w:szCs w:val="24"/>
        </w:rPr>
      </w:pPr>
      <w:proofErr w:type="spellStart"/>
      <w:r w:rsidRPr="00290DD8">
        <w:rPr>
          <w:szCs w:val="24"/>
        </w:rPr>
        <w:t>Retroperitoneale</w:t>
      </w:r>
      <w:proofErr w:type="spellEnd"/>
      <w:r w:rsidRPr="00290DD8">
        <w:rPr>
          <w:szCs w:val="24"/>
        </w:rPr>
        <w:t xml:space="preserve"> blødninger er set, hvoraf nogle var fatale.</w:t>
      </w:r>
    </w:p>
    <w:p w:rsidR="00DF738B" w:rsidRDefault="00DF738B" w:rsidP="00E90606">
      <w:pPr>
        <w:tabs>
          <w:tab w:val="left" w:pos="0"/>
          <w:tab w:val="left" w:pos="851"/>
        </w:tabs>
        <w:ind w:left="850"/>
        <w:rPr>
          <w:b/>
          <w:szCs w:val="24"/>
        </w:rPr>
      </w:pPr>
    </w:p>
    <w:p w:rsidR="009847F3" w:rsidRDefault="00290DD8" w:rsidP="00E90606">
      <w:pPr>
        <w:tabs>
          <w:tab w:val="left" w:pos="0"/>
          <w:tab w:val="left" w:pos="851"/>
        </w:tabs>
        <w:ind w:left="850"/>
        <w:rPr>
          <w:b/>
          <w:szCs w:val="24"/>
        </w:rPr>
      </w:pPr>
      <w:r w:rsidRPr="009847F3">
        <w:rPr>
          <w:i/>
          <w:szCs w:val="24"/>
        </w:rPr>
        <w:t>Hud og subkutant væv</w:t>
      </w:r>
    </w:p>
    <w:p w:rsidR="00290DD8" w:rsidRPr="00290DD8" w:rsidRDefault="00290DD8" w:rsidP="00E90606">
      <w:pPr>
        <w:tabs>
          <w:tab w:val="left" w:pos="0"/>
          <w:tab w:val="left" w:pos="851"/>
        </w:tabs>
        <w:ind w:left="850"/>
        <w:rPr>
          <w:szCs w:val="24"/>
        </w:rPr>
      </w:pPr>
      <w:proofErr w:type="spellStart"/>
      <w:r w:rsidRPr="00290DD8">
        <w:rPr>
          <w:szCs w:val="24"/>
        </w:rPr>
        <w:t>Hudnekroser</w:t>
      </w:r>
      <w:proofErr w:type="spellEnd"/>
      <w:r w:rsidRPr="00290DD8">
        <w:rPr>
          <w:szCs w:val="24"/>
        </w:rPr>
        <w:t>, udslæt.</w:t>
      </w:r>
    </w:p>
    <w:p w:rsidR="00DF738B" w:rsidRDefault="00DF738B" w:rsidP="00E90606">
      <w:pPr>
        <w:tabs>
          <w:tab w:val="left" w:pos="0"/>
          <w:tab w:val="left" w:pos="851"/>
        </w:tabs>
        <w:ind w:left="850"/>
        <w:rPr>
          <w:b/>
          <w:szCs w:val="24"/>
        </w:rPr>
      </w:pPr>
    </w:p>
    <w:p w:rsidR="009847F3" w:rsidRDefault="00290DD8" w:rsidP="00E90606">
      <w:pPr>
        <w:tabs>
          <w:tab w:val="left" w:pos="0"/>
          <w:tab w:val="left" w:pos="851"/>
        </w:tabs>
        <w:ind w:left="850"/>
        <w:rPr>
          <w:b/>
          <w:szCs w:val="24"/>
        </w:rPr>
      </w:pPr>
      <w:r w:rsidRPr="009847F3">
        <w:rPr>
          <w:i/>
          <w:szCs w:val="24"/>
        </w:rPr>
        <w:t>Traumer, forgiftninger og behandlingskomplikationer</w:t>
      </w:r>
    </w:p>
    <w:p w:rsidR="00290DD8" w:rsidRDefault="00290DD8" w:rsidP="00E90606">
      <w:pPr>
        <w:tabs>
          <w:tab w:val="left" w:pos="0"/>
          <w:tab w:val="left" w:pos="851"/>
        </w:tabs>
        <w:ind w:left="850"/>
        <w:rPr>
          <w:szCs w:val="24"/>
        </w:rPr>
      </w:pPr>
      <w:r w:rsidRPr="00290DD8">
        <w:rPr>
          <w:szCs w:val="24"/>
        </w:rPr>
        <w:t xml:space="preserve">Spinalt eller </w:t>
      </w:r>
      <w:proofErr w:type="spellStart"/>
      <w:r w:rsidRPr="00290DD8">
        <w:rPr>
          <w:szCs w:val="24"/>
        </w:rPr>
        <w:t>epiduralt</w:t>
      </w:r>
      <w:proofErr w:type="spellEnd"/>
      <w:r w:rsidRPr="00290DD8">
        <w:rPr>
          <w:szCs w:val="24"/>
        </w:rPr>
        <w:t xml:space="preserve"> </w:t>
      </w:r>
      <w:proofErr w:type="spellStart"/>
      <w:r w:rsidRPr="00290DD8">
        <w:rPr>
          <w:szCs w:val="24"/>
        </w:rPr>
        <w:t>hæmatom</w:t>
      </w:r>
      <w:proofErr w:type="spellEnd"/>
      <w:r w:rsidRPr="00290DD8">
        <w:rPr>
          <w:szCs w:val="24"/>
        </w:rPr>
        <w:t>.</w:t>
      </w:r>
    </w:p>
    <w:p w:rsidR="004A6904" w:rsidRPr="00290DD8" w:rsidRDefault="004A6904" w:rsidP="00E90606">
      <w:pPr>
        <w:tabs>
          <w:tab w:val="left" w:pos="0"/>
          <w:tab w:val="left" w:pos="851"/>
        </w:tabs>
        <w:ind w:left="850"/>
        <w:rPr>
          <w:b/>
          <w:szCs w:val="24"/>
        </w:rPr>
      </w:pPr>
    </w:p>
    <w:p w:rsidR="00290DD8" w:rsidRPr="00290DD8" w:rsidRDefault="00290DD8" w:rsidP="00E90606">
      <w:pPr>
        <w:tabs>
          <w:tab w:val="left" w:pos="0"/>
          <w:tab w:val="left" w:pos="851"/>
        </w:tabs>
        <w:ind w:left="850"/>
        <w:rPr>
          <w:szCs w:val="24"/>
          <w:u w:val="single"/>
        </w:rPr>
      </w:pPr>
      <w:r w:rsidRPr="00290DD8">
        <w:rPr>
          <w:szCs w:val="24"/>
          <w:u w:val="single"/>
        </w:rPr>
        <w:t>Pædiatrisk population</w:t>
      </w:r>
    </w:p>
    <w:p w:rsidR="00290DD8" w:rsidRPr="00290DD8" w:rsidRDefault="00290DD8" w:rsidP="00E90606">
      <w:pPr>
        <w:tabs>
          <w:tab w:val="left" w:pos="0"/>
          <w:tab w:val="left" w:pos="851"/>
        </w:tabs>
        <w:ind w:left="850"/>
        <w:rPr>
          <w:szCs w:val="24"/>
        </w:rPr>
      </w:pPr>
      <w:r w:rsidRPr="00290DD8">
        <w:rPr>
          <w:szCs w:val="24"/>
        </w:rPr>
        <w:t xml:space="preserve">Bivirkningshyppighed, art og alvorlighed forventes at være den samme hos børn som hos voksne. </w:t>
      </w:r>
      <w:proofErr w:type="spellStart"/>
      <w:r w:rsidRPr="00290DD8">
        <w:rPr>
          <w:spacing w:val="-3"/>
        </w:rPr>
        <w:t>Fragmins</w:t>
      </w:r>
      <w:proofErr w:type="spellEnd"/>
      <w:r w:rsidRPr="00290DD8">
        <w:rPr>
          <w:spacing w:val="-3"/>
        </w:rPr>
        <w:t xml:space="preserve"> sikkerhed ved langtidsbrug er ikke klarlagt.</w:t>
      </w:r>
    </w:p>
    <w:p w:rsidR="009847F3" w:rsidRPr="00525B88" w:rsidRDefault="009847F3" w:rsidP="009847F3">
      <w:pPr>
        <w:tabs>
          <w:tab w:val="left" w:pos="1304"/>
          <w:tab w:val="center" w:pos="4819"/>
          <w:tab w:val="right" w:pos="9638"/>
        </w:tabs>
        <w:spacing w:line="240" w:lineRule="atLeast"/>
        <w:ind w:left="851" w:hanging="851"/>
        <w:rPr>
          <w:szCs w:val="24"/>
        </w:rPr>
      </w:pPr>
    </w:p>
    <w:p w:rsidR="008D3A79" w:rsidRPr="008F49E1" w:rsidRDefault="008D3A79" w:rsidP="00921190">
      <w:pPr>
        <w:autoSpaceDE w:val="0"/>
        <w:autoSpaceDN w:val="0"/>
        <w:ind w:left="851"/>
        <w:rPr>
          <w:szCs w:val="24"/>
          <w:u w:val="single"/>
        </w:rPr>
      </w:pPr>
      <w:r w:rsidRPr="008F49E1">
        <w:rPr>
          <w:szCs w:val="24"/>
          <w:u w:val="single"/>
        </w:rPr>
        <w:t>Indberetning af formodede bivirkninger</w:t>
      </w:r>
    </w:p>
    <w:p w:rsidR="008D3A79" w:rsidRPr="008F49E1" w:rsidRDefault="008D3A79" w:rsidP="00921190">
      <w:pPr>
        <w:ind w:left="851"/>
        <w:rPr>
          <w:szCs w:val="24"/>
        </w:rPr>
      </w:pPr>
      <w:r w:rsidRPr="008F49E1">
        <w:rPr>
          <w:szCs w:val="24"/>
        </w:rPr>
        <w:t>Når lægemidlet er godkendt, er indberetning af formodede bivirkninger vigtig. Det muliggør løbende overvågning af benefit/</w:t>
      </w:r>
      <w:proofErr w:type="spellStart"/>
      <w:r w:rsidRPr="008F49E1">
        <w:rPr>
          <w:szCs w:val="24"/>
        </w:rPr>
        <w:t>risk</w:t>
      </w:r>
      <w:proofErr w:type="spellEnd"/>
      <w:r w:rsidRPr="008F49E1">
        <w:rPr>
          <w:szCs w:val="24"/>
        </w:rPr>
        <w:t xml:space="preserve">-forholdet for lægemidlet. </w:t>
      </w:r>
      <w:r>
        <w:rPr>
          <w:szCs w:val="24"/>
        </w:rPr>
        <w:t>Sundhedspersoner</w:t>
      </w:r>
      <w:r w:rsidRPr="008F49E1">
        <w:rPr>
          <w:szCs w:val="24"/>
        </w:rPr>
        <w:t xml:space="preserve"> anmodes om at indberette alle formodede bivirkninger via:</w:t>
      </w:r>
    </w:p>
    <w:p w:rsidR="008D3A79" w:rsidRPr="008F49E1" w:rsidRDefault="008D3A79" w:rsidP="00921190">
      <w:pPr>
        <w:ind w:left="851"/>
        <w:rPr>
          <w:szCs w:val="24"/>
        </w:rPr>
      </w:pPr>
    </w:p>
    <w:p w:rsidR="008D3A79" w:rsidRPr="007A276A" w:rsidRDefault="008D3A79" w:rsidP="00921190">
      <w:pPr>
        <w:ind w:left="851"/>
        <w:rPr>
          <w:szCs w:val="24"/>
        </w:rPr>
      </w:pPr>
      <w:r w:rsidRPr="007A276A">
        <w:rPr>
          <w:szCs w:val="24"/>
        </w:rPr>
        <w:t>Lægemiddelstyrelsen</w:t>
      </w:r>
    </w:p>
    <w:p w:rsidR="008D3A79" w:rsidRPr="007A276A" w:rsidRDefault="008D3A79" w:rsidP="00921190">
      <w:pPr>
        <w:ind w:left="851"/>
        <w:rPr>
          <w:szCs w:val="24"/>
        </w:rPr>
      </w:pPr>
      <w:r w:rsidRPr="007A276A">
        <w:rPr>
          <w:szCs w:val="24"/>
        </w:rPr>
        <w:t>Axel Heides Gade 1</w:t>
      </w:r>
    </w:p>
    <w:p w:rsidR="008D3A79" w:rsidRPr="007A276A" w:rsidRDefault="008D3A79" w:rsidP="00921190">
      <w:pPr>
        <w:ind w:left="851"/>
        <w:rPr>
          <w:szCs w:val="24"/>
        </w:rPr>
      </w:pPr>
      <w:r w:rsidRPr="007A276A">
        <w:rPr>
          <w:szCs w:val="24"/>
        </w:rPr>
        <w:t>DK-2300 København S</w:t>
      </w:r>
    </w:p>
    <w:p w:rsidR="00C56696" w:rsidRDefault="008D3A79" w:rsidP="00C56696">
      <w:pPr>
        <w:ind w:left="851"/>
        <w:rPr>
          <w:rStyle w:val="Hyperlink"/>
          <w:szCs w:val="24"/>
        </w:rPr>
      </w:pPr>
      <w:r w:rsidRPr="008D3A79">
        <w:rPr>
          <w:szCs w:val="24"/>
        </w:rPr>
        <w:t xml:space="preserve">Websted: </w:t>
      </w:r>
      <w:hyperlink r:id="rId8" w:history="1">
        <w:r w:rsidRPr="00C81242">
          <w:rPr>
            <w:rStyle w:val="Hyperlink"/>
          </w:rPr>
          <w:t>www.meldenbivirkning.dk</w:t>
        </w:r>
      </w:hyperlink>
      <w:r>
        <w:t xml:space="preserve"> </w:t>
      </w:r>
    </w:p>
    <w:p w:rsidR="009847F3" w:rsidRPr="004A6904" w:rsidRDefault="009847F3" w:rsidP="009847F3">
      <w:pPr>
        <w:rPr>
          <w:szCs w:val="24"/>
        </w:rPr>
      </w:pPr>
    </w:p>
    <w:p w:rsidR="00E55E88" w:rsidRPr="00290DD8" w:rsidRDefault="00E55E88" w:rsidP="00E90606">
      <w:pPr>
        <w:numPr>
          <w:ilvl w:val="1"/>
          <w:numId w:val="22"/>
        </w:numPr>
        <w:rPr>
          <w:b/>
          <w:szCs w:val="24"/>
        </w:rPr>
      </w:pPr>
      <w:r w:rsidRPr="00290DD8">
        <w:rPr>
          <w:b/>
          <w:szCs w:val="24"/>
        </w:rPr>
        <w:t>Overdosering</w:t>
      </w:r>
    </w:p>
    <w:p w:rsidR="00E55E88" w:rsidRPr="008C52B0" w:rsidRDefault="00E55E88" w:rsidP="00E90606">
      <w:pPr>
        <w:ind w:left="851"/>
        <w:rPr>
          <w:szCs w:val="24"/>
          <w:u w:val="single"/>
        </w:rPr>
      </w:pPr>
      <w:r w:rsidRPr="008C52B0">
        <w:rPr>
          <w:szCs w:val="24"/>
          <w:u w:val="single"/>
        </w:rPr>
        <w:t>Sympto</w:t>
      </w:r>
      <w:r w:rsidR="008C52B0">
        <w:rPr>
          <w:szCs w:val="24"/>
          <w:u w:val="single"/>
        </w:rPr>
        <w:t>mer</w:t>
      </w:r>
    </w:p>
    <w:p w:rsidR="00E55E88" w:rsidRPr="00290DD8" w:rsidRDefault="00E55E88" w:rsidP="00E90606">
      <w:pPr>
        <w:ind w:left="851"/>
        <w:rPr>
          <w:i/>
        </w:rPr>
      </w:pPr>
      <w:r w:rsidRPr="00290DD8">
        <w:t xml:space="preserve">Blødningskomplikationer. </w:t>
      </w:r>
    </w:p>
    <w:p w:rsidR="00E55E88" w:rsidRPr="00290DD8" w:rsidRDefault="00E55E88" w:rsidP="00E90606">
      <w:pPr>
        <w:ind w:left="851"/>
      </w:pPr>
    </w:p>
    <w:p w:rsidR="00E55E88" w:rsidRPr="00290DD8" w:rsidRDefault="00E55E88" w:rsidP="00E90606">
      <w:pPr>
        <w:ind w:left="851"/>
        <w:rPr>
          <w:b/>
          <w:szCs w:val="24"/>
        </w:rPr>
      </w:pPr>
      <w:r w:rsidRPr="008C52B0">
        <w:rPr>
          <w:u w:val="single"/>
        </w:rPr>
        <w:t>Behandling</w:t>
      </w:r>
    </w:p>
    <w:p w:rsidR="00E55E88" w:rsidRPr="00290DD8" w:rsidRDefault="00E55E88" w:rsidP="00E90606">
      <w:pPr>
        <w:ind w:left="851"/>
        <w:rPr>
          <w:spacing w:val="-3"/>
          <w:szCs w:val="24"/>
        </w:rPr>
      </w:pPr>
      <w:proofErr w:type="spellStart"/>
      <w:r w:rsidRPr="00290DD8">
        <w:rPr>
          <w:spacing w:val="-3"/>
          <w:szCs w:val="24"/>
        </w:rPr>
        <w:lastRenderedPageBreak/>
        <w:t>Dalteparinnatriums</w:t>
      </w:r>
      <w:proofErr w:type="spellEnd"/>
      <w:r w:rsidRPr="00290DD8">
        <w:rPr>
          <w:spacing w:val="-3"/>
          <w:szCs w:val="24"/>
        </w:rPr>
        <w:t xml:space="preserve"> antikoagulerende virkning kan hæmmes af </w:t>
      </w:r>
      <w:proofErr w:type="spellStart"/>
      <w:r w:rsidRPr="00290DD8">
        <w:rPr>
          <w:spacing w:val="-3"/>
          <w:szCs w:val="24"/>
        </w:rPr>
        <w:t>protamin</w:t>
      </w:r>
      <w:proofErr w:type="spellEnd"/>
      <w:r w:rsidR="003E108B" w:rsidRPr="00290DD8">
        <w:rPr>
          <w:spacing w:val="-3"/>
          <w:szCs w:val="24"/>
        </w:rPr>
        <w:t xml:space="preserve"> (1 mg)</w:t>
      </w:r>
      <w:r w:rsidRPr="00290DD8">
        <w:rPr>
          <w:spacing w:val="-3"/>
          <w:szCs w:val="24"/>
        </w:rPr>
        <w:t xml:space="preserve">. Den inducerede forlængelse af koagulationstiden i plasma neutraliseres fuldstændigt, hvorimod </w:t>
      </w:r>
      <w:proofErr w:type="spellStart"/>
      <w:r w:rsidRPr="00290DD8">
        <w:rPr>
          <w:spacing w:val="-3"/>
          <w:szCs w:val="24"/>
        </w:rPr>
        <w:t>anti</w:t>
      </w:r>
      <w:proofErr w:type="spellEnd"/>
      <w:r w:rsidRPr="00290DD8">
        <w:rPr>
          <w:spacing w:val="-3"/>
          <w:szCs w:val="24"/>
        </w:rPr>
        <w:t>-</w:t>
      </w:r>
      <w:proofErr w:type="spellStart"/>
      <w:r w:rsidRPr="00290DD8">
        <w:rPr>
          <w:spacing w:val="-3"/>
          <w:szCs w:val="24"/>
        </w:rPr>
        <w:t>Xa</w:t>
      </w:r>
      <w:proofErr w:type="spellEnd"/>
      <w:r w:rsidRPr="00290DD8">
        <w:rPr>
          <w:spacing w:val="-3"/>
          <w:szCs w:val="24"/>
        </w:rPr>
        <w:t>-aktiviteten kun neutraliseres til ca. 25-50</w:t>
      </w:r>
      <w:r w:rsidR="008C52B0">
        <w:rPr>
          <w:spacing w:val="-3"/>
          <w:szCs w:val="24"/>
        </w:rPr>
        <w:t xml:space="preserve"> </w:t>
      </w:r>
      <w:r w:rsidRPr="00290DD8">
        <w:rPr>
          <w:spacing w:val="-3"/>
          <w:szCs w:val="24"/>
        </w:rPr>
        <w:t xml:space="preserve">%. 1 mg </w:t>
      </w:r>
      <w:proofErr w:type="spellStart"/>
      <w:r w:rsidRPr="00290DD8">
        <w:rPr>
          <w:spacing w:val="-3"/>
          <w:szCs w:val="24"/>
        </w:rPr>
        <w:t>protamin</w:t>
      </w:r>
      <w:proofErr w:type="spellEnd"/>
      <w:r w:rsidRPr="00290DD8">
        <w:rPr>
          <w:spacing w:val="-3"/>
          <w:szCs w:val="24"/>
        </w:rPr>
        <w:t xml:space="preserve"> hæmmer effekten af 100 </w:t>
      </w:r>
      <w:proofErr w:type="spellStart"/>
      <w:r w:rsidRPr="00290DD8">
        <w:rPr>
          <w:spacing w:val="-3"/>
          <w:szCs w:val="24"/>
        </w:rPr>
        <w:t>anti-Xa</w:t>
      </w:r>
      <w:proofErr w:type="spellEnd"/>
      <w:r w:rsidRPr="00290DD8">
        <w:rPr>
          <w:spacing w:val="-3"/>
          <w:szCs w:val="24"/>
        </w:rPr>
        <w:t xml:space="preserve"> IE </w:t>
      </w:r>
      <w:proofErr w:type="spellStart"/>
      <w:r w:rsidRPr="00290DD8">
        <w:rPr>
          <w:spacing w:val="-3"/>
          <w:szCs w:val="24"/>
        </w:rPr>
        <w:t>dalteparin</w:t>
      </w:r>
      <w:proofErr w:type="spellEnd"/>
      <w:r w:rsidRPr="00290DD8">
        <w:rPr>
          <w:spacing w:val="-3"/>
          <w:szCs w:val="24"/>
        </w:rPr>
        <w:t>.</w:t>
      </w:r>
    </w:p>
    <w:p w:rsidR="00E55E88" w:rsidRPr="00290DD8" w:rsidRDefault="00E55E88" w:rsidP="00E90606">
      <w:pPr>
        <w:ind w:left="851"/>
        <w:rPr>
          <w:spacing w:val="-3"/>
          <w:szCs w:val="24"/>
        </w:rPr>
      </w:pPr>
      <w:proofErr w:type="spellStart"/>
      <w:r w:rsidRPr="00290DD8">
        <w:rPr>
          <w:spacing w:val="-3"/>
          <w:szCs w:val="24"/>
        </w:rPr>
        <w:t>Protamin</w:t>
      </w:r>
      <w:proofErr w:type="spellEnd"/>
      <w:r w:rsidRPr="00290DD8">
        <w:rPr>
          <w:spacing w:val="-3"/>
          <w:szCs w:val="24"/>
        </w:rPr>
        <w:t xml:space="preserve"> har en hæmmende virkning på den primære </w:t>
      </w:r>
      <w:proofErr w:type="spellStart"/>
      <w:r w:rsidRPr="00290DD8">
        <w:rPr>
          <w:spacing w:val="-3"/>
          <w:szCs w:val="24"/>
        </w:rPr>
        <w:t>hæmostase</w:t>
      </w:r>
      <w:proofErr w:type="spellEnd"/>
      <w:r w:rsidRPr="00290DD8">
        <w:rPr>
          <w:spacing w:val="-3"/>
          <w:szCs w:val="24"/>
        </w:rPr>
        <w:t xml:space="preserve"> og bør kun anvendes i nødstilfælde.</w:t>
      </w:r>
    </w:p>
    <w:p w:rsidR="00E84D5F" w:rsidRPr="00290DD8" w:rsidRDefault="00E84D5F" w:rsidP="00E90606">
      <w:pPr>
        <w:tabs>
          <w:tab w:val="left" w:pos="0"/>
          <w:tab w:val="left" w:pos="851"/>
        </w:tabs>
        <w:rPr>
          <w:spacing w:val="-3"/>
        </w:rPr>
      </w:pPr>
    </w:p>
    <w:p w:rsidR="00E84D5F" w:rsidRPr="00290DD8" w:rsidRDefault="00E84D5F" w:rsidP="00E90606">
      <w:pPr>
        <w:numPr>
          <w:ilvl w:val="1"/>
          <w:numId w:val="22"/>
        </w:numPr>
        <w:tabs>
          <w:tab w:val="clear" w:pos="855"/>
          <w:tab w:val="left" w:pos="851"/>
        </w:tabs>
        <w:rPr>
          <w:b/>
          <w:spacing w:val="-3"/>
        </w:rPr>
      </w:pPr>
      <w:r w:rsidRPr="00290DD8">
        <w:rPr>
          <w:b/>
          <w:spacing w:val="-3"/>
        </w:rPr>
        <w:t>Udlevering</w:t>
      </w:r>
    </w:p>
    <w:p w:rsidR="00E84D5F" w:rsidRPr="00290DD8" w:rsidRDefault="00E84D5F" w:rsidP="00E90606">
      <w:pPr>
        <w:tabs>
          <w:tab w:val="left" w:pos="0"/>
          <w:tab w:val="left" w:pos="851"/>
        </w:tabs>
        <w:ind w:left="850" w:hanging="850"/>
        <w:rPr>
          <w:spacing w:val="-3"/>
        </w:rPr>
      </w:pPr>
      <w:r w:rsidRPr="00290DD8">
        <w:rPr>
          <w:spacing w:val="-3"/>
        </w:rPr>
        <w:tab/>
        <w:t>B</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rPr>
          <w:spacing w:val="-3"/>
        </w:rPr>
      </w:pPr>
    </w:p>
    <w:p w:rsidR="00E84D5F" w:rsidRPr="00290DD8" w:rsidRDefault="00E84D5F" w:rsidP="00E90606">
      <w:pPr>
        <w:tabs>
          <w:tab w:val="left" w:pos="851"/>
        </w:tabs>
        <w:ind w:left="851" w:hanging="851"/>
        <w:rPr>
          <w:b/>
          <w:spacing w:val="-3"/>
        </w:rPr>
      </w:pPr>
      <w:r w:rsidRPr="00290DD8">
        <w:rPr>
          <w:b/>
          <w:spacing w:val="-3"/>
        </w:rPr>
        <w:t>5.</w:t>
      </w:r>
      <w:r w:rsidRPr="00290DD8">
        <w:rPr>
          <w:b/>
          <w:spacing w:val="-3"/>
        </w:rPr>
        <w:tab/>
        <w:t xml:space="preserve">FARMAKOLOGISKE </w:t>
      </w:r>
      <w:r w:rsidR="00290DD8" w:rsidRPr="00290DD8">
        <w:rPr>
          <w:b/>
          <w:spacing w:val="-3"/>
        </w:rPr>
        <w:t>EGENSKABER</w:t>
      </w:r>
    </w:p>
    <w:p w:rsidR="00E84D5F" w:rsidRPr="00290DD8" w:rsidRDefault="00E84D5F" w:rsidP="00E90606">
      <w:pPr>
        <w:tabs>
          <w:tab w:val="left" w:pos="0"/>
          <w:tab w:val="left" w:pos="851"/>
        </w:tabs>
        <w:rPr>
          <w:b/>
          <w:spacing w:val="-3"/>
        </w:rPr>
      </w:pPr>
    </w:p>
    <w:p w:rsidR="00E84D5F" w:rsidRPr="00290DD8" w:rsidRDefault="00E84D5F" w:rsidP="00E90606">
      <w:pPr>
        <w:tabs>
          <w:tab w:val="left" w:pos="0"/>
          <w:tab w:val="left" w:pos="851"/>
        </w:tabs>
        <w:ind w:left="850" w:hanging="850"/>
        <w:rPr>
          <w:b/>
          <w:spacing w:val="-3"/>
        </w:rPr>
      </w:pPr>
      <w:r w:rsidRPr="00290DD8">
        <w:rPr>
          <w:b/>
          <w:spacing w:val="-3"/>
        </w:rPr>
        <w:t>5.0</w:t>
      </w:r>
      <w:r w:rsidRPr="00290DD8">
        <w:rPr>
          <w:b/>
          <w:spacing w:val="-3"/>
        </w:rPr>
        <w:tab/>
        <w:t>Terapeutisk klassifikation</w:t>
      </w:r>
    </w:p>
    <w:p w:rsidR="00CC5021" w:rsidRPr="00290DD8" w:rsidRDefault="00E84D5F" w:rsidP="00E90606">
      <w:pPr>
        <w:tabs>
          <w:tab w:val="left" w:pos="0"/>
          <w:tab w:val="left" w:pos="851"/>
        </w:tabs>
        <w:ind w:left="850" w:hanging="850"/>
        <w:rPr>
          <w:spacing w:val="-3"/>
        </w:rPr>
      </w:pPr>
      <w:r w:rsidRPr="00290DD8">
        <w:rPr>
          <w:spacing w:val="-3"/>
        </w:rPr>
        <w:tab/>
      </w:r>
      <w:r w:rsidR="008C52B0">
        <w:rPr>
          <w:spacing w:val="-3"/>
        </w:rPr>
        <w:t xml:space="preserve">ATC-kode: </w:t>
      </w:r>
      <w:r w:rsidR="00E55E88" w:rsidRPr="00290DD8">
        <w:rPr>
          <w:spacing w:val="-3"/>
        </w:rPr>
        <w:t>B 01 AB 04</w:t>
      </w:r>
      <w:r w:rsidR="008C52B0">
        <w:rPr>
          <w:spacing w:val="-3"/>
        </w:rPr>
        <w:t xml:space="preserve">. </w:t>
      </w:r>
      <w:proofErr w:type="spellStart"/>
      <w:r w:rsidR="00CC5021" w:rsidRPr="00290DD8">
        <w:rPr>
          <w:spacing w:val="-3"/>
        </w:rPr>
        <w:t>Antitrombosemidler</w:t>
      </w:r>
      <w:proofErr w:type="spellEnd"/>
      <w:r w:rsidR="008C52B0">
        <w:rPr>
          <w:spacing w:val="-3"/>
        </w:rPr>
        <w:t xml:space="preserve">, </w:t>
      </w:r>
      <w:proofErr w:type="spellStart"/>
      <w:r w:rsidR="008C52B0">
        <w:rPr>
          <w:spacing w:val="-3"/>
        </w:rPr>
        <w:t>h</w:t>
      </w:r>
      <w:r w:rsidR="00CC5021" w:rsidRPr="00290DD8">
        <w:rPr>
          <w:spacing w:val="-3"/>
        </w:rPr>
        <w:t>eparingruppen</w:t>
      </w:r>
      <w:proofErr w:type="spellEnd"/>
      <w:r w:rsidR="00CC5021" w:rsidRPr="00290DD8">
        <w:rPr>
          <w:spacing w:val="-3"/>
        </w:rPr>
        <w:t>.</w:t>
      </w:r>
    </w:p>
    <w:p w:rsidR="0061515A" w:rsidRPr="00290DD8" w:rsidRDefault="0061515A" w:rsidP="00E90606">
      <w:pPr>
        <w:tabs>
          <w:tab w:val="left" w:pos="0"/>
          <w:tab w:val="left" w:pos="851"/>
        </w:tabs>
        <w:ind w:left="850" w:hanging="850"/>
        <w:rPr>
          <w:spacing w:val="-3"/>
        </w:rPr>
      </w:pPr>
    </w:p>
    <w:p w:rsidR="00E84D5F" w:rsidRPr="00290DD8" w:rsidRDefault="00E84D5F" w:rsidP="00E90606">
      <w:pPr>
        <w:tabs>
          <w:tab w:val="left" w:pos="851"/>
        </w:tabs>
        <w:rPr>
          <w:b/>
          <w:spacing w:val="-3"/>
        </w:rPr>
      </w:pPr>
      <w:r w:rsidRPr="00290DD8">
        <w:rPr>
          <w:b/>
          <w:spacing w:val="-3"/>
        </w:rPr>
        <w:t>5.1</w:t>
      </w:r>
      <w:r w:rsidRPr="00290DD8">
        <w:rPr>
          <w:b/>
          <w:spacing w:val="-3"/>
        </w:rPr>
        <w:tab/>
      </w:r>
      <w:proofErr w:type="spellStart"/>
      <w:r w:rsidRPr="00290DD8">
        <w:rPr>
          <w:b/>
          <w:spacing w:val="-3"/>
        </w:rPr>
        <w:t>Farmakodynamiske</w:t>
      </w:r>
      <w:proofErr w:type="spellEnd"/>
      <w:r w:rsidRPr="00290DD8">
        <w:rPr>
          <w:b/>
          <w:spacing w:val="-3"/>
        </w:rPr>
        <w:t xml:space="preserve"> egenskaber</w:t>
      </w:r>
    </w:p>
    <w:p w:rsidR="007D3C7C" w:rsidRPr="00290DD8" w:rsidRDefault="00E84D5F" w:rsidP="007D3C7C">
      <w:pPr>
        <w:tabs>
          <w:tab w:val="left" w:pos="0"/>
          <w:tab w:val="left" w:pos="851"/>
        </w:tabs>
        <w:ind w:left="850" w:hanging="850"/>
        <w:rPr>
          <w:spacing w:val="-3"/>
        </w:rPr>
      </w:pPr>
      <w:r w:rsidRPr="00290DD8">
        <w:rPr>
          <w:spacing w:val="-3"/>
        </w:rPr>
        <w:tab/>
      </w:r>
      <w:proofErr w:type="spellStart"/>
      <w:r w:rsidR="007D3C7C" w:rsidRPr="00290DD8">
        <w:rPr>
          <w:spacing w:val="-3"/>
        </w:rPr>
        <w:t>Dalteparinnatrium</w:t>
      </w:r>
      <w:proofErr w:type="spellEnd"/>
      <w:r w:rsidR="007D3C7C" w:rsidRPr="00290DD8">
        <w:rPr>
          <w:spacing w:val="-3"/>
        </w:rPr>
        <w:t xml:space="preserve"> er et lavmolekylært </w:t>
      </w:r>
      <w:proofErr w:type="spellStart"/>
      <w:r w:rsidR="007D3C7C" w:rsidRPr="00290DD8">
        <w:rPr>
          <w:spacing w:val="-3"/>
        </w:rPr>
        <w:t>heparinpræparat</w:t>
      </w:r>
      <w:proofErr w:type="spellEnd"/>
      <w:r w:rsidR="007D3C7C" w:rsidRPr="00290DD8">
        <w:rPr>
          <w:spacing w:val="-3"/>
        </w:rPr>
        <w:t xml:space="preserve">, som er udvundet af </w:t>
      </w:r>
      <w:proofErr w:type="spellStart"/>
      <w:r w:rsidR="007D3C7C" w:rsidRPr="00290DD8">
        <w:rPr>
          <w:spacing w:val="-3"/>
        </w:rPr>
        <w:t>svinemucosa</w:t>
      </w:r>
      <w:proofErr w:type="spellEnd"/>
      <w:r w:rsidR="007D3C7C" w:rsidRPr="00290DD8">
        <w:rPr>
          <w:spacing w:val="-3"/>
        </w:rPr>
        <w:t xml:space="preserve"> og har en gennemsnitsmolekylevægt på 5.000.</w:t>
      </w:r>
    </w:p>
    <w:p w:rsidR="007D3C7C" w:rsidRPr="00290DD8" w:rsidRDefault="007D3C7C" w:rsidP="007D3C7C">
      <w:pPr>
        <w:tabs>
          <w:tab w:val="left" w:pos="0"/>
          <w:tab w:val="left" w:pos="851"/>
        </w:tabs>
        <w:ind w:left="850" w:hanging="850"/>
        <w:rPr>
          <w:spacing w:val="-3"/>
        </w:rPr>
      </w:pPr>
      <w:r w:rsidRPr="00290DD8">
        <w:rPr>
          <w:spacing w:val="-3"/>
        </w:rPr>
        <w:tab/>
      </w:r>
      <w:proofErr w:type="spellStart"/>
      <w:r w:rsidRPr="00290DD8">
        <w:rPr>
          <w:spacing w:val="-3"/>
        </w:rPr>
        <w:t>Dalteparinnatriums</w:t>
      </w:r>
      <w:proofErr w:type="spellEnd"/>
      <w:r w:rsidRPr="00290DD8">
        <w:rPr>
          <w:spacing w:val="-3"/>
        </w:rPr>
        <w:t xml:space="preserve"> </w:t>
      </w:r>
      <w:proofErr w:type="spellStart"/>
      <w:r w:rsidRPr="00290DD8">
        <w:rPr>
          <w:spacing w:val="-3"/>
        </w:rPr>
        <w:t>antitrombotiske</w:t>
      </w:r>
      <w:proofErr w:type="spellEnd"/>
      <w:r w:rsidRPr="00290DD8">
        <w:rPr>
          <w:spacing w:val="-3"/>
        </w:rPr>
        <w:t xml:space="preserve"> effekt skyldes dets evne til at forstærke hæmningen af faktor </w:t>
      </w:r>
      <w:proofErr w:type="spellStart"/>
      <w:r w:rsidRPr="00290DD8">
        <w:rPr>
          <w:spacing w:val="-3"/>
        </w:rPr>
        <w:t>Xa</w:t>
      </w:r>
      <w:proofErr w:type="spellEnd"/>
      <w:r w:rsidRPr="00290DD8">
        <w:rPr>
          <w:spacing w:val="-3"/>
        </w:rPr>
        <w:t xml:space="preserve"> og </w:t>
      </w:r>
      <w:proofErr w:type="spellStart"/>
      <w:r w:rsidRPr="00290DD8">
        <w:rPr>
          <w:spacing w:val="-3"/>
        </w:rPr>
        <w:t>trombin</w:t>
      </w:r>
      <w:proofErr w:type="spellEnd"/>
      <w:r w:rsidRPr="00290DD8">
        <w:rPr>
          <w:spacing w:val="-3"/>
        </w:rPr>
        <w:t xml:space="preserve"> ved hjælp af </w:t>
      </w:r>
      <w:proofErr w:type="spellStart"/>
      <w:r w:rsidRPr="00290DD8">
        <w:rPr>
          <w:spacing w:val="-3"/>
        </w:rPr>
        <w:t>antitrombin</w:t>
      </w:r>
      <w:proofErr w:type="spellEnd"/>
      <w:r w:rsidRPr="00290DD8">
        <w:rPr>
          <w:spacing w:val="-3"/>
        </w:rPr>
        <w:t>.</w:t>
      </w:r>
    </w:p>
    <w:p w:rsidR="007D3C7C" w:rsidRPr="00290DD8" w:rsidRDefault="007D3C7C" w:rsidP="007D3C7C">
      <w:pPr>
        <w:tabs>
          <w:tab w:val="left" w:pos="0"/>
          <w:tab w:val="left" w:pos="851"/>
        </w:tabs>
        <w:ind w:left="850" w:hanging="850"/>
        <w:rPr>
          <w:spacing w:val="-3"/>
        </w:rPr>
      </w:pPr>
    </w:p>
    <w:p w:rsidR="007D3C7C" w:rsidRPr="00290DD8" w:rsidRDefault="007D3C7C" w:rsidP="007D3C7C">
      <w:pPr>
        <w:tabs>
          <w:tab w:val="left" w:pos="0"/>
          <w:tab w:val="left" w:pos="851"/>
        </w:tabs>
        <w:ind w:left="850" w:hanging="850"/>
        <w:rPr>
          <w:spacing w:val="-3"/>
        </w:rPr>
      </w:pPr>
      <w:r w:rsidRPr="00290DD8">
        <w:rPr>
          <w:spacing w:val="-3"/>
        </w:rPr>
        <w:tab/>
      </w:r>
      <w:proofErr w:type="spellStart"/>
      <w:r w:rsidRPr="00290DD8">
        <w:rPr>
          <w:spacing w:val="-3"/>
        </w:rPr>
        <w:t>Dalteparinnatrium</w:t>
      </w:r>
      <w:proofErr w:type="spellEnd"/>
      <w:r w:rsidRPr="00290DD8">
        <w:rPr>
          <w:spacing w:val="-3"/>
        </w:rPr>
        <w:t xml:space="preserve"> har en relativt større evne til at forstærke faktor </w:t>
      </w:r>
      <w:proofErr w:type="spellStart"/>
      <w:r w:rsidRPr="00290DD8">
        <w:rPr>
          <w:spacing w:val="-3"/>
        </w:rPr>
        <w:t>Xa</w:t>
      </w:r>
      <w:proofErr w:type="spellEnd"/>
      <w:r w:rsidRPr="00290DD8">
        <w:rPr>
          <w:spacing w:val="-3"/>
        </w:rPr>
        <w:t xml:space="preserve"> hæmningen end til at forlænge APTT. </w:t>
      </w:r>
      <w:proofErr w:type="spellStart"/>
      <w:r w:rsidRPr="00290DD8">
        <w:rPr>
          <w:spacing w:val="-3"/>
        </w:rPr>
        <w:t>Dalteparinnatrium</w:t>
      </w:r>
      <w:proofErr w:type="spellEnd"/>
      <w:r w:rsidRPr="00290DD8">
        <w:rPr>
          <w:spacing w:val="-3"/>
        </w:rPr>
        <w:t xml:space="preserve"> har mindre effekt på blodpladefunktion og blodpladeadhæsion end </w:t>
      </w:r>
      <w:proofErr w:type="spellStart"/>
      <w:r w:rsidRPr="00290DD8">
        <w:rPr>
          <w:spacing w:val="-3"/>
        </w:rPr>
        <w:t>heparin</w:t>
      </w:r>
      <w:proofErr w:type="spellEnd"/>
      <w:r w:rsidRPr="00290DD8">
        <w:rPr>
          <w:spacing w:val="-3"/>
        </w:rPr>
        <w:t xml:space="preserve"> og har derfor kun ringe effekt på den primære </w:t>
      </w:r>
      <w:proofErr w:type="spellStart"/>
      <w:r w:rsidRPr="00290DD8">
        <w:rPr>
          <w:spacing w:val="-3"/>
        </w:rPr>
        <w:t>hæmostase</w:t>
      </w:r>
      <w:proofErr w:type="spellEnd"/>
      <w:r w:rsidRPr="00290DD8">
        <w:rPr>
          <w:spacing w:val="-3"/>
        </w:rPr>
        <w:t>.</w:t>
      </w:r>
    </w:p>
    <w:p w:rsidR="007D3C7C" w:rsidRPr="00290DD8" w:rsidRDefault="007D3C7C" w:rsidP="007D3C7C">
      <w:pPr>
        <w:tabs>
          <w:tab w:val="left" w:pos="0"/>
          <w:tab w:val="left" w:pos="851"/>
        </w:tabs>
        <w:ind w:left="850" w:hanging="850"/>
        <w:rPr>
          <w:spacing w:val="-3"/>
        </w:rPr>
      </w:pPr>
    </w:p>
    <w:p w:rsidR="007D3C7C" w:rsidRPr="00290DD8" w:rsidRDefault="007D3C7C" w:rsidP="007D3C7C">
      <w:pPr>
        <w:tabs>
          <w:tab w:val="left" w:pos="0"/>
          <w:tab w:val="left" w:pos="851"/>
        </w:tabs>
        <w:ind w:left="850" w:hanging="850"/>
        <w:rPr>
          <w:spacing w:val="-3"/>
        </w:rPr>
      </w:pPr>
      <w:r w:rsidRPr="00290DD8">
        <w:rPr>
          <w:spacing w:val="-3"/>
        </w:rPr>
        <w:tab/>
        <w:t xml:space="preserve">En del af </w:t>
      </w:r>
      <w:proofErr w:type="spellStart"/>
      <w:r w:rsidRPr="00290DD8">
        <w:rPr>
          <w:spacing w:val="-3"/>
        </w:rPr>
        <w:t>dalteparinnatriums</w:t>
      </w:r>
      <w:proofErr w:type="spellEnd"/>
      <w:r w:rsidRPr="00290DD8">
        <w:rPr>
          <w:spacing w:val="-3"/>
        </w:rPr>
        <w:t xml:space="preserve"> </w:t>
      </w:r>
      <w:proofErr w:type="spellStart"/>
      <w:r w:rsidRPr="00290DD8">
        <w:rPr>
          <w:spacing w:val="-3"/>
        </w:rPr>
        <w:t>antitrombotiske</w:t>
      </w:r>
      <w:proofErr w:type="spellEnd"/>
      <w:r w:rsidRPr="00290DD8">
        <w:rPr>
          <w:spacing w:val="-3"/>
        </w:rPr>
        <w:t xml:space="preserve"> effekt formidles formentlig via effekt på karvæggen eller det </w:t>
      </w:r>
      <w:proofErr w:type="spellStart"/>
      <w:r w:rsidRPr="00290DD8">
        <w:rPr>
          <w:spacing w:val="-3"/>
        </w:rPr>
        <w:t>fibrinolytiske</w:t>
      </w:r>
      <w:proofErr w:type="spellEnd"/>
      <w:r w:rsidRPr="00290DD8">
        <w:rPr>
          <w:spacing w:val="-3"/>
        </w:rPr>
        <w:t xml:space="preserve"> system.</w:t>
      </w:r>
    </w:p>
    <w:p w:rsidR="007D3C7C" w:rsidRPr="00290DD8" w:rsidRDefault="007D3C7C" w:rsidP="007D3C7C">
      <w:pPr>
        <w:tabs>
          <w:tab w:val="left" w:pos="0"/>
          <w:tab w:val="left" w:pos="851"/>
        </w:tabs>
        <w:ind w:left="850" w:hanging="850"/>
        <w:rPr>
          <w:spacing w:val="-3"/>
        </w:rPr>
      </w:pPr>
    </w:p>
    <w:p w:rsidR="007D3C7C" w:rsidRPr="00290DD8" w:rsidRDefault="007D3C7C" w:rsidP="007D3C7C">
      <w:pPr>
        <w:tabs>
          <w:tab w:val="left" w:pos="0"/>
          <w:tab w:val="left" w:pos="851"/>
        </w:tabs>
        <w:ind w:left="850"/>
        <w:rPr>
          <w:szCs w:val="24"/>
          <w:u w:val="single"/>
        </w:rPr>
      </w:pPr>
      <w:r w:rsidRPr="00290DD8">
        <w:rPr>
          <w:szCs w:val="24"/>
          <w:u w:val="single"/>
        </w:rPr>
        <w:t>Pædiatrisk population</w:t>
      </w:r>
    </w:p>
    <w:p w:rsidR="007D3C7C" w:rsidRDefault="007D3C7C" w:rsidP="007D3C7C">
      <w:pPr>
        <w:ind w:left="851"/>
        <w:rPr>
          <w:bCs/>
          <w:i/>
          <w:iCs/>
          <w:szCs w:val="24"/>
          <w:u w:val="single"/>
        </w:rPr>
      </w:pPr>
      <w:r>
        <w:rPr>
          <w:bCs/>
          <w:i/>
          <w:iCs/>
          <w:szCs w:val="24"/>
          <w:u w:val="single"/>
        </w:rPr>
        <w:t xml:space="preserve">Behandling af symptomatisk venøs </w:t>
      </w:r>
      <w:proofErr w:type="spellStart"/>
      <w:r>
        <w:rPr>
          <w:bCs/>
          <w:i/>
          <w:iCs/>
          <w:szCs w:val="24"/>
          <w:u w:val="single"/>
        </w:rPr>
        <w:t>tromboemboli</w:t>
      </w:r>
      <w:proofErr w:type="spellEnd"/>
      <w:r>
        <w:rPr>
          <w:bCs/>
          <w:i/>
          <w:iCs/>
          <w:szCs w:val="24"/>
          <w:u w:val="single"/>
        </w:rPr>
        <w:t xml:space="preserve"> (VTE) hos pædiatriske patienter</w:t>
      </w:r>
    </w:p>
    <w:p w:rsidR="007D3C7C" w:rsidRDefault="007D3C7C" w:rsidP="007D3C7C">
      <w:pPr>
        <w:ind w:left="851"/>
        <w:rPr>
          <w:bCs/>
          <w:spacing w:val="-3"/>
          <w:szCs w:val="24"/>
        </w:rPr>
      </w:pPr>
      <w:r>
        <w:rPr>
          <w:bCs/>
          <w:spacing w:val="-3"/>
          <w:szCs w:val="24"/>
        </w:rPr>
        <w:t xml:space="preserve">Et open-label, klinisk fase 2-multicenterstudie undersøgte 38 pædiatriske patienter med objektivt diagnosticeret akut dyb venetrombose (DVT) og/eller </w:t>
      </w:r>
      <w:proofErr w:type="spellStart"/>
      <w:r>
        <w:rPr>
          <w:spacing w:val="-3"/>
          <w:szCs w:val="24"/>
        </w:rPr>
        <w:t>pulmonal</w:t>
      </w:r>
      <w:proofErr w:type="spellEnd"/>
      <w:r>
        <w:rPr>
          <w:spacing w:val="-3"/>
          <w:szCs w:val="24"/>
        </w:rPr>
        <w:t xml:space="preserve"> </w:t>
      </w:r>
      <w:proofErr w:type="spellStart"/>
      <w:r>
        <w:rPr>
          <w:spacing w:val="-3"/>
          <w:szCs w:val="24"/>
        </w:rPr>
        <w:t>emboli</w:t>
      </w:r>
      <w:proofErr w:type="spellEnd"/>
      <w:r>
        <w:rPr>
          <w:spacing w:val="-3"/>
          <w:szCs w:val="24"/>
        </w:rPr>
        <w:t xml:space="preserve"> </w:t>
      </w:r>
      <w:r>
        <w:rPr>
          <w:bCs/>
          <w:spacing w:val="-3"/>
          <w:szCs w:val="24"/>
        </w:rPr>
        <w:t xml:space="preserve">(PE). (24 drenge og 14 piger), der repræsenterede 5 alderskohortegrupper, med cancer (N=26) og uden cancer (N=12). I alt 26 patienter gennemførte studiet, og 12 afbrød deltagelsen før tid (4 på grund af bivirkninger, 3 patienter trak deres samtykke tilbage og 5 af andre årsager). Patienterne blev behandlet med </w:t>
      </w:r>
      <w:proofErr w:type="spellStart"/>
      <w:r>
        <w:rPr>
          <w:bCs/>
          <w:spacing w:val="-3"/>
          <w:szCs w:val="24"/>
        </w:rPr>
        <w:t>dalteparin</w:t>
      </w:r>
      <w:proofErr w:type="spellEnd"/>
      <w:r>
        <w:rPr>
          <w:bCs/>
          <w:spacing w:val="-3"/>
          <w:szCs w:val="24"/>
        </w:rPr>
        <w:t xml:space="preserve"> to gange dagligt i op til 3 måneder med startdoser efter alder og vægt og med dosisjustering i trin på 25 IE/kg. Behandlingsvirkningen målt på regression, progression, remission eller ingen ændring af den kvalificerende VTE blev evalueret ved hjælp af billeddannelse ved screening og ved studiets afslutning (EOS). Ved studiets afslutning (N=34) havde 21 patienter (61,8 %) opnået remission af den kvalificerende VTE, 7 patienter (20,6 %) viste regression, 2 patienter (5,9 %) viste ingen ændring, ingen patienter viste progression, og 4 patienter (11,8 %) bidrog ikke med data til denne analyse. Hertil kommer, at 1 patient (2,9 %) oplevede en ny VTE i løbet af studiet. Den </w:t>
      </w:r>
      <w:proofErr w:type="spellStart"/>
      <w:r>
        <w:rPr>
          <w:bCs/>
          <w:spacing w:val="-3"/>
          <w:szCs w:val="24"/>
        </w:rPr>
        <w:t>mediane</w:t>
      </w:r>
      <w:proofErr w:type="spellEnd"/>
      <w:r>
        <w:rPr>
          <w:bCs/>
          <w:spacing w:val="-3"/>
          <w:szCs w:val="24"/>
        </w:rPr>
        <w:t xml:space="preserve"> dosis </w:t>
      </w:r>
      <w:proofErr w:type="spellStart"/>
      <w:r>
        <w:rPr>
          <w:bCs/>
          <w:spacing w:val="-3"/>
          <w:szCs w:val="24"/>
        </w:rPr>
        <w:t>dalteparin</w:t>
      </w:r>
      <w:proofErr w:type="spellEnd"/>
      <w:r>
        <w:rPr>
          <w:bCs/>
          <w:spacing w:val="-3"/>
          <w:szCs w:val="24"/>
        </w:rPr>
        <w:t xml:space="preserve"> (IE/kg), der krævedes for at opnå et terapeutisk </w:t>
      </w:r>
      <w:proofErr w:type="spellStart"/>
      <w:r>
        <w:rPr>
          <w:bCs/>
          <w:spacing w:val="-3"/>
          <w:szCs w:val="24"/>
        </w:rPr>
        <w:t>anti-Xa</w:t>
      </w:r>
      <w:proofErr w:type="spellEnd"/>
      <w:r>
        <w:rPr>
          <w:bCs/>
          <w:spacing w:val="-3"/>
          <w:szCs w:val="24"/>
        </w:rPr>
        <w:t xml:space="preserve"> niveau (0,5 til 1,0 IE/ml) i løbet af den 7 dage lange dosisjusteringsperiode, vises i tabel 5. Terapeutiske </w:t>
      </w:r>
      <w:proofErr w:type="spellStart"/>
      <w:r>
        <w:rPr>
          <w:bCs/>
          <w:spacing w:val="-3"/>
          <w:szCs w:val="24"/>
        </w:rPr>
        <w:t>anti-Xa</w:t>
      </w:r>
      <w:proofErr w:type="spellEnd"/>
      <w:r>
        <w:rPr>
          <w:bCs/>
          <w:spacing w:val="-3"/>
          <w:szCs w:val="24"/>
        </w:rPr>
        <w:t xml:space="preserve"> niveauer (0,5 til 1,0 IE/ml) blev opnået inden for (middel) 2,6 dage. Blødningsepisoder hos patienter, som fik mindst én dosis af forsøgslægemidlet (N=38), omfattede 1 (2,6 %) væsentlig blødningsepisode, 0 (0 %) klinisk relevante ikke-væsentlige blødningsepisoder, 16 (42,1 %) mindre blødningsepisoder, og 14 patienter (36,8 %) havde ingen blødningsepisoder.</w:t>
      </w:r>
    </w:p>
    <w:p w:rsidR="007D3C7C" w:rsidRDefault="007D3C7C" w:rsidP="007D3C7C">
      <w:pPr>
        <w:ind w:left="851"/>
        <w:rPr>
          <w:bCs/>
          <w:spacing w:val="-3"/>
          <w:szCs w:val="24"/>
        </w:rPr>
      </w:pPr>
    </w:p>
    <w:p w:rsidR="007D3C7C" w:rsidRDefault="007D3C7C" w:rsidP="007D3C7C">
      <w:pPr>
        <w:keepNext/>
        <w:keepLines/>
        <w:widowControl w:val="0"/>
        <w:ind w:left="851"/>
        <w:rPr>
          <w:bCs/>
          <w:spacing w:val="-3"/>
          <w:szCs w:val="24"/>
        </w:rPr>
      </w:pPr>
      <w:r>
        <w:rPr>
          <w:bCs/>
          <w:spacing w:val="-3"/>
          <w:szCs w:val="24"/>
        </w:rPr>
        <w:lastRenderedPageBreak/>
        <w:t xml:space="preserve">Tabel 5 - </w:t>
      </w:r>
      <w:proofErr w:type="spellStart"/>
      <w:r>
        <w:rPr>
          <w:bCs/>
          <w:spacing w:val="-3"/>
          <w:szCs w:val="24"/>
        </w:rPr>
        <w:t>Mediane</w:t>
      </w:r>
      <w:proofErr w:type="spellEnd"/>
      <w:r>
        <w:rPr>
          <w:bCs/>
          <w:spacing w:val="-3"/>
          <w:szCs w:val="24"/>
        </w:rPr>
        <w:t xml:space="preserve"> vedligeholdelsesdoser af </w:t>
      </w:r>
      <w:proofErr w:type="spellStart"/>
      <w:r>
        <w:rPr>
          <w:bCs/>
          <w:spacing w:val="-3"/>
          <w:szCs w:val="24"/>
        </w:rPr>
        <w:t>dalteparin</w:t>
      </w:r>
      <w:proofErr w:type="spellEnd"/>
      <w:r>
        <w:rPr>
          <w:bCs/>
          <w:spacing w:val="-3"/>
          <w:szCs w:val="24"/>
        </w:rPr>
        <w:t xml:space="preserve"> (IE/kg) efter dosisjustering (med trin på 25 IE/kg) associeret med terapeutisk </w:t>
      </w:r>
      <w:proofErr w:type="spellStart"/>
      <w:r>
        <w:rPr>
          <w:bCs/>
          <w:spacing w:val="-3"/>
          <w:szCs w:val="24"/>
        </w:rPr>
        <w:t>anti-Xa</w:t>
      </w:r>
      <w:proofErr w:type="spellEnd"/>
      <w:r>
        <w:rPr>
          <w:bCs/>
          <w:spacing w:val="-3"/>
          <w:szCs w:val="24"/>
        </w:rPr>
        <w:t xml:space="preserve"> niveau (0,5 til 1,0 IE/ml) efter alderskohorte (N=34)</w:t>
      </w:r>
    </w:p>
    <w:tbl>
      <w:tblPr>
        <w:tblW w:w="4500"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1104"/>
        <w:gridCol w:w="2386"/>
      </w:tblGrid>
      <w:tr w:rsidR="007D3C7C" w:rsidTr="00921190">
        <w:tc>
          <w:tcPr>
            <w:tcW w:w="2986"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851"/>
              <w:jc w:val="center"/>
              <w:rPr>
                <w:b/>
                <w:spacing w:val="-3"/>
                <w:szCs w:val="24"/>
              </w:rPr>
            </w:pPr>
            <w:r>
              <w:rPr>
                <w:spacing w:val="-3"/>
                <w:szCs w:val="24"/>
              </w:rPr>
              <w:t>Alderskohorte</w:t>
            </w:r>
          </w:p>
        </w:tc>
        <w:tc>
          <w:tcPr>
            <w:tcW w:w="63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jc w:val="center"/>
              <w:rPr>
                <w:spacing w:val="-3"/>
                <w:szCs w:val="24"/>
              </w:rPr>
            </w:pPr>
            <w:r>
              <w:rPr>
                <w:spacing w:val="-3"/>
                <w:szCs w:val="24"/>
              </w:rPr>
              <w:t>N</w:t>
            </w:r>
          </w:p>
        </w:tc>
        <w:tc>
          <w:tcPr>
            <w:tcW w:w="137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95"/>
              <w:jc w:val="center"/>
              <w:rPr>
                <w:b/>
                <w:spacing w:val="-3"/>
                <w:szCs w:val="24"/>
              </w:rPr>
            </w:pPr>
            <w:r>
              <w:rPr>
                <w:spacing w:val="-3"/>
                <w:szCs w:val="24"/>
              </w:rPr>
              <w:t>Median dosis (IE/kg)</w:t>
            </w:r>
          </w:p>
        </w:tc>
      </w:tr>
      <w:tr w:rsidR="007D3C7C" w:rsidTr="00921190">
        <w:tc>
          <w:tcPr>
            <w:tcW w:w="2986"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28"/>
              <w:rPr>
                <w:spacing w:val="-3"/>
                <w:szCs w:val="24"/>
              </w:rPr>
            </w:pPr>
            <w:r>
              <w:rPr>
                <w:spacing w:val="-3"/>
                <w:szCs w:val="24"/>
              </w:rPr>
              <w:t>0 til under 8 uger</w:t>
            </w:r>
          </w:p>
        </w:tc>
        <w:tc>
          <w:tcPr>
            <w:tcW w:w="63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jc w:val="center"/>
              <w:rPr>
                <w:spacing w:val="-3"/>
                <w:szCs w:val="24"/>
              </w:rPr>
            </w:pPr>
            <w:r>
              <w:rPr>
                <w:spacing w:val="-3"/>
                <w:szCs w:val="24"/>
              </w:rPr>
              <w:t>0</w:t>
            </w:r>
          </w:p>
        </w:tc>
        <w:tc>
          <w:tcPr>
            <w:tcW w:w="137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851"/>
              <w:rPr>
                <w:spacing w:val="-3"/>
                <w:szCs w:val="24"/>
              </w:rPr>
            </w:pPr>
            <w:r>
              <w:rPr>
                <w:spacing w:val="-3"/>
                <w:szCs w:val="24"/>
              </w:rPr>
              <w:t>N/A</w:t>
            </w:r>
          </w:p>
        </w:tc>
      </w:tr>
      <w:tr w:rsidR="007D3C7C" w:rsidTr="00921190">
        <w:tc>
          <w:tcPr>
            <w:tcW w:w="2986"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28"/>
              <w:rPr>
                <w:b/>
                <w:spacing w:val="-3"/>
                <w:szCs w:val="24"/>
              </w:rPr>
            </w:pPr>
            <w:r>
              <w:rPr>
                <w:spacing w:val="-3"/>
                <w:szCs w:val="24"/>
              </w:rPr>
              <w:t>Større end eller lig med 8 uger til under 2 år</w:t>
            </w:r>
          </w:p>
        </w:tc>
        <w:tc>
          <w:tcPr>
            <w:tcW w:w="63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jc w:val="center"/>
              <w:rPr>
                <w:spacing w:val="-3"/>
                <w:szCs w:val="24"/>
              </w:rPr>
            </w:pPr>
            <w:r>
              <w:rPr>
                <w:spacing w:val="-3"/>
                <w:szCs w:val="24"/>
              </w:rPr>
              <w:t>2</w:t>
            </w:r>
          </w:p>
        </w:tc>
        <w:tc>
          <w:tcPr>
            <w:tcW w:w="137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851"/>
              <w:rPr>
                <w:spacing w:val="-3"/>
                <w:szCs w:val="24"/>
              </w:rPr>
            </w:pPr>
            <w:r>
              <w:rPr>
                <w:spacing w:val="-3"/>
                <w:szCs w:val="24"/>
              </w:rPr>
              <w:t>208</w:t>
            </w:r>
          </w:p>
        </w:tc>
      </w:tr>
      <w:tr w:rsidR="007D3C7C" w:rsidTr="00921190">
        <w:tc>
          <w:tcPr>
            <w:tcW w:w="2986"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28"/>
              <w:rPr>
                <w:b/>
                <w:spacing w:val="-3"/>
                <w:szCs w:val="24"/>
              </w:rPr>
            </w:pPr>
            <w:r>
              <w:rPr>
                <w:spacing w:val="-3"/>
                <w:szCs w:val="24"/>
              </w:rPr>
              <w:t>Større end eller lig med 2 år til under 8 år</w:t>
            </w:r>
          </w:p>
        </w:tc>
        <w:tc>
          <w:tcPr>
            <w:tcW w:w="63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jc w:val="center"/>
              <w:rPr>
                <w:spacing w:val="-3"/>
                <w:szCs w:val="24"/>
              </w:rPr>
            </w:pPr>
            <w:r>
              <w:rPr>
                <w:spacing w:val="-3"/>
                <w:szCs w:val="24"/>
              </w:rPr>
              <w:t>8</w:t>
            </w:r>
          </w:p>
        </w:tc>
        <w:tc>
          <w:tcPr>
            <w:tcW w:w="137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851"/>
              <w:rPr>
                <w:spacing w:val="-3"/>
                <w:szCs w:val="24"/>
              </w:rPr>
            </w:pPr>
            <w:r>
              <w:rPr>
                <w:spacing w:val="-3"/>
                <w:szCs w:val="24"/>
              </w:rPr>
              <w:t>128</w:t>
            </w:r>
          </w:p>
        </w:tc>
      </w:tr>
      <w:tr w:rsidR="007D3C7C" w:rsidTr="00921190">
        <w:tc>
          <w:tcPr>
            <w:tcW w:w="2986"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28"/>
              <w:rPr>
                <w:b/>
                <w:spacing w:val="-3"/>
                <w:szCs w:val="24"/>
              </w:rPr>
            </w:pPr>
            <w:r>
              <w:rPr>
                <w:spacing w:val="-3"/>
                <w:szCs w:val="24"/>
              </w:rPr>
              <w:t>Større end eller lig med 8 år til under 12 år</w:t>
            </w:r>
          </w:p>
        </w:tc>
        <w:tc>
          <w:tcPr>
            <w:tcW w:w="63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jc w:val="center"/>
              <w:rPr>
                <w:spacing w:val="-3"/>
                <w:szCs w:val="24"/>
              </w:rPr>
            </w:pPr>
            <w:r>
              <w:rPr>
                <w:spacing w:val="-3"/>
                <w:szCs w:val="24"/>
              </w:rPr>
              <w:t>7</w:t>
            </w:r>
          </w:p>
        </w:tc>
        <w:tc>
          <w:tcPr>
            <w:tcW w:w="137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851"/>
              <w:rPr>
                <w:spacing w:val="-3"/>
                <w:szCs w:val="24"/>
              </w:rPr>
            </w:pPr>
            <w:r>
              <w:rPr>
                <w:spacing w:val="-3"/>
                <w:szCs w:val="24"/>
              </w:rPr>
              <w:t>125</w:t>
            </w:r>
          </w:p>
        </w:tc>
      </w:tr>
      <w:tr w:rsidR="007D3C7C" w:rsidTr="00921190">
        <w:tc>
          <w:tcPr>
            <w:tcW w:w="2986"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28"/>
              <w:rPr>
                <w:b/>
                <w:spacing w:val="-3"/>
                <w:szCs w:val="24"/>
              </w:rPr>
            </w:pPr>
            <w:r>
              <w:rPr>
                <w:spacing w:val="-3"/>
                <w:szCs w:val="24"/>
              </w:rPr>
              <w:t>Større end eller lig med 12 år til under 19 år</w:t>
            </w:r>
          </w:p>
        </w:tc>
        <w:tc>
          <w:tcPr>
            <w:tcW w:w="63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jc w:val="center"/>
              <w:rPr>
                <w:spacing w:val="-3"/>
                <w:szCs w:val="24"/>
              </w:rPr>
            </w:pPr>
            <w:r>
              <w:rPr>
                <w:spacing w:val="-3"/>
                <w:szCs w:val="24"/>
              </w:rPr>
              <w:t>17</w:t>
            </w:r>
          </w:p>
        </w:tc>
        <w:tc>
          <w:tcPr>
            <w:tcW w:w="1377" w:type="pct"/>
            <w:tcBorders>
              <w:top w:val="single" w:sz="4" w:space="0" w:color="auto"/>
              <w:left w:val="single" w:sz="4" w:space="0" w:color="auto"/>
              <w:bottom w:val="single" w:sz="4" w:space="0" w:color="auto"/>
              <w:right w:val="single" w:sz="4" w:space="0" w:color="auto"/>
            </w:tcBorders>
            <w:hideMark/>
          </w:tcPr>
          <w:p w:rsidR="007D3C7C" w:rsidRDefault="007D3C7C" w:rsidP="00921190">
            <w:pPr>
              <w:keepNext/>
              <w:keepLines/>
              <w:widowControl w:val="0"/>
              <w:ind w:left="851"/>
              <w:rPr>
                <w:spacing w:val="-3"/>
                <w:szCs w:val="24"/>
              </w:rPr>
            </w:pPr>
            <w:r>
              <w:rPr>
                <w:spacing w:val="-3"/>
                <w:szCs w:val="24"/>
              </w:rPr>
              <w:t>117</w:t>
            </w:r>
          </w:p>
        </w:tc>
      </w:tr>
    </w:tbl>
    <w:p w:rsidR="007D3C7C" w:rsidRDefault="007D3C7C" w:rsidP="007D3C7C">
      <w:pPr>
        <w:ind w:left="851"/>
        <w:rPr>
          <w:bCs/>
          <w:spacing w:val="-3"/>
          <w:szCs w:val="24"/>
        </w:rPr>
      </w:pPr>
    </w:p>
    <w:p w:rsidR="007D3C7C" w:rsidRDefault="007D3C7C" w:rsidP="007D3C7C">
      <w:pPr>
        <w:ind w:left="851"/>
        <w:rPr>
          <w:bCs/>
          <w:spacing w:val="-3"/>
          <w:szCs w:val="24"/>
        </w:rPr>
      </w:pPr>
      <w:r>
        <w:rPr>
          <w:bCs/>
          <w:spacing w:val="-3"/>
          <w:szCs w:val="24"/>
        </w:rPr>
        <w:t xml:space="preserve">Et </w:t>
      </w:r>
      <w:proofErr w:type="spellStart"/>
      <w:r>
        <w:rPr>
          <w:bCs/>
          <w:spacing w:val="-3"/>
          <w:szCs w:val="24"/>
        </w:rPr>
        <w:t>prospektivt</w:t>
      </w:r>
      <w:proofErr w:type="spellEnd"/>
      <w:r>
        <w:rPr>
          <w:bCs/>
          <w:spacing w:val="-3"/>
          <w:szCs w:val="24"/>
        </w:rPr>
        <w:t>, randomiseret, kontrolleret klinisk multicenterstudie evaluerede behandlingsvarigheden ved trombose hos 18 </w:t>
      </w:r>
      <w:r>
        <w:t xml:space="preserve">børn og unge </w:t>
      </w:r>
      <w:r>
        <w:rPr>
          <w:bCs/>
          <w:spacing w:val="-3"/>
          <w:szCs w:val="24"/>
        </w:rPr>
        <w:t xml:space="preserve">(0 til 21 år), der fik </w:t>
      </w:r>
      <w:proofErr w:type="spellStart"/>
      <w:r>
        <w:rPr>
          <w:bCs/>
          <w:spacing w:val="-3"/>
          <w:szCs w:val="24"/>
        </w:rPr>
        <w:t>dalteparin</w:t>
      </w:r>
      <w:proofErr w:type="spellEnd"/>
      <w:r>
        <w:rPr>
          <w:bCs/>
          <w:spacing w:val="-3"/>
          <w:szCs w:val="24"/>
        </w:rPr>
        <w:t xml:space="preserve"> som antikoagulerende behandling to gange dagligt, og bestemte den påkrævede </w:t>
      </w:r>
      <w:proofErr w:type="spellStart"/>
      <w:r>
        <w:rPr>
          <w:bCs/>
          <w:spacing w:val="-3"/>
          <w:szCs w:val="24"/>
        </w:rPr>
        <w:t>dalteparindosis</w:t>
      </w:r>
      <w:proofErr w:type="spellEnd"/>
      <w:r>
        <w:rPr>
          <w:bCs/>
          <w:spacing w:val="-3"/>
          <w:szCs w:val="24"/>
        </w:rPr>
        <w:t xml:space="preserve"> pr. kilogram for at opnå et </w:t>
      </w:r>
      <w:proofErr w:type="spellStart"/>
      <w:r>
        <w:rPr>
          <w:bCs/>
          <w:spacing w:val="-3"/>
          <w:szCs w:val="24"/>
        </w:rPr>
        <w:t>anti-Xa</w:t>
      </w:r>
      <w:proofErr w:type="spellEnd"/>
      <w:r>
        <w:rPr>
          <w:bCs/>
          <w:spacing w:val="-3"/>
          <w:szCs w:val="24"/>
        </w:rPr>
        <w:t xml:space="preserve"> niveau på 0,5-1,0 IE/ml 4-6 timer efter doseringen, efter aldersgruppe (på forhånd specificeret som spædbørn &lt; 12 måneder, børn 1- &lt; 13 år og unge 13- &lt; 21 år).</w:t>
      </w:r>
    </w:p>
    <w:p w:rsidR="007D3C7C" w:rsidRDefault="007D3C7C" w:rsidP="007D3C7C">
      <w:pPr>
        <w:ind w:left="851"/>
        <w:rPr>
          <w:bCs/>
          <w:spacing w:val="-3"/>
          <w:szCs w:val="24"/>
        </w:rPr>
      </w:pPr>
    </w:p>
    <w:p w:rsidR="007D3C7C" w:rsidRDefault="007D3C7C" w:rsidP="007D3C7C">
      <w:pPr>
        <w:ind w:left="851"/>
        <w:rPr>
          <w:bCs/>
          <w:spacing w:val="-3"/>
          <w:szCs w:val="24"/>
        </w:rPr>
      </w:pPr>
      <w:r>
        <w:rPr>
          <w:bCs/>
          <w:spacing w:val="-3"/>
          <w:szCs w:val="24"/>
        </w:rPr>
        <w:t xml:space="preserve">Resultaterne fra dette studie viste, at de </w:t>
      </w:r>
      <w:proofErr w:type="spellStart"/>
      <w:r>
        <w:rPr>
          <w:bCs/>
          <w:spacing w:val="-3"/>
          <w:szCs w:val="24"/>
        </w:rPr>
        <w:t>mediane</w:t>
      </w:r>
      <w:proofErr w:type="spellEnd"/>
      <w:r>
        <w:rPr>
          <w:bCs/>
          <w:spacing w:val="-3"/>
          <w:szCs w:val="24"/>
        </w:rPr>
        <w:t xml:space="preserve"> (interval) terapeutiske doser efter aldersgruppe var, som følger: spædbørn (n=3), 180 IE/kg (146-181 IE/kg); børn (n=7), 125 IE/kg (101-175 IE/kg); og unge (n=8), 100 IE/kg (91-163 IE/kg).</w:t>
      </w:r>
    </w:p>
    <w:p w:rsidR="007D3C7C" w:rsidRDefault="007D3C7C" w:rsidP="007D3C7C">
      <w:pPr>
        <w:ind w:left="851"/>
        <w:rPr>
          <w:bCs/>
          <w:spacing w:val="-3"/>
          <w:szCs w:val="24"/>
        </w:rPr>
      </w:pPr>
    </w:p>
    <w:p w:rsidR="007D3C7C" w:rsidRDefault="007D3C7C" w:rsidP="007D3C7C">
      <w:pPr>
        <w:ind w:left="851"/>
        <w:rPr>
          <w:bCs/>
          <w:spacing w:val="-3"/>
          <w:szCs w:val="24"/>
        </w:rPr>
      </w:pPr>
      <w:r>
        <w:rPr>
          <w:bCs/>
          <w:spacing w:val="-3"/>
          <w:szCs w:val="24"/>
        </w:rPr>
        <w:t xml:space="preserve">En retrospektiv analyse evaluerede de kliniske og laboratoriemæssige resultater af profylaktisk og terapeutisk brug af </w:t>
      </w:r>
      <w:proofErr w:type="spellStart"/>
      <w:r>
        <w:rPr>
          <w:bCs/>
          <w:spacing w:val="-3"/>
          <w:szCs w:val="24"/>
        </w:rPr>
        <w:t>dalteparin</w:t>
      </w:r>
      <w:proofErr w:type="spellEnd"/>
      <w:r>
        <w:rPr>
          <w:bCs/>
          <w:spacing w:val="-3"/>
          <w:szCs w:val="24"/>
        </w:rPr>
        <w:t xml:space="preserve"> hos børn (0-18 år) på en enkelt institution (</w:t>
      </w:r>
      <w:proofErr w:type="spellStart"/>
      <w:r>
        <w:rPr>
          <w:bCs/>
          <w:spacing w:val="-3"/>
          <w:szCs w:val="24"/>
        </w:rPr>
        <w:t>Mayo</w:t>
      </w:r>
      <w:proofErr w:type="spellEnd"/>
      <w:r>
        <w:rPr>
          <w:bCs/>
          <w:spacing w:val="-3"/>
          <w:szCs w:val="24"/>
        </w:rPr>
        <w:t xml:space="preserve"> Clinic) til behandling af VTE fra 1. december 2000 til 31. december 2011.</w:t>
      </w:r>
    </w:p>
    <w:p w:rsidR="007D3C7C" w:rsidRDefault="007D3C7C" w:rsidP="007D3C7C">
      <w:pPr>
        <w:ind w:left="851"/>
        <w:rPr>
          <w:bCs/>
          <w:spacing w:val="-3"/>
          <w:szCs w:val="24"/>
        </w:rPr>
      </w:pPr>
    </w:p>
    <w:p w:rsidR="007D3C7C" w:rsidRDefault="007D3C7C" w:rsidP="007D3C7C">
      <w:pPr>
        <w:ind w:left="851"/>
        <w:rPr>
          <w:bCs/>
          <w:spacing w:val="-3"/>
          <w:szCs w:val="24"/>
        </w:rPr>
      </w:pPr>
      <w:r>
        <w:rPr>
          <w:bCs/>
          <w:spacing w:val="-3"/>
          <w:szCs w:val="24"/>
        </w:rPr>
        <w:t xml:space="preserve">Behandlingsdata for i alt 166 patienter blev evalueret, herunder 116 patienter, som fik profylaktiske doser af </w:t>
      </w:r>
      <w:proofErr w:type="spellStart"/>
      <w:r>
        <w:rPr>
          <w:bCs/>
          <w:spacing w:val="-3"/>
          <w:szCs w:val="24"/>
        </w:rPr>
        <w:t>dalteparin</w:t>
      </w:r>
      <w:proofErr w:type="spellEnd"/>
      <w:r>
        <w:rPr>
          <w:bCs/>
          <w:spacing w:val="-3"/>
          <w:szCs w:val="24"/>
        </w:rPr>
        <w:t xml:space="preserve">, og 50 patienter, som fik terapeutiske doser. De 50 patienter, der fik terapeutiske doser enten én eller to gange dagligt, omfattede 13 patienter under 1 år og 21 patienter med </w:t>
      </w:r>
      <w:proofErr w:type="spellStart"/>
      <w:r>
        <w:rPr>
          <w:bCs/>
          <w:spacing w:val="-3"/>
          <w:szCs w:val="24"/>
        </w:rPr>
        <w:t>maligniteter</w:t>
      </w:r>
      <w:proofErr w:type="spellEnd"/>
      <w:r>
        <w:rPr>
          <w:bCs/>
          <w:spacing w:val="-3"/>
          <w:szCs w:val="24"/>
        </w:rPr>
        <w:t xml:space="preserve">. Resultaterne viste, at patienter under 1 år krævede signifikant højere vægtbaseret dosering for at opnå terapeutiske </w:t>
      </w:r>
      <w:proofErr w:type="spellStart"/>
      <w:r>
        <w:rPr>
          <w:bCs/>
          <w:spacing w:val="-3"/>
          <w:szCs w:val="24"/>
        </w:rPr>
        <w:t>anti-Xa</w:t>
      </w:r>
      <w:proofErr w:type="spellEnd"/>
      <w:r>
        <w:rPr>
          <w:bCs/>
          <w:spacing w:val="-3"/>
          <w:szCs w:val="24"/>
        </w:rPr>
        <w:t xml:space="preserve"> niveauer sammenlignet med børn (1-10 år) eller unge (&gt; 10-18 år) (middeldosisenheder/kg/dag; 396,6 over for henholdsvis 236,7 og 178,8, p &lt; 0,0001).</w:t>
      </w:r>
    </w:p>
    <w:p w:rsidR="007D3C7C" w:rsidRDefault="007D3C7C" w:rsidP="007D3C7C">
      <w:pPr>
        <w:ind w:left="851"/>
        <w:rPr>
          <w:bCs/>
          <w:spacing w:val="-3"/>
          <w:szCs w:val="24"/>
        </w:rPr>
      </w:pPr>
    </w:p>
    <w:p w:rsidR="007D3C7C" w:rsidRDefault="007D3C7C" w:rsidP="007D3C7C">
      <w:pPr>
        <w:ind w:left="851"/>
        <w:rPr>
          <w:bCs/>
          <w:spacing w:val="-3"/>
          <w:szCs w:val="24"/>
        </w:rPr>
      </w:pPr>
      <w:bookmarkStart w:id="5" w:name="_Hlk77842383"/>
      <w:r>
        <w:rPr>
          <w:bCs/>
          <w:spacing w:val="-3"/>
          <w:szCs w:val="24"/>
        </w:rPr>
        <w:t xml:space="preserve">Af de 50 børn, der blev behandlet i dette retrospektive studie, var 17 spædbørn under 2 år (gennemsnitsalder 6 måneder; 10/17 drenge). De fleste spædbørn (12/17) blev doseret to gange om dagen med en median </w:t>
      </w:r>
      <w:proofErr w:type="spellStart"/>
      <w:r>
        <w:rPr>
          <w:bCs/>
          <w:spacing w:val="-3"/>
          <w:szCs w:val="24"/>
        </w:rPr>
        <w:t>dalteparin</w:t>
      </w:r>
      <w:proofErr w:type="spellEnd"/>
      <w:r>
        <w:rPr>
          <w:bCs/>
          <w:spacing w:val="-3"/>
          <w:szCs w:val="24"/>
        </w:rPr>
        <w:t xml:space="preserve">-startdosis på 151 IE/kg; (interval 85 - 174 IE/kg); 5 spædbørn blev doseret kun en gang om dagen med lignende doser. De 17 spædbørn blev behandlet i 1 til 3 måneder (median 2 måneder) og opløsning af VTE forekom hos 82%; ingen oplevede blødningskomplikationer eller bivirkninger relateret til </w:t>
      </w:r>
      <w:proofErr w:type="spellStart"/>
      <w:r>
        <w:rPr>
          <w:bCs/>
          <w:spacing w:val="-3"/>
          <w:szCs w:val="24"/>
        </w:rPr>
        <w:t>dalteparin</w:t>
      </w:r>
      <w:proofErr w:type="spellEnd"/>
      <w:r>
        <w:rPr>
          <w:bCs/>
          <w:spacing w:val="-3"/>
          <w:szCs w:val="24"/>
        </w:rPr>
        <w:t>.</w:t>
      </w:r>
      <w:bookmarkEnd w:id="5"/>
    </w:p>
    <w:p w:rsidR="007D3C7C" w:rsidRDefault="007D3C7C" w:rsidP="007D3C7C">
      <w:pPr>
        <w:ind w:left="851"/>
        <w:rPr>
          <w:spacing w:val="-3"/>
          <w:szCs w:val="24"/>
        </w:rPr>
      </w:pPr>
    </w:p>
    <w:p w:rsidR="007D3C7C" w:rsidRDefault="007D3C7C" w:rsidP="007D3C7C">
      <w:pPr>
        <w:ind w:left="851"/>
        <w:rPr>
          <w:spacing w:val="-3"/>
          <w:szCs w:val="24"/>
          <w:u w:val="single"/>
        </w:rPr>
      </w:pPr>
      <w:r>
        <w:rPr>
          <w:i/>
          <w:iCs/>
          <w:spacing w:val="-3"/>
          <w:szCs w:val="24"/>
          <w:u w:val="single"/>
        </w:rPr>
        <w:t xml:space="preserve">Profylakse af venøs </w:t>
      </w:r>
      <w:proofErr w:type="spellStart"/>
      <w:r>
        <w:rPr>
          <w:i/>
          <w:iCs/>
          <w:spacing w:val="-3"/>
          <w:szCs w:val="24"/>
          <w:u w:val="single"/>
        </w:rPr>
        <w:t>tromboemboli</w:t>
      </w:r>
      <w:proofErr w:type="spellEnd"/>
      <w:r>
        <w:rPr>
          <w:i/>
          <w:iCs/>
          <w:spacing w:val="-3"/>
          <w:szCs w:val="24"/>
          <w:u w:val="single"/>
        </w:rPr>
        <w:t xml:space="preserve"> hos pædiatriske patienter</w:t>
      </w:r>
    </w:p>
    <w:p w:rsidR="007D3C7C" w:rsidRDefault="007D3C7C" w:rsidP="007D3C7C">
      <w:pPr>
        <w:ind w:left="851"/>
        <w:rPr>
          <w:spacing w:val="-3"/>
          <w:szCs w:val="24"/>
        </w:rPr>
      </w:pPr>
      <w:r>
        <w:rPr>
          <w:spacing w:val="-3"/>
          <w:szCs w:val="24"/>
        </w:rPr>
        <w:t xml:space="preserve">Et </w:t>
      </w:r>
      <w:proofErr w:type="spellStart"/>
      <w:r>
        <w:rPr>
          <w:spacing w:val="-3"/>
          <w:szCs w:val="24"/>
        </w:rPr>
        <w:t>prospektivt</w:t>
      </w:r>
      <w:proofErr w:type="spellEnd"/>
      <w:r>
        <w:rPr>
          <w:spacing w:val="-3"/>
          <w:szCs w:val="24"/>
        </w:rPr>
        <w:t xml:space="preserve"> studie </w:t>
      </w:r>
      <w:bookmarkStart w:id="6" w:name="_Hlk68090653"/>
      <w:r>
        <w:rPr>
          <w:spacing w:val="-3"/>
          <w:szCs w:val="24"/>
        </w:rPr>
        <w:t>(</w:t>
      </w:r>
      <w:proofErr w:type="spellStart"/>
      <w:r>
        <w:rPr>
          <w:spacing w:val="-3"/>
          <w:szCs w:val="24"/>
        </w:rPr>
        <w:t>Nohe</w:t>
      </w:r>
      <w:proofErr w:type="spellEnd"/>
      <w:r>
        <w:rPr>
          <w:spacing w:val="-3"/>
          <w:szCs w:val="24"/>
        </w:rPr>
        <w:t xml:space="preserve"> et al, 1999) </w:t>
      </w:r>
      <w:bookmarkEnd w:id="6"/>
      <w:r>
        <w:rPr>
          <w:spacing w:val="-3"/>
          <w:szCs w:val="24"/>
        </w:rPr>
        <w:t xml:space="preserve">undersøgte virkning, sikkerhed og forholdet mellem dosis og </w:t>
      </w:r>
      <w:proofErr w:type="spellStart"/>
      <w:r>
        <w:rPr>
          <w:spacing w:val="-3"/>
          <w:szCs w:val="24"/>
        </w:rPr>
        <w:t>Fragmins</w:t>
      </w:r>
      <w:proofErr w:type="spellEnd"/>
      <w:r>
        <w:rPr>
          <w:spacing w:val="-3"/>
          <w:szCs w:val="24"/>
        </w:rPr>
        <w:t xml:space="preserve"> plasma </w:t>
      </w:r>
      <w:proofErr w:type="spellStart"/>
      <w:r>
        <w:rPr>
          <w:spacing w:val="-3"/>
          <w:szCs w:val="24"/>
        </w:rPr>
        <w:t>anti-Xa</w:t>
      </w:r>
      <w:proofErr w:type="spellEnd"/>
      <w:r>
        <w:rPr>
          <w:spacing w:val="-3"/>
          <w:szCs w:val="24"/>
        </w:rPr>
        <w:t xml:space="preserve"> aktivitet ved profylakse og behandling af arteriel og venøs trombose hos 48 pædiatriske patienter (32 drenge, 16 piger fra 31 uger præmatur til 18 år). </w:t>
      </w:r>
      <w:r>
        <w:rPr>
          <w:bCs/>
          <w:spacing w:val="-3"/>
          <w:szCs w:val="24"/>
        </w:rPr>
        <w:t xml:space="preserve">Otte børn med risikofaktorer for trombose (fedme, protein C-mangel, karcinom) fik </w:t>
      </w:r>
      <w:proofErr w:type="spellStart"/>
      <w:r>
        <w:rPr>
          <w:bCs/>
          <w:spacing w:val="-3"/>
          <w:szCs w:val="24"/>
        </w:rPr>
        <w:t>dalteparin</w:t>
      </w:r>
      <w:proofErr w:type="spellEnd"/>
      <w:r>
        <w:rPr>
          <w:bCs/>
          <w:spacing w:val="-3"/>
          <w:szCs w:val="24"/>
        </w:rPr>
        <w:t xml:space="preserve"> som profylakse ved immobilisering og 2 som “højrisiko” profylakse efter hjertekirurgi (gruppe I). Seksogtredive børn fik </w:t>
      </w:r>
      <w:proofErr w:type="spellStart"/>
      <w:r>
        <w:rPr>
          <w:bCs/>
          <w:spacing w:val="-3"/>
          <w:szCs w:val="24"/>
        </w:rPr>
        <w:t>dalteparin</w:t>
      </w:r>
      <w:proofErr w:type="spellEnd"/>
      <w:r>
        <w:rPr>
          <w:bCs/>
          <w:spacing w:val="-3"/>
          <w:szCs w:val="24"/>
        </w:rPr>
        <w:t xml:space="preserve"> terapeutisk efter arterielle eller venøse </w:t>
      </w:r>
      <w:proofErr w:type="spellStart"/>
      <w:r>
        <w:rPr>
          <w:bCs/>
          <w:spacing w:val="-3"/>
          <w:szCs w:val="24"/>
        </w:rPr>
        <w:t>tromboemboliske</w:t>
      </w:r>
      <w:proofErr w:type="spellEnd"/>
      <w:r>
        <w:rPr>
          <w:bCs/>
          <w:spacing w:val="-3"/>
          <w:szCs w:val="24"/>
        </w:rPr>
        <w:t xml:space="preserve"> hændelser (grupperne II-IV). I behandlingsgruppen blev 8/36 børn (22 %) behandlet med </w:t>
      </w:r>
      <w:proofErr w:type="spellStart"/>
      <w:r>
        <w:rPr>
          <w:bCs/>
          <w:spacing w:val="-3"/>
          <w:szCs w:val="24"/>
        </w:rPr>
        <w:t>dalteparin</w:t>
      </w:r>
      <w:proofErr w:type="spellEnd"/>
      <w:r>
        <w:rPr>
          <w:bCs/>
          <w:spacing w:val="-3"/>
          <w:szCs w:val="24"/>
        </w:rPr>
        <w:t xml:space="preserve"> som </w:t>
      </w:r>
      <w:proofErr w:type="spellStart"/>
      <w:r>
        <w:rPr>
          <w:bCs/>
          <w:spacing w:val="-3"/>
          <w:szCs w:val="24"/>
        </w:rPr>
        <w:t>reokklusion</w:t>
      </w:r>
      <w:proofErr w:type="spellEnd"/>
      <w:r>
        <w:rPr>
          <w:bCs/>
          <w:spacing w:val="-3"/>
          <w:szCs w:val="24"/>
        </w:rPr>
        <w:t xml:space="preserve"> profylakse efter vellykket </w:t>
      </w:r>
      <w:proofErr w:type="spellStart"/>
      <w:r>
        <w:rPr>
          <w:bCs/>
          <w:spacing w:val="-3"/>
          <w:szCs w:val="24"/>
        </w:rPr>
        <w:t>trombolytisk</w:t>
      </w:r>
      <w:proofErr w:type="spellEnd"/>
      <w:r>
        <w:rPr>
          <w:bCs/>
          <w:spacing w:val="-3"/>
          <w:szCs w:val="24"/>
        </w:rPr>
        <w:t xml:space="preserve"> behandling (gruppe II), 5/36 (14 %) efter </w:t>
      </w:r>
      <w:proofErr w:type="spellStart"/>
      <w:r>
        <w:rPr>
          <w:bCs/>
          <w:spacing w:val="-3"/>
          <w:szCs w:val="24"/>
        </w:rPr>
        <w:t>inferior</w:t>
      </w:r>
      <w:proofErr w:type="spellEnd"/>
      <w:r>
        <w:rPr>
          <w:bCs/>
          <w:spacing w:val="-3"/>
          <w:szCs w:val="24"/>
        </w:rPr>
        <w:t xml:space="preserve"> mislykket </w:t>
      </w:r>
      <w:proofErr w:type="spellStart"/>
      <w:r>
        <w:rPr>
          <w:bCs/>
          <w:spacing w:val="-3"/>
          <w:szCs w:val="24"/>
        </w:rPr>
        <w:t>trombolytisk</w:t>
      </w:r>
      <w:proofErr w:type="spellEnd"/>
      <w:r>
        <w:rPr>
          <w:bCs/>
          <w:spacing w:val="-3"/>
          <w:szCs w:val="24"/>
        </w:rPr>
        <w:t xml:space="preserve"> behandling med </w:t>
      </w:r>
      <w:proofErr w:type="spellStart"/>
      <w:r>
        <w:rPr>
          <w:bCs/>
          <w:spacing w:val="-3"/>
          <w:szCs w:val="24"/>
        </w:rPr>
        <w:t>rtPA</w:t>
      </w:r>
      <w:proofErr w:type="spellEnd"/>
      <w:r>
        <w:rPr>
          <w:bCs/>
          <w:spacing w:val="-3"/>
          <w:szCs w:val="24"/>
        </w:rPr>
        <w:t xml:space="preserve"> eller </w:t>
      </w:r>
      <w:proofErr w:type="spellStart"/>
      <w:r>
        <w:rPr>
          <w:bCs/>
          <w:spacing w:val="-3"/>
          <w:szCs w:val="24"/>
        </w:rPr>
        <w:t>urokinase</w:t>
      </w:r>
      <w:proofErr w:type="spellEnd"/>
      <w:r>
        <w:rPr>
          <w:bCs/>
          <w:spacing w:val="-3"/>
          <w:szCs w:val="24"/>
        </w:rPr>
        <w:t xml:space="preserve"> (gruppe III) og 23/36 (64 %) som primær </w:t>
      </w:r>
      <w:proofErr w:type="spellStart"/>
      <w:r>
        <w:rPr>
          <w:bCs/>
          <w:spacing w:val="-3"/>
          <w:szCs w:val="24"/>
        </w:rPr>
        <w:t>antitrombotisk</w:t>
      </w:r>
      <w:proofErr w:type="spellEnd"/>
      <w:r>
        <w:rPr>
          <w:bCs/>
          <w:spacing w:val="-3"/>
          <w:szCs w:val="24"/>
        </w:rPr>
        <w:t xml:space="preserve"> behandling på grund af kontraindikationer for </w:t>
      </w:r>
      <w:proofErr w:type="spellStart"/>
      <w:r>
        <w:rPr>
          <w:bCs/>
          <w:spacing w:val="-3"/>
          <w:szCs w:val="24"/>
        </w:rPr>
        <w:t>trombolyse</w:t>
      </w:r>
      <w:proofErr w:type="spellEnd"/>
      <w:r>
        <w:rPr>
          <w:bCs/>
          <w:spacing w:val="-3"/>
          <w:szCs w:val="24"/>
        </w:rPr>
        <w:t xml:space="preserve"> (gruppe IV). I dette studie krævede 10 patienter, som fik </w:t>
      </w:r>
      <w:proofErr w:type="spellStart"/>
      <w:r>
        <w:rPr>
          <w:bCs/>
          <w:spacing w:val="-3"/>
          <w:szCs w:val="24"/>
        </w:rPr>
        <w:lastRenderedPageBreak/>
        <w:t>dalteparin</w:t>
      </w:r>
      <w:proofErr w:type="spellEnd"/>
      <w:r>
        <w:rPr>
          <w:bCs/>
          <w:spacing w:val="-3"/>
          <w:szCs w:val="24"/>
        </w:rPr>
        <w:t xml:space="preserve"> som tromboseprofylakse, en vedligeholdelsesdosis på 95 ± 52 IE/kg subkutant (</w:t>
      </w:r>
      <w:proofErr w:type="spellStart"/>
      <w:r>
        <w:rPr>
          <w:bCs/>
          <w:spacing w:val="-3"/>
          <w:szCs w:val="24"/>
        </w:rPr>
        <w:t>s.c</w:t>
      </w:r>
      <w:proofErr w:type="spellEnd"/>
      <w:r>
        <w:rPr>
          <w:bCs/>
          <w:spacing w:val="-3"/>
          <w:szCs w:val="24"/>
        </w:rPr>
        <w:t xml:space="preserve">.) én gang dagligt for at opnå et </w:t>
      </w:r>
      <w:proofErr w:type="spellStart"/>
      <w:r>
        <w:rPr>
          <w:bCs/>
          <w:spacing w:val="-3"/>
          <w:szCs w:val="24"/>
        </w:rPr>
        <w:t>anti-Xa</w:t>
      </w:r>
      <w:proofErr w:type="spellEnd"/>
      <w:r>
        <w:rPr>
          <w:bCs/>
          <w:spacing w:val="-3"/>
          <w:szCs w:val="24"/>
        </w:rPr>
        <w:t xml:space="preserve"> niveau på 0,2 til 0,4 IE/ml over en varighed på 3 til 6 måneder. Der opstod ingen </w:t>
      </w:r>
      <w:proofErr w:type="spellStart"/>
      <w:r>
        <w:rPr>
          <w:bCs/>
          <w:spacing w:val="-3"/>
          <w:szCs w:val="24"/>
        </w:rPr>
        <w:t>tromboemboliske</w:t>
      </w:r>
      <w:proofErr w:type="spellEnd"/>
      <w:r>
        <w:rPr>
          <w:bCs/>
          <w:spacing w:val="-3"/>
          <w:szCs w:val="24"/>
        </w:rPr>
        <w:t xml:space="preserve"> hændelser hos de 10 patienter, der fik </w:t>
      </w:r>
      <w:proofErr w:type="spellStart"/>
      <w:r>
        <w:rPr>
          <w:bCs/>
          <w:spacing w:val="-3"/>
          <w:szCs w:val="24"/>
        </w:rPr>
        <w:t>dalteparin</w:t>
      </w:r>
      <w:proofErr w:type="spellEnd"/>
      <w:r>
        <w:rPr>
          <w:bCs/>
          <w:spacing w:val="-3"/>
          <w:szCs w:val="24"/>
        </w:rPr>
        <w:t xml:space="preserve"> som tromboseprofylakse.</w:t>
      </w:r>
      <w:r>
        <w:rPr>
          <w:spacing w:val="-3"/>
          <w:szCs w:val="24"/>
        </w:rPr>
        <w:t xml:space="preserve"> </w:t>
      </w:r>
    </w:p>
    <w:p w:rsidR="00290DD8" w:rsidRPr="00290DD8" w:rsidRDefault="00290DD8" w:rsidP="007D3C7C">
      <w:pPr>
        <w:tabs>
          <w:tab w:val="left" w:pos="0"/>
          <w:tab w:val="left" w:pos="851"/>
        </w:tabs>
        <w:ind w:left="850" w:hanging="850"/>
        <w:rPr>
          <w:spacing w:val="-3"/>
        </w:rPr>
      </w:pPr>
    </w:p>
    <w:p w:rsidR="00290DD8" w:rsidRPr="00290DD8" w:rsidRDefault="00290DD8" w:rsidP="00E90606">
      <w:pPr>
        <w:numPr>
          <w:ilvl w:val="1"/>
          <w:numId w:val="9"/>
        </w:numPr>
        <w:tabs>
          <w:tab w:val="left" w:pos="0"/>
        </w:tabs>
        <w:rPr>
          <w:b/>
          <w:spacing w:val="-3"/>
        </w:rPr>
      </w:pPr>
      <w:proofErr w:type="spellStart"/>
      <w:r w:rsidRPr="00290DD8">
        <w:rPr>
          <w:b/>
          <w:spacing w:val="-3"/>
        </w:rPr>
        <w:t>Farmakokinetiske</w:t>
      </w:r>
      <w:proofErr w:type="spellEnd"/>
      <w:r w:rsidRPr="00290DD8">
        <w:rPr>
          <w:b/>
          <w:spacing w:val="-3"/>
        </w:rPr>
        <w:t xml:space="preserve"> egenskaber</w:t>
      </w:r>
    </w:p>
    <w:p w:rsidR="006B780B" w:rsidRDefault="006B780B" w:rsidP="006B780B">
      <w:pPr>
        <w:tabs>
          <w:tab w:val="left" w:pos="0"/>
          <w:tab w:val="left" w:pos="851"/>
        </w:tabs>
        <w:ind w:left="855"/>
        <w:rPr>
          <w:spacing w:val="-3"/>
        </w:rPr>
      </w:pPr>
    </w:p>
    <w:p w:rsidR="00290DD8" w:rsidRPr="00290DD8" w:rsidRDefault="00290DD8" w:rsidP="00E90606">
      <w:pPr>
        <w:tabs>
          <w:tab w:val="left" w:pos="0"/>
          <w:tab w:val="left" w:pos="851"/>
        </w:tabs>
        <w:ind w:left="850"/>
        <w:rPr>
          <w:szCs w:val="24"/>
          <w:u w:val="single"/>
        </w:rPr>
      </w:pPr>
      <w:r w:rsidRPr="00290DD8">
        <w:rPr>
          <w:szCs w:val="24"/>
          <w:u w:val="single"/>
        </w:rPr>
        <w:t>Pædiatrisk population</w:t>
      </w:r>
    </w:p>
    <w:p w:rsidR="00290DD8" w:rsidRPr="00290DD8" w:rsidRDefault="00290DD8" w:rsidP="00E90606">
      <w:pPr>
        <w:tabs>
          <w:tab w:val="left" w:pos="0"/>
          <w:tab w:val="left" w:pos="851"/>
        </w:tabs>
        <w:ind w:left="850"/>
        <w:rPr>
          <w:szCs w:val="24"/>
        </w:rPr>
      </w:pPr>
      <w:r w:rsidRPr="00290DD8">
        <w:rPr>
          <w:szCs w:val="24"/>
        </w:rPr>
        <w:t>Børn under 2-3 måneder eller børn, der vejer mindre end 5 kg</w:t>
      </w:r>
      <w:r w:rsidR="006B780B">
        <w:rPr>
          <w:szCs w:val="24"/>
        </w:rPr>
        <w:t>,</w:t>
      </w:r>
      <w:r w:rsidRPr="00290DD8">
        <w:rPr>
          <w:szCs w:val="24"/>
        </w:rPr>
        <w:t xml:space="preserve"> har øget </w:t>
      </w:r>
      <w:proofErr w:type="spellStart"/>
      <w:r w:rsidRPr="00290DD8">
        <w:rPr>
          <w:szCs w:val="24"/>
        </w:rPr>
        <w:t>lavmolekylærheparinbehov</w:t>
      </w:r>
      <w:proofErr w:type="spellEnd"/>
      <w:r w:rsidRPr="00290DD8">
        <w:rPr>
          <w:szCs w:val="24"/>
        </w:rPr>
        <w:t xml:space="preserve"> (LMHB) per kg, sandsynligvis pga. deres store distributionsvolumen. Andre forklaringer på øget LMHB per kg legemsvægt hos unge omfatter ændret farmakokinetik og/eller nedsat effekt af </w:t>
      </w:r>
      <w:proofErr w:type="spellStart"/>
      <w:r w:rsidRPr="00290DD8">
        <w:rPr>
          <w:szCs w:val="24"/>
        </w:rPr>
        <w:t>heparins</w:t>
      </w:r>
      <w:proofErr w:type="spellEnd"/>
      <w:r w:rsidRPr="00290DD8">
        <w:rPr>
          <w:szCs w:val="24"/>
        </w:rPr>
        <w:t xml:space="preserve"> antikoagulerende aktivitet hos børn pga. nedsat plasmakoncentration af </w:t>
      </w:r>
      <w:proofErr w:type="spellStart"/>
      <w:r w:rsidRPr="00290DD8">
        <w:rPr>
          <w:szCs w:val="24"/>
        </w:rPr>
        <w:t>antitrombin</w:t>
      </w:r>
      <w:proofErr w:type="spellEnd"/>
      <w:r w:rsidRPr="00290DD8">
        <w:rPr>
          <w:szCs w:val="24"/>
        </w:rPr>
        <w:t>.</w:t>
      </w:r>
    </w:p>
    <w:p w:rsidR="00290DD8" w:rsidRPr="00290DD8" w:rsidRDefault="00290DD8" w:rsidP="00E90606">
      <w:pPr>
        <w:tabs>
          <w:tab w:val="left" w:pos="0"/>
          <w:tab w:val="left" w:pos="851"/>
        </w:tabs>
        <w:ind w:left="850" w:hanging="850"/>
        <w:rPr>
          <w:spacing w:val="-3"/>
        </w:rPr>
      </w:pPr>
      <w:r w:rsidRPr="00290DD8">
        <w:rPr>
          <w:spacing w:val="-3"/>
        </w:rPr>
        <w:tab/>
      </w:r>
    </w:p>
    <w:p w:rsidR="00290DD8" w:rsidRPr="00290DD8" w:rsidRDefault="00290DD8" w:rsidP="00E90606">
      <w:pPr>
        <w:tabs>
          <w:tab w:val="left" w:pos="0"/>
          <w:tab w:val="left" w:pos="851"/>
        </w:tabs>
        <w:ind w:left="850" w:hanging="850"/>
        <w:rPr>
          <w:spacing w:val="-3"/>
        </w:rPr>
      </w:pPr>
      <w:r w:rsidRPr="00290DD8">
        <w:rPr>
          <w:spacing w:val="-3"/>
        </w:rPr>
        <w:tab/>
        <w:t xml:space="preserve">Halveringstiden efter </w:t>
      </w:r>
      <w:proofErr w:type="spellStart"/>
      <w:r w:rsidRPr="00290DD8">
        <w:rPr>
          <w:spacing w:val="-3"/>
        </w:rPr>
        <w:t>i.v</w:t>
      </w:r>
      <w:proofErr w:type="spellEnd"/>
      <w:r w:rsidRPr="00290DD8">
        <w:rPr>
          <w:spacing w:val="-3"/>
        </w:rPr>
        <w:t xml:space="preserve">. injektion er 2 timer og efter </w:t>
      </w:r>
      <w:proofErr w:type="spellStart"/>
      <w:r w:rsidRPr="00290DD8">
        <w:rPr>
          <w:spacing w:val="-3"/>
        </w:rPr>
        <w:t>s.c</w:t>
      </w:r>
      <w:proofErr w:type="spellEnd"/>
      <w:r w:rsidRPr="00290DD8">
        <w:rPr>
          <w:spacing w:val="-3"/>
        </w:rPr>
        <w:t xml:space="preserve">. injektion 3-4 timer. Biotilgængeligheden efter </w:t>
      </w:r>
      <w:proofErr w:type="spellStart"/>
      <w:r w:rsidRPr="00290DD8">
        <w:rPr>
          <w:spacing w:val="-3"/>
        </w:rPr>
        <w:t>s.c</w:t>
      </w:r>
      <w:proofErr w:type="spellEnd"/>
      <w:r w:rsidRPr="00290DD8">
        <w:rPr>
          <w:spacing w:val="-3"/>
        </w:rPr>
        <w:t>. injektion er ca. 90</w:t>
      </w:r>
      <w:r w:rsidR="006B780B">
        <w:rPr>
          <w:spacing w:val="-3"/>
        </w:rPr>
        <w:t xml:space="preserve"> </w:t>
      </w:r>
      <w:r w:rsidRPr="00290DD8">
        <w:rPr>
          <w:spacing w:val="-3"/>
        </w:rPr>
        <w:t>%, og farmakokinetikken er basalt ikke dosisafhængig.</w:t>
      </w:r>
    </w:p>
    <w:p w:rsidR="00290DD8" w:rsidRPr="00290DD8" w:rsidRDefault="00290DD8" w:rsidP="00E90606">
      <w:pPr>
        <w:tabs>
          <w:tab w:val="left" w:pos="0"/>
          <w:tab w:val="left" w:pos="851"/>
        </w:tabs>
        <w:ind w:left="850" w:hanging="850"/>
        <w:rPr>
          <w:spacing w:val="-3"/>
        </w:rPr>
      </w:pPr>
      <w:r w:rsidRPr="00290DD8">
        <w:rPr>
          <w:spacing w:val="-3"/>
        </w:rPr>
        <w:tab/>
        <w:t xml:space="preserve">Halveringstiden er forlænget hos uræmiske patienter. </w:t>
      </w:r>
      <w:proofErr w:type="spellStart"/>
      <w:r w:rsidRPr="00290DD8">
        <w:rPr>
          <w:spacing w:val="-3"/>
        </w:rPr>
        <w:t>Dalteparinnatrium</w:t>
      </w:r>
      <w:proofErr w:type="spellEnd"/>
      <w:r w:rsidRPr="00290DD8">
        <w:rPr>
          <w:spacing w:val="-3"/>
        </w:rPr>
        <w:t xml:space="preserve"> elimineres hovedsageligt via nyrerne.</w:t>
      </w:r>
    </w:p>
    <w:p w:rsidR="00290DD8" w:rsidRPr="00290DD8" w:rsidRDefault="00290DD8" w:rsidP="00E90606">
      <w:pPr>
        <w:tabs>
          <w:tab w:val="left" w:pos="0"/>
          <w:tab w:val="left" w:pos="851"/>
        </w:tabs>
        <w:ind w:left="850" w:hanging="850"/>
        <w:rPr>
          <w:spacing w:val="-3"/>
        </w:rPr>
      </w:pPr>
    </w:p>
    <w:p w:rsidR="006E2E58" w:rsidRDefault="00290DD8" w:rsidP="00E90606">
      <w:pPr>
        <w:ind w:left="850"/>
      </w:pPr>
      <w:r w:rsidRPr="00290DD8">
        <w:t xml:space="preserve">I en stor klinisk afprøvning blev 672 patienter med cancer og symptomatisk venøs trombose randomiseret til enten en </w:t>
      </w:r>
      <w:proofErr w:type="spellStart"/>
      <w:r w:rsidRPr="00290DD8">
        <w:t>dalteparinarm</w:t>
      </w:r>
      <w:proofErr w:type="spellEnd"/>
      <w:r w:rsidRPr="00290DD8">
        <w:t xml:space="preserve"> (</w:t>
      </w:r>
      <w:proofErr w:type="spellStart"/>
      <w:r w:rsidRPr="00290DD8">
        <w:t>dalteparin</w:t>
      </w:r>
      <w:proofErr w:type="spellEnd"/>
      <w:r w:rsidRPr="00290DD8">
        <w:t xml:space="preserve"> 200 IE/kg daglig i 30 dage, efterfulgt af </w:t>
      </w:r>
      <w:proofErr w:type="spellStart"/>
      <w:r w:rsidRPr="00290DD8">
        <w:t>dalteparin</w:t>
      </w:r>
      <w:proofErr w:type="spellEnd"/>
      <w:r w:rsidRPr="00290DD8">
        <w:t xml:space="preserve"> 150 IE/kg daglig i 5 måneder) eller en arm med traditionel oral </w:t>
      </w:r>
      <w:proofErr w:type="spellStart"/>
      <w:r w:rsidRPr="00290DD8">
        <w:t>antikoagulansbehandling</w:t>
      </w:r>
      <w:proofErr w:type="spellEnd"/>
      <w:r w:rsidRPr="00290DD8">
        <w:t xml:space="preserve"> (</w:t>
      </w:r>
      <w:proofErr w:type="spellStart"/>
      <w:r w:rsidRPr="00290DD8">
        <w:t>dalteparin</w:t>
      </w:r>
      <w:proofErr w:type="spellEnd"/>
      <w:r w:rsidRPr="00290DD8">
        <w:t xml:space="preserve"> 200 IE/kg daglig i 5-7 dage med K-vitamin antagonist over en 6 måneder</w:t>
      </w:r>
      <w:r w:rsidR="006E2E58">
        <w:t>s periode begyndende på dag 2).</w:t>
      </w:r>
    </w:p>
    <w:p w:rsidR="00500C6B" w:rsidRDefault="00290DD8" w:rsidP="00E90606">
      <w:pPr>
        <w:ind w:left="850"/>
      </w:pPr>
      <w:r w:rsidRPr="00290DD8">
        <w:t xml:space="preserve">Patienterne i </w:t>
      </w:r>
      <w:proofErr w:type="spellStart"/>
      <w:r w:rsidRPr="00290DD8">
        <w:t>dalteparinarmen</w:t>
      </w:r>
      <w:proofErr w:type="spellEnd"/>
      <w:r w:rsidRPr="00290DD8">
        <w:t xml:space="preserve"> havde en relativ reduktion af risiko for recidiv dyb venøs trombose på 52</w:t>
      </w:r>
      <w:r w:rsidR="00500C6B">
        <w:t xml:space="preserve"> </w:t>
      </w:r>
      <w:r w:rsidRPr="00290DD8">
        <w:t xml:space="preserve">%. Analyse af blødningstilfælde viste en ikke-signifikant øget risiko for alvorlige blødninger i </w:t>
      </w:r>
      <w:proofErr w:type="spellStart"/>
      <w:r w:rsidRPr="00290DD8">
        <w:t>dalteparinarmen</w:t>
      </w:r>
      <w:proofErr w:type="spellEnd"/>
      <w:r w:rsidRPr="00290DD8">
        <w:t xml:space="preserve"> sammenlignet med oral </w:t>
      </w:r>
      <w:proofErr w:type="spellStart"/>
      <w:r w:rsidRPr="00290DD8">
        <w:t>antikoagulans</w:t>
      </w:r>
      <w:r w:rsidRPr="00290DD8">
        <w:softHyphen/>
        <w:t>behandling</w:t>
      </w:r>
      <w:proofErr w:type="spellEnd"/>
      <w:r w:rsidRPr="00290DD8">
        <w:t xml:space="preserve"> i den første måned af behandlingsperioden, men ingen stigning over he</w:t>
      </w:r>
      <w:r w:rsidR="00500C6B">
        <w:t>le den 6 måneder lange periode.</w:t>
      </w:r>
    </w:p>
    <w:p w:rsidR="00290DD8" w:rsidRPr="00290DD8" w:rsidRDefault="00290DD8" w:rsidP="00E90606">
      <w:pPr>
        <w:ind w:left="850"/>
      </w:pPr>
      <w:r w:rsidRPr="00290DD8">
        <w:t xml:space="preserve">For alle blødningstilfælde (både alvorlige og ikke-alvorlige) var der en ikke-signifikant overvægt af tilfælde i armen med oral </w:t>
      </w:r>
      <w:proofErr w:type="spellStart"/>
      <w:r w:rsidRPr="00290DD8">
        <w:t>antikoagulansbehandling</w:t>
      </w:r>
      <w:proofErr w:type="spellEnd"/>
      <w:r w:rsidRPr="00290DD8">
        <w:t>.</w:t>
      </w:r>
    </w:p>
    <w:p w:rsidR="00E84D5F" w:rsidRPr="00290DD8" w:rsidRDefault="00E84D5F" w:rsidP="00E90606">
      <w:pPr>
        <w:tabs>
          <w:tab w:val="left" w:pos="0"/>
          <w:tab w:val="left" w:pos="851"/>
        </w:tabs>
        <w:rPr>
          <w:spacing w:val="-3"/>
        </w:rPr>
      </w:pPr>
    </w:p>
    <w:p w:rsidR="00E84D5F" w:rsidRPr="00290DD8" w:rsidRDefault="00E84D5F" w:rsidP="00E90606">
      <w:pPr>
        <w:numPr>
          <w:ilvl w:val="1"/>
          <w:numId w:val="9"/>
        </w:numPr>
        <w:tabs>
          <w:tab w:val="left" w:pos="0"/>
        </w:tabs>
        <w:rPr>
          <w:b/>
          <w:spacing w:val="-3"/>
        </w:rPr>
      </w:pPr>
      <w:r w:rsidRPr="00290DD8">
        <w:rPr>
          <w:b/>
          <w:spacing w:val="-3"/>
        </w:rPr>
        <w:t>Prækliniske sikkerhedsdata</w:t>
      </w:r>
    </w:p>
    <w:p w:rsidR="00E84D5F" w:rsidRPr="00290DD8" w:rsidRDefault="00E84D5F" w:rsidP="00E90606">
      <w:pPr>
        <w:tabs>
          <w:tab w:val="left" w:pos="0"/>
          <w:tab w:val="left" w:pos="851"/>
        </w:tabs>
        <w:ind w:left="850" w:hanging="850"/>
        <w:rPr>
          <w:spacing w:val="-3"/>
        </w:rPr>
      </w:pPr>
      <w:r w:rsidRPr="00290DD8">
        <w:rPr>
          <w:spacing w:val="-3"/>
        </w:rPr>
        <w:tab/>
      </w:r>
      <w:proofErr w:type="spellStart"/>
      <w:r w:rsidRPr="00290DD8">
        <w:rPr>
          <w:spacing w:val="-3"/>
        </w:rPr>
        <w:t>Dalteparinnatriums</w:t>
      </w:r>
      <w:proofErr w:type="spellEnd"/>
      <w:r w:rsidRPr="00290DD8">
        <w:rPr>
          <w:spacing w:val="-3"/>
        </w:rPr>
        <w:t xml:space="preserve"> akutte toksicitet er betydeligt lavere end </w:t>
      </w:r>
      <w:proofErr w:type="spellStart"/>
      <w:r w:rsidRPr="00290DD8">
        <w:rPr>
          <w:spacing w:val="-3"/>
        </w:rPr>
        <w:t>heparins</w:t>
      </w:r>
      <w:proofErr w:type="spellEnd"/>
      <w:r w:rsidRPr="00290DD8">
        <w:rPr>
          <w:spacing w:val="-3"/>
        </w:rPr>
        <w:t>. Det eneste signifikante fund i toksicitetsstudierne efter subkutan injektion af højere doser er lokal blødning på injektionsstedet.</w:t>
      </w:r>
    </w:p>
    <w:p w:rsidR="00E84D5F" w:rsidRPr="00290DD8" w:rsidRDefault="00E84D5F" w:rsidP="00E90606">
      <w:pPr>
        <w:tabs>
          <w:tab w:val="left" w:pos="0"/>
          <w:tab w:val="left" w:pos="851"/>
        </w:tabs>
        <w:ind w:left="850" w:hanging="850"/>
        <w:rPr>
          <w:spacing w:val="-3"/>
        </w:rPr>
      </w:pPr>
      <w:r w:rsidRPr="00290DD8">
        <w:rPr>
          <w:spacing w:val="-3"/>
        </w:rPr>
        <w:tab/>
        <w:t>Blødningerne er dosisafhængige både hvad angår hyppighed og mængde, men der er ingen kumulativ effekt.</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ind w:left="850"/>
        <w:rPr>
          <w:spacing w:val="-3"/>
        </w:rPr>
      </w:pPr>
      <w:r w:rsidRPr="00290DD8">
        <w:rPr>
          <w:spacing w:val="-3"/>
        </w:rPr>
        <w:tab/>
        <w:t xml:space="preserve">Blødningsreaktionen afspejles i dosisrelaterede ændringer i den antikoagulerende effekt målt ved APTT og </w:t>
      </w:r>
      <w:proofErr w:type="spellStart"/>
      <w:r w:rsidRPr="00290DD8">
        <w:rPr>
          <w:spacing w:val="-3"/>
        </w:rPr>
        <w:t>anti</w:t>
      </w:r>
      <w:proofErr w:type="spellEnd"/>
      <w:r w:rsidRPr="00290DD8">
        <w:rPr>
          <w:spacing w:val="-3"/>
        </w:rPr>
        <w:t>-</w:t>
      </w:r>
      <w:proofErr w:type="spellStart"/>
      <w:r w:rsidRPr="00290DD8">
        <w:rPr>
          <w:spacing w:val="-3"/>
        </w:rPr>
        <w:t>Xa</w:t>
      </w:r>
      <w:proofErr w:type="spellEnd"/>
      <w:r w:rsidRPr="00290DD8">
        <w:rPr>
          <w:spacing w:val="-3"/>
        </w:rPr>
        <w:t>-aktivitet.</w:t>
      </w:r>
    </w:p>
    <w:p w:rsidR="00E84D5F" w:rsidRPr="00290DD8" w:rsidRDefault="00E84D5F" w:rsidP="00E90606">
      <w:pPr>
        <w:tabs>
          <w:tab w:val="left" w:pos="0"/>
          <w:tab w:val="left" w:pos="851"/>
        </w:tabs>
        <w:ind w:left="850" w:hanging="850"/>
        <w:rPr>
          <w:spacing w:val="-3"/>
        </w:rPr>
      </w:pPr>
      <w:r w:rsidRPr="00290DD8">
        <w:rPr>
          <w:spacing w:val="-3"/>
        </w:rPr>
        <w:tab/>
      </w:r>
      <w:proofErr w:type="spellStart"/>
      <w:r w:rsidRPr="00290DD8">
        <w:rPr>
          <w:spacing w:val="-3"/>
        </w:rPr>
        <w:t>Dalteparinnatrium</w:t>
      </w:r>
      <w:proofErr w:type="spellEnd"/>
      <w:r w:rsidRPr="00290DD8">
        <w:rPr>
          <w:spacing w:val="-3"/>
        </w:rPr>
        <w:t xml:space="preserve"> har ikke større </w:t>
      </w:r>
      <w:proofErr w:type="spellStart"/>
      <w:r w:rsidRPr="00290DD8">
        <w:rPr>
          <w:spacing w:val="-3"/>
        </w:rPr>
        <w:t>osteopenieffekt</w:t>
      </w:r>
      <w:proofErr w:type="spellEnd"/>
      <w:r w:rsidRPr="00290DD8">
        <w:rPr>
          <w:spacing w:val="-3"/>
        </w:rPr>
        <w:t xml:space="preserve"> end </w:t>
      </w:r>
      <w:proofErr w:type="spellStart"/>
      <w:r w:rsidRPr="00290DD8">
        <w:rPr>
          <w:spacing w:val="-3"/>
        </w:rPr>
        <w:t>heparin</w:t>
      </w:r>
      <w:proofErr w:type="spellEnd"/>
      <w:r w:rsidRPr="00290DD8">
        <w:rPr>
          <w:spacing w:val="-3"/>
        </w:rPr>
        <w:t xml:space="preserve">, da </w:t>
      </w:r>
      <w:proofErr w:type="spellStart"/>
      <w:r w:rsidRPr="00290DD8">
        <w:rPr>
          <w:spacing w:val="-3"/>
        </w:rPr>
        <w:t>ekvivalente</w:t>
      </w:r>
      <w:proofErr w:type="spellEnd"/>
      <w:r w:rsidRPr="00290DD8">
        <w:rPr>
          <w:spacing w:val="-3"/>
        </w:rPr>
        <w:t xml:space="preserve"> doser har vist sammenlignelig effekt.</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ind w:left="850"/>
        <w:rPr>
          <w:spacing w:val="-3"/>
        </w:rPr>
      </w:pPr>
      <w:r w:rsidRPr="00290DD8">
        <w:rPr>
          <w:spacing w:val="-3"/>
        </w:rPr>
        <w:t xml:space="preserve">De prækliniske data viser ingen </w:t>
      </w:r>
      <w:proofErr w:type="spellStart"/>
      <w:r w:rsidRPr="00290DD8">
        <w:rPr>
          <w:spacing w:val="-3"/>
        </w:rPr>
        <w:t>organtokcisitet</w:t>
      </w:r>
      <w:proofErr w:type="spellEnd"/>
      <w:r w:rsidRPr="00290DD8">
        <w:rPr>
          <w:spacing w:val="-3"/>
        </w:rPr>
        <w:t xml:space="preserve"> uanset indgivelsesvej, dosis eller behandlingsvarighed. Der er ikke fundet hverken mutagen, embryotoksisk eller </w:t>
      </w:r>
      <w:proofErr w:type="spellStart"/>
      <w:r w:rsidRPr="00290DD8">
        <w:rPr>
          <w:spacing w:val="-3"/>
        </w:rPr>
        <w:t>teratogen</w:t>
      </w:r>
      <w:proofErr w:type="spellEnd"/>
      <w:r w:rsidRPr="00290DD8">
        <w:rPr>
          <w:spacing w:val="-3"/>
        </w:rPr>
        <w:t xml:space="preserve"> effekt af </w:t>
      </w:r>
      <w:proofErr w:type="spellStart"/>
      <w:r w:rsidRPr="00290DD8">
        <w:rPr>
          <w:spacing w:val="-3"/>
        </w:rPr>
        <w:t>Fragmin</w:t>
      </w:r>
      <w:proofErr w:type="spellEnd"/>
      <w:r w:rsidRPr="00290DD8">
        <w:rPr>
          <w:spacing w:val="-3"/>
        </w:rPr>
        <w:t xml:space="preserve">. Der er heller ikke set effekt på reproduktionsevnen eller den peri- og </w:t>
      </w:r>
      <w:proofErr w:type="spellStart"/>
      <w:r w:rsidRPr="00290DD8">
        <w:rPr>
          <w:spacing w:val="-3"/>
        </w:rPr>
        <w:t>postnatale</w:t>
      </w:r>
      <w:proofErr w:type="spellEnd"/>
      <w:r w:rsidRPr="00290DD8">
        <w:rPr>
          <w:spacing w:val="-3"/>
        </w:rPr>
        <w:t xml:space="preserve"> udvikling.</w:t>
      </w:r>
    </w:p>
    <w:p w:rsidR="00E84D5F" w:rsidRPr="00290DD8" w:rsidRDefault="00E84D5F" w:rsidP="00E90606">
      <w:pPr>
        <w:tabs>
          <w:tab w:val="left" w:pos="0"/>
          <w:tab w:val="left" w:pos="851"/>
        </w:tabs>
        <w:rPr>
          <w:spacing w:val="-3"/>
        </w:rPr>
      </w:pPr>
    </w:p>
    <w:p w:rsidR="0061515A" w:rsidRPr="00290DD8" w:rsidRDefault="0061515A" w:rsidP="00E90606">
      <w:pPr>
        <w:tabs>
          <w:tab w:val="left" w:pos="0"/>
          <w:tab w:val="left" w:pos="851"/>
        </w:tabs>
        <w:rPr>
          <w:spacing w:val="-3"/>
        </w:rPr>
      </w:pPr>
    </w:p>
    <w:p w:rsidR="00E84D5F" w:rsidRPr="00290DD8" w:rsidRDefault="00E84D5F" w:rsidP="001C4663">
      <w:pPr>
        <w:keepNext/>
        <w:tabs>
          <w:tab w:val="left" w:pos="0"/>
          <w:tab w:val="left" w:pos="851"/>
        </w:tabs>
        <w:ind w:left="850" w:hanging="850"/>
        <w:rPr>
          <w:spacing w:val="-3"/>
        </w:rPr>
      </w:pPr>
      <w:r w:rsidRPr="00290DD8">
        <w:rPr>
          <w:b/>
          <w:spacing w:val="-3"/>
        </w:rPr>
        <w:lastRenderedPageBreak/>
        <w:t>6.</w:t>
      </w:r>
      <w:r w:rsidRPr="00290DD8">
        <w:rPr>
          <w:b/>
          <w:spacing w:val="-3"/>
        </w:rPr>
        <w:tab/>
        <w:t>FARMACEUTISKE OPLYSNINGER</w:t>
      </w:r>
    </w:p>
    <w:p w:rsidR="00E84D5F" w:rsidRPr="00290DD8" w:rsidRDefault="00E84D5F" w:rsidP="001C4663">
      <w:pPr>
        <w:keepNext/>
        <w:tabs>
          <w:tab w:val="left" w:pos="0"/>
          <w:tab w:val="left" w:pos="851"/>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6.1</w:t>
      </w:r>
      <w:r w:rsidRPr="00290DD8">
        <w:rPr>
          <w:b/>
          <w:spacing w:val="-3"/>
        </w:rPr>
        <w:tab/>
        <w:t>Hjælpestoffer</w:t>
      </w:r>
    </w:p>
    <w:p w:rsidR="00013F73" w:rsidRDefault="00E84D5F" w:rsidP="00E90606">
      <w:pPr>
        <w:tabs>
          <w:tab w:val="left" w:pos="0"/>
          <w:tab w:val="left" w:pos="851"/>
        </w:tabs>
        <w:ind w:left="850" w:hanging="850"/>
        <w:rPr>
          <w:spacing w:val="-3"/>
        </w:rPr>
      </w:pPr>
      <w:r w:rsidRPr="00290DD8">
        <w:rPr>
          <w:spacing w:val="-3"/>
        </w:rPr>
        <w:tab/>
      </w:r>
      <w:proofErr w:type="spellStart"/>
      <w:r w:rsidRPr="00290DD8">
        <w:rPr>
          <w:spacing w:val="-3"/>
        </w:rPr>
        <w:t>Natriumchlorid</w:t>
      </w:r>
      <w:proofErr w:type="spellEnd"/>
    </w:p>
    <w:p w:rsidR="00E84D5F" w:rsidRPr="00290DD8" w:rsidRDefault="00013F73" w:rsidP="00E90606">
      <w:pPr>
        <w:tabs>
          <w:tab w:val="left" w:pos="0"/>
          <w:tab w:val="left" w:pos="851"/>
        </w:tabs>
        <w:ind w:left="850" w:hanging="850"/>
        <w:rPr>
          <w:spacing w:val="-3"/>
        </w:rPr>
      </w:pPr>
      <w:r>
        <w:rPr>
          <w:spacing w:val="-3"/>
        </w:rPr>
        <w:tab/>
        <w:t>Vand til injektionsvæsker</w:t>
      </w:r>
    </w:p>
    <w:p w:rsidR="003E108B" w:rsidRPr="00290DD8" w:rsidRDefault="003E108B" w:rsidP="00E90606">
      <w:pPr>
        <w:tabs>
          <w:tab w:val="left" w:pos="0"/>
          <w:tab w:val="left" w:pos="851"/>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6.2</w:t>
      </w:r>
      <w:r w:rsidRPr="00290DD8">
        <w:rPr>
          <w:b/>
          <w:spacing w:val="-3"/>
        </w:rPr>
        <w:tab/>
        <w:t>Uforligeligheder</w:t>
      </w:r>
    </w:p>
    <w:p w:rsidR="00E84D5F" w:rsidRPr="00290DD8" w:rsidRDefault="00E84D5F" w:rsidP="00E90606">
      <w:pPr>
        <w:pStyle w:val="Brdtekstindrykning2"/>
        <w:jc w:val="left"/>
      </w:pPr>
      <w:r w:rsidRPr="00290DD8">
        <w:tab/>
      </w:r>
      <w:r w:rsidR="005D0E76">
        <w:t>F</w:t>
      </w:r>
      <w:r w:rsidRPr="00290DD8">
        <w:t xml:space="preserve">orligelighed </w:t>
      </w:r>
      <w:r w:rsidR="005D0E76">
        <w:t xml:space="preserve">er alene undersøgt </w:t>
      </w:r>
      <w:r w:rsidRPr="00290DD8">
        <w:t>med præparaterne næ</w:t>
      </w:r>
      <w:r w:rsidR="005D0E76">
        <w:t xml:space="preserve">vnt </w:t>
      </w:r>
      <w:r w:rsidR="008E629A">
        <w:t>i</w:t>
      </w:r>
      <w:r w:rsidR="005D0E76">
        <w:t xml:space="preserve"> pkt. 6.6.</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6.3</w:t>
      </w:r>
      <w:r w:rsidRPr="00290DD8">
        <w:rPr>
          <w:b/>
          <w:spacing w:val="-3"/>
        </w:rPr>
        <w:tab/>
        <w:t>Opbevaringstid</w:t>
      </w:r>
    </w:p>
    <w:p w:rsidR="00E84D5F" w:rsidRDefault="00E84D5F" w:rsidP="00E90606">
      <w:pPr>
        <w:tabs>
          <w:tab w:val="left" w:pos="0"/>
          <w:tab w:val="left" w:pos="851"/>
        </w:tabs>
        <w:ind w:left="850" w:hanging="850"/>
        <w:rPr>
          <w:spacing w:val="-3"/>
        </w:rPr>
      </w:pPr>
      <w:r w:rsidRPr="00290DD8">
        <w:rPr>
          <w:spacing w:val="-3"/>
        </w:rPr>
        <w:tab/>
        <w:t>3 år.</w:t>
      </w:r>
    </w:p>
    <w:p w:rsidR="0002272A" w:rsidRDefault="0002272A" w:rsidP="00E90606">
      <w:pPr>
        <w:tabs>
          <w:tab w:val="left" w:pos="0"/>
          <w:tab w:val="left" w:pos="851"/>
        </w:tabs>
        <w:ind w:left="850" w:hanging="850"/>
        <w:rPr>
          <w:spacing w:val="-3"/>
        </w:rPr>
      </w:pPr>
    </w:p>
    <w:p w:rsidR="0002272A" w:rsidRDefault="0002272A" w:rsidP="00E90606">
      <w:pPr>
        <w:tabs>
          <w:tab w:val="left" w:pos="0"/>
          <w:tab w:val="left" w:pos="851"/>
        </w:tabs>
        <w:ind w:left="850" w:hanging="850"/>
        <w:rPr>
          <w:spacing w:val="-3"/>
        </w:rPr>
      </w:pPr>
      <w:r>
        <w:rPr>
          <w:spacing w:val="-3"/>
        </w:rPr>
        <w:tab/>
      </w:r>
      <w:r>
        <w:rPr>
          <w:spacing w:val="-3"/>
        </w:rPr>
        <w:t>Ud fra et mikrobiologisk perspektiv skal præparatet bruges med det samme, medmindre åbning- og fortyndingsmetoden udelukker risikoen for mikrobiel kontaminering. Anvendelse af andre opbevaringstider og -betingelser er på brugerens eget ansvar</w:t>
      </w:r>
      <w:r>
        <w:rPr>
          <w:spacing w:val="-3"/>
        </w:rPr>
        <w:t>.</w:t>
      </w:r>
    </w:p>
    <w:p w:rsidR="00E84D5F" w:rsidRPr="00290DD8" w:rsidRDefault="00E84D5F" w:rsidP="00E90606">
      <w:pPr>
        <w:tabs>
          <w:tab w:val="left" w:pos="0"/>
          <w:tab w:val="left" w:pos="851"/>
        </w:tabs>
        <w:rPr>
          <w:spacing w:val="-3"/>
        </w:rPr>
      </w:pPr>
    </w:p>
    <w:p w:rsidR="00E84D5F" w:rsidRPr="00290DD8" w:rsidRDefault="00E84D5F" w:rsidP="00E90606">
      <w:pPr>
        <w:tabs>
          <w:tab w:val="left" w:pos="0"/>
          <w:tab w:val="left" w:pos="851"/>
        </w:tabs>
        <w:ind w:left="850" w:hanging="850"/>
        <w:rPr>
          <w:b/>
          <w:spacing w:val="-3"/>
        </w:rPr>
      </w:pPr>
      <w:r w:rsidRPr="00290DD8">
        <w:rPr>
          <w:b/>
          <w:spacing w:val="-3"/>
        </w:rPr>
        <w:t>6.4</w:t>
      </w:r>
      <w:r w:rsidRPr="00290DD8">
        <w:rPr>
          <w:b/>
          <w:spacing w:val="-3"/>
        </w:rPr>
        <w:tab/>
        <w:t>Særlige opbevaringsforhold</w:t>
      </w:r>
    </w:p>
    <w:p w:rsidR="00E84D5F" w:rsidRDefault="005D0E76" w:rsidP="004A6904">
      <w:pPr>
        <w:tabs>
          <w:tab w:val="left" w:pos="0"/>
          <w:tab w:val="left" w:pos="851"/>
        </w:tabs>
        <w:ind w:left="850" w:hanging="850"/>
        <w:rPr>
          <w:spacing w:val="-3"/>
        </w:rPr>
      </w:pPr>
      <w:r>
        <w:rPr>
          <w:spacing w:val="-3"/>
        </w:rPr>
        <w:tab/>
      </w:r>
      <w:r w:rsidR="004A6904" w:rsidRPr="0043070C">
        <w:rPr>
          <w:spacing w:val="-3"/>
        </w:rPr>
        <w:t>Må ikke opbevares over 25 °C.</w:t>
      </w:r>
    </w:p>
    <w:p w:rsidR="004A6904" w:rsidRPr="00290DD8" w:rsidRDefault="004A6904" w:rsidP="004A6904">
      <w:pPr>
        <w:tabs>
          <w:tab w:val="left" w:pos="0"/>
          <w:tab w:val="left" w:pos="851"/>
        </w:tabs>
        <w:ind w:left="850" w:hanging="850"/>
        <w:rPr>
          <w:spacing w:val="-3"/>
        </w:rPr>
      </w:pPr>
    </w:p>
    <w:p w:rsidR="009A377A" w:rsidRPr="00290DD8" w:rsidRDefault="00E84D5F" w:rsidP="00E90606">
      <w:pPr>
        <w:tabs>
          <w:tab w:val="left" w:pos="0"/>
          <w:tab w:val="left" w:pos="851"/>
          <w:tab w:val="left" w:pos="3462"/>
        </w:tabs>
        <w:ind w:left="850" w:hanging="850"/>
        <w:rPr>
          <w:b/>
          <w:spacing w:val="-3"/>
        </w:rPr>
      </w:pPr>
      <w:r w:rsidRPr="00290DD8">
        <w:rPr>
          <w:b/>
          <w:spacing w:val="-3"/>
        </w:rPr>
        <w:t>6.5</w:t>
      </w:r>
      <w:r w:rsidRPr="00290DD8">
        <w:rPr>
          <w:b/>
          <w:spacing w:val="-3"/>
        </w:rPr>
        <w:tab/>
        <w:t>Emb</w:t>
      </w:r>
      <w:r w:rsidR="009A377A" w:rsidRPr="00290DD8">
        <w:rPr>
          <w:b/>
        </w:rPr>
        <w:t>allagetyper og pakningsstørrelser</w:t>
      </w:r>
    </w:p>
    <w:p w:rsidR="00E84D5F" w:rsidRDefault="009A377A" w:rsidP="00776BB6">
      <w:pPr>
        <w:tabs>
          <w:tab w:val="left" w:pos="0"/>
          <w:tab w:val="left" w:pos="851"/>
          <w:tab w:val="left" w:pos="4169"/>
        </w:tabs>
        <w:ind w:left="850" w:hanging="850"/>
        <w:rPr>
          <w:spacing w:val="-3"/>
        </w:rPr>
      </w:pPr>
      <w:r w:rsidRPr="00290DD8">
        <w:rPr>
          <w:spacing w:val="-3"/>
        </w:rPr>
        <w:tab/>
      </w:r>
      <w:r w:rsidR="00776BB6">
        <w:rPr>
          <w:spacing w:val="-3"/>
        </w:rPr>
        <w:t>Injektionsvæske, opløsning udleveres i fyldte enkeltdosis-injektionssprøjter (type I-glas) med nålebeskytter (gummi), og nålefang som en sikkerhedsforanstaltning. Nålebeskytteren kan indeholde latex (se pkt. 4.4).</w:t>
      </w:r>
    </w:p>
    <w:p w:rsidR="005D0E76" w:rsidRPr="00290DD8" w:rsidRDefault="005D0E76" w:rsidP="005D0E76">
      <w:pPr>
        <w:tabs>
          <w:tab w:val="left" w:pos="0"/>
          <w:tab w:val="left" w:pos="851"/>
          <w:tab w:val="left" w:pos="4169"/>
        </w:tabs>
        <w:ind w:left="850" w:hanging="850"/>
        <w:rPr>
          <w:spacing w:val="-3"/>
        </w:rPr>
      </w:pPr>
    </w:p>
    <w:p w:rsidR="009A377A" w:rsidRPr="00290DD8" w:rsidRDefault="00E84D5F" w:rsidP="00E90606">
      <w:pPr>
        <w:tabs>
          <w:tab w:val="left" w:pos="0"/>
          <w:tab w:val="left" w:pos="851"/>
          <w:tab w:val="left" w:pos="4169"/>
        </w:tabs>
        <w:ind w:left="850" w:hanging="850"/>
        <w:rPr>
          <w:b/>
          <w:spacing w:val="-3"/>
        </w:rPr>
      </w:pPr>
      <w:r w:rsidRPr="00290DD8">
        <w:rPr>
          <w:b/>
          <w:spacing w:val="-3"/>
        </w:rPr>
        <w:t>6.6</w:t>
      </w:r>
      <w:r w:rsidRPr="00290DD8">
        <w:rPr>
          <w:b/>
          <w:spacing w:val="-3"/>
        </w:rPr>
        <w:tab/>
      </w:r>
      <w:r w:rsidR="009A377A" w:rsidRPr="00290DD8">
        <w:rPr>
          <w:b/>
        </w:rPr>
        <w:t>Regler for destruktion og anden håndtering</w:t>
      </w:r>
    </w:p>
    <w:p w:rsidR="007D3C7C" w:rsidRDefault="009A377A" w:rsidP="007D3C7C">
      <w:pPr>
        <w:keepNext/>
        <w:keepLines/>
        <w:tabs>
          <w:tab w:val="left" w:pos="0"/>
          <w:tab w:val="left" w:pos="851"/>
          <w:tab w:val="left" w:pos="4169"/>
        </w:tabs>
        <w:ind w:left="851" w:hanging="851"/>
        <w:rPr>
          <w:spacing w:val="-3"/>
        </w:rPr>
      </w:pPr>
      <w:r w:rsidRPr="00290DD8">
        <w:rPr>
          <w:spacing w:val="-3"/>
        </w:rPr>
        <w:tab/>
      </w:r>
      <w:r w:rsidR="007D3C7C">
        <w:rPr>
          <w:spacing w:val="-3"/>
        </w:rPr>
        <w:t xml:space="preserve">Når fortynding til en koncentration på 2.500 IE/ml er påkrævet, kan </w:t>
      </w:r>
      <w:proofErr w:type="spellStart"/>
      <w:r w:rsidR="007D3C7C">
        <w:rPr>
          <w:spacing w:val="-3"/>
        </w:rPr>
        <w:t>Fragmin</w:t>
      </w:r>
      <w:proofErr w:type="spellEnd"/>
      <w:r w:rsidR="007D3C7C">
        <w:rPr>
          <w:spacing w:val="-3"/>
        </w:rPr>
        <w:t xml:space="preserve"> fortyndes med infusionsopløsninger med </w:t>
      </w:r>
      <w:proofErr w:type="spellStart"/>
      <w:r w:rsidR="007D3C7C">
        <w:rPr>
          <w:spacing w:val="-3"/>
        </w:rPr>
        <w:t>natriumchlorid</w:t>
      </w:r>
      <w:proofErr w:type="spellEnd"/>
      <w:r w:rsidR="007D3C7C">
        <w:rPr>
          <w:spacing w:val="-3"/>
        </w:rPr>
        <w:t xml:space="preserve"> (9 mg/ml) eller </w:t>
      </w:r>
      <w:proofErr w:type="spellStart"/>
      <w:r w:rsidR="007D3C7C">
        <w:rPr>
          <w:spacing w:val="-3"/>
        </w:rPr>
        <w:t>glucose</w:t>
      </w:r>
      <w:proofErr w:type="spellEnd"/>
      <w:r w:rsidR="007D3C7C">
        <w:rPr>
          <w:spacing w:val="-3"/>
        </w:rPr>
        <w:t xml:space="preserve"> (50 mg/ml) i glasflasker og plastbeholdere. Se fortyndingstabellen i pkt. 4.2.</w:t>
      </w:r>
    </w:p>
    <w:p w:rsidR="007D3C7C" w:rsidRDefault="007D3C7C" w:rsidP="007D3C7C">
      <w:pPr>
        <w:tabs>
          <w:tab w:val="left" w:pos="0"/>
          <w:tab w:val="left" w:pos="851"/>
          <w:tab w:val="left" w:pos="4169"/>
        </w:tabs>
        <w:ind w:left="850" w:hanging="850"/>
        <w:rPr>
          <w:spacing w:val="-3"/>
        </w:rPr>
      </w:pPr>
    </w:p>
    <w:p w:rsidR="007D3C7C" w:rsidRDefault="007D3C7C" w:rsidP="007D3C7C">
      <w:pPr>
        <w:tabs>
          <w:tab w:val="left" w:pos="0"/>
          <w:tab w:val="left" w:pos="851"/>
          <w:tab w:val="left" w:pos="4169"/>
        </w:tabs>
        <w:ind w:left="850" w:firstLine="1"/>
        <w:rPr>
          <w:spacing w:val="-3"/>
        </w:rPr>
      </w:pPr>
      <w:r>
        <w:rPr>
          <w:spacing w:val="-3"/>
        </w:rPr>
        <w:t>Det anbefales, at opløsningen anvendes med det samme efter fortynding (se pkt. 6.3).</w:t>
      </w:r>
    </w:p>
    <w:p w:rsidR="007D3C7C" w:rsidRDefault="007D3C7C" w:rsidP="007D3C7C">
      <w:pPr>
        <w:tabs>
          <w:tab w:val="left" w:pos="0"/>
          <w:tab w:val="left" w:pos="851"/>
        </w:tabs>
        <w:ind w:left="851" w:hanging="850"/>
        <w:rPr>
          <w:spacing w:val="-3"/>
        </w:rPr>
      </w:pPr>
    </w:p>
    <w:p w:rsidR="007D3C7C" w:rsidRDefault="007D3C7C" w:rsidP="007D3C7C">
      <w:pPr>
        <w:tabs>
          <w:tab w:val="left" w:pos="0"/>
          <w:tab w:val="left" w:pos="851"/>
        </w:tabs>
        <w:ind w:left="851" w:hanging="850"/>
        <w:rPr>
          <w:spacing w:val="-3"/>
        </w:rPr>
      </w:pPr>
      <w:r>
        <w:rPr>
          <w:spacing w:val="-3"/>
        </w:rPr>
        <w:tab/>
        <w:t>Ikke anvendt lægemiddel samt affald heraf bør destrueres i henhold til lokale retningslinjer.</w:t>
      </w:r>
      <w:bookmarkStart w:id="7" w:name="_Hlk69237099"/>
    </w:p>
    <w:p w:rsidR="007D3C7C" w:rsidRDefault="007D3C7C" w:rsidP="007D3C7C">
      <w:pPr>
        <w:tabs>
          <w:tab w:val="left" w:pos="0"/>
          <w:tab w:val="left" w:pos="851"/>
        </w:tabs>
        <w:ind w:left="851" w:hanging="850"/>
        <w:rPr>
          <w:spacing w:val="-3"/>
        </w:rPr>
      </w:pPr>
    </w:p>
    <w:p w:rsidR="007D3C7C" w:rsidRPr="00826796" w:rsidRDefault="007D3C7C" w:rsidP="007D3C7C">
      <w:pPr>
        <w:tabs>
          <w:tab w:val="left" w:pos="0"/>
          <w:tab w:val="left" w:pos="851"/>
        </w:tabs>
        <w:ind w:left="851"/>
        <w:rPr>
          <w:rStyle w:val="Fodnotehenvisning"/>
          <w:lang w:val="da-DK"/>
        </w:rPr>
      </w:pPr>
      <w:r>
        <w:rPr>
          <w:spacing w:val="-3"/>
        </w:rPr>
        <w:t xml:space="preserve">Fuldstændige instruktioner vedrørende administrationen af </w:t>
      </w:r>
      <w:proofErr w:type="spellStart"/>
      <w:r>
        <w:rPr>
          <w:spacing w:val="-3"/>
        </w:rPr>
        <w:t>Fragmin</w:t>
      </w:r>
      <w:proofErr w:type="spellEnd"/>
      <w:r>
        <w:rPr>
          <w:spacing w:val="-3"/>
        </w:rPr>
        <w:t xml:space="preserve"> findes i punkt 3 i indlægssedlen.</w:t>
      </w:r>
      <w:bookmarkEnd w:id="7"/>
    </w:p>
    <w:p w:rsidR="009A377A" w:rsidRPr="00290DD8" w:rsidRDefault="009A377A" w:rsidP="007D3C7C">
      <w:pPr>
        <w:tabs>
          <w:tab w:val="left" w:pos="0"/>
          <w:tab w:val="left" w:pos="851"/>
          <w:tab w:val="left" w:pos="4169"/>
        </w:tabs>
        <w:ind w:left="850" w:hanging="850"/>
        <w:rPr>
          <w:spacing w:val="-3"/>
        </w:rPr>
      </w:pPr>
    </w:p>
    <w:p w:rsidR="00E84D5F" w:rsidRPr="00290DD8" w:rsidRDefault="00E84D5F" w:rsidP="00E90606">
      <w:pPr>
        <w:tabs>
          <w:tab w:val="left" w:pos="0"/>
          <w:tab w:val="left" w:pos="851"/>
          <w:tab w:val="left" w:pos="4169"/>
        </w:tabs>
        <w:ind w:left="850" w:hanging="850"/>
        <w:rPr>
          <w:b/>
          <w:spacing w:val="-3"/>
        </w:rPr>
      </w:pPr>
      <w:r w:rsidRPr="00290DD8">
        <w:rPr>
          <w:b/>
          <w:spacing w:val="-3"/>
        </w:rPr>
        <w:t>7.</w:t>
      </w:r>
      <w:r w:rsidRPr="00290DD8">
        <w:rPr>
          <w:b/>
          <w:spacing w:val="-3"/>
        </w:rPr>
        <w:tab/>
        <w:t xml:space="preserve">INDEHAVER AF MARKEDSFØRINGSTILLADELSEN </w:t>
      </w:r>
    </w:p>
    <w:p w:rsidR="004A6904" w:rsidRPr="00846021" w:rsidRDefault="004A6904" w:rsidP="004A6904">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Cs w:val="24"/>
        </w:rPr>
      </w:pPr>
      <w:r w:rsidRPr="00846021">
        <w:rPr>
          <w:spacing w:val="-3"/>
          <w:szCs w:val="24"/>
        </w:rPr>
        <w:tab/>
      </w:r>
      <w:proofErr w:type="spellStart"/>
      <w:r w:rsidRPr="00846021">
        <w:rPr>
          <w:spacing w:val="-3"/>
          <w:szCs w:val="24"/>
        </w:rPr>
        <w:t>Orifarm</w:t>
      </w:r>
      <w:proofErr w:type="spellEnd"/>
      <w:r w:rsidRPr="00846021">
        <w:rPr>
          <w:spacing w:val="-3"/>
          <w:szCs w:val="24"/>
        </w:rPr>
        <w:t xml:space="preserve"> A/S</w:t>
      </w:r>
    </w:p>
    <w:p w:rsidR="004A6904" w:rsidRPr="00846021" w:rsidRDefault="004A6904" w:rsidP="004A6904">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Cs w:val="24"/>
        </w:rPr>
      </w:pPr>
      <w:r w:rsidRPr="00846021">
        <w:rPr>
          <w:spacing w:val="-3"/>
          <w:szCs w:val="24"/>
        </w:rPr>
        <w:tab/>
        <w:t>Energivej 15</w:t>
      </w:r>
    </w:p>
    <w:p w:rsidR="00E84D5F" w:rsidRPr="00846021" w:rsidRDefault="004A6904" w:rsidP="004A6904">
      <w:pPr>
        <w:tabs>
          <w:tab w:val="left" w:pos="0"/>
          <w:tab w:val="left" w:pos="851"/>
        </w:tabs>
        <w:ind w:left="850"/>
        <w:rPr>
          <w:b/>
          <w:spacing w:val="-3"/>
        </w:rPr>
      </w:pPr>
      <w:r w:rsidRPr="00846021">
        <w:rPr>
          <w:spacing w:val="-3"/>
          <w:szCs w:val="24"/>
        </w:rPr>
        <w:tab/>
        <w:t>5260 Odense S</w:t>
      </w:r>
    </w:p>
    <w:p w:rsidR="00E84D5F" w:rsidRPr="00846021" w:rsidRDefault="00E84D5F" w:rsidP="00E90606">
      <w:pPr>
        <w:tabs>
          <w:tab w:val="left" w:pos="0"/>
          <w:tab w:val="left" w:pos="851"/>
          <w:tab w:val="left" w:pos="4169"/>
        </w:tabs>
        <w:rPr>
          <w:spacing w:val="-3"/>
        </w:rPr>
      </w:pPr>
    </w:p>
    <w:p w:rsidR="00E84D5F" w:rsidRPr="00290DD8" w:rsidRDefault="00E84D5F" w:rsidP="00E90606">
      <w:pPr>
        <w:tabs>
          <w:tab w:val="left" w:pos="0"/>
          <w:tab w:val="left" w:pos="851"/>
          <w:tab w:val="left" w:pos="4169"/>
        </w:tabs>
        <w:ind w:left="850" w:hanging="850"/>
        <w:rPr>
          <w:b/>
          <w:spacing w:val="-3"/>
        </w:rPr>
      </w:pPr>
      <w:r w:rsidRPr="00290DD8">
        <w:rPr>
          <w:b/>
          <w:spacing w:val="-3"/>
        </w:rPr>
        <w:t>8.</w:t>
      </w:r>
      <w:r w:rsidRPr="00290DD8">
        <w:rPr>
          <w:b/>
          <w:spacing w:val="-3"/>
        </w:rPr>
        <w:tab/>
        <w:t>MARKEDSFØRINGSTILLADELSESNUMMER</w:t>
      </w:r>
      <w:r w:rsidR="009A377A" w:rsidRPr="00290DD8">
        <w:rPr>
          <w:b/>
          <w:spacing w:val="-3"/>
        </w:rPr>
        <w:t xml:space="preserve"> (NUMRE)</w:t>
      </w:r>
    </w:p>
    <w:p w:rsidR="004A6904" w:rsidRDefault="004A6904" w:rsidP="004A6904">
      <w:pPr>
        <w:tabs>
          <w:tab w:val="left" w:pos="0"/>
          <w:tab w:val="left" w:pos="851"/>
          <w:tab w:val="left" w:pos="2694"/>
        </w:tabs>
        <w:ind w:left="850" w:firstLine="1"/>
        <w:rPr>
          <w:spacing w:val="-3"/>
          <w:lang w:val="en-US"/>
        </w:rPr>
      </w:pPr>
      <w:r w:rsidRPr="00AE7519">
        <w:rPr>
          <w:spacing w:val="-3"/>
          <w:lang w:val="en-US"/>
        </w:rPr>
        <w:t xml:space="preserve">10.000 </w:t>
      </w:r>
      <w:r w:rsidRPr="00195EEC">
        <w:rPr>
          <w:spacing w:val="-3"/>
          <w:lang w:val="en-US"/>
        </w:rPr>
        <w:t>anti-</w:t>
      </w:r>
      <w:proofErr w:type="spellStart"/>
      <w:r w:rsidRPr="00195EEC">
        <w:rPr>
          <w:spacing w:val="-3"/>
          <w:lang w:val="en-US"/>
        </w:rPr>
        <w:t>Xa</w:t>
      </w:r>
      <w:proofErr w:type="spellEnd"/>
      <w:r w:rsidRPr="00195EEC">
        <w:rPr>
          <w:spacing w:val="-3"/>
          <w:lang w:val="en-US"/>
        </w:rPr>
        <w:t xml:space="preserve"> IE:</w:t>
      </w:r>
      <w:r>
        <w:rPr>
          <w:spacing w:val="-3"/>
          <w:lang w:val="en-US"/>
        </w:rPr>
        <w:tab/>
      </w:r>
      <w:bookmarkStart w:id="8" w:name="_Hlk56674493"/>
      <w:r w:rsidRPr="0043070C">
        <w:rPr>
          <w:spacing w:val="-3"/>
          <w:lang w:val="en-US"/>
        </w:rPr>
        <w:t>65139</w:t>
      </w:r>
      <w:bookmarkEnd w:id="8"/>
    </w:p>
    <w:p w:rsidR="004A6904" w:rsidRDefault="004A6904" w:rsidP="004A6904">
      <w:pPr>
        <w:tabs>
          <w:tab w:val="left" w:pos="0"/>
          <w:tab w:val="left" w:pos="851"/>
          <w:tab w:val="left" w:pos="2694"/>
        </w:tabs>
        <w:ind w:left="850" w:firstLine="1"/>
        <w:rPr>
          <w:spacing w:val="-3"/>
          <w:lang w:val="en-US"/>
        </w:rPr>
      </w:pPr>
      <w:r>
        <w:rPr>
          <w:spacing w:val="-3"/>
          <w:lang w:val="en-US"/>
        </w:rPr>
        <w:t xml:space="preserve">12.500 </w:t>
      </w:r>
      <w:r w:rsidRPr="00195EEC">
        <w:rPr>
          <w:spacing w:val="-3"/>
          <w:lang w:val="en-US"/>
        </w:rPr>
        <w:t>anti-</w:t>
      </w:r>
      <w:proofErr w:type="spellStart"/>
      <w:r w:rsidRPr="00195EEC">
        <w:rPr>
          <w:spacing w:val="-3"/>
          <w:lang w:val="en-US"/>
        </w:rPr>
        <w:t>Xa</w:t>
      </w:r>
      <w:proofErr w:type="spellEnd"/>
      <w:r w:rsidRPr="00195EEC">
        <w:rPr>
          <w:spacing w:val="-3"/>
          <w:lang w:val="en-US"/>
        </w:rPr>
        <w:t xml:space="preserve"> IE:</w:t>
      </w:r>
      <w:r>
        <w:rPr>
          <w:spacing w:val="-3"/>
          <w:lang w:val="en-US"/>
        </w:rPr>
        <w:tab/>
      </w:r>
      <w:bookmarkStart w:id="9" w:name="_Hlk56674502"/>
      <w:r w:rsidRPr="0043070C">
        <w:rPr>
          <w:spacing w:val="-3"/>
          <w:lang w:val="en-US"/>
        </w:rPr>
        <w:t>65140</w:t>
      </w:r>
      <w:bookmarkEnd w:id="9"/>
    </w:p>
    <w:p w:rsidR="004A6904" w:rsidRDefault="004A6904" w:rsidP="004A6904">
      <w:pPr>
        <w:tabs>
          <w:tab w:val="left" w:pos="0"/>
          <w:tab w:val="left" w:pos="851"/>
          <w:tab w:val="left" w:pos="2694"/>
        </w:tabs>
        <w:ind w:left="850" w:firstLine="1"/>
        <w:rPr>
          <w:spacing w:val="-3"/>
          <w:lang w:val="en-US"/>
        </w:rPr>
      </w:pPr>
      <w:r>
        <w:rPr>
          <w:spacing w:val="-3"/>
          <w:lang w:val="en-US"/>
        </w:rPr>
        <w:t xml:space="preserve">15.000 </w:t>
      </w:r>
      <w:r w:rsidRPr="00195EEC">
        <w:rPr>
          <w:spacing w:val="-3"/>
          <w:lang w:val="en-US"/>
        </w:rPr>
        <w:t>anti-</w:t>
      </w:r>
      <w:proofErr w:type="spellStart"/>
      <w:r w:rsidRPr="00195EEC">
        <w:rPr>
          <w:spacing w:val="-3"/>
          <w:lang w:val="en-US"/>
        </w:rPr>
        <w:t>Xa</w:t>
      </w:r>
      <w:proofErr w:type="spellEnd"/>
      <w:r w:rsidRPr="00195EEC">
        <w:rPr>
          <w:spacing w:val="-3"/>
          <w:lang w:val="en-US"/>
        </w:rPr>
        <w:t xml:space="preserve"> IE:</w:t>
      </w:r>
      <w:r>
        <w:rPr>
          <w:spacing w:val="-3"/>
          <w:lang w:val="en-US"/>
        </w:rPr>
        <w:tab/>
      </w:r>
      <w:r w:rsidRPr="0043070C">
        <w:rPr>
          <w:spacing w:val="-3"/>
          <w:lang w:val="en-US"/>
        </w:rPr>
        <w:t>65141</w:t>
      </w:r>
    </w:p>
    <w:p w:rsidR="00AE7519" w:rsidRPr="00AE7519" w:rsidRDefault="004A6904" w:rsidP="004A6904">
      <w:pPr>
        <w:tabs>
          <w:tab w:val="left" w:pos="0"/>
          <w:tab w:val="left" w:pos="851"/>
          <w:tab w:val="left" w:pos="2694"/>
        </w:tabs>
        <w:ind w:left="850" w:firstLine="1"/>
        <w:rPr>
          <w:spacing w:val="-3"/>
          <w:lang w:val="en-US"/>
        </w:rPr>
      </w:pPr>
      <w:r>
        <w:rPr>
          <w:spacing w:val="-3"/>
          <w:lang w:val="en-US"/>
        </w:rPr>
        <w:t xml:space="preserve">18.000 </w:t>
      </w:r>
      <w:r w:rsidRPr="00195EEC">
        <w:rPr>
          <w:spacing w:val="-3"/>
          <w:lang w:val="en-US"/>
        </w:rPr>
        <w:t>anti-</w:t>
      </w:r>
      <w:proofErr w:type="spellStart"/>
      <w:r w:rsidRPr="00195EEC">
        <w:rPr>
          <w:spacing w:val="-3"/>
          <w:lang w:val="en-US"/>
        </w:rPr>
        <w:t>Xa</w:t>
      </w:r>
      <w:proofErr w:type="spellEnd"/>
      <w:r w:rsidRPr="00195EEC">
        <w:rPr>
          <w:spacing w:val="-3"/>
          <w:lang w:val="en-US"/>
        </w:rPr>
        <w:t xml:space="preserve"> IE:</w:t>
      </w:r>
      <w:r>
        <w:rPr>
          <w:spacing w:val="-3"/>
          <w:lang w:val="en-US"/>
        </w:rPr>
        <w:tab/>
      </w:r>
      <w:r w:rsidRPr="0043070C">
        <w:rPr>
          <w:spacing w:val="-3"/>
          <w:lang w:val="en-US"/>
        </w:rPr>
        <w:t>65142</w:t>
      </w:r>
    </w:p>
    <w:p w:rsidR="00195EEC" w:rsidRPr="00AE7519" w:rsidRDefault="00195EEC" w:rsidP="00195EEC">
      <w:pPr>
        <w:tabs>
          <w:tab w:val="left" w:pos="0"/>
          <w:tab w:val="left" w:pos="851"/>
          <w:tab w:val="left" w:pos="2835"/>
        </w:tabs>
        <w:ind w:left="850" w:firstLine="1"/>
        <w:rPr>
          <w:spacing w:val="-3"/>
          <w:lang w:val="en-US"/>
        </w:rPr>
      </w:pPr>
    </w:p>
    <w:p w:rsidR="00E84D5F" w:rsidRPr="00290DD8" w:rsidRDefault="00E84D5F" w:rsidP="00E90606">
      <w:pPr>
        <w:ind w:left="851" w:hanging="851"/>
        <w:rPr>
          <w:b/>
        </w:rPr>
      </w:pPr>
      <w:r w:rsidRPr="00290DD8">
        <w:rPr>
          <w:b/>
        </w:rPr>
        <w:t>9.</w:t>
      </w:r>
      <w:r w:rsidRPr="00290DD8">
        <w:rPr>
          <w:b/>
        </w:rPr>
        <w:tab/>
        <w:t>DATO FOR FØRSTE MARKEDSFØRINGSTILLADELSE</w:t>
      </w:r>
    </w:p>
    <w:p w:rsidR="00E84D5F" w:rsidRPr="00290DD8" w:rsidRDefault="00E84D5F" w:rsidP="00E90606">
      <w:pPr>
        <w:ind w:left="851" w:hanging="851"/>
      </w:pPr>
      <w:r w:rsidRPr="00290DD8">
        <w:tab/>
      </w:r>
      <w:r w:rsidR="004A6904">
        <w:t>23. november 2020</w:t>
      </w:r>
    </w:p>
    <w:p w:rsidR="00E84D5F" w:rsidRPr="00290DD8" w:rsidRDefault="00E84D5F" w:rsidP="00E90606">
      <w:pPr>
        <w:ind w:left="851" w:hanging="851"/>
      </w:pPr>
    </w:p>
    <w:p w:rsidR="00E84D5F" w:rsidRPr="00290DD8" w:rsidRDefault="00E84D5F" w:rsidP="00E90606">
      <w:pPr>
        <w:ind w:left="851" w:hanging="851"/>
        <w:rPr>
          <w:b/>
        </w:rPr>
      </w:pPr>
      <w:r w:rsidRPr="00290DD8">
        <w:rPr>
          <w:b/>
        </w:rPr>
        <w:t>10.</w:t>
      </w:r>
      <w:r w:rsidRPr="00290DD8">
        <w:rPr>
          <w:b/>
        </w:rPr>
        <w:tab/>
        <w:t xml:space="preserve">DATO FOR ÆNDRING AF TEKSTEN </w:t>
      </w:r>
    </w:p>
    <w:p w:rsidR="00E84D5F" w:rsidRPr="000540DA" w:rsidRDefault="00E84D5F" w:rsidP="00E90606">
      <w:pPr>
        <w:ind w:left="851" w:hanging="851"/>
      </w:pPr>
      <w:r w:rsidRPr="00290DD8">
        <w:tab/>
      </w:r>
      <w:r w:rsidR="0002272A">
        <w:t>16. november 2023</w:t>
      </w:r>
    </w:p>
    <w:sectPr w:rsidR="00E84D5F" w:rsidRPr="000540DA">
      <w:footerReference w:type="default" r:id="rId9"/>
      <w:footerReference w:type="first" r:id="rId10"/>
      <w:pgSz w:w="11906" w:h="16838" w:code="9"/>
      <w:pgMar w:top="709"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190" w:rsidRDefault="00921190" w:rsidP="004E6440">
      <w:r>
        <w:separator/>
      </w:r>
    </w:p>
  </w:endnote>
  <w:endnote w:type="continuationSeparator" w:id="0">
    <w:p w:rsidR="00921190" w:rsidRDefault="00921190" w:rsidP="004E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90" w:rsidRDefault="00921190">
    <w:pPr>
      <w:pStyle w:val="Sidefod"/>
      <w:pBdr>
        <w:bottom w:val="single" w:sz="6" w:space="1" w:color="auto"/>
      </w:pBdr>
      <w:rPr>
        <w:i/>
        <w:sz w:val="18"/>
      </w:rPr>
    </w:pPr>
  </w:p>
  <w:p w:rsidR="00921190" w:rsidRDefault="00921190">
    <w:pPr>
      <w:pStyle w:val="Sidefod"/>
      <w:rPr>
        <w:i/>
        <w:sz w:val="18"/>
      </w:rPr>
    </w:pPr>
  </w:p>
  <w:p w:rsidR="00921190" w:rsidRDefault="00921190">
    <w:pPr>
      <w:pStyle w:val="Sidefod"/>
      <w:tabs>
        <w:tab w:val="clear" w:pos="4819"/>
        <w:tab w:val="left" w:pos="7938"/>
      </w:tabs>
      <w:rPr>
        <w:i/>
        <w:snapToGrid w:val="0"/>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Fragmin (Orifarm), injektionsvæske, opløsning i fyldt injektionssprøjte med nålebeskytter 10.000, 12.500, 15.000 og 18.000 anti-Xa IE</w:t>
    </w:r>
    <w:r>
      <w:rPr>
        <w:i/>
        <w:snapToGrid w:val="0"/>
        <w:sz w:val="18"/>
      </w:rPr>
      <w:fldChar w:fldCharType="end"/>
    </w:r>
  </w:p>
  <w:p w:rsidR="00921190" w:rsidRDefault="00921190" w:rsidP="00B925B4">
    <w:pPr>
      <w:pStyle w:val="Sidefod"/>
      <w:tabs>
        <w:tab w:val="clear" w:pos="4819"/>
        <w:tab w:val="left" w:pos="8222"/>
      </w:tabs>
      <w:rPr>
        <w:i/>
        <w:sz w:val="18"/>
      </w:rPr>
    </w:pPr>
    <w:r>
      <w:rPr>
        <w:i/>
        <w:sz w:val="18"/>
      </w:rPr>
      <w:tab/>
    </w:r>
    <w:r>
      <w:rPr>
        <w:i/>
        <w:snapToGrid w:val="0"/>
        <w:sz w:val="18"/>
      </w:rPr>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12</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190" w:rsidRDefault="00921190">
    <w:pPr>
      <w:pStyle w:val="Sidefod"/>
      <w:pBdr>
        <w:bottom w:val="single" w:sz="4" w:space="1" w:color="auto"/>
      </w:pBdr>
      <w:rPr>
        <w:i/>
        <w:snapToGrid w:val="0"/>
        <w:sz w:val="20"/>
      </w:rPr>
    </w:pPr>
  </w:p>
  <w:p w:rsidR="00921190" w:rsidRDefault="00921190">
    <w:pPr>
      <w:pStyle w:val="Sidefod"/>
      <w:rPr>
        <w:i/>
        <w:snapToGrid w:val="0"/>
        <w:sz w:val="20"/>
      </w:rPr>
    </w:pPr>
    <w:r>
      <w:rPr>
        <w:i/>
        <w:snapToGrid w:val="0"/>
        <w:sz w:val="20"/>
      </w:rPr>
      <w:fldChar w:fldCharType="begin"/>
    </w:r>
    <w:r>
      <w:rPr>
        <w:i/>
        <w:snapToGrid w:val="0"/>
        <w:sz w:val="20"/>
      </w:rPr>
      <w:instrText xml:space="preserve"> FILENAME </w:instrText>
    </w:r>
    <w:r>
      <w:rPr>
        <w:i/>
        <w:snapToGrid w:val="0"/>
        <w:sz w:val="20"/>
      </w:rPr>
      <w:fldChar w:fldCharType="separate"/>
    </w:r>
    <w:r>
      <w:rPr>
        <w:i/>
        <w:noProof/>
        <w:snapToGrid w:val="0"/>
        <w:sz w:val="20"/>
      </w:rPr>
      <w:t>Fragmin (Orifarm), injektionsvæske, opløsning i fyldt injektionssprøjte med nålebeskytter 10.000, 12.500, 15.000 og 18.000 anti-Xa IE</w:t>
    </w:r>
    <w:r>
      <w:rPr>
        <w:i/>
        <w:snapToGrid w:val="0"/>
        <w:sz w:val="20"/>
      </w:rPr>
      <w:fldChar w:fldCharType="end"/>
    </w:r>
  </w:p>
  <w:p w:rsidR="00921190" w:rsidRDefault="00921190">
    <w:pPr>
      <w:pStyle w:val="Sidefod"/>
      <w:tabs>
        <w:tab w:val="clear" w:pos="4819"/>
        <w:tab w:val="left" w:pos="7938"/>
      </w:tabs>
      <w:rPr>
        <w:i/>
        <w:snapToGrid w:val="0"/>
        <w:sz w:val="20"/>
      </w:rPr>
    </w:pPr>
    <w:r>
      <w:rPr>
        <w:i/>
        <w:snapToGrid w:val="0"/>
        <w:sz w:val="20"/>
      </w:rPr>
      <w:tab/>
      <w:t xml:space="preserve">Side </w:t>
    </w:r>
    <w:r>
      <w:rPr>
        <w:i/>
        <w:snapToGrid w:val="0"/>
        <w:sz w:val="20"/>
      </w:rPr>
      <w:fldChar w:fldCharType="begin"/>
    </w:r>
    <w:r>
      <w:rPr>
        <w:i/>
        <w:snapToGrid w:val="0"/>
        <w:sz w:val="20"/>
      </w:rPr>
      <w:instrText xml:space="preserve"> PAGE </w:instrText>
    </w:r>
    <w:r>
      <w:rPr>
        <w:i/>
        <w:snapToGrid w:val="0"/>
        <w:sz w:val="20"/>
      </w:rPr>
      <w:fldChar w:fldCharType="separate"/>
    </w:r>
    <w:r>
      <w:rPr>
        <w:i/>
        <w:noProof/>
        <w:snapToGrid w:val="0"/>
        <w:sz w:val="20"/>
      </w:rPr>
      <w:t>6</w:t>
    </w:r>
    <w:r>
      <w:rPr>
        <w:i/>
        <w:snapToGrid w:val="0"/>
        <w:sz w:val="20"/>
      </w:rPr>
      <w:fldChar w:fldCharType="end"/>
    </w:r>
    <w:r>
      <w:rPr>
        <w:i/>
        <w:snapToGrid w:val="0"/>
        <w:sz w:val="20"/>
      </w:rPr>
      <w:t xml:space="preserve"> af </w:t>
    </w:r>
    <w:r>
      <w:rPr>
        <w:i/>
        <w:snapToGrid w:val="0"/>
        <w:sz w:val="20"/>
      </w:rPr>
      <w:fldChar w:fldCharType="begin"/>
    </w:r>
    <w:r>
      <w:rPr>
        <w:i/>
        <w:snapToGrid w:val="0"/>
        <w:sz w:val="20"/>
      </w:rPr>
      <w:instrText xml:space="preserve"> NUMPAGES </w:instrText>
    </w:r>
    <w:r>
      <w:rPr>
        <w:i/>
        <w:snapToGrid w:val="0"/>
        <w:sz w:val="20"/>
      </w:rPr>
      <w:fldChar w:fldCharType="separate"/>
    </w:r>
    <w:r>
      <w:rPr>
        <w:i/>
        <w:noProof/>
        <w:snapToGrid w:val="0"/>
        <w:sz w:val="20"/>
      </w:rPr>
      <w:t>12</w:t>
    </w:r>
    <w:r>
      <w:rPr>
        <w:i/>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190" w:rsidRDefault="00921190" w:rsidP="004E6440">
      <w:r>
        <w:separator/>
      </w:r>
    </w:p>
  </w:footnote>
  <w:footnote w:type="continuationSeparator" w:id="0">
    <w:p w:rsidR="00921190" w:rsidRDefault="00921190" w:rsidP="004E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32C"/>
    <w:multiLevelType w:val="hybridMultilevel"/>
    <w:tmpl w:val="36B88284"/>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D18A5"/>
    <w:multiLevelType w:val="multilevel"/>
    <w:tmpl w:val="74961C6A"/>
    <w:lvl w:ilvl="0">
      <w:start w:val="4"/>
      <w:numFmt w:val="decimal"/>
      <w:lvlText w:val="%1"/>
      <w:lvlJc w:val="left"/>
      <w:pPr>
        <w:tabs>
          <w:tab w:val="num" w:pos="855"/>
        </w:tabs>
        <w:ind w:left="855" w:hanging="855"/>
      </w:pPr>
      <w:rPr>
        <w:rFonts w:hint="default"/>
      </w:rPr>
    </w:lvl>
    <w:lvl w:ilvl="1">
      <w:start w:val="8"/>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AA1EFC"/>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23647A6"/>
    <w:multiLevelType w:val="multilevel"/>
    <w:tmpl w:val="DA8CE82C"/>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464C1C"/>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8A461B"/>
    <w:multiLevelType w:val="multilevel"/>
    <w:tmpl w:val="70DABA80"/>
    <w:lvl w:ilvl="0">
      <w:start w:val="4"/>
      <w:numFmt w:val="decimal"/>
      <w:lvlText w:val="%1.0......㺨㱬"/>
      <w:lvlJc w:val="left"/>
      <w:pPr>
        <w:tabs>
          <w:tab w:val="num" w:pos="2520"/>
        </w:tabs>
        <w:ind w:left="1665" w:hanging="166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1872"/>
        </w:tabs>
        <w:ind w:left="11017" w:hanging="585"/>
      </w:pPr>
      <w:rPr>
        <w:rFont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9" w15:restartNumberingAfterBreak="0">
    <w:nsid w:val="36D3745D"/>
    <w:multiLevelType w:val="hybridMultilevel"/>
    <w:tmpl w:val="C34CF30C"/>
    <w:lvl w:ilvl="0" w:tplc="742AD286">
      <w:start w:val="1"/>
      <w:numFmt w:val="bullet"/>
      <w:lvlText w:val=""/>
      <w:lvlJc w:val="left"/>
      <w:pPr>
        <w:ind w:left="720" w:hanging="360"/>
      </w:pPr>
      <w:rPr>
        <w:rFonts w:ascii="Symbol" w:hAnsi="Symbol" w:hint="default"/>
      </w:rPr>
    </w:lvl>
    <w:lvl w:ilvl="1" w:tplc="742AD286">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946661C"/>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F362919"/>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440A7104"/>
    <w:multiLevelType w:val="singleLevel"/>
    <w:tmpl w:val="EC4EF688"/>
    <w:lvl w:ilvl="0">
      <w:start w:val="3"/>
      <w:numFmt w:val="decimal"/>
      <w:lvlText w:val="%1."/>
      <w:lvlJc w:val="left"/>
      <w:pPr>
        <w:tabs>
          <w:tab w:val="num" w:pos="855"/>
        </w:tabs>
        <w:ind w:left="855" w:hanging="855"/>
      </w:pPr>
      <w:rPr>
        <w:rFonts w:hint="default"/>
      </w:rPr>
    </w:lvl>
  </w:abstractNum>
  <w:abstractNum w:abstractNumId="14" w15:restartNumberingAfterBreak="0">
    <w:nsid w:val="45CB38B9"/>
    <w:multiLevelType w:val="multilevel"/>
    <w:tmpl w:val="0CD49AD8"/>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AFF577B"/>
    <w:multiLevelType w:val="hybridMultilevel"/>
    <w:tmpl w:val="9ECA3996"/>
    <w:lvl w:ilvl="0" w:tplc="742AD286">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1AC0084"/>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51CC395F"/>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470478"/>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3BA1335"/>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4F02885"/>
    <w:multiLevelType w:val="multilevel"/>
    <w:tmpl w:val="7F0C701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E1031BC"/>
    <w:multiLevelType w:val="multilevel"/>
    <w:tmpl w:val="5D8C3ED4"/>
    <w:lvl w:ilvl="0">
      <w:start w:val="4"/>
      <w:numFmt w:val="decimal"/>
      <w:lvlText w:val="%1.0......㺨㱬"/>
      <w:lvlJc w:val="left"/>
      <w:pPr>
        <w:tabs>
          <w:tab w:val="num" w:pos="2520"/>
        </w:tabs>
        <w:ind w:left="1665" w:hanging="1665"/>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1872"/>
        </w:tabs>
        <w:ind w:left="11017" w:hanging="585"/>
      </w:pPr>
      <w:rPr>
        <w:rFonts w:hint="default"/>
      </w:rPr>
    </w:lvl>
  </w:abstractNum>
  <w:abstractNum w:abstractNumId="23" w15:restartNumberingAfterBreak="0">
    <w:nsid w:val="6E2264DE"/>
    <w:multiLevelType w:val="multilevel"/>
    <w:tmpl w:val="DA8CE82C"/>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030E49"/>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7BB003E"/>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E5377DE"/>
    <w:multiLevelType w:val="multilevel"/>
    <w:tmpl w:val="9F96C9BE"/>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8"/>
  </w:num>
  <w:num w:numId="3">
    <w:abstractNumId w:val="18"/>
  </w:num>
  <w:num w:numId="4">
    <w:abstractNumId w:val="6"/>
  </w:num>
  <w:num w:numId="5">
    <w:abstractNumId w:val="5"/>
  </w:num>
  <w:num w:numId="6">
    <w:abstractNumId w:val="21"/>
  </w:num>
  <w:num w:numId="7">
    <w:abstractNumId w:val="4"/>
  </w:num>
  <w:num w:numId="8">
    <w:abstractNumId w:val="3"/>
  </w:num>
  <w:num w:numId="9">
    <w:abstractNumId w:val="23"/>
  </w:num>
  <w:num w:numId="10">
    <w:abstractNumId w:val="20"/>
  </w:num>
  <w:num w:numId="11">
    <w:abstractNumId w:val="2"/>
  </w:num>
  <w:num w:numId="12">
    <w:abstractNumId w:val="17"/>
  </w:num>
  <w:num w:numId="13">
    <w:abstractNumId w:val="11"/>
  </w:num>
  <w:num w:numId="14">
    <w:abstractNumId w:val="16"/>
  </w:num>
  <w:num w:numId="15">
    <w:abstractNumId w:val="25"/>
  </w:num>
  <w:num w:numId="16">
    <w:abstractNumId w:val="24"/>
  </w:num>
  <w:num w:numId="17">
    <w:abstractNumId w:val="10"/>
  </w:num>
  <w:num w:numId="18">
    <w:abstractNumId w:val="26"/>
  </w:num>
  <w:num w:numId="19">
    <w:abstractNumId w:val="19"/>
  </w:num>
  <w:num w:numId="20">
    <w:abstractNumId w:val="14"/>
  </w:num>
  <w:num w:numId="21">
    <w:abstractNumId w:val="22"/>
  </w:num>
  <w:num w:numId="22">
    <w:abstractNumId w:val="1"/>
  </w:num>
  <w:num w:numId="23">
    <w:abstractNumId w:val="13"/>
  </w:num>
  <w:num w:numId="24">
    <w:abstractNumId w:val="7"/>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02"/>
    <w:rsid w:val="00013F73"/>
    <w:rsid w:val="0002272A"/>
    <w:rsid w:val="0003295D"/>
    <w:rsid w:val="000540DA"/>
    <w:rsid w:val="00054149"/>
    <w:rsid w:val="000564E7"/>
    <w:rsid w:val="00056E84"/>
    <w:rsid w:val="000700DC"/>
    <w:rsid w:val="000810A9"/>
    <w:rsid w:val="00093C54"/>
    <w:rsid w:val="000A4F32"/>
    <w:rsid w:val="000B4184"/>
    <w:rsid w:val="000C4F1A"/>
    <w:rsid w:val="000D0FDD"/>
    <w:rsid w:val="00114C1F"/>
    <w:rsid w:val="00132DFE"/>
    <w:rsid w:val="001359B6"/>
    <w:rsid w:val="00151132"/>
    <w:rsid w:val="0015415D"/>
    <w:rsid w:val="0015463A"/>
    <w:rsid w:val="001717B1"/>
    <w:rsid w:val="001917A3"/>
    <w:rsid w:val="00191DF1"/>
    <w:rsid w:val="001926B5"/>
    <w:rsid w:val="00193B12"/>
    <w:rsid w:val="00195EEC"/>
    <w:rsid w:val="001A28A7"/>
    <w:rsid w:val="001A6FDE"/>
    <w:rsid w:val="001C4663"/>
    <w:rsid w:val="001D51D2"/>
    <w:rsid w:val="002012F9"/>
    <w:rsid w:val="00224037"/>
    <w:rsid w:val="002305D2"/>
    <w:rsid w:val="00262379"/>
    <w:rsid w:val="00283C77"/>
    <w:rsid w:val="00290DD8"/>
    <w:rsid w:val="00295445"/>
    <w:rsid w:val="002E4816"/>
    <w:rsid w:val="002F2042"/>
    <w:rsid w:val="00304B43"/>
    <w:rsid w:val="0030604F"/>
    <w:rsid w:val="003343D4"/>
    <w:rsid w:val="00345609"/>
    <w:rsid w:val="00373802"/>
    <w:rsid w:val="003B3F89"/>
    <w:rsid w:val="003E108B"/>
    <w:rsid w:val="00403013"/>
    <w:rsid w:val="0040713B"/>
    <w:rsid w:val="004311C9"/>
    <w:rsid w:val="004A54D5"/>
    <w:rsid w:val="004A6904"/>
    <w:rsid w:val="004B7964"/>
    <w:rsid w:val="004E6440"/>
    <w:rsid w:val="00500C6B"/>
    <w:rsid w:val="00535F22"/>
    <w:rsid w:val="00552954"/>
    <w:rsid w:val="00557C5E"/>
    <w:rsid w:val="0056280C"/>
    <w:rsid w:val="005629D6"/>
    <w:rsid w:val="005905CA"/>
    <w:rsid w:val="005A542C"/>
    <w:rsid w:val="005D0E76"/>
    <w:rsid w:val="0061515A"/>
    <w:rsid w:val="00616900"/>
    <w:rsid w:val="006558D8"/>
    <w:rsid w:val="00697A4F"/>
    <w:rsid w:val="006B0A80"/>
    <w:rsid w:val="006B320B"/>
    <w:rsid w:val="006B780B"/>
    <w:rsid w:val="006E2E58"/>
    <w:rsid w:val="006F7907"/>
    <w:rsid w:val="00703B5B"/>
    <w:rsid w:val="00761969"/>
    <w:rsid w:val="00776BB6"/>
    <w:rsid w:val="007B1B84"/>
    <w:rsid w:val="007C14B7"/>
    <w:rsid w:val="007D1C6F"/>
    <w:rsid w:val="007D3C7C"/>
    <w:rsid w:val="007D5893"/>
    <w:rsid w:val="0082276D"/>
    <w:rsid w:val="00846021"/>
    <w:rsid w:val="00880AEE"/>
    <w:rsid w:val="008A51D1"/>
    <w:rsid w:val="008C5240"/>
    <w:rsid w:val="008C52B0"/>
    <w:rsid w:val="008D1AF8"/>
    <w:rsid w:val="008D3A79"/>
    <w:rsid w:val="008E629A"/>
    <w:rsid w:val="00901D0C"/>
    <w:rsid w:val="00921190"/>
    <w:rsid w:val="0092491B"/>
    <w:rsid w:val="009340AC"/>
    <w:rsid w:val="00963C13"/>
    <w:rsid w:val="009847F3"/>
    <w:rsid w:val="00992B65"/>
    <w:rsid w:val="009A377A"/>
    <w:rsid w:val="009B4293"/>
    <w:rsid w:val="009E6D2E"/>
    <w:rsid w:val="00A10EAA"/>
    <w:rsid w:val="00A26C08"/>
    <w:rsid w:val="00A555E8"/>
    <w:rsid w:val="00A6322D"/>
    <w:rsid w:val="00A8367B"/>
    <w:rsid w:val="00A846C2"/>
    <w:rsid w:val="00AC3702"/>
    <w:rsid w:val="00AE7519"/>
    <w:rsid w:val="00B275A3"/>
    <w:rsid w:val="00B27827"/>
    <w:rsid w:val="00B925B4"/>
    <w:rsid w:val="00BC7D48"/>
    <w:rsid w:val="00C039DA"/>
    <w:rsid w:val="00C03AC3"/>
    <w:rsid w:val="00C10F0B"/>
    <w:rsid w:val="00C13A28"/>
    <w:rsid w:val="00C307F6"/>
    <w:rsid w:val="00C56696"/>
    <w:rsid w:val="00C94001"/>
    <w:rsid w:val="00CC5021"/>
    <w:rsid w:val="00CE0813"/>
    <w:rsid w:val="00D220AB"/>
    <w:rsid w:val="00D31FE7"/>
    <w:rsid w:val="00D63A84"/>
    <w:rsid w:val="00D74711"/>
    <w:rsid w:val="00D7478D"/>
    <w:rsid w:val="00D7769C"/>
    <w:rsid w:val="00D90613"/>
    <w:rsid w:val="00D93FBE"/>
    <w:rsid w:val="00DD3C42"/>
    <w:rsid w:val="00DE15A3"/>
    <w:rsid w:val="00DE6CB9"/>
    <w:rsid w:val="00DF738B"/>
    <w:rsid w:val="00E113B9"/>
    <w:rsid w:val="00E14340"/>
    <w:rsid w:val="00E371D9"/>
    <w:rsid w:val="00E55E88"/>
    <w:rsid w:val="00E63A15"/>
    <w:rsid w:val="00E84D5F"/>
    <w:rsid w:val="00E90606"/>
    <w:rsid w:val="00EA2CEE"/>
    <w:rsid w:val="00EF465F"/>
    <w:rsid w:val="00F11FBE"/>
    <w:rsid w:val="00F416F8"/>
    <w:rsid w:val="00F6611C"/>
    <w:rsid w:val="00F870E9"/>
    <w:rsid w:val="00FB36BB"/>
    <w:rsid w:val="00FC41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D6DD4"/>
  <w15:chartTrackingRefBased/>
  <w15:docId w15:val="{EC7F743A-E631-4747-A554-01734915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qFormat/>
    <w:pPr>
      <w:keepNext/>
      <w:tabs>
        <w:tab w:val="center" w:pos="4536"/>
      </w:tabs>
      <w:jc w:val="center"/>
      <w:outlineLvl w:val="0"/>
    </w:pPr>
    <w:rPr>
      <w:b/>
      <w:spacing w:val="-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pPr>
      <w:jc w:val="center"/>
    </w:pPr>
    <w:rPr>
      <w:b/>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indrykning">
    <w:name w:val="Body Text Indent"/>
    <w:basedOn w:val="Normal"/>
    <w:link w:val="BrdtekstindrykningTegn"/>
    <w:pPr>
      <w:tabs>
        <w:tab w:val="left" w:pos="0"/>
        <w:tab w:val="left" w:pos="851"/>
      </w:tabs>
      <w:ind w:left="850"/>
      <w:jc w:val="both"/>
    </w:pPr>
    <w:rPr>
      <w:spacing w:val="-3"/>
    </w:rPr>
  </w:style>
  <w:style w:type="paragraph" w:styleId="Brdtekstindrykning2">
    <w:name w:val="Body Text Indent 2"/>
    <w:basedOn w:val="Normal"/>
    <w:pPr>
      <w:tabs>
        <w:tab w:val="left" w:pos="0"/>
        <w:tab w:val="left" w:pos="851"/>
      </w:tabs>
      <w:ind w:left="850" w:hanging="850"/>
      <w:jc w:val="both"/>
    </w:pPr>
    <w:rPr>
      <w:spacing w:val="-3"/>
    </w:rPr>
  </w:style>
  <w:style w:type="paragraph" w:styleId="Brdtekstindrykning3">
    <w:name w:val="Body Text Indent 3"/>
    <w:basedOn w:val="Normal"/>
    <w:link w:val="Brdtekstindrykning3Tegn"/>
    <w:pPr>
      <w:tabs>
        <w:tab w:val="left" w:pos="0"/>
        <w:tab w:val="left" w:pos="851"/>
      </w:tabs>
      <w:ind w:left="851"/>
      <w:jc w:val="both"/>
    </w:pPr>
  </w:style>
  <w:style w:type="paragraph" w:styleId="Markeringsbobletekst">
    <w:name w:val="Balloon Text"/>
    <w:basedOn w:val="Normal"/>
    <w:semiHidden/>
    <w:rsid w:val="00E55E88"/>
    <w:rPr>
      <w:rFonts w:ascii="Tahoma" w:hAnsi="Tahoma" w:cs="Tahoma"/>
      <w:sz w:val="16"/>
      <w:szCs w:val="16"/>
    </w:rPr>
  </w:style>
  <w:style w:type="character" w:styleId="Fodnotehenvisning">
    <w:name w:val="footnote reference"/>
    <w:semiHidden/>
    <w:rsid w:val="009A377A"/>
    <w:rPr>
      <w:rFonts w:ascii="CG Times" w:hAnsi="CG Times"/>
      <w:noProof w:val="0"/>
      <w:sz w:val="24"/>
      <w:lang w:val="en-US"/>
    </w:rPr>
  </w:style>
  <w:style w:type="character" w:customStyle="1" w:styleId="TitelTegn">
    <w:name w:val="Titel Tegn"/>
    <w:link w:val="Titel"/>
    <w:rsid w:val="00290DD8"/>
    <w:rPr>
      <w:b/>
      <w:sz w:val="24"/>
    </w:rPr>
  </w:style>
  <w:style w:type="character" w:styleId="Hyperlink">
    <w:name w:val="Hyperlink"/>
    <w:uiPriority w:val="99"/>
    <w:unhideWhenUsed/>
    <w:rsid w:val="00C56696"/>
    <w:rPr>
      <w:color w:val="0563C1"/>
      <w:u w:val="single"/>
    </w:rPr>
  </w:style>
  <w:style w:type="character" w:styleId="Ulstomtale">
    <w:name w:val="Unresolved Mention"/>
    <w:basedOn w:val="Standardskrifttypeiafsnit"/>
    <w:uiPriority w:val="99"/>
    <w:semiHidden/>
    <w:unhideWhenUsed/>
    <w:rsid w:val="008D3A79"/>
    <w:rPr>
      <w:color w:val="605E5C"/>
      <w:shd w:val="clear" w:color="auto" w:fill="E1DFDD"/>
    </w:rPr>
  </w:style>
  <w:style w:type="character" w:customStyle="1" w:styleId="BrdtekstindrykningTegn">
    <w:name w:val="Brødtekstindrykning Tegn"/>
    <w:link w:val="Brdtekstindrykning"/>
    <w:rsid w:val="006F7907"/>
    <w:rPr>
      <w:spacing w:val="-3"/>
      <w:sz w:val="24"/>
    </w:rPr>
  </w:style>
  <w:style w:type="character" w:customStyle="1" w:styleId="Brdtekstindrykning3Tegn">
    <w:name w:val="Brødtekstindrykning 3 Tegn"/>
    <w:link w:val="Brdtekstindrykning3"/>
    <w:rsid w:val="006F790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77072">
      <w:bodyDiv w:val="1"/>
      <w:marLeft w:val="0"/>
      <w:marRight w:val="0"/>
      <w:marTop w:val="0"/>
      <w:marBottom w:val="0"/>
      <w:divBdr>
        <w:top w:val="none" w:sz="0" w:space="0" w:color="auto"/>
        <w:left w:val="none" w:sz="0" w:space="0" w:color="auto"/>
        <w:bottom w:val="none" w:sz="0" w:space="0" w:color="auto"/>
        <w:right w:val="none" w:sz="0" w:space="0" w:color="auto"/>
      </w:divBdr>
    </w:div>
    <w:div w:id="1159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4759</Words>
  <Characters>30404</Characters>
  <Application>Microsoft Office Word</Application>
  <DocSecurity>0</DocSecurity>
  <Lines>253</Lines>
  <Paragraphs>70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35093</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2023084878 - 6.3</dc:description>
  <cp:lastModifiedBy>Annette Malmros</cp:lastModifiedBy>
  <cp:revision>3</cp:revision>
  <cp:lastPrinted>2015-05-08T15:01:00Z</cp:lastPrinted>
  <dcterms:created xsi:type="dcterms:W3CDTF">2023-11-16T09:14:00Z</dcterms:created>
  <dcterms:modified xsi:type="dcterms:W3CDTF">2023-11-16T10:24:00Z</dcterms:modified>
  <cp:category/>
</cp:coreProperties>
</file>