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4B2" w:rsidRPr="008F49E1" w:rsidRDefault="007444B2" w:rsidP="007444B2">
      <w:pPr>
        <w:rPr>
          <w:sz w:val="24"/>
          <w:szCs w:val="24"/>
        </w:rPr>
      </w:pPr>
      <w:bookmarkStart w:id="0" w:name="_GoBack"/>
      <w:r w:rsidRPr="009260DE">
        <w:rPr>
          <w:noProof/>
          <w:sz w:val="24"/>
          <w:szCs w:val="24"/>
          <w:lang w:eastAsia="da-DK"/>
        </w:rPr>
        <w:drawing>
          <wp:anchor distT="0" distB="0" distL="114300" distR="114300" simplePos="0" relativeHeight="251659264" behindDoc="0" locked="0" layoutInCell="1" allowOverlap="1" wp14:anchorId="7D79211B" wp14:editId="2AF8003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444B2" w:rsidRPr="00C84483" w:rsidRDefault="007444B2" w:rsidP="007444B2">
      <w:pPr>
        <w:pStyle w:val="Titel"/>
        <w:tabs>
          <w:tab w:val="right" w:pos="9356"/>
        </w:tabs>
        <w:jc w:val="left"/>
        <w:rPr>
          <w:b w:val="0"/>
          <w:szCs w:val="24"/>
          <w:lang w:eastAsia="en-US"/>
        </w:rPr>
      </w:pPr>
      <w:r w:rsidRPr="00C84483">
        <w:rPr>
          <w:b w:val="0"/>
          <w:szCs w:val="24"/>
          <w:lang w:eastAsia="en-US"/>
        </w:rPr>
        <w:tab/>
      </w:r>
      <w:r w:rsidR="008A36E4">
        <w:rPr>
          <w:szCs w:val="24"/>
        </w:rPr>
        <w:t>1</w:t>
      </w:r>
      <w:r>
        <w:rPr>
          <w:szCs w:val="24"/>
        </w:rPr>
        <w:t xml:space="preserve">. </w:t>
      </w:r>
      <w:r w:rsidR="008A36E4">
        <w:rPr>
          <w:szCs w:val="24"/>
        </w:rPr>
        <w:t>april</w:t>
      </w:r>
      <w:r>
        <w:rPr>
          <w:szCs w:val="24"/>
        </w:rPr>
        <w:t xml:space="preserve"> 20</w:t>
      </w:r>
      <w:r w:rsidR="008A36E4">
        <w:rPr>
          <w:szCs w:val="24"/>
        </w:rPr>
        <w:t>22</w:t>
      </w:r>
    </w:p>
    <w:p w:rsidR="007444B2" w:rsidRPr="00C84483" w:rsidRDefault="007444B2" w:rsidP="007444B2">
      <w:pPr>
        <w:pStyle w:val="Titel"/>
        <w:tabs>
          <w:tab w:val="left" w:pos="8222"/>
        </w:tabs>
        <w:jc w:val="left"/>
        <w:rPr>
          <w:b w:val="0"/>
          <w:szCs w:val="24"/>
        </w:rPr>
      </w:pPr>
    </w:p>
    <w:p w:rsidR="007444B2" w:rsidRPr="00C84483" w:rsidRDefault="007444B2" w:rsidP="007444B2">
      <w:pPr>
        <w:pStyle w:val="Titel"/>
        <w:jc w:val="left"/>
        <w:rPr>
          <w:b w:val="0"/>
          <w:szCs w:val="24"/>
        </w:rPr>
      </w:pPr>
    </w:p>
    <w:p w:rsidR="007444B2" w:rsidRPr="00C84483" w:rsidRDefault="007444B2" w:rsidP="007444B2">
      <w:pPr>
        <w:jc w:val="center"/>
        <w:rPr>
          <w:b/>
          <w:sz w:val="24"/>
          <w:szCs w:val="24"/>
        </w:rPr>
      </w:pPr>
      <w:r w:rsidRPr="00C84483">
        <w:rPr>
          <w:b/>
          <w:sz w:val="24"/>
          <w:szCs w:val="24"/>
        </w:rPr>
        <w:t>PRODUKTRESUMÉ</w:t>
      </w:r>
    </w:p>
    <w:p w:rsidR="007444B2" w:rsidRPr="00C84483" w:rsidRDefault="007444B2" w:rsidP="007444B2">
      <w:pPr>
        <w:jc w:val="center"/>
        <w:rPr>
          <w:b/>
          <w:sz w:val="24"/>
          <w:szCs w:val="24"/>
        </w:rPr>
      </w:pPr>
    </w:p>
    <w:p w:rsidR="007444B2" w:rsidRDefault="007444B2" w:rsidP="007444B2">
      <w:pPr>
        <w:jc w:val="center"/>
        <w:rPr>
          <w:b/>
          <w:sz w:val="24"/>
          <w:szCs w:val="24"/>
        </w:rPr>
      </w:pPr>
      <w:r w:rsidRPr="00C84483">
        <w:rPr>
          <w:b/>
          <w:sz w:val="24"/>
          <w:szCs w:val="24"/>
        </w:rPr>
        <w:t>for</w:t>
      </w:r>
    </w:p>
    <w:p w:rsidR="007444B2" w:rsidRPr="00C84483" w:rsidRDefault="007444B2" w:rsidP="007444B2">
      <w:pPr>
        <w:jc w:val="center"/>
        <w:rPr>
          <w:b/>
          <w:sz w:val="24"/>
          <w:szCs w:val="24"/>
        </w:rPr>
      </w:pPr>
    </w:p>
    <w:p w:rsidR="007444B2" w:rsidRPr="00C84483" w:rsidRDefault="007444B2" w:rsidP="007444B2">
      <w:pPr>
        <w:jc w:val="center"/>
        <w:rPr>
          <w:b/>
          <w:sz w:val="24"/>
          <w:szCs w:val="24"/>
        </w:rPr>
      </w:pPr>
      <w:proofErr w:type="spellStart"/>
      <w:r>
        <w:rPr>
          <w:b/>
          <w:sz w:val="24"/>
          <w:szCs w:val="24"/>
        </w:rPr>
        <w:t>Fultium</w:t>
      </w:r>
      <w:proofErr w:type="spellEnd"/>
      <w:r>
        <w:rPr>
          <w:b/>
          <w:sz w:val="24"/>
          <w:szCs w:val="24"/>
        </w:rPr>
        <w:t>, bløde kapsler 80 mikrogram (3200 IE)</w:t>
      </w:r>
    </w:p>
    <w:p w:rsidR="007444B2" w:rsidRPr="00C84483" w:rsidRDefault="007444B2" w:rsidP="007444B2">
      <w:pPr>
        <w:jc w:val="both"/>
        <w:rPr>
          <w:sz w:val="24"/>
          <w:szCs w:val="24"/>
        </w:rPr>
      </w:pPr>
    </w:p>
    <w:p w:rsidR="007444B2" w:rsidRPr="0054615E" w:rsidRDefault="007444B2" w:rsidP="007444B2">
      <w:pPr>
        <w:ind w:left="851" w:hanging="851"/>
        <w:jc w:val="both"/>
        <w:rPr>
          <w:sz w:val="24"/>
          <w:szCs w:val="24"/>
        </w:rPr>
      </w:pPr>
    </w:p>
    <w:p w:rsidR="007444B2" w:rsidRPr="0054615E" w:rsidRDefault="007444B2" w:rsidP="007444B2">
      <w:pPr>
        <w:ind w:left="851" w:hanging="851"/>
        <w:rPr>
          <w:b/>
          <w:sz w:val="24"/>
          <w:szCs w:val="24"/>
        </w:rPr>
      </w:pPr>
      <w:r w:rsidRPr="0054615E">
        <w:rPr>
          <w:b/>
          <w:sz w:val="24"/>
          <w:szCs w:val="24"/>
        </w:rPr>
        <w:t>0.</w:t>
      </w:r>
      <w:r w:rsidRPr="0054615E">
        <w:rPr>
          <w:b/>
          <w:sz w:val="24"/>
          <w:szCs w:val="24"/>
        </w:rPr>
        <w:tab/>
        <w:t>D.SP.NR.</w:t>
      </w:r>
    </w:p>
    <w:p w:rsidR="007444B2" w:rsidRPr="0054615E" w:rsidRDefault="007444B2" w:rsidP="007444B2">
      <w:pPr>
        <w:ind w:left="851"/>
        <w:rPr>
          <w:sz w:val="24"/>
          <w:szCs w:val="24"/>
        </w:rPr>
      </w:pPr>
      <w:r w:rsidRPr="0054615E">
        <w:rPr>
          <w:sz w:val="24"/>
          <w:szCs w:val="24"/>
        </w:rPr>
        <w:t>30250</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1.</w:t>
      </w:r>
      <w:r w:rsidRPr="0054615E">
        <w:rPr>
          <w:b/>
          <w:sz w:val="24"/>
          <w:szCs w:val="24"/>
        </w:rPr>
        <w:tab/>
        <w:t>LÆGEMIDLETS NAVN</w:t>
      </w:r>
    </w:p>
    <w:p w:rsidR="007444B2" w:rsidRPr="0054615E" w:rsidRDefault="007444B2" w:rsidP="007444B2">
      <w:pPr>
        <w:ind w:left="851"/>
        <w:rPr>
          <w:sz w:val="24"/>
          <w:szCs w:val="24"/>
        </w:rPr>
      </w:pPr>
      <w:proofErr w:type="spellStart"/>
      <w:r>
        <w:rPr>
          <w:sz w:val="24"/>
          <w:szCs w:val="24"/>
        </w:rPr>
        <w:t>Fultium</w:t>
      </w:r>
      <w:proofErr w:type="spellEnd"/>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2.</w:t>
      </w:r>
      <w:r w:rsidRPr="0054615E">
        <w:rPr>
          <w:b/>
          <w:sz w:val="24"/>
          <w:szCs w:val="24"/>
        </w:rPr>
        <w:tab/>
        <w:t>KVALITATIV OG KVANTITATIV SAMMENSÆTNING</w:t>
      </w:r>
    </w:p>
    <w:p w:rsidR="007444B2" w:rsidRPr="0054615E" w:rsidRDefault="007444B2" w:rsidP="007444B2">
      <w:pPr>
        <w:spacing w:line="260" w:lineRule="exact"/>
        <w:ind w:left="851"/>
        <w:rPr>
          <w:sz w:val="24"/>
          <w:szCs w:val="24"/>
        </w:rPr>
      </w:pPr>
      <w:r w:rsidRPr="0054615E">
        <w:rPr>
          <w:snapToGrid w:val="0"/>
          <w:color w:val="000000" w:themeColor="text1"/>
          <w:sz w:val="24"/>
          <w:szCs w:val="24"/>
        </w:rPr>
        <w:t xml:space="preserve">Hver kapsel </w:t>
      </w:r>
      <w:r>
        <w:rPr>
          <w:snapToGrid w:val="0"/>
          <w:color w:val="000000" w:themeColor="text1"/>
          <w:sz w:val="24"/>
          <w:szCs w:val="24"/>
        </w:rPr>
        <w:t xml:space="preserve">indeholder </w:t>
      </w:r>
      <w:r w:rsidRPr="0054615E">
        <w:rPr>
          <w:snapToGrid w:val="0"/>
          <w:color w:val="000000" w:themeColor="text1"/>
          <w:sz w:val="24"/>
          <w:szCs w:val="24"/>
        </w:rPr>
        <w:t xml:space="preserve">80 mikrogram </w:t>
      </w:r>
      <w:proofErr w:type="spellStart"/>
      <w:r w:rsidRPr="0054615E">
        <w:rPr>
          <w:sz w:val="24"/>
          <w:szCs w:val="24"/>
        </w:rPr>
        <w:t>cholecalciferol</w:t>
      </w:r>
      <w:proofErr w:type="spellEnd"/>
      <w:r w:rsidRPr="0054615E">
        <w:rPr>
          <w:sz w:val="24"/>
          <w:szCs w:val="24"/>
        </w:rPr>
        <w:t xml:space="preserve"> (svarende til </w:t>
      </w:r>
      <w:r w:rsidRPr="0054615E">
        <w:rPr>
          <w:snapToGrid w:val="0"/>
          <w:color w:val="000000" w:themeColor="text1"/>
          <w:sz w:val="24"/>
          <w:szCs w:val="24"/>
        </w:rPr>
        <w:t xml:space="preserve">3.200 </w:t>
      </w:r>
      <w:proofErr w:type="gramStart"/>
      <w:r w:rsidRPr="0054615E">
        <w:rPr>
          <w:snapToGrid w:val="0"/>
          <w:color w:val="000000" w:themeColor="text1"/>
          <w:sz w:val="24"/>
          <w:szCs w:val="24"/>
        </w:rPr>
        <w:t xml:space="preserve">IE </w:t>
      </w:r>
      <w:r w:rsidRPr="0054615E">
        <w:rPr>
          <w:sz w:val="24"/>
          <w:szCs w:val="24"/>
        </w:rPr>
        <w:t>vitamin</w:t>
      </w:r>
      <w:proofErr w:type="gramEnd"/>
      <w:r w:rsidRPr="0054615E">
        <w:rPr>
          <w:sz w:val="24"/>
          <w:szCs w:val="24"/>
        </w:rPr>
        <w:t xml:space="preserve"> D</w:t>
      </w:r>
      <w:r w:rsidRPr="0054615E">
        <w:rPr>
          <w:sz w:val="24"/>
          <w:szCs w:val="24"/>
          <w:vertAlign w:val="subscript"/>
        </w:rPr>
        <w:t>3</w:t>
      </w:r>
      <w:r w:rsidRPr="0054615E">
        <w:rPr>
          <w:sz w:val="24"/>
          <w:szCs w:val="24"/>
        </w:rPr>
        <w:t>)</w:t>
      </w:r>
      <w:r>
        <w:rPr>
          <w:sz w:val="24"/>
          <w:szCs w:val="24"/>
        </w:rPr>
        <w:t>.</w:t>
      </w:r>
    </w:p>
    <w:p w:rsidR="007444B2" w:rsidRPr="0054615E" w:rsidRDefault="007444B2" w:rsidP="007444B2">
      <w:pPr>
        <w:spacing w:line="260" w:lineRule="exact"/>
        <w:ind w:left="851" w:hanging="851"/>
        <w:rPr>
          <w:sz w:val="24"/>
          <w:szCs w:val="24"/>
        </w:rPr>
      </w:pPr>
    </w:p>
    <w:p w:rsidR="007444B2" w:rsidRPr="0054615E" w:rsidRDefault="007444B2" w:rsidP="007444B2">
      <w:pPr>
        <w:spacing w:line="260" w:lineRule="exact"/>
        <w:ind w:left="851"/>
        <w:rPr>
          <w:snapToGrid w:val="0"/>
          <w:color w:val="000000" w:themeColor="text1"/>
          <w:sz w:val="24"/>
          <w:szCs w:val="24"/>
        </w:rPr>
      </w:pPr>
      <w:r w:rsidRPr="0054615E">
        <w:rPr>
          <w:sz w:val="24"/>
          <w:szCs w:val="24"/>
        </w:rPr>
        <w:t>Alle hjælpestoffer er anført under pkt. 6.1.</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3.</w:t>
      </w:r>
      <w:r w:rsidRPr="0054615E">
        <w:rPr>
          <w:b/>
          <w:sz w:val="24"/>
          <w:szCs w:val="24"/>
        </w:rPr>
        <w:tab/>
        <w:t>LÆGEMIDDELFORM</w:t>
      </w:r>
    </w:p>
    <w:p w:rsidR="007444B2" w:rsidRPr="0054615E" w:rsidRDefault="007444B2" w:rsidP="007444B2">
      <w:pPr>
        <w:suppressAutoHyphens/>
        <w:ind w:left="851"/>
        <w:rPr>
          <w:spacing w:val="-3"/>
          <w:sz w:val="24"/>
          <w:szCs w:val="24"/>
        </w:rPr>
      </w:pPr>
      <w:r>
        <w:rPr>
          <w:spacing w:val="-3"/>
          <w:sz w:val="24"/>
          <w:szCs w:val="24"/>
        </w:rPr>
        <w:t>Bløde kapsler</w:t>
      </w:r>
    </w:p>
    <w:p w:rsidR="007444B2" w:rsidRPr="0054615E" w:rsidRDefault="007444B2" w:rsidP="007444B2">
      <w:pPr>
        <w:suppressAutoHyphens/>
        <w:ind w:left="851" w:hanging="851"/>
        <w:rPr>
          <w:spacing w:val="-3"/>
          <w:sz w:val="24"/>
          <w:szCs w:val="24"/>
        </w:rPr>
      </w:pPr>
    </w:p>
    <w:p w:rsidR="007444B2" w:rsidRPr="0054615E" w:rsidRDefault="007444B2" w:rsidP="007444B2">
      <w:pPr>
        <w:suppressAutoHyphens/>
        <w:ind w:left="851"/>
        <w:rPr>
          <w:sz w:val="24"/>
          <w:szCs w:val="24"/>
        </w:rPr>
      </w:pPr>
      <w:r w:rsidRPr="0054615E">
        <w:rPr>
          <w:sz w:val="24"/>
          <w:szCs w:val="24"/>
        </w:rPr>
        <w:t>Grøn</w:t>
      </w:r>
      <w:r>
        <w:rPr>
          <w:sz w:val="24"/>
          <w:szCs w:val="24"/>
        </w:rPr>
        <w:t xml:space="preserve">, gennemsigtig, </w:t>
      </w:r>
      <w:r w:rsidRPr="0054615E">
        <w:rPr>
          <w:sz w:val="24"/>
          <w:szCs w:val="24"/>
        </w:rPr>
        <w:t>blød gelatinekapsel, 10,6 mm</w:t>
      </w:r>
      <w:r>
        <w:rPr>
          <w:sz w:val="24"/>
          <w:szCs w:val="24"/>
        </w:rPr>
        <w:t>×</w:t>
      </w:r>
      <w:r w:rsidRPr="0054615E">
        <w:rPr>
          <w:sz w:val="24"/>
          <w:szCs w:val="24"/>
        </w:rPr>
        <w:t>6,2 mm</w:t>
      </w:r>
      <w:r>
        <w:rPr>
          <w:sz w:val="24"/>
          <w:szCs w:val="24"/>
        </w:rPr>
        <w:t>.</w:t>
      </w:r>
    </w:p>
    <w:p w:rsidR="007444B2" w:rsidRPr="0054615E" w:rsidRDefault="007444B2" w:rsidP="007444B2">
      <w:pPr>
        <w:ind w:left="851" w:hanging="851"/>
        <w:rPr>
          <w:sz w:val="24"/>
          <w:szCs w:val="24"/>
        </w:rPr>
      </w:pP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4.</w:t>
      </w:r>
      <w:r w:rsidRPr="0054615E">
        <w:rPr>
          <w:b/>
          <w:sz w:val="24"/>
          <w:szCs w:val="24"/>
        </w:rPr>
        <w:tab/>
        <w:t>KLINISKE OPLYSNINGER</w:t>
      </w:r>
    </w:p>
    <w:p w:rsidR="007444B2" w:rsidRPr="0054615E" w:rsidRDefault="007444B2" w:rsidP="007444B2">
      <w:pPr>
        <w:ind w:left="851" w:hanging="851"/>
        <w:rPr>
          <w:b/>
          <w:sz w:val="24"/>
          <w:szCs w:val="24"/>
        </w:rPr>
      </w:pPr>
    </w:p>
    <w:p w:rsidR="007444B2" w:rsidRPr="0054615E" w:rsidRDefault="007444B2" w:rsidP="007444B2">
      <w:pPr>
        <w:ind w:left="851" w:hanging="851"/>
        <w:rPr>
          <w:b/>
          <w:sz w:val="24"/>
          <w:szCs w:val="24"/>
          <w:u w:val="single"/>
        </w:rPr>
      </w:pPr>
      <w:r w:rsidRPr="0054615E">
        <w:rPr>
          <w:b/>
          <w:sz w:val="24"/>
          <w:szCs w:val="24"/>
        </w:rPr>
        <w:t>4.1</w:t>
      </w:r>
      <w:r w:rsidRPr="0054615E">
        <w:rPr>
          <w:b/>
          <w:sz w:val="24"/>
          <w:szCs w:val="24"/>
        </w:rPr>
        <w:tab/>
        <w:t>Terapeutiske indikationer</w:t>
      </w:r>
    </w:p>
    <w:p w:rsidR="007444B2" w:rsidRPr="0054615E" w:rsidRDefault="007444B2" w:rsidP="007444B2">
      <w:pPr>
        <w:ind w:left="851"/>
        <w:rPr>
          <w:sz w:val="24"/>
          <w:szCs w:val="24"/>
        </w:rPr>
      </w:pPr>
      <w:r w:rsidRPr="0054615E">
        <w:rPr>
          <w:sz w:val="24"/>
          <w:szCs w:val="24"/>
        </w:rPr>
        <w:t>Initial behandling af symptomatisk D-vitaminmangel hos voksne.</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4.2</w:t>
      </w:r>
      <w:r w:rsidRPr="0054615E">
        <w:rPr>
          <w:b/>
          <w:sz w:val="24"/>
          <w:szCs w:val="24"/>
        </w:rPr>
        <w:tab/>
        <w:t>Dosering og indgivelsesmåde</w:t>
      </w:r>
    </w:p>
    <w:p w:rsidR="007444B2" w:rsidRDefault="007444B2" w:rsidP="007444B2">
      <w:pPr>
        <w:ind w:left="851" w:hanging="851"/>
        <w:rPr>
          <w:noProof/>
          <w:sz w:val="24"/>
          <w:szCs w:val="24"/>
          <w:u w:val="single"/>
        </w:rPr>
      </w:pPr>
    </w:p>
    <w:p w:rsidR="007444B2" w:rsidRPr="0054615E" w:rsidRDefault="007444B2" w:rsidP="007444B2">
      <w:pPr>
        <w:ind w:left="851"/>
        <w:rPr>
          <w:noProof/>
          <w:sz w:val="24"/>
          <w:szCs w:val="24"/>
          <w:u w:val="single"/>
        </w:rPr>
      </w:pPr>
      <w:r w:rsidRPr="0054615E">
        <w:rPr>
          <w:noProof/>
          <w:sz w:val="24"/>
          <w:szCs w:val="24"/>
          <w:u w:val="single"/>
        </w:rPr>
        <w:t>Dosering</w:t>
      </w:r>
    </w:p>
    <w:p w:rsidR="007444B2" w:rsidRDefault="007444B2" w:rsidP="007444B2">
      <w:pPr>
        <w:ind w:left="851"/>
        <w:rPr>
          <w:noProof/>
          <w:sz w:val="24"/>
          <w:szCs w:val="24"/>
        </w:rPr>
      </w:pPr>
      <w:r w:rsidRPr="0054615E">
        <w:rPr>
          <w:noProof/>
          <w:sz w:val="24"/>
          <w:szCs w:val="24"/>
        </w:rPr>
        <w:t>Anbefale</w:t>
      </w:r>
      <w:r>
        <w:rPr>
          <w:noProof/>
          <w:sz w:val="24"/>
          <w:szCs w:val="24"/>
        </w:rPr>
        <w:t>t</w:t>
      </w:r>
      <w:r w:rsidRPr="0054615E">
        <w:rPr>
          <w:noProof/>
          <w:sz w:val="24"/>
          <w:szCs w:val="24"/>
        </w:rPr>
        <w:t xml:space="preserve"> dosis: En kapsel </w:t>
      </w:r>
      <w:r>
        <w:rPr>
          <w:noProof/>
          <w:sz w:val="24"/>
          <w:szCs w:val="24"/>
        </w:rPr>
        <w:t>daglig</w:t>
      </w:r>
      <w:r w:rsidRPr="0054615E">
        <w:rPr>
          <w:noProof/>
          <w:sz w:val="24"/>
          <w:szCs w:val="24"/>
        </w:rPr>
        <w:t>.</w:t>
      </w:r>
    </w:p>
    <w:p w:rsidR="007444B2" w:rsidRPr="0054615E" w:rsidRDefault="007444B2" w:rsidP="007444B2">
      <w:pPr>
        <w:ind w:left="851"/>
        <w:rPr>
          <w:noProof/>
          <w:sz w:val="24"/>
          <w:szCs w:val="24"/>
        </w:rPr>
      </w:pPr>
    </w:p>
    <w:p w:rsidR="007444B2" w:rsidRPr="0054615E" w:rsidRDefault="007444B2" w:rsidP="007444B2">
      <w:pPr>
        <w:ind w:left="851"/>
        <w:rPr>
          <w:noProof/>
          <w:sz w:val="24"/>
          <w:szCs w:val="24"/>
        </w:rPr>
      </w:pPr>
      <w:r w:rsidRPr="0054615E">
        <w:rPr>
          <w:noProof/>
          <w:sz w:val="24"/>
          <w:szCs w:val="24"/>
        </w:rPr>
        <w:t>Efter første måned kan lavere doser overvejes afhængig af de ønskede serumniveauer af 25-hydroxycholecalciferol (25(OH)D), alvorligheden af sygdommen og patientens respons på behandlingen.</w:t>
      </w:r>
    </w:p>
    <w:p w:rsidR="007444B2" w:rsidRPr="0054615E" w:rsidRDefault="007444B2" w:rsidP="007444B2">
      <w:pPr>
        <w:ind w:left="851" w:hanging="851"/>
        <w:rPr>
          <w:noProof/>
          <w:sz w:val="24"/>
          <w:szCs w:val="24"/>
        </w:rPr>
      </w:pPr>
    </w:p>
    <w:p w:rsidR="007444B2" w:rsidRPr="0054615E" w:rsidRDefault="007444B2" w:rsidP="007444B2">
      <w:pPr>
        <w:ind w:left="851"/>
        <w:rPr>
          <w:noProof/>
          <w:sz w:val="24"/>
          <w:szCs w:val="24"/>
        </w:rPr>
      </w:pPr>
      <w:r w:rsidRPr="0054615E">
        <w:rPr>
          <w:noProof/>
          <w:sz w:val="24"/>
          <w:szCs w:val="24"/>
        </w:rPr>
        <w:t>Alternativt kan de nationale doseringsanbefalinger af behandling af D-vitaminmangel følges.</w:t>
      </w:r>
    </w:p>
    <w:p w:rsidR="007444B2" w:rsidRDefault="007444B2" w:rsidP="007444B2">
      <w:pPr>
        <w:rPr>
          <w:noProof/>
          <w:sz w:val="24"/>
          <w:szCs w:val="24"/>
        </w:rPr>
      </w:pPr>
      <w:r>
        <w:rPr>
          <w:noProof/>
          <w:sz w:val="24"/>
          <w:szCs w:val="24"/>
        </w:rPr>
        <w:br w:type="page"/>
      </w:r>
    </w:p>
    <w:p w:rsidR="007444B2" w:rsidRPr="0054615E" w:rsidRDefault="007444B2" w:rsidP="007444B2">
      <w:pPr>
        <w:ind w:left="851" w:hanging="851"/>
        <w:rPr>
          <w:noProof/>
          <w:sz w:val="24"/>
          <w:szCs w:val="24"/>
        </w:rPr>
      </w:pPr>
    </w:p>
    <w:p w:rsidR="007444B2" w:rsidRPr="0054615E" w:rsidRDefault="007444B2" w:rsidP="007444B2">
      <w:pPr>
        <w:ind w:left="851"/>
        <w:rPr>
          <w:sz w:val="24"/>
          <w:szCs w:val="24"/>
        </w:rPr>
      </w:pPr>
      <w:r w:rsidRPr="0054615E">
        <w:rPr>
          <w:i/>
          <w:sz w:val="24"/>
          <w:szCs w:val="24"/>
        </w:rPr>
        <w:t>Dosis ved nedsat leverfunktion</w:t>
      </w:r>
    </w:p>
    <w:p w:rsidR="007444B2" w:rsidRPr="0054615E" w:rsidRDefault="007444B2" w:rsidP="007444B2">
      <w:pPr>
        <w:ind w:left="851"/>
        <w:rPr>
          <w:sz w:val="24"/>
          <w:szCs w:val="24"/>
        </w:rPr>
      </w:pPr>
      <w:r w:rsidRPr="0054615E">
        <w:rPr>
          <w:sz w:val="24"/>
          <w:szCs w:val="24"/>
        </w:rPr>
        <w:t>Dosisjustering er ikke nødvendig.</w:t>
      </w:r>
    </w:p>
    <w:p w:rsidR="007444B2" w:rsidRPr="0054615E" w:rsidRDefault="007444B2" w:rsidP="007444B2">
      <w:pPr>
        <w:ind w:left="851" w:hanging="851"/>
        <w:rPr>
          <w:sz w:val="24"/>
          <w:szCs w:val="24"/>
        </w:rPr>
      </w:pPr>
    </w:p>
    <w:p w:rsidR="007444B2" w:rsidRPr="0054615E" w:rsidRDefault="007444B2" w:rsidP="007444B2">
      <w:pPr>
        <w:ind w:left="851"/>
        <w:rPr>
          <w:i/>
          <w:sz w:val="24"/>
          <w:szCs w:val="24"/>
        </w:rPr>
      </w:pPr>
      <w:r w:rsidRPr="0054615E">
        <w:rPr>
          <w:i/>
          <w:sz w:val="24"/>
          <w:szCs w:val="24"/>
        </w:rPr>
        <w:t>Dosis ved nedsat nyrefunktion</w:t>
      </w:r>
    </w:p>
    <w:p w:rsidR="007444B2" w:rsidRPr="0054615E" w:rsidRDefault="007444B2" w:rsidP="007444B2">
      <w:pPr>
        <w:ind w:left="851"/>
        <w:rPr>
          <w:sz w:val="24"/>
          <w:szCs w:val="24"/>
        </w:rPr>
      </w:pPr>
      <w:proofErr w:type="spellStart"/>
      <w:r>
        <w:rPr>
          <w:color w:val="000000" w:themeColor="text1"/>
          <w:sz w:val="24"/>
          <w:szCs w:val="24"/>
        </w:rPr>
        <w:t>Fultium</w:t>
      </w:r>
      <w:proofErr w:type="spellEnd"/>
      <w:r w:rsidRPr="0054615E">
        <w:rPr>
          <w:sz w:val="24"/>
          <w:szCs w:val="24"/>
        </w:rPr>
        <w:t xml:space="preserve"> </w:t>
      </w:r>
      <w:r w:rsidR="008A36E4">
        <w:rPr>
          <w:sz w:val="24"/>
          <w:szCs w:val="24"/>
        </w:rPr>
        <w:t>må</w:t>
      </w:r>
      <w:r w:rsidRPr="0054615E">
        <w:rPr>
          <w:sz w:val="24"/>
          <w:szCs w:val="24"/>
        </w:rPr>
        <w:t xml:space="preserve"> ikke bruges til patienter med svært nedsat nyrefunktion (se pkt. 4.3).</w:t>
      </w:r>
    </w:p>
    <w:p w:rsidR="007444B2" w:rsidRPr="0054615E" w:rsidRDefault="007444B2" w:rsidP="007444B2">
      <w:pPr>
        <w:ind w:left="851" w:hanging="851"/>
        <w:rPr>
          <w:sz w:val="24"/>
          <w:szCs w:val="24"/>
        </w:rPr>
      </w:pPr>
    </w:p>
    <w:p w:rsidR="007444B2" w:rsidRPr="0054615E" w:rsidRDefault="007444B2" w:rsidP="007444B2">
      <w:pPr>
        <w:ind w:left="851"/>
        <w:rPr>
          <w:i/>
          <w:noProof/>
          <w:sz w:val="24"/>
          <w:szCs w:val="24"/>
        </w:rPr>
      </w:pPr>
      <w:r w:rsidRPr="0054615E">
        <w:rPr>
          <w:i/>
          <w:noProof/>
          <w:sz w:val="24"/>
          <w:szCs w:val="24"/>
        </w:rPr>
        <w:t>Pædiatrisk population</w:t>
      </w:r>
    </w:p>
    <w:p w:rsidR="008A36E4" w:rsidRDefault="008A36E4" w:rsidP="008A36E4">
      <w:pPr>
        <w:ind w:left="851"/>
        <w:rPr>
          <w:noProof/>
          <w:sz w:val="24"/>
          <w:szCs w:val="24"/>
        </w:rPr>
      </w:pPr>
      <w:proofErr w:type="spellStart"/>
      <w:r>
        <w:rPr>
          <w:color w:val="000000" w:themeColor="text1"/>
          <w:sz w:val="24"/>
          <w:szCs w:val="24"/>
        </w:rPr>
        <w:t>Fultium</w:t>
      </w:r>
      <w:proofErr w:type="spellEnd"/>
      <w:r>
        <w:rPr>
          <w:sz w:val="24"/>
          <w:szCs w:val="24"/>
        </w:rPr>
        <w:t xml:space="preserve"> anbefales ikke til børn og unge under 18 år. </w:t>
      </w:r>
    </w:p>
    <w:p w:rsidR="007444B2" w:rsidRPr="0054615E" w:rsidRDefault="007444B2" w:rsidP="007444B2">
      <w:pPr>
        <w:ind w:left="851" w:hanging="851"/>
        <w:rPr>
          <w:noProof/>
          <w:sz w:val="24"/>
          <w:szCs w:val="24"/>
        </w:rPr>
      </w:pPr>
    </w:p>
    <w:p w:rsidR="007444B2" w:rsidRPr="0054615E" w:rsidRDefault="007444B2" w:rsidP="007444B2">
      <w:pPr>
        <w:ind w:left="851"/>
        <w:rPr>
          <w:sz w:val="24"/>
          <w:szCs w:val="24"/>
          <w:u w:val="single"/>
        </w:rPr>
      </w:pPr>
      <w:r w:rsidRPr="0054615E">
        <w:rPr>
          <w:sz w:val="24"/>
          <w:szCs w:val="24"/>
          <w:u w:val="single"/>
        </w:rPr>
        <w:t>Administration</w:t>
      </w:r>
    </w:p>
    <w:p w:rsidR="007444B2" w:rsidRPr="0054615E" w:rsidRDefault="007444B2" w:rsidP="007444B2">
      <w:pPr>
        <w:ind w:left="851"/>
        <w:rPr>
          <w:sz w:val="24"/>
          <w:szCs w:val="24"/>
        </w:rPr>
      </w:pPr>
      <w:r w:rsidRPr="0054615E">
        <w:rPr>
          <w:sz w:val="24"/>
          <w:szCs w:val="24"/>
        </w:rPr>
        <w:t>Denne medicin anvendes oralt.</w:t>
      </w:r>
    </w:p>
    <w:p w:rsidR="007444B2" w:rsidRPr="0054615E" w:rsidRDefault="007444B2" w:rsidP="007444B2">
      <w:pPr>
        <w:ind w:left="851"/>
        <w:rPr>
          <w:sz w:val="24"/>
          <w:szCs w:val="24"/>
        </w:rPr>
      </w:pPr>
      <w:r w:rsidRPr="0054615E">
        <w:rPr>
          <w:sz w:val="24"/>
          <w:szCs w:val="24"/>
        </w:rPr>
        <w:t>Kapslen skal sluges hel med vand og helst sammen med hovedmåltidet.</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4.3</w:t>
      </w:r>
      <w:r w:rsidRPr="0054615E">
        <w:rPr>
          <w:b/>
          <w:sz w:val="24"/>
          <w:szCs w:val="24"/>
        </w:rPr>
        <w:tab/>
        <w:t>Kontraindikationer</w:t>
      </w:r>
    </w:p>
    <w:p w:rsidR="007444B2" w:rsidRPr="0054615E" w:rsidRDefault="007444B2" w:rsidP="007444B2">
      <w:pPr>
        <w:ind w:left="851"/>
        <w:rPr>
          <w:sz w:val="24"/>
          <w:szCs w:val="24"/>
        </w:rPr>
      </w:pPr>
      <w:r w:rsidRPr="0054615E">
        <w:rPr>
          <w:sz w:val="24"/>
          <w:szCs w:val="24"/>
        </w:rPr>
        <w:t>Overfølsomhed over for det aktive stof eller over for et eller flere af hjælpestofferne anført i pkt</w:t>
      </w:r>
      <w:r>
        <w:rPr>
          <w:sz w:val="24"/>
          <w:szCs w:val="24"/>
        </w:rPr>
        <w:t>.</w:t>
      </w:r>
      <w:r w:rsidRPr="0054615E">
        <w:rPr>
          <w:sz w:val="24"/>
          <w:szCs w:val="24"/>
        </w:rPr>
        <w:t xml:space="preserve"> 6.1.</w:t>
      </w:r>
    </w:p>
    <w:p w:rsidR="007444B2" w:rsidRPr="0054615E" w:rsidRDefault="007444B2" w:rsidP="007444B2">
      <w:pPr>
        <w:ind w:left="851"/>
        <w:rPr>
          <w:sz w:val="24"/>
          <w:szCs w:val="24"/>
        </w:rPr>
      </w:pPr>
      <w:proofErr w:type="spellStart"/>
      <w:r w:rsidRPr="0054615E">
        <w:rPr>
          <w:sz w:val="24"/>
          <w:szCs w:val="24"/>
        </w:rPr>
        <w:t>Hypervitaminose</w:t>
      </w:r>
      <w:proofErr w:type="spellEnd"/>
      <w:r w:rsidRPr="0054615E">
        <w:rPr>
          <w:sz w:val="24"/>
          <w:szCs w:val="24"/>
        </w:rPr>
        <w:t xml:space="preserve"> D</w:t>
      </w:r>
      <w:r>
        <w:rPr>
          <w:sz w:val="24"/>
          <w:szCs w:val="24"/>
        </w:rPr>
        <w:t>.</w:t>
      </w:r>
    </w:p>
    <w:p w:rsidR="008A36E4" w:rsidRDefault="008A36E4" w:rsidP="008A36E4">
      <w:pPr>
        <w:ind w:left="851"/>
        <w:rPr>
          <w:sz w:val="24"/>
          <w:szCs w:val="24"/>
        </w:rPr>
      </w:pPr>
      <w:proofErr w:type="spellStart"/>
      <w:r>
        <w:rPr>
          <w:sz w:val="24"/>
          <w:szCs w:val="24"/>
        </w:rPr>
        <w:t>Nefrolithiasis</w:t>
      </w:r>
      <w:proofErr w:type="spellEnd"/>
      <w:r>
        <w:rPr>
          <w:sz w:val="24"/>
          <w:szCs w:val="24"/>
        </w:rPr>
        <w:t xml:space="preserve"> og/eller </w:t>
      </w:r>
      <w:proofErr w:type="spellStart"/>
      <w:r>
        <w:rPr>
          <w:sz w:val="24"/>
          <w:szCs w:val="24"/>
        </w:rPr>
        <w:t>nefrocalcinose</w:t>
      </w:r>
      <w:proofErr w:type="spellEnd"/>
    </w:p>
    <w:p w:rsidR="007444B2" w:rsidRPr="0054615E" w:rsidRDefault="007444B2" w:rsidP="007444B2">
      <w:pPr>
        <w:ind w:left="851"/>
        <w:rPr>
          <w:sz w:val="24"/>
          <w:szCs w:val="24"/>
        </w:rPr>
      </w:pPr>
      <w:r w:rsidRPr="0054615E">
        <w:rPr>
          <w:sz w:val="24"/>
          <w:szCs w:val="24"/>
        </w:rPr>
        <w:t xml:space="preserve">Sygdomme eller tilstande, der medfører </w:t>
      </w:r>
      <w:proofErr w:type="spellStart"/>
      <w:r w:rsidRPr="0054615E">
        <w:rPr>
          <w:sz w:val="24"/>
          <w:szCs w:val="24"/>
        </w:rPr>
        <w:t>hypercalcæmi</w:t>
      </w:r>
      <w:proofErr w:type="spellEnd"/>
      <w:r w:rsidRPr="0054615E">
        <w:rPr>
          <w:sz w:val="24"/>
          <w:szCs w:val="24"/>
        </w:rPr>
        <w:t xml:space="preserve"> og/eller </w:t>
      </w:r>
      <w:proofErr w:type="spellStart"/>
      <w:r w:rsidRPr="0054615E">
        <w:rPr>
          <w:sz w:val="24"/>
          <w:szCs w:val="24"/>
        </w:rPr>
        <w:t>hypercalcuri</w:t>
      </w:r>
      <w:proofErr w:type="spellEnd"/>
      <w:r>
        <w:rPr>
          <w:sz w:val="24"/>
          <w:szCs w:val="24"/>
        </w:rPr>
        <w:t>.</w:t>
      </w:r>
    </w:p>
    <w:p w:rsidR="007444B2" w:rsidRPr="0054615E" w:rsidRDefault="007444B2" w:rsidP="007444B2">
      <w:pPr>
        <w:ind w:left="851"/>
        <w:rPr>
          <w:sz w:val="24"/>
          <w:szCs w:val="24"/>
        </w:rPr>
      </w:pPr>
      <w:r w:rsidRPr="0054615E">
        <w:rPr>
          <w:sz w:val="24"/>
          <w:szCs w:val="24"/>
        </w:rPr>
        <w:t>Svært nedsat nyrefunktion</w:t>
      </w:r>
      <w:r>
        <w:rPr>
          <w:sz w:val="24"/>
          <w:szCs w:val="24"/>
        </w:rPr>
        <w:t>.</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4.4</w:t>
      </w:r>
      <w:r w:rsidRPr="0054615E">
        <w:rPr>
          <w:b/>
          <w:sz w:val="24"/>
          <w:szCs w:val="24"/>
        </w:rPr>
        <w:tab/>
        <w:t>Særlige advarsler og forsigtighedsregler vedrørende brugen</w:t>
      </w:r>
    </w:p>
    <w:p w:rsidR="008A36E4" w:rsidRDefault="007444B2" w:rsidP="008A36E4">
      <w:pPr>
        <w:ind w:left="851"/>
        <w:rPr>
          <w:noProof/>
          <w:sz w:val="24"/>
          <w:szCs w:val="24"/>
        </w:rPr>
      </w:pPr>
      <w:r w:rsidRPr="0054615E">
        <w:rPr>
          <w:noProof/>
          <w:sz w:val="24"/>
          <w:szCs w:val="24"/>
        </w:rPr>
        <w:t>Vitamin D bør anvendes med forsigtighed til patienter med nedsat nyrefunktion, og virkningen på calcium og fosfat</w:t>
      </w:r>
      <w:r>
        <w:rPr>
          <w:noProof/>
          <w:sz w:val="24"/>
          <w:szCs w:val="24"/>
        </w:rPr>
        <w:t>niveauerne</w:t>
      </w:r>
      <w:r w:rsidRPr="0054615E">
        <w:rPr>
          <w:noProof/>
          <w:sz w:val="24"/>
          <w:szCs w:val="24"/>
        </w:rPr>
        <w:t xml:space="preserve"> bør monitoreres. Risikoen for forkalkning af bindevæv skal tages i betragtning. Hos patienter med svær nyreinsufficiens, metaboliseres vitamin D, i form af cholecalciferol, ikke normalt</w:t>
      </w:r>
      <w:r w:rsidR="008A36E4">
        <w:rPr>
          <w:noProof/>
          <w:sz w:val="24"/>
          <w:szCs w:val="24"/>
        </w:rPr>
        <w:t>,</w:t>
      </w:r>
      <w:r w:rsidRPr="0054615E">
        <w:rPr>
          <w:noProof/>
          <w:sz w:val="24"/>
          <w:szCs w:val="24"/>
        </w:rPr>
        <w:t xml:space="preserve"> </w:t>
      </w:r>
      <w:r w:rsidR="008A36E4">
        <w:rPr>
          <w:noProof/>
          <w:sz w:val="24"/>
          <w:szCs w:val="24"/>
        </w:rPr>
        <w:t>Fultium er kontraindiceret (se pkt. 4.3).</w:t>
      </w:r>
    </w:p>
    <w:p w:rsidR="007444B2" w:rsidRPr="0054615E" w:rsidRDefault="007444B2" w:rsidP="008A36E4">
      <w:pPr>
        <w:ind w:left="851"/>
        <w:rPr>
          <w:noProof/>
          <w:sz w:val="24"/>
          <w:szCs w:val="24"/>
        </w:rPr>
      </w:pPr>
    </w:p>
    <w:p w:rsidR="007444B2" w:rsidRDefault="007444B2" w:rsidP="007444B2">
      <w:pPr>
        <w:ind w:left="851"/>
        <w:rPr>
          <w:noProof/>
          <w:sz w:val="24"/>
          <w:szCs w:val="24"/>
        </w:rPr>
      </w:pPr>
      <w:r w:rsidRPr="0054615E">
        <w:rPr>
          <w:noProof/>
          <w:sz w:val="24"/>
          <w:szCs w:val="24"/>
        </w:rPr>
        <w:t>Forsigtighed er påkrævet hos patienter i behandling for hjerte-karsygdom (se pkt. 4.5 - hjerteglykosider herunder digitalis).</w:t>
      </w:r>
    </w:p>
    <w:p w:rsidR="008A36E4" w:rsidRDefault="008A36E4" w:rsidP="007444B2">
      <w:pPr>
        <w:ind w:left="851"/>
        <w:rPr>
          <w:noProof/>
          <w:sz w:val="24"/>
          <w:szCs w:val="24"/>
        </w:rPr>
      </w:pPr>
    </w:p>
    <w:p w:rsidR="008A36E4" w:rsidRDefault="008A36E4" w:rsidP="008A36E4">
      <w:pPr>
        <w:ind w:left="851"/>
        <w:rPr>
          <w:noProof/>
          <w:sz w:val="24"/>
          <w:szCs w:val="24"/>
        </w:rPr>
      </w:pPr>
      <w:r>
        <w:rPr>
          <w:noProof/>
          <w:sz w:val="24"/>
          <w:szCs w:val="24"/>
        </w:rPr>
        <w:t xml:space="preserve">Fultium bør ikke anvendes hvis der er tendens til dannelse af calciumholdige nyresten. </w:t>
      </w:r>
    </w:p>
    <w:p w:rsidR="008A36E4" w:rsidRDefault="008A36E4" w:rsidP="008A36E4">
      <w:pPr>
        <w:ind w:left="851"/>
        <w:rPr>
          <w:noProof/>
          <w:sz w:val="24"/>
          <w:szCs w:val="24"/>
        </w:rPr>
      </w:pPr>
    </w:p>
    <w:p w:rsidR="008A36E4" w:rsidRPr="0054615E" w:rsidRDefault="008A36E4" w:rsidP="008A36E4">
      <w:pPr>
        <w:ind w:left="851"/>
        <w:rPr>
          <w:noProof/>
          <w:sz w:val="24"/>
          <w:szCs w:val="24"/>
        </w:rPr>
      </w:pPr>
      <w:r>
        <w:rPr>
          <w:noProof/>
          <w:sz w:val="24"/>
          <w:szCs w:val="24"/>
        </w:rPr>
        <w:t xml:space="preserve">Fultium bør anvendes med særlig forsigtighed til patienter med nedsat nyre calcium- og fosfatudskilelse, i behandling med benzothiadizinderivater og hos immobiliserede patienter (risiko for hypercalcæmi). Hos disse patienter bør calciumniveauer i plasma og urin overvåges.     </w:t>
      </w:r>
    </w:p>
    <w:p w:rsidR="007444B2" w:rsidRPr="0054615E" w:rsidRDefault="007444B2" w:rsidP="007444B2">
      <w:pPr>
        <w:ind w:left="851" w:hanging="851"/>
        <w:rPr>
          <w:noProof/>
          <w:sz w:val="24"/>
          <w:szCs w:val="24"/>
        </w:rPr>
      </w:pPr>
    </w:p>
    <w:p w:rsidR="007444B2" w:rsidRDefault="007444B2" w:rsidP="007444B2">
      <w:pPr>
        <w:ind w:left="851"/>
        <w:rPr>
          <w:noProof/>
          <w:sz w:val="24"/>
          <w:szCs w:val="24"/>
        </w:rPr>
      </w:pPr>
      <w:r w:rsidRPr="0054615E">
        <w:rPr>
          <w:noProof/>
          <w:sz w:val="24"/>
          <w:szCs w:val="24"/>
        </w:rPr>
        <w:t>Vitamin D</w:t>
      </w:r>
      <w:r w:rsidRPr="0054615E">
        <w:rPr>
          <w:noProof/>
          <w:sz w:val="24"/>
          <w:szCs w:val="24"/>
          <w:vertAlign w:val="subscript"/>
        </w:rPr>
        <w:t xml:space="preserve">3 </w:t>
      </w:r>
      <w:r w:rsidRPr="0054615E">
        <w:rPr>
          <w:noProof/>
          <w:sz w:val="24"/>
          <w:szCs w:val="24"/>
        </w:rPr>
        <w:t xml:space="preserve">bør gives med forsigtighed til patienter, der lider af sarkoidose på grund af risikoen for øget metabolisering af vitamin D til dets aktive form. Disse patienter bør monitoreres med hensyn til </w:t>
      </w:r>
      <w:r>
        <w:rPr>
          <w:noProof/>
          <w:sz w:val="24"/>
          <w:szCs w:val="24"/>
        </w:rPr>
        <w:t xml:space="preserve">calciumkoncentrationen i </w:t>
      </w:r>
      <w:r w:rsidRPr="0054615E">
        <w:rPr>
          <w:noProof/>
          <w:sz w:val="24"/>
          <w:szCs w:val="24"/>
        </w:rPr>
        <w:t xml:space="preserve">serum og </w:t>
      </w:r>
      <w:r>
        <w:rPr>
          <w:noProof/>
          <w:sz w:val="24"/>
          <w:szCs w:val="24"/>
        </w:rPr>
        <w:t xml:space="preserve">i </w:t>
      </w:r>
      <w:r w:rsidRPr="0054615E">
        <w:rPr>
          <w:noProof/>
          <w:sz w:val="24"/>
          <w:szCs w:val="24"/>
        </w:rPr>
        <w:t>urin.</w:t>
      </w:r>
    </w:p>
    <w:p w:rsidR="008A36E4" w:rsidRDefault="008A36E4" w:rsidP="007444B2">
      <w:pPr>
        <w:ind w:left="851"/>
        <w:rPr>
          <w:noProof/>
          <w:sz w:val="24"/>
          <w:szCs w:val="24"/>
        </w:rPr>
      </w:pPr>
    </w:p>
    <w:p w:rsidR="008A36E4" w:rsidRPr="0054615E" w:rsidRDefault="008A36E4" w:rsidP="008A36E4">
      <w:pPr>
        <w:ind w:left="851"/>
        <w:rPr>
          <w:noProof/>
          <w:sz w:val="24"/>
          <w:szCs w:val="24"/>
        </w:rPr>
      </w:pPr>
      <w:r>
        <w:rPr>
          <w:noProof/>
          <w:sz w:val="24"/>
          <w:szCs w:val="24"/>
        </w:rPr>
        <w:t xml:space="preserve">Fultium bør ikke anvendes ved tilfælde af pseudohypoparathyrodisme, da D-vitamin behovet kan reduceres på grund af faser med normal D-vitamin sensitivitet, hvilket kan medføre risiko for langvarig overdosering. Bedre reguleret D-vitamin-derivater er tilgængelige for dette.       </w:t>
      </w:r>
    </w:p>
    <w:p w:rsidR="007444B2" w:rsidRPr="0054615E" w:rsidRDefault="007444B2" w:rsidP="007444B2">
      <w:pPr>
        <w:ind w:left="851" w:hanging="851"/>
        <w:rPr>
          <w:noProof/>
          <w:sz w:val="24"/>
          <w:szCs w:val="24"/>
        </w:rPr>
      </w:pPr>
    </w:p>
    <w:p w:rsidR="008A36E4" w:rsidRDefault="008A36E4" w:rsidP="008A36E4">
      <w:pPr>
        <w:ind w:left="851"/>
        <w:rPr>
          <w:noProof/>
          <w:sz w:val="24"/>
          <w:szCs w:val="24"/>
        </w:rPr>
      </w:pPr>
      <w:r>
        <w:rPr>
          <w:noProof/>
          <w:sz w:val="24"/>
          <w:szCs w:val="24"/>
        </w:rPr>
        <w:t xml:space="preserve">Under langtidsbehandling med en tilsvarende daglig dosis, der overstiger 1.000 IE vitamin D skal serumcalcium-værdier og nyrefunktionen overvåges, især hos ældre patienter. I tilfælde af hypercalcæmi eller hypercalcuri (over 300 mg (7,5 mmol)/24 timer) skal </w:t>
      </w:r>
      <w:r>
        <w:rPr>
          <w:noProof/>
          <w:sz w:val="24"/>
          <w:szCs w:val="24"/>
        </w:rPr>
        <w:lastRenderedPageBreak/>
        <w:t>behandlingen seponeres. Hvis der er tegn på nedsat nyrefunktion, skal dosis reduceres eller behandlingen seponeres.</w:t>
      </w:r>
    </w:p>
    <w:p w:rsidR="007444B2" w:rsidRPr="0054615E" w:rsidRDefault="007444B2" w:rsidP="007444B2">
      <w:pPr>
        <w:ind w:left="851" w:hanging="851"/>
        <w:rPr>
          <w:noProof/>
          <w:sz w:val="24"/>
          <w:szCs w:val="24"/>
        </w:rPr>
      </w:pPr>
    </w:p>
    <w:p w:rsidR="008A36E4" w:rsidRDefault="008A36E4" w:rsidP="008A36E4">
      <w:pPr>
        <w:ind w:left="851"/>
        <w:rPr>
          <w:noProof/>
          <w:sz w:val="24"/>
          <w:szCs w:val="24"/>
        </w:rPr>
      </w:pPr>
      <w:r>
        <w:rPr>
          <w:noProof/>
          <w:sz w:val="24"/>
          <w:szCs w:val="24"/>
        </w:rPr>
        <w:t>Indholdet af vitamin D i Fultium bør overvejes ved ordinering af andre lægemidler, der indeholder vitamin D, analoger og metaboliter af vitamin D, og når der samtidig indtages fødevarer og kosttilskud indeholdende vitamin D. Yderligere doser af vitamin D og calcium bør tages under nøje medicinsk overvågning. I sådanne tilfælde er det nødvendigt at overvåge niveauet af serumcalcium og udskillelsen af calcium i urinen ofte.</w:t>
      </w:r>
    </w:p>
    <w:p w:rsidR="007444B2" w:rsidRPr="0054615E" w:rsidRDefault="007444B2" w:rsidP="007444B2">
      <w:pPr>
        <w:ind w:left="851" w:hanging="851"/>
        <w:rPr>
          <w:noProof/>
          <w:sz w:val="24"/>
          <w:szCs w:val="24"/>
        </w:rPr>
      </w:pPr>
    </w:p>
    <w:p w:rsidR="007444B2" w:rsidRPr="0054615E" w:rsidRDefault="007444B2" w:rsidP="007444B2">
      <w:pPr>
        <w:ind w:left="851"/>
        <w:rPr>
          <w:noProof/>
          <w:sz w:val="24"/>
          <w:szCs w:val="24"/>
          <w:u w:val="single"/>
        </w:rPr>
      </w:pPr>
      <w:r w:rsidRPr="0054615E">
        <w:rPr>
          <w:noProof/>
          <w:sz w:val="24"/>
          <w:szCs w:val="24"/>
          <w:u w:val="single"/>
        </w:rPr>
        <w:t>Pædiatrisk population</w:t>
      </w:r>
    </w:p>
    <w:p w:rsidR="007444B2" w:rsidRPr="0054615E" w:rsidRDefault="007444B2" w:rsidP="007444B2">
      <w:pPr>
        <w:ind w:left="851"/>
        <w:rPr>
          <w:noProof/>
          <w:sz w:val="24"/>
          <w:szCs w:val="24"/>
        </w:rPr>
      </w:pPr>
      <w:r>
        <w:rPr>
          <w:noProof/>
          <w:sz w:val="24"/>
          <w:szCs w:val="24"/>
        </w:rPr>
        <w:t>Fultium</w:t>
      </w:r>
      <w:r w:rsidRPr="0054615E">
        <w:rPr>
          <w:noProof/>
          <w:sz w:val="24"/>
          <w:szCs w:val="24"/>
        </w:rPr>
        <w:t xml:space="preserve"> 80 mikrogram kapsler anbefales ikke til børn og unge under 18 år. Kapsler er ikke egnet til børn </w:t>
      </w:r>
      <w:r>
        <w:rPr>
          <w:noProof/>
          <w:sz w:val="24"/>
          <w:szCs w:val="24"/>
        </w:rPr>
        <w:t>under 12 år</w:t>
      </w:r>
      <w:r w:rsidRPr="0054615E">
        <w:rPr>
          <w:noProof/>
          <w:sz w:val="24"/>
          <w:szCs w:val="24"/>
        </w:rPr>
        <w:t xml:space="preserve"> på grund af risikoen for kvælning.</w:t>
      </w:r>
    </w:p>
    <w:p w:rsidR="007444B2" w:rsidRDefault="007444B2" w:rsidP="007444B2">
      <w:pPr>
        <w:rPr>
          <w:sz w:val="24"/>
          <w:szCs w:val="24"/>
        </w:rPr>
      </w:pP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4.5</w:t>
      </w:r>
      <w:r w:rsidRPr="0054615E">
        <w:rPr>
          <w:b/>
          <w:sz w:val="24"/>
          <w:szCs w:val="24"/>
        </w:rPr>
        <w:tab/>
        <w:t>Interaktion med andre lægemidler og andre former for interaktion</w:t>
      </w:r>
    </w:p>
    <w:p w:rsidR="007444B2" w:rsidRPr="0054615E" w:rsidRDefault="007444B2" w:rsidP="007444B2">
      <w:pPr>
        <w:ind w:left="851"/>
        <w:rPr>
          <w:sz w:val="24"/>
          <w:szCs w:val="24"/>
        </w:rPr>
      </w:pPr>
      <w:r w:rsidRPr="0054615E">
        <w:rPr>
          <w:sz w:val="24"/>
          <w:szCs w:val="24"/>
        </w:rPr>
        <w:t xml:space="preserve">Samtidig behandling med </w:t>
      </w:r>
      <w:proofErr w:type="spellStart"/>
      <w:proofErr w:type="gramStart"/>
      <w:r w:rsidRPr="0054615E">
        <w:rPr>
          <w:sz w:val="24"/>
          <w:szCs w:val="24"/>
        </w:rPr>
        <w:t>phenytoin</w:t>
      </w:r>
      <w:proofErr w:type="spellEnd"/>
      <w:r w:rsidRPr="0054615E">
        <w:rPr>
          <w:sz w:val="24"/>
          <w:szCs w:val="24"/>
        </w:rPr>
        <w:t xml:space="preserve"> </w:t>
      </w:r>
      <w:r w:rsidR="008A36E4">
        <w:rPr>
          <w:sz w:val="24"/>
          <w:szCs w:val="24"/>
        </w:rPr>
        <w:t>,</w:t>
      </w:r>
      <w:proofErr w:type="spellStart"/>
      <w:r w:rsidR="008A36E4">
        <w:rPr>
          <w:sz w:val="24"/>
          <w:szCs w:val="24"/>
        </w:rPr>
        <w:t>isoniazid</w:t>
      </w:r>
      <w:proofErr w:type="spellEnd"/>
      <w:proofErr w:type="gramEnd"/>
      <w:r w:rsidR="008A36E4">
        <w:rPr>
          <w:sz w:val="24"/>
          <w:szCs w:val="24"/>
        </w:rPr>
        <w:t xml:space="preserve"> </w:t>
      </w:r>
      <w:r w:rsidRPr="0054615E">
        <w:rPr>
          <w:sz w:val="24"/>
          <w:szCs w:val="24"/>
        </w:rPr>
        <w:t xml:space="preserve">eller barbiturater kan nedsætte virkningen af vitamin D på grund af metabolisk aktivering. Samtidig brug af </w:t>
      </w:r>
      <w:proofErr w:type="spellStart"/>
      <w:r w:rsidRPr="0054615E">
        <w:rPr>
          <w:sz w:val="24"/>
          <w:szCs w:val="24"/>
        </w:rPr>
        <w:t>glukokortikoider</w:t>
      </w:r>
      <w:proofErr w:type="spellEnd"/>
      <w:r w:rsidRPr="0054615E">
        <w:rPr>
          <w:sz w:val="24"/>
          <w:szCs w:val="24"/>
        </w:rPr>
        <w:t xml:space="preserve"> kan nedsætte virkningen af vitamin D.</w:t>
      </w:r>
    </w:p>
    <w:p w:rsidR="007444B2" w:rsidRPr="0054615E" w:rsidRDefault="007444B2" w:rsidP="007444B2">
      <w:pPr>
        <w:ind w:left="851" w:hanging="851"/>
        <w:rPr>
          <w:sz w:val="24"/>
          <w:szCs w:val="24"/>
        </w:rPr>
      </w:pPr>
    </w:p>
    <w:p w:rsidR="007444B2" w:rsidRDefault="007444B2" w:rsidP="007444B2">
      <w:pPr>
        <w:ind w:left="851"/>
        <w:rPr>
          <w:sz w:val="24"/>
          <w:szCs w:val="24"/>
        </w:rPr>
      </w:pPr>
      <w:r w:rsidRPr="0054615E">
        <w:rPr>
          <w:sz w:val="24"/>
          <w:szCs w:val="24"/>
        </w:rPr>
        <w:t>Virkningerne af digitalis og andre hjerteglykosider kan forstærkes ved oral administration af calcium i kombination med vitamin D.</w:t>
      </w:r>
      <w:r>
        <w:rPr>
          <w:sz w:val="24"/>
          <w:szCs w:val="24"/>
        </w:rPr>
        <w:t xml:space="preserve"> </w:t>
      </w:r>
      <w:r w:rsidRPr="0054615E">
        <w:rPr>
          <w:sz w:val="24"/>
          <w:szCs w:val="24"/>
        </w:rPr>
        <w:t>Streng medicinsk kontrol er nødvendig, og om nødvendigt kontrol af EKG og calcium.</w:t>
      </w:r>
    </w:p>
    <w:p w:rsidR="008A36E4" w:rsidRDefault="008A36E4" w:rsidP="007444B2">
      <w:pPr>
        <w:ind w:left="851"/>
        <w:rPr>
          <w:sz w:val="24"/>
          <w:szCs w:val="24"/>
        </w:rPr>
      </w:pPr>
    </w:p>
    <w:p w:rsidR="008A36E4" w:rsidRDefault="008A36E4" w:rsidP="008A36E4">
      <w:pPr>
        <w:ind w:left="851"/>
        <w:rPr>
          <w:sz w:val="24"/>
          <w:szCs w:val="24"/>
        </w:rPr>
      </w:pPr>
      <w:proofErr w:type="spellStart"/>
      <w:r>
        <w:rPr>
          <w:sz w:val="24"/>
          <w:szCs w:val="24"/>
        </w:rPr>
        <w:t>Rifampicin</w:t>
      </w:r>
      <w:proofErr w:type="spellEnd"/>
      <w:r>
        <w:rPr>
          <w:sz w:val="24"/>
          <w:szCs w:val="24"/>
        </w:rPr>
        <w:t xml:space="preserve"> kan reduceres effekten af vitamin D på grund af leverenzyminduktion. </w:t>
      </w:r>
    </w:p>
    <w:p w:rsidR="008A36E4" w:rsidRDefault="008A36E4" w:rsidP="008A36E4">
      <w:pPr>
        <w:ind w:left="851"/>
        <w:rPr>
          <w:sz w:val="24"/>
          <w:szCs w:val="24"/>
        </w:rPr>
      </w:pPr>
    </w:p>
    <w:p w:rsidR="008A36E4" w:rsidRPr="0054615E" w:rsidRDefault="008A36E4" w:rsidP="008A36E4">
      <w:pPr>
        <w:ind w:left="851"/>
        <w:rPr>
          <w:sz w:val="24"/>
          <w:szCs w:val="24"/>
        </w:rPr>
      </w:pPr>
      <w:r>
        <w:rPr>
          <w:sz w:val="24"/>
          <w:szCs w:val="24"/>
        </w:rPr>
        <w:t xml:space="preserve">Samtidig administration af </w:t>
      </w:r>
      <w:proofErr w:type="spellStart"/>
      <w:r>
        <w:rPr>
          <w:sz w:val="24"/>
          <w:szCs w:val="24"/>
        </w:rPr>
        <w:t>benzothiadiazinderivater</w:t>
      </w:r>
      <w:proofErr w:type="spellEnd"/>
      <w:r>
        <w:rPr>
          <w:sz w:val="24"/>
          <w:szCs w:val="24"/>
        </w:rPr>
        <w:t xml:space="preserve"> (</w:t>
      </w:r>
      <w:proofErr w:type="spellStart"/>
      <w:r>
        <w:rPr>
          <w:sz w:val="24"/>
          <w:szCs w:val="24"/>
        </w:rPr>
        <w:t>thiaziddiuretika</w:t>
      </w:r>
      <w:proofErr w:type="spellEnd"/>
      <w:r>
        <w:rPr>
          <w:sz w:val="24"/>
          <w:szCs w:val="24"/>
        </w:rPr>
        <w:t xml:space="preserve">) øger risikoen for </w:t>
      </w:r>
      <w:proofErr w:type="spellStart"/>
      <w:r>
        <w:rPr>
          <w:sz w:val="24"/>
          <w:szCs w:val="24"/>
        </w:rPr>
        <w:t>hypercalcæmi</w:t>
      </w:r>
      <w:proofErr w:type="spellEnd"/>
      <w:r>
        <w:rPr>
          <w:sz w:val="24"/>
          <w:szCs w:val="24"/>
        </w:rPr>
        <w:t xml:space="preserve"> på grund af den nedsatte nyre calciumudskillelse. Calciumniveauer i plasma og urin bør derfor overvåges.       </w:t>
      </w:r>
    </w:p>
    <w:p w:rsidR="007444B2" w:rsidRPr="0054615E" w:rsidRDefault="007444B2" w:rsidP="007444B2">
      <w:pPr>
        <w:ind w:left="851" w:hanging="851"/>
        <w:rPr>
          <w:sz w:val="24"/>
          <w:szCs w:val="24"/>
        </w:rPr>
      </w:pPr>
    </w:p>
    <w:p w:rsidR="007444B2" w:rsidRPr="0054615E" w:rsidRDefault="008A36E4" w:rsidP="008A36E4">
      <w:pPr>
        <w:ind w:left="851"/>
        <w:rPr>
          <w:sz w:val="24"/>
          <w:szCs w:val="24"/>
        </w:rPr>
      </w:pPr>
      <w:r>
        <w:rPr>
          <w:sz w:val="24"/>
          <w:szCs w:val="24"/>
        </w:rPr>
        <w:t xml:space="preserve">Samtidig behandling med i </w:t>
      </w:r>
      <w:proofErr w:type="spellStart"/>
      <w:r>
        <w:rPr>
          <w:sz w:val="24"/>
          <w:szCs w:val="24"/>
        </w:rPr>
        <w:t>ionbytningsresiner</w:t>
      </w:r>
      <w:proofErr w:type="spellEnd"/>
      <w:r>
        <w:rPr>
          <w:sz w:val="24"/>
          <w:szCs w:val="24"/>
        </w:rPr>
        <w:t xml:space="preserve">, såsom </w:t>
      </w:r>
      <w:proofErr w:type="spellStart"/>
      <w:r>
        <w:rPr>
          <w:sz w:val="24"/>
          <w:szCs w:val="24"/>
        </w:rPr>
        <w:t>cholestyramin</w:t>
      </w:r>
      <w:proofErr w:type="spellEnd"/>
      <w:r>
        <w:rPr>
          <w:sz w:val="24"/>
          <w:szCs w:val="24"/>
        </w:rPr>
        <w:t xml:space="preserve"> eller </w:t>
      </w:r>
      <w:proofErr w:type="spellStart"/>
      <w:r>
        <w:rPr>
          <w:sz w:val="24"/>
          <w:szCs w:val="24"/>
        </w:rPr>
        <w:t>laksantia</w:t>
      </w:r>
      <w:proofErr w:type="spellEnd"/>
      <w:r>
        <w:rPr>
          <w:sz w:val="24"/>
          <w:szCs w:val="24"/>
        </w:rPr>
        <w:t xml:space="preserve">, som paraffinolie og med </w:t>
      </w:r>
      <w:proofErr w:type="spellStart"/>
      <w:r>
        <w:rPr>
          <w:sz w:val="24"/>
          <w:szCs w:val="24"/>
        </w:rPr>
        <w:t>orlistat</w:t>
      </w:r>
      <w:proofErr w:type="spellEnd"/>
      <w:r>
        <w:rPr>
          <w:sz w:val="24"/>
          <w:szCs w:val="24"/>
        </w:rPr>
        <w:t xml:space="preserve">, kan nedsætte den </w:t>
      </w:r>
      <w:proofErr w:type="spellStart"/>
      <w:r>
        <w:rPr>
          <w:sz w:val="24"/>
          <w:szCs w:val="24"/>
        </w:rPr>
        <w:t>gastrointestinale</w:t>
      </w:r>
      <w:proofErr w:type="spellEnd"/>
      <w:r>
        <w:rPr>
          <w:sz w:val="24"/>
          <w:szCs w:val="24"/>
        </w:rPr>
        <w:t xml:space="preserve"> absorption af vitamin D.</w:t>
      </w:r>
    </w:p>
    <w:p w:rsidR="007444B2" w:rsidRPr="0054615E" w:rsidRDefault="007444B2" w:rsidP="007444B2">
      <w:pPr>
        <w:ind w:left="851" w:hanging="851"/>
        <w:rPr>
          <w:sz w:val="24"/>
          <w:szCs w:val="24"/>
        </w:rPr>
      </w:pPr>
    </w:p>
    <w:p w:rsidR="007444B2" w:rsidRPr="0054615E" w:rsidRDefault="007444B2" w:rsidP="007444B2">
      <w:pPr>
        <w:ind w:left="851"/>
        <w:rPr>
          <w:sz w:val="24"/>
          <w:szCs w:val="24"/>
        </w:rPr>
      </w:pPr>
      <w:r w:rsidRPr="0054615E">
        <w:rPr>
          <w:sz w:val="24"/>
          <w:szCs w:val="24"/>
        </w:rPr>
        <w:t xml:space="preserve">Det </w:t>
      </w:r>
      <w:proofErr w:type="spellStart"/>
      <w:r w:rsidRPr="0054615E">
        <w:rPr>
          <w:sz w:val="24"/>
          <w:szCs w:val="24"/>
        </w:rPr>
        <w:t>cytotoksiske</w:t>
      </w:r>
      <w:proofErr w:type="spellEnd"/>
      <w:r w:rsidRPr="0054615E">
        <w:rPr>
          <w:sz w:val="24"/>
          <w:szCs w:val="24"/>
        </w:rPr>
        <w:t xml:space="preserve"> middel </w:t>
      </w:r>
      <w:proofErr w:type="spellStart"/>
      <w:r w:rsidRPr="0054615E">
        <w:rPr>
          <w:sz w:val="24"/>
          <w:szCs w:val="24"/>
        </w:rPr>
        <w:t>actinomycin</w:t>
      </w:r>
      <w:proofErr w:type="spellEnd"/>
      <w:r w:rsidRPr="0054615E">
        <w:rPr>
          <w:sz w:val="24"/>
          <w:szCs w:val="24"/>
        </w:rPr>
        <w:t xml:space="preserve"> og </w:t>
      </w:r>
      <w:proofErr w:type="spellStart"/>
      <w:r w:rsidRPr="0054615E">
        <w:rPr>
          <w:sz w:val="24"/>
          <w:szCs w:val="24"/>
        </w:rPr>
        <w:t>antifungale</w:t>
      </w:r>
      <w:proofErr w:type="spellEnd"/>
      <w:r w:rsidRPr="0054615E">
        <w:rPr>
          <w:sz w:val="24"/>
          <w:szCs w:val="24"/>
        </w:rPr>
        <w:t xml:space="preserve"> midler (</w:t>
      </w:r>
      <w:proofErr w:type="spellStart"/>
      <w:r w:rsidRPr="0054615E">
        <w:rPr>
          <w:sz w:val="24"/>
          <w:szCs w:val="24"/>
        </w:rPr>
        <w:t>imidazoler</w:t>
      </w:r>
      <w:proofErr w:type="spellEnd"/>
      <w:r w:rsidRPr="0054615E">
        <w:rPr>
          <w:sz w:val="24"/>
          <w:szCs w:val="24"/>
        </w:rPr>
        <w:t>) interfererer med vitamin D-aktiviteten ved at inhibere omdannelse af 25-hydroxyvitamin D til 1,25-dihydroxyvitamin D af nyreenzymet 25-hydroxyvitamin D-1-hydroxylase.</w:t>
      </w:r>
    </w:p>
    <w:p w:rsidR="007444B2" w:rsidRPr="0054615E" w:rsidRDefault="007444B2" w:rsidP="007444B2">
      <w:pPr>
        <w:ind w:left="851" w:hanging="851"/>
        <w:rPr>
          <w:sz w:val="24"/>
          <w:szCs w:val="24"/>
        </w:rPr>
      </w:pPr>
    </w:p>
    <w:p w:rsidR="007444B2" w:rsidRPr="0054615E" w:rsidRDefault="007444B2" w:rsidP="007444B2">
      <w:pPr>
        <w:ind w:left="851"/>
        <w:rPr>
          <w:sz w:val="24"/>
          <w:szCs w:val="24"/>
        </w:rPr>
      </w:pPr>
      <w:proofErr w:type="spellStart"/>
      <w:r w:rsidRPr="0054615E">
        <w:rPr>
          <w:sz w:val="24"/>
          <w:szCs w:val="24"/>
        </w:rPr>
        <w:t>Ketoconazol</w:t>
      </w:r>
      <w:proofErr w:type="spellEnd"/>
      <w:r w:rsidRPr="0054615E">
        <w:rPr>
          <w:sz w:val="24"/>
          <w:szCs w:val="24"/>
        </w:rPr>
        <w:t xml:space="preserve"> kan hæmme både syntetiske og </w:t>
      </w:r>
      <w:proofErr w:type="spellStart"/>
      <w:r w:rsidRPr="0054615E">
        <w:rPr>
          <w:sz w:val="24"/>
          <w:szCs w:val="24"/>
        </w:rPr>
        <w:t>kataboliske</w:t>
      </w:r>
      <w:proofErr w:type="spellEnd"/>
      <w:r w:rsidRPr="0054615E">
        <w:rPr>
          <w:sz w:val="24"/>
          <w:szCs w:val="24"/>
        </w:rPr>
        <w:t xml:space="preserve"> enzymer af vitamin D. Reduktioner i endogene koncentrationer af serum-vitamin D er blevet observeret efter administration af 300 mg/dag til 1200 mg/dag </w:t>
      </w:r>
      <w:proofErr w:type="spellStart"/>
      <w:r w:rsidRPr="0054615E">
        <w:rPr>
          <w:sz w:val="24"/>
          <w:szCs w:val="24"/>
        </w:rPr>
        <w:t>ketoconazol</w:t>
      </w:r>
      <w:proofErr w:type="spellEnd"/>
      <w:r w:rsidRPr="0054615E">
        <w:rPr>
          <w:sz w:val="24"/>
          <w:szCs w:val="24"/>
        </w:rPr>
        <w:t xml:space="preserve"> i en uge til raske mænd. Men </w:t>
      </w:r>
      <w:r w:rsidRPr="0054615E">
        <w:rPr>
          <w:i/>
          <w:sz w:val="24"/>
          <w:szCs w:val="24"/>
        </w:rPr>
        <w:t xml:space="preserve">in </w:t>
      </w:r>
      <w:proofErr w:type="spellStart"/>
      <w:r w:rsidRPr="0054615E">
        <w:rPr>
          <w:i/>
          <w:sz w:val="24"/>
          <w:szCs w:val="24"/>
        </w:rPr>
        <w:t>vivo</w:t>
      </w:r>
      <w:proofErr w:type="spellEnd"/>
      <w:r w:rsidRPr="0054615E">
        <w:rPr>
          <w:sz w:val="24"/>
          <w:szCs w:val="24"/>
        </w:rPr>
        <w:t xml:space="preserve"> interaktionsundersøgelser af </w:t>
      </w:r>
      <w:proofErr w:type="spellStart"/>
      <w:r w:rsidRPr="0054615E">
        <w:rPr>
          <w:sz w:val="24"/>
          <w:szCs w:val="24"/>
        </w:rPr>
        <w:t>ketoconazol</w:t>
      </w:r>
      <w:proofErr w:type="spellEnd"/>
      <w:r w:rsidRPr="0054615E">
        <w:rPr>
          <w:sz w:val="24"/>
          <w:szCs w:val="24"/>
        </w:rPr>
        <w:t xml:space="preserve"> med vitamin D er ikke undersøgt.</w:t>
      </w:r>
    </w:p>
    <w:p w:rsidR="007444B2" w:rsidRPr="0054615E" w:rsidRDefault="007444B2" w:rsidP="007444B2">
      <w:pPr>
        <w:ind w:left="851" w:hanging="851"/>
        <w:rPr>
          <w:sz w:val="24"/>
          <w:szCs w:val="24"/>
        </w:rPr>
      </w:pPr>
    </w:p>
    <w:p w:rsidR="008A36E4" w:rsidRPr="0054615E" w:rsidRDefault="007444B2" w:rsidP="008A36E4">
      <w:pPr>
        <w:ind w:left="851" w:hanging="851"/>
        <w:rPr>
          <w:b/>
          <w:sz w:val="24"/>
          <w:szCs w:val="24"/>
        </w:rPr>
      </w:pPr>
      <w:r w:rsidRPr="0054615E">
        <w:rPr>
          <w:b/>
          <w:sz w:val="24"/>
          <w:szCs w:val="24"/>
        </w:rPr>
        <w:t>4.6</w:t>
      </w:r>
      <w:r w:rsidRPr="0054615E">
        <w:rPr>
          <w:b/>
          <w:sz w:val="24"/>
          <w:szCs w:val="24"/>
        </w:rPr>
        <w:tab/>
        <w:t>Graviditet og amning</w:t>
      </w:r>
    </w:p>
    <w:p w:rsidR="007444B2" w:rsidRDefault="007444B2" w:rsidP="007444B2">
      <w:pPr>
        <w:ind w:left="851" w:hanging="851"/>
        <w:rPr>
          <w:noProof/>
          <w:sz w:val="24"/>
          <w:szCs w:val="24"/>
          <w:u w:val="single"/>
        </w:rPr>
      </w:pPr>
    </w:p>
    <w:p w:rsidR="008A36E4" w:rsidRPr="008A36E4" w:rsidRDefault="008A36E4" w:rsidP="008A36E4">
      <w:pPr>
        <w:ind w:left="851"/>
        <w:rPr>
          <w:bCs/>
          <w:sz w:val="24"/>
          <w:szCs w:val="24"/>
        </w:rPr>
      </w:pPr>
      <w:r>
        <w:rPr>
          <w:bCs/>
          <w:sz w:val="24"/>
          <w:szCs w:val="24"/>
        </w:rPr>
        <w:t xml:space="preserve">Under graviditet og amning er tilstrækkeligt vitamin D indtag nødvendigt. Anbefalet dagligt indtag af vitamin D under graviditet og amning følger nationale/europæiske retningslinjer og er omkring 600 IE. </w:t>
      </w:r>
    </w:p>
    <w:p w:rsidR="008A36E4" w:rsidRDefault="008A36E4" w:rsidP="007444B2">
      <w:pPr>
        <w:ind w:left="851"/>
        <w:rPr>
          <w:noProof/>
          <w:sz w:val="24"/>
          <w:szCs w:val="24"/>
          <w:u w:val="single"/>
        </w:rPr>
      </w:pPr>
    </w:p>
    <w:p w:rsidR="007444B2" w:rsidRPr="0054615E" w:rsidRDefault="007444B2" w:rsidP="007444B2">
      <w:pPr>
        <w:ind w:left="851"/>
        <w:rPr>
          <w:noProof/>
          <w:sz w:val="24"/>
          <w:szCs w:val="24"/>
          <w:u w:val="single"/>
        </w:rPr>
      </w:pPr>
      <w:r w:rsidRPr="0054615E">
        <w:rPr>
          <w:noProof/>
          <w:sz w:val="24"/>
          <w:szCs w:val="24"/>
          <w:u w:val="single"/>
        </w:rPr>
        <w:t>Graviditet</w:t>
      </w:r>
    </w:p>
    <w:p w:rsidR="008A36E4" w:rsidRDefault="008A36E4" w:rsidP="008A36E4">
      <w:pPr>
        <w:ind w:left="851"/>
        <w:rPr>
          <w:noProof/>
          <w:sz w:val="24"/>
          <w:szCs w:val="24"/>
        </w:rPr>
      </w:pPr>
      <w:r>
        <w:rPr>
          <w:noProof/>
          <w:sz w:val="24"/>
          <w:szCs w:val="24"/>
        </w:rPr>
        <w:t>Daglige doser over 600 IE bør kun tages når det er strengt indikeret og er absolut nødvendigt for at korrigere D-vitaminmangel. Under graviditet bør det daglige indtag ikke overskride 4.000 IE vitamin D.</w:t>
      </w:r>
      <w:r>
        <w:rPr>
          <w:noProof/>
          <w:sz w:val="24"/>
          <w:szCs w:val="24"/>
        </w:rPr>
        <w:t xml:space="preserve"> </w:t>
      </w:r>
      <w:r w:rsidR="007444B2" w:rsidRPr="0054615E">
        <w:rPr>
          <w:noProof/>
          <w:sz w:val="24"/>
          <w:szCs w:val="24"/>
        </w:rPr>
        <w:t xml:space="preserve">Overdosis af vitamin D skal undgås under graviditet, da </w:t>
      </w:r>
      <w:r w:rsidR="007444B2" w:rsidRPr="0054615E">
        <w:rPr>
          <w:noProof/>
          <w:sz w:val="24"/>
          <w:szCs w:val="24"/>
        </w:rPr>
        <w:lastRenderedPageBreak/>
        <w:t>langvarig hypercalcæmi kan føre til fysisk og mental retardering, supravalvulær aortastenose og retinopati af barnet.</w:t>
      </w:r>
      <w:r w:rsidRPr="008A36E4">
        <w:rPr>
          <w:noProof/>
          <w:sz w:val="24"/>
          <w:szCs w:val="24"/>
        </w:rPr>
        <w:t xml:space="preserve"> </w:t>
      </w:r>
      <w:r>
        <w:rPr>
          <w:noProof/>
          <w:sz w:val="24"/>
          <w:szCs w:val="24"/>
        </w:rPr>
        <w:t>Der er ingen indikationer på at vitamin D i terapeutiske doser er teratogent hos mennesker. Dyreforsøg har vist reproduktivtoksitet ved høje doser af vitamin D (se pkt. 5.3).</w:t>
      </w:r>
    </w:p>
    <w:p w:rsidR="007444B2" w:rsidRPr="0054615E" w:rsidRDefault="007444B2" w:rsidP="008A36E4">
      <w:pPr>
        <w:ind w:left="851"/>
        <w:rPr>
          <w:noProof/>
          <w:sz w:val="24"/>
          <w:szCs w:val="24"/>
        </w:rPr>
      </w:pPr>
    </w:p>
    <w:p w:rsidR="007444B2" w:rsidRPr="0054615E" w:rsidRDefault="007444B2" w:rsidP="008A36E4">
      <w:pPr>
        <w:ind w:firstLine="851"/>
        <w:rPr>
          <w:noProof/>
          <w:sz w:val="24"/>
          <w:szCs w:val="24"/>
          <w:u w:val="single"/>
        </w:rPr>
      </w:pPr>
      <w:r w:rsidRPr="0054615E">
        <w:rPr>
          <w:noProof/>
          <w:sz w:val="24"/>
          <w:szCs w:val="24"/>
          <w:u w:val="single"/>
        </w:rPr>
        <w:t>Amning</w:t>
      </w:r>
    </w:p>
    <w:p w:rsidR="008A36E4" w:rsidRDefault="008A36E4" w:rsidP="008A36E4">
      <w:pPr>
        <w:ind w:left="851"/>
        <w:rPr>
          <w:noProof/>
          <w:sz w:val="24"/>
          <w:szCs w:val="24"/>
        </w:rPr>
      </w:pPr>
      <w:r>
        <w:rPr>
          <w:noProof/>
          <w:sz w:val="24"/>
          <w:szCs w:val="24"/>
        </w:rPr>
        <w:t xml:space="preserve">Fultium kan anvendes under amning i tilfælde af vitamin D mangel. Vitamin D og dets metaboliter går over i modermælken. Dette bør vurderes når der gives ekstra vitamin d til barnet.  </w:t>
      </w:r>
    </w:p>
    <w:p w:rsidR="008A36E4" w:rsidRDefault="008A36E4" w:rsidP="007444B2">
      <w:pPr>
        <w:ind w:left="851"/>
        <w:rPr>
          <w:noProof/>
          <w:sz w:val="24"/>
          <w:szCs w:val="24"/>
          <w:u w:val="single"/>
        </w:rPr>
      </w:pPr>
    </w:p>
    <w:p w:rsidR="007444B2" w:rsidRPr="0054615E" w:rsidRDefault="007444B2" w:rsidP="007444B2">
      <w:pPr>
        <w:ind w:left="851"/>
        <w:rPr>
          <w:noProof/>
          <w:sz w:val="24"/>
          <w:szCs w:val="24"/>
          <w:u w:val="single"/>
        </w:rPr>
      </w:pPr>
      <w:r w:rsidRPr="0054615E">
        <w:rPr>
          <w:noProof/>
          <w:sz w:val="24"/>
          <w:szCs w:val="24"/>
          <w:u w:val="single"/>
        </w:rPr>
        <w:t>Fertilitet</w:t>
      </w:r>
    </w:p>
    <w:p w:rsidR="008A36E4" w:rsidRDefault="008A36E4" w:rsidP="008A36E4">
      <w:pPr>
        <w:ind w:left="851"/>
        <w:rPr>
          <w:noProof/>
          <w:sz w:val="24"/>
          <w:szCs w:val="24"/>
        </w:rPr>
      </w:pPr>
      <w:r>
        <w:rPr>
          <w:noProof/>
          <w:sz w:val="24"/>
          <w:szCs w:val="24"/>
        </w:rPr>
        <w:t>Normale endogene niveauer af vitamin D forventes ikke at have nogen bivirkninger på fertiliteten. Effekten af høje doser vitamin D på fertiliteen er ukendt.</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4.7</w:t>
      </w:r>
      <w:r w:rsidRPr="0054615E">
        <w:rPr>
          <w:b/>
          <w:sz w:val="24"/>
          <w:szCs w:val="24"/>
        </w:rPr>
        <w:tab/>
        <w:t>Virkninger på evnen til at føre motorkøretøj eller betjene maskiner</w:t>
      </w:r>
    </w:p>
    <w:p w:rsidR="007444B2" w:rsidRPr="0054615E" w:rsidRDefault="007444B2" w:rsidP="007444B2">
      <w:pPr>
        <w:ind w:left="851"/>
        <w:rPr>
          <w:sz w:val="24"/>
          <w:szCs w:val="24"/>
        </w:rPr>
      </w:pPr>
      <w:r w:rsidRPr="0054615E">
        <w:rPr>
          <w:sz w:val="24"/>
          <w:szCs w:val="24"/>
        </w:rPr>
        <w:t>Der er ingen data om virkningen af dette produkt på evnen til at føre motorkøretøj. En sådan effekt er dog højst usandsynlig.</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4.8</w:t>
      </w:r>
      <w:r w:rsidRPr="0054615E">
        <w:rPr>
          <w:b/>
          <w:sz w:val="24"/>
          <w:szCs w:val="24"/>
        </w:rPr>
        <w:tab/>
        <w:t>Bivirkninger</w:t>
      </w:r>
    </w:p>
    <w:p w:rsidR="007444B2" w:rsidRPr="0054615E" w:rsidRDefault="007444B2" w:rsidP="007444B2">
      <w:pPr>
        <w:ind w:left="851"/>
        <w:rPr>
          <w:noProof/>
          <w:sz w:val="24"/>
          <w:szCs w:val="24"/>
        </w:rPr>
      </w:pPr>
      <w:r w:rsidRPr="0054615E">
        <w:rPr>
          <w:noProof/>
          <w:sz w:val="24"/>
          <w:szCs w:val="24"/>
        </w:rPr>
        <w:t>Bivirkninger er anført nedenfor efter systemorganklasse og hyppighed. H</w:t>
      </w:r>
      <w:r>
        <w:rPr>
          <w:noProof/>
          <w:sz w:val="24"/>
          <w:szCs w:val="24"/>
        </w:rPr>
        <w:t>yppighederne er defineret som: I</w:t>
      </w:r>
      <w:r w:rsidRPr="0054615E">
        <w:rPr>
          <w:noProof/>
          <w:sz w:val="24"/>
          <w:szCs w:val="24"/>
        </w:rPr>
        <w:t>kke almindelig (&gt;1/1.000, &lt;1/100) eller sjældne (&gt;1/10.000, &lt;1/1.000).</w:t>
      </w:r>
    </w:p>
    <w:p w:rsidR="007444B2" w:rsidRPr="0054615E" w:rsidRDefault="007444B2" w:rsidP="007444B2">
      <w:pPr>
        <w:ind w:left="851" w:hanging="851"/>
        <w:rPr>
          <w:noProof/>
          <w:sz w:val="24"/>
          <w:szCs w:val="24"/>
        </w:rPr>
      </w:pPr>
    </w:p>
    <w:p w:rsidR="007444B2" w:rsidRPr="0054615E" w:rsidRDefault="007444B2" w:rsidP="007444B2">
      <w:pPr>
        <w:ind w:left="851"/>
        <w:rPr>
          <w:i/>
          <w:noProof/>
          <w:sz w:val="24"/>
          <w:szCs w:val="24"/>
        </w:rPr>
      </w:pPr>
      <w:r w:rsidRPr="0054615E">
        <w:rPr>
          <w:i/>
          <w:noProof/>
          <w:sz w:val="24"/>
          <w:szCs w:val="24"/>
        </w:rPr>
        <w:t>Metabolisme og ernæring</w:t>
      </w:r>
    </w:p>
    <w:p w:rsidR="007444B2" w:rsidRPr="0054615E" w:rsidRDefault="007444B2" w:rsidP="007444B2">
      <w:pPr>
        <w:ind w:left="851"/>
        <w:rPr>
          <w:noProof/>
          <w:sz w:val="24"/>
          <w:szCs w:val="24"/>
        </w:rPr>
      </w:pPr>
      <w:r w:rsidRPr="0054615E">
        <w:rPr>
          <w:noProof/>
          <w:sz w:val="24"/>
          <w:szCs w:val="24"/>
        </w:rPr>
        <w:t>Ikke almindelig: Hypercalcæmi og hypercalcuri.</w:t>
      </w:r>
    </w:p>
    <w:p w:rsidR="007444B2" w:rsidRPr="0054615E" w:rsidRDefault="007444B2" w:rsidP="007444B2">
      <w:pPr>
        <w:ind w:left="851"/>
        <w:rPr>
          <w:noProof/>
          <w:sz w:val="24"/>
          <w:szCs w:val="24"/>
        </w:rPr>
      </w:pPr>
    </w:p>
    <w:p w:rsidR="007444B2" w:rsidRPr="0054615E" w:rsidRDefault="007444B2" w:rsidP="007444B2">
      <w:pPr>
        <w:ind w:left="851"/>
        <w:rPr>
          <w:i/>
          <w:noProof/>
          <w:sz w:val="24"/>
          <w:szCs w:val="24"/>
        </w:rPr>
      </w:pPr>
      <w:r w:rsidRPr="0054615E">
        <w:rPr>
          <w:i/>
          <w:noProof/>
          <w:sz w:val="24"/>
          <w:szCs w:val="24"/>
        </w:rPr>
        <w:t>Hud og subkutane væv</w:t>
      </w:r>
    </w:p>
    <w:p w:rsidR="007444B2" w:rsidRPr="0054615E" w:rsidRDefault="007444B2" w:rsidP="007444B2">
      <w:pPr>
        <w:ind w:left="851"/>
        <w:rPr>
          <w:noProof/>
          <w:sz w:val="24"/>
          <w:szCs w:val="24"/>
        </w:rPr>
      </w:pPr>
      <w:r w:rsidRPr="0054615E">
        <w:rPr>
          <w:noProof/>
          <w:sz w:val="24"/>
          <w:szCs w:val="24"/>
        </w:rPr>
        <w:t>Sjælden: Pruritus, udslæt og urticaria.</w:t>
      </w:r>
    </w:p>
    <w:p w:rsidR="007444B2" w:rsidRPr="0054615E" w:rsidRDefault="007444B2" w:rsidP="007444B2">
      <w:pPr>
        <w:ind w:left="851"/>
        <w:rPr>
          <w:i/>
          <w:noProof/>
          <w:sz w:val="24"/>
          <w:szCs w:val="24"/>
        </w:rPr>
      </w:pPr>
    </w:p>
    <w:p w:rsidR="007444B2" w:rsidRPr="008F49E1" w:rsidRDefault="007444B2" w:rsidP="007444B2">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444B2" w:rsidRPr="008F49E1" w:rsidRDefault="007444B2" w:rsidP="007444B2">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-forholdet for lægemidlet. Læger og sundhedspersonale anmodes om at indberette alle formodede bivirkninger via:</w:t>
      </w:r>
    </w:p>
    <w:p w:rsidR="007444B2" w:rsidRPr="008F49E1" w:rsidRDefault="007444B2" w:rsidP="007444B2">
      <w:pPr>
        <w:ind w:left="851"/>
        <w:rPr>
          <w:sz w:val="24"/>
          <w:szCs w:val="24"/>
          <w:lang w:eastAsia="da-DK"/>
        </w:rPr>
      </w:pPr>
    </w:p>
    <w:p w:rsidR="007444B2" w:rsidRPr="007A276A" w:rsidRDefault="007444B2" w:rsidP="007444B2">
      <w:pPr>
        <w:ind w:left="851"/>
        <w:rPr>
          <w:sz w:val="24"/>
          <w:szCs w:val="24"/>
          <w:lang w:eastAsia="da-DK"/>
        </w:rPr>
      </w:pPr>
      <w:r w:rsidRPr="007A276A">
        <w:rPr>
          <w:sz w:val="24"/>
          <w:szCs w:val="24"/>
          <w:lang w:eastAsia="da-DK"/>
        </w:rPr>
        <w:t>Lægemiddelstyrelsen</w:t>
      </w:r>
    </w:p>
    <w:p w:rsidR="007444B2" w:rsidRPr="007A276A" w:rsidRDefault="007444B2" w:rsidP="007444B2">
      <w:pPr>
        <w:ind w:left="851"/>
        <w:rPr>
          <w:sz w:val="24"/>
          <w:szCs w:val="24"/>
          <w:lang w:eastAsia="da-DK"/>
        </w:rPr>
      </w:pPr>
      <w:r w:rsidRPr="007A276A">
        <w:rPr>
          <w:sz w:val="24"/>
          <w:szCs w:val="24"/>
          <w:lang w:eastAsia="da-DK"/>
        </w:rPr>
        <w:t>Axel Heides Gade 1</w:t>
      </w:r>
    </w:p>
    <w:p w:rsidR="007444B2" w:rsidRPr="007A276A" w:rsidRDefault="007444B2" w:rsidP="007444B2">
      <w:pPr>
        <w:ind w:left="851"/>
        <w:rPr>
          <w:sz w:val="24"/>
          <w:szCs w:val="24"/>
          <w:lang w:eastAsia="da-DK"/>
        </w:rPr>
      </w:pPr>
      <w:r w:rsidRPr="007A276A">
        <w:rPr>
          <w:sz w:val="24"/>
          <w:szCs w:val="24"/>
          <w:lang w:eastAsia="da-DK"/>
        </w:rPr>
        <w:t>DK-2300 København S</w:t>
      </w:r>
    </w:p>
    <w:p w:rsidR="007444B2" w:rsidRPr="008A36E4" w:rsidRDefault="007444B2" w:rsidP="007444B2">
      <w:pPr>
        <w:ind w:left="851"/>
        <w:rPr>
          <w:sz w:val="24"/>
          <w:szCs w:val="24"/>
          <w:lang w:eastAsia="da-DK"/>
        </w:rPr>
      </w:pPr>
      <w:r w:rsidRPr="008A36E4">
        <w:rPr>
          <w:sz w:val="24"/>
          <w:szCs w:val="24"/>
          <w:lang w:eastAsia="da-DK"/>
        </w:rPr>
        <w:t xml:space="preserve">Websted: </w:t>
      </w:r>
      <w:r w:rsidRPr="008A36E4">
        <w:rPr>
          <w:sz w:val="24"/>
          <w:lang w:eastAsia="da-DK"/>
        </w:rPr>
        <w:t>www.meldenbivirkning.dk</w:t>
      </w:r>
    </w:p>
    <w:p w:rsidR="007444B2" w:rsidRPr="008A36E4" w:rsidRDefault="007444B2" w:rsidP="007444B2">
      <w:pPr>
        <w:pStyle w:val="Sidehoved"/>
        <w:tabs>
          <w:tab w:val="clear" w:pos="4819"/>
          <w:tab w:val="clear" w:pos="9638"/>
        </w:tabs>
        <w:ind w:left="851" w:hanging="851"/>
        <w:rPr>
          <w:szCs w:val="24"/>
        </w:rPr>
      </w:pPr>
    </w:p>
    <w:p w:rsidR="007444B2" w:rsidRPr="0054615E" w:rsidRDefault="007444B2" w:rsidP="007444B2">
      <w:pPr>
        <w:ind w:left="851" w:hanging="851"/>
        <w:rPr>
          <w:b/>
          <w:sz w:val="24"/>
          <w:szCs w:val="24"/>
        </w:rPr>
      </w:pPr>
      <w:r w:rsidRPr="0054615E">
        <w:rPr>
          <w:b/>
          <w:sz w:val="24"/>
          <w:szCs w:val="24"/>
        </w:rPr>
        <w:t>4.9</w:t>
      </w:r>
      <w:r w:rsidRPr="0054615E">
        <w:rPr>
          <w:b/>
          <w:sz w:val="24"/>
          <w:szCs w:val="24"/>
        </w:rPr>
        <w:tab/>
        <w:t>Overdosering</w:t>
      </w:r>
    </w:p>
    <w:p w:rsidR="007444B2" w:rsidRPr="0054615E" w:rsidRDefault="007444B2" w:rsidP="007444B2">
      <w:pPr>
        <w:pStyle w:val="Ingenafstand"/>
        <w:ind w:left="851"/>
        <w:rPr>
          <w:sz w:val="24"/>
          <w:szCs w:val="24"/>
        </w:rPr>
      </w:pPr>
      <w:r w:rsidRPr="0054615E">
        <w:rPr>
          <w:sz w:val="24"/>
          <w:szCs w:val="24"/>
        </w:rPr>
        <w:t xml:space="preserve">Den alvorligste konsekvens af akut eller kronisk overdosering er </w:t>
      </w:r>
      <w:proofErr w:type="spellStart"/>
      <w:r w:rsidRPr="0054615E">
        <w:rPr>
          <w:sz w:val="24"/>
          <w:szCs w:val="24"/>
        </w:rPr>
        <w:t>hypercalcæmi</w:t>
      </w:r>
      <w:proofErr w:type="spellEnd"/>
      <w:r w:rsidRPr="0054615E">
        <w:rPr>
          <w:sz w:val="24"/>
          <w:szCs w:val="24"/>
        </w:rPr>
        <w:t xml:space="preserve">, som skyldes vitamin D toksicitet. Symptomerne kan omfatte kvalme, opkastning, </w:t>
      </w:r>
      <w:proofErr w:type="spellStart"/>
      <w:r w:rsidRPr="0054615E">
        <w:rPr>
          <w:sz w:val="24"/>
          <w:szCs w:val="24"/>
        </w:rPr>
        <w:t>polyuri</w:t>
      </w:r>
      <w:proofErr w:type="spellEnd"/>
      <w:r w:rsidRPr="0054615E">
        <w:rPr>
          <w:sz w:val="24"/>
          <w:szCs w:val="24"/>
        </w:rPr>
        <w:t xml:space="preserve">, anoreksi, svaghed, apati, tørst og forstoppelse. Kroniske overdoseringer kan føre til </w:t>
      </w:r>
      <w:proofErr w:type="spellStart"/>
      <w:r w:rsidRPr="0054615E">
        <w:rPr>
          <w:sz w:val="24"/>
          <w:szCs w:val="24"/>
        </w:rPr>
        <w:t>vaskulær</w:t>
      </w:r>
      <w:proofErr w:type="spellEnd"/>
      <w:r w:rsidRPr="0054615E">
        <w:rPr>
          <w:sz w:val="24"/>
          <w:szCs w:val="24"/>
        </w:rPr>
        <w:t xml:space="preserve"> og </w:t>
      </w:r>
      <w:proofErr w:type="spellStart"/>
      <w:r w:rsidRPr="0054615E">
        <w:rPr>
          <w:sz w:val="24"/>
          <w:szCs w:val="24"/>
        </w:rPr>
        <w:t>organkalcifikation</w:t>
      </w:r>
      <w:proofErr w:type="spellEnd"/>
      <w:r w:rsidRPr="0054615E">
        <w:rPr>
          <w:sz w:val="24"/>
          <w:szCs w:val="24"/>
        </w:rPr>
        <w:t xml:space="preserve"> som følge af </w:t>
      </w:r>
      <w:proofErr w:type="spellStart"/>
      <w:r w:rsidRPr="0054615E">
        <w:rPr>
          <w:sz w:val="24"/>
          <w:szCs w:val="24"/>
        </w:rPr>
        <w:t>hypercalcæmi</w:t>
      </w:r>
      <w:proofErr w:type="spellEnd"/>
      <w:r w:rsidRPr="0054615E">
        <w:rPr>
          <w:sz w:val="24"/>
          <w:szCs w:val="24"/>
        </w:rPr>
        <w:t>.</w:t>
      </w:r>
    </w:p>
    <w:p w:rsidR="008A36E4" w:rsidRDefault="008A36E4" w:rsidP="007444B2">
      <w:pPr>
        <w:pStyle w:val="Ingenafstand"/>
        <w:ind w:left="851"/>
        <w:rPr>
          <w:sz w:val="24"/>
          <w:szCs w:val="24"/>
        </w:rPr>
      </w:pPr>
    </w:p>
    <w:p w:rsidR="007444B2" w:rsidRDefault="007444B2" w:rsidP="007444B2">
      <w:pPr>
        <w:pStyle w:val="Ingenafstand"/>
        <w:ind w:left="851"/>
        <w:rPr>
          <w:sz w:val="24"/>
          <w:szCs w:val="24"/>
        </w:rPr>
      </w:pPr>
      <w:r w:rsidRPr="0054615E">
        <w:rPr>
          <w:sz w:val="24"/>
          <w:szCs w:val="24"/>
        </w:rPr>
        <w:t xml:space="preserve">Behandlingen bør bestå i at standse al indtagelse af vitamin D samt </w:t>
      </w:r>
      <w:proofErr w:type="spellStart"/>
      <w:r w:rsidRPr="0054615E">
        <w:rPr>
          <w:sz w:val="24"/>
          <w:szCs w:val="24"/>
        </w:rPr>
        <w:t>rehydrering</w:t>
      </w:r>
      <w:proofErr w:type="spellEnd"/>
      <w:r w:rsidRPr="0054615E">
        <w:rPr>
          <w:sz w:val="24"/>
          <w:szCs w:val="24"/>
        </w:rPr>
        <w:t>.</w:t>
      </w:r>
    </w:p>
    <w:p w:rsidR="008A36E4" w:rsidRDefault="008A36E4" w:rsidP="007444B2">
      <w:pPr>
        <w:pStyle w:val="Ingenafstand"/>
        <w:ind w:left="851"/>
        <w:rPr>
          <w:sz w:val="24"/>
          <w:szCs w:val="24"/>
        </w:rPr>
      </w:pPr>
    </w:p>
    <w:p w:rsidR="008A36E4" w:rsidRPr="0054615E" w:rsidRDefault="008A36E4" w:rsidP="007444B2">
      <w:pPr>
        <w:pStyle w:val="Ingenafstand"/>
        <w:ind w:left="851"/>
        <w:rPr>
          <w:sz w:val="24"/>
          <w:szCs w:val="24"/>
        </w:rPr>
      </w:pPr>
      <w:r w:rsidRPr="008A36E4">
        <w:rPr>
          <w:sz w:val="24"/>
          <w:szCs w:val="24"/>
        </w:rPr>
        <w:t xml:space="preserve">I alvorlige tilfælde kan hæmodialyse (med calciumfri-dialysevæske) være nødvendigt.  </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4.10</w:t>
      </w:r>
      <w:r w:rsidRPr="0054615E">
        <w:rPr>
          <w:b/>
          <w:sz w:val="24"/>
          <w:szCs w:val="24"/>
        </w:rPr>
        <w:tab/>
        <w:t>Udlevering</w:t>
      </w:r>
    </w:p>
    <w:p w:rsidR="007444B2" w:rsidRPr="0054615E" w:rsidRDefault="007444B2" w:rsidP="007444B2">
      <w:pPr>
        <w:ind w:left="851"/>
        <w:rPr>
          <w:sz w:val="24"/>
          <w:szCs w:val="24"/>
        </w:rPr>
      </w:pPr>
      <w:r>
        <w:rPr>
          <w:sz w:val="24"/>
          <w:szCs w:val="24"/>
        </w:rPr>
        <w:t>B</w:t>
      </w:r>
    </w:p>
    <w:p w:rsidR="007444B2" w:rsidRPr="0054615E" w:rsidRDefault="007444B2" w:rsidP="007444B2">
      <w:pPr>
        <w:ind w:left="851" w:hanging="851"/>
        <w:rPr>
          <w:sz w:val="24"/>
          <w:szCs w:val="24"/>
        </w:rPr>
      </w:pP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5.</w:t>
      </w:r>
      <w:r w:rsidRPr="0054615E">
        <w:rPr>
          <w:b/>
          <w:sz w:val="24"/>
          <w:szCs w:val="24"/>
        </w:rPr>
        <w:tab/>
        <w:t>FARMAKOLOGISKE EGENSKABER</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5.0</w:t>
      </w:r>
      <w:r w:rsidRPr="0054615E">
        <w:rPr>
          <w:b/>
          <w:sz w:val="24"/>
          <w:szCs w:val="24"/>
        </w:rPr>
        <w:tab/>
        <w:t>Terapeutisk klassifikation</w:t>
      </w:r>
    </w:p>
    <w:p w:rsidR="007444B2" w:rsidRPr="0054615E" w:rsidRDefault="007444B2" w:rsidP="007444B2">
      <w:pPr>
        <w:suppressAutoHyphens/>
        <w:ind w:left="851"/>
        <w:rPr>
          <w:sz w:val="24"/>
          <w:szCs w:val="24"/>
        </w:rPr>
      </w:pPr>
      <w:r w:rsidRPr="0054615E">
        <w:rPr>
          <w:sz w:val="24"/>
          <w:szCs w:val="24"/>
        </w:rPr>
        <w:t>ATC-kode: A</w:t>
      </w:r>
      <w:r>
        <w:rPr>
          <w:sz w:val="24"/>
          <w:szCs w:val="24"/>
        </w:rPr>
        <w:t xml:space="preserve"> </w:t>
      </w:r>
      <w:r w:rsidRPr="0054615E">
        <w:rPr>
          <w:sz w:val="24"/>
          <w:szCs w:val="24"/>
        </w:rPr>
        <w:t>11</w:t>
      </w:r>
      <w:r>
        <w:rPr>
          <w:sz w:val="24"/>
          <w:szCs w:val="24"/>
        </w:rPr>
        <w:t xml:space="preserve"> </w:t>
      </w:r>
      <w:r w:rsidRPr="0054615E">
        <w:rPr>
          <w:sz w:val="24"/>
          <w:szCs w:val="24"/>
        </w:rPr>
        <w:t>CC</w:t>
      </w:r>
      <w:r>
        <w:rPr>
          <w:sz w:val="24"/>
          <w:szCs w:val="24"/>
        </w:rPr>
        <w:t xml:space="preserve"> </w:t>
      </w:r>
      <w:r w:rsidRPr="0054615E">
        <w:rPr>
          <w:sz w:val="24"/>
          <w:szCs w:val="24"/>
        </w:rPr>
        <w:t xml:space="preserve">05. Vitamin D og </w:t>
      </w:r>
      <w:proofErr w:type="spellStart"/>
      <w:r w:rsidRPr="0054615E">
        <w:rPr>
          <w:sz w:val="24"/>
          <w:szCs w:val="24"/>
        </w:rPr>
        <w:t>analoger</w:t>
      </w:r>
      <w:proofErr w:type="spellEnd"/>
      <w:r w:rsidRPr="0054615E">
        <w:rPr>
          <w:sz w:val="24"/>
          <w:szCs w:val="24"/>
        </w:rPr>
        <w:t>.</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5.1</w:t>
      </w:r>
      <w:r w:rsidRPr="0054615E">
        <w:rPr>
          <w:b/>
          <w:sz w:val="24"/>
          <w:szCs w:val="24"/>
        </w:rPr>
        <w:tab/>
      </w:r>
      <w:proofErr w:type="spellStart"/>
      <w:r w:rsidRPr="0054615E">
        <w:rPr>
          <w:b/>
          <w:sz w:val="24"/>
          <w:szCs w:val="24"/>
        </w:rPr>
        <w:t>Farmakodynamiske</w:t>
      </w:r>
      <w:proofErr w:type="spellEnd"/>
      <w:r w:rsidRPr="0054615E">
        <w:rPr>
          <w:b/>
          <w:sz w:val="24"/>
          <w:szCs w:val="24"/>
        </w:rPr>
        <w:t xml:space="preserve"> egenskaber</w:t>
      </w:r>
    </w:p>
    <w:p w:rsidR="007444B2" w:rsidRPr="0054615E" w:rsidRDefault="007444B2" w:rsidP="007444B2">
      <w:pPr>
        <w:ind w:left="851"/>
        <w:rPr>
          <w:sz w:val="24"/>
          <w:szCs w:val="24"/>
        </w:rPr>
      </w:pPr>
      <w:r w:rsidRPr="0054615E">
        <w:rPr>
          <w:sz w:val="24"/>
          <w:szCs w:val="24"/>
        </w:rPr>
        <w:t>I sin biologisk aktive form stimulerer vitamin D</w:t>
      </w:r>
      <w:r w:rsidRPr="0054615E">
        <w:rPr>
          <w:sz w:val="24"/>
          <w:szCs w:val="24"/>
          <w:vertAlign w:val="subscript"/>
        </w:rPr>
        <w:t>3</w:t>
      </w:r>
      <w:r w:rsidRPr="0054615E">
        <w:rPr>
          <w:sz w:val="24"/>
          <w:szCs w:val="24"/>
        </w:rPr>
        <w:t xml:space="preserve"> </w:t>
      </w:r>
      <w:proofErr w:type="spellStart"/>
      <w:r w:rsidRPr="0054615E">
        <w:rPr>
          <w:sz w:val="24"/>
          <w:szCs w:val="24"/>
        </w:rPr>
        <w:t>intestinal</w:t>
      </w:r>
      <w:proofErr w:type="spellEnd"/>
      <w:r w:rsidRPr="0054615E">
        <w:rPr>
          <w:sz w:val="24"/>
          <w:szCs w:val="24"/>
        </w:rPr>
        <w:t xml:space="preserve"> calciumabsorption, inkorporering af calcium i </w:t>
      </w:r>
      <w:proofErr w:type="spellStart"/>
      <w:r w:rsidRPr="0054615E">
        <w:rPr>
          <w:sz w:val="24"/>
          <w:szCs w:val="24"/>
        </w:rPr>
        <w:t>osteoid</w:t>
      </w:r>
      <w:proofErr w:type="spellEnd"/>
      <w:r w:rsidRPr="0054615E">
        <w:rPr>
          <w:sz w:val="24"/>
          <w:szCs w:val="24"/>
        </w:rPr>
        <w:t>, og frigivelse af calcium fra knoglevævet.</w:t>
      </w:r>
    </w:p>
    <w:p w:rsidR="007444B2" w:rsidRPr="0054615E" w:rsidRDefault="007444B2" w:rsidP="007444B2">
      <w:pPr>
        <w:ind w:left="851" w:hanging="851"/>
        <w:rPr>
          <w:sz w:val="24"/>
          <w:szCs w:val="24"/>
        </w:rPr>
      </w:pPr>
    </w:p>
    <w:p w:rsidR="007444B2" w:rsidRPr="0054615E" w:rsidRDefault="007444B2" w:rsidP="007444B2">
      <w:pPr>
        <w:ind w:left="851"/>
        <w:rPr>
          <w:sz w:val="24"/>
          <w:szCs w:val="24"/>
        </w:rPr>
      </w:pPr>
      <w:r w:rsidRPr="0054615E">
        <w:rPr>
          <w:sz w:val="24"/>
          <w:szCs w:val="24"/>
        </w:rPr>
        <w:t xml:space="preserve">I tyndtarmen fremmer det hurtig og forsinket calciumoptagelse. Den passive og aktive transport af </w:t>
      </w:r>
      <w:proofErr w:type="spellStart"/>
      <w:r w:rsidRPr="0054615E">
        <w:rPr>
          <w:sz w:val="24"/>
          <w:szCs w:val="24"/>
        </w:rPr>
        <w:t>phosphat</w:t>
      </w:r>
      <w:proofErr w:type="spellEnd"/>
      <w:r w:rsidRPr="0054615E">
        <w:rPr>
          <w:sz w:val="24"/>
          <w:szCs w:val="24"/>
        </w:rPr>
        <w:t xml:space="preserve"> stimuleres også.</w:t>
      </w:r>
    </w:p>
    <w:p w:rsidR="007444B2" w:rsidRPr="0054615E" w:rsidRDefault="007444B2" w:rsidP="007444B2">
      <w:pPr>
        <w:ind w:left="851" w:hanging="851"/>
        <w:rPr>
          <w:sz w:val="24"/>
          <w:szCs w:val="24"/>
        </w:rPr>
      </w:pPr>
    </w:p>
    <w:p w:rsidR="007444B2" w:rsidRPr="0054615E" w:rsidRDefault="007444B2" w:rsidP="007444B2">
      <w:pPr>
        <w:ind w:left="851"/>
        <w:rPr>
          <w:sz w:val="24"/>
          <w:szCs w:val="24"/>
        </w:rPr>
      </w:pPr>
      <w:r w:rsidRPr="0054615E">
        <w:rPr>
          <w:sz w:val="24"/>
          <w:szCs w:val="24"/>
        </w:rPr>
        <w:t xml:space="preserve">I nyrerne, hæmmes udskillelsen af calcium og </w:t>
      </w:r>
      <w:proofErr w:type="spellStart"/>
      <w:r w:rsidRPr="0054615E">
        <w:rPr>
          <w:sz w:val="24"/>
          <w:szCs w:val="24"/>
        </w:rPr>
        <w:t>phosphat</w:t>
      </w:r>
      <w:proofErr w:type="spellEnd"/>
      <w:r w:rsidRPr="0054615E">
        <w:rPr>
          <w:sz w:val="24"/>
          <w:szCs w:val="24"/>
        </w:rPr>
        <w:t xml:space="preserve"> ved at fremme den </w:t>
      </w:r>
      <w:proofErr w:type="spellStart"/>
      <w:r w:rsidRPr="0054615E">
        <w:rPr>
          <w:sz w:val="24"/>
          <w:szCs w:val="24"/>
        </w:rPr>
        <w:t>turbulære</w:t>
      </w:r>
      <w:proofErr w:type="spellEnd"/>
      <w:r w:rsidRPr="0054615E">
        <w:rPr>
          <w:sz w:val="24"/>
          <w:szCs w:val="24"/>
        </w:rPr>
        <w:t xml:space="preserve"> </w:t>
      </w:r>
      <w:proofErr w:type="spellStart"/>
      <w:r w:rsidRPr="0054615E">
        <w:rPr>
          <w:sz w:val="24"/>
          <w:szCs w:val="24"/>
        </w:rPr>
        <w:t>reabsorption</w:t>
      </w:r>
      <w:proofErr w:type="spellEnd"/>
      <w:r w:rsidRPr="0054615E">
        <w:rPr>
          <w:sz w:val="24"/>
          <w:szCs w:val="24"/>
        </w:rPr>
        <w:t xml:space="preserve">. Produktionen af </w:t>
      </w:r>
      <w:proofErr w:type="spellStart"/>
      <w:r w:rsidRPr="0054615E">
        <w:rPr>
          <w:sz w:val="24"/>
          <w:szCs w:val="24"/>
        </w:rPr>
        <w:t>parathyreoideahormon</w:t>
      </w:r>
      <w:proofErr w:type="spellEnd"/>
      <w:r w:rsidRPr="0054615E">
        <w:rPr>
          <w:sz w:val="24"/>
          <w:szCs w:val="24"/>
        </w:rPr>
        <w:t xml:space="preserve"> (PTH) i </w:t>
      </w:r>
      <w:proofErr w:type="spellStart"/>
      <w:r w:rsidRPr="0054615E">
        <w:rPr>
          <w:sz w:val="24"/>
          <w:szCs w:val="24"/>
        </w:rPr>
        <w:t>biskjoldbrus</w:t>
      </w:r>
      <w:r>
        <w:rPr>
          <w:sz w:val="24"/>
          <w:szCs w:val="24"/>
        </w:rPr>
        <w:t>k</w:t>
      </w:r>
      <w:r w:rsidRPr="0054615E">
        <w:rPr>
          <w:sz w:val="24"/>
          <w:szCs w:val="24"/>
        </w:rPr>
        <w:t>kirtlerne</w:t>
      </w:r>
      <w:proofErr w:type="spellEnd"/>
      <w:r w:rsidRPr="0054615E">
        <w:rPr>
          <w:sz w:val="24"/>
          <w:szCs w:val="24"/>
        </w:rPr>
        <w:t xml:space="preserve"> inhiberes direkte af den biologisk aktive form af vitamin D</w:t>
      </w:r>
      <w:r w:rsidRPr="0054615E">
        <w:rPr>
          <w:sz w:val="24"/>
          <w:szCs w:val="24"/>
          <w:vertAlign w:val="subscript"/>
        </w:rPr>
        <w:t>3</w:t>
      </w:r>
      <w:r w:rsidRPr="0054615E">
        <w:rPr>
          <w:sz w:val="24"/>
          <w:szCs w:val="24"/>
        </w:rPr>
        <w:t>. PTH-udskillelse inhiberes yderligere af det øgede calciumoptag i tyndtarmen, som påvirkes af det biologisk aktive vitamin D</w:t>
      </w:r>
      <w:r w:rsidRPr="0054615E">
        <w:rPr>
          <w:sz w:val="24"/>
          <w:szCs w:val="24"/>
          <w:vertAlign w:val="subscript"/>
        </w:rPr>
        <w:t>3</w:t>
      </w:r>
      <w:r w:rsidRPr="0054615E">
        <w:rPr>
          <w:sz w:val="24"/>
          <w:szCs w:val="24"/>
        </w:rPr>
        <w:t>.</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5.2</w:t>
      </w:r>
      <w:r w:rsidRPr="0054615E">
        <w:rPr>
          <w:b/>
          <w:sz w:val="24"/>
          <w:szCs w:val="24"/>
        </w:rPr>
        <w:tab/>
      </w:r>
      <w:proofErr w:type="spellStart"/>
      <w:r w:rsidRPr="0054615E">
        <w:rPr>
          <w:b/>
          <w:sz w:val="24"/>
          <w:szCs w:val="24"/>
        </w:rPr>
        <w:t>Farmakokinetiske</w:t>
      </w:r>
      <w:proofErr w:type="spellEnd"/>
      <w:r w:rsidRPr="0054615E">
        <w:rPr>
          <w:b/>
          <w:sz w:val="24"/>
          <w:szCs w:val="24"/>
        </w:rPr>
        <w:t xml:space="preserve"> egenskaber</w:t>
      </w:r>
    </w:p>
    <w:p w:rsidR="007444B2" w:rsidRDefault="007444B2" w:rsidP="007444B2">
      <w:pPr>
        <w:ind w:left="851"/>
        <w:rPr>
          <w:sz w:val="24"/>
          <w:szCs w:val="24"/>
          <w:u w:val="single"/>
        </w:rPr>
      </w:pPr>
    </w:p>
    <w:p w:rsidR="007444B2" w:rsidRPr="0054615E" w:rsidRDefault="007444B2" w:rsidP="007444B2">
      <w:pPr>
        <w:ind w:left="851"/>
        <w:rPr>
          <w:sz w:val="24"/>
          <w:szCs w:val="24"/>
          <w:u w:val="single"/>
        </w:rPr>
      </w:pPr>
      <w:r w:rsidRPr="0054615E">
        <w:rPr>
          <w:sz w:val="24"/>
          <w:szCs w:val="24"/>
          <w:u w:val="single"/>
        </w:rPr>
        <w:t>Absorption</w:t>
      </w:r>
    </w:p>
    <w:p w:rsidR="007444B2" w:rsidRPr="0054615E" w:rsidRDefault="007444B2" w:rsidP="007444B2">
      <w:pPr>
        <w:ind w:left="851"/>
        <w:rPr>
          <w:sz w:val="24"/>
          <w:szCs w:val="24"/>
        </w:rPr>
      </w:pPr>
      <w:r w:rsidRPr="0054615E">
        <w:rPr>
          <w:sz w:val="24"/>
          <w:szCs w:val="24"/>
        </w:rPr>
        <w:t xml:space="preserve">Vitamin D absorberes godt fra </w:t>
      </w:r>
      <w:proofErr w:type="spellStart"/>
      <w:r w:rsidRPr="0054615E">
        <w:rPr>
          <w:sz w:val="24"/>
          <w:szCs w:val="24"/>
        </w:rPr>
        <w:t>mave-tarmkanalen</w:t>
      </w:r>
      <w:proofErr w:type="spellEnd"/>
      <w:r w:rsidRPr="0054615E">
        <w:rPr>
          <w:sz w:val="24"/>
          <w:szCs w:val="24"/>
        </w:rPr>
        <w:t xml:space="preserve"> i tilstedeværelse af galde, så administration sammen med fødevarer kan derfor lette optagelsen af vitamin D</w:t>
      </w:r>
      <w:r w:rsidRPr="0054615E">
        <w:rPr>
          <w:sz w:val="24"/>
          <w:szCs w:val="24"/>
          <w:vertAlign w:val="subscript"/>
        </w:rPr>
        <w:t>3</w:t>
      </w:r>
      <w:r w:rsidRPr="0054615E">
        <w:rPr>
          <w:sz w:val="24"/>
          <w:szCs w:val="24"/>
        </w:rPr>
        <w:t>.</w:t>
      </w:r>
    </w:p>
    <w:p w:rsidR="007444B2" w:rsidRPr="0054615E" w:rsidRDefault="007444B2" w:rsidP="007444B2">
      <w:pPr>
        <w:ind w:left="851" w:hanging="851"/>
        <w:rPr>
          <w:sz w:val="24"/>
          <w:szCs w:val="24"/>
          <w:u w:val="single"/>
        </w:rPr>
      </w:pPr>
    </w:p>
    <w:p w:rsidR="007444B2" w:rsidRPr="0054615E" w:rsidRDefault="007444B2" w:rsidP="007444B2">
      <w:pPr>
        <w:ind w:left="851"/>
        <w:rPr>
          <w:sz w:val="24"/>
          <w:szCs w:val="24"/>
          <w:u w:val="single"/>
        </w:rPr>
      </w:pPr>
      <w:r w:rsidRPr="0054615E">
        <w:rPr>
          <w:sz w:val="24"/>
          <w:szCs w:val="24"/>
          <w:u w:val="single"/>
        </w:rPr>
        <w:t>Fordeling og biotransformation</w:t>
      </w:r>
    </w:p>
    <w:p w:rsidR="007444B2" w:rsidRPr="0054615E" w:rsidRDefault="007444B2" w:rsidP="007444B2">
      <w:pPr>
        <w:ind w:left="851"/>
        <w:rPr>
          <w:sz w:val="24"/>
          <w:szCs w:val="24"/>
        </w:rPr>
      </w:pPr>
      <w:proofErr w:type="spellStart"/>
      <w:r w:rsidRPr="0054615E">
        <w:rPr>
          <w:sz w:val="24"/>
          <w:szCs w:val="24"/>
        </w:rPr>
        <w:t>Cholecalciferol</w:t>
      </w:r>
      <w:proofErr w:type="spellEnd"/>
      <w:r w:rsidRPr="0054615E">
        <w:rPr>
          <w:sz w:val="24"/>
          <w:szCs w:val="24"/>
        </w:rPr>
        <w:t xml:space="preserve"> og dets metabolitter findes i blodet bundet til et specifikt </w:t>
      </w:r>
      <w:proofErr w:type="spellStart"/>
      <w:r w:rsidRPr="0054615E">
        <w:rPr>
          <w:sz w:val="24"/>
          <w:szCs w:val="24"/>
        </w:rPr>
        <w:t>globulin</w:t>
      </w:r>
      <w:proofErr w:type="spellEnd"/>
      <w:r w:rsidRPr="0054615E">
        <w:rPr>
          <w:sz w:val="24"/>
          <w:szCs w:val="24"/>
        </w:rPr>
        <w:t xml:space="preserve">. Det </w:t>
      </w:r>
      <w:proofErr w:type="spellStart"/>
      <w:r w:rsidRPr="0054615E">
        <w:rPr>
          <w:sz w:val="24"/>
          <w:szCs w:val="24"/>
        </w:rPr>
        <w:t>hydroxyleres</w:t>
      </w:r>
      <w:proofErr w:type="spellEnd"/>
      <w:r w:rsidRPr="0054615E">
        <w:rPr>
          <w:sz w:val="24"/>
          <w:szCs w:val="24"/>
        </w:rPr>
        <w:t xml:space="preserve"> i leveren til 25-hydroxycholecalciferol og undergår derefter yderligere </w:t>
      </w:r>
      <w:proofErr w:type="spellStart"/>
      <w:r w:rsidRPr="0054615E">
        <w:rPr>
          <w:sz w:val="24"/>
          <w:szCs w:val="24"/>
        </w:rPr>
        <w:t>hydroxylering</w:t>
      </w:r>
      <w:proofErr w:type="spellEnd"/>
      <w:r w:rsidRPr="0054615E">
        <w:rPr>
          <w:sz w:val="24"/>
          <w:szCs w:val="24"/>
        </w:rPr>
        <w:t xml:space="preserve"> i nyrerne til dannelse af den aktive metabolit 1, 25 </w:t>
      </w:r>
      <w:proofErr w:type="spellStart"/>
      <w:r w:rsidRPr="0054615E">
        <w:rPr>
          <w:sz w:val="24"/>
          <w:szCs w:val="24"/>
        </w:rPr>
        <w:t>dihydroxycholecalciferol</w:t>
      </w:r>
      <w:proofErr w:type="spellEnd"/>
      <w:r w:rsidRPr="0054615E">
        <w:rPr>
          <w:sz w:val="24"/>
          <w:szCs w:val="24"/>
        </w:rPr>
        <w:t xml:space="preserve"> (</w:t>
      </w:r>
      <w:proofErr w:type="spellStart"/>
      <w:r w:rsidRPr="0054615E">
        <w:rPr>
          <w:sz w:val="24"/>
          <w:szCs w:val="24"/>
        </w:rPr>
        <w:t>calcitriol</w:t>
      </w:r>
      <w:proofErr w:type="spellEnd"/>
      <w:r w:rsidRPr="0054615E">
        <w:rPr>
          <w:sz w:val="24"/>
          <w:szCs w:val="24"/>
        </w:rPr>
        <w:t xml:space="preserve">), som er ansvarlig for øget absorption af calcium. Vitamin D, som ikke </w:t>
      </w:r>
      <w:proofErr w:type="spellStart"/>
      <w:r w:rsidRPr="0054615E">
        <w:rPr>
          <w:sz w:val="24"/>
          <w:szCs w:val="24"/>
        </w:rPr>
        <w:t>metaboliseres</w:t>
      </w:r>
      <w:proofErr w:type="spellEnd"/>
      <w:r w:rsidRPr="0054615E">
        <w:rPr>
          <w:sz w:val="24"/>
          <w:szCs w:val="24"/>
        </w:rPr>
        <w:t>, lagres i fedt- og muskelvæv.</w:t>
      </w:r>
    </w:p>
    <w:p w:rsidR="007444B2" w:rsidRPr="0054615E" w:rsidRDefault="007444B2" w:rsidP="007444B2">
      <w:pPr>
        <w:ind w:left="851" w:hanging="851"/>
        <w:rPr>
          <w:sz w:val="24"/>
          <w:szCs w:val="24"/>
        </w:rPr>
      </w:pPr>
    </w:p>
    <w:p w:rsidR="007444B2" w:rsidRPr="0054615E" w:rsidRDefault="007444B2" w:rsidP="007444B2">
      <w:pPr>
        <w:ind w:left="851"/>
        <w:rPr>
          <w:sz w:val="24"/>
          <w:szCs w:val="24"/>
        </w:rPr>
      </w:pPr>
      <w:r w:rsidRPr="0054615E">
        <w:rPr>
          <w:sz w:val="24"/>
          <w:szCs w:val="24"/>
        </w:rPr>
        <w:t xml:space="preserve">Efter en enkelt oral dosis af </w:t>
      </w:r>
      <w:proofErr w:type="spellStart"/>
      <w:r w:rsidRPr="0054615E">
        <w:rPr>
          <w:sz w:val="24"/>
          <w:szCs w:val="24"/>
        </w:rPr>
        <w:t>cholecalciferol</w:t>
      </w:r>
      <w:proofErr w:type="spellEnd"/>
      <w:r w:rsidRPr="0054615E">
        <w:rPr>
          <w:sz w:val="24"/>
          <w:szCs w:val="24"/>
        </w:rPr>
        <w:t>, opnås den maksimale serumkoncentration af den primære lagringsform efter ca. 7 dage. 25-hydroxycholecalciferol elimineres derefter langsomt med en tilsyneladende halveringstid i serum på omkring 50 dage.</w:t>
      </w:r>
    </w:p>
    <w:p w:rsidR="007444B2" w:rsidRPr="0054615E" w:rsidRDefault="007444B2" w:rsidP="007444B2">
      <w:pPr>
        <w:ind w:left="851" w:hanging="851"/>
        <w:rPr>
          <w:sz w:val="24"/>
          <w:szCs w:val="24"/>
        </w:rPr>
      </w:pPr>
    </w:p>
    <w:p w:rsidR="007444B2" w:rsidRPr="0054615E" w:rsidRDefault="007444B2" w:rsidP="007444B2">
      <w:pPr>
        <w:ind w:left="851"/>
        <w:rPr>
          <w:sz w:val="24"/>
          <w:szCs w:val="24"/>
          <w:u w:val="single"/>
        </w:rPr>
      </w:pPr>
      <w:r w:rsidRPr="0054615E">
        <w:rPr>
          <w:sz w:val="24"/>
          <w:szCs w:val="24"/>
          <w:u w:val="single"/>
        </w:rPr>
        <w:t>Elimination</w:t>
      </w:r>
    </w:p>
    <w:p w:rsidR="007444B2" w:rsidRPr="0054615E" w:rsidRDefault="007444B2" w:rsidP="007444B2">
      <w:pPr>
        <w:ind w:left="851"/>
        <w:rPr>
          <w:sz w:val="24"/>
          <w:szCs w:val="24"/>
        </w:rPr>
      </w:pPr>
      <w:r w:rsidRPr="0054615E">
        <w:rPr>
          <w:sz w:val="24"/>
          <w:szCs w:val="24"/>
        </w:rPr>
        <w:t>Vitamin D</w:t>
      </w:r>
      <w:r w:rsidRPr="0054615E">
        <w:rPr>
          <w:sz w:val="24"/>
          <w:szCs w:val="24"/>
          <w:vertAlign w:val="subscript"/>
        </w:rPr>
        <w:t>3</w:t>
      </w:r>
      <w:r w:rsidRPr="0054615E">
        <w:rPr>
          <w:sz w:val="24"/>
          <w:szCs w:val="24"/>
        </w:rPr>
        <w:t xml:space="preserve"> og dets metabolitter udskilles primært i galden og </w:t>
      </w:r>
      <w:proofErr w:type="spellStart"/>
      <w:r w:rsidRPr="0054615E">
        <w:rPr>
          <w:sz w:val="24"/>
          <w:szCs w:val="24"/>
        </w:rPr>
        <w:t>fæce</w:t>
      </w:r>
      <w:proofErr w:type="spellEnd"/>
      <w:r w:rsidRPr="0054615E">
        <w:rPr>
          <w:sz w:val="24"/>
          <w:szCs w:val="24"/>
        </w:rPr>
        <w:t>, mens en lille procentdel findes i urin.</w:t>
      </w:r>
    </w:p>
    <w:p w:rsidR="007444B2" w:rsidRPr="0054615E" w:rsidRDefault="007444B2" w:rsidP="007444B2">
      <w:pPr>
        <w:ind w:left="851" w:hanging="851"/>
        <w:rPr>
          <w:sz w:val="24"/>
          <w:szCs w:val="24"/>
        </w:rPr>
      </w:pPr>
    </w:p>
    <w:p w:rsidR="007444B2" w:rsidRPr="0054615E" w:rsidRDefault="007444B2" w:rsidP="007444B2">
      <w:pPr>
        <w:ind w:left="851"/>
        <w:rPr>
          <w:sz w:val="24"/>
          <w:szCs w:val="24"/>
          <w:u w:val="single"/>
        </w:rPr>
      </w:pPr>
      <w:r w:rsidRPr="0054615E">
        <w:rPr>
          <w:sz w:val="24"/>
          <w:szCs w:val="24"/>
          <w:u w:val="single"/>
        </w:rPr>
        <w:t>Særlige populationer</w:t>
      </w:r>
    </w:p>
    <w:p w:rsidR="007444B2" w:rsidRPr="0054615E" w:rsidRDefault="007444B2" w:rsidP="007444B2">
      <w:pPr>
        <w:ind w:left="851"/>
        <w:rPr>
          <w:sz w:val="24"/>
          <w:szCs w:val="24"/>
        </w:rPr>
      </w:pPr>
      <w:r w:rsidRPr="0054615E">
        <w:rPr>
          <w:sz w:val="24"/>
          <w:szCs w:val="24"/>
        </w:rPr>
        <w:t>En defekt i metabolisme og udskillelse af vitamin D er blevet beskrevet hos patienter med kronisk nyresvigt.</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5.3</w:t>
      </w:r>
      <w:r w:rsidRPr="0054615E">
        <w:rPr>
          <w:b/>
          <w:sz w:val="24"/>
          <w:szCs w:val="24"/>
        </w:rPr>
        <w:tab/>
        <w:t>Prækliniske sikkerhedsdata</w:t>
      </w:r>
    </w:p>
    <w:p w:rsidR="008A36E4" w:rsidRDefault="008A36E4" w:rsidP="008A36E4">
      <w:pPr>
        <w:pStyle w:val="Ingenafstand"/>
        <w:ind w:left="851"/>
        <w:rPr>
          <w:sz w:val="24"/>
          <w:szCs w:val="24"/>
        </w:rPr>
      </w:pPr>
      <w:r>
        <w:rPr>
          <w:sz w:val="24"/>
          <w:szCs w:val="24"/>
        </w:rPr>
        <w:t xml:space="preserve">Effekter i ikke-klinisk enkelt- og gentaget-dosis toksicitetsstudier var der kun observeret eksponering ved høje doser. I dyreforsøg blev der ved meget høje doser observeret </w:t>
      </w:r>
      <w:proofErr w:type="spellStart"/>
      <w:r>
        <w:rPr>
          <w:sz w:val="24"/>
          <w:szCs w:val="24"/>
        </w:rPr>
        <w:t>teratogenicitet</w:t>
      </w:r>
      <w:proofErr w:type="spellEnd"/>
      <w:r>
        <w:rPr>
          <w:sz w:val="24"/>
          <w:szCs w:val="24"/>
        </w:rPr>
        <w:t xml:space="preserve">. Normale endogene niveauer af </w:t>
      </w:r>
      <w:proofErr w:type="spellStart"/>
      <w:r>
        <w:rPr>
          <w:sz w:val="24"/>
          <w:szCs w:val="24"/>
        </w:rPr>
        <w:t>cholecalciferol</w:t>
      </w:r>
      <w:proofErr w:type="spellEnd"/>
      <w:r>
        <w:rPr>
          <w:sz w:val="24"/>
          <w:szCs w:val="24"/>
        </w:rPr>
        <w:t xml:space="preserve"> har ingen potentiel mutagen aktivitet (negativ i </w:t>
      </w:r>
      <w:proofErr w:type="spellStart"/>
      <w:r>
        <w:rPr>
          <w:sz w:val="24"/>
          <w:szCs w:val="24"/>
        </w:rPr>
        <w:t>Ames</w:t>
      </w:r>
      <w:proofErr w:type="spellEnd"/>
      <w:r>
        <w:rPr>
          <w:sz w:val="24"/>
          <w:szCs w:val="24"/>
        </w:rPr>
        <w:t xml:space="preserve">-test). Der er ikke udført test på kræftfremkaldende aktivitet. </w:t>
      </w:r>
    </w:p>
    <w:p w:rsidR="008A36E4" w:rsidRDefault="008A36E4" w:rsidP="008A36E4">
      <w:pPr>
        <w:pStyle w:val="Ingenafstand"/>
        <w:ind w:left="851"/>
        <w:rPr>
          <w:sz w:val="24"/>
          <w:szCs w:val="24"/>
        </w:rPr>
      </w:pPr>
    </w:p>
    <w:p w:rsidR="008A36E4" w:rsidRDefault="008A36E4" w:rsidP="008A36E4">
      <w:pPr>
        <w:pStyle w:val="Ingenafstand"/>
        <w:ind w:left="851"/>
        <w:rPr>
          <w:sz w:val="24"/>
          <w:szCs w:val="24"/>
        </w:rPr>
      </w:pPr>
      <w:r>
        <w:rPr>
          <w:sz w:val="24"/>
          <w:szCs w:val="24"/>
        </w:rPr>
        <w:lastRenderedPageBreak/>
        <w:t>Der er ingen yderligere information af relevans for sikkerhedsvurdering udover de allerede angivet i andre punkter af produktresuméet.</w:t>
      </w:r>
    </w:p>
    <w:p w:rsidR="007444B2" w:rsidRPr="0054615E" w:rsidRDefault="007444B2" w:rsidP="007444B2">
      <w:pPr>
        <w:ind w:left="851" w:hanging="851"/>
        <w:rPr>
          <w:sz w:val="24"/>
          <w:szCs w:val="24"/>
        </w:rPr>
      </w:pP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6.</w:t>
      </w:r>
      <w:r w:rsidRPr="0054615E">
        <w:rPr>
          <w:b/>
          <w:sz w:val="24"/>
          <w:szCs w:val="24"/>
        </w:rPr>
        <w:tab/>
        <w:t>FARMACEUTISKE OPLYSNINGER</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6.1</w:t>
      </w:r>
      <w:r w:rsidRPr="0054615E">
        <w:rPr>
          <w:b/>
          <w:sz w:val="24"/>
          <w:szCs w:val="24"/>
        </w:rPr>
        <w:tab/>
        <w:t>Hjælpestoffer</w:t>
      </w:r>
    </w:p>
    <w:p w:rsidR="007444B2" w:rsidRDefault="007444B2" w:rsidP="007444B2">
      <w:pPr>
        <w:ind w:left="851"/>
        <w:rPr>
          <w:sz w:val="24"/>
          <w:szCs w:val="24"/>
        </w:rPr>
      </w:pPr>
    </w:p>
    <w:p w:rsidR="007444B2" w:rsidRPr="000A1424" w:rsidRDefault="007444B2" w:rsidP="007444B2">
      <w:pPr>
        <w:ind w:left="851"/>
        <w:rPr>
          <w:sz w:val="24"/>
          <w:szCs w:val="24"/>
          <w:u w:val="single"/>
        </w:rPr>
      </w:pPr>
      <w:r w:rsidRPr="000A1424">
        <w:rPr>
          <w:sz w:val="24"/>
          <w:szCs w:val="24"/>
          <w:u w:val="single"/>
        </w:rPr>
        <w:t>Kapselindhold</w:t>
      </w:r>
    </w:p>
    <w:p w:rsidR="007444B2" w:rsidRPr="0054615E" w:rsidRDefault="007444B2" w:rsidP="007444B2">
      <w:pPr>
        <w:ind w:left="851"/>
        <w:rPr>
          <w:sz w:val="24"/>
          <w:szCs w:val="24"/>
        </w:rPr>
      </w:pPr>
      <w:r w:rsidRPr="0054615E">
        <w:rPr>
          <w:sz w:val="24"/>
          <w:szCs w:val="24"/>
        </w:rPr>
        <w:t>Majsolie, raffineret</w:t>
      </w:r>
    </w:p>
    <w:p w:rsidR="007444B2" w:rsidRPr="0054615E" w:rsidRDefault="007444B2" w:rsidP="007444B2">
      <w:pPr>
        <w:ind w:left="851"/>
        <w:rPr>
          <w:sz w:val="24"/>
          <w:szCs w:val="24"/>
        </w:rPr>
      </w:pPr>
      <w:proofErr w:type="spellStart"/>
      <w:r w:rsidRPr="0054615E">
        <w:rPr>
          <w:sz w:val="24"/>
          <w:szCs w:val="24"/>
        </w:rPr>
        <w:t>Butylhydroxytoluen</w:t>
      </w:r>
      <w:proofErr w:type="spellEnd"/>
      <w:r w:rsidRPr="0054615E">
        <w:rPr>
          <w:sz w:val="24"/>
          <w:szCs w:val="24"/>
        </w:rPr>
        <w:t xml:space="preserve"> (BHT) (E321)</w:t>
      </w:r>
    </w:p>
    <w:p w:rsidR="007444B2" w:rsidRPr="0054615E" w:rsidRDefault="007444B2" w:rsidP="007444B2">
      <w:pPr>
        <w:ind w:left="851"/>
        <w:rPr>
          <w:sz w:val="24"/>
          <w:szCs w:val="24"/>
        </w:rPr>
      </w:pPr>
    </w:p>
    <w:p w:rsidR="007444B2" w:rsidRPr="000A1424" w:rsidRDefault="007444B2" w:rsidP="007444B2">
      <w:pPr>
        <w:ind w:left="851"/>
        <w:rPr>
          <w:sz w:val="24"/>
          <w:szCs w:val="24"/>
          <w:u w:val="single"/>
        </w:rPr>
      </w:pPr>
      <w:r w:rsidRPr="000A1424">
        <w:rPr>
          <w:sz w:val="24"/>
          <w:szCs w:val="24"/>
          <w:u w:val="single"/>
        </w:rPr>
        <w:t>Kapselskal</w:t>
      </w:r>
    </w:p>
    <w:p w:rsidR="007444B2" w:rsidRPr="0054615E" w:rsidRDefault="007444B2" w:rsidP="007444B2">
      <w:pPr>
        <w:ind w:left="851"/>
        <w:rPr>
          <w:sz w:val="24"/>
          <w:szCs w:val="24"/>
        </w:rPr>
      </w:pPr>
      <w:r w:rsidRPr="0054615E">
        <w:rPr>
          <w:sz w:val="24"/>
          <w:szCs w:val="24"/>
        </w:rPr>
        <w:t>Glycerol (E422)</w:t>
      </w:r>
    </w:p>
    <w:p w:rsidR="007444B2" w:rsidRPr="0054615E" w:rsidRDefault="007444B2" w:rsidP="007444B2">
      <w:pPr>
        <w:ind w:left="851"/>
        <w:rPr>
          <w:sz w:val="24"/>
          <w:szCs w:val="24"/>
        </w:rPr>
      </w:pPr>
      <w:r>
        <w:rPr>
          <w:sz w:val="24"/>
          <w:szCs w:val="24"/>
        </w:rPr>
        <w:t>Renset vand</w:t>
      </w:r>
    </w:p>
    <w:p w:rsidR="007444B2" w:rsidRPr="0054615E" w:rsidRDefault="007444B2" w:rsidP="007444B2">
      <w:pPr>
        <w:ind w:left="851"/>
        <w:rPr>
          <w:sz w:val="24"/>
          <w:szCs w:val="24"/>
        </w:rPr>
      </w:pPr>
      <w:proofErr w:type="spellStart"/>
      <w:r w:rsidRPr="0054615E">
        <w:rPr>
          <w:sz w:val="24"/>
          <w:szCs w:val="24"/>
        </w:rPr>
        <w:t>Chlorophyll</w:t>
      </w:r>
      <w:proofErr w:type="spellEnd"/>
      <w:r w:rsidRPr="0054615E">
        <w:rPr>
          <w:sz w:val="24"/>
          <w:szCs w:val="24"/>
        </w:rPr>
        <w:t>-kobber-kompleks, natrium (E141)</w:t>
      </w:r>
    </w:p>
    <w:p w:rsidR="007444B2" w:rsidRPr="0054615E" w:rsidRDefault="007444B2" w:rsidP="007444B2">
      <w:pPr>
        <w:ind w:left="851"/>
        <w:rPr>
          <w:sz w:val="24"/>
          <w:szCs w:val="24"/>
        </w:rPr>
      </w:pPr>
      <w:r w:rsidRPr="0054615E">
        <w:rPr>
          <w:sz w:val="24"/>
          <w:szCs w:val="24"/>
        </w:rPr>
        <w:t>Gelatine (E441)</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6.2</w:t>
      </w:r>
      <w:r w:rsidRPr="0054615E">
        <w:rPr>
          <w:b/>
          <w:sz w:val="24"/>
          <w:szCs w:val="24"/>
        </w:rPr>
        <w:tab/>
        <w:t>Uforligeligheder</w:t>
      </w:r>
    </w:p>
    <w:p w:rsidR="007444B2" w:rsidRDefault="007444B2" w:rsidP="008A36E4">
      <w:pPr>
        <w:ind w:left="851"/>
        <w:rPr>
          <w:sz w:val="24"/>
          <w:szCs w:val="24"/>
        </w:rPr>
      </w:pPr>
      <w:r w:rsidRPr="0054615E">
        <w:rPr>
          <w:sz w:val="24"/>
          <w:szCs w:val="24"/>
        </w:rPr>
        <w:t>Ikke relevant.</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6.3</w:t>
      </w:r>
      <w:r w:rsidRPr="0054615E">
        <w:rPr>
          <w:b/>
          <w:sz w:val="24"/>
          <w:szCs w:val="24"/>
        </w:rPr>
        <w:tab/>
        <w:t>Opbevaringstid</w:t>
      </w:r>
    </w:p>
    <w:p w:rsidR="007444B2" w:rsidRPr="0054615E" w:rsidRDefault="007444B2" w:rsidP="007444B2">
      <w:pPr>
        <w:ind w:left="851" w:hanging="851"/>
        <w:rPr>
          <w:sz w:val="24"/>
          <w:szCs w:val="24"/>
        </w:rPr>
      </w:pPr>
      <w:r w:rsidRPr="0054615E">
        <w:rPr>
          <w:sz w:val="24"/>
          <w:szCs w:val="24"/>
        </w:rPr>
        <w:tab/>
        <w:t>2 år.</w:t>
      </w:r>
    </w:p>
    <w:p w:rsidR="007444B2" w:rsidRPr="0054615E" w:rsidRDefault="007444B2" w:rsidP="007444B2">
      <w:pPr>
        <w:ind w:left="851" w:hanging="851"/>
        <w:rPr>
          <w:sz w:val="24"/>
          <w:szCs w:val="24"/>
        </w:rPr>
      </w:pPr>
    </w:p>
    <w:p w:rsidR="007444B2" w:rsidRPr="008A36E4" w:rsidRDefault="007444B2" w:rsidP="008A36E4">
      <w:pPr>
        <w:ind w:left="851" w:hanging="851"/>
        <w:rPr>
          <w:b/>
          <w:sz w:val="24"/>
          <w:szCs w:val="24"/>
        </w:rPr>
      </w:pPr>
      <w:r w:rsidRPr="0054615E">
        <w:rPr>
          <w:b/>
          <w:sz w:val="24"/>
          <w:szCs w:val="24"/>
        </w:rPr>
        <w:t>6.4</w:t>
      </w:r>
      <w:r w:rsidRPr="0054615E">
        <w:rPr>
          <w:b/>
          <w:sz w:val="24"/>
          <w:szCs w:val="24"/>
        </w:rPr>
        <w:tab/>
        <w:t>Særlige opbevaringsforhold</w:t>
      </w:r>
    </w:p>
    <w:p w:rsidR="007444B2" w:rsidRDefault="007444B2" w:rsidP="007444B2">
      <w:pPr>
        <w:ind w:left="851"/>
        <w:rPr>
          <w:noProof/>
          <w:sz w:val="24"/>
          <w:szCs w:val="24"/>
        </w:rPr>
      </w:pPr>
      <w:r w:rsidRPr="0054615E">
        <w:rPr>
          <w:noProof/>
          <w:sz w:val="24"/>
          <w:szCs w:val="24"/>
        </w:rPr>
        <w:t>Dette lægemiddel kræver ingen særlige forho</w:t>
      </w:r>
      <w:r>
        <w:rPr>
          <w:noProof/>
          <w:sz w:val="24"/>
          <w:szCs w:val="24"/>
        </w:rPr>
        <w:t>ldsregler vedrørende opbevaringstemperatur</w:t>
      </w:r>
      <w:r w:rsidRPr="0054615E">
        <w:rPr>
          <w:noProof/>
          <w:sz w:val="24"/>
          <w:szCs w:val="24"/>
        </w:rPr>
        <w:t>.</w:t>
      </w:r>
    </w:p>
    <w:p w:rsidR="008A36E4" w:rsidRPr="0054615E" w:rsidRDefault="008A36E4" w:rsidP="007444B2">
      <w:pPr>
        <w:ind w:left="851"/>
        <w:rPr>
          <w:noProof/>
          <w:sz w:val="24"/>
          <w:szCs w:val="24"/>
        </w:rPr>
      </w:pPr>
      <w:r w:rsidRPr="008A36E4">
        <w:rPr>
          <w:noProof/>
          <w:sz w:val="24"/>
          <w:szCs w:val="24"/>
        </w:rPr>
        <w:t>Opbevar blisterfolie i den originale beholder for at beskytte mod lys.</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6.5</w:t>
      </w:r>
      <w:r w:rsidRPr="0054615E">
        <w:rPr>
          <w:b/>
          <w:sz w:val="24"/>
          <w:szCs w:val="24"/>
        </w:rPr>
        <w:tab/>
        <w:t>Emballagetyper og pakningsstørrelser</w:t>
      </w:r>
    </w:p>
    <w:p w:rsidR="007444B2" w:rsidRPr="0054615E" w:rsidRDefault="007444B2" w:rsidP="007444B2">
      <w:pPr>
        <w:suppressAutoHyphens/>
        <w:ind w:left="851"/>
        <w:rPr>
          <w:sz w:val="24"/>
          <w:szCs w:val="24"/>
        </w:rPr>
      </w:pPr>
      <w:r w:rsidRPr="0054615E">
        <w:rPr>
          <w:sz w:val="24"/>
          <w:szCs w:val="24"/>
        </w:rPr>
        <w:t>Uigennemsigtig, hvid PVC/PVDC blisterbakke med aluminiumsfolie</w:t>
      </w:r>
      <w:r>
        <w:rPr>
          <w:sz w:val="24"/>
          <w:szCs w:val="24"/>
        </w:rPr>
        <w:t xml:space="preserve">. Hvert blister </w:t>
      </w:r>
      <w:r w:rsidRPr="0054615E">
        <w:rPr>
          <w:sz w:val="24"/>
          <w:szCs w:val="24"/>
        </w:rPr>
        <w:t>indeholde</w:t>
      </w:r>
      <w:r>
        <w:rPr>
          <w:sz w:val="24"/>
          <w:szCs w:val="24"/>
        </w:rPr>
        <w:t>r</w:t>
      </w:r>
      <w:r w:rsidRPr="0054615E">
        <w:rPr>
          <w:sz w:val="24"/>
          <w:szCs w:val="24"/>
        </w:rPr>
        <w:t xml:space="preserve"> 7, 10 eller 15 kapsler.</w:t>
      </w:r>
    </w:p>
    <w:p w:rsidR="007444B2" w:rsidRPr="0054615E" w:rsidRDefault="007444B2" w:rsidP="007444B2">
      <w:pPr>
        <w:suppressAutoHyphens/>
        <w:ind w:left="851" w:hanging="851"/>
        <w:rPr>
          <w:sz w:val="24"/>
          <w:szCs w:val="24"/>
        </w:rPr>
      </w:pPr>
    </w:p>
    <w:p w:rsidR="007444B2" w:rsidRPr="0054615E" w:rsidRDefault="007444B2" w:rsidP="007444B2">
      <w:pPr>
        <w:suppressAutoHyphens/>
        <w:ind w:left="851"/>
        <w:rPr>
          <w:sz w:val="24"/>
          <w:szCs w:val="24"/>
        </w:rPr>
      </w:pPr>
      <w:r w:rsidRPr="0054615E">
        <w:rPr>
          <w:sz w:val="24"/>
          <w:szCs w:val="24"/>
        </w:rPr>
        <w:t>Paknin</w:t>
      </w:r>
      <w:r>
        <w:rPr>
          <w:sz w:val="24"/>
          <w:szCs w:val="24"/>
        </w:rPr>
        <w:t>gsstørrelser: 7, 14, 28, 30, 35 og</w:t>
      </w:r>
      <w:r w:rsidRPr="0054615E">
        <w:rPr>
          <w:sz w:val="24"/>
          <w:szCs w:val="24"/>
        </w:rPr>
        <w:t xml:space="preserve"> 37 kapsler.</w:t>
      </w:r>
    </w:p>
    <w:p w:rsidR="007444B2" w:rsidRPr="0054615E" w:rsidRDefault="007444B2" w:rsidP="007444B2">
      <w:pPr>
        <w:suppressAutoHyphens/>
        <w:ind w:left="851"/>
        <w:rPr>
          <w:sz w:val="24"/>
          <w:szCs w:val="24"/>
          <w:highlight w:val="yellow"/>
        </w:rPr>
      </w:pPr>
      <w:r w:rsidRPr="0054615E">
        <w:rPr>
          <w:sz w:val="24"/>
          <w:szCs w:val="24"/>
        </w:rPr>
        <w:t>Ikke alle pakningsstørrelser er nødvendigvis markedsført.</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6.6</w:t>
      </w:r>
      <w:r w:rsidRPr="0054615E">
        <w:rPr>
          <w:b/>
          <w:sz w:val="24"/>
          <w:szCs w:val="24"/>
        </w:rPr>
        <w:tab/>
        <w:t>Regler for destruktion og anden håndtering</w:t>
      </w:r>
    </w:p>
    <w:p w:rsidR="007444B2" w:rsidRPr="0054615E" w:rsidRDefault="007444B2" w:rsidP="007444B2">
      <w:pPr>
        <w:suppressAutoHyphens/>
        <w:ind w:left="851"/>
        <w:rPr>
          <w:sz w:val="24"/>
          <w:szCs w:val="24"/>
        </w:rPr>
      </w:pPr>
      <w:r w:rsidRPr="0054615E">
        <w:rPr>
          <w:sz w:val="24"/>
          <w:szCs w:val="24"/>
        </w:rPr>
        <w:t>Ikke anvendt lægemiddel samt affald heraf bør bortskaffes i overensstemmelse med lokale krav.</w:t>
      </w:r>
    </w:p>
    <w:p w:rsidR="007444B2" w:rsidRPr="0054615E" w:rsidRDefault="007444B2" w:rsidP="007444B2">
      <w:pPr>
        <w:ind w:left="851" w:hanging="851"/>
        <w:jc w:val="both"/>
        <w:rPr>
          <w:sz w:val="24"/>
          <w:szCs w:val="24"/>
        </w:rPr>
      </w:pPr>
    </w:p>
    <w:p w:rsidR="007444B2" w:rsidRPr="0054615E" w:rsidRDefault="007444B2" w:rsidP="007444B2">
      <w:pPr>
        <w:ind w:left="851" w:hanging="851"/>
        <w:rPr>
          <w:b/>
          <w:sz w:val="24"/>
          <w:szCs w:val="24"/>
        </w:rPr>
      </w:pPr>
      <w:r w:rsidRPr="0054615E">
        <w:rPr>
          <w:b/>
          <w:sz w:val="24"/>
          <w:szCs w:val="24"/>
        </w:rPr>
        <w:t>7.</w:t>
      </w:r>
      <w:r w:rsidRPr="0054615E">
        <w:rPr>
          <w:b/>
          <w:sz w:val="24"/>
          <w:szCs w:val="24"/>
        </w:rPr>
        <w:tab/>
        <w:t>INDEHAVER AF MARKEDSFØRINGSTILLADELSEN</w:t>
      </w:r>
    </w:p>
    <w:p w:rsidR="007444B2" w:rsidRPr="00C548F6" w:rsidRDefault="007444B2" w:rsidP="007444B2">
      <w:pPr>
        <w:ind w:left="851"/>
        <w:rPr>
          <w:noProof/>
          <w:sz w:val="24"/>
          <w:szCs w:val="24"/>
        </w:rPr>
      </w:pPr>
      <w:r>
        <w:rPr>
          <w:noProof/>
          <w:sz w:val="24"/>
          <w:szCs w:val="24"/>
        </w:rPr>
        <w:t>STADA Arzneimittel AG</w:t>
      </w:r>
      <w:r w:rsidRPr="00C548F6">
        <w:rPr>
          <w:noProof/>
          <w:sz w:val="24"/>
          <w:szCs w:val="24"/>
        </w:rPr>
        <w:t xml:space="preserve"> </w:t>
      </w:r>
    </w:p>
    <w:p w:rsidR="007444B2" w:rsidRPr="00C548F6" w:rsidRDefault="007444B2" w:rsidP="007444B2">
      <w:pPr>
        <w:ind w:left="851"/>
        <w:rPr>
          <w:noProof/>
          <w:sz w:val="24"/>
          <w:szCs w:val="24"/>
        </w:rPr>
      </w:pPr>
      <w:r w:rsidRPr="00C548F6">
        <w:rPr>
          <w:noProof/>
          <w:sz w:val="24"/>
          <w:szCs w:val="24"/>
        </w:rPr>
        <w:t xml:space="preserve">Stadastraße 2 -18 </w:t>
      </w:r>
    </w:p>
    <w:p w:rsidR="007444B2" w:rsidRPr="00C548F6" w:rsidRDefault="007444B2" w:rsidP="007444B2">
      <w:pPr>
        <w:ind w:left="851"/>
        <w:rPr>
          <w:noProof/>
          <w:sz w:val="24"/>
          <w:szCs w:val="24"/>
        </w:rPr>
      </w:pPr>
      <w:r w:rsidRPr="00C548F6">
        <w:rPr>
          <w:noProof/>
          <w:sz w:val="24"/>
          <w:szCs w:val="24"/>
        </w:rPr>
        <w:t>61118 Bad Vilbel</w:t>
      </w:r>
    </w:p>
    <w:p w:rsidR="008A36E4" w:rsidRDefault="008A36E4" w:rsidP="008A36E4">
      <w:pPr>
        <w:ind w:left="851"/>
        <w:rPr>
          <w:sz w:val="24"/>
          <w:szCs w:val="24"/>
        </w:rPr>
      </w:pPr>
      <w:r>
        <w:rPr>
          <w:noProof/>
          <w:sz w:val="24"/>
          <w:szCs w:val="24"/>
        </w:rPr>
        <w:t>Tyskland</w:t>
      </w:r>
    </w:p>
    <w:p w:rsidR="007444B2" w:rsidRPr="00946DE0"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t>8.</w:t>
      </w:r>
      <w:r w:rsidRPr="0054615E">
        <w:rPr>
          <w:b/>
          <w:sz w:val="24"/>
          <w:szCs w:val="24"/>
        </w:rPr>
        <w:tab/>
        <w:t>MARKEDSFØRINGSTILLADELSESNUMMER (NUMRE)</w:t>
      </w:r>
    </w:p>
    <w:p w:rsidR="007444B2" w:rsidRPr="0054615E" w:rsidRDefault="007444B2" w:rsidP="007444B2">
      <w:pPr>
        <w:ind w:left="851"/>
        <w:rPr>
          <w:sz w:val="24"/>
          <w:szCs w:val="24"/>
        </w:rPr>
      </w:pPr>
      <w:r w:rsidRPr="0054615E">
        <w:rPr>
          <w:sz w:val="24"/>
          <w:szCs w:val="24"/>
        </w:rPr>
        <w:t>57607</w:t>
      </w:r>
    </w:p>
    <w:p w:rsidR="007444B2" w:rsidRPr="0054615E" w:rsidRDefault="007444B2" w:rsidP="007444B2">
      <w:pPr>
        <w:ind w:left="851" w:hanging="851"/>
        <w:jc w:val="both"/>
        <w:rPr>
          <w:sz w:val="24"/>
          <w:szCs w:val="24"/>
        </w:rPr>
      </w:pPr>
    </w:p>
    <w:p w:rsidR="007444B2" w:rsidRPr="0054615E" w:rsidRDefault="007444B2" w:rsidP="007444B2">
      <w:pPr>
        <w:ind w:left="851" w:hanging="851"/>
        <w:rPr>
          <w:b/>
          <w:sz w:val="24"/>
          <w:szCs w:val="24"/>
        </w:rPr>
      </w:pPr>
      <w:r w:rsidRPr="0054615E">
        <w:rPr>
          <w:b/>
          <w:sz w:val="24"/>
          <w:szCs w:val="24"/>
        </w:rPr>
        <w:t>9.</w:t>
      </w:r>
      <w:r w:rsidRPr="0054615E">
        <w:rPr>
          <w:b/>
          <w:sz w:val="24"/>
          <w:szCs w:val="24"/>
        </w:rPr>
        <w:tab/>
        <w:t>DATO FOR FØRSTE MARKEDSFØRINGSTILLADELSE</w:t>
      </w:r>
    </w:p>
    <w:p w:rsidR="007444B2" w:rsidRPr="0054615E" w:rsidRDefault="007444B2" w:rsidP="007444B2">
      <w:pPr>
        <w:ind w:left="851"/>
        <w:rPr>
          <w:sz w:val="24"/>
          <w:szCs w:val="24"/>
        </w:rPr>
      </w:pPr>
      <w:r>
        <w:rPr>
          <w:sz w:val="24"/>
          <w:szCs w:val="24"/>
        </w:rPr>
        <w:t>10. juli 2017</w:t>
      </w:r>
    </w:p>
    <w:p w:rsidR="007444B2" w:rsidRPr="0054615E" w:rsidRDefault="007444B2" w:rsidP="007444B2">
      <w:pPr>
        <w:ind w:left="851" w:hanging="851"/>
        <w:rPr>
          <w:sz w:val="24"/>
          <w:szCs w:val="24"/>
        </w:rPr>
      </w:pPr>
    </w:p>
    <w:p w:rsidR="007444B2" w:rsidRPr="0054615E" w:rsidRDefault="007444B2" w:rsidP="007444B2">
      <w:pPr>
        <w:ind w:left="851" w:hanging="851"/>
        <w:rPr>
          <w:b/>
          <w:sz w:val="24"/>
          <w:szCs w:val="24"/>
        </w:rPr>
      </w:pPr>
      <w:r w:rsidRPr="0054615E">
        <w:rPr>
          <w:b/>
          <w:sz w:val="24"/>
          <w:szCs w:val="24"/>
        </w:rPr>
        <w:lastRenderedPageBreak/>
        <w:t>10.</w:t>
      </w:r>
      <w:r w:rsidRPr="0054615E">
        <w:rPr>
          <w:b/>
          <w:sz w:val="24"/>
          <w:szCs w:val="24"/>
        </w:rPr>
        <w:tab/>
        <w:t>DATO FOR ÆNDRING AF TEKSTEN</w:t>
      </w:r>
    </w:p>
    <w:p w:rsidR="007444B2" w:rsidRPr="0054615E" w:rsidRDefault="008A36E4" w:rsidP="007444B2">
      <w:pPr>
        <w:ind w:left="851"/>
        <w:rPr>
          <w:sz w:val="24"/>
          <w:szCs w:val="24"/>
        </w:rPr>
      </w:pPr>
      <w:r>
        <w:rPr>
          <w:sz w:val="24"/>
          <w:szCs w:val="24"/>
        </w:rPr>
        <w:t>1. april 2022</w:t>
      </w:r>
    </w:p>
    <w:p w:rsidR="007444B2" w:rsidRPr="006C320E" w:rsidRDefault="007444B2" w:rsidP="007444B2"/>
    <w:p w:rsidR="007444B2" w:rsidRPr="00AB1E49" w:rsidRDefault="007444B2" w:rsidP="007444B2"/>
    <w:bookmarkEnd w:id="0"/>
    <w:p w:rsidR="009260DE" w:rsidRPr="007444B2" w:rsidRDefault="009260DE" w:rsidP="007444B2"/>
    <w:sectPr w:rsidR="009260DE" w:rsidRPr="007444B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4B2" w:rsidRDefault="007444B2">
      <w:r>
        <w:separator/>
      </w:r>
    </w:p>
  </w:endnote>
  <w:endnote w:type="continuationSeparator" w:id="0">
    <w:p w:rsidR="007444B2" w:rsidRDefault="0074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444B2">
      <w:rPr>
        <w:i/>
        <w:noProof/>
        <w:sz w:val="18"/>
        <w:szCs w:val="18"/>
      </w:rPr>
      <w:t>Dokument2189</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4B2" w:rsidRDefault="007444B2">
      <w:r>
        <w:separator/>
      </w:r>
    </w:p>
  </w:footnote>
  <w:footnote w:type="continuationSeparator" w:id="0">
    <w:p w:rsidR="007444B2" w:rsidRDefault="00744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B2"/>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444B2"/>
    <w:rsid w:val="0078011A"/>
    <w:rsid w:val="00782AF4"/>
    <w:rsid w:val="00790EE7"/>
    <w:rsid w:val="007B6649"/>
    <w:rsid w:val="0081546F"/>
    <w:rsid w:val="00821C3F"/>
    <w:rsid w:val="0082576E"/>
    <w:rsid w:val="008A36E4"/>
    <w:rsid w:val="00907F75"/>
    <w:rsid w:val="009260DE"/>
    <w:rsid w:val="0093258A"/>
    <w:rsid w:val="009C7BA3"/>
    <w:rsid w:val="009D1F5A"/>
    <w:rsid w:val="00A06414"/>
    <w:rsid w:val="00AF7FC4"/>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64581"/>
  <w15:chartTrackingRefBased/>
  <w15:docId w15:val="{D519D90F-0A59-4580-AAD9-FB87C771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7444B2"/>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8972">
      <w:bodyDiv w:val="1"/>
      <w:marLeft w:val="0"/>
      <w:marRight w:val="0"/>
      <w:marTop w:val="0"/>
      <w:marBottom w:val="0"/>
      <w:divBdr>
        <w:top w:val="none" w:sz="0" w:space="0" w:color="auto"/>
        <w:left w:val="none" w:sz="0" w:space="0" w:color="auto"/>
        <w:bottom w:val="none" w:sz="0" w:space="0" w:color="auto"/>
        <w:right w:val="none" w:sz="0" w:space="0" w:color="auto"/>
      </w:divBdr>
    </w:div>
    <w:div w:id="7054612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4153275">
      <w:bodyDiv w:val="1"/>
      <w:marLeft w:val="0"/>
      <w:marRight w:val="0"/>
      <w:marTop w:val="0"/>
      <w:marBottom w:val="0"/>
      <w:divBdr>
        <w:top w:val="none" w:sz="0" w:space="0" w:color="auto"/>
        <w:left w:val="none" w:sz="0" w:space="0" w:color="auto"/>
        <w:bottom w:val="none" w:sz="0" w:space="0" w:color="auto"/>
        <w:right w:val="none" w:sz="0" w:space="0" w:color="auto"/>
      </w:divBdr>
    </w:div>
    <w:div w:id="174613689">
      <w:bodyDiv w:val="1"/>
      <w:marLeft w:val="0"/>
      <w:marRight w:val="0"/>
      <w:marTop w:val="0"/>
      <w:marBottom w:val="0"/>
      <w:divBdr>
        <w:top w:val="none" w:sz="0" w:space="0" w:color="auto"/>
        <w:left w:val="none" w:sz="0" w:space="0" w:color="auto"/>
        <w:bottom w:val="none" w:sz="0" w:space="0" w:color="auto"/>
        <w:right w:val="none" w:sz="0" w:space="0" w:color="auto"/>
      </w:divBdr>
    </w:div>
    <w:div w:id="220218960">
      <w:bodyDiv w:val="1"/>
      <w:marLeft w:val="0"/>
      <w:marRight w:val="0"/>
      <w:marTop w:val="0"/>
      <w:marBottom w:val="0"/>
      <w:divBdr>
        <w:top w:val="none" w:sz="0" w:space="0" w:color="auto"/>
        <w:left w:val="none" w:sz="0" w:space="0" w:color="auto"/>
        <w:bottom w:val="none" w:sz="0" w:space="0" w:color="auto"/>
        <w:right w:val="none" w:sz="0" w:space="0" w:color="auto"/>
      </w:divBdr>
    </w:div>
    <w:div w:id="578910383">
      <w:bodyDiv w:val="1"/>
      <w:marLeft w:val="0"/>
      <w:marRight w:val="0"/>
      <w:marTop w:val="0"/>
      <w:marBottom w:val="0"/>
      <w:divBdr>
        <w:top w:val="none" w:sz="0" w:space="0" w:color="auto"/>
        <w:left w:val="none" w:sz="0" w:space="0" w:color="auto"/>
        <w:bottom w:val="none" w:sz="0" w:space="0" w:color="auto"/>
        <w:right w:val="none" w:sz="0" w:space="0" w:color="auto"/>
      </w:divBdr>
    </w:div>
    <w:div w:id="680545834">
      <w:bodyDiv w:val="1"/>
      <w:marLeft w:val="0"/>
      <w:marRight w:val="0"/>
      <w:marTop w:val="0"/>
      <w:marBottom w:val="0"/>
      <w:divBdr>
        <w:top w:val="none" w:sz="0" w:space="0" w:color="auto"/>
        <w:left w:val="none" w:sz="0" w:space="0" w:color="auto"/>
        <w:bottom w:val="none" w:sz="0" w:space="0" w:color="auto"/>
        <w:right w:val="none" w:sz="0" w:space="0" w:color="auto"/>
      </w:divBdr>
    </w:div>
    <w:div w:id="905385532">
      <w:bodyDiv w:val="1"/>
      <w:marLeft w:val="0"/>
      <w:marRight w:val="0"/>
      <w:marTop w:val="0"/>
      <w:marBottom w:val="0"/>
      <w:divBdr>
        <w:top w:val="none" w:sz="0" w:space="0" w:color="auto"/>
        <w:left w:val="none" w:sz="0" w:space="0" w:color="auto"/>
        <w:bottom w:val="none" w:sz="0" w:space="0" w:color="auto"/>
        <w:right w:val="none" w:sz="0" w:space="0" w:color="auto"/>
      </w:divBdr>
    </w:div>
    <w:div w:id="1023676251">
      <w:bodyDiv w:val="1"/>
      <w:marLeft w:val="0"/>
      <w:marRight w:val="0"/>
      <w:marTop w:val="0"/>
      <w:marBottom w:val="0"/>
      <w:divBdr>
        <w:top w:val="none" w:sz="0" w:space="0" w:color="auto"/>
        <w:left w:val="none" w:sz="0" w:space="0" w:color="auto"/>
        <w:bottom w:val="none" w:sz="0" w:space="0" w:color="auto"/>
        <w:right w:val="none" w:sz="0" w:space="0" w:color="auto"/>
      </w:divBdr>
    </w:div>
    <w:div w:id="1119035669">
      <w:bodyDiv w:val="1"/>
      <w:marLeft w:val="0"/>
      <w:marRight w:val="0"/>
      <w:marTop w:val="0"/>
      <w:marBottom w:val="0"/>
      <w:divBdr>
        <w:top w:val="none" w:sz="0" w:space="0" w:color="auto"/>
        <w:left w:val="none" w:sz="0" w:space="0" w:color="auto"/>
        <w:bottom w:val="none" w:sz="0" w:space="0" w:color="auto"/>
        <w:right w:val="none" w:sz="0" w:space="0" w:color="auto"/>
      </w:divBdr>
    </w:div>
    <w:div w:id="1140612504">
      <w:bodyDiv w:val="1"/>
      <w:marLeft w:val="0"/>
      <w:marRight w:val="0"/>
      <w:marTop w:val="0"/>
      <w:marBottom w:val="0"/>
      <w:divBdr>
        <w:top w:val="none" w:sz="0" w:space="0" w:color="auto"/>
        <w:left w:val="none" w:sz="0" w:space="0" w:color="auto"/>
        <w:bottom w:val="none" w:sz="0" w:space="0" w:color="auto"/>
        <w:right w:val="none" w:sz="0" w:space="0" w:color="auto"/>
      </w:divBdr>
    </w:div>
    <w:div w:id="1186364778">
      <w:bodyDiv w:val="1"/>
      <w:marLeft w:val="0"/>
      <w:marRight w:val="0"/>
      <w:marTop w:val="0"/>
      <w:marBottom w:val="0"/>
      <w:divBdr>
        <w:top w:val="none" w:sz="0" w:space="0" w:color="auto"/>
        <w:left w:val="none" w:sz="0" w:space="0" w:color="auto"/>
        <w:bottom w:val="none" w:sz="0" w:space="0" w:color="auto"/>
        <w:right w:val="none" w:sz="0" w:space="0" w:color="auto"/>
      </w:divBdr>
    </w:div>
    <w:div w:id="1195771107">
      <w:bodyDiv w:val="1"/>
      <w:marLeft w:val="0"/>
      <w:marRight w:val="0"/>
      <w:marTop w:val="0"/>
      <w:marBottom w:val="0"/>
      <w:divBdr>
        <w:top w:val="none" w:sz="0" w:space="0" w:color="auto"/>
        <w:left w:val="none" w:sz="0" w:space="0" w:color="auto"/>
        <w:bottom w:val="none" w:sz="0" w:space="0" w:color="auto"/>
        <w:right w:val="none" w:sz="0" w:space="0" w:color="auto"/>
      </w:divBdr>
    </w:div>
    <w:div w:id="1210410221">
      <w:bodyDiv w:val="1"/>
      <w:marLeft w:val="0"/>
      <w:marRight w:val="0"/>
      <w:marTop w:val="0"/>
      <w:marBottom w:val="0"/>
      <w:divBdr>
        <w:top w:val="none" w:sz="0" w:space="0" w:color="auto"/>
        <w:left w:val="none" w:sz="0" w:space="0" w:color="auto"/>
        <w:bottom w:val="none" w:sz="0" w:space="0" w:color="auto"/>
        <w:right w:val="none" w:sz="0" w:space="0" w:color="auto"/>
      </w:divBdr>
    </w:div>
    <w:div w:id="1393653735">
      <w:bodyDiv w:val="1"/>
      <w:marLeft w:val="0"/>
      <w:marRight w:val="0"/>
      <w:marTop w:val="0"/>
      <w:marBottom w:val="0"/>
      <w:divBdr>
        <w:top w:val="none" w:sz="0" w:space="0" w:color="auto"/>
        <w:left w:val="none" w:sz="0" w:space="0" w:color="auto"/>
        <w:bottom w:val="none" w:sz="0" w:space="0" w:color="auto"/>
        <w:right w:val="none" w:sz="0" w:space="0" w:color="auto"/>
      </w:divBdr>
    </w:div>
    <w:div w:id="1394623907">
      <w:bodyDiv w:val="1"/>
      <w:marLeft w:val="0"/>
      <w:marRight w:val="0"/>
      <w:marTop w:val="0"/>
      <w:marBottom w:val="0"/>
      <w:divBdr>
        <w:top w:val="none" w:sz="0" w:space="0" w:color="auto"/>
        <w:left w:val="none" w:sz="0" w:space="0" w:color="auto"/>
        <w:bottom w:val="none" w:sz="0" w:space="0" w:color="auto"/>
        <w:right w:val="none" w:sz="0" w:space="0" w:color="auto"/>
      </w:divBdr>
    </w:div>
    <w:div w:id="1663973343">
      <w:bodyDiv w:val="1"/>
      <w:marLeft w:val="0"/>
      <w:marRight w:val="0"/>
      <w:marTop w:val="0"/>
      <w:marBottom w:val="0"/>
      <w:divBdr>
        <w:top w:val="none" w:sz="0" w:space="0" w:color="auto"/>
        <w:left w:val="none" w:sz="0" w:space="0" w:color="auto"/>
        <w:bottom w:val="none" w:sz="0" w:space="0" w:color="auto"/>
        <w:right w:val="none" w:sz="0" w:space="0" w:color="auto"/>
      </w:divBdr>
    </w:div>
    <w:div w:id="2064253987">
      <w:bodyDiv w:val="1"/>
      <w:marLeft w:val="0"/>
      <w:marRight w:val="0"/>
      <w:marTop w:val="0"/>
      <w:marBottom w:val="0"/>
      <w:divBdr>
        <w:top w:val="none" w:sz="0" w:space="0" w:color="auto"/>
        <w:left w:val="none" w:sz="0" w:space="0" w:color="auto"/>
        <w:bottom w:val="none" w:sz="0" w:space="0" w:color="auto"/>
        <w:right w:val="none" w:sz="0" w:space="0" w:color="auto"/>
      </w:divBdr>
    </w:div>
    <w:div w:id="2070762950">
      <w:bodyDiv w:val="1"/>
      <w:marLeft w:val="0"/>
      <w:marRight w:val="0"/>
      <w:marTop w:val="0"/>
      <w:marBottom w:val="0"/>
      <w:divBdr>
        <w:top w:val="none" w:sz="0" w:space="0" w:color="auto"/>
        <w:left w:val="none" w:sz="0" w:space="0" w:color="auto"/>
        <w:bottom w:val="none" w:sz="0" w:space="0" w:color="auto"/>
        <w:right w:val="none" w:sz="0" w:space="0" w:color="auto"/>
      </w:divBdr>
    </w:div>
    <w:div w:id="211466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14</TotalTime>
  <Pages>7</Pages>
  <Words>1555</Words>
  <Characters>10101</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Janni Weihrauch </dc:creator>
  <cp:keywords/>
  <dc:description>2021062263, pkt. 4.2, 4.3, 4.4, 4.5, 4.6, 4.7, 4.8, 4.9, 5.3, 6,4, 7.0</dc:description>
  <cp:lastModifiedBy>Janni Kim Ekwall Weihrauch</cp:lastModifiedBy>
  <cp:revision>5</cp:revision>
  <cp:lastPrinted>2012-08-22T08:53:00Z</cp:lastPrinted>
  <dcterms:created xsi:type="dcterms:W3CDTF">2022-04-01T07:05:00Z</dcterms:created>
  <dcterms:modified xsi:type="dcterms:W3CDTF">2022-04-01T07:22:00Z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