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46C" w:rsidRPr="008F49E1" w:rsidRDefault="0070746C" w:rsidP="0070746C">
      <w:pPr>
        <w:rPr>
          <w:sz w:val="24"/>
          <w:szCs w:val="24"/>
        </w:rPr>
      </w:pPr>
      <w:r w:rsidRPr="009260DE">
        <w:rPr>
          <w:noProof/>
          <w:sz w:val="24"/>
          <w:szCs w:val="24"/>
          <w:lang w:eastAsia="da-DK"/>
        </w:rPr>
        <w:drawing>
          <wp:anchor distT="0" distB="0" distL="114300" distR="114300" simplePos="0" relativeHeight="251659264" behindDoc="0" locked="0" layoutInCell="1" allowOverlap="1" wp14:anchorId="64B8F604" wp14:editId="26C2F2B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0746C" w:rsidRPr="00C84483" w:rsidRDefault="0070746C" w:rsidP="0070746C">
      <w:pPr>
        <w:pStyle w:val="Titel"/>
        <w:tabs>
          <w:tab w:val="right" w:pos="9356"/>
        </w:tabs>
        <w:jc w:val="left"/>
        <w:rPr>
          <w:b w:val="0"/>
          <w:szCs w:val="24"/>
          <w:lang w:eastAsia="en-US"/>
        </w:rPr>
      </w:pPr>
    </w:p>
    <w:p w:rsidR="0070746C" w:rsidRPr="00C84483" w:rsidRDefault="0070746C" w:rsidP="0070746C">
      <w:pPr>
        <w:pStyle w:val="Titel"/>
        <w:tabs>
          <w:tab w:val="right" w:pos="9356"/>
        </w:tabs>
        <w:jc w:val="left"/>
        <w:rPr>
          <w:b w:val="0"/>
          <w:szCs w:val="24"/>
          <w:lang w:eastAsia="en-US"/>
        </w:rPr>
      </w:pPr>
      <w:r w:rsidRPr="00C84483">
        <w:rPr>
          <w:b w:val="0"/>
          <w:szCs w:val="24"/>
          <w:lang w:eastAsia="en-US"/>
        </w:rPr>
        <w:tab/>
      </w:r>
      <w:r w:rsidR="00315680">
        <w:rPr>
          <w:szCs w:val="24"/>
        </w:rPr>
        <w:t>19</w:t>
      </w:r>
      <w:r w:rsidR="00921427">
        <w:rPr>
          <w:szCs w:val="24"/>
        </w:rPr>
        <w:t>.</w:t>
      </w:r>
      <w:r w:rsidR="00612BC2">
        <w:rPr>
          <w:szCs w:val="24"/>
        </w:rPr>
        <w:t xml:space="preserve"> </w:t>
      </w:r>
      <w:r w:rsidR="00315680">
        <w:rPr>
          <w:szCs w:val="24"/>
        </w:rPr>
        <w:t xml:space="preserve">november </w:t>
      </w:r>
      <w:r w:rsidR="00612BC2">
        <w:rPr>
          <w:szCs w:val="24"/>
        </w:rPr>
        <w:t>2024</w:t>
      </w:r>
    </w:p>
    <w:p w:rsidR="0070746C" w:rsidRPr="00C84483" w:rsidRDefault="0070746C" w:rsidP="0070746C">
      <w:pPr>
        <w:pStyle w:val="Titel"/>
        <w:tabs>
          <w:tab w:val="left" w:pos="8222"/>
        </w:tabs>
        <w:jc w:val="left"/>
        <w:rPr>
          <w:b w:val="0"/>
          <w:szCs w:val="24"/>
        </w:rPr>
      </w:pPr>
    </w:p>
    <w:p w:rsidR="0070746C" w:rsidRPr="00C84483" w:rsidRDefault="0070746C" w:rsidP="0070746C">
      <w:pPr>
        <w:pStyle w:val="Titel"/>
        <w:jc w:val="left"/>
        <w:rPr>
          <w:b w:val="0"/>
          <w:szCs w:val="24"/>
        </w:rPr>
      </w:pPr>
    </w:p>
    <w:p w:rsidR="0070746C" w:rsidRPr="00C84483" w:rsidRDefault="0070746C" w:rsidP="0070746C">
      <w:pPr>
        <w:pStyle w:val="Titel"/>
        <w:jc w:val="left"/>
        <w:rPr>
          <w:b w:val="0"/>
          <w:szCs w:val="24"/>
        </w:rPr>
      </w:pPr>
    </w:p>
    <w:p w:rsidR="0070746C" w:rsidRPr="00C84483" w:rsidRDefault="0070746C" w:rsidP="0070746C">
      <w:pPr>
        <w:jc w:val="center"/>
        <w:rPr>
          <w:b/>
          <w:sz w:val="24"/>
          <w:szCs w:val="24"/>
        </w:rPr>
      </w:pPr>
      <w:r w:rsidRPr="00C84483">
        <w:rPr>
          <w:b/>
          <w:sz w:val="24"/>
          <w:szCs w:val="24"/>
        </w:rPr>
        <w:t>PRODUKTRESUMÉ</w:t>
      </w:r>
    </w:p>
    <w:p w:rsidR="0070746C" w:rsidRPr="00C84483" w:rsidRDefault="0070746C" w:rsidP="0070746C">
      <w:pPr>
        <w:tabs>
          <w:tab w:val="left" w:pos="651"/>
        </w:tabs>
        <w:rPr>
          <w:b/>
          <w:sz w:val="24"/>
          <w:szCs w:val="24"/>
        </w:rPr>
      </w:pPr>
      <w:r>
        <w:rPr>
          <w:b/>
          <w:sz w:val="24"/>
          <w:szCs w:val="24"/>
        </w:rPr>
        <w:tab/>
      </w:r>
    </w:p>
    <w:p w:rsidR="0070746C" w:rsidRDefault="0070746C" w:rsidP="0070746C">
      <w:pPr>
        <w:jc w:val="center"/>
        <w:rPr>
          <w:b/>
          <w:sz w:val="24"/>
          <w:szCs w:val="24"/>
        </w:rPr>
      </w:pPr>
      <w:r w:rsidRPr="00C84483">
        <w:rPr>
          <w:b/>
          <w:sz w:val="24"/>
          <w:szCs w:val="24"/>
        </w:rPr>
        <w:t>for</w:t>
      </w:r>
    </w:p>
    <w:p w:rsidR="0070746C" w:rsidRPr="00C84483" w:rsidRDefault="0070746C" w:rsidP="0070746C">
      <w:pPr>
        <w:jc w:val="center"/>
        <w:rPr>
          <w:b/>
          <w:sz w:val="24"/>
          <w:szCs w:val="24"/>
        </w:rPr>
      </w:pPr>
    </w:p>
    <w:p w:rsidR="0070746C" w:rsidRPr="00C84483" w:rsidRDefault="0070746C" w:rsidP="0070746C">
      <w:pPr>
        <w:jc w:val="center"/>
        <w:rPr>
          <w:b/>
          <w:sz w:val="24"/>
          <w:szCs w:val="24"/>
        </w:rPr>
      </w:pPr>
      <w:proofErr w:type="spellStart"/>
      <w:r>
        <w:rPr>
          <w:b/>
          <w:sz w:val="24"/>
          <w:szCs w:val="24"/>
        </w:rPr>
        <w:t>Gabapentin</w:t>
      </w:r>
      <w:proofErr w:type="spellEnd"/>
      <w:r>
        <w:rPr>
          <w:b/>
          <w:sz w:val="24"/>
          <w:szCs w:val="24"/>
        </w:rPr>
        <w:t xml:space="preserve"> "</w:t>
      </w:r>
      <w:proofErr w:type="spellStart"/>
      <w:r>
        <w:rPr>
          <w:b/>
          <w:sz w:val="24"/>
          <w:szCs w:val="24"/>
        </w:rPr>
        <w:t>Accord</w:t>
      </w:r>
      <w:proofErr w:type="spellEnd"/>
      <w:r>
        <w:rPr>
          <w:b/>
          <w:sz w:val="24"/>
          <w:szCs w:val="24"/>
        </w:rPr>
        <w:t>", hårde kapsler</w:t>
      </w:r>
    </w:p>
    <w:p w:rsidR="0070746C" w:rsidRPr="00C84483" w:rsidRDefault="0070746C" w:rsidP="0070746C">
      <w:pPr>
        <w:jc w:val="both"/>
        <w:rPr>
          <w:sz w:val="24"/>
          <w:szCs w:val="24"/>
        </w:rPr>
      </w:pPr>
    </w:p>
    <w:p w:rsidR="0070746C" w:rsidRPr="00C84483" w:rsidRDefault="0070746C" w:rsidP="0070746C">
      <w:pPr>
        <w:jc w:val="both"/>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0.</w:t>
      </w:r>
      <w:r w:rsidRPr="00C84483">
        <w:rPr>
          <w:b/>
          <w:sz w:val="24"/>
          <w:szCs w:val="24"/>
        </w:rPr>
        <w:tab/>
        <w:t>D.SP.NR.</w:t>
      </w:r>
    </w:p>
    <w:p w:rsidR="0070746C" w:rsidRPr="00C84483" w:rsidRDefault="0070746C" w:rsidP="0070746C">
      <w:pPr>
        <w:tabs>
          <w:tab w:val="left" w:pos="851"/>
        </w:tabs>
        <w:ind w:left="851"/>
        <w:rPr>
          <w:sz w:val="24"/>
          <w:szCs w:val="24"/>
        </w:rPr>
      </w:pPr>
      <w:r>
        <w:rPr>
          <w:sz w:val="24"/>
          <w:szCs w:val="24"/>
        </w:rPr>
        <w:t>29955</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1.</w:t>
      </w:r>
      <w:r w:rsidRPr="00C84483">
        <w:rPr>
          <w:b/>
          <w:sz w:val="24"/>
          <w:szCs w:val="24"/>
        </w:rPr>
        <w:tab/>
        <w:t>LÆGEMIDLETS NAVN</w:t>
      </w:r>
    </w:p>
    <w:p w:rsidR="0070746C" w:rsidRPr="00C84483" w:rsidRDefault="0070746C" w:rsidP="0070746C">
      <w:pPr>
        <w:tabs>
          <w:tab w:val="left" w:pos="851"/>
        </w:tabs>
        <w:ind w:left="851"/>
        <w:rPr>
          <w:sz w:val="24"/>
          <w:szCs w:val="24"/>
        </w:rPr>
      </w:pPr>
      <w:proofErr w:type="spellStart"/>
      <w:r>
        <w:rPr>
          <w:sz w:val="24"/>
          <w:szCs w:val="24"/>
        </w:rPr>
        <w:t>Gabapentin</w:t>
      </w:r>
      <w:proofErr w:type="spellEnd"/>
      <w:r>
        <w:rPr>
          <w:sz w:val="24"/>
          <w:szCs w:val="24"/>
        </w:rPr>
        <w:t xml:space="preserve"> "</w:t>
      </w:r>
      <w:proofErr w:type="spellStart"/>
      <w:r>
        <w:rPr>
          <w:sz w:val="24"/>
          <w:szCs w:val="24"/>
        </w:rPr>
        <w:t>Accord</w:t>
      </w:r>
      <w:proofErr w:type="spellEnd"/>
      <w:r>
        <w:rPr>
          <w:sz w:val="24"/>
          <w:szCs w:val="24"/>
        </w:rPr>
        <w:t>"</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0746C" w:rsidRPr="00C829F3" w:rsidRDefault="0070746C" w:rsidP="0070746C">
      <w:pPr>
        <w:ind w:left="851"/>
        <w:rPr>
          <w:sz w:val="24"/>
          <w:szCs w:val="24"/>
          <w:lang w:eastAsia="da-DK"/>
        </w:rPr>
      </w:pPr>
      <w:r w:rsidRPr="00C829F3">
        <w:rPr>
          <w:sz w:val="24"/>
          <w:szCs w:val="24"/>
          <w:lang w:eastAsia="da-DK"/>
        </w:rPr>
        <w:t xml:space="preserve">Hver 300 mg hård kapsel indeholder 300 mg </w:t>
      </w:r>
      <w:proofErr w:type="spellStart"/>
      <w:r w:rsidRPr="00C829F3">
        <w:rPr>
          <w:sz w:val="24"/>
          <w:szCs w:val="24"/>
          <w:lang w:eastAsia="da-DK"/>
        </w:rPr>
        <w:t>gabapentin</w:t>
      </w:r>
      <w:proofErr w:type="spellEnd"/>
      <w:r w:rsidRPr="00C829F3">
        <w:rPr>
          <w:sz w:val="24"/>
          <w:szCs w:val="24"/>
          <w:lang w:eastAsia="da-DK"/>
        </w:rPr>
        <w:t>.</w:t>
      </w:r>
    </w:p>
    <w:p w:rsidR="0070746C" w:rsidRPr="00C829F3" w:rsidRDefault="0070746C" w:rsidP="0070746C">
      <w:pPr>
        <w:ind w:left="851"/>
        <w:rPr>
          <w:sz w:val="24"/>
          <w:szCs w:val="24"/>
          <w:lang w:eastAsia="da-DK"/>
        </w:rPr>
      </w:pPr>
      <w:r w:rsidRPr="00C829F3">
        <w:rPr>
          <w:sz w:val="24"/>
          <w:szCs w:val="24"/>
          <w:lang w:eastAsia="da-DK"/>
        </w:rPr>
        <w:t xml:space="preserve">Hver 400 mg hård kapsel indeholder 400 mg </w:t>
      </w:r>
      <w:proofErr w:type="spellStart"/>
      <w:r w:rsidRPr="00C829F3">
        <w:rPr>
          <w:sz w:val="24"/>
          <w:szCs w:val="24"/>
          <w:lang w:eastAsia="da-DK"/>
        </w:rPr>
        <w:t>gabapentin</w:t>
      </w:r>
      <w:proofErr w:type="spellEnd"/>
      <w:r w:rsidRPr="00C829F3">
        <w:rPr>
          <w:sz w:val="24"/>
          <w:szCs w:val="24"/>
          <w:lang w:eastAsia="da-DK"/>
        </w:rPr>
        <w:t>.</w:t>
      </w:r>
    </w:p>
    <w:p w:rsidR="0070746C" w:rsidRPr="00C829F3" w:rsidRDefault="0070746C" w:rsidP="0070746C">
      <w:pPr>
        <w:ind w:left="851"/>
        <w:rPr>
          <w:sz w:val="24"/>
          <w:szCs w:val="24"/>
          <w:lang w:eastAsia="da-DK"/>
        </w:rPr>
      </w:pPr>
    </w:p>
    <w:p w:rsidR="0070746C" w:rsidRPr="00C84483" w:rsidRDefault="0070746C" w:rsidP="0070746C">
      <w:pPr>
        <w:ind w:left="851"/>
        <w:rPr>
          <w:sz w:val="24"/>
          <w:szCs w:val="24"/>
          <w:lang w:eastAsia="da-DK"/>
        </w:rPr>
      </w:pPr>
      <w:r w:rsidRPr="00C829F3">
        <w:rPr>
          <w:sz w:val="24"/>
          <w:szCs w:val="24"/>
          <w:lang w:eastAsia="da-DK"/>
        </w:rPr>
        <w:t>Alle hjælpestoffer er anført under pkt. 6.1.</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3.</w:t>
      </w:r>
      <w:r w:rsidRPr="00C84483">
        <w:rPr>
          <w:b/>
          <w:sz w:val="24"/>
          <w:szCs w:val="24"/>
        </w:rPr>
        <w:tab/>
        <w:t>LÆGEMIDDELFORM</w:t>
      </w:r>
    </w:p>
    <w:p w:rsidR="0070746C" w:rsidRPr="00C829F3" w:rsidRDefault="0070746C" w:rsidP="0070746C">
      <w:pPr>
        <w:ind w:left="851"/>
        <w:rPr>
          <w:sz w:val="24"/>
          <w:szCs w:val="24"/>
          <w:lang w:eastAsia="da-DK"/>
        </w:rPr>
      </w:pPr>
      <w:r>
        <w:rPr>
          <w:sz w:val="24"/>
          <w:szCs w:val="24"/>
          <w:lang w:eastAsia="da-DK"/>
        </w:rPr>
        <w:t>Hårde kapsler</w:t>
      </w:r>
    </w:p>
    <w:p w:rsidR="0070746C" w:rsidRPr="00C829F3" w:rsidRDefault="0070746C" w:rsidP="0070746C">
      <w:pPr>
        <w:ind w:left="851"/>
        <w:rPr>
          <w:sz w:val="24"/>
          <w:szCs w:val="24"/>
          <w:lang w:eastAsia="da-DK"/>
        </w:rPr>
      </w:pPr>
    </w:p>
    <w:p w:rsidR="0070746C" w:rsidRPr="00E41AB2" w:rsidRDefault="0070746C" w:rsidP="0070746C">
      <w:pPr>
        <w:ind w:left="851"/>
        <w:rPr>
          <w:sz w:val="24"/>
          <w:szCs w:val="24"/>
          <w:u w:val="single"/>
          <w:lang w:eastAsia="da-DK"/>
        </w:rPr>
      </w:pPr>
      <w:r w:rsidRPr="00E41AB2">
        <w:rPr>
          <w:sz w:val="24"/>
          <w:szCs w:val="24"/>
          <w:u w:val="single"/>
          <w:lang w:eastAsia="da-DK"/>
        </w:rPr>
        <w:t>300 mg</w:t>
      </w:r>
    </w:p>
    <w:p w:rsidR="0070746C" w:rsidRPr="00C829F3" w:rsidRDefault="0070746C" w:rsidP="0070746C">
      <w:pPr>
        <w:ind w:left="851"/>
        <w:rPr>
          <w:sz w:val="24"/>
          <w:szCs w:val="24"/>
          <w:lang w:eastAsia="da-DK"/>
        </w:rPr>
      </w:pPr>
      <w:r w:rsidRPr="00C829F3">
        <w:rPr>
          <w:sz w:val="24"/>
          <w:szCs w:val="24"/>
          <w:lang w:eastAsia="da-DK"/>
        </w:rPr>
        <w:t>Mat gul/gulligfarvet størrelse "1", ca. 18,90 til 19,70 mm lange, hårde gelatinekapsler påtrykt "G 300" på kapslen med blåt blæk, indeholder hvidt til råhvidt pulver.</w:t>
      </w:r>
    </w:p>
    <w:p w:rsidR="0070746C" w:rsidRPr="00C829F3" w:rsidRDefault="0070746C" w:rsidP="0070746C">
      <w:pPr>
        <w:ind w:left="851"/>
        <w:rPr>
          <w:sz w:val="24"/>
          <w:szCs w:val="24"/>
          <w:lang w:eastAsia="da-DK"/>
        </w:rPr>
      </w:pPr>
    </w:p>
    <w:p w:rsidR="0070746C" w:rsidRPr="00E41AB2" w:rsidRDefault="0070746C" w:rsidP="0070746C">
      <w:pPr>
        <w:ind w:left="851"/>
        <w:rPr>
          <w:sz w:val="24"/>
          <w:szCs w:val="24"/>
          <w:u w:val="single"/>
          <w:lang w:eastAsia="da-DK"/>
        </w:rPr>
      </w:pPr>
      <w:r w:rsidRPr="00E41AB2">
        <w:rPr>
          <w:sz w:val="24"/>
          <w:szCs w:val="24"/>
          <w:u w:val="single"/>
          <w:lang w:eastAsia="da-DK"/>
        </w:rPr>
        <w:t>400 mg</w:t>
      </w:r>
    </w:p>
    <w:p w:rsidR="0070746C" w:rsidRPr="00C84483" w:rsidRDefault="0070746C" w:rsidP="0070746C">
      <w:pPr>
        <w:ind w:left="851"/>
        <w:rPr>
          <w:sz w:val="24"/>
          <w:szCs w:val="24"/>
          <w:lang w:eastAsia="da-DK"/>
        </w:rPr>
      </w:pPr>
      <w:r w:rsidRPr="00C829F3">
        <w:rPr>
          <w:sz w:val="24"/>
          <w:szCs w:val="24"/>
          <w:lang w:eastAsia="da-DK"/>
        </w:rPr>
        <w:t>Mat orange/orangefarvet størrelse "0", ca. 21,00 til 21,80 mm lange, hårde gelatinekapsler påtrykt "G 400" på kapslen med blåt blæk, indeholder hvidt til råhvidt pulver.</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4.</w:t>
      </w:r>
      <w:r w:rsidRPr="00C84483">
        <w:rPr>
          <w:b/>
          <w:sz w:val="24"/>
          <w:szCs w:val="24"/>
        </w:rPr>
        <w:tab/>
        <w:t>KLINISKE OPLYSNINGER</w:t>
      </w:r>
    </w:p>
    <w:p w:rsidR="0070746C" w:rsidRPr="00C84483" w:rsidRDefault="0070746C" w:rsidP="0070746C">
      <w:pPr>
        <w:tabs>
          <w:tab w:val="left" w:pos="851"/>
        </w:tabs>
        <w:ind w:left="851"/>
        <w:rPr>
          <w:b/>
          <w:sz w:val="24"/>
          <w:szCs w:val="24"/>
        </w:rPr>
      </w:pPr>
    </w:p>
    <w:p w:rsidR="0070746C" w:rsidRDefault="0070746C" w:rsidP="0070746C">
      <w:pPr>
        <w:tabs>
          <w:tab w:val="left" w:pos="851"/>
        </w:tabs>
        <w:ind w:left="851" w:hanging="851"/>
        <w:rPr>
          <w:sz w:val="24"/>
          <w:szCs w:val="24"/>
          <w:u w:val="single"/>
          <w:lang w:eastAsia="da-DK"/>
        </w:rPr>
      </w:pPr>
      <w:r w:rsidRPr="00C84483">
        <w:rPr>
          <w:b/>
          <w:sz w:val="24"/>
          <w:szCs w:val="24"/>
        </w:rPr>
        <w:t>4.1</w:t>
      </w:r>
      <w:r w:rsidRPr="00C84483">
        <w:rPr>
          <w:b/>
          <w:sz w:val="24"/>
          <w:szCs w:val="24"/>
        </w:rPr>
        <w:tab/>
        <w:t>Terapeutiske indikationer</w:t>
      </w:r>
      <w:bookmarkStart w:id="0" w:name="OLE_LINK16"/>
    </w:p>
    <w:p w:rsidR="0070746C" w:rsidRPr="00C829F3" w:rsidRDefault="0070746C" w:rsidP="0070746C">
      <w:pPr>
        <w:ind w:left="851"/>
        <w:rPr>
          <w:sz w:val="24"/>
          <w:szCs w:val="24"/>
          <w:u w:val="single"/>
          <w:lang w:eastAsia="da-DK"/>
        </w:rPr>
      </w:pPr>
      <w:r w:rsidRPr="00C829F3">
        <w:rPr>
          <w:sz w:val="24"/>
          <w:szCs w:val="24"/>
          <w:u w:val="single"/>
          <w:lang w:eastAsia="da-DK"/>
        </w:rPr>
        <w:t>Epilepsi</w:t>
      </w:r>
    </w:p>
    <w:p w:rsidR="0070746C" w:rsidRPr="00C829F3" w:rsidRDefault="0070746C" w:rsidP="0070746C">
      <w:pPr>
        <w:ind w:left="851"/>
        <w:rPr>
          <w:sz w:val="24"/>
          <w:szCs w:val="24"/>
          <w:lang w:eastAsia="da-DK"/>
        </w:rPr>
      </w:pPr>
      <w:proofErr w:type="spellStart"/>
      <w:r w:rsidRPr="00C829F3">
        <w:rPr>
          <w:sz w:val="24"/>
          <w:szCs w:val="24"/>
          <w:lang w:eastAsia="da-DK"/>
        </w:rPr>
        <w:t>Gabapentin</w:t>
      </w:r>
      <w:proofErr w:type="spellEnd"/>
      <w:r w:rsidRPr="00C829F3">
        <w:rPr>
          <w:sz w:val="24"/>
          <w:szCs w:val="24"/>
          <w:lang w:eastAsia="da-DK"/>
        </w:rPr>
        <w:t xml:space="preserve"> er indiceret som tillægsbehandling af partiel epilepsi med eller uden sekundære, generaliserede anfald hos voksne og børn på 6 år og derover (se pkt. 5.1).</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lang w:eastAsia="da-DK"/>
        </w:rPr>
      </w:pPr>
      <w:proofErr w:type="spellStart"/>
      <w:r w:rsidRPr="00C829F3">
        <w:rPr>
          <w:sz w:val="24"/>
          <w:szCs w:val="24"/>
          <w:lang w:eastAsia="da-DK"/>
        </w:rPr>
        <w:t>Gabapentin</w:t>
      </w:r>
      <w:proofErr w:type="spellEnd"/>
      <w:r w:rsidRPr="00C829F3">
        <w:rPr>
          <w:sz w:val="24"/>
          <w:szCs w:val="24"/>
          <w:lang w:eastAsia="da-DK"/>
        </w:rPr>
        <w:t xml:space="preserve"> er indiceret som monoterapi til behandling af partiel epilepsi med eller uden sekundære, generaliserede anfald hos voksne og børn på 12 år og derover (se pkt. 5.1).</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lang w:eastAsia="da-DK"/>
        </w:rPr>
      </w:pPr>
      <w:r w:rsidRPr="00C829F3">
        <w:rPr>
          <w:sz w:val="24"/>
          <w:szCs w:val="24"/>
          <w:u w:val="single"/>
          <w:lang w:eastAsia="da-DK"/>
        </w:rPr>
        <w:lastRenderedPageBreak/>
        <w:t>Behandling af perifere neuropatiske smerter</w:t>
      </w:r>
    </w:p>
    <w:p w:rsidR="0070746C" w:rsidRPr="00C829F3" w:rsidRDefault="0070746C" w:rsidP="0070746C">
      <w:pPr>
        <w:ind w:left="851"/>
        <w:rPr>
          <w:sz w:val="24"/>
          <w:szCs w:val="24"/>
          <w:lang w:eastAsia="da-DK"/>
        </w:rPr>
      </w:pPr>
      <w:proofErr w:type="spellStart"/>
      <w:r w:rsidRPr="00C829F3">
        <w:rPr>
          <w:sz w:val="24"/>
          <w:szCs w:val="24"/>
          <w:lang w:eastAsia="da-DK"/>
        </w:rPr>
        <w:t>Gabapentin</w:t>
      </w:r>
      <w:proofErr w:type="spellEnd"/>
      <w:r w:rsidRPr="00C829F3">
        <w:rPr>
          <w:sz w:val="24"/>
          <w:szCs w:val="24"/>
          <w:lang w:eastAsia="da-DK"/>
        </w:rPr>
        <w:t xml:space="preserve"> er indiceret til behandling af perifere neuropatiske smerter som smertefuld diabetisk </w:t>
      </w:r>
      <w:proofErr w:type="spellStart"/>
      <w:r w:rsidRPr="00C829F3">
        <w:rPr>
          <w:sz w:val="24"/>
          <w:szCs w:val="24"/>
          <w:lang w:eastAsia="da-DK"/>
        </w:rPr>
        <w:t>neuropati</w:t>
      </w:r>
      <w:proofErr w:type="spellEnd"/>
      <w:r w:rsidRPr="00C829F3">
        <w:rPr>
          <w:sz w:val="24"/>
          <w:szCs w:val="24"/>
          <w:lang w:eastAsia="da-DK"/>
        </w:rPr>
        <w:t xml:space="preserve"> og </w:t>
      </w:r>
      <w:proofErr w:type="spellStart"/>
      <w:r w:rsidRPr="00C829F3">
        <w:rPr>
          <w:sz w:val="24"/>
          <w:szCs w:val="24"/>
          <w:lang w:eastAsia="da-DK"/>
        </w:rPr>
        <w:t>postherpetisk</w:t>
      </w:r>
      <w:proofErr w:type="spellEnd"/>
      <w:r w:rsidRPr="00C829F3">
        <w:rPr>
          <w:sz w:val="24"/>
          <w:szCs w:val="24"/>
          <w:lang w:eastAsia="da-DK"/>
        </w:rPr>
        <w:t xml:space="preserve"> neuralgi hos voksne.</w:t>
      </w:r>
    </w:p>
    <w:bookmarkEnd w:id="0"/>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CC223B">
        <w:rPr>
          <w:b/>
          <w:sz w:val="24"/>
          <w:szCs w:val="24"/>
        </w:rPr>
        <w:t>administration</w:t>
      </w:r>
    </w:p>
    <w:p w:rsidR="0070746C" w:rsidRPr="00C829F3" w:rsidRDefault="0070746C" w:rsidP="0070746C">
      <w:pPr>
        <w:ind w:left="851"/>
        <w:rPr>
          <w:sz w:val="24"/>
          <w:szCs w:val="24"/>
          <w:lang w:eastAsia="da-DK"/>
        </w:rPr>
      </w:pPr>
      <w:r w:rsidRPr="00C829F3">
        <w:rPr>
          <w:sz w:val="24"/>
          <w:szCs w:val="24"/>
          <w:lang w:eastAsia="da-DK"/>
        </w:rPr>
        <w:t>For alle indikationer er initiering af behandlingen anført i titreringsskemaet i tabel 1. Dette anbefales til voksne og til børn på 12 år og derover. Doseringsvejledning til børn under 12 år er anført i et særskilt underafsnit senere i dette afsnit.</w:t>
      </w:r>
    </w:p>
    <w:p w:rsidR="0070746C" w:rsidRPr="00C829F3" w:rsidRDefault="0070746C" w:rsidP="0070746C">
      <w:pPr>
        <w:ind w:left="851"/>
        <w:rPr>
          <w:sz w:val="24"/>
          <w:szCs w:val="24"/>
          <w:lang w:eastAsia="da-D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551"/>
        <w:gridCol w:w="2694"/>
      </w:tblGrid>
      <w:tr w:rsidR="0070746C" w:rsidRPr="00C829F3" w:rsidTr="00CC223B">
        <w:trPr>
          <w:jc w:val="center"/>
        </w:trPr>
        <w:tc>
          <w:tcPr>
            <w:tcW w:w="7792" w:type="dxa"/>
            <w:gridSpan w:val="3"/>
            <w:vAlign w:val="center"/>
          </w:tcPr>
          <w:p w:rsidR="0070746C" w:rsidRPr="00C829F3" w:rsidRDefault="0070746C" w:rsidP="00CC223B">
            <w:pPr>
              <w:keepNext/>
              <w:ind w:left="29"/>
              <w:rPr>
                <w:sz w:val="24"/>
                <w:szCs w:val="24"/>
                <w:lang w:eastAsia="da-DK"/>
              </w:rPr>
            </w:pPr>
            <w:r w:rsidRPr="00C829F3">
              <w:rPr>
                <w:sz w:val="24"/>
                <w:szCs w:val="24"/>
                <w:lang w:eastAsia="da-DK"/>
              </w:rPr>
              <w:t>Tabel 1</w:t>
            </w:r>
          </w:p>
        </w:tc>
      </w:tr>
      <w:tr w:rsidR="0070746C" w:rsidRPr="00C829F3" w:rsidTr="00CC223B">
        <w:trPr>
          <w:jc w:val="center"/>
        </w:trPr>
        <w:tc>
          <w:tcPr>
            <w:tcW w:w="7792" w:type="dxa"/>
            <w:gridSpan w:val="3"/>
            <w:vAlign w:val="center"/>
          </w:tcPr>
          <w:p w:rsidR="0070746C" w:rsidRPr="00C829F3" w:rsidRDefault="0070746C" w:rsidP="00CC223B">
            <w:pPr>
              <w:keepNext/>
              <w:ind w:left="29"/>
              <w:rPr>
                <w:sz w:val="24"/>
                <w:szCs w:val="24"/>
                <w:lang w:eastAsia="da-DK"/>
              </w:rPr>
            </w:pPr>
            <w:r w:rsidRPr="00C829F3">
              <w:rPr>
                <w:sz w:val="24"/>
                <w:szCs w:val="24"/>
                <w:lang w:eastAsia="da-DK"/>
              </w:rPr>
              <w:t xml:space="preserve">DOSERINGSPLAN </w:t>
            </w:r>
            <w:r w:rsidRPr="00C829F3">
              <w:rPr>
                <w:sz w:val="24"/>
                <w:szCs w:val="24"/>
                <w:cs/>
                <w:lang w:eastAsia="da-DK"/>
              </w:rPr>
              <w:t xml:space="preserve">– </w:t>
            </w:r>
            <w:r w:rsidRPr="00C829F3">
              <w:rPr>
                <w:sz w:val="24"/>
                <w:szCs w:val="24"/>
                <w:lang w:eastAsia="da-DK"/>
              </w:rPr>
              <w:t>INITIAL TITRERING</w:t>
            </w:r>
          </w:p>
        </w:tc>
      </w:tr>
      <w:tr w:rsidR="0070746C" w:rsidRPr="00C829F3" w:rsidTr="00CC223B">
        <w:trPr>
          <w:jc w:val="center"/>
        </w:trPr>
        <w:tc>
          <w:tcPr>
            <w:tcW w:w="2547" w:type="dxa"/>
            <w:vAlign w:val="center"/>
          </w:tcPr>
          <w:p w:rsidR="0070746C" w:rsidRPr="00C829F3" w:rsidRDefault="0070746C" w:rsidP="00CC223B">
            <w:pPr>
              <w:ind w:left="29"/>
              <w:rPr>
                <w:sz w:val="24"/>
                <w:szCs w:val="24"/>
                <w:lang w:eastAsia="da-DK"/>
              </w:rPr>
            </w:pPr>
            <w:r w:rsidRPr="00C829F3">
              <w:rPr>
                <w:sz w:val="24"/>
                <w:szCs w:val="24"/>
                <w:lang w:eastAsia="da-DK"/>
              </w:rPr>
              <w:t>Dag 1</w:t>
            </w:r>
          </w:p>
        </w:tc>
        <w:tc>
          <w:tcPr>
            <w:tcW w:w="2551" w:type="dxa"/>
            <w:vAlign w:val="center"/>
          </w:tcPr>
          <w:p w:rsidR="0070746C" w:rsidRPr="00C829F3" w:rsidRDefault="0070746C" w:rsidP="00CC223B">
            <w:pPr>
              <w:ind w:left="29"/>
              <w:rPr>
                <w:sz w:val="24"/>
                <w:szCs w:val="24"/>
                <w:lang w:eastAsia="da-DK"/>
              </w:rPr>
            </w:pPr>
            <w:r w:rsidRPr="00C829F3">
              <w:rPr>
                <w:sz w:val="24"/>
                <w:szCs w:val="24"/>
                <w:lang w:eastAsia="da-DK"/>
              </w:rPr>
              <w:t>Dag 2</w:t>
            </w:r>
          </w:p>
        </w:tc>
        <w:tc>
          <w:tcPr>
            <w:tcW w:w="2694" w:type="dxa"/>
            <w:vAlign w:val="center"/>
          </w:tcPr>
          <w:p w:rsidR="0070746C" w:rsidRPr="00C829F3" w:rsidRDefault="0070746C" w:rsidP="00CC223B">
            <w:pPr>
              <w:ind w:left="29"/>
              <w:rPr>
                <w:sz w:val="24"/>
                <w:szCs w:val="24"/>
                <w:lang w:eastAsia="da-DK"/>
              </w:rPr>
            </w:pPr>
            <w:r w:rsidRPr="00C829F3">
              <w:rPr>
                <w:sz w:val="24"/>
                <w:szCs w:val="24"/>
                <w:lang w:eastAsia="da-DK"/>
              </w:rPr>
              <w:t>Dag 3</w:t>
            </w:r>
          </w:p>
        </w:tc>
      </w:tr>
      <w:tr w:rsidR="0070746C" w:rsidRPr="00C829F3" w:rsidTr="00CC223B">
        <w:trPr>
          <w:jc w:val="center"/>
        </w:trPr>
        <w:tc>
          <w:tcPr>
            <w:tcW w:w="2547" w:type="dxa"/>
            <w:vAlign w:val="center"/>
          </w:tcPr>
          <w:p w:rsidR="0070746C" w:rsidRPr="00C829F3" w:rsidRDefault="0070746C" w:rsidP="00CC223B">
            <w:pPr>
              <w:ind w:left="29"/>
              <w:rPr>
                <w:sz w:val="24"/>
                <w:szCs w:val="24"/>
                <w:lang w:eastAsia="da-DK"/>
              </w:rPr>
            </w:pPr>
            <w:r w:rsidRPr="00C829F3">
              <w:rPr>
                <w:sz w:val="24"/>
                <w:szCs w:val="24"/>
                <w:lang w:eastAsia="da-DK"/>
              </w:rPr>
              <w:t xml:space="preserve">300 mg </w:t>
            </w:r>
            <w:r>
              <w:rPr>
                <w:sz w:val="24"/>
                <w:szCs w:val="24"/>
                <w:lang w:eastAsia="da-DK"/>
              </w:rPr>
              <w:t>en</w:t>
            </w:r>
            <w:r w:rsidRPr="00C829F3">
              <w:rPr>
                <w:sz w:val="24"/>
                <w:szCs w:val="24"/>
                <w:lang w:eastAsia="da-DK"/>
              </w:rPr>
              <w:t xml:space="preserve"> gang </w:t>
            </w:r>
            <w:r>
              <w:rPr>
                <w:sz w:val="24"/>
                <w:szCs w:val="24"/>
                <w:lang w:eastAsia="da-DK"/>
              </w:rPr>
              <w:t>daglig</w:t>
            </w:r>
          </w:p>
        </w:tc>
        <w:tc>
          <w:tcPr>
            <w:tcW w:w="2551" w:type="dxa"/>
            <w:vAlign w:val="center"/>
          </w:tcPr>
          <w:p w:rsidR="0070746C" w:rsidRPr="00C829F3" w:rsidRDefault="0070746C" w:rsidP="00CC223B">
            <w:pPr>
              <w:ind w:left="29"/>
              <w:rPr>
                <w:sz w:val="24"/>
                <w:szCs w:val="24"/>
                <w:lang w:eastAsia="da-DK"/>
              </w:rPr>
            </w:pPr>
            <w:r w:rsidRPr="00C829F3">
              <w:rPr>
                <w:sz w:val="24"/>
                <w:szCs w:val="24"/>
                <w:lang w:eastAsia="da-DK"/>
              </w:rPr>
              <w:t xml:space="preserve">300 mg to gange </w:t>
            </w:r>
            <w:r>
              <w:rPr>
                <w:sz w:val="24"/>
                <w:szCs w:val="24"/>
                <w:lang w:eastAsia="da-DK"/>
              </w:rPr>
              <w:t>daglig</w:t>
            </w:r>
          </w:p>
        </w:tc>
        <w:tc>
          <w:tcPr>
            <w:tcW w:w="2694" w:type="dxa"/>
            <w:vAlign w:val="center"/>
          </w:tcPr>
          <w:p w:rsidR="0070746C" w:rsidRPr="00C829F3" w:rsidRDefault="0070746C" w:rsidP="00CC223B">
            <w:pPr>
              <w:ind w:left="29"/>
              <w:rPr>
                <w:sz w:val="24"/>
                <w:szCs w:val="24"/>
                <w:lang w:eastAsia="da-DK"/>
              </w:rPr>
            </w:pPr>
            <w:r w:rsidRPr="00C829F3">
              <w:rPr>
                <w:sz w:val="24"/>
                <w:szCs w:val="24"/>
                <w:lang w:eastAsia="da-DK"/>
              </w:rPr>
              <w:t xml:space="preserve">300 mg tre gange </w:t>
            </w:r>
            <w:r>
              <w:rPr>
                <w:sz w:val="24"/>
                <w:szCs w:val="24"/>
                <w:lang w:eastAsia="da-DK"/>
              </w:rPr>
              <w:t>daglig</w:t>
            </w:r>
          </w:p>
        </w:tc>
      </w:tr>
    </w:tbl>
    <w:p w:rsidR="0070746C" w:rsidRPr="00C829F3" w:rsidRDefault="0070746C" w:rsidP="0070746C">
      <w:pPr>
        <w:ind w:left="851"/>
        <w:rPr>
          <w:sz w:val="24"/>
          <w:szCs w:val="24"/>
          <w:lang w:eastAsia="da-DK"/>
        </w:rPr>
      </w:pPr>
    </w:p>
    <w:p w:rsidR="0070746C" w:rsidRPr="00C829F3" w:rsidRDefault="0070746C" w:rsidP="0070746C">
      <w:pPr>
        <w:ind w:left="851"/>
        <w:rPr>
          <w:sz w:val="24"/>
          <w:szCs w:val="24"/>
          <w:u w:val="single"/>
          <w:lang w:eastAsia="da-DK"/>
        </w:rPr>
      </w:pPr>
      <w:proofErr w:type="spellStart"/>
      <w:r w:rsidRPr="00C829F3">
        <w:rPr>
          <w:sz w:val="24"/>
          <w:szCs w:val="24"/>
          <w:u w:val="single"/>
          <w:lang w:eastAsia="da-DK"/>
        </w:rPr>
        <w:t>Seponering</w:t>
      </w:r>
      <w:proofErr w:type="spellEnd"/>
      <w:r w:rsidRPr="00C829F3">
        <w:rPr>
          <w:sz w:val="24"/>
          <w:szCs w:val="24"/>
          <w:u w:val="single"/>
          <w:lang w:eastAsia="da-DK"/>
        </w:rPr>
        <w:t xml:space="preserve"> af </w:t>
      </w:r>
      <w:proofErr w:type="spellStart"/>
      <w:r w:rsidRPr="00C829F3">
        <w:rPr>
          <w:sz w:val="24"/>
          <w:szCs w:val="24"/>
          <w:u w:val="single"/>
          <w:lang w:eastAsia="da-DK"/>
        </w:rPr>
        <w:t>gabapentin</w:t>
      </w:r>
      <w:proofErr w:type="spellEnd"/>
    </w:p>
    <w:p w:rsidR="0070746C" w:rsidRPr="00C829F3" w:rsidRDefault="0070746C" w:rsidP="0070746C">
      <w:pPr>
        <w:ind w:left="851"/>
        <w:rPr>
          <w:sz w:val="24"/>
          <w:szCs w:val="24"/>
          <w:lang w:eastAsia="da-DK"/>
        </w:rPr>
      </w:pPr>
      <w:r w:rsidRPr="00C829F3">
        <w:rPr>
          <w:sz w:val="24"/>
          <w:szCs w:val="24"/>
          <w:lang w:eastAsia="da-DK"/>
        </w:rPr>
        <w:t xml:space="preserve">Hvis det er nødvendigt at seponere </w:t>
      </w:r>
      <w:proofErr w:type="spellStart"/>
      <w:r w:rsidRPr="00C829F3">
        <w:rPr>
          <w:sz w:val="24"/>
          <w:szCs w:val="24"/>
          <w:lang w:eastAsia="da-DK"/>
        </w:rPr>
        <w:t>gabapentin</w:t>
      </w:r>
      <w:proofErr w:type="spellEnd"/>
      <w:r w:rsidRPr="00C829F3">
        <w:rPr>
          <w:sz w:val="24"/>
          <w:szCs w:val="24"/>
          <w:lang w:eastAsia="da-DK"/>
        </w:rPr>
        <w:t>, så anbefales det, at det sker gradvist over mindst 1 uge i overensstemmelse med gældende klinisk praksis. Dette gælder for alle indikationer.</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u w:val="single"/>
          <w:lang w:eastAsia="da-DK"/>
        </w:rPr>
      </w:pPr>
      <w:r w:rsidRPr="00C829F3">
        <w:rPr>
          <w:sz w:val="24"/>
          <w:szCs w:val="24"/>
          <w:u w:val="single"/>
          <w:lang w:eastAsia="da-DK"/>
        </w:rPr>
        <w:t>Epilepsi</w:t>
      </w:r>
    </w:p>
    <w:p w:rsidR="0070746C" w:rsidRPr="00C829F3" w:rsidRDefault="0070746C" w:rsidP="0070746C">
      <w:pPr>
        <w:ind w:left="851"/>
        <w:rPr>
          <w:sz w:val="24"/>
          <w:szCs w:val="24"/>
          <w:lang w:eastAsia="da-DK"/>
        </w:rPr>
      </w:pPr>
      <w:r w:rsidRPr="00C829F3">
        <w:rPr>
          <w:sz w:val="24"/>
          <w:szCs w:val="24"/>
          <w:lang w:eastAsia="da-DK"/>
        </w:rPr>
        <w:t>Epilepsi kræver normalt langtidsbehandling. Doseringen fastsættes individuelt af den behandlende læge efter tolerance og virkning hos patienten.</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lang w:eastAsia="da-DK"/>
        </w:rPr>
      </w:pPr>
      <w:r w:rsidRPr="00C829F3">
        <w:rPr>
          <w:i/>
          <w:sz w:val="24"/>
          <w:szCs w:val="24"/>
          <w:lang w:eastAsia="da-DK"/>
        </w:rPr>
        <w:t>Voksne og unge</w:t>
      </w:r>
    </w:p>
    <w:p w:rsidR="0070746C" w:rsidRPr="00C829F3" w:rsidRDefault="0070746C" w:rsidP="0070746C">
      <w:pPr>
        <w:ind w:left="851"/>
        <w:rPr>
          <w:sz w:val="24"/>
          <w:szCs w:val="24"/>
          <w:lang w:eastAsia="da-DK"/>
        </w:rPr>
      </w:pPr>
      <w:r w:rsidRPr="00C829F3">
        <w:rPr>
          <w:sz w:val="24"/>
          <w:szCs w:val="24"/>
          <w:lang w:eastAsia="da-DK"/>
        </w:rPr>
        <w:t xml:space="preserve">I kliniske undersøgelser var det effektive dosisinterval 900-3600 mg/dag. Behandlingen kan indledes med dosistitrering som beskrevet i tabel 1 eller ved at give 300 mg 3 gange daglig på dag 1. På baggrund af patientens respons og tolerance kan dosis derefter øges med yderligere 300 mg/dag hver 2.-3. dag op til maksimalt 3600 mg/dag. Langsommere titrering af </w:t>
      </w:r>
      <w:proofErr w:type="spellStart"/>
      <w:r w:rsidRPr="00C829F3">
        <w:rPr>
          <w:sz w:val="24"/>
          <w:szCs w:val="24"/>
          <w:lang w:eastAsia="da-DK"/>
        </w:rPr>
        <w:t>gabapentindosis</w:t>
      </w:r>
      <w:proofErr w:type="spellEnd"/>
      <w:r w:rsidRPr="00C829F3">
        <w:rPr>
          <w:sz w:val="24"/>
          <w:szCs w:val="24"/>
          <w:lang w:eastAsia="da-DK"/>
        </w:rPr>
        <w:t xml:space="preserve"> kan være nødvendig hos nogle patienter. Det tager mindst 1 uge at nå en dosis på 1800 mg/dag, 2 uger at nå en dosis på 2400 mg/dag og 3 uger at nå en dosis på 3600 mg/dag. Doser på op til 4800 mg/dag var veltolereret i åbne langtidsundersøgelser. Den samlede daglige dosis bør fordeles på tre enkeltdoser. For at undgå gennembrudsanfald bør der ikke gå mere end 12 timer mellem doserne.</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lang w:eastAsia="da-DK"/>
        </w:rPr>
      </w:pPr>
      <w:r w:rsidRPr="00C829F3">
        <w:rPr>
          <w:i/>
          <w:sz w:val="24"/>
          <w:szCs w:val="24"/>
          <w:lang w:eastAsia="da-DK"/>
        </w:rPr>
        <w:t>Børn på 6 år og derover</w:t>
      </w:r>
    </w:p>
    <w:p w:rsidR="0070746C" w:rsidRPr="00C829F3" w:rsidRDefault="0070746C" w:rsidP="0070746C">
      <w:pPr>
        <w:ind w:left="851"/>
        <w:rPr>
          <w:sz w:val="24"/>
          <w:szCs w:val="24"/>
          <w:lang w:eastAsia="da-DK"/>
        </w:rPr>
      </w:pPr>
      <w:r w:rsidRPr="00C829F3">
        <w:rPr>
          <w:sz w:val="24"/>
          <w:szCs w:val="24"/>
          <w:lang w:eastAsia="da-DK"/>
        </w:rPr>
        <w:t xml:space="preserve">Initialdosis bør ligge på 10-15 mg/kg/dag, og den effektive dosis opnås ved en </w:t>
      </w:r>
      <w:proofErr w:type="spellStart"/>
      <w:r w:rsidRPr="00C829F3">
        <w:rPr>
          <w:sz w:val="24"/>
          <w:szCs w:val="24"/>
          <w:lang w:eastAsia="da-DK"/>
        </w:rPr>
        <w:t>optitrering</w:t>
      </w:r>
      <w:proofErr w:type="spellEnd"/>
      <w:r w:rsidRPr="00C829F3">
        <w:rPr>
          <w:sz w:val="24"/>
          <w:szCs w:val="24"/>
          <w:lang w:eastAsia="da-DK"/>
        </w:rPr>
        <w:t xml:space="preserve"> over en periode på ca. 3 dage. Den effektive dosis af </w:t>
      </w:r>
      <w:proofErr w:type="spellStart"/>
      <w:r w:rsidRPr="00C829F3">
        <w:rPr>
          <w:sz w:val="24"/>
          <w:szCs w:val="24"/>
          <w:lang w:eastAsia="da-DK"/>
        </w:rPr>
        <w:t>gabapentin</w:t>
      </w:r>
      <w:proofErr w:type="spellEnd"/>
      <w:r w:rsidRPr="00C829F3">
        <w:rPr>
          <w:sz w:val="24"/>
          <w:szCs w:val="24"/>
          <w:lang w:eastAsia="da-DK"/>
        </w:rPr>
        <w:t xml:space="preserve"> hos børn på 6 år og derover er 25-35 mg/kg/dag. Doser på op til 50 mg/kg/dag var veltolereret i en langtidsundersøgelse. Den samlede daglige dosis bør fordeles på tre enkeltdoser. Der bør ikke gå mere end 12 timer mellem doserne.</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lang w:eastAsia="da-DK"/>
        </w:rPr>
      </w:pPr>
      <w:r w:rsidRPr="00C829F3">
        <w:rPr>
          <w:sz w:val="24"/>
          <w:szCs w:val="24"/>
          <w:lang w:eastAsia="da-DK"/>
        </w:rPr>
        <w:t xml:space="preserve">Det er ikke nødvendigt at monitorere plasmakoncentrationerne af </w:t>
      </w:r>
      <w:proofErr w:type="spellStart"/>
      <w:r w:rsidRPr="00C829F3">
        <w:rPr>
          <w:sz w:val="24"/>
          <w:szCs w:val="24"/>
          <w:lang w:eastAsia="da-DK"/>
        </w:rPr>
        <w:t>gabapentin</w:t>
      </w:r>
      <w:proofErr w:type="spellEnd"/>
      <w:r w:rsidRPr="00C829F3">
        <w:rPr>
          <w:sz w:val="24"/>
          <w:szCs w:val="24"/>
          <w:lang w:eastAsia="da-DK"/>
        </w:rPr>
        <w:t xml:space="preserve"> for at optimere </w:t>
      </w:r>
      <w:proofErr w:type="spellStart"/>
      <w:r w:rsidRPr="00C829F3">
        <w:rPr>
          <w:sz w:val="24"/>
          <w:szCs w:val="24"/>
          <w:lang w:eastAsia="da-DK"/>
        </w:rPr>
        <w:t>gabapentinbehandlingen</w:t>
      </w:r>
      <w:proofErr w:type="spellEnd"/>
      <w:r w:rsidRPr="00C829F3">
        <w:rPr>
          <w:sz w:val="24"/>
          <w:szCs w:val="24"/>
          <w:lang w:eastAsia="da-DK"/>
        </w:rPr>
        <w:t xml:space="preserve">. Desuden kan </w:t>
      </w:r>
      <w:proofErr w:type="spellStart"/>
      <w:r w:rsidRPr="00C829F3">
        <w:rPr>
          <w:sz w:val="24"/>
          <w:szCs w:val="24"/>
          <w:lang w:eastAsia="da-DK"/>
        </w:rPr>
        <w:t>gabapentin</w:t>
      </w:r>
      <w:proofErr w:type="spellEnd"/>
      <w:r w:rsidRPr="00C829F3">
        <w:rPr>
          <w:sz w:val="24"/>
          <w:szCs w:val="24"/>
          <w:lang w:eastAsia="da-DK"/>
        </w:rPr>
        <w:t xml:space="preserve"> anvendes i kombination med andre </w:t>
      </w:r>
      <w:proofErr w:type="spellStart"/>
      <w:r w:rsidRPr="00C829F3">
        <w:rPr>
          <w:sz w:val="24"/>
          <w:szCs w:val="24"/>
          <w:lang w:eastAsia="da-DK"/>
        </w:rPr>
        <w:t>antiepileptika</w:t>
      </w:r>
      <w:proofErr w:type="spellEnd"/>
      <w:r w:rsidRPr="00C829F3">
        <w:rPr>
          <w:sz w:val="24"/>
          <w:szCs w:val="24"/>
          <w:lang w:eastAsia="da-DK"/>
        </w:rPr>
        <w:t xml:space="preserve">, uden at </w:t>
      </w:r>
      <w:proofErr w:type="spellStart"/>
      <w:r w:rsidRPr="00C829F3">
        <w:rPr>
          <w:sz w:val="24"/>
          <w:szCs w:val="24"/>
          <w:lang w:eastAsia="da-DK"/>
        </w:rPr>
        <w:t>gabapentins</w:t>
      </w:r>
      <w:proofErr w:type="spellEnd"/>
      <w:r w:rsidRPr="00C829F3">
        <w:rPr>
          <w:sz w:val="24"/>
          <w:szCs w:val="24"/>
          <w:lang w:eastAsia="da-DK"/>
        </w:rPr>
        <w:t xml:space="preserve"> plasmaniveau eller serumkoncentrationen af andre </w:t>
      </w:r>
      <w:proofErr w:type="spellStart"/>
      <w:r w:rsidRPr="00C829F3">
        <w:rPr>
          <w:sz w:val="24"/>
          <w:szCs w:val="24"/>
          <w:lang w:eastAsia="da-DK"/>
        </w:rPr>
        <w:t>antiepileptika</w:t>
      </w:r>
      <w:proofErr w:type="spellEnd"/>
      <w:r w:rsidRPr="00C829F3">
        <w:rPr>
          <w:sz w:val="24"/>
          <w:szCs w:val="24"/>
          <w:lang w:eastAsia="da-DK"/>
        </w:rPr>
        <w:t xml:space="preserve"> forandres.</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u w:val="single"/>
          <w:lang w:eastAsia="da-DK"/>
        </w:rPr>
      </w:pPr>
      <w:r w:rsidRPr="00C829F3">
        <w:rPr>
          <w:sz w:val="24"/>
          <w:szCs w:val="24"/>
          <w:u w:val="single"/>
          <w:lang w:eastAsia="da-DK"/>
        </w:rPr>
        <w:t>Perifere</w:t>
      </w:r>
      <w:r>
        <w:rPr>
          <w:sz w:val="24"/>
          <w:szCs w:val="24"/>
          <w:u w:val="single"/>
          <w:lang w:eastAsia="da-DK"/>
        </w:rPr>
        <w:t>,</w:t>
      </w:r>
      <w:r w:rsidRPr="00C829F3">
        <w:rPr>
          <w:sz w:val="24"/>
          <w:szCs w:val="24"/>
          <w:u w:val="single"/>
          <w:lang w:eastAsia="da-DK"/>
        </w:rPr>
        <w:t xml:space="preserve"> neuropatiske smerter</w:t>
      </w:r>
    </w:p>
    <w:p w:rsidR="0070746C" w:rsidRPr="00C829F3" w:rsidRDefault="0070746C" w:rsidP="0070746C">
      <w:pPr>
        <w:ind w:left="851"/>
        <w:rPr>
          <w:sz w:val="24"/>
          <w:szCs w:val="24"/>
          <w:lang w:eastAsia="da-DK"/>
        </w:rPr>
      </w:pPr>
      <w:r>
        <w:rPr>
          <w:i/>
          <w:sz w:val="24"/>
          <w:szCs w:val="24"/>
          <w:lang w:eastAsia="da-DK"/>
        </w:rPr>
        <w:t>V</w:t>
      </w:r>
      <w:r w:rsidRPr="00C829F3">
        <w:rPr>
          <w:i/>
          <w:sz w:val="24"/>
          <w:szCs w:val="24"/>
          <w:lang w:eastAsia="da-DK"/>
        </w:rPr>
        <w:t>oksne</w:t>
      </w:r>
    </w:p>
    <w:p w:rsidR="0070746C" w:rsidRPr="00C829F3" w:rsidRDefault="0070746C" w:rsidP="0070746C">
      <w:pPr>
        <w:ind w:left="851"/>
        <w:rPr>
          <w:sz w:val="24"/>
          <w:szCs w:val="24"/>
          <w:lang w:eastAsia="da-DK"/>
        </w:rPr>
      </w:pPr>
      <w:r w:rsidRPr="00C829F3">
        <w:rPr>
          <w:sz w:val="24"/>
          <w:szCs w:val="24"/>
          <w:lang w:eastAsia="da-DK"/>
        </w:rPr>
        <w:t xml:space="preserve">Behandlingen indledes med en dosistitrering som anført i tabel 1. Alternativt anbefales en startdosis på 900 mg/daglig fordelt på 3 lige store doser. På baggrund af patientens respons og tolerance kan dosis derefter øges med yderligere 300 mg/dag hver 2.-3. dag op til </w:t>
      </w:r>
      <w:r w:rsidRPr="00C829F3">
        <w:rPr>
          <w:sz w:val="24"/>
          <w:szCs w:val="24"/>
          <w:lang w:eastAsia="da-DK"/>
        </w:rPr>
        <w:lastRenderedPageBreak/>
        <w:t xml:space="preserve">maksimalt 3600 mg/dag. Langsommere titrering af </w:t>
      </w:r>
      <w:proofErr w:type="spellStart"/>
      <w:r w:rsidRPr="00C829F3">
        <w:rPr>
          <w:sz w:val="24"/>
          <w:szCs w:val="24"/>
          <w:lang w:eastAsia="da-DK"/>
        </w:rPr>
        <w:t>gabapentindosis</w:t>
      </w:r>
      <w:proofErr w:type="spellEnd"/>
      <w:r w:rsidRPr="00C829F3">
        <w:rPr>
          <w:sz w:val="24"/>
          <w:szCs w:val="24"/>
          <w:lang w:eastAsia="da-DK"/>
        </w:rPr>
        <w:t xml:space="preserve"> kan være nødvendig hos nogle patienter. Det tager mindst 1 uge at nå en dosis på 1800 mg/dag, 2 uger at nå en dosis på 2400 mg/dag og 3 uger at nå en dosis på 3600 mg/dag.</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lang w:eastAsia="da-DK"/>
        </w:rPr>
      </w:pPr>
      <w:r w:rsidRPr="00C829F3">
        <w:rPr>
          <w:sz w:val="24"/>
          <w:szCs w:val="24"/>
          <w:lang w:eastAsia="da-DK"/>
        </w:rPr>
        <w:t xml:space="preserve">Ved behandling af perifere neuropatiske smerter som f.eks. smertefuld diabetisk </w:t>
      </w:r>
      <w:proofErr w:type="spellStart"/>
      <w:r w:rsidRPr="00C829F3">
        <w:rPr>
          <w:sz w:val="24"/>
          <w:szCs w:val="24"/>
          <w:lang w:eastAsia="da-DK"/>
        </w:rPr>
        <w:t>neuropati</w:t>
      </w:r>
      <w:proofErr w:type="spellEnd"/>
      <w:r w:rsidRPr="00C829F3">
        <w:rPr>
          <w:sz w:val="24"/>
          <w:szCs w:val="24"/>
          <w:lang w:eastAsia="da-DK"/>
        </w:rPr>
        <w:t xml:space="preserve"> og </w:t>
      </w:r>
      <w:proofErr w:type="spellStart"/>
      <w:r w:rsidRPr="00C829F3">
        <w:rPr>
          <w:sz w:val="24"/>
          <w:szCs w:val="24"/>
          <w:lang w:eastAsia="da-DK"/>
        </w:rPr>
        <w:t>postherpetisk</w:t>
      </w:r>
      <w:proofErr w:type="spellEnd"/>
      <w:r w:rsidRPr="00C829F3">
        <w:rPr>
          <w:sz w:val="24"/>
          <w:szCs w:val="24"/>
          <w:lang w:eastAsia="da-DK"/>
        </w:rPr>
        <w:t xml:space="preserve"> </w:t>
      </w:r>
      <w:proofErr w:type="spellStart"/>
      <w:r w:rsidRPr="00C829F3">
        <w:rPr>
          <w:sz w:val="24"/>
          <w:szCs w:val="24"/>
          <w:lang w:eastAsia="da-DK"/>
        </w:rPr>
        <w:t>neuropati</w:t>
      </w:r>
      <w:proofErr w:type="spellEnd"/>
      <w:r w:rsidRPr="00C829F3">
        <w:rPr>
          <w:sz w:val="24"/>
          <w:szCs w:val="24"/>
          <w:lang w:eastAsia="da-DK"/>
        </w:rPr>
        <w:t xml:space="preserve"> er virkning og sikkerhed ikke undersøgt i behandlingsperioder på mere end 5 måneder i kliniske undersøgelser. Hvis en patient kræver længere behandling for perifere neuropatiske smerter end 5 måneder, bør den behandlende læge vurdere patientens kliniske status og fastsætte behovet for yderligere behandling.</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lang w:eastAsia="da-DK"/>
        </w:rPr>
      </w:pPr>
      <w:r w:rsidRPr="00C829F3">
        <w:rPr>
          <w:sz w:val="24"/>
          <w:szCs w:val="24"/>
          <w:u w:val="single"/>
          <w:lang w:eastAsia="da-DK"/>
        </w:rPr>
        <w:t>Vejledning til alle indikationer</w:t>
      </w:r>
    </w:p>
    <w:p w:rsidR="0070746C" w:rsidRPr="00C829F3" w:rsidRDefault="0070746C" w:rsidP="0070746C">
      <w:pPr>
        <w:ind w:left="851"/>
        <w:rPr>
          <w:sz w:val="24"/>
          <w:szCs w:val="24"/>
          <w:lang w:eastAsia="da-DK"/>
        </w:rPr>
      </w:pPr>
      <w:r w:rsidRPr="00C829F3">
        <w:rPr>
          <w:sz w:val="24"/>
          <w:szCs w:val="24"/>
          <w:lang w:eastAsia="da-DK"/>
        </w:rPr>
        <w:t>Hos patienter med generelt dårlig helbredstilstand, f.eks. lav legemsvægt, efter organtransplantation eller lignende, bør dosistitrering ske langsommere, enten ved at anvende en lavere styrke eller et længere interval mellem dosisøgningerne.</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u w:val="single"/>
          <w:lang w:eastAsia="da-DK"/>
        </w:rPr>
      </w:pPr>
      <w:r w:rsidRPr="00C829F3">
        <w:rPr>
          <w:sz w:val="24"/>
          <w:szCs w:val="24"/>
          <w:u w:val="single"/>
          <w:lang w:eastAsia="da-DK"/>
        </w:rPr>
        <w:t>Ældre (over 65 år)</w:t>
      </w:r>
    </w:p>
    <w:p w:rsidR="0070746C" w:rsidRPr="00C829F3" w:rsidRDefault="0070746C" w:rsidP="0070746C">
      <w:pPr>
        <w:ind w:left="851"/>
        <w:rPr>
          <w:sz w:val="24"/>
          <w:szCs w:val="24"/>
          <w:lang w:eastAsia="da-DK"/>
        </w:rPr>
      </w:pPr>
      <w:r w:rsidRPr="00C829F3">
        <w:rPr>
          <w:sz w:val="24"/>
          <w:szCs w:val="24"/>
          <w:lang w:eastAsia="da-DK"/>
        </w:rPr>
        <w:t xml:space="preserve">Det kan være nødvendigt at justere dosis hos ældre patienter, da nyrefunktionen nedsættes med alderen (se tabel 2). </w:t>
      </w:r>
      <w:proofErr w:type="spellStart"/>
      <w:r w:rsidRPr="00C829F3">
        <w:rPr>
          <w:sz w:val="24"/>
          <w:szCs w:val="24"/>
          <w:lang w:eastAsia="da-DK"/>
        </w:rPr>
        <w:t>Somnolens</w:t>
      </w:r>
      <w:proofErr w:type="spellEnd"/>
      <w:r w:rsidRPr="00C829F3">
        <w:rPr>
          <w:sz w:val="24"/>
          <w:szCs w:val="24"/>
          <w:lang w:eastAsia="da-DK"/>
        </w:rPr>
        <w:t>, perifert ødem og asteni kan forekomme hyppigere hos ældre patienter.</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lang w:eastAsia="da-DK"/>
        </w:rPr>
      </w:pPr>
      <w:r>
        <w:rPr>
          <w:sz w:val="24"/>
          <w:szCs w:val="24"/>
          <w:u w:val="single"/>
          <w:lang w:eastAsia="da-DK"/>
        </w:rPr>
        <w:t>N</w:t>
      </w:r>
      <w:r w:rsidRPr="00C829F3">
        <w:rPr>
          <w:sz w:val="24"/>
          <w:szCs w:val="24"/>
          <w:u w:val="single"/>
          <w:lang w:eastAsia="da-DK"/>
        </w:rPr>
        <w:t>edsat nyrefunktion</w:t>
      </w:r>
    </w:p>
    <w:p w:rsidR="0070746C" w:rsidRDefault="0070746C" w:rsidP="0070746C">
      <w:pPr>
        <w:ind w:left="851"/>
        <w:rPr>
          <w:sz w:val="24"/>
          <w:szCs w:val="24"/>
          <w:lang w:eastAsia="da-DK"/>
        </w:rPr>
      </w:pPr>
      <w:r w:rsidRPr="00C829F3">
        <w:rPr>
          <w:sz w:val="24"/>
          <w:szCs w:val="24"/>
          <w:lang w:eastAsia="da-DK"/>
        </w:rPr>
        <w:t>Dosisjustering anbefales hos patienter med nedsat nyrefunktion eller patienter, som er i hæmodialysebehandling.</w:t>
      </w:r>
      <w:r>
        <w:rPr>
          <w:sz w:val="24"/>
          <w:szCs w:val="24"/>
          <w:lang w:eastAsia="da-DK"/>
        </w:rPr>
        <w:t xml:space="preserve"> Dette er beskrevet i tabel 2.</w:t>
      </w:r>
    </w:p>
    <w:p w:rsidR="0070746C" w:rsidRPr="00C829F3" w:rsidRDefault="0070746C" w:rsidP="0070746C">
      <w:pPr>
        <w:ind w:left="851"/>
        <w:rPr>
          <w:sz w:val="24"/>
          <w:szCs w:val="24"/>
          <w:lang w:eastAsia="da-D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0"/>
        <w:gridCol w:w="3930"/>
      </w:tblGrid>
      <w:tr w:rsidR="0070746C" w:rsidRPr="00C829F3" w:rsidTr="00CC223B">
        <w:trPr>
          <w:jc w:val="center"/>
        </w:trPr>
        <w:tc>
          <w:tcPr>
            <w:tcW w:w="7860" w:type="dxa"/>
            <w:gridSpan w:val="2"/>
            <w:vAlign w:val="center"/>
          </w:tcPr>
          <w:p w:rsidR="0070746C" w:rsidRPr="00C829F3" w:rsidRDefault="0070746C" w:rsidP="00CC223B">
            <w:pPr>
              <w:ind w:left="29"/>
              <w:rPr>
                <w:sz w:val="24"/>
                <w:szCs w:val="24"/>
                <w:lang w:eastAsia="da-DK"/>
              </w:rPr>
            </w:pPr>
            <w:r w:rsidRPr="00C829F3">
              <w:rPr>
                <w:sz w:val="24"/>
                <w:szCs w:val="24"/>
                <w:lang w:eastAsia="da-DK"/>
              </w:rPr>
              <w:t>Tabel 2</w:t>
            </w:r>
          </w:p>
        </w:tc>
      </w:tr>
      <w:tr w:rsidR="0070746C" w:rsidRPr="00C829F3" w:rsidTr="00CC223B">
        <w:trPr>
          <w:jc w:val="center"/>
        </w:trPr>
        <w:tc>
          <w:tcPr>
            <w:tcW w:w="7860" w:type="dxa"/>
            <w:gridSpan w:val="2"/>
            <w:vAlign w:val="center"/>
          </w:tcPr>
          <w:p w:rsidR="0070746C" w:rsidRPr="00C829F3" w:rsidRDefault="0070746C" w:rsidP="00CC223B">
            <w:pPr>
              <w:ind w:left="29"/>
              <w:rPr>
                <w:sz w:val="24"/>
                <w:szCs w:val="24"/>
                <w:lang w:eastAsia="da-DK"/>
              </w:rPr>
            </w:pPr>
            <w:r w:rsidRPr="00C829F3">
              <w:rPr>
                <w:sz w:val="24"/>
                <w:szCs w:val="24"/>
                <w:lang w:eastAsia="da-DK"/>
              </w:rPr>
              <w:t>DOSERING AF GABAPENTIN TIL VOKSNE BASERET PÅ NYREFUNKTION</w:t>
            </w:r>
          </w:p>
        </w:tc>
      </w:tr>
      <w:tr w:rsidR="0070746C" w:rsidRPr="00C829F3" w:rsidTr="00CC223B">
        <w:trPr>
          <w:jc w:val="center"/>
        </w:trPr>
        <w:tc>
          <w:tcPr>
            <w:tcW w:w="3930" w:type="dxa"/>
            <w:vAlign w:val="center"/>
          </w:tcPr>
          <w:p w:rsidR="0070746C" w:rsidRPr="00C829F3" w:rsidRDefault="0070746C" w:rsidP="00CC223B">
            <w:pPr>
              <w:ind w:left="29"/>
              <w:rPr>
                <w:sz w:val="24"/>
                <w:szCs w:val="24"/>
                <w:lang w:eastAsia="da-DK"/>
              </w:rPr>
            </w:pPr>
            <w:proofErr w:type="spellStart"/>
            <w:r w:rsidRPr="00C829F3">
              <w:rPr>
                <w:sz w:val="24"/>
                <w:szCs w:val="24"/>
                <w:lang w:eastAsia="da-DK"/>
              </w:rPr>
              <w:t>Kreatininclearance</w:t>
            </w:r>
            <w:proofErr w:type="spellEnd"/>
            <w:r w:rsidRPr="00C829F3">
              <w:rPr>
                <w:sz w:val="24"/>
                <w:szCs w:val="24"/>
                <w:lang w:eastAsia="da-DK"/>
              </w:rPr>
              <w:t xml:space="preserve"> (ml/min.)</w:t>
            </w:r>
          </w:p>
        </w:tc>
        <w:tc>
          <w:tcPr>
            <w:tcW w:w="3930" w:type="dxa"/>
            <w:vAlign w:val="center"/>
          </w:tcPr>
          <w:p w:rsidR="0070746C" w:rsidRPr="00C829F3" w:rsidRDefault="0070746C" w:rsidP="00CC223B">
            <w:pPr>
              <w:ind w:left="29"/>
              <w:rPr>
                <w:sz w:val="24"/>
                <w:szCs w:val="24"/>
                <w:lang w:eastAsia="da-DK"/>
              </w:rPr>
            </w:pPr>
            <w:r w:rsidRPr="00C829F3">
              <w:rPr>
                <w:sz w:val="24"/>
                <w:szCs w:val="24"/>
                <w:lang w:eastAsia="da-DK"/>
              </w:rPr>
              <w:t xml:space="preserve">Samlet daglig </w:t>
            </w:r>
            <w:proofErr w:type="spellStart"/>
            <w:r w:rsidRPr="00C829F3">
              <w:rPr>
                <w:sz w:val="24"/>
                <w:szCs w:val="24"/>
                <w:lang w:eastAsia="da-DK"/>
              </w:rPr>
              <w:t>dosis</w:t>
            </w:r>
            <w:r w:rsidRPr="00C829F3">
              <w:rPr>
                <w:sz w:val="24"/>
                <w:szCs w:val="24"/>
                <w:vertAlign w:val="superscript"/>
                <w:lang w:eastAsia="da-DK"/>
              </w:rPr>
              <w:t>a</w:t>
            </w:r>
            <w:proofErr w:type="spellEnd"/>
            <w:r w:rsidRPr="00C829F3">
              <w:rPr>
                <w:sz w:val="24"/>
                <w:szCs w:val="24"/>
                <w:lang w:eastAsia="da-DK"/>
              </w:rPr>
              <w:t xml:space="preserve"> (mg/dag)</w:t>
            </w:r>
          </w:p>
        </w:tc>
      </w:tr>
      <w:tr w:rsidR="0070746C" w:rsidRPr="00C829F3" w:rsidTr="00CC223B">
        <w:trPr>
          <w:jc w:val="center"/>
        </w:trPr>
        <w:tc>
          <w:tcPr>
            <w:tcW w:w="3930" w:type="dxa"/>
            <w:vAlign w:val="center"/>
          </w:tcPr>
          <w:p w:rsidR="0070746C" w:rsidRPr="00C829F3" w:rsidRDefault="0070746C" w:rsidP="00CC223B">
            <w:pPr>
              <w:ind w:left="29"/>
              <w:rPr>
                <w:sz w:val="24"/>
                <w:szCs w:val="24"/>
                <w:lang w:eastAsia="da-DK"/>
              </w:rPr>
            </w:pPr>
            <w:r w:rsidRPr="00C829F3">
              <w:rPr>
                <w:sz w:val="24"/>
                <w:szCs w:val="24"/>
                <w:cs/>
                <w:lang w:eastAsia="da-DK"/>
              </w:rPr>
              <w:t>≥</w:t>
            </w:r>
            <w:r w:rsidRPr="00C829F3">
              <w:rPr>
                <w:sz w:val="24"/>
                <w:szCs w:val="24"/>
                <w:lang w:eastAsia="da-DK"/>
              </w:rPr>
              <w:t> 80</w:t>
            </w:r>
          </w:p>
        </w:tc>
        <w:tc>
          <w:tcPr>
            <w:tcW w:w="3930" w:type="dxa"/>
            <w:vAlign w:val="center"/>
          </w:tcPr>
          <w:p w:rsidR="0070746C" w:rsidRPr="00C829F3" w:rsidRDefault="0070746C" w:rsidP="00CC223B">
            <w:pPr>
              <w:ind w:left="29"/>
              <w:rPr>
                <w:sz w:val="24"/>
                <w:szCs w:val="24"/>
                <w:lang w:eastAsia="da-DK"/>
              </w:rPr>
            </w:pPr>
            <w:r w:rsidRPr="00C829F3">
              <w:rPr>
                <w:sz w:val="24"/>
                <w:szCs w:val="24"/>
                <w:lang w:eastAsia="da-DK"/>
              </w:rPr>
              <w:t>900-3600</w:t>
            </w:r>
          </w:p>
        </w:tc>
      </w:tr>
      <w:tr w:rsidR="0070746C" w:rsidRPr="00C829F3" w:rsidTr="00CC223B">
        <w:trPr>
          <w:jc w:val="center"/>
        </w:trPr>
        <w:tc>
          <w:tcPr>
            <w:tcW w:w="3930" w:type="dxa"/>
            <w:vAlign w:val="center"/>
          </w:tcPr>
          <w:p w:rsidR="0070746C" w:rsidRPr="00C829F3" w:rsidRDefault="0070746C" w:rsidP="00CC223B">
            <w:pPr>
              <w:ind w:left="29"/>
              <w:rPr>
                <w:sz w:val="24"/>
                <w:szCs w:val="24"/>
                <w:lang w:eastAsia="da-DK"/>
              </w:rPr>
            </w:pPr>
            <w:r w:rsidRPr="00C829F3">
              <w:rPr>
                <w:sz w:val="24"/>
                <w:szCs w:val="24"/>
                <w:lang w:eastAsia="da-DK"/>
              </w:rPr>
              <w:t>50-79</w:t>
            </w:r>
          </w:p>
        </w:tc>
        <w:tc>
          <w:tcPr>
            <w:tcW w:w="3930" w:type="dxa"/>
            <w:vAlign w:val="center"/>
          </w:tcPr>
          <w:p w:rsidR="0070746C" w:rsidRPr="00C829F3" w:rsidRDefault="0070746C" w:rsidP="00CC223B">
            <w:pPr>
              <w:ind w:left="29"/>
              <w:rPr>
                <w:sz w:val="24"/>
                <w:szCs w:val="24"/>
                <w:lang w:eastAsia="da-DK"/>
              </w:rPr>
            </w:pPr>
            <w:r w:rsidRPr="00C829F3">
              <w:rPr>
                <w:sz w:val="24"/>
                <w:szCs w:val="24"/>
                <w:lang w:eastAsia="da-DK"/>
              </w:rPr>
              <w:t>600-1800</w:t>
            </w:r>
          </w:p>
        </w:tc>
      </w:tr>
      <w:tr w:rsidR="0070746C" w:rsidRPr="00C829F3" w:rsidTr="00CC223B">
        <w:trPr>
          <w:jc w:val="center"/>
        </w:trPr>
        <w:tc>
          <w:tcPr>
            <w:tcW w:w="3930" w:type="dxa"/>
            <w:vAlign w:val="center"/>
          </w:tcPr>
          <w:p w:rsidR="0070746C" w:rsidRPr="00C829F3" w:rsidRDefault="0070746C" w:rsidP="00CC223B">
            <w:pPr>
              <w:ind w:left="29"/>
              <w:rPr>
                <w:sz w:val="24"/>
                <w:szCs w:val="24"/>
                <w:lang w:eastAsia="da-DK"/>
              </w:rPr>
            </w:pPr>
            <w:r w:rsidRPr="00C829F3">
              <w:rPr>
                <w:sz w:val="24"/>
                <w:szCs w:val="24"/>
                <w:lang w:eastAsia="da-DK"/>
              </w:rPr>
              <w:t>30-49</w:t>
            </w:r>
          </w:p>
        </w:tc>
        <w:tc>
          <w:tcPr>
            <w:tcW w:w="3930" w:type="dxa"/>
            <w:vAlign w:val="center"/>
          </w:tcPr>
          <w:p w:rsidR="0070746C" w:rsidRPr="00C829F3" w:rsidRDefault="0070746C" w:rsidP="00CC223B">
            <w:pPr>
              <w:ind w:left="29"/>
              <w:rPr>
                <w:sz w:val="24"/>
                <w:szCs w:val="24"/>
                <w:lang w:eastAsia="da-DK"/>
              </w:rPr>
            </w:pPr>
            <w:r w:rsidRPr="00C829F3">
              <w:rPr>
                <w:sz w:val="24"/>
                <w:szCs w:val="24"/>
                <w:lang w:eastAsia="da-DK"/>
              </w:rPr>
              <w:t>300-900</w:t>
            </w:r>
          </w:p>
        </w:tc>
      </w:tr>
      <w:tr w:rsidR="0070746C" w:rsidRPr="00C829F3" w:rsidTr="00CC223B">
        <w:trPr>
          <w:jc w:val="center"/>
        </w:trPr>
        <w:tc>
          <w:tcPr>
            <w:tcW w:w="3930" w:type="dxa"/>
            <w:vAlign w:val="center"/>
          </w:tcPr>
          <w:p w:rsidR="0070746C" w:rsidRPr="00C829F3" w:rsidRDefault="0070746C" w:rsidP="00CC223B">
            <w:pPr>
              <w:ind w:left="29"/>
              <w:rPr>
                <w:sz w:val="24"/>
                <w:szCs w:val="24"/>
                <w:lang w:eastAsia="da-DK"/>
              </w:rPr>
            </w:pPr>
            <w:r w:rsidRPr="00C829F3">
              <w:rPr>
                <w:sz w:val="24"/>
                <w:szCs w:val="24"/>
                <w:lang w:eastAsia="da-DK"/>
              </w:rPr>
              <w:t>15-29</w:t>
            </w:r>
          </w:p>
        </w:tc>
        <w:tc>
          <w:tcPr>
            <w:tcW w:w="3930" w:type="dxa"/>
            <w:vAlign w:val="center"/>
          </w:tcPr>
          <w:p w:rsidR="0070746C" w:rsidRPr="00C829F3" w:rsidRDefault="0070746C" w:rsidP="00CC223B">
            <w:pPr>
              <w:ind w:left="29"/>
              <w:rPr>
                <w:sz w:val="24"/>
                <w:szCs w:val="24"/>
                <w:lang w:eastAsia="da-DK"/>
              </w:rPr>
            </w:pPr>
            <w:r w:rsidRPr="00C829F3">
              <w:rPr>
                <w:sz w:val="24"/>
                <w:szCs w:val="24"/>
                <w:lang w:eastAsia="da-DK"/>
              </w:rPr>
              <w:t>150</w:t>
            </w:r>
            <w:r w:rsidRPr="00C829F3">
              <w:rPr>
                <w:sz w:val="24"/>
                <w:szCs w:val="24"/>
                <w:vertAlign w:val="superscript"/>
                <w:lang w:eastAsia="da-DK"/>
              </w:rPr>
              <w:t>b</w:t>
            </w:r>
            <w:r w:rsidRPr="00C829F3">
              <w:rPr>
                <w:sz w:val="24"/>
                <w:szCs w:val="24"/>
                <w:lang w:eastAsia="da-DK"/>
              </w:rPr>
              <w:t>-600</w:t>
            </w:r>
          </w:p>
        </w:tc>
      </w:tr>
      <w:tr w:rsidR="0070746C" w:rsidRPr="00C829F3" w:rsidTr="00CC223B">
        <w:trPr>
          <w:jc w:val="center"/>
        </w:trPr>
        <w:tc>
          <w:tcPr>
            <w:tcW w:w="3930" w:type="dxa"/>
            <w:vAlign w:val="center"/>
          </w:tcPr>
          <w:p w:rsidR="0070746C" w:rsidRPr="00C829F3" w:rsidRDefault="0070746C" w:rsidP="00CC223B">
            <w:pPr>
              <w:ind w:left="29"/>
              <w:rPr>
                <w:sz w:val="24"/>
                <w:szCs w:val="24"/>
                <w:lang w:eastAsia="da-DK"/>
              </w:rPr>
            </w:pPr>
            <w:r w:rsidRPr="00C829F3">
              <w:rPr>
                <w:sz w:val="24"/>
                <w:szCs w:val="24"/>
                <w:lang w:eastAsia="da-DK"/>
              </w:rPr>
              <w:t>&lt; 15</w:t>
            </w:r>
            <w:r w:rsidRPr="00C829F3">
              <w:rPr>
                <w:sz w:val="24"/>
                <w:szCs w:val="24"/>
                <w:vertAlign w:val="superscript"/>
                <w:lang w:eastAsia="da-DK"/>
              </w:rPr>
              <w:t>c</w:t>
            </w:r>
          </w:p>
        </w:tc>
        <w:tc>
          <w:tcPr>
            <w:tcW w:w="3930" w:type="dxa"/>
            <w:vAlign w:val="center"/>
          </w:tcPr>
          <w:p w:rsidR="0070746C" w:rsidRPr="00C829F3" w:rsidRDefault="0070746C" w:rsidP="00CC223B">
            <w:pPr>
              <w:ind w:left="29"/>
              <w:rPr>
                <w:sz w:val="24"/>
                <w:szCs w:val="24"/>
                <w:lang w:eastAsia="da-DK"/>
              </w:rPr>
            </w:pPr>
            <w:r w:rsidRPr="00C829F3">
              <w:rPr>
                <w:sz w:val="24"/>
                <w:szCs w:val="24"/>
                <w:lang w:eastAsia="da-DK"/>
              </w:rPr>
              <w:t>150</w:t>
            </w:r>
            <w:r w:rsidRPr="00C829F3">
              <w:rPr>
                <w:sz w:val="24"/>
                <w:szCs w:val="24"/>
                <w:vertAlign w:val="superscript"/>
                <w:lang w:eastAsia="da-DK"/>
              </w:rPr>
              <w:t>b</w:t>
            </w:r>
            <w:r w:rsidRPr="00C829F3">
              <w:rPr>
                <w:sz w:val="24"/>
                <w:szCs w:val="24"/>
                <w:lang w:eastAsia="da-DK"/>
              </w:rPr>
              <w:t>-300</w:t>
            </w:r>
          </w:p>
        </w:tc>
      </w:tr>
    </w:tbl>
    <w:p w:rsidR="0070746C" w:rsidRPr="00C829F3" w:rsidRDefault="0070746C" w:rsidP="0070746C">
      <w:pPr>
        <w:ind w:left="851"/>
        <w:rPr>
          <w:sz w:val="24"/>
          <w:szCs w:val="24"/>
          <w:lang w:eastAsia="da-DK"/>
        </w:rPr>
      </w:pPr>
    </w:p>
    <w:p w:rsidR="0070746C" w:rsidRPr="00881842" w:rsidRDefault="0070746C" w:rsidP="0070746C">
      <w:pPr>
        <w:ind w:left="1134" w:hanging="283"/>
        <w:rPr>
          <w:sz w:val="20"/>
          <w:lang w:eastAsia="da-DK"/>
        </w:rPr>
      </w:pPr>
      <w:r w:rsidRPr="00881842">
        <w:rPr>
          <w:sz w:val="20"/>
          <w:vertAlign w:val="superscript"/>
          <w:lang w:eastAsia="da-DK"/>
        </w:rPr>
        <w:t>a</w:t>
      </w:r>
      <w:r>
        <w:rPr>
          <w:sz w:val="20"/>
          <w:vertAlign w:val="superscript"/>
          <w:lang w:eastAsia="da-DK"/>
        </w:rPr>
        <w:tab/>
      </w:r>
      <w:r w:rsidRPr="00881842">
        <w:rPr>
          <w:sz w:val="20"/>
          <w:lang w:eastAsia="da-DK"/>
        </w:rPr>
        <w:t>Den samlede daglige dosis bør fordeles på 3 doser. Nedsat dosis anbefales til patienter med nedsat nyrefunktion (</w:t>
      </w:r>
      <w:proofErr w:type="spellStart"/>
      <w:r w:rsidRPr="00881842">
        <w:rPr>
          <w:sz w:val="20"/>
          <w:lang w:eastAsia="da-DK"/>
        </w:rPr>
        <w:t>kreatinclearance</w:t>
      </w:r>
      <w:proofErr w:type="spellEnd"/>
      <w:r w:rsidRPr="00881842">
        <w:rPr>
          <w:sz w:val="20"/>
          <w:lang w:eastAsia="da-DK"/>
        </w:rPr>
        <w:t xml:space="preserve"> &lt; 79 ml/min.).</w:t>
      </w:r>
    </w:p>
    <w:p w:rsidR="0070746C" w:rsidRPr="00881842" w:rsidRDefault="0070746C" w:rsidP="0070746C">
      <w:pPr>
        <w:ind w:left="1134" w:hanging="283"/>
        <w:rPr>
          <w:sz w:val="20"/>
          <w:lang w:eastAsia="da-DK"/>
        </w:rPr>
      </w:pPr>
      <w:r w:rsidRPr="00881842">
        <w:rPr>
          <w:sz w:val="20"/>
          <w:vertAlign w:val="superscript"/>
          <w:lang w:eastAsia="da-DK"/>
        </w:rPr>
        <w:t>b</w:t>
      </w:r>
      <w:r>
        <w:rPr>
          <w:sz w:val="20"/>
          <w:vertAlign w:val="superscript"/>
          <w:lang w:eastAsia="da-DK"/>
        </w:rPr>
        <w:tab/>
      </w:r>
      <w:r w:rsidRPr="0030725A">
        <w:rPr>
          <w:spacing w:val="-3"/>
          <w:sz w:val="20"/>
        </w:rPr>
        <w:t>Den daglige dosis på 150 mg gives</w:t>
      </w:r>
      <w:r w:rsidRPr="00881842">
        <w:rPr>
          <w:sz w:val="20"/>
          <w:lang w:eastAsia="da-DK"/>
        </w:rPr>
        <w:t xml:space="preserve"> som 300 mg hver anden dag.</w:t>
      </w:r>
    </w:p>
    <w:p w:rsidR="0070746C" w:rsidRPr="00881842" w:rsidRDefault="0070746C" w:rsidP="0070746C">
      <w:pPr>
        <w:ind w:left="1134" w:hanging="283"/>
        <w:rPr>
          <w:sz w:val="20"/>
          <w:lang w:eastAsia="da-DK"/>
        </w:rPr>
      </w:pPr>
      <w:r w:rsidRPr="00881842">
        <w:rPr>
          <w:sz w:val="20"/>
          <w:vertAlign w:val="superscript"/>
          <w:lang w:eastAsia="da-DK"/>
        </w:rPr>
        <w:t>c</w:t>
      </w:r>
      <w:r>
        <w:rPr>
          <w:sz w:val="20"/>
          <w:vertAlign w:val="superscript"/>
          <w:lang w:eastAsia="da-DK"/>
        </w:rPr>
        <w:tab/>
      </w:r>
      <w:r w:rsidRPr="00881842">
        <w:rPr>
          <w:sz w:val="20"/>
          <w:lang w:eastAsia="da-DK"/>
        </w:rPr>
        <w:t xml:space="preserve">Til patienter med </w:t>
      </w:r>
      <w:proofErr w:type="spellStart"/>
      <w:r w:rsidRPr="00881842">
        <w:rPr>
          <w:sz w:val="20"/>
          <w:lang w:eastAsia="da-DK"/>
        </w:rPr>
        <w:t>kreatinclearance</w:t>
      </w:r>
      <w:proofErr w:type="spellEnd"/>
      <w:r w:rsidRPr="00881842">
        <w:rPr>
          <w:sz w:val="20"/>
          <w:lang w:eastAsia="da-DK"/>
        </w:rPr>
        <w:t xml:space="preserve"> &lt;15 ml/min. bør den daglige dosis nedsættes i forhold til </w:t>
      </w:r>
      <w:proofErr w:type="spellStart"/>
      <w:r w:rsidRPr="00881842">
        <w:rPr>
          <w:sz w:val="20"/>
          <w:lang w:eastAsia="da-DK"/>
        </w:rPr>
        <w:t>kreatinclearance</w:t>
      </w:r>
      <w:proofErr w:type="spellEnd"/>
      <w:r w:rsidRPr="00881842">
        <w:rPr>
          <w:sz w:val="20"/>
          <w:lang w:eastAsia="da-DK"/>
        </w:rPr>
        <w:t xml:space="preserve"> (f.eks. bør patienter med </w:t>
      </w:r>
      <w:proofErr w:type="spellStart"/>
      <w:r w:rsidRPr="00881842">
        <w:rPr>
          <w:sz w:val="20"/>
          <w:lang w:eastAsia="da-DK"/>
        </w:rPr>
        <w:t>kreatinclearance</w:t>
      </w:r>
      <w:proofErr w:type="spellEnd"/>
      <w:r w:rsidRPr="00881842">
        <w:rPr>
          <w:sz w:val="20"/>
          <w:lang w:eastAsia="da-DK"/>
        </w:rPr>
        <w:t xml:space="preserve"> på 7,5 ml/min. have halvt så stor daglig dosis som patienter med </w:t>
      </w:r>
      <w:proofErr w:type="spellStart"/>
      <w:r w:rsidRPr="00881842">
        <w:rPr>
          <w:sz w:val="20"/>
          <w:lang w:eastAsia="da-DK"/>
        </w:rPr>
        <w:t>kreatinclearance</w:t>
      </w:r>
      <w:proofErr w:type="spellEnd"/>
      <w:r w:rsidRPr="00881842">
        <w:rPr>
          <w:sz w:val="20"/>
          <w:lang w:eastAsia="da-DK"/>
        </w:rPr>
        <w:t xml:space="preserve"> på 15 ml/min.).</w:t>
      </w:r>
    </w:p>
    <w:p w:rsidR="0070746C" w:rsidRPr="00C829F3" w:rsidRDefault="0070746C" w:rsidP="0070746C">
      <w:pPr>
        <w:ind w:left="1134" w:hanging="283"/>
        <w:rPr>
          <w:sz w:val="24"/>
          <w:szCs w:val="24"/>
          <w:lang w:eastAsia="da-DK"/>
        </w:rPr>
      </w:pPr>
    </w:p>
    <w:p w:rsidR="0070746C" w:rsidRPr="00C829F3" w:rsidRDefault="0070746C" w:rsidP="0070746C">
      <w:pPr>
        <w:ind w:left="851"/>
        <w:rPr>
          <w:sz w:val="24"/>
          <w:szCs w:val="24"/>
          <w:u w:val="single"/>
          <w:lang w:eastAsia="da-DK"/>
        </w:rPr>
      </w:pPr>
      <w:r w:rsidRPr="00C829F3">
        <w:rPr>
          <w:sz w:val="24"/>
          <w:szCs w:val="24"/>
          <w:u w:val="single"/>
          <w:lang w:eastAsia="da-DK"/>
        </w:rPr>
        <w:t>Patienter i hæmodialyse</w:t>
      </w:r>
    </w:p>
    <w:p w:rsidR="0070746C" w:rsidRPr="00C829F3" w:rsidRDefault="0070746C" w:rsidP="0070746C">
      <w:pPr>
        <w:ind w:left="851"/>
        <w:rPr>
          <w:sz w:val="24"/>
          <w:szCs w:val="24"/>
          <w:lang w:eastAsia="da-DK"/>
        </w:rPr>
      </w:pPr>
      <w:r w:rsidRPr="00C829F3">
        <w:rPr>
          <w:sz w:val="24"/>
          <w:szCs w:val="24"/>
          <w:lang w:eastAsia="da-DK"/>
        </w:rPr>
        <w:t xml:space="preserve">Til </w:t>
      </w:r>
      <w:proofErr w:type="spellStart"/>
      <w:r w:rsidRPr="00C829F3">
        <w:rPr>
          <w:sz w:val="24"/>
          <w:szCs w:val="24"/>
          <w:lang w:eastAsia="da-DK"/>
        </w:rPr>
        <w:t>anuripatienter</w:t>
      </w:r>
      <w:proofErr w:type="spellEnd"/>
      <w:r w:rsidRPr="00C829F3">
        <w:rPr>
          <w:sz w:val="24"/>
          <w:szCs w:val="24"/>
          <w:lang w:eastAsia="da-DK"/>
        </w:rPr>
        <w:t xml:space="preserve">, der er i hæmodialysebehandling, og som ikke tidligere har været i behandling med </w:t>
      </w:r>
      <w:proofErr w:type="spellStart"/>
      <w:r w:rsidRPr="00C829F3">
        <w:rPr>
          <w:sz w:val="24"/>
          <w:szCs w:val="24"/>
          <w:lang w:eastAsia="da-DK"/>
        </w:rPr>
        <w:t>gabapentin</w:t>
      </w:r>
      <w:proofErr w:type="spellEnd"/>
      <w:r w:rsidRPr="00C829F3">
        <w:rPr>
          <w:sz w:val="24"/>
          <w:szCs w:val="24"/>
          <w:lang w:eastAsia="da-DK"/>
        </w:rPr>
        <w:t xml:space="preserve">, anbefales en initialdosis på 300-400 mg og derefter 200-300 mg </w:t>
      </w:r>
      <w:proofErr w:type="spellStart"/>
      <w:r w:rsidRPr="00C829F3">
        <w:rPr>
          <w:sz w:val="24"/>
          <w:szCs w:val="24"/>
          <w:lang w:eastAsia="da-DK"/>
        </w:rPr>
        <w:t>gabapentin</w:t>
      </w:r>
      <w:proofErr w:type="spellEnd"/>
      <w:r w:rsidRPr="00C829F3">
        <w:rPr>
          <w:sz w:val="24"/>
          <w:szCs w:val="24"/>
          <w:lang w:eastAsia="da-DK"/>
        </w:rPr>
        <w:t xml:space="preserve"> efter hver 4 timers hæmodialyse. På de dage, hvor patienten ikke er i hæmodialysebehandling, bør </w:t>
      </w:r>
      <w:proofErr w:type="spellStart"/>
      <w:r w:rsidRPr="00C829F3">
        <w:rPr>
          <w:sz w:val="24"/>
          <w:szCs w:val="24"/>
          <w:lang w:eastAsia="da-DK"/>
        </w:rPr>
        <w:t>gabapentin</w:t>
      </w:r>
      <w:proofErr w:type="spellEnd"/>
      <w:r w:rsidRPr="00C829F3">
        <w:rPr>
          <w:sz w:val="24"/>
          <w:szCs w:val="24"/>
          <w:lang w:eastAsia="da-DK"/>
        </w:rPr>
        <w:t xml:space="preserve"> ikke anvendes.</w:t>
      </w:r>
    </w:p>
    <w:p w:rsidR="0070746C" w:rsidRPr="00C829F3" w:rsidRDefault="0070746C" w:rsidP="0070746C">
      <w:pPr>
        <w:ind w:left="851"/>
        <w:rPr>
          <w:sz w:val="24"/>
          <w:szCs w:val="24"/>
          <w:lang w:eastAsia="da-DK"/>
        </w:rPr>
      </w:pPr>
    </w:p>
    <w:p w:rsidR="0070746C" w:rsidRPr="00C829F3" w:rsidRDefault="0070746C" w:rsidP="0070746C">
      <w:pPr>
        <w:ind w:left="851"/>
        <w:rPr>
          <w:sz w:val="24"/>
          <w:szCs w:val="24"/>
          <w:lang w:eastAsia="da-DK"/>
        </w:rPr>
      </w:pPr>
      <w:r w:rsidRPr="00C829F3">
        <w:rPr>
          <w:sz w:val="24"/>
          <w:szCs w:val="24"/>
          <w:lang w:eastAsia="da-DK"/>
        </w:rPr>
        <w:t xml:space="preserve">Hos patienter med nedsat nyrefunktion, der er i hæmodialysebehandling, bør vedligeholdelsesdosis af </w:t>
      </w:r>
      <w:proofErr w:type="spellStart"/>
      <w:r w:rsidRPr="00C829F3">
        <w:rPr>
          <w:sz w:val="24"/>
          <w:szCs w:val="24"/>
          <w:lang w:eastAsia="da-DK"/>
        </w:rPr>
        <w:t>gabapentin</w:t>
      </w:r>
      <w:proofErr w:type="spellEnd"/>
      <w:r w:rsidRPr="00C829F3">
        <w:rPr>
          <w:sz w:val="24"/>
          <w:szCs w:val="24"/>
          <w:lang w:eastAsia="da-DK"/>
        </w:rPr>
        <w:t xml:space="preserve"> baseres på dosisanbefalingerne i tabel 2. I tillæg til vedligeholdelsesdosis anbefales en dosis på yderligere 200-300 mg efter hver 4 timers hæmodialyse.</w:t>
      </w:r>
    </w:p>
    <w:p w:rsidR="0070746C" w:rsidRPr="00C829F3" w:rsidRDefault="0070746C" w:rsidP="0070746C">
      <w:pPr>
        <w:ind w:left="851"/>
        <w:rPr>
          <w:sz w:val="24"/>
          <w:szCs w:val="24"/>
          <w:lang w:eastAsia="da-DK"/>
        </w:rPr>
      </w:pPr>
    </w:p>
    <w:p w:rsidR="0070746C" w:rsidRPr="00881842" w:rsidRDefault="0070746C" w:rsidP="0070746C">
      <w:pPr>
        <w:ind w:left="851"/>
        <w:rPr>
          <w:b/>
          <w:sz w:val="24"/>
          <w:szCs w:val="24"/>
          <w:lang w:eastAsia="da-DK"/>
        </w:rPr>
      </w:pPr>
      <w:r w:rsidRPr="00881842">
        <w:rPr>
          <w:b/>
          <w:sz w:val="24"/>
          <w:szCs w:val="24"/>
          <w:lang w:eastAsia="da-DK"/>
        </w:rPr>
        <w:lastRenderedPageBreak/>
        <w:t>Administration</w:t>
      </w:r>
    </w:p>
    <w:p w:rsidR="0070746C" w:rsidRPr="00C829F3" w:rsidRDefault="0070746C" w:rsidP="0070746C">
      <w:pPr>
        <w:ind w:left="851"/>
        <w:rPr>
          <w:sz w:val="24"/>
          <w:szCs w:val="24"/>
          <w:lang w:eastAsia="da-DK"/>
        </w:rPr>
      </w:pPr>
      <w:r w:rsidRPr="00C829F3">
        <w:rPr>
          <w:sz w:val="24"/>
          <w:szCs w:val="24"/>
          <w:lang w:eastAsia="da-DK"/>
        </w:rPr>
        <w:t>Oral anvendelse.</w:t>
      </w:r>
    </w:p>
    <w:p w:rsidR="0070746C" w:rsidRPr="00C829F3" w:rsidRDefault="0070746C" w:rsidP="0070746C">
      <w:pPr>
        <w:ind w:left="851"/>
        <w:rPr>
          <w:sz w:val="24"/>
          <w:szCs w:val="24"/>
          <w:lang w:eastAsia="da-DK"/>
        </w:rPr>
      </w:pPr>
    </w:p>
    <w:p w:rsidR="0070746C" w:rsidRPr="00C84483" w:rsidRDefault="0070746C" w:rsidP="0070746C">
      <w:pPr>
        <w:ind w:left="851"/>
        <w:rPr>
          <w:sz w:val="24"/>
          <w:szCs w:val="24"/>
          <w:lang w:eastAsia="da-DK"/>
        </w:rPr>
      </w:pPr>
      <w:proofErr w:type="spellStart"/>
      <w:r w:rsidRPr="00C829F3">
        <w:rPr>
          <w:sz w:val="24"/>
          <w:szCs w:val="24"/>
          <w:lang w:eastAsia="da-DK"/>
        </w:rPr>
        <w:t>Gabapentin</w:t>
      </w:r>
      <w:proofErr w:type="spellEnd"/>
      <w:r w:rsidRPr="00C829F3">
        <w:rPr>
          <w:sz w:val="24"/>
          <w:szCs w:val="24"/>
          <w:lang w:eastAsia="da-DK"/>
        </w:rPr>
        <w:t xml:space="preserve"> kan gives med eller uden mad og skal synkes hele med tilstrækkelig væske (f.eks. et glas vand).</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4.3</w:t>
      </w:r>
      <w:r w:rsidRPr="00C84483">
        <w:rPr>
          <w:b/>
          <w:sz w:val="24"/>
          <w:szCs w:val="24"/>
        </w:rPr>
        <w:tab/>
        <w:t>Kontraindikationer</w:t>
      </w:r>
    </w:p>
    <w:p w:rsidR="0070746C" w:rsidRPr="00C84483" w:rsidRDefault="0070746C" w:rsidP="0070746C">
      <w:pPr>
        <w:ind w:left="851"/>
        <w:rPr>
          <w:sz w:val="24"/>
          <w:szCs w:val="24"/>
          <w:lang w:eastAsia="da-DK"/>
        </w:rPr>
      </w:pPr>
      <w:r w:rsidRPr="00E66EEC">
        <w:rPr>
          <w:sz w:val="24"/>
          <w:szCs w:val="24"/>
          <w:lang w:eastAsia="da-DK"/>
        </w:rPr>
        <w:t>Overfølsomhed over for det aktive stof eller over for et eller flere af hjælpestofferne anført i pkt. 6.1.</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0746C" w:rsidRPr="00E66EEC" w:rsidRDefault="0070746C" w:rsidP="0070746C">
      <w:pPr>
        <w:autoSpaceDE w:val="0"/>
        <w:autoSpaceDN w:val="0"/>
        <w:adjustRightInd w:val="0"/>
        <w:ind w:left="851"/>
        <w:rPr>
          <w:sz w:val="24"/>
          <w:szCs w:val="24"/>
          <w:u w:val="single"/>
          <w:lang w:eastAsia="da-DK"/>
        </w:rPr>
      </w:pPr>
      <w:r w:rsidRPr="00E66EEC">
        <w:rPr>
          <w:sz w:val="24"/>
          <w:szCs w:val="24"/>
          <w:u w:val="single"/>
          <w:lang w:eastAsia="da-DK"/>
        </w:rPr>
        <w:t>Selvmordstanker og -adfærd</w:t>
      </w:r>
    </w:p>
    <w:p w:rsidR="00CC223B" w:rsidRDefault="0070746C" w:rsidP="00CC223B">
      <w:pPr>
        <w:autoSpaceDE w:val="0"/>
        <w:autoSpaceDN w:val="0"/>
        <w:adjustRightInd w:val="0"/>
        <w:ind w:left="851"/>
        <w:rPr>
          <w:sz w:val="24"/>
          <w:szCs w:val="24"/>
          <w:lang w:eastAsia="da-DK"/>
        </w:rPr>
      </w:pPr>
      <w:r w:rsidRPr="00E66EEC">
        <w:rPr>
          <w:sz w:val="24"/>
          <w:szCs w:val="24"/>
          <w:lang w:eastAsia="da-DK"/>
        </w:rPr>
        <w:t xml:space="preserve">Der er rapporteret om selvmordstanker og -adfærd hos patienter i behandling med </w:t>
      </w:r>
      <w:proofErr w:type="spellStart"/>
      <w:r w:rsidRPr="00E66EEC">
        <w:rPr>
          <w:sz w:val="24"/>
          <w:szCs w:val="24"/>
          <w:lang w:eastAsia="da-DK"/>
        </w:rPr>
        <w:t>antiepileptika</w:t>
      </w:r>
      <w:proofErr w:type="spellEnd"/>
      <w:r w:rsidRPr="00E66EEC">
        <w:rPr>
          <w:sz w:val="24"/>
          <w:szCs w:val="24"/>
          <w:lang w:eastAsia="da-DK"/>
        </w:rPr>
        <w:t xml:space="preserve"> ved flere forskellige indikationer. En metaanalyse af randomiserede placebokontrollerede forsøg med </w:t>
      </w:r>
      <w:proofErr w:type="spellStart"/>
      <w:r w:rsidRPr="00E66EEC">
        <w:rPr>
          <w:sz w:val="24"/>
          <w:szCs w:val="24"/>
          <w:lang w:eastAsia="da-DK"/>
        </w:rPr>
        <w:t>antiepileptika</w:t>
      </w:r>
      <w:proofErr w:type="spellEnd"/>
      <w:r w:rsidRPr="00E66EEC">
        <w:rPr>
          <w:sz w:val="24"/>
          <w:szCs w:val="24"/>
          <w:lang w:eastAsia="da-DK"/>
        </w:rPr>
        <w:t xml:space="preserve"> har også vist let forøget risiko for selvmordstanker og -adfærd. Mekanismen bag denne risiko er ikke kendt</w:t>
      </w:r>
      <w:r w:rsidR="00CC223B">
        <w:rPr>
          <w:sz w:val="24"/>
          <w:szCs w:val="24"/>
          <w:lang w:eastAsia="da-DK"/>
        </w:rPr>
        <w:t xml:space="preserve">. Efter markedsføring er der observeret tilfælde af selvmordstanker og -adfærd hos patienter, der blev behandlet med </w:t>
      </w:r>
      <w:proofErr w:type="spellStart"/>
      <w:r w:rsidR="00CC223B">
        <w:rPr>
          <w:sz w:val="24"/>
          <w:szCs w:val="24"/>
          <w:lang w:eastAsia="da-DK"/>
        </w:rPr>
        <w:t>gabapentin</w:t>
      </w:r>
      <w:proofErr w:type="spellEnd"/>
      <w:r w:rsidR="00CC223B">
        <w:rPr>
          <w:sz w:val="24"/>
          <w:szCs w:val="24"/>
          <w:lang w:eastAsia="da-DK"/>
        </w:rPr>
        <w:t xml:space="preserve"> (se pkt. 4.8).</w:t>
      </w:r>
    </w:p>
    <w:p w:rsidR="00CC223B" w:rsidRDefault="00CC223B" w:rsidP="00CC223B">
      <w:pPr>
        <w:autoSpaceDE w:val="0"/>
        <w:autoSpaceDN w:val="0"/>
        <w:adjustRightInd w:val="0"/>
        <w:ind w:left="851"/>
        <w:rPr>
          <w:sz w:val="24"/>
          <w:szCs w:val="24"/>
          <w:lang w:eastAsia="da-DK"/>
        </w:rPr>
      </w:pPr>
    </w:p>
    <w:p w:rsidR="00CC223B" w:rsidRDefault="00CC223B" w:rsidP="00CC223B">
      <w:pPr>
        <w:autoSpaceDE w:val="0"/>
        <w:autoSpaceDN w:val="0"/>
        <w:adjustRightInd w:val="0"/>
        <w:ind w:left="851"/>
        <w:rPr>
          <w:sz w:val="24"/>
          <w:szCs w:val="24"/>
          <w:lang w:eastAsia="da-DK"/>
        </w:rPr>
      </w:pPr>
      <w:r>
        <w:rPr>
          <w:sz w:val="24"/>
          <w:szCs w:val="24"/>
          <w:lang w:eastAsia="da-DK"/>
        </w:rPr>
        <w:t xml:space="preserve">Patienter (og plejepersonale) bør tilrådes straks at søge læge, hvis der opstår tegn på selvmordstanker og -adfærd. Patienterne bør overvåges for tegn på selvmordstanker og -adfærd, og passende behandling bør overvejes. </w:t>
      </w:r>
      <w:proofErr w:type="spellStart"/>
      <w:r>
        <w:rPr>
          <w:sz w:val="24"/>
          <w:szCs w:val="24"/>
          <w:lang w:eastAsia="da-DK"/>
        </w:rPr>
        <w:t>Seponering</w:t>
      </w:r>
      <w:proofErr w:type="spellEnd"/>
      <w:r>
        <w:rPr>
          <w:sz w:val="24"/>
          <w:szCs w:val="24"/>
          <w:lang w:eastAsia="da-DK"/>
        </w:rPr>
        <w:t xml:space="preserve"> af </w:t>
      </w:r>
      <w:proofErr w:type="spellStart"/>
      <w:r>
        <w:rPr>
          <w:sz w:val="24"/>
          <w:szCs w:val="24"/>
          <w:lang w:eastAsia="da-DK"/>
        </w:rPr>
        <w:t>gabapentin</w:t>
      </w:r>
      <w:proofErr w:type="spellEnd"/>
      <w:r>
        <w:rPr>
          <w:sz w:val="24"/>
          <w:szCs w:val="24"/>
          <w:lang w:eastAsia="da-DK"/>
        </w:rPr>
        <w:t xml:space="preserve"> bør overvejes i tilfælde af selvmordstanker og -adfærd.</w:t>
      </w:r>
    </w:p>
    <w:p w:rsidR="0070746C" w:rsidRDefault="0070746C" w:rsidP="00CC223B">
      <w:pPr>
        <w:autoSpaceDE w:val="0"/>
        <w:autoSpaceDN w:val="0"/>
        <w:adjustRightInd w:val="0"/>
        <w:ind w:left="851"/>
        <w:rPr>
          <w:sz w:val="24"/>
          <w:szCs w:val="24"/>
          <w:lang w:eastAsia="da-DK"/>
        </w:rPr>
      </w:pPr>
    </w:p>
    <w:p w:rsidR="0070746C" w:rsidRPr="008043B3" w:rsidRDefault="0070746C" w:rsidP="0070746C">
      <w:pPr>
        <w:autoSpaceDE w:val="0"/>
        <w:autoSpaceDN w:val="0"/>
        <w:adjustRightInd w:val="0"/>
        <w:ind w:left="851"/>
        <w:rPr>
          <w:sz w:val="24"/>
          <w:szCs w:val="24"/>
          <w:u w:val="single"/>
          <w:lang w:eastAsia="da-DK"/>
        </w:rPr>
      </w:pPr>
      <w:r w:rsidRPr="000F6AD9">
        <w:rPr>
          <w:sz w:val="24"/>
          <w:szCs w:val="24"/>
          <w:u w:val="single"/>
          <w:lang w:eastAsia="da-DK"/>
        </w:rPr>
        <w:t>Anafylaksi</w:t>
      </w:r>
    </w:p>
    <w:p w:rsidR="0070746C" w:rsidRPr="00DA36A3" w:rsidRDefault="0070746C" w:rsidP="0070746C">
      <w:pPr>
        <w:autoSpaceDE w:val="0"/>
        <w:autoSpaceDN w:val="0"/>
        <w:adjustRightInd w:val="0"/>
        <w:ind w:left="851"/>
        <w:rPr>
          <w:sz w:val="24"/>
          <w:szCs w:val="24"/>
          <w:lang w:eastAsia="da-DK"/>
        </w:rPr>
      </w:pPr>
      <w:r w:rsidRPr="00AB25A0">
        <w:rPr>
          <w:sz w:val="24"/>
          <w:szCs w:val="24"/>
          <w:lang w:val="nb-NO" w:eastAsia="da-DK"/>
        </w:rPr>
        <w:t xml:space="preserve">Gabapentin kan forårsage anafylaksi. </w:t>
      </w:r>
      <w:r w:rsidRPr="008043B3">
        <w:rPr>
          <w:sz w:val="24"/>
          <w:szCs w:val="24"/>
          <w:lang w:eastAsia="da-DK"/>
        </w:rPr>
        <w:t>Tegn og symptomer har i de indberettede tilfælde inkluderet vejrtrækningsbesv</w:t>
      </w:r>
      <w:r>
        <w:rPr>
          <w:sz w:val="24"/>
          <w:szCs w:val="24"/>
          <w:lang w:eastAsia="da-DK"/>
        </w:rPr>
        <w:t>æ</w:t>
      </w:r>
      <w:r w:rsidRPr="008043B3">
        <w:rPr>
          <w:sz w:val="24"/>
          <w:szCs w:val="24"/>
          <w:lang w:eastAsia="da-DK"/>
        </w:rPr>
        <w:t xml:space="preserve">r, hævede læber, hævet hals og tunge og hypotension, der krævede øjeblikkelig behandling. Patienter skal instrueres om, at de skal stoppe med at tage </w:t>
      </w:r>
      <w:proofErr w:type="spellStart"/>
      <w:r w:rsidRPr="008043B3">
        <w:rPr>
          <w:sz w:val="24"/>
          <w:szCs w:val="24"/>
          <w:lang w:eastAsia="da-DK"/>
        </w:rPr>
        <w:t>gabapentin</w:t>
      </w:r>
      <w:proofErr w:type="spellEnd"/>
      <w:r w:rsidRPr="008043B3">
        <w:rPr>
          <w:sz w:val="24"/>
          <w:szCs w:val="24"/>
          <w:lang w:eastAsia="da-DK"/>
        </w:rPr>
        <w:t xml:space="preserve"> og straks søge lægehjælp, </w:t>
      </w:r>
      <w:r w:rsidRPr="00DA36A3">
        <w:rPr>
          <w:sz w:val="24"/>
          <w:szCs w:val="24"/>
          <w:lang w:eastAsia="da-DK"/>
        </w:rPr>
        <w:t>hvis de oplever tegn eller symptomer på anafylaksi</w:t>
      </w:r>
      <w:r w:rsidRPr="008043B3">
        <w:rPr>
          <w:sz w:val="24"/>
          <w:szCs w:val="24"/>
          <w:lang w:eastAsia="da-DK"/>
        </w:rPr>
        <w:t xml:space="preserve"> (se </w:t>
      </w:r>
      <w:proofErr w:type="spellStart"/>
      <w:r w:rsidRPr="00DA36A3">
        <w:rPr>
          <w:sz w:val="24"/>
          <w:szCs w:val="24"/>
          <w:lang w:eastAsia="da-DK"/>
        </w:rPr>
        <w:t>pkt</w:t>
      </w:r>
      <w:proofErr w:type="spellEnd"/>
      <w:r w:rsidRPr="008043B3">
        <w:rPr>
          <w:sz w:val="24"/>
          <w:szCs w:val="24"/>
          <w:lang w:eastAsia="da-DK"/>
        </w:rPr>
        <w:t xml:space="preserve"> 4.8).</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u w:val="single"/>
          <w:lang w:eastAsia="da-DK"/>
        </w:rPr>
      </w:pPr>
      <w:r w:rsidRPr="00E66EEC">
        <w:rPr>
          <w:sz w:val="24"/>
          <w:szCs w:val="24"/>
          <w:u w:val="single"/>
          <w:lang w:eastAsia="da-DK"/>
        </w:rPr>
        <w:t xml:space="preserve">Akut </w:t>
      </w:r>
      <w:proofErr w:type="spellStart"/>
      <w:r w:rsidRPr="00E66EEC">
        <w:rPr>
          <w:sz w:val="24"/>
          <w:szCs w:val="24"/>
          <w:u w:val="single"/>
          <w:lang w:eastAsia="da-DK"/>
        </w:rPr>
        <w:t>pankreatitis</w:t>
      </w:r>
      <w:proofErr w:type="spellEnd"/>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Hvis en patient udvikler akut </w:t>
      </w:r>
      <w:proofErr w:type="spellStart"/>
      <w:r w:rsidRPr="00E66EEC">
        <w:rPr>
          <w:sz w:val="24"/>
          <w:szCs w:val="24"/>
          <w:lang w:eastAsia="da-DK"/>
        </w:rPr>
        <w:t>pankreatitis</w:t>
      </w:r>
      <w:proofErr w:type="spellEnd"/>
      <w:r w:rsidRPr="00E66EEC">
        <w:rPr>
          <w:sz w:val="24"/>
          <w:szCs w:val="24"/>
          <w:lang w:eastAsia="da-DK"/>
        </w:rPr>
        <w:t xml:space="preserve"> under behandling med </w:t>
      </w:r>
      <w:proofErr w:type="spellStart"/>
      <w:r w:rsidRPr="00E66EEC">
        <w:rPr>
          <w:sz w:val="24"/>
          <w:szCs w:val="24"/>
          <w:lang w:eastAsia="da-DK"/>
        </w:rPr>
        <w:t>gabapentin</w:t>
      </w:r>
      <w:proofErr w:type="spellEnd"/>
      <w:r w:rsidRPr="00E66EEC">
        <w:rPr>
          <w:sz w:val="24"/>
          <w:szCs w:val="24"/>
          <w:lang w:eastAsia="da-DK"/>
        </w:rPr>
        <w:t xml:space="preserve">, bør </w:t>
      </w:r>
      <w:proofErr w:type="spellStart"/>
      <w:r w:rsidRPr="00E66EEC">
        <w:rPr>
          <w:sz w:val="24"/>
          <w:szCs w:val="24"/>
          <w:lang w:eastAsia="da-DK"/>
        </w:rPr>
        <w:t>seponering</w:t>
      </w:r>
      <w:proofErr w:type="spellEnd"/>
      <w:r w:rsidRPr="00E66EEC">
        <w:rPr>
          <w:sz w:val="24"/>
          <w:szCs w:val="24"/>
          <w:lang w:eastAsia="da-DK"/>
        </w:rPr>
        <w:t xml:space="preserve"> af </w:t>
      </w:r>
      <w:proofErr w:type="spellStart"/>
      <w:r w:rsidRPr="00E66EEC">
        <w:rPr>
          <w:sz w:val="24"/>
          <w:szCs w:val="24"/>
          <w:lang w:eastAsia="da-DK"/>
        </w:rPr>
        <w:t>gabapentin</w:t>
      </w:r>
      <w:proofErr w:type="spellEnd"/>
      <w:r w:rsidRPr="00E66EEC">
        <w:rPr>
          <w:sz w:val="24"/>
          <w:szCs w:val="24"/>
          <w:lang w:eastAsia="da-DK"/>
        </w:rPr>
        <w:t xml:space="preserve"> overvejes (se pkt. 4.8).</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u w:val="single"/>
          <w:lang w:eastAsia="da-DK"/>
        </w:rPr>
      </w:pPr>
      <w:r w:rsidRPr="00E66EEC">
        <w:rPr>
          <w:sz w:val="24"/>
          <w:szCs w:val="24"/>
          <w:u w:val="single"/>
          <w:lang w:eastAsia="da-DK"/>
        </w:rPr>
        <w:t>Kramper</w:t>
      </w: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Skønt der ikke er evidens for </w:t>
      </w:r>
      <w:proofErr w:type="spellStart"/>
      <w:r w:rsidRPr="00E66EEC">
        <w:rPr>
          <w:sz w:val="24"/>
          <w:szCs w:val="24"/>
          <w:lang w:eastAsia="da-DK"/>
        </w:rPr>
        <w:t>rebound</w:t>
      </w:r>
      <w:proofErr w:type="spellEnd"/>
      <w:r w:rsidRPr="00E66EEC">
        <w:rPr>
          <w:sz w:val="24"/>
          <w:szCs w:val="24"/>
          <w:lang w:eastAsia="da-DK"/>
        </w:rPr>
        <w:t xml:space="preserve">-anfald med </w:t>
      </w:r>
      <w:proofErr w:type="spellStart"/>
      <w:r w:rsidRPr="00E66EEC">
        <w:rPr>
          <w:sz w:val="24"/>
          <w:szCs w:val="24"/>
          <w:lang w:eastAsia="da-DK"/>
        </w:rPr>
        <w:t>gabapentin</w:t>
      </w:r>
      <w:proofErr w:type="spellEnd"/>
      <w:r w:rsidRPr="00E66EEC">
        <w:rPr>
          <w:sz w:val="24"/>
          <w:szCs w:val="24"/>
          <w:lang w:eastAsia="da-DK"/>
        </w:rPr>
        <w:t xml:space="preserve">, kan pludseligt ophør af </w:t>
      </w:r>
      <w:proofErr w:type="spellStart"/>
      <w:r w:rsidRPr="00E66EEC">
        <w:rPr>
          <w:sz w:val="24"/>
          <w:szCs w:val="24"/>
          <w:lang w:eastAsia="da-DK"/>
        </w:rPr>
        <w:t>antiepileptikabehandling</w:t>
      </w:r>
      <w:proofErr w:type="spellEnd"/>
      <w:r w:rsidRPr="00E66EEC">
        <w:rPr>
          <w:sz w:val="24"/>
          <w:szCs w:val="24"/>
          <w:lang w:eastAsia="da-DK"/>
        </w:rPr>
        <w:t xml:space="preserve"> hos patienter med epilepsi føre til status </w:t>
      </w:r>
      <w:proofErr w:type="spellStart"/>
      <w:r w:rsidRPr="00E66EEC">
        <w:rPr>
          <w:sz w:val="24"/>
          <w:szCs w:val="24"/>
          <w:lang w:eastAsia="da-DK"/>
        </w:rPr>
        <w:t>epilepticus</w:t>
      </w:r>
      <w:proofErr w:type="spellEnd"/>
      <w:r w:rsidRPr="00E66EEC">
        <w:rPr>
          <w:sz w:val="24"/>
          <w:szCs w:val="24"/>
          <w:lang w:eastAsia="da-DK"/>
        </w:rPr>
        <w:t xml:space="preserve"> (se pkt. 4.2).</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Som for andre </w:t>
      </w:r>
      <w:proofErr w:type="spellStart"/>
      <w:r w:rsidRPr="00E66EEC">
        <w:rPr>
          <w:sz w:val="24"/>
          <w:szCs w:val="24"/>
          <w:lang w:eastAsia="da-DK"/>
        </w:rPr>
        <w:t>antiepileptika</w:t>
      </w:r>
      <w:proofErr w:type="spellEnd"/>
      <w:r w:rsidRPr="00E66EEC">
        <w:rPr>
          <w:sz w:val="24"/>
          <w:szCs w:val="24"/>
          <w:lang w:eastAsia="da-DK"/>
        </w:rPr>
        <w:t xml:space="preserve"> kan visse patienter opleve en stigning i antallet af anfald, eller at der opstår nye typer anfald, med </w:t>
      </w:r>
      <w:proofErr w:type="spellStart"/>
      <w:r w:rsidRPr="00E66EEC">
        <w:rPr>
          <w:sz w:val="24"/>
          <w:szCs w:val="24"/>
          <w:lang w:eastAsia="da-DK"/>
        </w:rPr>
        <w:t>gabapentin</w:t>
      </w:r>
      <w:proofErr w:type="spellEnd"/>
      <w:r w:rsidRPr="00E66EEC">
        <w:rPr>
          <w:sz w:val="24"/>
          <w:szCs w:val="24"/>
          <w:lang w:eastAsia="da-DK"/>
        </w:rPr>
        <w:t>.</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Som for andre </w:t>
      </w:r>
      <w:proofErr w:type="spellStart"/>
      <w:r w:rsidRPr="00E66EEC">
        <w:rPr>
          <w:sz w:val="24"/>
          <w:szCs w:val="24"/>
          <w:lang w:eastAsia="da-DK"/>
        </w:rPr>
        <w:t>antiepileptika</w:t>
      </w:r>
      <w:proofErr w:type="spellEnd"/>
      <w:r w:rsidRPr="00E66EEC">
        <w:rPr>
          <w:sz w:val="24"/>
          <w:szCs w:val="24"/>
          <w:lang w:eastAsia="da-DK"/>
        </w:rPr>
        <w:t xml:space="preserve"> vil forsøg på </w:t>
      </w:r>
      <w:proofErr w:type="spellStart"/>
      <w:r w:rsidRPr="00E66EEC">
        <w:rPr>
          <w:sz w:val="24"/>
          <w:szCs w:val="24"/>
          <w:lang w:eastAsia="da-DK"/>
        </w:rPr>
        <w:t>seponering</w:t>
      </w:r>
      <w:proofErr w:type="spellEnd"/>
      <w:r w:rsidRPr="00E66EEC">
        <w:rPr>
          <w:sz w:val="24"/>
          <w:szCs w:val="24"/>
          <w:lang w:eastAsia="da-DK"/>
        </w:rPr>
        <w:t xml:space="preserve"> af andre samtidige </w:t>
      </w:r>
      <w:proofErr w:type="spellStart"/>
      <w:r w:rsidRPr="00E66EEC">
        <w:rPr>
          <w:sz w:val="24"/>
          <w:szCs w:val="24"/>
          <w:lang w:eastAsia="da-DK"/>
        </w:rPr>
        <w:t>antiepileptika</w:t>
      </w:r>
      <w:proofErr w:type="spellEnd"/>
      <w:r w:rsidRPr="00E66EEC">
        <w:rPr>
          <w:sz w:val="24"/>
          <w:szCs w:val="24"/>
          <w:lang w:eastAsia="da-DK"/>
        </w:rPr>
        <w:t xml:space="preserve"> hos refraktære patienter, der behandles med mere end ét </w:t>
      </w:r>
      <w:proofErr w:type="spellStart"/>
      <w:r w:rsidRPr="00E66EEC">
        <w:rPr>
          <w:sz w:val="24"/>
          <w:szCs w:val="24"/>
          <w:lang w:eastAsia="da-DK"/>
        </w:rPr>
        <w:t>antiepileptikum</w:t>
      </w:r>
      <w:proofErr w:type="spellEnd"/>
      <w:r w:rsidRPr="00E66EEC">
        <w:rPr>
          <w:sz w:val="24"/>
          <w:szCs w:val="24"/>
          <w:lang w:eastAsia="da-DK"/>
        </w:rPr>
        <w:t xml:space="preserve"> for at opnå </w:t>
      </w:r>
      <w:proofErr w:type="spellStart"/>
      <w:r w:rsidRPr="00E66EEC">
        <w:rPr>
          <w:sz w:val="24"/>
          <w:szCs w:val="24"/>
          <w:lang w:eastAsia="da-DK"/>
        </w:rPr>
        <w:t>gabapentinmonoterapi</w:t>
      </w:r>
      <w:proofErr w:type="spellEnd"/>
      <w:r w:rsidRPr="00E66EEC">
        <w:rPr>
          <w:sz w:val="24"/>
          <w:szCs w:val="24"/>
          <w:lang w:eastAsia="da-DK"/>
        </w:rPr>
        <w:t>, have en lav succesrate.</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proofErr w:type="spellStart"/>
      <w:r w:rsidRPr="00E66EEC">
        <w:rPr>
          <w:sz w:val="24"/>
          <w:szCs w:val="24"/>
          <w:lang w:eastAsia="da-DK"/>
        </w:rPr>
        <w:t>Gabapentin</w:t>
      </w:r>
      <w:proofErr w:type="spellEnd"/>
      <w:r w:rsidRPr="00E66EEC">
        <w:rPr>
          <w:sz w:val="24"/>
          <w:szCs w:val="24"/>
          <w:lang w:eastAsia="da-DK"/>
        </w:rPr>
        <w:t xml:space="preserve"> betragtes ikke som effektivt til behandling af absencer og kan forværre disse anfald hos nogle patienter. Derfor bør </w:t>
      </w:r>
      <w:proofErr w:type="spellStart"/>
      <w:r w:rsidRPr="00E66EEC">
        <w:rPr>
          <w:sz w:val="24"/>
          <w:szCs w:val="24"/>
          <w:lang w:eastAsia="da-DK"/>
        </w:rPr>
        <w:t>gabapentin</w:t>
      </w:r>
      <w:proofErr w:type="spellEnd"/>
      <w:r w:rsidRPr="00E66EEC">
        <w:rPr>
          <w:sz w:val="24"/>
          <w:szCs w:val="24"/>
          <w:lang w:eastAsia="da-DK"/>
        </w:rPr>
        <w:t xml:space="preserve"> anvendes med forsigtighed til patienter med blandede </w:t>
      </w:r>
      <w:proofErr w:type="spellStart"/>
      <w:r w:rsidRPr="00E66EEC">
        <w:rPr>
          <w:sz w:val="24"/>
          <w:szCs w:val="24"/>
          <w:lang w:eastAsia="da-DK"/>
        </w:rPr>
        <w:t>anfaldslidelser</w:t>
      </w:r>
      <w:proofErr w:type="spellEnd"/>
      <w:r w:rsidRPr="00E66EEC">
        <w:rPr>
          <w:sz w:val="24"/>
          <w:szCs w:val="24"/>
          <w:lang w:eastAsia="da-DK"/>
        </w:rPr>
        <w:t>, herunder absencer.</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lastRenderedPageBreak/>
        <w:t xml:space="preserve">Behandling med </w:t>
      </w:r>
      <w:proofErr w:type="spellStart"/>
      <w:r w:rsidRPr="00E66EEC">
        <w:rPr>
          <w:sz w:val="24"/>
          <w:szCs w:val="24"/>
          <w:lang w:eastAsia="da-DK"/>
        </w:rPr>
        <w:t>gabapentin</w:t>
      </w:r>
      <w:proofErr w:type="spellEnd"/>
      <w:r w:rsidRPr="00E66EEC">
        <w:rPr>
          <w:sz w:val="24"/>
          <w:szCs w:val="24"/>
          <w:lang w:eastAsia="da-DK"/>
        </w:rPr>
        <w:t xml:space="preserve"> er blevet forbundet med svimmelhed og </w:t>
      </w:r>
      <w:proofErr w:type="spellStart"/>
      <w:r w:rsidRPr="00E66EEC">
        <w:rPr>
          <w:sz w:val="24"/>
          <w:szCs w:val="24"/>
          <w:lang w:eastAsia="da-DK"/>
        </w:rPr>
        <w:t>somnolens</w:t>
      </w:r>
      <w:proofErr w:type="spellEnd"/>
      <w:r w:rsidRPr="00E66EEC">
        <w:rPr>
          <w:sz w:val="24"/>
          <w:szCs w:val="24"/>
          <w:lang w:eastAsia="da-DK"/>
        </w:rPr>
        <w:t>, som kan øge forekomsten af uheld (fald). Efter markedsføring er der tillige rapporteret om bevidsthedstab, forvirring og mental svækkelse. Derfor skal patienter rådes til at udvise forsigtighed, indtil de er bekendt med de potentielle virkninger af lægemidlet.</w:t>
      </w:r>
    </w:p>
    <w:p w:rsidR="0070746C" w:rsidRPr="00E66EEC" w:rsidRDefault="0070746C" w:rsidP="0070746C">
      <w:pPr>
        <w:autoSpaceDE w:val="0"/>
        <w:autoSpaceDN w:val="0"/>
        <w:adjustRightInd w:val="0"/>
        <w:ind w:left="851"/>
        <w:rPr>
          <w:sz w:val="24"/>
          <w:szCs w:val="24"/>
          <w:lang w:eastAsia="da-DK"/>
        </w:rPr>
      </w:pPr>
    </w:p>
    <w:p w:rsidR="00CC223B" w:rsidRDefault="00CC223B" w:rsidP="00CC223B">
      <w:pPr>
        <w:autoSpaceDE w:val="0"/>
        <w:autoSpaceDN w:val="0"/>
        <w:adjustRightInd w:val="0"/>
        <w:ind w:left="851"/>
        <w:rPr>
          <w:sz w:val="24"/>
          <w:szCs w:val="24"/>
          <w:lang w:eastAsia="da-DK"/>
        </w:rPr>
      </w:pPr>
      <w:r>
        <w:rPr>
          <w:sz w:val="24"/>
          <w:szCs w:val="24"/>
          <w:u w:val="single"/>
          <w:lang w:eastAsia="da-DK"/>
        </w:rPr>
        <w:t>Samtidig behandling med opioider og andre CNS-</w:t>
      </w:r>
      <w:proofErr w:type="spellStart"/>
      <w:r>
        <w:rPr>
          <w:sz w:val="24"/>
          <w:szCs w:val="24"/>
          <w:u w:val="single"/>
          <w:lang w:eastAsia="da-DK"/>
        </w:rPr>
        <w:t>depressiva</w:t>
      </w:r>
      <w:proofErr w:type="spellEnd"/>
      <w:r>
        <w:rPr>
          <w:sz w:val="24"/>
          <w:szCs w:val="24"/>
          <w:u w:val="single"/>
          <w:lang w:eastAsia="da-DK"/>
        </w:rPr>
        <w:t xml:space="preserve"> </w:t>
      </w:r>
    </w:p>
    <w:p w:rsidR="00CC223B" w:rsidRDefault="00CC223B" w:rsidP="00CC223B">
      <w:pPr>
        <w:autoSpaceDE w:val="0"/>
        <w:autoSpaceDN w:val="0"/>
        <w:adjustRightInd w:val="0"/>
        <w:ind w:left="851"/>
        <w:rPr>
          <w:sz w:val="24"/>
          <w:szCs w:val="24"/>
          <w:lang w:eastAsia="da-DK"/>
        </w:rPr>
      </w:pPr>
      <w:r>
        <w:rPr>
          <w:sz w:val="24"/>
          <w:szCs w:val="24"/>
          <w:lang w:eastAsia="da-DK"/>
        </w:rPr>
        <w:t>Patienter, som kræver samtidig behandling med af centralnervesystem (CNS)-</w:t>
      </w:r>
      <w:proofErr w:type="spellStart"/>
      <w:r>
        <w:rPr>
          <w:sz w:val="24"/>
          <w:szCs w:val="24"/>
          <w:lang w:eastAsia="da-DK"/>
        </w:rPr>
        <w:t>depressiva</w:t>
      </w:r>
      <w:proofErr w:type="spellEnd"/>
      <w:r>
        <w:rPr>
          <w:sz w:val="24"/>
          <w:szCs w:val="24"/>
          <w:lang w:eastAsia="da-DK"/>
        </w:rPr>
        <w:t xml:space="preserve">, herunder </w:t>
      </w:r>
      <w:proofErr w:type="spellStart"/>
      <w:r>
        <w:rPr>
          <w:sz w:val="24"/>
          <w:szCs w:val="24"/>
          <w:lang w:eastAsia="da-DK"/>
        </w:rPr>
        <w:t>opioder</w:t>
      </w:r>
      <w:proofErr w:type="spellEnd"/>
      <w:r>
        <w:rPr>
          <w:sz w:val="24"/>
          <w:szCs w:val="24"/>
          <w:lang w:eastAsia="da-DK"/>
        </w:rPr>
        <w:t xml:space="preserve">, skal monitoreres for symptomer på CNS-depression, som f.eks. døsighed, sedation og respirationsbesvær. Patienter, som bruger </w:t>
      </w:r>
      <w:proofErr w:type="spellStart"/>
      <w:r>
        <w:rPr>
          <w:sz w:val="24"/>
          <w:szCs w:val="24"/>
          <w:lang w:eastAsia="da-DK"/>
        </w:rPr>
        <w:t>gabapentin</w:t>
      </w:r>
      <w:proofErr w:type="spellEnd"/>
      <w:r>
        <w:rPr>
          <w:sz w:val="24"/>
          <w:szCs w:val="24"/>
          <w:lang w:eastAsia="da-DK"/>
        </w:rPr>
        <w:t xml:space="preserve"> og morfin samtidig, kan have forhøjede </w:t>
      </w:r>
      <w:proofErr w:type="spellStart"/>
      <w:r>
        <w:rPr>
          <w:sz w:val="24"/>
          <w:szCs w:val="24"/>
          <w:lang w:eastAsia="da-DK"/>
        </w:rPr>
        <w:t>gabapentinkoncentrationer</w:t>
      </w:r>
      <w:proofErr w:type="spellEnd"/>
      <w:r>
        <w:rPr>
          <w:sz w:val="24"/>
          <w:szCs w:val="24"/>
          <w:lang w:eastAsia="da-DK"/>
        </w:rPr>
        <w:t xml:space="preserve">. Dosen af </w:t>
      </w:r>
      <w:proofErr w:type="spellStart"/>
      <w:r>
        <w:rPr>
          <w:sz w:val="24"/>
          <w:szCs w:val="24"/>
          <w:lang w:eastAsia="da-DK"/>
        </w:rPr>
        <w:t>gabapentin</w:t>
      </w:r>
      <w:proofErr w:type="spellEnd"/>
      <w:r>
        <w:rPr>
          <w:sz w:val="24"/>
          <w:szCs w:val="24"/>
          <w:lang w:eastAsia="da-DK"/>
        </w:rPr>
        <w:t xml:space="preserve"> eller samtidig behandling med CNS-</w:t>
      </w:r>
      <w:proofErr w:type="spellStart"/>
      <w:r>
        <w:rPr>
          <w:sz w:val="24"/>
          <w:szCs w:val="24"/>
          <w:lang w:eastAsia="da-DK"/>
        </w:rPr>
        <w:t>depressiva</w:t>
      </w:r>
      <w:proofErr w:type="spellEnd"/>
      <w:r>
        <w:rPr>
          <w:sz w:val="24"/>
          <w:szCs w:val="24"/>
          <w:lang w:eastAsia="da-DK"/>
        </w:rPr>
        <w:t xml:space="preserve"> herunder opioider skal reduceres passende (se pkt. 4.5).</w:t>
      </w:r>
    </w:p>
    <w:p w:rsidR="00CC223B" w:rsidRDefault="00CC223B" w:rsidP="00CC223B">
      <w:pPr>
        <w:autoSpaceDE w:val="0"/>
        <w:autoSpaceDN w:val="0"/>
        <w:adjustRightInd w:val="0"/>
        <w:ind w:left="851"/>
        <w:rPr>
          <w:sz w:val="24"/>
          <w:szCs w:val="24"/>
          <w:lang w:eastAsia="da-DK"/>
        </w:rPr>
      </w:pPr>
    </w:p>
    <w:p w:rsidR="00CC223B" w:rsidRDefault="00CC223B" w:rsidP="00CC223B">
      <w:pPr>
        <w:autoSpaceDE w:val="0"/>
        <w:autoSpaceDN w:val="0"/>
        <w:adjustRightInd w:val="0"/>
        <w:ind w:left="851"/>
        <w:rPr>
          <w:sz w:val="24"/>
          <w:szCs w:val="24"/>
          <w:lang w:eastAsia="da-DK"/>
        </w:rPr>
      </w:pPr>
      <w:r>
        <w:rPr>
          <w:sz w:val="24"/>
          <w:szCs w:val="24"/>
          <w:lang w:eastAsia="da-DK"/>
        </w:rPr>
        <w:t xml:space="preserve">Forsigtighed tilrådes ved ordination af </w:t>
      </w:r>
      <w:proofErr w:type="spellStart"/>
      <w:r>
        <w:rPr>
          <w:sz w:val="24"/>
          <w:szCs w:val="24"/>
          <w:lang w:eastAsia="da-DK"/>
        </w:rPr>
        <w:t>gabapentin</w:t>
      </w:r>
      <w:proofErr w:type="spellEnd"/>
      <w:r>
        <w:rPr>
          <w:sz w:val="24"/>
          <w:szCs w:val="24"/>
          <w:lang w:eastAsia="da-DK"/>
        </w:rPr>
        <w:t xml:space="preserve"> samtidig med opioider på grund af risikoen for CNS-depression. I en populationsbaseret, observations- og inkorporeret case-kontrol-undersøgelse af opioidbrugere var samtidig ordination af opioider og </w:t>
      </w:r>
      <w:proofErr w:type="spellStart"/>
      <w:r>
        <w:rPr>
          <w:sz w:val="24"/>
          <w:szCs w:val="24"/>
          <w:lang w:eastAsia="da-DK"/>
        </w:rPr>
        <w:t>gabapentin</w:t>
      </w:r>
      <w:proofErr w:type="spellEnd"/>
      <w:r>
        <w:rPr>
          <w:sz w:val="24"/>
          <w:szCs w:val="24"/>
          <w:lang w:eastAsia="da-DK"/>
        </w:rPr>
        <w:t xml:space="preserve"> forbundet med en øget risiko for opioidrelateret dødsfald sammenlignet med ordination af opioid alene (justeret odds ratio [</w:t>
      </w:r>
      <w:proofErr w:type="spellStart"/>
      <w:r>
        <w:rPr>
          <w:sz w:val="24"/>
          <w:szCs w:val="24"/>
          <w:lang w:eastAsia="da-DK"/>
        </w:rPr>
        <w:t>aOR</w:t>
      </w:r>
      <w:proofErr w:type="spellEnd"/>
      <w:r>
        <w:rPr>
          <w:sz w:val="24"/>
          <w:szCs w:val="24"/>
          <w:lang w:eastAsia="da-DK"/>
        </w:rPr>
        <w:t>], 1,49 [95% CI, 1,18 til 1,88, p &lt;0,001]).</w:t>
      </w:r>
    </w:p>
    <w:p w:rsidR="0070746C" w:rsidRDefault="0070746C" w:rsidP="0070746C">
      <w:pPr>
        <w:autoSpaceDE w:val="0"/>
        <w:autoSpaceDN w:val="0"/>
        <w:adjustRightInd w:val="0"/>
        <w:ind w:left="851"/>
        <w:rPr>
          <w:sz w:val="24"/>
          <w:szCs w:val="24"/>
          <w:lang w:eastAsia="da-DK"/>
        </w:rPr>
      </w:pPr>
    </w:p>
    <w:p w:rsidR="0070746C" w:rsidRDefault="0070746C" w:rsidP="0070746C">
      <w:pPr>
        <w:tabs>
          <w:tab w:val="left" w:pos="0"/>
          <w:tab w:val="left" w:pos="3110"/>
          <w:tab w:val="left" w:pos="5637"/>
        </w:tabs>
        <w:ind w:left="855"/>
        <w:rPr>
          <w:sz w:val="24"/>
          <w:szCs w:val="24"/>
          <w:u w:val="single"/>
          <w:lang w:eastAsia="da-DK"/>
        </w:rPr>
      </w:pPr>
      <w:r>
        <w:rPr>
          <w:sz w:val="24"/>
          <w:szCs w:val="24"/>
          <w:u w:val="single"/>
          <w:lang w:eastAsia="da-DK"/>
        </w:rPr>
        <w:t>Respirationsdepression</w:t>
      </w:r>
    </w:p>
    <w:p w:rsidR="0070746C" w:rsidRDefault="0070746C" w:rsidP="0070746C">
      <w:pPr>
        <w:tabs>
          <w:tab w:val="left" w:pos="0"/>
          <w:tab w:val="left" w:pos="3110"/>
          <w:tab w:val="left" w:pos="5637"/>
        </w:tabs>
        <w:ind w:left="855"/>
        <w:rPr>
          <w:sz w:val="24"/>
          <w:szCs w:val="24"/>
          <w:lang w:eastAsia="da-DK"/>
        </w:rPr>
      </w:pPr>
      <w:proofErr w:type="spellStart"/>
      <w:r>
        <w:rPr>
          <w:sz w:val="24"/>
          <w:szCs w:val="24"/>
          <w:lang w:eastAsia="da-DK"/>
        </w:rPr>
        <w:t>Gabapentin</w:t>
      </w:r>
      <w:proofErr w:type="spellEnd"/>
      <w:r>
        <w:rPr>
          <w:sz w:val="24"/>
          <w:szCs w:val="24"/>
          <w:lang w:eastAsia="da-DK"/>
        </w:rPr>
        <w:t xml:space="preserve"> har været forbundet med svær respirationsdepression. Patienter med kompromitteret respirationsfunktion, luftvejssygdom eller neurologisk sygdom, nedsat nyrefunktion, sideløbende brug af CNS-</w:t>
      </w:r>
      <w:proofErr w:type="spellStart"/>
      <w:r>
        <w:rPr>
          <w:sz w:val="24"/>
          <w:szCs w:val="24"/>
          <w:lang w:eastAsia="da-DK"/>
        </w:rPr>
        <w:t>depressiva</w:t>
      </w:r>
      <w:proofErr w:type="spellEnd"/>
      <w:r>
        <w:rPr>
          <w:sz w:val="24"/>
          <w:szCs w:val="24"/>
          <w:lang w:eastAsia="da-DK"/>
        </w:rPr>
        <w:t xml:space="preserve"> samt ældre kan have forhøjet risiko for denne alvorlige bivirkning. Dosisjustering kan være nødvendig hos sådanne patienter.</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u w:val="single"/>
          <w:lang w:eastAsia="da-DK"/>
        </w:rPr>
      </w:pPr>
      <w:r w:rsidRPr="00E66EEC">
        <w:rPr>
          <w:sz w:val="24"/>
          <w:szCs w:val="24"/>
          <w:u w:val="single"/>
          <w:lang w:eastAsia="da-DK"/>
        </w:rPr>
        <w:t>Ældre (over 65 år)</w:t>
      </w:r>
    </w:p>
    <w:p w:rsidR="0070746C" w:rsidRPr="00E66EEC" w:rsidRDefault="0070746C" w:rsidP="0070746C">
      <w:pPr>
        <w:autoSpaceDE w:val="0"/>
        <w:autoSpaceDN w:val="0"/>
        <w:adjustRightInd w:val="0"/>
        <w:ind w:left="851"/>
        <w:rPr>
          <w:sz w:val="24"/>
          <w:szCs w:val="24"/>
          <w:lang w:eastAsia="da-DK"/>
        </w:rPr>
      </w:pPr>
      <w:proofErr w:type="spellStart"/>
      <w:r w:rsidRPr="00E66EEC">
        <w:rPr>
          <w:sz w:val="24"/>
          <w:szCs w:val="24"/>
          <w:lang w:eastAsia="da-DK"/>
        </w:rPr>
        <w:t>Gabapentin</w:t>
      </w:r>
      <w:proofErr w:type="spellEnd"/>
      <w:r w:rsidRPr="00E66EEC">
        <w:rPr>
          <w:sz w:val="24"/>
          <w:szCs w:val="24"/>
          <w:lang w:eastAsia="da-DK"/>
        </w:rPr>
        <w:t xml:space="preserve"> er ikke undersøgt systematisk hos patienter på 65 år og derover. I en dobbeltblindet undersøgelse hos patienter med neuropatiske smerter forekom der </w:t>
      </w:r>
      <w:proofErr w:type="spellStart"/>
      <w:r w:rsidRPr="00E66EEC">
        <w:rPr>
          <w:sz w:val="24"/>
          <w:szCs w:val="24"/>
          <w:lang w:eastAsia="da-DK"/>
        </w:rPr>
        <w:t>somnolens</w:t>
      </w:r>
      <w:proofErr w:type="spellEnd"/>
      <w:r w:rsidRPr="00E66EEC">
        <w:rPr>
          <w:sz w:val="24"/>
          <w:szCs w:val="24"/>
          <w:lang w:eastAsia="da-DK"/>
        </w:rPr>
        <w:t>, perifert ødem og asteni hos en noget større procentdel af patienterne på 65 år eller derover end hos yngre patienter. Bortset fra disse fund tyder kliniske undersøgelser hos denne aldersgruppe ikke på en bivirkningsprofil, der er forskellig fra den, som er set hos yngre patienter.</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u w:val="single"/>
          <w:lang w:eastAsia="da-DK"/>
        </w:rPr>
      </w:pPr>
      <w:r w:rsidRPr="00E66EEC">
        <w:rPr>
          <w:sz w:val="24"/>
          <w:szCs w:val="24"/>
          <w:u w:val="single"/>
          <w:lang w:eastAsia="da-DK"/>
        </w:rPr>
        <w:t>Pædiatrisk population</w:t>
      </w: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Effekten af langtidsbehandling (mere end 36 uger) med </w:t>
      </w:r>
      <w:proofErr w:type="spellStart"/>
      <w:r w:rsidRPr="00E66EEC">
        <w:rPr>
          <w:sz w:val="24"/>
          <w:szCs w:val="24"/>
          <w:lang w:eastAsia="da-DK"/>
        </w:rPr>
        <w:t>gabapentin</w:t>
      </w:r>
      <w:proofErr w:type="spellEnd"/>
      <w:r w:rsidRPr="00E66EEC">
        <w:rPr>
          <w:sz w:val="24"/>
          <w:szCs w:val="24"/>
          <w:lang w:eastAsia="da-DK"/>
        </w:rPr>
        <w:t xml:space="preserve"> på indlæring, intelligens og udvikling hos børn og unge er ikke tilstrækkeligt undersøgt. Fordelen ved forlænget behandling skal derfor opvejes mod den mulige risiko ved en sådan behandling.</w:t>
      </w:r>
    </w:p>
    <w:p w:rsidR="0070746C" w:rsidRPr="00E66EEC" w:rsidRDefault="0070746C" w:rsidP="0070746C">
      <w:pPr>
        <w:autoSpaceDE w:val="0"/>
        <w:autoSpaceDN w:val="0"/>
        <w:adjustRightInd w:val="0"/>
        <w:ind w:left="851"/>
        <w:rPr>
          <w:sz w:val="24"/>
          <w:szCs w:val="24"/>
          <w:lang w:eastAsia="da-DK"/>
        </w:rPr>
      </w:pPr>
    </w:p>
    <w:p w:rsidR="004D62EE" w:rsidRPr="000E4CA8" w:rsidRDefault="004D62EE" w:rsidP="004D62EE">
      <w:pPr>
        <w:autoSpaceDE w:val="0"/>
        <w:autoSpaceDN w:val="0"/>
        <w:adjustRightInd w:val="0"/>
        <w:ind w:left="851"/>
        <w:rPr>
          <w:sz w:val="24"/>
          <w:szCs w:val="24"/>
          <w:u w:val="single"/>
          <w:lang w:eastAsia="da-DK"/>
        </w:rPr>
      </w:pPr>
      <w:r w:rsidRPr="001848E7">
        <w:rPr>
          <w:u w:val="single"/>
        </w:rPr>
        <w:t>Forkert brug, potentiale for m</w:t>
      </w:r>
      <w:r w:rsidRPr="000E4CA8">
        <w:rPr>
          <w:sz w:val="24"/>
          <w:szCs w:val="24"/>
          <w:u w:val="single"/>
          <w:lang w:eastAsia="da-DK"/>
        </w:rPr>
        <w:t>isbrug og afhængighed</w:t>
      </w:r>
    </w:p>
    <w:p w:rsidR="004D62EE" w:rsidRDefault="004D62EE" w:rsidP="004D62EE">
      <w:pPr>
        <w:autoSpaceDE w:val="0"/>
        <w:autoSpaceDN w:val="0"/>
        <w:adjustRightInd w:val="0"/>
        <w:ind w:left="850"/>
        <w:rPr>
          <w:sz w:val="24"/>
          <w:szCs w:val="24"/>
          <w:lang w:eastAsia="da-DK"/>
        </w:rPr>
      </w:pPr>
      <w:proofErr w:type="spellStart"/>
      <w:r w:rsidRPr="001848E7">
        <w:rPr>
          <w:sz w:val="24"/>
          <w:szCs w:val="24"/>
          <w:lang w:eastAsia="da-DK"/>
        </w:rPr>
        <w:t>Gabapentin</w:t>
      </w:r>
      <w:proofErr w:type="spellEnd"/>
      <w:r w:rsidRPr="001848E7">
        <w:rPr>
          <w:sz w:val="24"/>
          <w:szCs w:val="24"/>
          <w:lang w:eastAsia="da-DK"/>
        </w:rPr>
        <w:t xml:space="preserve"> kan medføre stofafhængighed, hvilket kan forekomme ved terapeutiske doser. Tilfælde af misbrug og forkert brug er blevet rapporteret. Patienter, der tidligere har haft et misbrug, kan have en højere risiko for forkert brug, misbrug og afhængighed af </w:t>
      </w:r>
      <w:proofErr w:type="spellStart"/>
      <w:r w:rsidRPr="001848E7">
        <w:rPr>
          <w:sz w:val="24"/>
          <w:szCs w:val="24"/>
          <w:lang w:eastAsia="da-DK"/>
        </w:rPr>
        <w:t>gabapentin</w:t>
      </w:r>
      <w:proofErr w:type="spellEnd"/>
      <w:r w:rsidRPr="001848E7">
        <w:rPr>
          <w:sz w:val="24"/>
          <w:szCs w:val="24"/>
          <w:lang w:eastAsia="da-DK"/>
        </w:rPr>
        <w:t xml:space="preserve">, og </w:t>
      </w:r>
      <w:proofErr w:type="spellStart"/>
      <w:r w:rsidRPr="001848E7">
        <w:rPr>
          <w:sz w:val="24"/>
          <w:szCs w:val="24"/>
          <w:lang w:eastAsia="da-DK"/>
        </w:rPr>
        <w:t>gabapentin</w:t>
      </w:r>
      <w:proofErr w:type="spellEnd"/>
      <w:r w:rsidRPr="001848E7">
        <w:rPr>
          <w:sz w:val="24"/>
          <w:szCs w:val="24"/>
          <w:lang w:eastAsia="da-DK"/>
        </w:rPr>
        <w:t xml:space="preserve"> skal anvendes med forsigtighed hos sådanne patienter. Før </w:t>
      </w:r>
      <w:proofErr w:type="spellStart"/>
      <w:r w:rsidRPr="001848E7">
        <w:rPr>
          <w:sz w:val="24"/>
          <w:szCs w:val="24"/>
          <w:lang w:eastAsia="da-DK"/>
        </w:rPr>
        <w:t>gabapentin</w:t>
      </w:r>
      <w:proofErr w:type="spellEnd"/>
      <w:r w:rsidRPr="001848E7">
        <w:rPr>
          <w:sz w:val="24"/>
          <w:szCs w:val="24"/>
          <w:lang w:eastAsia="da-DK"/>
        </w:rPr>
        <w:t xml:space="preserve"> ordineres, skal patientens risiko for forkert brug, misbrug eller afhængighed evalueres omhyggeligt. </w:t>
      </w:r>
    </w:p>
    <w:p w:rsidR="004D62EE" w:rsidRDefault="004D62EE" w:rsidP="004D62EE">
      <w:pPr>
        <w:autoSpaceDE w:val="0"/>
        <w:autoSpaceDN w:val="0"/>
        <w:adjustRightInd w:val="0"/>
        <w:ind w:left="850"/>
        <w:rPr>
          <w:sz w:val="24"/>
          <w:szCs w:val="24"/>
          <w:lang w:eastAsia="da-DK"/>
        </w:rPr>
      </w:pPr>
    </w:p>
    <w:p w:rsidR="004D62EE" w:rsidRPr="004D62EE" w:rsidRDefault="004D62EE" w:rsidP="004D62EE">
      <w:pPr>
        <w:autoSpaceDE w:val="0"/>
        <w:autoSpaceDN w:val="0"/>
        <w:adjustRightInd w:val="0"/>
        <w:ind w:left="850"/>
        <w:rPr>
          <w:sz w:val="24"/>
          <w:szCs w:val="24"/>
          <w:lang w:eastAsia="da-DK"/>
        </w:rPr>
      </w:pPr>
      <w:r w:rsidRPr="004D62EE">
        <w:rPr>
          <w:sz w:val="24"/>
          <w:szCs w:val="24"/>
          <w:lang w:eastAsia="da-DK"/>
        </w:rPr>
        <w:t xml:space="preserve">Patienter, der behandles med </w:t>
      </w:r>
      <w:proofErr w:type="spellStart"/>
      <w:r w:rsidRPr="004D62EE">
        <w:rPr>
          <w:sz w:val="24"/>
          <w:szCs w:val="24"/>
          <w:lang w:eastAsia="da-DK"/>
        </w:rPr>
        <w:t>gabapentin</w:t>
      </w:r>
      <w:proofErr w:type="spellEnd"/>
      <w:r w:rsidRPr="004D62EE">
        <w:rPr>
          <w:sz w:val="24"/>
          <w:szCs w:val="24"/>
          <w:lang w:eastAsia="da-DK"/>
        </w:rPr>
        <w:t xml:space="preserve">, skal overvåges for symptomer på forkert brug, misbrug eller afhængighed af </w:t>
      </w:r>
      <w:proofErr w:type="spellStart"/>
      <w:r w:rsidRPr="004D62EE">
        <w:rPr>
          <w:sz w:val="24"/>
          <w:szCs w:val="24"/>
          <w:lang w:eastAsia="da-DK"/>
        </w:rPr>
        <w:t>gabapentin</w:t>
      </w:r>
      <w:proofErr w:type="spellEnd"/>
      <w:r w:rsidRPr="004D62EE">
        <w:rPr>
          <w:sz w:val="24"/>
          <w:szCs w:val="24"/>
          <w:lang w:eastAsia="da-DK"/>
        </w:rPr>
        <w:t xml:space="preserve"> såsom udvikling af tolerans, dosisøgning og stofsøgende adfærd.</w:t>
      </w:r>
    </w:p>
    <w:p w:rsidR="004D62EE" w:rsidRPr="004D62EE" w:rsidRDefault="004D62EE" w:rsidP="004D62EE">
      <w:pPr>
        <w:autoSpaceDE w:val="0"/>
        <w:autoSpaceDN w:val="0"/>
        <w:adjustRightInd w:val="0"/>
        <w:ind w:left="851"/>
        <w:rPr>
          <w:sz w:val="24"/>
          <w:szCs w:val="24"/>
          <w:u w:val="single"/>
        </w:rPr>
      </w:pPr>
    </w:p>
    <w:p w:rsidR="004D62EE" w:rsidRPr="004D62EE" w:rsidRDefault="004D62EE" w:rsidP="004D62EE">
      <w:pPr>
        <w:autoSpaceDE w:val="0"/>
        <w:autoSpaceDN w:val="0"/>
        <w:adjustRightInd w:val="0"/>
        <w:ind w:left="851"/>
        <w:rPr>
          <w:sz w:val="24"/>
          <w:szCs w:val="24"/>
          <w:u w:val="single"/>
        </w:rPr>
      </w:pPr>
      <w:proofErr w:type="spellStart"/>
      <w:r w:rsidRPr="004D62EE">
        <w:rPr>
          <w:sz w:val="24"/>
          <w:szCs w:val="24"/>
          <w:u w:val="single"/>
        </w:rPr>
        <w:t>Seponeringssymptomer</w:t>
      </w:r>
      <w:proofErr w:type="spellEnd"/>
    </w:p>
    <w:p w:rsidR="004D62EE" w:rsidRPr="004D62EE" w:rsidRDefault="004D62EE" w:rsidP="004D62EE">
      <w:pPr>
        <w:autoSpaceDE w:val="0"/>
        <w:autoSpaceDN w:val="0"/>
        <w:adjustRightInd w:val="0"/>
        <w:ind w:left="850"/>
        <w:rPr>
          <w:sz w:val="24"/>
          <w:szCs w:val="24"/>
        </w:rPr>
      </w:pPr>
      <w:r w:rsidRPr="004D62EE">
        <w:rPr>
          <w:sz w:val="24"/>
          <w:szCs w:val="24"/>
        </w:rPr>
        <w:lastRenderedPageBreak/>
        <w:t xml:space="preserve">Efter </w:t>
      </w:r>
      <w:proofErr w:type="spellStart"/>
      <w:r w:rsidRPr="004D62EE">
        <w:rPr>
          <w:sz w:val="24"/>
          <w:szCs w:val="24"/>
        </w:rPr>
        <w:t>seponering</w:t>
      </w:r>
      <w:proofErr w:type="spellEnd"/>
      <w:r w:rsidRPr="004D62EE">
        <w:rPr>
          <w:sz w:val="24"/>
          <w:szCs w:val="24"/>
        </w:rPr>
        <w:t xml:space="preserve"> af kortidsbehandling og langtidsbehandling med </w:t>
      </w:r>
      <w:proofErr w:type="spellStart"/>
      <w:r w:rsidRPr="004D62EE">
        <w:rPr>
          <w:sz w:val="24"/>
          <w:szCs w:val="24"/>
        </w:rPr>
        <w:t>gabapentin</w:t>
      </w:r>
      <w:proofErr w:type="spellEnd"/>
      <w:r w:rsidRPr="004D62EE">
        <w:rPr>
          <w:sz w:val="24"/>
          <w:szCs w:val="24"/>
        </w:rPr>
        <w:t xml:space="preserve"> er der set </w:t>
      </w:r>
      <w:proofErr w:type="spellStart"/>
      <w:r w:rsidRPr="004D62EE">
        <w:rPr>
          <w:sz w:val="24"/>
          <w:szCs w:val="24"/>
        </w:rPr>
        <w:t>seponeringssymptomer</w:t>
      </w:r>
      <w:proofErr w:type="spellEnd"/>
      <w:r w:rsidRPr="004D62EE">
        <w:rPr>
          <w:sz w:val="24"/>
          <w:szCs w:val="24"/>
        </w:rPr>
        <w:t xml:space="preserve">. </w:t>
      </w:r>
      <w:proofErr w:type="spellStart"/>
      <w:r w:rsidRPr="004D62EE">
        <w:rPr>
          <w:sz w:val="24"/>
          <w:szCs w:val="24"/>
        </w:rPr>
        <w:t>Seponeringssymptomer</w:t>
      </w:r>
      <w:proofErr w:type="spellEnd"/>
      <w:r w:rsidRPr="004D62EE">
        <w:rPr>
          <w:sz w:val="24"/>
          <w:szCs w:val="24"/>
        </w:rPr>
        <w:t xml:space="preserve"> kan forekomme kort tid efter </w:t>
      </w:r>
      <w:proofErr w:type="spellStart"/>
      <w:r w:rsidRPr="004D62EE">
        <w:rPr>
          <w:sz w:val="24"/>
          <w:szCs w:val="24"/>
        </w:rPr>
        <w:t>seponering</w:t>
      </w:r>
      <w:proofErr w:type="spellEnd"/>
      <w:r w:rsidRPr="004D62EE">
        <w:rPr>
          <w:sz w:val="24"/>
          <w:szCs w:val="24"/>
        </w:rPr>
        <w:t xml:space="preserve">, som regel inden for 48 timer. De hyppigst rapporterede symptomer omfatter angst, søvnløshed, kvalme, smerter, svedtendens, </w:t>
      </w:r>
      <w:proofErr w:type="spellStart"/>
      <w:r w:rsidRPr="004D62EE">
        <w:rPr>
          <w:sz w:val="24"/>
          <w:szCs w:val="24"/>
        </w:rPr>
        <w:t>tremor</w:t>
      </w:r>
      <w:proofErr w:type="spellEnd"/>
      <w:r w:rsidRPr="004D62EE">
        <w:rPr>
          <w:sz w:val="24"/>
          <w:szCs w:val="24"/>
        </w:rPr>
        <w:t xml:space="preserve">, hovedpine, depression, at føle sig unormal, svimmelhed og utilpashed. Forekomsten af </w:t>
      </w:r>
      <w:proofErr w:type="spellStart"/>
      <w:r w:rsidRPr="004D62EE">
        <w:rPr>
          <w:sz w:val="24"/>
          <w:szCs w:val="24"/>
        </w:rPr>
        <w:t>seponeringssymptomer</w:t>
      </w:r>
      <w:proofErr w:type="spellEnd"/>
      <w:r w:rsidRPr="004D62EE">
        <w:rPr>
          <w:sz w:val="24"/>
          <w:szCs w:val="24"/>
        </w:rPr>
        <w:t xml:space="preserve"> efter </w:t>
      </w:r>
      <w:proofErr w:type="spellStart"/>
      <w:r w:rsidRPr="004D62EE">
        <w:rPr>
          <w:sz w:val="24"/>
          <w:szCs w:val="24"/>
        </w:rPr>
        <w:t>seponering</w:t>
      </w:r>
      <w:proofErr w:type="spellEnd"/>
      <w:r w:rsidRPr="004D62EE">
        <w:rPr>
          <w:sz w:val="24"/>
          <w:szCs w:val="24"/>
        </w:rPr>
        <w:t xml:space="preserve"> af </w:t>
      </w:r>
      <w:proofErr w:type="spellStart"/>
      <w:r w:rsidRPr="004D62EE">
        <w:rPr>
          <w:sz w:val="24"/>
          <w:szCs w:val="24"/>
        </w:rPr>
        <w:t>gabapentin</w:t>
      </w:r>
      <w:proofErr w:type="spellEnd"/>
      <w:r w:rsidRPr="004D62EE">
        <w:rPr>
          <w:sz w:val="24"/>
          <w:szCs w:val="24"/>
        </w:rPr>
        <w:t xml:space="preserve"> kan være tegn på stofafhængighed (se pkt. 4.8). Patienten bør informeres om dette ved behandlingens start. Hvis </w:t>
      </w:r>
      <w:proofErr w:type="spellStart"/>
      <w:r w:rsidRPr="004D62EE">
        <w:rPr>
          <w:sz w:val="24"/>
          <w:szCs w:val="24"/>
        </w:rPr>
        <w:t>gabapentin</w:t>
      </w:r>
      <w:proofErr w:type="spellEnd"/>
      <w:r w:rsidRPr="004D62EE">
        <w:rPr>
          <w:sz w:val="24"/>
          <w:szCs w:val="24"/>
        </w:rPr>
        <w:t xml:space="preserve"> seponeres, anbefales det, at dette sker gradvist over mindst 1 uge uden hensyn til indikationen (se pkt. 4.2).</w:t>
      </w:r>
    </w:p>
    <w:p w:rsidR="004D62EE" w:rsidRPr="004D62EE" w:rsidRDefault="004D62EE" w:rsidP="004D62EE">
      <w:pPr>
        <w:autoSpaceDE w:val="0"/>
        <w:autoSpaceDN w:val="0"/>
        <w:adjustRightInd w:val="0"/>
        <w:ind w:left="850"/>
        <w:rPr>
          <w:sz w:val="24"/>
          <w:szCs w:val="24"/>
        </w:rPr>
      </w:pPr>
    </w:p>
    <w:p w:rsidR="004D62EE" w:rsidRPr="004D62EE" w:rsidRDefault="004D62EE" w:rsidP="004D62EE">
      <w:pPr>
        <w:autoSpaceDE w:val="0"/>
        <w:autoSpaceDN w:val="0"/>
        <w:adjustRightInd w:val="0"/>
        <w:ind w:left="851"/>
        <w:rPr>
          <w:sz w:val="24"/>
          <w:szCs w:val="24"/>
          <w:u w:val="single"/>
        </w:rPr>
      </w:pPr>
      <w:r w:rsidRPr="004D62EE">
        <w:rPr>
          <w:sz w:val="24"/>
          <w:szCs w:val="24"/>
          <w:u w:val="single"/>
        </w:rPr>
        <w:t xml:space="preserve">Svære </w:t>
      </w:r>
      <w:proofErr w:type="spellStart"/>
      <w:r w:rsidRPr="004D62EE">
        <w:rPr>
          <w:sz w:val="24"/>
          <w:szCs w:val="24"/>
          <w:u w:val="single"/>
        </w:rPr>
        <w:t>kutane</w:t>
      </w:r>
      <w:proofErr w:type="spellEnd"/>
      <w:r w:rsidRPr="004D62EE">
        <w:rPr>
          <w:sz w:val="24"/>
          <w:szCs w:val="24"/>
          <w:u w:val="single"/>
        </w:rPr>
        <w:t xml:space="preserve"> bivirkninger (</w:t>
      </w:r>
      <w:proofErr w:type="spellStart"/>
      <w:r w:rsidRPr="004D62EE">
        <w:rPr>
          <w:sz w:val="24"/>
          <w:szCs w:val="24"/>
          <w:u w:val="single"/>
        </w:rPr>
        <w:t>SCAR'er</w:t>
      </w:r>
      <w:proofErr w:type="spellEnd"/>
      <w:r w:rsidRPr="004D62EE">
        <w:rPr>
          <w:sz w:val="24"/>
          <w:szCs w:val="24"/>
          <w:u w:val="single"/>
        </w:rPr>
        <w:t xml:space="preserve">) </w:t>
      </w:r>
    </w:p>
    <w:p w:rsidR="004D62EE" w:rsidRPr="004D62EE" w:rsidRDefault="004D62EE" w:rsidP="004D62EE">
      <w:pPr>
        <w:autoSpaceDE w:val="0"/>
        <w:autoSpaceDN w:val="0"/>
        <w:adjustRightInd w:val="0"/>
        <w:ind w:left="851"/>
        <w:rPr>
          <w:sz w:val="24"/>
          <w:szCs w:val="24"/>
        </w:rPr>
      </w:pPr>
      <w:r w:rsidRPr="004D62EE">
        <w:rPr>
          <w:sz w:val="24"/>
          <w:szCs w:val="24"/>
        </w:rPr>
        <w:t xml:space="preserve">Svære </w:t>
      </w:r>
      <w:proofErr w:type="spellStart"/>
      <w:r w:rsidRPr="004D62EE">
        <w:rPr>
          <w:sz w:val="24"/>
          <w:szCs w:val="24"/>
        </w:rPr>
        <w:t>kutane</w:t>
      </w:r>
      <w:proofErr w:type="spellEnd"/>
      <w:r w:rsidRPr="004D62EE">
        <w:rPr>
          <w:sz w:val="24"/>
          <w:szCs w:val="24"/>
        </w:rPr>
        <w:t xml:space="preserve"> bivirkninger, herunder Stevens-Johnsons syndrom (SJS), toksisk </w:t>
      </w:r>
      <w:proofErr w:type="spellStart"/>
      <w:r w:rsidRPr="004D62EE">
        <w:rPr>
          <w:sz w:val="24"/>
          <w:szCs w:val="24"/>
        </w:rPr>
        <w:t>epidermal</w:t>
      </w:r>
      <w:proofErr w:type="spellEnd"/>
      <w:r w:rsidRPr="004D62EE">
        <w:rPr>
          <w:sz w:val="24"/>
          <w:szCs w:val="24"/>
        </w:rPr>
        <w:t xml:space="preserve"> </w:t>
      </w:r>
      <w:proofErr w:type="spellStart"/>
      <w:r w:rsidRPr="004D62EE">
        <w:rPr>
          <w:sz w:val="24"/>
          <w:szCs w:val="24"/>
        </w:rPr>
        <w:t>nekrolyse</w:t>
      </w:r>
      <w:proofErr w:type="spellEnd"/>
      <w:r w:rsidRPr="004D62EE">
        <w:rPr>
          <w:sz w:val="24"/>
          <w:szCs w:val="24"/>
        </w:rPr>
        <w:t xml:space="preserve"> (TEN) og lægemiddelfremkaldt udslæt med </w:t>
      </w:r>
      <w:proofErr w:type="spellStart"/>
      <w:r w:rsidRPr="004D62EE">
        <w:rPr>
          <w:sz w:val="24"/>
          <w:szCs w:val="24"/>
        </w:rPr>
        <w:t>eosinofili</w:t>
      </w:r>
      <w:proofErr w:type="spellEnd"/>
      <w:r w:rsidRPr="004D62EE">
        <w:rPr>
          <w:sz w:val="24"/>
          <w:szCs w:val="24"/>
        </w:rPr>
        <w:t xml:space="preserve"> og systemiske symptomer (DRESS), som kan være livstruende eller fatale, er blevet rapporteret i forbindelse med behandling med </w:t>
      </w:r>
      <w:proofErr w:type="spellStart"/>
      <w:r w:rsidRPr="004D62EE">
        <w:rPr>
          <w:sz w:val="24"/>
          <w:szCs w:val="24"/>
        </w:rPr>
        <w:t>gabapentin</w:t>
      </w:r>
      <w:proofErr w:type="spellEnd"/>
      <w:r w:rsidRPr="004D62EE">
        <w:rPr>
          <w:sz w:val="24"/>
          <w:szCs w:val="24"/>
        </w:rPr>
        <w:t xml:space="preserve">. Ved ordinering bør patienterne gøres opmærksomme på tegn og symptomer og monitoreres nøje for hudreaktioner. Hvis der opstår tegn og symptomer på sådanne reaktioner, bør </w:t>
      </w:r>
      <w:proofErr w:type="spellStart"/>
      <w:r w:rsidRPr="004D62EE">
        <w:rPr>
          <w:sz w:val="24"/>
          <w:szCs w:val="24"/>
        </w:rPr>
        <w:t>gabapentin</w:t>
      </w:r>
      <w:proofErr w:type="spellEnd"/>
      <w:r w:rsidRPr="004D62EE">
        <w:rPr>
          <w:sz w:val="24"/>
          <w:szCs w:val="24"/>
        </w:rPr>
        <w:t xml:space="preserve"> straks seponeres, og en alternativ behandling bør overvejes (efter skønnet behov). </w:t>
      </w:r>
    </w:p>
    <w:p w:rsidR="004D62EE" w:rsidRPr="004D62EE" w:rsidRDefault="004D62EE" w:rsidP="004D62EE">
      <w:pPr>
        <w:autoSpaceDE w:val="0"/>
        <w:autoSpaceDN w:val="0"/>
        <w:adjustRightInd w:val="0"/>
        <w:ind w:left="851"/>
        <w:rPr>
          <w:sz w:val="24"/>
          <w:szCs w:val="24"/>
        </w:rPr>
      </w:pPr>
    </w:p>
    <w:p w:rsidR="004D62EE" w:rsidRPr="004D62EE" w:rsidRDefault="004D62EE" w:rsidP="004D62EE">
      <w:pPr>
        <w:autoSpaceDE w:val="0"/>
        <w:autoSpaceDN w:val="0"/>
        <w:adjustRightInd w:val="0"/>
        <w:ind w:left="851"/>
        <w:rPr>
          <w:sz w:val="24"/>
          <w:szCs w:val="24"/>
        </w:rPr>
      </w:pPr>
      <w:r w:rsidRPr="004D62EE">
        <w:rPr>
          <w:sz w:val="24"/>
          <w:szCs w:val="24"/>
        </w:rPr>
        <w:t xml:space="preserve">Hvis patienten har udviklet en alvorlig reaktion såsom SJS, TEN eller DRESS med anvendelse af </w:t>
      </w:r>
      <w:proofErr w:type="spellStart"/>
      <w:r w:rsidRPr="004D62EE">
        <w:rPr>
          <w:sz w:val="24"/>
          <w:szCs w:val="24"/>
        </w:rPr>
        <w:t>gabapentin</w:t>
      </w:r>
      <w:proofErr w:type="spellEnd"/>
      <w:r w:rsidRPr="004D62EE">
        <w:rPr>
          <w:sz w:val="24"/>
          <w:szCs w:val="24"/>
        </w:rPr>
        <w:t xml:space="preserve">, må behandling med </w:t>
      </w:r>
      <w:proofErr w:type="spellStart"/>
      <w:r w:rsidRPr="004D62EE">
        <w:rPr>
          <w:sz w:val="24"/>
          <w:szCs w:val="24"/>
        </w:rPr>
        <w:t>gabapentin</w:t>
      </w:r>
      <w:proofErr w:type="spellEnd"/>
      <w:r w:rsidRPr="004D62EE">
        <w:rPr>
          <w:sz w:val="24"/>
          <w:szCs w:val="24"/>
        </w:rPr>
        <w:t xml:space="preserve"> ikke genstartes på noget tidspunkt hos denne patient. </w:t>
      </w:r>
    </w:p>
    <w:p w:rsidR="004D62EE" w:rsidRPr="004D62EE" w:rsidRDefault="004D62EE" w:rsidP="004D62EE">
      <w:pPr>
        <w:autoSpaceDE w:val="0"/>
        <w:autoSpaceDN w:val="0"/>
        <w:adjustRightInd w:val="0"/>
        <w:ind w:left="851"/>
        <w:rPr>
          <w:sz w:val="24"/>
          <w:szCs w:val="24"/>
        </w:rPr>
      </w:pPr>
    </w:p>
    <w:p w:rsidR="0070746C" w:rsidRPr="004D62EE" w:rsidRDefault="0070746C" w:rsidP="0070746C">
      <w:pPr>
        <w:autoSpaceDE w:val="0"/>
        <w:autoSpaceDN w:val="0"/>
        <w:adjustRightInd w:val="0"/>
        <w:ind w:left="851"/>
        <w:rPr>
          <w:sz w:val="24"/>
          <w:szCs w:val="24"/>
          <w:u w:val="single"/>
          <w:lang w:eastAsia="da-DK"/>
        </w:rPr>
      </w:pPr>
      <w:r w:rsidRPr="004D62EE">
        <w:rPr>
          <w:sz w:val="24"/>
          <w:szCs w:val="24"/>
          <w:u w:val="single"/>
          <w:lang w:eastAsia="da-DK"/>
        </w:rPr>
        <w:t>Laboratorieundersøgelser</w:t>
      </w:r>
    </w:p>
    <w:p w:rsidR="0070746C" w:rsidRPr="004D62EE" w:rsidRDefault="0070746C" w:rsidP="0070746C">
      <w:pPr>
        <w:autoSpaceDE w:val="0"/>
        <w:autoSpaceDN w:val="0"/>
        <w:adjustRightInd w:val="0"/>
        <w:ind w:left="851"/>
        <w:rPr>
          <w:sz w:val="24"/>
          <w:szCs w:val="24"/>
        </w:rPr>
      </w:pPr>
      <w:r w:rsidRPr="004D62EE">
        <w:rPr>
          <w:sz w:val="24"/>
          <w:szCs w:val="24"/>
          <w:lang w:eastAsia="da-DK"/>
        </w:rPr>
        <w:t xml:space="preserve">Der er rapporteret om falsk positive resultater ved brug af teststrimler til semikvantitativ bestemmelse af proteinindholdet i urinen. Det anbefales derfor at verificere et sådant positivt resultat ved at anvende metoder, der er baseret på et andet analytisk princip, f.eks. </w:t>
      </w:r>
      <w:proofErr w:type="spellStart"/>
      <w:r w:rsidRPr="004D62EE">
        <w:rPr>
          <w:sz w:val="24"/>
          <w:szCs w:val="24"/>
          <w:lang w:eastAsia="da-DK"/>
        </w:rPr>
        <w:t>Biuret</w:t>
      </w:r>
      <w:proofErr w:type="spellEnd"/>
      <w:r w:rsidRPr="004D62EE">
        <w:rPr>
          <w:sz w:val="24"/>
          <w:szCs w:val="24"/>
          <w:lang w:eastAsia="da-DK"/>
        </w:rPr>
        <w:t xml:space="preserve">-metoden, </w:t>
      </w:r>
      <w:proofErr w:type="spellStart"/>
      <w:r w:rsidRPr="004D62EE">
        <w:rPr>
          <w:sz w:val="24"/>
          <w:szCs w:val="24"/>
          <w:lang w:eastAsia="da-DK"/>
        </w:rPr>
        <w:t>turbidimetri</w:t>
      </w:r>
      <w:proofErr w:type="spellEnd"/>
      <w:r w:rsidRPr="004D62EE">
        <w:rPr>
          <w:sz w:val="24"/>
          <w:szCs w:val="24"/>
          <w:lang w:eastAsia="da-DK"/>
        </w:rPr>
        <w:t xml:space="preserve"> eller farvestofbindingsmetoder, eller at anvende disse alternative metoder fra starten.</w:t>
      </w:r>
    </w:p>
    <w:p w:rsidR="00CC223B" w:rsidRPr="004D62EE" w:rsidRDefault="00CC223B" w:rsidP="00CC223B">
      <w:pPr>
        <w:autoSpaceDE w:val="0"/>
        <w:autoSpaceDN w:val="0"/>
        <w:adjustRightInd w:val="0"/>
        <w:ind w:left="851"/>
        <w:rPr>
          <w:sz w:val="24"/>
          <w:szCs w:val="24"/>
          <w:lang w:eastAsia="da-DK"/>
        </w:rPr>
      </w:pPr>
    </w:p>
    <w:p w:rsidR="00CC223B" w:rsidRPr="004D62EE" w:rsidRDefault="00CC223B" w:rsidP="00CC223B">
      <w:pPr>
        <w:autoSpaceDE w:val="0"/>
        <w:autoSpaceDN w:val="0"/>
        <w:adjustRightInd w:val="0"/>
        <w:ind w:left="851"/>
        <w:rPr>
          <w:sz w:val="24"/>
          <w:szCs w:val="24"/>
          <w:u w:val="single"/>
        </w:rPr>
      </w:pPr>
      <w:r w:rsidRPr="004D62EE">
        <w:rPr>
          <w:sz w:val="24"/>
          <w:szCs w:val="24"/>
          <w:u w:val="single"/>
        </w:rPr>
        <w:t>Hjælpestoffer</w:t>
      </w:r>
    </w:p>
    <w:p w:rsidR="00CC223B" w:rsidRDefault="00CC223B" w:rsidP="00CC223B">
      <w:pPr>
        <w:tabs>
          <w:tab w:val="left" w:pos="851"/>
        </w:tabs>
        <w:ind w:left="851"/>
      </w:pPr>
      <w:r>
        <w:t>Dette lægemiddel indeholder mindre end 1 mmol (23 mg) natrium pr.</w:t>
      </w:r>
      <w:r>
        <w:rPr>
          <w:sz w:val="24"/>
          <w:szCs w:val="24"/>
        </w:rPr>
        <w:t xml:space="preserve"> kapsel</w:t>
      </w:r>
      <w:r>
        <w:t>, dvs. det er i det væsentlige natriumfrit.</w:t>
      </w:r>
    </w:p>
    <w:p w:rsidR="00CC223B" w:rsidRPr="00C84483" w:rsidRDefault="00CC223B"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C223B" w:rsidRDefault="00CC223B" w:rsidP="00CC223B">
      <w:pPr>
        <w:autoSpaceDE w:val="0"/>
        <w:autoSpaceDN w:val="0"/>
        <w:adjustRightInd w:val="0"/>
        <w:ind w:left="851"/>
        <w:rPr>
          <w:sz w:val="24"/>
          <w:szCs w:val="24"/>
          <w:lang w:eastAsia="da-DK"/>
        </w:rPr>
      </w:pPr>
      <w:r>
        <w:rPr>
          <w:sz w:val="24"/>
          <w:szCs w:val="24"/>
          <w:lang w:eastAsia="da-DK"/>
        </w:rPr>
        <w:t xml:space="preserve">Respirationsbesvær, sedation og dødsfald associeret med </w:t>
      </w:r>
      <w:proofErr w:type="spellStart"/>
      <w:r>
        <w:rPr>
          <w:sz w:val="24"/>
          <w:szCs w:val="24"/>
          <w:lang w:eastAsia="da-DK"/>
        </w:rPr>
        <w:t>gabapentin</w:t>
      </w:r>
      <w:proofErr w:type="spellEnd"/>
      <w:r>
        <w:rPr>
          <w:sz w:val="24"/>
          <w:szCs w:val="24"/>
          <w:lang w:eastAsia="da-DK"/>
        </w:rPr>
        <w:t xml:space="preserve"> ved samtidig administration af CNS-</w:t>
      </w:r>
      <w:proofErr w:type="spellStart"/>
      <w:r>
        <w:rPr>
          <w:sz w:val="24"/>
          <w:szCs w:val="24"/>
          <w:lang w:eastAsia="da-DK"/>
        </w:rPr>
        <w:t>depressiva</w:t>
      </w:r>
      <w:proofErr w:type="spellEnd"/>
      <w:r>
        <w:rPr>
          <w:sz w:val="24"/>
          <w:szCs w:val="24"/>
          <w:lang w:eastAsia="da-DK"/>
        </w:rPr>
        <w:t xml:space="preserve"> herunder opioider er blevet rapporteret spontant og i litteraturen. I nogle af disse rapporter er forfatterne bekymret over kombinationen af </w:t>
      </w:r>
      <w:proofErr w:type="spellStart"/>
      <w:r>
        <w:rPr>
          <w:sz w:val="24"/>
          <w:szCs w:val="24"/>
          <w:lang w:eastAsia="da-DK"/>
        </w:rPr>
        <w:t>gabapentin</w:t>
      </w:r>
      <w:proofErr w:type="spellEnd"/>
      <w:r>
        <w:rPr>
          <w:sz w:val="24"/>
          <w:szCs w:val="24"/>
          <w:lang w:eastAsia="da-DK"/>
        </w:rPr>
        <w:t xml:space="preserve"> med </w:t>
      </w:r>
      <w:proofErr w:type="spellStart"/>
      <w:r>
        <w:rPr>
          <w:sz w:val="24"/>
          <w:szCs w:val="24"/>
          <w:lang w:eastAsia="da-DK"/>
        </w:rPr>
        <w:t>opioder</w:t>
      </w:r>
      <w:proofErr w:type="spellEnd"/>
      <w:r>
        <w:rPr>
          <w:sz w:val="24"/>
          <w:szCs w:val="24"/>
          <w:lang w:eastAsia="da-DK"/>
        </w:rPr>
        <w:t xml:space="preserve"> hos udsatte patienter, hos ældre, hos patienter med alvorlig underliggende respiratorisk sygdom, hos patienter med </w:t>
      </w:r>
      <w:proofErr w:type="spellStart"/>
      <w:r>
        <w:rPr>
          <w:sz w:val="24"/>
          <w:szCs w:val="24"/>
          <w:lang w:eastAsia="da-DK"/>
        </w:rPr>
        <w:t>polypfarmaci</w:t>
      </w:r>
      <w:proofErr w:type="spellEnd"/>
      <w:r>
        <w:rPr>
          <w:sz w:val="24"/>
          <w:szCs w:val="24"/>
          <w:lang w:eastAsia="da-DK"/>
        </w:rPr>
        <w:t xml:space="preserve"> og hos stofmisbrugere.   </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I en undersøgelse med raske frivillige forsøgspersoner (N=12), der fik en 60 mg morfindepotkapsel 2 timer før en 600 mg </w:t>
      </w:r>
      <w:proofErr w:type="spellStart"/>
      <w:r w:rsidRPr="00E66EEC">
        <w:rPr>
          <w:sz w:val="24"/>
          <w:szCs w:val="24"/>
          <w:lang w:eastAsia="da-DK"/>
        </w:rPr>
        <w:t>gabapentinkapsel</w:t>
      </w:r>
      <w:proofErr w:type="spellEnd"/>
      <w:r w:rsidRPr="00E66EEC">
        <w:rPr>
          <w:sz w:val="24"/>
          <w:szCs w:val="24"/>
          <w:lang w:eastAsia="da-DK"/>
        </w:rPr>
        <w:t xml:space="preserve">, steg det gennemsnitlige AUC for </w:t>
      </w:r>
      <w:proofErr w:type="spellStart"/>
      <w:r w:rsidRPr="00E66EEC">
        <w:rPr>
          <w:sz w:val="24"/>
          <w:szCs w:val="24"/>
          <w:lang w:eastAsia="da-DK"/>
        </w:rPr>
        <w:t>gabapentin</w:t>
      </w:r>
      <w:proofErr w:type="spellEnd"/>
      <w:r w:rsidRPr="00E66EEC">
        <w:rPr>
          <w:sz w:val="24"/>
          <w:szCs w:val="24"/>
          <w:lang w:eastAsia="da-DK"/>
        </w:rPr>
        <w:t xml:space="preserve"> med 44 % sammenlignet med </w:t>
      </w:r>
      <w:proofErr w:type="spellStart"/>
      <w:r w:rsidRPr="00E66EEC">
        <w:rPr>
          <w:sz w:val="24"/>
          <w:szCs w:val="24"/>
          <w:lang w:eastAsia="da-DK"/>
        </w:rPr>
        <w:t>gabapentin</w:t>
      </w:r>
      <w:proofErr w:type="spellEnd"/>
      <w:r w:rsidRPr="00E66EEC">
        <w:rPr>
          <w:sz w:val="24"/>
          <w:szCs w:val="24"/>
          <w:lang w:eastAsia="da-DK"/>
        </w:rPr>
        <w:t xml:space="preserve"> uden morfin. Derfor bør patienter, der kræver samtidig behandling med opioider, omhyggeligt observeres for tegn på CNS-depression, f.eks. </w:t>
      </w:r>
      <w:proofErr w:type="spellStart"/>
      <w:r w:rsidRPr="00E66EEC">
        <w:rPr>
          <w:sz w:val="24"/>
          <w:szCs w:val="24"/>
          <w:lang w:eastAsia="da-DK"/>
        </w:rPr>
        <w:t>somnolens</w:t>
      </w:r>
      <w:proofErr w:type="spellEnd"/>
      <w:r w:rsidRPr="00E66EEC">
        <w:rPr>
          <w:sz w:val="24"/>
          <w:szCs w:val="24"/>
          <w:lang w:eastAsia="da-DK"/>
        </w:rPr>
        <w:t xml:space="preserve">, sedation og åndedrætsbesvær, og </w:t>
      </w:r>
      <w:proofErr w:type="spellStart"/>
      <w:r w:rsidRPr="00E66EEC">
        <w:rPr>
          <w:sz w:val="24"/>
          <w:szCs w:val="24"/>
          <w:lang w:eastAsia="da-DK"/>
        </w:rPr>
        <w:t>gabapentin</w:t>
      </w:r>
      <w:proofErr w:type="spellEnd"/>
      <w:r>
        <w:rPr>
          <w:sz w:val="24"/>
          <w:szCs w:val="24"/>
          <w:lang w:eastAsia="da-DK"/>
        </w:rPr>
        <w:t>-</w:t>
      </w:r>
      <w:r w:rsidRPr="00E66EEC">
        <w:rPr>
          <w:sz w:val="24"/>
          <w:szCs w:val="24"/>
          <w:lang w:eastAsia="da-DK"/>
        </w:rPr>
        <w:t xml:space="preserve"> eller opioid</w:t>
      </w:r>
      <w:r>
        <w:rPr>
          <w:sz w:val="24"/>
          <w:szCs w:val="24"/>
          <w:lang w:eastAsia="da-DK"/>
        </w:rPr>
        <w:t>dosis</w:t>
      </w:r>
      <w:r w:rsidRPr="00E66EEC">
        <w:rPr>
          <w:sz w:val="24"/>
          <w:szCs w:val="24"/>
          <w:lang w:eastAsia="da-DK"/>
        </w:rPr>
        <w:t xml:space="preserve"> bør reduceres på passende vis.</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Der er ikke observeret interaktion mellem </w:t>
      </w:r>
      <w:proofErr w:type="spellStart"/>
      <w:r w:rsidRPr="00E66EEC">
        <w:rPr>
          <w:sz w:val="24"/>
          <w:szCs w:val="24"/>
          <w:lang w:eastAsia="da-DK"/>
        </w:rPr>
        <w:t>gabapentin</w:t>
      </w:r>
      <w:proofErr w:type="spellEnd"/>
      <w:r w:rsidRPr="00E66EEC">
        <w:rPr>
          <w:sz w:val="24"/>
          <w:szCs w:val="24"/>
          <w:lang w:eastAsia="da-DK"/>
        </w:rPr>
        <w:t xml:space="preserve"> og </w:t>
      </w:r>
      <w:proofErr w:type="spellStart"/>
      <w:r w:rsidRPr="00E66EEC">
        <w:rPr>
          <w:sz w:val="24"/>
          <w:szCs w:val="24"/>
          <w:lang w:eastAsia="da-DK"/>
        </w:rPr>
        <w:t>phenobarbital</w:t>
      </w:r>
      <w:proofErr w:type="spellEnd"/>
      <w:r w:rsidRPr="00E66EEC">
        <w:rPr>
          <w:sz w:val="24"/>
          <w:szCs w:val="24"/>
          <w:lang w:eastAsia="da-DK"/>
        </w:rPr>
        <w:t xml:space="preserve">, </w:t>
      </w:r>
      <w:proofErr w:type="spellStart"/>
      <w:r w:rsidRPr="00E66EEC">
        <w:rPr>
          <w:sz w:val="24"/>
          <w:szCs w:val="24"/>
          <w:lang w:eastAsia="da-DK"/>
        </w:rPr>
        <w:t>phenytoin</w:t>
      </w:r>
      <w:proofErr w:type="spellEnd"/>
      <w:r w:rsidRPr="00E66EEC">
        <w:rPr>
          <w:sz w:val="24"/>
          <w:szCs w:val="24"/>
          <w:lang w:eastAsia="da-DK"/>
        </w:rPr>
        <w:t xml:space="preserve">, </w:t>
      </w:r>
      <w:proofErr w:type="spellStart"/>
      <w:r w:rsidRPr="00E66EEC">
        <w:rPr>
          <w:sz w:val="24"/>
          <w:szCs w:val="24"/>
          <w:lang w:eastAsia="da-DK"/>
        </w:rPr>
        <w:t>valproat</w:t>
      </w:r>
      <w:proofErr w:type="spellEnd"/>
      <w:r w:rsidRPr="00E66EEC">
        <w:rPr>
          <w:sz w:val="24"/>
          <w:szCs w:val="24"/>
          <w:lang w:eastAsia="da-DK"/>
        </w:rPr>
        <w:t xml:space="preserve"> eller </w:t>
      </w:r>
      <w:proofErr w:type="spellStart"/>
      <w:r w:rsidRPr="00E66EEC">
        <w:rPr>
          <w:sz w:val="24"/>
          <w:szCs w:val="24"/>
          <w:lang w:eastAsia="da-DK"/>
        </w:rPr>
        <w:t>carbamazepin</w:t>
      </w:r>
      <w:proofErr w:type="spellEnd"/>
      <w:r w:rsidRPr="00E66EEC">
        <w:rPr>
          <w:sz w:val="24"/>
          <w:szCs w:val="24"/>
          <w:lang w:eastAsia="da-DK"/>
        </w:rPr>
        <w:t>.</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proofErr w:type="spellStart"/>
      <w:r w:rsidRPr="00E66EEC">
        <w:rPr>
          <w:sz w:val="24"/>
          <w:szCs w:val="24"/>
          <w:lang w:eastAsia="da-DK"/>
        </w:rPr>
        <w:lastRenderedPageBreak/>
        <w:t>Gabapentins</w:t>
      </w:r>
      <w:proofErr w:type="spellEnd"/>
      <w:r w:rsidRPr="00E66EEC">
        <w:rPr>
          <w:sz w:val="24"/>
          <w:szCs w:val="24"/>
          <w:lang w:eastAsia="da-DK"/>
        </w:rPr>
        <w:t xml:space="preserve"> </w:t>
      </w:r>
      <w:proofErr w:type="spellStart"/>
      <w:r w:rsidRPr="00E66EEC">
        <w:rPr>
          <w:sz w:val="24"/>
          <w:szCs w:val="24"/>
          <w:lang w:eastAsia="da-DK"/>
        </w:rPr>
        <w:t>steady</w:t>
      </w:r>
      <w:proofErr w:type="spellEnd"/>
      <w:r w:rsidRPr="00E66EEC">
        <w:rPr>
          <w:sz w:val="24"/>
          <w:szCs w:val="24"/>
          <w:lang w:eastAsia="da-DK"/>
        </w:rPr>
        <w:t xml:space="preserve"> state-farmakokinetik hos patienter med epilepsi i behandling med disse </w:t>
      </w:r>
      <w:proofErr w:type="spellStart"/>
      <w:r w:rsidRPr="00E66EEC">
        <w:rPr>
          <w:sz w:val="24"/>
          <w:szCs w:val="24"/>
          <w:lang w:eastAsia="da-DK"/>
        </w:rPr>
        <w:t>antiepileptika</w:t>
      </w:r>
      <w:proofErr w:type="spellEnd"/>
      <w:r w:rsidRPr="00E66EEC">
        <w:rPr>
          <w:sz w:val="24"/>
          <w:szCs w:val="24"/>
          <w:lang w:eastAsia="da-DK"/>
        </w:rPr>
        <w:t xml:space="preserve"> afviger ikke fra farmakokinetikken hos raske personer.</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Samtidig administration af </w:t>
      </w:r>
      <w:proofErr w:type="spellStart"/>
      <w:r w:rsidRPr="00E66EEC">
        <w:rPr>
          <w:sz w:val="24"/>
          <w:szCs w:val="24"/>
          <w:lang w:eastAsia="da-DK"/>
        </w:rPr>
        <w:t>gabapentin</w:t>
      </w:r>
      <w:proofErr w:type="spellEnd"/>
      <w:r w:rsidRPr="00E66EEC">
        <w:rPr>
          <w:sz w:val="24"/>
          <w:szCs w:val="24"/>
          <w:lang w:eastAsia="da-DK"/>
        </w:rPr>
        <w:t xml:space="preserve"> og orale </w:t>
      </w:r>
      <w:proofErr w:type="spellStart"/>
      <w:r w:rsidRPr="00E66EEC">
        <w:rPr>
          <w:sz w:val="24"/>
          <w:szCs w:val="24"/>
          <w:lang w:eastAsia="da-DK"/>
        </w:rPr>
        <w:t>kontraceptiva</w:t>
      </w:r>
      <w:proofErr w:type="spellEnd"/>
      <w:r w:rsidRPr="00E66EEC">
        <w:rPr>
          <w:sz w:val="24"/>
          <w:szCs w:val="24"/>
          <w:lang w:eastAsia="da-DK"/>
        </w:rPr>
        <w:t xml:space="preserve">, der indeholder </w:t>
      </w:r>
      <w:proofErr w:type="spellStart"/>
      <w:r w:rsidRPr="00E66EEC">
        <w:rPr>
          <w:sz w:val="24"/>
          <w:szCs w:val="24"/>
          <w:lang w:eastAsia="da-DK"/>
        </w:rPr>
        <w:t>norethindron</w:t>
      </w:r>
      <w:proofErr w:type="spellEnd"/>
      <w:r w:rsidRPr="00E66EEC">
        <w:rPr>
          <w:sz w:val="24"/>
          <w:szCs w:val="24"/>
          <w:lang w:eastAsia="da-DK"/>
        </w:rPr>
        <w:t xml:space="preserve"> og/eller </w:t>
      </w:r>
      <w:proofErr w:type="spellStart"/>
      <w:r w:rsidRPr="00E66EEC">
        <w:rPr>
          <w:sz w:val="24"/>
          <w:szCs w:val="24"/>
          <w:lang w:eastAsia="da-DK"/>
        </w:rPr>
        <w:t>ethinyl-østradiol</w:t>
      </w:r>
      <w:proofErr w:type="spellEnd"/>
      <w:r w:rsidRPr="00E66EEC">
        <w:rPr>
          <w:sz w:val="24"/>
          <w:szCs w:val="24"/>
          <w:lang w:eastAsia="da-DK"/>
        </w:rPr>
        <w:t xml:space="preserve">, påvirker ikke disse stoffers </w:t>
      </w:r>
      <w:proofErr w:type="spellStart"/>
      <w:r w:rsidRPr="00E66EEC">
        <w:rPr>
          <w:sz w:val="24"/>
          <w:szCs w:val="24"/>
          <w:lang w:eastAsia="da-DK"/>
        </w:rPr>
        <w:t>steady</w:t>
      </w:r>
      <w:proofErr w:type="spellEnd"/>
      <w:r w:rsidRPr="00E66EEC">
        <w:rPr>
          <w:sz w:val="24"/>
          <w:szCs w:val="24"/>
          <w:lang w:eastAsia="da-DK"/>
        </w:rPr>
        <w:t xml:space="preserve"> state-farmakokinetik.</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Samtidig administration af </w:t>
      </w:r>
      <w:proofErr w:type="spellStart"/>
      <w:r w:rsidRPr="00E66EEC">
        <w:rPr>
          <w:sz w:val="24"/>
          <w:szCs w:val="24"/>
          <w:lang w:eastAsia="da-DK"/>
        </w:rPr>
        <w:t>gabapentin</w:t>
      </w:r>
      <w:proofErr w:type="spellEnd"/>
      <w:r w:rsidRPr="00E66EEC">
        <w:rPr>
          <w:sz w:val="24"/>
          <w:szCs w:val="24"/>
          <w:lang w:eastAsia="da-DK"/>
        </w:rPr>
        <w:t xml:space="preserve"> og </w:t>
      </w:r>
      <w:proofErr w:type="spellStart"/>
      <w:r w:rsidRPr="00E66EEC">
        <w:rPr>
          <w:sz w:val="24"/>
          <w:szCs w:val="24"/>
          <w:lang w:eastAsia="da-DK"/>
        </w:rPr>
        <w:t>antacida</w:t>
      </w:r>
      <w:proofErr w:type="spellEnd"/>
      <w:r w:rsidRPr="00E66EEC">
        <w:rPr>
          <w:sz w:val="24"/>
          <w:szCs w:val="24"/>
          <w:lang w:eastAsia="da-DK"/>
        </w:rPr>
        <w:t xml:space="preserve">, der indeholder aluminium og magnesium, nedsætter </w:t>
      </w:r>
      <w:proofErr w:type="spellStart"/>
      <w:r w:rsidRPr="00E66EEC">
        <w:rPr>
          <w:sz w:val="24"/>
          <w:szCs w:val="24"/>
          <w:lang w:eastAsia="da-DK"/>
        </w:rPr>
        <w:t>gabapentins</w:t>
      </w:r>
      <w:proofErr w:type="spellEnd"/>
      <w:r w:rsidRPr="00E66EEC">
        <w:rPr>
          <w:sz w:val="24"/>
          <w:szCs w:val="24"/>
          <w:lang w:eastAsia="da-DK"/>
        </w:rPr>
        <w:t xml:space="preserve"> biotilgængelighed med op til 24 %. Det anbefales, at </w:t>
      </w:r>
      <w:proofErr w:type="spellStart"/>
      <w:r w:rsidRPr="00E66EEC">
        <w:rPr>
          <w:sz w:val="24"/>
          <w:szCs w:val="24"/>
          <w:lang w:eastAsia="da-DK"/>
        </w:rPr>
        <w:t>gabapentin</w:t>
      </w:r>
      <w:proofErr w:type="spellEnd"/>
      <w:r w:rsidRPr="00E66EEC">
        <w:rPr>
          <w:sz w:val="24"/>
          <w:szCs w:val="24"/>
          <w:lang w:eastAsia="da-DK"/>
        </w:rPr>
        <w:t xml:space="preserve"> indtages tidligst 2 timer efter administration af </w:t>
      </w:r>
      <w:proofErr w:type="spellStart"/>
      <w:r w:rsidRPr="00E66EEC">
        <w:rPr>
          <w:sz w:val="24"/>
          <w:szCs w:val="24"/>
          <w:lang w:eastAsia="da-DK"/>
        </w:rPr>
        <w:t>antacida</w:t>
      </w:r>
      <w:proofErr w:type="spellEnd"/>
      <w:r w:rsidRPr="00E66EEC">
        <w:rPr>
          <w:sz w:val="24"/>
          <w:szCs w:val="24"/>
          <w:lang w:eastAsia="da-DK"/>
        </w:rPr>
        <w:t>.</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Den </w:t>
      </w:r>
      <w:proofErr w:type="spellStart"/>
      <w:r w:rsidRPr="00E66EEC">
        <w:rPr>
          <w:sz w:val="24"/>
          <w:szCs w:val="24"/>
          <w:lang w:eastAsia="da-DK"/>
        </w:rPr>
        <w:t>renale</w:t>
      </w:r>
      <w:proofErr w:type="spellEnd"/>
      <w:r w:rsidRPr="00E66EEC">
        <w:rPr>
          <w:sz w:val="24"/>
          <w:szCs w:val="24"/>
          <w:lang w:eastAsia="da-DK"/>
        </w:rPr>
        <w:t xml:space="preserve"> udskillelse af </w:t>
      </w:r>
      <w:proofErr w:type="spellStart"/>
      <w:r w:rsidRPr="00E66EEC">
        <w:rPr>
          <w:sz w:val="24"/>
          <w:szCs w:val="24"/>
          <w:lang w:eastAsia="da-DK"/>
        </w:rPr>
        <w:t>gabapentin</w:t>
      </w:r>
      <w:proofErr w:type="spellEnd"/>
      <w:r w:rsidRPr="00E66EEC">
        <w:rPr>
          <w:sz w:val="24"/>
          <w:szCs w:val="24"/>
          <w:lang w:eastAsia="da-DK"/>
        </w:rPr>
        <w:t xml:space="preserve"> påvirkes ikke af </w:t>
      </w:r>
      <w:proofErr w:type="spellStart"/>
      <w:r w:rsidRPr="00E66EEC">
        <w:rPr>
          <w:sz w:val="24"/>
          <w:szCs w:val="24"/>
          <w:lang w:eastAsia="da-DK"/>
        </w:rPr>
        <w:t>probenecid</w:t>
      </w:r>
      <w:proofErr w:type="spellEnd"/>
      <w:r w:rsidRPr="00E66EEC">
        <w:rPr>
          <w:sz w:val="24"/>
          <w:szCs w:val="24"/>
          <w:lang w:eastAsia="da-DK"/>
        </w:rPr>
        <w:t>.</w:t>
      </w:r>
    </w:p>
    <w:p w:rsidR="0070746C" w:rsidRPr="00E66EEC" w:rsidRDefault="0070746C" w:rsidP="0070746C">
      <w:pPr>
        <w:autoSpaceDE w:val="0"/>
        <w:autoSpaceDN w:val="0"/>
        <w:adjustRightInd w:val="0"/>
        <w:ind w:left="851"/>
        <w:rPr>
          <w:sz w:val="24"/>
          <w:szCs w:val="24"/>
          <w:lang w:eastAsia="da-DK"/>
        </w:rPr>
      </w:pPr>
    </w:p>
    <w:p w:rsidR="0070746C" w:rsidRPr="00C84483" w:rsidRDefault="0070746C" w:rsidP="0070746C">
      <w:pPr>
        <w:tabs>
          <w:tab w:val="left" w:pos="630"/>
        </w:tabs>
        <w:autoSpaceDE w:val="0"/>
        <w:autoSpaceDN w:val="0"/>
        <w:adjustRightInd w:val="0"/>
        <w:ind w:left="851"/>
        <w:rPr>
          <w:sz w:val="24"/>
          <w:szCs w:val="24"/>
          <w:lang w:eastAsia="da-DK"/>
        </w:rPr>
      </w:pPr>
      <w:r w:rsidRPr="00E66EEC">
        <w:rPr>
          <w:sz w:val="24"/>
          <w:szCs w:val="24"/>
          <w:lang w:eastAsia="da-DK"/>
        </w:rPr>
        <w:t xml:space="preserve">Et mindre fald i den </w:t>
      </w:r>
      <w:proofErr w:type="spellStart"/>
      <w:r w:rsidRPr="00E66EEC">
        <w:rPr>
          <w:sz w:val="24"/>
          <w:szCs w:val="24"/>
          <w:lang w:eastAsia="da-DK"/>
        </w:rPr>
        <w:t>renale</w:t>
      </w:r>
      <w:proofErr w:type="spellEnd"/>
      <w:r w:rsidRPr="00E66EEC">
        <w:rPr>
          <w:sz w:val="24"/>
          <w:szCs w:val="24"/>
          <w:lang w:eastAsia="da-DK"/>
        </w:rPr>
        <w:t xml:space="preserve"> udskillelse af </w:t>
      </w:r>
      <w:proofErr w:type="spellStart"/>
      <w:r w:rsidRPr="00E66EEC">
        <w:rPr>
          <w:sz w:val="24"/>
          <w:szCs w:val="24"/>
          <w:lang w:eastAsia="da-DK"/>
        </w:rPr>
        <w:t>gabapentin</w:t>
      </w:r>
      <w:proofErr w:type="spellEnd"/>
      <w:r w:rsidRPr="00E66EEC">
        <w:rPr>
          <w:sz w:val="24"/>
          <w:szCs w:val="24"/>
          <w:lang w:eastAsia="da-DK"/>
        </w:rPr>
        <w:t xml:space="preserve">, som er set ved anvendelse sammen med </w:t>
      </w:r>
      <w:proofErr w:type="spellStart"/>
      <w:r w:rsidRPr="00E66EEC">
        <w:rPr>
          <w:sz w:val="24"/>
          <w:szCs w:val="24"/>
          <w:lang w:eastAsia="da-DK"/>
        </w:rPr>
        <w:t>cimetidin</w:t>
      </w:r>
      <w:proofErr w:type="spellEnd"/>
      <w:r w:rsidRPr="00E66EEC">
        <w:rPr>
          <w:sz w:val="24"/>
          <w:szCs w:val="24"/>
          <w:lang w:eastAsia="da-DK"/>
        </w:rPr>
        <w:t>, ventes ikke at have klinisk betydning</w:t>
      </w:r>
      <w:r>
        <w:rPr>
          <w:sz w:val="24"/>
          <w:szCs w:val="24"/>
          <w:lang w:eastAsia="da-DK"/>
        </w:rPr>
        <w:t>.</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4.6</w:t>
      </w:r>
      <w:r w:rsidRPr="00C84483">
        <w:rPr>
          <w:b/>
          <w:sz w:val="24"/>
          <w:szCs w:val="24"/>
        </w:rPr>
        <w:tab/>
      </w:r>
      <w:r w:rsidR="00CC223B">
        <w:rPr>
          <w:b/>
          <w:sz w:val="24"/>
          <w:szCs w:val="24"/>
        </w:rPr>
        <w:t>Fertilitet, g</w:t>
      </w:r>
      <w:r w:rsidRPr="00C84483">
        <w:rPr>
          <w:b/>
          <w:sz w:val="24"/>
          <w:szCs w:val="24"/>
        </w:rPr>
        <w:t>raviditet og amning</w:t>
      </w:r>
    </w:p>
    <w:p w:rsidR="0070746C" w:rsidRPr="00E66EEC" w:rsidRDefault="0070746C" w:rsidP="0070746C">
      <w:pPr>
        <w:autoSpaceDE w:val="0"/>
        <w:autoSpaceDN w:val="0"/>
        <w:adjustRightInd w:val="0"/>
        <w:ind w:left="851"/>
        <w:rPr>
          <w:sz w:val="24"/>
          <w:szCs w:val="24"/>
          <w:u w:val="single"/>
          <w:lang w:eastAsia="da-DK"/>
        </w:rPr>
      </w:pPr>
      <w:r w:rsidRPr="00E66EEC">
        <w:rPr>
          <w:sz w:val="24"/>
          <w:szCs w:val="24"/>
          <w:u w:val="single"/>
          <w:lang w:eastAsia="da-DK"/>
        </w:rPr>
        <w:t>Fertilitet</w:t>
      </w: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Dyreforsøg viser ingen effekt på fertiliteten (se pkt. 5.3). </w:t>
      </w:r>
    </w:p>
    <w:p w:rsidR="0070746C" w:rsidRPr="00E66EEC" w:rsidRDefault="0070746C" w:rsidP="0070746C">
      <w:pPr>
        <w:autoSpaceDE w:val="0"/>
        <w:autoSpaceDN w:val="0"/>
        <w:adjustRightInd w:val="0"/>
        <w:ind w:left="851"/>
        <w:rPr>
          <w:b/>
          <w:sz w:val="24"/>
          <w:szCs w:val="24"/>
          <w:lang w:eastAsia="da-DK"/>
        </w:rPr>
      </w:pPr>
    </w:p>
    <w:p w:rsidR="0070746C" w:rsidRPr="0060763B" w:rsidRDefault="0070746C" w:rsidP="0070746C">
      <w:pPr>
        <w:autoSpaceDE w:val="0"/>
        <w:autoSpaceDN w:val="0"/>
        <w:adjustRightInd w:val="0"/>
        <w:ind w:left="851"/>
        <w:rPr>
          <w:sz w:val="24"/>
          <w:szCs w:val="24"/>
          <w:u w:val="single"/>
          <w:lang w:eastAsia="da-DK"/>
        </w:rPr>
      </w:pPr>
      <w:r w:rsidRPr="0060763B">
        <w:rPr>
          <w:sz w:val="24"/>
          <w:szCs w:val="24"/>
          <w:u w:val="single"/>
          <w:lang w:eastAsia="da-DK"/>
        </w:rPr>
        <w:t>Graviditet</w:t>
      </w:r>
    </w:p>
    <w:p w:rsidR="0070746C" w:rsidRPr="00E66EEC" w:rsidRDefault="0070746C" w:rsidP="0070746C">
      <w:pPr>
        <w:autoSpaceDE w:val="0"/>
        <w:autoSpaceDN w:val="0"/>
        <w:adjustRightInd w:val="0"/>
        <w:ind w:left="851"/>
        <w:rPr>
          <w:i/>
          <w:iCs/>
          <w:sz w:val="24"/>
          <w:szCs w:val="24"/>
          <w:lang w:eastAsia="da-DK"/>
        </w:rPr>
      </w:pPr>
      <w:r>
        <w:rPr>
          <w:i/>
          <w:sz w:val="24"/>
          <w:szCs w:val="24"/>
          <w:lang w:eastAsia="da-DK"/>
        </w:rPr>
        <w:t>G</w:t>
      </w:r>
      <w:r w:rsidRPr="00E66EEC">
        <w:rPr>
          <w:i/>
          <w:sz w:val="24"/>
          <w:szCs w:val="24"/>
          <w:lang w:eastAsia="da-DK"/>
        </w:rPr>
        <w:t xml:space="preserve">enerel risiko relateret til epilepsi og </w:t>
      </w:r>
      <w:proofErr w:type="spellStart"/>
      <w:r w:rsidRPr="00E66EEC">
        <w:rPr>
          <w:i/>
          <w:sz w:val="24"/>
          <w:szCs w:val="24"/>
          <w:lang w:eastAsia="da-DK"/>
        </w:rPr>
        <w:t>antiepileptika</w:t>
      </w:r>
      <w:proofErr w:type="spellEnd"/>
    </w:p>
    <w:p w:rsidR="0070746C" w:rsidRDefault="0070746C" w:rsidP="0070746C">
      <w:pPr>
        <w:autoSpaceDE w:val="0"/>
        <w:autoSpaceDN w:val="0"/>
        <w:adjustRightInd w:val="0"/>
        <w:ind w:left="851"/>
        <w:rPr>
          <w:sz w:val="24"/>
          <w:szCs w:val="24"/>
          <w:lang w:eastAsia="da-DK"/>
        </w:rPr>
      </w:pPr>
      <w:r w:rsidRPr="00E66EEC">
        <w:rPr>
          <w:sz w:val="24"/>
          <w:szCs w:val="24"/>
          <w:lang w:eastAsia="da-DK"/>
        </w:rPr>
        <w:t xml:space="preserve">Risikoen for misdannelser hos børn af mødre behandlet med </w:t>
      </w:r>
      <w:proofErr w:type="spellStart"/>
      <w:r w:rsidRPr="00E66EEC">
        <w:rPr>
          <w:sz w:val="24"/>
          <w:szCs w:val="24"/>
          <w:lang w:eastAsia="da-DK"/>
        </w:rPr>
        <w:t>antiepileptika</w:t>
      </w:r>
      <w:proofErr w:type="spellEnd"/>
      <w:r w:rsidRPr="00E66EEC">
        <w:rPr>
          <w:sz w:val="24"/>
          <w:szCs w:val="24"/>
          <w:lang w:eastAsia="da-DK"/>
        </w:rPr>
        <w:t xml:space="preserve"> øges med en faktor på 2-3. De hyppigst indberettede misdannelser er læbespalte, </w:t>
      </w:r>
      <w:proofErr w:type="spellStart"/>
      <w:r w:rsidRPr="00E66EEC">
        <w:rPr>
          <w:sz w:val="24"/>
          <w:szCs w:val="24"/>
          <w:lang w:eastAsia="da-DK"/>
        </w:rPr>
        <w:t>kardiovaskulære</w:t>
      </w:r>
      <w:proofErr w:type="spellEnd"/>
      <w:r w:rsidRPr="00E66EEC">
        <w:rPr>
          <w:sz w:val="24"/>
          <w:szCs w:val="24"/>
          <w:lang w:eastAsia="da-DK"/>
        </w:rPr>
        <w:t xml:space="preserve"> misdannelser og neuralrørsdefekter. Behandling med flere </w:t>
      </w:r>
      <w:proofErr w:type="spellStart"/>
      <w:r w:rsidRPr="00E66EEC">
        <w:rPr>
          <w:sz w:val="24"/>
          <w:szCs w:val="24"/>
          <w:lang w:eastAsia="da-DK"/>
        </w:rPr>
        <w:t>antiepileptika</w:t>
      </w:r>
      <w:proofErr w:type="spellEnd"/>
      <w:r w:rsidRPr="00E66EEC">
        <w:rPr>
          <w:sz w:val="24"/>
          <w:szCs w:val="24"/>
          <w:lang w:eastAsia="da-DK"/>
        </w:rPr>
        <w:t xml:space="preserve"> kan være forbundet med en højere risiko for medfødte misdannelser end ved monoterapi. Det er derfor vigtigt, at monoterapi anvendes, når det er praktisk muligt. Der bør ydes specialistrådgivning til kvinder, som planlægger at blive gravide, samt til kvinder i den fertile alder, og nødvendigheden af antiepileptisk behandling bør revurderes, når en kvinde planlægger at blive gravid. Antiepileptisk behandling bør ikke seponeres pludseligt, da dette kan føre til gennembrudsanfald, der kan få alvorlige konsekvenser for både mor og barn. Forsinket psykisk udvikling hos børn af mødre med epilepsi er set i sjældne tilfælde. Det er ikke muligt at skelne imellem, om forsinket psykisk udvikling skyldes genetiske eller sociale faktorer, </w:t>
      </w:r>
      <w:proofErr w:type="spellStart"/>
      <w:r w:rsidRPr="00E66EEC">
        <w:rPr>
          <w:sz w:val="24"/>
          <w:szCs w:val="24"/>
          <w:lang w:eastAsia="da-DK"/>
        </w:rPr>
        <w:t>maternel</w:t>
      </w:r>
      <w:proofErr w:type="spellEnd"/>
      <w:r w:rsidRPr="00E66EEC">
        <w:rPr>
          <w:sz w:val="24"/>
          <w:szCs w:val="24"/>
          <w:lang w:eastAsia="da-DK"/>
        </w:rPr>
        <w:t xml:space="preserve"> epilepsi eller den antiepileptiske behandling.</w:t>
      </w:r>
    </w:p>
    <w:p w:rsidR="0070746C" w:rsidRPr="00E66EEC" w:rsidRDefault="0070746C" w:rsidP="0070746C">
      <w:pPr>
        <w:autoSpaceDE w:val="0"/>
        <w:autoSpaceDN w:val="0"/>
        <w:adjustRightInd w:val="0"/>
        <w:ind w:left="851"/>
        <w:rPr>
          <w:sz w:val="24"/>
          <w:szCs w:val="24"/>
          <w:lang w:eastAsia="da-DK"/>
        </w:rPr>
      </w:pPr>
    </w:p>
    <w:p w:rsidR="0070746C" w:rsidRDefault="0070746C" w:rsidP="0070746C">
      <w:pPr>
        <w:autoSpaceDE w:val="0"/>
        <w:autoSpaceDN w:val="0"/>
        <w:adjustRightInd w:val="0"/>
        <w:ind w:left="851"/>
        <w:rPr>
          <w:i/>
          <w:sz w:val="24"/>
          <w:szCs w:val="24"/>
          <w:lang w:eastAsia="da-DK"/>
        </w:rPr>
      </w:pPr>
      <w:r w:rsidRPr="00E66EEC">
        <w:rPr>
          <w:i/>
          <w:sz w:val="24"/>
          <w:szCs w:val="24"/>
          <w:lang w:eastAsia="da-DK"/>
        </w:rPr>
        <w:t xml:space="preserve">Risiko relateret til </w:t>
      </w:r>
      <w:proofErr w:type="spellStart"/>
      <w:r w:rsidRPr="00E66EEC">
        <w:rPr>
          <w:i/>
          <w:sz w:val="24"/>
          <w:szCs w:val="24"/>
          <w:lang w:eastAsia="da-DK"/>
        </w:rPr>
        <w:t>gabapentin</w:t>
      </w:r>
      <w:proofErr w:type="spellEnd"/>
    </w:p>
    <w:p w:rsidR="0070746C" w:rsidRDefault="0070746C" w:rsidP="0070746C">
      <w:pPr>
        <w:autoSpaceDE w:val="0"/>
        <w:autoSpaceDN w:val="0"/>
        <w:adjustRightInd w:val="0"/>
        <w:ind w:left="851"/>
        <w:rPr>
          <w:i/>
          <w:sz w:val="24"/>
          <w:szCs w:val="24"/>
          <w:lang w:eastAsia="da-DK"/>
        </w:rPr>
      </w:pPr>
    </w:p>
    <w:p w:rsidR="0070746C" w:rsidRPr="00CF42C9" w:rsidRDefault="0070746C" w:rsidP="0070746C">
      <w:pPr>
        <w:ind w:left="851"/>
        <w:rPr>
          <w:sz w:val="24"/>
          <w:szCs w:val="24"/>
        </w:rPr>
      </w:pPr>
      <w:proofErr w:type="spellStart"/>
      <w:r w:rsidRPr="00CF42C9">
        <w:rPr>
          <w:sz w:val="24"/>
          <w:szCs w:val="24"/>
        </w:rPr>
        <w:t>Gabapentin</w:t>
      </w:r>
      <w:proofErr w:type="spellEnd"/>
      <w:r w:rsidRPr="00CF42C9">
        <w:rPr>
          <w:sz w:val="24"/>
          <w:szCs w:val="24"/>
        </w:rPr>
        <w:t xml:space="preserve"> passerer den humane placenta.</w:t>
      </w:r>
    </w:p>
    <w:p w:rsidR="0070746C" w:rsidRPr="00E66EEC" w:rsidRDefault="0070746C" w:rsidP="0070746C">
      <w:pPr>
        <w:autoSpaceDE w:val="0"/>
        <w:autoSpaceDN w:val="0"/>
        <w:adjustRightInd w:val="0"/>
        <w:ind w:left="851"/>
        <w:rPr>
          <w:sz w:val="24"/>
          <w:szCs w:val="24"/>
          <w:lang w:eastAsia="da-DK"/>
        </w:rPr>
      </w:pPr>
      <w:r w:rsidRPr="00CF42C9">
        <w:rPr>
          <w:sz w:val="24"/>
          <w:szCs w:val="24"/>
        </w:rPr>
        <w:t>Der er ingen eller utilstrækkelige</w:t>
      </w:r>
      <w:r>
        <w:t xml:space="preserve"> </w:t>
      </w:r>
      <w:r w:rsidRPr="00E66EEC">
        <w:rPr>
          <w:sz w:val="24"/>
          <w:szCs w:val="24"/>
          <w:lang w:eastAsia="da-DK"/>
        </w:rPr>
        <w:t xml:space="preserve">data om gravide kvinders brug af </w:t>
      </w:r>
      <w:proofErr w:type="spellStart"/>
      <w:r w:rsidRPr="00E66EEC">
        <w:rPr>
          <w:sz w:val="24"/>
          <w:szCs w:val="24"/>
          <w:lang w:eastAsia="da-DK"/>
        </w:rPr>
        <w:t>gabapentin</w:t>
      </w:r>
      <w:proofErr w:type="spellEnd"/>
      <w:r w:rsidRPr="00E66EEC">
        <w:rPr>
          <w:sz w:val="24"/>
          <w:szCs w:val="24"/>
          <w:lang w:eastAsia="da-DK"/>
        </w:rPr>
        <w:t>.</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Dyreforsøg har påvist reproduktionstoksicitet (se pkt. 5.3). Den potentielle risiko for mennesker er ukendt. </w:t>
      </w:r>
      <w:proofErr w:type="spellStart"/>
      <w:r w:rsidRPr="00E66EEC">
        <w:rPr>
          <w:sz w:val="24"/>
          <w:szCs w:val="24"/>
          <w:lang w:eastAsia="da-DK"/>
        </w:rPr>
        <w:t>Gabapentin</w:t>
      </w:r>
      <w:proofErr w:type="spellEnd"/>
      <w:r w:rsidRPr="00E66EEC">
        <w:rPr>
          <w:sz w:val="24"/>
          <w:szCs w:val="24"/>
          <w:lang w:eastAsia="da-DK"/>
        </w:rPr>
        <w:t xml:space="preserve"> må ikke anvendes under graviditet, med mindre den potentielle gavnlige virkning for moderen klart opvejer den potentielle risiko for fosteret.</w:t>
      </w:r>
    </w:p>
    <w:p w:rsidR="0070746C" w:rsidRPr="00E66EEC" w:rsidRDefault="0070746C" w:rsidP="0070746C">
      <w:pPr>
        <w:autoSpaceDE w:val="0"/>
        <w:autoSpaceDN w:val="0"/>
        <w:adjustRightInd w:val="0"/>
        <w:ind w:left="851"/>
        <w:rPr>
          <w:sz w:val="24"/>
          <w:szCs w:val="24"/>
          <w:lang w:eastAsia="da-DK"/>
        </w:rPr>
      </w:pPr>
    </w:p>
    <w:p w:rsidR="0070746C" w:rsidRDefault="0070746C" w:rsidP="0070746C">
      <w:pPr>
        <w:autoSpaceDE w:val="0"/>
        <w:autoSpaceDN w:val="0"/>
        <w:adjustRightInd w:val="0"/>
        <w:ind w:left="851"/>
        <w:rPr>
          <w:sz w:val="24"/>
          <w:szCs w:val="24"/>
          <w:lang w:eastAsia="da-DK"/>
        </w:rPr>
      </w:pPr>
      <w:r w:rsidRPr="00E66EEC">
        <w:rPr>
          <w:sz w:val="24"/>
          <w:szCs w:val="24"/>
          <w:lang w:eastAsia="da-DK"/>
        </w:rPr>
        <w:t xml:space="preserve">Det kan ikke med sikkerhed konkluderes, om </w:t>
      </w:r>
      <w:proofErr w:type="spellStart"/>
      <w:r w:rsidRPr="00E66EEC">
        <w:rPr>
          <w:sz w:val="24"/>
          <w:szCs w:val="24"/>
          <w:lang w:eastAsia="da-DK"/>
        </w:rPr>
        <w:t>gabapentin</w:t>
      </w:r>
      <w:proofErr w:type="spellEnd"/>
      <w:r w:rsidRPr="00E66EEC">
        <w:rPr>
          <w:sz w:val="24"/>
          <w:szCs w:val="24"/>
          <w:lang w:eastAsia="da-DK"/>
        </w:rPr>
        <w:t xml:space="preserve"> er </w:t>
      </w:r>
      <w:r>
        <w:rPr>
          <w:sz w:val="24"/>
          <w:szCs w:val="24"/>
          <w:lang w:eastAsia="da-DK"/>
        </w:rPr>
        <w:t xml:space="preserve">kausalt </w:t>
      </w:r>
      <w:r w:rsidRPr="00E66EEC">
        <w:rPr>
          <w:sz w:val="24"/>
          <w:szCs w:val="24"/>
          <w:lang w:eastAsia="da-DK"/>
        </w:rPr>
        <w:t>forbundet med en øget risiko for medfødte misdannelser, når det anvendes under graviditet. Dette skyldes, at epilepsi alene samt anden samtidig antiepileptisk medicin optræder under hver rapporteret graviditet.</w:t>
      </w:r>
    </w:p>
    <w:p w:rsidR="004D62EE" w:rsidRDefault="004D62EE" w:rsidP="0070746C">
      <w:pPr>
        <w:autoSpaceDE w:val="0"/>
        <w:autoSpaceDN w:val="0"/>
        <w:adjustRightInd w:val="0"/>
        <w:ind w:left="851"/>
        <w:rPr>
          <w:sz w:val="24"/>
          <w:szCs w:val="24"/>
          <w:lang w:eastAsia="da-DK"/>
        </w:rPr>
      </w:pPr>
    </w:p>
    <w:p w:rsidR="004D62EE" w:rsidRPr="00E66EEC" w:rsidRDefault="004D62EE" w:rsidP="004D62EE">
      <w:pPr>
        <w:autoSpaceDE w:val="0"/>
        <w:autoSpaceDN w:val="0"/>
        <w:adjustRightInd w:val="0"/>
        <w:ind w:left="851"/>
        <w:rPr>
          <w:sz w:val="24"/>
          <w:szCs w:val="24"/>
          <w:lang w:eastAsia="da-DK"/>
        </w:rPr>
      </w:pPr>
      <w:r w:rsidRPr="001848E7">
        <w:rPr>
          <w:sz w:val="24"/>
          <w:szCs w:val="24"/>
          <w:lang w:eastAsia="da-DK"/>
        </w:rPr>
        <w:t xml:space="preserve">Neonatalt abstinenssyndrom er blevet rapporteret hos nyfødte, som er blevet eksponeret for </w:t>
      </w:r>
      <w:proofErr w:type="spellStart"/>
      <w:r w:rsidRPr="001848E7">
        <w:rPr>
          <w:sz w:val="24"/>
          <w:szCs w:val="24"/>
          <w:lang w:eastAsia="da-DK"/>
        </w:rPr>
        <w:t>gabapentin</w:t>
      </w:r>
      <w:proofErr w:type="spellEnd"/>
      <w:r w:rsidRPr="001848E7">
        <w:rPr>
          <w:sz w:val="24"/>
          <w:szCs w:val="24"/>
          <w:lang w:eastAsia="da-DK"/>
        </w:rPr>
        <w:t xml:space="preserve"> </w:t>
      </w:r>
      <w:r w:rsidRPr="001848E7">
        <w:rPr>
          <w:i/>
          <w:sz w:val="24"/>
          <w:szCs w:val="24"/>
          <w:lang w:eastAsia="da-DK"/>
        </w:rPr>
        <w:t xml:space="preserve">in </w:t>
      </w:r>
      <w:proofErr w:type="spellStart"/>
      <w:r w:rsidRPr="001848E7">
        <w:rPr>
          <w:i/>
          <w:sz w:val="24"/>
          <w:szCs w:val="24"/>
          <w:lang w:eastAsia="da-DK"/>
        </w:rPr>
        <w:t>utero</w:t>
      </w:r>
      <w:proofErr w:type="spellEnd"/>
      <w:r w:rsidRPr="001848E7">
        <w:rPr>
          <w:sz w:val="24"/>
          <w:szCs w:val="24"/>
          <w:lang w:eastAsia="da-DK"/>
        </w:rPr>
        <w:t xml:space="preserve">. Samtidig eksponering for </w:t>
      </w:r>
      <w:proofErr w:type="spellStart"/>
      <w:r w:rsidRPr="001848E7">
        <w:rPr>
          <w:sz w:val="24"/>
          <w:szCs w:val="24"/>
          <w:lang w:eastAsia="da-DK"/>
        </w:rPr>
        <w:t>gabapentin</w:t>
      </w:r>
      <w:proofErr w:type="spellEnd"/>
      <w:r w:rsidRPr="001848E7">
        <w:rPr>
          <w:sz w:val="24"/>
          <w:szCs w:val="24"/>
          <w:lang w:eastAsia="da-DK"/>
        </w:rPr>
        <w:t xml:space="preserve"> og opioider under graviditeten kan øge risikoen for neonatalt abstinenssyndrom. Nyfødte skal overvåges omhyggeligt. </w:t>
      </w:r>
    </w:p>
    <w:p w:rsidR="0070746C" w:rsidRPr="00E66EEC" w:rsidRDefault="0070746C" w:rsidP="0070746C">
      <w:pPr>
        <w:autoSpaceDE w:val="0"/>
        <w:autoSpaceDN w:val="0"/>
        <w:adjustRightInd w:val="0"/>
        <w:ind w:left="851"/>
        <w:rPr>
          <w:sz w:val="24"/>
          <w:szCs w:val="24"/>
          <w:u w:val="single"/>
          <w:lang w:eastAsia="da-DK"/>
        </w:rPr>
      </w:pPr>
      <w:r w:rsidRPr="00E66EEC">
        <w:rPr>
          <w:sz w:val="24"/>
          <w:szCs w:val="24"/>
          <w:u w:val="single"/>
          <w:lang w:eastAsia="da-DK"/>
        </w:rPr>
        <w:lastRenderedPageBreak/>
        <w:t>Amning</w:t>
      </w:r>
    </w:p>
    <w:p w:rsidR="0070746C" w:rsidRPr="00C84483" w:rsidRDefault="0070746C" w:rsidP="0070746C">
      <w:pPr>
        <w:autoSpaceDE w:val="0"/>
        <w:autoSpaceDN w:val="0"/>
        <w:adjustRightInd w:val="0"/>
        <w:ind w:left="851"/>
        <w:rPr>
          <w:sz w:val="24"/>
          <w:szCs w:val="24"/>
          <w:lang w:eastAsia="da-DK"/>
        </w:rPr>
      </w:pPr>
      <w:proofErr w:type="spellStart"/>
      <w:r w:rsidRPr="00E66EEC">
        <w:rPr>
          <w:sz w:val="24"/>
          <w:szCs w:val="24"/>
          <w:lang w:eastAsia="da-DK"/>
        </w:rPr>
        <w:t>Gabapentin</w:t>
      </w:r>
      <w:proofErr w:type="spellEnd"/>
      <w:r w:rsidRPr="00E66EEC">
        <w:rPr>
          <w:sz w:val="24"/>
          <w:szCs w:val="24"/>
          <w:lang w:eastAsia="da-DK"/>
        </w:rPr>
        <w:t xml:space="preserve"> udskilles i modermælk. Da effekten på det ammede barn ikke kendes, tilrådes forsigtighed, når </w:t>
      </w:r>
      <w:proofErr w:type="spellStart"/>
      <w:r w:rsidRPr="00E66EEC">
        <w:rPr>
          <w:sz w:val="24"/>
          <w:szCs w:val="24"/>
          <w:lang w:eastAsia="da-DK"/>
        </w:rPr>
        <w:t>gabapentin</w:t>
      </w:r>
      <w:proofErr w:type="spellEnd"/>
      <w:r w:rsidRPr="00E66EEC">
        <w:rPr>
          <w:sz w:val="24"/>
          <w:szCs w:val="24"/>
          <w:lang w:eastAsia="da-DK"/>
        </w:rPr>
        <w:t xml:space="preserve"> anvendes til ammende mødre. </w:t>
      </w:r>
      <w:proofErr w:type="spellStart"/>
      <w:r w:rsidRPr="00E66EEC">
        <w:rPr>
          <w:sz w:val="24"/>
          <w:szCs w:val="24"/>
          <w:lang w:eastAsia="da-DK"/>
        </w:rPr>
        <w:t>Gabapentin</w:t>
      </w:r>
      <w:proofErr w:type="spellEnd"/>
      <w:r w:rsidRPr="00E66EEC">
        <w:rPr>
          <w:sz w:val="24"/>
          <w:szCs w:val="24"/>
          <w:lang w:eastAsia="da-DK"/>
        </w:rPr>
        <w:t xml:space="preserve"> bør kun anvendes af ammende mødre, hvis fordelene klart opvejer risiciene.</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C223B">
        <w:rPr>
          <w:b/>
          <w:sz w:val="24"/>
          <w:szCs w:val="24"/>
        </w:rPr>
        <w:t xml:space="preserve">og </w:t>
      </w:r>
      <w:r w:rsidRPr="00C84483">
        <w:rPr>
          <w:b/>
          <w:sz w:val="24"/>
          <w:szCs w:val="24"/>
        </w:rPr>
        <w:t>betjene maskiner</w:t>
      </w:r>
    </w:p>
    <w:p w:rsidR="0070746C" w:rsidRDefault="0070746C" w:rsidP="0070746C">
      <w:pPr>
        <w:autoSpaceDE w:val="0"/>
        <w:autoSpaceDN w:val="0"/>
        <w:adjustRightInd w:val="0"/>
        <w:ind w:left="851"/>
        <w:rPr>
          <w:sz w:val="24"/>
          <w:szCs w:val="24"/>
          <w:lang w:eastAsia="da-DK"/>
        </w:rPr>
      </w:pPr>
      <w:r>
        <w:rPr>
          <w:sz w:val="24"/>
          <w:szCs w:val="24"/>
          <w:lang w:eastAsia="da-DK"/>
        </w:rPr>
        <w:t>Mærkning.</w:t>
      </w:r>
    </w:p>
    <w:p w:rsidR="0070746C" w:rsidRPr="00C84483" w:rsidRDefault="0070746C" w:rsidP="0070746C">
      <w:pPr>
        <w:autoSpaceDE w:val="0"/>
        <w:autoSpaceDN w:val="0"/>
        <w:adjustRightInd w:val="0"/>
        <w:ind w:left="851"/>
        <w:rPr>
          <w:sz w:val="24"/>
          <w:szCs w:val="24"/>
          <w:lang w:eastAsia="da-DK"/>
        </w:rPr>
      </w:pPr>
      <w:proofErr w:type="spellStart"/>
      <w:r w:rsidRPr="00E66EEC">
        <w:rPr>
          <w:sz w:val="24"/>
          <w:szCs w:val="24"/>
          <w:lang w:eastAsia="da-DK"/>
        </w:rPr>
        <w:t>Gabapentin</w:t>
      </w:r>
      <w:proofErr w:type="spellEnd"/>
      <w:r w:rsidRPr="00E66EEC">
        <w:rPr>
          <w:sz w:val="24"/>
          <w:szCs w:val="24"/>
          <w:lang w:eastAsia="da-DK"/>
        </w:rPr>
        <w:t xml:space="preserve"> påvirker i mindre eller moderat grad evnen til at føre motorkøretøj eller betjene maskiner. </w:t>
      </w:r>
      <w:proofErr w:type="spellStart"/>
      <w:r w:rsidRPr="00E66EEC">
        <w:rPr>
          <w:sz w:val="24"/>
          <w:szCs w:val="24"/>
          <w:lang w:eastAsia="da-DK"/>
        </w:rPr>
        <w:t>Gabapentin</w:t>
      </w:r>
      <w:proofErr w:type="spellEnd"/>
      <w:r w:rsidRPr="00E66EEC">
        <w:rPr>
          <w:sz w:val="24"/>
          <w:szCs w:val="24"/>
          <w:lang w:eastAsia="da-DK"/>
        </w:rPr>
        <w:t xml:space="preserve"> virker på centralnervesystemet og kan forårsage døsighed, svimmelhed eller andre relaterede symptomer. Disse bivirkninger kan, selvom de kun er milde eller moderate, være potentielt farlige hos patienter, som kører bil eller betjener maskiner. Dette gælder især i starten af behandlingen og efter dosisøgning.</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4.8</w:t>
      </w:r>
      <w:r w:rsidRPr="00C84483">
        <w:rPr>
          <w:b/>
          <w:sz w:val="24"/>
          <w:szCs w:val="24"/>
        </w:rPr>
        <w:tab/>
        <w:t>Bivirkninger</w:t>
      </w: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De bivirkninger, som er observeret i kliniske undersøgelser af epilepsi (tillægsbehandling og monoterapi) og neuropatiske smerter, er anført i en samlet liste nedenfor efter organklasse og hyppighed (meget almindelig (</w:t>
      </w:r>
      <w:r w:rsidRPr="00E66EEC">
        <w:rPr>
          <w:sz w:val="24"/>
          <w:szCs w:val="24"/>
          <w:cs/>
          <w:lang w:eastAsia="da-DK"/>
        </w:rPr>
        <w:t>≥</w:t>
      </w:r>
      <w:r w:rsidRPr="00E66EEC">
        <w:rPr>
          <w:sz w:val="24"/>
          <w:szCs w:val="24"/>
          <w:lang w:eastAsia="da-DK"/>
        </w:rPr>
        <w:t>1/10), almindelig (</w:t>
      </w:r>
      <w:r w:rsidRPr="00E66EEC">
        <w:rPr>
          <w:sz w:val="24"/>
          <w:szCs w:val="24"/>
          <w:cs/>
          <w:lang w:eastAsia="da-DK"/>
        </w:rPr>
        <w:t>≥</w:t>
      </w:r>
      <w:r w:rsidRPr="00E66EEC">
        <w:rPr>
          <w:sz w:val="24"/>
          <w:szCs w:val="24"/>
          <w:lang w:eastAsia="da-DK"/>
        </w:rPr>
        <w:t>1/100 til &lt;1/10), ikke almindelig (</w:t>
      </w:r>
      <w:r w:rsidRPr="00E66EEC">
        <w:rPr>
          <w:sz w:val="24"/>
          <w:szCs w:val="24"/>
          <w:cs/>
          <w:lang w:eastAsia="da-DK"/>
        </w:rPr>
        <w:t>≥</w:t>
      </w:r>
      <w:r w:rsidRPr="00E66EEC">
        <w:rPr>
          <w:sz w:val="24"/>
          <w:szCs w:val="24"/>
          <w:lang w:eastAsia="da-DK"/>
        </w:rPr>
        <w:t>1/1.000 til &lt;1/100), sjælden (</w:t>
      </w:r>
      <w:r w:rsidRPr="00E66EEC">
        <w:rPr>
          <w:sz w:val="24"/>
          <w:szCs w:val="24"/>
          <w:cs/>
          <w:lang w:eastAsia="da-DK"/>
        </w:rPr>
        <w:t>≥</w:t>
      </w:r>
      <w:r w:rsidRPr="00E66EEC">
        <w:rPr>
          <w:sz w:val="24"/>
          <w:szCs w:val="24"/>
          <w:lang w:eastAsia="da-DK"/>
        </w:rPr>
        <w:t>1/10.000 til &lt;1/1.000), meget sjælden (&lt; 1/10.000). Når en bivirkning er set med forskellig hyppighed i kliniske undersøgelser, er den anført med den højeste hyppighed.</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Andre bivirkninger, som er rapporteret ved erfaring efter markedsføringen, er anført med hyppigheden "ikke kendt" (kan ikke estimeres ud fra forhåndenværende data) med kursiv på nedenstående liste.</w:t>
      </w: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Inden for hver frekvensgruppe er bivirkningerne opstillet efter faldende alvorlighed.</w:t>
      </w:r>
    </w:p>
    <w:p w:rsidR="0070746C" w:rsidRPr="00E66EEC" w:rsidRDefault="0070746C" w:rsidP="0070746C">
      <w:pPr>
        <w:autoSpaceDE w:val="0"/>
        <w:autoSpaceDN w:val="0"/>
        <w:adjustRightInd w:val="0"/>
        <w:ind w:left="851"/>
        <w:rPr>
          <w:sz w:val="24"/>
          <w:szCs w:val="24"/>
          <w:lang w:eastAsia="da-DK"/>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336"/>
      </w:tblGrid>
      <w:tr w:rsidR="0070746C" w:rsidRPr="00E66EEC" w:rsidTr="00CC223B">
        <w:trPr>
          <w:tblHeader/>
        </w:trPr>
        <w:tc>
          <w:tcPr>
            <w:tcW w:w="1843" w:type="dxa"/>
            <w:vAlign w:val="center"/>
          </w:tcPr>
          <w:p w:rsidR="0070746C" w:rsidRPr="00E66EEC" w:rsidRDefault="0070746C" w:rsidP="00CC223B">
            <w:pPr>
              <w:autoSpaceDE w:val="0"/>
              <w:autoSpaceDN w:val="0"/>
              <w:adjustRightInd w:val="0"/>
              <w:ind w:left="63"/>
              <w:rPr>
                <w:sz w:val="24"/>
                <w:szCs w:val="24"/>
                <w:lang w:eastAsia="da-DK"/>
              </w:rPr>
            </w:pPr>
            <w:r w:rsidRPr="00E66EEC">
              <w:rPr>
                <w:b/>
                <w:sz w:val="24"/>
                <w:szCs w:val="24"/>
                <w:lang w:eastAsia="da-DK"/>
              </w:rPr>
              <w:t>System-organ-klasser</w:t>
            </w:r>
          </w:p>
        </w:tc>
        <w:tc>
          <w:tcPr>
            <w:tcW w:w="7336" w:type="dxa"/>
            <w:vAlign w:val="center"/>
          </w:tcPr>
          <w:p w:rsidR="0070746C" w:rsidRPr="00E66EEC" w:rsidRDefault="0070746C" w:rsidP="00CC223B">
            <w:pPr>
              <w:autoSpaceDE w:val="0"/>
              <w:autoSpaceDN w:val="0"/>
              <w:adjustRightInd w:val="0"/>
              <w:ind w:left="63"/>
              <w:rPr>
                <w:sz w:val="24"/>
                <w:szCs w:val="24"/>
                <w:lang w:eastAsia="da-DK"/>
              </w:rPr>
            </w:pPr>
            <w:r w:rsidRPr="00E66EEC">
              <w:rPr>
                <w:b/>
                <w:sz w:val="24"/>
                <w:szCs w:val="24"/>
                <w:lang w:eastAsia="da-DK"/>
              </w:rPr>
              <w:t>Bivirkninger</w:t>
            </w:r>
          </w:p>
        </w:tc>
      </w:tr>
      <w:tr w:rsidR="0070746C" w:rsidRPr="00E66EEC" w:rsidTr="00CC223B">
        <w:tc>
          <w:tcPr>
            <w:tcW w:w="9179" w:type="dxa"/>
            <w:gridSpan w:val="2"/>
            <w:vAlign w:val="center"/>
          </w:tcPr>
          <w:p w:rsidR="0070746C" w:rsidRPr="00E66EEC" w:rsidRDefault="0070746C" w:rsidP="00CC223B">
            <w:pPr>
              <w:autoSpaceDE w:val="0"/>
              <w:autoSpaceDN w:val="0"/>
              <w:adjustRightInd w:val="0"/>
              <w:ind w:left="63"/>
              <w:rPr>
                <w:sz w:val="24"/>
                <w:szCs w:val="24"/>
                <w:lang w:eastAsia="da-DK"/>
              </w:rPr>
            </w:pPr>
            <w:r w:rsidRPr="00E66EEC">
              <w:rPr>
                <w:b/>
                <w:sz w:val="24"/>
                <w:szCs w:val="24"/>
                <w:lang w:eastAsia="da-DK"/>
              </w:rPr>
              <w:t>Infektioner og parasitære sygdomme</w:t>
            </w:r>
          </w:p>
        </w:tc>
      </w:tr>
      <w:tr w:rsidR="0070746C" w:rsidRPr="00E66EEC" w:rsidTr="00CC223B">
        <w:tc>
          <w:tcPr>
            <w:tcW w:w="1843" w:type="dxa"/>
            <w:vAlign w:val="center"/>
          </w:tcPr>
          <w:p w:rsidR="0070746C" w:rsidRPr="00E66EEC" w:rsidRDefault="0070746C" w:rsidP="00CC223B">
            <w:pPr>
              <w:autoSpaceDE w:val="0"/>
              <w:autoSpaceDN w:val="0"/>
              <w:adjustRightInd w:val="0"/>
              <w:ind w:left="63"/>
              <w:rPr>
                <w:sz w:val="24"/>
                <w:szCs w:val="24"/>
                <w:lang w:eastAsia="da-DK"/>
              </w:rPr>
            </w:pPr>
            <w:r w:rsidRPr="00E66EEC">
              <w:rPr>
                <w:sz w:val="24"/>
                <w:szCs w:val="24"/>
                <w:lang w:eastAsia="da-DK"/>
              </w:rPr>
              <w:t>Meget almindelig</w:t>
            </w:r>
          </w:p>
        </w:tc>
        <w:tc>
          <w:tcPr>
            <w:tcW w:w="7336" w:type="dxa"/>
            <w:vAlign w:val="center"/>
          </w:tcPr>
          <w:p w:rsidR="0070746C" w:rsidRPr="00E66EEC" w:rsidRDefault="0070746C" w:rsidP="00CC223B">
            <w:pPr>
              <w:autoSpaceDE w:val="0"/>
              <w:autoSpaceDN w:val="0"/>
              <w:adjustRightInd w:val="0"/>
              <w:ind w:left="63"/>
              <w:rPr>
                <w:sz w:val="24"/>
                <w:szCs w:val="24"/>
                <w:lang w:eastAsia="da-DK"/>
              </w:rPr>
            </w:pPr>
            <w:r>
              <w:rPr>
                <w:sz w:val="24"/>
                <w:szCs w:val="24"/>
                <w:lang w:eastAsia="da-DK"/>
              </w:rPr>
              <w:t>V</w:t>
            </w:r>
            <w:r w:rsidRPr="00E66EEC">
              <w:rPr>
                <w:sz w:val="24"/>
                <w:szCs w:val="24"/>
                <w:lang w:eastAsia="da-DK"/>
              </w:rPr>
              <w:t>irusinfektion</w:t>
            </w:r>
          </w:p>
        </w:tc>
      </w:tr>
      <w:tr w:rsidR="0070746C" w:rsidRPr="00C474E9" w:rsidTr="00CC223B">
        <w:tc>
          <w:tcPr>
            <w:tcW w:w="1843" w:type="dxa"/>
            <w:vAlign w:val="center"/>
          </w:tcPr>
          <w:p w:rsidR="0070746C" w:rsidRPr="00E66EEC" w:rsidRDefault="0070746C" w:rsidP="00CC223B">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70746C" w:rsidRPr="00D606D1" w:rsidRDefault="0070746C" w:rsidP="00CC223B">
            <w:pPr>
              <w:autoSpaceDE w:val="0"/>
              <w:autoSpaceDN w:val="0"/>
              <w:adjustRightInd w:val="0"/>
              <w:ind w:left="63"/>
              <w:rPr>
                <w:sz w:val="24"/>
                <w:szCs w:val="24"/>
                <w:lang w:val="sv-SE" w:eastAsia="da-DK"/>
              </w:rPr>
            </w:pPr>
            <w:r w:rsidRPr="00D606D1">
              <w:rPr>
                <w:sz w:val="24"/>
                <w:szCs w:val="24"/>
                <w:lang w:val="sv-SE" w:eastAsia="da-DK"/>
              </w:rPr>
              <w:t xml:space="preserve">Pneumoni, </w:t>
            </w:r>
            <w:proofErr w:type="spellStart"/>
            <w:r w:rsidRPr="00D606D1">
              <w:rPr>
                <w:sz w:val="24"/>
                <w:szCs w:val="24"/>
                <w:lang w:val="sv-SE" w:eastAsia="da-DK"/>
              </w:rPr>
              <w:t>luftvejsinfektion</w:t>
            </w:r>
            <w:proofErr w:type="spellEnd"/>
            <w:r w:rsidRPr="00D606D1">
              <w:rPr>
                <w:sz w:val="24"/>
                <w:szCs w:val="24"/>
                <w:lang w:val="sv-SE" w:eastAsia="da-DK"/>
              </w:rPr>
              <w:t xml:space="preserve">, </w:t>
            </w:r>
            <w:proofErr w:type="spellStart"/>
            <w:r w:rsidRPr="00D606D1">
              <w:rPr>
                <w:sz w:val="24"/>
                <w:szCs w:val="24"/>
                <w:lang w:val="sv-SE" w:eastAsia="da-DK"/>
              </w:rPr>
              <w:t>urinvejsinfektion</w:t>
            </w:r>
            <w:proofErr w:type="spellEnd"/>
            <w:r w:rsidRPr="00D606D1">
              <w:rPr>
                <w:sz w:val="24"/>
                <w:szCs w:val="24"/>
                <w:lang w:val="sv-SE" w:eastAsia="da-DK"/>
              </w:rPr>
              <w:t xml:space="preserve">, infektion, </w:t>
            </w:r>
            <w:proofErr w:type="spellStart"/>
            <w:r w:rsidRPr="00D606D1">
              <w:rPr>
                <w:sz w:val="24"/>
                <w:szCs w:val="24"/>
                <w:lang w:val="sv-SE" w:eastAsia="da-DK"/>
              </w:rPr>
              <w:t>otitis</w:t>
            </w:r>
            <w:proofErr w:type="spellEnd"/>
            <w:r w:rsidRPr="00D606D1">
              <w:rPr>
                <w:sz w:val="24"/>
                <w:szCs w:val="24"/>
                <w:lang w:val="sv-SE" w:eastAsia="da-DK"/>
              </w:rPr>
              <w:t xml:space="preserve"> media</w:t>
            </w:r>
          </w:p>
        </w:tc>
      </w:tr>
      <w:tr w:rsidR="0070746C" w:rsidRPr="00E66EEC" w:rsidTr="00CC223B">
        <w:tc>
          <w:tcPr>
            <w:tcW w:w="9179" w:type="dxa"/>
            <w:gridSpan w:val="2"/>
            <w:vAlign w:val="center"/>
          </w:tcPr>
          <w:p w:rsidR="0070746C" w:rsidRPr="00E66EEC" w:rsidRDefault="0070746C" w:rsidP="00CC223B">
            <w:pPr>
              <w:keepNext/>
              <w:autoSpaceDE w:val="0"/>
              <w:autoSpaceDN w:val="0"/>
              <w:adjustRightInd w:val="0"/>
              <w:ind w:left="62"/>
              <w:rPr>
                <w:sz w:val="24"/>
                <w:szCs w:val="24"/>
                <w:lang w:eastAsia="da-DK"/>
              </w:rPr>
            </w:pPr>
            <w:r w:rsidRPr="00E66EEC">
              <w:rPr>
                <w:b/>
                <w:sz w:val="24"/>
                <w:szCs w:val="24"/>
                <w:lang w:eastAsia="da-DK"/>
              </w:rPr>
              <w:t>Blod- og lymfesystem</w:t>
            </w:r>
          </w:p>
        </w:tc>
      </w:tr>
      <w:tr w:rsidR="0070746C" w:rsidRPr="00E66EEC" w:rsidTr="00CC223B">
        <w:tc>
          <w:tcPr>
            <w:tcW w:w="1843" w:type="dxa"/>
            <w:vAlign w:val="center"/>
          </w:tcPr>
          <w:p w:rsidR="0070746C" w:rsidRPr="00E66EEC" w:rsidRDefault="0070746C" w:rsidP="00CC223B">
            <w:pPr>
              <w:keepNext/>
              <w:autoSpaceDE w:val="0"/>
              <w:autoSpaceDN w:val="0"/>
              <w:adjustRightInd w:val="0"/>
              <w:ind w:left="62"/>
              <w:rPr>
                <w:sz w:val="24"/>
                <w:szCs w:val="24"/>
                <w:lang w:eastAsia="da-DK"/>
              </w:rPr>
            </w:pPr>
            <w:r w:rsidRPr="00E66EEC">
              <w:rPr>
                <w:sz w:val="24"/>
                <w:szCs w:val="24"/>
                <w:lang w:eastAsia="da-DK"/>
              </w:rPr>
              <w:t>Almindelig</w:t>
            </w:r>
          </w:p>
        </w:tc>
        <w:tc>
          <w:tcPr>
            <w:tcW w:w="7336" w:type="dxa"/>
            <w:vAlign w:val="center"/>
          </w:tcPr>
          <w:p w:rsidR="0070746C" w:rsidRPr="00E66EEC" w:rsidRDefault="0070746C" w:rsidP="00CC223B">
            <w:pPr>
              <w:autoSpaceDE w:val="0"/>
              <w:autoSpaceDN w:val="0"/>
              <w:adjustRightInd w:val="0"/>
              <w:ind w:left="63"/>
              <w:rPr>
                <w:sz w:val="24"/>
                <w:szCs w:val="24"/>
                <w:lang w:eastAsia="da-DK"/>
              </w:rPr>
            </w:pPr>
            <w:proofErr w:type="spellStart"/>
            <w:r>
              <w:rPr>
                <w:sz w:val="24"/>
                <w:szCs w:val="24"/>
                <w:lang w:eastAsia="da-DK"/>
              </w:rPr>
              <w:t>L</w:t>
            </w:r>
            <w:r w:rsidRPr="00E66EEC">
              <w:rPr>
                <w:sz w:val="24"/>
                <w:szCs w:val="24"/>
                <w:lang w:eastAsia="da-DK"/>
              </w:rPr>
              <w:t>eukopeni</w:t>
            </w:r>
            <w:proofErr w:type="spellEnd"/>
          </w:p>
        </w:tc>
      </w:tr>
      <w:tr w:rsidR="0070746C" w:rsidRPr="00E66EEC" w:rsidTr="00CC223B">
        <w:tc>
          <w:tcPr>
            <w:tcW w:w="1843" w:type="dxa"/>
            <w:vAlign w:val="center"/>
          </w:tcPr>
          <w:p w:rsidR="0070746C" w:rsidRPr="00E66EEC" w:rsidRDefault="0070746C" w:rsidP="00CC223B">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70746C" w:rsidRPr="00E66EEC" w:rsidRDefault="0070746C" w:rsidP="00CC223B">
            <w:pPr>
              <w:autoSpaceDE w:val="0"/>
              <w:autoSpaceDN w:val="0"/>
              <w:adjustRightInd w:val="0"/>
              <w:ind w:left="63"/>
              <w:rPr>
                <w:sz w:val="24"/>
                <w:szCs w:val="24"/>
                <w:lang w:eastAsia="da-DK"/>
              </w:rPr>
            </w:pPr>
            <w:proofErr w:type="spellStart"/>
            <w:r>
              <w:rPr>
                <w:i/>
                <w:sz w:val="24"/>
                <w:szCs w:val="24"/>
                <w:lang w:eastAsia="da-DK"/>
              </w:rPr>
              <w:t>T</w:t>
            </w:r>
            <w:r w:rsidRPr="00E66EEC">
              <w:rPr>
                <w:i/>
                <w:sz w:val="24"/>
                <w:szCs w:val="24"/>
                <w:lang w:eastAsia="da-DK"/>
              </w:rPr>
              <w:t>rombocytopeni</w:t>
            </w:r>
            <w:proofErr w:type="spellEnd"/>
          </w:p>
        </w:tc>
      </w:tr>
      <w:tr w:rsidR="0070746C" w:rsidRPr="00E66EEC" w:rsidTr="00CC223B">
        <w:tc>
          <w:tcPr>
            <w:tcW w:w="9179" w:type="dxa"/>
            <w:gridSpan w:val="2"/>
            <w:vAlign w:val="center"/>
          </w:tcPr>
          <w:p w:rsidR="0070746C" w:rsidRPr="00E66EEC" w:rsidRDefault="0070746C" w:rsidP="00CC223B">
            <w:pPr>
              <w:autoSpaceDE w:val="0"/>
              <w:autoSpaceDN w:val="0"/>
              <w:adjustRightInd w:val="0"/>
              <w:ind w:left="63"/>
              <w:rPr>
                <w:sz w:val="24"/>
                <w:szCs w:val="24"/>
                <w:lang w:eastAsia="da-DK"/>
              </w:rPr>
            </w:pPr>
            <w:r w:rsidRPr="00E66EEC">
              <w:rPr>
                <w:b/>
                <w:sz w:val="24"/>
                <w:szCs w:val="24"/>
                <w:lang w:eastAsia="da-DK"/>
              </w:rPr>
              <w:t>Immunsystemet</w:t>
            </w:r>
          </w:p>
        </w:tc>
      </w:tr>
      <w:tr w:rsidR="0070746C" w:rsidRPr="00E66EEC" w:rsidTr="00CC223B">
        <w:tc>
          <w:tcPr>
            <w:tcW w:w="1843" w:type="dxa"/>
            <w:vAlign w:val="center"/>
          </w:tcPr>
          <w:p w:rsidR="0070746C" w:rsidRPr="00E66EEC" w:rsidRDefault="0070746C" w:rsidP="00CC223B">
            <w:pPr>
              <w:autoSpaceDE w:val="0"/>
              <w:autoSpaceDN w:val="0"/>
              <w:adjustRightInd w:val="0"/>
              <w:ind w:left="63"/>
              <w:rPr>
                <w:sz w:val="24"/>
                <w:szCs w:val="24"/>
                <w:lang w:eastAsia="da-DK"/>
              </w:rPr>
            </w:pPr>
            <w:r w:rsidRPr="00E66EEC">
              <w:rPr>
                <w:sz w:val="24"/>
                <w:szCs w:val="24"/>
                <w:lang w:eastAsia="da-DK"/>
              </w:rPr>
              <w:t>Ikke almindelig</w:t>
            </w:r>
          </w:p>
        </w:tc>
        <w:tc>
          <w:tcPr>
            <w:tcW w:w="7336" w:type="dxa"/>
            <w:vAlign w:val="center"/>
          </w:tcPr>
          <w:p w:rsidR="0070746C" w:rsidRPr="00E66EEC" w:rsidRDefault="0070746C" w:rsidP="00CC223B">
            <w:pPr>
              <w:autoSpaceDE w:val="0"/>
              <w:autoSpaceDN w:val="0"/>
              <w:adjustRightInd w:val="0"/>
              <w:ind w:left="63"/>
              <w:rPr>
                <w:sz w:val="24"/>
                <w:szCs w:val="24"/>
                <w:lang w:eastAsia="da-DK"/>
              </w:rPr>
            </w:pPr>
            <w:r>
              <w:rPr>
                <w:sz w:val="24"/>
                <w:szCs w:val="24"/>
                <w:lang w:eastAsia="da-DK"/>
              </w:rPr>
              <w:t>A</w:t>
            </w:r>
            <w:r w:rsidRPr="00E66EEC">
              <w:rPr>
                <w:sz w:val="24"/>
                <w:szCs w:val="24"/>
                <w:lang w:eastAsia="da-DK"/>
              </w:rPr>
              <w:t>llergiske reaktioner (f.eks</w:t>
            </w:r>
            <w:r>
              <w:rPr>
                <w:sz w:val="24"/>
                <w:szCs w:val="24"/>
                <w:lang w:eastAsia="da-DK"/>
              </w:rPr>
              <w:t>.</w:t>
            </w:r>
            <w:r w:rsidRPr="00E66EEC">
              <w:rPr>
                <w:sz w:val="24"/>
                <w:szCs w:val="24"/>
                <w:lang w:eastAsia="da-DK"/>
              </w:rPr>
              <w:t xml:space="preserve"> </w:t>
            </w:r>
            <w:proofErr w:type="spellStart"/>
            <w:r w:rsidRPr="00E66EEC">
              <w:rPr>
                <w:sz w:val="24"/>
                <w:szCs w:val="24"/>
                <w:lang w:eastAsia="da-DK"/>
              </w:rPr>
              <w:t>urticaria</w:t>
            </w:r>
            <w:proofErr w:type="spellEnd"/>
            <w:r w:rsidRPr="00E66EEC">
              <w:rPr>
                <w:sz w:val="24"/>
                <w:szCs w:val="24"/>
                <w:lang w:eastAsia="da-DK"/>
              </w:rPr>
              <w:t>)</w:t>
            </w:r>
          </w:p>
        </w:tc>
      </w:tr>
      <w:tr w:rsidR="0070746C" w:rsidRPr="00E66EEC" w:rsidTr="00CC223B">
        <w:tc>
          <w:tcPr>
            <w:tcW w:w="1843" w:type="dxa"/>
            <w:vAlign w:val="center"/>
          </w:tcPr>
          <w:p w:rsidR="0070746C" w:rsidRPr="00E66EEC" w:rsidRDefault="0070746C" w:rsidP="00CC223B">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70746C" w:rsidRPr="00E66EEC" w:rsidRDefault="0070746C" w:rsidP="00CC223B">
            <w:pPr>
              <w:autoSpaceDE w:val="0"/>
              <w:autoSpaceDN w:val="0"/>
              <w:adjustRightInd w:val="0"/>
              <w:ind w:left="63"/>
              <w:rPr>
                <w:i/>
                <w:iCs/>
                <w:sz w:val="24"/>
                <w:szCs w:val="24"/>
                <w:lang w:eastAsia="da-DK"/>
              </w:rPr>
            </w:pPr>
            <w:r>
              <w:rPr>
                <w:i/>
                <w:sz w:val="24"/>
                <w:szCs w:val="24"/>
                <w:lang w:eastAsia="da-DK"/>
              </w:rPr>
              <w:t>O</w:t>
            </w:r>
            <w:r w:rsidRPr="00E66EEC">
              <w:rPr>
                <w:i/>
                <w:sz w:val="24"/>
                <w:szCs w:val="24"/>
                <w:lang w:eastAsia="da-DK"/>
              </w:rPr>
              <w:t xml:space="preserve">verfølsomhedssyndrom </w:t>
            </w:r>
            <w:r>
              <w:rPr>
                <w:i/>
                <w:sz w:val="24"/>
                <w:szCs w:val="24"/>
                <w:lang w:eastAsia="da-DK"/>
              </w:rPr>
              <w:t>(</w:t>
            </w:r>
            <w:r w:rsidRPr="00E66EEC">
              <w:rPr>
                <w:i/>
                <w:sz w:val="24"/>
                <w:szCs w:val="24"/>
                <w:lang w:eastAsia="da-DK"/>
              </w:rPr>
              <w:t xml:space="preserve">en systemisk reaktion med en variabel tilstand som kan inkludere feber, udslæt, hepatitis, </w:t>
            </w:r>
            <w:proofErr w:type="spellStart"/>
            <w:r w:rsidRPr="00E66EEC">
              <w:rPr>
                <w:i/>
                <w:sz w:val="24"/>
                <w:szCs w:val="24"/>
                <w:lang w:eastAsia="da-DK"/>
              </w:rPr>
              <w:t>lymfadenopati</w:t>
            </w:r>
            <w:proofErr w:type="spellEnd"/>
            <w:r w:rsidRPr="00E66EEC">
              <w:rPr>
                <w:i/>
                <w:sz w:val="24"/>
                <w:szCs w:val="24"/>
                <w:lang w:eastAsia="da-DK"/>
              </w:rPr>
              <w:t xml:space="preserve">, </w:t>
            </w:r>
            <w:proofErr w:type="spellStart"/>
            <w:r w:rsidRPr="00E66EEC">
              <w:rPr>
                <w:i/>
                <w:sz w:val="24"/>
                <w:szCs w:val="24"/>
                <w:lang w:eastAsia="da-DK"/>
              </w:rPr>
              <w:t>eosinofili</w:t>
            </w:r>
            <w:proofErr w:type="spellEnd"/>
            <w:r w:rsidRPr="00E66EEC">
              <w:rPr>
                <w:i/>
                <w:sz w:val="24"/>
                <w:szCs w:val="24"/>
                <w:lang w:eastAsia="da-DK"/>
              </w:rPr>
              <w:t>, og nogle gange andre symptomer</w:t>
            </w:r>
            <w:r>
              <w:rPr>
                <w:i/>
                <w:sz w:val="24"/>
                <w:szCs w:val="24"/>
                <w:lang w:eastAsia="da-DK"/>
              </w:rPr>
              <w:t>), anafylaksi (se pkt. 4.4)</w:t>
            </w:r>
            <w:r w:rsidRPr="00E66EEC">
              <w:rPr>
                <w:i/>
                <w:sz w:val="24"/>
                <w:szCs w:val="24"/>
                <w:lang w:eastAsia="da-DK"/>
              </w:rPr>
              <w:t>.</w:t>
            </w:r>
          </w:p>
        </w:tc>
      </w:tr>
      <w:tr w:rsidR="0070746C" w:rsidRPr="00E66EEC" w:rsidTr="00CC223B">
        <w:tc>
          <w:tcPr>
            <w:tcW w:w="9179" w:type="dxa"/>
            <w:gridSpan w:val="2"/>
            <w:vAlign w:val="center"/>
          </w:tcPr>
          <w:p w:rsidR="0070746C" w:rsidRPr="00E66EEC" w:rsidRDefault="0070746C" w:rsidP="00CC223B">
            <w:pPr>
              <w:autoSpaceDE w:val="0"/>
              <w:autoSpaceDN w:val="0"/>
              <w:adjustRightInd w:val="0"/>
              <w:ind w:left="63"/>
              <w:rPr>
                <w:sz w:val="24"/>
                <w:szCs w:val="24"/>
                <w:lang w:eastAsia="da-DK"/>
              </w:rPr>
            </w:pPr>
            <w:r w:rsidRPr="00E66EEC">
              <w:rPr>
                <w:b/>
                <w:sz w:val="24"/>
                <w:szCs w:val="24"/>
                <w:lang w:eastAsia="da-DK"/>
              </w:rPr>
              <w:t>Metabolisme og ernæring</w:t>
            </w:r>
          </w:p>
        </w:tc>
      </w:tr>
      <w:tr w:rsidR="0070746C" w:rsidRPr="00E66EEC" w:rsidTr="00CC223B">
        <w:tc>
          <w:tcPr>
            <w:tcW w:w="1843" w:type="dxa"/>
            <w:vAlign w:val="center"/>
          </w:tcPr>
          <w:p w:rsidR="0070746C" w:rsidRPr="00E66EEC" w:rsidRDefault="0070746C" w:rsidP="00CC223B">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70746C" w:rsidRPr="00E66EEC" w:rsidRDefault="0070746C" w:rsidP="00CC223B">
            <w:pPr>
              <w:autoSpaceDE w:val="0"/>
              <w:autoSpaceDN w:val="0"/>
              <w:adjustRightInd w:val="0"/>
              <w:ind w:left="63"/>
              <w:rPr>
                <w:sz w:val="24"/>
                <w:szCs w:val="24"/>
                <w:lang w:eastAsia="da-DK"/>
              </w:rPr>
            </w:pPr>
            <w:r>
              <w:rPr>
                <w:sz w:val="24"/>
                <w:szCs w:val="24"/>
                <w:lang w:eastAsia="da-DK"/>
              </w:rPr>
              <w:t>A</w:t>
            </w:r>
            <w:r w:rsidRPr="00E66EEC">
              <w:rPr>
                <w:sz w:val="24"/>
                <w:szCs w:val="24"/>
                <w:lang w:eastAsia="da-DK"/>
              </w:rPr>
              <w:t>noreksi, øget appetit</w:t>
            </w:r>
          </w:p>
        </w:tc>
      </w:tr>
      <w:tr w:rsidR="0070746C" w:rsidRPr="00E66EEC" w:rsidTr="00CC223B">
        <w:tc>
          <w:tcPr>
            <w:tcW w:w="1843" w:type="dxa"/>
            <w:vAlign w:val="center"/>
          </w:tcPr>
          <w:p w:rsidR="0070746C" w:rsidRPr="00E66EEC" w:rsidRDefault="0070746C" w:rsidP="00CC223B">
            <w:pPr>
              <w:autoSpaceDE w:val="0"/>
              <w:autoSpaceDN w:val="0"/>
              <w:adjustRightInd w:val="0"/>
              <w:ind w:left="63"/>
              <w:rPr>
                <w:sz w:val="24"/>
                <w:szCs w:val="24"/>
                <w:lang w:eastAsia="da-DK"/>
              </w:rPr>
            </w:pPr>
            <w:r w:rsidRPr="00E66EEC">
              <w:rPr>
                <w:sz w:val="24"/>
                <w:szCs w:val="24"/>
                <w:lang w:eastAsia="da-DK"/>
              </w:rPr>
              <w:t>Ikke almindelig</w:t>
            </w:r>
          </w:p>
        </w:tc>
        <w:tc>
          <w:tcPr>
            <w:tcW w:w="7336" w:type="dxa"/>
            <w:vAlign w:val="center"/>
          </w:tcPr>
          <w:p w:rsidR="0070746C" w:rsidRPr="00E66EEC" w:rsidRDefault="0070746C" w:rsidP="00CC223B">
            <w:pPr>
              <w:autoSpaceDE w:val="0"/>
              <w:autoSpaceDN w:val="0"/>
              <w:adjustRightInd w:val="0"/>
              <w:ind w:left="63"/>
              <w:rPr>
                <w:sz w:val="24"/>
                <w:szCs w:val="24"/>
                <w:lang w:eastAsia="da-DK"/>
              </w:rPr>
            </w:pPr>
            <w:proofErr w:type="spellStart"/>
            <w:r>
              <w:rPr>
                <w:sz w:val="24"/>
                <w:szCs w:val="24"/>
                <w:lang w:eastAsia="da-DK"/>
              </w:rPr>
              <w:t>H</w:t>
            </w:r>
            <w:r w:rsidRPr="00E66EEC">
              <w:rPr>
                <w:sz w:val="24"/>
                <w:szCs w:val="24"/>
                <w:lang w:eastAsia="da-DK"/>
              </w:rPr>
              <w:t>yperglykæmi</w:t>
            </w:r>
            <w:proofErr w:type="spellEnd"/>
            <w:r w:rsidRPr="00E66EEC">
              <w:rPr>
                <w:sz w:val="24"/>
                <w:szCs w:val="24"/>
                <w:lang w:eastAsia="da-DK"/>
              </w:rPr>
              <w:t xml:space="preserve"> (oftest observeret hos patienter med diabetes)</w:t>
            </w:r>
          </w:p>
        </w:tc>
      </w:tr>
      <w:tr w:rsidR="0070746C" w:rsidRPr="00E66EEC" w:rsidTr="00CC223B">
        <w:tc>
          <w:tcPr>
            <w:tcW w:w="1843" w:type="dxa"/>
            <w:vAlign w:val="center"/>
          </w:tcPr>
          <w:p w:rsidR="0070746C" w:rsidRPr="00E66EEC" w:rsidRDefault="0070746C" w:rsidP="00CC223B">
            <w:pPr>
              <w:autoSpaceDE w:val="0"/>
              <w:autoSpaceDN w:val="0"/>
              <w:adjustRightInd w:val="0"/>
              <w:ind w:left="63"/>
              <w:rPr>
                <w:sz w:val="24"/>
                <w:szCs w:val="24"/>
                <w:lang w:eastAsia="da-DK"/>
              </w:rPr>
            </w:pPr>
            <w:r w:rsidRPr="00E66EEC">
              <w:rPr>
                <w:sz w:val="24"/>
                <w:szCs w:val="24"/>
                <w:lang w:eastAsia="da-DK"/>
              </w:rPr>
              <w:t>Sjælden</w:t>
            </w:r>
          </w:p>
        </w:tc>
        <w:tc>
          <w:tcPr>
            <w:tcW w:w="7336" w:type="dxa"/>
            <w:vAlign w:val="center"/>
          </w:tcPr>
          <w:p w:rsidR="0070746C" w:rsidRPr="00E66EEC" w:rsidRDefault="0070746C" w:rsidP="00CC223B">
            <w:pPr>
              <w:autoSpaceDE w:val="0"/>
              <w:autoSpaceDN w:val="0"/>
              <w:adjustRightInd w:val="0"/>
              <w:ind w:left="63"/>
              <w:rPr>
                <w:sz w:val="24"/>
                <w:szCs w:val="24"/>
                <w:lang w:eastAsia="da-DK"/>
              </w:rPr>
            </w:pPr>
            <w:r>
              <w:rPr>
                <w:sz w:val="24"/>
                <w:szCs w:val="24"/>
                <w:lang w:eastAsia="da-DK"/>
              </w:rPr>
              <w:t>H</w:t>
            </w:r>
            <w:r w:rsidRPr="00E66EEC">
              <w:rPr>
                <w:sz w:val="24"/>
                <w:szCs w:val="24"/>
                <w:lang w:eastAsia="da-DK"/>
              </w:rPr>
              <w:t>ypoglykæmi (oftest observeret hos patienter med diabetes)</w:t>
            </w:r>
          </w:p>
        </w:tc>
      </w:tr>
      <w:tr w:rsidR="0070746C" w:rsidRPr="00E66EEC" w:rsidTr="00CC223B">
        <w:tc>
          <w:tcPr>
            <w:tcW w:w="1843" w:type="dxa"/>
            <w:vAlign w:val="center"/>
          </w:tcPr>
          <w:p w:rsidR="0070746C" w:rsidRPr="00E66EEC" w:rsidRDefault="0070746C" w:rsidP="00CC223B">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70746C" w:rsidRPr="00E66EEC" w:rsidRDefault="0070746C" w:rsidP="00CC223B">
            <w:pPr>
              <w:autoSpaceDE w:val="0"/>
              <w:autoSpaceDN w:val="0"/>
              <w:adjustRightInd w:val="0"/>
              <w:ind w:left="63"/>
              <w:rPr>
                <w:sz w:val="24"/>
                <w:szCs w:val="24"/>
                <w:lang w:eastAsia="da-DK"/>
              </w:rPr>
            </w:pPr>
            <w:proofErr w:type="spellStart"/>
            <w:r>
              <w:rPr>
                <w:i/>
                <w:sz w:val="24"/>
                <w:szCs w:val="24"/>
                <w:lang w:eastAsia="da-DK"/>
              </w:rPr>
              <w:t>H</w:t>
            </w:r>
            <w:r w:rsidRPr="00E66EEC">
              <w:rPr>
                <w:i/>
                <w:sz w:val="24"/>
                <w:szCs w:val="24"/>
                <w:lang w:eastAsia="da-DK"/>
              </w:rPr>
              <w:t>yponatriæmi</w:t>
            </w:r>
            <w:proofErr w:type="spellEnd"/>
          </w:p>
        </w:tc>
      </w:tr>
      <w:tr w:rsidR="0070746C" w:rsidRPr="00E66EEC" w:rsidTr="00CC223B">
        <w:tc>
          <w:tcPr>
            <w:tcW w:w="9179" w:type="dxa"/>
            <w:gridSpan w:val="2"/>
            <w:vAlign w:val="center"/>
          </w:tcPr>
          <w:p w:rsidR="0070746C" w:rsidRPr="00E66EEC" w:rsidRDefault="0070746C" w:rsidP="00CC223B">
            <w:pPr>
              <w:autoSpaceDE w:val="0"/>
              <w:autoSpaceDN w:val="0"/>
              <w:adjustRightInd w:val="0"/>
              <w:ind w:left="63"/>
              <w:rPr>
                <w:sz w:val="24"/>
                <w:szCs w:val="24"/>
                <w:lang w:eastAsia="da-DK"/>
              </w:rPr>
            </w:pPr>
            <w:r w:rsidRPr="00E66EEC">
              <w:rPr>
                <w:b/>
                <w:sz w:val="24"/>
                <w:szCs w:val="24"/>
                <w:lang w:eastAsia="da-DK"/>
              </w:rPr>
              <w:t>Psykiske forstyrrelser</w:t>
            </w:r>
          </w:p>
        </w:tc>
      </w:tr>
      <w:tr w:rsidR="0070746C" w:rsidRPr="00E66EEC" w:rsidTr="00CC223B">
        <w:tc>
          <w:tcPr>
            <w:tcW w:w="1843" w:type="dxa"/>
            <w:vAlign w:val="center"/>
          </w:tcPr>
          <w:p w:rsidR="0070746C" w:rsidRPr="00E66EEC" w:rsidRDefault="0070746C" w:rsidP="00CC223B">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70746C" w:rsidRPr="00E66EEC" w:rsidRDefault="0070746C" w:rsidP="00CC223B">
            <w:pPr>
              <w:autoSpaceDE w:val="0"/>
              <w:autoSpaceDN w:val="0"/>
              <w:adjustRightInd w:val="0"/>
              <w:ind w:left="63"/>
              <w:rPr>
                <w:sz w:val="24"/>
                <w:szCs w:val="24"/>
                <w:lang w:eastAsia="da-DK"/>
              </w:rPr>
            </w:pPr>
            <w:r>
              <w:rPr>
                <w:sz w:val="24"/>
                <w:szCs w:val="24"/>
                <w:lang w:eastAsia="da-DK"/>
              </w:rPr>
              <w:t>F</w:t>
            </w:r>
            <w:r w:rsidRPr="00E66EEC">
              <w:rPr>
                <w:sz w:val="24"/>
                <w:szCs w:val="24"/>
                <w:lang w:eastAsia="da-DK"/>
              </w:rPr>
              <w:t>jendtlighed, konfusion og følelsesmæssig labilitet, depression, angst, nervøsitet, abnorm tankegang</w:t>
            </w:r>
          </w:p>
        </w:tc>
      </w:tr>
      <w:tr w:rsidR="0070746C" w:rsidRPr="00E66EEC" w:rsidTr="00CC223B">
        <w:tc>
          <w:tcPr>
            <w:tcW w:w="1843" w:type="dxa"/>
            <w:vAlign w:val="center"/>
          </w:tcPr>
          <w:p w:rsidR="0070746C" w:rsidRPr="00E66EEC" w:rsidRDefault="0070746C" w:rsidP="00CC223B">
            <w:pPr>
              <w:autoSpaceDE w:val="0"/>
              <w:autoSpaceDN w:val="0"/>
              <w:adjustRightInd w:val="0"/>
              <w:ind w:left="63"/>
              <w:rPr>
                <w:sz w:val="24"/>
                <w:szCs w:val="24"/>
                <w:lang w:eastAsia="da-DK"/>
              </w:rPr>
            </w:pPr>
            <w:r>
              <w:rPr>
                <w:sz w:val="24"/>
                <w:szCs w:val="24"/>
                <w:lang w:eastAsia="da-DK"/>
              </w:rPr>
              <w:t>Ikke almindelig</w:t>
            </w:r>
          </w:p>
        </w:tc>
        <w:tc>
          <w:tcPr>
            <w:tcW w:w="7336" w:type="dxa"/>
            <w:vAlign w:val="center"/>
          </w:tcPr>
          <w:p w:rsidR="0070746C" w:rsidRDefault="0070746C" w:rsidP="00CC223B">
            <w:pPr>
              <w:autoSpaceDE w:val="0"/>
              <w:autoSpaceDN w:val="0"/>
              <w:adjustRightInd w:val="0"/>
              <w:ind w:left="63"/>
              <w:rPr>
                <w:sz w:val="24"/>
                <w:szCs w:val="24"/>
                <w:lang w:eastAsia="da-DK"/>
              </w:rPr>
            </w:pPr>
            <w:r w:rsidRPr="00DA36A3">
              <w:rPr>
                <w:sz w:val="24"/>
                <w:szCs w:val="24"/>
                <w:lang w:eastAsia="da-DK"/>
              </w:rPr>
              <w:t>Agitation</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i/>
                <w:sz w:val="24"/>
                <w:szCs w:val="24"/>
                <w:lang w:eastAsia="da-DK"/>
              </w:rPr>
              <w:t>H</w:t>
            </w:r>
            <w:r w:rsidRPr="00E66EEC">
              <w:rPr>
                <w:i/>
                <w:sz w:val="24"/>
                <w:szCs w:val="24"/>
                <w:lang w:eastAsia="da-DK"/>
              </w:rPr>
              <w:t>allucinationer</w:t>
            </w:r>
            <w:r>
              <w:rPr>
                <w:i/>
                <w:sz w:val="24"/>
                <w:szCs w:val="24"/>
                <w:lang w:eastAsia="da-DK"/>
              </w:rPr>
              <w:t>, selvmordstanker,</w:t>
            </w:r>
            <w:r w:rsidRPr="001848E7">
              <w:rPr>
                <w:i/>
                <w:sz w:val="24"/>
                <w:szCs w:val="24"/>
                <w:lang w:eastAsia="da-DK"/>
              </w:rPr>
              <w:t xml:space="preserve"> Stofafhængighed</w:t>
            </w:r>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r w:rsidRPr="00E66EEC">
              <w:rPr>
                <w:b/>
                <w:sz w:val="24"/>
                <w:szCs w:val="24"/>
                <w:lang w:eastAsia="da-DK"/>
              </w:rPr>
              <w:t>Nervesystemet</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lastRenderedPageBreak/>
              <w:t>Meget 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proofErr w:type="spellStart"/>
            <w:r>
              <w:rPr>
                <w:sz w:val="24"/>
                <w:szCs w:val="24"/>
                <w:lang w:eastAsia="da-DK"/>
              </w:rPr>
              <w:t>S</w:t>
            </w:r>
            <w:r w:rsidRPr="00E66EEC">
              <w:rPr>
                <w:sz w:val="24"/>
                <w:szCs w:val="24"/>
                <w:lang w:eastAsia="da-DK"/>
              </w:rPr>
              <w:t>omnolens</w:t>
            </w:r>
            <w:proofErr w:type="spellEnd"/>
            <w:r w:rsidRPr="00E66EEC">
              <w:rPr>
                <w:sz w:val="24"/>
                <w:szCs w:val="24"/>
                <w:lang w:eastAsia="da-DK"/>
              </w:rPr>
              <w:t xml:space="preserve">, svimmelhed, </w:t>
            </w:r>
            <w:proofErr w:type="spellStart"/>
            <w:r w:rsidRPr="00E66EEC">
              <w:rPr>
                <w:sz w:val="24"/>
                <w:szCs w:val="24"/>
                <w:lang w:eastAsia="da-DK"/>
              </w:rPr>
              <w:t>ataksi</w:t>
            </w:r>
            <w:proofErr w:type="spellEnd"/>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K</w:t>
            </w:r>
            <w:r w:rsidRPr="00E66EEC">
              <w:rPr>
                <w:sz w:val="24"/>
                <w:szCs w:val="24"/>
                <w:lang w:eastAsia="da-DK"/>
              </w:rPr>
              <w:t xml:space="preserve">onvulsioner, </w:t>
            </w:r>
            <w:proofErr w:type="spellStart"/>
            <w:r w:rsidRPr="00E66EEC">
              <w:rPr>
                <w:sz w:val="24"/>
                <w:szCs w:val="24"/>
                <w:lang w:eastAsia="da-DK"/>
              </w:rPr>
              <w:t>hyperkinesi</w:t>
            </w:r>
            <w:proofErr w:type="spellEnd"/>
            <w:r w:rsidRPr="00E66EEC">
              <w:rPr>
                <w:sz w:val="24"/>
                <w:szCs w:val="24"/>
                <w:lang w:eastAsia="da-DK"/>
              </w:rPr>
              <w:t xml:space="preserve">, </w:t>
            </w:r>
            <w:proofErr w:type="spellStart"/>
            <w:r w:rsidRPr="00E66EEC">
              <w:rPr>
                <w:sz w:val="24"/>
                <w:szCs w:val="24"/>
                <w:lang w:eastAsia="da-DK"/>
              </w:rPr>
              <w:t>dysartri</w:t>
            </w:r>
            <w:proofErr w:type="spellEnd"/>
            <w:r w:rsidRPr="00E66EEC">
              <w:rPr>
                <w:sz w:val="24"/>
                <w:szCs w:val="24"/>
                <w:lang w:eastAsia="da-DK"/>
              </w:rPr>
              <w:t xml:space="preserve">, amnesi, </w:t>
            </w:r>
            <w:proofErr w:type="spellStart"/>
            <w:r w:rsidRPr="00E66EEC">
              <w:rPr>
                <w:sz w:val="24"/>
                <w:szCs w:val="24"/>
                <w:lang w:eastAsia="da-DK"/>
              </w:rPr>
              <w:t>tremor</w:t>
            </w:r>
            <w:proofErr w:type="spellEnd"/>
            <w:r w:rsidRPr="00E66EEC">
              <w:rPr>
                <w:sz w:val="24"/>
                <w:szCs w:val="24"/>
                <w:lang w:eastAsia="da-DK"/>
              </w:rPr>
              <w:t xml:space="preserve">, </w:t>
            </w:r>
            <w:proofErr w:type="spellStart"/>
            <w:r w:rsidRPr="00E66EEC">
              <w:rPr>
                <w:sz w:val="24"/>
                <w:szCs w:val="24"/>
                <w:lang w:eastAsia="da-DK"/>
              </w:rPr>
              <w:t>insomni</w:t>
            </w:r>
            <w:proofErr w:type="spellEnd"/>
            <w:r w:rsidRPr="00E66EEC">
              <w:rPr>
                <w:sz w:val="24"/>
                <w:szCs w:val="24"/>
                <w:lang w:eastAsia="da-DK"/>
              </w:rPr>
              <w:t xml:space="preserve">, hovedpine, føleforstyrrelser som f.eks. </w:t>
            </w:r>
            <w:proofErr w:type="spellStart"/>
            <w:r w:rsidRPr="00E66EEC">
              <w:rPr>
                <w:sz w:val="24"/>
                <w:szCs w:val="24"/>
                <w:lang w:eastAsia="da-DK"/>
              </w:rPr>
              <w:t>paræstesi</w:t>
            </w:r>
            <w:proofErr w:type="spellEnd"/>
            <w:r w:rsidRPr="00E66EEC">
              <w:rPr>
                <w:sz w:val="24"/>
                <w:szCs w:val="24"/>
                <w:lang w:eastAsia="da-DK"/>
              </w:rPr>
              <w:t xml:space="preserve">, </w:t>
            </w:r>
            <w:proofErr w:type="spellStart"/>
            <w:r w:rsidRPr="00E66EEC">
              <w:rPr>
                <w:sz w:val="24"/>
                <w:szCs w:val="24"/>
                <w:lang w:eastAsia="da-DK"/>
              </w:rPr>
              <w:t>hypæstesi</w:t>
            </w:r>
            <w:proofErr w:type="spellEnd"/>
            <w:r w:rsidRPr="00E66EEC">
              <w:rPr>
                <w:sz w:val="24"/>
                <w:szCs w:val="24"/>
                <w:lang w:eastAsia="da-DK"/>
              </w:rPr>
              <w:t>, koordinationsforstyrrelser, nystagmus, forstærkede, nedsatte eller fraværende reflekser.</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proofErr w:type="spellStart"/>
            <w:r>
              <w:rPr>
                <w:sz w:val="24"/>
                <w:szCs w:val="24"/>
                <w:lang w:eastAsia="da-DK"/>
              </w:rPr>
              <w:t>H</w:t>
            </w:r>
            <w:r w:rsidRPr="00E66EEC">
              <w:rPr>
                <w:sz w:val="24"/>
                <w:szCs w:val="24"/>
                <w:lang w:eastAsia="da-DK"/>
              </w:rPr>
              <w:t>ypokinesi</w:t>
            </w:r>
            <w:proofErr w:type="spellEnd"/>
            <w:r w:rsidRPr="00E66EEC">
              <w:rPr>
                <w:sz w:val="24"/>
                <w:szCs w:val="24"/>
                <w:lang w:eastAsia="da-DK"/>
              </w:rPr>
              <w:t>, mental svækkelse</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Sjælden</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B</w:t>
            </w:r>
            <w:r w:rsidRPr="00E66EEC">
              <w:rPr>
                <w:sz w:val="24"/>
                <w:szCs w:val="24"/>
                <w:lang w:eastAsia="da-DK"/>
              </w:rPr>
              <w:t>evidsthedstab</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4D62EE" w:rsidRPr="00E66EEC" w:rsidRDefault="004D62EE" w:rsidP="004D62EE">
            <w:pPr>
              <w:autoSpaceDE w:val="0"/>
              <w:autoSpaceDN w:val="0"/>
              <w:adjustRightInd w:val="0"/>
              <w:ind w:left="63"/>
              <w:rPr>
                <w:i/>
                <w:iCs/>
                <w:sz w:val="24"/>
                <w:szCs w:val="24"/>
                <w:lang w:eastAsia="da-DK"/>
              </w:rPr>
            </w:pPr>
            <w:r>
              <w:rPr>
                <w:i/>
                <w:sz w:val="24"/>
                <w:szCs w:val="24"/>
                <w:lang w:eastAsia="da-DK"/>
              </w:rPr>
              <w:t>A</w:t>
            </w:r>
            <w:r w:rsidRPr="00E66EEC">
              <w:rPr>
                <w:i/>
                <w:sz w:val="24"/>
                <w:szCs w:val="24"/>
                <w:lang w:eastAsia="da-DK"/>
              </w:rPr>
              <w:t>ndre bevægelsesforstyrrelser (f.eks</w:t>
            </w:r>
            <w:r>
              <w:rPr>
                <w:i/>
                <w:sz w:val="24"/>
                <w:szCs w:val="24"/>
                <w:lang w:eastAsia="da-DK"/>
              </w:rPr>
              <w:t>.</w:t>
            </w:r>
            <w:r w:rsidRPr="00E66EEC">
              <w:rPr>
                <w:i/>
                <w:sz w:val="24"/>
                <w:szCs w:val="24"/>
                <w:lang w:eastAsia="da-DK"/>
              </w:rPr>
              <w:t xml:space="preserve"> </w:t>
            </w:r>
            <w:proofErr w:type="spellStart"/>
            <w:r w:rsidRPr="00E66EEC">
              <w:rPr>
                <w:i/>
                <w:sz w:val="24"/>
                <w:szCs w:val="24"/>
                <w:lang w:eastAsia="da-DK"/>
              </w:rPr>
              <w:t>choreoathetosis</w:t>
            </w:r>
            <w:proofErr w:type="spellEnd"/>
            <w:r w:rsidRPr="00E66EEC">
              <w:rPr>
                <w:i/>
                <w:sz w:val="24"/>
                <w:szCs w:val="24"/>
                <w:lang w:eastAsia="da-DK"/>
              </w:rPr>
              <w:t xml:space="preserve">, </w:t>
            </w:r>
            <w:proofErr w:type="spellStart"/>
            <w:r w:rsidRPr="00E66EEC">
              <w:rPr>
                <w:i/>
                <w:sz w:val="24"/>
                <w:szCs w:val="24"/>
                <w:lang w:eastAsia="da-DK"/>
              </w:rPr>
              <w:t>dyskinesi</w:t>
            </w:r>
            <w:proofErr w:type="spellEnd"/>
            <w:r w:rsidRPr="00E66EEC">
              <w:rPr>
                <w:i/>
                <w:sz w:val="24"/>
                <w:szCs w:val="24"/>
                <w:lang w:eastAsia="da-DK"/>
              </w:rPr>
              <w:t xml:space="preserve">, </w:t>
            </w:r>
            <w:proofErr w:type="spellStart"/>
            <w:r w:rsidRPr="00E66EEC">
              <w:rPr>
                <w:i/>
                <w:sz w:val="24"/>
                <w:szCs w:val="24"/>
                <w:lang w:eastAsia="da-DK"/>
              </w:rPr>
              <w:t>dystoni</w:t>
            </w:r>
            <w:proofErr w:type="spellEnd"/>
            <w:r w:rsidRPr="00E66EEC">
              <w:rPr>
                <w:i/>
                <w:sz w:val="24"/>
                <w:szCs w:val="24"/>
                <w:lang w:eastAsia="da-DK"/>
              </w:rPr>
              <w:t>)</w:t>
            </w:r>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r w:rsidRPr="00E66EEC">
              <w:rPr>
                <w:b/>
                <w:sz w:val="24"/>
                <w:szCs w:val="24"/>
                <w:lang w:eastAsia="da-DK"/>
              </w:rPr>
              <w:t>Øjne</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S</w:t>
            </w:r>
            <w:r w:rsidRPr="00E66EEC">
              <w:rPr>
                <w:sz w:val="24"/>
                <w:szCs w:val="24"/>
                <w:lang w:eastAsia="da-DK"/>
              </w:rPr>
              <w:t xml:space="preserve">ynsforstyrrelser såsom </w:t>
            </w:r>
            <w:proofErr w:type="spellStart"/>
            <w:r w:rsidRPr="00E66EEC">
              <w:rPr>
                <w:sz w:val="24"/>
                <w:szCs w:val="24"/>
                <w:lang w:eastAsia="da-DK"/>
              </w:rPr>
              <w:t>amblyopi</w:t>
            </w:r>
            <w:proofErr w:type="spellEnd"/>
            <w:r w:rsidRPr="00E66EEC">
              <w:rPr>
                <w:sz w:val="24"/>
                <w:szCs w:val="24"/>
                <w:lang w:eastAsia="da-DK"/>
              </w:rPr>
              <w:t xml:space="preserve">, </w:t>
            </w:r>
            <w:proofErr w:type="spellStart"/>
            <w:r w:rsidRPr="00E66EEC">
              <w:rPr>
                <w:sz w:val="24"/>
                <w:szCs w:val="24"/>
                <w:lang w:eastAsia="da-DK"/>
              </w:rPr>
              <w:t>diplopi</w:t>
            </w:r>
            <w:proofErr w:type="spellEnd"/>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r w:rsidRPr="00E66EEC">
              <w:rPr>
                <w:b/>
                <w:sz w:val="24"/>
                <w:szCs w:val="24"/>
                <w:lang w:eastAsia="da-DK"/>
              </w:rPr>
              <w:t>Øre og labyrint</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proofErr w:type="spellStart"/>
            <w:r>
              <w:rPr>
                <w:sz w:val="24"/>
                <w:szCs w:val="24"/>
                <w:lang w:eastAsia="da-DK"/>
              </w:rPr>
              <w:t>V</w:t>
            </w:r>
            <w:r w:rsidRPr="00E66EEC">
              <w:rPr>
                <w:sz w:val="24"/>
                <w:szCs w:val="24"/>
                <w:lang w:eastAsia="da-DK"/>
              </w:rPr>
              <w:t>ertigo</w:t>
            </w:r>
            <w:proofErr w:type="spellEnd"/>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i/>
                <w:sz w:val="24"/>
                <w:szCs w:val="24"/>
                <w:lang w:eastAsia="da-DK"/>
              </w:rPr>
              <w:t>T</w:t>
            </w:r>
            <w:r w:rsidRPr="00E66EEC">
              <w:rPr>
                <w:i/>
                <w:sz w:val="24"/>
                <w:szCs w:val="24"/>
                <w:lang w:eastAsia="da-DK"/>
              </w:rPr>
              <w:t>innitus</w:t>
            </w:r>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r w:rsidRPr="00E66EEC">
              <w:rPr>
                <w:b/>
                <w:sz w:val="24"/>
                <w:szCs w:val="24"/>
                <w:lang w:eastAsia="da-DK"/>
              </w:rPr>
              <w:t>Hjerte</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proofErr w:type="spellStart"/>
            <w:r>
              <w:rPr>
                <w:sz w:val="24"/>
                <w:szCs w:val="24"/>
                <w:lang w:eastAsia="da-DK"/>
              </w:rPr>
              <w:t>P</w:t>
            </w:r>
            <w:r w:rsidRPr="00E66EEC">
              <w:rPr>
                <w:sz w:val="24"/>
                <w:szCs w:val="24"/>
                <w:lang w:eastAsia="da-DK"/>
              </w:rPr>
              <w:t>alpitationer</w:t>
            </w:r>
            <w:proofErr w:type="spellEnd"/>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proofErr w:type="spellStart"/>
            <w:r w:rsidRPr="00E66EEC">
              <w:rPr>
                <w:b/>
                <w:sz w:val="24"/>
                <w:szCs w:val="24"/>
                <w:lang w:eastAsia="da-DK"/>
              </w:rPr>
              <w:t>Vaskulære</w:t>
            </w:r>
            <w:proofErr w:type="spellEnd"/>
            <w:r w:rsidRPr="00E66EEC">
              <w:rPr>
                <w:b/>
                <w:sz w:val="24"/>
                <w:szCs w:val="24"/>
                <w:lang w:eastAsia="da-DK"/>
              </w:rPr>
              <w:t xml:space="preserve"> sygdomme</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H</w:t>
            </w:r>
            <w:r w:rsidRPr="00E66EEC">
              <w:rPr>
                <w:sz w:val="24"/>
                <w:szCs w:val="24"/>
                <w:lang w:eastAsia="da-DK"/>
              </w:rPr>
              <w:t>ypertension, vasodilatation</w:t>
            </w:r>
          </w:p>
        </w:tc>
      </w:tr>
      <w:tr w:rsidR="004D62EE" w:rsidRPr="00E66EEC" w:rsidTr="00CC223B">
        <w:tc>
          <w:tcPr>
            <w:tcW w:w="9179" w:type="dxa"/>
            <w:gridSpan w:val="2"/>
            <w:vAlign w:val="center"/>
          </w:tcPr>
          <w:p w:rsidR="004D62EE" w:rsidRPr="00E66EEC" w:rsidRDefault="004D62EE" w:rsidP="004D62EE">
            <w:pPr>
              <w:keepNext/>
              <w:autoSpaceDE w:val="0"/>
              <w:autoSpaceDN w:val="0"/>
              <w:adjustRightInd w:val="0"/>
              <w:ind w:left="62"/>
              <w:rPr>
                <w:sz w:val="24"/>
                <w:szCs w:val="24"/>
                <w:lang w:eastAsia="da-DK"/>
              </w:rPr>
            </w:pPr>
            <w:r w:rsidRPr="00E66EEC">
              <w:rPr>
                <w:b/>
                <w:sz w:val="24"/>
                <w:szCs w:val="24"/>
                <w:lang w:eastAsia="da-DK"/>
              </w:rPr>
              <w:t xml:space="preserve">Luftveje, thorax og </w:t>
            </w:r>
            <w:proofErr w:type="spellStart"/>
            <w:r w:rsidRPr="00E66EEC">
              <w:rPr>
                <w:b/>
                <w:sz w:val="24"/>
                <w:szCs w:val="24"/>
                <w:lang w:eastAsia="da-DK"/>
              </w:rPr>
              <w:t>mediastinum</w:t>
            </w:r>
            <w:proofErr w:type="spellEnd"/>
          </w:p>
        </w:tc>
      </w:tr>
      <w:tr w:rsidR="004D62EE" w:rsidRPr="00E66EEC" w:rsidTr="00CC223B">
        <w:tc>
          <w:tcPr>
            <w:tcW w:w="1843" w:type="dxa"/>
            <w:vAlign w:val="center"/>
          </w:tcPr>
          <w:p w:rsidR="004D62EE" w:rsidRPr="00E66EEC" w:rsidRDefault="004D62EE" w:rsidP="004D62EE">
            <w:pPr>
              <w:keepNext/>
              <w:autoSpaceDE w:val="0"/>
              <w:autoSpaceDN w:val="0"/>
              <w:adjustRightInd w:val="0"/>
              <w:ind w:left="62"/>
              <w:rPr>
                <w:sz w:val="24"/>
                <w:szCs w:val="24"/>
                <w:lang w:eastAsia="da-DK"/>
              </w:rPr>
            </w:pPr>
            <w:r w:rsidRPr="00E66EEC">
              <w:rPr>
                <w:sz w:val="24"/>
                <w:szCs w:val="24"/>
                <w:lang w:eastAsia="da-DK"/>
              </w:rPr>
              <w:t>Almindelig</w:t>
            </w:r>
          </w:p>
        </w:tc>
        <w:tc>
          <w:tcPr>
            <w:tcW w:w="7336" w:type="dxa"/>
            <w:vAlign w:val="center"/>
          </w:tcPr>
          <w:p w:rsidR="004D62EE" w:rsidRPr="00E66EEC" w:rsidRDefault="004D62EE" w:rsidP="004D62EE">
            <w:pPr>
              <w:keepNext/>
              <w:autoSpaceDE w:val="0"/>
              <w:autoSpaceDN w:val="0"/>
              <w:adjustRightInd w:val="0"/>
              <w:ind w:left="62"/>
              <w:rPr>
                <w:sz w:val="24"/>
                <w:szCs w:val="24"/>
                <w:lang w:eastAsia="da-DK"/>
              </w:rPr>
            </w:pPr>
            <w:r>
              <w:rPr>
                <w:sz w:val="24"/>
                <w:szCs w:val="24"/>
                <w:lang w:eastAsia="da-DK"/>
              </w:rPr>
              <w:t>D</w:t>
            </w:r>
            <w:r w:rsidRPr="00E66EEC">
              <w:rPr>
                <w:sz w:val="24"/>
                <w:szCs w:val="24"/>
                <w:lang w:eastAsia="da-DK"/>
              </w:rPr>
              <w:t xml:space="preserve">yspnø, bronkitis, </w:t>
            </w:r>
            <w:proofErr w:type="spellStart"/>
            <w:r w:rsidRPr="00E66EEC">
              <w:rPr>
                <w:sz w:val="24"/>
                <w:szCs w:val="24"/>
                <w:lang w:eastAsia="da-DK"/>
              </w:rPr>
              <w:t>faryngit</w:t>
            </w:r>
            <w:proofErr w:type="spellEnd"/>
            <w:r w:rsidRPr="00E66EEC">
              <w:rPr>
                <w:sz w:val="24"/>
                <w:szCs w:val="24"/>
                <w:lang w:eastAsia="da-DK"/>
              </w:rPr>
              <w:t xml:space="preserve">, hoste, </w:t>
            </w:r>
            <w:proofErr w:type="spellStart"/>
            <w:r w:rsidRPr="00E66EEC">
              <w:rPr>
                <w:sz w:val="24"/>
                <w:szCs w:val="24"/>
                <w:lang w:eastAsia="da-DK"/>
              </w:rPr>
              <w:t>rinit</w:t>
            </w:r>
            <w:proofErr w:type="spellEnd"/>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Sjælden</w:t>
            </w:r>
          </w:p>
        </w:tc>
        <w:tc>
          <w:tcPr>
            <w:tcW w:w="7336" w:type="dxa"/>
            <w:vAlign w:val="center"/>
          </w:tcPr>
          <w:p w:rsidR="004D62EE" w:rsidRDefault="004D62EE" w:rsidP="004D62EE">
            <w:pPr>
              <w:autoSpaceDE w:val="0"/>
              <w:autoSpaceDN w:val="0"/>
              <w:adjustRightInd w:val="0"/>
              <w:ind w:left="63"/>
              <w:rPr>
                <w:sz w:val="24"/>
                <w:szCs w:val="24"/>
                <w:lang w:eastAsia="da-DK"/>
              </w:rPr>
            </w:pPr>
            <w:r>
              <w:rPr>
                <w:sz w:val="24"/>
                <w:szCs w:val="24"/>
                <w:lang w:eastAsia="da-DK"/>
              </w:rPr>
              <w:t>Respirationsdepression</w:t>
            </w:r>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proofErr w:type="spellStart"/>
            <w:r w:rsidRPr="00E66EEC">
              <w:rPr>
                <w:b/>
                <w:sz w:val="24"/>
                <w:szCs w:val="24"/>
                <w:lang w:eastAsia="da-DK"/>
              </w:rPr>
              <w:t>Mave-tarmkanalen</w:t>
            </w:r>
            <w:proofErr w:type="spellEnd"/>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O</w:t>
            </w:r>
            <w:r w:rsidRPr="00E66EEC">
              <w:rPr>
                <w:sz w:val="24"/>
                <w:szCs w:val="24"/>
                <w:lang w:eastAsia="da-DK"/>
              </w:rPr>
              <w:t xml:space="preserve">pkastning, kvalme, tandmisdannelser, </w:t>
            </w:r>
            <w:proofErr w:type="spellStart"/>
            <w:r w:rsidRPr="00E66EEC">
              <w:rPr>
                <w:sz w:val="24"/>
                <w:szCs w:val="24"/>
                <w:lang w:eastAsia="da-DK"/>
              </w:rPr>
              <w:t>gingivit</w:t>
            </w:r>
            <w:proofErr w:type="spellEnd"/>
            <w:r w:rsidRPr="00E66EEC">
              <w:rPr>
                <w:sz w:val="24"/>
                <w:szCs w:val="24"/>
                <w:lang w:eastAsia="da-DK"/>
              </w:rPr>
              <w:t xml:space="preserve">, diarré, </w:t>
            </w:r>
            <w:proofErr w:type="spellStart"/>
            <w:r w:rsidRPr="00E66EEC">
              <w:rPr>
                <w:sz w:val="24"/>
                <w:szCs w:val="24"/>
                <w:lang w:eastAsia="da-DK"/>
              </w:rPr>
              <w:t>abdominalsmerter</w:t>
            </w:r>
            <w:proofErr w:type="spellEnd"/>
            <w:r w:rsidRPr="00E66EEC">
              <w:rPr>
                <w:sz w:val="24"/>
                <w:szCs w:val="24"/>
                <w:lang w:eastAsia="da-DK"/>
              </w:rPr>
              <w:t xml:space="preserve">, dyspepsi, obstipation, tørhed i mund eller hals, </w:t>
            </w:r>
            <w:proofErr w:type="spellStart"/>
            <w:r w:rsidRPr="00E66EEC">
              <w:rPr>
                <w:sz w:val="24"/>
                <w:szCs w:val="24"/>
                <w:lang w:eastAsia="da-DK"/>
              </w:rPr>
              <w:t>flatulens</w:t>
            </w:r>
            <w:proofErr w:type="spellEnd"/>
            <w:r w:rsidRPr="00E66EEC">
              <w:rPr>
                <w:sz w:val="24"/>
                <w:szCs w:val="24"/>
                <w:lang w:eastAsia="da-DK"/>
              </w:rPr>
              <w:t>.</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almindelig</w:t>
            </w:r>
          </w:p>
        </w:tc>
        <w:tc>
          <w:tcPr>
            <w:tcW w:w="7336" w:type="dxa"/>
            <w:vAlign w:val="center"/>
          </w:tcPr>
          <w:p w:rsidR="004D62EE" w:rsidRDefault="004D62EE" w:rsidP="004D62EE">
            <w:pPr>
              <w:autoSpaceDE w:val="0"/>
              <w:autoSpaceDN w:val="0"/>
              <w:adjustRightInd w:val="0"/>
              <w:ind w:left="63"/>
              <w:rPr>
                <w:sz w:val="24"/>
                <w:szCs w:val="24"/>
                <w:lang w:eastAsia="da-DK"/>
              </w:rPr>
            </w:pPr>
            <w:proofErr w:type="spellStart"/>
            <w:r>
              <w:rPr>
                <w:sz w:val="24"/>
                <w:szCs w:val="24"/>
                <w:lang w:eastAsia="da-DK"/>
              </w:rPr>
              <w:t>Dysfagi</w:t>
            </w:r>
            <w:proofErr w:type="spellEnd"/>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4D62EE" w:rsidRPr="00E66EEC" w:rsidRDefault="004D62EE" w:rsidP="004D62EE">
            <w:pPr>
              <w:autoSpaceDE w:val="0"/>
              <w:autoSpaceDN w:val="0"/>
              <w:adjustRightInd w:val="0"/>
              <w:ind w:left="63"/>
              <w:rPr>
                <w:sz w:val="24"/>
                <w:szCs w:val="24"/>
                <w:lang w:eastAsia="da-DK"/>
              </w:rPr>
            </w:pPr>
            <w:proofErr w:type="spellStart"/>
            <w:r>
              <w:rPr>
                <w:i/>
                <w:sz w:val="24"/>
                <w:szCs w:val="24"/>
                <w:lang w:eastAsia="da-DK"/>
              </w:rPr>
              <w:t>P</w:t>
            </w:r>
            <w:r w:rsidRPr="00E66EEC">
              <w:rPr>
                <w:i/>
                <w:sz w:val="24"/>
                <w:szCs w:val="24"/>
                <w:lang w:eastAsia="da-DK"/>
              </w:rPr>
              <w:t>ankreatit</w:t>
            </w:r>
            <w:proofErr w:type="spellEnd"/>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r w:rsidRPr="00E66EEC">
              <w:rPr>
                <w:b/>
                <w:sz w:val="24"/>
                <w:szCs w:val="24"/>
                <w:lang w:eastAsia="da-DK"/>
              </w:rPr>
              <w:t>Lever og galdeveje</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i/>
                <w:sz w:val="24"/>
                <w:szCs w:val="24"/>
                <w:lang w:eastAsia="da-DK"/>
              </w:rPr>
              <w:t>H</w:t>
            </w:r>
            <w:r w:rsidRPr="00E66EEC">
              <w:rPr>
                <w:i/>
                <w:sz w:val="24"/>
                <w:szCs w:val="24"/>
                <w:lang w:eastAsia="da-DK"/>
              </w:rPr>
              <w:t>epatitis, gulsot</w:t>
            </w:r>
          </w:p>
        </w:tc>
      </w:tr>
      <w:tr w:rsidR="004D62EE" w:rsidRPr="00E66EEC" w:rsidTr="00CC223B">
        <w:tc>
          <w:tcPr>
            <w:tcW w:w="9179" w:type="dxa"/>
            <w:gridSpan w:val="2"/>
            <w:vAlign w:val="center"/>
          </w:tcPr>
          <w:p w:rsidR="004D62EE" w:rsidRPr="00E66EEC" w:rsidRDefault="004D62EE" w:rsidP="004D62EE">
            <w:pPr>
              <w:keepNext/>
              <w:autoSpaceDE w:val="0"/>
              <w:autoSpaceDN w:val="0"/>
              <w:adjustRightInd w:val="0"/>
              <w:ind w:left="62"/>
              <w:rPr>
                <w:sz w:val="24"/>
                <w:szCs w:val="24"/>
                <w:lang w:eastAsia="da-DK"/>
              </w:rPr>
            </w:pPr>
            <w:r w:rsidRPr="00E66EEC">
              <w:rPr>
                <w:b/>
                <w:sz w:val="24"/>
                <w:szCs w:val="24"/>
                <w:lang w:eastAsia="da-DK"/>
              </w:rPr>
              <w:t>Hud og subkutane væv</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A</w:t>
            </w:r>
            <w:r w:rsidRPr="00E66EEC">
              <w:rPr>
                <w:sz w:val="24"/>
                <w:szCs w:val="24"/>
                <w:lang w:eastAsia="da-DK"/>
              </w:rPr>
              <w:t xml:space="preserve">nsigtsødem, </w:t>
            </w:r>
            <w:proofErr w:type="spellStart"/>
            <w:r w:rsidRPr="00E66EEC">
              <w:rPr>
                <w:sz w:val="24"/>
                <w:szCs w:val="24"/>
                <w:lang w:eastAsia="da-DK"/>
              </w:rPr>
              <w:t>purpura</w:t>
            </w:r>
            <w:proofErr w:type="spellEnd"/>
            <w:r w:rsidRPr="00E66EEC">
              <w:rPr>
                <w:sz w:val="24"/>
                <w:szCs w:val="24"/>
                <w:lang w:eastAsia="da-DK"/>
              </w:rPr>
              <w:t xml:space="preserve"> oftest beskrevet som blå mærker som følge af fysiske traumer, udslæt, kløe, akne</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4D62EE" w:rsidRPr="00E66EEC" w:rsidRDefault="004D62EE" w:rsidP="004D62EE">
            <w:pPr>
              <w:autoSpaceDE w:val="0"/>
              <w:autoSpaceDN w:val="0"/>
              <w:adjustRightInd w:val="0"/>
              <w:ind w:left="63"/>
              <w:rPr>
                <w:i/>
                <w:iCs/>
                <w:sz w:val="24"/>
                <w:szCs w:val="24"/>
                <w:lang w:eastAsia="da-DK"/>
              </w:rPr>
            </w:pPr>
            <w:r w:rsidRPr="00E66EEC">
              <w:rPr>
                <w:i/>
                <w:sz w:val="24"/>
                <w:szCs w:val="24"/>
                <w:lang w:eastAsia="da-DK"/>
              </w:rPr>
              <w:t>Stevens-</w:t>
            </w:r>
            <w:proofErr w:type="spellStart"/>
            <w:r w:rsidRPr="00E66EEC">
              <w:rPr>
                <w:i/>
                <w:sz w:val="24"/>
                <w:szCs w:val="24"/>
                <w:lang w:eastAsia="da-DK"/>
              </w:rPr>
              <w:t>Johnson's</w:t>
            </w:r>
            <w:proofErr w:type="spellEnd"/>
            <w:r w:rsidRPr="00E66EEC">
              <w:rPr>
                <w:i/>
                <w:sz w:val="24"/>
                <w:szCs w:val="24"/>
                <w:lang w:eastAsia="da-DK"/>
              </w:rPr>
              <w:t xml:space="preserve"> syndrom, </w:t>
            </w:r>
            <w:r>
              <w:rPr>
                <w:i/>
                <w:sz w:val="24"/>
                <w:szCs w:val="24"/>
                <w:lang w:eastAsia="da-DK"/>
              </w:rPr>
              <w:t xml:space="preserve">toksisk </w:t>
            </w:r>
            <w:proofErr w:type="spellStart"/>
            <w:r>
              <w:rPr>
                <w:i/>
                <w:sz w:val="24"/>
                <w:szCs w:val="24"/>
                <w:lang w:eastAsia="da-DK"/>
              </w:rPr>
              <w:t>epidermal</w:t>
            </w:r>
            <w:proofErr w:type="spellEnd"/>
            <w:r>
              <w:rPr>
                <w:i/>
                <w:sz w:val="24"/>
                <w:szCs w:val="24"/>
                <w:lang w:eastAsia="da-DK"/>
              </w:rPr>
              <w:t xml:space="preserve"> </w:t>
            </w:r>
            <w:proofErr w:type="spellStart"/>
            <w:r>
              <w:rPr>
                <w:i/>
                <w:sz w:val="24"/>
                <w:szCs w:val="24"/>
                <w:lang w:eastAsia="da-DK"/>
              </w:rPr>
              <w:t>nekrolyse</w:t>
            </w:r>
            <w:proofErr w:type="spellEnd"/>
            <w:r>
              <w:rPr>
                <w:i/>
                <w:sz w:val="24"/>
                <w:szCs w:val="24"/>
                <w:lang w:eastAsia="da-DK"/>
              </w:rPr>
              <w:t xml:space="preserve">, </w:t>
            </w:r>
            <w:proofErr w:type="spellStart"/>
            <w:r w:rsidRPr="00E66EEC">
              <w:rPr>
                <w:i/>
                <w:sz w:val="24"/>
                <w:szCs w:val="24"/>
                <w:lang w:eastAsia="da-DK"/>
              </w:rPr>
              <w:t>angioødem</w:t>
            </w:r>
            <w:proofErr w:type="spellEnd"/>
            <w:r w:rsidRPr="00E66EEC">
              <w:rPr>
                <w:i/>
                <w:sz w:val="24"/>
                <w:szCs w:val="24"/>
                <w:lang w:eastAsia="da-DK"/>
              </w:rPr>
              <w:t xml:space="preserve">, </w:t>
            </w:r>
            <w:proofErr w:type="spellStart"/>
            <w:r w:rsidRPr="00E66EEC">
              <w:rPr>
                <w:i/>
                <w:sz w:val="24"/>
                <w:szCs w:val="24"/>
                <w:lang w:eastAsia="da-DK"/>
              </w:rPr>
              <w:t>erythema</w:t>
            </w:r>
            <w:proofErr w:type="spellEnd"/>
            <w:r w:rsidRPr="00E66EEC">
              <w:rPr>
                <w:i/>
                <w:sz w:val="24"/>
                <w:szCs w:val="24"/>
                <w:lang w:eastAsia="da-DK"/>
              </w:rPr>
              <w:t xml:space="preserve"> multiforme, </w:t>
            </w:r>
            <w:proofErr w:type="spellStart"/>
            <w:r w:rsidRPr="00E66EEC">
              <w:rPr>
                <w:i/>
                <w:sz w:val="24"/>
                <w:szCs w:val="24"/>
                <w:lang w:eastAsia="da-DK"/>
              </w:rPr>
              <w:t>alopeci</w:t>
            </w:r>
            <w:proofErr w:type="spellEnd"/>
            <w:r w:rsidRPr="00E66EEC">
              <w:rPr>
                <w:i/>
                <w:sz w:val="24"/>
                <w:szCs w:val="24"/>
                <w:lang w:eastAsia="da-DK"/>
              </w:rPr>
              <w:t xml:space="preserve">, lægemiddelfremkaldt udslæt med </w:t>
            </w:r>
            <w:proofErr w:type="spellStart"/>
            <w:r w:rsidRPr="00E66EEC">
              <w:rPr>
                <w:i/>
                <w:sz w:val="24"/>
                <w:szCs w:val="24"/>
                <w:lang w:eastAsia="da-DK"/>
              </w:rPr>
              <w:t>eosinofili</w:t>
            </w:r>
            <w:proofErr w:type="spellEnd"/>
            <w:r w:rsidRPr="00E66EEC">
              <w:rPr>
                <w:i/>
                <w:sz w:val="24"/>
                <w:szCs w:val="24"/>
                <w:lang w:eastAsia="da-DK"/>
              </w:rPr>
              <w:t xml:space="preserve"> og systemiske symptomer (se pkt. 4.4).</w:t>
            </w:r>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r w:rsidRPr="00E66EEC">
              <w:rPr>
                <w:b/>
                <w:sz w:val="24"/>
                <w:szCs w:val="24"/>
                <w:lang w:eastAsia="da-DK"/>
              </w:rPr>
              <w:t>Knogler, led, muskler og bindevæv</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proofErr w:type="spellStart"/>
            <w:r>
              <w:rPr>
                <w:sz w:val="24"/>
                <w:szCs w:val="24"/>
                <w:lang w:eastAsia="da-DK"/>
              </w:rPr>
              <w:t>A</w:t>
            </w:r>
            <w:r w:rsidRPr="00E66EEC">
              <w:rPr>
                <w:sz w:val="24"/>
                <w:szCs w:val="24"/>
                <w:lang w:eastAsia="da-DK"/>
              </w:rPr>
              <w:t>rtralgi</w:t>
            </w:r>
            <w:proofErr w:type="spellEnd"/>
            <w:r w:rsidRPr="00E66EEC">
              <w:rPr>
                <w:sz w:val="24"/>
                <w:szCs w:val="24"/>
                <w:lang w:eastAsia="da-DK"/>
              </w:rPr>
              <w:t>, myalgi, rygsmerter, muskeltrækninger</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4D62EE" w:rsidRPr="00E66EEC" w:rsidRDefault="004D62EE" w:rsidP="004D62EE">
            <w:pPr>
              <w:autoSpaceDE w:val="0"/>
              <w:autoSpaceDN w:val="0"/>
              <w:adjustRightInd w:val="0"/>
              <w:ind w:left="63"/>
              <w:rPr>
                <w:sz w:val="24"/>
                <w:szCs w:val="24"/>
                <w:lang w:eastAsia="da-DK"/>
              </w:rPr>
            </w:pPr>
            <w:proofErr w:type="spellStart"/>
            <w:r>
              <w:rPr>
                <w:i/>
                <w:sz w:val="24"/>
                <w:szCs w:val="24"/>
                <w:lang w:eastAsia="da-DK"/>
              </w:rPr>
              <w:t>R</w:t>
            </w:r>
            <w:r w:rsidRPr="00E66EEC">
              <w:rPr>
                <w:i/>
                <w:sz w:val="24"/>
                <w:szCs w:val="24"/>
                <w:lang w:eastAsia="da-DK"/>
              </w:rPr>
              <w:t>habdomyolyse</w:t>
            </w:r>
            <w:proofErr w:type="spellEnd"/>
            <w:r w:rsidRPr="00E66EEC">
              <w:rPr>
                <w:i/>
                <w:sz w:val="24"/>
                <w:szCs w:val="24"/>
                <w:lang w:eastAsia="da-DK"/>
              </w:rPr>
              <w:t xml:space="preserve">, </w:t>
            </w:r>
            <w:proofErr w:type="spellStart"/>
            <w:r w:rsidRPr="00E66EEC">
              <w:rPr>
                <w:i/>
                <w:sz w:val="24"/>
                <w:szCs w:val="24"/>
                <w:lang w:eastAsia="da-DK"/>
              </w:rPr>
              <w:t>myoklonus</w:t>
            </w:r>
            <w:proofErr w:type="spellEnd"/>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r w:rsidRPr="00E66EEC">
              <w:rPr>
                <w:b/>
                <w:sz w:val="24"/>
                <w:szCs w:val="24"/>
                <w:lang w:eastAsia="da-DK"/>
              </w:rPr>
              <w:t>Nyrer og urinveje</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i/>
                <w:sz w:val="24"/>
                <w:szCs w:val="24"/>
                <w:lang w:eastAsia="da-DK"/>
              </w:rPr>
              <w:t>A</w:t>
            </w:r>
            <w:r w:rsidRPr="00E66EEC">
              <w:rPr>
                <w:i/>
                <w:sz w:val="24"/>
                <w:szCs w:val="24"/>
                <w:lang w:eastAsia="da-DK"/>
              </w:rPr>
              <w:t>kut nyresvigt, inkontinens</w:t>
            </w:r>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r w:rsidRPr="00E66EEC">
              <w:rPr>
                <w:b/>
                <w:sz w:val="24"/>
                <w:szCs w:val="24"/>
                <w:lang w:eastAsia="da-DK"/>
              </w:rPr>
              <w:t>Det reproduktive system og mammae</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I</w:t>
            </w:r>
            <w:r w:rsidRPr="00E66EEC">
              <w:rPr>
                <w:sz w:val="24"/>
                <w:szCs w:val="24"/>
                <w:lang w:eastAsia="da-DK"/>
              </w:rPr>
              <w:t>mpotens</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4D62EE" w:rsidRPr="00E66EEC" w:rsidRDefault="004D62EE" w:rsidP="004D62EE">
            <w:pPr>
              <w:autoSpaceDE w:val="0"/>
              <w:autoSpaceDN w:val="0"/>
              <w:adjustRightInd w:val="0"/>
              <w:ind w:left="63"/>
              <w:rPr>
                <w:i/>
                <w:iCs/>
                <w:sz w:val="24"/>
                <w:szCs w:val="24"/>
                <w:lang w:eastAsia="da-DK"/>
              </w:rPr>
            </w:pPr>
            <w:r>
              <w:rPr>
                <w:i/>
                <w:sz w:val="24"/>
                <w:szCs w:val="24"/>
                <w:lang w:eastAsia="da-DK"/>
              </w:rPr>
              <w:t xml:space="preserve">Brysthypertrofi, </w:t>
            </w:r>
            <w:proofErr w:type="spellStart"/>
            <w:r>
              <w:rPr>
                <w:i/>
                <w:sz w:val="24"/>
                <w:szCs w:val="24"/>
                <w:lang w:eastAsia="da-DK"/>
              </w:rPr>
              <w:t>gynækomasti</w:t>
            </w:r>
            <w:proofErr w:type="spellEnd"/>
            <w:r>
              <w:rPr>
                <w:i/>
                <w:sz w:val="24"/>
                <w:szCs w:val="24"/>
                <w:lang w:eastAsia="da-DK"/>
              </w:rPr>
              <w:t>,</w:t>
            </w:r>
            <w:r w:rsidRPr="00E66EEC">
              <w:rPr>
                <w:i/>
                <w:sz w:val="24"/>
                <w:szCs w:val="24"/>
                <w:lang w:eastAsia="da-DK"/>
              </w:rPr>
              <w:t xml:space="preserve"> seksuel dysfunktion (inklusive libidoforandringer, ejakulationsforstyrrelser og </w:t>
            </w:r>
            <w:proofErr w:type="spellStart"/>
            <w:r w:rsidRPr="00E66EEC">
              <w:rPr>
                <w:i/>
                <w:sz w:val="24"/>
                <w:szCs w:val="24"/>
                <w:lang w:eastAsia="da-DK"/>
              </w:rPr>
              <w:t>anorgasmi</w:t>
            </w:r>
            <w:proofErr w:type="spellEnd"/>
            <w:r w:rsidRPr="00E66EEC">
              <w:rPr>
                <w:i/>
                <w:sz w:val="24"/>
                <w:szCs w:val="24"/>
                <w:lang w:eastAsia="da-DK"/>
              </w:rPr>
              <w:t>)</w:t>
            </w:r>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r w:rsidRPr="00E66EEC">
              <w:rPr>
                <w:b/>
                <w:sz w:val="24"/>
                <w:szCs w:val="24"/>
                <w:lang w:eastAsia="da-DK"/>
              </w:rPr>
              <w:t>Almene symptomer og reaktioner på administrationsstedet</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Meget 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T</w:t>
            </w:r>
            <w:r w:rsidRPr="00E66EEC">
              <w:rPr>
                <w:sz w:val="24"/>
                <w:szCs w:val="24"/>
                <w:lang w:eastAsia="da-DK"/>
              </w:rPr>
              <w:t>ræthed, feber</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lastRenderedPageBreak/>
              <w:t>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P</w:t>
            </w:r>
            <w:r w:rsidRPr="00E66EEC">
              <w:rPr>
                <w:sz w:val="24"/>
                <w:szCs w:val="24"/>
                <w:lang w:eastAsia="da-DK"/>
              </w:rPr>
              <w:t>erifert ødem, gangforstyrrelser, asteni, smerter, utilpashed, influenzalignende symptomer</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G</w:t>
            </w:r>
            <w:r w:rsidRPr="00E66EEC">
              <w:rPr>
                <w:sz w:val="24"/>
                <w:szCs w:val="24"/>
                <w:lang w:eastAsia="da-DK"/>
              </w:rPr>
              <w:t>eneraliseret ødem</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4D62EE" w:rsidRPr="00E66EEC" w:rsidRDefault="004D62EE" w:rsidP="004D62EE">
            <w:pPr>
              <w:autoSpaceDE w:val="0"/>
              <w:autoSpaceDN w:val="0"/>
              <w:adjustRightInd w:val="0"/>
              <w:ind w:left="63"/>
              <w:rPr>
                <w:i/>
                <w:iCs/>
                <w:sz w:val="24"/>
                <w:szCs w:val="24"/>
                <w:lang w:eastAsia="da-DK"/>
              </w:rPr>
            </w:pPr>
            <w:r>
              <w:rPr>
                <w:i/>
                <w:sz w:val="24"/>
                <w:szCs w:val="24"/>
                <w:lang w:eastAsia="da-DK"/>
              </w:rPr>
              <w:t>A</w:t>
            </w:r>
            <w:r w:rsidRPr="00E66EEC">
              <w:rPr>
                <w:i/>
                <w:sz w:val="24"/>
                <w:szCs w:val="24"/>
                <w:lang w:eastAsia="da-DK"/>
              </w:rPr>
              <w:t>bstinensreaktioner</w:t>
            </w:r>
            <w:r>
              <w:rPr>
                <w:i/>
                <w:sz w:val="24"/>
                <w:szCs w:val="24"/>
                <w:lang w:eastAsia="da-DK"/>
              </w:rPr>
              <w:t>*</w:t>
            </w:r>
            <w:r w:rsidRPr="00E66EEC">
              <w:rPr>
                <w:i/>
                <w:sz w:val="24"/>
                <w:szCs w:val="24"/>
                <w:lang w:eastAsia="da-DK"/>
              </w:rPr>
              <w:t xml:space="preserve">, brystsmerter. Der er set pludselige uforklarlige dødsfald, hvor årsagssammenhæng med behandling med </w:t>
            </w:r>
            <w:proofErr w:type="spellStart"/>
            <w:r w:rsidRPr="00E66EEC">
              <w:rPr>
                <w:i/>
                <w:sz w:val="24"/>
                <w:szCs w:val="24"/>
                <w:lang w:eastAsia="da-DK"/>
              </w:rPr>
              <w:t>gabapentin</w:t>
            </w:r>
            <w:proofErr w:type="spellEnd"/>
            <w:r w:rsidRPr="00E66EEC">
              <w:rPr>
                <w:i/>
                <w:sz w:val="24"/>
                <w:szCs w:val="24"/>
                <w:lang w:eastAsia="da-DK"/>
              </w:rPr>
              <w:t xml:space="preserve"> ikke er fastslået.</w:t>
            </w:r>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r w:rsidRPr="00E66EEC">
              <w:rPr>
                <w:b/>
                <w:sz w:val="24"/>
                <w:szCs w:val="24"/>
                <w:lang w:eastAsia="da-DK"/>
              </w:rPr>
              <w:t>Undersøgelser</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N</w:t>
            </w:r>
            <w:r w:rsidRPr="00E66EEC">
              <w:rPr>
                <w:sz w:val="24"/>
                <w:szCs w:val="24"/>
                <w:lang w:eastAsia="da-DK"/>
              </w:rPr>
              <w:t>edsat antal hvide blodlegemer, vægtøgning</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F</w:t>
            </w:r>
            <w:r w:rsidRPr="00E66EEC">
              <w:rPr>
                <w:sz w:val="24"/>
                <w:szCs w:val="24"/>
                <w:lang w:eastAsia="da-DK"/>
              </w:rPr>
              <w:t>orhøjet leverfunktionstest SGOT (AST), SGPT (ALT) og bilirubin</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kendt</w:t>
            </w:r>
          </w:p>
        </w:tc>
        <w:tc>
          <w:tcPr>
            <w:tcW w:w="7336" w:type="dxa"/>
            <w:vAlign w:val="center"/>
          </w:tcPr>
          <w:p w:rsidR="004D62EE" w:rsidRPr="00E66EEC" w:rsidRDefault="004D62EE" w:rsidP="004D62EE">
            <w:pPr>
              <w:autoSpaceDE w:val="0"/>
              <w:autoSpaceDN w:val="0"/>
              <w:adjustRightInd w:val="0"/>
              <w:ind w:left="63"/>
              <w:rPr>
                <w:i/>
                <w:iCs/>
                <w:sz w:val="24"/>
                <w:szCs w:val="24"/>
                <w:lang w:eastAsia="da-DK"/>
              </w:rPr>
            </w:pPr>
            <w:r>
              <w:rPr>
                <w:i/>
                <w:sz w:val="24"/>
                <w:szCs w:val="24"/>
                <w:lang w:eastAsia="da-DK"/>
              </w:rPr>
              <w:t>F</w:t>
            </w:r>
            <w:r w:rsidRPr="00E66EEC">
              <w:rPr>
                <w:i/>
                <w:sz w:val="24"/>
                <w:szCs w:val="24"/>
                <w:lang w:eastAsia="da-DK"/>
              </w:rPr>
              <w:t xml:space="preserve">orhøjet </w:t>
            </w:r>
            <w:proofErr w:type="spellStart"/>
            <w:r w:rsidRPr="00E66EEC">
              <w:rPr>
                <w:i/>
                <w:sz w:val="24"/>
                <w:szCs w:val="24"/>
                <w:lang w:eastAsia="da-DK"/>
              </w:rPr>
              <w:t>kreatin-fosfokinase</w:t>
            </w:r>
            <w:proofErr w:type="spellEnd"/>
            <w:r w:rsidRPr="00E66EEC">
              <w:rPr>
                <w:i/>
                <w:sz w:val="24"/>
                <w:szCs w:val="24"/>
                <w:lang w:eastAsia="da-DK"/>
              </w:rPr>
              <w:t xml:space="preserve"> i blodet</w:t>
            </w:r>
          </w:p>
        </w:tc>
      </w:tr>
      <w:tr w:rsidR="004D62EE" w:rsidRPr="00E66EEC" w:rsidTr="00CC223B">
        <w:tc>
          <w:tcPr>
            <w:tcW w:w="9179" w:type="dxa"/>
            <w:gridSpan w:val="2"/>
            <w:vAlign w:val="center"/>
          </w:tcPr>
          <w:p w:rsidR="004D62EE" w:rsidRPr="00E66EEC" w:rsidRDefault="004D62EE" w:rsidP="004D62EE">
            <w:pPr>
              <w:autoSpaceDE w:val="0"/>
              <w:autoSpaceDN w:val="0"/>
              <w:adjustRightInd w:val="0"/>
              <w:ind w:left="63"/>
              <w:rPr>
                <w:sz w:val="24"/>
                <w:szCs w:val="24"/>
                <w:lang w:eastAsia="da-DK"/>
              </w:rPr>
            </w:pPr>
            <w:r w:rsidRPr="007C60F0">
              <w:rPr>
                <w:b/>
                <w:sz w:val="24"/>
                <w:szCs w:val="24"/>
                <w:lang w:eastAsia="da-DK"/>
              </w:rPr>
              <w:t>Traumer, forgiftninger og behandlingskomplikationer</w:t>
            </w:r>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H</w:t>
            </w:r>
            <w:r w:rsidRPr="00E66EEC">
              <w:rPr>
                <w:sz w:val="24"/>
                <w:szCs w:val="24"/>
                <w:lang w:eastAsia="da-DK"/>
              </w:rPr>
              <w:t xml:space="preserve">ændeligt uheld, fraktur, </w:t>
            </w:r>
            <w:proofErr w:type="spellStart"/>
            <w:r w:rsidRPr="00E66EEC">
              <w:rPr>
                <w:sz w:val="24"/>
                <w:szCs w:val="24"/>
                <w:lang w:eastAsia="da-DK"/>
              </w:rPr>
              <w:t>abrasio</w:t>
            </w:r>
            <w:proofErr w:type="spellEnd"/>
          </w:p>
        </w:tc>
      </w:tr>
      <w:tr w:rsidR="004D62EE" w:rsidRPr="00E66EEC" w:rsidTr="00CC223B">
        <w:tc>
          <w:tcPr>
            <w:tcW w:w="1843" w:type="dxa"/>
            <w:vAlign w:val="center"/>
          </w:tcPr>
          <w:p w:rsidR="004D62EE" w:rsidRPr="00E66EEC" w:rsidRDefault="004D62EE" w:rsidP="004D62EE">
            <w:pPr>
              <w:autoSpaceDE w:val="0"/>
              <w:autoSpaceDN w:val="0"/>
              <w:adjustRightInd w:val="0"/>
              <w:ind w:left="63"/>
              <w:rPr>
                <w:sz w:val="24"/>
                <w:szCs w:val="24"/>
                <w:lang w:eastAsia="da-DK"/>
              </w:rPr>
            </w:pPr>
            <w:r w:rsidRPr="00E66EEC">
              <w:rPr>
                <w:sz w:val="24"/>
                <w:szCs w:val="24"/>
                <w:lang w:eastAsia="da-DK"/>
              </w:rPr>
              <w:t>Ikke almindelig</w:t>
            </w:r>
          </w:p>
        </w:tc>
        <w:tc>
          <w:tcPr>
            <w:tcW w:w="7336" w:type="dxa"/>
            <w:vAlign w:val="center"/>
          </w:tcPr>
          <w:p w:rsidR="004D62EE" w:rsidRPr="00E66EEC" w:rsidRDefault="004D62EE" w:rsidP="004D62EE">
            <w:pPr>
              <w:autoSpaceDE w:val="0"/>
              <w:autoSpaceDN w:val="0"/>
              <w:adjustRightInd w:val="0"/>
              <w:ind w:left="63"/>
              <w:rPr>
                <w:sz w:val="24"/>
                <w:szCs w:val="24"/>
                <w:lang w:eastAsia="da-DK"/>
              </w:rPr>
            </w:pPr>
            <w:r>
              <w:rPr>
                <w:sz w:val="24"/>
                <w:szCs w:val="24"/>
                <w:lang w:eastAsia="da-DK"/>
              </w:rPr>
              <w:t>F</w:t>
            </w:r>
            <w:r w:rsidRPr="00E66EEC">
              <w:rPr>
                <w:sz w:val="24"/>
                <w:szCs w:val="24"/>
                <w:lang w:eastAsia="da-DK"/>
              </w:rPr>
              <w:t>ald</w:t>
            </w:r>
          </w:p>
        </w:tc>
      </w:tr>
    </w:tbl>
    <w:p w:rsidR="0070746C" w:rsidRPr="00E66EEC" w:rsidRDefault="0070746C" w:rsidP="0070746C">
      <w:pPr>
        <w:autoSpaceDE w:val="0"/>
        <w:autoSpaceDN w:val="0"/>
        <w:adjustRightInd w:val="0"/>
        <w:ind w:left="851"/>
        <w:rPr>
          <w:sz w:val="24"/>
          <w:szCs w:val="24"/>
          <w:lang w:eastAsia="da-DK"/>
        </w:rPr>
      </w:pPr>
    </w:p>
    <w:p w:rsidR="004D62EE" w:rsidRPr="001848E7" w:rsidRDefault="004D62EE" w:rsidP="004D62EE">
      <w:pPr>
        <w:autoSpaceDE w:val="0"/>
        <w:autoSpaceDN w:val="0"/>
        <w:adjustRightInd w:val="0"/>
        <w:ind w:left="851"/>
        <w:rPr>
          <w:sz w:val="24"/>
          <w:szCs w:val="24"/>
          <w:lang w:eastAsia="da-DK"/>
        </w:rPr>
      </w:pPr>
      <w:r w:rsidRPr="001848E7">
        <w:rPr>
          <w:sz w:val="24"/>
          <w:szCs w:val="24"/>
          <w:lang w:eastAsia="da-DK"/>
        </w:rPr>
        <w:t xml:space="preserve">* Efter </w:t>
      </w:r>
      <w:proofErr w:type="spellStart"/>
      <w:r w:rsidRPr="001848E7">
        <w:rPr>
          <w:sz w:val="24"/>
          <w:szCs w:val="24"/>
          <w:lang w:eastAsia="da-DK"/>
        </w:rPr>
        <w:t>seponering</w:t>
      </w:r>
      <w:proofErr w:type="spellEnd"/>
      <w:r w:rsidRPr="001848E7">
        <w:rPr>
          <w:sz w:val="24"/>
          <w:szCs w:val="24"/>
          <w:lang w:eastAsia="da-DK"/>
        </w:rPr>
        <w:t xml:space="preserve"> af kortidsbehandling og langtidsbehandling med </w:t>
      </w:r>
      <w:proofErr w:type="spellStart"/>
      <w:r w:rsidRPr="001848E7">
        <w:rPr>
          <w:sz w:val="24"/>
          <w:szCs w:val="24"/>
          <w:lang w:eastAsia="da-DK"/>
        </w:rPr>
        <w:t>gabapentin</w:t>
      </w:r>
      <w:proofErr w:type="spellEnd"/>
      <w:r w:rsidRPr="001848E7">
        <w:rPr>
          <w:sz w:val="24"/>
          <w:szCs w:val="24"/>
          <w:lang w:eastAsia="da-DK"/>
        </w:rPr>
        <w:t xml:space="preserve"> er der set </w:t>
      </w:r>
      <w:proofErr w:type="spellStart"/>
      <w:r w:rsidRPr="001848E7">
        <w:rPr>
          <w:sz w:val="24"/>
          <w:szCs w:val="24"/>
          <w:lang w:eastAsia="da-DK"/>
        </w:rPr>
        <w:t>seponeringssymptomer</w:t>
      </w:r>
      <w:proofErr w:type="spellEnd"/>
      <w:r w:rsidRPr="001848E7">
        <w:rPr>
          <w:sz w:val="24"/>
          <w:szCs w:val="24"/>
          <w:lang w:eastAsia="da-DK"/>
        </w:rPr>
        <w:t xml:space="preserve">. </w:t>
      </w:r>
      <w:proofErr w:type="spellStart"/>
      <w:r w:rsidRPr="001848E7">
        <w:rPr>
          <w:sz w:val="24"/>
          <w:szCs w:val="24"/>
          <w:lang w:eastAsia="da-DK"/>
        </w:rPr>
        <w:t>Seponeringssymptomer</w:t>
      </w:r>
      <w:proofErr w:type="spellEnd"/>
      <w:r w:rsidRPr="001848E7">
        <w:rPr>
          <w:sz w:val="24"/>
          <w:szCs w:val="24"/>
          <w:lang w:eastAsia="da-DK"/>
        </w:rPr>
        <w:t xml:space="preserve"> kan forekomme kort tid efter </w:t>
      </w:r>
      <w:proofErr w:type="spellStart"/>
      <w:r w:rsidRPr="001848E7">
        <w:rPr>
          <w:sz w:val="24"/>
          <w:szCs w:val="24"/>
          <w:lang w:eastAsia="da-DK"/>
        </w:rPr>
        <w:t>seponering</w:t>
      </w:r>
      <w:proofErr w:type="spellEnd"/>
      <w:r w:rsidRPr="001848E7">
        <w:rPr>
          <w:sz w:val="24"/>
          <w:szCs w:val="24"/>
          <w:lang w:eastAsia="da-DK"/>
        </w:rPr>
        <w:t xml:space="preserve">, som regel inden for 48 timer. De hyppigst rapporterede symptomer omfatter angst, søvnløshed, kvalme, smerter, svedtendens, </w:t>
      </w:r>
      <w:proofErr w:type="spellStart"/>
      <w:r w:rsidRPr="001848E7">
        <w:rPr>
          <w:sz w:val="24"/>
          <w:szCs w:val="24"/>
          <w:lang w:eastAsia="da-DK"/>
        </w:rPr>
        <w:t>tremor</w:t>
      </w:r>
      <w:proofErr w:type="spellEnd"/>
      <w:r w:rsidRPr="001848E7">
        <w:rPr>
          <w:sz w:val="24"/>
          <w:szCs w:val="24"/>
          <w:lang w:eastAsia="da-DK"/>
        </w:rPr>
        <w:t xml:space="preserve">, hovedpine, depression, at føle sig unormal, svimmelhed og utilpashed (se pkt. 4.4). Forekomsten af </w:t>
      </w:r>
      <w:proofErr w:type="spellStart"/>
      <w:r w:rsidRPr="001848E7">
        <w:rPr>
          <w:sz w:val="24"/>
          <w:szCs w:val="24"/>
          <w:lang w:eastAsia="da-DK"/>
        </w:rPr>
        <w:t>seponeringssymptomer</w:t>
      </w:r>
      <w:proofErr w:type="spellEnd"/>
      <w:r w:rsidRPr="001848E7">
        <w:rPr>
          <w:sz w:val="24"/>
          <w:szCs w:val="24"/>
          <w:lang w:eastAsia="da-DK"/>
        </w:rPr>
        <w:t xml:space="preserve"> efter </w:t>
      </w:r>
      <w:proofErr w:type="spellStart"/>
      <w:r w:rsidRPr="001848E7">
        <w:rPr>
          <w:sz w:val="24"/>
          <w:szCs w:val="24"/>
          <w:lang w:eastAsia="da-DK"/>
        </w:rPr>
        <w:t>seponering</w:t>
      </w:r>
      <w:proofErr w:type="spellEnd"/>
      <w:r w:rsidRPr="001848E7">
        <w:rPr>
          <w:sz w:val="24"/>
          <w:szCs w:val="24"/>
          <w:lang w:eastAsia="da-DK"/>
        </w:rPr>
        <w:t xml:space="preserve"> af </w:t>
      </w:r>
      <w:proofErr w:type="spellStart"/>
      <w:r w:rsidRPr="001848E7">
        <w:rPr>
          <w:sz w:val="24"/>
          <w:szCs w:val="24"/>
          <w:lang w:eastAsia="da-DK"/>
        </w:rPr>
        <w:t>gabapentin</w:t>
      </w:r>
      <w:proofErr w:type="spellEnd"/>
      <w:r w:rsidRPr="001848E7">
        <w:rPr>
          <w:sz w:val="24"/>
          <w:szCs w:val="24"/>
          <w:lang w:eastAsia="da-DK"/>
        </w:rPr>
        <w:t xml:space="preserve"> kan være tegn på stofafhængighed (se pkt. 4.8). Patienten bør informeres om dette ved behandlingens start. Hvis </w:t>
      </w:r>
      <w:proofErr w:type="spellStart"/>
      <w:r w:rsidRPr="001848E7">
        <w:rPr>
          <w:sz w:val="24"/>
          <w:szCs w:val="24"/>
          <w:lang w:eastAsia="da-DK"/>
        </w:rPr>
        <w:t>gabapentin</w:t>
      </w:r>
      <w:proofErr w:type="spellEnd"/>
      <w:r w:rsidRPr="001848E7">
        <w:rPr>
          <w:sz w:val="24"/>
          <w:szCs w:val="24"/>
          <w:lang w:eastAsia="da-DK"/>
        </w:rPr>
        <w:t xml:space="preserve"> seponeres, anbefales det, at dette sker gradvist over mindst 1 uge uden hensyn til indikationen (se pkt. 4.2).</w:t>
      </w:r>
    </w:p>
    <w:p w:rsidR="004D62EE" w:rsidRDefault="004D62EE" w:rsidP="0070746C">
      <w:pPr>
        <w:autoSpaceDE w:val="0"/>
        <w:autoSpaceDN w:val="0"/>
        <w:adjustRightInd w:val="0"/>
        <w:ind w:left="851"/>
        <w:rPr>
          <w:sz w:val="24"/>
          <w:szCs w:val="24"/>
          <w:lang w:eastAsia="da-DK"/>
        </w:rPr>
      </w:pPr>
    </w:p>
    <w:p w:rsidR="004D62EE" w:rsidRDefault="004D62EE"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Der er set tilfælde af akut </w:t>
      </w:r>
      <w:proofErr w:type="spellStart"/>
      <w:r w:rsidRPr="00E66EEC">
        <w:rPr>
          <w:sz w:val="24"/>
          <w:szCs w:val="24"/>
          <w:lang w:eastAsia="da-DK"/>
        </w:rPr>
        <w:t>pankreatit</w:t>
      </w:r>
      <w:proofErr w:type="spellEnd"/>
      <w:r w:rsidRPr="00E66EEC">
        <w:rPr>
          <w:sz w:val="24"/>
          <w:szCs w:val="24"/>
          <w:lang w:eastAsia="da-DK"/>
        </w:rPr>
        <w:t xml:space="preserve"> under behandling med </w:t>
      </w:r>
      <w:proofErr w:type="spellStart"/>
      <w:r w:rsidRPr="00E66EEC">
        <w:rPr>
          <w:sz w:val="24"/>
          <w:szCs w:val="24"/>
          <w:lang w:eastAsia="da-DK"/>
        </w:rPr>
        <w:t>gabapentin</w:t>
      </w:r>
      <w:proofErr w:type="spellEnd"/>
      <w:r w:rsidRPr="00E66EEC">
        <w:rPr>
          <w:sz w:val="24"/>
          <w:szCs w:val="24"/>
          <w:lang w:eastAsia="da-DK"/>
        </w:rPr>
        <w:t xml:space="preserve">. Årsagssammenhængen med </w:t>
      </w:r>
      <w:proofErr w:type="spellStart"/>
      <w:r w:rsidRPr="00E66EEC">
        <w:rPr>
          <w:sz w:val="24"/>
          <w:szCs w:val="24"/>
          <w:lang w:eastAsia="da-DK"/>
        </w:rPr>
        <w:t>gabapentin</w:t>
      </w:r>
      <w:proofErr w:type="spellEnd"/>
      <w:r w:rsidRPr="00E66EEC">
        <w:rPr>
          <w:sz w:val="24"/>
          <w:szCs w:val="24"/>
          <w:lang w:eastAsia="da-DK"/>
        </w:rPr>
        <w:t xml:space="preserve"> er uklar (se pkt. 4.4).</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Hos patienter, der er i hæmodialyse på grund af terminalt nyresvigt, er der set </w:t>
      </w:r>
      <w:proofErr w:type="spellStart"/>
      <w:r w:rsidRPr="00E66EEC">
        <w:rPr>
          <w:sz w:val="24"/>
          <w:szCs w:val="24"/>
          <w:lang w:eastAsia="da-DK"/>
        </w:rPr>
        <w:t>myopati</w:t>
      </w:r>
      <w:proofErr w:type="spellEnd"/>
      <w:r w:rsidRPr="00E66EEC">
        <w:rPr>
          <w:sz w:val="24"/>
          <w:szCs w:val="24"/>
          <w:lang w:eastAsia="da-DK"/>
        </w:rPr>
        <w:t xml:space="preserve"> med forhøjede </w:t>
      </w:r>
      <w:proofErr w:type="spellStart"/>
      <w:r w:rsidRPr="00E66EEC">
        <w:rPr>
          <w:sz w:val="24"/>
          <w:szCs w:val="24"/>
          <w:lang w:eastAsia="da-DK"/>
        </w:rPr>
        <w:t>kreatinkinaseniveauer</w:t>
      </w:r>
      <w:proofErr w:type="spellEnd"/>
      <w:r w:rsidRPr="00E66EEC">
        <w:rPr>
          <w:sz w:val="24"/>
          <w:szCs w:val="24"/>
          <w:lang w:eastAsia="da-DK"/>
        </w:rPr>
        <w:t>.</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Luftvejsinfektioner, </w:t>
      </w:r>
      <w:proofErr w:type="spellStart"/>
      <w:r w:rsidRPr="00E66EEC">
        <w:rPr>
          <w:sz w:val="24"/>
          <w:szCs w:val="24"/>
          <w:lang w:eastAsia="da-DK"/>
        </w:rPr>
        <w:t>otitis</w:t>
      </w:r>
      <w:proofErr w:type="spellEnd"/>
      <w:r w:rsidRPr="00E66EEC">
        <w:rPr>
          <w:sz w:val="24"/>
          <w:szCs w:val="24"/>
          <w:lang w:eastAsia="da-DK"/>
        </w:rPr>
        <w:t xml:space="preserve"> media, konvulsioner og bronkitis er kun rapporteret i kliniske undersøgelser af børn. Derudover er aggressiv adfærd og </w:t>
      </w:r>
      <w:proofErr w:type="spellStart"/>
      <w:r w:rsidRPr="00E66EEC">
        <w:rPr>
          <w:sz w:val="24"/>
          <w:szCs w:val="24"/>
          <w:lang w:eastAsia="da-DK"/>
        </w:rPr>
        <w:t>hyperkinesi</w:t>
      </w:r>
      <w:proofErr w:type="spellEnd"/>
      <w:r w:rsidRPr="00E66EEC">
        <w:rPr>
          <w:sz w:val="24"/>
          <w:szCs w:val="24"/>
          <w:lang w:eastAsia="da-DK"/>
        </w:rPr>
        <w:t xml:space="preserve"> rapporteret som almindelige i kliniske undersøgelser af børn.</w:t>
      </w:r>
    </w:p>
    <w:p w:rsidR="0070746C" w:rsidRPr="00E66EEC" w:rsidRDefault="0070746C" w:rsidP="0070746C">
      <w:pPr>
        <w:autoSpaceDE w:val="0"/>
        <w:autoSpaceDN w:val="0"/>
        <w:adjustRightInd w:val="0"/>
        <w:ind w:left="851"/>
        <w:rPr>
          <w:sz w:val="24"/>
          <w:szCs w:val="24"/>
          <w:lang w:eastAsia="da-DK"/>
        </w:rPr>
      </w:pPr>
    </w:p>
    <w:p w:rsidR="0070746C" w:rsidRDefault="0070746C" w:rsidP="0070746C">
      <w:pPr>
        <w:autoSpaceDE w:val="0"/>
        <w:autoSpaceDN w:val="0"/>
        <w:ind w:left="851"/>
        <w:rPr>
          <w:sz w:val="24"/>
          <w:szCs w:val="24"/>
          <w:u w:val="single"/>
          <w:lang w:eastAsia="da-DK"/>
        </w:rPr>
      </w:pPr>
      <w:r>
        <w:rPr>
          <w:sz w:val="24"/>
          <w:szCs w:val="24"/>
          <w:u w:val="single"/>
          <w:lang w:eastAsia="da-DK"/>
        </w:rPr>
        <w:t>Indberetning af formodede bivirkninger</w:t>
      </w:r>
    </w:p>
    <w:p w:rsidR="0070746C" w:rsidRDefault="0070746C" w:rsidP="0070746C">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DA0D56">
        <w:rPr>
          <w:sz w:val="24"/>
          <w:szCs w:val="24"/>
          <w:lang w:eastAsia="da-DK"/>
        </w:rPr>
        <w:t>S</w:t>
      </w:r>
      <w:r>
        <w:rPr>
          <w:sz w:val="24"/>
          <w:szCs w:val="24"/>
          <w:lang w:eastAsia="da-DK"/>
        </w:rPr>
        <w:t>undhedsperson</w:t>
      </w:r>
      <w:r w:rsidR="00DA0D56">
        <w:rPr>
          <w:sz w:val="24"/>
          <w:szCs w:val="24"/>
          <w:lang w:eastAsia="da-DK"/>
        </w:rPr>
        <w:t>er</w:t>
      </w:r>
      <w:r>
        <w:rPr>
          <w:sz w:val="24"/>
          <w:szCs w:val="24"/>
          <w:lang w:eastAsia="da-DK"/>
        </w:rPr>
        <w:t xml:space="preserve"> anmodes om at indberette alle formodede bivirkninger via:</w:t>
      </w:r>
    </w:p>
    <w:p w:rsidR="0070746C" w:rsidRDefault="0070746C" w:rsidP="0070746C">
      <w:pPr>
        <w:ind w:left="851"/>
        <w:rPr>
          <w:sz w:val="24"/>
          <w:szCs w:val="24"/>
          <w:lang w:eastAsia="da-DK"/>
        </w:rPr>
      </w:pPr>
    </w:p>
    <w:p w:rsidR="0070746C" w:rsidRDefault="0070746C" w:rsidP="0070746C">
      <w:pPr>
        <w:ind w:left="851"/>
        <w:rPr>
          <w:sz w:val="24"/>
          <w:szCs w:val="24"/>
          <w:lang w:eastAsia="da-DK"/>
        </w:rPr>
      </w:pPr>
      <w:r>
        <w:rPr>
          <w:sz w:val="24"/>
          <w:szCs w:val="24"/>
          <w:lang w:eastAsia="da-DK"/>
        </w:rPr>
        <w:t>Lægemiddelstyrelsen</w:t>
      </w:r>
    </w:p>
    <w:p w:rsidR="0070746C" w:rsidRDefault="0070746C" w:rsidP="0070746C">
      <w:pPr>
        <w:ind w:left="851"/>
        <w:rPr>
          <w:sz w:val="24"/>
          <w:szCs w:val="24"/>
          <w:lang w:eastAsia="da-DK"/>
        </w:rPr>
      </w:pPr>
      <w:r>
        <w:rPr>
          <w:sz w:val="24"/>
          <w:szCs w:val="24"/>
          <w:lang w:eastAsia="da-DK"/>
        </w:rPr>
        <w:t>Axel Heides Gade 1</w:t>
      </w:r>
    </w:p>
    <w:p w:rsidR="0070746C" w:rsidRDefault="0070746C" w:rsidP="0070746C">
      <w:pPr>
        <w:ind w:left="851"/>
        <w:rPr>
          <w:sz w:val="24"/>
          <w:szCs w:val="24"/>
          <w:lang w:eastAsia="da-DK"/>
        </w:rPr>
      </w:pPr>
      <w:r>
        <w:rPr>
          <w:sz w:val="24"/>
          <w:szCs w:val="24"/>
          <w:lang w:eastAsia="da-DK"/>
        </w:rPr>
        <w:t>DK-2300 København S</w:t>
      </w:r>
    </w:p>
    <w:p w:rsidR="0070746C" w:rsidRPr="00874C20" w:rsidRDefault="0070746C" w:rsidP="0070746C">
      <w:pPr>
        <w:ind w:left="851"/>
        <w:rPr>
          <w:sz w:val="24"/>
          <w:szCs w:val="24"/>
          <w:lang w:eastAsia="da-DK"/>
        </w:rPr>
      </w:pPr>
      <w:r w:rsidRPr="00874C20">
        <w:rPr>
          <w:sz w:val="24"/>
          <w:szCs w:val="24"/>
          <w:lang w:eastAsia="da-DK"/>
        </w:rPr>
        <w:t xml:space="preserve">Websted: </w:t>
      </w:r>
      <w:hyperlink r:id="rId8" w:history="1">
        <w:r w:rsidRPr="00874C20">
          <w:rPr>
            <w:rStyle w:val="Hyperlink"/>
            <w:sz w:val="24"/>
            <w:lang w:eastAsia="da-DK"/>
          </w:rPr>
          <w:t>www.meldenbivirkning.dk</w:t>
        </w:r>
      </w:hyperlink>
    </w:p>
    <w:p w:rsidR="0070746C" w:rsidRPr="00874C20" w:rsidRDefault="0070746C" w:rsidP="0070746C">
      <w:pPr>
        <w:pStyle w:val="Sidehoved"/>
        <w:tabs>
          <w:tab w:val="left" w:pos="851"/>
        </w:tabs>
        <w:ind w:left="851"/>
        <w:rPr>
          <w:szCs w:val="24"/>
        </w:rPr>
      </w:pPr>
    </w:p>
    <w:p w:rsidR="0070746C" w:rsidRPr="00C84483" w:rsidRDefault="0070746C" w:rsidP="0070746C">
      <w:pPr>
        <w:tabs>
          <w:tab w:val="left" w:pos="851"/>
        </w:tabs>
        <w:ind w:left="851" w:hanging="851"/>
        <w:rPr>
          <w:b/>
          <w:sz w:val="24"/>
          <w:szCs w:val="24"/>
        </w:rPr>
      </w:pPr>
      <w:r w:rsidRPr="00C84483">
        <w:rPr>
          <w:b/>
          <w:sz w:val="24"/>
          <w:szCs w:val="24"/>
        </w:rPr>
        <w:t>4.9</w:t>
      </w:r>
      <w:r w:rsidRPr="00C84483">
        <w:rPr>
          <w:b/>
          <w:sz w:val="24"/>
          <w:szCs w:val="24"/>
        </w:rPr>
        <w:tab/>
        <w:t>Overdosering</w:t>
      </w: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Akut livstruende toksicitet er ikke observeret med </w:t>
      </w:r>
      <w:proofErr w:type="spellStart"/>
      <w:r w:rsidRPr="00E66EEC">
        <w:rPr>
          <w:sz w:val="24"/>
          <w:szCs w:val="24"/>
          <w:lang w:eastAsia="da-DK"/>
        </w:rPr>
        <w:t>gabapentin</w:t>
      </w:r>
      <w:proofErr w:type="spellEnd"/>
      <w:r w:rsidRPr="00E66EEC">
        <w:rPr>
          <w:sz w:val="24"/>
          <w:szCs w:val="24"/>
          <w:lang w:eastAsia="da-DK"/>
        </w:rPr>
        <w:t xml:space="preserve"> ved overdosering på op til 49 g. Symptomer ved overdosering er svimmelhed, dobbeltsyn, sløret tale, døsighed, bevidsthedstab, letargi og mild diarré. Alle patienter kom sig helt med støttende </w:t>
      </w:r>
      <w:r w:rsidRPr="00E66EEC">
        <w:rPr>
          <w:sz w:val="24"/>
          <w:szCs w:val="24"/>
          <w:lang w:eastAsia="da-DK"/>
        </w:rPr>
        <w:lastRenderedPageBreak/>
        <w:t xml:space="preserve">behandling. Nedsat absorption af </w:t>
      </w:r>
      <w:proofErr w:type="spellStart"/>
      <w:r w:rsidRPr="00E66EEC">
        <w:rPr>
          <w:sz w:val="24"/>
          <w:szCs w:val="24"/>
          <w:lang w:eastAsia="da-DK"/>
        </w:rPr>
        <w:t>gabapentin</w:t>
      </w:r>
      <w:proofErr w:type="spellEnd"/>
      <w:r w:rsidRPr="00E66EEC">
        <w:rPr>
          <w:sz w:val="24"/>
          <w:szCs w:val="24"/>
          <w:lang w:eastAsia="da-DK"/>
        </w:rPr>
        <w:t xml:space="preserve"> ved høje doser kan begrænse absorptionen ved overdosering og dermed mindske den opnåede toksicitet.</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Overdosering af </w:t>
      </w:r>
      <w:proofErr w:type="spellStart"/>
      <w:r w:rsidRPr="00E66EEC">
        <w:rPr>
          <w:sz w:val="24"/>
          <w:szCs w:val="24"/>
          <w:lang w:eastAsia="da-DK"/>
        </w:rPr>
        <w:t>gabapentin</w:t>
      </w:r>
      <w:proofErr w:type="spellEnd"/>
      <w:r w:rsidRPr="00E66EEC">
        <w:rPr>
          <w:sz w:val="24"/>
          <w:szCs w:val="24"/>
          <w:lang w:eastAsia="da-DK"/>
        </w:rPr>
        <w:t xml:space="preserve"> kan resultere i koma, især hvis det tages sammen med andre CNS-supprimerende præparater.</w:t>
      </w:r>
    </w:p>
    <w:p w:rsidR="0070746C" w:rsidRPr="00E66EEC" w:rsidRDefault="0070746C" w:rsidP="0070746C">
      <w:pPr>
        <w:autoSpaceDE w:val="0"/>
        <w:autoSpaceDN w:val="0"/>
        <w:adjustRightInd w:val="0"/>
        <w:ind w:left="851"/>
        <w:rPr>
          <w:sz w:val="24"/>
          <w:szCs w:val="24"/>
          <w:lang w:eastAsia="da-DK"/>
        </w:rPr>
      </w:pPr>
    </w:p>
    <w:p w:rsidR="0070746C" w:rsidRPr="00E66EEC" w:rsidRDefault="0070746C" w:rsidP="0070746C">
      <w:pPr>
        <w:autoSpaceDE w:val="0"/>
        <w:autoSpaceDN w:val="0"/>
        <w:adjustRightInd w:val="0"/>
        <w:ind w:left="851"/>
        <w:rPr>
          <w:sz w:val="24"/>
          <w:szCs w:val="24"/>
          <w:lang w:eastAsia="da-DK"/>
        </w:rPr>
      </w:pPr>
      <w:r w:rsidRPr="00E66EEC">
        <w:rPr>
          <w:sz w:val="24"/>
          <w:szCs w:val="24"/>
          <w:lang w:eastAsia="da-DK"/>
        </w:rPr>
        <w:t xml:space="preserve">Selvom </w:t>
      </w:r>
      <w:proofErr w:type="spellStart"/>
      <w:r w:rsidRPr="00E66EEC">
        <w:rPr>
          <w:sz w:val="24"/>
          <w:szCs w:val="24"/>
          <w:lang w:eastAsia="da-DK"/>
        </w:rPr>
        <w:t>gabapentin</w:t>
      </w:r>
      <w:proofErr w:type="spellEnd"/>
      <w:r w:rsidRPr="00E66EEC">
        <w:rPr>
          <w:sz w:val="24"/>
          <w:szCs w:val="24"/>
          <w:lang w:eastAsia="da-DK"/>
        </w:rPr>
        <w:t xml:space="preserve"> kan fjernes ved hæmodialyse, er dette erfaringsmæssigt normalt ikke nødvendigt. Hos patienter med svært nedsat nyrefunktion kan hæmodialyse dog være indiceret.</w:t>
      </w:r>
    </w:p>
    <w:p w:rsidR="0070746C" w:rsidRPr="00E66EEC" w:rsidRDefault="0070746C" w:rsidP="0070746C">
      <w:pPr>
        <w:autoSpaceDE w:val="0"/>
        <w:autoSpaceDN w:val="0"/>
        <w:adjustRightInd w:val="0"/>
        <w:ind w:left="851"/>
        <w:rPr>
          <w:sz w:val="24"/>
          <w:szCs w:val="24"/>
          <w:lang w:eastAsia="da-DK"/>
        </w:rPr>
      </w:pPr>
    </w:p>
    <w:p w:rsidR="0070746C" w:rsidRPr="00C84483" w:rsidRDefault="0070746C" w:rsidP="0070746C">
      <w:pPr>
        <w:autoSpaceDE w:val="0"/>
        <w:autoSpaceDN w:val="0"/>
        <w:adjustRightInd w:val="0"/>
        <w:ind w:left="851"/>
        <w:rPr>
          <w:sz w:val="24"/>
          <w:szCs w:val="24"/>
          <w:lang w:eastAsia="da-DK"/>
        </w:rPr>
      </w:pPr>
      <w:r w:rsidRPr="00E66EEC">
        <w:rPr>
          <w:sz w:val="24"/>
          <w:szCs w:val="24"/>
          <w:lang w:eastAsia="da-DK"/>
        </w:rPr>
        <w:t xml:space="preserve">En oral letaldosis af </w:t>
      </w:r>
      <w:proofErr w:type="spellStart"/>
      <w:r w:rsidRPr="00E66EEC">
        <w:rPr>
          <w:sz w:val="24"/>
          <w:szCs w:val="24"/>
          <w:lang w:eastAsia="da-DK"/>
        </w:rPr>
        <w:t>gabapentin</w:t>
      </w:r>
      <w:proofErr w:type="spellEnd"/>
      <w:r w:rsidRPr="00E66EEC">
        <w:rPr>
          <w:sz w:val="24"/>
          <w:szCs w:val="24"/>
          <w:lang w:eastAsia="da-DK"/>
        </w:rPr>
        <w:t xml:space="preserve"> er ikke identificeret hos mus og rotter ved doser på op til 8000 mg/kg. Tegn på akut toksicitet hos dyr omfatter </w:t>
      </w:r>
      <w:proofErr w:type="spellStart"/>
      <w:r w:rsidRPr="00E66EEC">
        <w:rPr>
          <w:sz w:val="24"/>
          <w:szCs w:val="24"/>
          <w:lang w:eastAsia="da-DK"/>
        </w:rPr>
        <w:t>ataksi</w:t>
      </w:r>
      <w:proofErr w:type="spellEnd"/>
      <w:r w:rsidRPr="00E66EEC">
        <w:rPr>
          <w:sz w:val="24"/>
          <w:szCs w:val="24"/>
          <w:lang w:eastAsia="da-DK"/>
        </w:rPr>
        <w:t xml:space="preserve">, vejrtrækningsbesvær, </w:t>
      </w:r>
      <w:proofErr w:type="spellStart"/>
      <w:r w:rsidRPr="00E66EEC">
        <w:rPr>
          <w:sz w:val="24"/>
          <w:szCs w:val="24"/>
          <w:lang w:eastAsia="da-DK"/>
        </w:rPr>
        <w:t>ptose</w:t>
      </w:r>
      <w:proofErr w:type="spellEnd"/>
      <w:r w:rsidRPr="00E66EEC">
        <w:rPr>
          <w:sz w:val="24"/>
          <w:szCs w:val="24"/>
          <w:lang w:eastAsia="da-DK"/>
        </w:rPr>
        <w:t xml:space="preserve">, </w:t>
      </w:r>
      <w:proofErr w:type="spellStart"/>
      <w:r w:rsidRPr="00E66EEC">
        <w:rPr>
          <w:sz w:val="24"/>
          <w:szCs w:val="24"/>
          <w:lang w:eastAsia="da-DK"/>
        </w:rPr>
        <w:t>hypoaktivitet</w:t>
      </w:r>
      <w:proofErr w:type="spellEnd"/>
      <w:r w:rsidRPr="00E66EEC">
        <w:rPr>
          <w:sz w:val="24"/>
          <w:szCs w:val="24"/>
          <w:lang w:eastAsia="da-DK"/>
        </w:rPr>
        <w:t xml:space="preserve"> eller </w:t>
      </w:r>
      <w:proofErr w:type="spellStart"/>
      <w:r w:rsidRPr="00E66EEC">
        <w:rPr>
          <w:sz w:val="24"/>
          <w:szCs w:val="24"/>
          <w:lang w:eastAsia="da-DK"/>
        </w:rPr>
        <w:t>excitation</w:t>
      </w:r>
      <w:proofErr w:type="spellEnd"/>
      <w:r w:rsidRPr="00E66EEC">
        <w:rPr>
          <w:sz w:val="24"/>
          <w:szCs w:val="24"/>
          <w:lang w:eastAsia="da-DK"/>
        </w:rPr>
        <w:t>.</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4.10</w:t>
      </w:r>
      <w:r w:rsidRPr="00C84483">
        <w:rPr>
          <w:b/>
          <w:sz w:val="24"/>
          <w:szCs w:val="24"/>
        </w:rPr>
        <w:tab/>
        <w:t>Udlevering</w:t>
      </w:r>
    </w:p>
    <w:p w:rsidR="0070746C" w:rsidRPr="00C84483" w:rsidRDefault="0070746C" w:rsidP="0070746C">
      <w:pPr>
        <w:tabs>
          <w:tab w:val="left" w:pos="851"/>
        </w:tabs>
        <w:ind w:left="851"/>
        <w:rPr>
          <w:sz w:val="24"/>
          <w:szCs w:val="24"/>
        </w:rPr>
      </w:pPr>
      <w:r>
        <w:rPr>
          <w:sz w:val="24"/>
          <w:szCs w:val="24"/>
        </w:rPr>
        <w:t>B</w:t>
      </w:r>
      <w:bookmarkStart w:id="1" w:name="_GoBack"/>
      <w:bookmarkEnd w:id="1"/>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0746C" w:rsidRPr="00C84483" w:rsidRDefault="0070746C" w:rsidP="0070746C">
      <w:pPr>
        <w:tabs>
          <w:tab w:val="left" w:pos="851"/>
        </w:tabs>
        <w:ind w:left="851"/>
        <w:rPr>
          <w:sz w:val="24"/>
          <w:szCs w:val="24"/>
        </w:rPr>
      </w:pPr>
    </w:p>
    <w:p w:rsidR="0070746C" w:rsidRPr="00C84483" w:rsidRDefault="0070746C" w:rsidP="0070746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95125" w:rsidRPr="00295125" w:rsidRDefault="00DA0D56" w:rsidP="00295125">
      <w:pPr>
        <w:tabs>
          <w:tab w:val="left" w:pos="851"/>
        </w:tabs>
        <w:ind w:left="851" w:hanging="851"/>
        <w:rPr>
          <w:sz w:val="24"/>
          <w:szCs w:val="24"/>
        </w:rPr>
      </w:pPr>
      <w:r>
        <w:rPr>
          <w:b/>
          <w:sz w:val="24"/>
          <w:szCs w:val="24"/>
        </w:rPr>
        <w:tab/>
      </w:r>
      <w:proofErr w:type="spellStart"/>
      <w:r w:rsidR="00295125" w:rsidRPr="00295125">
        <w:rPr>
          <w:sz w:val="24"/>
          <w:szCs w:val="24"/>
        </w:rPr>
        <w:t>Farmakoterapeutisk</w:t>
      </w:r>
      <w:proofErr w:type="spellEnd"/>
      <w:r w:rsidR="00295125" w:rsidRPr="00295125">
        <w:rPr>
          <w:sz w:val="24"/>
          <w:szCs w:val="24"/>
        </w:rPr>
        <w:t xml:space="preserve"> klassifikation: </w:t>
      </w:r>
      <w:proofErr w:type="spellStart"/>
      <w:r w:rsidR="00295125" w:rsidRPr="00295125">
        <w:rPr>
          <w:sz w:val="24"/>
          <w:szCs w:val="24"/>
        </w:rPr>
        <w:t>Analgetica</w:t>
      </w:r>
      <w:proofErr w:type="spellEnd"/>
      <w:r w:rsidR="00295125" w:rsidRPr="00295125">
        <w:rPr>
          <w:sz w:val="24"/>
          <w:szCs w:val="24"/>
        </w:rPr>
        <w:t xml:space="preserve">, andre </w:t>
      </w:r>
      <w:proofErr w:type="spellStart"/>
      <w:r w:rsidR="00295125" w:rsidRPr="00295125">
        <w:rPr>
          <w:sz w:val="24"/>
          <w:szCs w:val="24"/>
        </w:rPr>
        <w:t>analgetika</w:t>
      </w:r>
      <w:proofErr w:type="spellEnd"/>
      <w:r w:rsidR="00295125" w:rsidRPr="00295125">
        <w:rPr>
          <w:sz w:val="24"/>
          <w:szCs w:val="24"/>
        </w:rPr>
        <w:t xml:space="preserve"> og </w:t>
      </w:r>
      <w:proofErr w:type="spellStart"/>
      <w:r w:rsidR="00295125" w:rsidRPr="00295125">
        <w:rPr>
          <w:sz w:val="24"/>
          <w:szCs w:val="24"/>
        </w:rPr>
        <w:t>antipyretika</w:t>
      </w:r>
      <w:proofErr w:type="spellEnd"/>
      <w:r w:rsidR="00295125" w:rsidRPr="00295125">
        <w:rPr>
          <w:sz w:val="24"/>
          <w:szCs w:val="24"/>
        </w:rPr>
        <w:t xml:space="preserve">, </w:t>
      </w:r>
      <w:proofErr w:type="spellStart"/>
      <w:r w:rsidR="00295125" w:rsidRPr="00295125">
        <w:rPr>
          <w:sz w:val="24"/>
          <w:szCs w:val="24"/>
        </w:rPr>
        <w:t>Gabapendinioder</w:t>
      </w:r>
      <w:proofErr w:type="spellEnd"/>
      <w:r w:rsidR="00295125" w:rsidRPr="00295125">
        <w:rPr>
          <w:sz w:val="24"/>
          <w:szCs w:val="24"/>
        </w:rPr>
        <w:t xml:space="preserve">. ATC-kode: </w:t>
      </w:r>
      <w:r w:rsidR="00295125" w:rsidRPr="00295125">
        <w:rPr>
          <w:sz w:val="24"/>
          <w:szCs w:val="24"/>
        </w:rPr>
        <w:br/>
        <w:t>N 02 BF 01.</w:t>
      </w:r>
    </w:p>
    <w:p w:rsidR="00DA0D56" w:rsidRDefault="00DA0D56" w:rsidP="004D62EE">
      <w:pPr>
        <w:tabs>
          <w:tab w:val="left" w:pos="851"/>
        </w:tabs>
        <w:ind w:left="851" w:hanging="851"/>
        <w:rPr>
          <w:sz w:val="24"/>
          <w:szCs w:val="24"/>
          <w:u w:val="single"/>
          <w:lang w:eastAsia="da-DK"/>
        </w:rPr>
      </w:pPr>
    </w:p>
    <w:p w:rsidR="0070746C" w:rsidRPr="0082015D" w:rsidRDefault="0070746C" w:rsidP="0070746C">
      <w:pPr>
        <w:autoSpaceDE w:val="0"/>
        <w:autoSpaceDN w:val="0"/>
        <w:adjustRightInd w:val="0"/>
        <w:ind w:left="851"/>
        <w:rPr>
          <w:sz w:val="24"/>
          <w:szCs w:val="24"/>
          <w:u w:val="single"/>
          <w:lang w:eastAsia="da-DK"/>
        </w:rPr>
      </w:pPr>
      <w:r w:rsidRPr="0082015D">
        <w:rPr>
          <w:sz w:val="24"/>
          <w:szCs w:val="24"/>
          <w:u w:val="single"/>
          <w:lang w:eastAsia="da-DK"/>
        </w:rPr>
        <w:t>Virkningsmekanisme</w:t>
      </w:r>
    </w:p>
    <w:p w:rsidR="0070746C" w:rsidRPr="0082015D"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w:t>
      </w:r>
      <w:proofErr w:type="spellEnd"/>
      <w:r w:rsidRPr="0082015D">
        <w:rPr>
          <w:sz w:val="24"/>
          <w:szCs w:val="24"/>
          <w:lang w:eastAsia="da-DK"/>
        </w:rPr>
        <w:t xml:space="preserve"> trænger hurtigt ind i hjernen og forhindrer anfald i et utal af epilepsi-dyremodeller. </w:t>
      </w:r>
      <w:proofErr w:type="spellStart"/>
      <w:r w:rsidRPr="0082015D">
        <w:rPr>
          <w:sz w:val="24"/>
          <w:szCs w:val="24"/>
          <w:lang w:eastAsia="da-DK"/>
        </w:rPr>
        <w:t>Gabapentin</w:t>
      </w:r>
      <w:proofErr w:type="spellEnd"/>
      <w:r w:rsidRPr="0082015D">
        <w:rPr>
          <w:sz w:val="24"/>
          <w:szCs w:val="24"/>
          <w:lang w:eastAsia="da-DK"/>
        </w:rPr>
        <w:t xml:space="preserve"> har ingen affinitet til hverken GABA</w:t>
      </w:r>
      <w:r w:rsidRPr="0082015D">
        <w:rPr>
          <w:sz w:val="24"/>
          <w:szCs w:val="24"/>
          <w:vertAlign w:val="subscript"/>
          <w:lang w:eastAsia="da-DK"/>
        </w:rPr>
        <w:t>A</w:t>
      </w:r>
      <w:r w:rsidRPr="0082015D">
        <w:rPr>
          <w:sz w:val="24"/>
          <w:szCs w:val="24"/>
          <w:lang w:eastAsia="da-DK"/>
        </w:rPr>
        <w:t xml:space="preserve"> eller </w:t>
      </w:r>
      <w:proofErr w:type="gramStart"/>
      <w:r w:rsidRPr="0082015D">
        <w:rPr>
          <w:sz w:val="24"/>
          <w:szCs w:val="24"/>
          <w:lang w:eastAsia="da-DK"/>
        </w:rPr>
        <w:t>GABA</w:t>
      </w:r>
      <w:r w:rsidRPr="0082015D">
        <w:rPr>
          <w:sz w:val="24"/>
          <w:szCs w:val="24"/>
          <w:vertAlign w:val="subscript"/>
          <w:lang w:eastAsia="da-DK"/>
        </w:rPr>
        <w:t>B</w:t>
      </w:r>
      <w:r w:rsidRPr="0082015D">
        <w:rPr>
          <w:sz w:val="24"/>
          <w:szCs w:val="24"/>
          <w:lang w:eastAsia="da-DK"/>
        </w:rPr>
        <w:t xml:space="preserve"> receptorer</w:t>
      </w:r>
      <w:proofErr w:type="gramEnd"/>
      <w:r w:rsidRPr="0082015D">
        <w:rPr>
          <w:sz w:val="24"/>
          <w:szCs w:val="24"/>
          <w:lang w:eastAsia="da-DK"/>
        </w:rPr>
        <w:t xml:space="preserve"> eller ændrer metabolismen af GABA. </w:t>
      </w:r>
      <w:proofErr w:type="spellStart"/>
      <w:r w:rsidRPr="0082015D">
        <w:rPr>
          <w:sz w:val="24"/>
          <w:szCs w:val="24"/>
          <w:lang w:eastAsia="da-DK"/>
        </w:rPr>
        <w:t>Gabapentin</w:t>
      </w:r>
      <w:proofErr w:type="spellEnd"/>
      <w:r w:rsidRPr="0082015D">
        <w:rPr>
          <w:sz w:val="24"/>
          <w:szCs w:val="24"/>
          <w:lang w:eastAsia="da-DK"/>
        </w:rPr>
        <w:t xml:space="preserve"> binder ikke til andre neurotransmitter-receptorer i hjernen og interagerer ikke med natriumkanalerne. </w:t>
      </w:r>
      <w:proofErr w:type="spellStart"/>
      <w:r w:rsidRPr="0082015D">
        <w:rPr>
          <w:sz w:val="24"/>
          <w:szCs w:val="24"/>
          <w:lang w:eastAsia="da-DK"/>
        </w:rPr>
        <w:t>Gabapentin</w:t>
      </w:r>
      <w:proofErr w:type="spellEnd"/>
      <w:r w:rsidRPr="0082015D">
        <w:rPr>
          <w:sz w:val="24"/>
          <w:szCs w:val="24"/>
          <w:lang w:eastAsia="da-DK"/>
        </w:rPr>
        <w:t xml:space="preserve"> binder med høj affinitet til α2δ (alpha-2-delta) subenheden i spændingsafhængige kalciumkanaler. Det er denne binding til α2δ subunit, der menes at være årsagen til </w:t>
      </w:r>
      <w:proofErr w:type="spellStart"/>
      <w:r w:rsidRPr="0082015D">
        <w:rPr>
          <w:sz w:val="24"/>
          <w:szCs w:val="24"/>
          <w:lang w:eastAsia="da-DK"/>
        </w:rPr>
        <w:t>gabapentins</w:t>
      </w:r>
      <w:proofErr w:type="spellEnd"/>
      <w:r w:rsidRPr="0082015D">
        <w:rPr>
          <w:sz w:val="24"/>
          <w:szCs w:val="24"/>
          <w:lang w:eastAsia="da-DK"/>
        </w:rPr>
        <w:t xml:space="preserve"> effekt mod anfald hos dyr. En bred panelscreening har ikke indikeret en anden mekanisme end α2δ.</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lang w:eastAsia="da-DK"/>
        </w:rPr>
      </w:pPr>
      <w:r w:rsidRPr="0082015D">
        <w:rPr>
          <w:sz w:val="24"/>
          <w:szCs w:val="24"/>
          <w:lang w:eastAsia="da-DK"/>
        </w:rPr>
        <w:t xml:space="preserve">Dokumentation fra flere prækliniske modeller viser, at </w:t>
      </w:r>
      <w:proofErr w:type="spellStart"/>
      <w:r w:rsidRPr="0082015D">
        <w:rPr>
          <w:sz w:val="24"/>
          <w:szCs w:val="24"/>
          <w:lang w:eastAsia="da-DK"/>
        </w:rPr>
        <w:t>gabapentins</w:t>
      </w:r>
      <w:proofErr w:type="spellEnd"/>
      <w:r w:rsidRPr="0082015D">
        <w:rPr>
          <w:sz w:val="24"/>
          <w:szCs w:val="24"/>
          <w:lang w:eastAsia="da-DK"/>
        </w:rPr>
        <w:t xml:space="preserve"> farmakologiske aktivitet muligvis kan blive medieret via en binding til α2δ gennem en reduktion i frigivelse af </w:t>
      </w:r>
      <w:proofErr w:type="spellStart"/>
      <w:r w:rsidRPr="0082015D">
        <w:rPr>
          <w:sz w:val="24"/>
          <w:szCs w:val="24"/>
          <w:lang w:eastAsia="da-DK"/>
        </w:rPr>
        <w:t>excitatoriske</w:t>
      </w:r>
      <w:proofErr w:type="spellEnd"/>
      <w:r w:rsidRPr="0082015D">
        <w:rPr>
          <w:sz w:val="24"/>
          <w:szCs w:val="24"/>
          <w:lang w:eastAsia="da-DK"/>
        </w:rPr>
        <w:t xml:space="preserve"> neurotransmittere i regioner af centralnervesystemet. Denne aktivitet kan ligge til grund for </w:t>
      </w:r>
      <w:proofErr w:type="spellStart"/>
      <w:r w:rsidRPr="0082015D">
        <w:rPr>
          <w:sz w:val="24"/>
          <w:szCs w:val="24"/>
          <w:lang w:eastAsia="da-DK"/>
        </w:rPr>
        <w:t>gabapentins</w:t>
      </w:r>
      <w:proofErr w:type="spellEnd"/>
      <w:r w:rsidRPr="0082015D">
        <w:rPr>
          <w:sz w:val="24"/>
          <w:szCs w:val="24"/>
          <w:lang w:eastAsia="da-DK"/>
        </w:rPr>
        <w:t xml:space="preserve"> effekt mod kramper. Relevansen af disse </w:t>
      </w:r>
      <w:proofErr w:type="spellStart"/>
      <w:r w:rsidRPr="0082015D">
        <w:rPr>
          <w:sz w:val="24"/>
          <w:szCs w:val="24"/>
          <w:lang w:eastAsia="da-DK"/>
        </w:rPr>
        <w:t>antikonvulsive</w:t>
      </w:r>
      <w:proofErr w:type="spellEnd"/>
      <w:r w:rsidRPr="0082015D">
        <w:rPr>
          <w:sz w:val="24"/>
          <w:szCs w:val="24"/>
          <w:lang w:eastAsia="da-DK"/>
        </w:rPr>
        <w:t xml:space="preserve"> virkninger af </w:t>
      </w:r>
      <w:proofErr w:type="spellStart"/>
      <w:r w:rsidRPr="0082015D">
        <w:rPr>
          <w:sz w:val="24"/>
          <w:szCs w:val="24"/>
          <w:lang w:eastAsia="da-DK"/>
        </w:rPr>
        <w:t>gabapention</w:t>
      </w:r>
      <w:proofErr w:type="spellEnd"/>
      <w:r w:rsidRPr="0082015D">
        <w:rPr>
          <w:sz w:val="24"/>
          <w:szCs w:val="24"/>
          <w:lang w:eastAsia="da-DK"/>
        </w:rPr>
        <w:t xml:space="preserve"> hos mennesker er endnu ikke etableret.</w:t>
      </w:r>
    </w:p>
    <w:p w:rsidR="0070746C" w:rsidRPr="0082015D" w:rsidRDefault="0070746C" w:rsidP="0070746C">
      <w:pPr>
        <w:autoSpaceDE w:val="0"/>
        <w:autoSpaceDN w:val="0"/>
        <w:adjustRightInd w:val="0"/>
        <w:ind w:left="851"/>
        <w:rPr>
          <w:sz w:val="24"/>
          <w:szCs w:val="24"/>
          <w:lang w:eastAsia="da-DK"/>
        </w:rPr>
      </w:pPr>
    </w:p>
    <w:p w:rsidR="0070746C"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w:t>
      </w:r>
      <w:proofErr w:type="spellEnd"/>
      <w:r w:rsidRPr="0082015D">
        <w:rPr>
          <w:sz w:val="24"/>
          <w:szCs w:val="24"/>
          <w:lang w:eastAsia="da-DK"/>
        </w:rPr>
        <w:t xml:space="preserve"> har også vist effekt i flere prækliniske smertedyremodeller. Den specifikke effekt af bindingen af </w:t>
      </w:r>
      <w:proofErr w:type="spellStart"/>
      <w:r w:rsidRPr="0082015D">
        <w:rPr>
          <w:sz w:val="24"/>
          <w:szCs w:val="24"/>
          <w:lang w:eastAsia="da-DK"/>
        </w:rPr>
        <w:t>gabapentin</w:t>
      </w:r>
      <w:proofErr w:type="spellEnd"/>
      <w:r w:rsidRPr="0082015D">
        <w:rPr>
          <w:sz w:val="24"/>
          <w:szCs w:val="24"/>
          <w:lang w:eastAsia="da-DK"/>
        </w:rPr>
        <w:t xml:space="preserve"> til α2δ-subdelen foreslås at give forskellige virkninger, der kan være ansvarlige for den analgetiske effekt i dyreforsøg. </w:t>
      </w:r>
      <w:proofErr w:type="spellStart"/>
      <w:r w:rsidRPr="0082015D">
        <w:rPr>
          <w:sz w:val="24"/>
          <w:szCs w:val="24"/>
          <w:lang w:eastAsia="da-DK"/>
        </w:rPr>
        <w:t>Gabapentins</w:t>
      </w:r>
      <w:proofErr w:type="spellEnd"/>
      <w:r w:rsidRPr="0082015D">
        <w:rPr>
          <w:sz w:val="24"/>
          <w:szCs w:val="24"/>
          <w:lang w:eastAsia="da-DK"/>
        </w:rPr>
        <w:t xml:space="preserve"> analgetiske effekt kan foregå i rygmarven såvel som i hjernen gennem interaktion med de descenderende smertehæmmende baner i centralnervesystemet. Relevansen af disse prækliniske egenskaber i forhold til den kliniske effekt hos mennesker kendes ikke.</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u w:val="single"/>
          <w:lang w:eastAsia="da-DK"/>
        </w:rPr>
      </w:pPr>
      <w:r w:rsidRPr="0082015D">
        <w:rPr>
          <w:sz w:val="24"/>
          <w:szCs w:val="24"/>
          <w:u w:val="single"/>
          <w:lang w:eastAsia="da-DK"/>
        </w:rPr>
        <w:t>Klinisk virkning og sikkerhed</w:t>
      </w:r>
    </w:p>
    <w:p w:rsidR="0070746C" w:rsidRPr="0082015D" w:rsidRDefault="0070746C" w:rsidP="0070746C">
      <w:pPr>
        <w:autoSpaceDE w:val="0"/>
        <w:autoSpaceDN w:val="0"/>
        <w:adjustRightInd w:val="0"/>
        <w:ind w:left="851"/>
        <w:rPr>
          <w:sz w:val="24"/>
          <w:szCs w:val="24"/>
          <w:lang w:eastAsia="da-DK"/>
        </w:rPr>
      </w:pPr>
      <w:r w:rsidRPr="0082015D">
        <w:rPr>
          <w:sz w:val="24"/>
          <w:szCs w:val="24"/>
          <w:lang w:eastAsia="da-DK"/>
        </w:rPr>
        <w:t>En klinisk undersøgelse af tillægsbehandling af partiel epilepsi hos børn i alderen 3-12 år viste en numerisk, men ikke statistisk signifikant, forskel i 50 %-</w:t>
      </w:r>
      <w:proofErr w:type="spellStart"/>
      <w:r w:rsidRPr="0082015D">
        <w:rPr>
          <w:sz w:val="24"/>
          <w:szCs w:val="24"/>
          <w:lang w:eastAsia="da-DK"/>
        </w:rPr>
        <w:t>responderraten</w:t>
      </w:r>
      <w:proofErr w:type="spellEnd"/>
      <w:r w:rsidRPr="0082015D">
        <w:rPr>
          <w:sz w:val="24"/>
          <w:szCs w:val="24"/>
          <w:lang w:eastAsia="da-DK"/>
        </w:rPr>
        <w:t xml:space="preserve"> til fordel for </w:t>
      </w:r>
      <w:proofErr w:type="spellStart"/>
      <w:r w:rsidRPr="0082015D">
        <w:rPr>
          <w:sz w:val="24"/>
          <w:szCs w:val="24"/>
          <w:lang w:eastAsia="da-DK"/>
        </w:rPr>
        <w:t>gabapentingruppen</w:t>
      </w:r>
      <w:proofErr w:type="spellEnd"/>
      <w:r w:rsidRPr="0082015D">
        <w:rPr>
          <w:sz w:val="24"/>
          <w:szCs w:val="24"/>
          <w:lang w:eastAsia="da-DK"/>
        </w:rPr>
        <w:t xml:space="preserve"> sammenlignet med placebo. Derudover viste post hoc-analyse af </w:t>
      </w:r>
      <w:proofErr w:type="spellStart"/>
      <w:r w:rsidRPr="0082015D">
        <w:rPr>
          <w:sz w:val="24"/>
          <w:szCs w:val="24"/>
          <w:lang w:eastAsia="da-DK"/>
        </w:rPr>
        <w:lastRenderedPageBreak/>
        <w:t>responderraterne</w:t>
      </w:r>
      <w:proofErr w:type="spellEnd"/>
      <w:r w:rsidRPr="0082015D">
        <w:rPr>
          <w:sz w:val="24"/>
          <w:szCs w:val="24"/>
          <w:lang w:eastAsia="da-DK"/>
        </w:rPr>
        <w:t xml:space="preserve"> efter alder ikke nogen statistisk signifikant effekt efter alder, hverken som vedvarende eller </w:t>
      </w:r>
      <w:proofErr w:type="spellStart"/>
      <w:r w:rsidRPr="0082015D">
        <w:rPr>
          <w:sz w:val="24"/>
          <w:szCs w:val="24"/>
          <w:lang w:eastAsia="da-DK"/>
        </w:rPr>
        <w:t>dikotom</w:t>
      </w:r>
      <w:proofErr w:type="spellEnd"/>
      <w:r w:rsidRPr="0082015D">
        <w:rPr>
          <w:sz w:val="24"/>
          <w:szCs w:val="24"/>
          <w:lang w:eastAsia="da-DK"/>
        </w:rPr>
        <w:t xml:space="preserve"> variabel (aldersgruppe 3-5 år og 6-12 år).</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lang w:eastAsia="da-DK"/>
        </w:rPr>
      </w:pPr>
      <w:r w:rsidRPr="0082015D">
        <w:rPr>
          <w:sz w:val="24"/>
          <w:szCs w:val="24"/>
          <w:lang w:eastAsia="da-DK"/>
        </w:rPr>
        <w:t>Dataene fra denne post hoc-analyse er opsummeret i nedenstående tabel:</w:t>
      </w:r>
    </w:p>
    <w:p w:rsidR="0070746C" w:rsidRPr="0082015D" w:rsidRDefault="0070746C" w:rsidP="0070746C">
      <w:pPr>
        <w:autoSpaceDE w:val="0"/>
        <w:autoSpaceDN w:val="0"/>
        <w:adjustRightInd w:val="0"/>
        <w:ind w:left="851"/>
        <w:rPr>
          <w:sz w:val="24"/>
          <w:szCs w:val="24"/>
          <w:lang w:eastAsia="da-D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984"/>
        <w:gridCol w:w="1985"/>
        <w:gridCol w:w="1701"/>
      </w:tblGrid>
      <w:tr w:rsidR="0070746C" w:rsidRPr="0082015D" w:rsidTr="00CC223B">
        <w:trPr>
          <w:jc w:val="center"/>
        </w:trPr>
        <w:tc>
          <w:tcPr>
            <w:tcW w:w="7763" w:type="dxa"/>
            <w:gridSpan w:val="4"/>
            <w:vAlign w:val="center"/>
          </w:tcPr>
          <w:p w:rsidR="0070746C" w:rsidRPr="0082015D" w:rsidRDefault="0070746C" w:rsidP="00CC223B">
            <w:pPr>
              <w:autoSpaceDE w:val="0"/>
              <w:autoSpaceDN w:val="0"/>
              <w:adjustRightInd w:val="0"/>
              <w:ind w:left="29"/>
              <w:rPr>
                <w:sz w:val="24"/>
                <w:szCs w:val="24"/>
                <w:lang w:eastAsia="da-DK"/>
              </w:rPr>
            </w:pPr>
            <w:r w:rsidRPr="0082015D">
              <w:rPr>
                <w:sz w:val="24"/>
                <w:szCs w:val="24"/>
                <w:lang w:eastAsia="da-DK"/>
              </w:rPr>
              <w:t>Respons (</w:t>
            </w:r>
            <w:r w:rsidRPr="0082015D">
              <w:rPr>
                <w:sz w:val="24"/>
                <w:szCs w:val="24"/>
                <w:cs/>
                <w:lang w:eastAsia="da-DK"/>
              </w:rPr>
              <w:t>≥</w:t>
            </w:r>
            <w:r w:rsidRPr="0082015D">
              <w:rPr>
                <w:sz w:val="24"/>
                <w:szCs w:val="24"/>
                <w:lang w:eastAsia="da-DK"/>
              </w:rPr>
              <w:t>50 % forbedring) efter behandling og alder MITT*-gruppe</w:t>
            </w:r>
          </w:p>
        </w:tc>
      </w:tr>
      <w:tr w:rsidR="0070746C" w:rsidRPr="0082015D" w:rsidTr="00CC223B">
        <w:trPr>
          <w:jc w:val="center"/>
        </w:trPr>
        <w:tc>
          <w:tcPr>
            <w:tcW w:w="2093" w:type="dxa"/>
            <w:vAlign w:val="center"/>
          </w:tcPr>
          <w:p w:rsidR="0070746C" w:rsidRPr="0082015D" w:rsidRDefault="0070746C" w:rsidP="00CC223B">
            <w:pPr>
              <w:autoSpaceDE w:val="0"/>
              <w:autoSpaceDN w:val="0"/>
              <w:adjustRightInd w:val="0"/>
              <w:ind w:left="29"/>
              <w:rPr>
                <w:sz w:val="24"/>
                <w:szCs w:val="24"/>
                <w:lang w:eastAsia="da-DK"/>
              </w:rPr>
            </w:pPr>
            <w:r w:rsidRPr="0082015D">
              <w:rPr>
                <w:sz w:val="24"/>
                <w:szCs w:val="24"/>
                <w:lang w:eastAsia="da-DK"/>
              </w:rPr>
              <w:t>Aldersgruppe</w:t>
            </w:r>
          </w:p>
        </w:tc>
        <w:tc>
          <w:tcPr>
            <w:tcW w:w="1984" w:type="dxa"/>
            <w:vAlign w:val="center"/>
          </w:tcPr>
          <w:p w:rsidR="0070746C" w:rsidRPr="0082015D" w:rsidRDefault="0070746C" w:rsidP="00CC223B">
            <w:pPr>
              <w:autoSpaceDE w:val="0"/>
              <w:autoSpaceDN w:val="0"/>
              <w:adjustRightInd w:val="0"/>
              <w:ind w:left="29"/>
              <w:rPr>
                <w:sz w:val="24"/>
                <w:szCs w:val="24"/>
                <w:lang w:eastAsia="da-DK"/>
              </w:rPr>
            </w:pPr>
            <w:r w:rsidRPr="0082015D">
              <w:rPr>
                <w:sz w:val="24"/>
                <w:szCs w:val="24"/>
                <w:lang w:eastAsia="da-DK"/>
              </w:rPr>
              <w:t>Placebo</w:t>
            </w:r>
          </w:p>
        </w:tc>
        <w:tc>
          <w:tcPr>
            <w:tcW w:w="1985" w:type="dxa"/>
            <w:vAlign w:val="center"/>
          </w:tcPr>
          <w:p w:rsidR="0070746C" w:rsidRPr="0082015D" w:rsidRDefault="0070746C" w:rsidP="00CC223B">
            <w:pPr>
              <w:autoSpaceDE w:val="0"/>
              <w:autoSpaceDN w:val="0"/>
              <w:adjustRightInd w:val="0"/>
              <w:ind w:left="29"/>
              <w:rPr>
                <w:sz w:val="24"/>
                <w:szCs w:val="24"/>
                <w:lang w:eastAsia="da-DK"/>
              </w:rPr>
            </w:pPr>
            <w:proofErr w:type="spellStart"/>
            <w:r w:rsidRPr="0082015D">
              <w:rPr>
                <w:sz w:val="24"/>
                <w:szCs w:val="24"/>
                <w:lang w:eastAsia="da-DK"/>
              </w:rPr>
              <w:t>Gabapentin</w:t>
            </w:r>
            <w:proofErr w:type="spellEnd"/>
          </w:p>
        </w:tc>
        <w:tc>
          <w:tcPr>
            <w:tcW w:w="1701" w:type="dxa"/>
            <w:vAlign w:val="center"/>
          </w:tcPr>
          <w:p w:rsidR="0070746C" w:rsidRPr="0082015D" w:rsidRDefault="0070746C" w:rsidP="00CC223B">
            <w:pPr>
              <w:autoSpaceDE w:val="0"/>
              <w:autoSpaceDN w:val="0"/>
              <w:adjustRightInd w:val="0"/>
              <w:ind w:left="29"/>
              <w:rPr>
                <w:sz w:val="24"/>
                <w:szCs w:val="24"/>
                <w:lang w:eastAsia="da-DK"/>
              </w:rPr>
            </w:pPr>
            <w:proofErr w:type="spellStart"/>
            <w:r w:rsidRPr="0082015D">
              <w:rPr>
                <w:sz w:val="24"/>
                <w:szCs w:val="24"/>
                <w:lang w:eastAsia="da-DK"/>
              </w:rPr>
              <w:t>P-værdi</w:t>
            </w:r>
            <w:proofErr w:type="spellEnd"/>
          </w:p>
        </w:tc>
      </w:tr>
      <w:tr w:rsidR="0070746C" w:rsidRPr="0082015D" w:rsidTr="00CC223B">
        <w:trPr>
          <w:jc w:val="center"/>
        </w:trPr>
        <w:tc>
          <w:tcPr>
            <w:tcW w:w="2093" w:type="dxa"/>
            <w:vAlign w:val="center"/>
          </w:tcPr>
          <w:p w:rsidR="0070746C" w:rsidRPr="0082015D" w:rsidRDefault="0070746C" w:rsidP="00CC223B">
            <w:pPr>
              <w:autoSpaceDE w:val="0"/>
              <w:autoSpaceDN w:val="0"/>
              <w:adjustRightInd w:val="0"/>
              <w:ind w:left="29"/>
              <w:rPr>
                <w:sz w:val="24"/>
                <w:szCs w:val="24"/>
                <w:lang w:eastAsia="da-DK"/>
              </w:rPr>
            </w:pPr>
            <w:r w:rsidRPr="0082015D">
              <w:rPr>
                <w:sz w:val="24"/>
                <w:szCs w:val="24"/>
                <w:lang w:eastAsia="da-DK"/>
              </w:rPr>
              <w:t>&lt; 6 år</w:t>
            </w:r>
          </w:p>
        </w:tc>
        <w:tc>
          <w:tcPr>
            <w:tcW w:w="1984" w:type="dxa"/>
            <w:vAlign w:val="center"/>
          </w:tcPr>
          <w:p w:rsidR="0070746C" w:rsidRPr="0082015D" w:rsidRDefault="0070746C" w:rsidP="00CC223B">
            <w:pPr>
              <w:autoSpaceDE w:val="0"/>
              <w:autoSpaceDN w:val="0"/>
              <w:adjustRightInd w:val="0"/>
              <w:ind w:left="29"/>
              <w:rPr>
                <w:sz w:val="24"/>
                <w:szCs w:val="24"/>
                <w:lang w:eastAsia="da-DK"/>
              </w:rPr>
            </w:pPr>
            <w:r w:rsidRPr="0082015D">
              <w:rPr>
                <w:sz w:val="24"/>
                <w:szCs w:val="24"/>
                <w:lang w:eastAsia="da-DK"/>
              </w:rPr>
              <w:t>4/21 (19,0 %)</w:t>
            </w:r>
          </w:p>
        </w:tc>
        <w:tc>
          <w:tcPr>
            <w:tcW w:w="1985" w:type="dxa"/>
            <w:vAlign w:val="center"/>
          </w:tcPr>
          <w:p w:rsidR="0070746C" w:rsidRPr="0082015D" w:rsidRDefault="0070746C" w:rsidP="00CC223B">
            <w:pPr>
              <w:autoSpaceDE w:val="0"/>
              <w:autoSpaceDN w:val="0"/>
              <w:adjustRightInd w:val="0"/>
              <w:ind w:left="29"/>
              <w:rPr>
                <w:sz w:val="24"/>
                <w:szCs w:val="24"/>
                <w:lang w:eastAsia="da-DK"/>
              </w:rPr>
            </w:pPr>
            <w:r w:rsidRPr="0082015D">
              <w:rPr>
                <w:sz w:val="24"/>
                <w:szCs w:val="24"/>
                <w:lang w:eastAsia="da-DK"/>
              </w:rPr>
              <w:t>4/17 (23,5 %)</w:t>
            </w:r>
          </w:p>
        </w:tc>
        <w:tc>
          <w:tcPr>
            <w:tcW w:w="1701" w:type="dxa"/>
            <w:vAlign w:val="center"/>
          </w:tcPr>
          <w:p w:rsidR="0070746C" w:rsidRPr="0082015D" w:rsidRDefault="0070746C" w:rsidP="00CC223B">
            <w:pPr>
              <w:autoSpaceDE w:val="0"/>
              <w:autoSpaceDN w:val="0"/>
              <w:adjustRightInd w:val="0"/>
              <w:ind w:left="29"/>
              <w:rPr>
                <w:sz w:val="24"/>
                <w:szCs w:val="24"/>
                <w:lang w:eastAsia="da-DK"/>
              </w:rPr>
            </w:pPr>
            <w:r w:rsidRPr="0082015D">
              <w:rPr>
                <w:sz w:val="24"/>
                <w:szCs w:val="24"/>
                <w:lang w:eastAsia="da-DK"/>
              </w:rPr>
              <w:t>0,7362</w:t>
            </w:r>
          </w:p>
        </w:tc>
      </w:tr>
      <w:tr w:rsidR="0070746C" w:rsidRPr="0082015D" w:rsidTr="00CC223B">
        <w:trPr>
          <w:jc w:val="center"/>
        </w:trPr>
        <w:tc>
          <w:tcPr>
            <w:tcW w:w="2093" w:type="dxa"/>
            <w:vAlign w:val="center"/>
          </w:tcPr>
          <w:p w:rsidR="0070746C" w:rsidRPr="0082015D" w:rsidRDefault="0070746C" w:rsidP="00CC223B">
            <w:pPr>
              <w:autoSpaceDE w:val="0"/>
              <w:autoSpaceDN w:val="0"/>
              <w:adjustRightInd w:val="0"/>
              <w:ind w:left="29"/>
              <w:rPr>
                <w:sz w:val="24"/>
                <w:szCs w:val="24"/>
                <w:lang w:eastAsia="da-DK"/>
              </w:rPr>
            </w:pPr>
            <w:r w:rsidRPr="0082015D">
              <w:rPr>
                <w:sz w:val="24"/>
                <w:szCs w:val="24"/>
                <w:lang w:eastAsia="da-DK"/>
              </w:rPr>
              <w:t>6-12 år</w:t>
            </w:r>
          </w:p>
        </w:tc>
        <w:tc>
          <w:tcPr>
            <w:tcW w:w="1984" w:type="dxa"/>
            <w:vAlign w:val="center"/>
          </w:tcPr>
          <w:p w:rsidR="0070746C" w:rsidRPr="0082015D" w:rsidRDefault="0070746C" w:rsidP="00CC223B">
            <w:pPr>
              <w:autoSpaceDE w:val="0"/>
              <w:autoSpaceDN w:val="0"/>
              <w:adjustRightInd w:val="0"/>
              <w:ind w:left="29"/>
              <w:rPr>
                <w:sz w:val="24"/>
                <w:szCs w:val="24"/>
                <w:lang w:eastAsia="da-DK"/>
              </w:rPr>
            </w:pPr>
            <w:r w:rsidRPr="0082015D">
              <w:rPr>
                <w:sz w:val="24"/>
                <w:szCs w:val="24"/>
                <w:lang w:eastAsia="da-DK"/>
              </w:rPr>
              <w:t>17/99 (17,2 %)</w:t>
            </w:r>
          </w:p>
        </w:tc>
        <w:tc>
          <w:tcPr>
            <w:tcW w:w="1985" w:type="dxa"/>
            <w:vAlign w:val="center"/>
          </w:tcPr>
          <w:p w:rsidR="0070746C" w:rsidRPr="0082015D" w:rsidRDefault="0070746C" w:rsidP="00CC223B">
            <w:pPr>
              <w:autoSpaceDE w:val="0"/>
              <w:autoSpaceDN w:val="0"/>
              <w:adjustRightInd w:val="0"/>
              <w:ind w:left="29"/>
              <w:rPr>
                <w:sz w:val="24"/>
                <w:szCs w:val="24"/>
                <w:lang w:eastAsia="da-DK"/>
              </w:rPr>
            </w:pPr>
            <w:r w:rsidRPr="0082015D">
              <w:rPr>
                <w:sz w:val="24"/>
                <w:szCs w:val="24"/>
                <w:lang w:eastAsia="da-DK"/>
              </w:rPr>
              <w:t>20/96 (20,8 %)</w:t>
            </w:r>
          </w:p>
        </w:tc>
        <w:tc>
          <w:tcPr>
            <w:tcW w:w="1701" w:type="dxa"/>
            <w:vAlign w:val="center"/>
          </w:tcPr>
          <w:p w:rsidR="0070746C" w:rsidRPr="0082015D" w:rsidRDefault="0070746C" w:rsidP="00CC223B">
            <w:pPr>
              <w:autoSpaceDE w:val="0"/>
              <w:autoSpaceDN w:val="0"/>
              <w:adjustRightInd w:val="0"/>
              <w:ind w:left="29"/>
              <w:rPr>
                <w:sz w:val="24"/>
                <w:szCs w:val="24"/>
                <w:lang w:eastAsia="da-DK"/>
              </w:rPr>
            </w:pPr>
            <w:r w:rsidRPr="0082015D">
              <w:rPr>
                <w:sz w:val="24"/>
                <w:szCs w:val="24"/>
                <w:lang w:eastAsia="da-DK"/>
              </w:rPr>
              <w:t>0,5144</w:t>
            </w:r>
          </w:p>
        </w:tc>
      </w:tr>
    </w:tbl>
    <w:p w:rsidR="0070746C" w:rsidRPr="00E1223E" w:rsidRDefault="0070746C" w:rsidP="0070746C">
      <w:pPr>
        <w:autoSpaceDE w:val="0"/>
        <w:autoSpaceDN w:val="0"/>
        <w:adjustRightInd w:val="0"/>
        <w:ind w:left="851"/>
        <w:rPr>
          <w:sz w:val="20"/>
          <w:lang w:eastAsia="da-DK"/>
        </w:rPr>
      </w:pPr>
      <w:r w:rsidRPr="00E1223E">
        <w:rPr>
          <w:sz w:val="20"/>
          <w:lang w:eastAsia="da-DK"/>
        </w:rPr>
        <w:t xml:space="preserve">* Den modificerede intent to </w:t>
      </w:r>
      <w:proofErr w:type="spellStart"/>
      <w:r w:rsidRPr="00E1223E">
        <w:rPr>
          <w:sz w:val="20"/>
          <w:lang w:eastAsia="da-DK"/>
        </w:rPr>
        <w:t>treat</w:t>
      </w:r>
      <w:proofErr w:type="spellEnd"/>
      <w:r w:rsidRPr="00E1223E">
        <w:rPr>
          <w:sz w:val="20"/>
          <w:lang w:eastAsia="da-DK"/>
        </w:rPr>
        <w:t xml:space="preserve">-population er defineret som alle patienter, der er randomiseret til forsøgsmedicin, som også har en </w:t>
      </w:r>
      <w:proofErr w:type="spellStart"/>
      <w:r w:rsidRPr="00E1223E">
        <w:rPr>
          <w:sz w:val="20"/>
          <w:lang w:eastAsia="da-DK"/>
        </w:rPr>
        <w:t>evaluérbar</w:t>
      </w:r>
      <w:proofErr w:type="spellEnd"/>
      <w:r w:rsidRPr="00E1223E">
        <w:rPr>
          <w:sz w:val="20"/>
          <w:lang w:eastAsia="da-DK"/>
        </w:rPr>
        <w:t xml:space="preserve"> dagbog over anfald tilgængelig i 28 dage under både baseline- og dobbeltblindet faserne.</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0746C" w:rsidRPr="0082015D" w:rsidRDefault="0070746C" w:rsidP="0070746C">
      <w:pPr>
        <w:autoSpaceDE w:val="0"/>
        <w:autoSpaceDN w:val="0"/>
        <w:adjustRightInd w:val="0"/>
        <w:ind w:left="851"/>
        <w:rPr>
          <w:sz w:val="24"/>
          <w:szCs w:val="24"/>
          <w:u w:val="single"/>
          <w:lang w:eastAsia="da-DK"/>
        </w:rPr>
      </w:pPr>
      <w:r w:rsidRPr="0082015D">
        <w:rPr>
          <w:sz w:val="24"/>
          <w:szCs w:val="24"/>
          <w:u w:val="single"/>
          <w:lang w:eastAsia="da-DK"/>
        </w:rPr>
        <w:t>Absorption</w:t>
      </w:r>
    </w:p>
    <w:p w:rsidR="0070746C" w:rsidRPr="0082015D"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Gabapentins</w:t>
      </w:r>
      <w:proofErr w:type="spellEnd"/>
      <w:r w:rsidRPr="0082015D">
        <w:rPr>
          <w:sz w:val="24"/>
          <w:szCs w:val="24"/>
          <w:lang w:eastAsia="da-DK"/>
        </w:rPr>
        <w:t xml:space="preserve"> maksimale plasmakoncentration opnås inden for 2-3 timer efter oral administration. </w:t>
      </w:r>
      <w:proofErr w:type="spellStart"/>
      <w:r w:rsidRPr="0082015D">
        <w:rPr>
          <w:sz w:val="24"/>
          <w:szCs w:val="24"/>
          <w:lang w:eastAsia="da-DK"/>
        </w:rPr>
        <w:t>Gabapentins</w:t>
      </w:r>
      <w:proofErr w:type="spellEnd"/>
      <w:r w:rsidRPr="0082015D">
        <w:rPr>
          <w:sz w:val="24"/>
          <w:szCs w:val="24"/>
          <w:lang w:eastAsia="da-DK"/>
        </w:rPr>
        <w:t xml:space="preserve"> biotilgængelighed (fraktion af absorberet dosis) falder, når dosis stiger. Den absolutte biotilgængelighed af en 300 mg kapsel er ca. 60 %. Fødeindtagelse, herunder diæt med højt fedtindhold, har ingen klinisk signifikant effekt på </w:t>
      </w:r>
      <w:proofErr w:type="spellStart"/>
      <w:r w:rsidRPr="0082015D">
        <w:rPr>
          <w:sz w:val="24"/>
          <w:szCs w:val="24"/>
          <w:lang w:eastAsia="da-DK"/>
        </w:rPr>
        <w:t>gabapentins</w:t>
      </w:r>
      <w:proofErr w:type="spellEnd"/>
      <w:r w:rsidRPr="0082015D">
        <w:rPr>
          <w:sz w:val="24"/>
          <w:szCs w:val="24"/>
          <w:lang w:eastAsia="da-DK"/>
        </w:rPr>
        <w:t xml:space="preserve"> farmakokinetik.</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Gabapentins</w:t>
      </w:r>
      <w:proofErr w:type="spellEnd"/>
      <w:r w:rsidRPr="0082015D">
        <w:rPr>
          <w:sz w:val="24"/>
          <w:szCs w:val="24"/>
          <w:lang w:eastAsia="da-DK"/>
        </w:rPr>
        <w:t xml:space="preserve"> farmakokinetik påvirkes ikke af gentagen administration. Selvom </w:t>
      </w:r>
      <w:proofErr w:type="spellStart"/>
      <w:r w:rsidRPr="0082015D">
        <w:rPr>
          <w:sz w:val="24"/>
          <w:szCs w:val="24"/>
          <w:lang w:eastAsia="da-DK"/>
        </w:rPr>
        <w:t>gabapentins</w:t>
      </w:r>
      <w:proofErr w:type="spellEnd"/>
      <w:r w:rsidRPr="0082015D">
        <w:rPr>
          <w:sz w:val="24"/>
          <w:szCs w:val="24"/>
          <w:lang w:eastAsia="da-DK"/>
        </w:rPr>
        <w:t xml:space="preserve"> plasmakoncentration i kliniske undersøgelser generelt var 2 µg/ml og 20 µg/ml, var disse koncentrationer ikke prædikative for sikkerhed eller effekt. De </w:t>
      </w:r>
      <w:proofErr w:type="spellStart"/>
      <w:r w:rsidRPr="0082015D">
        <w:rPr>
          <w:sz w:val="24"/>
          <w:szCs w:val="24"/>
          <w:lang w:eastAsia="da-DK"/>
        </w:rPr>
        <w:t>farmakokinetiske</w:t>
      </w:r>
      <w:proofErr w:type="spellEnd"/>
      <w:r w:rsidRPr="0082015D">
        <w:rPr>
          <w:sz w:val="24"/>
          <w:szCs w:val="24"/>
          <w:lang w:eastAsia="da-DK"/>
        </w:rPr>
        <w:t xml:space="preserve"> parametre er anført i tabel 3.</w:t>
      </w:r>
    </w:p>
    <w:p w:rsidR="00927AD6" w:rsidRDefault="00927AD6">
      <w:pPr>
        <w:rPr>
          <w:sz w:val="24"/>
          <w:szCs w:val="24"/>
          <w:lang w:eastAsia="da-DK"/>
        </w:rPr>
      </w:pPr>
    </w:p>
    <w:p w:rsidR="0070746C" w:rsidRPr="0082015D" w:rsidRDefault="0070746C" w:rsidP="0070746C">
      <w:pPr>
        <w:autoSpaceDE w:val="0"/>
        <w:autoSpaceDN w:val="0"/>
        <w:adjustRightInd w:val="0"/>
        <w:ind w:left="851"/>
        <w:rPr>
          <w:sz w:val="24"/>
          <w:szCs w:val="24"/>
          <w:lang w:eastAsia="da-DK"/>
        </w:rPr>
      </w:pPr>
      <w:r w:rsidRPr="0082015D">
        <w:rPr>
          <w:sz w:val="24"/>
          <w:szCs w:val="24"/>
          <w:lang w:eastAsia="da-DK"/>
        </w:rPr>
        <w:t xml:space="preserve">Tabel 3 Resumé af </w:t>
      </w:r>
      <w:proofErr w:type="spellStart"/>
      <w:r w:rsidRPr="0082015D">
        <w:rPr>
          <w:sz w:val="24"/>
          <w:szCs w:val="24"/>
          <w:lang w:eastAsia="da-DK"/>
        </w:rPr>
        <w:t>gabapentins</w:t>
      </w:r>
      <w:proofErr w:type="spellEnd"/>
      <w:r w:rsidRPr="0082015D">
        <w:rPr>
          <w:sz w:val="24"/>
          <w:szCs w:val="24"/>
          <w:lang w:eastAsia="da-DK"/>
        </w:rPr>
        <w:t xml:space="preserve"> gennemsnitlige (% CV) </w:t>
      </w:r>
      <w:proofErr w:type="spellStart"/>
      <w:r w:rsidRPr="0082015D">
        <w:rPr>
          <w:sz w:val="24"/>
          <w:szCs w:val="24"/>
          <w:lang w:eastAsia="da-DK"/>
        </w:rPr>
        <w:t>steady</w:t>
      </w:r>
      <w:proofErr w:type="spellEnd"/>
      <w:r w:rsidRPr="0082015D">
        <w:rPr>
          <w:sz w:val="24"/>
          <w:szCs w:val="24"/>
          <w:lang w:eastAsia="da-DK"/>
        </w:rPr>
        <w:t xml:space="preserve"> </w:t>
      </w:r>
      <w:proofErr w:type="spellStart"/>
      <w:r w:rsidRPr="0082015D">
        <w:rPr>
          <w:sz w:val="24"/>
          <w:szCs w:val="24"/>
          <w:lang w:eastAsia="da-DK"/>
        </w:rPr>
        <w:t>state-farmakokinetiske</w:t>
      </w:r>
      <w:proofErr w:type="spellEnd"/>
      <w:r w:rsidRPr="0082015D">
        <w:rPr>
          <w:sz w:val="24"/>
          <w:szCs w:val="24"/>
          <w:lang w:eastAsia="da-DK"/>
        </w:rPr>
        <w:t xml:space="preserve"> parametre efter administration hver 8. time.</w:t>
      </w:r>
    </w:p>
    <w:p w:rsidR="0070746C" w:rsidRPr="0082015D" w:rsidRDefault="0070746C" w:rsidP="0070746C">
      <w:pPr>
        <w:autoSpaceDE w:val="0"/>
        <w:autoSpaceDN w:val="0"/>
        <w:adjustRightInd w:val="0"/>
        <w:ind w:left="851"/>
        <w:rPr>
          <w:sz w:val="24"/>
          <w:szCs w:val="24"/>
          <w:lang w:eastAsia="da-DK"/>
        </w:rPr>
      </w:pPr>
    </w:p>
    <w:tbl>
      <w:tblPr>
        <w:tblW w:w="8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1459"/>
        <w:gridCol w:w="959"/>
        <w:gridCol w:w="1394"/>
        <w:gridCol w:w="850"/>
        <w:gridCol w:w="1418"/>
        <w:gridCol w:w="850"/>
      </w:tblGrid>
      <w:tr w:rsidR="0070746C" w:rsidRPr="009D542E" w:rsidTr="00CC223B">
        <w:trPr>
          <w:jc w:val="center"/>
        </w:trPr>
        <w:tc>
          <w:tcPr>
            <w:tcW w:w="1830" w:type="dxa"/>
            <w:vMerge w:val="restart"/>
          </w:tcPr>
          <w:p w:rsidR="0070746C" w:rsidRPr="009D542E" w:rsidRDefault="0070746C" w:rsidP="00CC223B">
            <w:pPr>
              <w:autoSpaceDE w:val="0"/>
              <w:autoSpaceDN w:val="0"/>
              <w:adjustRightInd w:val="0"/>
              <w:rPr>
                <w:sz w:val="22"/>
                <w:szCs w:val="22"/>
                <w:lang w:eastAsia="da-DK"/>
              </w:rPr>
            </w:pPr>
            <w:proofErr w:type="spellStart"/>
            <w:r w:rsidRPr="009D542E">
              <w:rPr>
                <w:sz w:val="22"/>
                <w:szCs w:val="22"/>
                <w:lang w:eastAsia="da-DK"/>
              </w:rPr>
              <w:t>Farmakokinetisk</w:t>
            </w:r>
            <w:proofErr w:type="spellEnd"/>
            <w:r w:rsidRPr="009D542E">
              <w:rPr>
                <w:sz w:val="22"/>
                <w:szCs w:val="22"/>
                <w:lang w:eastAsia="da-DK"/>
              </w:rPr>
              <w:t xml:space="preserve"> parameter</w:t>
            </w:r>
          </w:p>
        </w:tc>
        <w:tc>
          <w:tcPr>
            <w:tcW w:w="2418" w:type="dxa"/>
            <w:gridSpan w:val="2"/>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300 mg</w:t>
            </w:r>
          </w:p>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(N = 7)</w:t>
            </w:r>
          </w:p>
        </w:tc>
        <w:tc>
          <w:tcPr>
            <w:tcW w:w="2244" w:type="dxa"/>
            <w:gridSpan w:val="2"/>
            <w:vAlign w:val="center"/>
          </w:tcPr>
          <w:p w:rsidR="0070746C" w:rsidRPr="009D542E" w:rsidRDefault="0070746C" w:rsidP="00CC223B">
            <w:pPr>
              <w:autoSpaceDE w:val="0"/>
              <w:autoSpaceDN w:val="0"/>
              <w:adjustRightInd w:val="0"/>
              <w:ind w:left="10"/>
              <w:rPr>
                <w:sz w:val="22"/>
                <w:szCs w:val="22"/>
                <w:lang w:eastAsia="da-DK"/>
              </w:rPr>
            </w:pPr>
            <w:r w:rsidRPr="009D542E">
              <w:rPr>
                <w:sz w:val="22"/>
                <w:szCs w:val="22"/>
                <w:lang w:eastAsia="da-DK"/>
              </w:rPr>
              <w:t>400 mg</w:t>
            </w:r>
          </w:p>
          <w:p w:rsidR="0070746C" w:rsidRPr="009D542E" w:rsidRDefault="0070746C" w:rsidP="00CC223B">
            <w:pPr>
              <w:autoSpaceDE w:val="0"/>
              <w:autoSpaceDN w:val="0"/>
              <w:adjustRightInd w:val="0"/>
              <w:ind w:left="10"/>
              <w:rPr>
                <w:sz w:val="22"/>
                <w:szCs w:val="22"/>
                <w:lang w:eastAsia="da-DK"/>
              </w:rPr>
            </w:pPr>
            <w:r w:rsidRPr="009D542E">
              <w:rPr>
                <w:sz w:val="22"/>
                <w:szCs w:val="22"/>
                <w:lang w:eastAsia="da-DK"/>
              </w:rPr>
              <w:t>(N = 14)</w:t>
            </w:r>
          </w:p>
        </w:tc>
        <w:tc>
          <w:tcPr>
            <w:tcW w:w="2268" w:type="dxa"/>
            <w:gridSpan w:val="2"/>
            <w:vAlign w:val="center"/>
          </w:tcPr>
          <w:p w:rsidR="0070746C" w:rsidRPr="009D542E" w:rsidRDefault="0070746C" w:rsidP="00CC223B">
            <w:pPr>
              <w:autoSpaceDE w:val="0"/>
              <w:autoSpaceDN w:val="0"/>
              <w:adjustRightInd w:val="0"/>
              <w:ind w:left="81"/>
              <w:rPr>
                <w:sz w:val="22"/>
                <w:szCs w:val="22"/>
                <w:lang w:eastAsia="da-DK"/>
              </w:rPr>
            </w:pPr>
            <w:r w:rsidRPr="009D542E">
              <w:rPr>
                <w:sz w:val="22"/>
                <w:szCs w:val="22"/>
                <w:lang w:eastAsia="da-DK"/>
              </w:rPr>
              <w:t>800 mg</w:t>
            </w:r>
          </w:p>
          <w:p w:rsidR="0070746C" w:rsidRPr="009D542E" w:rsidRDefault="0070746C" w:rsidP="00CC223B">
            <w:pPr>
              <w:autoSpaceDE w:val="0"/>
              <w:autoSpaceDN w:val="0"/>
              <w:adjustRightInd w:val="0"/>
              <w:ind w:left="81"/>
              <w:rPr>
                <w:sz w:val="22"/>
                <w:szCs w:val="22"/>
                <w:lang w:eastAsia="da-DK"/>
              </w:rPr>
            </w:pPr>
            <w:r w:rsidRPr="009D542E">
              <w:rPr>
                <w:sz w:val="22"/>
                <w:szCs w:val="22"/>
                <w:lang w:eastAsia="da-DK"/>
              </w:rPr>
              <w:t>(N=14)</w:t>
            </w:r>
          </w:p>
        </w:tc>
      </w:tr>
      <w:tr w:rsidR="0070746C" w:rsidRPr="009D542E" w:rsidTr="00CC223B">
        <w:trPr>
          <w:jc w:val="center"/>
        </w:trPr>
        <w:tc>
          <w:tcPr>
            <w:tcW w:w="1830" w:type="dxa"/>
            <w:vMerge/>
            <w:vAlign w:val="center"/>
          </w:tcPr>
          <w:p w:rsidR="0070746C" w:rsidRPr="009D542E" w:rsidRDefault="0070746C" w:rsidP="00CC223B">
            <w:pPr>
              <w:autoSpaceDE w:val="0"/>
              <w:autoSpaceDN w:val="0"/>
              <w:adjustRightInd w:val="0"/>
              <w:rPr>
                <w:sz w:val="22"/>
                <w:szCs w:val="22"/>
                <w:lang w:eastAsia="da-DK"/>
              </w:rPr>
            </w:pPr>
          </w:p>
        </w:tc>
        <w:tc>
          <w:tcPr>
            <w:tcW w:w="14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Gennemsnit</w:t>
            </w:r>
          </w:p>
        </w:tc>
        <w:tc>
          <w:tcPr>
            <w:tcW w:w="9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 CV</w:t>
            </w:r>
          </w:p>
        </w:tc>
        <w:tc>
          <w:tcPr>
            <w:tcW w:w="1394" w:type="dxa"/>
            <w:vAlign w:val="center"/>
          </w:tcPr>
          <w:p w:rsidR="0070746C" w:rsidRPr="009D542E" w:rsidRDefault="0070746C" w:rsidP="00CC223B">
            <w:pPr>
              <w:autoSpaceDE w:val="0"/>
              <w:autoSpaceDN w:val="0"/>
              <w:adjustRightInd w:val="0"/>
              <w:ind w:left="10"/>
              <w:rPr>
                <w:sz w:val="22"/>
                <w:szCs w:val="22"/>
                <w:lang w:eastAsia="da-DK"/>
              </w:rPr>
            </w:pPr>
            <w:r w:rsidRPr="009D542E">
              <w:rPr>
                <w:sz w:val="22"/>
                <w:szCs w:val="22"/>
                <w:lang w:eastAsia="da-DK"/>
              </w:rPr>
              <w:t>Gennemsnit</w:t>
            </w:r>
          </w:p>
        </w:tc>
        <w:tc>
          <w:tcPr>
            <w:tcW w:w="850" w:type="dxa"/>
            <w:vAlign w:val="center"/>
          </w:tcPr>
          <w:p w:rsidR="0070746C" w:rsidRPr="009D542E" w:rsidRDefault="0070746C" w:rsidP="00CC223B">
            <w:pPr>
              <w:autoSpaceDE w:val="0"/>
              <w:autoSpaceDN w:val="0"/>
              <w:adjustRightInd w:val="0"/>
              <w:rPr>
                <w:sz w:val="22"/>
                <w:szCs w:val="22"/>
                <w:lang w:eastAsia="da-DK"/>
              </w:rPr>
            </w:pPr>
            <w:r w:rsidRPr="009D542E">
              <w:rPr>
                <w:sz w:val="22"/>
                <w:szCs w:val="22"/>
                <w:lang w:eastAsia="da-DK"/>
              </w:rPr>
              <w:t>% CV</w:t>
            </w:r>
          </w:p>
        </w:tc>
        <w:tc>
          <w:tcPr>
            <w:tcW w:w="1418"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Gennemsnit</w:t>
            </w:r>
          </w:p>
        </w:tc>
        <w:tc>
          <w:tcPr>
            <w:tcW w:w="850"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 CV</w:t>
            </w:r>
          </w:p>
        </w:tc>
      </w:tr>
      <w:tr w:rsidR="0070746C" w:rsidRPr="009D542E" w:rsidTr="00CC223B">
        <w:trPr>
          <w:jc w:val="center"/>
        </w:trPr>
        <w:tc>
          <w:tcPr>
            <w:tcW w:w="1830" w:type="dxa"/>
            <w:vAlign w:val="center"/>
          </w:tcPr>
          <w:p w:rsidR="0070746C" w:rsidRPr="009D542E" w:rsidRDefault="0070746C" w:rsidP="00CC223B">
            <w:pPr>
              <w:autoSpaceDE w:val="0"/>
              <w:autoSpaceDN w:val="0"/>
              <w:adjustRightInd w:val="0"/>
              <w:rPr>
                <w:sz w:val="22"/>
                <w:szCs w:val="22"/>
                <w:lang w:eastAsia="da-DK"/>
              </w:rPr>
            </w:pPr>
            <w:proofErr w:type="spellStart"/>
            <w:r w:rsidRPr="009D542E">
              <w:rPr>
                <w:sz w:val="22"/>
                <w:szCs w:val="22"/>
                <w:lang w:eastAsia="da-DK"/>
              </w:rPr>
              <w:t>C</w:t>
            </w:r>
            <w:r w:rsidRPr="009D542E">
              <w:rPr>
                <w:sz w:val="22"/>
                <w:szCs w:val="22"/>
                <w:vertAlign w:val="subscript"/>
                <w:lang w:eastAsia="da-DK"/>
              </w:rPr>
              <w:t>max</w:t>
            </w:r>
            <w:proofErr w:type="spellEnd"/>
            <w:r w:rsidRPr="009D542E">
              <w:rPr>
                <w:sz w:val="22"/>
                <w:szCs w:val="22"/>
                <w:lang w:eastAsia="da-DK"/>
              </w:rPr>
              <w:t xml:space="preserve"> (</w:t>
            </w:r>
            <w:proofErr w:type="spellStart"/>
            <w:r w:rsidRPr="009D542E">
              <w:rPr>
                <w:sz w:val="22"/>
                <w:szCs w:val="22"/>
                <w:lang w:eastAsia="da-DK"/>
              </w:rPr>
              <w:t>μg</w:t>
            </w:r>
            <w:proofErr w:type="spellEnd"/>
            <w:r w:rsidRPr="009D542E">
              <w:rPr>
                <w:sz w:val="22"/>
                <w:szCs w:val="22"/>
                <w:lang w:eastAsia="da-DK"/>
              </w:rPr>
              <w:t>/ml)</w:t>
            </w:r>
          </w:p>
        </w:tc>
        <w:tc>
          <w:tcPr>
            <w:tcW w:w="14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4,02</w:t>
            </w:r>
          </w:p>
        </w:tc>
        <w:tc>
          <w:tcPr>
            <w:tcW w:w="9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(24)</w:t>
            </w:r>
          </w:p>
        </w:tc>
        <w:tc>
          <w:tcPr>
            <w:tcW w:w="1394" w:type="dxa"/>
            <w:vAlign w:val="center"/>
          </w:tcPr>
          <w:p w:rsidR="0070746C" w:rsidRPr="009D542E" w:rsidRDefault="0070746C" w:rsidP="00CC223B">
            <w:pPr>
              <w:autoSpaceDE w:val="0"/>
              <w:autoSpaceDN w:val="0"/>
              <w:adjustRightInd w:val="0"/>
              <w:ind w:left="10"/>
              <w:rPr>
                <w:sz w:val="22"/>
                <w:szCs w:val="22"/>
                <w:lang w:eastAsia="da-DK"/>
              </w:rPr>
            </w:pPr>
            <w:r w:rsidRPr="009D542E">
              <w:rPr>
                <w:sz w:val="22"/>
                <w:szCs w:val="22"/>
                <w:lang w:eastAsia="da-DK"/>
              </w:rPr>
              <w:t>5,74</w:t>
            </w:r>
          </w:p>
        </w:tc>
        <w:tc>
          <w:tcPr>
            <w:tcW w:w="850" w:type="dxa"/>
            <w:vAlign w:val="center"/>
          </w:tcPr>
          <w:p w:rsidR="0070746C" w:rsidRPr="009D542E" w:rsidRDefault="0070746C" w:rsidP="00CC223B">
            <w:pPr>
              <w:autoSpaceDE w:val="0"/>
              <w:autoSpaceDN w:val="0"/>
              <w:adjustRightInd w:val="0"/>
              <w:rPr>
                <w:sz w:val="22"/>
                <w:szCs w:val="22"/>
                <w:lang w:eastAsia="da-DK"/>
              </w:rPr>
            </w:pPr>
            <w:r w:rsidRPr="009D542E">
              <w:rPr>
                <w:sz w:val="22"/>
                <w:szCs w:val="22"/>
                <w:lang w:eastAsia="da-DK"/>
              </w:rPr>
              <w:t>(38)</w:t>
            </w:r>
          </w:p>
        </w:tc>
        <w:tc>
          <w:tcPr>
            <w:tcW w:w="1418"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8,71</w:t>
            </w:r>
          </w:p>
        </w:tc>
        <w:tc>
          <w:tcPr>
            <w:tcW w:w="850"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(29)</w:t>
            </w:r>
          </w:p>
        </w:tc>
      </w:tr>
      <w:tr w:rsidR="0070746C" w:rsidRPr="009D542E" w:rsidTr="00CC223B">
        <w:trPr>
          <w:jc w:val="center"/>
        </w:trPr>
        <w:tc>
          <w:tcPr>
            <w:tcW w:w="1830" w:type="dxa"/>
            <w:vAlign w:val="center"/>
          </w:tcPr>
          <w:p w:rsidR="0070746C" w:rsidRPr="009D542E" w:rsidRDefault="0070746C" w:rsidP="00CC223B">
            <w:pPr>
              <w:autoSpaceDE w:val="0"/>
              <w:autoSpaceDN w:val="0"/>
              <w:adjustRightInd w:val="0"/>
              <w:rPr>
                <w:sz w:val="22"/>
                <w:szCs w:val="22"/>
                <w:lang w:eastAsia="da-DK"/>
              </w:rPr>
            </w:pPr>
            <w:proofErr w:type="spellStart"/>
            <w:r w:rsidRPr="009D542E">
              <w:rPr>
                <w:sz w:val="22"/>
                <w:szCs w:val="22"/>
                <w:lang w:eastAsia="da-DK"/>
              </w:rPr>
              <w:t>t</w:t>
            </w:r>
            <w:r w:rsidRPr="009D542E">
              <w:rPr>
                <w:sz w:val="22"/>
                <w:szCs w:val="22"/>
                <w:vertAlign w:val="subscript"/>
                <w:lang w:eastAsia="da-DK"/>
              </w:rPr>
              <w:t>max</w:t>
            </w:r>
            <w:proofErr w:type="spellEnd"/>
            <w:r w:rsidRPr="009D542E">
              <w:rPr>
                <w:sz w:val="22"/>
                <w:szCs w:val="22"/>
                <w:lang w:eastAsia="da-DK"/>
              </w:rPr>
              <w:t xml:space="preserve"> (time)</w:t>
            </w:r>
          </w:p>
        </w:tc>
        <w:tc>
          <w:tcPr>
            <w:tcW w:w="14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2,7</w:t>
            </w:r>
          </w:p>
        </w:tc>
        <w:tc>
          <w:tcPr>
            <w:tcW w:w="9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(18)</w:t>
            </w:r>
          </w:p>
        </w:tc>
        <w:tc>
          <w:tcPr>
            <w:tcW w:w="1394" w:type="dxa"/>
            <w:vAlign w:val="center"/>
          </w:tcPr>
          <w:p w:rsidR="0070746C" w:rsidRPr="009D542E" w:rsidRDefault="0070746C" w:rsidP="00CC223B">
            <w:pPr>
              <w:autoSpaceDE w:val="0"/>
              <w:autoSpaceDN w:val="0"/>
              <w:adjustRightInd w:val="0"/>
              <w:ind w:left="10"/>
              <w:rPr>
                <w:sz w:val="22"/>
                <w:szCs w:val="22"/>
                <w:lang w:eastAsia="da-DK"/>
              </w:rPr>
            </w:pPr>
            <w:r w:rsidRPr="009D542E">
              <w:rPr>
                <w:sz w:val="22"/>
                <w:szCs w:val="22"/>
                <w:lang w:eastAsia="da-DK"/>
              </w:rPr>
              <w:t>2,1</w:t>
            </w:r>
          </w:p>
        </w:tc>
        <w:tc>
          <w:tcPr>
            <w:tcW w:w="850" w:type="dxa"/>
            <w:vAlign w:val="center"/>
          </w:tcPr>
          <w:p w:rsidR="0070746C" w:rsidRPr="009D542E" w:rsidRDefault="0070746C" w:rsidP="00CC223B">
            <w:pPr>
              <w:autoSpaceDE w:val="0"/>
              <w:autoSpaceDN w:val="0"/>
              <w:adjustRightInd w:val="0"/>
              <w:rPr>
                <w:sz w:val="22"/>
                <w:szCs w:val="22"/>
                <w:lang w:eastAsia="da-DK"/>
              </w:rPr>
            </w:pPr>
            <w:r w:rsidRPr="009D542E">
              <w:rPr>
                <w:sz w:val="22"/>
                <w:szCs w:val="22"/>
                <w:lang w:eastAsia="da-DK"/>
              </w:rPr>
              <w:t>(54)</w:t>
            </w:r>
          </w:p>
        </w:tc>
        <w:tc>
          <w:tcPr>
            <w:tcW w:w="1418"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1,6</w:t>
            </w:r>
          </w:p>
        </w:tc>
        <w:tc>
          <w:tcPr>
            <w:tcW w:w="850"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(76)</w:t>
            </w:r>
          </w:p>
        </w:tc>
      </w:tr>
      <w:tr w:rsidR="0070746C" w:rsidRPr="009D542E" w:rsidTr="00CC223B">
        <w:trPr>
          <w:jc w:val="center"/>
        </w:trPr>
        <w:tc>
          <w:tcPr>
            <w:tcW w:w="1830" w:type="dxa"/>
            <w:vAlign w:val="center"/>
          </w:tcPr>
          <w:p w:rsidR="0070746C" w:rsidRPr="009D542E" w:rsidRDefault="0070746C" w:rsidP="00CC223B">
            <w:pPr>
              <w:autoSpaceDE w:val="0"/>
              <w:autoSpaceDN w:val="0"/>
              <w:adjustRightInd w:val="0"/>
              <w:rPr>
                <w:sz w:val="22"/>
                <w:szCs w:val="22"/>
                <w:lang w:eastAsia="da-DK"/>
              </w:rPr>
            </w:pPr>
            <w:r w:rsidRPr="009D542E">
              <w:rPr>
                <w:sz w:val="22"/>
                <w:szCs w:val="22"/>
                <w:lang w:eastAsia="da-DK"/>
              </w:rPr>
              <w:t>T½ (time)</w:t>
            </w:r>
          </w:p>
        </w:tc>
        <w:tc>
          <w:tcPr>
            <w:tcW w:w="14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5,2</w:t>
            </w:r>
          </w:p>
        </w:tc>
        <w:tc>
          <w:tcPr>
            <w:tcW w:w="9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(12)</w:t>
            </w:r>
          </w:p>
        </w:tc>
        <w:tc>
          <w:tcPr>
            <w:tcW w:w="1394" w:type="dxa"/>
            <w:vAlign w:val="center"/>
          </w:tcPr>
          <w:p w:rsidR="0070746C" w:rsidRPr="009D542E" w:rsidRDefault="0070746C" w:rsidP="00CC223B">
            <w:pPr>
              <w:autoSpaceDE w:val="0"/>
              <w:autoSpaceDN w:val="0"/>
              <w:adjustRightInd w:val="0"/>
              <w:ind w:left="10"/>
              <w:rPr>
                <w:sz w:val="22"/>
                <w:szCs w:val="22"/>
                <w:lang w:eastAsia="da-DK"/>
              </w:rPr>
            </w:pPr>
            <w:r w:rsidRPr="009D542E">
              <w:rPr>
                <w:sz w:val="22"/>
                <w:szCs w:val="22"/>
                <w:lang w:eastAsia="da-DK"/>
              </w:rPr>
              <w:t>10,8</w:t>
            </w:r>
          </w:p>
        </w:tc>
        <w:tc>
          <w:tcPr>
            <w:tcW w:w="850" w:type="dxa"/>
            <w:vAlign w:val="center"/>
          </w:tcPr>
          <w:p w:rsidR="0070746C" w:rsidRPr="009D542E" w:rsidRDefault="0070746C" w:rsidP="00CC223B">
            <w:pPr>
              <w:autoSpaceDE w:val="0"/>
              <w:autoSpaceDN w:val="0"/>
              <w:adjustRightInd w:val="0"/>
              <w:rPr>
                <w:sz w:val="22"/>
                <w:szCs w:val="22"/>
                <w:lang w:eastAsia="da-DK"/>
              </w:rPr>
            </w:pPr>
            <w:r w:rsidRPr="009D542E">
              <w:rPr>
                <w:sz w:val="22"/>
                <w:szCs w:val="22"/>
                <w:lang w:eastAsia="da-DK"/>
              </w:rPr>
              <w:t>(89)</w:t>
            </w:r>
          </w:p>
        </w:tc>
        <w:tc>
          <w:tcPr>
            <w:tcW w:w="1418"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10,6</w:t>
            </w:r>
          </w:p>
        </w:tc>
        <w:tc>
          <w:tcPr>
            <w:tcW w:w="850"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(41)</w:t>
            </w:r>
          </w:p>
        </w:tc>
      </w:tr>
      <w:tr w:rsidR="0070746C" w:rsidRPr="009D542E" w:rsidTr="00CC223B">
        <w:trPr>
          <w:jc w:val="center"/>
        </w:trPr>
        <w:tc>
          <w:tcPr>
            <w:tcW w:w="1830" w:type="dxa"/>
            <w:vAlign w:val="center"/>
          </w:tcPr>
          <w:p w:rsidR="0070746C" w:rsidRPr="009D542E" w:rsidRDefault="0070746C" w:rsidP="00CC223B">
            <w:pPr>
              <w:autoSpaceDE w:val="0"/>
              <w:autoSpaceDN w:val="0"/>
              <w:adjustRightInd w:val="0"/>
              <w:rPr>
                <w:sz w:val="22"/>
                <w:szCs w:val="22"/>
                <w:lang w:eastAsia="da-DK"/>
              </w:rPr>
            </w:pPr>
            <w:r w:rsidRPr="009D542E">
              <w:rPr>
                <w:sz w:val="22"/>
                <w:szCs w:val="22"/>
                <w:lang w:eastAsia="da-DK"/>
              </w:rPr>
              <w:t>AUC (0-8) (µg*time/ml)</w:t>
            </w:r>
          </w:p>
        </w:tc>
        <w:tc>
          <w:tcPr>
            <w:tcW w:w="14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24,8</w:t>
            </w:r>
          </w:p>
        </w:tc>
        <w:tc>
          <w:tcPr>
            <w:tcW w:w="9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(24)</w:t>
            </w:r>
          </w:p>
        </w:tc>
        <w:tc>
          <w:tcPr>
            <w:tcW w:w="1394" w:type="dxa"/>
            <w:vAlign w:val="center"/>
          </w:tcPr>
          <w:p w:rsidR="0070746C" w:rsidRPr="009D542E" w:rsidRDefault="0070746C" w:rsidP="00CC223B">
            <w:pPr>
              <w:autoSpaceDE w:val="0"/>
              <w:autoSpaceDN w:val="0"/>
              <w:adjustRightInd w:val="0"/>
              <w:ind w:left="10"/>
              <w:rPr>
                <w:sz w:val="22"/>
                <w:szCs w:val="22"/>
                <w:lang w:eastAsia="da-DK"/>
              </w:rPr>
            </w:pPr>
            <w:r w:rsidRPr="009D542E">
              <w:rPr>
                <w:sz w:val="22"/>
                <w:szCs w:val="22"/>
                <w:lang w:eastAsia="da-DK"/>
              </w:rPr>
              <w:t>34,5</w:t>
            </w:r>
          </w:p>
        </w:tc>
        <w:tc>
          <w:tcPr>
            <w:tcW w:w="850" w:type="dxa"/>
            <w:vAlign w:val="center"/>
          </w:tcPr>
          <w:p w:rsidR="0070746C" w:rsidRPr="009D542E" w:rsidRDefault="0070746C" w:rsidP="00CC223B">
            <w:pPr>
              <w:autoSpaceDE w:val="0"/>
              <w:autoSpaceDN w:val="0"/>
              <w:adjustRightInd w:val="0"/>
              <w:rPr>
                <w:sz w:val="22"/>
                <w:szCs w:val="22"/>
                <w:lang w:eastAsia="da-DK"/>
              </w:rPr>
            </w:pPr>
            <w:r w:rsidRPr="009D542E">
              <w:rPr>
                <w:sz w:val="22"/>
                <w:szCs w:val="22"/>
                <w:lang w:eastAsia="da-DK"/>
              </w:rPr>
              <w:t>(34)</w:t>
            </w:r>
          </w:p>
        </w:tc>
        <w:tc>
          <w:tcPr>
            <w:tcW w:w="1418"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51,4</w:t>
            </w:r>
          </w:p>
        </w:tc>
        <w:tc>
          <w:tcPr>
            <w:tcW w:w="850"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(27)</w:t>
            </w:r>
          </w:p>
        </w:tc>
      </w:tr>
      <w:tr w:rsidR="0070746C" w:rsidRPr="009D542E" w:rsidTr="00CC223B">
        <w:trPr>
          <w:jc w:val="center"/>
        </w:trPr>
        <w:tc>
          <w:tcPr>
            <w:tcW w:w="1830" w:type="dxa"/>
            <w:vAlign w:val="center"/>
          </w:tcPr>
          <w:p w:rsidR="0070746C" w:rsidRPr="009D542E" w:rsidRDefault="0070746C" w:rsidP="00CC223B">
            <w:pPr>
              <w:autoSpaceDE w:val="0"/>
              <w:autoSpaceDN w:val="0"/>
              <w:adjustRightInd w:val="0"/>
              <w:rPr>
                <w:sz w:val="22"/>
                <w:szCs w:val="22"/>
                <w:lang w:eastAsia="da-DK"/>
              </w:rPr>
            </w:pPr>
            <w:r w:rsidRPr="009D542E">
              <w:rPr>
                <w:sz w:val="22"/>
                <w:szCs w:val="22"/>
                <w:lang w:eastAsia="da-DK"/>
              </w:rPr>
              <w:t>Ae % (%)</w:t>
            </w:r>
          </w:p>
        </w:tc>
        <w:tc>
          <w:tcPr>
            <w:tcW w:w="14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NA</w:t>
            </w:r>
          </w:p>
        </w:tc>
        <w:tc>
          <w:tcPr>
            <w:tcW w:w="959" w:type="dxa"/>
            <w:vAlign w:val="center"/>
          </w:tcPr>
          <w:p w:rsidR="0070746C" w:rsidRPr="009D542E" w:rsidRDefault="0070746C" w:rsidP="00CC223B">
            <w:pPr>
              <w:autoSpaceDE w:val="0"/>
              <w:autoSpaceDN w:val="0"/>
              <w:adjustRightInd w:val="0"/>
              <w:ind w:left="83"/>
              <w:rPr>
                <w:sz w:val="22"/>
                <w:szCs w:val="22"/>
                <w:lang w:eastAsia="da-DK"/>
              </w:rPr>
            </w:pPr>
            <w:r w:rsidRPr="009D542E">
              <w:rPr>
                <w:sz w:val="22"/>
                <w:szCs w:val="22"/>
                <w:lang w:eastAsia="da-DK"/>
              </w:rPr>
              <w:t>NA</w:t>
            </w:r>
          </w:p>
        </w:tc>
        <w:tc>
          <w:tcPr>
            <w:tcW w:w="1394" w:type="dxa"/>
            <w:vAlign w:val="center"/>
          </w:tcPr>
          <w:p w:rsidR="0070746C" w:rsidRPr="009D542E" w:rsidRDefault="0070746C" w:rsidP="00CC223B">
            <w:pPr>
              <w:autoSpaceDE w:val="0"/>
              <w:autoSpaceDN w:val="0"/>
              <w:adjustRightInd w:val="0"/>
              <w:ind w:left="10"/>
              <w:rPr>
                <w:sz w:val="22"/>
                <w:szCs w:val="22"/>
                <w:lang w:eastAsia="da-DK"/>
              </w:rPr>
            </w:pPr>
            <w:r w:rsidRPr="009D542E">
              <w:rPr>
                <w:sz w:val="22"/>
                <w:szCs w:val="22"/>
                <w:lang w:eastAsia="da-DK"/>
              </w:rPr>
              <w:t>47,2</w:t>
            </w:r>
          </w:p>
        </w:tc>
        <w:tc>
          <w:tcPr>
            <w:tcW w:w="850" w:type="dxa"/>
            <w:vAlign w:val="center"/>
          </w:tcPr>
          <w:p w:rsidR="0070746C" w:rsidRPr="009D542E" w:rsidRDefault="0070746C" w:rsidP="00CC223B">
            <w:pPr>
              <w:autoSpaceDE w:val="0"/>
              <w:autoSpaceDN w:val="0"/>
              <w:adjustRightInd w:val="0"/>
              <w:rPr>
                <w:sz w:val="22"/>
                <w:szCs w:val="22"/>
                <w:lang w:eastAsia="da-DK"/>
              </w:rPr>
            </w:pPr>
            <w:r w:rsidRPr="009D542E">
              <w:rPr>
                <w:sz w:val="22"/>
                <w:szCs w:val="22"/>
                <w:lang w:eastAsia="da-DK"/>
              </w:rPr>
              <w:t>(25)</w:t>
            </w:r>
          </w:p>
        </w:tc>
        <w:tc>
          <w:tcPr>
            <w:tcW w:w="1418"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34,4</w:t>
            </w:r>
          </w:p>
        </w:tc>
        <w:tc>
          <w:tcPr>
            <w:tcW w:w="850" w:type="dxa"/>
            <w:vAlign w:val="center"/>
          </w:tcPr>
          <w:p w:rsidR="0070746C" w:rsidRPr="009D542E" w:rsidRDefault="0070746C" w:rsidP="00CC223B">
            <w:pPr>
              <w:autoSpaceDE w:val="0"/>
              <w:autoSpaceDN w:val="0"/>
              <w:adjustRightInd w:val="0"/>
              <w:ind w:left="34"/>
              <w:rPr>
                <w:sz w:val="22"/>
                <w:szCs w:val="22"/>
                <w:lang w:eastAsia="da-DK"/>
              </w:rPr>
            </w:pPr>
            <w:r w:rsidRPr="009D542E">
              <w:rPr>
                <w:sz w:val="22"/>
                <w:szCs w:val="22"/>
                <w:lang w:eastAsia="da-DK"/>
              </w:rPr>
              <w:t>(37)</w:t>
            </w:r>
          </w:p>
        </w:tc>
      </w:tr>
      <w:tr w:rsidR="0070746C" w:rsidRPr="009D542E" w:rsidTr="00CC223B">
        <w:trPr>
          <w:jc w:val="center"/>
        </w:trPr>
        <w:tc>
          <w:tcPr>
            <w:tcW w:w="8760" w:type="dxa"/>
            <w:gridSpan w:val="7"/>
            <w:vAlign w:val="center"/>
          </w:tcPr>
          <w:p w:rsidR="0070746C" w:rsidRPr="00BE4217" w:rsidRDefault="0070746C" w:rsidP="00CC223B">
            <w:pPr>
              <w:autoSpaceDE w:val="0"/>
              <w:autoSpaceDN w:val="0"/>
              <w:adjustRightInd w:val="0"/>
              <w:rPr>
                <w:sz w:val="20"/>
                <w:lang w:val="en-US" w:eastAsia="da-DK"/>
              </w:rPr>
            </w:pPr>
            <w:proofErr w:type="spellStart"/>
            <w:r w:rsidRPr="00BE4217">
              <w:rPr>
                <w:sz w:val="20"/>
                <w:lang w:val="en-US" w:eastAsia="da-DK"/>
              </w:rPr>
              <w:t>C</w:t>
            </w:r>
            <w:r w:rsidRPr="00BE4217">
              <w:rPr>
                <w:sz w:val="20"/>
                <w:vertAlign w:val="subscript"/>
                <w:lang w:val="en-US" w:eastAsia="da-DK"/>
              </w:rPr>
              <w:t>max</w:t>
            </w:r>
            <w:proofErr w:type="spellEnd"/>
            <w:r w:rsidRPr="00BE4217">
              <w:rPr>
                <w:sz w:val="20"/>
                <w:lang w:val="en-US" w:eastAsia="da-DK"/>
              </w:rPr>
              <w:t xml:space="preserve"> = </w:t>
            </w:r>
            <w:proofErr w:type="spellStart"/>
            <w:r w:rsidRPr="00BE4217">
              <w:rPr>
                <w:sz w:val="20"/>
                <w:lang w:val="en-US" w:eastAsia="da-DK"/>
              </w:rPr>
              <w:t>Maksimal</w:t>
            </w:r>
            <w:proofErr w:type="spellEnd"/>
            <w:r w:rsidRPr="00BE4217">
              <w:rPr>
                <w:sz w:val="20"/>
                <w:lang w:val="en-US" w:eastAsia="da-DK"/>
              </w:rPr>
              <w:t xml:space="preserve"> steady state-</w:t>
            </w:r>
            <w:proofErr w:type="spellStart"/>
            <w:r w:rsidRPr="00BE4217">
              <w:rPr>
                <w:sz w:val="20"/>
                <w:lang w:val="en-US" w:eastAsia="da-DK"/>
              </w:rPr>
              <w:t>plasmakoncentration</w:t>
            </w:r>
            <w:proofErr w:type="spellEnd"/>
          </w:p>
          <w:p w:rsidR="0070746C" w:rsidRPr="00BE4217" w:rsidRDefault="0070746C" w:rsidP="00CC223B">
            <w:pPr>
              <w:autoSpaceDE w:val="0"/>
              <w:autoSpaceDN w:val="0"/>
              <w:adjustRightInd w:val="0"/>
              <w:rPr>
                <w:sz w:val="20"/>
                <w:lang w:val="en-US" w:eastAsia="da-DK"/>
              </w:rPr>
            </w:pPr>
            <w:proofErr w:type="spellStart"/>
            <w:r w:rsidRPr="00BE4217">
              <w:rPr>
                <w:sz w:val="20"/>
                <w:lang w:val="en-US" w:eastAsia="da-DK"/>
              </w:rPr>
              <w:t>t</w:t>
            </w:r>
            <w:r w:rsidRPr="00BE4217">
              <w:rPr>
                <w:sz w:val="20"/>
                <w:vertAlign w:val="subscript"/>
                <w:lang w:val="en-US" w:eastAsia="da-DK"/>
              </w:rPr>
              <w:t>max</w:t>
            </w:r>
            <w:proofErr w:type="spellEnd"/>
            <w:r w:rsidRPr="00BE4217">
              <w:rPr>
                <w:sz w:val="20"/>
                <w:lang w:val="en-US" w:eastAsia="da-DK"/>
              </w:rPr>
              <w:t xml:space="preserve"> = </w:t>
            </w:r>
            <w:proofErr w:type="spellStart"/>
            <w:r w:rsidRPr="00BE4217">
              <w:rPr>
                <w:sz w:val="20"/>
                <w:lang w:val="en-US" w:eastAsia="da-DK"/>
              </w:rPr>
              <w:t>Tid</w:t>
            </w:r>
            <w:proofErr w:type="spellEnd"/>
            <w:r w:rsidRPr="00BE4217">
              <w:rPr>
                <w:sz w:val="20"/>
                <w:lang w:val="en-US" w:eastAsia="da-DK"/>
              </w:rPr>
              <w:t xml:space="preserve"> for </w:t>
            </w:r>
            <w:proofErr w:type="spellStart"/>
            <w:r w:rsidRPr="00BE4217">
              <w:rPr>
                <w:sz w:val="20"/>
                <w:lang w:val="en-US" w:eastAsia="da-DK"/>
              </w:rPr>
              <w:t>C</w:t>
            </w:r>
            <w:r w:rsidRPr="00BE4217">
              <w:rPr>
                <w:sz w:val="20"/>
                <w:vertAlign w:val="subscript"/>
                <w:lang w:val="en-US" w:eastAsia="da-DK"/>
              </w:rPr>
              <w:t>max</w:t>
            </w:r>
            <w:proofErr w:type="spellEnd"/>
          </w:p>
          <w:p w:rsidR="0070746C" w:rsidRPr="00BE4217" w:rsidRDefault="0070746C" w:rsidP="00CC223B">
            <w:pPr>
              <w:autoSpaceDE w:val="0"/>
              <w:autoSpaceDN w:val="0"/>
              <w:adjustRightInd w:val="0"/>
              <w:rPr>
                <w:sz w:val="20"/>
                <w:lang w:eastAsia="da-DK"/>
              </w:rPr>
            </w:pPr>
            <w:r w:rsidRPr="00BE4217">
              <w:rPr>
                <w:sz w:val="20"/>
                <w:lang w:eastAsia="da-DK"/>
              </w:rPr>
              <w:t>T½ = Eliminationshalveringstid</w:t>
            </w:r>
          </w:p>
          <w:p w:rsidR="0070746C" w:rsidRPr="00BE4217" w:rsidRDefault="0070746C" w:rsidP="00CC223B">
            <w:pPr>
              <w:autoSpaceDE w:val="0"/>
              <w:autoSpaceDN w:val="0"/>
              <w:adjustRightInd w:val="0"/>
              <w:rPr>
                <w:sz w:val="20"/>
                <w:lang w:eastAsia="da-DK"/>
              </w:rPr>
            </w:pPr>
            <w:r w:rsidRPr="00BE4217">
              <w:rPr>
                <w:sz w:val="20"/>
                <w:lang w:eastAsia="da-DK"/>
              </w:rPr>
              <w:t xml:space="preserve">AUC (0-8) = </w:t>
            </w:r>
            <w:proofErr w:type="spellStart"/>
            <w:r w:rsidRPr="00BE4217">
              <w:rPr>
                <w:sz w:val="20"/>
                <w:lang w:eastAsia="da-DK"/>
              </w:rPr>
              <w:t>Steady</w:t>
            </w:r>
            <w:proofErr w:type="spellEnd"/>
            <w:r w:rsidRPr="00BE4217">
              <w:rPr>
                <w:sz w:val="20"/>
                <w:lang w:eastAsia="da-DK"/>
              </w:rPr>
              <w:t xml:space="preserve"> state-arealet under plasmakoncentration-tidskurven fra tid 0-8 timer efter dosis</w:t>
            </w:r>
          </w:p>
          <w:p w:rsidR="0070746C" w:rsidRPr="00BE4217" w:rsidRDefault="0070746C" w:rsidP="00CC223B">
            <w:pPr>
              <w:autoSpaceDE w:val="0"/>
              <w:autoSpaceDN w:val="0"/>
              <w:adjustRightInd w:val="0"/>
              <w:rPr>
                <w:sz w:val="20"/>
                <w:lang w:eastAsia="da-DK"/>
              </w:rPr>
            </w:pPr>
            <w:r w:rsidRPr="00BE4217">
              <w:rPr>
                <w:sz w:val="20"/>
                <w:lang w:eastAsia="da-DK"/>
              </w:rPr>
              <w:t>Ae % = Procent af dosis udskilt i uforandret form i urinen fra tid 0-8 timer efter dosis</w:t>
            </w:r>
          </w:p>
          <w:p w:rsidR="0070746C" w:rsidRPr="009D542E" w:rsidRDefault="0070746C" w:rsidP="00CC223B">
            <w:pPr>
              <w:autoSpaceDE w:val="0"/>
              <w:autoSpaceDN w:val="0"/>
              <w:adjustRightInd w:val="0"/>
              <w:rPr>
                <w:sz w:val="22"/>
                <w:szCs w:val="22"/>
                <w:lang w:eastAsia="da-DK"/>
              </w:rPr>
            </w:pPr>
            <w:r w:rsidRPr="00BE4217">
              <w:rPr>
                <w:sz w:val="20"/>
                <w:lang w:eastAsia="da-DK"/>
              </w:rPr>
              <w:t>N/A = Ikke tilgængelig</w:t>
            </w:r>
          </w:p>
        </w:tc>
      </w:tr>
    </w:tbl>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u w:val="single"/>
          <w:lang w:eastAsia="da-DK"/>
        </w:rPr>
      </w:pPr>
      <w:r w:rsidRPr="0082015D">
        <w:rPr>
          <w:sz w:val="24"/>
          <w:szCs w:val="24"/>
          <w:u w:val="single"/>
          <w:lang w:eastAsia="da-DK"/>
        </w:rPr>
        <w:t>Fordeling</w:t>
      </w:r>
    </w:p>
    <w:p w:rsidR="0070746C" w:rsidRPr="0082015D"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w:t>
      </w:r>
      <w:proofErr w:type="spellEnd"/>
      <w:r w:rsidRPr="0082015D">
        <w:rPr>
          <w:sz w:val="24"/>
          <w:szCs w:val="24"/>
          <w:lang w:eastAsia="da-DK"/>
        </w:rPr>
        <w:t xml:space="preserve"> bindes ikke til plasmaproteiner og har et fordelingsvolumen på 57,7 liter. Hos patienter med epilepsi er </w:t>
      </w:r>
      <w:proofErr w:type="spellStart"/>
      <w:r w:rsidRPr="0082015D">
        <w:rPr>
          <w:sz w:val="24"/>
          <w:szCs w:val="24"/>
          <w:lang w:eastAsia="da-DK"/>
        </w:rPr>
        <w:t>gabapentinkoncentrationen</w:t>
      </w:r>
      <w:proofErr w:type="spellEnd"/>
      <w:r w:rsidRPr="0082015D">
        <w:rPr>
          <w:sz w:val="24"/>
          <w:szCs w:val="24"/>
          <w:lang w:eastAsia="da-DK"/>
        </w:rPr>
        <w:t xml:space="preserve"> i cerebrospinalvæsken (CSF) ca. 20 % af den tilsvarende plasmakoncentration ved </w:t>
      </w:r>
      <w:proofErr w:type="spellStart"/>
      <w:r w:rsidRPr="0082015D">
        <w:rPr>
          <w:sz w:val="24"/>
          <w:szCs w:val="24"/>
          <w:lang w:eastAsia="da-DK"/>
        </w:rPr>
        <w:t>steady</w:t>
      </w:r>
      <w:proofErr w:type="spellEnd"/>
      <w:r w:rsidRPr="0082015D">
        <w:rPr>
          <w:sz w:val="24"/>
          <w:szCs w:val="24"/>
          <w:lang w:eastAsia="da-DK"/>
        </w:rPr>
        <w:t xml:space="preserve"> </w:t>
      </w:r>
      <w:proofErr w:type="spellStart"/>
      <w:r w:rsidRPr="0082015D">
        <w:rPr>
          <w:sz w:val="24"/>
          <w:szCs w:val="24"/>
          <w:lang w:eastAsia="da-DK"/>
        </w:rPr>
        <w:t>state</w:t>
      </w:r>
      <w:proofErr w:type="spellEnd"/>
      <w:r w:rsidRPr="0082015D">
        <w:rPr>
          <w:sz w:val="24"/>
          <w:szCs w:val="24"/>
          <w:lang w:eastAsia="da-DK"/>
        </w:rPr>
        <w:t xml:space="preserve">. </w:t>
      </w:r>
      <w:proofErr w:type="spellStart"/>
      <w:r w:rsidRPr="0082015D">
        <w:rPr>
          <w:sz w:val="24"/>
          <w:szCs w:val="24"/>
          <w:lang w:eastAsia="da-DK"/>
        </w:rPr>
        <w:t>Gabapentin</w:t>
      </w:r>
      <w:proofErr w:type="spellEnd"/>
      <w:r w:rsidRPr="0082015D">
        <w:rPr>
          <w:sz w:val="24"/>
          <w:szCs w:val="24"/>
          <w:lang w:eastAsia="da-DK"/>
        </w:rPr>
        <w:t xml:space="preserve"> findes i modermælken hos ammende kvinder.</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u w:val="single"/>
          <w:lang w:eastAsia="da-DK"/>
        </w:rPr>
      </w:pPr>
      <w:r w:rsidRPr="0082015D">
        <w:rPr>
          <w:sz w:val="24"/>
          <w:szCs w:val="24"/>
          <w:u w:val="single"/>
          <w:lang w:eastAsia="da-DK"/>
        </w:rPr>
        <w:t>Biotransformation</w:t>
      </w:r>
    </w:p>
    <w:p w:rsidR="0070746C" w:rsidRPr="0082015D" w:rsidRDefault="0070746C" w:rsidP="0070746C">
      <w:pPr>
        <w:autoSpaceDE w:val="0"/>
        <w:autoSpaceDN w:val="0"/>
        <w:adjustRightInd w:val="0"/>
        <w:ind w:left="851"/>
        <w:rPr>
          <w:sz w:val="24"/>
          <w:szCs w:val="24"/>
          <w:lang w:eastAsia="da-DK"/>
        </w:rPr>
      </w:pPr>
      <w:r w:rsidRPr="0082015D">
        <w:rPr>
          <w:sz w:val="24"/>
          <w:szCs w:val="24"/>
          <w:lang w:eastAsia="da-DK"/>
        </w:rPr>
        <w:lastRenderedPageBreak/>
        <w:t xml:space="preserve">Der er ingen evidens for metabolisk omsætning hos mennesker. </w:t>
      </w:r>
      <w:proofErr w:type="spellStart"/>
      <w:r w:rsidRPr="0082015D">
        <w:rPr>
          <w:sz w:val="24"/>
          <w:szCs w:val="24"/>
          <w:lang w:eastAsia="da-DK"/>
        </w:rPr>
        <w:t>Gabapentin</w:t>
      </w:r>
      <w:proofErr w:type="spellEnd"/>
      <w:r w:rsidRPr="0082015D">
        <w:rPr>
          <w:sz w:val="24"/>
          <w:szCs w:val="24"/>
          <w:lang w:eastAsia="da-DK"/>
        </w:rPr>
        <w:t xml:space="preserve"> inducerer ikke </w:t>
      </w:r>
      <w:proofErr w:type="spellStart"/>
      <w:r w:rsidRPr="0082015D">
        <w:rPr>
          <w:sz w:val="24"/>
          <w:szCs w:val="24"/>
          <w:lang w:eastAsia="da-DK"/>
        </w:rPr>
        <w:t>hepatisk</w:t>
      </w:r>
      <w:proofErr w:type="spellEnd"/>
      <w:r w:rsidRPr="0082015D">
        <w:rPr>
          <w:sz w:val="24"/>
          <w:szCs w:val="24"/>
          <w:lang w:eastAsia="da-DK"/>
        </w:rPr>
        <w:t xml:space="preserve"> blandede </w:t>
      </w:r>
      <w:proofErr w:type="spellStart"/>
      <w:r w:rsidRPr="0082015D">
        <w:rPr>
          <w:sz w:val="24"/>
          <w:szCs w:val="24"/>
          <w:lang w:eastAsia="da-DK"/>
        </w:rPr>
        <w:t>funktionsoxidaseenzymer</w:t>
      </w:r>
      <w:proofErr w:type="spellEnd"/>
      <w:r w:rsidRPr="0082015D">
        <w:rPr>
          <w:sz w:val="24"/>
          <w:szCs w:val="24"/>
          <w:lang w:eastAsia="da-DK"/>
        </w:rPr>
        <w:t>, som er ansvarlige for lægemiddelmetabolisme.</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u w:val="single"/>
          <w:lang w:eastAsia="da-DK"/>
        </w:rPr>
      </w:pPr>
      <w:r w:rsidRPr="0082015D">
        <w:rPr>
          <w:sz w:val="24"/>
          <w:szCs w:val="24"/>
          <w:u w:val="single"/>
          <w:lang w:eastAsia="da-DK"/>
        </w:rPr>
        <w:t>Elimination</w:t>
      </w:r>
    </w:p>
    <w:p w:rsidR="0070746C" w:rsidRPr="0082015D"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w:t>
      </w:r>
      <w:proofErr w:type="spellEnd"/>
      <w:r w:rsidRPr="0082015D">
        <w:rPr>
          <w:sz w:val="24"/>
          <w:szCs w:val="24"/>
          <w:lang w:eastAsia="da-DK"/>
        </w:rPr>
        <w:t xml:space="preserve"> udskilles </w:t>
      </w:r>
      <w:proofErr w:type="spellStart"/>
      <w:r w:rsidRPr="0082015D">
        <w:rPr>
          <w:sz w:val="24"/>
          <w:szCs w:val="24"/>
          <w:lang w:eastAsia="da-DK"/>
        </w:rPr>
        <w:t>uomdannet</w:t>
      </w:r>
      <w:proofErr w:type="spellEnd"/>
      <w:r w:rsidRPr="0082015D">
        <w:rPr>
          <w:sz w:val="24"/>
          <w:szCs w:val="24"/>
          <w:lang w:eastAsia="da-DK"/>
        </w:rPr>
        <w:t xml:space="preserve"> gennem nyrerne alene. Eliminationshalveringstiden for </w:t>
      </w:r>
      <w:proofErr w:type="spellStart"/>
      <w:r w:rsidRPr="0082015D">
        <w:rPr>
          <w:sz w:val="24"/>
          <w:szCs w:val="24"/>
          <w:lang w:eastAsia="da-DK"/>
        </w:rPr>
        <w:t>gabapentin</w:t>
      </w:r>
      <w:proofErr w:type="spellEnd"/>
      <w:r w:rsidRPr="0082015D">
        <w:rPr>
          <w:sz w:val="24"/>
          <w:szCs w:val="24"/>
          <w:lang w:eastAsia="da-DK"/>
        </w:rPr>
        <w:t xml:space="preserve"> er uafhængig af dosis og er i gennemsnit 5-7 timer.</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lang w:eastAsia="da-DK"/>
        </w:rPr>
      </w:pPr>
      <w:r w:rsidRPr="0082015D">
        <w:rPr>
          <w:sz w:val="24"/>
          <w:szCs w:val="24"/>
          <w:lang w:eastAsia="da-DK"/>
        </w:rPr>
        <w:t xml:space="preserve">Hos ældre patienter samt hos patienter med nedsat nyrefunktion er </w:t>
      </w:r>
      <w:proofErr w:type="spellStart"/>
      <w:r w:rsidRPr="0082015D">
        <w:rPr>
          <w:sz w:val="24"/>
          <w:szCs w:val="24"/>
          <w:lang w:eastAsia="da-DK"/>
        </w:rPr>
        <w:t>plasmaclearance</w:t>
      </w:r>
      <w:proofErr w:type="spellEnd"/>
      <w:r w:rsidRPr="0082015D">
        <w:rPr>
          <w:sz w:val="24"/>
          <w:szCs w:val="24"/>
          <w:lang w:eastAsia="da-DK"/>
        </w:rPr>
        <w:t xml:space="preserve"> nedsat. </w:t>
      </w:r>
      <w:proofErr w:type="spellStart"/>
      <w:r w:rsidRPr="0082015D">
        <w:rPr>
          <w:sz w:val="24"/>
          <w:szCs w:val="24"/>
          <w:lang w:eastAsia="da-DK"/>
        </w:rPr>
        <w:t>Gabapentins</w:t>
      </w:r>
      <w:proofErr w:type="spellEnd"/>
      <w:r w:rsidRPr="0082015D">
        <w:rPr>
          <w:sz w:val="24"/>
          <w:szCs w:val="24"/>
          <w:lang w:eastAsia="da-DK"/>
        </w:rPr>
        <w:t xml:space="preserve"> eliminationshastighedskonstant, </w:t>
      </w:r>
      <w:proofErr w:type="spellStart"/>
      <w:r w:rsidRPr="0082015D">
        <w:rPr>
          <w:sz w:val="24"/>
          <w:szCs w:val="24"/>
          <w:lang w:eastAsia="da-DK"/>
        </w:rPr>
        <w:t>plasmaclearance</w:t>
      </w:r>
      <w:proofErr w:type="spellEnd"/>
      <w:r w:rsidRPr="0082015D">
        <w:rPr>
          <w:sz w:val="24"/>
          <w:szCs w:val="24"/>
          <w:lang w:eastAsia="da-DK"/>
        </w:rPr>
        <w:t xml:space="preserve"> og </w:t>
      </w:r>
      <w:proofErr w:type="spellStart"/>
      <w:r w:rsidRPr="0082015D">
        <w:rPr>
          <w:sz w:val="24"/>
          <w:szCs w:val="24"/>
          <w:lang w:eastAsia="da-DK"/>
        </w:rPr>
        <w:t>renalclearance</w:t>
      </w:r>
      <w:proofErr w:type="spellEnd"/>
      <w:r w:rsidRPr="0082015D">
        <w:rPr>
          <w:sz w:val="24"/>
          <w:szCs w:val="24"/>
          <w:lang w:eastAsia="da-DK"/>
        </w:rPr>
        <w:t xml:space="preserve"> er direkte proportionale med </w:t>
      </w:r>
      <w:proofErr w:type="spellStart"/>
      <w:r w:rsidRPr="0082015D">
        <w:rPr>
          <w:sz w:val="24"/>
          <w:szCs w:val="24"/>
          <w:lang w:eastAsia="da-DK"/>
        </w:rPr>
        <w:t>kreatininclearance</w:t>
      </w:r>
      <w:proofErr w:type="spellEnd"/>
      <w:r w:rsidRPr="0082015D">
        <w:rPr>
          <w:sz w:val="24"/>
          <w:szCs w:val="24"/>
          <w:lang w:eastAsia="da-DK"/>
        </w:rPr>
        <w:t>.</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w:t>
      </w:r>
      <w:proofErr w:type="spellEnd"/>
      <w:r w:rsidRPr="0082015D">
        <w:rPr>
          <w:sz w:val="24"/>
          <w:szCs w:val="24"/>
          <w:lang w:eastAsia="da-DK"/>
        </w:rPr>
        <w:t xml:space="preserve"> fjernes fra plasma ved hæmodialyse. Dosisjustering anbefales hos patienter med nedsat nyrefunktion eller patienter, som er i hæmodialysebehandling (se pkt. 4.2).</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Gabapentins</w:t>
      </w:r>
      <w:proofErr w:type="spellEnd"/>
      <w:r w:rsidRPr="0082015D">
        <w:rPr>
          <w:sz w:val="24"/>
          <w:szCs w:val="24"/>
          <w:lang w:eastAsia="da-DK"/>
        </w:rPr>
        <w:t xml:space="preserve"> farmakokinetik hos børn er fastsat hos 50 raske forsøgspersoner i alderen 1 måned til 12 år. </w:t>
      </w:r>
      <w:proofErr w:type="spellStart"/>
      <w:r w:rsidRPr="0082015D">
        <w:rPr>
          <w:sz w:val="24"/>
          <w:szCs w:val="24"/>
          <w:lang w:eastAsia="da-DK"/>
        </w:rPr>
        <w:t>Gabapentins</w:t>
      </w:r>
      <w:proofErr w:type="spellEnd"/>
      <w:r w:rsidRPr="0082015D">
        <w:rPr>
          <w:sz w:val="24"/>
          <w:szCs w:val="24"/>
          <w:lang w:eastAsia="da-DK"/>
        </w:rPr>
        <w:t xml:space="preserve"> plasmakoncentration hos børn &gt;5 år er generelt den samme som hos voksne, når dosis er beregnet i mg/kg.</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lang w:eastAsia="da-DK"/>
        </w:rPr>
      </w:pPr>
      <w:r w:rsidRPr="0082015D">
        <w:rPr>
          <w:sz w:val="24"/>
          <w:szCs w:val="24"/>
          <w:lang w:eastAsia="da-DK"/>
        </w:rPr>
        <w:t xml:space="preserve">I et </w:t>
      </w:r>
      <w:proofErr w:type="spellStart"/>
      <w:r w:rsidRPr="0082015D">
        <w:rPr>
          <w:sz w:val="24"/>
          <w:szCs w:val="24"/>
          <w:lang w:eastAsia="da-DK"/>
        </w:rPr>
        <w:t>farmakokinetisk</w:t>
      </w:r>
      <w:proofErr w:type="spellEnd"/>
      <w:r w:rsidRPr="0082015D">
        <w:rPr>
          <w:sz w:val="24"/>
          <w:szCs w:val="24"/>
          <w:lang w:eastAsia="da-DK"/>
        </w:rPr>
        <w:t xml:space="preserve"> studie med 24 raske børn i alderen 1 til 48 måneder, blev der set en ca. 30 % lavere eksponering (AUC), en lavere </w:t>
      </w:r>
      <w:proofErr w:type="spellStart"/>
      <w:r w:rsidRPr="0082015D">
        <w:rPr>
          <w:sz w:val="24"/>
          <w:szCs w:val="24"/>
          <w:lang w:eastAsia="da-DK"/>
        </w:rPr>
        <w:t>C</w:t>
      </w:r>
      <w:r w:rsidRPr="0082015D">
        <w:rPr>
          <w:sz w:val="24"/>
          <w:szCs w:val="24"/>
          <w:vertAlign w:val="subscript"/>
          <w:lang w:eastAsia="da-DK"/>
        </w:rPr>
        <w:t>max</w:t>
      </w:r>
      <w:proofErr w:type="spellEnd"/>
      <w:r w:rsidRPr="0082015D">
        <w:rPr>
          <w:sz w:val="24"/>
          <w:szCs w:val="24"/>
          <w:lang w:eastAsia="da-DK"/>
        </w:rPr>
        <w:t xml:space="preserve"> og en højere </w:t>
      </w:r>
      <w:proofErr w:type="spellStart"/>
      <w:r w:rsidRPr="0082015D">
        <w:rPr>
          <w:sz w:val="24"/>
          <w:szCs w:val="24"/>
          <w:lang w:eastAsia="da-DK"/>
        </w:rPr>
        <w:t>clearance</w:t>
      </w:r>
      <w:proofErr w:type="spellEnd"/>
      <w:r w:rsidRPr="0082015D">
        <w:rPr>
          <w:sz w:val="24"/>
          <w:szCs w:val="24"/>
          <w:lang w:eastAsia="da-DK"/>
        </w:rPr>
        <w:t xml:space="preserve"> pr. kg legemsvægt sammenlignet med tilgængelige rapporterede data for børn over 5 år.</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u w:val="single"/>
          <w:lang w:eastAsia="da-DK"/>
        </w:rPr>
      </w:pPr>
      <w:r w:rsidRPr="0082015D">
        <w:rPr>
          <w:sz w:val="24"/>
          <w:szCs w:val="24"/>
          <w:u w:val="single"/>
          <w:lang w:eastAsia="da-DK"/>
        </w:rPr>
        <w:t>Linearitet/non-linearitet</w:t>
      </w:r>
    </w:p>
    <w:p w:rsidR="0070746C" w:rsidRPr="00C84483"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Gabapentins</w:t>
      </w:r>
      <w:proofErr w:type="spellEnd"/>
      <w:r w:rsidRPr="0082015D">
        <w:rPr>
          <w:sz w:val="24"/>
          <w:szCs w:val="24"/>
          <w:lang w:eastAsia="da-DK"/>
        </w:rPr>
        <w:t xml:space="preserve"> biotilgængelighed (fraktion af absorberet dosis) falder, når dosis stiger, hvilket overfører non-linearitet til </w:t>
      </w:r>
      <w:proofErr w:type="spellStart"/>
      <w:r w:rsidRPr="0082015D">
        <w:rPr>
          <w:sz w:val="24"/>
          <w:szCs w:val="24"/>
          <w:lang w:eastAsia="da-DK"/>
        </w:rPr>
        <w:t>farmakokinetiske</w:t>
      </w:r>
      <w:proofErr w:type="spellEnd"/>
      <w:r w:rsidRPr="0082015D">
        <w:rPr>
          <w:sz w:val="24"/>
          <w:szCs w:val="24"/>
          <w:lang w:eastAsia="da-DK"/>
        </w:rPr>
        <w:t xml:space="preserve"> parametre, som omfatter biotilgængelighedsparameteren (F), f.eks. Ae %, CL/F, </w:t>
      </w:r>
      <w:proofErr w:type="spellStart"/>
      <w:r w:rsidRPr="0082015D">
        <w:rPr>
          <w:sz w:val="24"/>
          <w:szCs w:val="24"/>
          <w:lang w:eastAsia="da-DK"/>
        </w:rPr>
        <w:t>Vd</w:t>
      </w:r>
      <w:proofErr w:type="spellEnd"/>
      <w:r w:rsidRPr="0082015D">
        <w:rPr>
          <w:sz w:val="24"/>
          <w:szCs w:val="24"/>
          <w:lang w:eastAsia="da-DK"/>
        </w:rPr>
        <w:t>/F. Eliminationsfarmakokinetik (</w:t>
      </w:r>
      <w:proofErr w:type="spellStart"/>
      <w:r w:rsidRPr="0082015D">
        <w:rPr>
          <w:sz w:val="24"/>
          <w:szCs w:val="24"/>
          <w:lang w:eastAsia="da-DK"/>
        </w:rPr>
        <w:t>farmakokinetiske</w:t>
      </w:r>
      <w:proofErr w:type="spellEnd"/>
      <w:r w:rsidRPr="0082015D">
        <w:rPr>
          <w:sz w:val="24"/>
          <w:szCs w:val="24"/>
          <w:lang w:eastAsia="da-DK"/>
        </w:rPr>
        <w:t xml:space="preserve"> parametre, som ikke omfatter F, f.eks. </w:t>
      </w:r>
      <w:proofErr w:type="spellStart"/>
      <w:r w:rsidRPr="0082015D">
        <w:rPr>
          <w:sz w:val="24"/>
          <w:szCs w:val="24"/>
          <w:lang w:eastAsia="da-DK"/>
        </w:rPr>
        <w:t>CLr</w:t>
      </w:r>
      <w:proofErr w:type="spellEnd"/>
      <w:r w:rsidRPr="0082015D">
        <w:rPr>
          <w:sz w:val="24"/>
          <w:szCs w:val="24"/>
          <w:lang w:eastAsia="da-DK"/>
        </w:rPr>
        <w:t xml:space="preserve"> og T½), beskrives bedst ved lineær farmakokinetik. </w:t>
      </w:r>
      <w:proofErr w:type="spellStart"/>
      <w:r w:rsidRPr="0082015D">
        <w:rPr>
          <w:sz w:val="24"/>
          <w:szCs w:val="24"/>
          <w:lang w:eastAsia="da-DK"/>
        </w:rPr>
        <w:t>Gabapentins</w:t>
      </w:r>
      <w:proofErr w:type="spellEnd"/>
      <w:r w:rsidRPr="0082015D">
        <w:rPr>
          <w:sz w:val="24"/>
          <w:szCs w:val="24"/>
          <w:lang w:eastAsia="da-DK"/>
        </w:rPr>
        <w:t xml:space="preserve"> </w:t>
      </w:r>
      <w:proofErr w:type="spellStart"/>
      <w:r w:rsidRPr="0082015D">
        <w:rPr>
          <w:sz w:val="24"/>
          <w:szCs w:val="24"/>
          <w:lang w:eastAsia="da-DK"/>
        </w:rPr>
        <w:t>steady</w:t>
      </w:r>
      <w:proofErr w:type="spellEnd"/>
      <w:r w:rsidRPr="0082015D">
        <w:rPr>
          <w:sz w:val="24"/>
          <w:szCs w:val="24"/>
          <w:lang w:eastAsia="da-DK"/>
        </w:rPr>
        <w:t xml:space="preserve"> </w:t>
      </w:r>
      <w:proofErr w:type="spellStart"/>
      <w:r w:rsidRPr="0082015D">
        <w:rPr>
          <w:sz w:val="24"/>
          <w:szCs w:val="24"/>
          <w:lang w:eastAsia="da-DK"/>
        </w:rPr>
        <w:t>state</w:t>
      </w:r>
      <w:proofErr w:type="spellEnd"/>
      <w:r w:rsidRPr="0082015D">
        <w:rPr>
          <w:sz w:val="24"/>
          <w:szCs w:val="24"/>
          <w:lang w:eastAsia="da-DK"/>
        </w:rPr>
        <w:t>-plasmakoncentrationer kan forudsiges ud fra en enkeltdosis.</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5.3</w:t>
      </w:r>
      <w:r w:rsidRPr="00C84483">
        <w:rPr>
          <w:b/>
          <w:sz w:val="24"/>
          <w:szCs w:val="24"/>
        </w:rPr>
        <w:tab/>
      </w:r>
      <w:r w:rsidR="004D62EE">
        <w:rPr>
          <w:b/>
          <w:sz w:val="24"/>
          <w:szCs w:val="24"/>
        </w:rPr>
        <w:t>Non-</w:t>
      </w:r>
      <w:r w:rsidRPr="00C84483">
        <w:rPr>
          <w:b/>
          <w:sz w:val="24"/>
          <w:szCs w:val="24"/>
        </w:rPr>
        <w:t>kliniske sikkerhedsdata</w:t>
      </w:r>
    </w:p>
    <w:p w:rsidR="0070746C" w:rsidRPr="0082015D" w:rsidRDefault="0070746C" w:rsidP="0070746C">
      <w:pPr>
        <w:autoSpaceDE w:val="0"/>
        <w:autoSpaceDN w:val="0"/>
        <w:adjustRightInd w:val="0"/>
        <w:ind w:left="851"/>
        <w:rPr>
          <w:sz w:val="24"/>
          <w:szCs w:val="24"/>
          <w:u w:val="single"/>
          <w:lang w:eastAsia="da-DK"/>
        </w:rPr>
      </w:pPr>
      <w:proofErr w:type="spellStart"/>
      <w:r w:rsidRPr="0082015D">
        <w:rPr>
          <w:sz w:val="24"/>
          <w:szCs w:val="24"/>
          <w:u w:val="single"/>
          <w:lang w:eastAsia="da-DK"/>
        </w:rPr>
        <w:t>Karcinogenicitet</w:t>
      </w:r>
      <w:proofErr w:type="spellEnd"/>
    </w:p>
    <w:p w:rsidR="0070746C" w:rsidRPr="0082015D"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w:t>
      </w:r>
      <w:proofErr w:type="spellEnd"/>
      <w:r w:rsidRPr="0082015D">
        <w:rPr>
          <w:sz w:val="24"/>
          <w:szCs w:val="24"/>
          <w:lang w:eastAsia="da-DK"/>
        </w:rPr>
        <w:t xml:space="preserve"> blev givet gennem føden til mus i doser på 200, 600 og 2000 mg/kg/dag og til rotter i doser på 250, 1000 og 2000 mg/kg/dag i 2 år. Hos hanrotter, der fik den højeste dosis, fandt man en statistisk signifikant stigning i forekomsten af acinære celletumorer i pancreas. Hos rotter, der fik 2000 mg/kg/dag, var den maksimale plasmakoncentration 10 gange højere end plasmakoncentrationen hos mennesker, der fik 3600 mg/dag. Acinære celletumorer i pancreas hos hanrotter havde ingen indflydelse på overlevelsestiden, metastaserede ikke, angreb ikke det omgivende væv og var sammenlignelige med tilsvarende tumorer, som er fundet i kontrolgruppen. Det er uklart, om disse acinære celletumorer i pancreas hos hanrotter har relevans for den </w:t>
      </w:r>
      <w:proofErr w:type="spellStart"/>
      <w:r w:rsidRPr="0082015D">
        <w:rPr>
          <w:sz w:val="24"/>
          <w:szCs w:val="24"/>
          <w:lang w:eastAsia="da-DK"/>
        </w:rPr>
        <w:t>karcinogene</w:t>
      </w:r>
      <w:proofErr w:type="spellEnd"/>
      <w:r w:rsidRPr="0082015D">
        <w:rPr>
          <w:sz w:val="24"/>
          <w:szCs w:val="24"/>
          <w:lang w:eastAsia="da-DK"/>
        </w:rPr>
        <w:t xml:space="preserve"> risiko hos mennesker.</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u w:val="single"/>
          <w:lang w:eastAsia="da-DK"/>
        </w:rPr>
      </w:pPr>
      <w:proofErr w:type="spellStart"/>
      <w:r w:rsidRPr="0082015D">
        <w:rPr>
          <w:sz w:val="24"/>
          <w:szCs w:val="24"/>
          <w:u w:val="single"/>
          <w:lang w:eastAsia="da-DK"/>
        </w:rPr>
        <w:t>Mutagenicitet</w:t>
      </w:r>
      <w:proofErr w:type="spellEnd"/>
    </w:p>
    <w:p w:rsidR="0070746C" w:rsidRPr="0082015D"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w:t>
      </w:r>
      <w:proofErr w:type="spellEnd"/>
      <w:r w:rsidRPr="0082015D">
        <w:rPr>
          <w:sz w:val="24"/>
          <w:szCs w:val="24"/>
          <w:lang w:eastAsia="da-DK"/>
        </w:rPr>
        <w:t xml:space="preserve"> viste intet genotoksisk potentiale. Det var ikke mutagent </w:t>
      </w:r>
      <w:r w:rsidRPr="0082015D">
        <w:rPr>
          <w:i/>
          <w:sz w:val="24"/>
          <w:szCs w:val="24"/>
          <w:lang w:eastAsia="da-DK"/>
        </w:rPr>
        <w:t xml:space="preserve">in </w:t>
      </w:r>
      <w:proofErr w:type="spellStart"/>
      <w:r w:rsidRPr="0082015D">
        <w:rPr>
          <w:i/>
          <w:sz w:val="24"/>
          <w:szCs w:val="24"/>
          <w:lang w:eastAsia="da-DK"/>
        </w:rPr>
        <w:t>vitro</w:t>
      </w:r>
      <w:proofErr w:type="spellEnd"/>
      <w:r w:rsidRPr="0082015D">
        <w:rPr>
          <w:sz w:val="24"/>
          <w:szCs w:val="24"/>
          <w:lang w:eastAsia="da-DK"/>
        </w:rPr>
        <w:t xml:space="preserve"> ved standardundersøgelser med bakterielle celler eller pattedyrsceller. </w:t>
      </w:r>
      <w:proofErr w:type="spellStart"/>
      <w:r w:rsidRPr="0082015D">
        <w:rPr>
          <w:sz w:val="24"/>
          <w:szCs w:val="24"/>
          <w:lang w:eastAsia="da-DK"/>
        </w:rPr>
        <w:t>Gabapentin</w:t>
      </w:r>
      <w:proofErr w:type="spellEnd"/>
      <w:r w:rsidRPr="0082015D">
        <w:rPr>
          <w:sz w:val="24"/>
          <w:szCs w:val="24"/>
          <w:lang w:eastAsia="da-DK"/>
        </w:rPr>
        <w:t xml:space="preserve"> fremkaldte ikke strukturelle kromosomaberrationer i pattedyrsceller </w:t>
      </w:r>
      <w:r w:rsidRPr="0082015D">
        <w:rPr>
          <w:i/>
          <w:sz w:val="24"/>
          <w:szCs w:val="24"/>
          <w:lang w:eastAsia="da-DK"/>
        </w:rPr>
        <w:t xml:space="preserve">in </w:t>
      </w:r>
      <w:proofErr w:type="spellStart"/>
      <w:r w:rsidRPr="0082015D">
        <w:rPr>
          <w:i/>
          <w:sz w:val="24"/>
          <w:szCs w:val="24"/>
          <w:lang w:eastAsia="da-DK"/>
        </w:rPr>
        <w:t>vitro</w:t>
      </w:r>
      <w:proofErr w:type="spellEnd"/>
      <w:r w:rsidRPr="0082015D">
        <w:rPr>
          <w:sz w:val="24"/>
          <w:szCs w:val="24"/>
          <w:lang w:eastAsia="da-DK"/>
        </w:rPr>
        <w:t xml:space="preserve"> eller </w:t>
      </w:r>
      <w:r w:rsidRPr="0082015D">
        <w:rPr>
          <w:i/>
          <w:sz w:val="24"/>
          <w:szCs w:val="24"/>
          <w:lang w:eastAsia="da-DK"/>
        </w:rPr>
        <w:t xml:space="preserve">in </w:t>
      </w:r>
      <w:proofErr w:type="spellStart"/>
      <w:r w:rsidRPr="0082015D">
        <w:rPr>
          <w:i/>
          <w:sz w:val="24"/>
          <w:szCs w:val="24"/>
          <w:lang w:eastAsia="da-DK"/>
        </w:rPr>
        <w:t>vivo</w:t>
      </w:r>
      <w:proofErr w:type="spellEnd"/>
      <w:r w:rsidRPr="0082015D">
        <w:rPr>
          <w:sz w:val="24"/>
          <w:szCs w:val="24"/>
          <w:lang w:eastAsia="da-DK"/>
        </w:rPr>
        <w:t xml:space="preserve"> og fremkaldte ikke </w:t>
      </w:r>
      <w:proofErr w:type="spellStart"/>
      <w:r w:rsidRPr="0082015D">
        <w:rPr>
          <w:sz w:val="24"/>
          <w:szCs w:val="24"/>
          <w:lang w:eastAsia="da-DK"/>
        </w:rPr>
        <w:t>mikronukleusdannelse</w:t>
      </w:r>
      <w:proofErr w:type="spellEnd"/>
      <w:r w:rsidRPr="0082015D">
        <w:rPr>
          <w:sz w:val="24"/>
          <w:szCs w:val="24"/>
          <w:lang w:eastAsia="da-DK"/>
        </w:rPr>
        <w:t xml:space="preserve"> i knoglemarven hos hamstere.</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u w:val="single"/>
          <w:lang w:eastAsia="da-DK"/>
        </w:rPr>
      </w:pPr>
      <w:r w:rsidRPr="0082015D">
        <w:rPr>
          <w:sz w:val="24"/>
          <w:szCs w:val="24"/>
          <w:u w:val="single"/>
          <w:lang w:eastAsia="da-DK"/>
        </w:rPr>
        <w:t>Nedsat fertilitet</w:t>
      </w:r>
    </w:p>
    <w:p w:rsidR="0070746C" w:rsidRPr="0082015D" w:rsidRDefault="0070746C" w:rsidP="0070746C">
      <w:pPr>
        <w:autoSpaceDE w:val="0"/>
        <w:autoSpaceDN w:val="0"/>
        <w:adjustRightInd w:val="0"/>
        <w:ind w:left="851"/>
        <w:rPr>
          <w:sz w:val="24"/>
          <w:szCs w:val="24"/>
          <w:lang w:eastAsia="da-DK"/>
        </w:rPr>
      </w:pPr>
      <w:r w:rsidRPr="0082015D">
        <w:rPr>
          <w:sz w:val="24"/>
          <w:szCs w:val="24"/>
          <w:lang w:eastAsia="da-DK"/>
        </w:rPr>
        <w:lastRenderedPageBreak/>
        <w:t>Der er ikke set påvirkning af fertilitet eller reproduktion hos rotter ved doser på op til 2000 mg/kg (ca. fem gange den maksimale daglige dosis til mennesker omregnet til mg/m</w:t>
      </w:r>
      <w:r w:rsidRPr="0082015D">
        <w:rPr>
          <w:sz w:val="24"/>
          <w:szCs w:val="24"/>
          <w:vertAlign w:val="superscript"/>
          <w:lang w:eastAsia="da-DK"/>
        </w:rPr>
        <w:t>2</w:t>
      </w:r>
      <w:r w:rsidRPr="0082015D">
        <w:rPr>
          <w:sz w:val="24"/>
          <w:szCs w:val="24"/>
          <w:lang w:eastAsia="da-DK"/>
        </w:rPr>
        <w:t xml:space="preserve"> på basis af kroppens overfladeareal).</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u w:val="single"/>
          <w:lang w:eastAsia="da-DK"/>
        </w:rPr>
      </w:pPr>
      <w:proofErr w:type="spellStart"/>
      <w:r w:rsidRPr="0082015D">
        <w:rPr>
          <w:sz w:val="24"/>
          <w:szCs w:val="24"/>
          <w:u w:val="single"/>
          <w:lang w:eastAsia="da-DK"/>
        </w:rPr>
        <w:t>Teratogenicitet</w:t>
      </w:r>
      <w:proofErr w:type="spellEnd"/>
    </w:p>
    <w:p w:rsidR="0070746C" w:rsidRPr="0082015D"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w:t>
      </w:r>
      <w:proofErr w:type="spellEnd"/>
      <w:r w:rsidRPr="0082015D">
        <w:rPr>
          <w:sz w:val="24"/>
          <w:szCs w:val="24"/>
          <w:lang w:eastAsia="da-DK"/>
        </w:rPr>
        <w:t xml:space="preserve"> øgede ikke forekomsten af misdannelser sammenlignet med kontrolgruppen hos afkom af mus, rotter eller kaniner ved op til henholdsvis 50, 30 og 25 gange den daglige dosis til mennesker 3600 mg (henholdsvis fire, fem eller otte gange dosis til mennesker omregnet til mg/m</w:t>
      </w:r>
      <w:r w:rsidRPr="0082015D">
        <w:rPr>
          <w:sz w:val="24"/>
          <w:szCs w:val="24"/>
          <w:vertAlign w:val="superscript"/>
          <w:lang w:eastAsia="da-DK"/>
        </w:rPr>
        <w:t>2</w:t>
      </w:r>
      <w:r w:rsidRPr="0082015D">
        <w:rPr>
          <w:sz w:val="24"/>
          <w:szCs w:val="24"/>
          <w:lang w:eastAsia="da-DK"/>
        </w:rPr>
        <w:t xml:space="preserve"> på basis af kroppens overfladeareal).</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lang w:eastAsia="da-DK"/>
        </w:rPr>
      </w:pPr>
      <w:proofErr w:type="spellStart"/>
      <w:r w:rsidRPr="0082015D">
        <w:rPr>
          <w:sz w:val="24"/>
          <w:szCs w:val="24"/>
          <w:lang w:eastAsia="da-DK"/>
        </w:rPr>
        <w:t>Gabapentin</w:t>
      </w:r>
      <w:proofErr w:type="spellEnd"/>
      <w:r w:rsidRPr="0082015D">
        <w:rPr>
          <w:sz w:val="24"/>
          <w:szCs w:val="24"/>
          <w:lang w:eastAsia="da-DK"/>
        </w:rPr>
        <w:t xml:space="preserve"> medførte forsinket </w:t>
      </w:r>
      <w:proofErr w:type="spellStart"/>
      <w:r w:rsidRPr="0082015D">
        <w:rPr>
          <w:sz w:val="24"/>
          <w:szCs w:val="24"/>
          <w:lang w:eastAsia="da-DK"/>
        </w:rPr>
        <w:t>ossifikation</w:t>
      </w:r>
      <w:proofErr w:type="spellEnd"/>
      <w:r w:rsidRPr="0082015D">
        <w:rPr>
          <w:sz w:val="24"/>
          <w:szCs w:val="24"/>
          <w:lang w:eastAsia="da-DK"/>
        </w:rPr>
        <w:t xml:space="preserve"> af kranie, ryghvirvler, </w:t>
      </w:r>
      <w:proofErr w:type="spellStart"/>
      <w:r w:rsidRPr="0082015D">
        <w:rPr>
          <w:sz w:val="24"/>
          <w:szCs w:val="24"/>
          <w:lang w:eastAsia="da-DK"/>
        </w:rPr>
        <w:t>forbens-</w:t>
      </w:r>
      <w:proofErr w:type="spellEnd"/>
      <w:r w:rsidRPr="0082015D">
        <w:rPr>
          <w:sz w:val="24"/>
          <w:szCs w:val="24"/>
          <w:lang w:eastAsia="da-DK"/>
        </w:rPr>
        <w:t xml:space="preserve"> og bagbensknogler hos gnavere, hvilket indikerer </w:t>
      </w:r>
      <w:proofErr w:type="spellStart"/>
      <w:r w:rsidRPr="0082015D">
        <w:rPr>
          <w:sz w:val="24"/>
          <w:szCs w:val="24"/>
          <w:lang w:eastAsia="da-DK"/>
        </w:rPr>
        <w:t>føtal</w:t>
      </w:r>
      <w:proofErr w:type="spellEnd"/>
      <w:r w:rsidRPr="0082015D">
        <w:rPr>
          <w:sz w:val="24"/>
          <w:szCs w:val="24"/>
          <w:lang w:eastAsia="da-DK"/>
        </w:rPr>
        <w:t xml:space="preserve"> vækstretardering. Disse virkninger sås, når drægtige mus fik orale doser på 1000 eller 3000 mg/kg/dag under </w:t>
      </w:r>
      <w:proofErr w:type="spellStart"/>
      <w:r w:rsidRPr="0082015D">
        <w:rPr>
          <w:sz w:val="24"/>
          <w:szCs w:val="24"/>
          <w:lang w:eastAsia="da-DK"/>
        </w:rPr>
        <w:t>organogenesen</w:t>
      </w:r>
      <w:proofErr w:type="spellEnd"/>
      <w:r w:rsidRPr="0082015D">
        <w:rPr>
          <w:sz w:val="24"/>
          <w:szCs w:val="24"/>
          <w:lang w:eastAsia="da-DK"/>
        </w:rPr>
        <w:t>, og hos rotter, der fik 2000 mg/kg før og under parring samt i drægtighedsperioden. Disse doser svarer til ca. 1-5 gange den humane dosis på 3600 mg omregnet til mg/m</w:t>
      </w:r>
      <w:r w:rsidRPr="0082015D">
        <w:rPr>
          <w:sz w:val="24"/>
          <w:szCs w:val="24"/>
          <w:vertAlign w:val="superscript"/>
          <w:lang w:eastAsia="da-DK"/>
        </w:rPr>
        <w:t>2</w:t>
      </w:r>
      <w:r w:rsidRPr="0082015D">
        <w:rPr>
          <w:sz w:val="24"/>
          <w:szCs w:val="24"/>
          <w:lang w:eastAsia="da-DK"/>
        </w:rPr>
        <w:t xml:space="preserve"> på basis af kroppens overfladeareal.</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lang w:eastAsia="da-DK"/>
        </w:rPr>
      </w:pPr>
      <w:r w:rsidRPr="0082015D">
        <w:rPr>
          <w:sz w:val="24"/>
          <w:szCs w:val="24"/>
          <w:lang w:eastAsia="da-DK"/>
        </w:rPr>
        <w:t>Der sås ingen effekt hos drægtige mus ved doser på 500 mg/kg/dag (ca. halvdelen af den daglige humane dosis omregnet til mg/m</w:t>
      </w:r>
      <w:r w:rsidRPr="0082015D">
        <w:rPr>
          <w:sz w:val="24"/>
          <w:szCs w:val="24"/>
          <w:vertAlign w:val="superscript"/>
          <w:lang w:eastAsia="da-DK"/>
        </w:rPr>
        <w:t>2</w:t>
      </w:r>
      <w:r w:rsidRPr="0082015D">
        <w:rPr>
          <w:sz w:val="24"/>
          <w:szCs w:val="24"/>
          <w:lang w:eastAsia="da-DK"/>
        </w:rPr>
        <w:t xml:space="preserve"> på basis af kroppens overfladeareal).</w:t>
      </w:r>
    </w:p>
    <w:p w:rsidR="0070746C" w:rsidRPr="0082015D" w:rsidRDefault="0070746C" w:rsidP="0070746C">
      <w:pPr>
        <w:autoSpaceDE w:val="0"/>
        <w:autoSpaceDN w:val="0"/>
        <w:adjustRightInd w:val="0"/>
        <w:ind w:left="851"/>
        <w:rPr>
          <w:sz w:val="24"/>
          <w:szCs w:val="24"/>
          <w:lang w:eastAsia="da-DK"/>
        </w:rPr>
      </w:pPr>
    </w:p>
    <w:p w:rsidR="0070746C" w:rsidRPr="0082015D" w:rsidRDefault="0070746C" w:rsidP="0070746C">
      <w:pPr>
        <w:autoSpaceDE w:val="0"/>
        <w:autoSpaceDN w:val="0"/>
        <w:adjustRightInd w:val="0"/>
        <w:ind w:left="851"/>
        <w:rPr>
          <w:sz w:val="24"/>
          <w:szCs w:val="24"/>
          <w:lang w:eastAsia="da-DK"/>
        </w:rPr>
      </w:pPr>
      <w:r w:rsidRPr="0082015D">
        <w:rPr>
          <w:sz w:val="24"/>
          <w:szCs w:val="24"/>
          <w:lang w:eastAsia="da-DK"/>
        </w:rPr>
        <w:t xml:space="preserve">Der blev observeret en øget </w:t>
      </w:r>
      <w:proofErr w:type="spellStart"/>
      <w:r w:rsidRPr="0082015D">
        <w:rPr>
          <w:sz w:val="24"/>
          <w:szCs w:val="24"/>
          <w:lang w:eastAsia="da-DK"/>
        </w:rPr>
        <w:t>incidens</w:t>
      </w:r>
      <w:proofErr w:type="spellEnd"/>
      <w:r w:rsidRPr="0082015D">
        <w:rPr>
          <w:sz w:val="24"/>
          <w:szCs w:val="24"/>
          <w:lang w:eastAsia="da-DK"/>
        </w:rPr>
        <w:t xml:space="preserve"> af </w:t>
      </w:r>
      <w:proofErr w:type="spellStart"/>
      <w:r w:rsidRPr="0082015D">
        <w:rPr>
          <w:sz w:val="24"/>
          <w:szCs w:val="24"/>
          <w:lang w:eastAsia="da-DK"/>
        </w:rPr>
        <w:t>hydroureter</w:t>
      </w:r>
      <w:proofErr w:type="spellEnd"/>
      <w:r w:rsidRPr="0082015D">
        <w:rPr>
          <w:sz w:val="24"/>
          <w:szCs w:val="24"/>
          <w:lang w:eastAsia="da-DK"/>
        </w:rPr>
        <w:t xml:space="preserve"> og/eller </w:t>
      </w:r>
      <w:proofErr w:type="spellStart"/>
      <w:r w:rsidRPr="0082015D">
        <w:rPr>
          <w:sz w:val="24"/>
          <w:szCs w:val="24"/>
          <w:lang w:eastAsia="da-DK"/>
        </w:rPr>
        <w:t>hydronefrose</w:t>
      </w:r>
      <w:proofErr w:type="spellEnd"/>
      <w:r w:rsidRPr="0082015D">
        <w:rPr>
          <w:sz w:val="24"/>
          <w:szCs w:val="24"/>
          <w:lang w:eastAsia="da-DK"/>
        </w:rPr>
        <w:t xml:space="preserve"> hos rotter, som fik 2000 mg/kg/dag i en fertilitets- og generel reproduktionsundersøgelse, 1500 mg/kg/dag i en </w:t>
      </w:r>
      <w:proofErr w:type="spellStart"/>
      <w:r w:rsidRPr="0082015D">
        <w:rPr>
          <w:sz w:val="24"/>
          <w:szCs w:val="24"/>
          <w:lang w:eastAsia="da-DK"/>
        </w:rPr>
        <w:t>teratologiundersøgelse</w:t>
      </w:r>
      <w:proofErr w:type="spellEnd"/>
      <w:r w:rsidRPr="0082015D">
        <w:rPr>
          <w:sz w:val="24"/>
          <w:szCs w:val="24"/>
          <w:lang w:eastAsia="da-DK"/>
        </w:rPr>
        <w:t xml:space="preserve"> og</w:t>
      </w:r>
      <w:r>
        <w:rPr>
          <w:sz w:val="24"/>
          <w:szCs w:val="24"/>
          <w:lang w:eastAsia="da-DK"/>
        </w:rPr>
        <w:t xml:space="preserve"> 500, 1000 og</w:t>
      </w:r>
      <w:r w:rsidRPr="0082015D">
        <w:rPr>
          <w:sz w:val="24"/>
          <w:szCs w:val="24"/>
          <w:lang w:eastAsia="da-DK"/>
        </w:rPr>
        <w:t xml:space="preserve"> 2000 mg/kg/dag i en </w:t>
      </w:r>
      <w:proofErr w:type="spellStart"/>
      <w:r w:rsidRPr="0082015D">
        <w:rPr>
          <w:sz w:val="24"/>
          <w:szCs w:val="24"/>
          <w:lang w:eastAsia="da-DK"/>
        </w:rPr>
        <w:t>perinatal</w:t>
      </w:r>
      <w:proofErr w:type="spellEnd"/>
      <w:r w:rsidRPr="0082015D">
        <w:rPr>
          <w:sz w:val="24"/>
          <w:szCs w:val="24"/>
          <w:lang w:eastAsia="da-DK"/>
        </w:rPr>
        <w:t xml:space="preserve">- og </w:t>
      </w:r>
      <w:proofErr w:type="spellStart"/>
      <w:r w:rsidRPr="0082015D">
        <w:rPr>
          <w:sz w:val="24"/>
          <w:szCs w:val="24"/>
          <w:lang w:eastAsia="da-DK"/>
        </w:rPr>
        <w:t>postnatalundersøgelse</w:t>
      </w:r>
      <w:proofErr w:type="spellEnd"/>
      <w:r w:rsidRPr="0082015D">
        <w:rPr>
          <w:sz w:val="24"/>
          <w:szCs w:val="24"/>
          <w:lang w:eastAsia="da-DK"/>
        </w:rPr>
        <w:t>. Signifikansen af disse fund er ukendt, men de er blevet forbundet med forsinket udvikling. Disse doser svarer også til ca. 1-5 gange den humane dosis på 3600 mg omregnet til mg/m</w:t>
      </w:r>
      <w:r w:rsidRPr="0082015D">
        <w:rPr>
          <w:sz w:val="24"/>
          <w:szCs w:val="24"/>
          <w:vertAlign w:val="superscript"/>
          <w:lang w:eastAsia="da-DK"/>
        </w:rPr>
        <w:t>2</w:t>
      </w:r>
      <w:r w:rsidRPr="0082015D">
        <w:rPr>
          <w:sz w:val="24"/>
          <w:szCs w:val="24"/>
          <w:lang w:eastAsia="da-DK"/>
        </w:rPr>
        <w:t xml:space="preserve"> på basis af kroppens overfladeareal.</w:t>
      </w:r>
    </w:p>
    <w:p w:rsidR="0070746C" w:rsidRPr="0082015D" w:rsidRDefault="0070746C" w:rsidP="0070746C">
      <w:pPr>
        <w:autoSpaceDE w:val="0"/>
        <w:autoSpaceDN w:val="0"/>
        <w:adjustRightInd w:val="0"/>
        <w:ind w:left="851"/>
        <w:rPr>
          <w:sz w:val="24"/>
          <w:szCs w:val="24"/>
          <w:lang w:eastAsia="da-DK"/>
        </w:rPr>
      </w:pPr>
    </w:p>
    <w:p w:rsidR="0070746C" w:rsidRDefault="0070746C" w:rsidP="0070746C">
      <w:pPr>
        <w:tabs>
          <w:tab w:val="left" w:pos="0"/>
          <w:tab w:val="left" w:pos="3110"/>
          <w:tab w:val="left" w:pos="5637"/>
        </w:tabs>
        <w:ind w:left="851"/>
        <w:rPr>
          <w:spacing w:val="-3"/>
        </w:rPr>
      </w:pPr>
      <w:r w:rsidRPr="0082015D">
        <w:rPr>
          <w:sz w:val="24"/>
          <w:szCs w:val="24"/>
          <w:lang w:eastAsia="da-DK"/>
        </w:rPr>
        <w:t xml:space="preserve">I en </w:t>
      </w:r>
      <w:proofErr w:type="spellStart"/>
      <w:r w:rsidRPr="0082015D">
        <w:rPr>
          <w:sz w:val="24"/>
          <w:szCs w:val="24"/>
          <w:lang w:eastAsia="da-DK"/>
        </w:rPr>
        <w:t>teratologiundersøgelse</w:t>
      </w:r>
      <w:proofErr w:type="spellEnd"/>
      <w:r w:rsidRPr="0082015D">
        <w:rPr>
          <w:sz w:val="24"/>
          <w:szCs w:val="24"/>
          <w:lang w:eastAsia="da-DK"/>
        </w:rPr>
        <w:t xml:space="preserve"> hos kaniner sås en øget forekomst af aborter efter implantation </w:t>
      </w:r>
      <w:r w:rsidRPr="00F51A53">
        <w:rPr>
          <w:sz w:val="24"/>
          <w:szCs w:val="24"/>
          <w:lang w:eastAsia="da-DK"/>
        </w:rPr>
        <w:t xml:space="preserve">hos </w:t>
      </w:r>
      <w:r w:rsidRPr="00F51A53">
        <w:rPr>
          <w:spacing w:val="-3"/>
          <w:sz w:val="24"/>
          <w:szCs w:val="24"/>
        </w:rPr>
        <w:t>drægtige kaniner</w:t>
      </w:r>
      <w:r w:rsidRPr="00F51A53">
        <w:rPr>
          <w:sz w:val="24"/>
          <w:szCs w:val="24"/>
          <w:lang w:eastAsia="da-DK"/>
        </w:rPr>
        <w:t>, der fik</w:t>
      </w:r>
      <w:r w:rsidRPr="0082015D">
        <w:rPr>
          <w:sz w:val="24"/>
          <w:szCs w:val="24"/>
          <w:lang w:eastAsia="da-DK"/>
        </w:rPr>
        <w:t xml:space="preserve"> doser på 60, 300 og 1500 mg/kg/dag givet under </w:t>
      </w:r>
      <w:proofErr w:type="spellStart"/>
      <w:r w:rsidRPr="0082015D">
        <w:rPr>
          <w:sz w:val="24"/>
          <w:szCs w:val="24"/>
          <w:lang w:eastAsia="da-DK"/>
        </w:rPr>
        <w:t>organogenesen</w:t>
      </w:r>
      <w:proofErr w:type="spellEnd"/>
      <w:r w:rsidRPr="0082015D">
        <w:rPr>
          <w:sz w:val="24"/>
          <w:szCs w:val="24"/>
          <w:lang w:eastAsia="da-DK"/>
        </w:rPr>
        <w:t xml:space="preserve">. Disse doser svarer til ca. </w:t>
      </w:r>
      <w:r>
        <w:rPr>
          <w:sz w:val="24"/>
          <w:szCs w:val="24"/>
          <w:lang w:eastAsia="da-DK"/>
        </w:rPr>
        <w:t>0,3</w:t>
      </w:r>
      <w:r w:rsidRPr="0082015D">
        <w:rPr>
          <w:sz w:val="24"/>
          <w:szCs w:val="24"/>
          <w:lang w:eastAsia="da-DK"/>
        </w:rPr>
        <w:t xml:space="preserve"> til 8 gange den daglige humane dosis på 3600 mg omregnet til mg/m</w:t>
      </w:r>
      <w:r w:rsidRPr="0082015D">
        <w:rPr>
          <w:sz w:val="24"/>
          <w:szCs w:val="24"/>
          <w:vertAlign w:val="superscript"/>
          <w:lang w:eastAsia="da-DK"/>
        </w:rPr>
        <w:t>2</w:t>
      </w:r>
      <w:r w:rsidRPr="0082015D">
        <w:rPr>
          <w:sz w:val="24"/>
          <w:szCs w:val="24"/>
          <w:lang w:eastAsia="da-DK"/>
        </w:rPr>
        <w:t xml:space="preserve"> på basis af kroppens overfladeareal.</w:t>
      </w:r>
      <w:r>
        <w:rPr>
          <w:sz w:val="24"/>
          <w:szCs w:val="24"/>
          <w:lang w:eastAsia="da-DK"/>
        </w:rPr>
        <w:t xml:space="preserve"> </w:t>
      </w:r>
      <w:r w:rsidRPr="00F51A53">
        <w:rPr>
          <w:spacing w:val="-3"/>
          <w:sz w:val="24"/>
          <w:szCs w:val="24"/>
        </w:rPr>
        <w:t>Sikkerhedsmarginerne er utilstrækkelige til at udelukke, at der er risiko for disse virkninger hos mennesker.</w:t>
      </w:r>
    </w:p>
    <w:p w:rsidR="0070746C" w:rsidRPr="006F4FBE" w:rsidRDefault="0070746C" w:rsidP="0070746C">
      <w:pPr>
        <w:tabs>
          <w:tab w:val="left" w:pos="0"/>
          <w:tab w:val="left" w:pos="3110"/>
          <w:tab w:val="left" w:pos="5637"/>
        </w:tabs>
        <w:ind w:left="851"/>
        <w:rPr>
          <w:spacing w:val="-3"/>
        </w:rPr>
      </w:pP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0746C" w:rsidRPr="00BA09F1"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6.1</w:t>
      </w:r>
      <w:r w:rsidRPr="00C84483">
        <w:rPr>
          <w:b/>
          <w:sz w:val="24"/>
          <w:szCs w:val="24"/>
        </w:rPr>
        <w:tab/>
        <w:t>Hjælpestoffer</w:t>
      </w:r>
    </w:p>
    <w:p w:rsidR="0070746C" w:rsidRPr="00E67AF4" w:rsidRDefault="0070746C" w:rsidP="0070746C">
      <w:pPr>
        <w:autoSpaceDE w:val="0"/>
        <w:autoSpaceDN w:val="0"/>
        <w:adjustRightInd w:val="0"/>
        <w:ind w:left="851"/>
        <w:rPr>
          <w:bCs/>
          <w:sz w:val="24"/>
          <w:szCs w:val="24"/>
          <w:lang w:eastAsia="da-DK"/>
        </w:rPr>
      </w:pPr>
      <w:r w:rsidRPr="00E67AF4">
        <w:rPr>
          <w:sz w:val="24"/>
          <w:szCs w:val="24"/>
          <w:lang w:eastAsia="da-DK"/>
        </w:rPr>
        <w:t>Majsstivelse</w:t>
      </w:r>
    </w:p>
    <w:p w:rsidR="0070746C" w:rsidRPr="00E67AF4" w:rsidRDefault="0070746C" w:rsidP="0070746C">
      <w:pPr>
        <w:autoSpaceDE w:val="0"/>
        <w:autoSpaceDN w:val="0"/>
        <w:adjustRightInd w:val="0"/>
        <w:ind w:left="851"/>
        <w:rPr>
          <w:bCs/>
          <w:sz w:val="24"/>
          <w:szCs w:val="24"/>
          <w:lang w:eastAsia="da-DK"/>
        </w:rPr>
      </w:pPr>
      <w:proofErr w:type="spellStart"/>
      <w:r w:rsidRPr="00E67AF4">
        <w:rPr>
          <w:sz w:val="24"/>
          <w:szCs w:val="24"/>
          <w:lang w:eastAsia="da-DK"/>
        </w:rPr>
        <w:t>Copovidon</w:t>
      </w:r>
      <w:proofErr w:type="spellEnd"/>
      <w:r w:rsidRPr="00E67AF4">
        <w:rPr>
          <w:sz w:val="24"/>
          <w:szCs w:val="24"/>
          <w:lang w:eastAsia="da-DK"/>
        </w:rPr>
        <w:t xml:space="preserve"> (E1201)</w:t>
      </w:r>
    </w:p>
    <w:p w:rsidR="0070746C" w:rsidRPr="00E67AF4" w:rsidRDefault="0070746C" w:rsidP="0070746C">
      <w:pPr>
        <w:autoSpaceDE w:val="0"/>
        <w:autoSpaceDN w:val="0"/>
        <w:adjustRightInd w:val="0"/>
        <w:ind w:left="851"/>
        <w:rPr>
          <w:bCs/>
          <w:sz w:val="24"/>
          <w:szCs w:val="24"/>
          <w:lang w:eastAsia="da-DK"/>
        </w:rPr>
      </w:pPr>
      <w:proofErr w:type="spellStart"/>
      <w:r w:rsidRPr="00E67AF4">
        <w:rPr>
          <w:sz w:val="24"/>
          <w:szCs w:val="24"/>
          <w:lang w:eastAsia="da-DK"/>
        </w:rPr>
        <w:t>Poloxamer</w:t>
      </w:r>
      <w:proofErr w:type="spellEnd"/>
      <w:r w:rsidRPr="00E67AF4">
        <w:rPr>
          <w:sz w:val="24"/>
          <w:szCs w:val="24"/>
          <w:lang w:eastAsia="da-DK"/>
        </w:rPr>
        <w:t xml:space="preserve"> 407</w:t>
      </w:r>
    </w:p>
    <w:p w:rsidR="0070746C" w:rsidRPr="00E67AF4" w:rsidRDefault="0070746C" w:rsidP="0070746C">
      <w:pPr>
        <w:autoSpaceDE w:val="0"/>
        <w:autoSpaceDN w:val="0"/>
        <w:adjustRightInd w:val="0"/>
        <w:ind w:left="851"/>
        <w:rPr>
          <w:bCs/>
          <w:sz w:val="24"/>
          <w:szCs w:val="24"/>
          <w:lang w:eastAsia="da-DK"/>
        </w:rPr>
      </w:pPr>
      <w:proofErr w:type="spellStart"/>
      <w:r w:rsidRPr="00E67AF4">
        <w:rPr>
          <w:sz w:val="24"/>
          <w:szCs w:val="24"/>
          <w:lang w:eastAsia="da-DK"/>
        </w:rPr>
        <w:t>Magnesiumstearat</w:t>
      </w:r>
      <w:proofErr w:type="spellEnd"/>
      <w:r w:rsidRPr="00E67AF4">
        <w:rPr>
          <w:sz w:val="24"/>
          <w:szCs w:val="24"/>
          <w:lang w:eastAsia="da-DK"/>
        </w:rPr>
        <w:t xml:space="preserve"> (E470b)</w:t>
      </w:r>
    </w:p>
    <w:p w:rsidR="0070746C" w:rsidRPr="00E67AF4" w:rsidRDefault="0070746C" w:rsidP="0070746C">
      <w:pPr>
        <w:autoSpaceDE w:val="0"/>
        <w:autoSpaceDN w:val="0"/>
        <w:adjustRightInd w:val="0"/>
        <w:ind w:left="851"/>
        <w:rPr>
          <w:bCs/>
          <w:sz w:val="24"/>
          <w:szCs w:val="24"/>
          <w:lang w:eastAsia="da-DK"/>
        </w:rPr>
      </w:pPr>
    </w:p>
    <w:p w:rsidR="0070746C" w:rsidRPr="005F3ADC" w:rsidRDefault="0070746C" w:rsidP="0070746C">
      <w:pPr>
        <w:keepNext/>
        <w:autoSpaceDE w:val="0"/>
        <w:autoSpaceDN w:val="0"/>
        <w:adjustRightInd w:val="0"/>
        <w:ind w:left="851"/>
        <w:rPr>
          <w:sz w:val="24"/>
          <w:szCs w:val="24"/>
          <w:u w:val="single"/>
          <w:lang w:eastAsia="da-DK"/>
        </w:rPr>
      </w:pPr>
      <w:r w:rsidRPr="005F3ADC">
        <w:rPr>
          <w:sz w:val="24"/>
          <w:szCs w:val="24"/>
          <w:u w:val="single"/>
          <w:lang w:eastAsia="da-DK"/>
        </w:rPr>
        <w:t>Kapselskallen</w:t>
      </w:r>
    </w:p>
    <w:p w:rsidR="0070746C" w:rsidRDefault="0070746C" w:rsidP="0070746C">
      <w:pPr>
        <w:keepNext/>
        <w:autoSpaceDE w:val="0"/>
        <w:autoSpaceDN w:val="0"/>
        <w:adjustRightInd w:val="0"/>
        <w:ind w:left="851"/>
        <w:rPr>
          <w:sz w:val="24"/>
          <w:szCs w:val="24"/>
          <w:lang w:eastAsia="da-DK"/>
        </w:rPr>
      </w:pPr>
      <w:r>
        <w:rPr>
          <w:sz w:val="24"/>
          <w:szCs w:val="24"/>
          <w:lang w:eastAsia="da-DK"/>
        </w:rPr>
        <w:t>G</w:t>
      </w:r>
      <w:r w:rsidRPr="0082015D">
        <w:rPr>
          <w:sz w:val="24"/>
          <w:szCs w:val="24"/>
          <w:lang w:eastAsia="da-DK"/>
        </w:rPr>
        <w:t>elatine</w:t>
      </w:r>
    </w:p>
    <w:p w:rsidR="0070746C" w:rsidRDefault="0070746C" w:rsidP="0070746C">
      <w:pPr>
        <w:autoSpaceDE w:val="0"/>
        <w:autoSpaceDN w:val="0"/>
        <w:adjustRightInd w:val="0"/>
        <w:ind w:left="851"/>
        <w:rPr>
          <w:sz w:val="24"/>
          <w:szCs w:val="24"/>
          <w:lang w:eastAsia="da-DK"/>
        </w:rPr>
      </w:pPr>
      <w:proofErr w:type="spellStart"/>
      <w:r>
        <w:rPr>
          <w:sz w:val="24"/>
          <w:szCs w:val="24"/>
          <w:lang w:eastAsia="da-DK"/>
        </w:rPr>
        <w:t>N</w:t>
      </w:r>
      <w:r w:rsidRPr="0082015D">
        <w:rPr>
          <w:sz w:val="24"/>
          <w:szCs w:val="24"/>
          <w:lang w:eastAsia="da-DK"/>
        </w:rPr>
        <w:t>atriumlaurilsulfat</w:t>
      </w:r>
      <w:proofErr w:type="spellEnd"/>
    </w:p>
    <w:p w:rsidR="0070746C" w:rsidRDefault="0070746C" w:rsidP="0070746C">
      <w:pPr>
        <w:autoSpaceDE w:val="0"/>
        <w:autoSpaceDN w:val="0"/>
        <w:adjustRightInd w:val="0"/>
        <w:ind w:left="851"/>
        <w:rPr>
          <w:sz w:val="24"/>
          <w:szCs w:val="24"/>
          <w:lang w:eastAsia="da-DK"/>
        </w:rPr>
      </w:pPr>
      <w:r>
        <w:rPr>
          <w:sz w:val="24"/>
          <w:szCs w:val="24"/>
          <w:lang w:eastAsia="da-DK"/>
        </w:rPr>
        <w:t>T</w:t>
      </w:r>
      <w:r w:rsidRPr="0082015D">
        <w:rPr>
          <w:sz w:val="24"/>
          <w:szCs w:val="24"/>
          <w:lang w:eastAsia="da-DK"/>
        </w:rPr>
        <w:t>itandioxid (E171)</w:t>
      </w:r>
    </w:p>
    <w:p w:rsidR="0070746C" w:rsidRDefault="0070746C" w:rsidP="0070746C">
      <w:pPr>
        <w:autoSpaceDE w:val="0"/>
        <w:autoSpaceDN w:val="0"/>
        <w:adjustRightInd w:val="0"/>
        <w:ind w:left="851"/>
        <w:rPr>
          <w:sz w:val="24"/>
          <w:szCs w:val="24"/>
          <w:lang w:eastAsia="da-DK"/>
        </w:rPr>
      </w:pPr>
      <w:r>
        <w:rPr>
          <w:sz w:val="24"/>
          <w:szCs w:val="24"/>
          <w:lang w:eastAsia="da-DK"/>
        </w:rPr>
        <w:t>Rød jernoxid (E172) (400 mg</w:t>
      </w:r>
      <w:r w:rsidRPr="0082015D">
        <w:rPr>
          <w:sz w:val="24"/>
          <w:szCs w:val="24"/>
          <w:lang w:eastAsia="da-DK"/>
        </w:rPr>
        <w:t>)</w:t>
      </w:r>
    </w:p>
    <w:p w:rsidR="0070746C" w:rsidRDefault="0070746C" w:rsidP="0070746C">
      <w:pPr>
        <w:autoSpaceDE w:val="0"/>
        <w:autoSpaceDN w:val="0"/>
        <w:adjustRightInd w:val="0"/>
        <w:ind w:left="851"/>
        <w:rPr>
          <w:sz w:val="24"/>
          <w:szCs w:val="24"/>
          <w:lang w:eastAsia="da-DK"/>
        </w:rPr>
      </w:pPr>
      <w:r>
        <w:rPr>
          <w:sz w:val="24"/>
          <w:szCs w:val="24"/>
          <w:lang w:eastAsia="da-DK"/>
        </w:rPr>
        <w:t>G</w:t>
      </w:r>
      <w:r w:rsidRPr="0082015D">
        <w:rPr>
          <w:sz w:val="24"/>
          <w:szCs w:val="24"/>
          <w:lang w:eastAsia="da-DK"/>
        </w:rPr>
        <w:t>ul jernoxid (E172) (300 og 400 mg</w:t>
      </w:r>
      <w:r>
        <w:rPr>
          <w:sz w:val="24"/>
          <w:szCs w:val="24"/>
          <w:lang w:eastAsia="da-DK"/>
        </w:rPr>
        <w:t>)</w:t>
      </w:r>
    </w:p>
    <w:p w:rsidR="0070746C" w:rsidRDefault="0070746C" w:rsidP="0070746C">
      <w:pPr>
        <w:autoSpaceDE w:val="0"/>
        <w:autoSpaceDN w:val="0"/>
        <w:adjustRightInd w:val="0"/>
        <w:ind w:left="851"/>
        <w:rPr>
          <w:bCs/>
          <w:sz w:val="24"/>
          <w:szCs w:val="24"/>
          <w:lang w:eastAsia="da-DK"/>
        </w:rPr>
      </w:pPr>
    </w:p>
    <w:p w:rsidR="0070746C" w:rsidRPr="00254B8E" w:rsidRDefault="0070746C" w:rsidP="0070746C">
      <w:pPr>
        <w:autoSpaceDE w:val="0"/>
        <w:autoSpaceDN w:val="0"/>
        <w:adjustRightInd w:val="0"/>
        <w:ind w:left="851"/>
        <w:rPr>
          <w:sz w:val="24"/>
          <w:szCs w:val="24"/>
          <w:u w:val="single"/>
          <w:lang w:val="en-US" w:eastAsia="da-DK"/>
        </w:rPr>
      </w:pPr>
      <w:r w:rsidRPr="00254B8E">
        <w:rPr>
          <w:sz w:val="24"/>
          <w:szCs w:val="24"/>
          <w:u w:val="single"/>
          <w:lang w:val="en-US" w:eastAsia="da-DK"/>
        </w:rPr>
        <w:t>Trykfarve</w:t>
      </w:r>
    </w:p>
    <w:p w:rsidR="0070746C" w:rsidRPr="00254B8E" w:rsidRDefault="0070746C" w:rsidP="0070746C">
      <w:pPr>
        <w:autoSpaceDE w:val="0"/>
        <w:autoSpaceDN w:val="0"/>
        <w:adjustRightInd w:val="0"/>
        <w:ind w:left="851"/>
        <w:rPr>
          <w:sz w:val="24"/>
          <w:szCs w:val="24"/>
          <w:lang w:val="en-US" w:eastAsia="da-DK"/>
        </w:rPr>
      </w:pPr>
      <w:r w:rsidRPr="00254B8E">
        <w:rPr>
          <w:sz w:val="24"/>
          <w:szCs w:val="24"/>
          <w:lang w:val="en-US" w:eastAsia="da-DK"/>
        </w:rPr>
        <w:t>Shellak (E904)</w:t>
      </w:r>
    </w:p>
    <w:p w:rsidR="0070746C" w:rsidRPr="00254B8E" w:rsidRDefault="0070746C" w:rsidP="0070746C">
      <w:pPr>
        <w:autoSpaceDE w:val="0"/>
        <w:autoSpaceDN w:val="0"/>
        <w:adjustRightInd w:val="0"/>
        <w:ind w:left="851"/>
        <w:rPr>
          <w:sz w:val="24"/>
          <w:szCs w:val="24"/>
          <w:lang w:val="en-US" w:eastAsia="da-DK"/>
        </w:rPr>
      </w:pPr>
      <w:r w:rsidRPr="00254B8E">
        <w:rPr>
          <w:sz w:val="24"/>
          <w:szCs w:val="24"/>
          <w:lang w:val="en-US" w:eastAsia="da-DK"/>
        </w:rPr>
        <w:lastRenderedPageBreak/>
        <w:t>Propylenglycol (E1520)</w:t>
      </w:r>
    </w:p>
    <w:p w:rsidR="0070746C" w:rsidRPr="00DA0D56" w:rsidRDefault="0070746C" w:rsidP="0070746C">
      <w:pPr>
        <w:autoSpaceDE w:val="0"/>
        <w:autoSpaceDN w:val="0"/>
        <w:adjustRightInd w:val="0"/>
        <w:ind w:left="851"/>
        <w:rPr>
          <w:sz w:val="24"/>
          <w:szCs w:val="24"/>
          <w:lang w:eastAsia="da-DK"/>
        </w:rPr>
      </w:pPr>
      <w:r w:rsidRPr="00DA0D56">
        <w:rPr>
          <w:sz w:val="24"/>
          <w:szCs w:val="24"/>
          <w:lang w:eastAsia="da-DK"/>
        </w:rPr>
        <w:t>Koncentreret ammoniakopløsning</w:t>
      </w:r>
    </w:p>
    <w:p w:rsidR="0070746C" w:rsidRPr="00DA0D56" w:rsidRDefault="0070746C" w:rsidP="0070746C">
      <w:pPr>
        <w:autoSpaceDE w:val="0"/>
        <w:autoSpaceDN w:val="0"/>
        <w:adjustRightInd w:val="0"/>
        <w:ind w:left="851"/>
        <w:rPr>
          <w:bCs/>
          <w:sz w:val="24"/>
          <w:szCs w:val="24"/>
          <w:lang w:eastAsia="da-DK"/>
        </w:rPr>
      </w:pPr>
      <w:proofErr w:type="spellStart"/>
      <w:r w:rsidRPr="00DA0D56">
        <w:rPr>
          <w:sz w:val="24"/>
          <w:szCs w:val="24"/>
          <w:lang w:eastAsia="da-DK"/>
        </w:rPr>
        <w:t>Indigocarminaluminiumlak</w:t>
      </w:r>
      <w:proofErr w:type="spellEnd"/>
      <w:r w:rsidRPr="00DA0D56">
        <w:rPr>
          <w:sz w:val="24"/>
          <w:szCs w:val="24"/>
          <w:lang w:eastAsia="da-DK"/>
        </w:rPr>
        <w:t xml:space="preserve"> (E132)</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6.2</w:t>
      </w:r>
      <w:r w:rsidRPr="00C84483">
        <w:rPr>
          <w:b/>
          <w:sz w:val="24"/>
          <w:szCs w:val="24"/>
        </w:rPr>
        <w:tab/>
        <w:t>Uforligeligheder</w:t>
      </w:r>
    </w:p>
    <w:p w:rsidR="0070746C" w:rsidRPr="00C84483" w:rsidRDefault="0070746C" w:rsidP="0070746C">
      <w:pPr>
        <w:autoSpaceDE w:val="0"/>
        <w:autoSpaceDN w:val="0"/>
        <w:adjustRightInd w:val="0"/>
        <w:ind w:left="851"/>
        <w:rPr>
          <w:sz w:val="24"/>
          <w:szCs w:val="24"/>
          <w:lang w:eastAsia="da-DK"/>
        </w:rPr>
      </w:pPr>
      <w:r w:rsidRPr="0082015D">
        <w:rPr>
          <w:sz w:val="24"/>
          <w:szCs w:val="24"/>
          <w:lang w:eastAsia="da-DK"/>
        </w:rPr>
        <w:t>Ikke relevant.</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6.3</w:t>
      </w:r>
      <w:r w:rsidRPr="00C84483">
        <w:rPr>
          <w:b/>
          <w:sz w:val="24"/>
          <w:szCs w:val="24"/>
        </w:rPr>
        <w:tab/>
        <w:t>Opbevaringstid</w:t>
      </w:r>
    </w:p>
    <w:p w:rsidR="0070746C" w:rsidRPr="00C84483" w:rsidRDefault="0070746C" w:rsidP="0070746C">
      <w:pPr>
        <w:autoSpaceDE w:val="0"/>
        <w:autoSpaceDN w:val="0"/>
        <w:adjustRightInd w:val="0"/>
        <w:ind w:left="851"/>
        <w:rPr>
          <w:sz w:val="24"/>
          <w:szCs w:val="24"/>
        </w:rPr>
      </w:pPr>
      <w:r w:rsidRPr="0082015D">
        <w:rPr>
          <w:sz w:val="24"/>
          <w:szCs w:val="24"/>
          <w:lang w:eastAsia="da-DK"/>
        </w:rPr>
        <w:t>3 år</w:t>
      </w:r>
      <w:r>
        <w:rPr>
          <w:sz w:val="24"/>
          <w:szCs w:val="24"/>
          <w:lang w:eastAsia="da-DK"/>
        </w:rPr>
        <w:t>.</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0746C" w:rsidRPr="000F65E6" w:rsidRDefault="0070746C" w:rsidP="0070746C">
      <w:pPr>
        <w:autoSpaceDE w:val="0"/>
        <w:autoSpaceDN w:val="0"/>
        <w:adjustRightInd w:val="0"/>
        <w:ind w:left="851"/>
        <w:rPr>
          <w:bCs/>
          <w:sz w:val="24"/>
          <w:szCs w:val="24"/>
          <w:u w:val="single"/>
          <w:lang w:eastAsia="da-DK"/>
        </w:rPr>
      </w:pPr>
      <w:r>
        <w:rPr>
          <w:sz w:val="24"/>
          <w:szCs w:val="24"/>
          <w:u w:val="single"/>
          <w:lang w:eastAsia="da-DK"/>
        </w:rPr>
        <w:t>PVC/</w:t>
      </w:r>
      <w:proofErr w:type="spellStart"/>
      <w:r>
        <w:rPr>
          <w:sz w:val="24"/>
          <w:szCs w:val="24"/>
          <w:u w:val="single"/>
          <w:lang w:eastAsia="da-DK"/>
        </w:rPr>
        <w:t>PVdC</w:t>
      </w:r>
      <w:proofErr w:type="spellEnd"/>
      <w:r>
        <w:rPr>
          <w:sz w:val="24"/>
          <w:szCs w:val="24"/>
          <w:u w:val="single"/>
          <w:lang w:eastAsia="da-DK"/>
        </w:rPr>
        <w:t>-</w:t>
      </w:r>
      <w:proofErr w:type="spellStart"/>
      <w:r>
        <w:rPr>
          <w:sz w:val="24"/>
          <w:szCs w:val="24"/>
          <w:u w:val="single"/>
          <w:lang w:eastAsia="da-DK"/>
        </w:rPr>
        <w:t>alu</w:t>
      </w:r>
      <w:proofErr w:type="spellEnd"/>
      <w:r>
        <w:rPr>
          <w:sz w:val="24"/>
          <w:szCs w:val="24"/>
          <w:u w:val="single"/>
          <w:lang w:eastAsia="da-DK"/>
        </w:rPr>
        <w:t>-blister</w:t>
      </w:r>
    </w:p>
    <w:p w:rsidR="0070746C" w:rsidRDefault="0070746C" w:rsidP="0070746C">
      <w:pPr>
        <w:ind w:left="851"/>
        <w:rPr>
          <w:sz w:val="24"/>
          <w:szCs w:val="24"/>
          <w:lang w:eastAsia="da-DK"/>
        </w:rPr>
      </w:pPr>
      <w:r>
        <w:rPr>
          <w:sz w:val="24"/>
          <w:szCs w:val="24"/>
          <w:lang w:eastAsia="da-DK"/>
        </w:rPr>
        <w:t>Må ikke opbevares ved temperaturer over 30 °C.</w:t>
      </w:r>
    </w:p>
    <w:p w:rsidR="0070746C" w:rsidRPr="0082015D" w:rsidRDefault="0070746C" w:rsidP="0070746C">
      <w:pPr>
        <w:ind w:left="851"/>
        <w:rPr>
          <w:sz w:val="24"/>
          <w:szCs w:val="24"/>
          <w:lang w:eastAsia="da-DK"/>
        </w:rPr>
      </w:pPr>
      <w:r w:rsidRPr="0082015D">
        <w:rPr>
          <w:sz w:val="24"/>
          <w:szCs w:val="24"/>
          <w:lang w:eastAsia="da-DK"/>
        </w:rPr>
        <w:t>Opbevar</w:t>
      </w:r>
      <w:r>
        <w:rPr>
          <w:sz w:val="24"/>
          <w:szCs w:val="24"/>
          <w:lang w:eastAsia="da-DK"/>
        </w:rPr>
        <w:t>es</w:t>
      </w:r>
      <w:r w:rsidRPr="0082015D">
        <w:rPr>
          <w:sz w:val="24"/>
          <w:szCs w:val="24"/>
          <w:lang w:eastAsia="da-DK"/>
        </w:rPr>
        <w:t xml:space="preserve"> i originalemballagen for at beskytte mod fugt.</w:t>
      </w:r>
    </w:p>
    <w:p w:rsidR="0070746C" w:rsidRDefault="0070746C" w:rsidP="0070746C">
      <w:pPr>
        <w:ind w:left="851"/>
        <w:rPr>
          <w:sz w:val="24"/>
          <w:szCs w:val="24"/>
          <w:u w:val="single"/>
          <w:lang w:eastAsia="da-DK"/>
        </w:rPr>
      </w:pPr>
    </w:p>
    <w:p w:rsidR="0070746C" w:rsidRPr="000F65E6" w:rsidRDefault="0070746C" w:rsidP="0070746C">
      <w:pPr>
        <w:autoSpaceDE w:val="0"/>
        <w:autoSpaceDN w:val="0"/>
        <w:adjustRightInd w:val="0"/>
        <w:ind w:left="851"/>
        <w:rPr>
          <w:sz w:val="24"/>
          <w:szCs w:val="24"/>
          <w:u w:val="single"/>
          <w:lang w:eastAsia="da-DK"/>
        </w:rPr>
      </w:pPr>
      <w:proofErr w:type="spellStart"/>
      <w:r>
        <w:rPr>
          <w:sz w:val="24"/>
          <w:szCs w:val="24"/>
          <w:u w:val="single"/>
          <w:lang w:eastAsia="da-DK"/>
        </w:rPr>
        <w:t>Alu</w:t>
      </w:r>
      <w:proofErr w:type="spellEnd"/>
      <w:r>
        <w:rPr>
          <w:sz w:val="24"/>
          <w:szCs w:val="24"/>
          <w:u w:val="single"/>
          <w:lang w:eastAsia="da-DK"/>
        </w:rPr>
        <w:t>-</w:t>
      </w:r>
      <w:proofErr w:type="spellStart"/>
      <w:r>
        <w:rPr>
          <w:sz w:val="24"/>
          <w:szCs w:val="24"/>
          <w:u w:val="single"/>
          <w:lang w:eastAsia="da-DK"/>
        </w:rPr>
        <w:t>alu</w:t>
      </w:r>
      <w:proofErr w:type="spellEnd"/>
      <w:r>
        <w:rPr>
          <w:sz w:val="24"/>
          <w:szCs w:val="24"/>
          <w:u w:val="single"/>
          <w:lang w:eastAsia="da-DK"/>
        </w:rPr>
        <w:t>-blister</w:t>
      </w:r>
    </w:p>
    <w:p w:rsidR="0070746C" w:rsidRDefault="0070746C" w:rsidP="0070746C">
      <w:pPr>
        <w:ind w:left="851"/>
        <w:rPr>
          <w:sz w:val="24"/>
          <w:szCs w:val="24"/>
          <w:lang w:eastAsia="da-DK"/>
        </w:rPr>
      </w:pPr>
      <w:r>
        <w:rPr>
          <w:sz w:val="24"/>
          <w:szCs w:val="24"/>
          <w:lang w:eastAsia="da-DK"/>
        </w:rPr>
        <w:t>Må ikke opbevares ved temperaturer over 30 °C.</w:t>
      </w:r>
    </w:p>
    <w:p w:rsidR="0070746C" w:rsidRPr="0082015D" w:rsidRDefault="0070746C" w:rsidP="0070746C">
      <w:pPr>
        <w:ind w:left="851"/>
        <w:rPr>
          <w:sz w:val="24"/>
          <w:szCs w:val="24"/>
          <w:lang w:eastAsia="da-DK"/>
        </w:rPr>
      </w:pPr>
      <w:r w:rsidRPr="0082015D">
        <w:rPr>
          <w:sz w:val="24"/>
          <w:szCs w:val="24"/>
          <w:lang w:eastAsia="da-DK"/>
        </w:rPr>
        <w:t>Opbevar</w:t>
      </w:r>
      <w:r>
        <w:rPr>
          <w:sz w:val="24"/>
          <w:szCs w:val="24"/>
          <w:lang w:eastAsia="da-DK"/>
        </w:rPr>
        <w:t>es</w:t>
      </w:r>
      <w:r w:rsidRPr="0082015D">
        <w:rPr>
          <w:sz w:val="24"/>
          <w:szCs w:val="24"/>
          <w:lang w:eastAsia="da-DK"/>
        </w:rPr>
        <w:t xml:space="preserve"> i originalemballagen for at beskytte mod fugt.</w:t>
      </w:r>
    </w:p>
    <w:p w:rsidR="0070746C" w:rsidRPr="0082015D" w:rsidRDefault="0070746C" w:rsidP="0070746C">
      <w:pPr>
        <w:ind w:left="851"/>
        <w:rPr>
          <w:sz w:val="24"/>
          <w:szCs w:val="24"/>
          <w:u w:val="single"/>
          <w:lang w:eastAsia="da-DK"/>
        </w:rPr>
      </w:pPr>
    </w:p>
    <w:p w:rsidR="0070746C" w:rsidRDefault="0070746C" w:rsidP="0070746C">
      <w:pPr>
        <w:ind w:left="851"/>
        <w:rPr>
          <w:sz w:val="24"/>
          <w:szCs w:val="24"/>
          <w:u w:val="single"/>
          <w:lang w:eastAsia="da-DK"/>
        </w:rPr>
      </w:pPr>
      <w:r w:rsidRPr="0082015D">
        <w:rPr>
          <w:sz w:val="24"/>
          <w:szCs w:val="24"/>
          <w:u w:val="single"/>
          <w:lang w:eastAsia="da-DK"/>
        </w:rPr>
        <w:t>HDPE-beholder</w:t>
      </w:r>
    </w:p>
    <w:p w:rsidR="0070746C" w:rsidRDefault="0070746C" w:rsidP="0070746C">
      <w:pPr>
        <w:ind w:left="851"/>
        <w:rPr>
          <w:sz w:val="24"/>
          <w:szCs w:val="24"/>
          <w:lang w:eastAsia="da-DK"/>
        </w:rPr>
      </w:pPr>
      <w:r w:rsidRPr="0082015D">
        <w:rPr>
          <w:sz w:val="24"/>
          <w:szCs w:val="24"/>
          <w:lang w:eastAsia="da-DK"/>
        </w:rPr>
        <w:t>Dette lægemiddel kræver ingen særlige forholds</w:t>
      </w:r>
      <w:r>
        <w:rPr>
          <w:sz w:val="24"/>
          <w:szCs w:val="24"/>
          <w:lang w:eastAsia="da-DK"/>
        </w:rPr>
        <w:t>regler vedrørende opbevaringstemperatur.</w:t>
      </w:r>
    </w:p>
    <w:p w:rsidR="0070746C" w:rsidRDefault="0070746C" w:rsidP="0070746C">
      <w:pPr>
        <w:ind w:left="851"/>
        <w:rPr>
          <w:sz w:val="24"/>
          <w:szCs w:val="24"/>
          <w:lang w:eastAsia="da-DK"/>
        </w:rPr>
      </w:pPr>
      <w:r w:rsidRPr="0082015D">
        <w:rPr>
          <w:sz w:val="24"/>
          <w:szCs w:val="24"/>
          <w:lang w:eastAsia="da-DK"/>
        </w:rPr>
        <w:t>Opbevar i originalembal</w:t>
      </w:r>
      <w:r>
        <w:rPr>
          <w:sz w:val="24"/>
          <w:szCs w:val="24"/>
          <w:lang w:eastAsia="da-DK"/>
        </w:rPr>
        <w:t>lagen for at beskytte mod fugt.</w:t>
      </w:r>
    </w:p>
    <w:p w:rsidR="0070746C" w:rsidRPr="00C84483" w:rsidRDefault="0070746C" w:rsidP="0070746C">
      <w:pPr>
        <w:ind w:left="851"/>
        <w:rPr>
          <w:sz w:val="24"/>
          <w:szCs w:val="24"/>
          <w:lang w:eastAsia="da-DK"/>
        </w:rPr>
      </w:pPr>
      <w:r w:rsidRPr="0082015D">
        <w:rPr>
          <w:sz w:val="24"/>
          <w:szCs w:val="24"/>
          <w:lang w:eastAsia="da-DK"/>
        </w:rPr>
        <w:t>Hold beholderen tæt lukket.</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0746C" w:rsidRPr="000F65E6" w:rsidRDefault="0070746C" w:rsidP="0070746C">
      <w:pPr>
        <w:autoSpaceDE w:val="0"/>
        <w:autoSpaceDN w:val="0"/>
        <w:adjustRightInd w:val="0"/>
        <w:ind w:left="851"/>
        <w:rPr>
          <w:sz w:val="24"/>
          <w:szCs w:val="24"/>
          <w:lang w:eastAsia="da-DK"/>
        </w:rPr>
      </w:pPr>
      <w:r w:rsidRPr="000F65E6">
        <w:rPr>
          <w:sz w:val="24"/>
          <w:szCs w:val="24"/>
          <w:lang w:eastAsia="da-DK"/>
        </w:rPr>
        <w:t>Kapslerne er pakket i PVC/</w:t>
      </w:r>
      <w:proofErr w:type="spellStart"/>
      <w:r w:rsidRPr="000F65E6">
        <w:rPr>
          <w:sz w:val="24"/>
          <w:szCs w:val="24"/>
          <w:lang w:eastAsia="da-DK"/>
        </w:rPr>
        <w:t>PVdC</w:t>
      </w:r>
      <w:proofErr w:type="spellEnd"/>
      <w:r w:rsidRPr="000F65E6">
        <w:rPr>
          <w:sz w:val="24"/>
          <w:szCs w:val="24"/>
          <w:lang w:eastAsia="da-DK"/>
        </w:rPr>
        <w:t>-</w:t>
      </w:r>
      <w:proofErr w:type="spellStart"/>
      <w:r w:rsidRPr="000F65E6">
        <w:rPr>
          <w:sz w:val="24"/>
          <w:szCs w:val="24"/>
          <w:lang w:eastAsia="da-DK"/>
        </w:rPr>
        <w:t>alu</w:t>
      </w:r>
      <w:proofErr w:type="spellEnd"/>
      <w:r w:rsidRPr="000F65E6">
        <w:rPr>
          <w:sz w:val="24"/>
          <w:szCs w:val="24"/>
          <w:lang w:eastAsia="da-DK"/>
        </w:rPr>
        <w:t xml:space="preserve">-blisterpakning, </w:t>
      </w:r>
      <w:proofErr w:type="spellStart"/>
      <w:r w:rsidRPr="000F65E6">
        <w:rPr>
          <w:sz w:val="24"/>
          <w:szCs w:val="24"/>
          <w:lang w:eastAsia="da-DK"/>
        </w:rPr>
        <w:t>alu</w:t>
      </w:r>
      <w:proofErr w:type="spellEnd"/>
      <w:r w:rsidRPr="000F65E6">
        <w:rPr>
          <w:sz w:val="24"/>
          <w:szCs w:val="24"/>
          <w:lang w:eastAsia="da-DK"/>
        </w:rPr>
        <w:t>-</w:t>
      </w:r>
      <w:proofErr w:type="spellStart"/>
      <w:r w:rsidRPr="000F65E6">
        <w:rPr>
          <w:sz w:val="24"/>
          <w:szCs w:val="24"/>
          <w:lang w:eastAsia="da-DK"/>
        </w:rPr>
        <w:t>alu</w:t>
      </w:r>
      <w:proofErr w:type="spellEnd"/>
      <w:r w:rsidRPr="000F65E6">
        <w:rPr>
          <w:sz w:val="24"/>
          <w:szCs w:val="24"/>
          <w:lang w:eastAsia="da-DK"/>
        </w:rPr>
        <w:t>-blisterpakning eller HDPE-beholder.</w:t>
      </w:r>
    </w:p>
    <w:p w:rsidR="0070746C" w:rsidRPr="000F65E6" w:rsidRDefault="0070746C" w:rsidP="0070746C">
      <w:pPr>
        <w:autoSpaceDE w:val="0"/>
        <w:autoSpaceDN w:val="0"/>
        <w:adjustRightInd w:val="0"/>
        <w:ind w:left="851"/>
        <w:rPr>
          <w:sz w:val="24"/>
          <w:szCs w:val="24"/>
          <w:lang w:eastAsia="da-DK"/>
        </w:rPr>
      </w:pPr>
    </w:p>
    <w:p w:rsidR="0070746C" w:rsidRPr="000F65E6" w:rsidRDefault="0070746C" w:rsidP="0070746C">
      <w:pPr>
        <w:autoSpaceDE w:val="0"/>
        <w:autoSpaceDN w:val="0"/>
        <w:adjustRightInd w:val="0"/>
        <w:ind w:left="851"/>
        <w:rPr>
          <w:bCs/>
          <w:sz w:val="24"/>
          <w:szCs w:val="24"/>
          <w:u w:val="single"/>
          <w:lang w:eastAsia="da-DK"/>
        </w:rPr>
      </w:pPr>
      <w:r>
        <w:rPr>
          <w:sz w:val="24"/>
          <w:szCs w:val="24"/>
          <w:u w:val="single"/>
          <w:lang w:eastAsia="da-DK"/>
        </w:rPr>
        <w:t>PVC/</w:t>
      </w:r>
      <w:proofErr w:type="spellStart"/>
      <w:r>
        <w:rPr>
          <w:sz w:val="24"/>
          <w:szCs w:val="24"/>
          <w:u w:val="single"/>
          <w:lang w:eastAsia="da-DK"/>
        </w:rPr>
        <w:t>PVdC</w:t>
      </w:r>
      <w:proofErr w:type="spellEnd"/>
      <w:r>
        <w:rPr>
          <w:sz w:val="24"/>
          <w:szCs w:val="24"/>
          <w:u w:val="single"/>
          <w:lang w:eastAsia="da-DK"/>
        </w:rPr>
        <w:t>-</w:t>
      </w:r>
      <w:proofErr w:type="spellStart"/>
      <w:r>
        <w:rPr>
          <w:sz w:val="24"/>
          <w:szCs w:val="24"/>
          <w:u w:val="single"/>
          <w:lang w:eastAsia="da-DK"/>
        </w:rPr>
        <w:t>alu</w:t>
      </w:r>
      <w:proofErr w:type="spellEnd"/>
      <w:r>
        <w:rPr>
          <w:sz w:val="24"/>
          <w:szCs w:val="24"/>
          <w:u w:val="single"/>
          <w:lang w:eastAsia="da-DK"/>
        </w:rPr>
        <w:t>-blister</w:t>
      </w:r>
    </w:p>
    <w:p w:rsidR="0070746C" w:rsidRDefault="0070746C" w:rsidP="0070746C">
      <w:pPr>
        <w:autoSpaceDE w:val="0"/>
        <w:autoSpaceDN w:val="0"/>
        <w:adjustRightInd w:val="0"/>
        <w:ind w:left="851"/>
        <w:rPr>
          <w:sz w:val="24"/>
          <w:szCs w:val="24"/>
          <w:lang w:eastAsia="da-DK"/>
        </w:rPr>
      </w:pPr>
      <w:r>
        <w:rPr>
          <w:sz w:val="24"/>
          <w:szCs w:val="24"/>
          <w:lang w:eastAsia="da-DK"/>
        </w:rPr>
        <w:t>A</w:t>
      </w:r>
      <w:r w:rsidRPr="000F65E6">
        <w:rPr>
          <w:sz w:val="24"/>
          <w:szCs w:val="24"/>
          <w:lang w:eastAsia="da-DK"/>
        </w:rPr>
        <w:t>luminiumsfolie med belægning af varmeforseglet lak som folielåg og PVC/</w:t>
      </w:r>
      <w:proofErr w:type="spellStart"/>
      <w:r w:rsidRPr="000F65E6">
        <w:rPr>
          <w:sz w:val="24"/>
          <w:szCs w:val="24"/>
          <w:lang w:eastAsia="da-DK"/>
        </w:rPr>
        <w:t>PVdC</w:t>
      </w:r>
      <w:proofErr w:type="spellEnd"/>
      <w:r w:rsidRPr="000F65E6">
        <w:rPr>
          <w:sz w:val="24"/>
          <w:szCs w:val="24"/>
          <w:lang w:eastAsia="da-DK"/>
        </w:rPr>
        <w:t>-lamineret formskal.</w:t>
      </w:r>
    </w:p>
    <w:p w:rsidR="0070746C" w:rsidRPr="000F65E6" w:rsidRDefault="0070746C" w:rsidP="0070746C">
      <w:pPr>
        <w:autoSpaceDE w:val="0"/>
        <w:autoSpaceDN w:val="0"/>
        <w:adjustRightInd w:val="0"/>
        <w:ind w:left="851"/>
        <w:rPr>
          <w:sz w:val="24"/>
          <w:szCs w:val="24"/>
          <w:lang w:eastAsia="da-DK"/>
        </w:rPr>
      </w:pPr>
      <w:r w:rsidRPr="00625B4F">
        <w:rPr>
          <w:i/>
          <w:sz w:val="24"/>
          <w:szCs w:val="24"/>
          <w:lang w:eastAsia="da-DK"/>
        </w:rPr>
        <w:t>Pakningsstørrelser</w:t>
      </w:r>
      <w:r>
        <w:rPr>
          <w:sz w:val="24"/>
          <w:szCs w:val="24"/>
          <w:lang w:eastAsia="da-DK"/>
        </w:rPr>
        <w:t xml:space="preserve">: </w:t>
      </w:r>
      <w:r w:rsidRPr="000F65E6">
        <w:rPr>
          <w:sz w:val="24"/>
          <w:szCs w:val="24"/>
          <w:lang w:eastAsia="da-DK"/>
        </w:rPr>
        <w:t xml:space="preserve">20, 30, 50, 60, 84, 90, 98, 100, 200, 500 og 1000 </w:t>
      </w:r>
      <w:r>
        <w:rPr>
          <w:sz w:val="24"/>
          <w:szCs w:val="24"/>
          <w:lang w:eastAsia="da-DK"/>
        </w:rPr>
        <w:t>stk</w:t>
      </w:r>
      <w:r w:rsidRPr="000F65E6">
        <w:rPr>
          <w:sz w:val="24"/>
          <w:szCs w:val="24"/>
          <w:lang w:eastAsia="da-DK"/>
        </w:rPr>
        <w:t>.</w:t>
      </w:r>
    </w:p>
    <w:p w:rsidR="0070746C" w:rsidRPr="000F65E6" w:rsidRDefault="0070746C" w:rsidP="0070746C">
      <w:pPr>
        <w:autoSpaceDE w:val="0"/>
        <w:autoSpaceDN w:val="0"/>
        <w:adjustRightInd w:val="0"/>
        <w:ind w:left="851"/>
        <w:rPr>
          <w:sz w:val="24"/>
          <w:szCs w:val="24"/>
          <w:lang w:eastAsia="da-DK"/>
        </w:rPr>
      </w:pPr>
    </w:p>
    <w:p w:rsidR="0070746C" w:rsidRPr="000F65E6" w:rsidRDefault="0070746C" w:rsidP="0070746C">
      <w:pPr>
        <w:autoSpaceDE w:val="0"/>
        <w:autoSpaceDN w:val="0"/>
        <w:adjustRightInd w:val="0"/>
        <w:ind w:left="851"/>
        <w:rPr>
          <w:sz w:val="24"/>
          <w:szCs w:val="24"/>
          <w:u w:val="single"/>
          <w:lang w:eastAsia="da-DK"/>
        </w:rPr>
      </w:pPr>
      <w:proofErr w:type="spellStart"/>
      <w:r>
        <w:rPr>
          <w:sz w:val="24"/>
          <w:szCs w:val="24"/>
          <w:u w:val="single"/>
          <w:lang w:eastAsia="da-DK"/>
        </w:rPr>
        <w:t>Alu</w:t>
      </w:r>
      <w:proofErr w:type="spellEnd"/>
      <w:r>
        <w:rPr>
          <w:sz w:val="24"/>
          <w:szCs w:val="24"/>
          <w:u w:val="single"/>
          <w:lang w:eastAsia="da-DK"/>
        </w:rPr>
        <w:t>-</w:t>
      </w:r>
      <w:proofErr w:type="spellStart"/>
      <w:r>
        <w:rPr>
          <w:sz w:val="24"/>
          <w:szCs w:val="24"/>
          <w:u w:val="single"/>
          <w:lang w:eastAsia="da-DK"/>
        </w:rPr>
        <w:t>alu</w:t>
      </w:r>
      <w:proofErr w:type="spellEnd"/>
      <w:r>
        <w:rPr>
          <w:sz w:val="24"/>
          <w:szCs w:val="24"/>
          <w:u w:val="single"/>
          <w:lang w:eastAsia="da-DK"/>
        </w:rPr>
        <w:t>-blister</w:t>
      </w:r>
    </w:p>
    <w:p w:rsidR="0070746C" w:rsidRPr="000F65E6" w:rsidRDefault="0070746C" w:rsidP="0070746C">
      <w:pPr>
        <w:autoSpaceDE w:val="0"/>
        <w:autoSpaceDN w:val="0"/>
        <w:adjustRightInd w:val="0"/>
        <w:ind w:left="851"/>
        <w:rPr>
          <w:sz w:val="24"/>
          <w:szCs w:val="24"/>
          <w:lang w:eastAsia="da-DK"/>
        </w:rPr>
      </w:pPr>
      <w:r>
        <w:rPr>
          <w:sz w:val="24"/>
          <w:szCs w:val="24"/>
          <w:lang w:eastAsia="da-DK"/>
        </w:rPr>
        <w:t>A</w:t>
      </w:r>
      <w:r w:rsidRPr="000F65E6">
        <w:rPr>
          <w:sz w:val="24"/>
          <w:szCs w:val="24"/>
          <w:lang w:eastAsia="da-DK"/>
        </w:rPr>
        <w:t>luminiumsfolie lamineret med OPA og PVC som formfolie og aluminiumsfolie med belægning af varmeforseglet lak som folielåg.</w:t>
      </w:r>
    </w:p>
    <w:p w:rsidR="0070746C" w:rsidRPr="000F65E6" w:rsidRDefault="0070746C" w:rsidP="0070746C">
      <w:pPr>
        <w:autoSpaceDE w:val="0"/>
        <w:autoSpaceDN w:val="0"/>
        <w:adjustRightInd w:val="0"/>
        <w:ind w:left="851"/>
        <w:rPr>
          <w:sz w:val="24"/>
          <w:szCs w:val="24"/>
          <w:lang w:eastAsia="da-DK"/>
        </w:rPr>
      </w:pPr>
      <w:r w:rsidRPr="00625B4F">
        <w:rPr>
          <w:i/>
          <w:sz w:val="24"/>
          <w:szCs w:val="24"/>
          <w:lang w:eastAsia="da-DK"/>
        </w:rPr>
        <w:t>Pakningsstørrelser</w:t>
      </w:r>
      <w:r>
        <w:rPr>
          <w:sz w:val="24"/>
          <w:szCs w:val="24"/>
          <w:lang w:eastAsia="da-DK"/>
        </w:rPr>
        <w:t xml:space="preserve">: </w:t>
      </w:r>
      <w:r w:rsidRPr="000F65E6">
        <w:rPr>
          <w:sz w:val="24"/>
          <w:szCs w:val="24"/>
          <w:lang w:eastAsia="da-DK"/>
        </w:rPr>
        <w:t xml:space="preserve">20, 30, 50, 60, 84, 90, 98, 100, 200, 500 og 1000 </w:t>
      </w:r>
      <w:r>
        <w:rPr>
          <w:sz w:val="24"/>
          <w:szCs w:val="24"/>
          <w:lang w:eastAsia="da-DK"/>
        </w:rPr>
        <w:t>stk</w:t>
      </w:r>
      <w:r w:rsidRPr="000F65E6">
        <w:rPr>
          <w:sz w:val="24"/>
          <w:szCs w:val="24"/>
          <w:lang w:eastAsia="da-DK"/>
        </w:rPr>
        <w:t>.</w:t>
      </w:r>
    </w:p>
    <w:p w:rsidR="0070746C" w:rsidRPr="000F65E6" w:rsidRDefault="0070746C" w:rsidP="0070746C">
      <w:pPr>
        <w:autoSpaceDE w:val="0"/>
        <w:autoSpaceDN w:val="0"/>
        <w:adjustRightInd w:val="0"/>
        <w:ind w:left="851"/>
        <w:rPr>
          <w:sz w:val="24"/>
          <w:szCs w:val="24"/>
          <w:lang w:eastAsia="da-DK"/>
        </w:rPr>
      </w:pPr>
    </w:p>
    <w:p w:rsidR="0070746C" w:rsidRPr="000F65E6" w:rsidRDefault="0070746C" w:rsidP="0070746C">
      <w:pPr>
        <w:autoSpaceDE w:val="0"/>
        <w:autoSpaceDN w:val="0"/>
        <w:adjustRightInd w:val="0"/>
        <w:ind w:left="851"/>
        <w:rPr>
          <w:bCs/>
          <w:sz w:val="24"/>
          <w:szCs w:val="24"/>
          <w:u w:val="single"/>
          <w:lang w:eastAsia="da-DK"/>
        </w:rPr>
      </w:pPr>
      <w:r>
        <w:rPr>
          <w:sz w:val="24"/>
          <w:szCs w:val="24"/>
          <w:u w:val="single"/>
          <w:lang w:eastAsia="da-DK"/>
        </w:rPr>
        <w:t>HDPE-beholder</w:t>
      </w:r>
    </w:p>
    <w:p w:rsidR="0070746C" w:rsidRPr="000F65E6" w:rsidRDefault="0070746C" w:rsidP="0070746C">
      <w:pPr>
        <w:autoSpaceDE w:val="0"/>
        <w:autoSpaceDN w:val="0"/>
        <w:adjustRightInd w:val="0"/>
        <w:ind w:left="851"/>
        <w:rPr>
          <w:sz w:val="24"/>
          <w:szCs w:val="24"/>
          <w:lang w:eastAsia="da-DK"/>
        </w:rPr>
      </w:pPr>
      <w:r>
        <w:rPr>
          <w:sz w:val="24"/>
          <w:szCs w:val="24"/>
          <w:lang w:eastAsia="da-DK"/>
        </w:rPr>
        <w:t>H</w:t>
      </w:r>
      <w:r w:rsidRPr="000F65E6">
        <w:rPr>
          <w:sz w:val="24"/>
          <w:szCs w:val="24"/>
          <w:lang w:eastAsia="da-DK"/>
        </w:rPr>
        <w:t>vid</w:t>
      </w:r>
      <w:r>
        <w:rPr>
          <w:sz w:val="24"/>
          <w:szCs w:val="24"/>
          <w:lang w:eastAsia="da-DK"/>
        </w:rPr>
        <w:t>,</w:t>
      </w:r>
      <w:r w:rsidRPr="000F65E6">
        <w:rPr>
          <w:sz w:val="24"/>
          <w:szCs w:val="24"/>
          <w:lang w:eastAsia="da-DK"/>
        </w:rPr>
        <w:t xml:space="preserve"> uigennemsigtig HDPE-beholder med hvid</w:t>
      </w:r>
      <w:r>
        <w:rPr>
          <w:sz w:val="24"/>
          <w:szCs w:val="24"/>
          <w:lang w:eastAsia="da-DK"/>
        </w:rPr>
        <w:t>,</w:t>
      </w:r>
      <w:r w:rsidRPr="000F65E6">
        <w:rPr>
          <w:sz w:val="24"/>
          <w:szCs w:val="24"/>
          <w:lang w:eastAsia="da-DK"/>
        </w:rPr>
        <w:t xml:space="preserve"> uigennemsigtig polypropylen børnesikret lukning (med vatmateriale og forsegling) og </w:t>
      </w:r>
      <w:proofErr w:type="spellStart"/>
      <w:r w:rsidRPr="000F65E6">
        <w:rPr>
          <w:sz w:val="24"/>
          <w:szCs w:val="24"/>
          <w:lang w:eastAsia="da-DK"/>
        </w:rPr>
        <w:t>silica</w:t>
      </w:r>
      <w:proofErr w:type="spellEnd"/>
      <w:r w:rsidRPr="000F65E6">
        <w:rPr>
          <w:sz w:val="24"/>
          <w:szCs w:val="24"/>
          <w:lang w:eastAsia="da-DK"/>
        </w:rPr>
        <w:t xml:space="preserve"> gel-beholder (som tørremiddel).</w:t>
      </w:r>
    </w:p>
    <w:p w:rsidR="0070746C" w:rsidRPr="000F65E6" w:rsidRDefault="0070746C" w:rsidP="0070746C">
      <w:pPr>
        <w:autoSpaceDE w:val="0"/>
        <w:autoSpaceDN w:val="0"/>
        <w:adjustRightInd w:val="0"/>
        <w:ind w:left="851"/>
        <w:rPr>
          <w:sz w:val="24"/>
          <w:szCs w:val="24"/>
          <w:lang w:eastAsia="da-DK"/>
        </w:rPr>
      </w:pPr>
      <w:r w:rsidRPr="000F65E6">
        <w:rPr>
          <w:i/>
          <w:sz w:val="24"/>
          <w:szCs w:val="24"/>
          <w:lang w:eastAsia="da-DK"/>
        </w:rPr>
        <w:t>Pakningsstørrelser</w:t>
      </w:r>
      <w:r w:rsidRPr="000F65E6">
        <w:rPr>
          <w:sz w:val="24"/>
          <w:szCs w:val="24"/>
          <w:lang w:eastAsia="da-DK"/>
        </w:rPr>
        <w:t xml:space="preserve">: 100 og 500 </w:t>
      </w:r>
      <w:r>
        <w:rPr>
          <w:sz w:val="24"/>
          <w:szCs w:val="24"/>
          <w:lang w:eastAsia="da-DK"/>
        </w:rPr>
        <w:t>stk</w:t>
      </w:r>
      <w:r w:rsidRPr="000F65E6">
        <w:rPr>
          <w:sz w:val="24"/>
          <w:szCs w:val="24"/>
          <w:lang w:eastAsia="da-DK"/>
        </w:rPr>
        <w:t>.</w:t>
      </w:r>
    </w:p>
    <w:p w:rsidR="0070746C" w:rsidRPr="000F65E6" w:rsidRDefault="0070746C" w:rsidP="0070746C">
      <w:pPr>
        <w:autoSpaceDE w:val="0"/>
        <w:autoSpaceDN w:val="0"/>
        <w:adjustRightInd w:val="0"/>
        <w:ind w:left="851"/>
        <w:rPr>
          <w:sz w:val="24"/>
          <w:szCs w:val="24"/>
          <w:lang w:eastAsia="da-DK"/>
        </w:rPr>
      </w:pPr>
    </w:p>
    <w:p w:rsidR="0070746C" w:rsidRPr="00C84483" w:rsidRDefault="0070746C" w:rsidP="0070746C">
      <w:pPr>
        <w:autoSpaceDE w:val="0"/>
        <w:autoSpaceDN w:val="0"/>
        <w:adjustRightInd w:val="0"/>
        <w:ind w:left="851"/>
        <w:rPr>
          <w:sz w:val="24"/>
          <w:szCs w:val="24"/>
          <w:lang w:eastAsia="da-DK"/>
        </w:rPr>
      </w:pPr>
      <w:r w:rsidRPr="000F65E6">
        <w:rPr>
          <w:sz w:val="24"/>
          <w:szCs w:val="24"/>
          <w:lang w:eastAsia="da-DK"/>
        </w:rPr>
        <w:t>Ikke alle pakningsstørrelser er nødvendigvis markedsført.</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DA0D56">
        <w:rPr>
          <w:b/>
          <w:sz w:val="24"/>
          <w:szCs w:val="24"/>
        </w:rPr>
        <w:t>bortskaffelse</w:t>
      </w:r>
      <w:r w:rsidRPr="00C84483">
        <w:rPr>
          <w:b/>
          <w:sz w:val="24"/>
          <w:szCs w:val="24"/>
        </w:rPr>
        <w:t xml:space="preserve"> og anden håndtering</w:t>
      </w:r>
    </w:p>
    <w:p w:rsidR="0070746C" w:rsidRDefault="0070746C" w:rsidP="0070746C">
      <w:pPr>
        <w:autoSpaceDE w:val="0"/>
        <w:autoSpaceDN w:val="0"/>
        <w:adjustRightInd w:val="0"/>
        <w:ind w:left="851"/>
        <w:rPr>
          <w:sz w:val="24"/>
          <w:szCs w:val="24"/>
          <w:lang w:eastAsia="da-DK"/>
        </w:rPr>
      </w:pPr>
      <w:r w:rsidRPr="000F65E6">
        <w:rPr>
          <w:sz w:val="24"/>
          <w:szCs w:val="24"/>
          <w:lang w:eastAsia="da-DK"/>
        </w:rPr>
        <w:t>Ingen særlige forholdsregler.</w:t>
      </w:r>
    </w:p>
    <w:p w:rsidR="0070746C" w:rsidRPr="00C84483" w:rsidRDefault="0070746C" w:rsidP="0070746C">
      <w:pPr>
        <w:tabs>
          <w:tab w:val="left" w:pos="851"/>
        </w:tabs>
        <w:ind w:left="851"/>
        <w:jc w:val="both"/>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0746C" w:rsidRPr="005B3C75" w:rsidRDefault="0070746C" w:rsidP="0070746C">
      <w:pPr>
        <w:widowControl w:val="0"/>
        <w:autoSpaceDE w:val="0"/>
        <w:autoSpaceDN w:val="0"/>
        <w:adjustRightInd w:val="0"/>
        <w:ind w:left="851" w:right="-30"/>
        <w:rPr>
          <w:spacing w:val="-1"/>
          <w:sz w:val="24"/>
          <w:szCs w:val="24"/>
          <w:lang w:val="en-US"/>
        </w:rPr>
      </w:pPr>
      <w:r w:rsidRPr="005B3C75">
        <w:rPr>
          <w:spacing w:val="-1"/>
          <w:sz w:val="24"/>
          <w:szCs w:val="24"/>
          <w:lang w:val="en-US"/>
        </w:rPr>
        <w:t>Accord Healthcare B.V.</w:t>
      </w:r>
    </w:p>
    <w:p w:rsidR="0070746C" w:rsidRPr="00E4271E" w:rsidRDefault="0070746C" w:rsidP="0070746C">
      <w:pPr>
        <w:widowControl w:val="0"/>
        <w:autoSpaceDE w:val="0"/>
        <w:autoSpaceDN w:val="0"/>
        <w:adjustRightInd w:val="0"/>
        <w:ind w:left="851" w:right="-30"/>
        <w:rPr>
          <w:spacing w:val="-1"/>
          <w:sz w:val="24"/>
          <w:szCs w:val="24"/>
          <w:lang w:val="en-US"/>
        </w:rPr>
      </w:pPr>
      <w:proofErr w:type="spellStart"/>
      <w:r w:rsidRPr="00E4271E">
        <w:rPr>
          <w:spacing w:val="-1"/>
          <w:sz w:val="24"/>
          <w:szCs w:val="24"/>
          <w:lang w:val="en-US"/>
        </w:rPr>
        <w:t>Winthontlaan</w:t>
      </w:r>
      <w:proofErr w:type="spellEnd"/>
      <w:r w:rsidRPr="00E4271E">
        <w:rPr>
          <w:spacing w:val="-1"/>
          <w:sz w:val="24"/>
          <w:szCs w:val="24"/>
          <w:lang w:val="en-US"/>
        </w:rPr>
        <w:t xml:space="preserve"> 200</w:t>
      </w:r>
    </w:p>
    <w:p w:rsidR="0070746C" w:rsidRDefault="0070746C" w:rsidP="0070746C">
      <w:pPr>
        <w:ind w:left="851"/>
        <w:rPr>
          <w:spacing w:val="-1"/>
          <w:sz w:val="24"/>
          <w:szCs w:val="24"/>
        </w:rPr>
      </w:pPr>
      <w:r w:rsidRPr="005B3C75">
        <w:rPr>
          <w:spacing w:val="-1"/>
          <w:sz w:val="24"/>
          <w:szCs w:val="24"/>
        </w:rPr>
        <w:lastRenderedPageBreak/>
        <w:t>3526 KV</w:t>
      </w:r>
      <w:r>
        <w:rPr>
          <w:spacing w:val="-1"/>
          <w:sz w:val="24"/>
          <w:szCs w:val="24"/>
        </w:rPr>
        <w:t xml:space="preserve"> Utrecht</w:t>
      </w:r>
    </w:p>
    <w:p w:rsidR="0070746C" w:rsidRPr="00874C20" w:rsidRDefault="0070746C" w:rsidP="0070746C">
      <w:pPr>
        <w:tabs>
          <w:tab w:val="num" w:pos="0"/>
        </w:tabs>
        <w:ind w:left="851" w:right="29"/>
        <w:rPr>
          <w:sz w:val="24"/>
          <w:szCs w:val="24"/>
          <w:lang w:eastAsia="da-DK"/>
        </w:rPr>
      </w:pPr>
      <w:r>
        <w:rPr>
          <w:spacing w:val="-1"/>
          <w:sz w:val="24"/>
          <w:szCs w:val="24"/>
        </w:rPr>
        <w:t>Holland</w:t>
      </w:r>
    </w:p>
    <w:p w:rsidR="0070746C" w:rsidRPr="00874C20"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A0D56">
        <w:rPr>
          <w:b/>
          <w:sz w:val="24"/>
          <w:szCs w:val="24"/>
        </w:rPr>
        <w:t>-</w:t>
      </w:r>
      <w:r w:rsidRPr="00C84483">
        <w:rPr>
          <w:b/>
          <w:sz w:val="24"/>
          <w:szCs w:val="24"/>
        </w:rPr>
        <w:t>NUMRE)</w:t>
      </w:r>
    </w:p>
    <w:p w:rsidR="0070746C" w:rsidRDefault="0070746C" w:rsidP="0070746C">
      <w:pPr>
        <w:tabs>
          <w:tab w:val="left" w:pos="851"/>
          <w:tab w:val="left" w:pos="1701"/>
        </w:tabs>
        <w:ind w:left="851"/>
        <w:rPr>
          <w:sz w:val="24"/>
          <w:szCs w:val="24"/>
        </w:rPr>
      </w:pPr>
      <w:r>
        <w:rPr>
          <w:sz w:val="24"/>
          <w:szCs w:val="24"/>
        </w:rPr>
        <w:t>300 mg:</w:t>
      </w:r>
      <w:r>
        <w:rPr>
          <w:sz w:val="24"/>
          <w:szCs w:val="24"/>
        </w:rPr>
        <w:tab/>
        <w:t>56606</w:t>
      </w:r>
    </w:p>
    <w:p w:rsidR="0070746C" w:rsidRPr="00C84483" w:rsidRDefault="0070746C" w:rsidP="0070746C">
      <w:pPr>
        <w:tabs>
          <w:tab w:val="left" w:pos="851"/>
          <w:tab w:val="left" w:pos="1701"/>
        </w:tabs>
        <w:ind w:left="851"/>
        <w:rPr>
          <w:sz w:val="24"/>
          <w:szCs w:val="24"/>
        </w:rPr>
      </w:pPr>
      <w:r>
        <w:rPr>
          <w:sz w:val="24"/>
          <w:szCs w:val="24"/>
        </w:rPr>
        <w:t>400 mg:</w:t>
      </w:r>
      <w:r>
        <w:rPr>
          <w:sz w:val="24"/>
          <w:szCs w:val="24"/>
        </w:rPr>
        <w:tab/>
        <w:t>56607</w:t>
      </w:r>
    </w:p>
    <w:p w:rsidR="0070746C" w:rsidRPr="00C84483" w:rsidRDefault="0070746C" w:rsidP="0070746C">
      <w:pPr>
        <w:tabs>
          <w:tab w:val="left" w:pos="851"/>
        </w:tabs>
        <w:ind w:left="851"/>
        <w:jc w:val="both"/>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0746C" w:rsidRPr="00C84483" w:rsidRDefault="0070746C" w:rsidP="0070746C">
      <w:pPr>
        <w:tabs>
          <w:tab w:val="left" w:pos="851"/>
        </w:tabs>
        <w:ind w:left="851"/>
        <w:rPr>
          <w:sz w:val="24"/>
          <w:szCs w:val="24"/>
        </w:rPr>
      </w:pPr>
      <w:r>
        <w:rPr>
          <w:sz w:val="24"/>
          <w:szCs w:val="24"/>
        </w:rPr>
        <w:t>30. september 2016</w:t>
      </w:r>
    </w:p>
    <w:p w:rsidR="0070746C" w:rsidRPr="00C84483" w:rsidRDefault="0070746C" w:rsidP="0070746C">
      <w:pPr>
        <w:tabs>
          <w:tab w:val="left" w:pos="851"/>
        </w:tabs>
        <w:ind w:left="851"/>
        <w:rPr>
          <w:sz w:val="24"/>
          <w:szCs w:val="24"/>
        </w:rPr>
      </w:pPr>
    </w:p>
    <w:p w:rsidR="0070746C" w:rsidRPr="00C84483" w:rsidRDefault="0070746C" w:rsidP="0070746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0746C" w:rsidRPr="0001196F" w:rsidRDefault="00315680" w:rsidP="0070746C">
      <w:pPr>
        <w:tabs>
          <w:tab w:val="left" w:pos="851"/>
        </w:tabs>
        <w:ind w:left="851"/>
        <w:rPr>
          <w:sz w:val="24"/>
          <w:szCs w:val="24"/>
        </w:rPr>
      </w:pPr>
      <w:r>
        <w:rPr>
          <w:sz w:val="24"/>
          <w:szCs w:val="24"/>
        </w:rPr>
        <w:t>19</w:t>
      </w:r>
      <w:r w:rsidR="00612BC2">
        <w:rPr>
          <w:sz w:val="24"/>
          <w:szCs w:val="24"/>
        </w:rPr>
        <w:t xml:space="preserve">. </w:t>
      </w:r>
      <w:r>
        <w:rPr>
          <w:sz w:val="24"/>
          <w:szCs w:val="24"/>
        </w:rPr>
        <w:t>nov</w:t>
      </w:r>
      <w:r w:rsidR="00612BC2">
        <w:rPr>
          <w:sz w:val="24"/>
          <w:szCs w:val="24"/>
        </w:rPr>
        <w:t>ember 2024</w:t>
      </w:r>
    </w:p>
    <w:p w:rsidR="0070746C" w:rsidRPr="00F04F5A" w:rsidRDefault="0070746C" w:rsidP="0070746C"/>
    <w:p w:rsidR="0070746C" w:rsidRPr="007E0DEA" w:rsidRDefault="0070746C" w:rsidP="0070746C"/>
    <w:p w:rsidR="009260DE" w:rsidRPr="0070746C" w:rsidRDefault="009260DE" w:rsidP="0070746C"/>
    <w:sectPr w:rsidR="009260DE" w:rsidRPr="0070746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23B" w:rsidRDefault="00CC223B">
      <w:r>
        <w:separator/>
      </w:r>
    </w:p>
  </w:endnote>
  <w:endnote w:type="continuationSeparator" w:id="0">
    <w:p w:rsidR="00CC223B" w:rsidRDefault="00CC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23B" w:rsidRDefault="00CC223B">
    <w:pPr>
      <w:pStyle w:val="Sidefod"/>
      <w:pBdr>
        <w:bottom w:val="single" w:sz="6" w:space="1" w:color="auto"/>
      </w:pBdr>
    </w:pPr>
  </w:p>
  <w:p w:rsidR="00CC223B" w:rsidRDefault="00CC223B" w:rsidP="00C42586">
    <w:pPr>
      <w:pStyle w:val="Sidefod"/>
      <w:tabs>
        <w:tab w:val="clear" w:pos="4819"/>
        <w:tab w:val="left" w:pos="8505"/>
      </w:tabs>
      <w:rPr>
        <w:i/>
        <w:sz w:val="18"/>
        <w:szCs w:val="18"/>
      </w:rPr>
    </w:pPr>
  </w:p>
  <w:p w:rsidR="00CC223B" w:rsidRPr="00B373D7" w:rsidRDefault="00CC223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Gabapentin Accord, hårde kapsler 300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23B" w:rsidRDefault="00CC223B">
      <w:r>
        <w:separator/>
      </w:r>
    </w:p>
  </w:footnote>
  <w:footnote w:type="continuationSeparator" w:id="0">
    <w:p w:rsidR="00CC223B" w:rsidRDefault="00CC2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6C"/>
    <w:rsid w:val="000259B9"/>
    <w:rsid w:val="00041491"/>
    <w:rsid w:val="00050D16"/>
    <w:rsid w:val="00074F2A"/>
    <w:rsid w:val="000A1CA8"/>
    <w:rsid w:val="000A466B"/>
    <w:rsid w:val="000B058C"/>
    <w:rsid w:val="000C2932"/>
    <w:rsid w:val="000E4EE6"/>
    <w:rsid w:val="001454E2"/>
    <w:rsid w:val="00206CE8"/>
    <w:rsid w:val="0021526C"/>
    <w:rsid w:val="00254B8E"/>
    <w:rsid w:val="00265467"/>
    <w:rsid w:val="00283A2B"/>
    <w:rsid w:val="00295125"/>
    <w:rsid w:val="002B30AD"/>
    <w:rsid w:val="002C2C01"/>
    <w:rsid w:val="00315680"/>
    <w:rsid w:val="003A29AE"/>
    <w:rsid w:val="003A32D7"/>
    <w:rsid w:val="003B4074"/>
    <w:rsid w:val="003C769A"/>
    <w:rsid w:val="003F1838"/>
    <w:rsid w:val="0045746C"/>
    <w:rsid w:val="0049104B"/>
    <w:rsid w:val="004D62EE"/>
    <w:rsid w:val="004E3B12"/>
    <w:rsid w:val="00500CFF"/>
    <w:rsid w:val="00502D7D"/>
    <w:rsid w:val="00532310"/>
    <w:rsid w:val="00560ECC"/>
    <w:rsid w:val="00565F0F"/>
    <w:rsid w:val="00594A86"/>
    <w:rsid w:val="00596D86"/>
    <w:rsid w:val="00612BC2"/>
    <w:rsid w:val="00637F5A"/>
    <w:rsid w:val="006560B1"/>
    <w:rsid w:val="006756DD"/>
    <w:rsid w:val="0070746C"/>
    <w:rsid w:val="00737275"/>
    <w:rsid w:val="00740EEC"/>
    <w:rsid w:val="0078011A"/>
    <w:rsid w:val="00782AF4"/>
    <w:rsid w:val="00790EE7"/>
    <w:rsid w:val="007B6649"/>
    <w:rsid w:val="0081546F"/>
    <w:rsid w:val="0082576E"/>
    <w:rsid w:val="00907F75"/>
    <w:rsid w:val="00921427"/>
    <w:rsid w:val="009260DE"/>
    <w:rsid w:val="00927AD6"/>
    <w:rsid w:val="0093258A"/>
    <w:rsid w:val="009A408E"/>
    <w:rsid w:val="009C7BA3"/>
    <w:rsid w:val="009D1F5A"/>
    <w:rsid w:val="00B003BF"/>
    <w:rsid w:val="00B373D7"/>
    <w:rsid w:val="00C36276"/>
    <w:rsid w:val="00C42586"/>
    <w:rsid w:val="00C474E9"/>
    <w:rsid w:val="00C60CCD"/>
    <w:rsid w:val="00C74D47"/>
    <w:rsid w:val="00C84483"/>
    <w:rsid w:val="00C95551"/>
    <w:rsid w:val="00CB20D7"/>
    <w:rsid w:val="00CC223B"/>
    <w:rsid w:val="00D020B0"/>
    <w:rsid w:val="00D11748"/>
    <w:rsid w:val="00D366CF"/>
    <w:rsid w:val="00D606D1"/>
    <w:rsid w:val="00DA0D56"/>
    <w:rsid w:val="00E108AA"/>
    <w:rsid w:val="00E31812"/>
    <w:rsid w:val="00E3749A"/>
    <w:rsid w:val="00E7437F"/>
    <w:rsid w:val="00E865B8"/>
    <w:rsid w:val="00EC0B9B"/>
    <w:rsid w:val="00EC6D85"/>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2C44"/>
  <w15:chartTrackingRefBased/>
  <w15:docId w15:val="{F3D9C985-8C60-4E9B-9AC0-B86737D5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07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77165727">
      <w:bodyDiv w:val="1"/>
      <w:marLeft w:val="0"/>
      <w:marRight w:val="0"/>
      <w:marTop w:val="0"/>
      <w:marBottom w:val="0"/>
      <w:divBdr>
        <w:top w:val="none" w:sz="0" w:space="0" w:color="auto"/>
        <w:left w:val="none" w:sz="0" w:space="0" w:color="auto"/>
        <w:bottom w:val="none" w:sz="0" w:space="0" w:color="auto"/>
        <w:right w:val="none" w:sz="0" w:space="0" w:color="auto"/>
      </w:divBdr>
    </w:div>
    <w:div w:id="1100877156">
      <w:bodyDiv w:val="1"/>
      <w:marLeft w:val="0"/>
      <w:marRight w:val="0"/>
      <w:marTop w:val="0"/>
      <w:marBottom w:val="0"/>
      <w:divBdr>
        <w:top w:val="none" w:sz="0" w:space="0" w:color="auto"/>
        <w:left w:val="none" w:sz="0" w:space="0" w:color="auto"/>
        <w:bottom w:val="none" w:sz="0" w:space="0" w:color="auto"/>
        <w:right w:val="none" w:sz="0" w:space="0" w:color="auto"/>
      </w:divBdr>
    </w:div>
    <w:div w:id="1672372312">
      <w:bodyDiv w:val="1"/>
      <w:marLeft w:val="0"/>
      <w:marRight w:val="0"/>
      <w:marTop w:val="0"/>
      <w:marBottom w:val="0"/>
      <w:divBdr>
        <w:top w:val="none" w:sz="0" w:space="0" w:color="auto"/>
        <w:left w:val="none" w:sz="0" w:space="0" w:color="auto"/>
        <w:bottom w:val="none" w:sz="0" w:space="0" w:color="auto"/>
        <w:right w:val="none" w:sz="0" w:space="0" w:color="auto"/>
      </w:divBdr>
    </w:div>
    <w:div w:id="19059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4993</Words>
  <Characters>32116</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2024112585 ny ATC-kode</dc:description>
  <cp:lastModifiedBy>Gitte Ronnovius</cp:lastModifiedBy>
  <cp:revision>3</cp:revision>
  <cp:lastPrinted>2012-08-22T08:53:00Z</cp:lastPrinted>
  <dcterms:created xsi:type="dcterms:W3CDTF">2024-11-19T12:03:00Z</dcterms:created>
  <dcterms:modified xsi:type="dcterms:W3CDTF">2024-11-19T12:06:00Z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