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8A" w:rsidRPr="0080619C" w:rsidRDefault="005B428A" w:rsidP="005B428A">
      <w:pPr>
        <w:rPr>
          <w:sz w:val="24"/>
          <w:szCs w:val="24"/>
        </w:rPr>
      </w:pPr>
      <w:r w:rsidRPr="0080619C">
        <w:rPr>
          <w:noProof/>
          <w:sz w:val="24"/>
          <w:szCs w:val="24"/>
          <w:lang w:eastAsia="da-DK"/>
        </w:rPr>
        <w:drawing>
          <wp:inline distT="0" distB="0" distL="0" distR="0" wp14:anchorId="4F726265" wp14:editId="72359CBF">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B428A" w:rsidRPr="0080619C" w:rsidRDefault="005B428A" w:rsidP="005B428A">
      <w:pPr>
        <w:pStyle w:val="Titel"/>
        <w:tabs>
          <w:tab w:val="right" w:pos="9356"/>
        </w:tabs>
        <w:jc w:val="left"/>
        <w:rPr>
          <w:b w:val="0"/>
          <w:szCs w:val="24"/>
          <w:lang w:eastAsia="en-US"/>
        </w:rPr>
      </w:pPr>
    </w:p>
    <w:p w:rsidR="005B428A" w:rsidRPr="0080619C" w:rsidRDefault="005B428A" w:rsidP="005B428A">
      <w:pPr>
        <w:pStyle w:val="Titel"/>
        <w:tabs>
          <w:tab w:val="right" w:pos="9356"/>
        </w:tabs>
        <w:jc w:val="left"/>
        <w:rPr>
          <w:szCs w:val="24"/>
        </w:rPr>
      </w:pPr>
      <w:r w:rsidRPr="0080619C">
        <w:rPr>
          <w:b w:val="0"/>
          <w:szCs w:val="24"/>
          <w:lang w:eastAsia="en-US"/>
        </w:rPr>
        <w:tab/>
      </w:r>
      <w:r w:rsidR="003175F9" w:rsidRPr="0080619C">
        <w:rPr>
          <w:szCs w:val="24"/>
        </w:rPr>
        <w:t>29. juni 2021</w:t>
      </w:r>
    </w:p>
    <w:p w:rsidR="001E5B07" w:rsidRPr="0080619C" w:rsidRDefault="001E5B07" w:rsidP="005B428A">
      <w:pPr>
        <w:pStyle w:val="Titel"/>
        <w:tabs>
          <w:tab w:val="right" w:pos="9356"/>
        </w:tabs>
        <w:jc w:val="left"/>
        <w:rPr>
          <w:b w:val="0"/>
          <w:szCs w:val="24"/>
        </w:rPr>
      </w:pPr>
    </w:p>
    <w:p w:rsidR="003175F9" w:rsidRPr="0080619C" w:rsidRDefault="003175F9" w:rsidP="005B428A">
      <w:pPr>
        <w:pStyle w:val="Titel"/>
        <w:tabs>
          <w:tab w:val="right" w:pos="9356"/>
        </w:tabs>
        <w:jc w:val="left"/>
        <w:rPr>
          <w:b w:val="0"/>
          <w:szCs w:val="24"/>
        </w:rPr>
      </w:pPr>
    </w:p>
    <w:p w:rsidR="003175F9" w:rsidRPr="0080619C" w:rsidRDefault="003175F9" w:rsidP="005B428A">
      <w:pPr>
        <w:pStyle w:val="Titel"/>
        <w:tabs>
          <w:tab w:val="right" w:pos="9356"/>
        </w:tabs>
        <w:jc w:val="left"/>
        <w:rPr>
          <w:b w:val="0"/>
          <w:szCs w:val="24"/>
        </w:rPr>
      </w:pPr>
    </w:p>
    <w:p w:rsidR="005B428A" w:rsidRPr="0080619C" w:rsidRDefault="005B428A" w:rsidP="005B428A">
      <w:pPr>
        <w:jc w:val="center"/>
        <w:rPr>
          <w:b/>
          <w:sz w:val="24"/>
          <w:szCs w:val="24"/>
        </w:rPr>
      </w:pPr>
      <w:r w:rsidRPr="0080619C">
        <w:rPr>
          <w:b/>
          <w:sz w:val="24"/>
          <w:szCs w:val="24"/>
        </w:rPr>
        <w:t>PRODUKTRESUMÉ</w:t>
      </w:r>
    </w:p>
    <w:p w:rsidR="005B428A" w:rsidRPr="0080619C" w:rsidRDefault="005B428A" w:rsidP="005B428A">
      <w:pPr>
        <w:jc w:val="center"/>
        <w:rPr>
          <w:b/>
          <w:sz w:val="24"/>
          <w:szCs w:val="24"/>
        </w:rPr>
      </w:pPr>
    </w:p>
    <w:p w:rsidR="005B428A" w:rsidRPr="0080619C" w:rsidRDefault="005B428A" w:rsidP="005B428A">
      <w:pPr>
        <w:jc w:val="center"/>
        <w:rPr>
          <w:b/>
          <w:sz w:val="24"/>
          <w:szCs w:val="24"/>
        </w:rPr>
      </w:pPr>
      <w:r w:rsidRPr="0080619C">
        <w:rPr>
          <w:b/>
          <w:sz w:val="24"/>
          <w:szCs w:val="24"/>
        </w:rPr>
        <w:t>for</w:t>
      </w:r>
    </w:p>
    <w:p w:rsidR="005B428A" w:rsidRPr="0080619C" w:rsidRDefault="005B428A" w:rsidP="005B428A">
      <w:pPr>
        <w:jc w:val="center"/>
        <w:rPr>
          <w:b/>
          <w:sz w:val="24"/>
          <w:szCs w:val="24"/>
        </w:rPr>
      </w:pPr>
    </w:p>
    <w:p w:rsidR="005B428A" w:rsidRPr="0080619C" w:rsidRDefault="005B428A" w:rsidP="005B428A">
      <w:pPr>
        <w:jc w:val="center"/>
        <w:rPr>
          <w:b/>
          <w:sz w:val="24"/>
          <w:szCs w:val="24"/>
        </w:rPr>
      </w:pPr>
      <w:proofErr w:type="spellStart"/>
      <w:r w:rsidRPr="0080619C">
        <w:rPr>
          <w:b/>
          <w:sz w:val="24"/>
          <w:szCs w:val="24"/>
        </w:rPr>
        <w:t>Galantamin</w:t>
      </w:r>
      <w:proofErr w:type="spellEnd"/>
      <w:r w:rsidRPr="0080619C">
        <w:rPr>
          <w:b/>
          <w:sz w:val="24"/>
          <w:szCs w:val="24"/>
        </w:rPr>
        <w:t xml:space="preserve"> "</w:t>
      </w:r>
      <w:proofErr w:type="spellStart"/>
      <w:r w:rsidRPr="0080619C">
        <w:rPr>
          <w:b/>
          <w:sz w:val="24"/>
          <w:szCs w:val="24"/>
        </w:rPr>
        <w:t>Stada</w:t>
      </w:r>
      <w:proofErr w:type="spellEnd"/>
      <w:r w:rsidRPr="0080619C">
        <w:rPr>
          <w:b/>
          <w:sz w:val="24"/>
          <w:szCs w:val="24"/>
        </w:rPr>
        <w:t>", hårde depotkapsler</w:t>
      </w:r>
    </w:p>
    <w:p w:rsidR="005B428A" w:rsidRPr="0080619C" w:rsidRDefault="005B428A" w:rsidP="005B428A">
      <w:pPr>
        <w:jc w:val="both"/>
        <w:rPr>
          <w:sz w:val="24"/>
          <w:szCs w:val="24"/>
        </w:rPr>
      </w:pPr>
    </w:p>
    <w:p w:rsidR="005B428A" w:rsidRPr="0080619C" w:rsidRDefault="005B428A" w:rsidP="005B428A">
      <w:pPr>
        <w:jc w:val="both"/>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0.</w:t>
      </w:r>
      <w:r w:rsidRPr="0080619C">
        <w:rPr>
          <w:b/>
          <w:sz w:val="24"/>
          <w:szCs w:val="24"/>
        </w:rPr>
        <w:tab/>
        <w:t>D.SP.NR.</w:t>
      </w:r>
    </w:p>
    <w:p w:rsidR="005B428A" w:rsidRPr="0080619C" w:rsidRDefault="005B428A" w:rsidP="005B428A">
      <w:pPr>
        <w:tabs>
          <w:tab w:val="left" w:pos="851"/>
        </w:tabs>
        <w:rPr>
          <w:sz w:val="24"/>
          <w:szCs w:val="24"/>
        </w:rPr>
      </w:pPr>
      <w:r w:rsidRPr="0080619C">
        <w:rPr>
          <w:sz w:val="24"/>
          <w:szCs w:val="24"/>
        </w:rPr>
        <w:tab/>
        <w:t>27651</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1.</w:t>
      </w:r>
      <w:r w:rsidRPr="0080619C">
        <w:rPr>
          <w:b/>
          <w:sz w:val="24"/>
          <w:szCs w:val="24"/>
        </w:rPr>
        <w:tab/>
        <w:t>LÆGEMIDLETS NAVN</w:t>
      </w:r>
    </w:p>
    <w:p w:rsidR="005B428A" w:rsidRPr="0080619C" w:rsidRDefault="005B428A" w:rsidP="005B428A">
      <w:pPr>
        <w:tabs>
          <w:tab w:val="left" w:pos="851"/>
        </w:tabs>
        <w:rPr>
          <w:sz w:val="24"/>
          <w:szCs w:val="24"/>
        </w:rPr>
      </w:pPr>
      <w:r w:rsidRPr="0080619C">
        <w:rPr>
          <w:sz w:val="24"/>
          <w:szCs w:val="24"/>
        </w:rPr>
        <w:tab/>
      </w: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Stada</w:t>
      </w:r>
      <w:proofErr w:type="spellEnd"/>
      <w:r w:rsidRPr="0080619C">
        <w:rPr>
          <w:sz w:val="24"/>
          <w:szCs w:val="24"/>
        </w:rPr>
        <w:t>"</w:t>
      </w:r>
    </w:p>
    <w:p w:rsidR="005B428A" w:rsidRPr="0080619C" w:rsidRDefault="005B428A" w:rsidP="005B428A">
      <w:pPr>
        <w:tabs>
          <w:tab w:val="left" w:pos="851"/>
        </w:tabs>
        <w:rPr>
          <w:sz w:val="24"/>
          <w:szCs w:val="24"/>
        </w:rPr>
      </w:pPr>
      <w:r w:rsidRPr="0080619C">
        <w:rPr>
          <w:sz w:val="24"/>
          <w:szCs w:val="24"/>
        </w:rPr>
        <w:tab/>
      </w:r>
    </w:p>
    <w:p w:rsidR="005B428A" w:rsidRPr="0080619C" w:rsidRDefault="005B428A" w:rsidP="005B428A">
      <w:pPr>
        <w:tabs>
          <w:tab w:val="left" w:pos="851"/>
        </w:tabs>
        <w:ind w:left="851" w:hanging="851"/>
        <w:rPr>
          <w:b/>
          <w:sz w:val="24"/>
          <w:szCs w:val="24"/>
        </w:rPr>
      </w:pPr>
      <w:r w:rsidRPr="0080619C">
        <w:rPr>
          <w:b/>
          <w:sz w:val="24"/>
          <w:szCs w:val="24"/>
        </w:rPr>
        <w:t>2.</w:t>
      </w:r>
      <w:r w:rsidRPr="0080619C">
        <w:rPr>
          <w:b/>
          <w:sz w:val="24"/>
          <w:szCs w:val="24"/>
        </w:rPr>
        <w:tab/>
        <w:t>KVALITATIV OG KVANTITATIV SAMMENSÆTNING</w:t>
      </w:r>
    </w:p>
    <w:p w:rsidR="005B428A" w:rsidRPr="0080619C" w:rsidRDefault="005B428A" w:rsidP="005B428A">
      <w:pPr>
        <w:pStyle w:val="Bodytext"/>
        <w:tabs>
          <w:tab w:val="left" w:pos="810"/>
        </w:tabs>
        <w:rPr>
          <w:szCs w:val="24"/>
          <w:lang w:val="da-DK"/>
        </w:rPr>
      </w:pPr>
      <w:r w:rsidRPr="0080619C">
        <w:rPr>
          <w:szCs w:val="24"/>
          <w:lang w:val="da-DK"/>
        </w:rPr>
        <w:t xml:space="preserve">Hver 8 mg kapsel indeholder 8 mg </w:t>
      </w:r>
      <w:proofErr w:type="spellStart"/>
      <w:r w:rsidRPr="0080619C">
        <w:rPr>
          <w:szCs w:val="24"/>
          <w:lang w:val="da-DK"/>
        </w:rPr>
        <w:t>galantamin</w:t>
      </w:r>
      <w:proofErr w:type="spellEnd"/>
      <w:r w:rsidRPr="0080619C">
        <w:rPr>
          <w:szCs w:val="24"/>
          <w:lang w:val="da-DK"/>
        </w:rPr>
        <w:t xml:space="preserve"> (som </w:t>
      </w:r>
      <w:proofErr w:type="spellStart"/>
      <w:r w:rsidRPr="0080619C">
        <w:rPr>
          <w:szCs w:val="24"/>
          <w:lang w:val="da-DK"/>
        </w:rPr>
        <w:t>hydrobromid</w:t>
      </w:r>
      <w:proofErr w:type="spellEnd"/>
      <w:r w:rsidRPr="0080619C">
        <w:rPr>
          <w:szCs w:val="24"/>
          <w:lang w:val="da-DK"/>
        </w:rPr>
        <w:t>).</w:t>
      </w:r>
    </w:p>
    <w:p w:rsidR="005B428A" w:rsidRPr="0080619C" w:rsidRDefault="005B428A" w:rsidP="005B428A">
      <w:pPr>
        <w:tabs>
          <w:tab w:val="left" w:pos="-720"/>
        </w:tabs>
        <w:suppressAutoHyphens/>
        <w:ind w:left="851"/>
        <w:rPr>
          <w:sz w:val="24"/>
          <w:szCs w:val="24"/>
        </w:rPr>
      </w:pPr>
      <w:r w:rsidRPr="0080619C">
        <w:rPr>
          <w:sz w:val="24"/>
          <w:szCs w:val="24"/>
        </w:rPr>
        <w:t xml:space="preserve">Hver 16 mg kapsel indeholder 16 mg </w:t>
      </w:r>
      <w:proofErr w:type="spellStart"/>
      <w:r w:rsidRPr="0080619C">
        <w:rPr>
          <w:sz w:val="24"/>
          <w:szCs w:val="24"/>
        </w:rPr>
        <w:t>galantamin</w:t>
      </w:r>
      <w:proofErr w:type="spellEnd"/>
      <w:r w:rsidRPr="0080619C">
        <w:rPr>
          <w:sz w:val="24"/>
          <w:szCs w:val="24"/>
        </w:rPr>
        <w:t xml:space="preserve"> (som </w:t>
      </w:r>
      <w:proofErr w:type="spellStart"/>
      <w:r w:rsidRPr="0080619C">
        <w:rPr>
          <w:sz w:val="24"/>
          <w:szCs w:val="24"/>
        </w:rPr>
        <w:t>hydrobromid</w:t>
      </w:r>
      <w:proofErr w:type="spellEnd"/>
      <w:r w:rsidRPr="0080619C">
        <w:rPr>
          <w:sz w:val="24"/>
          <w:szCs w:val="24"/>
        </w:rPr>
        <w:t>).</w:t>
      </w:r>
    </w:p>
    <w:p w:rsidR="005B428A" w:rsidRPr="0080619C" w:rsidRDefault="005B428A" w:rsidP="005B428A">
      <w:pPr>
        <w:tabs>
          <w:tab w:val="left" w:pos="-720"/>
        </w:tabs>
        <w:suppressAutoHyphens/>
        <w:ind w:left="851"/>
        <w:rPr>
          <w:sz w:val="24"/>
          <w:szCs w:val="24"/>
        </w:rPr>
      </w:pPr>
      <w:r w:rsidRPr="0080619C">
        <w:rPr>
          <w:sz w:val="24"/>
          <w:szCs w:val="24"/>
        </w:rPr>
        <w:t xml:space="preserve">Hver 24 mg kapsel indeholder 24 mg </w:t>
      </w:r>
      <w:proofErr w:type="spellStart"/>
      <w:r w:rsidRPr="0080619C">
        <w:rPr>
          <w:sz w:val="24"/>
          <w:szCs w:val="24"/>
        </w:rPr>
        <w:t>galantamin</w:t>
      </w:r>
      <w:proofErr w:type="spellEnd"/>
      <w:r w:rsidRPr="0080619C">
        <w:rPr>
          <w:sz w:val="24"/>
          <w:szCs w:val="24"/>
        </w:rPr>
        <w:t xml:space="preserve"> (som </w:t>
      </w:r>
      <w:proofErr w:type="spellStart"/>
      <w:r w:rsidRPr="0080619C">
        <w:rPr>
          <w:sz w:val="24"/>
          <w:szCs w:val="24"/>
        </w:rPr>
        <w:t>hydrobromid</w:t>
      </w:r>
      <w:proofErr w:type="spellEnd"/>
      <w:r w:rsidRPr="0080619C">
        <w:rPr>
          <w:sz w:val="24"/>
          <w:szCs w:val="24"/>
        </w:rPr>
        <w:t>).</w:t>
      </w:r>
    </w:p>
    <w:p w:rsidR="005B428A" w:rsidRPr="0080619C" w:rsidRDefault="005B428A" w:rsidP="005B428A">
      <w:pPr>
        <w:suppressAutoHyphens/>
        <w:ind w:left="851"/>
        <w:rPr>
          <w:sz w:val="24"/>
          <w:szCs w:val="24"/>
        </w:rPr>
      </w:pPr>
    </w:p>
    <w:p w:rsidR="005B428A" w:rsidRPr="0080619C" w:rsidRDefault="005B428A" w:rsidP="005B428A">
      <w:pPr>
        <w:tabs>
          <w:tab w:val="left" w:pos="-720"/>
        </w:tabs>
        <w:suppressAutoHyphens/>
        <w:ind w:left="851"/>
        <w:rPr>
          <w:sz w:val="24"/>
          <w:szCs w:val="24"/>
        </w:rPr>
      </w:pPr>
      <w:r w:rsidRPr="0080619C">
        <w:rPr>
          <w:noProof/>
          <w:sz w:val="24"/>
          <w:szCs w:val="24"/>
        </w:rPr>
        <w:t>Alle hjælpestoffer er anført under pkt.</w:t>
      </w:r>
      <w:r w:rsidRPr="0080619C">
        <w:rPr>
          <w:sz w:val="24"/>
          <w:szCs w:val="24"/>
        </w:rPr>
        <w:t xml:space="preserve"> 6.1.</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3.</w:t>
      </w:r>
      <w:r w:rsidRPr="0080619C">
        <w:rPr>
          <w:b/>
          <w:sz w:val="24"/>
          <w:szCs w:val="24"/>
        </w:rPr>
        <w:tab/>
        <w:t>LÆGEMIDDELFORM</w:t>
      </w:r>
    </w:p>
    <w:p w:rsidR="005B428A" w:rsidRPr="0080619C" w:rsidRDefault="005B428A" w:rsidP="005B428A">
      <w:pPr>
        <w:pStyle w:val="Bodytext"/>
        <w:tabs>
          <w:tab w:val="left" w:pos="810"/>
        </w:tabs>
        <w:rPr>
          <w:szCs w:val="24"/>
          <w:lang w:val="da-DK"/>
        </w:rPr>
      </w:pPr>
      <w:r w:rsidRPr="0080619C">
        <w:rPr>
          <w:szCs w:val="24"/>
          <w:lang w:val="da-DK"/>
        </w:rPr>
        <w:t>Hårde depotkapsler</w:t>
      </w:r>
    </w:p>
    <w:p w:rsidR="005B428A" w:rsidRPr="0080619C" w:rsidRDefault="005B428A" w:rsidP="005B428A">
      <w:pPr>
        <w:tabs>
          <w:tab w:val="left" w:pos="-720"/>
        </w:tabs>
        <w:suppressAutoHyphens/>
        <w:ind w:left="851" w:hanging="567"/>
        <w:rPr>
          <w:sz w:val="24"/>
          <w:szCs w:val="24"/>
        </w:rPr>
      </w:pPr>
    </w:p>
    <w:p w:rsidR="005B428A" w:rsidRPr="0080619C" w:rsidRDefault="005B428A" w:rsidP="005B428A">
      <w:pPr>
        <w:suppressAutoHyphens/>
        <w:ind w:left="851"/>
        <w:rPr>
          <w:sz w:val="24"/>
          <w:szCs w:val="24"/>
          <w:u w:val="single"/>
        </w:rPr>
      </w:pPr>
      <w:r w:rsidRPr="0080619C">
        <w:rPr>
          <w:sz w:val="24"/>
          <w:szCs w:val="24"/>
          <w:u w:val="single"/>
        </w:rPr>
        <w:t>8 mg</w:t>
      </w:r>
    </w:p>
    <w:p w:rsidR="005B428A" w:rsidRPr="0080619C" w:rsidRDefault="005B428A" w:rsidP="005B428A">
      <w:pPr>
        <w:suppressAutoHyphens/>
        <w:ind w:left="851"/>
        <w:rPr>
          <w:sz w:val="24"/>
          <w:szCs w:val="24"/>
        </w:rPr>
      </w:pPr>
      <w:r w:rsidRPr="0080619C">
        <w:rPr>
          <w:sz w:val="24"/>
          <w:szCs w:val="24"/>
        </w:rPr>
        <w:t xml:space="preserve">Uigennemsigtige, hvide, hårde gelatinekapsler str. 2 indeholdende en rund, </w:t>
      </w:r>
      <w:proofErr w:type="spellStart"/>
      <w:r w:rsidRPr="0080619C">
        <w:rPr>
          <w:sz w:val="24"/>
          <w:szCs w:val="24"/>
        </w:rPr>
        <w:t>bikonveks</w:t>
      </w:r>
      <w:proofErr w:type="spellEnd"/>
      <w:r w:rsidRPr="0080619C">
        <w:rPr>
          <w:sz w:val="24"/>
          <w:szCs w:val="24"/>
        </w:rPr>
        <w:t xml:space="preserve"> depottablet på 8 mg.</w:t>
      </w:r>
    </w:p>
    <w:p w:rsidR="005B428A" w:rsidRPr="0080619C" w:rsidRDefault="005B428A" w:rsidP="005B428A">
      <w:pPr>
        <w:suppressAutoHyphens/>
        <w:ind w:left="851"/>
        <w:rPr>
          <w:sz w:val="24"/>
          <w:szCs w:val="24"/>
        </w:rPr>
      </w:pPr>
    </w:p>
    <w:p w:rsidR="005B428A" w:rsidRPr="0080619C" w:rsidRDefault="005B428A" w:rsidP="005B428A">
      <w:pPr>
        <w:suppressAutoHyphens/>
        <w:ind w:left="851"/>
        <w:rPr>
          <w:sz w:val="24"/>
          <w:szCs w:val="24"/>
          <w:u w:val="single"/>
        </w:rPr>
      </w:pPr>
      <w:r w:rsidRPr="0080619C">
        <w:rPr>
          <w:sz w:val="24"/>
          <w:szCs w:val="24"/>
          <w:u w:val="single"/>
        </w:rPr>
        <w:t>16 mg</w:t>
      </w:r>
    </w:p>
    <w:p w:rsidR="005B428A" w:rsidRPr="0080619C" w:rsidRDefault="005B428A" w:rsidP="005B428A">
      <w:pPr>
        <w:suppressAutoHyphens/>
        <w:ind w:left="851"/>
        <w:rPr>
          <w:sz w:val="24"/>
          <w:szCs w:val="24"/>
        </w:rPr>
      </w:pPr>
      <w:r w:rsidRPr="0080619C">
        <w:rPr>
          <w:sz w:val="24"/>
          <w:szCs w:val="24"/>
        </w:rPr>
        <w:t xml:space="preserve">Uigennemsigtige, svagt lyserøde, hårde gelatinekapsler str. 2 indeholdende to runde </w:t>
      </w:r>
      <w:proofErr w:type="spellStart"/>
      <w:r w:rsidRPr="0080619C">
        <w:rPr>
          <w:sz w:val="24"/>
          <w:szCs w:val="24"/>
        </w:rPr>
        <w:t>bikonvekse</w:t>
      </w:r>
      <w:proofErr w:type="spellEnd"/>
      <w:r w:rsidRPr="0080619C">
        <w:rPr>
          <w:sz w:val="24"/>
          <w:szCs w:val="24"/>
        </w:rPr>
        <w:t xml:space="preserve"> depottabletter på 8 mg.</w:t>
      </w:r>
    </w:p>
    <w:p w:rsidR="005B428A" w:rsidRPr="0080619C" w:rsidRDefault="005B428A" w:rsidP="005B428A">
      <w:pPr>
        <w:suppressAutoHyphens/>
        <w:ind w:left="851"/>
        <w:rPr>
          <w:sz w:val="24"/>
          <w:szCs w:val="24"/>
        </w:rPr>
      </w:pPr>
    </w:p>
    <w:p w:rsidR="005B428A" w:rsidRPr="0080619C" w:rsidRDefault="005B428A" w:rsidP="005B428A">
      <w:pPr>
        <w:suppressAutoHyphens/>
        <w:ind w:left="851"/>
        <w:rPr>
          <w:sz w:val="24"/>
          <w:szCs w:val="24"/>
          <w:u w:val="single"/>
        </w:rPr>
      </w:pPr>
      <w:r w:rsidRPr="0080619C">
        <w:rPr>
          <w:sz w:val="24"/>
          <w:szCs w:val="24"/>
          <w:u w:val="single"/>
        </w:rPr>
        <w:t>24 mg</w:t>
      </w:r>
    </w:p>
    <w:p w:rsidR="005B428A" w:rsidRPr="0080619C" w:rsidRDefault="005B428A" w:rsidP="005B428A">
      <w:pPr>
        <w:suppressAutoHyphens/>
        <w:ind w:left="851"/>
        <w:rPr>
          <w:sz w:val="24"/>
          <w:szCs w:val="24"/>
        </w:rPr>
      </w:pPr>
      <w:r w:rsidRPr="0080619C">
        <w:rPr>
          <w:sz w:val="24"/>
          <w:szCs w:val="24"/>
        </w:rPr>
        <w:t xml:space="preserve">Uigennemsigtige, orange, hårde gelatinekapsler str. 2 indeholdende tre runde </w:t>
      </w:r>
      <w:proofErr w:type="spellStart"/>
      <w:r w:rsidRPr="0080619C">
        <w:rPr>
          <w:sz w:val="24"/>
          <w:szCs w:val="24"/>
        </w:rPr>
        <w:t>bikonvekse</w:t>
      </w:r>
      <w:proofErr w:type="spellEnd"/>
      <w:r w:rsidRPr="0080619C">
        <w:rPr>
          <w:sz w:val="24"/>
          <w:szCs w:val="24"/>
        </w:rPr>
        <w:t xml:space="preserve"> depottabletter på 8 mg.</w:t>
      </w:r>
    </w:p>
    <w:p w:rsidR="005B428A" w:rsidRPr="0080619C" w:rsidRDefault="005B428A" w:rsidP="005B428A">
      <w:pPr>
        <w:tabs>
          <w:tab w:val="left" w:pos="851"/>
        </w:tabs>
        <w:rPr>
          <w:sz w:val="24"/>
          <w:szCs w:val="24"/>
        </w:rPr>
      </w:pP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w:t>
      </w:r>
      <w:r w:rsidRPr="0080619C">
        <w:rPr>
          <w:b/>
          <w:sz w:val="24"/>
          <w:szCs w:val="24"/>
        </w:rPr>
        <w:tab/>
        <w:t>KLINISKE OPLYSNINGER</w:t>
      </w:r>
    </w:p>
    <w:p w:rsidR="005B428A" w:rsidRPr="0080619C" w:rsidRDefault="005B428A" w:rsidP="005B428A">
      <w:pPr>
        <w:tabs>
          <w:tab w:val="left" w:pos="851"/>
        </w:tabs>
        <w:rPr>
          <w:b/>
          <w:sz w:val="24"/>
          <w:szCs w:val="24"/>
        </w:rPr>
      </w:pPr>
    </w:p>
    <w:p w:rsidR="005B428A" w:rsidRPr="0080619C" w:rsidRDefault="005B428A" w:rsidP="005B428A">
      <w:pPr>
        <w:tabs>
          <w:tab w:val="left" w:pos="851"/>
        </w:tabs>
        <w:ind w:left="851" w:hanging="851"/>
        <w:rPr>
          <w:b/>
          <w:sz w:val="24"/>
          <w:szCs w:val="24"/>
          <w:u w:val="single"/>
        </w:rPr>
      </w:pPr>
      <w:r w:rsidRPr="0080619C">
        <w:rPr>
          <w:b/>
          <w:sz w:val="24"/>
          <w:szCs w:val="24"/>
        </w:rPr>
        <w:t>4.1</w:t>
      </w:r>
      <w:r w:rsidRPr="0080619C">
        <w:rPr>
          <w:b/>
          <w:sz w:val="24"/>
          <w:szCs w:val="24"/>
        </w:rPr>
        <w:tab/>
        <w:t>Terapeutiske indikationer</w:t>
      </w:r>
    </w:p>
    <w:p w:rsidR="005B428A" w:rsidRPr="0080619C" w:rsidRDefault="005B428A" w:rsidP="005B428A">
      <w:pPr>
        <w:pStyle w:val="Brdtekstindrykning"/>
        <w:pBdr>
          <w:top w:val="none" w:sz="0" w:space="0" w:color="auto"/>
          <w:left w:val="none" w:sz="0" w:space="0" w:color="auto"/>
          <w:bottom w:val="none" w:sz="0" w:space="0" w:color="auto"/>
          <w:right w:val="none" w:sz="0" w:space="0" w:color="auto"/>
        </w:pBdr>
        <w:shd w:val="clear" w:color="auto" w:fill="auto"/>
        <w:ind w:left="851"/>
        <w:rPr>
          <w:rFonts w:ascii="Times New Roman" w:hAnsi="Times New Roman"/>
          <w:szCs w:val="24"/>
        </w:rPr>
      </w:pPr>
      <w:proofErr w:type="spellStart"/>
      <w:r w:rsidRPr="0080619C">
        <w:rPr>
          <w:rFonts w:ascii="Times New Roman" w:hAnsi="Times New Roman"/>
          <w:szCs w:val="24"/>
        </w:rPr>
        <w:t>Galantamin</w:t>
      </w:r>
      <w:proofErr w:type="spellEnd"/>
      <w:r w:rsidRPr="0080619C">
        <w:rPr>
          <w:rFonts w:ascii="Times New Roman" w:hAnsi="Times New Roman"/>
          <w:szCs w:val="24"/>
        </w:rPr>
        <w:t xml:space="preserve"> "</w:t>
      </w:r>
      <w:proofErr w:type="spellStart"/>
      <w:r w:rsidRPr="0080619C">
        <w:rPr>
          <w:rFonts w:ascii="Times New Roman" w:hAnsi="Times New Roman"/>
          <w:szCs w:val="24"/>
        </w:rPr>
        <w:t>Stada</w:t>
      </w:r>
      <w:proofErr w:type="spellEnd"/>
      <w:r w:rsidRPr="0080619C">
        <w:rPr>
          <w:rFonts w:ascii="Times New Roman" w:hAnsi="Times New Roman"/>
          <w:szCs w:val="24"/>
        </w:rPr>
        <w:t>" er indikeret til symptomatisk behandling af mild til moderat alvorlig demens af Alzheimer-typen.</w:t>
      </w:r>
    </w:p>
    <w:p w:rsidR="005B428A" w:rsidRPr="0080619C" w:rsidRDefault="005B428A" w:rsidP="005B428A">
      <w:pPr>
        <w:rPr>
          <w:sz w:val="24"/>
          <w:szCs w:val="24"/>
        </w:rPr>
      </w:pPr>
      <w:r w:rsidRPr="0080619C">
        <w:rPr>
          <w:sz w:val="24"/>
          <w:szCs w:val="24"/>
        </w:rPr>
        <w:br w:type="page"/>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4.2</w:t>
      </w:r>
      <w:r w:rsidRPr="0080619C">
        <w:rPr>
          <w:b/>
          <w:sz w:val="24"/>
          <w:szCs w:val="24"/>
        </w:rPr>
        <w:tab/>
        <w:t>Dosering og indgivelsesmåde</w:t>
      </w:r>
    </w:p>
    <w:p w:rsidR="00E74529" w:rsidRPr="0080619C" w:rsidRDefault="00E74529" w:rsidP="005B428A">
      <w:pPr>
        <w:ind w:left="851"/>
        <w:rPr>
          <w:sz w:val="24"/>
          <w:szCs w:val="24"/>
          <w:u w:val="single"/>
        </w:rPr>
      </w:pPr>
    </w:p>
    <w:p w:rsidR="005B428A" w:rsidRPr="0080619C" w:rsidRDefault="005B428A" w:rsidP="005B428A">
      <w:pPr>
        <w:ind w:left="851"/>
        <w:rPr>
          <w:sz w:val="24"/>
          <w:szCs w:val="24"/>
          <w:u w:val="single"/>
        </w:rPr>
      </w:pPr>
      <w:r w:rsidRPr="0080619C">
        <w:rPr>
          <w:sz w:val="24"/>
          <w:szCs w:val="24"/>
          <w:u w:val="single"/>
        </w:rPr>
        <w:t>Dosering</w:t>
      </w:r>
    </w:p>
    <w:p w:rsidR="005B428A" w:rsidRPr="0080619C" w:rsidRDefault="005B428A" w:rsidP="005B428A">
      <w:pPr>
        <w:ind w:left="851"/>
        <w:rPr>
          <w:sz w:val="24"/>
          <w:szCs w:val="24"/>
          <w:u w:val="single"/>
        </w:rPr>
      </w:pPr>
    </w:p>
    <w:p w:rsidR="005B428A" w:rsidRPr="0080619C" w:rsidRDefault="005B428A" w:rsidP="005B428A">
      <w:pPr>
        <w:ind w:left="851"/>
        <w:rPr>
          <w:b/>
          <w:sz w:val="24"/>
          <w:szCs w:val="24"/>
        </w:rPr>
      </w:pPr>
      <w:r w:rsidRPr="0080619C">
        <w:rPr>
          <w:b/>
          <w:sz w:val="24"/>
          <w:szCs w:val="24"/>
        </w:rPr>
        <w:t>Voksne/ældre</w:t>
      </w:r>
    </w:p>
    <w:p w:rsidR="005B428A" w:rsidRPr="0080619C" w:rsidRDefault="005B428A" w:rsidP="005B428A">
      <w:pPr>
        <w:ind w:left="851"/>
        <w:rPr>
          <w:sz w:val="24"/>
          <w:szCs w:val="24"/>
          <w:u w:val="single"/>
        </w:rPr>
      </w:pPr>
    </w:p>
    <w:p w:rsidR="005B428A" w:rsidRPr="0080619C" w:rsidRDefault="005B428A" w:rsidP="005B428A">
      <w:pPr>
        <w:ind w:left="851"/>
        <w:rPr>
          <w:i/>
          <w:sz w:val="24"/>
          <w:szCs w:val="24"/>
        </w:rPr>
      </w:pPr>
      <w:r w:rsidRPr="0080619C">
        <w:rPr>
          <w:i/>
          <w:sz w:val="24"/>
          <w:szCs w:val="24"/>
        </w:rPr>
        <w:t>Før behandlingen begynder</w:t>
      </w:r>
    </w:p>
    <w:p w:rsidR="005B428A" w:rsidRPr="0080619C" w:rsidRDefault="005B428A" w:rsidP="005B428A">
      <w:pPr>
        <w:pStyle w:val="Bodytext"/>
        <w:rPr>
          <w:color w:val="000000"/>
          <w:szCs w:val="24"/>
          <w:lang w:val="da-DK"/>
        </w:rPr>
      </w:pPr>
      <w:r w:rsidRPr="0080619C">
        <w:rPr>
          <w:szCs w:val="24"/>
          <w:lang w:val="da-DK"/>
        </w:rPr>
        <w:t>En sandsynlig diagnose på demens af Alzheimer-typen skal være bekræftet ud fra de gældende, kliniske retningslinjer (se pkt. 4.4).</w:t>
      </w:r>
    </w:p>
    <w:p w:rsidR="005B428A" w:rsidRPr="0080619C" w:rsidRDefault="005B428A" w:rsidP="005B428A">
      <w:pPr>
        <w:ind w:left="851"/>
        <w:rPr>
          <w:sz w:val="24"/>
          <w:szCs w:val="24"/>
        </w:rPr>
      </w:pPr>
    </w:p>
    <w:p w:rsidR="005B428A" w:rsidRPr="0080619C" w:rsidRDefault="005B428A" w:rsidP="005B428A">
      <w:pPr>
        <w:pStyle w:val="Bodytext"/>
        <w:tabs>
          <w:tab w:val="left" w:pos="810"/>
        </w:tabs>
        <w:outlineLvl w:val="0"/>
        <w:rPr>
          <w:i/>
          <w:szCs w:val="24"/>
          <w:lang w:val="da-DK"/>
        </w:rPr>
      </w:pPr>
      <w:r w:rsidRPr="0080619C">
        <w:rPr>
          <w:i/>
          <w:szCs w:val="24"/>
          <w:lang w:val="da-DK"/>
        </w:rPr>
        <w:t>Begyndelsesdosis</w:t>
      </w:r>
    </w:p>
    <w:p w:rsidR="005B428A" w:rsidRPr="0080619C" w:rsidRDefault="005B428A" w:rsidP="005B428A">
      <w:pPr>
        <w:pStyle w:val="Bodytext"/>
        <w:tabs>
          <w:tab w:val="left" w:pos="810"/>
        </w:tabs>
        <w:outlineLvl w:val="0"/>
        <w:rPr>
          <w:szCs w:val="24"/>
          <w:lang w:val="da-DK"/>
        </w:rPr>
      </w:pPr>
      <w:r w:rsidRPr="0080619C">
        <w:rPr>
          <w:szCs w:val="24"/>
          <w:lang w:val="da-DK"/>
        </w:rPr>
        <w:t>Den anbefalede begyndelsesdosis er 8 mg/dag i 4 uger.</w:t>
      </w:r>
    </w:p>
    <w:p w:rsidR="005B428A" w:rsidRPr="0080619C" w:rsidRDefault="005B428A" w:rsidP="005B428A">
      <w:pPr>
        <w:pStyle w:val="Bodytext"/>
        <w:tabs>
          <w:tab w:val="left" w:pos="810"/>
          <w:tab w:val="num" w:pos="1211"/>
        </w:tabs>
        <w:outlineLvl w:val="0"/>
        <w:rPr>
          <w:szCs w:val="24"/>
          <w:lang w:val="da-DK"/>
        </w:rPr>
      </w:pPr>
    </w:p>
    <w:p w:rsidR="005B428A" w:rsidRPr="0080619C" w:rsidRDefault="005B428A" w:rsidP="005B428A">
      <w:pPr>
        <w:pStyle w:val="Bodytext"/>
        <w:tabs>
          <w:tab w:val="left" w:pos="810"/>
          <w:tab w:val="num" w:pos="1211"/>
        </w:tabs>
        <w:outlineLvl w:val="0"/>
        <w:rPr>
          <w:i/>
          <w:szCs w:val="24"/>
          <w:lang w:val="da-DK"/>
        </w:rPr>
      </w:pPr>
      <w:r w:rsidRPr="0080619C">
        <w:rPr>
          <w:i/>
          <w:szCs w:val="24"/>
          <w:lang w:val="da-DK"/>
        </w:rPr>
        <w:t>Vedligeholdelsesdosis</w:t>
      </w:r>
    </w:p>
    <w:p w:rsidR="005B428A" w:rsidRPr="0080619C" w:rsidRDefault="005B428A" w:rsidP="005B428A">
      <w:pPr>
        <w:pStyle w:val="Bodytext"/>
        <w:numPr>
          <w:ilvl w:val="0"/>
          <w:numId w:val="6"/>
        </w:numPr>
        <w:tabs>
          <w:tab w:val="left" w:pos="851"/>
          <w:tab w:val="num" w:pos="1134"/>
        </w:tabs>
        <w:ind w:left="1134" w:hanging="283"/>
        <w:outlineLvl w:val="0"/>
        <w:rPr>
          <w:szCs w:val="24"/>
          <w:lang w:val="da-DK"/>
        </w:rPr>
      </w:pPr>
      <w:r w:rsidRPr="0080619C">
        <w:rPr>
          <w:szCs w:val="24"/>
          <w:lang w:val="da-DK"/>
        </w:rPr>
        <w:t xml:space="preserve">Tolerancen over for og dosis af </w:t>
      </w:r>
      <w:proofErr w:type="spellStart"/>
      <w:r w:rsidRPr="0080619C">
        <w:rPr>
          <w:szCs w:val="24"/>
          <w:lang w:val="da-DK"/>
        </w:rPr>
        <w:t>galantamin</w:t>
      </w:r>
      <w:proofErr w:type="spellEnd"/>
      <w:r w:rsidRPr="0080619C">
        <w:rPr>
          <w:szCs w:val="24"/>
          <w:lang w:val="da-DK"/>
        </w:rPr>
        <w:t xml:space="preserve"> bør revurderes regelmæssigt, gerne i løbet af de første 3 måneder efter behandlingens start. Derefter skal de kliniske fordele ved </w:t>
      </w:r>
      <w:proofErr w:type="spellStart"/>
      <w:r w:rsidRPr="0080619C">
        <w:rPr>
          <w:szCs w:val="24"/>
          <w:lang w:val="da-DK"/>
        </w:rPr>
        <w:t>galantamin</w:t>
      </w:r>
      <w:proofErr w:type="spellEnd"/>
      <w:r w:rsidRPr="0080619C">
        <w:rPr>
          <w:szCs w:val="24"/>
          <w:lang w:val="da-DK"/>
        </w:rPr>
        <w:t xml:space="preserve"> og patientens tolerance vurderes igen regelmæssigt ud fra de gældende, kliniske retningslinjer. Vedligeholdelsesbehandlingen kan fortsættes, så længe der er terapeutiske fordele, og patienten tåler behandlingen med </w:t>
      </w:r>
      <w:proofErr w:type="spellStart"/>
      <w:r w:rsidRPr="0080619C">
        <w:rPr>
          <w:szCs w:val="24"/>
          <w:lang w:val="da-DK"/>
        </w:rPr>
        <w:t>galantamin</w:t>
      </w:r>
      <w:proofErr w:type="spellEnd"/>
      <w:r w:rsidRPr="0080619C">
        <w:rPr>
          <w:szCs w:val="24"/>
          <w:lang w:val="da-DK"/>
        </w:rPr>
        <w:t xml:space="preserve">. </w:t>
      </w:r>
      <w:proofErr w:type="spellStart"/>
      <w:r w:rsidRPr="0080619C">
        <w:rPr>
          <w:szCs w:val="24"/>
          <w:lang w:val="da-DK"/>
        </w:rPr>
        <w:t>Seponering</w:t>
      </w:r>
      <w:proofErr w:type="spellEnd"/>
      <w:r w:rsidRPr="0080619C">
        <w:rPr>
          <w:szCs w:val="24"/>
          <w:lang w:val="da-DK"/>
        </w:rPr>
        <w:t xml:space="preserve"> af </w:t>
      </w:r>
      <w:proofErr w:type="spellStart"/>
      <w:r w:rsidRPr="0080619C">
        <w:rPr>
          <w:szCs w:val="24"/>
          <w:lang w:val="da-DK"/>
        </w:rPr>
        <w:t>galantamin</w:t>
      </w:r>
      <w:proofErr w:type="spellEnd"/>
      <w:r w:rsidRPr="0080619C">
        <w:rPr>
          <w:szCs w:val="24"/>
          <w:lang w:val="da-DK"/>
        </w:rPr>
        <w:t xml:space="preserve"> bør overvejes, når der ikke længere er tegn på terapeutisk effekt, eller patienten ikke længere tåler behandlingen.</w:t>
      </w:r>
    </w:p>
    <w:p w:rsidR="005B428A" w:rsidRPr="0080619C" w:rsidRDefault="005B428A" w:rsidP="005B428A">
      <w:pPr>
        <w:pStyle w:val="Bodytext"/>
        <w:numPr>
          <w:ilvl w:val="0"/>
          <w:numId w:val="6"/>
        </w:numPr>
        <w:tabs>
          <w:tab w:val="left" w:pos="851"/>
          <w:tab w:val="num" w:pos="1134"/>
        </w:tabs>
        <w:ind w:left="1134" w:hanging="283"/>
        <w:outlineLvl w:val="0"/>
        <w:rPr>
          <w:szCs w:val="24"/>
          <w:lang w:val="da-DK"/>
        </w:rPr>
      </w:pPr>
      <w:r w:rsidRPr="0080619C">
        <w:rPr>
          <w:szCs w:val="24"/>
          <w:lang w:val="da-DK"/>
        </w:rPr>
        <w:t>Den initiale vedligeholdelsesdosis er 16 mg/dag, og patienterne bør fortsætte med 16 mg/dag i mindst 4 uger.</w:t>
      </w:r>
    </w:p>
    <w:p w:rsidR="005B428A" w:rsidRPr="0080619C" w:rsidRDefault="005B428A" w:rsidP="005B428A">
      <w:pPr>
        <w:pStyle w:val="Bodytext"/>
        <w:numPr>
          <w:ilvl w:val="0"/>
          <w:numId w:val="6"/>
        </w:numPr>
        <w:tabs>
          <w:tab w:val="left" w:pos="851"/>
          <w:tab w:val="num" w:pos="1134"/>
        </w:tabs>
        <w:ind w:left="1134" w:hanging="283"/>
        <w:outlineLvl w:val="0"/>
        <w:rPr>
          <w:szCs w:val="24"/>
          <w:lang w:val="da-DK"/>
        </w:rPr>
      </w:pPr>
      <w:r w:rsidRPr="0080619C">
        <w:rPr>
          <w:szCs w:val="24"/>
          <w:lang w:val="da-DK"/>
        </w:rPr>
        <w:t>En stigning til en vedligeholdelsesdosis på 24 mg/dag bør overvejes på individuel basis efter behørig vurdering af kliniske fordele og tolerance.</w:t>
      </w:r>
    </w:p>
    <w:p w:rsidR="005B428A" w:rsidRPr="0080619C" w:rsidRDefault="005B428A" w:rsidP="005B428A">
      <w:pPr>
        <w:pStyle w:val="Bodytext"/>
        <w:numPr>
          <w:ilvl w:val="0"/>
          <w:numId w:val="6"/>
        </w:numPr>
        <w:tabs>
          <w:tab w:val="left" w:pos="851"/>
          <w:tab w:val="num" w:pos="1134"/>
        </w:tabs>
        <w:ind w:left="1134" w:hanging="283"/>
        <w:outlineLvl w:val="0"/>
        <w:rPr>
          <w:szCs w:val="24"/>
          <w:lang w:val="da-DK"/>
        </w:rPr>
      </w:pPr>
      <w:r w:rsidRPr="0080619C">
        <w:rPr>
          <w:szCs w:val="24"/>
          <w:lang w:val="da-DK"/>
        </w:rPr>
        <w:t>Hos individuelle patienter, som ikke udviser forøget respons, eller som ikke tåler 24 mg/dag, bør man overveje en dosisreduktion til 16 mg/dag.</w:t>
      </w:r>
    </w:p>
    <w:p w:rsidR="005B428A" w:rsidRPr="0080619C" w:rsidRDefault="005B428A" w:rsidP="005B428A">
      <w:pPr>
        <w:pStyle w:val="Bodytext"/>
        <w:tabs>
          <w:tab w:val="left" w:pos="851"/>
          <w:tab w:val="num" w:pos="1134"/>
        </w:tabs>
        <w:outlineLvl w:val="0"/>
        <w:rPr>
          <w:szCs w:val="24"/>
          <w:lang w:val="da-DK"/>
        </w:rPr>
      </w:pPr>
    </w:p>
    <w:p w:rsidR="005B428A" w:rsidRPr="0080619C" w:rsidRDefault="005B428A" w:rsidP="005B428A">
      <w:pPr>
        <w:pStyle w:val="Bodytext"/>
        <w:tabs>
          <w:tab w:val="left" w:pos="851"/>
          <w:tab w:val="num" w:pos="1134"/>
        </w:tabs>
        <w:outlineLvl w:val="0"/>
        <w:rPr>
          <w:i/>
          <w:szCs w:val="24"/>
          <w:lang w:val="da-DK"/>
        </w:rPr>
      </w:pPr>
      <w:proofErr w:type="spellStart"/>
      <w:r w:rsidRPr="0080619C">
        <w:rPr>
          <w:i/>
          <w:szCs w:val="24"/>
          <w:lang w:val="da-DK"/>
        </w:rPr>
        <w:t>Seponering</w:t>
      </w:r>
      <w:proofErr w:type="spellEnd"/>
    </w:p>
    <w:p w:rsidR="005B428A" w:rsidRPr="0080619C" w:rsidRDefault="005B428A" w:rsidP="005B428A">
      <w:pPr>
        <w:pStyle w:val="Bodytext"/>
        <w:numPr>
          <w:ilvl w:val="0"/>
          <w:numId w:val="6"/>
        </w:numPr>
        <w:tabs>
          <w:tab w:val="left" w:pos="851"/>
          <w:tab w:val="num" w:pos="1134"/>
        </w:tabs>
        <w:ind w:left="1134" w:hanging="283"/>
        <w:outlineLvl w:val="0"/>
        <w:rPr>
          <w:szCs w:val="24"/>
          <w:lang w:val="da-DK"/>
        </w:rPr>
      </w:pPr>
      <w:r w:rsidRPr="0080619C">
        <w:rPr>
          <w:szCs w:val="24"/>
          <w:lang w:val="da-DK"/>
        </w:rPr>
        <w:t xml:space="preserve">Der er ingen </w:t>
      </w:r>
      <w:proofErr w:type="spellStart"/>
      <w:r w:rsidRPr="0080619C">
        <w:rPr>
          <w:szCs w:val="24"/>
          <w:lang w:val="da-DK"/>
        </w:rPr>
        <w:t>rebound</w:t>
      </w:r>
      <w:proofErr w:type="spellEnd"/>
      <w:r w:rsidRPr="0080619C">
        <w:rPr>
          <w:szCs w:val="24"/>
          <w:lang w:val="da-DK"/>
        </w:rPr>
        <w:t xml:space="preserve">-effekt efter pludselig </w:t>
      </w:r>
      <w:proofErr w:type="spellStart"/>
      <w:r w:rsidRPr="0080619C">
        <w:rPr>
          <w:szCs w:val="24"/>
          <w:lang w:val="da-DK"/>
        </w:rPr>
        <w:t>seponering</w:t>
      </w:r>
      <w:proofErr w:type="spellEnd"/>
      <w:r w:rsidRPr="0080619C">
        <w:rPr>
          <w:szCs w:val="24"/>
          <w:lang w:val="da-DK"/>
        </w:rPr>
        <w:t xml:space="preserve"> af behandlingen (</w:t>
      </w:r>
      <w:r w:rsidR="00B02D6E">
        <w:rPr>
          <w:szCs w:val="24"/>
          <w:lang w:val="da-DK"/>
        </w:rPr>
        <w:t>f.eks.</w:t>
      </w:r>
      <w:r w:rsidRPr="0080619C">
        <w:rPr>
          <w:szCs w:val="24"/>
          <w:lang w:val="da-DK"/>
        </w:rPr>
        <w:t xml:space="preserve"> ved forberedelse til operation).</w:t>
      </w:r>
    </w:p>
    <w:p w:rsidR="005B428A" w:rsidRPr="0080619C" w:rsidRDefault="005B428A" w:rsidP="005B428A">
      <w:pPr>
        <w:pStyle w:val="Bodytext"/>
        <w:outlineLvl w:val="0"/>
        <w:rPr>
          <w:i/>
          <w:szCs w:val="24"/>
          <w:lang w:val="da-DK"/>
        </w:rPr>
      </w:pPr>
    </w:p>
    <w:p w:rsidR="005B428A" w:rsidRPr="0080619C" w:rsidRDefault="005B428A" w:rsidP="005B428A">
      <w:pPr>
        <w:pStyle w:val="Bodytext"/>
        <w:outlineLvl w:val="0"/>
        <w:rPr>
          <w:i/>
          <w:szCs w:val="24"/>
          <w:lang w:val="da-DK"/>
        </w:rPr>
      </w:pPr>
      <w:r w:rsidRPr="0080619C">
        <w:rPr>
          <w:i/>
          <w:szCs w:val="24"/>
          <w:lang w:val="da-DK"/>
        </w:rPr>
        <w:t xml:space="preserve">Skift til </w:t>
      </w:r>
      <w:proofErr w:type="spellStart"/>
      <w:r w:rsidRPr="0080619C">
        <w:rPr>
          <w:i/>
          <w:szCs w:val="24"/>
          <w:lang w:val="da-DK"/>
        </w:rPr>
        <w:t>Galantamin</w:t>
      </w:r>
      <w:proofErr w:type="spellEnd"/>
      <w:r w:rsidRPr="0080619C">
        <w:rPr>
          <w:i/>
          <w:szCs w:val="24"/>
          <w:lang w:val="da-DK"/>
        </w:rPr>
        <w:t xml:space="preserve"> "</w:t>
      </w:r>
      <w:proofErr w:type="spellStart"/>
      <w:r w:rsidRPr="0080619C">
        <w:rPr>
          <w:i/>
          <w:szCs w:val="24"/>
          <w:lang w:val="da-DK"/>
        </w:rPr>
        <w:t>Stada</w:t>
      </w:r>
      <w:proofErr w:type="spellEnd"/>
      <w:r w:rsidRPr="0080619C">
        <w:rPr>
          <w:i/>
          <w:szCs w:val="24"/>
          <w:lang w:val="da-DK"/>
        </w:rPr>
        <w:t xml:space="preserve">" depotkapsler fra behandling med </w:t>
      </w:r>
      <w:proofErr w:type="spellStart"/>
      <w:r w:rsidRPr="0080619C">
        <w:rPr>
          <w:i/>
          <w:szCs w:val="24"/>
          <w:lang w:val="da-DK"/>
        </w:rPr>
        <w:t>galantamin</w:t>
      </w:r>
      <w:proofErr w:type="spellEnd"/>
      <w:r w:rsidRPr="0080619C">
        <w:rPr>
          <w:i/>
          <w:szCs w:val="24"/>
          <w:lang w:val="da-DK"/>
        </w:rPr>
        <w:t xml:space="preserve"> tabletter eller </w:t>
      </w:r>
      <w:proofErr w:type="spellStart"/>
      <w:r w:rsidRPr="0080619C">
        <w:rPr>
          <w:i/>
          <w:szCs w:val="24"/>
          <w:lang w:val="da-DK"/>
        </w:rPr>
        <w:t>galantamin</w:t>
      </w:r>
      <w:proofErr w:type="spellEnd"/>
      <w:r w:rsidRPr="0080619C">
        <w:rPr>
          <w:i/>
          <w:szCs w:val="24"/>
          <w:lang w:val="da-DK"/>
        </w:rPr>
        <w:t xml:space="preserve"> oral opløsning</w:t>
      </w:r>
    </w:p>
    <w:p w:rsidR="005B428A" w:rsidRPr="0080619C" w:rsidRDefault="005B428A" w:rsidP="005B428A">
      <w:pPr>
        <w:ind w:left="851"/>
        <w:rPr>
          <w:sz w:val="24"/>
          <w:szCs w:val="24"/>
        </w:rPr>
      </w:pPr>
      <w:r w:rsidRPr="0080619C">
        <w:rPr>
          <w:sz w:val="24"/>
          <w:szCs w:val="24"/>
        </w:rPr>
        <w:t xml:space="preserve">Det anbefales at administrere den samme totale daglige dosis af </w:t>
      </w:r>
      <w:proofErr w:type="spellStart"/>
      <w:r w:rsidRPr="0080619C">
        <w:rPr>
          <w:sz w:val="24"/>
          <w:szCs w:val="24"/>
        </w:rPr>
        <w:t>galantamin</w:t>
      </w:r>
      <w:proofErr w:type="spellEnd"/>
      <w:r w:rsidRPr="0080619C">
        <w:rPr>
          <w:sz w:val="24"/>
          <w:szCs w:val="24"/>
        </w:rPr>
        <w:t xml:space="preserve"> til patienten. Patienter, som skifter til administration en gang daglig, skal tage deres sidste dosis af </w:t>
      </w:r>
      <w:proofErr w:type="spellStart"/>
      <w:r w:rsidRPr="0080619C">
        <w:rPr>
          <w:sz w:val="24"/>
          <w:szCs w:val="24"/>
        </w:rPr>
        <w:t>galantamin</w:t>
      </w:r>
      <w:proofErr w:type="spellEnd"/>
      <w:r w:rsidRPr="0080619C">
        <w:rPr>
          <w:sz w:val="24"/>
          <w:szCs w:val="24"/>
        </w:rPr>
        <w:t xml:space="preserve"> tabletter eller oral opløsning om aftenen og begynde behandling med </w:t>
      </w: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Stada</w:t>
      </w:r>
      <w:proofErr w:type="spellEnd"/>
      <w:r w:rsidRPr="0080619C">
        <w:rPr>
          <w:sz w:val="24"/>
          <w:szCs w:val="24"/>
        </w:rPr>
        <w:t xml:space="preserve">" depotkapsler en gang daglig den følgende morgen. </w:t>
      </w:r>
    </w:p>
    <w:p w:rsidR="005B428A" w:rsidRPr="0080619C" w:rsidRDefault="005B428A" w:rsidP="005B428A">
      <w:pPr>
        <w:ind w:left="851"/>
        <w:rPr>
          <w:sz w:val="24"/>
          <w:szCs w:val="24"/>
        </w:rPr>
      </w:pPr>
    </w:p>
    <w:p w:rsidR="005B428A" w:rsidRPr="0080619C" w:rsidRDefault="001D0D0E" w:rsidP="005B428A">
      <w:pPr>
        <w:ind w:left="851"/>
        <w:rPr>
          <w:sz w:val="24"/>
          <w:szCs w:val="24"/>
          <w:u w:val="single"/>
        </w:rPr>
      </w:pPr>
      <w:r w:rsidRPr="0080619C">
        <w:rPr>
          <w:b/>
          <w:i/>
          <w:iCs/>
          <w:sz w:val="24"/>
          <w:szCs w:val="24"/>
        </w:rPr>
        <w:t>Særlige patientgrupper</w:t>
      </w:r>
    </w:p>
    <w:p w:rsidR="005B428A" w:rsidRPr="0080619C" w:rsidRDefault="005B428A" w:rsidP="005B428A">
      <w:pPr>
        <w:ind w:left="851"/>
        <w:rPr>
          <w:i/>
          <w:sz w:val="24"/>
          <w:szCs w:val="24"/>
          <w:u w:val="single"/>
        </w:rPr>
      </w:pPr>
      <w:r w:rsidRPr="0080619C">
        <w:rPr>
          <w:i/>
          <w:sz w:val="24"/>
          <w:szCs w:val="24"/>
          <w:u w:val="single"/>
        </w:rPr>
        <w:t>Nyreinsufficiens</w:t>
      </w:r>
    </w:p>
    <w:p w:rsidR="005B428A" w:rsidRPr="0080619C" w:rsidRDefault="005B428A" w:rsidP="005B428A">
      <w:pPr>
        <w:ind w:left="851"/>
        <w:rPr>
          <w:sz w:val="24"/>
          <w:szCs w:val="24"/>
        </w:rPr>
      </w:pPr>
      <w:r w:rsidRPr="0080619C">
        <w:rPr>
          <w:sz w:val="24"/>
          <w:szCs w:val="24"/>
        </w:rPr>
        <w:t xml:space="preserve">Plasmakoncentrationen af </w:t>
      </w:r>
      <w:proofErr w:type="spellStart"/>
      <w:r w:rsidRPr="0080619C">
        <w:rPr>
          <w:sz w:val="24"/>
          <w:szCs w:val="24"/>
        </w:rPr>
        <w:t>galantamin</w:t>
      </w:r>
      <w:proofErr w:type="spellEnd"/>
      <w:r w:rsidRPr="0080619C">
        <w:rPr>
          <w:sz w:val="24"/>
          <w:szCs w:val="24"/>
        </w:rPr>
        <w:t xml:space="preserve"> kan være forhøjet hos patienter med moderat til svær nyreinsufficiens (se pkt. 5.2). </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Til patienter med en </w:t>
      </w:r>
      <w:proofErr w:type="spellStart"/>
      <w:r w:rsidRPr="0080619C">
        <w:rPr>
          <w:sz w:val="24"/>
          <w:szCs w:val="24"/>
        </w:rPr>
        <w:t>kreatininclearance</w:t>
      </w:r>
      <w:proofErr w:type="spellEnd"/>
      <w:r w:rsidRPr="0080619C">
        <w:rPr>
          <w:sz w:val="24"/>
          <w:szCs w:val="24"/>
        </w:rPr>
        <w:t xml:space="preserve"> ≥9 ml/min. kræves der ingen dosisjustering.</w:t>
      </w:r>
    </w:p>
    <w:p w:rsidR="005B428A" w:rsidRPr="0080619C" w:rsidRDefault="005B428A" w:rsidP="005B428A">
      <w:pPr>
        <w:ind w:left="851"/>
        <w:rPr>
          <w:sz w:val="24"/>
          <w:szCs w:val="24"/>
        </w:rPr>
      </w:pPr>
      <w:r w:rsidRPr="0080619C">
        <w:rPr>
          <w:sz w:val="24"/>
          <w:szCs w:val="24"/>
        </w:rPr>
        <w:t>Hos patienter med svært nedsat nyrefunktion (</w:t>
      </w:r>
      <w:proofErr w:type="spellStart"/>
      <w:r w:rsidRPr="0080619C">
        <w:rPr>
          <w:sz w:val="24"/>
          <w:szCs w:val="24"/>
        </w:rPr>
        <w:t>kreatininclearance</w:t>
      </w:r>
      <w:proofErr w:type="spellEnd"/>
      <w:r w:rsidRPr="0080619C">
        <w:rPr>
          <w:sz w:val="24"/>
          <w:szCs w:val="24"/>
        </w:rPr>
        <w:t xml:space="preserve"> under 9 ml/min), er brugen af </w:t>
      </w:r>
      <w:proofErr w:type="spellStart"/>
      <w:r w:rsidRPr="0080619C">
        <w:rPr>
          <w:sz w:val="24"/>
          <w:szCs w:val="24"/>
        </w:rPr>
        <w:t>galantamin</w:t>
      </w:r>
      <w:proofErr w:type="spellEnd"/>
      <w:r w:rsidRPr="0080619C">
        <w:rPr>
          <w:sz w:val="24"/>
          <w:szCs w:val="24"/>
        </w:rPr>
        <w:t xml:space="preserve"> kontraindiceret (se pkt</w:t>
      </w:r>
      <w:r w:rsidR="00E74529" w:rsidRPr="0080619C">
        <w:rPr>
          <w:sz w:val="24"/>
          <w:szCs w:val="24"/>
        </w:rPr>
        <w:t>.</w:t>
      </w:r>
      <w:r w:rsidRPr="0080619C">
        <w:rPr>
          <w:sz w:val="24"/>
          <w:szCs w:val="24"/>
        </w:rPr>
        <w:t xml:space="preserve"> 4.3).</w:t>
      </w:r>
    </w:p>
    <w:p w:rsidR="00B02D6E" w:rsidRDefault="00B02D6E">
      <w:pPr>
        <w:rPr>
          <w:sz w:val="24"/>
          <w:szCs w:val="24"/>
        </w:rPr>
      </w:pPr>
      <w:r>
        <w:rPr>
          <w:sz w:val="24"/>
          <w:szCs w:val="24"/>
        </w:rPr>
        <w:br w:type="page"/>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Nedsat leverfunktion</w:t>
      </w:r>
    </w:p>
    <w:p w:rsidR="005B428A" w:rsidRPr="0080619C" w:rsidRDefault="005B428A" w:rsidP="005B428A">
      <w:pPr>
        <w:ind w:left="851"/>
        <w:rPr>
          <w:sz w:val="24"/>
          <w:szCs w:val="24"/>
        </w:rPr>
      </w:pPr>
      <w:r w:rsidRPr="0080619C">
        <w:rPr>
          <w:sz w:val="24"/>
          <w:szCs w:val="24"/>
        </w:rPr>
        <w:lastRenderedPageBreak/>
        <w:t xml:space="preserve">Plasmakoncentrationen af </w:t>
      </w:r>
      <w:proofErr w:type="spellStart"/>
      <w:r w:rsidRPr="0080619C">
        <w:rPr>
          <w:sz w:val="24"/>
          <w:szCs w:val="24"/>
        </w:rPr>
        <w:t>galantamin</w:t>
      </w:r>
      <w:proofErr w:type="spellEnd"/>
      <w:r w:rsidRPr="0080619C">
        <w:rPr>
          <w:sz w:val="24"/>
          <w:szCs w:val="24"/>
        </w:rPr>
        <w:t xml:space="preserve"> kan blive øget hos patienter med moderat til svær nedsat leverfunktion (se pkt. 5.2).</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Hos patienter med moderat nedsat leverfunktion (Child-</w:t>
      </w:r>
      <w:proofErr w:type="spellStart"/>
      <w:r w:rsidRPr="0080619C">
        <w:rPr>
          <w:sz w:val="24"/>
          <w:szCs w:val="24"/>
        </w:rPr>
        <w:t>Pugh</w:t>
      </w:r>
      <w:proofErr w:type="spellEnd"/>
      <w:r w:rsidRPr="0080619C">
        <w:rPr>
          <w:sz w:val="24"/>
          <w:szCs w:val="24"/>
        </w:rPr>
        <w:t xml:space="preserve"> score 7-9) anbefales det, ud fra </w:t>
      </w:r>
      <w:proofErr w:type="spellStart"/>
      <w:r w:rsidRPr="0080619C">
        <w:rPr>
          <w:sz w:val="24"/>
          <w:szCs w:val="24"/>
        </w:rPr>
        <w:t>farmakokinetisk</w:t>
      </w:r>
      <w:proofErr w:type="spellEnd"/>
      <w:r w:rsidRPr="0080619C">
        <w:rPr>
          <w:sz w:val="24"/>
          <w:szCs w:val="24"/>
        </w:rPr>
        <w:t xml:space="preserve"> modellering, at doseringen påbegyndes med en 8 mg depotkapsel en gang hver anden dag, fortrinsvist indtaget om morgenen i 1 uge. Derefter bør patienter fortsætte med 8 mg en gang daglig i 4 uger. Hos disse patienter bør daglige doser ikke overskride 16 mg.</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Brugen af </w:t>
      </w:r>
      <w:proofErr w:type="spellStart"/>
      <w:r w:rsidRPr="0080619C">
        <w:rPr>
          <w:sz w:val="24"/>
          <w:szCs w:val="24"/>
        </w:rPr>
        <w:t>galantamin</w:t>
      </w:r>
      <w:proofErr w:type="spellEnd"/>
      <w:r w:rsidRPr="0080619C">
        <w:rPr>
          <w:sz w:val="24"/>
          <w:szCs w:val="24"/>
        </w:rPr>
        <w:t xml:space="preserve"> er kontraindikeret hos patienter med en Child-</w:t>
      </w:r>
      <w:proofErr w:type="spellStart"/>
      <w:r w:rsidRPr="0080619C">
        <w:rPr>
          <w:sz w:val="24"/>
          <w:szCs w:val="24"/>
        </w:rPr>
        <w:t>plugh</w:t>
      </w:r>
      <w:proofErr w:type="spellEnd"/>
      <w:r w:rsidRPr="0080619C">
        <w:rPr>
          <w:sz w:val="24"/>
          <w:szCs w:val="24"/>
        </w:rPr>
        <w:t>-score over 9 (se pkt. 4.3). Der kræves ingen dosisjustering til patienter med mild leverinsufficiens.</w:t>
      </w:r>
    </w:p>
    <w:p w:rsidR="005B428A" w:rsidRPr="0080619C" w:rsidRDefault="005B428A" w:rsidP="005B428A">
      <w:pPr>
        <w:rPr>
          <w:sz w:val="24"/>
          <w:szCs w:val="24"/>
          <w:u w:val="single"/>
        </w:rPr>
      </w:pPr>
    </w:p>
    <w:p w:rsidR="001D0D0E" w:rsidRPr="0080619C" w:rsidRDefault="001D0D0E" w:rsidP="001D0D0E">
      <w:pPr>
        <w:ind w:left="851"/>
        <w:rPr>
          <w:i/>
          <w:iCs/>
          <w:sz w:val="24"/>
          <w:szCs w:val="24"/>
        </w:rPr>
      </w:pPr>
      <w:r w:rsidRPr="0080619C">
        <w:rPr>
          <w:i/>
          <w:iCs/>
          <w:sz w:val="24"/>
          <w:szCs w:val="24"/>
        </w:rPr>
        <w:t>Samtidig behandling</w:t>
      </w:r>
    </w:p>
    <w:p w:rsidR="001D0D0E" w:rsidRPr="0080619C" w:rsidRDefault="001D0D0E" w:rsidP="001D0D0E">
      <w:pPr>
        <w:ind w:left="851"/>
        <w:rPr>
          <w:sz w:val="24"/>
          <w:szCs w:val="24"/>
        </w:rPr>
      </w:pPr>
      <w:r w:rsidRPr="0080619C">
        <w:rPr>
          <w:sz w:val="24"/>
          <w:szCs w:val="24"/>
        </w:rPr>
        <w:t>For patienter, som er behandlet med potente CYP2D6- og CYP3A4-hæmmere, kan reduktion af dosis overvejes (se pkt. 4.5).</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Pædiatrisk population</w:t>
      </w:r>
    </w:p>
    <w:p w:rsidR="005B428A" w:rsidRPr="0080619C" w:rsidRDefault="005B428A" w:rsidP="005B428A">
      <w:pPr>
        <w:ind w:left="851"/>
        <w:rPr>
          <w:sz w:val="24"/>
          <w:szCs w:val="24"/>
        </w:rPr>
      </w:pPr>
      <w:r w:rsidRPr="0080619C">
        <w:rPr>
          <w:sz w:val="24"/>
          <w:szCs w:val="24"/>
        </w:rPr>
        <w:t xml:space="preserve">Der er ingen relevante indikationer for </w:t>
      </w:r>
      <w:proofErr w:type="spellStart"/>
      <w:r w:rsidRPr="0080619C">
        <w:rPr>
          <w:sz w:val="24"/>
          <w:szCs w:val="24"/>
        </w:rPr>
        <w:t>galantamin</w:t>
      </w:r>
      <w:proofErr w:type="spellEnd"/>
      <w:r w:rsidRPr="0080619C">
        <w:rPr>
          <w:sz w:val="24"/>
          <w:szCs w:val="24"/>
        </w:rPr>
        <w:t xml:space="preserve"> i den pædiatriske population.</w:t>
      </w:r>
    </w:p>
    <w:p w:rsidR="005B428A" w:rsidRPr="0080619C" w:rsidRDefault="005B428A" w:rsidP="005B428A">
      <w:pPr>
        <w:ind w:left="851"/>
        <w:rPr>
          <w:sz w:val="24"/>
          <w:szCs w:val="24"/>
        </w:rPr>
      </w:pPr>
    </w:p>
    <w:p w:rsidR="005B428A" w:rsidRPr="0080619C" w:rsidRDefault="005B428A" w:rsidP="00E74529">
      <w:pPr>
        <w:ind w:left="851"/>
        <w:rPr>
          <w:sz w:val="24"/>
          <w:szCs w:val="24"/>
          <w:u w:val="single"/>
        </w:rPr>
      </w:pPr>
      <w:r w:rsidRPr="0080619C">
        <w:rPr>
          <w:noProof/>
          <w:sz w:val="24"/>
          <w:szCs w:val="24"/>
          <w:u w:val="single"/>
        </w:rPr>
        <w:t>Administration</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Stada</w:t>
      </w:r>
      <w:proofErr w:type="spellEnd"/>
      <w:r w:rsidRPr="0080619C">
        <w:rPr>
          <w:sz w:val="24"/>
          <w:szCs w:val="24"/>
        </w:rPr>
        <w:t>" depotkapsler bør gives oralt en gang daglig om morgenen, helst sammen med mad.</w:t>
      </w:r>
    </w:p>
    <w:p w:rsidR="005B428A" w:rsidRPr="0080619C" w:rsidRDefault="005B428A" w:rsidP="005B428A">
      <w:pPr>
        <w:ind w:left="851"/>
        <w:rPr>
          <w:sz w:val="24"/>
          <w:szCs w:val="24"/>
        </w:rPr>
      </w:pPr>
      <w:r w:rsidRPr="0080619C">
        <w:rPr>
          <w:sz w:val="24"/>
          <w:szCs w:val="24"/>
        </w:rPr>
        <w:t>Kapslerne skal sluges hele sammen med væske.</w:t>
      </w:r>
    </w:p>
    <w:p w:rsidR="005B428A" w:rsidRPr="0080619C" w:rsidRDefault="005B428A" w:rsidP="005B428A">
      <w:pPr>
        <w:ind w:left="851"/>
        <w:rPr>
          <w:sz w:val="24"/>
          <w:szCs w:val="24"/>
        </w:rPr>
      </w:pPr>
      <w:r w:rsidRPr="0080619C">
        <w:rPr>
          <w:sz w:val="24"/>
          <w:szCs w:val="24"/>
        </w:rPr>
        <w:t>Kapslerne må ikke tygges eller knuses. Sørg for et tilstrækkeligt væskeindtag i behandlingsperioden (se pkt. 4.8).</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4.3</w:t>
      </w:r>
      <w:r w:rsidRPr="0080619C">
        <w:rPr>
          <w:b/>
          <w:sz w:val="24"/>
          <w:szCs w:val="24"/>
        </w:rPr>
        <w:tab/>
        <w:t>Kontraindikationer</w:t>
      </w:r>
    </w:p>
    <w:p w:rsidR="005B428A" w:rsidRPr="0080619C" w:rsidRDefault="005B428A" w:rsidP="005B428A">
      <w:pPr>
        <w:ind w:left="851"/>
        <w:rPr>
          <w:noProof/>
          <w:sz w:val="24"/>
          <w:szCs w:val="24"/>
        </w:rPr>
      </w:pPr>
      <w:r w:rsidRPr="0080619C">
        <w:rPr>
          <w:noProof/>
          <w:sz w:val="24"/>
          <w:szCs w:val="24"/>
        </w:rPr>
        <w:t xml:space="preserve">Overfølsomhed over for det aktive stof eller over for et eller flere af hjælpestofferne anført i punkt 6.1 </w:t>
      </w:r>
    </w:p>
    <w:p w:rsidR="005B428A" w:rsidRPr="0080619C" w:rsidRDefault="005B428A" w:rsidP="005B428A">
      <w:pPr>
        <w:tabs>
          <w:tab w:val="left" w:pos="360"/>
        </w:tabs>
        <w:ind w:left="851"/>
        <w:rPr>
          <w:sz w:val="24"/>
          <w:szCs w:val="24"/>
        </w:rPr>
      </w:pPr>
      <w:r w:rsidRPr="0080619C">
        <w:rPr>
          <w:sz w:val="24"/>
          <w:szCs w:val="24"/>
        </w:rPr>
        <w:t xml:space="preserve">Fordi der ikke foreligger data vedrørende anvendelse af </w:t>
      </w:r>
      <w:proofErr w:type="spellStart"/>
      <w:r w:rsidRPr="0080619C">
        <w:rPr>
          <w:sz w:val="24"/>
          <w:szCs w:val="24"/>
        </w:rPr>
        <w:t>galantamin</w:t>
      </w:r>
      <w:proofErr w:type="spellEnd"/>
      <w:r w:rsidRPr="0080619C">
        <w:rPr>
          <w:sz w:val="24"/>
          <w:szCs w:val="24"/>
        </w:rPr>
        <w:t xml:space="preserve"> til patienter med svær leverinsufficiens (Child-</w:t>
      </w:r>
      <w:proofErr w:type="spellStart"/>
      <w:r w:rsidRPr="0080619C">
        <w:rPr>
          <w:sz w:val="24"/>
          <w:szCs w:val="24"/>
        </w:rPr>
        <w:t>Pugh</w:t>
      </w:r>
      <w:proofErr w:type="spellEnd"/>
      <w:r w:rsidRPr="0080619C">
        <w:rPr>
          <w:sz w:val="24"/>
          <w:szCs w:val="24"/>
        </w:rPr>
        <w:t xml:space="preserve">-score over 9) og (i patienter med en </w:t>
      </w:r>
      <w:proofErr w:type="spellStart"/>
      <w:r w:rsidRPr="0080619C">
        <w:rPr>
          <w:sz w:val="24"/>
          <w:szCs w:val="24"/>
        </w:rPr>
        <w:t>kreatinin-clearance</w:t>
      </w:r>
      <w:proofErr w:type="spellEnd"/>
      <w:r w:rsidRPr="0080619C">
        <w:rPr>
          <w:sz w:val="24"/>
          <w:szCs w:val="24"/>
        </w:rPr>
        <w:t xml:space="preserve"> under 9 ml/min.), er </w:t>
      </w:r>
      <w:proofErr w:type="spellStart"/>
      <w:r w:rsidRPr="0080619C">
        <w:rPr>
          <w:sz w:val="24"/>
          <w:szCs w:val="24"/>
        </w:rPr>
        <w:t>galantamin</w:t>
      </w:r>
      <w:proofErr w:type="spellEnd"/>
      <w:r w:rsidRPr="0080619C">
        <w:rPr>
          <w:sz w:val="24"/>
          <w:szCs w:val="24"/>
        </w:rPr>
        <w:t xml:space="preserve"> kontraindiceret til disse patientgrupper. </w:t>
      </w:r>
      <w:proofErr w:type="spellStart"/>
      <w:r w:rsidRPr="0080619C">
        <w:rPr>
          <w:sz w:val="24"/>
          <w:szCs w:val="24"/>
        </w:rPr>
        <w:t>Galantamin</w:t>
      </w:r>
      <w:proofErr w:type="spellEnd"/>
      <w:r w:rsidRPr="0080619C">
        <w:rPr>
          <w:sz w:val="24"/>
          <w:szCs w:val="24"/>
        </w:rPr>
        <w:t xml:space="preserve"> er kontraindiceret til patienter, som både har signifikant nyre- og leverdysfunktion.</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4.4</w:t>
      </w:r>
      <w:r w:rsidRPr="0080619C">
        <w:rPr>
          <w:b/>
          <w:sz w:val="24"/>
          <w:szCs w:val="24"/>
        </w:rPr>
        <w:tab/>
        <w:t>Særlige advarsler og forsigtighedsregler vedrørende brugen</w:t>
      </w:r>
    </w:p>
    <w:p w:rsidR="00E52DCF" w:rsidRPr="0080619C" w:rsidRDefault="00E52DCF"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Typer af demens</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er indiceret til patienter med mild til moderat demens af Alzheimer-typen. Der er ikke påvist fordele med </w:t>
      </w:r>
      <w:proofErr w:type="spellStart"/>
      <w:r w:rsidRPr="0080619C">
        <w:rPr>
          <w:sz w:val="24"/>
          <w:szCs w:val="24"/>
        </w:rPr>
        <w:t>galantamin</w:t>
      </w:r>
      <w:proofErr w:type="spellEnd"/>
      <w:r w:rsidRPr="0080619C">
        <w:rPr>
          <w:sz w:val="24"/>
          <w:szCs w:val="24"/>
        </w:rPr>
        <w:t xml:space="preserve"> til patienter med andre typer af demens eller andre typer hukommelsessvækkelse. I to kliniske forsøg af 2 års varighed på personer med mild, kognitiv svækkelse (mildere type af hukommelsessvækkelse som ikke opfylder kriterierne for Alzheimers demens) blev der ikke påvist nogen fordel ved behandlingen med </w:t>
      </w:r>
      <w:proofErr w:type="spellStart"/>
      <w:r w:rsidRPr="0080619C">
        <w:rPr>
          <w:sz w:val="24"/>
          <w:szCs w:val="24"/>
        </w:rPr>
        <w:t>galantamin</w:t>
      </w:r>
      <w:proofErr w:type="spellEnd"/>
      <w:r w:rsidRPr="0080619C">
        <w:rPr>
          <w:sz w:val="24"/>
          <w:szCs w:val="24"/>
        </w:rPr>
        <w:t xml:space="preserve">, hverken ved at forsinke den kognitive svækkelse eller ved at reducere den kliniske udvikling af demens. Mortalitetsniveauet i </w:t>
      </w:r>
      <w:proofErr w:type="spellStart"/>
      <w:r w:rsidRPr="0080619C">
        <w:rPr>
          <w:sz w:val="24"/>
          <w:szCs w:val="24"/>
        </w:rPr>
        <w:t>galantamin</w:t>
      </w:r>
      <w:proofErr w:type="spellEnd"/>
      <w:r w:rsidRPr="0080619C">
        <w:rPr>
          <w:sz w:val="24"/>
          <w:szCs w:val="24"/>
        </w:rPr>
        <w:t xml:space="preserve">-gruppen var signifikant højere end i </w:t>
      </w:r>
      <w:proofErr w:type="spellStart"/>
      <w:r w:rsidRPr="0080619C">
        <w:rPr>
          <w:sz w:val="24"/>
          <w:szCs w:val="24"/>
        </w:rPr>
        <w:t>placebo-gruppen</w:t>
      </w:r>
      <w:proofErr w:type="spellEnd"/>
      <w:r w:rsidRPr="0080619C">
        <w:rPr>
          <w:sz w:val="24"/>
          <w:szCs w:val="24"/>
        </w:rPr>
        <w:t xml:space="preserve">: 14/1026 (1,4 %) i </w:t>
      </w:r>
      <w:proofErr w:type="spellStart"/>
      <w:r w:rsidRPr="0080619C">
        <w:rPr>
          <w:sz w:val="24"/>
          <w:szCs w:val="24"/>
        </w:rPr>
        <w:t>galantamin</w:t>
      </w:r>
      <w:proofErr w:type="spellEnd"/>
      <w:r w:rsidRPr="0080619C">
        <w:rPr>
          <w:sz w:val="24"/>
          <w:szCs w:val="24"/>
        </w:rPr>
        <w:t xml:space="preserve">-gruppen og 3/1022 (0,3 %) i </w:t>
      </w:r>
      <w:proofErr w:type="spellStart"/>
      <w:r w:rsidRPr="0080619C">
        <w:rPr>
          <w:sz w:val="24"/>
          <w:szCs w:val="24"/>
        </w:rPr>
        <w:t>placebo-gruppen</w:t>
      </w:r>
      <w:proofErr w:type="spellEnd"/>
      <w:r w:rsidRPr="0080619C">
        <w:rPr>
          <w:sz w:val="24"/>
          <w:szCs w:val="24"/>
        </w:rPr>
        <w:t>. Der var forskellige årsager til dødsfaldene. Ca. halvdelen af døds</w:t>
      </w:r>
      <w:r w:rsidRPr="0080619C">
        <w:rPr>
          <w:sz w:val="24"/>
          <w:szCs w:val="24"/>
        </w:rPr>
        <w:softHyphen/>
        <w:t>fal</w:t>
      </w:r>
      <w:r w:rsidRPr="0080619C">
        <w:rPr>
          <w:sz w:val="24"/>
          <w:szCs w:val="24"/>
        </w:rPr>
        <w:softHyphen/>
        <w:t xml:space="preserve">dene i </w:t>
      </w:r>
      <w:proofErr w:type="spellStart"/>
      <w:r w:rsidRPr="0080619C">
        <w:rPr>
          <w:sz w:val="24"/>
          <w:szCs w:val="24"/>
        </w:rPr>
        <w:t>galantamin</w:t>
      </w:r>
      <w:proofErr w:type="spellEnd"/>
      <w:r w:rsidRPr="0080619C">
        <w:rPr>
          <w:sz w:val="24"/>
          <w:szCs w:val="24"/>
        </w:rPr>
        <w:t xml:space="preserve">-gruppen havde forskellige </w:t>
      </w:r>
      <w:proofErr w:type="spellStart"/>
      <w:r w:rsidRPr="0080619C">
        <w:rPr>
          <w:sz w:val="24"/>
          <w:szCs w:val="24"/>
        </w:rPr>
        <w:t>vaskulære</w:t>
      </w:r>
      <w:proofErr w:type="spellEnd"/>
      <w:r w:rsidRPr="0080619C">
        <w:rPr>
          <w:sz w:val="24"/>
          <w:szCs w:val="24"/>
        </w:rPr>
        <w:t xml:space="preserve"> årsager (myokardieinfarkt, slagtilfælde og pludseligt dødsfald). Relevansen af dette for behandlingen af patienter med demens af Alzheimer-typen er ukendt.  Der blev ikke observeret øget mortalitet i </w:t>
      </w:r>
      <w:proofErr w:type="spellStart"/>
      <w:r w:rsidRPr="0080619C">
        <w:rPr>
          <w:sz w:val="24"/>
          <w:szCs w:val="24"/>
        </w:rPr>
        <w:t>galantamin</w:t>
      </w:r>
      <w:proofErr w:type="spellEnd"/>
      <w:r w:rsidRPr="0080619C">
        <w:rPr>
          <w:sz w:val="24"/>
          <w:szCs w:val="24"/>
        </w:rPr>
        <w:t xml:space="preserve">-gruppen i et langsigtet, randomiseret, placebokontrolleret studie med 2.045 patienter med mild til moderat Alzheimers sygdom. Mortalitetsraten i placebogruppen var signifikant højere end </w:t>
      </w:r>
      <w:r w:rsidRPr="0080619C">
        <w:rPr>
          <w:sz w:val="24"/>
          <w:szCs w:val="24"/>
        </w:rPr>
        <w:lastRenderedPageBreak/>
        <w:t xml:space="preserve">i </w:t>
      </w:r>
      <w:proofErr w:type="spellStart"/>
      <w:r w:rsidRPr="0080619C">
        <w:rPr>
          <w:sz w:val="24"/>
          <w:szCs w:val="24"/>
        </w:rPr>
        <w:t>galantamin</w:t>
      </w:r>
      <w:proofErr w:type="spellEnd"/>
      <w:r w:rsidRPr="0080619C">
        <w:rPr>
          <w:sz w:val="24"/>
          <w:szCs w:val="24"/>
        </w:rPr>
        <w:t xml:space="preserve">-gruppen. Der var 56 /1.021 (5,5%) dødsfald hos patienter, der modtog placebo og 33/ 1.024 (3,2%) dødsfald hos patienter, der modtog </w:t>
      </w:r>
      <w:proofErr w:type="spellStart"/>
      <w:r w:rsidRPr="0080619C">
        <w:rPr>
          <w:sz w:val="24"/>
          <w:szCs w:val="24"/>
        </w:rPr>
        <w:t>galantamin</w:t>
      </w:r>
      <w:proofErr w:type="spellEnd"/>
      <w:r w:rsidRPr="0080619C">
        <w:rPr>
          <w:sz w:val="24"/>
          <w:szCs w:val="24"/>
        </w:rPr>
        <w:t xml:space="preserve"> (</w:t>
      </w:r>
      <w:proofErr w:type="spellStart"/>
      <w:r w:rsidRPr="0080619C">
        <w:rPr>
          <w:i/>
          <w:sz w:val="24"/>
          <w:szCs w:val="24"/>
        </w:rPr>
        <w:t>hazard</w:t>
      </w:r>
      <w:proofErr w:type="spellEnd"/>
      <w:r w:rsidRPr="0080619C">
        <w:rPr>
          <w:i/>
          <w:sz w:val="24"/>
          <w:szCs w:val="24"/>
        </w:rPr>
        <w:t xml:space="preserve"> ratio</w:t>
      </w:r>
      <w:r w:rsidRPr="0080619C">
        <w:rPr>
          <w:sz w:val="24"/>
          <w:szCs w:val="24"/>
        </w:rPr>
        <w:t xml:space="preserve"> og 95% konfidensintervaller på 0,58 [0,37, 0,89]; p = 0,011).</w:t>
      </w:r>
    </w:p>
    <w:p w:rsidR="005B428A" w:rsidRPr="0080619C" w:rsidRDefault="005B428A" w:rsidP="005B428A">
      <w:pPr>
        <w:ind w:left="851"/>
        <w:rPr>
          <w:sz w:val="24"/>
          <w:szCs w:val="24"/>
        </w:rPr>
      </w:pPr>
      <w:r w:rsidRPr="0080619C">
        <w:rPr>
          <w:sz w:val="24"/>
          <w:szCs w:val="24"/>
        </w:rPr>
        <w:t xml:space="preserve">En diagnose på Alzheimer-demens bør stilles efter gældende retningslinjer af en erfaren læge. Behandlingen med </w:t>
      </w:r>
      <w:proofErr w:type="spellStart"/>
      <w:r w:rsidRPr="0080619C">
        <w:rPr>
          <w:sz w:val="24"/>
          <w:szCs w:val="24"/>
        </w:rPr>
        <w:t>galantamin</w:t>
      </w:r>
      <w:proofErr w:type="spellEnd"/>
      <w:r w:rsidRPr="0080619C">
        <w:rPr>
          <w:sz w:val="24"/>
          <w:szCs w:val="24"/>
        </w:rPr>
        <w:t xml:space="preserve"> bør finde sted under lægeligt tilsyn og bør kun påbegyndes, såfremt der er en omsorgsperson til stede, som regelmæssigt kan overvåge patientens medicinindtagelse.</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Alvorlige hudreaktioner</w:t>
      </w:r>
    </w:p>
    <w:p w:rsidR="005B428A" w:rsidRPr="0080619C" w:rsidRDefault="005B428A" w:rsidP="005B428A">
      <w:pPr>
        <w:ind w:left="851"/>
        <w:rPr>
          <w:sz w:val="24"/>
          <w:szCs w:val="24"/>
        </w:rPr>
      </w:pPr>
      <w:r w:rsidRPr="0080619C">
        <w:rPr>
          <w:sz w:val="24"/>
          <w:szCs w:val="24"/>
        </w:rPr>
        <w:t xml:space="preserve">Alvorlige hudreaktioner (Stevens-Johnsons syndrom og akut generaliseret </w:t>
      </w:r>
      <w:proofErr w:type="spellStart"/>
      <w:r w:rsidRPr="0080619C">
        <w:rPr>
          <w:sz w:val="24"/>
          <w:szCs w:val="24"/>
        </w:rPr>
        <w:t>eksantematøs</w:t>
      </w:r>
      <w:proofErr w:type="spellEnd"/>
      <w:r w:rsidRPr="0080619C">
        <w:rPr>
          <w:sz w:val="24"/>
          <w:szCs w:val="24"/>
        </w:rPr>
        <w:t xml:space="preserve"> </w:t>
      </w:r>
      <w:proofErr w:type="spellStart"/>
      <w:r w:rsidRPr="0080619C">
        <w:rPr>
          <w:sz w:val="24"/>
          <w:szCs w:val="24"/>
        </w:rPr>
        <w:t>pustulose</w:t>
      </w:r>
      <w:proofErr w:type="spellEnd"/>
      <w:r w:rsidRPr="0080619C">
        <w:rPr>
          <w:sz w:val="24"/>
          <w:szCs w:val="24"/>
        </w:rPr>
        <w:t xml:space="preserve">) er blevet rapporteret hos patienter, der fik </w:t>
      </w:r>
      <w:proofErr w:type="spellStart"/>
      <w:r w:rsidRPr="0080619C">
        <w:rPr>
          <w:sz w:val="24"/>
          <w:szCs w:val="24"/>
        </w:rPr>
        <w:t>galantamin</w:t>
      </w:r>
      <w:proofErr w:type="spellEnd"/>
      <w:r w:rsidRPr="0080619C">
        <w:rPr>
          <w:sz w:val="24"/>
          <w:szCs w:val="24"/>
        </w:rPr>
        <w:t xml:space="preserve"> (se pkt</w:t>
      </w:r>
      <w:r w:rsidR="00B02D6E">
        <w:rPr>
          <w:sz w:val="24"/>
          <w:szCs w:val="24"/>
        </w:rPr>
        <w:t>.</w:t>
      </w:r>
      <w:r w:rsidRPr="0080619C">
        <w:rPr>
          <w:sz w:val="24"/>
          <w:szCs w:val="24"/>
        </w:rPr>
        <w:t xml:space="preserve"> 4.8). Det anbefales, at patienterne informeres om tegn på alvorlige hudreaktioner, og at behandlingen afbrydes ved den første forekomst af hududslæt.</w:t>
      </w:r>
    </w:p>
    <w:p w:rsidR="005B428A" w:rsidRPr="0080619C" w:rsidRDefault="005B428A" w:rsidP="005B428A">
      <w:pPr>
        <w:ind w:left="851"/>
        <w:rPr>
          <w:sz w:val="24"/>
          <w:szCs w:val="24"/>
        </w:rPr>
      </w:pPr>
    </w:p>
    <w:p w:rsidR="005B428A" w:rsidRPr="0080619C" w:rsidRDefault="005B428A" w:rsidP="005B428A">
      <w:pPr>
        <w:ind w:left="851"/>
        <w:rPr>
          <w:i/>
          <w:sz w:val="24"/>
          <w:szCs w:val="24"/>
          <w:u w:val="single"/>
        </w:rPr>
      </w:pPr>
      <w:r w:rsidRPr="0080619C">
        <w:rPr>
          <w:i/>
          <w:sz w:val="24"/>
          <w:szCs w:val="24"/>
          <w:u w:val="single"/>
        </w:rPr>
        <w:t>Monitorering af vægt</w:t>
      </w:r>
    </w:p>
    <w:p w:rsidR="005B428A" w:rsidRPr="0080619C" w:rsidRDefault="005B428A" w:rsidP="005B428A">
      <w:pPr>
        <w:ind w:left="851"/>
        <w:rPr>
          <w:sz w:val="24"/>
          <w:szCs w:val="24"/>
        </w:rPr>
      </w:pPr>
      <w:r w:rsidRPr="0080619C">
        <w:rPr>
          <w:sz w:val="24"/>
          <w:szCs w:val="24"/>
        </w:rPr>
        <w:t xml:space="preserve">Patienter med Alzheimers sygdom taber sig. Behandling med </w:t>
      </w:r>
      <w:proofErr w:type="spellStart"/>
      <w:r w:rsidRPr="0080619C">
        <w:rPr>
          <w:sz w:val="24"/>
          <w:szCs w:val="24"/>
        </w:rPr>
        <w:t>cholinesterasehæmmere</w:t>
      </w:r>
      <w:proofErr w:type="spellEnd"/>
      <w:r w:rsidRPr="0080619C">
        <w:rPr>
          <w:sz w:val="24"/>
          <w:szCs w:val="24"/>
        </w:rPr>
        <w:t xml:space="preserve">, herunder </w:t>
      </w:r>
      <w:proofErr w:type="spellStart"/>
      <w:r w:rsidRPr="0080619C">
        <w:rPr>
          <w:sz w:val="24"/>
          <w:szCs w:val="24"/>
        </w:rPr>
        <w:t>galantamin</w:t>
      </w:r>
      <w:proofErr w:type="spellEnd"/>
      <w:r w:rsidRPr="0080619C">
        <w:rPr>
          <w:sz w:val="24"/>
          <w:szCs w:val="24"/>
        </w:rPr>
        <w:t>, er blevet forbundet med vægttab hos disse patienter. Under behandlingen bør patientens vægt overvåges.</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i/>
          <w:sz w:val="24"/>
          <w:szCs w:val="24"/>
          <w:u w:val="single"/>
        </w:rPr>
        <w:t>Forhold, der kræver forsigtighed</w:t>
      </w:r>
      <w:r w:rsidRPr="0080619C">
        <w:rPr>
          <w:i/>
          <w:sz w:val="24"/>
          <w:szCs w:val="24"/>
          <w:u w:val="single"/>
        </w:rPr>
        <w:br/>
      </w:r>
      <w:r w:rsidRPr="0080619C">
        <w:rPr>
          <w:sz w:val="24"/>
          <w:szCs w:val="24"/>
        </w:rPr>
        <w:t xml:space="preserve">Som for andre </w:t>
      </w:r>
      <w:proofErr w:type="spellStart"/>
      <w:r w:rsidRPr="0080619C">
        <w:rPr>
          <w:sz w:val="24"/>
          <w:szCs w:val="24"/>
        </w:rPr>
        <w:t>cholinomimetika</w:t>
      </w:r>
      <w:proofErr w:type="spellEnd"/>
      <w:r w:rsidRPr="0080619C">
        <w:rPr>
          <w:sz w:val="24"/>
          <w:szCs w:val="24"/>
        </w:rPr>
        <w:t xml:space="preserve">, bør </w:t>
      </w:r>
      <w:proofErr w:type="spellStart"/>
      <w:r w:rsidR="00B02D6E">
        <w:rPr>
          <w:sz w:val="24"/>
          <w:szCs w:val="24"/>
        </w:rPr>
        <w:t>g</w:t>
      </w:r>
      <w:r w:rsidRPr="0080619C">
        <w:rPr>
          <w:sz w:val="24"/>
          <w:szCs w:val="24"/>
        </w:rPr>
        <w:t>alantamin</w:t>
      </w:r>
      <w:proofErr w:type="spellEnd"/>
      <w:r w:rsidRPr="0080619C">
        <w:rPr>
          <w:sz w:val="24"/>
          <w:szCs w:val="24"/>
        </w:rPr>
        <w:t xml:space="preserve"> gives med forsigtighed ved følgende tilstande:</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Lidelser i hjertet</w:t>
      </w:r>
    </w:p>
    <w:p w:rsidR="005B428A" w:rsidRPr="0080619C" w:rsidRDefault="005B428A" w:rsidP="005B428A">
      <w:pPr>
        <w:ind w:left="851"/>
        <w:rPr>
          <w:sz w:val="24"/>
          <w:szCs w:val="24"/>
        </w:rPr>
      </w:pPr>
      <w:r w:rsidRPr="0080619C">
        <w:rPr>
          <w:sz w:val="24"/>
          <w:szCs w:val="24"/>
        </w:rPr>
        <w:t xml:space="preserve">Grundet deres farmakologiske virkning kan </w:t>
      </w:r>
      <w:proofErr w:type="spellStart"/>
      <w:r w:rsidRPr="0080619C">
        <w:rPr>
          <w:sz w:val="24"/>
          <w:szCs w:val="24"/>
        </w:rPr>
        <w:t>cholinerge</w:t>
      </w:r>
      <w:proofErr w:type="spellEnd"/>
      <w:r w:rsidRPr="0080619C">
        <w:rPr>
          <w:sz w:val="24"/>
          <w:szCs w:val="24"/>
        </w:rPr>
        <w:t xml:space="preserve"> lægemidler have </w:t>
      </w:r>
      <w:proofErr w:type="spellStart"/>
      <w:r w:rsidRPr="0080619C">
        <w:rPr>
          <w:sz w:val="24"/>
          <w:szCs w:val="24"/>
        </w:rPr>
        <w:t>vagotonisk</w:t>
      </w:r>
      <w:proofErr w:type="spellEnd"/>
      <w:r w:rsidRPr="0080619C">
        <w:rPr>
          <w:sz w:val="24"/>
          <w:szCs w:val="24"/>
        </w:rPr>
        <w:t xml:space="preserve"> virkning på hjertefrekvensen, </w:t>
      </w:r>
      <w:r w:rsidRPr="0080619C">
        <w:rPr>
          <w:color w:val="222222"/>
          <w:sz w:val="24"/>
          <w:szCs w:val="24"/>
        </w:rPr>
        <w:t xml:space="preserve">herunder bradykardi og alle typer af </w:t>
      </w:r>
      <w:proofErr w:type="spellStart"/>
      <w:r w:rsidRPr="0080619C">
        <w:rPr>
          <w:color w:val="222222"/>
          <w:sz w:val="24"/>
          <w:szCs w:val="24"/>
        </w:rPr>
        <w:t>atrioventrikulær</w:t>
      </w:r>
      <w:proofErr w:type="spellEnd"/>
      <w:r w:rsidRPr="0080619C">
        <w:rPr>
          <w:color w:val="222222"/>
          <w:sz w:val="24"/>
          <w:szCs w:val="24"/>
        </w:rPr>
        <w:t xml:space="preserve"> knudepunktsblok (se pkt. 4.8).</w:t>
      </w:r>
      <w:r w:rsidRPr="0080619C">
        <w:rPr>
          <w:sz w:val="24"/>
          <w:szCs w:val="24"/>
        </w:rPr>
        <w:t xml:space="preserve"> Risikoen for denne effekt kan være særlig vigtig for patienter med </w:t>
      </w:r>
      <w:proofErr w:type="gramStart"/>
      <w:r w:rsidRPr="0080619C">
        <w:rPr>
          <w:sz w:val="24"/>
          <w:szCs w:val="24"/>
        </w:rPr>
        <w:t>syg sinussyndrom</w:t>
      </w:r>
      <w:proofErr w:type="gramEnd"/>
      <w:r w:rsidRPr="0080619C">
        <w:rPr>
          <w:sz w:val="24"/>
          <w:szCs w:val="24"/>
        </w:rPr>
        <w:t xml:space="preserve"> eller andre </w:t>
      </w:r>
      <w:proofErr w:type="spellStart"/>
      <w:r w:rsidRPr="0080619C">
        <w:rPr>
          <w:sz w:val="24"/>
          <w:szCs w:val="24"/>
        </w:rPr>
        <w:t>supraventrikulære</w:t>
      </w:r>
      <w:proofErr w:type="spellEnd"/>
      <w:r w:rsidRPr="0080619C">
        <w:rPr>
          <w:sz w:val="24"/>
          <w:szCs w:val="24"/>
        </w:rPr>
        <w:t xml:space="preserve"> overledningsforstyrrelser i hjertet, eller som tager medicin, som samtidig væsentligt nedsætter hjertefrekvensen, f.eks. </w:t>
      </w:r>
      <w:proofErr w:type="spellStart"/>
      <w:r w:rsidRPr="0080619C">
        <w:rPr>
          <w:sz w:val="24"/>
          <w:szCs w:val="24"/>
        </w:rPr>
        <w:t>digoxin</w:t>
      </w:r>
      <w:proofErr w:type="spellEnd"/>
      <w:r w:rsidRPr="0080619C">
        <w:rPr>
          <w:sz w:val="24"/>
          <w:szCs w:val="24"/>
        </w:rPr>
        <w:t xml:space="preserve"> og betablokkere eller for patienter med </w:t>
      </w:r>
      <w:proofErr w:type="spellStart"/>
      <w:r w:rsidRPr="0080619C">
        <w:rPr>
          <w:sz w:val="24"/>
          <w:szCs w:val="24"/>
        </w:rPr>
        <w:t>ukorrigeret</w:t>
      </w:r>
      <w:proofErr w:type="spellEnd"/>
      <w:r w:rsidRPr="0080619C">
        <w:rPr>
          <w:sz w:val="24"/>
          <w:szCs w:val="24"/>
        </w:rPr>
        <w:t xml:space="preserve"> elektrolytforstyrrelse (f.eks. </w:t>
      </w:r>
      <w:proofErr w:type="spellStart"/>
      <w:r w:rsidRPr="0080619C">
        <w:rPr>
          <w:sz w:val="24"/>
          <w:szCs w:val="24"/>
        </w:rPr>
        <w:t>hyperkaliæmi</w:t>
      </w:r>
      <w:proofErr w:type="spellEnd"/>
      <w:r w:rsidRPr="0080619C">
        <w:rPr>
          <w:sz w:val="24"/>
          <w:szCs w:val="24"/>
        </w:rPr>
        <w:t xml:space="preserve"> og </w:t>
      </w:r>
      <w:proofErr w:type="spellStart"/>
      <w:r w:rsidRPr="0080619C">
        <w:rPr>
          <w:sz w:val="24"/>
          <w:szCs w:val="24"/>
        </w:rPr>
        <w:t>hypokaliæmi</w:t>
      </w:r>
      <w:proofErr w:type="spellEnd"/>
      <w:r w:rsidRPr="0080619C">
        <w:rPr>
          <w:sz w:val="24"/>
          <w:szCs w:val="24"/>
        </w:rPr>
        <w:t xml:space="preserve">). </w:t>
      </w:r>
    </w:p>
    <w:p w:rsidR="005B428A" w:rsidRPr="0080619C" w:rsidRDefault="005B428A" w:rsidP="005B428A">
      <w:pPr>
        <w:ind w:left="851"/>
        <w:rPr>
          <w:sz w:val="24"/>
          <w:szCs w:val="24"/>
        </w:rPr>
      </w:pPr>
      <w:r w:rsidRPr="0080619C">
        <w:rPr>
          <w:sz w:val="24"/>
          <w:szCs w:val="24"/>
        </w:rPr>
        <w:t xml:space="preserve">Der skal derfor udvises forsigtighed, når der gives </w:t>
      </w:r>
      <w:proofErr w:type="spellStart"/>
      <w:r w:rsidRPr="0080619C">
        <w:rPr>
          <w:sz w:val="24"/>
          <w:szCs w:val="24"/>
        </w:rPr>
        <w:t>galantamin</w:t>
      </w:r>
      <w:proofErr w:type="spellEnd"/>
      <w:r w:rsidRPr="0080619C">
        <w:rPr>
          <w:sz w:val="24"/>
          <w:szCs w:val="24"/>
        </w:rPr>
        <w:t xml:space="preserve"> til patienter med </w:t>
      </w:r>
      <w:proofErr w:type="spellStart"/>
      <w:r w:rsidRPr="0080619C">
        <w:rPr>
          <w:sz w:val="24"/>
          <w:szCs w:val="24"/>
        </w:rPr>
        <w:t>cardiovaskulære</w:t>
      </w:r>
      <w:proofErr w:type="spellEnd"/>
      <w:r w:rsidRPr="0080619C">
        <w:rPr>
          <w:sz w:val="24"/>
          <w:szCs w:val="24"/>
        </w:rPr>
        <w:t xml:space="preserve"> sygdomme, f.eks. i perioden umiddelbart efter et myokardieinfarkt, nylig atrieflimren, hjerteblok gr. II eller højere, ustabil angina pectoris, eller hjerteinsufficiens (CHF), især NYHA gr. III-IV.</w:t>
      </w:r>
    </w:p>
    <w:p w:rsidR="00A8205B" w:rsidRPr="0080619C" w:rsidRDefault="00A8205B" w:rsidP="005B428A">
      <w:pPr>
        <w:ind w:left="851"/>
        <w:rPr>
          <w:sz w:val="24"/>
          <w:szCs w:val="24"/>
        </w:rPr>
      </w:pPr>
    </w:p>
    <w:p w:rsidR="00A8205B" w:rsidRPr="0080619C" w:rsidRDefault="00A8205B" w:rsidP="00A8205B">
      <w:pPr>
        <w:ind w:left="851"/>
        <w:rPr>
          <w:sz w:val="24"/>
          <w:szCs w:val="24"/>
        </w:rPr>
      </w:pPr>
      <w:r w:rsidRPr="0080619C">
        <w:rPr>
          <w:sz w:val="24"/>
          <w:szCs w:val="24"/>
        </w:rPr>
        <w:t xml:space="preserve">Der har været indberetninger af </w:t>
      </w:r>
      <w:proofErr w:type="spellStart"/>
      <w:r w:rsidRPr="0080619C">
        <w:rPr>
          <w:sz w:val="24"/>
          <w:szCs w:val="24"/>
        </w:rPr>
        <w:t>QTc</w:t>
      </w:r>
      <w:proofErr w:type="spellEnd"/>
      <w:r w:rsidRPr="0080619C">
        <w:rPr>
          <w:sz w:val="24"/>
          <w:szCs w:val="24"/>
        </w:rPr>
        <w:t xml:space="preserve">-forlængelse hos patienter, som fik terapeutiske doser af </w:t>
      </w:r>
      <w:proofErr w:type="spellStart"/>
      <w:r w:rsidRPr="0080619C">
        <w:rPr>
          <w:sz w:val="24"/>
          <w:szCs w:val="24"/>
        </w:rPr>
        <w:t>galantamin</w:t>
      </w:r>
      <w:proofErr w:type="spellEnd"/>
      <w:r w:rsidRPr="0080619C">
        <w:rPr>
          <w:sz w:val="24"/>
          <w:szCs w:val="24"/>
        </w:rPr>
        <w:t xml:space="preserve">, og af </w:t>
      </w:r>
      <w:proofErr w:type="spellStart"/>
      <w:r w:rsidRPr="0080619C">
        <w:rPr>
          <w:sz w:val="24"/>
          <w:szCs w:val="24"/>
        </w:rPr>
        <w:t>torsade</w:t>
      </w:r>
      <w:proofErr w:type="spellEnd"/>
      <w:r w:rsidRPr="0080619C">
        <w:rPr>
          <w:sz w:val="24"/>
          <w:szCs w:val="24"/>
        </w:rPr>
        <w:t xml:space="preserve"> de pointes i forbindelse med overdosering (se pkt. 4.9). </w:t>
      </w:r>
      <w:proofErr w:type="spellStart"/>
      <w:r w:rsidRPr="0080619C">
        <w:rPr>
          <w:sz w:val="24"/>
          <w:szCs w:val="24"/>
        </w:rPr>
        <w:t>Galantamin</w:t>
      </w:r>
      <w:proofErr w:type="spellEnd"/>
      <w:r w:rsidRPr="0080619C">
        <w:rPr>
          <w:sz w:val="24"/>
          <w:szCs w:val="24"/>
        </w:rPr>
        <w:t xml:space="preserve"> skal derfor anvendes med forsigtighed hos patienter med forlængelse af </w:t>
      </w:r>
      <w:proofErr w:type="spellStart"/>
      <w:r w:rsidRPr="0080619C">
        <w:rPr>
          <w:sz w:val="24"/>
          <w:szCs w:val="24"/>
        </w:rPr>
        <w:t>QTc</w:t>
      </w:r>
      <w:proofErr w:type="spellEnd"/>
      <w:r w:rsidRPr="0080619C">
        <w:rPr>
          <w:sz w:val="24"/>
          <w:szCs w:val="24"/>
        </w:rPr>
        <w:t xml:space="preserve">-intervallet, hos patienter i behandling med lægemidler, der påvirker </w:t>
      </w:r>
      <w:proofErr w:type="spellStart"/>
      <w:r w:rsidRPr="0080619C">
        <w:rPr>
          <w:sz w:val="24"/>
          <w:szCs w:val="24"/>
        </w:rPr>
        <w:t>QTc</w:t>
      </w:r>
      <w:proofErr w:type="spellEnd"/>
      <w:r w:rsidRPr="0080619C">
        <w:rPr>
          <w:sz w:val="24"/>
          <w:szCs w:val="24"/>
        </w:rPr>
        <w:t>-intervallet, samt hos patienter med relevant præeksisterende hjertesygdom eller elektrolytforstyrrelse</w:t>
      </w:r>
      <w:r w:rsidR="00E74529" w:rsidRPr="0080619C">
        <w:rPr>
          <w:sz w:val="24"/>
          <w:szCs w:val="24"/>
        </w:rPr>
        <w:t>.</w:t>
      </w:r>
    </w:p>
    <w:p w:rsidR="00A8205B" w:rsidRPr="0080619C" w:rsidRDefault="00A8205B"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I en samlet analyse af placebo-kontrollerede studier med patienter med Alzheimers demens, som blev behandlet med </w:t>
      </w:r>
      <w:proofErr w:type="spellStart"/>
      <w:r w:rsidRPr="0080619C">
        <w:rPr>
          <w:sz w:val="24"/>
          <w:szCs w:val="24"/>
        </w:rPr>
        <w:t>galantamin</w:t>
      </w:r>
      <w:proofErr w:type="spellEnd"/>
      <w:r w:rsidRPr="0080619C">
        <w:rPr>
          <w:sz w:val="24"/>
          <w:szCs w:val="24"/>
        </w:rPr>
        <w:t xml:space="preserve">, blev der observeret en øget frekvens af visse </w:t>
      </w:r>
      <w:proofErr w:type="spellStart"/>
      <w:r w:rsidRPr="0080619C">
        <w:rPr>
          <w:sz w:val="24"/>
          <w:szCs w:val="24"/>
        </w:rPr>
        <w:t>cardiovaskulære</w:t>
      </w:r>
      <w:proofErr w:type="spellEnd"/>
      <w:r w:rsidRPr="0080619C">
        <w:rPr>
          <w:sz w:val="24"/>
          <w:szCs w:val="24"/>
        </w:rPr>
        <w:t xml:space="preserve"> bivirkninger (se pkt. 4.8). </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Lidelser i mave- tarmkanalen</w:t>
      </w:r>
    </w:p>
    <w:p w:rsidR="005B428A" w:rsidRPr="0080619C" w:rsidRDefault="005B428A" w:rsidP="005B428A">
      <w:pPr>
        <w:ind w:left="851"/>
        <w:rPr>
          <w:sz w:val="24"/>
          <w:szCs w:val="24"/>
        </w:rPr>
      </w:pPr>
      <w:r w:rsidRPr="0080619C">
        <w:rPr>
          <w:sz w:val="24"/>
          <w:szCs w:val="24"/>
        </w:rPr>
        <w:t xml:space="preserve">Patienter med øget risiko for udvikling af </w:t>
      </w:r>
      <w:proofErr w:type="spellStart"/>
      <w:r w:rsidRPr="0080619C">
        <w:rPr>
          <w:sz w:val="24"/>
          <w:szCs w:val="24"/>
        </w:rPr>
        <w:t>peptisk</w:t>
      </w:r>
      <w:proofErr w:type="spellEnd"/>
      <w:r w:rsidRPr="0080619C">
        <w:rPr>
          <w:sz w:val="24"/>
          <w:szCs w:val="24"/>
        </w:rPr>
        <w:t xml:space="preserve"> ulcus, f.eks. patienter med kendt ulcus-sygdom, eller som er prædisponeret for disse tilstande, inklusiv</w:t>
      </w:r>
      <w:r w:rsidR="00E74529" w:rsidRPr="0080619C">
        <w:rPr>
          <w:sz w:val="24"/>
          <w:szCs w:val="24"/>
        </w:rPr>
        <w:t>e</w:t>
      </w:r>
      <w:r w:rsidRPr="0080619C">
        <w:rPr>
          <w:sz w:val="24"/>
          <w:szCs w:val="24"/>
        </w:rPr>
        <w:t xml:space="preserve"> patienter som er i samtidig behandling med non-</w:t>
      </w:r>
      <w:proofErr w:type="spellStart"/>
      <w:r w:rsidRPr="0080619C">
        <w:rPr>
          <w:sz w:val="24"/>
          <w:szCs w:val="24"/>
        </w:rPr>
        <w:t>steroide</w:t>
      </w:r>
      <w:proofErr w:type="spellEnd"/>
      <w:r w:rsidRPr="0080619C">
        <w:rPr>
          <w:sz w:val="24"/>
          <w:szCs w:val="24"/>
        </w:rPr>
        <w:t xml:space="preserve"> antiinflammatoriske lægemidler (NSAID), bør </w:t>
      </w:r>
      <w:r w:rsidRPr="0080619C">
        <w:rPr>
          <w:sz w:val="24"/>
          <w:szCs w:val="24"/>
        </w:rPr>
        <w:lastRenderedPageBreak/>
        <w:t xml:space="preserve">overvåges for symptomer. Anvendelsen af </w:t>
      </w:r>
      <w:proofErr w:type="spellStart"/>
      <w:r w:rsidRPr="0080619C">
        <w:rPr>
          <w:sz w:val="24"/>
          <w:szCs w:val="24"/>
        </w:rPr>
        <w:t>galantamin</w:t>
      </w:r>
      <w:proofErr w:type="spellEnd"/>
      <w:r w:rsidRPr="0080619C">
        <w:rPr>
          <w:sz w:val="24"/>
          <w:szCs w:val="24"/>
        </w:rPr>
        <w:t xml:space="preserve"> anbefales ikke til patienter med </w:t>
      </w:r>
      <w:proofErr w:type="spellStart"/>
      <w:r w:rsidRPr="0080619C">
        <w:rPr>
          <w:sz w:val="24"/>
          <w:szCs w:val="24"/>
        </w:rPr>
        <w:t>gastro-intestinal</w:t>
      </w:r>
      <w:proofErr w:type="spellEnd"/>
      <w:r w:rsidRPr="0080619C">
        <w:rPr>
          <w:sz w:val="24"/>
          <w:szCs w:val="24"/>
        </w:rPr>
        <w:t xml:space="preserve"> obstruktion eller en nylig </w:t>
      </w:r>
      <w:proofErr w:type="spellStart"/>
      <w:r w:rsidRPr="0080619C">
        <w:rPr>
          <w:sz w:val="24"/>
          <w:szCs w:val="24"/>
        </w:rPr>
        <w:t>gastro-intestinal</w:t>
      </w:r>
      <w:proofErr w:type="spellEnd"/>
      <w:r w:rsidRPr="0080619C">
        <w:rPr>
          <w:sz w:val="24"/>
          <w:szCs w:val="24"/>
        </w:rPr>
        <w:t xml:space="preserve"> operation.</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Lidelser i nervesystemet</w:t>
      </w:r>
    </w:p>
    <w:p w:rsidR="005B428A" w:rsidRPr="0080619C" w:rsidRDefault="005B428A" w:rsidP="005B428A">
      <w:pPr>
        <w:ind w:left="851"/>
        <w:rPr>
          <w:sz w:val="24"/>
          <w:szCs w:val="24"/>
        </w:rPr>
      </w:pPr>
      <w:r w:rsidRPr="0080619C">
        <w:rPr>
          <w:sz w:val="24"/>
          <w:szCs w:val="24"/>
        </w:rPr>
        <w:t xml:space="preserve">Krampeanfald er blevet rapporteret ved brug af </w:t>
      </w:r>
      <w:proofErr w:type="spellStart"/>
      <w:r w:rsidRPr="0080619C">
        <w:rPr>
          <w:sz w:val="24"/>
          <w:szCs w:val="24"/>
        </w:rPr>
        <w:t>galantamin</w:t>
      </w:r>
      <w:proofErr w:type="spellEnd"/>
      <w:r w:rsidRPr="0080619C">
        <w:rPr>
          <w:sz w:val="24"/>
          <w:szCs w:val="24"/>
        </w:rPr>
        <w:t xml:space="preserve"> (se pkt. 4.8). </w:t>
      </w:r>
      <w:proofErr w:type="spellStart"/>
      <w:r w:rsidRPr="0080619C">
        <w:rPr>
          <w:sz w:val="24"/>
          <w:szCs w:val="24"/>
        </w:rPr>
        <w:t>Anfaldsaktiviteten</w:t>
      </w:r>
      <w:proofErr w:type="spellEnd"/>
      <w:r w:rsidRPr="0080619C">
        <w:rPr>
          <w:sz w:val="24"/>
          <w:szCs w:val="24"/>
        </w:rPr>
        <w:t xml:space="preserve"> kan også være en manifestation af Alzheimers sygdom.</w:t>
      </w:r>
      <w:r w:rsidR="00DF67A6" w:rsidRPr="0080619C">
        <w:rPr>
          <w:sz w:val="24"/>
          <w:szCs w:val="24"/>
        </w:rPr>
        <w:t xml:space="preserve"> </w:t>
      </w:r>
      <w:r w:rsidRPr="0080619C">
        <w:rPr>
          <w:sz w:val="24"/>
          <w:szCs w:val="24"/>
        </w:rPr>
        <w:t xml:space="preserve">I sjældne tilfælde kan øgning af </w:t>
      </w:r>
      <w:proofErr w:type="spellStart"/>
      <w:r w:rsidRPr="0080619C">
        <w:rPr>
          <w:sz w:val="24"/>
          <w:szCs w:val="24"/>
        </w:rPr>
        <w:t>cholinerg</w:t>
      </w:r>
      <w:proofErr w:type="spellEnd"/>
      <w:r w:rsidRPr="0080619C">
        <w:rPr>
          <w:sz w:val="24"/>
          <w:szCs w:val="24"/>
        </w:rPr>
        <w:t xml:space="preserve"> </w:t>
      </w:r>
      <w:proofErr w:type="spellStart"/>
      <w:r w:rsidRPr="0080619C">
        <w:rPr>
          <w:sz w:val="24"/>
          <w:szCs w:val="24"/>
        </w:rPr>
        <w:t>tonus</w:t>
      </w:r>
      <w:proofErr w:type="spellEnd"/>
      <w:r w:rsidRPr="0080619C">
        <w:rPr>
          <w:sz w:val="24"/>
          <w:szCs w:val="24"/>
        </w:rPr>
        <w:t xml:space="preserve"> forværre </w:t>
      </w:r>
      <w:proofErr w:type="spellStart"/>
      <w:r w:rsidRPr="0080619C">
        <w:rPr>
          <w:sz w:val="24"/>
          <w:szCs w:val="24"/>
        </w:rPr>
        <w:t>parkinson</w:t>
      </w:r>
      <w:proofErr w:type="spellEnd"/>
      <w:r w:rsidRPr="0080619C">
        <w:rPr>
          <w:sz w:val="24"/>
          <w:szCs w:val="24"/>
        </w:rPr>
        <w:t xml:space="preserve">-symptomer. </w:t>
      </w:r>
    </w:p>
    <w:p w:rsidR="005B428A" w:rsidRPr="0080619C" w:rsidRDefault="005B428A" w:rsidP="005B428A">
      <w:pPr>
        <w:ind w:left="851"/>
        <w:rPr>
          <w:sz w:val="24"/>
          <w:szCs w:val="24"/>
        </w:rPr>
      </w:pPr>
      <w:r w:rsidRPr="0080619C">
        <w:rPr>
          <w:sz w:val="24"/>
          <w:szCs w:val="24"/>
        </w:rPr>
        <w:t xml:space="preserve">I en samlet analyse af placebo-kontrollerede studier med patienter med Alzheimers demens, som blev behandlet med </w:t>
      </w:r>
      <w:proofErr w:type="spellStart"/>
      <w:r w:rsidRPr="0080619C">
        <w:rPr>
          <w:sz w:val="24"/>
          <w:szCs w:val="24"/>
        </w:rPr>
        <w:t>galantamin</w:t>
      </w:r>
      <w:proofErr w:type="spellEnd"/>
      <w:r w:rsidRPr="0080619C">
        <w:rPr>
          <w:sz w:val="24"/>
          <w:szCs w:val="24"/>
        </w:rPr>
        <w:t xml:space="preserve">, blev der i ikke-almindelige tilfælde observeret </w:t>
      </w:r>
      <w:proofErr w:type="spellStart"/>
      <w:r w:rsidRPr="0080619C">
        <w:rPr>
          <w:sz w:val="24"/>
          <w:szCs w:val="24"/>
        </w:rPr>
        <w:t>cerebrovaskulære</w:t>
      </w:r>
      <w:proofErr w:type="spellEnd"/>
      <w:r w:rsidRPr="0080619C">
        <w:rPr>
          <w:sz w:val="24"/>
          <w:szCs w:val="24"/>
        </w:rPr>
        <w:t xml:space="preserve"> tilfælde (se pkt. 4.8). Dette bør tages i betragtning, når </w:t>
      </w:r>
      <w:proofErr w:type="spellStart"/>
      <w:r w:rsidRPr="0080619C">
        <w:rPr>
          <w:sz w:val="24"/>
          <w:szCs w:val="24"/>
        </w:rPr>
        <w:t>galantamin</w:t>
      </w:r>
      <w:proofErr w:type="spellEnd"/>
      <w:r w:rsidRPr="0080619C">
        <w:rPr>
          <w:sz w:val="24"/>
          <w:szCs w:val="24"/>
        </w:rPr>
        <w:t xml:space="preserve"> ordineres til patienter med </w:t>
      </w:r>
      <w:proofErr w:type="spellStart"/>
      <w:r w:rsidRPr="0080619C">
        <w:rPr>
          <w:sz w:val="24"/>
          <w:szCs w:val="24"/>
        </w:rPr>
        <w:t>cerebrovaskulær</w:t>
      </w:r>
      <w:proofErr w:type="spellEnd"/>
      <w:r w:rsidRPr="0080619C">
        <w:rPr>
          <w:sz w:val="24"/>
          <w:szCs w:val="24"/>
        </w:rPr>
        <w:t xml:space="preserve"> sygdom.</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 xml:space="preserve">Lidelser i luftveje, thorax og </w:t>
      </w:r>
      <w:proofErr w:type="spellStart"/>
      <w:r w:rsidRPr="0080619C">
        <w:rPr>
          <w:i/>
          <w:sz w:val="24"/>
          <w:szCs w:val="24"/>
        </w:rPr>
        <w:t>mediastinum</w:t>
      </w:r>
      <w:proofErr w:type="spellEnd"/>
    </w:p>
    <w:p w:rsidR="005B428A" w:rsidRPr="0080619C" w:rsidRDefault="005B428A" w:rsidP="005B428A">
      <w:pPr>
        <w:ind w:left="851"/>
        <w:rPr>
          <w:sz w:val="24"/>
          <w:szCs w:val="24"/>
        </w:rPr>
      </w:pPr>
      <w:proofErr w:type="spellStart"/>
      <w:r w:rsidRPr="0080619C">
        <w:rPr>
          <w:sz w:val="24"/>
          <w:szCs w:val="24"/>
        </w:rPr>
        <w:t>Cholinerge</w:t>
      </w:r>
      <w:proofErr w:type="spellEnd"/>
      <w:r w:rsidRPr="0080619C">
        <w:rPr>
          <w:sz w:val="24"/>
          <w:szCs w:val="24"/>
        </w:rPr>
        <w:t xml:space="preserve"> lægemidler bør ordineres med forsigtighed til patienter med kendt alvorlig astma eller obstruktiv </w:t>
      </w:r>
      <w:proofErr w:type="spellStart"/>
      <w:r w:rsidRPr="0080619C">
        <w:rPr>
          <w:sz w:val="24"/>
          <w:szCs w:val="24"/>
        </w:rPr>
        <w:t>pulmonal</w:t>
      </w:r>
      <w:proofErr w:type="spellEnd"/>
      <w:r w:rsidRPr="0080619C">
        <w:rPr>
          <w:sz w:val="24"/>
          <w:szCs w:val="24"/>
        </w:rPr>
        <w:t xml:space="preserve"> sygdom eller aktive lungeinfektioner (f.eks. pneumoni). </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Lidelser i nyre og urinveje</w:t>
      </w:r>
    </w:p>
    <w:p w:rsidR="005B428A" w:rsidRPr="0080619C" w:rsidRDefault="005B428A" w:rsidP="005B428A">
      <w:pPr>
        <w:ind w:left="851"/>
        <w:rPr>
          <w:sz w:val="24"/>
          <w:szCs w:val="24"/>
        </w:rPr>
      </w:pPr>
      <w:r w:rsidRPr="0080619C">
        <w:rPr>
          <w:sz w:val="24"/>
          <w:szCs w:val="24"/>
        </w:rPr>
        <w:t xml:space="preserve">Anvendelsen af </w:t>
      </w:r>
      <w:proofErr w:type="spellStart"/>
      <w:r w:rsidRPr="0080619C">
        <w:rPr>
          <w:sz w:val="24"/>
          <w:szCs w:val="24"/>
        </w:rPr>
        <w:t>galantamin</w:t>
      </w:r>
      <w:proofErr w:type="spellEnd"/>
      <w:r w:rsidRPr="0080619C">
        <w:rPr>
          <w:sz w:val="24"/>
          <w:szCs w:val="24"/>
        </w:rPr>
        <w:t xml:space="preserve"> anbefales ikke til patienter med urinvejsobstruktion eller en nylig blæreoperation.</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Kirurgiske og medicinske procedure</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kan, ligesom andre </w:t>
      </w:r>
      <w:proofErr w:type="spellStart"/>
      <w:r w:rsidRPr="0080619C">
        <w:rPr>
          <w:sz w:val="24"/>
          <w:szCs w:val="24"/>
        </w:rPr>
        <w:t>cholinerge</w:t>
      </w:r>
      <w:proofErr w:type="spellEnd"/>
      <w:r w:rsidRPr="0080619C">
        <w:rPr>
          <w:sz w:val="24"/>
          <w:szCs w:val="24"/>
        </w:rPr>
        <w:t xml:space="preserve"> lægemidler, forstærke muskelafslapning af </w:t>
      </w:r>
      <w:proofErr w:type="spellStart"/>
      <w:r w:rsidRPr="0080619C">
        <w:rPr>
          <w:sz w:val="24"/>
          <w:szCs w:val="24"/>
        </w:rPr>
        <w:t>succinylcholin</w:t>
      </w:r>
      <w:proofErr w:type="spellEnd"/>
      <w:r w:rsidRPr="0080619C">
        <w:rPr>
          <w:sz w:val="24"/>
          <w:szCs w:val="24"/>
        </w:rPr>
        <w:t xml:space="preserve">-typen under bedøvelse, især i tilfælde af </w:t>
      </w:r>
      <w:proofErr w:type="spellStart"/>
      <w:r w:rsidRPr="0080619C">
        <w:rPr>
          <w:sz w:val="24"/>
          <w:szCs w:val="24"/>
        </w:rPr>
        <w:t>pseudocholinesterase</w:t>
      </w:r>
      <w:proofErr w:type="spellEnd"/>
      <w:r w:rsidRPr="0080619C">
        <w:rPr>
          <w:sz w:val="24"/>
          <w:szCs w:val="24"/>
        </w:rPr>
        <w:t>-mangel.</w:t>
      </w:r>
    </w:p>
    <w:p w:rsidR="005B428A" w:rsidRPr="0080619C" w:rsidRDefault="005B428A" w:rsidP="005B428A">
      <w:pPr>
        <w:ind w:left="851"/>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4.5</w:t>
      </w:r>
      <w:r w:rsidRPr="0080619C">
        <w:rPr>
          <w:b/>
          <w:sz w:val="24"/>
          <w:szCs w:val="24"/>
        </w:rPr>
        <w:tab/>
        <w:t>Interaktion med andre lægemidler og andre former for interaktion</w:t>
      </w:r>
    </w:p>
    <w:p w:rsidR="00A8205B" w:rsidRPr="0080619C" w:rsidRDefault="00A8205B" w:rsidP="005B428A">
      <w:pPr>
        <w:ind w:left="851"/>
        <w:rPr>
          <w:sz w:val="24"/>
          <w:szCs w:val="24"/>
          <w:u w:val="single"/>
        </w:rPr>
      </w:pPr>
    </w:p>
    <w:p w:rsidR="005B428A" w:rsidRPr="0080619C" w:rsidRDefault="005B428A" w:rsidP="005B428A">
      <w:pPr>
        <w:ind w:left="851"/>
        <w:rPr>
          <w:i/>
          <w:sz w:val="24"/>
          <w:szCs w:val="24"/>
        </w:rPr>
      </w:pPr>
      <w:proofErr w:type="spellStart"/>
      <w:r w:rsidRPr="0080619C">
        <w:rPr>
          <w:i/>
          <w:sz w:val="24"/>
          <w:szCs w:val="24"/>
        </w:rPr>
        <w:t>Farmakodynamiske</w:t>
      </w:r>
      <w:proofErr w:type="spellEnd"/>
      <w:r w:rsidRPr="0080619C">
        <w:rPr>
          <w:i/>
          <w:sz w:val="24"/>
          <w:szCs w:val="24"/>
        </w:rPr>
        <w:t xml:space="preserve"> interaktioner</w:t>
      </w:r>
    </w:p>
    <w:p w:rsidR="005B428A" w:rsidRPr="0080619C" w:rsidRDefault="005B428A" w:rsidP="005B428A">
      <w:pPr>
        <w:ind w:left="851"/>
        <w:rPr>
          <w:sz w:val="24"/>
          <w:szCs w:val="24"/>
        </w:rPr>
      </w:pPr>
      <w:r w:rsidRPr="0080619C">
        <w:rPr>
          <w:sz w:val="24"/>
          <w:szCs w:val="24"/>
        </w:rPr>
        <w:t xml:space="preserve">På grund af </w:t>
      </w:r>
      <w:proofErr w:type="spellStart"/>
      <w:r w:rsidRPr="0080619C">
        <w:rPr>
          <w:sz w:val="24"/>
          <w:szCs w:val="24"/>
        </w:rPr>
        <w:t>galantamins</w:t>
      </w:r>
      <w:proofErr w:type="spellEnd"/>
      <w:r w:rsidRPr="0080619C">
        <w:rPr>
          <w:sz w:val="24"/>
          <w:szCs w:val="24"/>
        </w:rPr>
        <w:t xml:space="preserve"> virkemåde bør det ikke gives sammen med andre </w:t>
      </w:r>
      <w:proofErr w:type="spellStart"/>
      <w:r w:rsidRPr="0080619C">
        <w:rPr>
          <w:sz w:val="24"/>
          <w:szCs w:val="24"/>
        </w:rPr>
        <w:t>cholinerge</w:t>
      </w:r>
      <w:proofErr w:type="spellEnd"/>
      <w:r w:rsidRPr="0080619C">
        <w:rPr>
          <w:sz w:val="24"/>
          <w:szCs w:val="24"/>
        </w:rPr>
        <w:t xml:space="preserve"> lægemidler (f.eks. </w:t>
      </w:r>
      <w:proofErr w:type="spellStart"/>
      <w:r w:rsidRPr="0080619C">
        <w:rPr>
          <w:sz w:val="24"/>
          <w:szCs w:val="24"/>
        </w:rPr>
        <w:t>ambenonium</w:t>
      </w:r>
      <w:proofErr w:type="spellEnd"/>
      <w:r w:rsidRPr="0080619C">
        <w:rPr>
          <w:sz w:val="24"/>
          <w:szCs w:val="24"/>
        </w:rPr>
        <w:t xml:space="preserve">, </w:t>
      </w:r>
      <w:proofErr w:type="spellStart"/>
      <w:r w:rsidRPr="0080619C">
        <w:rPr>
          <w:sz w:val="24"/>
          <w:szCs w:val="24"/>
        </w:rPr>
        <w:t>donepezil</w:t>
      </w:r>
      <w:proofErr w:type="spellEnd"/>
      <w:r w:rsidRPr="0080619C">
        <w:rPr>
          <w:sz w:val="24"/>
          <w:szCs w:val="24"/>
        </w:rPr>
        <w:t xml:space="preserve">, </w:t>
      </w:r>
      <w:proofErr w:type="spellStart"/>
      <w:r w:rsidRPr="0080619C">
        <w:rPr>
          <w:sz w:val="24"/>
          <w:szCs w:val="24"/>
        </w:rPr>
        <w:t>neostigmin</w:t>
      </w:r>
      <w:proofErr w:type="spellEnd"/>
      <w:r w:rsidRPr="0080619C">
        <w:rPr>
          <w:sz w:val="24"/>
          <w:szCs w:val="24"/>
        </w:rPr>
        <w:t xml:space="preserve">, </w:t>
      </w:r>
      <w:proofErr w:type="spellStart"/>
      <w:r w:rsidRPr="0080619C">
        <w:rPr>
          <w:sz w:val="24"/>
          <w:szCs w:val="24"/>
        </w:rPr>
        <w:t>pyridostigmin</w:t>
      </w:r>
      <w:proofErr w:type="spellEnd"/>
      <w:r w:rsidRPr="0080619C">
        <w:rPr>
          <w:sz w:val="24"/>
          <w:szCs w:val="24"/>
        </w:rPr>
        <w:t xml:space="preserve">, </w:t>
      </w:r>
      <w:proofErr w:type="spellStart"/>
      <w:r w:rsidRPr="0080619C">
        <w:rPr>
          <w:sz w:val="24"/>
          <w:szCs w:val="24"/>
        </w:rPr>
        <w:t>rivastigimin</w:t>
      </w:r>
      <w:proofErr w:type="spellEnd"/>
      <w:r w:rsidRPr="0080619C">
        <w:rPr>
          <w:sz w:val="24"/>
          <w:szCs w:val="24"/>
        </w:rPr>
        <w:t xml:space="preserve"> eller systemisk indgivet </w:t>
      </w:r>
      <w:proofErr w:type="spellStart"/>
      <w:r w:rsidRPr="0080619C">
        <w:rPr>
          <w:sz w:val="24"/>
          <w:szCs w:val="24"/>
        </w:rPr>
        <w:t>pilocarpin</w:t>
      </w:r>
      <w:proofErr w:type="spellEnd"/>
      <w:r w:rsidRPr="0080619C">
        <w:rPr>
          <w:sz w:val="24"/>
          <w:szCs w:val="24"/>
        </w:rPr>
        <w:t xml:space="preserve">). </w:t>
      </w:r>
      <w:proofErr w:type="spellStart"/>
      <w:r w:rsidRPr="0080619C">
        <w:rPr>
          <w:sz w:val="24"/>
          <w:szCs w:val="24"/>
        </w:rPr>
        <w:t>Galantamin</w:t>
      </w:r>
      <w:proofErr w:type="spellEnd"/>
      <w:r w:rsidRPr="0080619C">
        <w:rPr>
          <w:sz w:val="24"/>
          <w:szCs w:val="24"/>
        </w:rPr>
        <w:t xml:space="preserve"> kan muligvis </w:t>
      </w:r>
      <w:proofErr w:type="spellStart"/>
      <w:r w:rsidRPr="0080619C">
        <w:rPr>
          <w:sz w:val="24"/>
          <w:szCs w:val="24"/>
        </w:rPr>
        <w:t>antagonisere</w:t>
      </w:r>
      <w:proofErr w:type="spellEnd"/>
      <w:r w:rsidRPr="0080619C">
        <w:rPr>
          <w:sz w:val="24"/>
          <w:szCs w:val="24"/>
        </w:rPr>
        <w:t xml:space="preserve"> virkningen af </w:t>
      </w:r>
      <w:proofErr w:type="spellStart"/>
      <w:r w:rsidRPr="0080619C">
        <w:rPr>
          <w:sz w:val="24"/>
          <w:szCs w:val="24"/>
        </w:rPr>
        <w:t>anticholinerge</w:t>
      </w:r>
      <w:proofErr w:type="spellEnd"/>
      <w:r w:rsidRPr="0080619C">
        <w:rPr>
          <w:sz w:val="24"/>
          <w:szCs w:val="24"/>
        </w:rPr>
        <w:t xml:space="preserve"> lægemidler. Hvis </w:t>
      </w:r>
      <w:proofErr w:type="spellStart"/>
      <w:r w:rsidRPr="0080619C">
        <w:rPr>
          <w:sz w:val="24"/>
          <w:szCs w:val="24"/>
        </w:rPr>
        <w:t>anticholinerge</w:t>
      </w:r>
      <w:proofErr w:type="spellEnd"/>
      <w:r w:rsidRPr="0080619C">
        <w:rPr>
          <w:sz w:val="24"/>
          <w:szCs w:val="24"/>
        </w:rPr>
        <w:t xml:space="preserve"> lægemidler som f.eks. atropin seponeres pludseligt, er der er risiko for, at </w:t>
      </w:r>
      <w:proofErr w:type="spellStart"/>
      <w:r w:rsidRPr="0080619C">
        <w:rPr>
          <w:sz w:val="24"/>
          <w:szCs w:val="24"/>
        </w:rPr>
        <w:t>galantamins</w:t>
      </w:r>
      <w:proofErr w:type="spellEnd"/>
      <w:r w:rsidRPr="0080619C">
        <w:rPr>
          <w:sz w:val="24"/>
          <w:szCs w:val="24"/>
        </w:rPr>
        <w:t xml:space="preserve"> virkning kan forstærkes. Som forventet ved </w:t>
      </w:r>
      <w:proofErr w:type="spellStart"/>
      <w:r w:rsidRPr="0080619C">
        <w:rPr>
          <w:sz w:val="24"/>
          <w:szCs w:val="24"/>
        </w:rPr>
        <w:t>cholinerge</w:t>
      </w:r>
      <w:proofErr w:type="spellEnd"/>
      <w:r w:rsidRPr="0080619C">
        <w:rPr>
          <w:sz w:val="24"/>
          <w:szCs w:val="24"/>
        </w:rPr>
        <w:t xml:space="preserve"> lægemidler er en </w:t>
      </w:r>
      <w:proofErr w:type="spellStart"/>
      <w:r w:rsidRPr="0080619C">
        <w:rPr>
          <w:sz w:val="24"/>
          <w:szCs w:val="24"/>
        </w:rPr>
        <w:t>farmakodynamisk</w:t>
      </w:r>
      <w:proofErr w:type="spellEnd"/>
      <w:r w:rsidRPr="0080619C">
        <w:rPr>
          <w:sz w:val="24"/>
          <w:szCs w:val="24"/>
        </w:rPr>
        <w:t xml:space="preserve"> interaktion mulig med præparater, som nedsætter hjertefrekvensen betydeligt, f.eks. </w:t>
      </w:r>
      <w:proofErr w:type="spellStart"/>
      <w:r w:rsidRPr="0080619C">
        <w:rPr>
          <w:sz w:val="24"/>
          <w:szCs w:val="24"/>
        </w:rPr>
        <w:t>digoxin</w:t>
      </w:r>
      <w:proofErr w:type="spellEnd"/>
      <w:r w:rsidRPr="0080619C">
        <w:rPr>
          <w:sz w:val="24"/>
          <w:szCs w:val="24"/>
        </w:rPr>
        <w:t>, betablokkere, visse kalciumkanal</w:t>
      </w:r>
      <w:r w:rsidR="00D47ED9">
        <w:rPr>
          <w:sz w:val="24"/>
          <w:szCs w:val="24"/>
        </w:rPr>
        <w:softHyphen/>
      </w:r>
      <w:r w:rsidRPr="0080619C">
        <w:rPr>
          <w:sz w:val="24"/>
          <w:szCs w:val="24"/>
        </w:rPr>
        <w:t xml:space="preserve">blokkere og </w:t>
      </w:r>
      <w:proofErr w:type="spellStart"/>
      <w:r w:rsidRPr="0080619C">
        <w:rPr>
          <w:sz w:val="24"/>
          <w:szCs w:val="24"/>
        </w:rPr>
        <w:t>amiodaron</w:t>
      </w:r>
      <w:proofErr w:type="spellEnd"/>
      <w:r w:rsidRPr="0080619C">
        <w:rPr>
          <w:sz w:val="24"/>
          <w:szCs w:val="24"/>
        </w:rPr>
        <w:t xml:space="preserve">. Der skal udvises forsigtighed med lægemidler, som kan forårsage </w:t>
      </w:r>
      <w:proofErr w:type="spellStart"/>
      <w:r w:rsidRPr="0080619C">
        <w:rPr>
          <w:sz w:val="24"/>
          <w:szCs w:val="24"/>
        </w:rPr>
        <w:t>torsades</w:t>
      </w:r>
      <w:proofErr w:type="spellEnd"/>
      <w:r w:rsidRPr="0080619C">
        <w:rPr>
          <w:sz w:val="24"/>
          <w:szCs w:val="24"/>
        </w:rPr>
        <w:t xml:space="preserve"> de pointes. I sådanne tilfælde skal EKG overvejes.</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kan, ligesom andre </w:t>
      </w:r>
      <w:proofErr w:type="spellStart"/>
      <w:r w:rsidRPr="0080619C">
        <w:rPr>
          <w:sz w:val="24"/>
          <w:szCs w:val="24"/>
        </w:rPr>
        <w:t>cholinerge</w:t>
      </w:r>
      <w:proofErr w:type="spellEnd"/>
      <w:r w:rsidRPr="0080619C">
        <w:rPr>
          <w:sz w:val="24"/>
          <w:szCs w:val="24"/>
        </w:rPr>
        <w:t xml:space="preserve"> lægemidler, forstærke muskelafslapning af </w:t>
      </w:r>
      <w:proofErr w:type="spellStart"/>
      <w:r w:rsidRPr="0080619C">
        <w:rPr>
          <w:sz w:val="24"/>
          <w:szCs w:val="24"/>
        </w:rPr>
        <w:t>succinylcholin</w:t>
      </w:r>
      <w:proofErr w:type="spellEnd"/>
      <w:r w:rsidRPr="0080619C">
        <w:rPr>
          <w:sz w:val="24"/>
          <w:szCs w:val="24"/>
        </w:rPr>
        <w:t xml:space="preserve">-typen under bedøvelse især ved </w:t>
      </w:r>
      <w:proofErr w:type="spellStart"/>
      <w:r w:rsidRPr="0080619C">
        <w:rPr>
          <w:sz w:val="24"/>
          <w:szCs w:val="24"/>
        </w:rPr>
        <w:t>pseudocholinesterase</w:t>
      </w:r>
      <w:proofErr w:type="spellEnd"/>
      <w:r w:rsidRPr="0080619C">
        <w:rPr>
          <w:sz w:val="24"/>
          <w:szCs w:val="24"/>
        </w:rPr>
        <w:t>-mangel.</w:t>
      </w:r>
    </w:p>
    <w:p w:rsidR="005B428A" w:rsidRPr="0080619C" w:rsidRDefault="005B428A" w:rsidP="005B428A">
      <w:pPr>
        <w:ind w:left="851"/>
        <w:rPr>
          <w:sz w:val="24"/>
          <w:szCs w:val="24"/>
        </w:rPr>
      </w:pPr>
    </w:p>
    <w:p w:rsidR="005B428A" w:rsidRPr="0080619C" w:rsidRDefault="005B428A" w:rsidP="005B428A">
      <w:pPr>
        <w:ind w:left="851"/>
        <w:rPr>
          <w:i/>
          <w:sz w:val="24"/>
          <w:szCs w:val="24"/>
        </w:rPr>
      </w:pPr>
      <w:proofErr w:type="spellStart"/>
      <w:r w:rsidRPr="0080619C">
        <w:rPr>
          <w:i/>
          <w:sz w:val="24"/>
          <w:szCs w:val="24"/>
        </w:rPr>
        <w:t>Farmakokinetiske</w:t>
      </w:r>
      <w:proofErr w:type="spellEnd"/>
      <w:r w:rsidRPr="0080619C">
        <w:rPr>
          <w:i/>
          <w:sz w:val="24"/>
          <w:szCs w:val="24"/>
        </w:rPr>
        <w:t xml:space="preserve"> interaktioner</w:t>
      </w:r>
    </w:p>
    <w:p w:rsidR="005B428A" w:rsidRPr="0080619C" w:rsidRDefault="005B428A" w:rsidP="005B428A">
      <w:pPr>
        <w:ind w:left="851"/>
        <w:rPr>
          <w:sz w:val="24"/>
          <w:szCs w:val="24"/>
        </w:rPr>
      </w:pPr>
      <w:proofErr w:type="spellStart"/>
      <w:r w:rsidRPr="0080619C">
        <w:rPr>
          <w:sz w:val="24"/>
          <w:szCs w:val="24"/>
        </w:rPr>
        <w:t>Multi</w:t>
      </w:r>
      <w:proofErr w:type="spellEnd"/>
      <w:r w:rsidRPr="0080619C">
        <w:rPr>
          <w:sz w:val="24"/>
          <w:szCs w:val="24"/>
        </w:rPr>
        <w:t xml:space="preserve">-metaboliske processer og </w:t>
      </w:r>
      <w:proofErr w:type="spellStart"/>
      <w:r w:rsidRPr="0080619C">
        <w:rPr>
          <w:sz w:val="24"/>
          <w:szCs w:val="24"/>
        </w:rPr>
        <w:t>renal</w:t>
      </w:r>
      <w:proofErr w:type="spellEnd"/>
      <w:r w:rsidRPr="0080619C">
        <w:rPr>
          <w:sz w:val="24"/>
          <w:szCs w:val="24"/>
        </w:rPr>
        <w:t xml:space="preserve"> udskillelse er involveret i eliminationen af </w:t>
      </w:r>
      <w:proofErr w:type="spellStart"/>
      <w:r w:rsidRPr="0080619C">
        <w:rPr>
          <w:sz w:val="24"/>
          <w:szCs w:val="24"/>
        </w:rPr>
        <w:t>galantamin</w:t>
      </w:r>
      <w:proofErr w:type="spellEnd"/>
      <w:r w:rsidRPr="0080619C">
        <w:rPr>
          <w:sz w:val="24"/>
          <w:szCs w:val="24"/>
        </w:rPr>
        <w:t>. Risikoen for klinisk relevante interaktioner er lav. Imidlertid kan forekomst af signifikante interaktioner være klinisk relevant i enkeltstående tilfælde.</w:t>
      </w:r>
    </w:p>
    <w:p w:rsidR="005B428A" w:rsidRPr="0080619C" w:rsidRDefault="005B428A" w:rsidP="005B428A">
      <w:pPr>
        <w:ind w:left="851"/>
        <w:rPr>
          <w:sz w:val="24"/>
          <w:szCs w:val="24"/>
        </w:rPr>
      </w:pPr>
      <w:r w:rsidRPr="0080619C">
        <w:rPr>
          <w:sz w:val="24"/>
          <w:szCs w:val="24"/>
        </w:rPr>
        <w:t xml:space="preserve">Samtidig indtagelse af føde nedsætter </w:t>
      </w:r>
      <w:proofErr w:type="spellStart"/>
      <w:r w:rsidRPr="0080619C">
        <w:rPr>
          <w:sz w:val="24"/>
          <w:szCs w:val="24"/>
        </w:rPr>
        <w:t>galantamins</w:t>
      </w:r>
      <w:proofErr w:type="spellEnd"/>
      <w:r w:rsidRPr="0080619C">
        <w:rPr>
          <w:sz w:val="24"/>
          <w:szCs w:val="24"/>
        </w:rPr>
        <w:t xml:space="preserve"> absorptionshastighed, men påvirker ikke absorptionens udstrækning. Det anbefales, at </w:t>
      </w: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Stada</w:t>
      </w:r>
      <w:proofErr w:type="spellEnd"/>
      <w:r w:rsidRPr="0080619C">
        <w:rPr>
          <w:sz w:val="24"/>
          <w:szCs w:val="24"/>
        </w:rPr>
        <w:t xml:space="preserve">" indtages sammen med føde for at minimere de </w:t>
      </w:r>
      <w:proofErr w:type="spellStart"/>
      <w:r w:rsidRPr="0080619C">
        <w:rPr>
          <w:sz w:val="24"/>
          <w:szCs w:val="24"/>
        </w:rPr>
        <w:t>cholinerge</w:t>
      </w:r>
      <w:proofErr w:type="spellEnd"/>
      <w:r w:rsidRPr="0080619C">
        <w:rPr>
          <w:sz w:val="24"/>
          <w:szCs w:val="24"/>
        </w:rPr>
        <w:t xml:space="preserve"> bivirkninger.</w:t>
      </w:r>
    </w:p>
    <w:p w:rsidR="005B428A" w:rsidRPr="0080619C" w:rsidRDefault="005B428A" w:rsidP="005B428A">
      <w:pPr>
        <w:tabs>
          <w:tab w:val="left" w:pos="810"/>
        </w:tabs>
        <w:ind w:left="851"/>
        <w:rPr>
          <w:i/>
          <w:sz w:val="24"/>
          <w:szCs w:val="24"/>
        </w:rPr>
      </w:pPr>
    </w:p>
    <w:p w:rsidR="005B428A" w:rsidRPr="0080619C" w:rsidRDefault="005B428A" w:rsidP="005B428A">
      <w:pPr>
        <w:ind w:left="851"/>
        <w:rPr>
          <w:i/>
          <w:sz w:val="24"/>
          <w:szCs w:val="24"/>
        </w:rPr>
      </w:pPr>
      <w:r w:rsidRPr="0080619C">
        <w:rPr>
          <w:i/>
          <w:sz w:val="24"/>
          <w:szCs w:val="24"/>
        </w:rPr>
        <w:t xml:space="preserve">Andre præparater, som kan indvirke på </w:t>
      </w:r>
      <w:proofErr w:type="spellStart"/>
      <w:r w:rsidRPr="0080619C">
        <w:rPr>
          <w:i/>
          <w:sz w:val="24"/>
          <w:szCs w:val="24"/>
        </w:rPr>
        <w:t>galantamins</w:t>
      </w:r>
      <w:proofErr w:type="spellEnd"/>
      <w:r w:rsidRPr="0080619C">
        <w:rPr>
          <w:i/>
          <w:sz w:val="24"/>
          <w:szCs w:val="24"/>
        </w:rPr>
        <w:t xml:space="preserve"> metabolisme</w:t>
      </w:r>
    </w:p>
    <w:p w:rsidR="005B428A" w:rsidRPr="0080619C" w:rsidRDefault="005B428A" w:rsidP="005B428A">
      <w:pPr>
        <w:ind w:left="851"/>
        <w:rPr>
          <w:sz w:val="24"/>
          <w:szCs w:val="24"/>
        </w:rPr>
      </w:pPr>
      <w:r w:rsidRPr="0080619C">
        <w:rPr>
          <w:sz w:val="24"/>
          <w:szCs w:val="24"/>
        </w:rPr>
        <w:t xml:space="preserve">Væsentlige lægemiddelinteraktionsforsøg har vist en stigning i </w:t>
      </w:r>
      <w:proofErr w:type="spellStart"/>
      <w:r w:rsidRPr="0080619C">
        <w:rPr>
          <w:sz w:val="24"/>
          <w:szCs w:val="24"/>
        </w:rPr>
        <w:t>galantamins</w:t>
      </w:r>
      <w:proofErr w:type="spellEnd"/>
      <w:r w:rsidRPr="0080619C">
        <w:rPr>
          <w:sz w:val="24"/>
          <w:szCs w:val="24"/>
        </w:rPr>
        <w:t xml:space="preserve"> biotilgængelighed på ca. 40 % ved samtidig administration af </w:t>
      </w:r>
      <w:proofErr w:type="spellStart"/>
      <w:r w:rsidRPr="0080619C">
        <w:rPr>
          <w:sz w:val="24"/>
          <w:szCs w:val="24"/>
        </w:rPr>
        <w:t>paroxetin</w:t>
      </w:r>
      <w:proofErr w:type="spellEnd"/>
      <w:r w:rsidRPr="0080619C">
        <w:rPr>
          <w:sz w:val="24"/>
          <w:szCs w:val="24"/>
        </w:rPr>
        <w:t xml:space="preserve"> (en potent CYP2D6-hæmmer) og på 30 % og 12 % ved samtidig behandling med </w:t>
      </w:r>
      <w:proofErr w:type="spellStart"/>
      <w:r w:rsidRPr="0080619C">
        <w:rPr>
          <w:sz w:val="24"/>
          <w:szCs w:val="24"/>
        </w:rPr>
        <w:t>ketoconazol</w:t>
      </w:r>
      <w:proofErr w:type="spellEnd"/>
      <w:r w:rsidRPr="0080619C">
        <w:rPr>
          <w:sz w:val="24"/>
          <w:szCs w:val="24"/>
        </w:rPr>
        <w:t xml:space="preserve"> og </w:t>
      </w:r>
      <w:proofErr w:type="spellStart"/>
      <w:r w:rsidRPr="0080619C">
        <w:rPr>
          <w:sz w:val="24"/>
          <w:szCs w:val="24"/>
        </w:rPr>
        <w:lastRenderedPageBreak/>
        <w:t>erythromycin</w:t>
      </w:r>
      <w:proofErr w:type="spellEnd"/>
      <w:r w:rsidRPr="0080619C">
        <w:rPr>
          <w:sz w:val="24"/>
          <w:szCs w:val="24"/>
        </w:rPr>
        <w:t xml:space="preserve"> (begge CYP3A4-hæmmere). Derfor kan patienter ved påbegyndelse af behandling med potente CYP2D6-hæmmere (f.eks. </w:t>
      </w:r>
      <w:proofErr w:type="spellStart"/>
      <w:r w:rsidRPr="0080619C">
        <w:rPr>
          <w:sz w:val="24"/>
          <w:szCs w:val="24"/>
        </w:rPr>
        <w:t>quinidin</w:t>
      </w:r>
      <w:proofErr w:type="spellEnd"/>
      <w:r w:rsidRPr="0080619C">
        <w:rPr>
          <w:sz w:val="24"/>
          <w:szCs w:val="24"/>
        </w:rPr>
        <w:t xml:space="preserve">, </w:t>
      </w:r>
      <w:proofErr w:type="spellStart"/>
      <w:r w:rsidRPr="0080619C">
        <w:rPr>
          <w:sz w:val="24"/>
          <w:szCs w:val="24"/>
        </w:rPr>
        <w:t>paroxetin</w:t>
      </w:r>
      <w:proofErr w:type="spellEnd"/>
      <w:r w:rsidRPr="0080619C">
        <w:rPr>
          <w:sz w:val="24"/>
          <w:szCs w:val="24"/>
        </w:rPr>
        <w:t xml:space="preserve"> eller </w:t>
      </w:r>
      <w:proofErr w:type="spellStart"/>
      <w:r w:rsidRPr="0080619C">
        <w:rPr>
          <w:sz w:val="24"/>
          <w:szCs w:val="24"/>
        </w:rPr>
        <w:t>fluoxetin</w:t>
      </w:r>
      <w:proofErr w:type="spellEnd"/>
      <w:r w:rsidRPr="0080619C">
        <w:rPr>
          <w:sz w:val="24"/>
          <w:szCs w:val="24"/>
        </w:rPr>
        <w:t xml:space="preserve">) eller CYP3A4 (f.eks. </w:t>
      </w:r>
      <w:proofErr w:type="spellStart"/>
      <w:r w:rsidRPr="0080619C">
        <w:rPr>
          <w:sz w:val="24"/>
          <w:szCs w:val="24"/>
        </w:rPr>
        <w:t>ketaconazol</w:t>
      </w:r>
      <w:proofErr w:type="spellEnd"/>
      <w:r w:rsidRPr="0080619C">
        <w:rPr>
          <w:sz w:val="24"/>
          <w:szCs w:val="24"/>
        </w:rPr>
        <w:t xml:space="preserve"> eller </w:t>
      </w:r>
      <w:proofErr w:type="spellStart"/>
      <w:r w:rsidRPr="0080619C">
        <w:rPr>
          <w:sz w:val="24"/>
          <w:szCs w:val="24"/>
        </w:rPr>
        <w:t>ritonavir</w:t>
      </w:r>
      <w:proofErr w:type="spellEnd"/>
      <w:r w:rsidRPr="0080619C">
        <w:rPr>
          <w:sz w:val="24"/>
          <w:szCs w:val="24"/>
        </w:rPr>
        <w:t xml:space="preserve">) opleve en øget forekomst af </w:t>
      </w:r>
      <w:proofErr w:type="spellStart"/>
      <w:r w:rsidRPr="0080619C">
        <w:rPr>
          <w:sz w:val="24"/>
          <w:szCs w:val="24"/>
        </w:rPr>
        <w:t>cholinerge</w:t>
      </w:r>
      <w:proofErr w:type="spellEnd"/>
      <w:r w:rsidRPr="0080619C">
        <w:rPr>
          <w:sz w:val="24"/>
          <w:szCs w:val="24"/>
        </w:rPr>
        <w:t xml:space="preserve"> bivirkningsreaktioner, fortrinsvis kvalme og opkastninger. Baseret på tolerance kan der under disse forhold overvejes en reduktion af vedligeholdelsesdosis af </w:t>
      </w:r>
      <w:proofErr w:type="spellStart"/>
      <w:r w:rsidRPr="0080619C">
        <w:rPr>
          <w:sz w:val="24"/>
          <w:szCs w:val="24"/>
        </w:rPr>
        <w:t>galantamin</w:t>
      </w:r>
      <w:proofErr w:type="spellEnd"/>
      <w:r w:rsidRPr="0080619C">
        <w:rPr>
          <w:sz w:val="24"/>
          <w:szCs w:val="24"/>
        </w:rPr>
        <w:t xml:space="preserve"> (se pkt. 4.2).</w:t>
      </w:r>
    </w:p>
    <w:p w:rsidR="005B428A" w:rsidRPr="0080619C" w:rsidRDefault="005B428A" w:rsidP="005B428A">
      <w:pPr>
        <w:ind w:left="851"/>
        <w:rPr>
          <w:sz w:val="24"/>
          <w:szCs w:val="24"/>
        </w:rPr>
      </w:pPr>
      <w:proofErr w:type="spellStart"/>
      <w:r w:rsidRPr="0080619C">
        <w:rPr>
          <w:sz w:val="24"/>
          <w:szCs w:val="24"/>
        </w:rPr>
        <w:t>Memantin</w:t>
      </w:r>
      <w:proofErr w:type="spellEnd"/>
      <w:r w:rsidRPr="0080619C">
        <w:rPr>
          <w:sz w:val="24"/>
          <w:szCs w:val="24"/>
        </w:rPr>
        <w:t>, en NMDA-receptorantagonist (N-metyl-D-</w:t>
      </w:r>
      <w:proofErr w:type="spellStart"/>
      <w:r w:rsidRPr="0080619C">
        <w:rPr>
          <w:sz w:val="24"/>
          <w:szCs w:val="24"/>
        </w:rPr>
        <w:t>aspartat</w:t>
      </w:r>
      <w:proofErr w:type="spellEnd"/>
      <w:r w:rsidRPr="0080619C">
        <w:rPr>
          <w:sz w:val="24"/>
          <w:szCs w:val="24"/>
        </w:rPr>
        <w:t xml:space="preserve">), havde ved en dosis på 10 mg en gang daglig i 2 dage efterfulgt af 10 mg to gange daglig i 12 dage ingen effekt på farmakokinetikken for </w:t>
      </w:r>
      <w:proofErr w:type="spellStart"/>
      <w:r w:rsidRPr="0080619C">
        <w:rPr>
          <w:sz w:val="24"/>
          <w:szCs w:val="24"/>
        </w:rPr>
        <w:t>galantamin</w:t>
      </w:r>
      <w:proofErr w:type="spellEnd"/>
      <w:r w:rsidRPr="0080619C">
        <w:rPr>
          <w:sz w:val="24"/>
          <w:szCs w:val="24"/>
        </w:rPr>
        <w:t xml:space="preserve"> (som </w:t>
      </w:r>
      <w:proofErr w:type="spellStart"/>
      <w:r w:rsidRPr="0080619C">
        <w:rPr>
          <w:sz w:val="24"/>
          <w:szCs w:val="24"/>
        </w:rPr>
        <w:t>galantamin</w:t>
      </w:r>
      <w:proofErr w:type="spellEnd"/>
      <w:r w:rsidRPr="0080619C">
        <w:rPr>
          <w:sz w:val="24"/>
          <w:szCs w:val="24"/>
        </w:rPr>
        <w:t xml:space="preserve"> depotkapsler 16 mg en gang daglig) ved </w:t>
      </w:r>
      <w:proofErr w:type="spellStart"/>
      <w:r w:rsidRPr="0080619C">
        <w:rPr>
          <w:sz w:val="24"/>
          <w:szCs w:val="24"/>
        </w:rPr>
        <w:t>steady</w:t>
      </w:r>
      <w:proofErr w:type="spellEnd"/>
      <w:r w:rsidRPr="0080619C">
        <w:rPr>
          <w:sz w:val="24"/>
          <w:szCs w:val="24"/>
        </w:rPr>
        <w:t xml:space="preserve"> </w:t>
      </w:r>
      <w:proofErr w:type="spellStart"/>
      <w:r w:rsidRPr="0080619C">
        <w:rPr>
          <w:sz w:val="24"/>
          <w:szCs w:val="24"/>
        </w:rPr>
        <w:t>state</w:t>
      </w:r>
      <w:proofErr w:type="spellEnd"/>
      <w:r w:rsidRPr="0080619C">
        <w:rPr>
          <w:sz w:val="24"/>
          <w:szCs w:val="24"/>
        </w:rPr>
        <w:t>.</w:t>
      </w:r>
    </w:p>
    <w:p w:rsidR="005B428A" w:rsidRPr="0080619C" w:rsidRDefault="005B428A" w:rsidP="005B428A">
      <w:pPr>
        <w:ind w:left="851"/>
        <w:rPr>
          <w:sz w:val="24"/>
          <w:szCs w:val="24"/>
        </w:rPr>
      </w:pPr>
    </w:p>
    <w:p w:rsidR="005B428A" w:rsidRPr="0080619C" w:rsidRDefault="005B428A" w:rsidP="005B428A">
      <w:pPr>
        <w:ind w:left="851"/>
        <w:rPr>
          <w:i/>
          <w:sz w:val="24"/>
          <w:szCs w:val="24"/>
        </w:rPr>
      </w:pPr>
      <w:proofErr w:type="spellStart"/>
      <w:r w:rsidRPr="0080619C">
        <w:rPr>
          <w:i/>
          <w:sz w:val="24"/>
          <w:szCs w:val="24"/>
        </w:rPr>
        <w:t>Galantamins</w:t>
      </w:r>
      <w:proofErr w:type="spellEnd"/>
      <w:r w:rsidRPr="0080619C">
        <w:rPr>
          <w:i/>
          <w:sz w:val="24"/>
          <w:szCs w:val="24"/>
        </w:rPr>
        <w:t xml:space="preserve"> virkning på andre lægemidlers metabolisme</w:t>
      </w:r>
    </w:p>
    <w:p w:rsidR="005B428A" w:rsidRPr="0080619C" w:rsidRDefault="005B428A" w:rsidP="005B428A">
      <w:pPr>
        <w:ind w:left="851"/>
        <w:rPr>
          <w:sz w:val="24"/>
          <w:szCs w:val="24"/>
        </w:rPr>
      </w:pPr>
      <w:r w:rsidRPr="0080619C">
        <w:rPr>
          <w:sz w:val="24"/>
          <w:szCs w:val="24"/>
        </w:rPr>
        <w:t xml:space="preserve">Terapeutiske doser </w:t>
      </w:r>
      <w:proofErr w:type="spellStart"/>
      <w:r w:rsidRPr="0080619C">
        <w:rPr>
          <w:sz w:val="24"/>
          <w:szCs w:val="24"/>
        </w:rPr>
        <w:t>galantamin</w:t>
      </w:r>
      <w:proofErr w:type="spellEnd"/>
      <w:r w:rsidRPr="0080619C">
        <w:rPr>
          <w:sz w:val="24"/>
          <w:szCs w:val="24"/>
        </w:rPr>
        <w:t xml:space="preserve"> på 24 mg/dag havde ingen virkning på </w:t>
      </w:r>
      <w:proofErr w:type="spellStart"/>
      <w:r w:rsidRPr="0080619C">
        <w:rPr>
          <w:sz w:val="24"/>
          <w:szCs w:val="24"/>
        </w:rPr>
        <w:t>digoxins</w:t>
      </w:r>
      <w:proofErr w:type="spellEnd"/>
      <w:r w:rsidRPr="0080619C">
        <w:rPr>
          <w:sz w:val="24"/>
          <w:szCs w:val="24"/>
        </w:rPr>
        <w:t xml:space="preserve"> kinetik, selvom der kan ske </w:t>
      </w:r>
      <w:proofErr w:type="spellStart"/>
      <w:r w:rsidRPr="0080619C">
        <w:rPr>
          <w:sz w:val="24"/>
          <w:szCs w:val="24"/>
        </w:rPr>
        <w:t>farmakodynamiske</w:t>
      </w:r>
      <w:proofErr w:type="spellEnd"/>
      <w:r w:rsidRPr="0080619C">
        <w:rPr>
          <w:sz w:val="24"/>
          <w:szCs w:val="24"/>
        </w:rPr>
        <w:t xml:space="preserve"> interaktioner (se også "</w:t>
      </w:r>
      <w:proofErr w:type="spellStart"/>
      <w:r w:rsidRPr="0080619C">
        <w:rPr>
          <w:sz w:val="24"/>
          <w:szCs w:val="24"/>
        </w:rPr>
        <w:t>Farmakodynamiske</w:t>
      </w:r>
      <w:proofErr w:type="spellEnd"/>
      <w:r w:rsidRPr="0080619C">
        <w:rPr>
          <w:sz w:val="24"/>
          <w:szCs w:val="24"/>
        </w:rPr>
        <w:t xml:space="preserve"> interaktioner").</w:t>
      </w:r>
    </w:p>
    <w:p w:rsidR="005B428A" w:rsidRPr="0080619C" w:rsidRDefault="005B428A" w:rsidP="005B428A">
      <w:pPr>
        <w:ind w:left="851"/>
        <w:rPr>
          <w:sz w:val="24"/>
          <w:szCs w:val="24"/>
        </w:rPr>
      </w:pPr>
      <w:r w:rsidRPr="0080619C">
        <w:rPr>
          <w:sz w:val="24"/>
          <w:szCs w:val="24"/>
        </w:rPr>
        <w:t xml:space="preserve">Terapeutiske doser </w:t>
      </w:r>
      <w:proofErr w:type="spellStart"/>
      <w:r w:rsidRPr="0080619C">
        <w:rPr>
          <w:sz w:val="24"/>
          <w:szCs w:val="24"/>
        </w:rPr>
        <w:t>galantamin</w:t>
      </w:r>
      <w:proofErr w:type="spellEnd"/>
      <w:r w:rsidRPr="0080619C">
        <w:rPr>
          <w:sz w:val="24"/>
          <w:szCs w:val="24"/>
        </w:rPr>
        <w:t xml:space="preserve"> på 24 mg/dag havde ingen virkning på kinetik og </w:t>
      </w:r>
      <w:proofErr w:type="spellStart"/>
      <w:r w:rsidRPr="0080619C">
        <w:rPr>
          <w:sz w:val="24"/>
          <w:szCs w:val="24"/>
        </w:rPr>
        <w:t>protrombin</w:t>
      </w:r>
      <w:proofErr w:type="spellEnd"/>
      <w:r w:rsidRPr="0080619C">
        <w:rPr>
          <w:sz w:val="24"/>
          <w:szCs w:val="24"/>
        </w:rPr>
        <w:t xml:space="preserve">-tid for </w:t>
      </w:r>
      <w:proofErr w:type="spellStart"/>
      <w:r w:rsidRPr="0080619C">
        <w:rPr>
          <w:sz w:val="24"/>
          <w:szCs w:val="24"/>
        </w:rPr>
        <w:t>warfarin</w:t>
      </w:r>
      <w:proofErr w:type="spellEnd"/>
      <w:r w:rsidRPr="0080619C">
        <w:rPr>
          <w:sz w:val="24"/>
          <w:szCs w:val="24"/>
        </w:rPr>
        <w:t>.</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4.6</w:t>
      </w:r>
      <w:r w:rsidRPr="0080619C">
        <w:rPr>
          <w:b/>
          <w:sz w:val="24"/>
          <w:szCs w:val="24"/>
        </w:rPr>
        <w:tab/>
        <w:t>Graviditet og amning</w:t>
      </w:r>
    </w:p>
    <w:p w:rsidR="00DF67A6" w:rsidRPr="0080619C" w:rsidRDefault="00DF67A6" w:rsidP="005B428A">
      <w:pPr>
        <w:ind w:left="851"/>
        <w:rPr>
          <w:sz w:val="24"/>
          <w:szCs w:val="24"/>
          <w:u w:val="single"/>
        </w:rPr>
      </w:pPr>
    </w:p>
    <w:p w:rsidR="005B428A" w:rsidRPr="0080619C" w:rsidRDefault="005B428A" w:rsidP="005B428A">
      <w:pPr>
        <w:ind w:left="851"/>
        <w:rPr>
          <w:sz w:val="24"/>
          <w:szCs w:val="24"/>
          <w:u w:val="single"/>
        </w:rPr>
      </w:pPr>
      <w:r w:rsidRPr="0080619C">
        <w:rPr>
          <w:sz w:val="24"/>
          <w:szCs w:val="24"/>
          <w:u w:val="single"/>
        </w:rPr>
        <w:t>Graviditet</w:t>
      </w:r>
    </w:p>
    <w:p w:rsidR="005B428A" w:rsidRPr="0080619C" w:rsidRDefault="005B428A" w:rsidP="005B428A">
      <w:pPr>
        <w:ind w:left="851"/>
        <w:rPr>
          <w:sz w:val="24"/>
          <w:szCs w:val="24"/>
        </w:rPr>
      </w:pPr>
      <w:r w:rsidRPr="0080619C">
        <w:rPr>
          <w:sz w:val="24"/>
          <w:szCs w:val="24"/>
        </w:rPr>
        <w:t xml:space="preserve">Der foreligger ikke kliniske data om eksponering for </w:t>
      </w:r>
      <w:proofErr w:type="spellStart"/>
      <w:r w:rsidRPr="0080619C">
        <w:rPr>
          <w:sz w:val="24"/>
          <w:szCs w:val="24"/>
        </w:rPr>
        <w:t>galantamin</w:t>
      </w:r>
      <w:proofErr w:type="spellEnd"/>
      <w:r w:rsidRPr="0080619C">
        <w:rPr>
          <w:sz w:val="24"/>
          <w:szCs w:val="24"/>
        </w:rPr>
        <w:t xml:space="preserve"> under graviditet. Dyreforsøg har påvist reproduktionstoksicitet (se pkt. 5.3). Der bør udvises forsigtighed, ved ordinering til gravide kvinder.</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Amning</w:t>
      </w:r>
    </w:p>
    <w:p w:rsidR="005B428A" w:rsidRPr="0080619C" w:rsidRDefault="005B428A" w:rsidP="005B428A">
      <w:pPr>
        <w:ind w:left="851"/>
        <w:rPr>
          <w:sz w:val="24"/>
          <w:szCs w:val="24"/>
        </w:rPr>
      </w:pPr>
      <w:r w:rsidRPr="0080619C">
        <w:rPr>
          <w:sz w:val="24"/>
          <w:szCs w:val="24"/>
        </w:rPr>
        <w:t xml:space="preserve">Det vides ikke, hvorvidt </w:t>
      </w:r>
      <w:proofErr w:type="spellStart"/>
      <w:r w:rsidRPr="0080619C">
        <w:rPr>
          <w:sz w:val="24"/>
          <w:szCs w:val="24"/>
        </w:rPr>
        <w:t>galantamin</w:t>
      </w:r>
      <w:proofErr w:type="spellEnd"/>
      <w:r w:rsidRPr="0080619C">
        <w:rPr>
          <w:sz w:val="24"/>
          <w:szCs w:val="24"/>
        </w:rPr>
        <w:t xml:space="preserve"> udskilles i modermælken, og der foreligger ingen undersøgelser med ammende mødre.  Derfor bør kvinder, der indtager </w:t>
      </w:r>
      <w:proofErr w:type="spellStart"/>
      <w:r w:rsidRPr="0080619C">
        <w:rPr>
          <w:sz w:val="24"/>
          <w:szCs w:val="24"/>
        </w:rPr>
        <w:t>galantamin</w:t>
      </w:r>
      <w:proofErr w:type="spellEnd"/>
      <w:r w:rsidRPr="0080619C">
        <w:rPr>
          <w:sz w:val="24"/>
          <w:szCs w:val="24"/>
        </w:rPr>
        <w:t>, ikke amme.</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Fertilitet</w:t>
      </w:r>
    </w:p>
    <w:p w:rsidR="005B428A" w:rsidRPr="0080619C" w:rsidRDefault="005B428A" w:rsidP="005B428A">
      <w:pPr>
        <w:ind w:left="851"/>
        <w:rPr>
          <w:sz w:val="24"/>
          <w:szCs w:val="24"/>
        </w:rPr>
      </w:pPr>
      <w:r w:rsidRPr="0080619C">
        <w:rPr>
          <w:color w:val="222222"/>
          <w:sz w:val="24"/>
          <w:szCs w:val="24"/>
        </w:rPr>
        <w:t xml:space="preserve">Virkningen af </w:t>
      </w:r>
      <w:proofErr w:type="spellStart"/>
      <w:r w:rsidRPr="0080619C">
        <w:rPr>
          <w:color w:val="222222"/>
          <w:sz w:val="24"/>
          <w:szCs w:val="24"/>
        </w:rPr>
        <w:t>galantamin</w:t>
      </w:r>
      <w:proofErr w:type="spellEnd"/>
      <w:r w:rsidRPr="0080619C">
        <w:rPr>
          <w:color w:val="222222"/>
          <w:sz w:val="24"/>
          <w:szCs w:val="24"/>
        </w:rPr>
        <w:t xml:space="preserve"> på fertiliteten hos mennesker er ikke blevet evalueret.</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4.7</w:t>
      </w:r>
      <w:r w:rsidRPr="0080619C">
        <w:rPr>
          <w:b/>
          <w:sz w:val="24"/>
          <w:szCs w:val="24"/>
        </w:rPr>
        <w:tab/>
        <w:t>Virkninger på evnen til at føre motorkøretøj eller betjene maskiner</w:t>
      </w:r>
    </w:p>
    <w:p w:rsidR="005B428A" w:rsidRPr="0080619C" w:rsidRDefault="005B428A" w:rsidP="005B428A">
      <w:pPr>
        <w:ind w:left="851"/>
        <w:rPr>
          <w:sz w:val="24"/>
          <w:szCs w:val="24"/>
        </w:rPr>
      </w:pPr>
      <w:r w:rsidRPr="0080619C">
        <w:rPr>
          <w:sz w:val="24"/>
          <w:szCs w:val="24"/>
        </w:rPr>
        <w:t>Ikke mærkning.</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påvirker i mindre til moderat grad evnen til at føre motorkøretøj eller betjene maskiner. Symptomerne inkluderer svimmelhed og </w:t>
      </w:r>
      <w:proofErr w:type="spellStart"/>
      <w:r w:rsidRPr="0080619C">
        <w:rPr>
          <w:sz w:val="24"/>
          <w:szCs w:val="24"/>
        </w:rPr>
        <w:t>somnolens</w:t>
      </w:r>
      <w:proofErr w:type="spellEnd"/>
      <w:r w:rsidRPr="0080619C">
        <w:rPr>
          <w:sz w:val="24"/>
          <w:szCs w:val="24"/>
        </w:rPr>
        <w:t>, især i behandlingens første uger.</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4.8</w:t>
      </w:r>
      <w:r w:rsidRPr="0080619C">
        <w:rPr>
          <w:b/>
          <w:sz w:val="24"/>
          <w:szCs w:val="24"/>
        </w:rPr>
        <w:tab/>
        <w:t>Bivirkninger</w:t>
      </w:r>
    </w:p>
    <w:p w:rsidR="005B428A" w:rsidRPr="0080619C" w:rsidRDefault="005B428A" w:rsidP="005B428A">
      <w:pPr>
        <w:ind w:left="851"/>
        <w:rPr>
          <w:sz w:val="24"/>
          <w:szCs w:val="24"/>
        </w:rPr>
      </w:pPr>
      <w:r w:rsidRPr="0080619C">
        <w:rPr>
          <w:sz w:val="24"/>
          <w:szCs w:val="24"/>
        </w:rPr>
        <w:t xml:space="preserve">Tabellen nedenfor viser data opnået med </w:t>
      </w:r>
      <w:proofErr w:type="spellStart"/>
      <w:r w:rsidRPr="0080619C">
        <w:rPr>
          <w:sz w:val="24"/>
          <w:szCs w:val="24"/>
        </w:rPr>
        <w:t>galantamin</w:t>
      </w:r>
      <w:proofErr w:type="spellEnd"/>
      <w:r w:rsidRPr="0080619C">
        <w:rPr>
          <w:sz w:val="24"/>
          <w:szCs w:val="24"/>
        </w:rPr>
        <w:t xml:space="preserve"> i 7 placebokontrollerede, dobbeltblindede kliniske studier (N=6502), fem åbne kliniske studier (N=1454) og fra spontane postmarketing-rapporter.</w:t>
      </w:r>
    </w:p>
    <w:p w:rsidR="005B428A" w:rsidRPr="0080619C" w:rsidRDefault="005B428A" w:rsidP="005B428A">
      <w:pPr>
        <w:ind w:left="851"/>
        <w:rPr>
          <w:sz w:val="24"/>
          <w:szCs w:val="24"/>
        </w:rPr>
      </w:pPr>
      <w:r w:rsidRPr="0080619C">
        <w:rPr>
          <w:sz w:val="24"/>
          <w:szCs w:val="24"/>
        </w:rPr>
        <w:t xml:space="preserve">De mest almindeligt rapporterede bivirkninger var kvalme (21 %) og opkastning (11 %). De forekom hovedsageligt i titreringsperioderne, varede mindre end en uge i de fleste tilfælde og hovedparten af patienterne havde en episode. Ordination af </w:t>
      </w:r>
      <w:proofErr w:type="spellStart"/>
      <w:r w:rsidRPr="0080619C">
        <w:rPr>
          <w:sz w:val="24"/>
          <w:szCs w:val="24"/>
        </w:rPr>
        <w:t>antiemetika</w:t>
      </w:r>
      <w:proofErr w:type="spellEnd"/>
      <w:r w:rsidRPr="0080619C">
        <w:rPr>
          <w:sz w:val="24"/>
          <w:szCs w:val="24"/>
        </w:rPr>
        <w:t xml:space="preserve"> og sikring af tilstrækkelig</w:t>
      </w:r>
      <w:r w:rsidR="00DF67A6" w:rsidRPr="0080619C">
        <w:rPr>
          <w:sz w:val="24"/>
          <w:szCs w:val="24"/>
        </w:rPr>
        <w:t>t</w:t>
      </w:r>
      <w:r w:rsidRPr="0080619C">
        <w:rPr>
          <w:sz w:val="24"/>
          <w:szCs w:val="24"/>
        </w:rPr>
        <w:t xml:space="preserve"> væskeindtag kan være gavnligt i disse tilfælde.</w:t>
      </w:r>
    </w:p>
    <w:p w:rsidR="005B428A" w:rsidRPr="0080619C" w:rsidRDefault="005B428A" w:rsidP="005B428A">
      <w:pPr>
        <w:ind w:left="851"/>
        <w:rPr>
          <w:sz w:val="24"/>
          <w:szCs w:val="24"/>
        </w:rPr>
      </w:pPr>
      <w:r w:rsidRPr="0080619C">
        <w:rPr>
          <w:sz w:val="24"/>
          <w:szCs w:val="24"/>
        </w:rPr>
        <w:t>I et randomiseret, dobbeltblindet, placebo kontrolleret klinisk studie, var sikkerheds</w:t>
      </w:r>
      <w:r w:rsidR="00D47ED9">
        <w:rPr>
          <w:sz w:val="24"/>
          <w:szCs w:val="24"/>
        </w:rPr>
        <w:softHyphen/>
      </w:r>
      <w:r w:rsidRPr="0080619C">
        <w:rPr>
          <w:sz w:val="24"/>
          <w:szCs w:val="24"/>
        </w:rPr>
        <w:t xml:space="preserve">profilen af behandling med </w:t>
      </w:r>
      <w:proofErr w:type="spellStart"/>
      <w:r w:rsidRPr="0080619C">
        <w:rPr>
          <w:sz w:val="24"/>
          <w:szCs w:val="24"/>
        </w:rPr>
        <w:t>galantamin</w:t>
      </w:r>
      <w:proofErr w:type="spellEnd"/>
      <w:r w:rsidRPr="0080619C">
        <w:rPr>
          <w:sz w:val="24"/>
          <w:szCs w:val="24"/>
        </w:rPr>
        <w:t xml:space="preserve"> depotkapsler en gang daglig tilsvarende i frekvens og natur til sikkerhedsprofilen for </w:t>
      </w:r>
      <w:proofErr w:type="spellStart"/>
      <w:r w:rsidRPr="0080619C">
        <w:rPr>
          <w:sz w:val="24"/>
          <w:szCs w:val="24"/>
        </w:rPr>
        <w:t>galantamin</w:t>
      </w:r>
      <w:proofErr w:type="spellEnd"/>
      <w:r w:rsidRPr="0080619C">
        <w:rPr>
          <w:sz w:val="24"/>
          <w:szCs w:val="24"/>
        </w:rPr>
        <w:t xml:space="preserve"> tabletter.</w:t>
      </w:r>
    </w:p>
    <w:p w:rsidR="005B428A" w:rsidRPr="0080619C" w:rsidRDefault="005B428A" w:rsidP="005B428A">
      <w:pPr>
        <w:ind w:left="851"/>
        <w:rPr>
          <w:sz w:val="24"/>
          <w:szCs w:val="24"/>
        </w:rPr>
      </w:pPr>
      <w:r w:rsidRPr="0080619C">
        <w:rPr>
          <w:sz w:val="24"/>
          <w:szCs w:val="24"/>
        </w:rPr>
        <w:lastRenderedPageBreak/>
        <w:t xml:space="preserve">Frekvens estimater: meget almindelig (≥ 1/10); almindelig (≥ 1/100 til &lt; 1/10); ikke almindelig (≥ 1/1000 til &lt; 1/100); sjælden (≥ 1/10.000 til &lt; 1/1000); og meget sjælden (&lt; 1/10.000). </w:t>
      </w:r>
    </w:p>
    <w:p w:rsidR="005B428A" w:rsidRPr="0080619C" w:rsidRDefault="005B428A" w:rsidP="005B428A">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600"/>
        <w:gridCol w:w="2078"/>
        <w:gridCol w:w="2080"/>
        <w:gridCol w:w="1633"/>
      </w:tblGrid>
      <w:tr w:rsidR="005B428A" w:rsidRPr="0080619C" w:rsidTr="00DF67A6">
        <w:trPr>
          <w:tblHeader/>
        </w:trPr>
        <w:tc>
          <w:tcPr>
            <w:tcW w:w="1162" w:type="pct"/>
            <w:vMerge w:val="restar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b/>
                <w:bCs/>
                <w:sz w:val="24"/>
                <w:szCs w:val="24"/>
              </w:rPr>
              <w:t>System organklasser</w:t>
            </w:r>
          </w:p>
        </w:tc>
        <w:tc>
          <w:tcPr>
            <w:tcW w:w="3838" w:type="pct"/>
            <w:gridSpan w:val="4"/>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b/>
                <w:bCs/>
                <w:sz w:val="24"/>
                <w:szCs w:val="24"/>
              </w:rPr>
            </w:pPr>
            <w:r w:rsidRPr="0080619C">
              <w:rPr>
                <w:b/>
                <w:bCs/>
                <w:sz w:val="24"/>
                <w:szCs w:val="24"/>
              </w:rPr>
              <w:t>Bivirkning</w:t>
            </w:r>
          </w:p>
          <w:p w:rsidR="005B428A" w:rsidRPr="0080619C" w:rsidRDefault="005B428A" w:rsidP="008F4F16">
            <w:pPr>
              <w:pStyle w:val="Brdtekst"/>
              <w:spacing w:after="0"/>
              <w:ind w:left="35"/>
              <w:rPr>
                <w:sz w:val="24"/>
                <w:szCs w:val="24"/>
              </w:rPr>
            </w:pPr>
            <w:r w:rsidRPr="0080619C">
              <w:rPr>
                <w:b/>
                <w:bCs/>
                <w:sz w:val="24"/>
                <w:szCs w:val="24"/>
              </w:rPr>
              <w:t>Frekvens</w:t>
            </w:r>
          </w:p>
        </w:tc>
      </w:tr>
      <w:tr w:rsidR="005B428A" w:rsidRPr="0080619C" w:rsidTr="00DF67A6">
        <w:trPr>
          <w:tblHeader/>
        </w:trPr>
        <w:tc>
          <w:tcPr>
            <w:tcW w:w="1162" w:type="pct"/>
            <w:vMerge/>
            <w:tcBorders>
              <w:top w:val="single" w:sz="4" w:space="0" w:color="000000"/>
              <w:left w:val="single" w:sz="4" w:space="0" w:color="000000"/>
              <w:bottom w:val="single" w:sz="4" w:space="0" w:color="000000"/>
              <w:right w:val="single" w:sz="4" w:space="0" w:color="000000"/>
            </w:tcBorders>
            <w:vAlign w:val="center"/>
            <w:hideMark/>
          </w:tcPr>
          <w:p w:rsidR="005B428A" w:rsidRPr="0080619C" w:rsidRDefault="005B428A" w:rsidP="008F4F16">
            <w:pPr>
              <w:ind w:left="34"/>
              <w:rPr>
                <w:b/>
                <w:bCs/>
                <w:sz w:val="24"/>
                <w:szCs w:val="24"/>
                <w:lang w:eastAsia="da-DK"/>
              </w:rPr>
            </w:pPr>
          </w:p>
        </w:tc>
        <w:tc>
          <w:tcPr>
            <w:tcW w:w="831"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b/>
                <w:sz w:val="24"/>
                <w:szCs w:val="24"/>
              </w:rPr>
            </w:pPr>
            <w:r w:rsidRPr="0080619C">
              <w:rPr>
                <w:b/>
                <w:sz w:val="24"/>
                <w:szCs w:val="24"/>
              </w:rPr>
              <w:t>Meget almindelig</w:t>
            </w: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b/>
                <w:sz w:val="24"/>
                <w:szCs w:val="24"/>
              </w:rPr>
            </w:pPr>
            <w:r w:rsidRPr="0080619C">
              <w:rPr>
                <w:b/>
                <w:sz w:val="24"/>
                <w:szCs w:val="24"/>
              </w:rPr>
              <w:t>Almindelig</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b/>
                <w:sz w:val="24"/>
                <w:szCs w:val="24"/>
              </w:rPr>
            </w:pPr>
            <w:r w:rsidRPr="0080619C">
              <w:rPr>
                <w:b/>
                <w:sz w:val="24"/>
                <w:szCs w:val="24"/>
              </w:rPr>
              <w:t>Ikke almindelig</w:t>
            </w:r>
          </w:p>
        </w:tc>
        <w:tc>
          <w:tcPr>
            <w:tcW w:w="847"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b/>
                <w:sz w:val="24"/>
                <w:szCs w:val="24"/>
              </w:rPr>
            </w:pPr>
            <w:r w:rsidRPr="0080619C">
              <w:rPr>
                <w:b/>
                <w:sz w:val="24"/>
                <w:szCs w:val="24"/>
              </w:rPr>
              <w:t>Sjælden</w:t>
            </w: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rFonts w:eastAsia="Arial Unicode MS"/>
                <w:b/>
                <w:bCs/>
                <w:sz w:val="24"/>
                <w:szCs w:val="24"/>
              </w:rPr>
            </w:pPr>
            <w:r w:rsidRPr="0080619C">
              <w:rPr>
                <w:rFonts w:eastAsia="Arial Unicode MS"/>
                <w:b/>
                <w:bCs/>
                <w:sz w:val="24"/>
                <w:szCs w:val="24"/>
              </w:rPr>
              <w:t>Immunsystemet</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DisplaysSubtitle"/>
              <w:ind w:left="35"/>
              <w:rPr>
                <w:rFonts w:ascii="Times New Roman" w:eastAsia="Arial Unicode MS" w:hAnsi="Times New Roman"/>
                <w:b w:val="0"/>
                <w:bCs/>
                <w:szCs w:val="24"/>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Overfølsomhed</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Metabolisme og ernæring</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Nedsat appetit</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Dehydrering</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Psykiske forstyrrelser</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 xml:space="preserve">Hallucinationer; </w:t>
            </w:r>
          </w:p>
          <w:p w:rsidR="005B428A" w:rsidRPr="0080619C" w:rsidRDefault="005B428A" w:rsidP="008F4F16">
            <w:pPr>
              <w:pStyle w:val="DisplaysSubtitle"/>
              <w:ind w:left="35"/>
              <w:rPr>
                <w:rFonts w:ascii="Times New Roman" w:hAnsi="Times New Roman"/>
                <w:b w:val="0"/>
                <w:szCs w:val="24"/>
              </w:rPr>
            </w:pPr>
            <w:r w:rsidRPr="0080619C">
              <w:rPr>
                <w:rFonts w:ascii="Times New Roman" w:eastAsia="Arial Unicode MS" w:hAnsi="Times New Roman"/>
                <w:b w:val="0"/>
                <w:bCs/>
                <w:szCs w:val="24"/>
                <w:lang w:val="da-DK"/>
              </w:rPr>
              <w:t>depression</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hAnsi="Times New Roman"/>
                <w:b w:val="0"/>
                <w:szCs w:val="24"/>
              </w:rPr>
            </w:pPr>
            <w:r w:rsidRPr="0080619C">
              <w:rPr>
                <w:rFonts w:ascii="Times New Roman" w:eastAsia="Arial Unicode MS" w:hAnsi="Times New Roman"/>
                <w:b w:val="0"/>
                <w:bCs/>
                <w:szCs w:val="24"/>
                <w:lang w:val="da-DK"/>
              </w:rPr>
              <w:t xml:space="preserve">Visuelle hallucinationer; auditive hallucinationer </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Nervesystemet</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Synkope;</w:t>
            </w:r>
          </w:p>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svimmelhed;</w:t>
            </w:r>
          </w:p>
          <w:p w:rsidR="005B428A" w:rsidRPr="0080619C" w:rsidRDefault="005B428A" w:rsidP="008F4F16">
            <w:pPr>
              <w:ind w:left="35"/>
              <w:rPr>
                <w:rFonts w:eastAsia="Arial Unicode MS"/>
                <w:sz w:val="24"/>
                <w:szCs w:val="24"/>
              </w:rPr>
            </w:pPr>
            <w:r w:rsidRPr="0080619C">
              <w:rPr>
                <w:rFonts w:eastAsia="Arial Unicode MS"/>
                <w:sz w:val="24"/>
                <w:szCs w:val="24"/>
              </w:rPr>
              <w:t>rysten;</w:t>
            </w:r>
          </w:p>
          <w:p w:rsidR="005B428A" w:rsidRPr="0080619C" w:rsidRDefault="005B428A" w:rsidP="008F4F16">
            <w:pPr>
              <w:ind w:left="35"/>
              <w:rPr>
                <w:rFonts w:eastAsia="Arial Unicode MS"/>
                <w:sz w:val="24"/>
                <w:szCs w:val="24"/>
              </w:rPr>
            </w:pPr>
            <w:r w:rsidRPr="0080619C">
              <w:rPr>
                <w:rFonts w:eastAsia="Arial Unicode MS"/>
                <w:sz w:val="24"/>
                <w:szCs w:val="24"/>
              </w:rPr>
              <w:t>hovedpine;</w:t>
            </w:r>
          </w:p>
          <w:p w:rsidR="005B428A" w:rsidRPr="0080619C" w:rsidRDefault="005B428A" w:rsidP="008F4F16">
            <w:pPr>
              <w:pStyle w:val="DisplaysSubtitle"/>
              <w:ind w:left="35"/>
              <w:rPr>
                <w:rFonts w:ascii="Times New Roman" w:eastAsia="Arial Unicode MS" w:hAnsi="Times New Roman"/>
                <w:b w:val="0"/>
                <w:bCs/>
                <w:szCs w:val="24"/>
                <w:lang w:val="da-DK"/>
              </w:rPr>
            </w:pPr>
            <w:proofErr w:type="spellStart"/>
            <w:r w:rsidRPr="0080619C">
              <w:rPr>
                <w:rFonts w:ascii="Times New Roman" w:eastAsia="Arial Unicode MS" w:hAnsi="Times New Roman"/>
                <w:b w:val="0"/>
                <w:bCs/>
                <w:szCs w:val="24"/>
                <w:lang w:val="da-DK"/>
              </w:rPr>
              <w:t>somnolens</w:t>
            </w:r>
            <w:proofErr w:type="spellEnd"/>
            <w:r w:rsidRPr="0080619C">
              <w:rPr>
                <w:rFonts w:ascii="Times New Roman" w:eastAsia="Arial Unicode MS" w:hAnsi="Times New Roman"/>
                <w:b w:val="0"/>
                <w:bCs/>
                <w:szCs w:val="24"/>
                <w:lang w:val="da-DK"/>
              </w:rPr>
              <w:t>; letargi</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proofErr w:type="spellStart"/>
            <w:r w:rsidRPr="0080619C">
              <w:rPr>
                <w:rFonts w:eastAsia="Arial Unicode MS"/>
                <w:sz w:val="24"/>
                <w:szCs w:val="24"/>
              </w:rPr>
              <w:t>Paræstesi</w:t>
            </w:r>
            <w:proofErr w:type="spellEnd"/>
            <w:r w:rsidRPr="0080619C">
              <w:rPr>
                <w:rFonts w:eastAsia="Arial Unicode MS"/>
                <w:sz w:val="24"/>
                <w:szCs w:val="24"/>
              </w:rPr>
              <w:t xml:space="preserve">; </w:t>
            </w:r>
            <w:proofErr w:type="spellStart"/>
            <w:r w:rsidRPr="0080619C">
              <w:rPr>
                <w:sz w:val="24"/>
                <w:szCs w:val="24"/>
              </w:rPr>
              <w:t>dysgeusi</w:t>
            </w:r>
            <w:proofErr w:type="spellEnd"/>
            <w:r w:rsidRPr="0080619C">
              <w:rPr>
                <w:sz w:val="24"/>
                <w:szCs w:val="24"/>
              </w:rPr>
              <w:t>;</w:t>
            </w:r>
            <w:r w:rsidRPr="0080619C">
              <w:rPr>
                <w:rFonts w:eastAsia="Arial Unicode MS"/>
                <w:sz w:val="24"/>
                <w:szCs w:val="24"/>
              </w:rPr>
              <w:t xml:space="preserve"> </w:t>
            </w:r>
            <w:proofErr w:type="spellStart"/>
            <w:r w:rsidRPr="0080619C">
              <w:rPr>
                <w:sz w:val="24"/>
                <w:szCs w:val="24"/>
              </w:rPr>
              <w:t>hypersomni</w:t>
            </w:r>
            <w:proofErr w:type="spellEnd"/>
            <w:r w:rsidRPr="0080619C">
              <w:rPr>
                <w:sz w:val="24"/>
                <w:szCs w:val="24"/>
              </w:rPr>
              <w:t>;</w:t>
            </w:r>
          </w:p>
          <w:p w:rsidR="005B428A" w:rsidRPr="0080619C" w:rsidRDefault="005B428A" w:rsidP="008F4F16">
            <w:pPr>
              <w:pStyle w:val="Brdtekst"/>
              <w:spacing w:after="0"/>
              <w:ind w:left="35"/>
              <w:rPr>
                <w:sz w:val="24"/>
                <w:szCs w:val="24"/>
              </w:rPr>
            </w:pPr>
            <w:r w:rsidRPr="0080619C">
              <w:rPr>
                <w:sz w:val="24"/>
                <w:szCs w:val="24"/>
              </w:rPr>
              <w:t>kramper*</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b/>
                <w:bCs/>
                <w:sz w:val="24"/>
                <w:szCs w:val="24"/>
              </w:rPr>
              <w:t>Øjne</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Sløret syn</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Øre og labyrint</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Tinnitus</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Hjerte</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DisplaysSubtitle"/>
              <w:ind w:left="35"/>
              <w:rPr>
                <w:rFonts w:ascii="Times New Roman" w:hAnsi="Times New Roman"/>
                <w:b w:val="0"/>
                <w:szCs w:val="24"/>
              </w:rPr>
            </w:pPr>
            <w:r w:rsidRPr="0080619C">
              <w:rPr>
                <w:rFonts w:ascii="Times New Roman" w:eastAsia="Arial Unicode MS" w:hAnsi="Times New Roman"/>
                <w:b w:val="0"/>
                <w:bCs/>
                <w:szCs w:val="24"/>
                <w:lang w:val="da-DK"/>
              </w:rPr>
              <w:t xml:space="preserve">Bradykardi </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hAnsi="Times New Roman"/>
                <w:b w:val="0"/>
                <w:szCs w:val="24"/>
                <w:lang w:val="da-DK"/>
              </w:rPr>
            </w:pPr>
            <w:proofErr w:type="spellStart"/>
            <w:r w:rsidRPr="0080619C">
              <w:rPr>
                <w:rFonts w:ascii="Times New Roman" w:eastAsia="Arial Unicode MS" w:hAnsi="Times New Roman"/>
                <w:b w:val="0"/>
                <w:bCs/>
                <w:szCs w:val="24"/>
                <w:lang w:val="da-DK"/>
              </w:rPr>
              <w:t>Supraventriku</w:t>
            </w:r>
            <w:proofErr w:type="spellEnd"/>
            <w:r w:rsidRPr="0080619C">
              <w:rPr>
                <w:rFonts w:ascii="Times New Roman" w:eastAsia="Arial Unicode MS" w:hAnsi="Times New Roman"/>
                <w:b w:val="0"/>
                <w:bCs/>
                <w:szCs w:val="24"/>
                <w:lang w:val="da-DK"/>
              </w:rPr>
              <w:t xml:space="preserve">-lære </w:t>
            </w:r>
            <w:proofErr w:type="spellStart"/>
            <w:r w:rsidRPr="0080619C">
              <w:rPr>
                <w:rFonts w:ascii="Times New Roman" w:eastAsia="Arial Unicode MS" w:hAnsi="Times New Roman"/>
                <w:b w:val="0"/>
                <w:bCs/>
                <w:szCs w:val="24"/>
                <w:lang w:val="da-DK"/>
              </w:rPr>
              <w:t>ekstrasystoler</w:t>
            </w:r>
            <w:proofErr w:type="spellEnd"/>
            <w:r w:rsidRPr="0080619C">
              <w:rPr>
                <w:rFonts w:ascii="Times New Roman" w:eastAsia="Arial Unicode MS" w:hAnsi="Times New Roman"/>
                <w:b w:val="0"/>
                <w:bCs/>
                <w:szCs w:val="24"/>
                <w:lang w:val="da-DK"/>
              </w:rPr>
              <w:t xml:space="preserve">; </w:t>
            </w:r>
            <w:proofErr w:type="spellStart"/>
            <w:r w:rsidRPr="0080619C">
              <w:rPr>
                <w:rFonts w:ascii="Times New Roman" w:eastAsia="Arial Unicode MS" w:hAnsi="Times New Roman"/>
                <w:b w:val="0"/>
                <w:bCs/>
                <w:szCs w:val="24"/>
                <w:lang w:val="da-DK"/>
              </w:rPr>
              <w:t>atrioventriku</w:t>
            </w:r>
            <w:proofErr w:type="spellEnd"/>
            <w:r w:rsidRPr="0080619C">
              <w:rPr>
                <w:rFonts w:ascii="Times New Roman" w:eastAsia="Arial Unicode MS" w:hAnsi="Times New Roman"/>
                <w:b w:val="0"/>
                <w:bCs/>
                <w:szCs w:val="24"/>
                <w:lang w:val="da-DK"/>
              </w:rPr>
              <w:t xml:space="preserve">-lært blok af første grad; sinus bradykardi; </w:t>
            </w:r>
            <w:proofErr w:type="spellStart"/>
            <w:r w:rsidRPr="0080619C">
              <w:rPr>
                <w:rFonts w:ascii="Times New Roman" w:eastAsia="Arial Unicode MS" w:hAnsi="Times New Roman"/>
                <w:b w:val="0"/>
                <w:bCs/>
                <w:szCs w:val="24"/>
                <w:lang w:val="da-DK"/>
              </w:rPr>
              <w:t>palpitation</w:t>
            </w:r>
            <w:proofErr w:type="spellEnd"/>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roofErr w:type="spellStart"/>
            <w:r w:rsidRPr="0080619C">
              <w:rPr>
                <w:color w:val="222222"/>
                <w:sz w:val="24"/>
                <w:szCs w:val="24"/>
              </w:rPr>
              <w:t>Atrioventri-kulær</w:t>
            </w:r>
            <w:proofErr w:type="spellEnd"/>
            <w:r w:rsidRPr="0080619C">
              <w:rPr>
                <w:color w:val="222222"/>
                <w:sz w:val="24"/>
                <w:szCs w:val="24"/>
              </w:rPr>
              <w:t xml:space="preserve"> blok komplet.</w:t>
            </w: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proofErr w:type="spellStart"/>
            <w:r w:rsidRPr="0080619C">
              <w:rPr>
                <w:rFonts w:eastAsia="Arial Unicode MS"/>
                <w:b/>
                <w:bCs/>
                <w:sz w:val="24"/>
                <w:szCs w:val="24"/>
              </w:rPr>
              <w:t>Vaskulære</w:t>
            </w:r>
            <w:proofErr w:type="spellEnd"/>
            <w:r w:rsidRPr="0080619C">
              <w:rPr>
                <w:rFonts w:eastAsia="Arial Unicode MS"/>
                <w:b/>
                <w:bCs/>
                <w:sz w:val="24"/>
                <w:szCs w:val="24"/>
              </w:rPr>
              <w:t xml:space="preserve"> sygdomme</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rFonts w:eastAsia="Arial Unicode MS"/>
                <w:sz w:val="24"/>
                <w:szCs w:val="24"/>
              </w:rPr>
              <w:t>Hypertension</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hAnsi="Times New Roman"/>
                <w:b w:val="0"/>
                <w:szCs w:val="24"/>
              </w:rPr>
            </w:pPr>
            <w:r w:rsidRPr="0080619C">
              <w:rPr>
                <w:rFonts w:ascii="Times New Roman" w:eastAsia="Arial Unicode MS" w:hAnsi="Times New Roman"/>
                <w:b w:val="0"/>
                <w:bCs/>
                <w:szCs w:val="24"/>
                <w:lang w:val="da-DK"/>
              </w:rPr>
              <w:t>Hypotension; rødmen</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Mave- tarm kanalen</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Opkastning;</w:t>
            </w:r>
          </w:p>
          <w:p w:rsidR="005B428A" w:rsidRPr="0080619C" w:rsidRDefault="005B428A" w:rsidP="008F4F16">
            <w:pPr>
              <w:pStyle w:val="DisplaysSubtitle"/>
              <w:ind w:left="35"/>
              <w:rPr>
                <w:rFonts w:ascii="Times New Roman" w:hAnsi="Times New Roman"/>
                <w:b w:val="0"/>
                <w:szCs w:val="24"/>
              </w:rPr>
            </w:pPr>
            <w:r w:rsidRPr="0080619C">
              <w:rPr>
                <w:rFonts w:ascii="Times New Roman" w:eastAsia="Arial Unicode MS" w:hAnsi="Times New Roman"/>
                <w:b w:val="0"/>
                <w:bCs/>
                <w:szCs w:val="24"/>
                <w:lang w:val="da-DK"/>
              </w:rPr>
              <w:t>Kvalme</w:t>
            </w: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proofErr w:type="spellStart"/>
            <w:r w:rsidRPr="0080619C">
              <w:rPr>
                <w:rFonts w:ascii="Times New Roman" w:eastAsia="Arial Unicode MS" w:hAnsi="Times New Roman"/>
                <w:b w:val="0"/>
                <w:bCs/>
                <w:szCs w:val="24"/>
                <w:lang w:val="da-DK"/>
              </w:rPr>
              <w:t>Abdominal</w:t>
            </w:r>
            <w:proofErr w:type="spellEnd"/>
            <w:r w:rsidRPr="0080619C">
              <w:rPr>
                <w:rFonts w:ascii="Times New Roman" w:eastAsia="Arial Unicode MS" w:hAnsi="Times New Roman"/>
                <w:b w:val="0"/>
                <w:bCs/>
                <w:szCs w:val="24"/>
                <w:lang w:val="da-DK"/>
              </w:rPr>
              <w:t xml:space="preserve">-smerter; øvre </w:t>
            </w:r>
            <w:proofErr w:type="spellStart"/>
            <w:r w:rsidRPr="0080619C">
              <w:rPr>
                <w:rFonts w:ascii="Times New Roman" w:eastAsia="Arial Unicode MS" w:hAnsi="Times New Roman"/>
                <w:b w:val="0"/>
                <w:bCs/>
                <w:szCs w:val="24"/>
                <w:lang w:val="da-DK"/>
              </w:rPr>
              <w:t>abdominal</w:t>
            </w:r>
            <w:proofErr w:type="spellEnd"/>
            <w:r w:rsidRPr="0080619C">
              <w:rPr>
                <w:rFonts w:ascii="Times New Roman" w:eastAsia="Arial Unicode MS" w:hAnsi="Times New Roman"/>
                <w:b w:val="0"/>
                <w:bCs/>
                <w:szCs w:val="24"/>
                <w:lang w:val="da-DK"/>
              </w:rPr>
              <w:t xml:space="preserve">-smerter; diarre; dyspepsi; </w:t>
            </w:r>
            <w:proofErr w:type="spellStart"/>
            <w:r w:rsidRPr="0080619C">
              <w:rPr>
                <w:rFonts w:ascii="Times New Roman" w:eastAsia="Arial Unicode MS" w:hAnsi="Times New Roman"/>
                <w:b w:val="0"/>
                <w:bCs/>
                <w:szCs w:val="24"/>
                <w:lang w:val="da-DK"/>
              </w:rPr>
              <w:t>abdominalt</w:t>
            </w:r>
            <w:proofErr w:type="spellEnd"/>
            <w:r w:rsidRPr="0080619C">
              <w:rPr>
                <w:rFonts w:ascii="Times New Roman" w:eastAsia="Arial Unicode MS" w:hAnsi="Times New Roman"/>
                <w:b w:val="0"/>
                <w:bCs/>
                <w:szCs w:val="24"/>
                <w:lang w:val="da-DK"/>
              </w:rPr>
              <w:t xml:space="preserve"> ubehag</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proofErr w:type="spellStart"/>
            <w:r w:rsidRPr="0080619C">
              <w:rPr>
                <w:sz w:val="24"/>
                <w:szCs w:val="24"/>
              </w:rPr>
              <w:t>Opkastnings-fornemmelse</w:t>
            </w:r>
            <w:proofErr w:type="spellEnd"/>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Lever og galdeveje</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80"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Hepatitis</w:t>
            </w: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Hud og subkutane væv</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rPr>
                <w:sz w:val="24"/>
                <w:szCs w:val="24"/>
                <w:lang w:eastAsia="da-DK"/>
              </w:rPr>
            </w:pPr>
          </w:p>
        </w:tc>
        <w:tc>
          <w:tcPr>
            <w:tcW w:w="1080"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roofErr w:type="spellStart"/>
            <w:r w:rsidRPr="0080619C">
              <w:rPr>
                <w:sz w:val="24"/>
                <w:szCs w:val="24"/>
              </w:rPr>
              <w:t>Hyperhidrose</w:t>
            </w:r>
            <w:proofErr w:type="spellEnd"/>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r w:rsidRPr="0080619C">
              <w:rPr>
                <w:sz w:val="24"/>
                <w:szCs w:val="24"/>
              </w:rPr>
              <w:t>Stevens-Johnsons syndrom;</w:t>
            </w:r>
          </w:p>
          <w:p w:rsidR="005B428A" w:rsidRPr="0080619C" w:rsidRDefault="005B428A" w:rsidP="008F4F16">
            <w:pPr>
              <w:pStyle w:val="Brdtekst"/>
              <w:spacing w:after="0"/>
              <w:ind w:left="35"/>
              <w:rPr>
                <w:sz w:val="24"/>
                <w:szCs w:val="24"/>
              </w:rPr>
            </w:pPr>
            <w:r w:rsidRPr="0080619C">
              <w:rPr>
                <w:sz w:val="24"/>
                <w:szCs w:val="24"/>
              </w:rPr>
              <w:t xml:space="preserve">Akut </w:t>
            </w:r>
            <w:proofErr w:type="spellStart"/>
            <w:r w:rsidRPr="0080619C">
              <w:rPr>
                <w:sz w:val="24"/>
                <w:szCs w:val="24"/>
              </w:rPr>
              <w:t>genera-liseret</w:t>
            </w:r>
            <w:proofErr w:type="spellEnd"/>
            <w:r w:rsidRPr="0080619C">
              <w:rPr>
                <w:sz w:val="24"/>
                <w:szCs w:val="24"/>
              </w:rPr>
              <w:t xml:space="preserve"> </w:t>
            </w:r>
            <w:proofErr w:type="spellStart"/>
            <w:r w:rsidRPr="0080619C">
              <w:rPr>
                <w:sz w:val="24"/>
                <w:szCs w:val="24"/>
              </w:rPr>
              <w:t>eksantema</w:t>
            </w:r>
            <w:proofErr w:type="spellEnd"/>
            <w:r w:rsidRPr="0080619C">
              <w:rPr>
                <w:sz w:val="24"/>
                <w:szCs w:val="24"/>
              </w:rPr>
              <w:t xml:space="preserve">-tøs </w:t>
            </w:r>
            <w:proofErr w:type="spellStart"/>
            <w:r w:rsidRPr="0080619C">
              <w:rPr>
                <w:sz w:val="24"/>
                <w:szCs w:val="24"/>
              </w:rPr>
              <w:t>pustulose</w:t>
            </w:r>
            <w:proofErr w:type="spellEnd"/>
            <w:r w:rsidRPr="0080619C">
              <w:rPr>
                <w:sz w:val="24"/>
                <w:szCs w:val="24"/>
              </w:rPr>
              <w:t>;</w:t>
            </w:r>
          </w:p>
          <w:p w:rsidR="005B428A" w:rsidRPr="0080619C" w:rsidRDefault="005B428A" w:rsidP="008F4F16">
            <w:pPr>
              <w:pStyle w:val="Brdtekst"/>
              <w:spacing w:after="0"/>
              <w:ind w:left="35"/>
              <w:rPr>
                <w:sz w:val="24"/>
                <w:szCs w:val="24"/>
              </w:rPr>
            </w:pPr>
            <w:proofErr w:type="spellStart"/>
            <w:r w:rsidRPr="0080619C">
              <w:rPr>
                <w:sz w:val="24"/>
                <w:szCs w:val="24"/>
              </w:rPr>
              <w:t>Erythema</w:t>
            </w:r>
            <w:proofErr w:type="spellEnd"/>
            <w:r w:rsidRPr="0080619C">
              <w:rPr>
                <w:sz w:val="24"/>
                <w:szCs w:val="24"/>
              </w:rPr>
              <w:t xml:space="preserve"> multiforme</w:t>
            </w: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lastRenderedPageBreak/>
              <w:t xml:space="preserve">Knogler, led muskler og bindevæv  </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Muskelkramper</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Muskelsvaghed</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Almene symptomer og reaktioner på administrations-stedet</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Træthed; asteni;</w:t>
            </w:r>
          </w:p>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ubehag</w:t>
            </w:r>
          </w:p>
        </w:tc>
        <w:tc>
          <w:tcPr>
            <w:tcW w:w="1080"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b/>
                <w:bCs/>
                <w:sz w:val="24"/>
                <w:szCs w:val="24"/>
              </w:rPr>
              <w:t>Undersøgelser</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Vægttab</w:t>
            </w:r>
          </w:p>
        </w:tc>
        <w:tc>
          <w:tcPr>
            <w:tcW w:w="1080"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5"/>
              <w:rPr>
                <w:sz w:val="24"/>
                <w:szCs w:val="24"/>
              </w:rPr>
            </w:pPr>
            <w:r w:rsidRPr="0080619C">
              <w:rPr>
                <w:sz w:val="24"/>
                <w:szCs w:val="24"/>
              </w:rPr>
              <w:t>Forhøjede leverenzymer</w:t>
            </w: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r w:rsidR="005B428A" w:rsidRPr="0080619C" w:rsidTr="00DF67A6">
        <w:tc>
          <w:tcPr>
            <w:tcW w:w="1162"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Brdtekst"/>
              <w:spacing w:after="0"/>
              <w:ind w:left="34"/>
              <w:rPr>
                <w:b/>
                <w:bCs/>
                <w:sz w:val="24"/>
                <w:szCs w:val="24"/>
              </w:rPr>
            </w:pPr>
            <w:r w:rsidRPr="0080619C">
              <w:rPr>
                <w:rFonts w:eastAsia="Arial Unicode MS"/>
                <w:b/>
                <w:bCs/>
                <w:sz w:val="24"/>
                <w:szCs w:val="24"/>
              </w:rPr>
              <w:t>Traumer, forgiftninger og behandlings komplikationer</w:t>
            </w:r>
          </w:p>
        </w:tc>
        <w:tc>
          <w:tcPr>
            <w:tcW w:w="831"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1079" w:type="pct"/>
            <w:tcBorders>
              <w:top w:val="single" w:sz="4" w:space="0" w:color="000000"/>
              <w:left w:val="single" w:sz="4" w:space="0" w:color="000000"/>
              <w:bottom w:val="single" w:sz="4" w:space="0" w:color="000000"/>
              <w:right w:val="single" w:sz="4" w:space="0" w:color="000000"/>
            </w:tcBorders>
            <w:hideMark/>
          </w:tcPr>
          <w:p w:rsidR="005B428A" w:rsidRPr="0080619C" w:rsidRDefault="005B428A" w:rsidP="008F4F16">
            <w:pPr>
              <w:pStyle w:val="DisplaysSubtitle"/>
              <w:ind w:left="35"/>
              <w:rPr>
                <w:rFonts w:ascii="Times New Roman" w:eastAsia="Arial Unicode MS" w:hAnsi="Times New Roman"/>
                <w:b w:val="0"/>
                <w:bCs/>
                <w:szCs w:val="24"/>
                <w:lang w:val="da-DK"/>
              </w:rPr>
            </w:pPr>
            <w:r w:rsidRPr="0080619C">
              <w:rPr>
                <w:rFonts w:ascii="Times New Roman" w:eastAsia="Arial Unicode MS" w:hAnsi="Times New Roman"/>
                <w:b w:val="0"/>
                <w:bCs/>
                <w:szCs w:val="24"/>
                <w:lang w:val="da-DK"/>
              </w:rPr>
              <w:t>Fald;</w:t>
            </w:r>
            <w:r w:rsidR="008F4F16" w:rsidRPr="0080619C">
              <w:rPr>
                <w:rFonts w:ascii="Times New Roman" w:eastAsia="Arial Unicode MS" w:hAnsi="Times New Roman"/>
                <w:b w:val="0"/>
                <w:bCs/>
                <w:szCs w:val="24"/>
                <w:lang w:val="da-DK"/>
              </w:rPr>
              <w:t xml:space="preserve"> </w:t>
            </w:r>
            <w:proofErr w:type="spellStart"/>
            <w:r w:rsidRPr="0080619C">
              <w:rPr>
                <w:rFonts w:ascii="Times New Roman" w:eastAsia="Arial Unicode MS" w:hAnsi="Times New Roman"/>
                <w:b w:val="0"/>
                <w:bCs/>
                <w:szCs w:val="24"/>
                <w:lang w:val="da-DK"/>
              </w:rPr>
              <w:t>laceration</w:t>
            </w:r>
            <w:proofErr w:type="spellEnd"/>
          </w:p>
        </w:tc>
        <w:tc>
          <w:tcPr>
            <w:tcW w:w="1080"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c>
          <w:tcPr>
            <w:tcW w:w="847" w:type="pct"/>
            <w:tcBorders>
              <w:top w:val="single" w:sz="4" w:space="0" w:color="000000"/>
              <w:left w:val="single" w:sz="4" w:space="0" w:color="000000"/>
              <w:bottom w:val="single" w:sz="4" w:space="0" w:color="000000"/>
              <w:right w:val="single" w:sz="4" w:space="0" w:color="000000"/>
            </w:tcBorders>
          </w:tcPr>
          <w:p w:rsidR="005B428A" w:rsidRPr="0080619C" w:rsidRDefault="005B428A" w:rsidP="008F4F16">
            <w:pPr>
              <w:pStyle w:val="Brdtekst"/>
              <w:spacing w:after="0"/>
              <w:ind w:left="35"/>
              <w:rPr>
                <w:sz w:val="24"/>
                <w:szCs w:val="24"/>
              </w:rPr>
            </w:pPr>
          </w:p>
        </w:tc>
      </w:tr>
    </w:tbl>
    <w:p w:rsidR="005B428A" w:rsidRPr="0080619C" w:rsidRDefault="005B428A" w:rsidP="00F868EF">
      <w:pPr>
        <w:ind w:left="284" w:hanging="284"/>
        <w:rPr>
          <w:sz w:val="24"/>
          <w:szCs w:val="24"/>
          <w:lang w:eastAsia="en-GB"/>
        </w:rPr>
      </w:pPr>
      <w:r w:rsidRPr="0080619C">
        <w:rPr>
          <w:sz w:val="24"/>
          <w:szCs w:val="24"/>
          <w:lang w:eastAsia="en-GB"/>
        </w:rPr>
        <w:t xml:space="preserve">* </w:t>
      </w:r>
      <w:r w:rsidR="00F868EF" w:rsidRPr="0080619C">
        <w:rPr>
          <w:sz w:val="24"/>
          <w:szCs w:val="24"/>
          <w:lang w:eastAsia="en-GB"/>
        </w:rPr>
        <w:tab/>
      </w:r>
      <w:r w:rsidRPr="0080619C">
        <w:rPr>
          <w:sz w:val="24"/>
          <w:szCs w:val="24"/>
          <w:lang w:eastAsia="en-GB"/>
        </w:rPr>
        <w:t xml:space="preserve">Klasse-relaterede virkninger rapporteret med </w:t>
      </w:r>
      <w:proofErr w:type="spellStart"/>
      <w:r w:rsidRPr="0080619C">
        <w:rPr>
          <w:sz w:val="24"/>
          <w:szCs w:val="24"/>
          <w:lang w:eastAsia="en-GB"/>
        </w:rPr>
        <w:t>acetylcholinesterase</w:t>
      </w:r>
      <w:proofErr w:type="spellEnd"/>
      <w:r w:rsidRPr="0080619C">
        <w:rPr>
          <w:sz w:val="24"/>
          <w:szCs w:val="24"/>
          <w:lang w:eastAsia="en-GB"/>
        </w:rPr>
        <w:t>-hæmmer antidemens lægemidler inklusive rystelser/kramper (se pkt. 4.4).</w:t>
      </w:r>
    </w:p>
    <w:p w:rsidR="005B428A" w:rsidRPr="0080619C" w:rsidRDefault="005B428A" w:rsidP="00F868EF">
      <w:pPr>
        <w:rPr>
          <w:sz w:val="24"/>
          <w:szCs w:val="24"/>
          <w:lang w:eastAsia="en-GB"/>
        </w:rPr>
      </w:pPr>
    </w:p>
    <w:p w:rsidR="00F868EF" w:rsidRPr="0080619C" w:rsidRDefault="00F868EF" w:rsidP="00F868EF">
      <w:pPr>
        <w:autoSpaceDE w:val="0"/>
        <w:autoSpaceDN w:val="0"/>
        <w:ind w:left="851"/>
        <w:rPr>
          <w:sz w:val="24"/>
          <w:szCs w:val="24"/>
          <w:u w:val="single"/>
        </w:rPr>
      </w:pPr>
      <w:r w:rsidRPr="0080619C">
        <w:rPr>
          <w:sz w:val="24"/>
          <w:szCs w:val="24"/>
          <w:u w:val="single"/>
        </w:rPr>
        <w:t>Indberetning af formodede bivirkninger</w:t>
      </w:r>
    </w:p>
    <w:p w:rsidR="00F868EF" w:rsidRPr="0080619C" w:rsidRDefault="00F868EF" w:rsidP="00F868EF">
      <w:pPr>
        <w:ind w:left="851"/>
        <w:rPr>
          <w:sz w:val="24"/>
          <w:szCs w:val="24"/>
        </w:rPr>
      </w:pPr>
      <w:r w:rsidRPr="0080619C">
        <w:rPr>
          <w:sz w:val="24"/>
          <w:szCs w:val="24"/>
        </w:rPr>
        <w:t>Når lægemidlet er godkendt, er indberetning af formodede bivirkninger vigtig. Det muliggør løbende overvågning af benefit/</w:t>
      </w:r>
      <w:proofErr w:type="spellStart"/>
      <w:r w:rsidRPr="0080619C">
        <w:rPr>
          <w:sz w:val="24"/>
          <w:szCs w:val="24"/>
        </w:rPr>
        <w:t>risk</w:t>
      </w:r>
      <w:proofErr w:type="spellEnd"/>
      <w:r w:rsidRPr="0080619C">
        <w:rPr>
          <w:sz w:val="24"/>
          <w:szCs w:val="24"/>
        </w:rPr>
        <w:t>-forholdet for lægemidlet. Sundhedspersoner anmodes om at indberette alle formodede bivirkninger via:</w:t>
      </w:r>
    </w:p>
    <w:p w:rsidR="00F868EF" w:rsidRPr="0080619C" w:rsidRDefault="00F868EF" w:rsidP="00F868EF">
      <w:pPr>
        <w:tabs>
          <w:tab w:val="left" w:pos="2440"/>
        </w:tabs>
        <w:ind w:left="851"/>
        <w:rPr>
          <w:sz w:val="24"/>
          <w:szCs w:val="24"/>
        </w:rPr>
      </w:pPr>
    </w:p>
    <w:p w:rsidR="00F868EF" w:rsidRPr="0080619C" w:rsidRDefault="00F868EF" w:rsidP="00F868EF">
      <w:pPr>
        <w:ind w:left="851"/>
        <w:rPr>
          <w:sz w:val="24"/>
          <w:szCs w:val="24"/>
        </w:rPr>
      </w:pPr>
      <w:r w:rsidRPr="0080619C">
        <w:rPr>
          <w:sz w:val="24"/>
          <w:szCs w:val="24"/>
        </w:rPr>
        <w:t>Lægemiddelstyrelsen</w:t>
      </w:r>
    </w:p>
    <w:p w:rsidR="00F868EF" w:rsidRPr="0080619C" w:rsidRDefault="00F868EF" w:rsidP="00F868EF">
      <w:pPr>
        <w:ind w:left="851"/>
        <w:rPr>
          <w:sz w:val="24"/>
          <w:szCs w:val="24"/>
        </w:rPr>
      </w:pPr>
      <w:r w:rsidRPr="0080619C">
        <w:rPr>
          <w:sz w:val="24"/>
          <w:szCs w:val="24"/>
        </w:rPr>
        <w:t>Axel Heides Gade 1</w:t>
      </w:r>
    </w:p>
    <w:p w:rsidR="00F868EF" w:rsidRPr="0080619C" w:rsidRDefault="00F868EF" w:rsidP="00F868EF">
      <w:pPr>
        <w:ind w:left="851"/>
        <w:rPr>
          <w:sz w:val="24"/>
          <w:szCs w:val="24"/>
        </w:rPr>
      </w:pPr>
      <w:r w:rsidRPr="0080619C">
        <w:rPr>
          <w:sz w:val="24"/>
          <w:szCs w:val="24"/>
        </w:rPr>
        <w:t>DK-2300 København S</w:t>
      </w:r>
    </w:p>
    <w:p w:rsidR="00F868EF" w:rsidRPr="0080619C" w:rsidRDefault="00F868EF" w:rsidP="00F868EF">
      <w:pPr>
        <w:ind w:left="851"/>
        <w:rPr>
          <w:sz w:val="24"/>
          <w:szCs w:val="24"/>
        </w:rPr>
      </w:pPr>
      <w:r w:rsidRPr="0080619C">
        <w:rPr>
          <w:sz w:val="24"/>
          <w:szCs w:val="24"/>
        </w:rPr>
        <w:t xml:space="preserve">Websted: </w:t>
      </w:r>
      <w:hyperlink r:id="rId9" w:history="1">
        <w:r w:rsidRPr="0080619C">
          <w:rPr>
            <w:rStyle w:val="Hyperlink"/>
            <w:sz w:val="24"/>
            <w:szCs w:val="24"/>
          </w:rPr>
          <w:t>www.meldenbivirkning.dk</w:t>
        </w:r>
      </w:hyperlink>
    </w:p>
    <w:p w:rsidR="00F868EF" w:rsidRPr="0080619C" w:rsidRDefault="00F868EF" w:rsidP="005B428A">
      <w:pPr>
        <w:tabs>
          <w:tab w:val="left" w:pos="851"/>
        </w:tabs>
        <w:ind w:left="851" w:hanging="851"/>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4.9</w:t>
      </w:r>
      <w:r w:rsidRPr="0080619C">
        <w:rPr>
          <w:b/>
          <w:sz w:val="24"/>
          <w:szCs w:val="24"/>
        </w:rPr>
        <w:tab/>
        <w:t>Overdosering</w:t>
      </w:r>
    </w:p>
    <w:p w:rsidR="00A8205B" w:rsidRPr="0080619C" w:rsidRDefault="00A8205B" w:rsidP="005B428A">
      <w:pPr>
        <w:ind w:left="851"/>
        <w:rPr>
          <w:sz w:val="24"/>
          <w:szCs w:val="24"/>
          <w:u w:val="single"/>
        </w:rPr>
      </w:pPr>
    </w:p>
    <w:p w:rsidR="005B428A" w:rsidRPr="0080619C" w:rsidRDefault="005B428A" w:rsidP="005B428A">
      <w:pPr>
        <w:ind w:left="851"/>
        <w:rPr>
          <w:sz w:val="24"/>
          <w:szCs w:val="24"/>
          <w:u w:val="single"/>
        </w:rPr>
      </w:pPr>
      <w:r w:rsidRPr="0080619C">
        <w:rPr>
          <w:sz w:val="24"/>
          <w:szCs w:val="24"/>
          <w:u w:val="single"/>
        </w:rPr>
        <w:t>Symptomer</w:t>
      </w:r>
    </w:p>
    <w:p w:rsidR="005B428A" w:rsidRPr="0080619C" w:rsidRDefault="005B428A" w:rsidP="005B428A">
      <w:pPr>
        <w:ind w:left="851"/>
        <w:rPr>
          <w:sz w:val="24"/>
          <w:szCs w:val="24"/>
        </w:rPr>
      </w:pPr>
      <w:r w:rsidRPr="0080619C">
        <w:rPr>
          <w:sz w:val="24"/>
          <w:szCs w:val="24"/>
        </w:rPr>
        <w:t xml:space="preserve">Tegn og symptomer på betydelig overdosering af </w:t>
      </w:r>
      <w:proofErr w:type="spellStart"/>
      <w:r w:rsidRPr="0080619C">
        <w:rPr>
          <w:sz w:val="24"/>
          <w:szCs w:val="24"/>
        </w:rPr>
        <w:t>galantamin</w:t>
      </w:r>
      <w:proofErr w:type="spellEnd"/>
      <w:r w:rsidRPr="0080619C">
        <w:rPr>
          <w:sz w:val="24"/>
          <w:szCs w:val="24"/>
        </w:rPr>
        <w:t xml:space="preserve"> forudses at svare til overdosering af andre </w:t>
      </w:r>
      <w:proofErr w:type="spellStart"/>
      <w:r w:rsidRPr="0080619C">
        <w:rPr>
          <w:sz w:val="24"/>
          <w:szCs w:val="24"/>
        </w:rPr>
        <w:t>cholinerge</w:t>
      </w:r>
      <w:proofErr w:type="spellEnd"/>
      <w:r w:rsidRPr="0080619C">
        <w:rPr>
          <w:sz w:val="24"/>
          <w:szCs w:val="24"/>
        </w:rPr>
        <w:t xml:space="preserve"> lægemidler. Disse symptomer omfatter generelt hele nervesystemet, det parasympatiske nervesystem og den </w:t>
      </w:r>
      <w:proofErr w:type="spellStart"/>
      <w:r w:rsidRPr="0080619C">
        <w:rPr>
          <w:sz w:val="24"/>
          <w:szCs w:val="24"/>
        </w:rPr>
        <w:t>neuromuskulære</w:t>
      </w:r>
      <w:proofErr w:type="spellEnd"/>
      <w:r w:rsidRPr="0080619C">
        <w:rPr>
          <w:sz w:val="24"/>
          <w:szCs w:val="24"/>
        </w:rPr>
        <w:t xml:space="preserve"> overgang. Foruden muskelsvaghed eller </w:t>
      </w:r>
      <w:proofErr w:type="spellStart"/>
      <w:r w:rsidRPr="0080619C">
        <w:rPr>
          <w:sz w:val="24"/>
          <w:szCs w:val="24"/>
        </w:rPr>
        <w:t>fasikulationer</w:t>
      </w:r>
      <w:proofErr w:type="spellEnd"/>
      <w:r w:rsidRPr="0080619C">
        <w:rPr>
          <w:sz w:val="24"/>
          <w:szCs w:val="24"/>
        </w:rPr>
        <w:t xml:space="preserve"> kan nogle eller alle tegn på en </w:t>
      </w:r>
      <w:proofErr w:type="spellStart"/>
      <w:r w:rsidRPr="0080619C">
        <w:rPr>
          <w:sz w:val="24"/>
          <w:szCs w:val="24"/>
        </w:rPr>
        <w:t>cholinerg</w:t>
      </w:r>
      <w:proofErr w:type="spellEnd"/>
      <w:r w:rsidRPr="0080619C">
        <w:rPr>
          <w:sz w:val="24"/>
          <w:szCs w:val="24"/>
        </w:rPr>
        <w:t xml:space="preserve"> krise opstå: Svær kvalme, opkastning, </w:t>
      </w:r>
      <w:proofErr w:type="spellStart"/>
      <w:r w:rsidRPr="0080619C">
        <w:rPr>
          <w:sz w:val="24"/>
          <w:szCs w:val="24"/>
        </w:rPr>
        <w:t>gastro-intestinale</w:t>
      </w:r>
      <w:proofErr w:type="spellEnd"/>
      <w:r w:rsidRPr="0080619C">
        <w:rPr>
          <w:sz w:val="24"/>
          <w:szCs w:val="24"/>
        </w:rPr>
        <w:t xml:space="preserve"> kramper, spytafsondring, tåreflåd, vandladning, defækation, sveden, bradykardi, hypotension, kollaps og kramper. Forøget muskelsvaghed sammen med </w:t>
      </w:r>
      <w:proofErr w:type="spellStart"/>
      <w:r w:rsidRPr="0080619C">
        <w:rPr>
          <w:sz w:val="24"/>
          <w:szCs w:val="24"/>
        </w:rPr>
        <w:t>trakeal</w:t>
      </w:r>
      <w:proofErr w:type="spellEnd"/>
      <w:r w:rsidRPr="0080619C">
        <w:rPr>
          <w:sz w:val="24"/>
          <w:szCs w:val="24"/>
        </w:rPr>
        <w:t xml:space="preserve"> </w:t>
      </w:r>
      <w:proofErr w:type="spellStart"/>
      <w:r w:rsidRPr="0080619C">
        <w:rPr>
          <w:sz w:val="24"/>
          <w:szCs w:val="24"/>
        </w:rPr>
        <w:t>hypersekretion</w:t>
      </w:r>
      <w:proofErr w:type="spellEnd"/>
      <w:r w:rsidRPr="0080619C">
        <w:rPr>
          <w:sz w:val="24"/>
          <w:szCs w:val="24"/>
        </w:rPr>
        <w:t xml:space="preserve"> og </w:t>
      </w:r>
      <w:proofErr w:type="spellStart"/>
      <w:r w:rsidRPr="0080619C">
        <w:rPr>
          <w:sz w:val="24"/>
          <w:szCs w:val="24"/>
        </w:rPr>
        <w:t>bronkospasmer</w:t>
      </w:r>
      <w:proofErr w:type="spellEnd"/>
      <w:r w:rsidRPr="0080619C">
        <w:rPr>
          <w:sz w:val="24"/>
          <w:szCs w:val="24"/>
        </w:rPr>
        <w:t xml:space="preserve"> kan føre til kompromittering af de vitale luftveje.</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Efter markedsføringen har der været rapporteringer om </w:t>
      </w:r>
      <w:proofErr w:type="spellStart"/>
      <w:r w:rsidRPr="0080619C">
        <w:rPr>
          <w:sz w:val="24"/>
          <w:szCs w:val="24"/>
        </w:rPr>
        <w:t>torsade</w:t>
      </w:r>
      <w:proofErr w:type="spellEnd"/>
      <w:r w:rsidRPr="0080619C">
        <w:rPr>
          <w:sz w:val="24"/>
          <w:szCs w:val="24"/>
        </w:rPr>
        <w:t xml:space="preserve"> de pointes, QT-forlængelse, bradykardi, </w:t>
      </w:r>
      <w:proofErr w:type="spellStart"/>
      <w:r w:rsidRPr="0080619C">
        <w:rPr>
          <w:sz w:val="24"/>
          <w:szCs w:val="24"/>
        </w:rPr>
        <w:t>ventrikulær</w:t>
      </w:r>
      <w:proofErr w:type="spellEnd"/>
      <w:r w:rsidRPr="0080619C">
        <w:rPr>
          <w:sz w:val="24"/>
          <w:szCs w:val="24"/>
        </w:rPr>
        <w:t xml:space="preserve"> </w:t>
      </w:r>
      <w:proofErr w:type="spellStart"/>
      <w:r w:rsidRPr="0080619C">
        <w:rPr>
          <w:sz w:val="24"/>
          <w:szCs w:val="24"/>
        </w:rPr>
        <w:t>takykardi</w:t>
      </w:r>
      <w:proofErr w:type="spellEnd"/>
      <w:r w:rsidRPr="0080619C">
        <w:rPr>
          <w:sz w:val="24"/>
          <w:szCs w:val="24"/>
        </w:rPr>
        <w:t xml:space="preserve"> og kortvarigt bevidsthedstab i forbindelse med utilsigtede overdoser af </w:t>
      </w:r>
      <w:proofErr w:type="spellStart"/>
      <w:r w:rsidRPr="0080619C">
        <w:rPr>
          <w:sz w:val="24"/>
          <w:szCs w:val="24"/>
        </w:rPr>
        <w:t>galantamin</w:t>
      </w:r>
      <w:proofErr w:type="spellEnd"/>
      <w:r w:rsidRPr="0080619C">
        <w:rPr>
          <w:sz w:val="24"/>
          <w:szCs w:val="24"/>
        </w:rPr>
        <w:t>. I ét tilfælde, hvor dosis var kendt, blev 8 tabletter (i alt 32 mg) indtaget på en enkelt dag.</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To yderligere rapporter omhandlende utilsigtet indtagelse af 32 mg (kvalme, opkast og mundtørhed; kvalme, opkast og </w:t>
      </w:r>
      <w:proofErr w:type="spellStart"/>
      <w:r w:rsidRPr="0080619C">
        <w:rPr>
          <w:sz w:val="24"/>
          <w:szCs w:val="24"/>
        </w:rPr>
        <w:t>substernale</w:t>
      </w:r>
      <w:proofErr w:type="spellEnd"/>
      <w:r w:rsidRPr="0080619C">
        <w:rPr>
          <w:sz w:val="24"/>
          <w:szCs w:val="24"/>
        </w:rPr>
        <w:t xml:space="preserve"> brystsmerter) og en rapport om utilsigtet indtagelse af 40 mg (opkast), resulterede i kortvarig hospitalsindlæggelse til observation. </w:t>
      </w:r>
      <w:r w:rsidRPr="0080619C">
        <w:rPr>
          <w:sz w:val="24"/>
          <w:szCs w:val="24"/>
        </w:rPr>
        <w:lastRenderedPageBreak/>
        <w:t>Patienten kom sig fuldstændigt. En patient, der gennem de sidste år 2 havde oplevet hallucinationer, indtog ved fejl 24 mg 2 gange daglig i 34 dage, i stedet for det ordinerede 24 mg daglig. Patienten udviklede hallucinationer der krævede hospitalsindlæggelse. En anden patient, hvis ordination var oral opløsning 16 mg daglig, indtog utilsigtet 160 mg (40 ml). Patienten oplevede øget svedtendens, opkast, bradykardi og en nær-synkope en time efter, som krævede behandling på et hospital. Han blev symptomfri efter 24 timer.</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Behandling</w:t>
      </w:r>
    </w:p>
    <w:p w:rsidR="005B428A" w:rsidRPr="0080619C" w:rsidRDefault="005B428A" w:rsidP="005B428A">
      <w:pPr>
        <w:ind w:left="851"/>
        <w:rPr>
          <w:sz w:val="24"/>
          <w:szCs w:val="24"/>
        </w:rPr>
      </w:pPr>
      <w:r w:rsidRPr="0080619C">
        <w:rPr>
          <w:sz w:val="24"/>
          <w:szCs w:val="24"/>
        </w:rPr>
        <w:t xml:space="preserve">Som ved ethvert tilfælde af overdosering bør anvendes generelt understøttende foranstaltninger.  I alvorlige tilfælde kan der anvendes </w:t>
      </w:r>
      <w:proofErr w:type="spellStart"/>
      <w:r w:rsidRPr="0080619C">
        <w:rPr>
          <w:sz w:val="24"/>
          <w:szCs w:val="24"/>
        </w:rPr>
        <w:t>anticholinergika</w:t>
      </w:r>
      <w:proofErr w:type="spellEnd"/>
      <w:r w:rsidRPr="0080619C">
        <w:rPr>
          <w:sz w:val="24"/>
          <w:szCs w:val="24"/>
        </w:rPr>
        <w:t xml:space="preserve"> som f.eks. atropin som generel </w:t>
      </w:r>
      <w:proofErr w:type="spellStart"/>
      <w:r w:rsidRPr="0080619C">
        <w:rPr>
          <w:sz w:val="24"/>
          <w:szCs w:val="24"/>
        </w:rPr>
        <w:t>antidot</w:t>
      </w:r>
      <w:proofErr w:type="spellEnd"/>
      <w:r w:rsidRPr="0080619C">
        <w:rPr>
          <w:sz w:val="24"/>
          <w:szCs w:val="24"/>
        </w:rPr>
        <w:t xml:space="preserve"> for </w:t>
      </w:r>
      <w:proofErr w:type="spellStart"/>
      <w:r w:rsidRPr="0080619C">
        <w:rPr>
          <w:sz w:val="24"/>
          <w:szCs w:val="24"/>
        </w:rPr>
        <w:t>cholinerge</w:t>
      </w:r>
      <w:proofErr w:type="spellEnd"/>
      <w:r w:rsidRPr="0080619C">
        <w:rPr>
          <w:sz w:val="24"/>
          <w:szCs w:val="24"/>
        </w:rPr>
        <w:t xml:space="preserve"> lægemidler.  En begyndelsesdosis på 0,5-1,0 mg intravenøst anbefales med efterfølgende doser baseret på det kliniske respons.</w:t>
      </w:r>
    </w:p>
    <w:p w:rsidR="005B428A" w:rsidRPr="0080619C" w:rsidRDefault="005B428A" w:rsidP="005B428A">
      <w:pPr>
        <w:ind w:left="851"/>
        <w:rPr>
          <w:sz w:val="24"/>
          <w:szCs w:val="24"/>
        </w:rPr>
      </w:pPr>
      <w:r w:rsidRPr="0080619C">
        <w:rPr>
          <w:sz w:val="24"/>
          <w:szCs w:val="24"/>
        </w:rPr>
        <w:t>Da strategierne for behandling af overdosering udvikles løbende, tilrådes det at kontakte en giftinformationscentral med henblik på at finde de seneste anbefalinger for behandling af en overdosis.</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4.10</w:t>
      </w:r>
      <w:r w:rsidRPr="0080619C">
        <w:rPr>
          <w:b/>
          <w:sz w:val="24"/>
          <w:szCs w:val="24"/>
        </w:rPr>
        <w:tab/>
        <w:t>Udlevering</w:t>
      </w:r>
    </w:p>
    <w:p w:rsidR="005B428A" w:rsidRPr="0080619C" w:rsidRDefault="005B428A" w:rsidP="005B428A">
      <w:pPr>
        <w:tabs>
          <w:tab w:val="left" w:pos="851"/>
        </w:tabs>
        <w:ind w:left="851" w:hanging="851"/>
        <w:rPr>
          <w:sz w:val="24"/>
          <w:szCs w:val="24"/>
        </w:rPr>
      </w:pPr>
      <w:r w:rsidRPr="0080619C">
        <w:rPr>
          <w:sz w:val="24"/>
          <w:szCs w:val="24"/>
        </w:rPr>
        <w:tab/>
        <w:t>A</w:t>
      </w:r>
    </w:p>
    <w:p w:rsidR="005B428A" w:rsidRPr="0080619C" w:rsidRDefault="005B428A" w:rsidP="005B428A">
      <w:pPr>
        <w:tabs>
          <w:tab w:val="left" w:pos="851"/>
        </w:tabs>
        <w:rPr>
          <w:sz w:val="24"/>
          <w:szCs w:val="24"/>
        </w:rPr>
      </w:pP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5.</w:t>
      </w:r>
      <w:r w:rsidRPr="0080619C">
        <w:rPr>
          <w:b/>
          <w:sz w:val="24"/>
          <w:szCs w:val="24"/>
        </w:rPr>
        <w:tab/>
        <w:t>FARMAKOLOGISKE EGENSKABER</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5.0</w:t>
      </w:r>
      <w:r w:rsidRPr="0080619C">
        <w:rPr>
          <w:b/>
          <w:sz w:val="24"/>
          <w:szCs w:val="24"/>
        </w:rPr>
        <w:tab/>
        <w:t>Terapeutisk klassifikation</w:t>
      </w:r>
    </w:p>
    <w:p w:rsidR="005B428A" w:rsidRPr="0080619C" w:rsidRDefault="005B428A" w:rsidP="005B428A">
      <w:pPr>
        <w:ind w:left="851"/>
        <w:rPr>
          <w:sz w:val="24"/>
          <w:szCs w:val="24"/>
        </w:rPr>
      </w:pPr>
      <w:r w:rsidRPr="0080619C">
        <w:rPr>
          <w:sz w:val="24"/>
          <w:szCs w:val="24"/>
        </w:rPr>
        <w:t>ATC-kode: N 06 DA 04. Antidemens lægemidler.</w:t>
      </w:r>
    </w:p>
    <w:p w:rsidR="005B428A" w:rsidRPr="0080619C" w:rsidRDefault="005B428A" w:rsidP="005B428A">
      <w:pPr>
        <w:tabs>
          <w:tab w:val="left" w:pos="851"/>
        </w:tabs>
        <w:rPr>
          <w:sz w:val="24"/>
          <w:szCs w:val="24"/>
        </w:rPr>
      </w:pPr>
    </w:p>
    <w:p w:rsidR="005B428A" w:rsidRPr="0080619C" w:rsidRDefault="005B428A" w:rsidP="005B428A">
      <w:pPr>
        <w:tabs>
          <w:tab w:val="num" w:pos="851"/>
        </w:tabs>
        <w:ind w:left="851" w:hanging="851"/>
        <w:rPr>
          <w:b/>
          <w:sz w:val="24"/>
          <w:szCs w:val="24"/>
        </w:rPr>
      </w:pPr>
      <w:r w:rsidRPr="0080619C">
        <w:rPr>
          <w:b/>
          <w:sz w:val="24"/>
          <w:szCs w:val="24"/>
        </w:rPr>
        <w:t>5.1</w:t>
      </w:r>
      <w:r w:rsidRPr="0080619C">
        <w:rPr>
          <w:b/>
          <w:sz w:val="24"/>
          <w:szCs w:val="24"/>
        </w:rPr>
        <w:tab/>
      </w:r>
      <w:proofErr w:type="spellStart"/>
      <w:r w:rsidRPr="0080619C">
        <w:rPr>
          <w:b/>
          <w:sz w:val="24"/>
          <w:szCs w:val="24"/>
        </w:rPr>
        <w:t>Farmakodynamiske</w:t>
      </w:r>
      <w:proofErr w:type="spellEnd"/>
      <w:r w:rsidRPr="0080619C">
        <w:rPr>
          <w:b/>
          <w:sz w:val="24"/>
          <w:szCs w:val="24"/>
        </w:rPr>
        <w:t xml:space="preserve"> egenskaber</w:t>
      </w:r>
    </w:p>
    <w:p w:rsidR="00A8205B" w:rsidRPr="0080619C" w:rsidRDefault="00A8205B" w:rsidP="005B428A">
      <w:pPr>
        <w:ind w:left="851"/>
        <w:rPr>
          <w:sz w:val="24"/>
          <w:szCs w:val="24"/>
          <w:u w:val="single"/>
        </w:rPr>
      </w:pPr>
    </w:p>
    <w:p w:rsidR="005B428A" w:rsidRPr="0080619C" w:rsidRDefault="005B428A" w:rsidP="005B428A">
      <w:pPr>
        <w:ind w:left="851"/>
        <w:rPr>
          <w:sz w:val="24"/>
          <w:szCs w:val="24"/>
          <w:u w:val="single"/>
        </w:rPr>
      </w:pPr>
      <w:r w:rsidRPr="0080619C">
        <w:rPr>
          <w:sz w:val="24"/>
          <w:szCs w:val="24"/>
          <w:u w:val="single"/>
        </w:rPr>
        <w:t>Virkningsmekanisme</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w:t>
      </w:r>
      <w:proofErr w:type="gramStart"/>
      <w:r w:rsidRPr="0080619C">
        <w:rPr>
          <w:sz w:val="24"/>
          <w:szCs w:val="24"/>
        </w:rPr>
        <w:t>en tertiær alkaloid</w:t>
      </w:r>
      <w:proofErr w:type="gramEnd"/>
      <w:r w:rsidRPr="0080619C">
        <w:rPr>
          <w:sz w:val="24"/>
          <w:szCs w:val="24"/>
        </w:rPr>
        <w:t xml:space="preserve">, er en selektiv, </w:t>
      </w:r>
      <w:proofErr w:type="spellStart"/>
      <w:r w:rsidRPr="0080619C">
        <w:rPr>
          <w:sz w:val="24"/>
          <w:szCs w:val="24"/>
        </w:rPr>
        <w:t>kompetitiv</w:t>
      </w:r>
      <w:proofErr w:type="spellEnd"/>
      <w:r w:rsidRPr="0080619C">
        <w:rPr>
          <w:sz w:val="24"/>
          <w:szCs w:val="24"/>
        </w:rPr>
        <w:t xml:space="preserve"> og reversibel </w:t>
      </w:r>
      <w:proofErr w:type="spellStart"/>
      <w:r w:rsidRPr="0080619C">
        <w:rPr>
          <w:sz w:val="24"/>
          <w:szCs w:val="24"/>
        </w:rPr>
        <w:t>acetylcholin</w:t>
      </w:r>
      <w:r w:rsidR="00816408" w:rsidRPr="0080619C">
        <w:rPr>
          <w:sz w:val="24"/>
          <w:szCs w:val="24"/>
        </w:rPr>
        <w:softHyphen/>
      </w:r>
      <w:r w:rsidRPr="0080619C">
        <w:rPr>
          <w:sz w:val="24"/>
          <w:szCs w:val="24"/>
        </w:rPr>
        <w:t>esterasehæmmer</w:t>
      </w:r>
      <w:proofErr w:type="spellEnd"/>
      <w:r w:rsidRPr="0080619C">
        <w:rPr>
          <w:sz w:val="24"/>
          <w:szCs w:val="24"/>
        </w:rPr>
        <w:t xml:space="preserve">. Desuden forøger </w:t>
      </w: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acetylcholins</w:t>
      </w:r>
      <w:proofErr w:type="spellEnd"/>
      <w:r w:rsidRPr="0080619C">
        <w:rPr>
          <w:sz w:val="24"/>
          <w:szCs w:val="24"/>
        </w:rPr>
        <w:t xml:space="preserve"> indre virkning på nikotinreceptorer, sandsynligvis ved binding til et </w:t>
      </w:r>
      <w:proofErr w:type="spellStart"/>
      <w:r w:rsidRPr="0080619C">
        <w:rPr>
          <w:sz w:val="24"/>
          <w:szCs w:val="24"/>
        </w:rPr>
        <w:t>allosterisk</w:t>
      </w:r>
      <w:proofErr w:type="spellEnd"/>
      <w:r w:rsidRPr="0080619C">
        <w:rPr>
          <w:sz w:val="24"/>
          <w:szCs w:val="24"/>
        </w:rPr>
        <w:t xml:space="preserve"> sted på receptoren. Dette medfører en øget aktivitet i det </w:t>
      </w:r>
      <w:proofErr w:type="spellStart"/>
      <w:r w:rsidRPr="0080619C">
        <w:rPr>
          <w:sz w:val="24"/>
          <w:szCs w:val="24"/>
        </w:rPr>
        <w:t>cholinerge</w:t>
      </w:r>
      <w:proofErr w:type="spellEnd"/>
      <w:r w:rsidRPr="0080619C">
        <w:rPr>
          <w:sz w:val="24"/>
          <w:szCs w:val="24"/>
        </w:rPr>
        <w:t xml:space="preserve"> system, samtidig med at en forbedret kognitiv funktion kan opnås hos patienter med demens af Alzheimer typen.</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Kliniske studier</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blev oprindelig udviklet som tabletter med omgående udløsning til indgift 2 gange daglig. Den effektive dosering af </w:t>
      </w:r>
      <w:proofErr w:type="spellStart"/>
      <w:r w:rsidRPr="0080619C">
        <w:rPr>
          <w:sz w:val="24"/>
          <w:szCs w:val="24"/>
        </w:rPr>
        <w:t>galantamin</w:t>
      </w:r>
      <w:proofErr w:type="spellEnd"/>
      <w:r w:rsidRPr="0080619C">
        <w:rPr>
          <w:sz w:val="24"/>
          <w:szCs w:val="24"/>
        </w:rPr>
        <w:t xml:space="preserve"> i disse placebokontrollerede kliniske studier med 5-6 måneders varighed var 16, 24 og 32 mg/dag. Af disse doser besluttedes 16 og 24 mg/dag at have det bedste forhold mellem fordele og ulemper og er de anbefalede vedligeholdelsesdoser. </w:t>
      </w:r>
      <w:proofErr w:type="spellStart"/>
      <w:r w:rsidRPr="0080619C">
        <w:rPr>
          <w:sz w:val="24"/>
          <w:szCs w:val="24"/>
        </w:rPr>
        <w:t>Galantamin</w:t>
      </w:r>
      <w:proofErr w:type="spellEnd"/>
      <w:r w:rsidRPr="0080619C">
        <w:rPr>
          <w:sz w:val="24"/>
          <w:szCs w:val="24"/>
        </w:rPr>
        <w:t xml:space="preserve"> virkning er blevet påvist ved anvendelse af effektmålinger, som evaluerer denne sygdoms tre største symptomkomplekser og en global skala: ADAS-</w:t>
      </w:r>
      <w:proofErr w:type="spellStart"/>
      <w:r w:rsidRPr="0080619C">
        <w:rPr>
          <w:sz w:val="24"/>
          <w:szCs w:val="24"/>
        </w:rPr>
        <w:t>cog</w:t>
      </w:r>
      <w:proofErr w:type="spellEnd"/>
      <w:r w:rsidRPr="0080619C">
        <w:rPr>
          <w:sz w:val="24"/>
          <w:szCs w:val="24"/>
        </w:rPr>
        <w:t xml:space="preserve">/11 (performance-baseret kognitionsmåling), DAD og ADCS-ADL-Inventory (målinger af basis og skala for det daglige aktivitetsniveau), </w:t>
      </w:r>
      <w:proofErr w:type="spellStart"/>
      <w:r w:rsidRPr="0080619C">
        <w:rPr>
          <w:sz w:val="24"/>
          <w:szCs w:val="24"/>
        </w:rPr>
        <w:t>Neuropsychiatric</w:t>
      </w:r>
      <w:proofErr w:type="spellEnd"/>
      <w:r w:rsidRPr="0080619C">
        <w:rPr>
          <w:sz w:val="24"/>
          <w:szCs w:val="24"/>
        </w:rPr>
        <w:t xml:space="preserve"> Inventory (en skala, som måler adfærdsforstyrrelser) og CIBIC-plus (en global vurdering foretaget af en uvildig læge baseret på klinisk interview med patienten og omsorgspersonen).</w:t>
      </w:r>
    </w:p>
    <w:p w:rsidR="00D47ED9" w:rsidRDefault="00D47ED9">
      <w:pPr>
        <w:rPr>
          <w:sz w:val="24"/>
          <w:szCs w:val="24"/>
        </w:rPr>
      </w:pPr>
      <w:r>
        <w:rPr>
          <w:sz w:val="24"/>
          <w:szCs w:val="24"/>
        </w:rPr>
        <w:br w:type="page"/>
      </w:r>
    </w:p>
    <w:p w:rsidR="005B428A" w:rsidRPr="0080619C" w:rsidRDefault="005B428A" w:rsidP="005B428A">
      <w:pPr>
        <w:ind w:left="851"/>
        <w:rPr>
          <w:sz w:val="24"/>
          <w:szCs w:val="24"/>
        </w:rPr>
      </w:pPr>
    </w:p>
    <w:p w:rsidR="005B428A" w:rsidRPr="0080619C" w:rsidRDefault="005B428A" w:rsidP="005B428A">
      <w:pPr>
        <w:ind w:left="851"/>
        <w:rPr>
          <w:b/>
          <w:sz w:val="24"/>
          <w:szCs w:val="24"/>
        </w:rPr>
      </w:pPr>
      <w:r w:rsidRPr="0080619C">
        <w:rPr>
          <w:b/>
          <w:sz w:val="24"/>
          <w:szCs w:val="24"/>
        </w:rPr>
        <w:t>Kompositionsresponsanalyse baseret på mindst 4 points forbedring i ADAS-</w:t>
      </w:r>
      <w:proofErr w:type="spellStart"/>
      <w:r w:rsidRPr="0080619C">
        <w:rPr>
          <w:b/>
          <w:sz w:val="24"/>
          <w:szCs w:val="24"/>
        </w:rPr>
        <w:t>Cog</w:t>
      </w:r>
      <w:proofErr w:type="spellEnd"/>
      <w:r w:rsidRPr="0080619C">
        <w:rPr>
          <w:b/>
          <w:sz w:val="24"/>
          <w:szCs w:val="24"/>
        </w:rPr>
        <w:t>/11 sammenlignet med baseline og CIBIC-plus uforandret + forbedret (1-4) og DAD/ADL-score uforandret + forbedret (jf. nedenstående tabel).</w:t>
      </w:r>
    </w:p>
    <w:p w:rsidR="005B428A" w:rsidRPr="0080619C" w:rsidRDefault="005B428A" w:rsidP="005B428A">
      <w:pPr>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81"/>
        <w:gridCol w:w="553"/>
        <w:gridCol w:w="1232"/>
        <w:gridCol w:w="46"/>
        <w:gridCol w:w="1013"/>
        <w:gridCol w:w="179"/>
        <w:gridCol w:w="1103"/>
        <w:gridCol w:w="732"/>
        <w:gridCol w:w="1196"/>
        <w:gridCol w:w="1238"/>
        <w:gridCol w:w="963"/>
      </w:tblGrid>
      <w:tr w:rsidR="005B428A" w:rsidRPr="00D81B65" w:rsidTr="00816408">
        <w:tc>
          <w:tcPr>
            <w:tcW w:w="5000" w:type="pct"/>
            <w:gridSpan w:val="1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lastRenderedPageBreak/>
              <w:t>Mindst 4 points forbedring i forhold til baseline i ADAS-</w:t>
            </w:r>
            <w:proofErr w:type="spellStart"/>
            <w:r w:rsidRPr="00D81B65">
              <w:rPr>
                <w:sz w:val="22"/>
                <w:szCs w:val="22"/>
              </w:rPr>
              <w:t>Cog</w:t>
            </w:r>
            <w:proofErr w:type="spellEnd"/>
            <w:r w:rsidRPr="00D81B65">
              <w:rPr>
                <w:sz w:val="22"/>
                <w:szCs w:val="22"/>
              </w:rPr>
              <w:t>/11 og CIBIC-plus uforandret + forbedret</w:t>
            </w:r>
          </w:p>
        </w:tc>
      </w:tr>
      <w:tr w:rsidR="005B428A" w:rsidRPr="00D81B65" w:rsidTr="00816408">
        <w:tc>
          <w:tcPr>
            <w:tcW w:w="713" w:type="pct"/>
            <w:gridSpan w:val="2"/>
            <w:vMerge w:val="restar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t>Behandling</w:t>
            </w:r>
          </w:p>
        </w:tc>
        <w:tc>
          <w:tcPr>
            <w:tcW w:w="2142" w:type="pct"/>
            <w:gridSpan w:val="6"/>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 xml:space="preserve">Ændring i DAD </w:t>
            </w:r>
            <w:r w:rsidRPr="00D81B65">
              <w:rPr>
                <w:sz w:val="22"/>
                <w:szCs w:val="22"/>
              </w:rPr>
              <w:sym w:font="Symbol" w:char="00B3"/>
            </w:r>
            <w:r w:rsidRPr="00D81B65">
              <w:rPr>
                <w:sz w:val="22"/>
                <w:szCs w:val="22"/>
              </w:rPr>
              <w:t>0</w:t>
            </w:r>
          </w:p>
          <w:p w:rsidR="005B428A" w:rsidRPr="00D81B65" w:rsidRDefault="005B428A" w:rsidP="001D0D0E">
            <w:pPr>
              <w:ind w:left="34"/>
              <w:rPr>
                <w:sz w:val="22"/>
                <w:szCs w:val="22"/>
                <w:lang w:eastAsia="en-GB"/>
              </w:rPr>
            </w:pPr>
            <w:r w:rsidRPr="00D81B65">
              <w:rPr>
                <w:sz w:val="22"/>
                <w:szCs w:val="22"/>
              </w:rPr>
              <w:t>GAL-USA-1 og GAL-INT-1 (måned 6)</w:t>
            </w:r>
          </w:p>
        </w:tc>
        <w:tc>
          <w:tcPr>
            <w:tcW w:w="2145" w:type="pct"/>
            <w:gridSpan w:val="4"/>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Ændring i ADCS/ADL-</w:t>
            </w:r>
            <w:proofErr w:type="spellStart"/>
            <w:r w:rsidRPr="00D81B65">
              <w:rPr>
                <w:sz w:val="22"/>
                <w:szCs w:val="22"/>
              </w:rPr>
              <w:t>Invetory</w:t>
            </w:r>
            <w:proofErr w:type="spellEnd"/>
            <w:r w:rsidRPr="00D81B65">
              <w:rPr>
                <w:sz w:val="22"/>
                <w:szCs w:val="22"/>
              </w:rPr>
              <w:t xml:space="preserve"> </w:t>
            </w:r>
            <w:r w:rsidRPr="00D81B65">
              <w:rPr>
                <w:sz w:val="22"/>
                <w:szCs w:val="22"/>
              </w:rPr>
              <w:sym w:font="Symbol" w:char="00B3"/>
            </w:r>
            <w:r w:rsidRPr="00D81B65">
              <w:rPr>
                <w:sz w:val="22"/>
                <w:szCs w:val="22"/>
              </w:rPr>
              <w:t>0</w:t>
            </w:r>
          </w:p>
          <w:p w:rsidR="005B428A" w:rsidRPr="00D81B65" w:rsidRDefault="005B428A" w:rsidP="001D0D0E">
            <w:pPr>
              <w:ind w:left="34"/>
              <w:rPr>
                <w:sz w:val="22"/>
                <w:szCs w:val="22"/>
                <w:lang w:eastAsia="en-GB"/>
              </w:rPr>
            </w:pPr>
            <w:r w:rsidRPr="00D81B65">
              <w:rPr>
                <w:sz w:val="22"/>
                <w:szCs w:val="22"/>
              </w:rPr>
              <w:t>GAL-USA-10 (måned 5)</w:t>
            </w:r>
          </w:p>
        </w:tc>
      </w:tr>
      <w:tr w:rsidR="005B428A" w:rsidRPr="00D81B65" w:rsidTr="00816408">
        <w:tc>
          <w:tcPr>
            <w:tcW w:w="713" w:type="pct"/>
            <w:gridSpan w:val="2"/>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287" w:type="pct"/>
            <w:vMerge w:val="restar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t>n</w:t>
            </w:r>
          </w:p>
        </w:tc>
        <w:tc>
          <w:tcPr>
            <w:tcW w:w="664" w:type="pct"/>
            <w:gridSpan w:val="2"/>
            <w:vMerge w:val="restart"/>
            <w:tcBorders>
              <w:top w:val="single" w:sz="4" w:space="0" w:color="auto"/>
              <w:left w:val="single" w:sz="4" w:space="0" w:color="auto"/>
              <w:bottom w:val="single" w:sz="4" w:space="0" w:color="auto"/>
              <w:right w:val="single" w:sz="4" w:space="0" w:color="auto"/>
            </w:tcBorders>
            <w:hideMark/>
          </w:tcPr>
          <w:p w:rsidR="005B428A" w:rsidRPr="00D81B65" w:rsidRDefault="00D81B65" w:rsidP="001D0D0E">
            <w:pPr>
              <w:ind w:left="34"/>
              <w:rPr>
                <w:sz w:val="22"/>
                <w:szCs w:val="22"/>
                <w:lang w:eastAsia="en-GB"/>
              </w:rPr>
            </w:pPr>
            <w:r>
              <w:rPr>
                <w:sz w:val="22"/>
                <w:szCs w:val="22"/>
              </w:rPr>
              <w:t xml:space="preserve">n </w:t>
            </w:r>
            <w:r w:rsidR="005B428A" w:rsidRPr="00D81B65">
              <w:rPr>
                <w:sz w:val="22"/>
                <w:szCs w:val="22"/>
              </w:rPr>
              <w:t>(%) af respon</w:t>
            </w:r>
            <w:r w:rsidR="005B428A" w:rsidRPr="00D81B65">
              <w:rPr>
                <w:sz w:val="22"/>
                <w:szCs w:val="22"/>
              </w:rPr>
              <w:softHyphen/>
              <w:t>denter</w:t>
            </w:r>
          </w:p>
        </w:tc>
        <w:tc>
          <w:tcPr>
            <w:tcW w:w="1192" w:type="pct"/>
            <w:gridSpan w:val="3"/>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t>Sammenligning med placebo</w:t>
            </w:r>
          </w:p>
        </w:tc>
        <w:tc>
          <w:tcPr>
            <w:tcW w:w="380" w:type="pct"/>
            <w:vMerge w:val="restar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t>n</w:t>
            </w:r>
          </w:p>
        </w:tc>
        <w:tc>
          <w:tcPr>
            <w:tcW w:w="621" w:type="pct"/>
            <w:vMerge w:val="restart"/>
            <w:tcBorders>
              <w:top w:val="single" w:sz="4" w:space="0" w:color="auto"/>
              <w:left w:val="single" w:sz="4" w:space="0" w:color="auto"/>
              <w:bottom w:val="single" w:sz="4" w:space="0" w:color="auto"/>
              <w:right w:val="single" w:sz="4" w:space="0" w:color="auto"/>
            </w:tcBorders>
            <w:hideMark/>
          </w:tcPr>
          <w:p w:rsidR="005B428A" w:rsidRPr="00D81B65" w:rsidRDefault="00D81B65" w:rsidP="001D0D0E">
            <w:pPr>
              <w:ind w:left="34"/>
              <w:rPr>
                <w:sz w:val="22"/>
                <w:szCs w:val="22"/>
                <w:lang w:eastAsia="en-GB"/>
              </w:rPr>
            </w:pPr>
            <w:r>
              <w:rPr>
                <w:sz w:val="22"/>
                <w:szCs w:val="22"/>
              </w:rPr>
              <w:t xml:space="preserve">n </w:t>
            </w:r>
            <w:r w:rsidR="005B428A" w:rsidRPr="00D81B65">
              <w:rPr>
                <w:sz w:val="22"/>
                <w:szCs w:val="22"/>
              </w:rPr>
              <w:t>(%) af respon</w:t>
            </w:r>
            <w:r w:rsidR="005B428A" w:rsidRPr="00D81B65">
              <w:rPr>
                <w:sz w:val="22"/>
                <w:szCs w:val="22"/>
              </w:rPr>
              <w:softHyphen/>
              <w:t>denter</w:t>
            </w:r>
          </w:p>
        </w:tc>
        <w:tc>
          <w:tcPr>
            <w:tcW w:w="1143"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r w:rsidRPr="00D81B65">
              <w:rPr>
                <w:sz w:val="22"/>
                <w:szCs w:val="22"/>
              </w:rPr>
              <w:t>Sammenligning med placebo</w:t>
            </w:r>
          </w:p>
        </w:tc>
      </w:tr>
      <w:tr w:rsidR="005B428A" w:rsidRPr="00D81B65" w:rsidTr="00816408">
        <w:tc>
          <w:tcPr>
            <w:tcW w:w="713" w:type="pct"/>
            <w:gridSpan w:val="2"/>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664" w:type="pct"/>
            <w:gridSpan w:val="2"/>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526"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ight="-54"/>
              <w:rPr>
                <w:sz w:val="22"/>
                <w:szCs w:val="22"/>
                <w:lang w:eastAsia="en-GB"/>
              </w:rPr>
            </w:pPr>
            <w:proofErr w:type="spellStart"/>
            <w:r w:rsidRPr="00D81B65">
              <w:rPr>
                <w:sz w:val="22"/>
                <w:szCs w:val="22"/>
              </w:rPr>
              <w:t>Diff</w:t>
            </w:r>
            <w:proofErr w:type="spellEnd"/>
            <w:r w:rsidRPr="00D81B65">
              <w:rPr>
                <w:sz w:val="22"/>
                <w:szCs w:val="22"/>
              </w:rPr>
              <w:t>.</w:t>
            </w:r>
          </w:p>
          <w:p w:rsidR="005B428A" w:rsidRPr="00D81B65" w:rsidRDefault="005B428A" w:rsidP="001D0D0E">
            <w:pPr>
              <w:ind w:left="34"/>
              <w:rPr>
                <w:sz w:val="22"/>
                <w:szCs w:val="22"/>
                <w:lang w:eastAsia="en-GB"/>
              </w:rPr>
            </w:pPr>
            <w:r w:rsidRPr="00D81B65">
              <w:rPr>
                <w:sz w:val="22"/>
                <w:szCs w:val="22"/>
              </w:rPr>
              <w:t>(95% CI)</w:t>
            </w:r>
          </w:p>
        </w:tc>
        <w:tc>
          <w:tcPr>
            <w:tcW w:w="666"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proofErr w:type="spellStart"/>
            <w:r w:rsidRPr="00D81B65">
              <w:rPr>
                <w:sz w:val="22"/>
                <w:szCs w:val="22"/>
              </w:rPr>
              <w:t>p-værdi</w:t>
            </w:r>
            <w:proofErr w:type="spellEnd"/>
            <w:r w:rsidRPr="00D81B65">
              <w:rPr>
                <w:sz w:val="22"/>
                <w:szCs w:val="22"/>
                <w:vertAlign w:val="superscript"/>
              </w:rPr>
              <w:t>†</w:t>
            </w: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rsidR="005B428A" w:rsidRPr="00D81B65" w:rsidRDefault="005B428A" w:rsidP="001D0D0E">
            <w:pPr>
              <w:ind w:left="34"/>
              <w:rPr>
                <w:sz w:val="22"/>
                <w:szCs w:val="22"/>
                <w:lang w:eastAsia="en-GB"/>
              </w:rPr>
            </w:pP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ight="-76"/>
              <w:rPr>
                <w:sz w:val="22"/>
                <w:szCs w:val="22"/>
                <w:lang w:eastAsia="en-GB"/>
              </w:rPr>
            </w:pPr>
            <w:proofErr w:type="spellStart"/>
            <w:r w:rsidRPr="00D81B65">
              <w:rPr>
                <w:sz w:val="22"/>
                <w:szCs w:val="22"/>
              </w:rPr>
              <w:t>Diff</w:t>
            </w:r>
            <w:proofErr w:type="spellEnd"/>
            <w:r w:rsidRPr="00D81B65">
              <w:rPr>
                <w:sz w:val="22"/>
                <w:szCs w:val="22"/>
              </w:rPr>
              <w:t>.</w:t>
            </w:r>
          </w:p>
          <w:p w:rsidR="005B428A" w:rsidRPr="00D81B65" w:rsidRDefault="005B428A" w:rsidP="001D0D0E">
            <w:pPr>
              <w:ind w:left="34"/>
              <w:rPr>
                <w:sz w:val="22"/>
                <w:szCs w:val="22"/>
                <w:lang w:eastAsia="en-GB"/>
              </w:rPr>
            </w:pPr>
            <w:r w:rsidRPr="00D81B65">
              <w:rPr>
                <w:sz w:val="22"/>
                <w:szCs w:val="22"/>
              </w:rPr>
              <w:t>(95% CI)</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sz w:val="22"/>
                <w:szCs w:val="22"/>
                <w:lang w:eastAsia="en-GB"/>
              </w:rPr>
            </w:pPr>
            <w:proofErr w:type="spellStart"/>
            <w:r w:rsidRPr="00D81B65">
              <w:rPr>
                <w:sz w:val="22"/>
                <w:szCs w:val="22"/>
              </w:rPr>
              <w:t>p-værdi</w:t>
            </w:r>
            <w:proofErr w:type="spellEnd"/>
            <w:r w:rsidRPr="00D81B65">
              <w:rPr>
                <w:sz w:val="22"/>
                <w:szCs w:val="22"/>
                <w:vertAlign w:val="superscript"/>
              </w:rPr>
              <w:t>†</w:t>
            </w:r>
          </w:p>
        </w:tc>
      </w:tr>
      <w:tr w:rsidR="005B428A" w:rsidRPr="00D81B65" w:rsidTr="00816408">
        <w:tc>
          <w:tcPr>
            <w:tcW w:w="5000" w:type="pct"/>
            <w:gridSpan w:val="1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i/>
                <w:sz w:val="22"/>
                <w:szCs w:val="22"/>
                <w:lang w:eastAsia="en-GB"/>
              </w:rPr>
            </w:pPr>
            <w:r w:rsidRPr="00D81B65">
              <w:rPr>
                <w:i/>
                <w:sz w:val="22"/>
                <w:szCs w:val="22"/>
              </w:rPr>
              <w:t>Klassisk ITT</w:t>
            </w:r>
            <w:r w:rsidRPr="00D81B65">
              <w:rPr>
                <w:i/>
                <w:sz w:val="22"/>
                <w:szCs w:val="22"/>
                <w:vertAlign w:val="superscript"/>
              </w:rPr>
              <w:t>#</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Placebo</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422</w:t>
            </w:r>
          </w:p>
        </w:tc>
        <w:tc>
          <w:tcPr>
            <w:tcW w:w="64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21 (5,0)</w:t>
            </w:r>
          </w:p>
        </w:tc>
        <w:tc>
          <w:tcPr>
            <w:tcW w:w="642" w:type="pct"/>
            <w:gridSpan w:val="3"/>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273</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18 (6,6)</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Gal. 16 mg/dag</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64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642" w:type="pct"/>
            <w:gridSpan w:val="3"/>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266</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39 (14,7)</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8,1 (3, 13)</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0,003</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Gal. 24 mg/dag</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424</w:t>
            </w:r>
          </w:p>
        </w:tc>
        <w:tc>
          <w:tcPr>
            <w:tcW w:w="64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60 (14,2)</w:t>
            </w:r>
          </w:p>
        </w:tc>
        <w:tc>
          <w:tcPr>
            <w:tcW w:w="642" w:type="pct"/>
            <w:gridSpan w:val="3"/>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9,2 (5, 13)</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&lt;0.001</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262</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40 (15,3)</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8,7 (3, 14)</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0,002</w:t>
            </w:r>
          </w:p>
        </w:tc>
      </w:tr>
      <w:tr w:rsidR="005B428A" w:rsidRPr="00D81B65" w:rsidTr="00816408">
        <w:tc>
          <w:tcPr>
            <w:tcW w:w="5000" w:type="pct"/>
            <w:gridSpan w:val="1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ind w:left="34"/>
              <w:rPr>
                <w:i/>
                <w:sz w:val="22"/>
                <w:szCs w:val="22"/>
                <w:lang w:eastAsia="en-GB"/>
              </w:rPr>
            </w:pPr>
            <w:r w:rsidRPr="00D81B65">
              <w:rPr>
                <w:i/>
                <w:sz w:val="22"/>
                <w:szCs w:val="22"/>
              </w:rPr>
              <w:t>Traditionel LOCF*</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Placebo</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412</w:t>
            </w:r>
          </w:p>
        </w:tc>
        <w:tc>
          <w:tcPr>
            <w:tcW w:w="664"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23 (5,6)</w:t>
            </w:r>
          </w:p>
        </w:tc>
        <w:tc>
          <w:tcPr>
            <w:tcW w:w="619"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261</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17 (6,5)</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Gal. 16 mg/dag</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664"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619"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253</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36 (14,2)</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7,7 (2, 13)</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0,005</w:t>
            </w:r>
          </w:p>
        </w:tc>
      </w:tr>
      <w:tr w:rsidR="005B428A" w:rsidRPr="00D81B65" w:rsidTr="00816408">
        <w:tc>
          <w:tcPr>
            <w:tcW w:w="619"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Gal. 24 mg/dag</w:t>
            </w:r>
          </w:p>
        </w:tc>
        <w:tc>
          <w:tcPr>
            <w:tcW w:w="381"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399</w:t>
            </w:r>
          </w:p>
        </w:tc>
        <w:tc>
          <w:tcPr>
            <w:tcW w:w="664"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58 (14,5)</w:t>
            </w:r>
          </w:p>
        </w:tc>
        <w:tc>
          <w:tcPr>
            <w:tcW w:w="619" w:type="pct"/>
            <w:gridSpan w:val="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8,9 (5, 13)</w:t>
            </w:r>
          </w:p>
        </w:tc>
        <w:tc>
          <w:tcPr>
            <w:tcW w:w="57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630"/>
                <w:tab w:val="left" w:pos="810"/>
              </w:tabs>
              <w:ind w:left="34"/>
              <w:rPr>
                <w:sz w:val="22"/>
                <w:szCs w:val="22"/>
                <w:lang w:eastAsia="en-GB"/>
              </w:rPr>
            </w:pPr>
            <w:r w:rsidRPr="00D81B65">
              <w:rPr>
                <w:sz w:val="22"/>
                <w:szCs w:val="22"/>
              </w:rPr>
              <w:t>&lt;0.001</w:t>
            </w:r>
          </w:p>
        </w:tc>
        <w:tc>
          <w:tcPr>
            <w:tcW w:w="38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253</w:t>
            </w:r>
          </w:p>
        </w:tc>
        <w:tc>
          <w:tcPr>
            <w:tcW w:w="621"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40 (15,8)</w:t>
            </w:r>
          </w:p>
        </w:tc>
        <w:tc>
          <w:tcPr>
            <w:tcW w:w="643"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9,3 (4, 15)</w:t>
            </w:r>
          </w:p>
        </w:tc>
        <w:tc>
          <w:tcPr>
            <w:tcW w:w="500" w:type="pct"/>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widowControl w:val="0"/>
              <w:tabs>
                <w:tab w:val="left" w:pos="630"/>
                <w:tab w:val="left" w:pos="810"/>
              </w:tabs>
              <w:ind w:left="34"/>
              <w:rPr>
                <w:sz w:val="22"/>
                <w:szCs w:val="22"/>
                <w:lang w:eastAsia="en-GB"/>
              </w:rPr>
            </w:pPr>
            <w:r w:rsidRPr="00D81B65">
              <w:rPr>
                <w:sz w:val="22"/>
                <w:szCs w:val="22"/>
              </w:rPr>
              <w:t>0,001</w:t>
            </w:r>
          </w:p>
        </w:tc>
      </w:tr>
      <w:tr w:rsidR="005B428A" w:rsidRPr="00D81B65" w:rsidTr="00816408">
        <w:tc>
          <w:tcPr>
            <w:tcW w:w="5000" w:type="pct"/>
            <w:gridSpan w:val="12"/>
            <w:tcBorders>
              <w:top w:val="single" w:sz="4" w:space="0" w:color="auto"/>
              <w:left w:val="single" w:sz="4" w:space="0" w:color="auto"/>
              <w:bottom w:val="single" w:sz="4" w:space="0" w:color="auto"/>
              <w:right w:val="single" w:sz="4" w:space="0" w:color="auto"/>
            </w:tcBorders>
            <w:hideMark/>
          </w:tcPr>
          <w:p w:rsidR="005B428A" w:rsidRPr="00D81B65" w:rsidRDefault="005B428A" w:rsidP="001D0D0E">
            <w:pPr>
              <w:tabs>
                <w:tab w:val="left" w:pos="245"/>
                <w:tab w:val="left" w:pos="630"/>
                <w:tab w:val="left" w:pos="810"/>
              </w:tabs>
              <w:ind w:left="34"/>
              <w:rPr>
                <w:sz w:val="22"/>
                <w:szCs w:val="22"/>
                <w:vertAlign w:val="superscript"/>
                <w:lang w:eastAsia="en-GB"/>
              </w:rPr>
            </w:pPr>
            <w:r w:rsidRPr="00D81B65">
              <w:rPr>
                <w:i/>
                <w:iCs/>
                <w:sz w:val="22"/>
                <w:szCs w:val="22"/>
                <w:vertAlign w:val="superscript"/>
              </w:rPr>
              <w:t xml:space="preserve"># </w:t>
            </w:r>
            <w:r w:rsidRPr="00D81B65">
              <w:rPr>
                <w:i/>
                <w:iCs/>
                <w:noProof/>
                <w:sz w:val="22"/>
                <w:szCs w:val="22"/>
              </w:rPr>
              <w:t>ITT: Intent to treat.</w:t>
            </w:r>
          </w:p>
          <w:p w:rsidR="005B428A" w:rsidRPr="00D81B65" w:rsidRDefault="005B428A" w:rsidP="001D0D0E">
            <w:pPr>
              <w:tabs>
                <w:tab w:val="left" w:pos="245"/>
                <w:tab w:val="left" w:pos="630"/>
                <w:tab w:val="left" w:pos="810"/>
              </w:tabs>
              <w:ind w:left="34"/>
              <w:rPr>
                <w:sz w:val="22"/>
                <w:szCs w:val="22"/>
              </w:rPr>
            </w:pPr>
            <w:r w:rsidRPr="00D81B65">
              <w:rPr>
                <w:sz w:val="22"/>
                <w:szCs w:val="22"/>
                <w:vertAlign w:val="superscript"/>
              </w:rPr>
              <w:t xml:space="preserve">† </w:t>
            </w:r>
            <w:r w:rsidRPr="00D81B65">
              <w:rPr>
                <w:sz w:val="22"/>
                <w:szCs w:val="22"/>
              </w:rPr>
              <w:t>CMH-test af forskel i forhold til placebo</w:t>
            </w:r>
          </w:p>
          <w:p w:rsidR="005B428A" w:rsidRPr="00D81B65" w:rsidRDefault="005B428A" w:rsidP="001D0D0E">
            <w:pPr>
              <w:ind w:left="34"/>
              <w:rPr>
                <w:sz w:val="22"/>
                <w:szCs w:val="22"/>
                <w:lang w:eastAsia="en-GB"/>
              </w:rPr>
            </w:pPr>
            <w:r w:rsidRPr="00D81B65">
              <w:rPr>
                <w:sz w:val="22"/>
                <w:szCs w:val="22"/>
                <w:vertAlign w:val="superscript"/>
              </w:rPr>
              <w:t>*</w:t>
            </w:r>
            <w:r w:rsidRPr="00D81B65">
              <w:rPr>
                <w:sz w:val="22"/>
                <w:szCs w:val="22"/>
              </w:rPr>
              <w:t xml:space="preserve"> LOCF: Sidste observation overføres</w:t>
            </w:r>
          </w:p>
        </w:tc>
      </w:tr>
    </w:tbl>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 xml:space="preserve">Virkningen af </w:t>
      </w:r>
      <w:proofErr w:type="spellStart"/>
      <w:r w:rsidRPr="0080619C">
        <w:rPr>
          <w:sz w:val="24"/>
          <w:szCs w:val="24"/>
        </w:rPr>
        <w:t>galantamin</w:t>
      </w:r>
      <w:proofErr w:type="spellEnd"/>
      <w:r w:rsidRPr="0080619C">
        <w:rPr>
          <w:sz w:val="24"/>
          <w:szCs w:val="24"/>
        </w:rPr>
        <w:t xml:space="preserve"> depotkapsler blev undersøgt i et randomiseret, dobbeltblindet, placebokontrolleret studie, GAL-INT-10, vha. en 4-ugers dosisøgning, fleksibel dosering på 16 eller 24 mg/dag med en </w:t>
      </w:r>
      <w:proofErr w:type="spellStart"/>
      <w:r w:rsidRPr="0080619C">
        <w:rPr>
          <w:sz w:val="24"/>
          <w:szCs w:val="24"/>
        </w:rPr>
        <w:t>behandllingsvarighed</w:t>
      </w:r>
      <w:proofErr w:type="spellEnd"/>
      <w:r w:rsidRPr="0080619C">
        <w:rPr>
          <w:sz w:val="24"/>
          <w:szCs w:val="24"/>
        </w:rPr>
        <w:t xml:space="preserve"> på 6 måneder. </w:t>
      </w:r>
      <w:proofErr w:type="spellStart"/>
      <w:r w:rsidRPr="0080619C">
        <w:rPr>
          <w:sz w:val="24"/>
          <w:szCs w:val="24"/>
        </w:rPr>
        <w:t>Galantamin</w:t>
      </w:r>
      <w:proofErr w:type="spellEnd"/>
      <w:r w:rsidRPr="0080619C">
        <w:rPr>
          <w:sz w:val="24"/>
          <w:szCs w:val="24"/>
        </w:rPr>
        <w:t xml:space="preserve"> tabletter med omgående udløsning (Gal-IR) blev tilføjet som en positiv kontrolgruppe. Effekten blev vurderet vha. ADAS-</w:t>
      </w:r>
      <w:proofErr w:type="spellStart"/>
      <w:r w:rsidRPr="0080619C">
        <w:rPr>
          <w:sz w:val="24"/>
          <w:szCs w:val="24"/>
        </w:rPr>
        <w:t>cog</w:t>
      </w:r>
      <w:proofErr w:type="spellEnd"/>
      <w:r w:rsidRPr="0080619C">
        <w:rPr>
          <w:sz w:val="24"/>
          <w:szCs w:val="24"/>
        </w:rPr>
        <w:t xml:space="preserve">/11 og CIBIC-plus-score som </w:t>
      </w:r>
      <w:proofErr w:type="spellStart"/>
      <w:r w:rsidRPr="0080619C">
        <w:rPr>
          <w:sz w:val="24"/>
          <w:szCs w:val="24"/>
        </w:rPr>
        <w:t>co</w:t>
      </w:r>
      <w:proofErr w:type="spellEnd"/>
      <w:r w:rsidRPr="0080619C">
        <w:rPr>
          <w:sz w:val="24"/>
          <w:szCs w:val="24"/>
        </w:rPr>
        <w:t>-primære effektkriterier, og ADCS-ADL og NPI-scorer som sekundære slutpunkter.</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depotkapsler (Gal-PR) viste statistisk signifikante forbedringer i ADAS-</w:t>
      </w:r>
      <w:proofErr w:type="spellStart"/>
      <w:r w:rsidRPr="0080619C">
        <w:rPr>
          <w:sz w:val="24"/>
          <w:szCs w:val="24"/>
        </w:rPr>
        <w:t>cog</w:t>
      </w:r>
      <w:proofErr w:type="spellEnd"/>
      <w:r w:rsidRPr="0080619C">
        <w:rPr>
          <w:sz w:val="24"/>
          <w:szCs w:val="24"/>
        </w:rPr>
        <w:t>/11-score sammenlignet med placebo, men var ikke statistisk forskellig fra CIBIC-plus-score sammenlignet med placebo. Resultaterne af ADCS-ADL-score var statistisk signifikant bedre end placebo i uge 26.</w:t>
      </w:r>
    </w:p>
    <w:p w:rsidR="005B428A" w:rsidRPr="0080619C" w:rsidRDefault="005B428A" w:rsidP="005B428A">
      <w:pPr>
        <w:ind w:left="851"/>
        <w:rPr>
          <w:sz w:val="24"/>
          <w:szCs w:val="24"/>
        </w:rPr>
      </w:pPr>
    </w:p>
    <w:p w:rsidR="005B428A" w:rsidRPr="0080619C" w:rsidRDefault="005B428A" w:rsidP="005B428A">
      <w:pPr>
        <w:ind w:left="851"/>
        <w:rPr>
          <w:b/>
          <w:sz w:val="24"/>
          <w:szCs w:val="24"/>
        </w:rPr>
      </w:pPr>
      <w:r w:rsidRPr="0080619C">
        <w:rPr>
          <w:b/>
          <w:sz w:val="24"/>
          <w:szCs w:val="24"/>
        </w:rPr>
        <w:t>Kompositionsresponsanalyse i uge 26 baseret på mindst 4 points forbedring i ADAS-</w:t>
      </w:r>
      <w:proofErr w:type="spellStart"/>
      <w:r w:rsidRPr="0080619C">
        <w:rPr>
          <w:b/>
          <w:sz w:val="24"/>
          <w:szCs w:val="24"/>
        </w:rPr>
        <w:t>cog</w:t>
      </w:r>
      <w:proofErr w:type="spellEnd"/>
      <w:r w:rsidRPr="0080619C">
        <w:rPr>
          <w:b/>
          <w:sz w:val="24"/>
          <w:szCs w:val="24"/>
        </w:rPr>
        <w:t>/11 sammenlignet med baseline, samlet ADL-score uforandret + forbedret (</w:t>
      </w:r>
      <w:r w:rsidRPr="0080619C">
        <w:rPr>
          <w:b/>
          <w:sz w:val="24"/>
          <w:szCs w:val="24"/>
        </w:rPr>
        <w:sym w:font="Symbol" w:char="00B3"/>
      </w:r>
      <w:r w:rsidRPr="0080619C">
        <w:rPr>
          <w:b/>
          <w:sz w:val="24"/>
          <w:szCs w:val="24"/>
        </w:rPr>
        <w:t>0) og CIBIC-plus-score (1-4) uforandret (jf. nedenstående tabel).</w:t>
      </w:r>
    </w:p>
    <w:p w:rsidR="005B428A" w:rsidRPr="0080619C" w:rsidRDefault="005B428A" w:rsidP="005B428A">
      <w:pPr>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918"/>
        <w:gridCol w:w="1354"/>
        <w:gridCol w:w="1698"/>
        <w:gridCol w:w="1698"/>
        <w:gridCol w:w="1960"/>
      </w:tblGrid>
      <w:tr w:rsidR="005B428A" w:rsidRPr="00A84E78" w:rsidTr="00816408">
        <w:tc>
          <w:tcPr>
            <w:tcW w:w="1515"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72"/>
              </w:tabs>
              <w:ind w:left="72"/>
              <w:rPr>
                <w:sz w:val="22"/>
                <w:szCs w:val="22"/>
                <w:lang w:eastAsia="en-GB"/>
              </w:rPr>
            </w:pPr>
            <w:r w:rsidRPr="00A84E78">
              <w:rPr>
                <w:sz w:val="22"/>
                <w:szCs w:val="22"/>
              </w:rPr>
              <w:t>GAL-INT-10</w:t>
            </w:r>
          </w:p>
        </w:tc>
        <w:tc>
          <w:tcPr>
            <w:tcW w:w="703"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23"/>
              </w:tabs>
              <w:ind w:left="123"/>
              <w:rPr>
                <w:sz w:val="22"/>
                <w:szCs w:val="22"/>
                <w:lang w:eastAsia="en-GB"/>
              </w:rPr>
            </w:pPr>
            <w:r w:rsidRPr="00A84E78">
              <w:rPr>
                <w:sz w:val="22"/>
                <w:szCs w:val="22"/>
              </w:rPr>
              <w:t>Placebo</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74"/>
              </w:tabs>
              <w:ind w:left="174"/>
              <w:rPr>
                <w:sz w:val="22"/>
                <w:szCs w:val="22"/>
                <w:lang w:eastAsia="en-GB"/>
              </w:rPr>
            </w:pPr>
            <w:r w:rsidRPr="00A84E78">
              <w:rPr>
                <w:sz w:val="22"/>
                <w:szCs w:val="22"/>
              </w:rPr>
              <w:t>Gal-IR</w:t>
            </w:r>
            <w:r w:rsidRPr="00A84E78">
              <w:rPr>
                <w:sz w:val="22"/>
                <w:szCs w:val="22"/>
                <w:vertAlign w:val="superscript"/>
              </w:rPr>
              <w:t>†</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82"/>
              </w:tabs>
              <w:ind w:left="82"/>
              <w:rPr>
                <w:sz w:val="22"/>
                <w:szCs w:val="22"/>
                <w:lang w:eastAsia="en-GB"/>
              </w:rPr>
            </w:pPr>
            <w:r w:rsidRPr="00A84E78">
              <w:rPr>
                <w:sz w:val="22"/>
                <w:szCs w:val="22"/>
              </w:rPr>
              <w:t>Gal-PR*</w:t>
            </w:r>
          </w:p>
        </w:tc>
        <w:tc>
          <w:tcPr>
            <w:tcW w:w="1018"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33"/>
              </w:tabs>
              <w:ind w:left="133"/>
              <w:rPr>
                <w:sz w:val="22"/>
                <w:szCs w:val="22"/>
                <w:lang w:eastAsia="en-GB"/>
              </w:rPr>
            </w:pPr>
            <w:proofErr w:type="spellStart"/>
            <w:r w:rsidRPr="00A84E78">
              <w:rPr>
                <w:sz w:val="22"/>
                <w:szCs w:val="22"/>
              </w:rPr>
              <w:t>p-værdi</w:t>
            </w:r>
            <w:proofErr w:type="spellEnd"/>
          </w:p>
          <w:p w:rsidR="005B428A" w:rsidRPr="00A84E78" w:rsidRDefault="005B428A" w:rsidP="001D0D0E">
            <w:pPr>
              <w:tabs>
                <w:tab w:val="left" w:pos="133"/>
              </w:tabs>
              <w:ind w:left="133"/>
              <w:rPr>
                <w:sz w:val="22"/>
                <w:szCs w:val="22"/>
                <w:lang w:eastAsia="en-GB"/>
              </w:rPr>
            </w:pPr>
            <w:r w:rsidRPr="00A84E78">
              <w:rPr>
                <w:sz w:val="22"/>
                <w:szCs w:val="22"/>
              </w:rPr>
              <w:t>(Gal-PR* versus placebo)</w:t>
            </w:r>
          </w:p>
        </w:tc>
      </w:tr>
      <w:tr w:rsidR="005B428A" w:rsidRPr="00A84E78" w:rsidTr="00816408">
        <w:tc>
          <w:tcPr>
            <w:tcW w:w="1515" w:type="pct"/>
            <w:tcBorders>
              <w:top w:val="single" w:sz="4" w:space="0" w:color="auto"/>
              <w:left w:val="single" w:sz="4" w:space="0" w:color="auto"/>
              <w:bottom w:val="single" w:sz="4" w:space="0" w:color="auto"/>
              <w:right w:val="single" w:sz="4" w:space="0" w:color="auto"/>
            </w:tcBorders>
          </w:tcPr>
          <w:p w:rsidR="005B428A" w:rsidRPr="00A84E78" w:rsidRDefault="005B428A" w:rsidP="001D0D0E">
            <w:pPr>
              <w:tabs>
                <w:tab w:val="left" w:pos="72"/>
              </w:tabs>
              <w:ind w:left="72"/>
              <w:rPr>
                <w:sz w:val="22"/>
                <w:szCs w:val="22"/>
                <w:lang w:eastAsia="en-GB"/>
              </w:rPr>
            </w:pPr>
          </w:p>
        </w:tc>
        <w:tc>
          <w:tcPr>
            <w:tcW w:w="703"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23"/>
              </w:tabs>
              <w:ind w:left="123"/>
              <w:rPr>
                <w:sz w:val="22"/>
                <w:szCs w:val="22"/>
                <w:lang w:eastAsia="en-GB"/>
              </w:rPr>
            </w:pPr>
            <w:r w:rsidRPr="00A84E78">
              <w:rPr>
                <w:sz w:val="22"/>
                <w:szCs w:val="22"/>
              </w:rPr>
              <w:t>(n = 245)</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74"/>
              </w:tabs>
              <w:ind w:left="174"/>
              <w:rPr>
                <w:sz w:val="22"/>
                <w:szCs w:val="22"/>
                <w:lang w:eastAsia="en-GB"/>
              </w:rPr>
            </w:pPr>
            <w:r w:rsidRPr="00A84E78">
              <w:rPr>
                <w:sz w:val="22"/>
                <w:szCs w:val="22"/>
              </w:rPr>
              <w:t>(n = 225)</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82"/>
              </w:tabs>
              <w:ind w:left="82"/>
              <w:rPr>
                <w:sz w:val="22"/>
                <w:szCs w:val="22"/>
                <w:lang w:eastAsia="en-GB"/>
              </w:rPr>
            </w:pPr>
            <w:r w:rsidRPr="00A84E78">
              <w:rPr>
                <w:sz w:val="22"/>
                <w:szCs w:val="22"/>
              </w:rPr>
              <w:t>(n = 238)</w:t>
            </w:r>
          </w:p>
        </w:tc>
        <w:tc>
          <w:tcPr>
            <w:tcW w:w="1018" w:type="pct"/>
            <w:tcBorders>
              <w:top w:val="single" w:sz="4" w:space="0" w:color="auto"/>
              <w:left w:val="single" w:sz="4" w:space="0" w:color="auto"/>
              <w:bottom w:val="single" w:sz="4" w:space="0" w:color="auto"/>
              <w:right w:val="single" w:sz="4" w:space="0" w:color="auto"/>
            </w:tcBorders>
          </w:tcPr>
          <w:p w:rsidR="005B428A" w:rsidRPr="00A84E78" w:rsidRDefault="005B428A" w:rsidP="001D0D0E">
            <w:pPr>
              <w:tabs>
                <w:tab w:val="left" w:pos="133"/>
              </w:tabs>
              <w:ind w:left="133"/>
              <w:rPr>
                <w:sz w:val="22"/>
                <w:szCs w:val="22"/>
                <w:lang w:eastAsia="en-GB"/>
              </w:rPr>
            </w:pPr>
          </w:p>
        </w:tc>
      </w:tr>
      <w:tr w:rsidR="005B428A" w:rsidRPr="00A84E78" w:rsidTr="00816408">
        <w:tc>
          <w:tcPr>
            <w:tcW w:w="1515"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72"/>
              </w:tabs>
              <w:ind w:left="72"/>
              <w:rPr>
                <w:sz w:val="22"/>
                <w:szCs w:val="22"/>
                <w:lang w:eastAsia="en-GB"/>
              </w:rPr>
            </w:pPr>
            <w:r w:rsidRPr="00A84E78">
              <w:rPr>
                <w:sz w:val="22"/>
                <w:szCs w:val="22"/>
              </w:rPr>
              <w:t>Sammensat respons: n (%)</w:t>
            </w:r>
          </w:p>
        </w:tc>
        <w:tc>
          <w:tcPr>
            <w:tcW w:w="703"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23"/>
              </w:tabs>
              <w:ind w:left="123"/>
              <w:rPr>
                <w:sz w:val="22"/>
                <w:szCs w:val="22"/>
                <w:lang w:eastAsia="en-GB"/>
              </w:rPr>
            </w:pPr>
            <w:r w:rsidRPr="00A84E78">
              <w:rPr>
                <w:sz w:val="22"/>
                <w:szCs w:val="22"/>
              </w:rPr>
              <w:t>20 (8,2)</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74"/>
              </w:tabs>
              <w:ind w:left="174"/>
              <w:rPr>
                <w:sz w:val="22"/>
                <w:szCs w:val="22"/>
                <w:lang w:eastAsia="en-GB"/>
              </w:rPr>
            </w:pPr>
            <w:r w:rsidRPr="00A84E78">
              <w:rPr>
                <w:sz w:val="22"/>
                <w:szCs w:val="22"/>
              </w:rPr>
              <w:t>43 (19,1)</w:t>
            </w:r>
          </w:p>
        </w:tc>
        <w:tc>
          <w:tcPr>
            <w:tcW w:w="882"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82"/>
              </w:tabs>
              <w:ind w:left="82"/>
              <w:rPr>
                <w:sz w:val="22"/>
                <w:szCs w:val="22"/>
                <w:lang w:eastAsia="en-GB"/>
              </w:rPr>
            </w:pPr>
            <w:r w:rsidRPr="00A84E78">
              <w:rPr>
                <w:sz w:val="22"/>
                <w:szCs w:val="22"/>
              </w:rPr>
              <w:t>38 (16,0)</w:t>
            </w:r>
          </w:p>
        </w:tc>
        <w:tc>
          <w:tcPr>
            <w:tcW w:w="1018" w:type="pct"/>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133"/>
              </w:tabs>
              <w:ind w:left="133"/>
              <w:rPr>
                <w:sz w:val="22"/>
                <w:szCs w:val="22"/>
                <w:lang w:eastAsia="en-GB"/>
              </w:rPr>
            </w:pPr>
            <w:r w:rsidRPr="00A84E78">
              <w:rPr>
                <w:sz w:val="22"/>
                <w:szCs w:val="22"/>
              </w:rPr>
              <w:t>0,008</w:t>
            </w:r>
          </w:p>
        </w:tc>
      </w:tr>
      <w:tr w:rsidR="005B428A" w:rsidRPr="00A84E78" w:rsidTr="00816408">
        <w:tc>
          <w:tcPr>
            <w:tcW w:w="5000" w:type="pct"/>
            <w:gridSpan w:val="5"/>
            <w:tcBorders>
              <w:top w:val="single" w:sz="4" w:space="0" w:color="auto"/>
              <w:left w:val="single" w:sz="4" w:space="0" w:color="auto"/>
              <w:bottom w:val="single" w:sz="4" w:space="0" w:color="auto"/>
              <w:right w:val="single" w:sz="4" w:space="0" w:color="auto"/>
            </w:tcBorders>
            <w:hideMark/>
          </w:tcPr>
          <w:p w:rsidR="005B428A" w:rsidRPr="00A84E78" w:rsidRDefault="005B428A" w:rsidP="001D0D0E">
            <w:pPr>
              <w:tabs>
                <w:tab w:val="left" w:pos="82"/>
                <w:tab w:val="left" w:pos="133"/>
                <w:tab w:val="left" w:pos="174"/>
              </w:tabs>
              <w:ind w:left="133"/>
              <w:rPr>
                <w:sz w:val="22"/>
                <w:szCs w:val="22"/>
                <w:lang w:eastAsia="en-GB"/>
              </w:rPr>
            </w:pPr>
            <w:r w:rsidRPr="00A84E78">
              <w:rPr>
                <w:sz w:val="22"/>
                <w:szCs w:val="22"/>
                <w:vertAlign w:val="superscript"/>
              </w:rPr>
              <w:t xml:space="preserve">† </w:t>
            </w:r>
            <w:r w:rsidRPr="00A84E78">
              <w:rPr>
                <w:sz w:val="22"/>
                <w:szCs w:val="22"/>
              </w:rPr>
              <w:t>Tabletter med omgående udløsning</w:t>
            </w:r>
          </w:p>
          <w:p w:rsidR="005B428A" w:rsidRPr="00A84E78" w:rsidRDefault="005B428A" w:rsidP="001D0D0E">
            <w:pPr>
              <w:tabs>
                <w:tab w:val="left" w:pos="82"/>
                <w:tab w:val="left" w:pos="133"/>
                <w:tab w:val="left" w:pos="174"/>
              </w:tabs>
              <w:ind w:left="133"/>
              <w:rPr>
                <w:sz w:val="22"/>
                <w:szCs w:val="22"/>
                <w:lang w:eastAsia="en-GB"/>
              </w:rPr>
            </w:pPr>
            <w:r w:rsidRPr="00A84E78">
              <w:rPr>
                <w:sz w:val="22"/>
                <w:szCs w:val="22"/>
              </w:rPr>
              <w:t>* Depotkapsler</w:t>
            </w:r>
          </w:p>
        </w:tc>
      </w:tr>
    </w:tbl>
    <w:p w:rsidR="00A84E78" w:rsidRDefault="00A84E78" w:rsidP="005B428A">
      <w:pPr>
        <w:ind w:left="851"/>
        <w:rPr>
          <w:sz w:val="24"/>
          <w:szCs w:val="24"/>
          <w:lang w:eastAsia="en-GB"/>
        </w:rPr>
      </w:pPr>
    </w:p>
    <w:p w:rsidR="00A84E78" w:rsidRDefault="00A84E78">
      <w:pPr>
        <w:rPr>
          <w:sz w:val="24"/>
          <w:szCs w:val="24"/>
          <w:lang w:eastAsia="en-GB"/>
        </w:rPr>
      </w:pPr>
      <w:r>
        <w:rPr>
          <w:sz w:val="24"/>
          <w:szCs w:val="24"/>
          <w:lang w:eastAsia="en-GB"/>
        </w:rPr>
        <w:br w:type="page"/>
      </w:r>
    </w:p>
    <w:p w:rsidR="005B428A" w:rsidRPr="0080619C" w:rsidRDefault="005B428A" w:rsidP="005B428A">
      <w:pPr>
        <w:ind w:left="851"/>
        <w:rPr>
          <w:sz w:val="24"/>
          <w:szCs w:val="24"/>
          <w:lang w:eastAsia="en-GB"/>
        </w:rPr>
      </w:pPr>
    </w:p>
    <w:p w:rsidR="005B428A" w:rsidRPr="0080619C" w:rsidRDefault="005B428A" w:rsidP="005B428A">
      <w:pPr>
        <w:ind w:left="851"/>
        <w:rPr>
          <w:i/>
          <w:sz w:val="24"/>
          <w:szCs w:val="24"/>
          <w:u w:val="single"/>
        </w:rPr>
      </w:pPr>
      <w:proofErr w:type="spellStart"/>
      <w:r w:rsidRPr="0080619C">
        <w:rPr>
          <w:i/>
          <w:sz w:val="24"/>
          <w:szCs w:val="24"/>
          <w:u w:val="single"/>
        </w:rPr>
        <w:t>Vaskulær</w:t>
      </w:r>
      <w:proofErr w:type="spellEnd"/>
      <w:r w:rsidRPr="0080619C">
        <w:rPr>
          <w:i/>
          <w:sz w:val="24"/>
          <w:szCs w:val="24"/>
          <w:u w:val="single"/>
        </w:rPr>
        <w:t xml:space="preserve"> demens eller Alzheimers sygdom med </w:t>
      </w:r>
      <w:proofErr w:type="spellStart"/>
      <w:r w:rsidRPr="0080619C">
        <w:rPr>
          <w:i/>
          <w:sz w:val="24"/>
          <w:szCs w:val="24"/>
          <w:u w:val="single"/>
        </w:rPr>
        <w:t>cerebrovaskulær</w:t>
      </w:r>
      <w:proofErr w:type="spellEnd"/>
      <w:r w:rsidRPr="0080619C">
        <w:rPr>
          <w:i/>
          <w:sz w:val="24"/>
          <w:szCs w:val="24"/>
          <w:u w:val="single"/>
        </w:rPr>
        <w:t xml:space="preserve"> sygdom</w:t>
      </w:r>
    </w:p>
    <w:p w:rsidR="005B428A" w:rsidRPr="0080619C" w:rsidRDefault="005B428A" w:rsidP="005B428A">
      <w:pPr>
        <w:ind w:left="851"/>
        <w:rPr>
          <w:sz w:val="24"/>
          <w:szCs w:val="24"/>
        </w:rPr>
      </w:pPr>
      <w:r w:rsidRPr="0080619C">
        <w:rPr>
          <w:sz w:val="24"/>
          <w:szCs w:val="24"/>
        </w:rPr>
        <w:lastRenderedPageBreak/>
        <w:t xml:space="preserve">Resultaterne fra et 26-ugers, dobbeltblindet, placebokontrolleret studie, hvor patienter med </w:t>
      </w:r>
      <w:proofErr w:type="spellStart"/>
      <w:r w:rsidRPr="0080619C">
        <w:rPr>
          <w:sz w:val="24"/>
          <w:szCs w:val="24"/>
        </w:rPr>
        <w:t>vaskulær</w:t>
      </w:r>
      <w:proofErr w:type="spellEnd"/>
      <w:r w:rsidRPr="0080619C">
        <w:rPr>
          <w:sz w:val="24"/>
          <w:szCs w:val="24"/>
        </w:rPr>
        <w:t xml:space="preserve"> demens og patienter med Alzheimers sygdom med samtidig </w:t>
      </w:r>
      <w:proofErr w:type="spellStart"/>
      <w:r w:rsidRPr="0080619C">
        <w:rPr>
          <w:sz w:val="24"/>
          <w:szCs w:val="24"/>
        </w:rPr>
        <w:t>cerebrovaskulær</w:t>
      </w:r>
      <w:proofErr w:type="spellEnd"/>
      <w:r w:rsidRPr="0080619C">
        <w:rPr>
          <w:sz w:val="24"/>
          <w:szCs w:val="24"/>
        </w:rPr>
        <w:t xml:space="preserve"> sygdom (”blandet demens”) indgik, indikerer at den symptomatiske effekt af </w:t>
      </w:r>
      <w:proofErr w:type="spellStart"/>
      <w:r w:rsidRPr="0080619C">
        <w:rPr>
          <w:sz w:val="24"/>
          <w:szCs w:val="24"/>
        </w:rPr>
        <w:t>galantamin</w:t>
      </w:r>
      <w:proofErr w:type="spellEnd"/>
      <w:r w:rsidRPr="0080619C">
        <w:rPr>
          <w:sz w:val="24"/>
          <w:szCs w:val="24"/>
        </w:rPr>
        <w:t xml:space="preserve"> opretholdes hos patienter med Alzheimers sygdom med samtidig </w:t>
      </w:r>
      <w:proofErr w:type="spellStart"/>
      <w:r w:rsidRPr="0080619C">
        <w:rPr>
          <w:sz w:val="24"/>
          <w:szCs w:val="24"/>
        </w:rPr>
        <w:t>cerecrovaskulær</w:t>
      </w:r>
      <w:proofErr w:type="spellEnd"/>
      <w:r w:rsidRPr="0080619C">
        <w:rPr>
          <w:sz w:val="24"/>
          <w:szCs w:val="24"/>
        </w:rPr>
        <w:t xml:space="preserve"> sygdom (se pkt. </w:t>
      </w:r>
      <w:bookmarkStart w:id="0" w:name="_GoBack"/>
      <w:bookmarkEnd w:id="0"/>
      <w:r w:rsidRPr="0080619C">
        <w:rPr>
          <w:sz w:val="24"/>
          <w:szCs w:val="24"/>
        </w:rPr>
        <w:t xml:space="preserve">4.4). I en post-hoc analyse af en undergruppe med patienter, der udelukkende havde </w:t>
      </w:r>
      <w:proofErr w:type="spellStart"/>
      <w:r w:rsidRPr="0080619C">
        <w:rPr>
          <w:sz w:val="24"/>
          <w:szCs w:val="24"/>
        </w:rPr>
        <w:t>vaskulær</w:t>
      </w:r>
      <w:proofErr w:type="spellEnd"/>
      <w:r w:rsidRPr="0080619C">
        <w:rPr>
          <w:sz w:val="24"/>
          <w:szCs w:val="24"/>
        </w:rPr>
        <w:t xml:space="preserve"> demens, sås ingen statistisk signifikant effekt. </w:t>
      </w:r>
    </w:p>
    <w:p w:rsidR="005B428A" w:rsidRPr="0080619C" w:rsidRDefault="005B428A" w:rsidP="005B428A">
      <w:pPr>
        <w:ind w:left="851"/>
        <w:rPr>
          <w:sz w:val="24"/>
          <w:szCs w:val="24"/>
        </w:rPr>
      </w:pPr>
      <w:r w:rsidRPr="0080619C">
        <w:rPr>
          <w:sz w:val="24"/>
          <w:szCs w:val="24"/>
        </w:rPr>
        <w:t xml:space="preserve">I et andet 26-ugers placebokontrolleret studie med patienter med sandsynlig </w:t>
      </w:r>
      <w:proofErr w:type="spellStart"/>
      <w:r w:rsidRPr="0080619C">
        <w:rPr>
          <w:sz w:val="24"/>
          <w:szCs w:val="24"/>
        </w:rPr>
        <w:t>vaskulær</w:t>
      </w:r>
      <w:proofErr w:type="spellEnd"/>
      <w:r w:rsidRPr="0080619C">
        <w:rPr>
          <w:sz w:val="24"/>
          <w:szCs w:val="24"/>
        </w:rPr>
        <w:t xml:space="preserve"> demens påvistes ingen kliniske fordele ved behandlingen med </w:t>
      </w:r>
      <w:proofErr w:type="spellStart"/>
      <w:r w:rsidRPr="0080619C">
        <w:rPr>
          <w:sz w:val="24"/>
          <w:szCs w:val="24"/>
        </w:rPr>
        <w:t>galantamin</w:t>
      </w:r>
      <w:proofErr w:type="spellEnd"/>
      <w:r w:rsidRPr="0080619C">
        <w:rPr>
          <w:sz w:val="24"/>
          <w:szCs w:val="24"/>
        </w:rPr>
        <w:t>.</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5.2</w:t>
      </w:r>
      <w:r w:rsidRPr="0080619C">
        <w:rPr>
          <w:b/>
          <w:sz w:val="24"/>
          <w:szCs w:val="24"/>
        </w:rPr>
        <w:tab/>
      </w:r>
      <w:proofErr w:type="spellStart"/>
      <w:r w:rsidRPr="0080619C">
        <w:rPr>
          <w:b/>
          <w:sz w:val="24"/>
          <w:szCs w:val="24"/>
        </w:rPr>
        <w:t>Farmakokinetiske</w:t>
      </w:r>
      <w:proofErr w:type="spellEnd"/>
      <w:r w:rsidRPr="0080619C">
        <w:rPr>
          <w:b/>
          <w:sz w:val="24"/>
          <w:szCs w:val="24"/>
        </w:rPr>
        <w:t xml:space="preserve"> egenskaber</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er en alkalisk forbindelse med en ionisationskonstant (</w:t>
      </w:r>
      <w:proofErr w:type="spellStart"/>
      <w:r w:rsidRPr="0080619C">
        <w:rPr>
          <w:sz w:val="24"/>
          <w:szCs w:val="24"/>
        </w:rPr>
        <w:t>pKa</w:t>
      </w:r>
      <w:proofErr w:type="spellEnd"/>
      <w:r w:rsidRPr="0080619C">
        <w:rPr>
          <w:sz w:val="24"/>
          <w:szCs w:val="24"/>
        </w:rPr>
        <w:t xml:space="preserve"> 8,2). Den er let </w:t>
      </w:r>
      <w:proofErr w:type="spellStart"/>
      <w:r w:rsidRPr="0080619C">
        <w:rPr>
          <w:sz w:val="24"/>
          <w:szCs w:val="24"/>
        </w:rPr>
        <w:t>lipofil</w:t>
      </w:r>
      <w:proofErr w:type="spellEnd"/>
      <w:r w:rsidRPr="0080619C">
        <w:rPr>
          <w:sz w:val="24"/>
          <w:szCs w:val="24"/>
        </w:rPr>
        <w:t xml:space="preserve"> og har en fordelingskoefficient (Log P) mellem n-</w:t>
      </w:r>
      <w:proofErr w:type="spellStart"/>
      <w:r w:rsidRPr="0080619C">
        <w:rPr>
          <w:sz w:val="24"/>
          <w:szCs w:val="24"/>
        </w:rPr>
        <w:t>oktanol</w:t>
      </w:r>
      <w:proofErr w:type="spellEnd"/>
      <w:r w:rsidRPr="0080619C">
        <w:rPr>
          <w:sz w:val="24"/>
          <w:szCs w:val="24"/>
        </w:rPr>
        <w:t xml:space="preserve">/bufferopløsning (pH 12) på 1,09. Opløseligheden i vand (pH 6) er 31 mg/ml. </w:t>
      </w:r>
      <w:proofErr w:type="spellStart"/>
      <w:r w:rsidRPr="0080619C">
        <w:rPr>
          <w:sz w:val="24"/>
          <w:szCs w:val="24"/>
        </w:rPr>
        <w:t>Galantamin</w:t>
      </w:r>
      <w:proofErr w:type="spellEnd"/>
      <w:r w:rsidRPr="0080619C">
        <w:rPr>
          <w:sz w:val="24"/>
          <w:szCs w:val="24"/>
        </w:rPr>
        <w:t xml:space="preserve"> har tre </w:t>
      </w:r>
      <w:proofErr w:type="spellStart"/>
      <w:r w:rsidRPr="0080619C">
        <w:rPr>
          <w:sz w:val="24"/>
          <w:szCs w:val="24"/>
        </w:rPr>
        <w:t>chirale</w:t>
      </w:r>
      <w:proofErr w:type="spellEnd"/>
      <w:r w:rsidRPr="0080619C">
        <w:rPr>
          <w:sz w:val="24"/>
          <w:szCs w:val="24"/>
        </w:rPr>
        <w:t xml:space="preserve"> centre. S, R, S-formen er den naturligt forekommende. </w:t>
      </w:r>
      <w:proofErr w:type="spellStart"/>
      <w:r w:rsidRPr="0080619C">
        <w:rPr>
          <w:sz w:val="24"/>
          <w:szCs w:val="24"/>
        </w:rPr>
        <w:t>Galantamin</w:t>
      </w:r>
      <w:proofErr w:type="spellEnd"/>
      <w:r w:rsidRPr="0080619C">
        <w:rPr>
          <w:sz w:val="24"/>
          <w:szCs w:val="24"/>
        </w:rPr>
        <w:t xml:space="preserve"> </w:t>
      </w:r>
      <w:proofErr w:type="spellStart"/>
      <w:r w:rsidRPr="0080619C">
        <w:rPr>
          <w:sz w:val="24"/>
          <w:szCs w:val="24"/>
        </w:rPr>
        <w:t>metaboliseres</w:t>
      </w:r>
      <w:proofErr w:type="spellEnd"/>
      <w:r w:rsidRPr="0080619C">
        <w:rPr>
          <w:sz w:val="24"/>
          <w:szCs w:val="24"/>
        </w:rPr>
        <w:t xml:space="preserve"> delvis af forskellige </w:t>
      </w:r>
      <w:proofErr w:type="spellStart"/>
      <w:r w:rsidRPr="0080619C">
        <w:rPr>
          <w:sz w:val="24"/>
          <w:szCs w:val="24"/>
        </w:rPr>
        <w:t>cytokromer</w:t>
      </w:r>
      <w:proofErr w:type="spellEnd"/>
      <w:r w:rsidRPr="0080619C">
        <w:rPr>
          <w:sz w:val="24"/>
          <w:szCs w:val="24"/>
        </w:rPr>
        <w:t xml:space="preserve">, hovedsagelig CYP2D6 og CYP3A4. Nogle af metabolitterne, som dannes under nedbrydningen af </w:t>
      </w:r>
      <w:proofErr w:type="spellStart"/>
      <w:r w:rsidRPr="0080619C">
        <w:rPr>
          <w:sz w:val="24"/>
          <w:szCs w:val="24"/>
        </w:rPr>
        <w:t>galantamin</w:t>
      </w:r>
      <w:proofErr w:type="spellEnd"/>
      <w:r w:rsidRPr="0080619C">
        <w:rPr>
          <w:sz w:val="24"/>
          <w:szCs w:val="24"/>
        </w:rPr>
        <w:t xml:space="preserve">, har vist sig at være aktive in </w:t>
      </w:r>
      <w:proofErr w:type="spellStart"/>
      <w:r w:rsidRPr="0080619C">
        <w:rPr>
          <w:sz w:val="24"/>
          <w:szCs w:val="24"/>
        </w:rPr>
        <w:t>vitro</w:t>
      </w:r>
      <w:proofErr w:type="spellEnd"/>
      <w:r w:rsidRPr="0080619C">
        <w:rPr>
          <w:sz w:val="24"/>
          <w:szCs w:val="24"/>
        </w:rPr>
        <w:t xml:space="preserve">, men er uden betydning </w:t>
      </w:r>
      <w:r w:rsidRPr="0080619C">
        <w:rPr>
          <w:i/>
          <w:sz w:val="24"/>
          <w:szCs w:val="24"/>
        </w:rPr>
        <w:t xml:space="preserve">in </w:t>
      </w:r>
      <w:proofErr w:type="spellStart"/>
      <w:r w:rsidRPr="0080619C">
        <w:rPr>
          <w:i/>
          <w:sz w:val="24"/>
          <w:szCs w:val="24"/>
        </w:rPr>
        <w:t>vivo</w:t>
      </w:r>
      <w:proofErr w:type="spellEnd"/>
      <w:r w:rsidRPr="0080619C">
        <w:rPr>
          <w:sz w:val="24"/>
          <w:szCs w:val="24"/>
        </w:rPr>
        <w:t>.</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noProof/>
          <w:sz w:val="24"/>
          <w:szCs w:val="24"/>
          <w:u w:val="single"/>
        </w:rPr>
        <w:t>Absorption</w:t>
      </w:r>
    </w:p>
    <w:p w:rsidR="005B428A" w:rsidRPr="0080619C" w:rsidRDefault="005B428A" w:rsidP="005B428A">
      <w:pPr>
        <w:ind w:left="851"/>
        <w:rPr>
          <w:sz w:val="24"/>
          <w:szCs w:val="24"/>
        </w:rPr>
      </w:pPr>
      <w:proofErr w:type="spellStart"/>
      <w:r w:rsidRPr="0080619C">
        <w:rPr>
          <w:sz w:val="24"/>
          <w:szCs w:val="24"/>
        </w:rPr>
        <w:t>Galantamins</w:t>
      </w:r>
      <w:proofErr w:type="spellEnd"/>
      <w:r w:rsidRPr="0080619C">
        <w:rPr>
          <w:sz w:val="24"/>
          <w:szCs w:val="24"/>
        </w:rPr>
        <w:t xml:space="preserve"> absolutte biotilgængelighed er høj: 88,5 </w:t>
      </w:r>
      <w:r w:rsidRPr="0080619C">
        <w:rPr>
          <w:sz w:val="24"/>
          <w:szCs w:val="24"/>
        </w:rPr>
        <w:sym w:font="Symbol" w:char="00B1"/>
      </w:r>
      <w:r w:rsidRPr="0080619C">
        <w:rPr>
          <w:sz w:val="24"/>
          <w:szCs w:val="24"/>
        </w:rPr>
        <w:t xml:space="preserve"> 5,4 %.</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depotkapsler er bioækvivalente med tabletterne med omgående udløsning indgivet to gange daglig, hvad angår AUC</w:t>
      </w:r>
      <w:r w:rsidRPr="0080619C">
        <w:rPr>
          <w:sz w:val="24"/>
          <w:szCs w:val="24"/>
          <w:vertAlign w:val="subscript"/>
        </w:rPr>
        <w:t>24h</w:t>
      </w:r>
      <w:r w:rsidRPr="0080619C">
        <w:rPr>
          <w:sz w:val="24"/>
          <w:szCs w:val="24"/>
        </w:rPr>
        <w:t xml:space="preserve"> og </w:t>
      </w:r>
      <w:proofErr w:type="spellStart"/>
      <w:r w:rsidRPr="0080619C">
        <w:rPr>
          <w:sz w:val="24"/>
          <w:szCs w:val="24"/>
        </w:rPr>
        <w:t>C</w:t>
      </w:r>
      <w:r w:rsidRPr="0080619C">
        <w:rPr>
          <w:sz w:val="24"/>
          <w:szCs w:val="24"/>
          <w:vertAlign w:val="subscript"/>
        </w:rPr>
        <w:t>min</w:t>
      </w:r>
      <w:proofErr w:type="spellEnd"/>
      <w:r w:rsidRPr="0080619C">
        <w:rPr>
          <w:sz w:val="24"/>
          <w:szCs w:val="24"/>
        </w:rPr>
        <w:t>.</w:t>
      </w:r>
    </w:p>
    <w:p w:rsidR="005B428A" w:rsidRPr="0080619C" w:rsidRDefault="005B428A" w:rsidP="005B428A">
      <w:pPr>
        <w:ind w:left="851"/>
        <w:rPr>
          <w:sz w:val="24"/>
          <w:szCs w:val="24"/>
        </w:rPr>
      </w:pPr>
      <w:proofErr w:type="spellStart"/>
      <w:r w:rsidRPr="0080619C">
        <w:rPr>
          <w:sz w:val="24"/>
          <w:szCs w:val="24"/>
        </w:rPr>
        <w:t>C</w:t>
      </w:r>
      <w:r w:rsidRPr="0080619C">
        <w:rPr>
          <w:sz w:val="24"/>
          <w:szCs w:val="24"/>
          <w:vertAlign w:val="subscript"/>
        </w:rPr>
        <w:t>max</w:t>
      </w:r>
      <w:proofErr w:type="spellEnd"/>
      <w:r w:rsidRPr="0080619C">
        <w:rPr>
          <w:sz w:val="24"/>
          <w:szCs w:val="24"/>
        </w:rPr>
        <w:t>-værdien nås efter 4,4 timer og er ca. 24 % lavere end ved tabletterne.</w:t>
      </w:r>
    </w:p>
    <w:p w:rsidR="005B428A" w:rsidRPr="0080619C" w:rsidRDefault="005B428A" w:rsidP="005B428A">
      <w:pPr>
        <w:ind w:left="851"/>
        <w:rPr>
          <w:sz w:val="24"/>
          <w:szCs w:val="24"/>
        </w:rPr>
      </w:pPr>
      <w:r w:rsidRPr="0080619C">
        <w:rPr>
          <w:sz w:val="24"/>
          <w:szCs w:val="24"/>
        </w:rPr>
        <w:t>Føde har ingen væsentlig virkning på AUC for depotkapslerne.</w:t>
      </w:r>
    </w:p>
    <w:p w:rsidR="005B428A" w:rsidRPr="0080619C" w:rsidRDefault="005B428A" w:rsidP="005B428A">
      <w:pPr>
        <w:ind w:left="851"/>
        <w:rPr>
          <w:sz w:val="24"/>
          <w:szCs w:val="24"/>
        </w:rPr>
      </w:pPr>
      <w:proofErr w:type="spellStart"/>
      <w:r w:rsidRPr="0080619C">
        <w:rPr>
          <w:sz w:val="24"/>
          <w:szCs w:val="24"/>
        </w:rPr>
        <w:t>C</w:t>
      </w:r>
      <w:r w:rsidRPr="0080619C">
        <w:rPr>
          <w:sz w:val="24"/>
          <w:szCs w:val="24"/>
          <w:vertAlign w:val="subscript"/>
        </w:rPr>
        <w:t>max</w:t>
      </w:r>
      <w:proofErr w:type="spellEnd"/>
      <w:r w:rsidRPr="0080619C">
        <w:rPr>
          <w:sz w:val="24"/>
          <w:szCs w:val="24"/>
        </w:rPr>
        <w:t xml:space="preserve"> blev øget med ca. 12 % og </w:t>
      </w:r>
      <w:proofErr w:type="spellStart"/>
      <w:r w:rsidRPr="0080619C">
        <w:rPr>
          <w:sz w:val="24"/>
          <w:szCs w:val="24"/>
        </w:rPr>
        <w:t>T</w:t>
      </w:r>
      <w:r w:rsidRPr="0080619C">
        <w:rPr>
          <w:sz w:val="24"/>
          <w:szCs w:val="24"/>
          <w:vertAlign w:val="subscript"/>
        </w:rPr>
        <w:t>max</w:t>
      </w:r>
      <w:proofErr w:type="spellEnd"/>
      <w:r w:rsidRPr="0080619C">
        <w:rPr>
          <w:sz w:val="24"/>
          <w:szCs w:val="24"/>
        </w:rPr>
        <w:t xml:space="preserve"> øget med ca. 30 minutter, når kapslen blev givet efter føde. Men disse ændringer er dog højst sandsynlig ikke klinisk signifikante.</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noProof/>
          <w:sz w:val="24"/>
          <w:szCs w:val="24"/>
          <w:u w:val="single"/>
        </w:rPr>
        <w:t>Fordeling</w:t>
      </w:r>
    </w:p>
    <w:p w:rsidR="005B428A" w:rsidRPr="0080619C" w:rsidRDefault="005B428A" w:rsidP="005B428A">
      <w:pPr>
        <w:ind w:left="851"/>
        <w:rPr>
          <w:sz w:val="24"/>
          <w:szCs w:val="24"/>
        </w:rPr>
      </w:pPr>
      <w:r w:rsidRPr="0080619C">
        <w:rPr>
          <w:sz w:val="24"/>
          <w:szCs w:val="24"/>
        </w:rPr>
        <w:t>Middel distributionsvolumen er 175 l. Plasmaproteinbindingen er lav: 18 %.</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noProof/>
          <w:sz w:val="24"/>
          <w:szCs w:val="24"/>
          <w:u w:val="single"/>
        </w:rPr>
        <w:t>Biotransformation</w:t>
      </w:r>
    </w:p>
    <w:p w:rsidR="005B428A" w:rsidRPr="0080619C" w:rsidRDefault="005B428A" w:rsidP="005B428A">
      <w:pPr>
        <w:ind w:left="851"/>
        <w:rPr>
          <w:sz w:val="24"/>
          <w:szCs w:val="24"/>
        </w:rPr>
      </w:pPr>
      <w:r w:rsidRPr="0080619C">
        <w:rPr>
          <w:sz w:val="24"/>
          <w:szCs w:val="24"/>
        </w:rPr>
        <w:t xml:space="preserve">Op til 75 % af den doserede </w:t>
      </w:r>
      <w:proofErr w:type="spellStart"/>
      <w:r w:rsidRPr="0080619C">
        <w:rPr>
          <w:sz w:val="24"/>
          <w:szCs w:val="24"/>
        </w:rPr>
        <w:t>galantamin</w:t>
      </w:r>
      <w:proofErr w:type="spellEnd"/>
      <w:r w:rsidRPr="0080619C">
        <w:rPr>
          <w:sz w:val="24"/>
          <w:szCs w:val="24"/>
        </w:rPr>
        <w:t xml:space="preserve"> udskilles via metabolismen. </w:t>
      </w:r>
      <w:r w:rsidRPr="0080619C">
        <w:rPr>
          <w:i/>
          <w:sz w:val="24"/>
          <w:szCs w:val="24"/>
        </w:rPr>
        <w:t xml:space="preserve">In </w:t>
      </w:r>
      <w:proofErr w:type="spellStart"/>
      <w:r w:rsidRPr="0080619C">
        <w:rPr>
          <w:i/>
          <w:sz w:val="24"/>
          <w:szCs w:val="24"/>
        </w:rPr>
        <w:t>vitro</w:t>
      </w:r>
      <w:proofErr w:type="spellEnd"/>
      <w:r w:rsidRPr="0080619C">
        <w:rPr>
          <w:sz w:val="24"/>
          <w:szCs w:val="24"/>
        </w:rPr>
        <w:t>-forsøg tyder på, at CYP2D6 er medvirkende til dannelsen af O-</w:t>
      </w:r>
      <w:proofErr w:type="spellStart"/>
      <w:r w:rsidRPr="0080619C">
        <w:rPr>
          <w:sz w:val="24"/>
          <w:szCs w:val="24"/>
        </w:rPr>
        <w:t>desmethylgalantamin</w:t>
      </w:r>
      <w:proofErr w:type="spellEnd"/>
      <w:r w:rsidRPr="0080619C">
        <w:rPr>
          <w:sz w:val="24"/>
          <w:szCs w:val="24"/>
        </w:rPr>
        <w:t xml:space="preserve">, og CYP3A4 er medvirkende til dannelsen af N-oxid-galantamid. Udskillelsesniveauerne af total radioaktivitet i urin og fæces var ikke forskellig mellem ringe og udtalte CYP2D6-omsættere. I plasma fra ringe og udtalte </w:t>
      </w:r>
      <w:proofErr w:type="spellStart"/>
      <w:r w:rsidRPr="0080619C">
        <w:rPr>
          <w:sz w:val="24"/>
          <w:szCs w:val="24"/>
        </w:rPr>
        <w:t>omsættere</w:t>
      </w:r>
      <w:proofErr w:type="spellEnd"/>
      <w:r w:rsidRPr="0080619C">
        <w:rPr>
          <w:sz w:val="24"/>
          <w:szCs w:val="24"/>
        </w:rPr>
        <w:t xml:space="preserve"> udgjorde uforandret </w:t>
      </w:r>
      <w:proofErr w:type="spellStart"/>
      <w:r w:rsidRPr="0080619C">
        <w:rPr>
          <w:sz w:val="24"/>
          <w:szCs w:val="24"/>
        </w:rPr>
        <w:t>galantamin</w:t>
      </w:r>
      <w:proofErr w:type="spellEnd"/>
      <w:r w:rsidRPr="0080619C">
        <w:rPr>
          <w:sz w:val="24"/>
          <w:szCs w:val="24"/>
        </w:rPr>
        <w:t xml:space="preserve"> og dets </w:t>
      </w:r>
      <w:proofErr w:type="spellStart"/>
      <w:r w:rsidRPr="0080619C">
        <w:rPr>
          <w:sz w:val="24"/>
          <w:szCs w:val="24"/>
        </w:rPr>
        <w:t>glucuronid</w:t>
      </w:r>
      <w:proofErr w:type="spellEnd"/>
      <w:r w:rsidRPr="0080619C">
        <w:rPr>
          <w:sz w:val="24"/>
          <w:szCs w:val="24"/>
        </w:rPr>
        <w:t xml:space="preserve"> det meste af prøvens radioaktivitet. Ingen af </w:t>
      </w:r>
      <w:proofErr w:type="spellStart"/>
      <w:r w:rsidRPr="0080619C">
        <w:rPr>
          <w:sz w:val="24"/>
          <w:szCs w:val="24"/>
        </w:rPr>
        <w:t>galantamins</w:t>
      </w:r>
      <w:proofErr w:type="spellEnd"/>
      <w:r w:rsidRPr="0080619C">
        <w:rPr>
          <w:sz w:val="24"/>
          <w:szCs w:val="24"/>
        </w:rPr>
        <w:t xml:space="preserve"> aktive metabolitter (</w:t>
      </w:r>
      <w:proofErr w:type="spellStart"/>
      <w:r w:rsidRPr="0080619C">
        <w:rPr>
          <w:sz w:val="24"/>
          <w:szCs w:val="24"/>
        </w:rPr>
        <w:t>norgalantamin</w:t>
      </w:r>
      <w:proofErr w:type="spellEnd"/>
      <w:r w:rsidRPr="0080619C">
        <w:rPr>
          <w:sz w:val="24"/>
          <w:szCs w:val="24"/>
        </w:rPr>
        <w:t>, O-</w:t>
      </w:r>
      <w:proofErr w:type="spellStart"/>
      <w:r w:rsidRPr="0080619C">
        <w:rPr>
          <w:sz w:val="24"/>
          <w:szCs w:val="24"/>
        </w:rPr>
        <w:t>desmethylgalantamin</w:t>
      </w:r>
      <w:proofErr w:type="spellEnd"/>
      <w:r w:rsidRPr="0080619C">
        <w:rPr>
          <w:sz w:val="24"/>
          <w:szCs w:val="24"/>
        </w:rPr>
        <w:t xml:space="preserve"> og O-</w:t>
      </w:r>
      <w:proofErr w:type="spellStart"/>
      <w:r w:rsidRPr="0080619C">
        <w:rPr>
          <w:sz w:val="24"/>
          <w:szCs w:val="24"/>
        </w:rPr>
        <w:t>desmethyl</w:t>
      </w:r>
      <w:proofErr w:type="spellEnd"/>
      <w:r w:rsidRPr="0080619C">
        <w:rPr>
          <w:sz w:val="24"/>
          <w:szCs w:val="24"/>
        </w:rPr>
        <w:t>-</w:t>
      </w:r>
      <w:proofErr w:type="spellStart"/>
      <w:r w:rsidRPr="0080619C">
        <w:rPr>
          <w:sz w:val="24"/>
          <w:szCs w:val="24"/>
        </w:rPr>
        <w:t>norgalantamin</w:t>
      </w:r>
      <w:proofErr w:type="spellEnd"/>
      <w:r w:rsidRPr="0080619C">
        <w:rPr>
          <w:sz w:val="24"/>
          <w:szCs w:val="24"/>
        </w:rPr>
        <w:t xml:space="preserve">) kunne spores i deres </w:t>
      </w:r>
      <w:proofErr w:type="spellStart"/>
      <w:r w:rsidRPr="0080619C">
        <w:rPr>
          <w:sz w:val="24"/>
          <w:szCs w:val="24"/>
        </w:rPr>
        <w:t>ukonjugerede</w:t>
      </w:r>
      <w:proofErr w:type="spellEnd"/>
      <w:r w:rsidRPr="0080619C">
        <w:rPr>
          <w:sz w:val="24"/>
          <w:szCs w:val="24"/>
        </w:rPr>
        <w:t xml:space="preserve"> form i plasma fra ringe og udtalte </w:t>
      </w:r>
      <w:proofErr w:type="spellStart"/>
      <w:r w:rsidRPr="0080619C">
        <w:rPr>
          <w:sz w:val="24"/>
          <w:szCs w:val="24"/>
        </w:rPr>
        <w:t>omsættere</w:t>
      </w:r>
      <w:proofErr w:type="spellEnd"/>
      <w:r w:rsidRPr="0080619C">
        <w:rPr>
          <w:sz w:val="24"/>
          <w:szCs w:val="24"/>
        </w:rPr>
        <w:t xml:space="preserve"> efter enkelt dosering. </w:t>
      </w:r>
      <w:proofErr w:type="spellStart"/>
      <w:r w:rsidRPr="0080619C">
        <w:rPr>
          <w:sz w:val="24"/>
          <w:szCs w:val="24"/>
        </w:rPr>
        <w:t>Norgalantamin</w:t>
      </w:r>
      <w:proofErr w:type="spellEnd"/>
      <w:r w:rsidRPr="0080619C">
        <w:rPr>
          <w:sz w:val="24"/>
          <w:szCs w:val="24"/>
        </w:rPr>
        <w:t xml:space="preserve"> kunne spores i plasma fra patienter efter flere doseringer, men udgjorde ikke mere end 10 % af </w:t>
      </w:r>
      <w:proofErr w:type="spellStart"/>
      <w:r w:rsidRPr="0080619C">
        <w:rPr>
          <w:sz w:val="24"/>
          <w:szCs w:val="24"/>
        </w:rPr>
        <w:t>galantamin</w:t>
      </w:r>
      <w:proofErr w:type="spellEnd"/>
      <w:r w:rsidRPr="0080619C">
        <w:rPr>
          <w:sz w:val="24"/>
          <w:szCs w:val="24"/>
        </w:rPr>
        <w:t xml:space="preserve">-niveauerne. </w:t>
      </w:r>
      <w:r w:rsidRPr="0080619C">
        <w:rPr>
          <w:i/>
          <w:sz w:val="24"/>
          <w:szCs w:val="24"/>
        </w:rPr>
        <w:t xml:space="preserve">In </w:t>
      </w:r>
      <w:proofErr w:type="spellStart"/>
      <w:r w:rsidRPr="0080619C">
        <w:rPr>
          <w:i/>
          <w:sz w:val="24"/>
          <w:szCs w:val="24"/>
        </w:rPr>
        <w:t>vitro</w:t>
      </w:r>
      <w:proofErr w:type="spellEnd"/>
      <w:r w:rsidRPr="0080619C">
        <w:rPr>
          <w:sz w:val="24"/>
          <w:szCs w:val="24"/>
        </w:rPr>
        <w:t xml:space="preserve">-forsøg tyder på, at den potentielle hæmning af </w:t>
      </w:r>
      <w:proofErr w:type="spellStart"/>
      <w:r w:rsidRPr="0080619C">
        <w:rPr>
          <w:sz w:val="24"/>
          <w:szCs w:val="24"/>
        </w:rPr>
        <w:t>galantamin</w:t>
      </w:r>
      <w:proofErr w:type="spellEnd"/>
      <w:r w:rsidRPr="0080619C">
        <w:rPr>
          <w:sz w:val="24"/>
          <w:szCs w:val="24"/>
        </w:rPr>
        <w:t xml:space="preserve">, hvad angår de større former for human </w:t>
      </w:r>
      <w:proofErr w:type="spellStart"/>
      <w:r w:rsidRPr="0080619C">
        <w:rPr>
          <w:sz w:val="24"/>
          <w:szCs w:val="24"/>
        </w:rPr>
        <w:t>cytokrom</w:t>
      </w:r>
      <w:proofErr w:type="spellEnd"/>
      <w:r w:rsidRPr="0080619C">
        <w:rPr>
          <w:sz w:val="24"/>
          <w:szCs w:val="24"/>
        </w:rPr>
        <w:t xml:space="preserve"> P450, er meget lav.</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noProof/>
          <w:sz w:val="24"/>
          <w:szCs w:val="24"/>
          <w:u w:val="single"/>
        </w:rPr>
        <w:t>Elimination</w:t>
      </w:r>
    </w:p>
    <w:p w:rsidR="005B428A" w:rsidRPr="0080619C" w:rsidRDefault="005B428A" w:rsidP="005B428A">
      <w:pPr>
        <w:ind w:left="851"/>
        <w:rPr>
          <w:sz w:val="24"/>
          <w:szCs w:val="24"/>
        </w:rPr>
      </w:pPr>
      <w:proofErr w:type="spellStart"/>
      <w:r w:rsidRPr="0080619C">
        <w:rPr>
          <w:sz w:val="24"/>
          <w:szCs w:val="24"/>
        </w:rPr>
        <w:t>Galantamins</w:t>
      </w:r>
      <w:proofErr w:type="spellEnd"/>
      <w:r w:rsidRPr="0080619C">
        <w:rPr>
          <w:sz w:val="24"/>
          <w:szCs w:val="24"/>
        </w:rPr>
        <w:t xml:space="preserve"> plasmakoncentrationer aftager bi-eksponentielt med en terminal halveringstid på ca. 8-10 timer hos raske individer. Typisk oral </w:t>
      </w:r>
      <w:proofErr w:type="spellStart"/>
      <w:r w:rsidRPr="0080619C">
        <w:rPr>
          <w:sz w:val="24"/>
          <w:szCs w:val="24"/>
        </w:rPr>
        <w:t>clearance</w:t>
      </w:r>
      <w:proofErr w:type="spellEnd"/>
      <w:r w:rsidRPr="0080619C">
        <w:rPr>
          <w:sz w:val="24"/>
          <w:szCs w:val="24"/>
        </w:rPr>
        <w:t xml:space="preserve"> i målpopulationen er ca. 200 ml/min. med inter-individ variation på 30 % som udledt af populationsanalysen med tabletter med omgående udløsning. Syv dage efter en enkelt oral dosis 4 mg </w:t>
      </w:r>
      <w:r w:rsidRPr="0080619C">
        <w:rPr>
          <w:sz w:val="24"/>
          <w:szCs w:val="24"/>
          <w:vertAlign w:val="superscript"/>
        </w:rPr>
        <w:t>3</w:t>
      </w:r>
      <w:r w:rsidRPr="0080619C">
        <w:rPr>
          <w:sz w:val="24"/>
          <w:szCs w:val="24"/>
        </w:rPr>
        <w:t xml:space="preserve">H-galantamin er 90-97 % af radioaktiviteten genfundet i urinen og 2,2–6,3 % i fæces. Efter intravenøs infusion og oral indgift blev 18-22 % af dosis udskilt som uforandret </w:t>
      </w:r>
      <w:proofErr w:type="spellStart"/>
      <w:r w:rsidRPr="0080619C">
        <w:rPr>
          <w:sz w:val="24"/>
          <w:szCs w:val="24"/>
        </w:rPr>
        <w:t>galantamin</w:t>
      </w:r>
      <w:proofErr w:type="spellEnd"/>
      <w:r w:rsidRPr="0080619C">
        <w:rPr>
          <w:sz w:val="24"/>
          <w:szCs w:val="24"/>
        </w:rPr>
        <w:t xml:space="preserve"> i urinen </w:t>
      </w:r>
      <w:r w:rsidRPr="0080619C">
        <w:rPr>
          <w:sz w:val="24"/>
          <w:szCs w:val="24"/>
        </w:rPr>
        <w:lastRenderedPageBreak/>
        <w:t xml:space="preserve">over 24 timer med en </w:t>
      </w:r>
      <w:proofErr w:type="spellStart"/>
      <w:r w:rsidRPr="0080619C">
        <w:rPr>
          <w:sz w:val="24"/>
          <w:szCs w:val="24"/>
        </w:rPr>
        <w:t>renal</w:t>
      </w:r>
      <w:proofErr w:type="spellEnd"/>
      <w:r w:rsidRPr="0080619C">
        <w:rPr>
          <w:sz w:val="24"/>
          <w:szCs w:val="24"/>
        </w:rPr>
        <w:t xml:space="preserve"> </w:t>
      </w:r>
      <w:proofErr w:type="spellStart"/>
      <w:r w:rsidRPr="0080619C">
        <w:rPr>
          <w:sz w:val="24"/>
          <w:szCs w:val="24"/>
        </w:rPr>
        <w:t>clerance</w:t>
      </w:r>
      <w:proofErr w:type="spellEnd"/>
      <w:r w:rsidRPr="0080619C">
        <w:rPr>
          <w:sz w:val="24"/>
          <w:szCs w:val="24"/>
        </w:rPr>
        <w:t xml:space="preserve"> på 68,4 </w:t>
      </w:r>
      <w:r w:rsidRPr="0080619C">
        <w:rPr>
          <w:sz w:val="24"/>
          <w:szCs w:val="24"/>
        </w:rPr>
        <w:sym w:font="Symbol" w:char="00B1"/>
      </w:r>
      <w:r w:rsidRPr="0080619C">
        <w:rPr>
          <w:sz w:val="24"/>
          <w:szCs w:val="24"/>
        </w:rPr>
        <w:t xml:space="preserve"> 22,0 ml/min, hvilket repræsenterer 20-25 % af den totale plasma </w:t>
      </w:r>
      <w:proofErr w:type="spellStart"/>
      <w:r w:rsidRPr="0080619C">
        <w:rPr>
          <w:sz w:val="24"/>
          <w:szCs w:val="24"/>
        </w:rPr>
        <w:t>clearance</w:t>
      </w:r>
      <w:proofErr w:type="spellEnd"/>
      <w:r w:rsidRPr="0080619C">
        <w:rPr>
          <w:sz w:val="24"/>
          <w:szCs w:val="24"/>
        </w:rPr>
        <w:t>.</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Dosislinearitet</w:t>
      </w:r>
    </w:p>
    <w:p w:rsidR="005B428A" w:rsidRPr="0080619C" w:rsidRDefault="005B428A" w:rsidP="005B428A">
      <w:pPr>
        <w:ind w:left="851"/>
        <w:rPr>
          <w:sz w:val="24"/>
          <w:szCs w:val="24"/>
        </w:rPr>
      </w:pPr>
      <w:proofErr w:type="spellStart"/>
      <w:r w:rsidRPr="0080619C">
        <w:rPr>
          <w:sz w:val="24"/>
          <w:szCs w:val="24"/>
        </w:rPr>
        <w:t>Galantamin</w:t>
      </w:r>
      <w:proofErr w:type="spellEnd"/>
      <w:r w:rsidRPr="0080619C">
        <w:rPr>
          <w:sz w:val="24"/>
          <w:szCs w:val="24"/>
        </w:rPr>
        <w:t xml:space="preserve"> depotkapslers farmakokinetik er dosisproportional inden for det undersøgte dosisinterval på 8-24 mg en gang daglig hos ældre og unge.</w:t>
      </w:r>
    </w:p>
    <w:p w:rsidR="005B428A" w:rsidRPr="0080619C" w:rsidRDefault="005B428A" w:rsidP="005B428A">
      <w:pPr>
        <w:ind w:left="851"/>
        <w:rPr>
          <w:sz w:val="24"/>
          <w:szCs w:val="24"/>
        </w:rPr>
      </w:pPr>
    </w:p>
    <w:p w:rsidR="005B428A" w:rsidRPr="0080619C" w:rsidRDefault="005B428A" w:rsidP="005B428A">
      <w:pPr>
        <w:ind w:left="851"/>
        <w:rPr>
          <w:b/>
          <w:sz w:val="24"/>
          <w:szCs w:val="24"/>
        </w:rPr>
      </w:pPr>
      <w:r w:rsidRPr="0080619C">
        <w:rPr>
          <w:b/>
          <w:sz w:val="24"/>
          <w:szCs w:val="24"/>
        </w:rPr>
        <w:t xml:space="preserve">Karakteristika hos patienter med Alzheimers </w:t>
      </w:r>
    </w:p>
    <w:p w:rsidR="005B428A" w:rsidRPr="0080619C" w:rsidRDefault="005B428A" w:rsidP="005B428A">
      <w:pPr>
        <w:ind w:left="851"/>
        <w:rPr>
          <w:sz w:val="24"/>
          <w:szCs w:val="24"/>
        </w:rPr>
      </w:pPr>
      <w:r w:rsidRPr="0080619C">
        <w:rPr>
          <w:sz w:val="24"/>
          <w:szCs w:val="24"/>
        </w:rPr>
        <w:t xml:space="preserve">Data fra kliniske studier med patienter indikerer, at plasmakoncentrationer af </w:t>
      </w:r>
      <w:proofErr w:type="spellStart"/>
      <w:r w:rsidRPr="0080619C">
        <w:rPr>
          <w:sz w:val="24"/>
          <w:szCs w:val="24"/>
        </w:rPr>
        <w:t>galantamin</w:t>
      </w:r>
      <w:proofErr w:type="spellEnd"/>
      <w:r w:rsidRPr="0080619C">
        <w:rPr>
          <w:sz w:val="24"/>
          <w:szCs w:val="24"/>
        </w:rPr>
        <w:t xml:space="preserve"> hos patienter med Alzheimers sygdom er 30-40 % højere end hos raske unge individer primært pga. den fremskredne alder og nedsat nyrefunktion. Baseret på den populations-</w:t>
      </w:r>
      <w:proofErr w:type="spellStart"/>
      <w:r w:rsidRPr="0080619C">
        <w:rPr>
          <w:sz w:val="24"/>
          <w:szCs w:val="24"/>
        </w:rPr>
        <w:t>farmakokinetiske</w:t>
      </w:r>
      <w:proofErr w:type="spellEnd"/>
      <w:r w:rsidRPr="0080619C">
        <w:rPr>
          <w:sz w:val="24"/>
          <w:szCs w:val="24"/>
        </w:rPr>
        <w:t xml:space="preserve"> analyse er </w:t>
      </w:r>
      <w:proofErr w:type="spellStart"/>
      <w:r w:rsidRPr="0080619C">
        <w:rPr>
          <w:sz w:val="24"/>
          <w:szCs w:val="24"/>
        </w:rPr>
        <w:t>clearance</w:t>
      </w:r>
      <w:proofErr w:type="spellEnd"/>
      <w:r w:rsidRPr="0080619C">
        <w:rPr>
          <w:sz w:val="24"/>
          <w:szCs w:val="24"/>
        </w:rPr>
        <w:t xml:space="preserve"> hos kvindelige individer 20 % lavere sammenlignet med mandlige. </w:t>
      </w:r>
      <w:proofErr w:type="spellStart"/>
      <w:r w:rsidRPr="0080619C">
        <w:rPr>
          <w:sz w:val="24"/>
          <w:szCs w:val="24"/>
        </w:rPr>
        <w:t>Galantamins</w:t>
      </w:r>
      <w:proofErr w:type="spellEnd"/>
      <w:r w:rsidRPr="0080619C">
        <w:rPr>
          <w:sz w:val="24"/>
          <w:szCs w:val="24"/>
        </w:rPr>
        <w:t xml:space="preserve"> </w:t>
      </w:r>
      <w:proofErr w:type="spellStart"/>
      <w:r w:rsidRPr="0080619C">
        <w:rPr>
          <w:sz w:val="24"/>
          <w:szCs w:val="24"/>
        </w:rPr>
        <w:t>clearance</w:t>
      </w:r>
      <w:proofErr w:type="spellEnd"/>
      <w:r w:rsidRPr="0080619C">
        <w:rPr>
          <w:sz w:val="24"/>
          <w:szCs w:val="24"/>
        </w:rPr>
        <w:t xml:space="preserve"> i ringe CYP2D6-omsættere er omkring 25 % lavere end i udtalte </w:t>
      </w:r>
      <w:proofErr w:type="spellStart"/>
      <w:r w:rsidRPr="0080619C">
        <w:rPr>
          <w:sz w:val="24"/>
          <w:szCs w:val="24"/>
        </w:rPr>
        <w:t>omsættere</w:t>
      </w:r>
      <w:proofErr w:type="spellEnd"/>
      <w:r w:rsidRPr="0080619C">
        <w:rPr>
          <w:sz w:val="24"/>
          <w:szCs w:val="24"/>
        </w:rPr>
        <w:t xml:space="preserve">, men der blev ikke observeret nogen </w:t>
      </w:r>
      <w:proofErr w:type="spellStart"/>
      <w:r w:rsidRPr="0080619C">
        <w:rPr>
          <w:sz w:val="24"/>
          <w:szCs w:val="24"/>
        </w:rPr>
        <w:t>bimodalitet</w:t>
      </w:r>
      <w:proofErr w:type="spellEnd"/>
      <w:r w:rsidRPr="0080619C">
        <w:rPr>
          <w:sz w:val="24"/>
          <w:szCs w:val="24"/>
        </w:rPr>
        <w:t xml:space="preserve"> i populationen. Derfor betragtes patientens metaboliske status ikke at være af klinisk relevans i den samlede population.</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r w:rsidRPr="0080619C">
        <w:rPr>
          <w:sz w:val="24"/>
          <w:szCs w:val="24"/>
          <w:u w:val="single"/>
        </w:rPr>
        <w:t>Særlige populationer</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i/>
          <w:sz w:val="24"/>
          <w:szCs w:val="24"/>
        </w:rPr>
        <w:t>Nedsat nyrefunktion</w:t>
      </w:r>
      <w:r w:rsidRPr="0080619C">
        <w:rPr>
          <w:sz w:val="24"/>
          <w:szCs w:val="24"/>
        </w:rPr>
        <w:br/>
        <w:t xml:space="preserve">Elimination af </w:t>
      </w:r>
      <w:proofErr w:type="spellStart"/>
      <w:r w:rsidRPr="0080619C">
        <w:rPr>
          <w:sz w:val="24"/>
          <w:szCs w:val="24"/>
        </w:rPr>
        <w:t>galantamin</w:t>
      </w:r>
      <w:proofErr w:type="spellEnd"/>
      <w:r w:rsidRPr="0080619C">
        <w:rPr>
          <w:sz w:val="24"/>
          <w:szCs w:val="24"/>
        </w:rPr>
        <w:t xml:space="preserve"> falder med faldende </w:t>
      </w:r>
      <w:proofErr w:type="spellStart"/>
      <w:r w:rsidRPr="0080619C">
        <w:rPr>
          <w:sz w:val="24"/>
          <w:szCs w:val="24"/>
        </w:rPr>
        <w:t>kreatinin-clearance</w:t>
      </w:r>
      <w:proofErr w:type="spellEnd"/>
      <w:r w:rsidRPr="0080619C">
        <w:rPr>
          <w:sz w:val="24"/>
          <w:szCs w:val="24"/>
        </w:rPr>
        <w:t xml:space="preserve"> som observeret i et studie med patienter med nyreinsufficiens. Sammenlignet med </w:t>
      </w:r>
      <w:proofErr w:type="spellStart"/>
      <w:r w:rsidRPr="0080619C">
        <w:rPr>
          <w:sz w:val="24"/>
          <w:szCs w:val="24"/>
        </w:rPr>
        <w:t>Alzheimer-patienter</w:t>
      </w:r>
      <w:proofErr w:type="spellEnd"/>
      <w:r w:rsidRPr="0080619C">
        <w:rPr>
          <w:sz w:val="24"/>
          <w:szCs w:val="24"/>
        </w:rPr>
        <w:t xml:space="preserve">, øgedes maksimale og minimale plasmakoncentrationer ikke hos patienter med en </w:t>
      </w:r>
      <w:proofErr w:type="spellStart"/>
      <w:r w:rsidRPr="0080619C">
        <w:rPr>
          <w:sz w:val="24"/>
          <w:szCs w:val="24"/>
        </w:rPr>
        <w:t>kreatinin</w:t>
      </w:r>
      <w:proofErr w:type="spellEnd"/>
      <w:r w:rsidRPr="0080619C">
        <w:rPr>
          <w:sz w:val="24"/>
          <w:szCs w:val="24"/>
        </w:rPr>
        <w:t xml:space="preserve"> </w:t>
      </w:r>
      <w:proofErr w:type="spellStart"/>
      <w:r w:rsidRPr="0080619C">
        <w:rPr>
          <w:sz w:val="24"/>
          <w:szCs w:val="24"/>
        </w:rPr>
        <w:t>clearance</w:t>
      </w:r>
      <w:proofErr w:type="spellEnd"/>
      <w:r w:rsidRPr="0080619C">
        <w:rPr>
          <w:sz w:val="24"/>
          <w:szCs w:val="24"/>
        </w:rPr>
        <w:t xml:space="preserve"> på </w:t>
      </w:r>
      <w:r w:rsidRPr="0080619C">
        <w:rPr>
          <w:sz w:val="24"/>
          <w:szCs w:val="24"/>
        </w:rPr>
        <w:sym w:font="Symbol" w:char="F0B3"/>
      </w:r>
      <w:r w:rsidRPr="0080619C">
        <w:rPr>
          <w:sz w:val="24"/>
          <w:szCs w:val="24"/>
        </w:rPr>
        <w:t xml:space="preserve"> 9 ml/min. Derfor forventes ingen stigning i bivirkninger, og dosisjusteringer er ikke nødvendige (se pkt. 4.2). </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Nedsat leverfunktion</w:t>
      </w:r>
    </w:p>
    <w:p w:rsidR="005B428A" w:rsidRPr="0080619C" w:rsidRDefault="005B428A" w:rsidP="005B428A">
      <w:pPr>
        <w:ind w:left="851"/>
        <w:rPr>
          <w:sz w:val="24"/>
          <w:szCs w:val="24"/>
        </w:rPr>
      </w:pPr>
      <w:proofErr w:type="spellStart"/>
      <w:r w:rsidRPr="0080619C">
        <w:rPr>
          <w:sz w:val="24"/>
          <w:szCs w:val="24"/>
        </w:rPr>
        <w:t>Galantamins</w:t>
      </w:r>
      <w:proofErr w:type="spellEnd"/>
      <w:r w:rsidRPr="0080619C">
        <w:rPr>
          <w:sz w:val="24"/>
          <w:szCs w:val="24"/>
        </w:rPr>
        <w:t xml:space="preserve"> farmakokinetik hos individer med mild leverinsufficiens (Child-</w:t>
      </w:r>
      <w:proofErr w:type="spellStart"/>
      <w:r w:rsidRPr="0080619C">
        <w:rPr>
          <w:sz w:val="24"/>
          <w:szCs w:val="24"/>
        </w:rPr>
        <w:t>Pugh</w:t>
      </w:r>
      <w:proofErr w:type="spellEnd"/>
      <w:r w:rsidRPr="0080619C">
        <w:rPr>
          <w:sz w:val="24"/>
          <w:szCs w:val="24"/>
        </w:rPr>
        <w:t xml:space="preserve"> score 5-6) var sammenlignelig med raske individers. Hos patienter med moderat leverinsufficiens (Child-</w:t>
      </w:r>
      <w:proofErr w:type="spellStart"/>
      <w:r w:rsidRPr="0080619C">
        <w:rPr>
          <w:sz w:val="24"/>
          <w:szCs w:val="24"/>
        </w:rPr>
        <w:t>Pugh</w:t>
      </w:r>
      <w:proofErr w:type="spellEnd"/>
      <w:r w:rsidRPr="0080619C">
        <w:rPr>
          <w:sz w:val="24"/>
          <w:szCs w:val="24"/>
        </w:rPr>
        <w:t xml:space="preserve"> score 7-9) var AUC og </w:t>
      </w:r>
      <w:proofErr w:type="spellStart"/>
      <w:r w:rsidRPr="0080619C">
        <w:rPr>
          <w:sz w:val="24"/>
          <w:szCs w:val="24"/>
        </w:rPr>
        <w:t>galantamins</w:t>
      </w:r>
      <w:proofErr w:type="spellEnd"/>
      <w:r w:rsidRPr="0080619C">
        <w:rPr>
          <w:sz w:val="24"/>
          <w:szCs w:val="24"/>
        </w:rPr>
        <w:t xml:space="preserve"> halveringstid forøget med omkring 30 % (se pkt. 4.2).</w:t>
      </w:r>
    </w:p>
    <w:p w:rsidR="005B428A" w:rsidRPr="0080619C" w:rsidRDefault="005B428A" w:rsidP="005B428A">
      <w:pPr>
        <w:ind w:left="851"/>
        <w:rPr>
          <w:sz w:val="24"/>
          <w:szCs w:val="24"/>
        </w:rPr>
      </w:pPr>
    </w:p>
    <w:p w:rsidR="005B428A" w:rsidRPr="0080619C" w:rsidRDefault="005B428A" w:rsidP="005B428A">
      <w:pPr>
        <w:ind w:left="851"/>
        <w:rPr>
          <w:sz w:val="24"/>
          <w:szCs w:val="24"/>
          <w:u w:val="single"/>
        </w:rPr>
      </w:pPr>
      <w:proofErr w:type="spellStart"/>
      <w:r w:rsidRPr="0080619C">
        <w:rPr>
          <w:sz w:val="24"/>
          <w:szCs w:val="24"/>
          <w:u w:val="single"/>
        </w:rPr>
        <w:t>Farmakokinetiske</w:t>
      </w:r>
      <w:proofErr w:type="spellEnd"/>
      <w:r w:rsidRPr="0080619C">
        <w:rPr>
          <w:sz w:val="24"/>
          <w:szCs w:val="24"/>
          <w:u w:val="single"/>
        </w:rPr>
        <w:t>/</w:t>
      </w:r>
      <w:proofErr w:type="spellStart"/>
      <w:r w:rsidRPr="0080619C">
        <w:rPr>
          <w:sz w:val="24"/>
          <w:szCs w:val="24"/>
          <w:u w:val="single"/>
        </w:rPr>
        <w:t>farmakodynamiske</w:t>
      </w:r>
      <w:proofErr w:type="spellEnd"/>
      <w:r w:rsidRPr="0080619C">
        <w:rPr>
          <w:sz w:val="24"/>
          <w:szCs w:val="24"/>
          <w:u w:val="single"/>
        </w:rPr>
        <w:t xml:space="preserve"> forhold</w:t>
      </w:r>
    </w:p>
    <w:p w:rsidR="005B428A" w:rsidRPr="0080619C" w:rsidRDefault="005B428A" w:rsidP="005B428A">
      <w:pPr>
        <w:ind w:left="851"/>
        <w:rPr>
          <w:sz w:val="24"/>
          <w:szCs w:val="24"/>
        </w:rPr>
      </w:pPr>
      <w:r w:rsidRPr="0080619C">
        <w:rPr>
          <w:sz w:val="24"/>
          <w:szCs w:val="24"/>
        </w:rPr>
        <w:t>Der blev ikke observeret nogen iøjnefaldende sammenhæng mellem gennemsnitlige plasmakoncentrationer og effektparametre (dvs. forandring i ADAS-</w:t>
      </w:r>
      <w:proofErr w:type="spellStart"/>
      <w:r w:rsidRPr="0080619C">
        <w:rPr>
          <w:sz w:val="24"/>
          <w:szCs w:val="24"/>
        </w:rPr>
        <w:t>Cog</w:t>
      </w:r>
      <w:proofErr w:type="spellEnd"/>
      <w:r w:rsidRPr="0080619C">
        <w:rPr>
          <w:sz w:val="24"/>
          <w:szCs w:val="24"/>
        </w:rPr>
        <w:t xml:space="preserve">/11 og CIBIC-plus i måned 6) i de store fase III-studier med en dosering på 12 og 16 mg 2 gange daglig. </w:t>
      </w:r>
    </w:p>
    <w:p w:rsidR="005B428A" w:rsidRPr="0080619C" w:rsidRDefault="005B428A" w:rsidP="005B428A">
      <w:pPr>
        <w:ind w:left="851"/>
        <w:rPr>
          <w:sz w:val="24"/>
          <w:szCs w:val="24"/>
        </w:rPr>
      </w:pPr>
      <w:r w:rsidRPr="0080619C">
        <w:rPr>
          <w:sz w:val="24"/>
          <w:szCs w:val="24"/>
        </w:rPr>
        <w:t>Plasmakoncentrationer hos patienter, som havde synkope lå inden for den samme skala som hos andre patienter ved samme dosering.</w:t>
      </w:r>
    </w:p>
    <w:p w:rsidR="005B428A" w:rsidRPr="0080619C" w:rsidRDefault="005B428A" w:rsidP="005B428A">
      <w:pPr>
        <w:ind w:left="851"/>
        <w:rPr>
          <w:sz w:val="24"/>
          <w:szCs w:val="24"/>
        </w:rPr>
      </w:pPr>
      <w:r w:rsidRPr="0080619C">
        <w:rPr>
          <w:sz w:val="24"/>
          <w:szCs w:val="24"/>
        </w:rPr>
        <w:t>Forekomsten af kvalme hænger sammen med højere maksimale plasmakoncentrationer (se pkt. 4.5).</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5.3</w:t>
      </w:r>
      <w:r w:rsidRPr="0080619C">
        <w:rPr>
          <w:b/>
          <w:sz w:val="24"/>
          <w:szCs w:val="24"/>
        </w:rPr>
        <w:tab/>
        <w:t>Prækliniske sikkerhedsdata</w:t>
      </w:r>
    </w:p>
    <w:p w:rsidR="005B428A" w:rsidRPr="0080619C" w:rsidRDefault="005B428A" w:rsidP="005B428A">
      <w:pPr>
        <w:ind w:left="851"/>
        <w:rPr>
          <w:sz w:val="24"/>
          <w:szCs w:val="24"/>
        </w:rPr>
      </w:pPr>
      <w:r w:rsidRPr="0080619C">
        <w:rPr>
          <w:sz w:val="24"/>
          <w:szCs w:val="24"/>
        </w:rPr>
        <w:t xml:space="preserve">Prækliniske data antyder ingen speciel risiko for mennesker vurderet ud fra konventionelle studier af sikkerhedsfarmakologi, toksicitet efter gentagne doser, genotoksicitet og </w:t>
      </w:r>
      <w:proofErr w:type="spellStart"/>
      <w:r w:rsidRPr="0080619C">
        <w:rPr>
          <w:sz w:val="24"/>
          <w:szCs w:val="24"/>
        </w:rPr>
        <w:t>karcinogenicitet</w:t>
      </w:r>
      <w:proofErr w:type="spellEnd"/>
      <w:r w:rsidRPr="0080619C">
        <w:rPr>
          <w:sz w:val="24"/>
          <w:szCs w:val="24"/>
        </w:rPr>
        <w:t xml:space="preserve">.  </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sz w:val="24"/>
          <w:szCs w:val="24"/>
        </w:rPr>
        <w:t>Toksicitetsstudier vedrørende forplantning viste en svag forsinkelse i rotters og kaniners udvikling ved doser som er under tærsklen for toksicitet hos gravide kvinder.</w:t>
      </w:r>
    </w:p>
    <w:p w:rsidR="005B428A" w:rsidRPr="0080619C" w:rsidRDefault="005B428A" w:rsidP="005B428A">
      <w:pPr>
        <w:tabs>
          <w:tab w:val="left" w:pos="851"/>
        </w:tabs>
        <w:rPr>
          <w:sz w:val="24"/>
          <w:szCs w:val="24"/>
        </w:rPr>
      </w:pP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w:t>
      </w:r>
      <w:r w:rsidRPr="0080619C">
        <w:rPr>
          <w:b/>
          <w:sz w:val="24"/>
          <w:szCs w:val="24"/>
        </w:rPr>
        <w:tab/>
        <w:t>FARMACEUTISKE OPLYSNINGER</w:t>
      </w:r>
    </w:p>
    <w:p w:rsidR="005B428A" w:rsidRPr="0080619C" w:rsidRDefault="005B428A" w:rsidP="005B428A">
      <w:pPr>
        <w:tabs>
          <w:tab w:val="left" w:pos="851"/>
        </w:tabs>
        <w:rPr>
          <w:b/>
          <w:sz w:val="24"/>
          <w:szCs w:val="24"/>
        </w:rPr>
      </w:pPr>
    </w:p>
    <w:p w:rsidR="005B428A" w:rsidRPr="0080619C" w:rsidRDefault="005B428A" w:rsidP="005B428A">
      <w:pPr>
        <w:tabs>
          <w:tab w:val="left" w:pos="851"/>
        </w:tabs>
        <w:ind w:left="851" w:hanging="851"/>
        <w:rPr>
          <w:b/>
          <w:sz w:val="24"/>
          <w:szCs w:val="24"/>
        </w:rPr>
      </w:pPr>
      <w:r w:rsidRPr="0080619C">
        <w:rPr>
          <w:b/>
          <w:sz w:val="24"/>
          <w:szCs w:val="24"/>
        </w:rPr>
        <w:t>6.1</w:t>
      </w:r>
      <w:r w:rsidRPr="0080619C">
        <w:rPr>
          <w:b/>
          <w:sz w:val="24"/>
          <w:szCs w:val="24"/>
        </w:rPr>
        <w:tab/>
        <w:t>Hjælpestoffer</w:t>
      </w:r>
    </w:p>
    <w:p w:rsidR="00B033AA" w:rsidRPr="0080619C" w:rsidRDefault="00B033AA" w:rsidP="005B428A">
      <w:pPr>
        <w:ind w:left="851"/>
        <w:rPr>
          <w:sz w:val="24"/>
          <w:szCs w:val="24"/>
          <w:u w:val="single"/>
        </w:rPr>
      </w:pPr>
    </w:p>
    <w:p w:rsidR="005B428A" w:rsidRPr="0080619C" w:rsidRDefault="005B428A" w:rsidP="005B428A">
      <w:pPr>
        <w:ind w:left="851"/>
        <w:rPr>
          <w:i/>
          <w:sz w:val="24"/>
          <w:szCs w:val="24"/>
          <w:u w:val="single"/>
        </w:rPr>
      </w:pPr>
      <w:r w:rsidRPr="0080619C">
        <w:rPr>
          <w:i/>
          <w:sz w:val="24"/>
          <w:szCs w:val="24"/>
          <w:u w:val="single"/>
        </w:rPr>
        <w:t>Kapselindhold (= depottabletter)</w:t>
      </w:r>
    </w:p>
    <w:p w:rsidR="005B428A" w:rsidRPr="0080619C" w:rsidRDefault="005B428A" w:rsidP="005B428A">
      <w:pPr>
        <w:ind w:left="851"/>
        <w:rPr>
          <w:sz w:val="24"/>
          <w:szCs w:val="24"/>
        </w:rPr>
      </w:pPr>
      <w:r w:rsidRPr="0080619C">
        <w:rPr>
          <w:sz w:val="24"/>
          <w:szCs w:val="24"/>
        </w:rPr>
        <w:t>Cellulose mikrokrystallinsk</w:t>
      </w:r>
    </w:p>
    <w:p w:rsidR="005B428A" w:rsidRPr="0080619C" w:rsidRDefault="005B428A" w:rsidP="005B428A">
      <w:pPr>
        <w:ind w:left="851"/>
        <w:rPr>
          <w:sz w:val="24"/>
          <w:szCs w:val="24"/>
        </w:rPr>
      </w:pPr>
      <w:proofErr w:type="spellStart"/>
      <w:r w:rsidRPr="0080619C">
        <w:rPr>
          <w:sz w:val="24"/>
          <w:szCs w:val="24"/>
        </w:rPr>
        <w:t>Hypromellose</w:t>
      </w:r>
      <w:proofErr w:type="spellEnd"/>
    </w:p>
    <w:p w:rsidR="005B428A" w:rsidRPr="0080619C" w:rsidRDefault="005B428A" w:rsidP="005B428A">
      <w:pPr>
        <w:ind w:left="851"/>
        <w:rPr>
          <w:sz w:val="24"/>
          <w:szCs w:val="24"/>
        </w:rPr>
      </w:pPr>
      <w:proofErr w:type="spellStart"/>
      <w:r w:rsidRPr="0080619C">
        <w:rPr>
          <w:sz w:val="24"/>
          <w:szCs w:val="24"/>
        </w:rPr>
        <w:t>Ethylcellulose</w:t>
      </w:r>
      <w:proofErr w:type="spellEnd"/>
    </w:p>
    <w:p w:rsidR="005B428A" w:rsidRPr="0080619C" w:rsidRDefault="005B428A" w:rsidP="005B428A">
      <w:pPr>
        <w:ind w:left="851"/>
        <w:rPr>
          <w:sz w:val="24"/>
          <w:szCs w:val="24"/>
        </w:rPr>
      </w:pPr>
      <w:proofErr w:type="spellStart"/>
      <w:r w:rsidRPr="0080619C">
        <w:rPr>
          <w:sz w:val="24"/>
          <w:szCs w:val="24"/>
        </w:rPr>
        <w:t>Magnesiumstearat</w:t>
      </w:r>
      <w:proofErr w:type="spellEnd"/>
    </w:p>
    <w:p w:rsidR="005B428A" w:rsidRPr="0080619C" w:rsidRDefault="005B428A" w:rsidP="005B428A">
      <w:pPr>
        <w:ind w:left="851"/>
        <w:rPr>
          <w:sz w:val="24"/>
          <w:szCs w:val="24"/>
        </w:rPr>
      </w:pPr>
    </w:p>
    <w:p w:rsidR="005B428A" w:rsidRPr="0080619C" w:rsidRDefault="005B428A" w:rsidP="005B428A">
      <w:pPr>
        <w:ind w:left="851"/>
        <w:rPr>
          <w:i/>
          <w:sz w:val="24"/>
          <w:szCs w:val="24"/>
          <w:u w:val="single"/>
        </w:rPr>
      </w:pPr>
      <w:r w:rsidRPr="0080619C">
        <w:rPr>
          <w:i/>
          <w:sz w:val="24"/>
          <w:szCs w:val="24"/>
          <w:u w:val="single"/>
        </w:rPr>
        <w:t>Kapselskal</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8 mg</w:t>
      </w:r>
    </w:p>
    <w:p w:rsidR="005B428A" w:rsidRPr="0080619C" w:rsidRDefault="005B428A" w:rsidP="005B428A">
      <w:pPr>
        <w:ind w:left="851"/>
        <w:rPr>
          <w:sz w:val="24"/>
          <w:szCs w:val="24"/>
        </w:rPr>
      </w:pPr>
      <w:r w:rsidRPr="0080619C">
        <w:rPr>
          <w:sz w:val="24"/>
          <w:szCs w:val="24"/>
        </w:rPr>
        <w:t>Gelatine</w:t>
      </w:r>
    </w:p>
    <w:p w:rsidR="005B428A" w:rsidRPr="0080619C" w:rsidRDefault="005B428A" w:rsidP="005B428A">
      <w:pPr>
        <w:ind w:left="851"/>
        <w:rPr>
          <w:sz w:val="24"/>
          <w:szCs w:val="24"/>
        </w:rPr>
      </w:pPr>
      <w:r w:rsidRPr="0080619C">
        <w:rPr>
          <w:sz w:val="24"/>
          <w:szCs w:val="24"/>
        </w:rPr>
        <w:t>Titandioxid (E171)</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16 mg</w:t>
      </w:r>
    </w:p>
    <w:p w:rsidR="005B428A" w:rsidRPr="0080619C" w:rsidRDefault="005B428A" w:rsidP="005B428A">
      <w:pPr>
        <w:ind w:left="851"/>
        <w:rPr>
          <w:sz w:val="24"/>
          <w:szCs w:val="24"/>
        </w:rPr>
      </w:pPr>
      <w:r w:rsidRPr="0080619C">
        <w:rPr>
          <w:sz w:val="24"/>
          <w:szCs w:val="24"/>
        </w:rPr>
        <w:t>Gelatine</w:t>
      </w:r>
    </w:p>
    <w:p w:rsidR="005B428A" w:rsidRPr="0080619C" w:rsidRDefault="005B428A" w:rsidP="005B428A">
      <w:pPr>
        <w:ind w:left="851"/>
        <w:rPr>
          <w:sz w:val="24"/>
          <w:szCs w:val="24"/>
        </w:rPr>
      </w:pPr>
      <w:r w:rsidRPr="0080619C">
        <w:rPr>
          <w:sz w:val="24"/>
          <w:szCs w:val="24"/>
        </w:rPr>
        <w:t>Titandioxid (E171)</w:t>
      </w:r>
    </w:p>
    <w:p w:rsidR="005B428A" w:rsidRPr="0080619C" w:rsidRDefault="005B428A" w:rsidP="005B428A">
      <w:pPr>
        <w:ind w:left="851"/>
        <w:rPr>
          <w:sz w:val="24"/>
          <w:szCs w:val="24"/>
        </w:rPr>
      </w:pPr>
      <w:r w:rsidRPr="0080619C">
        <w:rPr>
          <w:sz w:val="24"/>
          <w:szCs w:val="24"/>
        </w:rPr>
        <w:t>Rød jernoxid (E172)</w:t>
      </w:r>
    </w:p>
    <w:p w:rsidR="005B428A" w:rsidRPr="0080619C" w:rsidRDefault="005B428A" w:rsidP="005B428A">
      <w:pPr>
        <w:ind w:left="851"/>
        <w:rPr>
          <w:sz w:val="24"/>
          <w:szCs w:val="24"/>
        </w:rPr>
      </w:pPr>
    </w:p>
    <w:p w:rsidR="005B428A" w:rsidRPr="0080619C" w:rsidRDefault="005B428A" w:rsidP="005B428A">
      <w:pPr>
        <w:ind w:left="851"/>
        <w:rPr>
          <w:i/>
          <w:sz w:val="24"/>
          <w:szCs w:val="24"/>
        </w:rPr>
      </w:pPr>
      <w:r w:rsidRPr="0080619C">
        <w:rPr>
          <w:i/>
          <w:sz w:val="24"/>
          <w:szCs w:val="24"/>
        </w:rPr>
        <w:t>24 mg</w:t>
      </w:r>
    </w:p>
    <w:p w:rsidR="005B428A" w:rsidRPr="0080619C" w:rsidRDefault="005B428A" w:rsidP="005B428A">
      <w:pPr>
        <w:ind w:left="851"/>
        <w:rPr>
          <w:sz w:val="24"/>
          <w:szCs w:val="24"/>
        </w:rPr>
      </w:pPr>
      <w:r w:rsidRPr="0080619C">
        <w:rPr>
          <w:sz w:val="24"/>
          <w:szCs w:val="24"/>
        </w:rPr>
        <w:t>Gelatine</w:t>
      </w:r>
    </w:p>
    <w:p w:rsidR="005B428A" w:rsidRPr="0080619C" w:rsidRDefault="005B428A" w:rsidP="005B428A">
      <w:pPr>
        <w:ind w:left="851"/>
        <w:rPr>
          <w:sz w:val="24"/>
          <w:szCs w:val="24"/>
        </w:rPr>
      </w:pPr>
      <w:r w:rsidRPr="0080619C">
        <w:rPr>
          <w:sz w:val="24"/>
          <w:szCs w:val="24"/>
        </w:rPr>
        <w:t>Titandioxid (E171)</w:t>
      </w:r>
    </w:p>
    <w:p w:rsidR="005B428A" w:rsidRPr="0080619C" w:rsidRDefault="005B428A" w:rsidP="005B428A">
      <w:pPr>
        <w:ind w:left="851"/>
        <w:rPr>
          <w:sz w:val="24"/>
          <w:szCs w:val="24"/>
        </w:rPr>
      </w:pPr>
      <w:proofErr w:type="spellStart"/>
      <w:r w:rsidRPr="0080619C">
        <w:rPr>
          <w:sz w:val="24"/>
          <w:szCs w:val="24"/>
        </w:rPr>
        <w:t>Indigocarmin</w:t>
      </w:r>
      <w:proofErr w:type="spellEnd"/>
      <w:r w:rsidRPr="0080619C">
        <w:rPr>
          <w:sz w:val="24"/>
          <w:szCs w:val="24"/>
        </w:rPr>
        <w:t xml:space="preserve"> (E132)</w:t>
      </w:r>
    </w:p>
    <w:p w:rsidR="005B428A" w:rsidRPr="0080619C" w:rsidRDefault="005B428A" w:rsidP="005B428A">
      <w:pPr>
        <w:ind w:left="851"/>
        <w:rPr>
          <w:sz w:val="24"/>
          <w:szCs w:val="24"/>
        </w:rPr>
      </w:pPr>
      <w:proofErr w:type="spellStart"/>
      <w:r w:rsidRPr="0080619C">
        <w:rPr>
          <w:sz w:val="24"/>
          <w:szCs w:val="24"/>
        </w:rPr>
        <w:t>Erythrosin</w:t>
      </w:r>
      <w:proofErr w:type="spellEnd"/>
      <w:r w:rsidRPr="0080619C">
        <w:rPr>
          <w:sz w:val="24"/>
          <w:szCs w:val="24"/>
        </w:rPr>
        <w:t xml:space="preserve"> (E127)</w:t>
      </w:r>
    </w:p>
    <w:p w:rsidR="005B428A" w:rsidRPr="0080619C" w:rsidRDefault="005B428A" w:rsidP="005B428A">
      <w:pPr>
        <w:ind w:left="851"/>
        <w:rPr>
          <w:sz w:val="24"/>
          <w:szCs w:val="24"/>
        </w:rPr>
      </w:pPr>
      <w:r w:rsidRPr="0080619C">
        <w:rPr>
          <w:sz w:val="24"/>
          <w:szCs w:val="24"/>
        </w:rPr>
        <w:t>Rød jernoxid (E172)</w:t>
      </w:r>
    </w:p>
    <w:p w:rsidR="005B428A" w:rsidRPr="0080619C" w:rsidRDefault="005B428A" w:rsidP="005B428A">
      <w:pPr>
        <w:ind w:left="851"/>
        <w:rPr>
          <w:sz w:val="24"/>
          <w:szCs w:val="24"/>
        </w:rPr>
      </w:pPr>
      <w:r w:rsidRPr="0080619C">
        <w:rPr>
          <w:sz w:val="24"/>
          <w:szCs w:val="24"/>
        </w:rPr>
        <w:t>Gul jernoxid (E172)</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6.2</w:t>
      </w:r>
      <w:r w:rsidRPr="0080619C">
        <w:rPr>
          <w:b/>
          <w:sz w:val="24"/>
          <w:szCs w:val="24"/>
        </w:rPr>
        <w:tab/>
        <w:t>Uforligeligheder</w:t>
      </w:r>
    </w:p>
    <w:p w:rsidR="005B428A" w:rsidRPr="0080619C" w:rsidRDefault="005B428A" w:rsidP="005B428A">
      <w:pPr>
        <w:ind w:left="851"/>
        <w:rPr>
          <w:sz w:val="24"/>
          <w:szCs w:val="24"/>
        </w:rPr>
      </w:pPr>
      <w:r w:rsidRPr="0080619C">
        <w:rPr>
          <w:noProof/>
          <w:sz w:val="24"/>
          <w:szCs w:val="24"/>
        </w:rPr>
        <w:t>Ikke relevant.</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6.3</w:t>
      </w:r>
      <w:r w:rsidRPr="0080619C">
        <w:rPr>
          <w:b/>
          <w:sz w:val="24"/>
          <w:szCs w:val="24"/>
        </w:rPr>
        <w:tab/>
        <w:t>Opbevaringstid</w:t>
      </w:r>
    </w:p>
    <w:p w:rsidR="005B428A" w:rsidRPr="0080619C" w:rsidRDefault="005B428A" w:rsidP="005B428A">
      <w:pPr>
        <w:ind w:left="851"/>
        <w:rPr>
          <w:sz w:val="24"/>
          <w:szCs w:val="24"/>
        </w:rPr>
      </w:pPr>
      <w:r w:rsidRPr="0080619C">
        <w:rPr>
          <w:noProof/>
          <w:sz w:val="24"/>
          <w:szCs w:val="24"/>
        </w:rPr>
        <w:t>3 år.</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6.4</w:t>
      </w:r>
      <w:r w:rsidRPr="0080619C">
        <w:rPr>
          <w:b/>
          <w:sz w:val="24"/>
          <w:szCs w:val="24"/>
        </w:rPr>
        <w:tab/>
        <w:t>Særlige opbevaringsforhold</w:t>
      </w:r>
    </w:p>
    <w:p w:rsidR="005B428A" w:rsidRPr="0080619C" w:rsidRDefault="005B428A" w:rsidP="005B428A">
      <w:pPr>
        <w:numPr>
          <w:ilvl w:val="12"/>
          <w:numId w:val="0"/>
        </w:numPr>
        <w:ind w:left="851" w:right="-2"/>
        <w:rPr>
          <w:noProof/>
          <w:sz w:val="24"/>
          <w:szCs w:val="24"/>
        </w:rPr>
      </w:pPr>
      <w:r w:rsidRPr="0080619C">
        <w:rPr>
          <w:noProof/>
          <w:sz w:val="24"/>
          <w:szCs w:val="24"/>
        </w:rPr>
        <w:t>Dette lægemiddel kræver ingen særlige forholdsregler vedrørende opbevaringen.</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6.5</w:t>
      </w:r>
      <w:r w:rsidRPr="0080619C">
        <w:rPr>
          <w:b/>
          <w:sz w:val="24"/>
          <w:szCs w:val="24"/>
        </w:rPr>
        <w:tab/>
        <w:t>Emballagetyper og pakningsstørrelser</w:t>
      </w:r>
    </w:p>
    <w:p w:rsidR="005B428A" w:rsidRPr="0080619C" w:rsidRDefault="005B428A" w:rsidP="005B428A">
      <w:pPr>
        <w:ind w:left="851"/>
        <w:rPr>
          <w:sz w:val="24"/>
          <w:szCs w:val="24"/>
        </w:rPr>
      </w:pPr>
      <w:r w:rsidRPr="0080619C">
        <w:rPr>
          <w:sz w:val="24"/>
          <w:szCs w:val="24"/>
        </w:rPr>
        <w:t>Transparent PVC/PE/PVDC-aluminiumblister.</w:t>
      </w:r>
    </w:p>
    <w:p w:rsidR="005B428A" w:rsidRPr="0080619C" w:rsidRDefault="005B428A" w:rsidP="005B428A">
      <w:pPr>
        <w:ind w:left="851"/>
        <w:rPr>
          <w:sz w:val="24"/>
          <w:szCs w:val="24"/>
          <w:u w:val="single"/>
        </w:rPr>
      </w:pPr>
    </w:p>
    <w:p w:rsidR="005B428A" w:rsidRPr="0080619C" w:rsidRDefault="005B428A" w:rsidP="005B428A">
      <w:pPr>
        <w:ind w:left="851"/>
        <w:rPr>
          <w:sz w:val="24"/>
          <w:szCs w:val="24"/>
          <w:u w:val="single"/>
        </w:rPr>
      </w:pPr>
      <w:r w:rsidRPr="0080619C">
        <w:rPr>
          <w:sz w:val="24"/>
          <w:szCs w:val="24"/>
          <w:u w:val="single"/>
        </w:rPr>
        <w:t>Pakningsstørrelser</w:t>
      </w:r>
    </w:p>
    <w:p w:rsidR="005B428A" w:rsidRPr="0080619C" w:rsidRDefault="005B428A" w:rsidP="005B428A">
      <w:pPr>
        <w:ind w:left="851"/>
        <w:rPr>
          <w:sz w:val="24"/>
          <w:szCs w:val="24"/>
        </w:rPr>
      </w:pPr>
      <w:r w:rsidRPr="0080619C">
        <w:rPr>
          <w:sz w:val="24"/>
          <w:szCs w:val="24"/>
        </w:rPr>
        <w:t>8 mg: 10, 28, 30, 56, 90, 100, 300 depotkapsler.</w:t>
      </w:r>
    </w:p>
    <w:p w:rsidR="005B428A" w:rsidRPr="0080619C" w:rsidRDefault="005B428A" w:rsidP="005B428A">
      <w:pPr>
        <w:ind w:left="851"/>
        <w:rPr>
          <w:sz w:val="24"/>
          <w:szCs w:val="24"/>
        </w:rPr>
      </w:pPr>
      <w:r w:rsidRPr="0080619C">
        <w:rPr>
          <w:sz w:val="24"/>
          <w:szCs w:val="24"/>
        </w:rPr>
        <w:t>16 mg: 10, 28, 30, 84, 90, 100, 300 depotkapsler.</w:t>
      </w:r>
    </w:p>
    <w:p w:rsidR="005B428A" w:rsidRPr="0080619C" w:rsidRDefault="005B428A" w:rsidP="005B428A">
      <w:pPr>
        <w:ind w:left="851"/>
        <w:rPr>
          <w:sz w:val="24"/>
          <w:szCs w:val="24"/>
        </w:rPr>
      </w:pPr>
      <w:r w:rsidRPr="0080619C">
        <w:rPr>
          <w:sz w:val="24"/>
          <w:szCs w:val="24"/>
        </w:rPr>
        <w:t>24 mg: 10, 28, 30, 84, 90, 100, 300 depotkapsler.</w:t>
      </w:r>
    </w:p>
    <w:p w:rsidR="005B428A" w:rsidRPr="0080619C" w:rsidRDefault="005B428A" w:rsidP="005B428A">
      <w:pPr>
        <w:ind w:left="851"/>
        <w:rPr>
          <w:sz w:val="24"/>
          <w:szCs w:val="24"/>
        </w:rPr>
      </w:pPr>
    </w:p>
    <w:p w:rsidR="005B428A" w:rsidRPr="0080619C" w:rsidRDefault="005B428A" w:rsidP="005B428A">
      <w:pPr>
        <w:suppressAutoHyphens/>
        <w:ind w:left="851"/>
        <w:rPr>
          <w:sz w:val="24"/>
          <w:szCs w:val="24"/>
        </w:rPr>
      </w:pPr>
      <w:r w:rsidRPr="0080619C">
        <w:rPr>
          <w:noProof/>
          <w:sz w:val="24"/>
          <w:szCs w:val="24"/>
        </w:rPr>
        <w:t>Ikke alle pakningsstørrelser er nødvendigvis markedsført.</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6.6</w:t>
      </w:r>
      <w:r w:rsidRPr="0080619C">
        <w:rPr>
          <w:b/>
          <w:sz w:val="24"/>
          <w:szCs w:val="24"/>
        </w:rPr>
        <w:tab/>
        <w:t>Regler for destruktion og anden håndtering</w:t>
      </w:r>
    </w:p>
    <w:p w:rsidR="005B428A" w:rsidRPr="0080619C" w:rsidRDefault="005B428A" w:rsidP="005B428A">
      <w:pPr>
        <w:ind w:left="851"/>
        <w:rPr>
          <w:sz w:val="24"/>
          <w:szCs w:val="24"/>
        </w:rPr>
      </w:pPr>
      <w:r w:rsidRPr="0080619C">
        <w:rPr>
          <w:noProof/>
          <w:sz w:val="24"/>
          <w:szCs w:val="24"/>
        </w:rPr>
        <w:t>Ingen særlige forholdsregler.</w:t>
      </w:r>
    </w:p>
    <w:p w:rsidR="005B428A" w:rsidRPr="0080619C" w:rsidRDefault="005B428A" w:rsidP="005B428A">
      <w:pPr>
        <w:tabs>
          <w:tab w:val="left" w:pos="851"/>
        </w:tabs>
        <w:jc w:val="both"/>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7.</w:t>
      </w:r>
      <w:r w:rsidRPr="0080619C">
        <w:rPr>
          <w:b/>
          <w:sz w:val="24"/>
          <w:szCs w:val="24"/>
        </w:rPr>
        <w:tab/>
        <w:t>INDEHAVER AF MARKEDSFØRINGSTILLADELSEN</w:t>
      </w:r>
    </w:p>
    <w:p w:rsidR="005B428A" w:rsidRPr="0080619C" w:rsidRDefault="005B428A" w:rsidP="005B428A">
      <w:pPr>
        <w:ind w:left="851"/>
        <w:rPr>
          <w:sz w:val="24"/>
          <w:szCs w:val="24"/>
        </w:rPr>
      </w:pPr>
      <w:r w:rsidRPr="0080619C">
        <w:rPr>
          <w:sz w:val="24"/>
          <w:szCs w:val="24"/>
        </w:rPr>
        <w:lastRenderedPageBreak/>
        <w:t xml:space="preserve">STADA </w:t>
      </w:r>
      <w:proofErr w:type="spellStart"/>
      <w:r w:rsidRPr="0080619C">
        <w:rPr>
          <w:sz w:val="24"/>
          <w:szCs w:val="24"/>
        </w:rPr>
        <w:t>Arzneimittel</w:t>
      </w:r>
      <w:proofErr w:type="spellEnd"/>
      <w:r w:rsidRPr="0080619C">
        <w:rPr>
          <w:sz w:val="24"/>
          <w:szCs w:val="24"/>
        </w:rPr>
        <w:t xml:space="preserve"> AG</w:t>
      </w:r>
    </w:p>
    <w:p w:rsidR="005B428A" w:rsidRPr="0080619C" w:rsidRDefault="005B428A" w:rsidP="005B428A">
      <w:pPr>
        <w:ind w:left="851"/>
        <w:rPr>
          <w:sz w:val="24"/>
          <w:szCs w:val="24"/>
        </w:rPr>
      </w:pPr>
      <w:proofErr w:type="spellStart"/>
      <w:r w:rsidRPr="0080619C">
        <w:rPr>
          <w:sz w:val="24"/>
          <w:szCs w:val="24"/>
        </w:rPr>
        <w:t>Stadastr</w:t>
      </w:r>
      <w:proofErr w:type="spellEnd"/>
      <w:r w:rsidRPr="0080619C">
        <w:rPr>
          <w:sz w:val="24"/>
          <w:szCs w:val="24"/>
        </w:rPr>
        <w:t>. 2-18</w:t>
      </w:r>
    </w:p>
    <w:p w:rsidR="005B428A" w:rsidRPr="0080619C" w:rsidRDefault="005B428A" w:rsidP="005B428A">
      <w:pPr>
        <w:ind w:left="851"/>
        <w:rPr>
          <w:sz w:val="24"/>
          <w:szCs w:val="24"/>
        </w:rPr>
      </w:pPr>
      <w:r w:rsidRPr="0080619C">
        <w:rPr>
          <w:sz w:val="24"/>
          <w:szCs w:val="24"/>
        </w:rPr>
        <w:t xml:space="preserve">61118 Bad </w:t>
      </w:r>
      <w:proofErr w:type="spellStart"/>
      <w:r w:rsidRPr="0080619C">
        <w:rPr>
          <w:sz w:val="24"/>
          <w:szCs w:val="24"/>
        </w:rPr>
        <w:t>Vilbel</w:t>
      </w:r>
      <w:proofErr w:type="spellEnd"/>
    </w:p>
    <w:p w:rsidR="005B428A" w:rsidRPr="0080619C" w:rsidRDefault="005B428A" w:rsidP="005B428A">
      <w:pPr>
        <w:ind w:left="851"/>
        <w:rPr>
          <w:sz w:val="24"/>
          <w:szCs w:val="24"/>
        </w:rPr>
      </w:pPr>
      <w:r w:rsidRPr="0080619C">
        <w:rPr>
          <w:sz w:val="24"/>
          <w:szCs w:val="24"/>
        </w:rPr>
        <w:t>Tyskland</w:t>
      </w:r>
    </w:p>
    <w:p w:rsidR="005B428A" w:rsidRPr="0080619C" w:rsidRDefault="005B428A" w:rsidP="005B428A">
      <w:pPr>
        <w:ind w:left="851"/>
        <w:rPr>
          <w:sz w:val="24"/>
          <w:szCs w:val="24"/>
        </w:rPr>
      </w:pPr>
    </w:p>
    <w:p w:rsidR="005B428A" w:rsidRPr="0080619C" w:rsidRDefault="005B428A" w:rsidP="005B428A">
      <w:pPr>
        <w:ind w:left="851"/>
        <w:rPr>
          <w:sz w:val="24"/>
          <w:szCs w:val="24"/>
        </w:rPr>
      </w:pPr>
      <w:r w:rsidRPr="0080619C">
        <w:rPr>
          <w:b/>
          <w:sz w:val="24"/>
          <w:szCs w:val="24"/>
        </w:rPr>
        <w:t>Repræsentant</w:t>
      </w:r>
    </w:p>
    <w:p w:rsidR="005B428A" w:rsidRPr="0080619C" w:rsidRDefault="005B428A" w:rsidP="005B428A">
      <w:pPr>
        <w:ind w:left="851"/>
        <w:rPr>
          <w:sz w:val="24"/>
          <w:szCs w:val="24"/>
        </w:rPr>
      </w:pPr>
      <w:proofErr w:type="spellStart"/>
      <w:r w:rsidRPr="0080619C">
        <w:rPr>
          <w:sz w:val="24"/>
          <w:szCs w:val="24"/>
        </w:rPr>
        <w:t>PharmaCoDane</w:t>
      </w:r>
      <w:proofErr w:type="spellEnd"/>
      <w:r w:rsidRPr="0080619C">
        <w:rPr>
          <w:sz w:val="24"/>
          <w:szCs w:val="24"/>
        </w:rPr>
        <w:t xml:space="preserve"> ApS</w:t>
      </w:r>
    </w:p>
    <w:p w:rsidR="005B428A" w:rsidRPr="0080619C" w:rsidRDefault="005B428A" w:rsidP="005B428A">
      <w:pPr>
        <w:ind w:left="851"/>
        <w:rPr>
          <w:sz w:val="24"/>
          <w:szCs w:val="24"/>
        </w:rPr>
      </w:pPr>
      <w:r w:rsidRPr="0080619C">
        <w:rPr>
          <w:sz w:val="24"/>
          <w:szCs w:val="24"/>
        </w:rPr>
        <w:t>Marielundvej 46 A</w:t>
      </w:r>
    </w:p>
    <w:p w:rsidR="005B428A" w:rsidRPr="0080619C" w:rsidRDefault="005B428A" w:rsidP="005B428A">
      <w:pPr>
        <w:ind w:left="851"/>
        <w:rPr>
          <w:sz w:val="24"/>
          <w:szCs w:val="24"/>
        </w:rPr>
      </w:pPr>
      <w:r w:rsidRPr="0080619C">
        <w:rPr>
          <w:sz w:val="24"/>
          <w:szCs w:val="24"/>
        </w:rPr>
        <w:t>2730 Herlev</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8.</w:t>
      </w:r>
      <w:r w:rsidRPr="0080619C">
        <w:rPr>
          <w:b/>
          <w:sz w:val="24"/>
          <w:szCs w:val="24"/>
        </w:rPr>
        <w:tab/>
        <w:t>MARKEDSFØRINGSTILLADELSESNUMMER (NUMRE)</w:t>
      </w:r>
    </w:p>
    <w:p w:rsidR="005B428A" w:rsidRPr="0080619C" w:rsidRDefault="005B428A" w:rsidP="005B428A">
      <w:pPr>
        <w:tabs>
          <w:tab w:val="left" w:pos="851"/>
          <w:tab w:val="left" w:pos="1560"/>
        </w:tabs>
        <w:ind w:left="851" w:hanging="851"/>
        <w:rPr>
          <w:sz w:val="24"/>
          <w:szCs w:val="24"/>
        </w:rPr>
      </w:pPr>
      <w:r w:rsidRPr="0080619C">
        <w:rPr>
          <w:sz w:val="24"/>
          <w:szCs w:val="24"/>
        </w:rPr>
        <w:tab/>
        <w:t>8 mg:</w:t>
      </w:r>
      <w:r w:rsidRPr="0080619C">
        <w:rPr>
          <w:sz w:val="24"/>
          <w:szCs w:val="24"/>
        </w:rPr>
        <w:tab/>
        <w:t>48195</w:t>
      </w:r>
    </w:p>
    <w:p w:rsidR="005B428A" w:rsidRPr="0080619C" w:rsidRDefault="005B428A" w:rsidP="005B428A">
      <w:pPr>
        <w:tabs>
          <w:tab w:val="left" w:pos="851"/>
          <w:tab w:val="left" w:pos="1560"/>
        </w:tabs>
        <w:ind w:left="851" w:hanging="851"/>
        <w:rPr>
          <w:sz w:val="24"/>
          <w:szCs w:val="24"/>
        </w:rPr>
      </w:pPr>
      <w:r w:rsidRPr="0080619C">
        <w:rPr>
          <w:sz w:val="24"/>
          <w:szCs w:val="24"/>
        </w:rPr>
        <w:tab/>
        <w:t>16 mg:</w:t>
      </w:r>
      <w:r w:rsidRPr="0080619C">
        <w:rPr>
          <w:sz w:val="24"/>
          <w:szCs w:val="24"/>
        </w:rPr>
        <w:tab/>
        <w:t>48196</w:t>
      </w:r>
    </w:p>
    <w:p w:rsidR="005B428A" w:rsidRPr="0080619C" w:rsidRDefault="005B428A" w:rsidP="005B428A">
      <w:pPr>
        <w:tabs>
          <w:tab w:val="left" w:pos="851"/>
          <w:tab w:val="left" w:pos="1560"/>
        </w:tabs>
        <w:ind w:left="851" w:hanging="851"/>
        <w:rPr>
          <w:sz w:val="24"/>
          <w:szCs w:val="24"/>
        </w:rPr>
      </w:pPr>
      <w:r w:rsidRPr="0080619C">
        <w:rPr>
          <w:sz w:val="24"/>
          <w:szCs w:val="24"/>
        </w:rPr>
        <w:tab/>
        <w:t>24 mg:</w:t>
      </w:r>
      <w:r w:rsidRPr="0080619C">
        <w:rPr>
          <w:sz w:val="24"/>
          <w:szCs w:val="24"/>
        </w:rPr>
        <w:tab/>
        <w:t>48197</w:t>
      </w:r>
    </w:p>
    <w:p w:rsidR="005B428A" w:rsidRPr="0080619C" w:rsidRDefault="005B428A" w:rsidP="005B428A">
      <w:pPr>
        <w:tabs>
          <w:tab w:val="left" w:pos="851"/>
        </w:tabs>
        <w:jc w:val="both"/>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9.</w:t>
      </w:r>
      <w:r w:rsidRPr="0080619C">
        <w:rPr>
          <w:b/>
          <w:sz w:val="24"/>
          <w:szCs w:val="24"/>
        </w:rPr>
        <w:tab/>
        <w:t>DATO FOR FØRSTE MARKEDSFØRINGSTILLADELSE</w:t>
      </w:r>
    </w:p>
    <w:p w:rsidR="005B428A" w:rsidRPr="0080619C" w:rsidRDefault="005B428A" w:rsidP="005B428A">
      <w:pPr>
        <w:tabs>
          <w:tab w:val="left" w:pos="851"/>
        </w:tabs>
        <w:rPr>
          <w:sz w:val="24"/>
          <w:szCs w:val="24"/>
        </w:rPr>
      </w:pPr>
      <w:r w:rsidRPr="0080619C">
        <w:rPr>
          <w:sz w:val="24"/>
          <w:szCs w:val="24"/>
        </w:rPr>
        <w:tab/>
        <w:t>22. februar 2013</w:t>
      </w:r>
    </w:p>
    <w:p w:rsidR="005B428A" w:rsidRPr="0080619C" w:rsidRDefault="005B428A" w:rsidP="005B428A">
      <w:pPr>
        <w:tabs>
          <w:tab w:val="left" w:pos="851"/>
        </w:tabs>
        <w:rPr>
          <w:sz w:val="24"/>
          <w:szCs w:val="24"/>
        </w:rPr>
      </w:pPr>
    </w:p>
    <w:p w:rsidR="005B428A" w:rsidRPr="0080619C" w:rsidRDefault="005B428A" w:rsidP="005B428A">
      <w:pPr>
        <w:tabs>
          <w:tab w:val="left" w:pos="851"/>
        </w:tabs>
        <w:ind w:left="851" w:hanging="851"/>
        <w:rPr>
          <w:b/>
          <w:sz w:val="24"/>
          <w:szCs w:val="24"/>
        </w:rPr>
      </w:pPr>
      <w:r w:rsidRPr="0080619C">
        <w:rPr>
          <w:b/>
          <w:sz w:val="24"/>
          <w:szCs w:val="24"/>
        </w:rPr>
        <w:t>10.</w:t>
      </w:r>
      <w:r w:rsidRPr="0080619C">
        <w:rPr>
          <w:b/>
          <w:sz w:val="24"/>
          <w:szCs w:val="24"/>
        </w:rPr>
        <w:tab/>
        <w:t>DATO FOR ÆNDRING AF TEKSTEN</w:t>
      </w:r>
    </w:p>
    <w:p w:rsidR="009260DE" w:rsidRPr="0080619C" w:rsidRDefault="005B428A" w:rsidP="0080619C">
      <w:pPr>
        <w:tabs>
          <w:tab w:val="left" w:pos="851"/>
        </w:tabs>
        <w:rPr>
          <w:sz w:val="24"/>
          <w:szCs w:val="24"/>
        </w:rPr>
      </w:pPr>
      <w:r w:rsidRPr="0080619C">
        <w:rPr>
          <w:sz w:val="24"/>
          <w:szCs w:val="24"/>
        </w:rPr>
        <w:tab/>
      </w:r>
      <w:r w:rsidR="0080619C" w:rsidRPr="0080619C">
        <w:rPr>
          <w:sz w:val="24"/>
          <w:szCs w:val="24"/>
        </w:rPr>
        <w:t>29. juni 2021</w:t>
      </w:r>
    </w:p>
    <w:sectPr w:rsidR="009260DE" w:rsidRPr="0080619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D0E" w:rsidRDefault="001D0D0E">
      <w:r>
        <w:separator/>
      </w:r>
    </w:p>
  </w:endnote>
  <w:endnote w:type="continuationSeparator" w:id="0">
    <w:p w:rsidR="001D0D0E" w:rsidRDefault="001D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D0E" w:rsidRDefault="001D0D0E">
    <w:pPr>
      <w:pStyle w:val="Sidefod"/>
      <w:pBdr>
        <w:bottom w:val="single" w:sz="6" w:space="1" w:color="auto"/>
      </w:pBdr>
    </w:pPr>
  </w:p>
  <w:p w:rsidR="001D0D0E" w:rsidRDefault="001D0D0E" w:rsidP="00C42586">
    <w:pPr>
      <w:pStyle w:val="Sidefod"/>
      <w:tabs>
        <w:tab w:val="clear" w:pos="4819"/>
        <w:tab w:val="left" w:pos="8505"/>
      </w:tabs>
      <w:rPr>
        <w:i/>
        <w:sz w:val="18"/>
        <w:szCs w:val="18"/>
      </w:rPr>
    </w:pPr>
  </w:p>
  <w:p w:rsidR="001D0D0E" w:rsidRPr="00B373D7" w:rsidRDefault="001D0D0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02D6E">
      <w:rPr>
        <w:i/>
        <w:noProof/>
        <w:sz w:val="18"/>
        <w:szCs w:val="18"/>
      </w:rPr>
      <w:t>Galantamin Stada, hårde depotkapsler 8 mg, 16 mg og 24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D0E" w:rsidRDefault="001D0D0E">
      <w:r>
        <w:separator/>
      </w:r>
    </w:p>
  </w:footnote>
  <w:footnote w:type="continuationSeparator" w:id="0">
    <w:p w:rsidR="001D0D0E" w:rsidRDefault="001D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166DC4"/>
    <w:multiLevelType w:val="multilevel"/>
    <w:tmpl w:val="91F84354"/>
    <w:lvl w:ilvl="0">
      <w:start w:val="1"/>
      <w:numFmt w:val="bullet"/>
      <w:lvlText w:val=""/>
      <w:lvlJc w:val="left"/>
      <w:pPr>
        <w:tabs>
          <w:tab w:val="num" w:pos="1571"/>
        </w:tabs>
        <w:ind w:left="1571" w:hanging="360"/>
      </w:pPr>
      <w:rPr>
        <w:rFonts w:ascii="Symbol" w:hAnsi="Symbol" w:hint="default"/>
      </w:rPr>
    </w:lvl>
    <w:lvl w:ilvl="1">
      <w:numFmt w:val="bullet"/>
      <w:lvlText w:val="-"/>
      <w:lvlJc w:val="left"/>
      <w:pPr>
        <w:tabs>
          <w:tab w:val="num" w:pos="2291"/>
        </w:tabs>
        <w:ind w:left="2291" w:hanging="360"/>
      </w:pPr>
    </w:lvl>
    <w:lvl w:ilvl="2">
      <w:start w:val="1"/>
      <w:numFmt w:val="bullet"/>
      <w:lvlText w:val=""/>
      <w:lvlJc w:val="left"/>
      <w:pPr>
        <w:tabs>
          <w:tab w:val="num" w:pos="3011"/>
        </w:tabs>
        <w:ind w:left="3011" w:hanging="360"/>
      </w:pPr>
      <w:rPr>
        <w:rFonts w:ascii="Times New Roman" w:hAnsi="Times New Roman" w:cs="Times New Roman"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Times New Roman" w:hint="default"/>
      </w:rPr>
    </w:lvl>
    <w:lvl w:ilvl="5">
      <w:start w:val="1"/>
      <w:numFmt w:val="bullet"/>
      <w:lvlText w:val=""/>
      <w:lvlJc w:val="left"/>
      <w:pPr>
        <w:tabs>
          <w:tab w:val="num" w:pos="5171"/>
        </w:tabs>
        <w:ind w:left="5171" w:hanging="360"/>
      </w:pPr>
      <w:rPr>
        <w:rFonts w:ascii="Times New Roman" w:hAnsi="Times New Roman" w:cs="Times New Roman"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Times New Roman" w:hint="default"/>
      </w:rPr>
    </w:lvl>
    <w:lvl w:ilvl="8">
      <w:start w:val="1"/>
      <w:numFmt w:val="bullet"/>
      <w:lvlText w:val=""/>
      <w:lvlJc w:val="left"/>
      <w:pPr>
        <w:tabs>
          <w:tab w:val="num" w:pos="7331"/>
        </w:tabs>
        <w:ind w:left="7331" w:hanging="360"/>
      </w:pPr>
      <w:rPr>
        <w:rFonts w:ascii="Times New Roman" w:hAnsi="Times New Roman" w:cs="Times New Roman"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8A"/>
    <w:rsid w:val="000259B9"/>
    <w:rsid w:val="00041491"/>
    <w:rsid w:val="00050D16"/>
    <w:rsid w:val="00074F2A"/>
    <w:rsid w:val="000A1CA8"/>
    <w:rsid w:val="000A466B"/>
    <w:rsid w:val="000B058C"/>
    <w:rsid w:val="000E4EE6"/>
    <w:rsid w:val="001454E2"/>
    <w:rsid w:val="001D0D0E"/>
    <w:rsid w:val="001E5B07"/>
    <w:rsid w:val="00206CE8"/>
    <w:rsid w:val="0021526C"/>
    <w:rsid w:val="00283A2B"/>
    <w:rsid w:val="002B30AD"/>
    <w:rsid w:val="002C2C01"/>
    <w:rsid w:val="003175F9"/>
    <w:rsid w:val="0036369D"/>
    <w:rsid w:val="003A29AE"/>
    <w:rsid w:val="003A32D7"/>
    <w:rsid w:val="003B4074"/>
    <w:rsid w:val="003C769A"/>
    <w:rsid w:val="003F1838"/>
    <w:rsid w:val="0045746C"/>
    <w:rsid w:val="0049104B"/>
    <w:rsid w:val="004E3B12"/>
    <w:rsid w:val="00532310"/>
    <w:rsid w:val="00560ECC"/>
    <w:rsid w:val="00565F0F"/>
    <w:rsid w:val="00594A86"/>
    <w:rsid w:val="00596D86"/>
    <w:rsid w:val="005B428A"/>
    <w:rsid w:val="00637F5A"/>
    <w:rsid w:val="006560B1"/>
    <w:rsid w:val="006756DD"/>
    <w:rsid w:val="00737275"/>
    <w:rsid w:val="00740EEC"/>
    <w:rsid w:val="0078011A"/>
    <w:rsid w:val="00782AF4"/>
    <w:rsid w:val="00790EE7"/>
    <w:rsid w:val="007B6649"/>
    <w:rsid w:val="0080619C"/>
    <w:rsid w:val="0081546F"/>
    <w:rsid w:val="00816408"/>
    <w:rsid w:val="0082576E"/>
    <w:rsid w:val="008F4F16"/>
    <w:rsid w:val="00907F75"/>
    <w:rsid w:val="009260DE"/>
    <w:rsid w:val="0093258A"/>
    <w:rsid w:val="009C7BA3"/>
    <w:rsid w:val="009D1F5A"/>
    <w:rsid w:val="00A8205B"/>
    <w:rsid w:val="00A84E78"/>
    <w:rsid w:val="00B003BF"/>
    <w:rsid w:val="00B02D6E"/>
    <w:rsid w:val="00B033AA"/>
    <w:rsid w:val="00B373D7"/>
    <w:rsid w:val="00B76EC4"/>
    <w:rsid w:val="00C36276"/>
    <w:rsid w:val="00C42586"/>
    <w:rsid w:val="00C60CCD"/>
    <w:rsid w:val="00C84483"/>
    <w:rsid w:val="00C95551"/>
    <w:rsid w:val="00CB20D7"/>
    <w:rsid w:val="00D020B0"/>
    <w:rsid w:val="00D11748"/>
    <w:rsid w:val="00D366CF"/>
    <w:rsid w:val="00D47ED9"/>
    <w:rsid w:val="00D81B65"/>
    <w:rsid w:val="00DF67A6"/>
    <w:rsid w:val="00E108AA"/>
    <w:rsid w:val="00E31812"/>
    <w:rsid w:val="00E3749A"/>
    <w:rsid w:val="00E52DCF"/>
    <w:rsid w:val="00E7437F"/>
    <w:rsid w:val="00E74529"/>
    <w:rsid w:val="00E865B8"/>
    <w:rsid w:val="00EC0B9B"/>
    <w:rsid w:val="00ED5E9F"/>
    <w:rsid w:val="00F57BE9"/>
    <w:rsid w:val="00F66D4F"/>
    <w:rsid w:val="00F868E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CF09B"/>
  <w15:chartTrackingRefBased/>
  <w15:docId w15:val="{CBF8B98D-3C94-460F-83C6-040AD0F3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
    <w:name w:val="Bodytext"/>
    <w:basedOn w:val="Normal"/>
    <w:rsid w:val="005B428A"/>
    <w:pPr>
      <w:snapToGrid w:val="0"/>
      <w:ind w:left="851"/>
    </w:pPr>
    <w:rPr>
      <w:sz w:val="24"/>
      <w:lang w:val="en-US" w:eastAsia="da-DK"/>
    </w:rPr>
  </w:style>
  <w:style w:type="paragraph" w:styleId="Brdtekstindrykning">
    <w:name w:val="Body Text Indent"/>
    <w:basedOn w:val="Normal"/>
    <w:link w:val="BrdtekstindrykningTegn"/>
    <w:semiHidden/>
    <w:unhideWhenUsed/>
    <w:rsid w:val="005B428A"/>
    <w:pPr>
      <w:pBdr>
        <w:top w:val="single" w:sz="6" w:space="1" w:color="C0C0C0"/>
        <w:left w:val="single" w:sz="6" w:space="1" w:color="C0C0C0"/>
        <w:bottom w:val="single" w:sz="6" w:space="1" w:color="C0C0C0"/>
        <w:right w:val="single" w:sz="6" w:space="1" w:color="C0C0C0"/>
      </w:pBdr>
      <w:shd w:val="pct25" w:color="FFFF00" w:fill="FFFFFF"/>
      <w:tabs>
        <w:tab w:val="left" w:pos="810"/>
      </w:tabs>
      <w:snapToGrid w:val="0"/>
    </w:pPr>
    <w:rPr>
      <w:rFonts w:ascii="TimesNewRoman" w:hAnsi="TimesNewRoman"/>
      <w:sz w:val="24"/>
      <w:lang w:eastAsia="da-DK"/>
    </w:rPr>
  </w:style>
  <w:style w:type="character" w:customStyle="1" w:styleId="BrdtekstindrykningTegn">
    <w:name w:val="Brødtekstindrykning Tegn"/>
    <w:basedOn w:val="Standardskrifttypeiafsnit"/>
    <w:link w:val="Brdtekstindrykning"/>
    <w:semiHidden/>
    <w:rsid w:val="005B428A"/>
    <w:rPr>
      <w:rFonts w:ascii="TimesNewRoman" w:hAnsi="TimesNewRoman"/>
      <w:sz w:val="24"/>
      <w:shd w:val="pct25" w:color="FFFF00" w:fill="FFFFFF"/>
    </w:rPr>
  </w:style>
  <w:style w:type="paragraph" w:styleId="Brdtekst">
    <w:name w:val="Body Text"/>
    <w:basedOn w:val="Normal"/>
    <w:link w:val="BrdtekstTegn"/>
    <w:uiPriority w:val="99"/>
    <w:unhideWhenUsed/>
    <w:rsid w:val="005B428A"/>
    <w:pPr>
      <w:spacing w:after="120"/>
    </w:pPr>
  </w:style>
  <w:style w:type="character" w:customStyle="1" w:styleId="BrdtekstTegn">
    <w:name w:val="Brødtekst Tegn"/>
    <w:basedOn w:val="Standardskrifttypeiafsnit"/>
    <w:link w:val="Brdtekst"/>
    <w:uiPriority w:val="99"/>
    <w:rsid w:val="005B428A"/>
    <w:rPr>
      <w:sz w:val="23"/>
      <w:lang w:eastAsia="en-US"/>
    </w:rPr>
  </w:style>
  <w:style w:type="paragraph" w:customStyle="1" w:styleId="DisplaysSubtitle">
    <w:name w:val="DisplaysSubtitle"/>
    <w:basedOn w:val="Normal"/>
    <w:next w:val="Normal"/>
    <w:rsid w:val="005B428A"/>
    <w:pPr>
      <w:keepNext/>
      <w:snapToGrid w:val="0"/>
    </w:pPr>
    <w:rPr>
      <w:rFonts w:ascii="Arial" w:hAnsi="Arial"/>
      <w:b/>
      <w:sz w:val="24"/>
      <w:lang w:val="en-US" w:eastAsia="da-DK"/>
    </w:rPr>
  </w:style>
  <w:style w:type="character" w:styleId="Hyperlink">
    <w:name w:val="Hyperlink"/>
    <w:rsid w:val="005B4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14</Pages>
  <Words>3989</Words>
  <Characters>26286</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2021022232, var. 6, psusa opdatering</dc:description>
  <cp:lastModifiedBy>Gitte Jørgensen</cp:lastModifiedBy>
  <cp:revision>6</cp:revision>
  <cp:lastPrinted>2012-08-22T08:53:00Z</cp:lastPrinted>
  <dcterms:created xsi:type="dcterms:W3CDTF">2021-06-29T10:10:00Z</dcterms:created>
  <dcterms:modified xsi:type="dcterms:W3CDTF">2021-06-29T10:27:00Z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